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outlineLvl w:val="0"/>
        <w:rPr>
          <w:rFonts w:ascii="方正小标宋简体" w:hAnsi="宋体" w:eastAsia="方正小标宋简体"/>
          <w:sz w:val="72"/>
          <w:szCs w:val="72"/>
        </w:rPr>
      </w:pPr>
      <w:bookmarkStart w:id="0" w:name="_Toc15377425"/>
      <w:bookmarkStart w:id="1" w:name="_Toc15378441"/>
      <w:bookmarkStart w:id="2" w:name="_Toc15396597"/>
      <w:bookmarkStart w:id="3" w:name="_Toc15377193"/>
      <w:bookmarkStart w:id="4" w:name="_Toc15396475"/>
      <w:bookmarkStart w:id="5" w:name="_Toc15306267"/>
    </w:p>
    <w:p>
      <w:pPr>
        <w:jc w:val="center"/>
        <w:outlineLvl w:val="0"/>
        <w:rPr>
          <w:rFonts w:ascii="方正小标宋简体" w:hAnsi="宋体" w:eastAsia="方正小标宋简体"/>
          <w:sz w:val="72"/>
          <w:szCs w:val="72"/>
        </w:rPr>
      </w:pPr>
    </w:p>
    <w:p>
      <w:pPr>
        <w:jc w:val="center"/>
        <w:outlineLvl w:val="0"/>
        <w:rPr>
          <w:rFonts w:ascii="方正小标宋简体" w:hAnsi="宋体" w:eastAsia="方正小标宋简体"/>
          <w:sz w:val="72"/>
          <w:szCs w:val="72"/>
        </w:rPr>
      </w:pPr>
    </w:p>
    <w:p>
      <w:pPr>
        <w:adjustRightInd w:val="0"/>
        <w:snapToGrid w:val="0"/>
        <w:jc w:val="center"/>
        <w:outlineLvl w:val="0"/>
        <w:rPr>
          <w:rFonts w:ascii="方正小标宋简体" w:hAnsi="方正小标宋简体" w:eastAsia="方正小标宋简体" w:cs="方正小标宋简体"/>
          <w:sz w:val="72"/>
          <w:szCs w:val="72"/>
        </w:rPr>
      </w:pPr>
      <w:bookmarkStart w:id="6" w:name="_Toc146616475"/>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jc w:val="center"/>
        <w:outlineLvl w:val="0"/>
        <w:rPr>
          <w:rFonts w:ascii="方正小标宋简体" w:hAnsi="方正小标宋简体" w:eastAsia="方正小标宋简体" w:cs="方正小标宋简体"/>
          <w:sz w:val="72"/>
          <w:szCs w:val="72"/>
        </w:rPr>
      </w:pPr>
      <w:bookmarkStart w:id="7" w:name="_Toc15377194"/>
      <w:bookmarkStart w:id="8" w:name="_Toc15396476"/>
      <w:bookmarkStart w:id="9" w:name="_Toc15378442"/>
      <w:bookmarkStart w:id="10" w:name="_Toc15377426"/>
      <w:bookmarkStart w:id="11" w:name="_Toc15396598"/>
      <w:bookmarkStart w:id="12" w:name="_Toc146616476"/>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政府国有资产监督管理委员会部门决算</w:t>
      </w:r>
      <w:bookmarkEnd w:id="7"/>
      <w:bookmarkEnd w:id="8"/>
      <w:bookmarkEnd w:id="9"/>
      <w:bookmarkEnd w:id="10"/>
      <w:bookmarkEnd w:id="11"/>
      <w:bookmarkEnd w:id="12"/>
      <w:bookmarkEnd w:id="13"/>
    </w:p>
    <w:p>
      <w:pPr>
        <w:widowControl/>
        <w:spacing w:line="576" w:lineRule="exact"/>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spacing w:line="576" w:lineRule="exact"/>
      </w:pPr>
      <w:r>
        <w:rPr>
          <w:rFonts w:hint="eastAsia"/>
        </w:rPr>
        <w:t>公开时间：2023年10月7日</w:t>
      </w:r>
    </w:p>
    <w:sdt>
      <w:sdtPr>
        <w:rPr>
          <w:rFonts w:ascii="Times New Roman" w:hAnsi="Times New Roman" w:eastAsia="仿宋_GB2312" w:cs="Times New Roman"/>
          <w:color w:val="auto"/>
          <w:kern w:val="2"/>
          <w:szCs w:val="24"/>
          <w:lang w:val="zh-CN"/>
        </w:rPr>
        <w:id w:val="-542210787"/>
        <w:docPartObj>
          <w:docPartGallery w:val="Table of Contents"/>
          <w:docPartUnique/>
        </w:docPartObj>
      </w:sdtPr>
      <w:sdtEndPr>
        <w:rPr>
          <w:rFonts w:hint="eastAsia" w:ascii="仿宋_GB2312" w:hAnsi="Times New Roman" w:eastAsia="仿宋_GB2312" w:cs="Times New Roman"/>
          <w:b/>
          <w:bCs/>
          <w:color w:val="auto"/>
          <w:kern w:val="2"/>
          <w:sz w:val="24"/>
          <w:szCs w:val="24"/>
          <w:lang w:val="zh-CN"/>
        </w:rPr>
      </w:sdtEndPr>
      <w:sdtContent>
        <w:p>
          <w:pPr>
            <w:pStyle w:val="41"/>
            <w:spacing w:line="576" w:lineRule="exact"/>
            <w:rPr>
              <w:rFonts w:ascii="宋体" w:hAnsi="宋体" w:eastAsia="宋体" w:cstheme="minorBidi"/>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TOC \o "1-3" \h \z \u </w:instrText>
          </w:r>
          <w:r>
            <w:rPr>
              <w:rFonts w:hint="eastAsia" w:ascii="仿宋_GB2312" w:eastAsia="仿宋_GB2312"/>
              <w:sz w:val="24"/>
              <w:szCs w:val="24"/>
            </w:rPr>
            <w:fldChar w:fldCharType="separate"/>
          </w:r>
        </w:p>
        <w:p>
          <w:pPr>
            <w:pStyle w:val="12"/>
            <w:spacing w:line="576" w:lineRule="exact"/>
            <w:jc w:val="both"/>
            <w:rPr>
              <w:rFonts w:ascii="仿宋_GB2312" w:hAnsi="宋体" w:eastAsia="仿宋_GB2312" w:cstheme="minorBidi"/>
              <w:sz w:val="24"/>
              <w:szCs w:val="24"/>
            </w:rPr>
          </w:pPr>
          <w:r>
            <w:fldChar w:fldCharType="begin"/>
          </w:r>
          <w:r>
            <w:instrText xml:space="preserve"> HYPERLINK \l "_Toc146616477" </w:instrText>
          </w:r>
          <w:r>
            <w:fldChar w:fldCharType="separate"/>
          </w:r>
          <w:r>
            <w:rPr>
              <w:rStyle w:val="19"/>
              <w:rFonts w:hint="eastAsia" w:ascii="仿宋_GB2312" w:hAnsi="宋体" w:eastAsia="仿宋_GB2312"/>
              <w:sz w:val="24"/>
              <w:szCs w:val="24"/>
            </w:rPr>
            <w:t>第一部分 部门概况</w:t>
          </w:r>
          <w:r>
            <w:rPr>
              <w:rFonts w:hint="eastAsia" w:ascii="仿宋_GB2312" w:hAnsi="宋体" w:eastAsia="仿宋_GB2312"/>
              <w:sz w:val="24"/>
              <w:szCs w:val="24"/>
            </w:rPr>
            <w:tab/>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PAGEREF _Toc146616477 \h </w:instrText>
          </w:r>
          <w:r>
            <w:rPr>
              <w:rFonts w:hint="eastAsia" w:ascii="仿宋_GB2312" w:hAnsi="宋体" w:eastAsia="仿宋_GB2312"/>
              <w:sz w:val="24"/>
              <w:szCs w:val="24"/>
            </w:rPr>
            <w:fldChar w:fldCharType="separate"/>
          </w:r>
          <w:r>
            <w:rPr>
              <w:rFonts w:ascii="仿宋_GB2312" w:hAnsi="宋体" w:eastAsia="仿宋_GB2312"/>
              <w:sz w:val="24"/>
              <w:szCs w:val="24"/>
            </w:rPr>
            <w:t>1</w:t>
          </w:r>
          <w:r>
            <w:rPr>
              <w:rFonts w:hint="eastAsia" w:ascii="仿宋_GB2312" w:hAnsi="宋体" w:eastAsia="仿宋_GB2312"/>
              <w:sz w:val="24"/>
              <w:szCs w:val="24"/>
            </w:rPr>
            <w:fldChar w:fldCharType="end"/>
          </w:r>
          <w:r>
            <w:rPr>
              <w:rFonts w:hint="eastAsia" w:ascii="仿宋_GB2312" w:hAnsi="宋体" w:eastAsia="仿宋_GB2312"/>
              <w:sz w:val="24"/>
              <w:szCs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"_Toc146616478" </w:instrText>
          </w:r>
          <w:r>
            <w:fldChar w:fldCharType="separate"/>
          </w:r>
          <w:r>
            <w:rPr>
              <w:rStyle w:val="19"/>
              <w:rFonts w:hint="eastAsia" w:ascii="宋体" w:hAnsi="宋体" w:eastAsia="宋体"/>
              <w:sz w:val="24"/>
            </w:rPr>
            <w:t>一、部门职责</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_Toc146616478 \h </w:instrText>
          </w:r>
          <w:r>
            <w:rPr>
              <w:rFonts w:hint="eastAsia" w:ascii="宋体" w:hAnsi="宋体" w:eastAsia="宋体"/>
              <w:sz w:val="24"/>
            </w:rPr>
            <w:fldChar w:fldCharType="separate"/>
          </w:r>
          <w:r>
            <w:rPr>
              <w:rFonts w:ascii="宋体" w:hAnsi="宋体" w:eastAsia="宋体"/>
              <w:sz w:val="24"/>
            </w:rPr>
            <w:t>1</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"_Toc146616479" </w:instrText>
          </w:r>
          <w:r>
            <w:fldChar w:fldCharType="separate"/>
          </w:r>
          <w:r>
            <w:rPr>
              <w:rStyle w:val="19"/>
              <w:rFonts w:hint="eastAsia" w:ascii="宋体" w:hAnsi="宋体" w:eastAsia="宋体"/>
              <w:sz w:val="24"/>
            </w:rPr>
            <w:t>二、机构设置</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_Toc146616479 \h </w:instrText>
          </w:r>
          <w:r>
            <w:rPr>
              <w:rFonts w:hint="eastAsia" w:ascii="宋体" w:hAnsi="宋体" w:eastAsia="宋体"/>
              <w:sz w:val="24"/>
            </w:rPr>
            <w:fldChar w:fldCharType="separate"/>
          </w:r>
          <w:r>
            <w:rPr>
              <w:rFonts w:ascii="宋体" w:hAnsi="宋体" w:eastAsia="宋体"/>
              <w:sz w:val="24"/>
            </w:rPr>
            <w:t>2</w:t>
          </w:r>
          <w:r>
            <w:rPr>
              <w:rFonts w:hint="eastAsia" w:ascii="宋体" w:hAnsi="宋体" w:eastAsia="宋体"/>
              <w:sz w:val="24"/>
            </w:rPr>
            <w:fldChar w:fldCharType="end"/>
          </w:r>
          <w:r>
            <w:rPr>
              <w:rFonts w:hint="eastAsia" w:ascii="宋体" w:hAnsi="宋体" w:eastAsia="宋体"/>
              <w:sz w:val="24"/>
            </w:rPr>
            <w:fldChar w:fldCharType="end"/>
          </w:r>
        </w:p>
        <w:p>
          <w:pPr>
            <w:pStyle w:val="12"/>
            <w:spacing w:line="576" w:lineRule="exact"/>
            <w:rPr>
              <w:rFonts w:ascii="仿宋_GB2312" w:hAnsi="宋体" w:eastAsia="仿宋_GB2312" w:cstheme="minorBidi"/>
              <w:sz w:val="24"/>
              <w:szCs w:val="24"/>
            </w:rPr>
          </w:pPr>
          <w:r>
            <w:fldChar w:fldCharType="begin"/>
          </w:r>
          <w:r>
            <w:instrText xml:space="preserve"> HYPERLINK \l "_Toc146616482" </w:instrText>
          </w:r>
          <w:r>
            <w:fldChar w:fldCharType="separate"/>
          </w:r>
          <w:r>
            <w:rPr>
              <w:rStyle w:val="19"/>
              <w:rFonts w:hint="eastAsia" w:ascii="仿宋_GB2312" w:hAnsi="宋体" w:eastAsia="仿宋_GB2312"/>
              <w:sz w:val="24"/>
              <w:szCs w:val="24"/>
            </w:rPr>
            <w:t>第二部分 2022年度部门决算情况说明</w:t>
          </w:r>
          <w:r>
            <w:rPr>
              <w:rFonts w:hint="eastAsia" w:ascii="仿宋_GB2312" w:hAnsi="宋体" w:eastAsia="仿宋_GB2312"/>
              <w:sz w:val="24"/>
              <w:szCs w:val="24"/>
            </w:rPr>
            <w:tab/>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PAGEREF _Toc146616482 \h </w:instrText>
          </w:r>
          <w:r>
            <w:rPr>
              <w:rFonts w:hint="eastAsia" w:ascii="仿宋_GB2312" w:hAnsi="宋体" w:eastAsia="仿宋_GB2312"/>
              <w:sz w:val="24"/>
              <w:szCs w:val="24"/>
            </w:rPr>
            <w:fldChar w:fldCharType="separate"/>
          </w:r>
          <w:r>
            <w:rPr>
              <w:rFonts w:ascii="仿宋_GB2312" w:hAnsi="宋体" w:eastAsia="仿宋_GB2312"/>
              <w:sz w:val="24"/>
              <w:szCs w:val="24"/>
            </w:rPr>
            <w:t>3</w:t>
          </w:r>
          <w:r>
            <w:rPr>
              <w:rFonts w:hint="eastAsia" w:ascii="仿宋_GB2312" w:hAnsi="宋体" w:eastAsia="仿宋_GB2312"/>
              <w:sz w:val="24"/>
              <w:szCs w:val="24"/>
            </w:rPr>
            <w:fldChar w:fldCharType="end"/>
          </w:r>
          <w:r>
            <w:rPr>
              <w:rFonts w:hint="eastAsia" w:ascii="仿宋_GB2312" w:hAnsi="宋体" w:eastAsia="仿宋_GB2312"/>
              <w:sz w:val="24"/>
              <w:szCs w:val="24"/>
            </w:rPr>
            <w:fldChar w:fldCharType="end"/>
          </w:r>
        </w:p>
        <w:p>
          <w:pPr>
            <w:pStyle w:val="13"/>
            <w:tabs>
              <w:tab w:val="left" w:pos="1470"/>
            </w:tabs>
            <w:spacing w:line="576" w:lineRule="exact"/>
            <w:ind w:left="640"/>
            <w:rPr>
              <w:rFonts w:ascii="宋体" w:hAnsi="宋体" w:eastAsia="宋体" w:cstheme="minorBidi"/>
              <w:sz w:val="24"/>
            </w:rPr>
          </w:pPr>
          <w:r>
            <w:fldChar w:fldCharType="begin"/>
          </w:r>
          <w:r>
            <w:instrText xml:space="preserve"> HYPERLINK \l "_Toc146616483" </w:instrText>
          </w:r>
          <w:r>
            <w:fldChar w:fldCharType="separate"/>
          </w:r>
          <w:r>
            <w:rPr>
              <w:rStyle w:val="19"/>
              <w:rFonts w:hint="eastAsia" w:ascii="宋体" w:hAnsi="宋体" w:eastAsia="宋体" w:cstheme="majorBidi"/>
              <w:bCs/>
              <w:sz w:val="24"/>
            </w:rPr>
            <w:t>一、</w:t>
          </w:r>
          <w:r>
            <w:rPr>
              <w:rStyle w:val="19"/>
              <w:rFonts w:hint="eastAsia" w:ascii="宋体" w:hAnsi="宋体" w:eastAsia="宋体"/>
              <w:sz w:val="24"/>
            </w:rPr>
            <w:t>收</w:t>
          </w:r>
          <w:r>
            <w:rPr>
              <w:rStyle w:val="19"/>
              <w:rFonts w:hint="eastAsia" w:ascii="宋体" w:hAnsi="宋体" w:eastAsia="宋体" w:cstheme="majorBidi"/>
              <w:bCs/>
              <w:sz w:val="24"/>
            </w:rPr>
            <w:t>入支出决算总体情况说明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_Toc146616483 \h </w:instrText>
          </w:r>
          <w:r>
            <w:rPr>
              <w:rFonts w:hint="eastAsia" w:ascii="宋体" w:hAnsi="宋体" w:eastAsia="宋体"/>
              <w:sz w:val="24"/>
            </w:rPr>
            <w:fldChar w:fldCharType="separate"/>
          </w:r>
          <w:r>
            <w:rPr>
              <w:rFonts w:ascii="宋体" w:hAnsi="宋体" w:eastAsia="宋体"/>
              <w:sz w:val="24"/>
            </w:rPr>
            <w:t>3</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"_Toc146616484" </w:instrText>
          </w:r>
          <w:r>
            <w:fldChar w:fldCharType="separate"/>
          </w:r>
          <w:r>
            <w:rPr>
              <w:rStyle w:val="19"/>
              <w:rFonts w:hint="eastAsia" w:ascii="宋体" w:hAnsi="宋体" w:eastAsia="宋体" w:cstheme="majorBidi"/>
              <w:bCs/>
              <w:sz w:val="24"/>
            </w:rPr>
            <w:t>二、</w:t>
          </w:r>
          <w:r>
            <w:rPr>
              <w:rStyle w:val="19"/>
              <w:rFonts w:hint="eastAsia" w:ascii="宋体" w:hAnsi="宋体" w:eastAsia="宋体"/>
              <w:sz w:val="24"/>
            </w:rPr>
            <w:t>收</w:t>
          </w:r>
          <w:r>
            <w:rPr>
              <w:rStyle w:val="19"/>
              <w:rFonts w:hint="eastAsia" w:ascii="宋体" w:hAnsi="宋体" w:eastAsia="宋体" w:cstheme="majorBidi"/>
              <w:bCs/>
              <w:sz w:val="24"/>
            </w:rPr>
            <w:t>入决算情况说明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_Toc146616484 \h </w:instrText>
          </w:r>
          <w:r>
            <w:rPr>
              <w:rFonts w:hint="eastAsia" w:ascii="宋体" w:hAnsi="宋体" w:eastAsia="宋体"/>
              <w:sz w:val="24"/>
            </w:rPr>
            <w:fldChar w:fldCharType="separate"/>
          </w:r>
          <w:r>
            <w:rPr>
              <w:rFonts w:ascii="宋体" w:hAnsi="宋体" w:eastAsia="宋体"/>
              <w:sz w:val="24"/>
            </w:rPr>
            <w:t>3</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"_Toc146616485" </w:instrText>
          </w:r>
          <w:r>
            <w:fldChar w:fldCharType="separate"/>
          </w:r>
          <w:r>
            <w:rPr>
              <w:rStyle w:val="19"/>
              <w:rFonts w:hint="eastAsia" w:ascii="宋体" w:hAnsi="宋体" w:eastAsia="宋体" w:cstheme="majorBidi"/>
              <w:bCs/>
              <w:sz w:val="24"/>
            </w:rPr>
            <w:t>三、</w:t>
          </w:r>
          <w:r>
            <w:rPr>
              <w:rStyle w:val="19"/>
              <w:rFonts w:hint="eastAsia" w:ascii="宋体" w:hAnsi="宋体" w:eastAsia="宋体"/>
              <w:sz w:val="24"/>
            </w:rPr>
            <w:t>支</w:t>
          </w:r>
          <w:r>
            <w:rPr>
              <w:rStyle w:val="19"/>
              <w:rFonts w:hint="eastAsia" w:ascii="宋体" w:hAnsi="宋体" w:eastAsia="宋体" w:cstheme="majorBidi"/>
              <w:bCs/>
              <w:sz w:val="24"/>
            </w:rPr>
            <w:t>出决算情况说明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_Toc146616485 \h </w:instrText>
          </w:r>
          <w:r>
            <w:rPr>
              <w:rFonts w:hint="eastAsia" w:ascii="宋体" w:hAnsi="宋体" w:eastAsia="宋体"/>
              <w:sz w:val="24"/>
            </w:rPr>
            <w:fldChar w:fldCharType="separate"/>
          </w:r>
          <w:r>
            <w:rPr>
              <w:rFonts w:ascii="宋体" w:hAnsi="宋体" w:eastAsia="宋体"/>
              <w:sz w:val="24"/>
            </w:rPr>
            <w:t>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"_Toc146616487" </w:instrText>
          </w:r>
          <w:r>
            <w:fldChar w:fldCharType="separate"/>
          </w:r>
          <w:r>
            <w:rPr>
              <w:rStyle w:val="19"/>
              <w:rFonts w:hint="eastAsia" w:ascii="宋体" w:hAnsi="宋体" w:eastAsia="宋体"/>
              <w:sz w:val="24"/>
            </w:rPr>
            <w:t>四、财</w:t>
          </w:r>
          <w:r>
            <w:rPr>
              <w:rStyle w:val="19"/>
              <w:rFonts w:hint="eastAsia" w:ascii="宋体" w:hAnsi="宋体" w:eastAsia="宋体" w:cstheme="majorBidi"/>
              <w:bCs/>
              <w:sz w:val="24"/>
            </w:rPr>
            <w:t>政拨款收入支出决算总体情况说明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_Toc146616487 \h </w:instrText>
          </w:r>
          <w:r>
            <w:rPr>
              <w:rFonts w:hint="eastAsia" w:ascii="宋体" w:hAnsi="宋体" w:eastAsia="宋体"/>
              <w:sz w:val="24"/>
            </w:rPr>
            <w:fldChar w:fldCharType="separate"/>
          </w:r>
          <w:r>
            <w:rPr>
              <w:rFonts w:ascii="宋体" w:hAnsi="宋体" w:eastAsia="宋体"/>
              <w:sz w:val="24"/>
            </w:rPr>
            <w:t>5</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"_Toc146616488" </w:instrText>
          </w:r>
          <w:r>
            <w:fldChar w:fldCharType="separate"/>
          </w:r>
          <w:r>
            <w:rPr>
              <w:rStyle w:val="19"/>
              <w:rFonts w:hint="eastAsia" w:ascii="宋体" w:hAnsi="宋体" w:eastAsia="宋体"/>
              <w:sz w:val="24"/>
            </w:rPr>
            <w:t>五、</w:t>
          </w:r>
          <w:r>
            <w:rPr>
              <w:rStyle w:val="19"/>
              <w:rFonts w:hint="eastAsia" w:ascii="宋体" w:hAnsi="宋体" w:eastAsia="宋体"/>
              <w:b/>
              <w:sz w:val="24"/>
            </w:rPr>
            <w:t>一</w:t>
          </w:r>
          <w:r>
            <w:rPr>
              <w:rStyle w:val="19"/>
              <w:rFonts w:hint="eastAsia" w:ascii="宋体" w:hAnsi="宋体" w:eastAsia="宋体" w:cstheme="majorBidi"/>
              <w:bCs/>
              <w:sz w:val="24"/>
            </w:rPr>
            <w:t>般公共预算财政拨款支出决算情况说明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_Toc146616488 \h </w:instrText>
          </w:r>
          <w:r>
            <w:rPr>
              <w:rFonts w:hint="eastAsia" w:ascii="宋体" w:hAnsi="宋体" w:eastAsia="宋体"/>
              <w:sz w:val="24"/>
            </w:rPr>
            <w:fldChar w:fldCharType="separate"/>
          </w:r>
          <w:r>
            <w:rPr>
              <w:rFonts w:ascii="宋体" w:hAnsi="宋体" w:eastAsia="宋体"/>
              <w:sz w:val="24"/>
            </w:rPr>
            <w:t>5</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"_Toc146616489" </w:instrText>
          </w:r>
          <w:r>
            <w:fldChar w:fldCharType="separate"/>
          </w:r>
          <w:r>
            <w:rPr>
              <w:rStyle w:val="19"/>
              <w:rFonts w:hint="eastAsia" w:ascii="宋体" w:hAnsi="宋体" w:eastAsia="宋体"/>
              <w:sz w:val="24"/>
            </w:rPr>
            <w:t>（一）一般公共预算财政拨款支出决算总体情况</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_Toc146616489 \h </w:instrText>
          </w:r>
          <w:r>
            <w:rPr>
              <w:rFonts w:hint="eastAsia" w:ascii="宋体" w:hAnsi="宋体" w:eastAsia="宋体"/>
              <w:sz w:val="24"/>
            </w:rPr>
            <w:fldChar w:fldCharType="separate"/>
          </w:r>
          <w:r>
            <w:rPr>
              <w:rFonts w:ascii="宋体" w:hAnsi="宋体" w:eastAsia="宋体"/>
              <w:sz w:val="24"/>
            </w:rPr>
            <w:t>5</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"_Toc146616490" </w:instrText>
          </w:r>
          <w:r>
            <w:fldChar w:fldCharType="separate"/>
          </w:r>
          <w:r>
            <w:rPr>
              <w:rStyle w:val="19"/>
              <w:rFonts w:hint="eastAsia" w:ascii="宋体" w:hAnsi="宋体" w:eastAsia="宋体"/>
              <w:sz w:val="24"/>
            </w:rPr>
            <w:t>（二）一般公共预算财政拨款支出决算结构情况</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_Toc146616490 \h </w:instrText>
          </w:r>
          <w:r>
            <w:rPr>
              <w:rFonts w:hint="eastAsia" w:ascii="宋体" w:hAnsi="宋体" w:eastAsia="宋体"/>
              <w:sz w:val="24"/>
            </w:rPr>
            <w:fldChar w:fldCharType="separate"/>
          </w:r>
          <w:r>
            <w:rPr>
              <w:rFonts w:ascii="宋体" w:hAnsi="宋体" w:eastAsia="宋体"/>
              <w:sz w:val="24"/>
            </w:rPr>
            <w:t>6</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"_Toc146616491" </w:instrText>
          </w:r>
          <w:r>
            <w:fldChar w:fldCharType="separate"/>
          </w:r>
          <w:r>
            <w:rPr>
              <w:rStyle w:val="19"/>
              <w:rFonts w:hint="eastAsia" w:ascii="宋体" w:hAnsi="宋体" w:eastAsia="宋体"/>
              <w:sz w:val="24"/>
            </w:rPr>
            <w:t>（三）一般公共预算财政拨款支出决算具体情况</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_Toc146616491 \h </w:instrText>
          </w:r>
          <w:r>
            <w:rPr>
              <w:rFonts w:hint="eastAsia" w:ascii="宋体" w:hAnsi="宋体" w:eastAsia="宋体"/>
              <w:sz w:val="24"/>
            </w:rPr>
            <w:fldChar w:fldCharType="separate"/>
          </w:r>
          <w:r>
            <w:rPr>
              <w:rFonts w:ascii="宋体" w:hAnsi="宋体" w:eastAsia="宋体"/>
              <w:sz w:val="24"/>
            </w:rPr>
            <w:t>7</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"_Toc146616492" </w:instrText>
          </w:r>
          <w:r>
            <w:fldChar w:fldCharType="separate"/>
          </w:r>
          <w:r>
            <w:rPr>
              <w:rStyle w:val="19"/>
              <w:rFonts w:hint="eastAsia" w:ascii="宋体" w:hAnsi="宋体" w:eastAsia="宋体"/>
              <w:sz w:val="24"/>
            </w:rPr>
            <w:t>六</w:t>
          </w:r>
          <w:r>
            <w:rPr>
              <w:rStyle w:val="19"/>
              <w:rFonts w:hint="eastAsia" w:ascii="宋体" w:hAnsi="宋体" w:eastAsia="宋体"/>
              <w:b/>
              <w:sz w:val="24"/>
            </w:rPr>
            <w:t>、一</w:t>
          </w:r>
          <w:r>
            <w:rPr>
              <w:rStyle w:val="19"/>
              <w:rFonts w:hint="eastAsia" w:ascii="宋体" w:hAnsi="宋体" w:eastAsia="宋体" w:cstheme="majorBidi"/>
              <w:bCs/>
              <w:sz w:val="24"/>
            </w:rPr>
            <w:t>般公共预算财政拨款基本支出决算情况说明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_Toc146616492 \h </w:instrText>
          </w:r>
          <w:r>
            <w:rPr>
              <w:rFonts w:hint="eastAsia" w:ascii="宋体" w:hAnsi="宋体" w:eastAsia="宋体"/>
              <w:sz w:val="24"/>
            </w:rPr>
            <w:fldChar w:fldCharType="separate"/>
          </w:r>
          <w:r>
            <w:rPr>
              <w:rFonts w:ascii="宋体" w:hAnsi="宋体" w:eastAsia="宋体"/>
              <w:sz w:val="24"/>
            </w:rPr>
            <w:t>9</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"_Toc146616493" </w:instrText>
          </w:r>
          <w:r>
            <w:fldChar w:fldCharType="separate"/>
          </w:r>
          <w:r>
            <w:rPr>
              <w:rStyle w:val="19"/>
              <w:rFonts w:hint="eastAsia" w:ascii="宋体" w:hAnsi="宋体" w:eastAsia="宋体"/>
              <w:sz w:val="24"/>
            </w:rPr>
            <w:t>七、</w:t>
          </w:r>
          <w:r>
            <w:rPr>
              <w:rStyle w:val="19"/>
              <w:rFonts w:hint="eastAsia" w:ascii="宋体" w:hAnsi="宋体" w:eastAsia="宋体" w:cstheme="majorBidi"/>
              <w:bCs/>
              <w:sz w:val="24"/>
            </w:rPr>
            <w:t>财政拨款</w:t>
          </w:r>
          <w:r>
            <w:rPr>
              <w:rStyle w:val="19"/>
              <w:rFonts w:hint="eastAsia" w:ascii="宋体" w:hAnsi="宋体" w:eastAsia="宋体" w:cstheme="majorBidi"/>
              <w:b/>
              <w:bCs/>
              <w:sz w:val="24"/>
            </w:rPr>
            <w:t>“</w:t>
          </w:r>
          <w:r>
            <w:rPr>
              <w:rStyle w:val="19"/>
              <w:rFonts w:hint="eastAsia" w:ascii="宋体" w:hAnsi="宋体" w:eastAsia="宋体" w:cstheme="majorBidi"/>
              <w:bCs/>
              <w:sz w:val="24"/>
            </w:rPr>
            <w:t>三公”经费支出决算情况说明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_Toc146616493 \h </w:instrText>
          </w:r>
          <w:r>
            <w:rPr>
              <w:rFonts w:hint="eastAsia" w:ascii="宋体" w:hAnsi="宋体" w:eastAsia="宋体"/>
              <w:sz w:val="24"/>
            </w:rPr>
            <w:fldChar w:fldCharType="separate"/>
          </w:r>
          <w:r>
            <w:rPr>
              <w:rFonts w:ascii="宋体" w:hAnsi="宋体" w:eastAsia="宋体"/>
              <w:sz w:val="24"/>
            </w:rPr>
            <w:t>10</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"_Toc146616494" </w:instrText>
          </w:r>
          <w:r>
            <w:fldChar w:fldCharType="separate"/>
          </w:r>
          <w:r>
            <w:rPr>
              <w:rStyle w:val="19"/>
              <w:rFonts w:hint="eastAsia" w:ascii="宋体" w:hAnsi="宋体" w:eastAsia="宋体"/>
              <w:sz w:val="24"/>
            </w:rPr>
            <w:t>（一）“三公”经费财政拨款支出决算总体情况说明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_Toc146616494 \h </w:instrText>
          </w:r>
          <w:r>
            <w:rPr>
              <w:rFonts w:hint="eastAsia" w:ascii="宋体" w:hAnsi="宋体" w:eastAsia="宋体"/>
              <w:sz w:val="24"/>
            </w:rPr>
            <w:fldChar w:fldCharType="separate"/>
          </w:r>
          <w:r>
            <w:rPr>
              <w:rFonts w:ascii="宋体" w:hAnsi="宋体" w:eastAsia="宋体"/>
              <w:sz w:val="24"/>
            </w:rPr>
            <w:t>10</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"_Toc146616495" </w:instrText>
          </w:r>
          <w:r>
            <w:fldChar w:fldCharType="separate"/>
          </w:r>
          <w:r>
            <w:rPr>
              <w:rStyle w:val="19"/>
              <w:rFonts w:hint="eastAsia" w:ascii="宋体" w:hAnsi="宋体" w:eastAsia="宋体"/>
              <w:sz w:val="24"/>
            </w:rPr>
            <w:t>（二）“三公”经费财政拨款支出决算具体情况说明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_Toc146616495 \h </w:instrText>
          </w:r>
          <w:r>
            <w:rPr>
              <w:rFonts w:hint="eastAsia" w:ascii="宋体" w:hAnsi="宋体" w:eastAsia="宋体"/>
              <w:sz w:val="24"/>
            </w:rPr>
            <w:fldChar w:fldCharType="separate"/>
          </w:r>
          <w:r>
            <w:rPr>
              <w:rFonts w:ascii="宋体" w:hAnsi="宋体" w:eastAsia="宋体"/>
              <w:sz w:val="24"/>
            </w:rPr>
            <w:t>10</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"_Toc146616496" </w:instrText>
          </w:r>
          <w:r>
            <w:fldChar w:fldCharType="separate"/>
          </w:r>
          <w:r>
            <w:rPr>
              <w:rStyle w:val="19"/>
              <w:rFonts w:hint="eastAsia" w:ascii="宋体" w:hAnsi="宋体" w:eastAsia="宋体"/>
              <w:sz w:val="24"/>
            </w:rPr>
            <w:t>八、</w:t>
          </w:r>
          <w:r>
            <w:rPr>
              <w:rStyle w:val="19"/>
              <w:rFonts w:hint="eastAsia" w:ascii="宋体" w:hAnsi="宋体" w:eastAsia="宋体" w:cstheme="majorBidi"/>
              <w:bCs/>
              <w:sz w:val="24"/>
            </w:rPr>
            <w:t>政府性基金预算支出决算情况说明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_Toc146616496 \h </w:instrText>
          </w:r>
          <w:r>
            <w:rPr>
              <w:rFonts w:hint="eastAsia" w:ascii="宋体" w:hAnsi="宋体" w:eastAsia="宋体"/>
              <w:sz w:val="24"/>
            </w:rPr>
            <w:fldChar w:fldCharType="separate"/>
          </w:r>
          <w:r>
            <w:rPr>
              <w:rFonts w:ascii="宋体" w:hAnsi="宋体" w:eastAsia="宋体"/>
              <w:sz w:val="24"/>
            </w:rPr>
            <w:t>11</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"_Toc146616497" </w:instrText>
          </w:r>
          <w:r>
            <w:fldChar w:fldCharType="separate"/>
          </w:r>
          <w:r>
            <w:rPr>
              <w:rStyle w:val="19"/>
              <w:rFonts w:hint="eastAsia" w:ascii="宋体" w:hAnsi="宋体" w:eastAsia="宋体" w:cstheme="majorBidi"/>
              <w:bCs/>
              <w:sz w:val="24"/>
            </w:rPr>
            <w:t>九、 国有资本经营预算支出决算情况说明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_Toc146616497 \h </w:instrText>
          </w:r>
          <w:r>
            <w:rPr>
              <w:rFonts w:hint="eastAsia" w:ascii="宋体" w:hAnsi="宋体" w:eastAsia="宋体"/>
              <w:sz w:val="24"/>
            </w:rPr>
            <w:fldChar w:fldCharType="separate"/>
          </w:r>
          <w:r>
            <w:rPr>
              <w:rFonts w:ascii="宋体" w:hAnsi="宋体" w:eastAsia="宋体"/>
              <w:sz w:val="24"/>
            </w:rPr>
            <w:t>11</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"_Toc146616498" </w:instrText>
          </w:r>
          <w:r>
            <w:fldChar w:fldCharType="separate"/>
          </w:r>
          <w:r>
            <w:rPr>
              <w:rStyle w:val="19"/>
              <w:rFonts w:hint="eastAsia" w:ascii="宋体" w:hAnsi="宋体" w:eastAsia="宋体" w:cstheme="majorBidi"/>
              <w:bCs/>
              <w:sz w:val="24"/>
            </w:rPr>
            <w:t>十、 其他重要事项的情况说明</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_Toc146616498 \h </w:instrText>
          </w:r>
          <w:r>
            <w:rPr>
              <w:rFonts w:hint="eastAsia" w:ascii="宋体" w:hAnsi="宋体" w:eastAsia="宋体"/>
              <w:sz w:val="24"/>
            </w:rPr>
            <w:fldChar w:fldCharType="separate"/>
          </w:r>
          <w:r>
            <w:rPr>
              <w:rFonts w:ascii="宋体" w:hAnsi="宋体" w:eastAsia="宋体"/>
              <w:sz w:val="24"/>
            </w:rPr>
            <w:t>12</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"_Toc146616499" </w:instrText>
          </w:r>
          <w:r>
            <w:fldChar w:fldCharType="separate"/>
          </w:r>
          <w:r>
            <w:rPr>
              <w:rStyle w:val="19"/>
              <w:rFonts w:hint="eastAsia" w:ascii="宋体" w:hAnsi="宋体" w:eastAsia="宋体"/>
              <w:sz w:val="24"/>
            </w:rPr>
            <w:t>（一）机关运行经费支出情况</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_Toc146616499 \h </w:instrText>
          </w:r>
          <w:r>
            <w:rPr>
              <w:rFonts w:hint="eastAsia" w:ascii="宋体" w:hAnsi="宋体" w:eastAsia="宋体"/>
              <w:sz w:val="24"/>
            </w:rPr>
            <w:fldChar w:fldCharType="separate"/>
          </w:r>
          <w:r>
            <w:rPr>
              <w:rFonts w:ascii="宋体" w:hAnsi="宋体" w:eastAsia="宋体"/>
              <w:sz w:val="24"/>
            </w:rPr>
            <w:t>12</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"_Toc146616500" </w:instrText>
          </w:r>
          <w:r>
            <w:fldChar w:fldCharType="separate"/>
          </w:r>
          <w:r>
            <w:rPr>
              <w:rStyle w:val="19"/>
              <w:rFonts w:hint="eastAsia" w:ascii="宋体" w:hAnsi="宋体" w:eastAsia="宋体"/>
              <w:sz w:val="24"/>
            </w:rPr>
            <w:t>（二）政府采购支出情况</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_Toc146616500 \h </w:instrText>
          </w:r>
          <w:r>
            <w:rPr>
              <w:rFonts w:hint="eastAsia" w:ascii="宋体" w:hAnsi="宋体" w:eastAsia="宋体"/>
              <w:sz w:val="24"/>
            </w:rPr>
            <w:fldChar w:fldCharType="separate"/>
          </w:r>
          <w:r>
            <w:rPr>
              <w:rFonts w:ascii="宋体" w:hAnsi="宋体" w:eastAsia="宋体"/>
              <w:sz w:val="24"/>
            </w:rPr>
            <w:t>12</w:t>
          </w:r>
          <w:r>
            <w:rPr>
              <w:rFonts w:hint="eastAsia" w:ascii="宋体" w:hAnsi="宋体" w:eastAsia="宋体"/>
              <w:sz w:val="24"/>
            </w:rPr>
            <w:fldChar w:fldCharType="end"/>
          </w:r>
          <w:r>
            <w:rPr>
              <w:rFonts w:hint="eastAsia" w:ascii="宋体" w:hAnsi="宋体" w:eastAsia="宋体"/>
              <w:sz w:val="24"/>
            </w:rPr>
            <w:fldChar w:fldCharType="end"/>
          </w:r>
        </w:p>
        <w:p>
          <w:pPr>
            <w:pStyle w:val="8"/>
            <w:spacing w:line="576" w:lineRule="exact"/>
            <w:ind w:left="1280"/>
            <w:rPr>
              <w:rFonts w:ascii="宋体" w:hAnsi="宋体" w:eastAsia="宋体" w:cstheme="minorBidi"/>
              <w:sz w:val="24"/>
            </w:rPr>
          </w:pPr>
          <w:r>
            <w:fldChar w:fldCharType="begin"/>
          </w:r>
          <w:r>
            <w:instrText xml:space="preserve"> HYPERLINK \l "_Toc146616501" </w:instrText>
          </w:r>
          <w:r>
            <w:fldChar w:fldCharType="separate"/>
          </w:r>
          <w:r>
            <w:rPr>
              <w:rStyle w:val="19"/>
              <w:rFonts w:hint="eastAsia" w:ascii="宋体" w:hAnsi="宋体" w:eastAsia="宋体"/>
              <w:sz w:val="24"/>
            </w:rPr>
            <w:t>（四）预算绩效管理情况</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_Toc146616501 \h </w:instrText>
          </w:r>
          <w:r>
            <w:rPr>
              <w:rFonts w:hint="eastAsia" w:ascii="宋体" w:hAnsi="宋体" w:eastAsia="宋体"/>
              <w:sz w:val="24"/>
            </w:rPr>
            <w:fldChar w:fldCharType="separate"/>
          </w:r>
          <w:r>
            <w:rPr>
              <w:rFonts w:ascii="宋体" w:hAnsi="宋体" w:eastAsia="宋体"/>
              <w:sz w:val="24"/>
            </w:rPr>
            <w:t>12</w:t>
          </w:r>
          <w:r>
            <w:rPr>
              <w:rFonts w:hint="eastAsia" w:ascii="宋体" w:hAnsi="宋体" w:eastAsia="宋体"/>
              <w:sz w:val="24"/>
            </w:rPr>
            <w:fldChar w:fldCharType="end"/>
          </w:r>
          <w:r>
            <w:rPr>
              <w:rFonts w:hint="eastAsia" w:ascii="宋体" w:hAnsi="宋体" w:eastAsia="宋体"/>
              <w:sz w:val="24"/>
            </w:rPr>
            <w:fldChar w:fldCharType="end"/>
          </w:r>
        </w:p>
        <w:p>
          <w:pPr>
            <w:pStyle w:val="12"/>
            <w:spacing w:line="576" w:lineRule="exact"/>
            <w:rPr>
              <w:rFonts w:ascii="仿宋_GB2312" w:hAnsi="宋体" w:eastAsia="仿宋_GB2312" w:cstheme="minorBidi"/>
              <w:sz w:val="24"/>
              <w:szCs w:val="24"/>
            </w:rPr>
          </w:pPr>
          <w:r>
            <w:fldChar w:fldCharType="begin"/>
          </w:r>
          <w:r>
            <w:instrText xml:space="preserve"> HYPERLINK \l "_Toc146616502" </w:instrText>
          </w:r>
          <w:r>
            <w:fldChar w:fldCharType="separate"/>
          </w:r>
          <w:r>
            <w:rPr>
              <w:rStyle w:val="19"/>
              <w:rFonts w:hint="eastAsia" w:ascii="仿宋_GB2312" w:hAnsi="宋体" w:eastAsia="仿宋_GB2312"/>
              <w:bCs/>
              <w:kern w:val="44"/>
              <w:sz w:val="24"/>
              <w:szCs w:val="24"/>
            </w:rPr>
            <w:t>第三部分</w:t>
          </w:r>
          <w:r>
            <w:rPr>
              <w:rStyle w:val="19"/>
              <w:rFonts w:hint="eastAsia" w:ascii="仿宋_GB2312" w:hAnsi="宋体" w:eastAsia="仿宋_GB2312"/>
              <w:sz w:val="24"/>
              <w:szCs w:val="24"/>
            </w:rPr>
            <w:t xml:space="preserve"> 名</w:t>
          </w:r>
          <w:r>
            <w:rPr>
              <w:rStyle w:val="19"/>
              <w:rFonts w:hint="eastAsia" w:ascii="仿宋_GB2312" w:hAnsi="宋体" w:eastAsia="仿宋_GB2312"/>
              <w:bCs/>
              <w:kern w:val="44"/>
              <w:sz w:val="24"/>
              <w:szCs w:val="24"/>
            </w:rPr>
            <w:t>词解释</w:t>
          </w:r>
          <w:r>
            <w:rPr>
              <w:rFonts w:hint="eastAsia" w:ascii="仿宋_GB2312" w:hAnsi="宋体" w:eastAsia="仿宋_GB2312"/>
              <w:sz w:val="24"/>
              <w:szCs w:val="24"/>
            </w:rPr>
            <w:tab/>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PAGEREF _Toc146616502 \h </w:instrText>
          </w:r>
          <w:r>
            <w:rPr>
              <w:rFonts w:hint="eastAsia" w:ascii="仿宋_GB2312" w:hAnsi="宋体" w:eastAsia="仿宋_GB2312"/>
              <w:sz w:val="24"/>
              <w:szCs w:val="24"/>
            </w:rPr>
            <w:fldChar w:fldCharType="separate"/>
          </w:r>
          <w:r>
            <w:rPr>
              <w:rFonts w:ascii="仿宋_GB2312" w:hAnsi="宋体" w:eastAsia="仿宋_GB2312"/>
              <w:sz w:val="24"/>
              <w:szCs w:val="24"/>
            </w:rPr>
            <w:t>14</w:t>
          </w:r>
          <w:r>
            <w:rPr>
              <w:rFonts w:hint="eastAsia" w:ascii="仿宋_GB2312" w:hAnsi="宋体" w:eastAsia="仿宋_GB2312"/>
              <w:sz w:val="24"/>
              <w:szCs w:val="24"/>
            </w:rPr>
            <w:fldChar w:fldCharType="end"/>
          </w:r>
          <w:r>
            <w:rPr>
              <w:rFonts w:hint="eastAsia" w:ascii="仿宋_GB2312" w:hAnsi="宋体" w:eastAsia="仿宋_GB2312"/>
              <w:sz w:val="24"/>
              <w:szCs w:val="24"/>
            </w:rPr>
            <w:fldChar w:fldCharType="end"/>
          </w:r>
        </w:p>
        <w:p>
          <w:pPr>
            <w:pStyle w:val="12"/>
            <w:spacing w:line="576" w:lineRule="exact"/>
            <w:rPr>
              <w:rFonts w:ascii="仿宋_GB2312" w:hAnsi="宋体" w:eastAsia="仿宋_GB2312" w:cstheme="minorBidi"/>
              <w:sz w:val="24"/>
              <w:szCs w:val="24"/>
            </w:rPr>
          </w:pPr>
          <w:r>
            <w:fldChar w:fldCharType="begin"/>
          </w:r>
          <w:r>
            <w:instrText xml:space="preserve"> HYPERLINK \l "_Toc146616503" </w:instrText>
          </w:r>
          <w:r>
            <w:fldChar w:fldCharType="separate"/>
          </w:r>
          <w:r>
            <w:rPr>
              <w:rStyle w:val="19"/>
              <w:rFonts w:hint="eastAsia" w:ascii="仿宋_GB2312" w:hAnsi="宋体" w:eastAsia="仿宋_GB2312"/>
              <w:sz w:val="24"/>
              <w:szCs w:val="24"/>
            </w:rPr>
            <w:t>第</w:t>
          </w:r>
          <w:r>
            <w:rPr>
              <w:rStyle w:val="19"/>
              <w:rFonts w:hint="eastAsia" w:ascii="仿宋_GB2312" w:hAnsi="宋体" w:eastAsia="仿宋_GB2312"/>
              <w:bCs/>
              <w:kern w:val="44"/>
              <w:sz w:val="24"/>
              <w:szCs w:val="24"/>
            </w:rPr>
            <w:t>四部分 附件</w:t>
          </w:r>
          <w:r>
            <w:rPr>
              <w:rFonts w:hint="eastAsia" w:ascii="仿宋_GB2312" w:hAnsi="宋体" w:eastAsia="仿宋_GB2312"/>
              <w:sz w:val="24"/>
              <w:szCs w:val="24"/>
            </w:rPr>
            <w:tab/>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PAGEREF _Toc146616503 \h </w:instrText>
          </w:r>
          <w:r>
            <w:rPr>
              <w:rFonts w:hint="eastAsia" w:ascii="仿宋_GB2312" w:hAnsi="宋体" w:eastAsia="仿宋_GB2312"/>
              <w:sz w:val="24"/>
              <w:szCs w:val="24"/>
            </w:rPr>
            <w:fldChar w:fldCharType="separate"/>
          </w:r>
          <w:r>
            <w:rPr>
              <w:rFonts w:ascii="仿宋_GB2312" w:hAnsi="宋体" w:eastAsia="仿宋_GB2312"/>
              <w:sz w:val="24"/>
              <w:szCs w:val="24"/>
            </w:rPr>
            <w:t>19</w:t>
          </w:r>
          <w:r>
            <w:rPr>
              <w:rFonts w:hint="eastAsia" w:ascii="仿宋_GB2312" w:hAnsi="宋体" w:eastAsia="仿宋_GB2312"/>
              <w:sz w:val="24"/>
              <w:szCs w:val="24"/>
            </w:rPr>
            <w:fldChar w:fldCharType="end"/>
          </w:r>
          <w:r>
            <w:rPr>
              <w:rFonts w:hint="eastAsia" w:ascii="仿宋_GB2312" w:hAnsi="宋体" w:eastAsia="仿宋_GB2312"/>
              <w:sz w:val="24"/>
              <w:szCs w:val="24"/>
            </w:rPr>
            <w:fldChar w:fldCharType="end"/>
          </w:r>
        </w:p>
        <w:p>
          <w:pPr>
            <w:pStyle w:val="12"/>
            <w:spacing w:line="576" w:lineRule="exact"/>
            <w:rPr>
              <w:rFonts w:ascii="仿宋_GB2312" w:hAnsi="宋体" w:eastAsia="仿宋_GB2312" w:cstheme="minorBidi"/>
              <w:sz w:val="24"/>
              <w:szCs w:val="24"/>
            </w:rPr>
          </w:pPr>
          <w:r>
            <w:fldChar w:fldCharType="begin"/>
          </w:r>
          <w:r>
            <w:instrText xml:space="preserve"> HYPERLINK \l "_Toc146616505" </w:instrText>
          </w:r>
          <w:r>
            <w:fldChar w:fldCharType="separate"/>
          </w:r>
          <w:r>
            <w:rPr>
              <w:rStyle w:val="19"/>
              <w:rFonts w:hint="eastAsia" w:ascii="仿宋_GB2312" w:hAnsi="宋体" w:eastAsia="仿宋_GB2312"/>
              <w:sz w:val="24"/>
              <w:szCs w:val="24"/>
            </w:rPr>
            <w:t>第</w:t>
          </w:r>
          <w:r>
            <w:rPr>
              <w:rStyle w:val="19"/>
              <w:rFonts w:hint="eastAsia" w:ascii="仿宋_GB2312" w:hAnsi="宋体" w:eastAsia="仿宋_GB2312"/>
              <w:bCs/>
              <w:kern w:val="44"/>
              <w:sz w:val="24"/>
              <w:szCs w:val="24"/>
            </w:rPr>
            <w:t>五部分 附表</w:t>
          </w:r>
          <w:r>
            <w:rPr>
              <w:rFonts w:hint="eastAsia" w:ascii="仿宋_GB2312" w:hAnsi="宋体" w:eastAsia="仿宋_GB2312"/>
              <w:sz w:val="24"/>
              <w:szCs w:val="24"/>
            </w:rPr>
            <w:tab/>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PAGEREF _Toc146616505 \h </w:instrText>
          </w:r>
          <w:r>
            <w:rPr>
              <w:rFonts w:hint="eastAsia" w:ascii="仿宋_GB2312" w:hAnsi="宋体" w:eastAsia="仿宋_GB2312"/>
              <w:sz w:val="24"/>
              <w:szCs w:val="24"/>
            </w:rPr>
            <w:fldChar w:fldCharType="separate"/>
          </w:r>
          <w:r>
            <w:rPr>
              <w:rFonts w:ascii="仿宋_GB2312" w:hAnsi="宋体" w:eastAsia="仿宋_GB2312"/>
              <w:sz w:val="24"/>
              <w:szCs w:val="24"/>
            </w:rPr>
            <w:t>114</w:t>
          </w:r>
          <w:r>
            <w:rPr>
              <w:rFonts w:hint="eastAsia" w:ascii="仿宋_GB2312" w:hAnsi="宋体" w:eastAsia="仿宋_GB2312"/>
              <w:sz w:val="24"/>
              <w:szCs w:val="24"/>
            </w:rPr>
            <w:fldChar w:fldCharType="end"/>
          </w:r>
          <w:r>
            <w:rPr>
              <w:rFonts w:hint="eastAsia" w:ascii="仿宋_GB2312" w:hAnsi="宋体" w:eastAsia="仿宋_GB2312"/>
              <w:sz w:val="24"/>
              <w:szCs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"_Toc146616506" </w:instrText>
          </w:r>
          <w:r>
            <w:fldChar w:fldCharType="separate"/>
          </w:r>
          <w:r>
            <w:rPr>
              <w:rStyle w:val="19"/>
              <w:rFonts w:hint="eastAsia" w:ascii="宋体" w:hAnsi="宋体" w:eastAsia="宋体"/>
              <w:sz w:val="24"/>
            </w:rPr>
            <w:t>一、收入支出决算总表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_Toc146616506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"_Toc146616507" </w:instrText>
          </w:r>
          <w:r>
            <w:fldChar w:fldCharType="separate"/>
          </w:r>
          <w:r>
            <w:rPr>
              <w:rStyle w:val="19"/>
              <w:rFonts w:hint="eastAsia" w:ascii="宋体" w:hAnsi="宋体" w:eastAsia="宋体"/>
              <w:sz w:val="24"/>
            </w:rPr>
            <w:t>二、收入决算表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_Toc146616507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"_Toc146616508" </w:instrText>
          </w:r>
          <w:r>
            <w:fldChar w:fldCharType="separate"/>
          </w:r>
          <w:r>
            <w:rPr>
              <w:rStyle w:val="19"/>
              <w:rFonts w:hint="eastAsia" w:ascii="宋体" w:hAnsi="宋体" w:eastAsia="宋体"/>
              <w:sz w:val="24"/>
            </w:rPr>
            <w:t>三、支出决算表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_Toc146616508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"_Toc146616509" </w:instrText>
          </w:r>
          <w:r>
            <w:fldChar w:fldCharType="separate"/>
          </w:r>
          <w:r>
            <w:rPr>
              <w:rStyle w:val="19"/>
              <w:rFonts w:hint="eastAsia" w:ascii="宋体" w:hAnsi="宋体" w:eastAsia="宋体"/>
              <w:sz w:val="24"/>
            </w:rPr>
            <w:t>四、财政拨款收入支出决算总表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_Toc146616509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"_Toc146616510" </w:instrText>
          </w:r>
          <w:r>
            <w:fldChar w:fldCharType="separate"/>
          </w:r>
          <w:r>
            <w:rPr>
              <w:rStyle w:val="19"/>
              <w:rFonts w:hint="eastAsia" w:ascii="宋体" w:hAnsi="宋体" w:eastAsia="宋体"/>
              <w:sz w:val="24"/>
            </w:rPr>
            <w:t>五、财政拨款支出决算明细表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_Toc146616510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"_Toc146616511" </w:instrText>
          </w:r>
          <w:r>
            <w:fldChar w:fldCharType="separate"/>
          </w:r>
          <w:r>
            <w:rPr>
              <w:rStyle w:val="19"/>
              <w:rFonts w:hint="eastAsia" w:ascii="宋体" w:hAnsi="宋体" w:eastAsia="宋体"/>
              <w:sz w:val="24"/>
            </w:rPr>
            <w:t>六、一般公共预算财政拨款支出决算表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_Toc146616511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"_Toc146616512" </w:instrText>
          </w:r>
          <w:r>
            <w:fldChar w:fldCharType="separate"/>
          </w:r>
          <w:r>
            <w:rPr>
              <w:rStyle w:val="19"/>
              <w:rFonts w:hint="eastAsia" w:ascii="宋体" w:hAnsi="宋体" w:eastAsia="宋体"/>
              <w:sz w:val="24"/>
            </w:rPr>
            <w:t>七、一般公共预算财政拨款支出决算明细表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_Toc146616512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"_Toc146616513" </w:instrText>
          </w:r>
          <w:r>
            <w:fldChar w:fldCharType="separate"/>
          </w:r>
          <w:r>
            <w:rPr>
              <w:rStyle w:val="19"/>
              <w:rFonts w:hint="eastAsia" w:ascii="宋体" w:hAnsi="宋体" w:eastAsia="宋体"/>
              <w:sz w:val="24"/>
            </w:rPr>
            <w:t>八、一般公共预算财政拨款基本支出决算表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_Toc146616513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"_Toc146616514" </w:instrText>
          </w:r>
          <w:r>
            <w:fldChar w:fldCharType="separate"/>
          </w:r>
          <w:r>
            <w:rPr>
              <w:rStyle w:val="19"/>
              <w:rFonts w:hint="eastAsia" w:ascii="宋体" w:hAnsi="宋体" w:eastAsia="宋体"/>
              <w:sz w:val="24"/>
            </w:rPr>
            <w:t>九、一般公共预算财政拨款项目支出决算表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_Toc146616514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"_Toc146616515" </w:instrText>
          </w:r>
          <w:r>
            <w:fldChar w:fldCharType="separate"/>
          </w:r>
          <w:r>
            <w:rPr>
              <w:rStyle w:val="19"/>
              <w:rFonts w:hint="eastAsia" w:ascii="宋体" w:hAnsi="宋体" w:eastAsia="宋体"/>
              <w:sz w:val="24"/>
            </w:rPr>
            <w:t>十、政府性基金预算财政拨款收入支出决算表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_Toc146616515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"_Toc146616516" </w:instrText>
          </w:r>
          <w:r>
            <w:fldChar w:fldCharType="separate"/>
          </w:r>
          <w:r>
            <w:rPr>
              <w:rStyle w:val="19"/>
              <w:rFonts w:hint="eastAsia" w:ascii="宋体" w:hAnsi="宋体" w:eastAsia="宋体"/>
              <w:sz w:val="24"/>
            </w:rPr>
            <w:t>十一、国有资本经营预算财政拨款收入支出决算表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_Toc146616516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宋体" w:hAnsi="宋体" w:eastAsia="宋体" w:cstheme="minorBidi"/>
              <w:sz w:val="24"/>
            </w:rPr>
          </w:pPr>
          <w:r>
            <w:fldChar w:fldCharType="begin"/>
          </w:r>
          <w:r>
            <w:instrText xml:space="preserve"> HYPERLINK \l "_Toc146616517" </w:instrText>
          </w:r>
          <w:r>
            <w:fldChar w:fldCharType="separate"/>
          </w:r>
          <w:r>
            <w:rPr>
              <w:rStyle w:val="19"/>
              <w:rFonts w:hint="eastAsia" w:ascii="宋体" w:hAnsi="宋体" w:eastAsia="宋体"/>
              <w:sz w:val="24"/>
            </w:rPr>
            <w:t>十二、国有资本经营预算财政拨款支出决算表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_Toc146616517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pStyle w:val="13"/>
            <w:spacing w:line="576" w:lineRule="exact"/>
            <w:ind w:left="640"/>
            <w:rPr>
              <w:rFonts w:ascii="仿宋_GB2312" w:hAnsiTheme="minorHAnsi" w:cstheme="minorBidi"/>
              <w:sz w:val="24"/>
            </w:rPr>
          </w:pPr>
          <w:r>
            <w:fldChar w:fldCharType="begin"/>
          </w:r>
          <w:r>
            <w:instrText xml:space="preserve"> HYPERLINK \l "_Toc146616518" </w:instrText>
          </w:r>
          <w:r>
            <w:fldChar w:fldCharType="separate"/>
          </w:r>
          <w:r>
            <w:rPr>
              <w:rStyle w:val="19"/>
              <w:rFonts w:hint="eastAsia" w:ascii="宋体" w:hAnsi="宋体" w:eastAsia="宋体"/>
              <w:sz w:val="24"/>
            </w:rPr>
            <w:t>十三、财政拨款“三公”经费支出决算表</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PAGEREF _Toc146616518 \h </w:instrText>
          </w:r>
          <w:r>
            <w:rPr>
              <w:rFonts w:hint="eastAsia" w:ascii="宋体" w:hAnsi="宋体" w:eastAsia="宋体"/>
              <w:sz w:val="24"/>
            </w:rPr>
            <w:fldChar w:fldCharType="separate"/>
          </w:r>
          <w:r>
            <w:rPr>
              <w:rFonts w:ascii="宋体" w:hAnsi="宋体" w:eastAsia="宋体"/>
              <w:sz w:val="24"/>
            </w:rPr>
            <w:t>114</w:t>
          </w:r>
          <w:r>
            <w:rPr>
              <w:rFonts w:hint="eastAsia" w:ascii="宋体" w:hAnsi="宋体" w:eastAsia="宋体"/>
              <w:sz w:val="24"/>
            </w:rPr>
            <w:fldChar w:fldCharType="end"/>
          </w:r>
          <w:r>
            <w:rPr>
              <w:rFonts w:hint="eastAsia" w:ascii="宋体" w:hAnsi="宋体" w:eastAsia="宋体"/>
              <w:sz w:val="24"/>
            </w:rPr>
            <w:fldChar w:fldCharType="end"/>
          </w:r>
        </w:p>
        <w:p>
          <w:pPr>
            <w:rPr>
              <w:rFonts w:ascii="仿宋_GB2312"/>
              <w:sz w:val="24"/>
            </w:rPr>
          </w:pPr>
          <w:r>
            <w:rPr>
              <w:rFonts w:hint="eastAsia" w:ascii="仿宋_GB2312"/>
              <w:b/>
              <w:bCs/>
              <w:sz w:val="24"/>
              <w:lang w:val="zh-CN"/>
            </w:rPr>
            <w:fldChar w:fldCharType="end"/>
          </w:r>
        </w:p>
      </w:sdtContent>
    </w:sdt>
    <w:p>
      <w:pPr>
        <w:spacing w:line="576" w:lineRule="exact"/>
      </w:pPr>
    </w:p>
    <w:p>
      <w:pPr>
        <w:pStyle w:val="3"/>
        <w:spacing w:line="576" w:lineRule="exact"/>
        <w:jc w:val="center"/>
        <w:rPr>
          <w:rFonts w:ascii="黑体" w:hAnsi="黑体" w:eastAsia="黑体"/>
          <w:b w:val="0"/>
        </w:rPr>
        <w:sectPr>
          <w:headerReference r:id="rId5" w:type="default"/>
          <w:pgSz w:w="11906" w:h="16838"/>
          <w:pgMar w:top="1440" w:right="1800" w:bottom="1440" w:left="1800" w:header="851" w:footer="992" w:gutter="0"/>
          <w:pgNumType w:start="1"/>
          <w:cols w:space="425" w:num="1"/>
          <w:titlePg/>
          <w:docGrid w:type="lines" w:linePitch="312" w:charSpace="0"/>
        </w:sectPr>
      </w:pPr>
      <w:bookmarkStart w:id="14" w:name="_Toc15377196"/>
      <w:bookmarkStart w:id="15" w:name="_Toc15396599"/>
      <w:bookmarkStart w:id="16" w:name="_Toc146616477"/>
    </w:p>
    <w:p>
      <w:pPr>
        <w:pStyle w:val="3"/>
        <w:spacing w:line="576" w:lineRule="exact"/>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bookmarkEnd w:id="16"/>
    </w:p>
    <w:p>
      <w:pPr>
        <w:widowControl/>
        <w:spacing w:line="576" w:lineRule="exact"/>
        <w:jc w:val="left"/>
        <w:rPr>
          <w:rFonts w:ascii="黑体" w:eastAsia="黑体"/>
          <w:szCs w:val="32"/>
        </w:rPr>
      </w:pPr>
    </w:p>
    <w:p>
      <w:pPr>
        <w:pStyle w:val="4"/>
        <w:spacing w:line="576" w:lineRule="exact"/>
        <w:ind w:firstLine="640" w:firstLineChars="200"/>
        <w:rPr>
          <w:rFonts w:ascii="黑体" w:hAnsi="黑体" w:eastAsia="黑体"/>
          <w:b w:val="0"/>
        </w:rPr>
      </w:pPr>
      <w:bookmarkStart w:id="17" w:name="_Toc15396600"/>
      <w:bookmarkStart w:id="18" w:name="_Toc15377197"/>
      <w:bookmarkStart w:id="19" w:name="_Toc146616478"/>
      <w:r>
        <w:rPr>
          <w:rFonts w:hint="eastAsia" w:ascii="黑体" w:hAnsi="黑体" w:eastAsia="黑体"/>
          <w:b w:val="0"/>
        </w:rPr>
        <w:t>一、</w:t>
      </w:r>
      <w:bookmarkEnd w:id="17"/>
      <w:bookmarkEnd w:id="18"/>
      <w:r>
        <w:rPr>
          <w:rFonts w:hint="eastAsia" w:ascii="黑体" w:hAnsi="黑体" w:eastAsia="黑体"/>
          <w:b w:val="0"/>
        </w:rPr>
        <w:t>部门职责</w:t>
      </w:r>
      <w:bookmarkEnd w:id="19"/>
    </w:p>
    <w:p>
      <w:pPr>
        <w:spacing w:line="576" w:lineRule="exact"/>
        <w:ind w:firstLine="640" w:firstLineChars="200"/>
        <w:rPr>
          <w:rFonts w:ascii="仿宋_GB2312" w:hAnsi="仿宋"/>
          <w:szCs w:val="32"/>
        </w:rPr>
      </w:pPr>
      <w:r>
        <w:rPr>
          <w:rFonts w:hint="eastAsia" w:ascii="仿宋_GB2312" w:hAnsi="仿宋"/>
          <w:szCs w:val="32"/>
        </w:rPr>
        <w:t>1.根据市政府授权,依照《中华人民共和国公司法》、《中华人民共和国企业国有资产法》等法律和行政法规履行出资人职责,监管市属企业的国有资产,加强国有资产的管理工作。</w:t>
      </w:r>
    </w:p>
    <w:p>
      <w:pPr>
        <w:spacing w:line="576" w:lineRule="exact"/>
        <w:ind w:firstLine="640" w:firstLineChars="200"/>
        <w:rPr>
          <w:rFonts w:ascii="仿宋_GB2312" w:hAnsi="仿宋"/>
          <w:szCs w:val="32"/>
        </w:rPr>
      </w:pPr>
      <w:r>
        <w:rPr>
          <w:rFonts w:hint="eastAsia" w:ascii="仿宋_GB2312" w:hAnsi="仿宋"/>
          <w:szCs w:val="32"/>
        </w:rPr>
        <w:t>2.研究拟订国有资产管理的办法和制度规定,依法对县区国有资产管理进行指导。</w:t>
      </w:r>
    </w:p>
    <w:p>
      <w:pPr>
        <w:spacing w:line="576" w:lineRule="exact"/>
        <w:ind w:firstLine="640" w:firstLineChars="200"/>
        <w:rPr>
          <w:rFonts w:ascii="仿宋_GB2312" w:hAnsi="仿宋"/>
          <w:szCs w:val="32"/>
        </w:rPr>
      </w:pPr>
      <w:r>
        <w:rPr>
          <w:rFonts w:hint="eastAsia" w:ascii="仿宋_GB2312" w:hAnsi="仿宋"/>
          <w:szCs w:val="32"/>
        </w:rPr>
        <w:t>3.承担监督所监管企业国有资产保值增值的责任,负责所监管企业工资总额管理工作,参与拟订所监管企业负责人收入分配政策并组织实施。</w:t>
      </w:r>
    </w:p>
    <w:p>
      <w:pPr>
        <w:spacing w:line="576" w:lineRule="exact"/>
        <w:ind w:firstLine="640" w:firstLineChars="200"/>
        <w:rPr>
          <w:rFonts w:ascii="仿宋_GB2312" w:hAnsi="仿宋"/>
          <w:szCs w:val="32"/>
        </w:rPr>
      </w:pPr>
      <w:r>
        <w:rPr>
          <w:rFonts w:hint="eastAsia" w:ascii="仿宋_GB2312" w:hAnsi="仿宋"/>
          <w:szCs w:val="32"/>
        </w:rPr>
        <w:t>4.指导推进国有企业改革重组和现代企业制度建设,完善公司法人治理结构,推动国有经济布局和结构的战略性调整。</w:t>
      </w:r>
    </w:p>
    <w:p>
      <w:pPr>
        <w:spacing w:line="576" w:lineRule="exact"/>
        <w:ind w:firstLine="640" w:firstLineChars="200"/>
        <w:rPr>
          <w:rFonts w:ascii="仿宋_GB2312" w:hAnsi="仿宋"/>
          <w:szCs w:val="32"/>
        </w:rPr>
      </w:pPr>
      <w:r>
        <w:rPr>
          <w:rFonts w:hint="eastAsia" w:ascii="仿宋_GB2312" w:hAnsi="仿宋"/>
          <w:szCs w:val="32"/>
        </w:rPr>
        <w:t>5.通过法定程序对所监管企业负责人进行任免、考核并根据其经营业绩进行奖惩；建立符合社会主义市场经济体制和现代企业制度要求的选人、用人机制,完善经营者激励和约束制度。</w:t>
      </w:r>
    </w:p>
    <w:p>
      <w:pPr>
        <w:spacing w:line="576" w:lineRule="exact"/>
        <w:ind w:firstLine="640" w:firstLineChars="200"/>
        <w:rPr>
          <w:rFonts w:ascii="仿宋_GB2312" w:hAnsi="仿宋"/>
          <w:szCs w:val="32"/>
        </w:rPr>
      </w:pPr>
      <w:r>
        <w:rPr>
          <w:rFonts w:hint="eastAsia" w:ascii="仿宋_GB2312" w:hAnsi="仿宋"/>
          <w:szCs w:val="32"/>
        </w:rPr>
        <w:t>6.编制国有资本经营预算和执行方案；监缴所监管企业国有资本收益和市级行政事业单位经营性资产收益。</w:t>
      </w:r>
    </w:p>
    <w:p>
      <w:pPr>
        <w:spacing w:line="576" w:lineRule="exact"/>
        <w:ind w:firstLine="640" w:firstLineChars="200"/>
        <w:rPr>
          <w:rFonts w:ascii="仿宋_GB2312" w:hAnsi="仿宋"/>
          <w:szCs w:val="32"/>
        </w:rPr>
      </w:pPr>
      <w:r>
        <w:rPr>
          <w:rFonts w:hint="eastAsia" w:ascii="仿宋_GB2312" w:hAnsi="仿宋"/>
          <w:szCs w:val="32"/>
        </w:rPr>
        <w:t>7.负责对国有企业及行政事业单位经营性国有资产实行监督管理,承担产权界定、清产核资、资产评估、资产处置等项工作,确保资产运行安全,提高使用效能。</w:t>
      </w:r>
    </w:p>
    <w:p>
      <w:pPr>
        <w:spacing w:line="576" w:lineRule="exact"/>
        <w:ind w:firstLine="640" w:firstLineChars="200"/>
        <w:rPr>
          <w:rFonts w:ascii="仿宋_GB2312" w:hAnsi="仿宋"/>
          <w:szCs w:val="32"/>
        </w:rPr>
      </w:pPr>
      <w:r>
        <w:rPr>
          <w:rFonts w:hint="eastAsia" w:ascii="仿宋_GB2312" w:hAnsi="仿宋"/>
          <w:szCs w:val="32"/>
        </w:rPr>
        <w:t>8.协调中央、省和外地在广国有企业改革发展中与地方相关的事宜。</w:t>
      </w:r>
    </w:p>
    <w:p>
      <w:pPr>
        <w:spacing w:line="576" w:lineRule="exact"/>
        <w:ind w:firstLine="640" w:firstLineChars="200"/>
        <w:rPr>
          <w:rFonts w:ascii="仿宋_GB2312" w:hAnsi="仿宋"/>
          <w:szCs w:val="32"/>
        </w:rPr>
      </w:pPr>
      <w:r>
        <w:rPr>
          <w:rFonts w:hint="eastAsia" w:ascii="仿宋_GB2312" w:hAnsi="仿宋"/>
          <w:szCs w:val="32"/>
        </w:rPr>
        <w:t>9.完成市委和市政府交办的其他任务。</w:t>
      </w:r>
    </w:p>
    <w:p>
      <w:pPr>
        <w:pStyle w:val="4"/>
        <w:spacing w:line="576" w:lineRule="exact"/>
        <w:ind w:firstLine="640" w:firstLineChars="200"/>
        <w:rPr>
          <w:rStyle w:val="31"/>
          <w:rFonts w:ascii="黑体" w:hAnsi="黑体" w:eastAsia="黑体"/>
          <w:b w:val="0"/>
          <w:bCs w:val="0"/>
        </w:rPr>
      </w:pPr>
      <w:bookmarkStart w:id="20" w:name="_Toc15396601"/>
      <w:bookmarkStart w:id="21" w:name="_Toc15377200"/>
      <w:bookmarkStart w:id="22" w:name="_Toc146616479"/>
      <w:r>
        <w:rPr>
          <w:rFonts w:hint="eastAsia" w:ascii="黑体" w:hAnsi="黑体" w:eastAsia="黑体"/>
          <w:b w:val="0"/>
        </w:rPr>
        <w:t>二、机</w:t>
      </w:r>
      <w:r>
        <w:rPr>
          <w:rStyle w:val="31"/>
          <w:rFonts w:hint="eastAsia" w:ascii="黑体" w:hAnsi="黑体" w:eastAsia="黑体"/>
          <w:b w:val="0"/>
          <w:bCs w:val="0"/>
        </w:rPr>
        <w:t>构设置</w:t>
      </w:r>
      <w:bookmarkEnd w:id="20"/>
      <w:bookmarkEnd w:id="21"/>
      <w:bookmarkEnd w:id="22"/>
    </w:p>
    <w:p>
      <w:pPr>
        <w:spacing w:line="576" w:lineRule="exact"/>
        <w:ind w:firstLine="640" w:firstLineChars="200"/>
        <w:rPr>
          <w:rFonts w:ascii="仿宋_GB2312" w:hAnsi="仿宋"/>
          <w:szCs w:val="32"/>
        </w:rPr>
      </w:pPr>
      <w:r>
        <w:rPr>
          <w:rFonts w:hint="eastAsia" w:ascii="仿宋_GB2312" w:hAnsi="仿宋"/>
          <w:szCs w:val="32"/>
        </w:rPr>
        <w:t>市国资委下属二级预算单位</w:t>
      </w:r>
      <w:r>
        <w:rPr>
          <w:rFonts w:hint="eastAsia" w:ascii="仿宋_GB2312" w:hAnsi="仿宋"/>
          <w:szCs w:val="32"/>
          <w:lang w:val="en-US" w:eastAsia="zh-CN"/>
        </w:rPr>
        <w:t>2</w:t>
      </w:r>
      <w:r>
        <w:rPr>
          <w:rFonts w:hint="eastAsia" w:ascii="仿宋_GB2312" w:hAnsi="仿宋"/>
          <w:szCs w:val="32"/>
        </w:rPr>
        <w:t>个，其中行政单位</w:t>
      </w:r>
      <w:r>
        <w:rPr>
          <w:rFonts w:hint="eastAsia" w:ascii="仿宋_GB2312" w:hAnsi="仿宋"/>
          <w:szCs w:val="32"/>
          <w:lang w:val="en-US" w:eastAsia="zh-CN"/>
        </w:rPr>
        <w:t>1</w:t>
      </w:r>
      <w:r>
        <w:rPr>
          <w:rFonts w:hint="eastAsia" w:ascii="仿宋_GB2312" w:hAnsi="仿宋"/>
          <w:szCs w:val="32"/>
        </w:rPr>
        <w:t>个，参照公务员法管理的事业单位</w:t>
      </w:r>
      <w:r>
        <w:rPr>
          <w:rFonts w:hint="eastAsia" w:ascii="仿宋_GB2312" w:hAnsi="仿宋"/>
          <w:bCs/>
          <w:szCs w:val="32"/>
        </w:rPr>
        <w:t>0</w:t>
      </w:r>
      <w:r>
        <w:rPr>
          <w:rFonts w:hint="eastAsia" w:ascii="仿宋_GB2312" w:hAnsi="仿宋"/>
          <w:szCs w:val="32"/>
        </w:rPr>
        <w:t>个，其他事业单位1个。</w:t>
      </w:r>
    </w:p>
    <w:p>
      <w:pPr>
        <w:pStyle w:val="2"/>
        <w:adjustRightInd w:val="0"/>
        <w:snapToGrid w:val="0"/>
        <w:spacing w:before="93" w:line="576" w:lineRule="exact"/>
        <w:ind w:firstLine="672" w:firstLineChars="210"/>
        <w:rPr>
          <w:rFonts w:hAnsi="仿宋"/>
          <w:sz w:val="32"/>
          <w:szCs w:val="32"/>
        </w:rPr>
      </w:pPr>
      <w:r>
        <w:rPr>
          <w:rFonts w:hint="eastAsia" w:hAnsi="仿宋"/>
          <w:sz w:val="32"/>
          <w:szCs w:val="32"/>
        </w:rPr>
        <w:t>纳入市国资委2022年度部门决算编制范围的二级预算单位包括：</w:t>
      </w:r>
    </w:p>
    <w:p>
      <w:pPr>
        <w:pStyle w:val="2"/>
        <w:numPr>
          <w:ilvl w:val="0"/>
          <w:numId w:val="1"/>
        </w:numPr>
        <w:adjustRightInd w:val="0"/>
        <w:snapToGrid w:val="0"/>
        <w:spacing w:before="93" w:line="576" w:lineRule="exact"/>
        <w:outlineLvl w:val="2"/>
        <w:rPr>
          <w:rFonts w:hAnsi="仿宋"/>
          <w:sz w:val="32"/>
          <w:szCs w:val="32"/>
        </w:rPr>
      </w:pPr>
      <w:bookmarkStart w:id="23" w:name="_Toc146616481"/>
      <w:r>
        <w:rPr>
          <w:rFonts w:hint="eastAsia" w:hAnsi="仿宋"/>
          <w:sz w:val="32"/>
          <w:szCs w:val="32"/>
        </w:rPr>
        <w:t>广元市国资国企服务中心</w:t>
      </w:r>
      <w:bookmarkEnd w:id="23"/>
    </w:p>
    <w:p>
      <w:pPr>
        <w:spacing w:line="576" w:lineRule="exact"/>
        <w:ind w:firstLine="640" w:firstLineChars="200"/>
        <w:rPr>
          <w:rFonts w:hint="default" w:ascii="仿宋_GB2312" w:hAnsi="仿宋" w:eastAsia="仿宋_GB2312"/>
          <w:szCs w:val="32"/>
          <w:lang w:val="en-US" w:eastAsia="zh-CN"/>
        </w:rPr>
      </w:pPr>
      <w:r>
        <w:rPr>
          <w:rFonts w:hint="eastAsia" w:ascii="仿宋_GB2312" w:hAnsi="仿宋"/>
          <w:szCs w:val="32"/>
          <w:lang w:val="en-US" w:eastAsia="zh-CN"/>
        </w:rPr>
        <w:t>2.</w:t>
      </w:r>
      <w:r>
        <w:rPr>
          <w:rFonts w:hint="eastAsia" w:ascii="仿宋_GB2312" w:hAnsi="仿宋"/>
          <w:szCs w:val="32"/>
        </w:rPr>
        <w:t>广元市政府国有资产监督管理委员</w:t>
      </w:r>
      <w:r>
        <w:rPr>
          <w:rFonts w:hint="eastAsia" w:ascii="仿宋_GB2312" w:hAnsi="仿宋"/>
          <w:szCs w:val="32"/>
          <w:lang w:eastAsia="zh-CN"/>
        </w:rPr>
        <w:t>（</w:t>
      </w:r>
      <w:r>
        <w:rPr>
          <w:rFonts w:hint="eastAsia" w:ascii="仿宋_GB2312" w:hAnsi="仿宋"/>
          <w:szCs w:val="32"/>
          <w:lang w:val="en-US" w:eastAsia="zh-CN"/>
        </w:rPr>
        <w:t>本级）</w:t>
      </w:r>
    </w:p>
    <w:p>
      <w:pPr>
        <w:widowControl/>
        <w:spacing w:line="576" w:lineRule="exact"/>
        <w:jc w:val="left"/>
        <w:rPr>
          <w:rFonts w:ascii="仿宋" w:hAnsi="仿宋" w:eastAsia="仿宋"/>
          <w:kern w:val="0"/>
          <w:szCs w:val="32"/>
        </w:rPr>
      </w:pPr>
      <w:r>
        <w:rPr>
          <w:rFonts w:ascii="仿宋" w:hAnsi="仿宋" w:eastAsia="仿宋"/>
          <w:szCs w:val="32"/>
        </w:rPr>
        <w:br w:type="page"/>
      </w:r>
    </w:p>
    <w:p>
      <w:pPr>
        <w:pStyle w:val="3"/>
        <w:spacing w:line="576" w:lineRule="exact"/>
        <w:ind w:right="440"/>
        <w:jc w:val="center"/>
        <w:rPr>
          <w:rStyle w:val="30"/>
          <w:rFonts w:ascii="黑体" w:hAnsi="黑体" w:eastAsia="黑体"/>
          <w:b w:val="0"/>
          <w:bCs/>
        </w:rPr>
      </w:pPr>
      <w:bookmarkStart w:id="24" w:name="_Toc15377204"/>
      <w:bookmarkStart w:id="25" w:name="_Toc15396602"/>
      <w:bookmarkStart w:id="26" w:name="_Toc146616482"/>
      <w:r>
        <w:rPr>
          <w:rFonts w:hint="eastAsia" w:ascii="黑体" w:hAnsi="黑体" w:eastAsia="黑体"/>
          <w:b w:val="0"/>
        </w:rPr>
        <w:t>第二部分 2022年度</w:t>
      </w:r>
      <w:r>
        <w:rPr>
          <w:rStyle w:val="30"/>
          <w:rFonts w:hint="eastAsia" w:ascii="黑体" w:hAnsi="黑体" w:eastAsia="黑体"/>
          <w:b w:val="0"/>
          <w:bCs/>
        </w:rPr>
        <w:t>部门决算情况说明</w:t>
      </w:r>
      <w:bookmarkEnd w:id="24"/>
      <w:bookmarkEnd w:id="25"/>
      <w:bookmarkEnd w:id="26"/>
    </w:p>
    <w:p>
      <w:pPr>
        <w:spacing w:line="576" w:lineRule="exact"/>
      </w:pPr>
    </w:p>
    <w:p>
      <w:pPr>
        <w:pStyle w:val="29"/>
        <w:numPr>
          <w:ilvl w:val="0"/>
          <w:numId w:val="2"/>
        </w:numPr>
        <w:spacing w:line="576" w:lineRule="exact"/>
        <w:ind w:firstLineChars="0"/>
        <w:outlineLvl w:val="1"/>
        <w:rPr>
          <w:rStyle w:val="31"/>
          <w:rFonts w:ascii="黑体" w:hAnsi="黑体" w:eastAsia="黑体"/>
          <w:b w:val="0"/>
        </w:rPr>
      </w:pPr>
      <w:bookmarkStart w:id="27" w:name="_Toc15396603"/>
      <w:bookmarkStart w:id="28" w:name="_Toc15377205"/>
      <w:bookmarkStart w:id="29" w:name="_Toc146616483"/>
      <w:r>
        <w:rPr>
          <w:rFonts w:hint="eastAsia" w:ascii="黑体" w:hAnsi="黑体" w:eastAsia="黑体"/>
          <w:szCs w:val="32"/>
        </w:rPr>
        <w:t>收</w:t>
      </w:r>
      <w:r>
        <w:rPr>
          <w:rStyle w:val="31"/>
          <w:rFonts w:hint="eastAsia" w:ascii="黑体" w:hAnsi="黑体" w:eastAsia="黑体"/>
          <w:b w:val="0"/>
        </w:rPr>
        <w:t>入支出决算总体情况说明</w:t>
      </w:r>
      <w:bookmarkEnd w:id="27"/>
      <w:bookmarkEnd w:id="28"/>
      <w:bookmarkEnd w:id="29"/>
    </w:p>
    <w:p>
      <w:pPr>
        <w:spacing w:line="576" w:lineRule="exact"/>
        <w:ind w:firstLine="640" w:firstLineChars="200"/>
        <w:rPr>
          <w:rFonts w:ascii="仿宋" w:hAnsi="仿宋" w:eastAsia="仿宋"/>
          <w:szCs w:val="32"/>
        </w:rPr>
      </w:pPr>
      <w:r>
        <w:rPr>
          <w:rFonts w:hint="eastAsia"/>
        </w:rPr>
        <w:drawing>
          <wp:anchor distT="0" distB="0" distL="114300" distR="114300" simplePos="0" relativeHeight="251665408" behindDoc="0" locked="0" layoutInCell="1" allowOverlap="1">
            <wp:simplePos x="0" y="0"/>
            <wp:positionH relativeFrom="margin">
              <wp:align>left</wp:align>
            </wp:positionH>
            <wp:positionV relativeFrom="paragraph">
              <wp:posOffset>1264920</wp:posOffset>
            </wp:positionV>
            <wp:extent cx="5318125" cy="2505710"/>
            <wp:effectExtent l="0" t="0" r="15875"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Cs w:val="32"/>
        </w:rPr>
        <w:t>2022年度收、支总计</w:t>
      </w:r>
      <w:r>
        <w:rPr>
          <w:rFonts w:ascii="仿宋" w:hAnsi="仿宋" w:eastAsia="仿宋"/>
          <w:szCs w:val="32"/>
        </w:rPr>
        <w:t>38516.70</w:t>
      </w:r>
      <w:r>
        <w:rPr>
          <w:rFonts w:hint="eastAsia" w:ascii="仿宋" w:hAnsi="仿宋" w:eastAsia="仿宋"/>
          <w:szCs w:val="32"/>
        </w:rPr>
        <w:t>万元。与2021年相比，收、支总计各减少1</w:t>
      </w:r>
      <w:r>
        <w:rPr>
          <w:rFonts w:ascii="仿宋" w:hAnsi="仿宋" w:eastAsia="仿宋"/>
          <w:szCs w:val="32"/>
        </w:rPr>
        <w:t>6224.13</w:t>
      </w:r>
      <w:r>
        <w:rPr>
          <w:rFonts w:hint="eastAsia" w:ascii="仿宋" w:hAnsi="仿宋" w:eastAsia="仿宋"/>
          <w:szCs w:val="32"/>
        </w:rPr>
        <w:t>万元，下降</w:t>
      </w:r>
      <w:r>
        <w:rPr>
          <w:rFonts w:ascii="仿宋" w:hAnsi="仿宋" w:eastAsia="仿宋"/>
          <w:szCs w:val="32"/>
        </w:rPr>
        <w:t>29.64%</w:t>
      </w:r>
      <w:r>
        <w:rPr>
          <w:rFonts w:hint="eastAsia" w:ascii="仿宋" w:hAnsi="仿宋" w:eastAsia="仿宋"/>
          <w:szCs w:val="32"/>
        </w:rPr>
        <w:t>。主要变动原因是企业转拨款项目经费收支减少。</w:t>
      </w:r>
    </w:p>
    <w:p>
      <w:pPr>
        <w:spacing w:line="576" w:lineRule="exact"/>
        <w:jc w:val="center"/>
        <w:rPr>
          <w:rFonts w:ascii="仿宋" w:hAnsi="仿宋" w:eastAsia="仿宋"/>
          <w:szCs w:val="32"/>
        </w:rPr>
      </w:pPr>
      <w:r>
        <w:rPr>
          <w:rFonts w:hint="eastAsia" w:ascii="仿宋" w:hAnsi="仿宋" w:eastAsia="仿宋"/>
          <w:szCs w:val="32"/>
        </w:rPr>
        <w:t>（图</w:t>
      </w:r>
      <w:r>
        <w:rPr>
          <w:rFonts w:ascii="仿宋" w:hAnsi="仿宋" w:eastAsia="仿宋"/>
          <w:szCs w:val="32"/>
        </w:rPr>
        <w:t>1</w:t>
      </w:r>
      <w:r>
        <w:rPr>
          <w:rFonts w:hint="eastAsia" w:ascii="仿宋" w:hAnsi="仿宋" w:eastAsia="仿宋"/>
          <w:szCs w:val="32"/>
        </w:rPr>
        <w:t>：收、支决算总计变动情况图）</w:t>
      </w:r>
    </w:p>
    <w:p>
      <w:pPr>
        <w:pStyle w:val="29"/>
        <w:numPr>
          <w:ilvl w:val="0"/>
          <w:numId w:val="2"/>
        </w:numPr>
        <w:spacing w:line="576" w:lineRule="exact"/>
        <w:ind w:firstLineChars="0"/>
        <w:outlineLvl w:val="1"/>
        <w:rPr>
          <w:rStyle w:val="31"/>
          <w:rFonts w:ascii="黑体" w:hAnsi="黑体" w:eastAsia="黑体"/>
          <w:b w:val="0"/>
        </w:rPr>
      </w:pPr>
      <w:bookmarkStart w:id="30" w:name="_Toc15396604"/>
      <w:bookmarkStart w:id="31" w:name="_Toc146616484"/>
      <w:bookmarkStart w:id="32" w:name="_Toc15377206"/>
      <w:r>
        <w:rPr>
          <w:rFonts w:hint="eastAsia" w:ascii="黑体" w:hAnsi="黑体" w:eastAsia="黑体"/>
          <w:szCs w:val="32"/>
        </w:rPr>
        <w:t>收</w:t>
      </w:r>
      <w:r>
        <w:rPr>
          <w:rStyle w:val="31"/>
          <w:rFonts w:hint="eastAsia" w:ascii="黑体" w:hAnsi="黑体" w:eastAsia="黑体"/>
          <w:b w:val="0"/>
        </w:rPr>
        <w:t>入决算情况说明</w:t>
      </w:r>
      <w:bookmarkEnd w:id="30"/>
      <w:bookmarkEnd w:id="31"/>
      <w:bookmarkEnd w:id="32"/>
    </w:p>
    <w:p>
      <w:pPr>
        <w:ind w:firstLine="640" w:firstLineChars="200"/>
        <w:rPr>
          <w:rFonts w:ascii="仿宋_GB2312"/>
          <w:szCs w:val="32"/>
        </w:rPr>
      </w:pPr>
      <w:r>
        <w:rPr>
          <w:rFonts w:hint="eastAsia" w:ascii="仿宋_GB2312"/>
          <w:szCs w:val="32"/>
        </w:rPr>
        <w:t>2022年本年收入合计37710.48万元，其中：一般公共预算财政拨款收入4066.16万元，占10.78%；政府性基金预算财政拨款收入33644.29万元，占89.21%；其他收入0.03万元，占0.01%。</w:t>
      </w:r>
    </w:p>
    <w:p>
      <w:pPr>
        <w:rPr>
          <w:rFonts w:ascii="仿宋_GB2312"/>
          <w:szCs w:val="32"/>
        </w:rPr>
      </w:pPr>
    </w:p>
    <w:p>
      <w:pPr>
        <w:rPr>
          <w:rFonts w:ascii="仿宋_GB2312"/>
          <w:szCs w:val="32"/>
        </w:rPr>
      </w:pPr>
    </w:p>
    <w:p>
      <w:pPr>
        <w:jc w:val="center"/>
        <w:rPr>
          <w:rFonts w:ascii="仿宋_GB2312"/>
          <w:szCs w:val="32"/>
        </w:rPr>
      </w:pPr>
      <w:r>
        <w:rPr>
          <w:rFonts w:hint="eastAsia" w:ascii="仿宋_GB2312"/>
          <w:szCs w:val="32"/>
        </w:rPr>
        <w:drawing>
          <wp:anchor distT="0" distB="0" distL="114300" distR="114300" simplePos="0" relativeHeight="251660288" behindDoc="0" locked="0" layoutInCell="1" allowOverlap="1">
            <wp:simplePos x="0" y="0"/>
            <wp:positionH relativeFrom="column">
              <wp:posOffset>34290</wp:posOffset>
            </wp:positionH>
            <wp:positionV relativeFrom="paragraph">
              <wp:posOffset>30480</wp:posOffset>
            </wp:positionV>
            <wp:extent cx="5274310" cy="3076575"/>
            <wp:effectExtent l="0" t="0" r="254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szCs w:val="32"/>
        </w:rPr>
        <w:t>（图2：收入决算结构图）</w:t>
      </w:r>
    </w:p>
    <w:p>
      <w:pPr>
        <w:pStyle w:val="29"/>
        <w:numPr>
          <w:ilvl w:val="0"/>
          <w:numId w:val="2"/>
        </w:numPr>
        <w:spacing w:line="576" w:lineRule="exact"/>
        <w:ind w:firstLineChars="0"/>
        <w:outlineLvl w:val="1"/>
        <w:rPr>
          <w:rStyle w:val="31"/>
          <w:rFonts w:ascii="黑体" w:hAnsi="黑体" w:eastAsia="黑体"/>
          <w:b w:val="0"/>
        </w:rPr>
      </w:pPr>
      <w:bookmarkStart w:id="33" w:name="_Toc15377207"/>
      <w:bookmarkStart w:id="34" w:name="_Toc146616485"/>
      <w:bookmarkStart w:id="35" w:name="_Toc15396605"/>
      <w:r>
        <w:rPr>
          <w:rFonts w:hint="eastAsia" w:ascii="黑体" w:hAnsi="黑体" w:eastAsia="黑体"/>
          <w:szCs w:val="32"/>
        </w:rPr>
        <w:t>支</w:t>
      </w:r>
      <w:r>
        <w:rPr>
          <w:rStyle w:val="31"/>
          <w:rFonts w:hint="eastAsia" w:ascii="黑体" w:hAnsi="黑体" w:eastAsia="黑体"/>
          <w:b w:val="0"/>
        </w:rPr>
        <w:t>出决算情况说明</w:t>
      </w:r>
      <w:bookmarkEnd w:id="33"/>
      <w:bookmarkEnd w:id="34"/>
      <w:bookmarkEnd w:id="35"/>
    </w:p>
    <w:p>
      <w:pPr>
        <w:spacing w:line="576" w:lineRule="exact"/>
        <w:ind w:firstLine="640" w:firstLineChars="200"/>
        <w:outlineLvl w:val="1"/>
        <w:rPr>
          <w:rFonts w:ascii="仿宋" w:hAnsi="仿宋" w:eastAsia="仿宋"/>
          <w:szCs w:val="32"/>
        </w:rPr>
      </w:pPr>
      <w:bookmarkStart w:id="36" w:name="_Toc146616486"/>
      <w:r>
        <w:rPr>
          <w:rFonts w:hint="eastAsia"/>
        </w:rPr>
        <w:drawing>
          <wp:anchor distT="0" distB="0" distL="114300" distR="114300" simplePos="0" relativeHeight="251664384" behindDoc="0" locked="0" layoutInCell="1" allowOverlap="1">
            <wp:simplePos x="0" y="0"/>
            <wp:positionH relativeFrom="margin">
              <wp:align>right</wp:align>
            </wp:positionH>
            <wp:positionV relativeFrom="paragraph">
              <wp:posOffset>807720</wp:posOffset>
            </wp:positionV>
            <wp:extent cx="5274310" cy="3076575"/>
            <wp:effectExtent l="0" t="0" r="254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Cs w:val="32"/>
        </w:rPr>
        <w:t>20</w:t>
      </w:r>
      <w:r>
        <w:rPr>
          <w:rFonts w:hint="eastAsia" w:ascii="仿宋" w:hAnsi="仿宋" w:eastAsia="仿宋"/>
          <w:szCs w:val="32"/>
        </w:rPr>
        <w:t>22年本年支出合计3</w:t>
      </w:r>
      <w:r>
        <w:rPr>
          <w:rFonts w:ascii="仿宋" w:hAnsi="仿宋" w:eastAsia="仿宋"/>
          <w:szCs w:val="32"/>
        </w:rPr>
        <w:t>8479.38</w:t>
      </w:r>
      <w:r>
        <w:rPr>
          <w:rFonts w:hint="eastAsia" w:ascii="仿宋" w:hAnsi="仿宋" w:eastAsia="仿宋"/>
          <w:szCs w:val="32"/>
        </w:rPr>
        <w:t>万元，其中：基本支出</w:t>
      </w:r>
      <w:r>
        <w:rPr>
          <w:rFonts w:ascii="仿宋" w:hAnsi="仿宋" w:eastAsia="仿宋"/>
          <w:szCs w:val="32"/>
        </w:rPr>
        <w:t>1150.62</w:t>
      </w:r>
      <w:r>
        <w:rPr>
          <w:rFonts w:hint="eastAsia" w:ascii="仿宋" w:hAnsi="仿宋" w:eastAsia="仿宋"/>
          <w:szCs w:val="32"/>
        </w:rPr>
        <w:t>万元，占</w:t>
      </w:r>
      <w:r>
        <w:rPr>
          <w:rFonts w:ascii="仿宋" w:hAnsi="仿宋" w:eastAsia="仿宋"/>
          <w:szCs w:val="32"/>
        </w:rPr>
        <w:t>2.99%</w:t>
      </w:r>
      <w:r>
        <w:rPr>
          <w:rFonts w:hint="eastAsia" w:ascii="仿宋" w:hAnsi="仿宋" w:eastAsia="仿宋"/>
          <w:szCs w:val="32"/>
        </w:rPr>
        <w:t>；项目支出3</w:t>
      </w:r>
      <w:r>
        <w:rPr>
          <w:rFonts w:ascii="仿宋" w:hAnsi="仿宋" w:eastAsia="仿宋"/>
          <w:szCs w:val="32"/>
        </w:rPr>
        <w:t>7328.77</w:t>
      </w:r>
      <w:r>
        <w:rPr>
          <w:rFonts w:hint="eastAsia" w:ascii="仿宋" w:hAnsi="仿宋" w:eastAsia="仿宋"/>
          <w:szCs w:val="32"/>
        </w:rPr>
        <w:t>万元，占</w:t>
      </w:r>
      <w:r>
        <w:rPr>
          <w:rFonts w:ascii="仿宋" w:hAnsi="仿宋" w:eastAsia="仿宋"/>
          <w:szCs w:val="32"/>
        </w:rPr>
        <w:t>97.01%</w:t>
      </w:r>
      <w:r>
        <w:rPr>
          <w:rFonts w:hint="eastAsia" w:ascii="仿宋" w:hAnsi="仿宋" w:eastAsia="仿宋"/>
          <w:szCs w:val="32"/>
        </w:rPr>
        <w:t>。</w:t>
      </w:r>
      <w:bookmarkEnd w:id="36"/>
    </w:p>
    <w:p>
      <w:pPr>
        <w:spacing w:line="576" w:lineRule="exact"/>
        <w:ind w:firstLine="640" w:firstLineChars="200"/>
        <w:jc w:val="center"/>
        <w:rPr>
          <w:rFonts w:ascii="仿宋" w:hAnsi="仿宋" w:eastAsia="仿宋"/>
          <w:szCs w:val="32"/>
        </w:rPr>
      </w:pPr>
      <w:r>
        <w:rPr>
          <w:rFonts w:hint="eastAsia" w:ascii="仿宋" w:hAnsi="仿宋" w:eastAsia="仿宋"/>
          <w:szCs w:val="32"/>
        </w:rPr>
        <w:t>（图3：支出决算结构图）</w:t>
      </w:r>
    </w:p>
    <w:p>
      <w:pPr>
        <w:spacing w:line="576" w:lineRule="exact"/>
        <w:ind w:firstLine="640" w:firstLineChars="200"/>
        <w:outlineLvl w:val="1"/>
        <w:rPr>
          <w:rStyle w:val="31"/>
          <w:rFonts w:ascii="黑体" w:hAnsi="黑体" w:eastAsia="黑体"/>
          <w:b w:val="0"/>
        </w:rPr>
      </w:pPr>
      <w:bookmarkStart w:id="37" w:name="_Toc15377208"/>
      <w:bookmarkStart w:id="38" w:name="_Toc15396606"/>
      <w:bookmarkStart w:id="39" w:name="_Toc146616487"/>
      <w:r>
        <w:rPr>
          <w:rFonts w:hint="eastAsia" w:ascii="黑体" w:hAnsi="黑体" w:eastAsia="黑体"/>
          <w:szCs w:val="32"/>
        </w:rPr>
        <w:t>四、财</w:t>
      </w:r>
      <w:r>
        <w:rPr>
          <w:rStyle w:val="31"/>
          <w:rFonts w:hint="eastAsia" w:ascii="黑体" w:hAnsi="黑体" w:eastAsia="黑体"/>
          <w:b w:val="0"/>
        </w:rPr>
        <w:t>政拨款收入支出决算总体情况说明</w:t>
      </w:r>
      <w:bookmarkEnd w:id="37"/>
      <w:bookmarkEnd w:id="38"/>
      <w:bookmarkEnd w:id="39"/>
    </w:p>
    <w:p>
      <w:pPr>
        <w:spacing w:line="576" w:lineRule="exact"/>
        <w:ind w:firstLine="640"/>
        <w:rPr>
          <w:rFonts w:ascii="仿宋_GB2312" w:hAnsi="仿宋"/>
          <w:szCs w:val="32"/>
        </w:rPr>
      </w:pPr>
      <w:r>
        <w:rPr>
          <w:rFonts w:ascii="仿宋" w:hAnsi="仿宋" w:eastAsia="仿宋"/>
          <w:szCs w:val="32"/>
        </w:rPr>
        <w:drawing>
          <wp:anchor distT="0" distB="0" distL="114300" distR="114300" simplePos="0" relativeHeight="251661312" behindDoc="0" locked="0" layoutInCell="1" allowOverlap="1">
            <wp:simplePos x="0" y="0"/>
            <wp:positionH relativeFrom="margin">
              <wp:posOffset>432435</wp:posOffset>
            </wp:positionH>
            <wp:positionV relativeFrom="paragraph">
              <wp:posOffset>1159510</wp:posOffset>
            </wp:positionV>
            <wp:extent cx="4421505" cy="2456180"/>
            <wp:effectExtent l="0" t="0" r="17145" b="12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
          <w:szCs w:val="32"/>
        </w:rPr>
        <w:t>2022年财政拨款收、支总计38516.66万元。与2021年相比，财政拨款收、支总计各减少16224.19万元，下降70.36%。主要变动原因是企业转拨款项目收支减少。</w:t>
      </w:r>
    </w:p>
    <w:p>
      <w:pPr>
        <w:spacing w:line="576" w:lineRule="exact"/>
        <w:ind w:firstLine="640" w:firstLineChars="200"/>
        <w:rPr>
          <w:rFonts w:ascii="仿宋_GB2312" w:hAnsi="仿宋"/>
          <w:szCs w:val="32"/>
        </w:rPr>
      </w:pPr>
      <w:r>
        <w:rPr>
          <w:rFonts w:hint="eastAsia" w:ascii="仿宋_GB2312" w:hAnsi="仿宋"/>
          <w:szCs w:val="32"/>
        </w:rPr>
        <w:t>（图4：财政拨款收、支决算总计变动情况）</w:t>
      </w:r>
    </w:p>
    <w:p>
      <w:pPr>
        <w:spacing w:line="576" w:lineRule="exact"/>
        <w:ind w:firstLine="640" w:firstLineChars="200"/>
        <w:outlineLvl w:val="1"/>
        <w:rPr>
          <w:rStyle w:val="31"/>
          <w:rFonts w:ascii="黑体" w:hAnsi="黑体" w:eastAsia="黑体"/>
          <w:b w:val="0"/>
        </w:rPr>
      </w:pPr>
      <w:bookmarkStart w:id="40" w:name="_Toc146616488"/>
      <w:bookmarkStart w:id="41" w:name="_Toc15377209"/>
      <w:bookmarkStart w:id="42" w:name="_Toc15396607"/>
      <w:r>
        <w:rPr>
          <w:rFonts w:hint="eastAsia" w:ascii="黑体" w:hAnsi="黑体" w:eastAsia="黑体"/>
          <w:szCs w:val="32"/>
        </w:rPr>
        <w:t>五、</w:t>
      </w:r>
      <w:r>
        <w:rPr>
          <w:rFonts w:hint="eastAsia" w:ascii="黑体" w:hAnsi="黑体" w:eastAsia="黑体"/>
          <w:b/>
          <w:szCs w:val="32"/>
        </w:rPr>
        <w:t>一</w:t>
      </w:r>
      <w:r>
        <w:rPr>
          <w:rStyle w:val="31"/>
          <w:rFonts w:hint="eastAsia" w:ascii="黑体" w:hAnsi="黑体" w:eastAsia="黑体"/>
          <w:b w:val="0"/>
        </w:rPr>
        <w:t>般公共预算财政拨款支出决算情况说明</w:t>
      </w:r>
      <w:bookmarkEnd w:id="40"/>
      <w:bookmarkEnd w:id="41"/>
      <w:bookmarkEnd w:id="42"/>
    </w:p>
    <w:p>
      <w:pPr>
        <w:spacing w:line="576" w:lineRule="exact"/>
        <w:ind w:firstLine="643" w:firstLineChars="200"/>
        <w:outlineLvl w:val="2"/>
        <w:rPr>
          <w:rFonts w:ascii="仿宋_GB2312" w:hAnsi="仿宋"/>
          <w:b/>
          <w:szCs w:val="32"/>
        </w:rPr>
      </w:pPr>
      <w:bookmarkStart w:id="43" w:name="_Toc15377210"/>
      <w:bookmarkStart w:id="44" w:name="_Toc146616489"/>
      <w:r>
        <w:rPr>
          <w:rFonts w:hint="eastAsia" w:ascii="仿宋_GB2312" w:hAnsi="仿宋"/>
          <w:b/>
          <w:szCs w:val="32"/>
        </w:rPr>
        <w:t>（一）一般公共预算财政拨款支出决算总体情况</w:t>
      </w:r>
      <w:bookmarkEnd w:id="43"/>
      <w:bookmarkEnd w:id="44"/>
    </w:p>
    <w:p>
      <w:pPr>
        <w:spacing w:line="576" w:lineRule="exact"/>
        <w:ind w:firstLine="640" w:firstLineChars="200"/>
        <w:rPr>
          <w:rFonts w:ascii="仿宋_GB2312" w:hAnsi="仿宋"/>
          <w:szCs w:val="32"/>
        </w:rPr>
      </w:pPr>
      <w:r>
        <w:rPr>
          <w:rFonts w:hint="eastAsia" w:ascii="仿宋_GB2312" w:hAnsi="仿宋"/>
          <w:szCs w:val="32"/>
        </w:rPr>
        <w:drawing>
          <wp:anchor distT="0" distB="0" distL="114300" distR="114300" simplePos="0" relativeHeight="251662336" behindDoc="0" locked="0" layoutInCell="1" allowOverlap="1">
            <wp:simplePos x="0" y="0"/>
            <wp:positionH relativeFrom="margin">
              <wp:align>center</wp:align>
            </wp:positionH>
            <wp:positionV relativeFrom="paragraph">
              <wp:posOffset>1490345</wp:posOffset>
            </wp:positionV>
            <wp:extent cx="4892675" cy="2633980"/>
            <wp:effectExtent l="0" t="0" r="3175" b="1397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
          <w:szCs w:val="32"/>
        </w:rPr>
        <w:t>2022年一般公共预算财政拨款支出4040.33万元，占本年支出合计的10.50%。与2021年相比，一般公共预算财政拨款支出增加1709.33万元，增长42.31%。主要变动原因是项目支出增加。</w:t>
      </w:r>
    </w:p>
    <w:p>
      <w:pPr>
        <w:spacing w:line="576" w:lineRule="exact"/>
        <w:ind w:firstLine="640" w:firstLineChars="200"/>
        <w:rPr>
          <w:rFonts w:ascii="仿宋_GB2312" w:hAnsi="仿宋"/>
          <w:szCs w:val="32"/>
        </w:rPr>
      </w:pPr>
      <w:r>
        <w:rPr>
          <w:rFonts w:hint="eastAsia" w:ascii="仿宋_GB2312" w:hAnsi="仿宋"/>
          <w:szCs w:val="32"/>
        </w:rPr>
        <w:t>（图5：一般公共预算财政拨款支出决算变动情况）</w:t>
      </w:r>
    </w:p>
    <w:p>
      <w:pPr>
        <w:spacing w:line="576" w:lineRule="exact"/>
        <w:ind w:firstLine="643" w:firstLineChars="200"/>
        <w:outlineLvl w:val="2"/>
        <w:rPr>
          <w:rFonts w:ascii="仿宋_GB2312" w:hAnsi="仿宋"/>
          <w:b/>
          <w:szCs w:val="32"/>
        </w:rPr>
      </w:pPr>
      <w:bookmarkStart w:id="45" w:name="_Toc15377211"/>
      <w:bookmarkStart w:id="46" w:name="_Toc146616490"/>
      <w:r>
        <w:rPr>
          <w:rFonts w:hint="eastAsia" w:ascii="仿宋_GB2312" w:hAnsi="仿宋"/>
          <w:b/>
          <w:szCs w:val="32"/>
        </w:rPr>
        <w:t>（二）一般公共预算财政拨款支出决算结构情况</w:t>
      </w:r>
      <w:bookmarkEnd w:id="45"/>
      <w:bookmarkEnd w:id="46"/>
    </w:p>
    <w:p>
      <w:pPr>
        <w:spacing w:line="576" w:lineRule="exact"/>
        <w:ind w:firstLine="640"/>
        <w:rPr>
          <w:rFonts w:ascii="仿宋_GB2312" w:hAnsi="仿宋"/>
          <w:szCs w:val="32"/>
        </w:rPr>
      </w:pPr>
      <w:r>
        <w:rPr>
          <w:rFonts w:hint="eastAsia" w:ascii="仿宋_GB2312"/>
        </w:rPr>
        <w:drawing>
          <wp:anchor distT="0" distB="0" distL="114300" distR="114300" simplePos="0" relativeHeight="251666432" behindDoc="0" locked="0" layoutInCell="1" allowOverlap="1">
            <wp:simplePos x="0" y="0"/>
            <wp:positionH relativeFrom="margin">
              <wp:align>left</wp:align>
            </wp:positionH>
            <wp:positionV relativeFrom="paragraph">
              <wp:posOffset>2361565</wp:posOffset>
            </wp:positionV>
            <wp:extent cx="5137785" cy="2967990"/>
            <wp:effectExtent l="0" t="0" r="5715" b="38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
          <w:szCs w:val="32"/>
        </w:rPr>
        <w:t>2022年一般公共预算财政拨款支出</w:t>
      </w:r>
      <w:r>
        <w:rPr>
          <w:rFonts w:ascii="仿宋_GB2312" w:hAnsi="仿宋"/>
          <w:szCs w:val="32"/>
        </w:rPr>
        <w:t>4040.33</w:t>
      </w:r>
      <w:r>
        <w:rPr>
          <w:rFonts w:hint="eastAsia" w:ascii="仿宋_GB2312" w:hAnsi="仿宋"/>
          <w:szCs w:val="32"/>
        </w:rPr>
        <w:t>万元，主要用于以下方面:文化旅游体育与传媒支出2000万元，占</w:t>
      </w:r>
      <w:r>
        <w:rPr>
          <w:rFonts w:ascii="仿宋_GB2312" w:hAnsi="仿宋"/>
          <w:szCs w:val="32"/>
        </w:rPr>
        <w:t>49.50</w:t>
      </w:r>
      <w:r>
        <w:rPr>
          <w:rFonts w:hint="eastAsia" w:ascii="仿宋_GB2312" w:hAnsi="仿宋"/>
          <w:szCs w:val="32"/>
        </w:rPr>
        <w:t>%；社会保障和就业支出108.27万元，占</w:t>
      </w:r>
      <w:r>
        <w:rPr>
          <w:rFonts w:ascii="仿宋_GB2312" w:hAnsi="仿宋"/>
          <w:szCs w:val="32"/>
        </w:rPr>
        <w:t>2.68</w:t>
      </w:r>
      <w:r>
        <w:rPr>
          <w:rFonts w:hint="eastAsia" w:ascii="仿宋_GB2312" w:hAnsi="仿宋"/>
          <w:szCs w:val="32"/>
        </w:rPr>
        <w:t>%；卫生健康支出35.48万元，占0.</w:t>
      </w:r>
      <w:r>
        <w:rPr>
          <w:rFonts w:ascii="仿宋_GB2312" w:hAnsi="仿宋"/>
          <w:szCs w:val="32"/>
        </w:rPr>
        <w:t>88</w:t>
      </w:r>
      <w:r>
        <w:rPr>
          <w:rFonts w:hint="eastAsia" w:ascii="仿宋_GB2312" w:hAnsi="仿宋"/>
          <w:szCs w:val="32"/>
        </w:rPr>
        <w:t>%；城乡社区支出</w:t>
      </w:r>
      <w:r>
        <w:rPr>
          <w:rFonts w:ascii="仿宋_GB2312" w:hAnsi="仿宋"/>
          <w:szCs w:val="32"/>
        </w:rPr>
        <w:t>500</w:t>
      </w:r>
      <w:r>
        <w:rPr>
          <w:rFonts w:hint="eastAsia" w:ascii="仿宋_GB2312" w:hAnsi="仿宋"/>
          <w:szCs w:val="32"/>
        </w:rPr>
        <w:t>万元，占</w:t>
      </w:r>
      <w:r>
        <w:rPr>
          <w:rFonts w:ascii="仿宋_GB2312" w:hAnsi="仿宋"/>
          <w:szCs w:val="32"/>
        </w:rPr>
        <w:t>12.37</w:t>
      </w:r>
      <w:r>
        <w:rPr>
          <w:rFonts w:hint="eastAsia" w:ascii="仿宋_GB2312" w:hAnsi="仿宋"/>
          <w:szCs w:val="32"/>
        </w:rPr>
        <w:t>%；资源勘探工业信息等支出1314.63万元，占3</w:t>
      </w:r>
      <w:r>
        <w:rPr>
          <w:rFonts w:ascii="仿宋_GB2312" w:hAnsi="仿宋"/>
          <w:szCs w:val="32"/>
        </w:rPr>
        <w:t>2.54</w:t>
      </w:r>
      <w:r>
        <w:rPr>
          <w:rFonts w:hint="eastAsia" w:ascii="仿宋_GB2312" w:hAnsi="仿宋"/>
          <w:szCs w:val="32"/>
        </w:rPr>
        <w:t>%；住房保障支出81.96万元，占</w:t>
      </w:r>
      <w:r>
        <w:rPr>
          <w:rFonts w:ascii="仿宋_GB2312" w:hAnsi="仿宋"/>
          <w:szCs w:val="32"/>
        </w:rPr>
        <w:t>2.03</w:t>
      </w:r>
      <w:r>
        <w:rPr>
          <w:rFonts w:hint="eastAsia" w:ascii="仿宋_GB2312" w:hAnsi="仿宋"/>
          <w:szCs w:val="32"/>
        </w:rPr>
        <w:t>%。</w:t>
      </w:r>
    </w:p>
    <w:p>
      <w:pPr>
        <w:spacing w:line="576" w:lineRule="exact"/>
        <w:jc w:val="center"/>
        <w:rPr>
          <w:rFonts w:ascii="仿宋_GB2312" w:hAnsi="仿宋"/>
          <w:szCs w:val="32"/>
        </w:rPr>
      </w:pPr>
      <w:r>
        <w:rPr>
          <w:rFonts w:hint="eastAsia" w:ascii="仿宋_GB2312" w:hAnsi="仿宋"/>
          <w:szCs w:val="32"/>
        </w:rPr>
        <w:t>（图6：一般公共预算财政拨款支出决算结构）</w:t>
      </w:r>
    </w:p>
    <w:p>
      <w:pPr>
        <w:spacing w:line="576" w:lineRule="exact"/>
        <w:ind w:firstLine="643" w:firstLineChars="200"/>
        <w:outlineLvl w:val="2"/>
        <w:rPr>
          <w:rFonts w:ascii="仿宋_GB2312" w:hAnsi="仿宋"/>
          <w:b/>
          <w:szCs w:val="32"/>
        </w:rPr>
      </w:pPr>
      <w:bookmarkStart w:id="47" w:name="_Toc15377212"/>
      <w:bookmarkStart w:id="48" w:name="_Toc146616491"/>
      <w:r>
        <w:rPr>
          <w:rFonts w:hint="eastAsia" w:ascii="仿宋_GB2312" w:hAnsi="仿宋"/>
          <w:b/>
          <w:szCs w:val="32"/>
        </w:rPr>
        <w:t>（三）一般公共预算财政拨款支出决算具体情况</w:t>
      </w:r>
      <w:bookmarkEnd w:id="47"/>
      <w:bookmarkEnd w:id="48"/>
    </w:p>
    <w:p>
      <w:pPr>
        <w:rPr>
          <w:rFonts w:ascii="仿宋_GB2312"/>
          <w:szCs w:val="32"/>
        </w:rPr>
      </w:pPr>
      <w:bookmarkStart w:id="49" w:name="_Toc15378460"/>
      <w:bookmarkStart w:id="50" w:name="_Toc15377213"/>
      <w:bookmarkStart w:id="51" w:name="_Toc15377444"/>
      <w:r>
        <w:rPr>
          <w:rFonts w:hint="eastAsia" w:ascii="仿宋_GB2312"/>
          <w:szCs w:val="32"/>
        </w:rPr>
        <w:t>2022年一般公共预算支出决算数为4040.33万元，</w:t>
      </w:r>
      <w:r>
        <w:rPr>
          <w:rStyle w:val="18"/>
          <w:rFonts w:hint="eastAsia" w:ascii="仿宋_GB2312" w:hAnsi="仿宋"/>
          <w:b w:val="0"/>
          <w:szCs w:val="32"/>
        </w:rPr>
        <w:t>完成预算99.09%。</w:t>
      </w:r>
      <w:r>
        <w:rPr>
          <w:rStyle w:val="18"/>
          <w:rFonts w:hint="eastAsia" w:ascii="仿宋_GB2312" w:hAnsi="仿宋"/>
          <w:bCs/>
          <w:szCs w:val="32"/>
        </w:rPr>
        <w:t>其中：</w:t>
      </w:r>
      <w:bookmarkEnd w:id="49"/>
      <w:bookmarkEnd w:id="50"/>
      <w:bookmarkEnd w:id="51"/>
    </w:p>
    <w:p>
      <w:pPr>
        <w:ind w:firstLine="643" w:firstLineChars="200"/>
        <w:rPr>
          <w:rFonts w:ascii="仿宋_GB2312"/>
          <w:b/>
          <w:szCs w:val="32"/>
        </w:rPr>
      </w:pPr>
      <w:r>
        <w:rPr>
          <w:rStyle w:val="18"/>
          <w:rFonts w:hint="eastAsia" w:ascii="仿宋_GB2312" w:hAnsi="仿宋"/>
          <w:bCs/>
          <w:szCs w:val="32"/>
        </w:rPr>
        <w:t>1.文化旅游体育与传媒（类）文化和旅游（款）其他文化和旅游支出（项）:</w:t>
      </w:r>
      <w:r>
        <w:rPr>
          <w:rStyle w:val="18"/>
          <w:rFonts w:hint="eastAsia" w:ascii="仿宋_GB2312" w:hAnsi="仿宋"/>
          <w:b w:val="0"/>
          <w:bCs/>
          <w:szCs w:val="32"/>
        </w:rPr>
        <w:t xml:space="preserve"> 支出决算为2000万元，完成预算100%。</w:t>
      </w:r>
      <w:r>
        <w:rPr>
          <w:rFonts w:hint="eastAsia" w:ascii="仿宋_GB2312"/>
          <w:b/>
          <w:szCs w:val="32"/>
        </w:rPr>
        <w:t xml:space="preserve"> </w:t>
      </w:r>
    </w:p>
    <w:p>
      <w:pPr>
        <w:ind w:firstLine="643" w:firstLineChars="200"/>
        <w:rPr>
          <w:rStyle w:val="18"/>
          <w:rFonts w:ascii="仿宋_GB2312" w:hAnsi="仿宋"/>
          <w:b w:val="0"/>
          <w:bCs/>
          <w:szCs w:val="32"/>
        </w:rPr>
      </w:pPr>
      <w:r>
        <w:rPr>
          <w:rStyle w:val="18"/>
          <w:rFonts w:hint="eastAsia" w:ascii="仿宋_GB2312" w:hAnsi="仿宋"/>
          <w:bCs/>
          <w:szCs w:val="32"/>
        </w:rPr>
        <w:t>2.社会保障和就业（类）人力资源和社会保障管理事务（款）引进人才费用（项）:</w:t>
      </w:r>
      <w:r>
        <w:rPr>
          <w:rStyle w:val="18"/>
          <w:rFonts w:hint="eastAsia" w:ascii="仿宋_GB2312" w:hAnsi="仿宋"/>
          <w:b w:val="0"/>
          <w:bCs/>
          <w:szCs w:val="32"/>
        </w:rPr>
        <w:t xml:space="preserve"> 支出决算为17.8万元，完成预算100%。</w:t>
      </w:r>
    </w:p>
    <w:p>
      <w:pPr>
        <w:ind w:firstLine="643" w:firstLineChars="200"/>
        <w:rPr>
          <w:rStyle w:val="18"/>
          <w:rFonts w:ascii="仿宋_GB2312" w:hAnsi="仿宋"/>
          <w:b w:val="0"/>
          <w:bCs/>
          <w:szCs w:val="32"/>
        </w:rPr>
      </w:pPr>
      <w:r>
        <w:rPr>
          <w:rStyle w:val="18"/>
          <w:rFonts w:hint="eastAsia" w:ascii="仿宋_GB2312" w:hAnsi="仿宋"/>
          <w:szCs w:val="32"/>
        </w:rPr>
        <w:t>3.</w:t>
      </w:r>
      <w:r>
        <w:rPr>
          <w:rStyle w:val="18"/>
          <w:rFonts w:hint="eastAsia" w:ascii="仿宋_GB2312" w:hAnsi="仿宋"/>
          <w:bCs/>
          <w:szCs w:val="32"/>
        </w:rPr>
        <w:t>社会保障和就业（类）行政事业单位养老支出（款）机关事业单位基本养老保险缴费支出（项）:</w:t>
      </w:r>
      <w:r>
        <w:rPr>
          <w:rStyle w:val="18"/>
          <w:rFonts w:hint="eastAsia" w:ascii="仿宋_GB2312" w:hAnsi="仿宋"/>
          <w:b w:val="0"/>
          <w:bCs/>
          <w:szCs w:val="32"/>
        </w:rPr>
        <w:t xml:space="preserve"> 支出决算为66.22万元，完成预算76.67%，决算数小于预算数的主要原因是</w:t>
      </w:r>
      <w:r>
        <w:rPr>
          <w:rFonts w:hint="eastAsia" w:ascii="仿宋_GB2312"/>
          <w:color w:val="000000"/>
          <w:szCs w:val="32"/>
        </w:rPr>
        <w:t>部分养老保险于2023年初完成缴费</w:t>
      </w:r>
      <w:r>
        <w:rPr>
          <w:rStyle w:val="18"/>
          <w:rFonts w:hint="eastAsia" w:ascii="仿宋_GB2312" w:hAnsi="仿宋"/>
          <w:b w:val="0"/>
          <w:bCs/>
          <w:szCs w:val="32"/>
        </w:rPr>
        <w:t>。</w:t>
      </w:r>
    </w:p>
    <w:p>
      <w:pPr>
        <w:ind w:firstLine="640" w:firstLineChars="200"/>
        <w:rPr>
          <w:rStyle w:val="18"/>
          <w:rFonts w:ascii="仿宋_GB2312" w:hAnsi="仿宋"/>
          <w:b w:val="0"/>
          <w:bCs/>
          <w:szCs w:val="32"/>
        </w:rPr>
      </w:pPr>
      <w:r>
        <w:rPr>
          <w:rStyle w:val="18"/>
          <w:rFonts w:hint="eastAsia" w:ascii="仿宋_GB2312" w:hAnsi="仿宋"/>
          <w:b w:val="0"/>
          <w:bCs/>
          <w:szCs w:val="32"/>
        </w:rPr>
        <w:t>4.</w:t>
      </w:r>
      <w:r>
        <w:rPr>
          <w:rStyle w:val="18"/>
          <w:rFonts w:hint="eastAsia" w:ascii="仿宋_GB2312" w:hAnsi="仿宋"/>
          <w:bCs/>
          <w:szCs w:val="32"/>
        </w:rPr>
        <w:t>社会保障和就业（类）人力资源和社会保障管理事务（款）机关事业单位职业年金缴费支出（项）:</w:t>
      </w:r>
      <w:r>
        <w:rPr>
          <w:rStyle w:val="18"/>
          <w:rFonts w:hint="eastAsia" w:ascii="仿宋_GB2312" w:hAnsi="仿宋"/>
          <w:b w:val="0"/>
          <w:bCs/>
          <w:szCs w:val="32"/>
        </w:rPr>
        <w:t xml:space="preserve"> 支出决算为17.35万元，完成预算100%。</w:t>
      </w:r>
    </w:p>
    <w:p>
      <w:pPr>
        <w:ind w:firstLine="640" w:firstLineChars="200"/>
        <w:rPr>
          <w:rFonts w:ascii="仿宋_GB2312"/>
          <w:b/>
          <w:szCs w:val="32"/>
        </w:rPr>
      </w:pPr>
      <w:r>
        <w:rPr>
          <w:rStyle w:val="18"/>
          <w:rFonts w:hint="eastAsia" w:ascii="仿宋_GB2312" w:hAnsi="仿宋"/>
          <w:b w:val="0"/>
          <w:bCs/>
          <w:szCs w:val="32"/>
        </w:rPr>
        <w:t>5.</w:t>
      </w:r>
      <w:r>
        <w:rPr>
          <w:rStyle w:val="18"/>
          <w:rFonts w:hint="eastAsia" w:ascii="仿宋_GB2312" w:hAnsi="仿宋"/>
          <w:bCs/>
          <w:szCs w:val="32"/>
        </w:rPr>
        <w:t>社会保障和就业（类）其他社会保障和就业支出（款）其他社会保障和就业支出（项）:</w:t>
      </w:r>
      <w:r>
        <w:rPr>
          <w:rStyle w:val="18"/>
          <w:rFonts w:hint="eastAsia" w:ascii="仿宋_GB2312" w:hAnsi="仿宋"/>
          <w:b w:val="0"/>
          <w:bCs/>
          <w:szCs w:val="32"/>
        </w:rPr>
        <w:t xml:space="preserve"> 支出决算为6.90万元，完成预算100%。</w:t>
      </w:r>
    </w:p>
    <w:p>
      <w:pPr>
        <w:ind w:firstLine="643" w:firstLineChars="200"/>
        <w:rPr>
          <w:rStyle w:val="18"/>
          <w:rFonts w:ascii="仿宋_GB2312" w:hAnsi="仿宋"/>
          <w:b w:val="0"/>
          <w:bCs/>
          <w:szCs w:val="32"/>
        </w:rPr>
      </w:pPr>
      <w:r>
        <w:rPr>
          <w:rStyle w:val="18"/>
          <w:rFonts w:hint="eastAsia" w:ascii="仿宋_GB2312" w:hAnsi="仿宋"/>
          <w:bCs/>
          <w:szCs w:val="32"/>
        </w:rPr>
        <w:t>6.</w:t>
      </w:r>
      <w:r>
        <w:rPr>
          <w:rFonts w:hint="eastAsia" w:ascii="仿宋_GB2312"/>
          <w:b/>
          <w:szCs w:val="32"/>
        </w:rPr>
        <w:t>卫生健康</w:t>
      </w:r>
      <w:r>
        <w:rPr>
          <w:rStyle w:val="18"/>
          <w:rFonts w:hint="eastAsia" w:ascii="仿宋_GB2312" w:hAnsi="仿宋"/>
          <w:bCs/>
          <w:szCs w:val="32"/>
        </w:rPr>
        <w:t>（类）行政事业单位医疗（款）行政单位医疗（项）:</w:t>
      </w:r>
      <w:r>
        <w:rPr>
          <w:rStyle w:val="18"/>
          <w:rFonts w:hint="eastAsia" w:ascii="仿宋_GB2312" w:hAnsi="仿宋"/>
          <w:b w:val="0"/>
          <w:bCs/>
          <w:szCs w:val="32"/>
        </w:rPr>
        <w:t>支出决算为20.62万元，完成预算100%。</w:t>
      </w:r>
    </w:p>
    <w:p>
      <w:pPr>
        <w:ind w:firstLine="643" w:firstLineChars="200"/>
        <w:rPr>
          <w:rFonts w:ascii="仿宋_GB2312"/>
          <w:b/>
          <w:szCs w:val="32"/>
        </w:rPr>
      </w:pPr>
      <w:r>
        <w:rPr>
          <w:rStyle w:val="18"/>
          <w:rFonts w:hint="eastAsia" w:ascii="仿宋_GB2312" w:hAnsi="仿宋"/>
          <w:bCs/>
          <w:szCs w:val="32"/>
        </w:rPr>
        <w:t>7.</w:t>
      </w:r>
      <w:r>
        <w:rPr>
          <w:rFonts w:hint="eastAsia" w:ascii="仿宋_GB2312"/>
          <w:b/>
          <w:szCs w:val="32"/>
        </w:rPr>
        <w:t>卫生健康</w:t>
      </w:r>
      <w:r>
        <w:rPr>
          <w:rStyle w:val="18"/>
          <w:rFonts w:hint="eastAsia" w:ascii="仿宋_GB2312" w:hAnsi="仿宋"/>
          <w:bCs/>
          <w:szCs w:val="32"/>
        </w:rPr>
        <w:t>（类）行政事业单位医疗（款）事业单位医疗（项）:</w:t>
      </w:r>
      <w:r>
        <w:rPr>
          <w:rStyle w:val="18"/>
          <w:rFonts w:hint="eastAsia" w:ascii="仿宋_GB2312" w:hAnsi="仿宋"/>
          <w:b w:val="0"/>
          <w:bCs/>
          <w:szCs w:val="32"/>
        </w:rPr>
        <w:t>支出决算为14.86万元，完成预算100%。</w:t>
      </w:r>
    </w:p>
    <w:p>
      <w:pPr>
        <w:ind w:firstLine="643" w:firstLineChars="200"/>
        <w:rPr>
          <w:rFonts w:ascii="仿宋_GB2312"/>
          <w:b/>
          <w:szCs w:val="32"/>
        </w:rPr>
      </w:pPr>
      <w:r>
        <w:rPr>
          <w:rStyle w:val="18"/>
          <w:rFonts w:hint="eastAsia" w:ascii="仿宋_GB2312" w:hAnsi="仿宋"/>
          <w:bCs/>
          <w:szCs w:val="32"/>
        </w:rPr>
        <w:t>8.</w:t>
      </w:r>
      <w:r>
        <w:rPr>
          <w:rFonts w:hint="eastAsia" w:ascii="仿宋_GB2312"/>
          <w:b/>
          <w:szCs w:val="32"/>
        </w:rPr>
        <w:t>城乡社区</w:t>
      </w:r>
      <w:r>
        <w:rPr>
          <w:rStyle w:val="18"/>
          <w:rFonts w:hint="eastAsia" w:ascii="仿宋_GB2312" w:hAnsi="仿宋"/>
          <w:bCs/>
          <w:szCs w:val="32"/>
        </w:rPr>
        <w:t>（类）其他城乡社区支出（款）其他城乡社区支出（项）：</w:t>
      </w:r>
      <w:r>
        <w:rPr>
          <w:rStyle w:val="18"/>
          <w:rFonts w:hint="eastAsia" w:ascii="仿宋_GB2312" w:hAnsi="仿宋"/>
          <w:b w:val="0"/>
          <w:bCs/>
          <w:szCs w:val="32"/>
        </w:rPr>
        <w:t>支出决算为500万元，完成预算100%。</w:t>
      </w:r>
    </w:p>
    <w:p>
      <w:pPr>
        <w:ind w:firstLine="643" w:firstLineChars="200"/>
        <w:rPr>
          <w:rStyle w:val="18"/>
          <w:rFonts w:ascii="仿宋_GB2312" w:hAnsi="仿宋"/>
          <w:b w:val="0"/>
          <w:bCs/>
          <w:szCs w:val="32"/>
        </w:rPr>
      </w:pPr>
      <w:r>
        <w:rPr>
          <w:rStyle w:val="18"/>
          <w:rFonts w:hint="eastAsia" w:ascii="仿宋_GB2312" w:hAnsi="仿宋"/>
          <w:bCs/>
          <w:szCs w:val="32"/>
        </w:rPr>
        <w:t>9.</w:t>
      </w:r>
      <w:r>
        <w:rPr>
          <w:rFonts w:hint="eastAsia" w:ascii="仿宋_GB2312"/>
          <w:b/>
          <w:szCs w:val="32"/>
        </w:rPr>
        <w:t>资源勘探工业信息等支出</w:t>
      </w:r>
      <w:r>
        <w:rPr>
          <w:rStyle w:val="18"/>
          <w:rFonts w:hint="eastAsia" w:ascii="仿宋_GB2312" w:hAnsi="仿宋"/>
          <w:bCs/>
          <w:szCs w:val="32"/>
        </w:rPr>
        <w:t>（类）国有资产监管（款）行政运行（项）：</w:t>
      </w:r>
      <w:r>
        <w:rPr>
          <w:rStyle w:val="18"/>
          <w:rFonts w:hint="eastAsia" w:ascii="仿宋_GB2312" w:hAnsi="仿宋"/>
          <w:b w:val="0"/>
          <w:bCs/>
          <w:szCs w:val="32"/>
        </w:rPr>
        <w:t>支出决算为553.40万元，完成预算100%。</w:t>
      </w:r>
    </w:p>
    <w:p>
      <w:pPr>
        <w:ind w:firstLine="643" w:firstLineChars="200"/>
        <w:rPr>
          <w:rFonts w:ascii="仿宋_GB2312"/>
          <w:b/>
          <w:szCs w:val="32"/>
        </w:rPr>
      </w:pPr>
      <w:r>
        <w:rPr>
          <w:rStyle w:val="18"/>
          <w:rFonts w:hint="eastAsia" w:ascii="仿宋_GB2312" w:hAnsi="仿宋"/>
          <w:bCs/>
          <w:szCs w:val="32"/>
        </w:rPr>
        <w:t>10.</w:t>
      </w:r>
      <w:r>
        <w:rPr>
          <w:rFonts w:hint="eastAsia" w:ascii="仿宋_GB2312"/>
          <w:b/>
          <w:szCs w:val="32"/>
        </w:rPr>
        <w:t>资源勘探工业信息等支出</w:t>
      </w:r>
      <w:r>
        <w:rPr>
          <w:rStyle w:val="18"/>
          <w:rFonts w:hint="eastAsia" w:ascii="仿宋_GB2312" w:hAnsi="仿宋"/>
          <w:bCs/>
          <w:szCs w:val="32"/>
        </w:rPr>
        <w:t>（类）国有资产监管（款）一般行政管理事务（项）：</w:t>
      </w:r>
      <w:r>
        <w:rPr>
          <w:rStyle w:val="18"/>
          <w:rFonts w:hint="eastAsia" w:ascii="仿宋_GB2312" w:hAnsi="仿宋"/>
          <w:b w:val="0"/>
          <w:bCs/>
          <w:szCs w:val="32"/>
        </w:rPr>
        <w:t>支出决算为107.99万元，完成预算96.96%，决算数小于预算数的主要原因是</w:t>
      </w:r>
      <w:r>
        <w:rPr>
          <w:rFonts w:hint="eastAsia" w:ascii="仿宋_GB2312"/>
          <w:color w:val="000000"/>
          <w:szCs w:val="32"/>
        </w:rPr>
        <w:t>严格贯彻 “过紧日子”要求，不折不扣落实好压减一般性支出的精神。</w:t>
      </w:r>
    </w:p>
    <w:p>
      <w:pPr>
        <w:ind w:firstLine="643" w:firstLineChars="200"/>
        <w:rPr>
          <w:rFonts w:ascii="仿宋_GB2312"/>
          <w:color w:val="000000"/>
          <w:szCs w:val="32"/>
        </w:rPr>
      </w:pPr>
      <w:r>
        <w:rPr>
          <w:rStyle w:val="18"/>
          <w:rFonts w:hint="eastAsia" w:ascii="仿宋_GB2312" w:hAnsi="仿宋"/>
          <w:bCs/>
          <w:szCs w:val="32"/>
        </w:rPr>
        <w:t>11.</w:t>
      </w:r>
      <w:r>
        <w:rPr>
          <w:rFonts w:hint="eastAsia" w:ascii="仿宋_GB2312"/>
          <w:b/>
          <w:szCs w:val="32"/>
        </w:rPr>
        <w:t>资源勘探工业信息等支出</w:t>
      </w:r>
      <w:r>
        <w:rPr>
          <w:rStyle w:val="18"/>
          <w:rFonts w:hint="eastAsia" w:ascii="仿宋_GB2312" w:hAnsi="仿宋"/>
          <w:bCs/>
          <w:szCs w:val="32"/>
        </w:rPr>
        <w:t>（类）国有资产监管（款）其他国有资产监管支出（项）：</w:t>
      </w:r>
      <w:r>
        <w:rPr>
          <w:rStyle w:val="18"/>
          <w:rFonts w:hint="eastAsia" w:ascii="仿宋_GB2312" w:hAnsi="仿宋"/>
          <w:b w:val="0"/>
          <w:bCs/>
          <w:szCs w:val="32"/>
        </w:rPr>
        <w:t>支出决算为653.23万元，完成预算97.94%，决算数小于预算数的主要原因是</w:t>
      </w:r>
      <w:r>
        <w:rPr>
          <w:rFonts w:hint="eastAsia" w:ascii="仿宋_GB2312"/>
          <w:color w:val="000000"/>
          <w:szCs w:val="32"/>
        </w:rPr>
        <w:t>严格贯彻 “过紧日子”要求，不折不扣落实好压减一般性支出的精神。</w:t>
      </w:r>
    </w:p>
    <w:p>
      <w:pPr>
        <w:ind w:firstLine="643" w:firstLineChars="200"/>
        <w:rPr>
          <w:rFonts w:ascii="仿宋_GB2312"/>
          <w:b/>
          <w:szCs w:val="32"/>
        </w:rPr>
      </w:pPr>
      <w:r>
        <w:rPr>
          <w:rStyle w:val="18"/>
          <w:rFonts w:hint="eastAsia" w:ascii="仿宋_GB2312" w:hAnsi="仿宋"/>
          <w:bCs/>
          <w:szCs w:val="32"/>
        </w:rPr>
        <w:t>12.</w:t>
      </w:r>
      <w:r>
        <w:rPr>
          <w:rFonts w:hint="eastAsia" w:ascii="仿宋_GB2312"/>
          <w:b/>
          <w:szCs w:val="32"/>
        </w:rPr>
        <w:t>住房保障</w:t>
      </w:r>
      <w:r>
        <w:rPr>
          <w:rStyle w:val="18"/>
          <w:rFonts w:hint="eastAsia" w:ascii="仿宋_GB2312" w:hAnsi="仿宋"/>
          <w:bCs/>
          <w:szCs w:val="32"/>
        </w:rPr>
        <w:t>（类）住房改革支出（款）住房公积金（项）：</w:t>
      </w:r>
      <w:r>
        <w:rPr>
          <w:rStyle w:val="18"/>
          <w:rFonts w:hint="eastAsia" w:ascii="仿宋_GB2312" w:hAnsi="仿宋"/>
          <w:b w:val="0"/>
          <w:bCs/>
          <w:szCs w:val="32"/>
        </w:rPr>
        <w:t>支出决算为81.96万元，完成预算100%。</w:t>
      </w:r>
    </w:p>
    <w:p>
      <w:pPr>
        <w:tabs>
          <w:tab w:val="right" w:pos="8306"/>
        </w:tabs>
        <w:spacing w:line="576" w:lineRule="exact"/>
        <w:ind w:firstLine="640"/>
        <w:outlineLvl w:val="1"/>
        <w:rPr>
          <w:rStyle w:val="31"/>
        </w:rPr>
      </w:pPr>
      <w:bookmarkStart w:id="52" w:name="_Toc15377214"/>
      <w:bookmarkStart w:id="53" w:name="_Toc15396608"/>
      <w:bookmarkStart w:id="54" w:name="_Toc146616492"/>
      <w:r>
        <w:rPr>
          <w:rFonts w:hint="eastAsia" w:ascii="黑体" w:eastAsia="黑体"/>
          <w:szCs w:val="32"/>
        </w:rPr>
        <w:t>六</w:t>
      </w:r>
      <w:r>
        <w:rPr>
          <w:rFonts w:hint="eastAsia" w:ascii="黑体" w:eastAsia="黑体"/>
          <w:b/>
          <w:szCs w:val="32"/>
        </w:rPr>
        <w:t>、</w:t>
      </w:r>
      <w:r>
        <w:rPr>
          <w:rFonts w:hint="eastAsia" w:ascii="黑体" w:hAnsi="黑体" w:eastAsia="黑体"/>
          <w:b/>
          <w:szCs w:val="32"/>
        </w:rPr>
        <w:t>一</w:t>
      </w:r>
      <w:r>
        <w:rPr>
          <w:rStyle w:val="31"/>
          <w:rFonts w:hint="eastAsia" w:ascii="黑体" w:hAnsi="黑体" w:eastAsia="黑体"/>
          <w:b w:val="0"/>
        </w:rPr>
        <w:t>般公共预算财政拨款基本支出决算情况说明</w:t>
      </w:r>
      <w:bookmarkEnd w:id="52"/>
      <w:bookmarkEnd w:id="53"/>
      <w:bookmarkEnd w:id="54"/>
      <w:r>
        <w:rPr>
          <w:rStyle w:val="31"/>
          <w:rFonts w:ascii="黑体" w:hAnsi="黑体" w:eastAsia="黑体"/>
          <w:b w:val="0"/>
        </w:rPr>
        <w:tab/>
      </w:r>
    </w:p>
    <w:p>
      <w:pPr>
        <w:spacing w:line="576" w:lineRule="exact"/>
        <w:ind w:firstLine="645"/>
        <w:rPr>
          <w:rFonts w:ascii="仿宋_GB2312" w:hAnsi="仿宋"/>
          <w:szCs w:val="32"/>
        </w:rPr>
      </w:pPr>
      <w:r>
        <w:rPr>
          <w:rFonts w:hint="eastAsia" w:ascii="仿宋_GB2312" w:hAnsi="仿宋"/>
          <w:szCs w:val="32"/>
        </w:rPr>
        <w:t>2022年一般公共预算财政拨款基本支出1150.62万元，其中：</w:t>
      </w:r>
    </w:p>
    <w:p>
      <w:pPr>
        <w:spacing w:line="576" w:lineRule="exact"/>
        <w:ind w:firstLine="645"/>
        <w:rPr>
          <w:rFonts w:ascii="仿宋_GB2312" w:hAnsi="仿宋"/>
          <w:szCs w:val="32"/>
        </w:rPr>
      </w:pPr>
      <w:r>
        <w:rPr>
          <w:rFonts w:hint="eastAsia" w:ascii="仿宋_GB2312" w:hAnsi="仿宋"/>
          <w:szCs w:val="32"/>
        </w:rPr>
        <w:t>人员经费1024.02万元，主要包括：基本工资、津贴补贴、奖金、绩效工资、机关事业单位基本养老保险缴费、职业年金缴费、职工基本医疗保险缴费、其他社会保障缴费、住房公积金、其他工资福利支出、生活补助、医疗费补助、奖励金、其他对个人和家庭的补助支出。</w:t>
      </w:r>
      <w:r>
        <w:rPr>
          <w:rFonts w:hint="eastAsia" w:ascii="仿宋_GB2312" w:hAnsi="仿宋"/>
          <w:szCs w:val="32"/>
        </w:rPr>
        <w:br w:type="textWrapping"/>
      </w:r>
      <w:r>
        <w:rPr>
          <w:rFonts w:hint="eastAsia" w:ascii="仿宋_GB2312" w:hAnsi="仿宋"/>
          <w:szCs w:val="32"/>
        </w:rPr>
        <w:t>　　公用经费126.60万元，主要包括：办公费、水费、电费、邮电费、物业管理费、差旅费、维修（护）费、租赁费、培训费、公务接待费、劳务费、工会经费、福利费、公务用车运行维护费、其他交通费用、其他商品和服务支出。</w:t>
      </w:r>
    </w:p>
    <w:p>
      <w:pPr>
        <w:spacing w:line="576" w:lineRule="exact"/>
        <w:ind w:firstLine="640"/>
        <w:outlineLvl w:val="1"/>
        <w:rPr>
          <w:rStyle w:val="31"/>
          <w:rFonts w:ascii="黑体" w:hAnsi="黑体" w:eastAsia="黑体"/>
          <w:b w:val="0"/>
        </w:rPr>
      </w:pPr>
      <w:bookmarkStart w:id="55" w:name="_Toc15377215"/>
      <w:bookmarkStart w:id="56" w:name="_Toc146616493"/>
      <w:bookmarkStart w:id="57" w:name="_Toc15396609"/>
      <w:r>
        <w:rPr>
          <w:rFonts w:hint="eastAsia" w:ascii="黑体" w:eastAsia="黑体"/>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5"/>
      <w:bookmarkEnd w:id="56"/>
      <w:bookmarkEnd w:id="57"/>
    </w:p>
    <w:p>
      <w:pPr>
        <w:spacing w:line="576" w:lineRule="exact"/>
        <w:ind w:firstLine="640"/>
        <w:outlineLvl w:val="2"/>
        <w:rPr>
          <w:rFonts w:ascii="仿宋" w:hAnsi="仿宋" w:eastAsia="仿宋"/>
          <w:b/>
          <w:szCs w:val="32"/>
        </w:rPr>
      </w:pPr>
      <w:bookmarkStart w:id="58" w:name="_Toc146616494"/>
      <w:bookmarkStart w:id="59" w:name="_Toc15377216"/>
      <w:r>
        <w:rPr>
          <w:rFonts w:hint="eastAsia" w:ascii="仿宋" w:hAnsi="仿宋" w:eastAsia="仿宋"/>
          <w:b/>
          <w:szCs w:val="32"/>
        </w:rPr>
        <w:t>（一）“三公”经费财政拨款支出决算总体情况说明</w:t>
      </w:r>
      <w:bookmarkEnd w:id="58"/>
      <w:bookmarkEnd w:id="59"/>
    </w:p>
    <w:p>
      <w:pPr>
        <w:spacing w:line="576" w:lineRule="exact"/>
        <w:ind w:firstLine="640"/>
        <w:rPr>
          <w:rFonts w:ascii="仿宋_GB2312" w:hAnsi="仿宋"/>
          <w:szCs w:val="32"/>
        </w:rPr>
      </w:pPr>
      <w:r>
        <w:rPr>
          <w:rFonts w:hint="eastAsia" w:ascii="仿宋_GB2312" w:hAnsi="仿宋"/>
          <w:szCs w:val="32"/>
        </w:rPr>
        <w:t>2022年“三公”经费财政拨款支出决算为3.96万元，完成预算56.09%，较上年增加0.89万元，增长28.99%。决算数小于预算数的主要原因是本部门始终</w:t>
      </w:r>
      <w:r>
        <w:rPr>
          <w:rFonts w:hint="eastAsia" w:ascii="仿宋_GB2312" w:hAnsi="仿宋"/>
          <w:color w:val="000000"/>
          <w:szCs w:val="32"/>
        </w:rPr>
        <w:t>不折不扣落实国省市压减一般性支出的精神</w:t>
      </w:r>
      <w:r>
        <w:rPr>
          <w:rFonts w:hint="eastAsia" w:ascii="仿宋_GB2312" w:hAnsi="仿宋"/>
          <w:szCs w:val="32"/>
        </w:rPr>
        <w:t>。</w:t>
      </w:r>
    </w:p>
    <w:p>
      <w:pPr>
        <w:spacing w:line="576" w:lineRule="exact"/>
        <w:ind w:firstLine="640"/>
        <w:outlineLvl w:val="2"/>
        <w:rPr>
          <w:rFonts w:ascii="仿宋" w:hAnsi="仿宋" w:eastAsia="仿宋"/>
          <w:b/>
          <w:szCs w:val="32"/>
        </w:rPr>
      </w:pPr>
      <w:bookmarkStart w:id="60" w:name="_Toc146616495"/>
      <w:bookmarkStart w:id="61" w:name="_Toc15377217"/>
      <w:r>
        <w:rPr>
          <w:rFonts w:hint="eastAsia" w:ascii="仿宋" w:hAnsi="仿宋" w:eastAsia="仿宋"/>
          <w:b/>
          <w:szCs w:val="32"/>
        </w:rPr>
        <w:t>（二）“三公”经费财政拨款支出决算具体情况说明</w:t>
      </w:r>
      <w:bookmarkEnd w:id="60"/>
      <w:bookmarkEnd w:id="61"/>
    </w:p>
    <w:p>
      <w:pPr>
        <w:spacing w:line="576" w:lineRule="exact"/>
        <w:ind w:firstLine="640"/>
        <w:rPr>
          <w:rFonts w:ascii="仿宋_GB2312" w:hAnsi="仿宋"/>
          <w:szCs w:val="32"/>
        </w:rPr>
      </w:pPr>
      <w:r>
        <w:rPr>
          <w:rFonts w:hint="eastAsia" w:ascii="仿宋_GB2312"/>
        </w:rPr>
        <w:drawing>
          <wp:anchor distT="0" distB="0" distL="114300" distR="114300" simplePos="0" relativeHeight="251663360" behindDoc="0" locked="0" layoutInCell="1" allowOverlap="1">
            <wp:simplePos x="0" y="0"/>
            <wp:positionH relativeFrom="margin">
              <wp:align>right</wp:align>
            </wp:positionH>
            <wp:positionV relativeFrom="paragraph">
              <wp:posOffset>1520825</wp:posOffset>
            </wp:positionV>
            <wp:extent cx="5274310" cy="3076575"/>
            <wp:effectExtent l="0" t="0" r="2540"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
          <w:szCs w:val="32"/>
        </w:rPr>
        <w:t>2022年“三公”经费财政拨款支出决算中，因公出国（境）费支出决算0万元；公务用车购置及运行维护费支出决算3.76万元，占94.95%；公务接待费支出决算0.20万元，占5.05%。具体情况如下：</w:t>
      </w:r>
    </w:p>
    <w:p>
      <w:pPr>
        <w:spacing w:line="576" w:lineRule="exact"/>
        <w:jc w:val="center"/>
        <w:rPr>
          <w:rFonts w:ascii="仿宋_GB2312" w:hAnsi="仿宋"/>
          <w:szCs w:val="32"/>
        </w:rPr>
      </w:pPr>
      <w:r>
        <w:rPr>
          <w:rFonts w:hint="eastAsia" w:ascii="仿宋_GB2312" w:hAnsi="仿宋"/>
          <w:szCs w:val="32"/>
        </w:rPr>
        <w:t>（图7：“三公”经费财政拨款支出结构）</w:t>
      </w:r>
    </w:p>
    <w:p>
      <w:pPr>
        <w:spacing w:line="576" w:lineRule="exact"/>
        <w:ind w:firstLine="640"/>
        <w:rPr>
          <w:rFonts w:ascii="仿宋_GB2312"/>
          <w:b/>
          <w:szCs w:val="32"/>
        </w:rPr>
      </w:pPr>
      <w:r>
        <w:rPr>
          <w:rFonts w:hint="eastAsia" w:ascii="仿宋_GB2312"/>
          <w:b/>
          <w:szCs w:val="32"/>
        </w:rPr>
        <w:t>1.因公出国（境）经费支出</w:t>
      </w:r>
      <w:r>
        <w:rPr>
          <w:rFonts w:hint="eastAsia" w:ascii="仿宋_GB2312"/>
          <w:szCs w:val="32"/>
        </w:rPr>
        <w:t>0万元，</w:t>
      </w:r>
      <w:r>
        <w:rPr>
          <w:rStyle w:val="18"/>
          <w:rFonts w:hint="eastAsia" w:ascii="仿宋_GB2312" w:hAnsi="仿宋"/>
          <w:b w:val="0"/>
          <w:bCs/>
          <w:szCs w:val="32"/>
        </w:rPr>
        <w:t>年初未安排预算</w:t>
      </w:r>
      <w:r>
        <w:rPr>
          <w:rStyle w:val="18"/>
          <w:rFonts w:hint="eastAsia" w:ascii="仿宋_GB2312" w:hAnsi="仿宋"/>
          <w:b w:val="0"/>
          <w:bCs/>
          <w:szCs w:val="32"/>
          <w:lang w:eastAsia="zh-CN"/>
        </w:rPr>
        <w:t>，</w:t>
      </w:r>
      <w:r>
        <w:rPr>
          <w:rStyle w:val="18"/>
          <w:rFonts w:hint="eastAsia" w:ascii="仿宋_GB2312" w:hAnsi="仿宋"/>
          <w:b w:val="0"/>
          <w:bCs/>
          <w:szCs w:val="32"/>
          <w:lang w:val="en-US" w:eastAsia="zh-CN"/>
        </w:rPr>
        <w:t>较2021年无变化</w:t>
      </w:r>
      <w:r>
        <w:rPr>
          <w:rFonts w:hint="eastAsia" w:ascii="仿宋_GB2312"/>
          <w:szCs w:val="32"/>
        </w:rPr>
        <w:t>。</w:t>
      </w:r>
    </w:p>
    <w:p>
      <w:pPr>
        <w:spacing w:line="576" w:lineRule="exact"/>
        <w:ind w:firstLine="640"/>
        <w:rPr>
          <w:rFonts w:ascii="仿宋_GB2312"/>
          <w:b/>
          <w:szCs w:val="32"/>
        </w:rPr>
      </w:pPr>
      <w:r>
        <w:rPr>
          <w:rFonts w:hint="eastAsia" w:ascii="仿宋_GB2312"/>
          <w:b/>
          <w:szCs w:val="32"/>
        </w:rPr>
        <w:t>2.公务用车购置及运行维护费支出</w:t>
      </w:r>
      <w:r>
        <w:rPr>
          <w:rFonts w:hint="eastAsia" w:ascii="仿宋_GB2312" w:hAnsi="仿宋"/>
          <w:szCs w:val="32"/>
        </w:rPr>
        <w:t>3.76</w:t>
      </w:r>
      <w:r>
        <w:rPr>
          <w:rFonts w:hint="eastAsia" w:ascii="仿宋_GB2312"/>
          <w:szCs w:val="32"/>
        </w:rPr>
        <w:t>万元，</w:t>
      </w:r>
      <w:r>
        <w:rPr>
          <w:rStyle w:val="18"/>
          <w:rFonts w:hint="eastAsia" w:ascii="仿宋_GB2312" w:hAnsi="仿宋"/>
          <w:b w:val="0"/>
          <w:bCs/>
          <w:szCs w:val="32"/>
        </w:rPr>
        <w:t>完成预算62.67%。</w:t>
      </w:r>
      <w:r>
        <w:rPr>
          <w:rFonts w:hint="eastAsia" w:ascii="仿宋_GB2312"/>
          <w:szCs w:val="32"/>
        </w:rPr>
        <w:t>公务用车购置及运行维护费支出决算比2021年增加0.94万元，增长33.33%。主要原因是车辆运行维修费增多。</w:t>
      </w:r>
    </w:p>
    <w:p>
      <w:pPr>
        <w:spacing w:line="576" w:lineRule="exact"/>
        <w:ind w:firstLine="640" w:firstLineChars="200"/>
        <w:rPr>
          <w:rFonts w:ascii="仿宋_GB2312"/>
          <w:b/>
          <w:szCs w:val="32"/>
        </w:rPr>
      </w:pPr>
      <w:r>
        <w:rPr>
          <w:rFonts w:hint="eastAsia" w:ascii="仿宋_GB2312"/>
          <w:szCs w:val="32"/>
        </w:rPr>
        <w:t>其中：</w:t>
      </w:r>
      <w:r>
        <w:rPr>
          <w:rFonts w:hint="eastAsia" w:ascii="仿宋_GB2312"/>
          <w:b/>
          <w:szCs w:val="32"/>
        </w:rPr>
        <w:t>公务用车购置支出</w:t>
      </w:r>
      <w:r>
        <w:rPr>
          <w:rFonts w:hint="eastAsia" w:ascii="仿宋_GB2312"/>
          <w:szCs w:val="32"/>
        </w:rPr>
        <w:t>0万元。截至2022年12月底，单位共有公务用车1辆，其中：越野车1辆。</w:t>
      </w:r>
    </w:p>
    <w:p>
      <w:pPr>
        <w:spacing w:line="576" w:lineRule="exact"/>
        <w:ind w:firstLine="640"/>
        <w:rPr>
          <w:rFonts w:ascii="仿宋_GB2312"/>
          <w:szCs w:val="32"/>
        </w:rPr>
      </w:pPr>
      <w:r>
        <w:rPr>
          <w:rFonts w:hint="eastAsia" w:ascii="仿宋_GB2312"/>
          <w:b/>
          <w:szCs w:val="32"/>
        </w:rPr>
        <w:t>公务用车运行维护费支出</w:t>
      </w:r>
      <w:r>
        <w:rPr>
          <w:rFonts w:hint="eastAsia" w:ascii="仿宋_GB2312"/>
          <w:szCs w:val="32"/>
        </w:rPr>
        <w:t>3.76万元。主要用于日常公务活动中产生的公务用车燃料费、维修费、过路过桥费、保险费等支出。</w:t>
      </w:r>
    </w:p>
    <w:p>
      <w:pPr>
        <w:spacing w:line="576" w:lineRule="exact"/>
        <w:ind w:firstLine="640"/>
        <w:rPr>
          <w:rFonts w:ascii="仿宋_GB2312"/>
          <w:szCs w:val="32"/>
        </w:rPr>
      </w:pPr>
      <w:r>
        <w:rPr>
          <w:rFonts w:hint="eastAsia" w:ascii="仿宋_GB2312"/>
          <w:b/>
          <w:szCs w:val="32"/>
        </w:rPr>
        <w:t>3.公务接待费支出</w:t>
      </w:r>
      <w:r>
        <w:rPr>
          <w:rFonts w:hint="eastAsia" w:ascii="仿宋_GB2312"/>
          <w:szCs w:val="32"/>
        </w:rPr>
        <w:t>0.2万元，</w:t>
      </w:r>
      <w:r>
        <w:rPr>
          <w:rStyle w:val="18"/>
          <w:rFonts w:hint="eastAsia" w:ascii="仿宋_GB2312" w:hAnsi="仿宋"/>
          <w:b w:val="0"/>
          <w:bCs/>
          <w:szCs w:val="32"/>
        </w:rPr>
        <w:t>完成预算18.69%。</w:t>
      </w:r>
      <w:r>
        <w:rPr>
          <w:rFonts w:hint="eastAsia" w:ascii="仿宋_GB2312"/>
          <w:szCs w:val="32"/>
        </w:rPr>
        <w:t>公务接待费支出决算比2021年减少0.05万元，下降20%。主要原因是为严格落实相关政策，压减支出，减少不必要开支。其中：</w:t>
      </w:r>
    </w:p>
    <w:p>
      <w:pPr>
        <w:spacing w:line="576" w:lineRule="exact"/>
        <w:ind w:firstLine="640"/>
        <w:rPr>
          <w:rFonts w:ascii="仿宋_GB2312"/>
          <w:szCs w:val="32"/>
        </w:rPr>
      </w:pPr>
      <w:r>
        <w:rPr>
          <w:rFonts w:hint="eastAsia" w:ascii="仿宋_GB2312" w:hAnsi="仿宋"/>
          <w:b/>
          <w:szCs w:val="32"/>
        </w:rPr>
        <w:t>国内公务接待支出</w:t>
      </w:r>
      <w:r>
        <w:rPr>
          <w:rFonts w:hint="eastAsia" w:ascii="仿宋_GB2312" w:hAnsi="仿宋"/>
          <w:szCs w:val="32"/>
        </w:rPr>
        <w:t>0.2</w:t>
      </w:r>
      <w:r>
        <w:rPr>
          <w:rFonts w:hint="eastAsia" w:ascii="仿宋_GB2312"/>
          <w:szCs w:val="32"/>
        </w:rPr>
        <w:t>万元，主要用于执行公务、开展业务活动开支的交通费、住宿费、用餐费等。国内公务接待2批次，15人（不包括陪同人员），共计支出0.2万元，具体内容包括：（1）接待剑阁县普安镇白虎村村委会开展党支部结对共建相关事宜接待费用0.1万元；（2）接待苍溪县城乡建设投资有限公司工作交流学习接待费0.1万元。</w:t>
      </w:r>
    </w:p>
    <w:p>
      <w:pPr>
        <w:spacing w:line="576" w:lineRule="exact"/>
        <w:ind w:firstLine="643" w:firstLineChars="200"/>
        <w:rPr>
          <w:rFonts w:ascii="仿宋_GB2312"/>
          <w:szCs w:val="32"/>
        </w:rPr>
      </w:pPr>
      <w:r>
        <w:rPr>
          <w:rFonts w:hint="eastAsia" w:ascii="仿宋_GB2312" w:hAnsi="仿宋"/>
          <w:b/>
          <w:szCs w:val="32"/>
        </w:rPr>
        <w:t>外事接待支出</w:t>
      </w:r>
      <w:r>
        <w:rPr>
          <w:rFonts w:hint="eastAsia" w:ascii="仿宋_GB2312" w:hAnsi="仿宋"/>
          <w:szCs w:val="32"/>
        </w:rPr>
        <w:t>0</w:t>
      </w:r>
      <w:r>
        <w:rPr>
          <w:rFonts w:hint="eastAsia" w:ascii="仿宋_GB2312"/>
          <w:szCs w:val="32"/>
        </w:rPr>
        <w:t>万元。</w:t>
      </w:r>
      <w:bookmarkStart w:id="62" w:name="_Toc15377218"/>
      <w:bookmarkStart w:id="63" w:name="_Toc15396610"/>
    </w:p>
    <w:p>
      <w:pPr>
        <w:spacing w:line="576" w:lineRule="exact"/>
        <w:ind w:firstLine="640"/>
        <w:outlineLvl w:val="1"/>
        <w:rPr>
          <w:rStyle w:val="31"/>
          <w:rFonts w:ascii="黑体" w:hAnsi="黑体" w:eastAsia="黑体"/>
        </w:rPr>
      </w:pPr>
      <w:bookmarkStart w:id="64" w:name="_Toc146616496"/>
      <w:r>
        <w:rPr>
          <w:rFonts w:hint="eastAsia" w:ascii="黑体" w:eastAsia="黑体"/>
          <w:szCs w:val="32"/>
        </w:rPr>
        <w:t>八、</w:t>
      </w:r>
      <w:r>
        <w:rPr>
          <w:rStyle w:val="31"/>
          <w:rFonts w:hint="eastAsia" w:ascii="黑体" w:hAnsi="黑体" w:eastAsia="黑体"/>
          <w:b w:val="0"/>
        </w:rPr>
        <w:t>政府性基金预算支出决算情况说明</w:t>
      </w:r>
      <w:bookmarkEnd w:id="62"/>
      <w:bookmarkEnd w:id="63"/>
      <w:bookmarkEnd w:id="64"/>
    </w:p>
    <w:p>
      <w:pPr>
        <w:spacing w:line="576" w:lineRule="exact"/>
        <w:ind w:firstLine="640"/>
        <w:rPr>
          <w:rFonts w:ascii="仿宋_GB2312"/>
          <w:szCs w:val="32"/>
        </w:rPr>
      </w:pPr>
      <w:r>
        <w:rPr>
          <w:rFonts w:ascii="仿宋_GB2312"/>
          <w:szCs w:val="32"/>
        </w:rPr>
        <w:t>20</w:t>
      </w:r>
      <w:r>
        <w:rPr>
          <w:rFonts w:hint="eastAsia" w:ascii="仿宋_GB2312"/>
          <w:szCs w:val="32"/>
        </w:rPr>
        <w:t>22年政府性基金预算财政拨款支出</w:t>
      </w:r>
      <w:r>
        <w:rPr>
          <w:rFonts w:ascii="仿宋_GB2312"/>
          <w:szCs w:val="32"/>
        </w:rPr>
        <w:t>34439.05</w:t>
      </w:r>
      <w:r>
        <w:rPr>
          <w:rFonts w:hint="eastAsia" w:ascii="仿宋_GB2312"/>
          <w:szCs w:val="32"/>
        </w:rPr>
        <w:t>万元。</w:t>
      </w:r>
    </w:p>
    <w:p>
      <w:pPr>
        <w:numPr>
          <w:ilvl w:val="0"/>
          <w:numId w:val="3"/>
        </w:numPr>
        <w:spacing w:line="576" w:lineRule="exact"/>
        <w:ind w:firstLine="640"/>
        <w:outlineLvl w:val="1"/>
        <w:rPr>
          <w:rStyle w:val="31"/>
          <w:rFonts w:ascii="黑体" w:hAnsi="黑体" w:eastAsia="黑体"/>
          <w:b w:val="0"/>
        </w:rPr>
      </w:pPr>
      <w:bookmarkStart w:id="65" w:name="_Toc146616497"/>
      <w:bookmarkStart w:id="66" w:name="_Toc15396611"/>
      <w:bookmarkStart w:id="67" w:name="_Toc15377219"/>
      <w:r>
        <w:rPr>
          <w:rStyle w:val="31"/>
          <w:rFonts w:hint="eastAsia" w:ascii="黑体" w:hAnsi="黑体" w:eastAsia="黑体"/>
          <w:b w:val="0"/>
        </w:rPr>
        <w:t>国有资本经营预算支出决算情况说明</w:t>
      </w:r>
      <w:bookmarkEnd w:id="65"/>
      <w:bookmarkEnd w:id="66"/>
      <w:bookmarkEnd w:id="67"/>
    </w:p>
    <w:p>
      <w:pPr>
        <w:spacing w:line="576" w:lineRule="exact"/>
        <w:ind w:firstLine="640"/>
        <w:rPr>
          <w:rFonts w:ascii="仿宋_GB2312"/>
          <w:szCs w:val="32"/>
        </w:rPr>
      </w:pPr>
      <w:r>
        <w:rPr>
          <w:rFonts w:ascii="仿宋_GB2312"/>
          <w:szCs w:val="32"/>
        </w:rPr>
        <w:t>20</w:t>
      </w:r>
      <w:r>
        <w:rPr>
          <w:rFonts w:hint="eastAsia" w:ascii="仿宋_GB2312"/>
          <w:szCs w:val="32"/>
        </w:rPr>
        <w:t>22年国有资本经营预算财政拨款支出</w:t>
      </w:r>
      <w:r>
        <w:rPr>
          <w:rFonts w:ascii="仿宋_GB2312"/>
          <w:szCs w:val="32"/>
        </w:rPr>
        <w:t>0</w:t>
      </w:r>
      <w:r>
        <w:rPr>
          <w:rFonts w:hint="eastAsia" w:ascii="仿宋_GB2312"/>
          <w:szCs w:val="32"/>
        </w:rPr>
        <w:t>万元。</w:t>
      </w:r>
    </w:p>
    <w:p>
      <w:pPr>
        <w:numPr>
          <w:ilvl w:val="0"/>
          <w:numId w:val="3"/>
        </w:numPr>
        <w:spacing w:line="576" w:lineRule="exact"/>
        <w:ind w:firstLine="640"/>
        <w:outlineLvl w:val="1"/>
        <w:rPr>
          <w:rStyle w:val="31"/>
          <w:rFonts w:ascii="黑体" w:hAnsi="黑体" w:eastAsia="黑体"/>
          <w:b w:val="0"/>
        </w:rPr>
      </w:pPr>
      <w:bookmarkStart w:id="68" w:name="_Toc15377221"/>
      <w:bookmarkStart w:id="69" w:name="_Toc146616498"/>
      <w:bookmarkStart w:id="70" w:name="_Toc15396612"/>
      <w:r>
        <w:rPr>
          <w:rStyle w:val="31"/>
          <w:rFonts w:hint="eastAsia" w:ascii="黑体" w:hAnsi="黑体" w:eastAsia="黑体"/>
          <w:b w:val="0"/>
        </w:rPr>
        <w:t>其他重要事项的情况说明</w:t>
      </w:r>
      <w:bookmarkEnd w:id="68"/>
      <w:bookmarkEnd w:id="69"/>
      <w:bookmarkEnd w:id="70"/>
    </w:p>
    <w:p>
      <w:pPr>
        <w:spacing w:line="576" w:lineRule="exact"/>
        <w:ind w:firstLine="643" w:firstLineChars="200"/>
        <w:outlineLvl w:val="2"/>
        <w:rPr>
          <w:rFonts w:ascii="仿宋_GB2312" w:hAnsi="仿宋"/>
          <w:szCs w:val="32"/>
        </w:rPr>
      </w:pPr>
      <w:bookmarkStart w:id="71" w:name="_Toc146616499"/>
      <w:bookmarkStart w:id="72" w:name="_Toc15377222"/>
      <w:r>
        <w:rPr>
          <w:rFonts w:hint="eastAsia" w:ascii="仿宋_GB2312" w:hAnsi="仿宋"/>
          <w:b/>
          <w:szCs w:val="32"/>
        </w:rPr>
        <w:t>（一）机关运行经费支出情况</w:t>
      </w:r>
      <w:bookmarkEnd w:id="71"/>
      <w:bookmarkEnd w:id="72"/>
    </w:p>
    <w:p>
      <w:pPr>
        <w:spacing w:line="576" w:lineRule="exact"/>
        <w:ind w:firstLine="640" w:firstLineChars="200"/>
        <w:rPr>
          <w:rFonts w:ascii="仿宋_GB2312"/>
          <w:szCs w:val="32"/>
        </w:rPr>
      </w:pPr>
      <w:r>
        <w:rPr>
          <w:rFonts w:ascii="仿宋_GB2312"/>
          <w:szCs w:val="32"/>
        </w:rPr>
        <w:t>20</w:t>
      </w:r>
      <w:r>
        <w:rPr>
          <w:rFonts w:hint="eastAsia" w:ascii="仿宋_GB2312"/>
          <w:szCs w:val="32"/>
        </w:rPr>
        <w:t>22年，广元市政府国有资产监督管理委员会机关运行经费支出8</w:t>
      </w:r>
      <w:r>
        <w:rPr>
          <w:rFonts w:ascii="仿宋_GB2312"/>
          <w:szCs w:val="32"/>
        </w:rPr>
        <w:t>4.75</w:t>
      </w:r>
      <w:r>
        <w:rPr>
          <w:rFonts w:hint="eastAsia" w:ascii="仿宋_GB2312"/>
          <w:szCs w:val="32"/>
        </w:rPr>
        <w:t>万元，比</w:t>
      </w:r>
      <w:r>
        <w:rPr>
          <w:rFonts w:ascii="仿宋_GB2312"/>
          <w:szCs w:val="32"/>
        </w:rPr>
        <w:t>20</w:t>
      </w:r>
      <w:r>
        <w:rPr>
          <w:rFonts w:hint="eastAsia" w:ascii="仿宋_GB2312"/>
          <w:szCs w:val="32"/>
        </w:rPr>
        <w:t>21年增加6</w:t>
      </w:r>
      <w:r>
        <w:rPr>
          <w:rFonts w:ascii="仿宋_GB2312"/>
          <w:szCs w:val="32"/>
        </w:rPr>
        <w:t>.44</w:t>
      </w:r>
      <w:r>
        <w:rPr>
          <w:rFonts w:hint="eastAsia" w:ascii="仿宋_GB2312"/>
          <w:szCs w:val="32"/>
        </w:rPr>
        <w:t>万元，增长8</w:t>
      </w:r>
      <w:r>
        <w:rPr>
          <w:rFonts w:ascii="仿宋_GB2312"/>
          <w:szCs w:val="32"/>
        </w:rPr>
        <w:t>.22%</w:t>
      </w:r>
      <w:r>
        <w:rPr>
          <w:rFonts w:hint="eastAsia" w:ascii="仿宋_GB2312"/>
          <w:szCs w:val="32"/>
        </w:rPr>
        <w:t>。主要原因是重点工作增加。</w:t>
      </w:r>
    </w:p>
    <w:p>
      <w:pPr>
        <w:autoSpaceDE w:val="0"/>
        <w:autoSpaceDN w:val="0"/>
        <w:adjustRightInd w:val="0"/>
        <w:spacing w:line="576" w:lineRule="exact"/>
        <w:ind w:firstLine="643" w:firstLineChars="200"/>
        <w:jc w:val="left"/>
        <w:outlineLvl w:val="2"/>
        <w:rPr>
          <w:rFonts w:ascii="仿宋_GB2312" w:hAnsi="仿宋"/>
          <w:b/>
          <w:szCs w:val="32"/>
        </w:rPr>
      </w:pPr>
      <w:bookmarkStart w:id="73" w:name="_Toc15377223"/>
      <w:bookmarkStart w:id="74" w:name="_Toc146616500"/>
      <w:r>
        <w:rPr>
          <w:rFonts w:hint="eastAsia" w:ascii="仿宋_GB2312" w:hAnsi="仿宋"/>
          <w:b/>
          <w:szCs w:val="32"/>
        </w:rPr>
        <w:t>（二）政府采购支出情况</w:t>
      </w:r>
      <w:bookmarkEnd w:id="73"/>
      <w:bookmarkEnd w:id="74"/>
    </w:p>
    <w:p>
      <w:pPr>
        <w:spacing w:line="576" w:lineRule="exact"/>
        <w:ind w:firstLine="640" w:firstLineChars="200"/>
        <w:rPr>
          <w:rFonts w:ascii="仿宋_GB2312"/>
          <w:szCs w:val="32"/>
        </w:rPr>
      </w:pPr>
      <w:r>
        <w:rPr>
          <w:rFonts w:ascii="仿宋_GB2312"/>
          <w:szCs w:val="32"/>
        </w:rPr>
        <w:t>20</w:t>
      </w:r>
      <w:r>
        <w:rPr>
          <w:rFonts w:hint="eastAsia" w:ascii="仿宋_GB2312"/>
          <w:szCs w:val="32"/>
        </w:rPr>
        <w:t>22年，广元市政府国有资产监督管理委员会政府采购支出总额</w:t>
      </w:r>
      <w:r>
        <w:rPr>
          <w:rFonts w:ascii="仿宋_GB2312"/>
          <w:szCs w:val="32"/>
        </w:rPr>
        <w:t>4.33</w:t>
      </w:r>
      <w:r>
        <w:rPr>
          <w:rFonts w:hint="eastAsia" w:ascii="仿宋_GB2312"/>
          <w:szCs w:val="32"/>
        </w:rPr>
        <w:t>万元。其中：政府采购货物支出</w:t>
      </w:r>
      <w:r>
        <w:rPr>
          <w:rFonts w:ascii="仿宋_GB2312"/>
          <w:szCs w:val="32"/>
        </w:rPr>
        <w:t>4.33</w:t>
      </w:r>
      <w:r>
        <w:rPr>
          <w:rFonts w:hint="eastAsia" w:ascii="仿宋_GB2312"/>
          <w:szCs w:val="32"/>
        </w:rPr>
        <w:t>万元，主要用于购买多功能一体机、文件柜等。授予中小企业合同金额</w:t>
      </w:r>
      <w:r>
        <w:rPr>
          <w:rFonts w:ascii="仿宋_GB2312"/>
          <w:szCs w:val="32"/>
        </w:rPr>
        <w:t>4.33</w:t>
      </w:r>
      <w:r>
        <w:rPr>
          <w:rFonts w:hint="eastAsia" w:ascii="仿宋_GB2312"/>
          <w:szCs w:val="32"/>
        </w:rPr>
        <w:t>万元，占政府采购支出总额的</w:t>
      </w:r>
      <w:r>
        <w:rPr>
          <w:rFonts w:ascii="仿宋_GB2312"/>
          <w:szCs w:val="32"/>
        </w:rPr>
        <w:t>100%</w:t>
      </w:r>
      <w:r>
        <w:rPr>
          <w:rFonts w:hint="eastAsia" w:ascii="仿宋_GB2312"/>
          <w:szCs w:val="32"/>
        </w:rPr>
        <w:t>，其中：授予小微企业合同金额</w:t>
      </w:r>
      <w:r>
        <w:rPr>
          <w:rFonts w:ascii="仿宋_GB2312"/>
          <w:szCs w:val="32"/>
        </w:rPr>
        <w:t>4.33</w:t>
      </w:r>
      <w:r>
        <w:rPr>
          <w:rFonts w:hint="eastAsia" w:ascii="仿宋_GB2312"/>
          <w:szCs w:val="32"/>
        </w:rPr>
        <w:t>万元，占政府采购支出总额的</w:t>
      </w:r>
      <w:r>
        <w:rPr>
          <w:rFonts w:ascii="仿宋_GB2312"/>
          <w:szCs w:val="32"/>
        </w:rPr>
        <w:t>100%</w:t>
      </w:r>
      <w:r>
        <w:rPr>
          <w:rFonts w:hint="eastAsia" w:ascii="仿宋_GB2312"/>
          <w:szCs w:val="32"/>
        </w:rPr>
        <w:t>。</w:t>
      </w:r>
      <w:bookmarkStart w:id="75" w:name="_Toc15377224"/>
    </w:p>
    <w:p>
      <w:pPr>
        <w:spacing w:line="576" w:lineRule="exact"/>
        <w:ind w:firstLine="643" w:firstLineChars="200"/>
        <w:rPr>
          <w:rFonts w:ascii="仿宋" w:hAnsi="仿宋" w:eastAsia="仿宋"/>
          <w:b/>
          <w:szCs w:val="32"/>
        </w:rPr>
      </w:pPr>
      <w:r>
        <w:rPr>
          <w:rFonts w:hint="eastAsia" w:ascii="仿宋" w:hAnsi="仿宋" w:eastAsia="仿宋"/>
          <w:b/>
          <w:szCs w:val="32"/>
        </w:rPr>
        <w:t>（三）国有资产占有使用情况</w:t>
      </w:r>
      <w:bookmarkEnd w:id="75"/>
    </w:p>
    <w:p>
      <w:pPr>
        <w:autoSpaceDE w:val="0"/>
        <w:autoSpaceDN w:val="0"/>
        <w:adjustRightInd w:val="0"/>
        <w:spacing w:line="576" w:lineRule="exact"/>
        <w:ind w:firstLine="640" w:firstLineChars="200"/>
        <w:jc w:val="left"/>
        <w:rPr>
          <w:rFonts w:ascii="仿宋_GB2312"/>
          <w:szCs w:val="32"/>
        </w:rPr>
      </w:pPr>
      <w:r>
        <w:rPr>
          <w:rFonts w:hint="eastAsia" w:ascii="仿宋_GB2312"/>
          <w:szCs w:val="32"/>
        </w:rPr>
        <w:t>截至</w:t>
      </w:r>
      <w:r>
        <w:rPr>
          <w:rFonts w:ascii="仿宋_GB2312"/>
          <w:szCs w:val="32"/>
        </w:rPr>
        <w:t>20</w:t>
      </w:r>
      <w:r>
        <w:rPr>
          <w:rFonts w:hint="eastAsia" w:ascii="仿宋_GB2312"/>
          <w:szCs w:val="32"/>
        </w:rPr>
        <w:t>22年</w:t>
      </w:r>
      <w:r>
        <w:rPr>
          <w:rFonts w:ascii="仿宋_GB2312"/>
          <w:szCs w:val="32"/>
        </w:rPr>
        <w:t>12</w:t>
      </w:r>
      <w:r>
        <w:rPr>
          <w:rFonts w:hint="eastAsia" w:ascii="仿宋_GB2312"/>
          <w:szCs w:val="32"/>
        </w:rPr>
        <w:t>月</w:t>
      </w:r>
      <w:r>
        <w:rPr>
          <w:rFonts w:ascii="仿宋_GB2312"/>
          <w:szCs w:val="32"/>
        </w:rPr>
        <w:t>31</w:t>
      </w:r>
      <w:r>
        <w:rPr>
          <w:rFonts w:hint="eastAsia" w:ascii="仿宋_GB2312"/>
          <w:szCs w:val="32"/>
        </w:rPr>
        <w:t>日，广元市政府国有资产监督管理委员会共有车辆</w:t>
      </w:r>
      <w:r>
        <w:rPr>
          <w:rFonts w:ascii="仿宋_GB2312"/>
          <w:szCs w:val="32"/>
        </w:rPr>
        <w:t>1</w:t>
      </w:r>
      <w:r>
        <w:rPr>
          <w:rFonts w:hint="eastAsia" w:ascii="仿宋_GB2312"/>
          <w:szCs w:val="32"/>
        </w:rPr>
        <w:t>辆，其中：其他用车</w:t>
      </w:r>
      <w:r>
        <w:rPr>
          <w:rFonts w:ascii="仿宋_GB2312"/>
          <w:szCs w:val="32"/>
        </w:rPr>
        <w:t>1</w:t>
      </w:r>
      <w:r>
        <w:rPr>
          <w:rFonts w:hint="eastAsia" w:ascii="仿宋_GB2312"/>
          <w:szCs w:val="32"/>
        </w:rPr>
        <w:t>辆，主要是用于单位日常出行。单价</w:t>
      </w:r>
      <w:r>
        <w:rPr>
          <w:rFonts w:ascii="仿宋_GB2312"/>
          <w:szCs w:val="32"/>
        </w:rPr>
        <w:t>100</w:t>
      </w:r>
      <w:r>
        <w:rPr>
          <w:rFonts w:hint="eastAsia" w:ascii="仿宋_GB2312"/>
          <w:szCs w:val="32"/>
        </w:rPr>
        <w:t>万元以上专用设备</w:t>
      </w:r>
      <w:r>
        <w:rPr>
          <w:rFonts w:ascii="仿宋_GB2312"/>
          <w:szCs w:val="32"/>
        </w:rPr>
        <w:t>0</w:t>
      </w:r>
      <w:r>
        <w:rPr>
          <w:rFonts w:hint="eastAsia" w:ascii="仿宋_GB2312"/>
          <w:szCs w:val="32"/>
        </w:rPr>
        <w:t>台（套）。</w:t>
      </w:r>
    </w:p>
    <w:p>
      <w:pPr>
        <w:autoSpaceDE w:val="0"/>
        <w:autoSpaceDN w:val="0"/>
        <w:adjustRightInd w:val="0"/>
        <w:spacing w:line="576" w:lineRule="exact"/>
        <w:ind w:firstLine="643" w:firstLineChars="200"/>
        <w:jc w:val="left"/>
        <w:outlineLvl w:val="2"/>
        <w:rPr>
          <w:rFonts w:ascii="仿宋" w:hAnsi="仿宋" w:eastAsia="仿宋"/>
          <w:b/>
          <w:szCs w:val="32"/>
        </w:rPr>
      </w:pPr>
      <w:bookmarkStart w:id="76" w:name="_Toc146616501"/>
      <w:r>
        <w:rPr>
          <w:rFonts w:hint="eastAsia" w:ascii="仿宋" w:hAnsi="仿宋" w:eastAsia="仿宋"/>
          <w:b/>
          <w:szCs w:val="32"/>
        </w:rPr>
        <w:t>（四）预算绩效管理情况</w:t>
      </w:r>
      <w:bookmarkEnd w:id="76"/>
    </w:p>
    <w:p>
      <w:pPr>
        <w:widowControl/>
        <w:spacing w:line="576" w:lineRule="exact"/>
        <w:ind w:firstLine="640" w:firstLineChars="200"/>
        <w:jc w:val="left"/>
        <w:rPr>
          <w:rFonts w:ascii="仿宋_GB2312" w:hAnsi="仿宋_GB2312" w:cs="仿宋_GB2312"/>
          <w:szCs w:val="32"/>
          <w:highlight w:val="yellow"/>
        </w:rPr>
      </w:pPr>
      <w:r>
        <w:rPr>
          <w:rFonts w:hint="eastAsia" w:ascii="仿宋_GB2312" w:hAnsi="仿宋_GB2312" w:cs="仿宋_GB2312"/>
          <w:szCs w:val="32"/>
        </w:rPr>
        <w:t>根据预算绩效管理要求，本部门在2022年度预算编制阶段，组织对办公设备购买项目等3</w:t>
      </w:r>
      <w:r>
        <w:rPr>
          <w:rFonts w:ascii="仿宋_GB2312" w:hAnsi="仿宋_GB2312" w:cs="仿宋_GB2312"/>
          <w:szCs w:val="32"/>
        </w:rPr>
        <w:t>1</w:t>
      </w:r>
      <w:r>
        <w:rPr>
          <w:rFonts w:hint="eastAsia" w:ascii="仿宋_GB2312" w:hAnsi="仿宋_GB2312" w:cs="仿宋_GB2312"/>
          <w:szCs w:val="32"/>
        </w:rPr>
        <w:t>个项目开展了预算事前绩效评估，对</w:t>
      </w:r>
      <w:r>
        <w:rPr>
          <w:rFonts w:ascii="仿宋_GB2312" w:hAnsi="仿宋_GB2312" w:cs="仿宋_GB2312"/>
          <w:szCs w:val="32"/>
        </w:rPr>
        <w:t>31</w:t>
      </w:r>
      <w:r>
        <w:rPr>
          <w:rFonts w:hint="eastAsia" w:ascii="仿宋_GB2312" w:hAnsi="仿宋_GB2312" w:cs="仿宋_GB2312"/>
          <w:szCs w:val="32"/>
        </w:rPr>
        <w:t>个项目编制了绩效目标，预算执行过程中，对1</w:t>
      </w:r>
      <w:r>
        <w:rPr>
          <w:rFonts w:ascii="仿宋_GB2312" w:hAnsi="仿宋_GB2312" w:cs="仿宋_GB2312"/>
          <w:szCs w:val="32"/>
        </w:rPr>
        <w:t>4</w:t>
      </w:r>
      <w:r>
        <w:rPr>
          <w:rFonts w:hint="eastAsia" w:ascii="仿宋_GB2312" w:hAnsi="仿宋_GB2312" w:cs="仿宋_GB2312"/>
          <w:szCs w:val="32"/>
        </w:rPr>
        <w:t>个项目开展绩效监控。</w:t>
      </w:r>
    </w:p>
    <w:p>
      <w:pPr>
        <w:adjustRightInd w:val="0"/>
        <w:snapToGrid w:val="0"/>
        <w:spacing w:line="600" w:lineRule="exact"/>
        <w:ind w:firstLine="640" w:firstLineChars="200"/>
        <w:jc w:val="left"/>
        <w:rPr>
          <w:rFonts w:ascii="仿宋_GB2312"/>
          <w:color w:val="000000"/>
          <w:szCs w:val="32"/>
          <w:shd w:val="clear" w:color="auto" w:fill="FFFFFF"/>
        </w:rPr>
      </w:pPr>
      <w:r>
        <w:rPr>
          <w:rFonts w:hint="eastAsia" w:ascii="仿宋_GB2312" w:hAnsi="仿宋_GB2312" w:cs="仿宋_GB2312"/>
          <w:szCs w:val="32"/>
        </w:rPr>
        <w:t>组织对2022年度一般公共预算、政府性基金等全面开展绩效自评，形成</w:t>
      </w:r>
      <w:r>
        <w:rPr>
          <w:rFonts w:hint="eastAsia" w:ascii="仿宋_GB2312"/>
          <w:szCs w:val="32"/>
        </w:rPr>
        <w:t>广元市政府国有资产监督管理委员会</w:t>
      </w:r>
      <w:r>
        <w:rPr>
          <w:rFonts w:hint="eastAsia" w:ascii="仿宋_GB2312" w:hAnsi="仿宋_GB2312" w:cs="仿宋_GB2312"/>
          <w:szCs w:val="32"/>
        </w:rPr>
        <w:t>部门整体支出绩效自评报告等专项预算项目绩效自评报告，其中，</w:t>
      </w:r>
      <w:r>
        <w:rPr>
          <w:rFonts w:hint="eastAsia" w:ascii="仿宋_GB2312"/>
          <w:szCs w:val="32"/>
        </w:rPr>
        <w:t>广元市政府国有资产监督管理委员会</w:t>
      </w:r>
      <w:r>
        <w:rPr>
          <w:rFonts w:hint="eastAsia" w:ascii="仿宋_GB2312" w:hAnsi="仿宋_GB2312" w:cs="仿宋_GB2312"/>
          <w:szCs w:val="32"/>
        </w:rPr>
        <w:t>部门整体支出绩效自评得分为</w:t>
      </w:r>
      <w:r>
        <w:rPr>
          <w:rFonts w:ascii="仿宋_GB2312" w:hAnsi="仿宋_GB2312" w:cs="仿宋_GB2312"/>
          <w:szCs w:val="32"/>
        </w:rPr>
        <w:t>96.33</w:t>
      </w:r>
      <w:r>
        <w:rPr>
          <w:rFonts w:hint="eastAsia" w:ascii="仿宋_GB2312" w:hAnsi="仿宋_GB2312" w:cs="仿宋_GB2312"/>
          <w:szCs w:val="32"/>
        </w:rPr>
        <w:t>分，绩效自评综述：</w:t>
      </w:r>
      <w:r>
        <w:rPr>
          <w:rFonts w:hint="eastAsia" w:ascii="仿宋_GB2312"/>
          <w:color w:val="000000"/>
          <w:szCs w:val="32"/>
          <w:shd w:val="clear" w:color="auto" w:fill="FFFFFF"/>
        </w:rPr>
        <w:t>项目绩效评价选用的指标主要包括预算执行情况、财务管理状况、时效、成本以及社会效益等，采取单位绩效评价自评方式。项目按照绩效目标的实施内容及工作要求实施完毕，执行情况较好，达到了预期绩效目标。</w:t>
      </w:r>
    </w:p>
    <w:p>
      <w:pPr>
        <w:adjustRightInd w:val="0"/>
        <w:snapToGrid w:val="0"/>
        <w:spacing w:line="600" w:lineRule="exact"/>
        <w:ind w:firstLine="640" w:firstLineChars="200"/>
        <w:jc w:val="left"/>
        <w:rPr>
          <w:rFonts w:ascii="仿宋_GB2312" w:hAnsi="仿宋_GB2312" w:cs="仿宋_GB2312"/>
          <w:szCs w:val="32"/>
        </w:rPr>
      </w:pPr>
      <w:r>
        <w:rPr>
          <w:rFonts w:hint="eastAsia" w:ascii="仿宋_GB2312" w:hAnsi="仿宋_GB2312" w:cs="仿宋_GB2312"/>
          <w:szCs w:val="32"/>
        </w:rPr>
        <w:t>绩效自评报告详见附件</w:t>
      </w:r>
    </w:p>
    <w:p>
      <w:pPr>
        <w:rPr>
          <w:rFonts w:ascii="仿宋_GB2312" w:hAnsi="仿宋_GB2312" w:cs="仿宋_GB2312"/>
          <w:szCs w:val="32"/>
        </w:rPr>
      </w:pPr>
      <w:r>
        <w:rPr>
          <w:rFonts w:hint="eastAsia" w:ascii="仿宋_GB2312" w:hAnsi="仿宋_GB2312" w:cs="仿宋_GB2312"/>
          <w:szCs w:val="32"/>
        </w:rPr>
        <w:br w:type="page"/>
      </w:r>
    </w:p>
    <w:p>
      <w:pPr>
        <w:numPr>
          <w:ilvl w:val="0"/>
          <w:numId w:val="4"/>
        </w:numPr>
        <w:spacing w:line="576" w:lineRule="exact"/>
        <w:ind w:firstLine="660" w:firstLineChars="150"/>
        <w:jc w:val="center"/>
        <w:outlineLvl w:val="0"/>
        <w:rPr>
          <w:rStyle w:val="30"/>
          <w:rFonts w:ascii="黑体" w:hAnsi="黑体" w:eastAsia="黑体"/>
          <w:b w:val="0"/>
        </w:rPr>
      </w:pPr>
      <w:bookmarkStart w:id="77" w:name="_Toc15377225"/>
      <w:bookmarkStart w:id="78" w:name="_Toc15396613"/>
      <w:bookmarkStart w:id="79" w:name="_Toc146616502"/>
      <w:r>
        <w:rPr>
          <w:rFonts w:hint="eastAsia" w:ascii="黑体" w:hAnsi="黑体" w:eastAsia="黑体"/>
          <w:sz w:val="44"/>
          <w:szCs w:val="44"/>
        </w:rPr>
        <w:t>名</w:t>
      </w:r>
      <w:r>
        <w:rPr>
          <w:rStyle w:val="30"/>
          <w:rFonts w:hint="eastAsia" w:ascii="黑体" w:hAnsi="黑体" w:eastAsia="黑体"/>
          <w:b w:val="0"/>
        </w:rPr>
        <w:t>词解释</w:t>
      </w:r>
      <w:bookmarkEnd w:id="77"/>
      <w:bookmarkEnd w:id="78"/>
      <w:bookmarkEnd w:id="79"/>
    </w:p>
    <w:p>
      <w:pPr>
        <w:spacing w:line="576" w:lineRule="exact"/>
        <w:jc w:val="left"/>
        <w:rPr>
          <w:rFonts w:ascii="宋体"/>
          <w:b/>
          <w:sz w:val="44"/>
          <w:szCs w:val="44"/>
        </w:rPr>
      </w:pPr>
    </w:p>
    <w:p>
      <w:pPr>
        <w:numPr>
          <w:ilvl w:val="0"/>
          <w:numId w:val="5"/>
        </w:numPr>
        <w:rPr>
          <w:rFonts w:ascii="仿宋_GB2312"/>
          <w:szCs w:val="32"/>
        </w:rPr>
      </w:pPr>
      <w:r>
        <w:rPr>
          <w:rFonts w:hint="eastAsia" w:ascii="仿宋_GB2312"/>
          <w:szCs w:val="32"/>
        </w:rPr>
        <w:t>财政拨款收入：指单位从同级财政部门取得的财政预算资金。</w:t>
      </w:r>
    </w:p>
    <w:p>
      <w:pPr>
        <w:numPr>
          <w:ilvl w:val="0"/>
          <w:numId w:val="5"/>
        </w:numPr>
        <w:rPr>
          <w:rFonts w:ascii="仿宋_GB2312"/>
          <w:szCs w:val="32"/>
        </w:rPr>
      </w:pPr>
      <w:r>
        <w:rPr>
          <w:rFonts w:hint="eastAsia" w:ascii="仿宋_GB2312"/>
          <w:szCs w:val="32"/>
        </w:rPr>
        <w:t xml:space="preserve">其他收入：指单位取得的除上述收入以外的各项收入。主要是利息收入等。 </w:t>
      </w:r>
    </w:p>
    <w:p>
      <w:pPr>
        <w:numPr>
          <w:ilvl w:val="0"/>
          <w:numId w:val="5"/>
        </w:numPr>
        <w:rPr>
          <w:rFonts w:ascii="仿宋_GB2312"/>
          <w:szCs w:val="32"/>
        </w:rPr>
      </w:pPr>
      <w:r>
        <w:rPr>
          <w:rFonts w:hint="eastAsia" w:ascii="仿宋_GB2312"/>
          <w:szCs w:val="32"/>
        </w:rPr>
        <w:t xml:space="preserve">使用非财政拨款结余：指事业单位使用以前年度积累的非财政拨款结余弥补当年收支差额的金额。 </w:t>
      </w:r>
    </w:p>
    <w:p>
      <w:pPr>
        <w:numPr>
          <w:ilvl w:val="0"/>
          <w:numId w:val="5"/>
        </w:numPr>
        <w:rPr>
          <w:rFonts w:ascii="仿宋_GB2312"/>
          <w:szCs w:val="32"/>
        </w:rPr>
      </w:pPr>
      <w:r>
        <w:rPr>
          <w:rFonts w:hint="eastAsia" w:ascii="仿宋_GB2312"/>
          <w:szCs w:val="32"/>
        </w:rPr>
        <w:t xml:space="preserve">年初结转和结余：指以前年度尚未完成、结转到本年按有关规定继续使用的资金。 </w:t>
      </w:r>
    </w:p>
    <w:p>
      <w:pPr>
        <w:numPr>
          <w:ilvl w:val="0"/>
          <w:numId w:val="5"/>
        </w:numPr>
        <w:rPr>
          <w:rFonts w:ascii="仿宋_GB2312"/>
          <w:szCs w:val="32"/>
        </w:rPr>
      </w:pPr>
      <w:r>
        <w:rPr>
          <w:rFonts w:hint="eastAsia" w:ascii="仿宋_GB2312"/>
          <w:szCs w:val="32"/>
        </w:rPr>
        <w:t>结余分配：指事业单位按照会计制度规定缴纳的所得税、提取的专用结余以及转入非财政拨款结余的金额等。</w:t>
      </w:r>
    </w:p>
    <w:p>
      <w:pPr>
        <w:numPr>
          <w:ilvl w:val="0"/>
          <w:numId w:val="5"/>
        </w:numPr>
        <w:rPr>
          <w:rFonts w:ascii="仿宋_GB2312"/>
          <w:szCs w:val="32"/>
        </w:rPr>
      </w:pPr>
      <w:r>
        <w:rPr>
          <w:rFonts w:hint="eastAsia" w:ascii="仿宋_GB2312"/>
          <w:szCs w:val="32"/>
        </w:rPr>
        <w:t>年末结转和结余：指单位按有关规定结转到下年或以后年度继续使用的资金。</w:t>
      </w:r>
    </w:p>
    <w:p>
      <w:pPr>
        <w:numPr>
          <w:ilvl w:val="0"/>
          <w:numId w:val="5"/>
        </w:numPr>
        <w:rPr>
          <w:rFonts w:ascii="仿宋_GB2312"/>
          <w:szCs w:val="32"/>
        </w:rPr>
      </w:pPr>
      <w:r>
        <w:rPr>
          <w:rFonts w:hint="eastAsia" w:ascii="仿宋_GB2312"/>
          <w:szCs w:val="32"/>
        </w:rPr>
        <w:t>文化旅游体育与传媒（类）文化和旅游（款）其他文化和旅游支出（项）：</w:t>
      </w:r>
      <w:r>
        <w:rPr>
          <w:rFonts w:hint="eastAsia" w:ascii="仿宋_GB2312"/>
          <w:color w:val="000000"/>
          <w:szCs w:val="32"/>
          <w:shd w:val="clear" w:color="auto" w:fill="FFFFFF"/>
        </w:rPr>
        <w:t>反映上述项目以外其他用于文化和旅游的支出。</w:t>
      </w:r>
    </w:p>
    <w:p>
      <w:pPr>
        <w:numPr>
          <w:ilvl w:val="0"/>
          <w:numId w:val="5"/>
        </w:numPr>
        <w:rPr>
          <w:rFonts w:ascii="仿宋_GB2312"/>
          <w:szCs w:val="32"/>
        </w:rPr>
      </w:pPr>
      <w:r>
        <w:rPr>
          <w:rFonts w:hint="eastAsia" w:ascii="仿宋_GB2312"/>
          <w:szCs w:val="32"/>
        </w:rPr>
        <w:t>社会保障和就业（类）人力资源和社会保障管理事务（款）引进人才费用（项）：反映用于引进外国专家补助、引智成果推广等方面的支出。</w:t>
      </w:r>
    </w:p>
    <w:p>
      <w:pPr>
        <w:numPr>
          <w:ilvl w:val="0"/>
          <w:numId w:val="5"/>
        </w:numPr>
        <w:rPr>
          <w:rFonts w:ascii="仿宋_GB2312"/>
          <w:szCs w:val="32"/>
        </w:rPr>
      </w:pPr>
      <w:r>
        <w:rPr>
          <w:rFonts w:hint="eastAsia" w:ascii="仿宋_GB2312"/>
          <w:szCs w:val="32"/>
        </w:rPr>
        <w:t>社会保障和就业（类）行政事业单位养老支出（款）机关事业单位基本养老保险缴费支出（项）：反映机关事业单位实施养老保险制度由单位缴纳的基本养老保险费支出。</w:t>
      </w:r>
    </w:p>
    <w:p>
      <w:pPr>
        <w:numPr>
          <w:ilvl w:val="0"/>
          <w:numId w:val="5"/>
        </w:numPr>
        <w:rPr>
          <w:rFonts w:ascii="仿宋_GB2312"/>
          <w:szCs w:val="32"/>
        </w:rPr>
      </w:pPr>
      <w:r>
        <w:rPr>
          <w:rFonts w:hint="eastAsia" w:ascii="仿宋_GB2312"/>
          <w:szCs w:val="32"/>
        </w:rPr>
        <w:t>社会保障和就业（类）行政事业单位养老支出（款）机关事业单位职业年金缴费支出（项）：反映机关事业单位实施养老保险制度由单位缴纳的职业年金支出。</w:t>
      </w:r>
    </w:p>
    <w:p>
      <w:pPr>
        <w:numPr>
          <w:ilvl w:val="0"/>
          <w:numId w:val="5"/>
        </w:numPr>
        <w:rPr>
          <w:rFonts w:ascii="仿宋_GB2312"/>
          <w:szCs w:val="32"/>
        </w:rPr>
      </w:pPr>
      <w:r>
        <w:rPr>
          <w:rFonts w:hint="eastAsia" w:ascii="仿宋_GB2312"/>
          <w:szCs w:val="32"/>
        </w:rPr>
        <w:t>社会保障和就业（类）其他社会保障和就业支出（款）其他社会保障和就业支出（项）：反映除上述项目以外其他用于社会保障和就业方面的支出。</w:t>
      </w:r>
    </w:p>
    <w:p>
      <w:pPr>
        <w:numPr>
          <w:ilvl w:val="0"/>
          <w:numId w:val="5"/>
        </w:numPr>
        <w:rPr>
          <w:rFonts w:ascii="仿宋_GB2312"/>
          <w:szCs w:val="32"/>
        </w:rPr>
      </w:pPr>
      <w:r>
        <w:rPr>
          <w:rFonts w:hint="eastAsia" w:ascii="仿宋_GB2312"/>
          <w:szCs w:val="32"/>
        </w:rPr>
        <w:t>卫生健康（类）行政事业单位医疗（款）行政单位医疗（项）：反映</w:t>
      </w:r>
      <w:r>
        <w:rPr>
          <w:rFonts w:hint="eastAsia" w:ascii="仿宋_GB2312" w:hAnsi="仿宋"/>
          <w:color w:val="000000"/>
          <w:szCs w:val="32"/>
        </w:rPr>
        <w:t>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szCs w:val="32"/>
        </w:rPr>
        <w:t>。</w:t>
      </w:r>
    </w:p>
    <w:p>
      <w:pPr>
        <w:numPr>
          <w:ilvl w:val="0"/>
          <w:numId w:val="5"/>
        </w:numPr>
        <w:rPr>
          <w:rFonts w:ascii="仿宋_GB2312"/>
          <w:szCs w:val="32"/>
        </w:rPr>
      </w:pPr>
      <w:r>
        <w:rPr>
          <w:rFonts w:hint="eastAsia" w:ascii="仿宋_GB2312"/>
          <w:szCs w:val="32"/>
        </w:rPr>
        <w:t>卫生健康（类）行政事业单位医疗（款）事业单位医疗（项）：</w:t>
      </w:r>
      <w:r>
        <w:rPr>
          <w:rFonts w:hint="eastAsia" w:ascii="仿宋_GB2312" w:hAnsi="仿宋"/>
          <w:color w:val="000000"/>
          <w:szCs w:val="32"/>
        </w:rPr>
        <w:t>反映财政部门安排的事业单位基本医疗保险缴费经费，未参加医疗保险的事业单位的公费医疗经费，按国家规定享受离休人员待遇的医疗经费。</w:t>
      </w:r>
    </w:p>
    <w:p>
      <w:pPr>
        <w:numPr>
          <w:ilvl w:val="0"/>
          <w:numId w:val="5"/>
        </w:numPr>
        <w:rPr>
          <w:rFonts w:ascii="仿宋_GB2312"/>
          <w:szCs w:val="32"/>
        </w:rPr>
      </w:pPr>
      <w:r>
        <w:rPr>
          <w:rFonts w:hint="eastAsia" w:ascii="仿宋_GB2312"/>
          <w:szCs w:val="32"/>
        </w:rPr>
        <w:t>城乡社区（类）国有土地使用权出让收入安排的支出（款）征地和拆迁补偿支出（项）：</w:t>
      </w:r>
      <w:r>
        <w:rPr>
          <w:rFonts w:hint="eastAsia" w:ascii="仿宋_GB2312" w:hAnsi="仿宋"/>
          <w:color w:val="000000"/>
          <w:szCs w:val="32"/>
        </w:rPr>
        <w:t>反映从国有土地收益基金中安排用于收购储备土地需要支付的土地补偿费、安置补助费、地上附着和青苗补偿费、拆迁补偿费支出</w:t>
      </w:r>
      <w:r>
        <w:rPr>
          <w:rFonts w:hint="eastAsia" w:ascii="仿宋_GB2312"/>
          <w:szCs w:val="32"/>
        </w:rPr>
        <w:t>。</w:t>
      </w:r>
    </w:p>
    <w:p>
      <w:pPr>
        <w:numPr>
          <w:ilvl w:val="0"/>
          <w:numId w:val="5"/>
        </w:numPr>
        <w:rPr>
          <w:rFonts w:ascii="仿宋_GB2312"/>
          <w:szCs w:val="32"/>
        </w:rPr>
      </w:pPr>
      <w:r>
        <w:rPr>
          <w:rFonts w:hint="eastAsia" w:ascii="仿宋_GB2312"/>
          <w:szCs w:val="32"/>
        </w:rPr>
        <w:t>城乡社区（类）国有土地使用权出让收入安排的支出（款）城市建设支出（项）：</w:t>
      </w:r>
      <w:r>
        <w:rPr>
          <w:rFonts w:hint="eastAsia" w:ascii="仿宋_GB2312" w:hAnsi="仿宋"/>
          <w:color w:val="000000"/>
          <w:szCs w:val="32"/>
        </w:rPr>
        <w:t>反映土地出让收入用于完善国有土地使用功能的配套设施建设和城市基础设施建设支出。</w:t>
      </w:r>
    </w:p>
    <w:p>
      <w:pPr>
        <w:numPr>
          <w:ilvl w:val="0"/>
          <w:numId w:val="5"/>
        </w:numPr>
        <w:rPr>
          <w:rFonts w:ascii="仿宋_GB2312"/>
          <w:szCs w:val="32"/>
        </w:rPr>
      </w:pPr>
      <w:r>
        <w:rPr>
          <w:rFonts w:hint="eastAsia" w:ascii="仿宋_GB2312"/>
          <w:szCs w:val="32"/>
        </w:rPr>
        <w:t xml:space="preserve">城乡社区（类）国有土地使用权出让收入安排的支出（款）农村基础设施建设支出（项）：反映土地出让收入用于农村供水保障、村庄公共设施和管护以及与农业农村直接相关的以工代赈等方面的支出。 </w:t>
      </w:r>
    </w:p>
    <w:p>
      <w:pPr>
        <w:numPr>
          <w:ilvl w:val="0"/>
          <w:numId w:val="5"/>
        </w:numPr>
        <w:rPr>
          <w:rFonts w:ascii="仿宋_GB2312"/>
          <w:szCs w:val="32"/>
        </w:rPr>
      </w:pPr>
      <w:r>
        <w:rPr>
          <w:rFonts w:hint="eastAsia" w:ascii="仿宋_GB2312"/>
          <w:szCs w:val="32"/>
        </w:rPr>
        <w:t>城乡社区（类）国有土地使用权出让收入安排的支出（款）其他国有土地使用权出让收入安排的支出（项）： 反映土地出让收入用于其他方面的支出。不包括市县级政府当年按规定用土地出让收入向中央和省级政府缴纳的新增建设用地有偿使用费的支出。</w:t>
      </w:r>
    </w:p>
    <w:p>
      <w:pPr>
        <w:numPr>
          <w:ilvl w:val="0"/>
          <w:numId w:val="5"/>
        </w:numPr>
        <w:rPr>
          <w:rFonts w:ascii="仿宋_GB2312"/>
          <w:szCs w:val="32"/>
        </w:rPr>
      </w:pPr>
      <w:r>
        <w:rPr>
          <w:rFonts w:hint="eastAsia" w:ascii="仿宋_GB2312"/>
          <w:szCs w:val="32"/>
        </w:rPr>
        <w:t>城乡社区（类）城市基础设施配套费安排的支出（款）  城市公共设施（项）：反映城市基础设施配套费安排用于城市道路、桥涵、公共交通、道路照明、供排水、燃气、供热等公共设施维护、建设和管理方面的支出。</w:t>
      </w:r>
    </w:p>
    <w:p>
      <w:pPr>
        <w:numPr>
          <w:ilvl w:val="0"/>
          <w:numId w:val="5"/>
        </w:numPr>
        <w:rPr>
          <w:rFonts w:ascii="仿宋_GB2312"/>
          <w:szCs w:val="32"/>
        </w:rPr>
      </w:pPr>
      <w:r>
        <w:rPr>
          <w:rFonts w:hint="eastAsia" w:ascii="仿宋_GB2312"/>
          <w:szCs w:val="32"/>
        </w:rPr>
        <w:commentReference w:id="0"/>
      </w:r>
      <w:r>
        <w:rPr>
          <w:rFonts w:hint="eastAsia" w:ascii="仿宋_GB2312"/>
          <w:szCs w:val="32"/>
        </w:rPr>
        <w:t>城乡社区（类）城市基础设施配套费安排的支出（款）城市环境卫生（项）：反映城市基础设施配套费安排用于道路清扫、垃圾清运与处理、污水处理、园林绿化等支出。</w:t>
      </w:r>
    </w:p>
    <w:p>
      <w:pPr>
        <w:numPr>
          <w:ilvl w:val="0"/>
          <w:numId w:val="5"/>
        </w:numPr>
        <w:rPr>
          <w:rFonts w:ascii="仿宋_GB2312"/>
          <w:szCs w:val="32"/>
        </w:rPr>
      </w:pPr>
      <w:r>
        <w:rPr>
          <w:rFonts w:hint="eastAsia" w:ascii="仿宋_GB2312"/>
          <w:szCs w:val="32"/>
        </w:rPr>
        <w:t>城乡社区（类）其他城乡社区支出（款）其他城乡社区支出（项）：反映除上述项目以外其他用于城乡社区方面的支出。</w:t>
      </w:r>
    </w:p>
    <w:p>
      <w:pPr>
        <w:numPr>
          <w:ilvl w:val="0"/>
          <w:numId w:val="5"/>
        </w:numPr>
        <w:rPr>
          <w:rFonts w:ascii="仿宋_GB2312"/>
          <w:szCs w:val="32"/>
        </w:rPr>
      </w:pPr>
      <w:r>
        <w:rPr>
          <w:rFonts w:hint="eastAsia" w:ascii="仿宋_GB2312"/>
          <w:szCs w:val="32"/>
        </w:rPr>
        <w:t>资源勘探工业信息等（类）国有资产监管（款）行政运行（项）：指行政单位（包括实行公务员管理的事业单位）的基本支出。</w:t>
      </w:r>
    </w:p>
    <w:p>
      <w:pPr>
        <w:numPr>
          <w:ilvl w:val="0"/>
          <w:numId w:val="5"/>
        </w:numPr>
        <w:rPr>
          <w:rFonts w:ascii="仿宋_GB2312"/>
          <w:szCs w:val="32"/>
        </w:rPr>
      </w:pPr>
      <w:r>
        <w:rPr>
          <w:rFonts w:hint="eastAsia" w:ascii="仿宋_GB2312"/>
          <w:szCs w:val="32"/>
        </w:rPr>
        <w:t>资源勘探工业信息等（类）国有资产监管（款）一般行政管理事务（项）：指行政单位（包括实行公务员管理的事业单位）未单独设置项级科目的其他项目支出。</w:t>
      </w:r>
    </w:p>
    <w:p>
      <w:pPr>
        <w:numPr>
          <w:ilvl w:val="0"/>
          <w:numId w:val="5"/>
        </w:numPr>
        <w:rPr>
          <w:rFonts w:ascii="仿宋_GB2312"/>
          <w:szCs w:val="32"/>
        </w:rPr>
      </w:pPr>
      <w:r>
        <w:rPr>
          <w:rFonts w:hint="eastAsia" w:ascii="仿宋_GB2312"/>
          <w:szCs w:val="32"/>
        </w:rPr>
        <w:t>资源勘探工业信息等（类）国有资产监管（款）其他国有资产监管支出（项）：指其他用于国有资产监管方面的支出。</w:t>
      </w:r>
    </w:p>
    <w:p>
      <w:pPr>
        <w:numPr>
          <w:ilvl w:val="0"/>
          <w:numId w:val="5"/>
        </w:numPr>
        <w:rPr>
          <w:rFonts w:ascii="仿宋_GB2312"/>
          <w:szCs w:val="32"/>
        </w:rPr>
      </w:pPr>
      <w:r>
        <w:rPr>
          <w:rFonts w:hint="eastAsia" w:ascii="仿宋_GB2312"/>
          <w:szCs w:val="32"/>
        </w:rPr>
        <w:t>住房保障（类）住房改革支出（款）住房公积金（项）：指</w:t>
      </w:r>
      <w:r>
        <w:rPr>
          <w:rFonts w:hint="eastAsia" w:ascii="仿宋_GB2312" w:hAnsi="仿宋"/>
          <w:color w:val="000000"/>
          <w:szCs w:val="32"/>
        </w:rPr>
        <w:t>行政事业单位按人力资源和社会保障部、财政部规定的基本工资和津贴补贴以及规定比例为职工缴纳的住房公积金</w:t>
      </w:r>
      <w:r>
        <w:rPr>
          <w:rFonts w:hint="eastAsia" w:ascii="仿宋_GB2312"/>
          <w:szCs w:val="32"/>
        </w:rPr>
        <w:t>。</w:t>
      </w:r>
    </w:p>
    <w:p>
      <w:pPr>
        <w:numPr>
          <w:ilvl w:val="0"/>
          <w:numId w:val="5"/>
        </w:numPr>
        <w:rPr>
          <w:rFonts w:ascii="仿宋_GB2312"/>
          <w:szCs w:val="32"/>
        </w:rPr>
      </w:pPr>
      <w:r>
        <w:rPr>
          <w:rFonts w:hint="eastAsia" w:ascii="仿宋_GB2312"/>
          <w:szCs w:val="32"/>
        </w:rPr>
        <w:t>基本支出：指为保障机构正常运转、完成日常工作任务而发生的人员支出和公用支出。</w:t>
      </w:r>
    </w:p>
    <w:p>
      <w:pPr>
        <w:numPr>
          <w:ilvl w:val="0"/>
          <w:numId w:val="5"/>
        </w:numPr>
        <w:rPr>
          <w:rFonts w:ascii="仿宋_GB2312"/>
          <w:szCs w:val="32"/>
        </w:rPr>
      </w:pPr>
      <w:r>
        <w:rPr>
          <w:rFonts w:hint="eastAsia" w:ascii="仿宋_GB2312"/>
          <w:szCs w:val="32"/>
        </w:rPr>
        <w:t xml:space="preserve">项目支出：指在基本支出之外为完成特定行政任务和事业发展目标所发生的支出。 </w:t>
      </w:r>
    </w:p>
    <w:p>
      <w:pPr>
        <w:numPr>
          <w:ilvl w:val="0"/>
          <w:numId w:val="5"/>
        </w:numPr>
        <w:rPr>
          <w:rFonts w:ascii="仿宋_GB2312"/>
          <w:szCs w:val="32"/>
        </w:rPr>
      </w:pPr>
      <w:r>
        <w:rPr>
          <w:rFonts w:hint="eastAsia" w:ascii="仿宋_GB2312"/>
          <w:szCs w:val="32"/>
        </w:rPr>
        <w:t>“三公”经费：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5"/>
        </w:numPr>
        <w:rPr>
          <w:rFonts w:ascii="仿宋_GB2312"/>
          <w:szCs w:val="32"/>
        </w:rPr>
      </w:pPr>
      <w:r>
        <w:rPr>
          <w:rFonts w:hint="eastAsia" w:ascii="仿宋_GB231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643" w:firstLineChars="200"/>
        <w:rPr>
          <w:rFonts w:ascii="仿宋" w:hAnsi="仿宋" w:eastAsia="仿宋"/>
          <w:b/>
          <w:szCs w:val="32"/>
        </w:rPr>
      </w:pPr>
    </w:p>
    <w:p>
      <w:pPr>
        <w:spacing w:line="576" w:lineRule="exact"/>
        <w:jc w:val="center"/>
        <w:outlineLvl w:val="0"/>
        <w:rPr>
          <w:rStyle w:val="30"/>
          <w:rFonts w:ascii="黑体" w:hAnsi="黑体" w:eastAsia="黑体"/>
          <w:b w:val="0"/>
        </w:rPr>
      </w:pPr>
      <w:bookmarkStart w:id="80" w:name="_Toc15377226"/>
      <w:r>
        <w:rPr>
          <w:rFonts w:ascii="宋体"/>
          <w:b/>
          <w:sz w:val="44"/>
          <w:szCs w:val="44"/>
        </w:rPr>
        <w:br w:type="page"/>
      </w:r>
      <w:bookmarkStart w:id="81" w:name="_Toc15396614"/>
      <w:bookmarkStart w:id="82" w:name="_Toc146616503"/>
      <w:r>
        <w:rPr>
          <w:rFonts w:hint="eastAsia" w:ascii="黑体" w:hAnsi="黑体" w:eastAsia="黑体"/>
          <w:sz w:val="44"/>
          <w:szCs w:val="44"/>
        </w:rPr>
        <w:t>第</w:t>
      </w:r>
      <w:r>
        <w:rPr>
          <w:rStyle w:val="30"/>
          <w:rFonts w:hint="eastAsia" w:ascii="黑体" w:hAnsi="黑体" w:eastAsia="黑体"/>
          <w:b w:val="0"/>
        </w:rPr>
        <w:t>四部分 附件</w:t>
      </w:r>
      <w:bookmarkEnd w:id="81"/>
      <w:bookmarkEnd w:id="82"/>
    </w:p>
    <w:p>
      <w:pPr>
        <w:spacing w:line="576" w:lineRule="exact"/>
        <w:jc w:val="left"/>
        <w:outlineLvl w:val="0"/>
        <w:rPr>
          <w:rFonts w:ascii="方正小标宋简体" w:hAnsi="方正小标宋简体" w:eastAsia="方正小标宋简体" w:cs="方正小标宋简体"/>
          <w:sz w:val="44"/>
          <w:szCs w:val="44"/>
        </w:rPr>
      </w:pPr>
      <w:bookmarkStart w:id="83" w:name="_Toc146616504"/>
      <w:r>
        <w:rPr>
          <w:rFonts w:hint="eastAsia" w:ascii="黑体" w:hAnsi="黑体" w:eastAsia="黑体" w:cs="黑体"/>
          <w:szCs w:val="32"/>
        </w:rPr>
        <w:t>附件1</w:t>
      </w:r>
      <w:bookmarkEnd w:id="83"/>
    </w:p>
    <w:p>
      <w:pPr>
        <w:widowControl/>
        <w:spacing w:line="576" w:lineRule="exact"/>
        <w:contextualSpacing/>
        <w:jc w:val="center"/>
        <w:rPr>
          <w:rFonts w:ascii="方正小标宋简体" w:hAnsi="宋体" w:eastAsia="方正小标宋简体"/>
          <w:bCs/>
          <w:szCs w:val="32"/>
          <w:shd w:val="clear" w:color="auto" w:fill="FFFFFF"/>
        </w:rPr>
      </w:pPr>
      <w:r>
        <w:rPr>
          <w:rFonts w:hint="eastAsia" w:ascii="方正小标宋简体" w:hAnsi="宋体" w:eastAsia="方正小标宋简体"/>
          <w:bCs/>
          <w:szCs w:val="32"/>
          <w:shd w:val="clear" w:color="auto" w:fill="FFFFFF"/>
        </w:rPr>
        <w:t>2023年市级部门整体绩效评价报告</w:t>
      </w:r>
    </w:p>
    <w:p>
      <w:pPr>
        <w:widowControl/>
        <w:adjustRightInd w:val="0"/>
        <w:snapToGrid w:val="0"/>
        <w:spacing w:line="576" w:lineRule="exact"/>
        <w:ind w:firstLine="640" w:firstLineChars="200"/>
        <w:contextualSpacing/>
        <w:jc w:val="left"/>
        <w:rPr>
          <w:rFonts w:ascii="黑体" w:hAnsi="宋体" w:eastAsia="黑体" w:cs="宋体"/>
          <w:kern w:val="0"/>
          <w:szCs w:val="32"/>
          <w:shd w:val="clear" w:color="auto" w:fill="FFFFFF"/>
        </w:rPr>
      </w:pPr>
    </w:p>
    <w:p>
      <w:pPr>
        <w:widowControl/>
        <w:numPr>
          <w:ilvl w:val="0"/>
          <w:numId w:val="6"/>
        </w:numPr>
        <w:adjustRightInd w:val="0"/>
        <w:snapToGrid w:val="0"/>
        <w:spacing w:line="576" w:lineRule="exact"/>
        <w:ind w:firstLine="640" w:firstLineChars="200"/>
        <w:contextualSpacing/>
        <w:jc w:val="left"/>
        <w:rPr>
          <w:rFonts w:ascii="黑体" w:hAnsi="宋体" w:eastAsia="黑体" w:cs="宋体"/>
          <w:kern w:val="0"/>
          <w:szCs w:val="32"/>
          <w:shd w:val="clear" w:color="auto" w:fill="FFFFFF"/>
          <w:lang w:val="zh-CN"/>
        </w:rPr>
      </w:pPr>
      <w:r>
        <w:rPr>
          <w:rFonts w:hint="eastAsia" w:ascii="黑体" w:hAnsi="宋体" w:eastAsia="黑体" w:cs="宋体"/>
          <w:kern w:val="0"/>
          <w:szCs w:val="32"/>
          <w:shd w:val="clear" w:color="auto" w:fill="FFFFFF"/>
          <w:lang w:val="zh-CN"/>
        </w:rPr>
        <w:t>部门（单位）基本情况</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（一）机构组成</w:t>
      </w:r>
      <w:r>
        <w:rPr>
          <w:rFonts w:hint="eastAsia" w:ascii="楷体_GB2312" w:hAnsi="宋体" w:eastAsia="楷体_GB2312"/>
          <w:b/>
          <w:szCs w:val="32"/>
          <w:lang w:val="zh-CN"/>
        </w:rPr>
        <w:t>。</w:t>
      </w:r>
    </w:p>
    <w:p>
      <w:pPr>
        <w:pStyle w:val="2"/>
        <w:spacing w:beforeLines="0" w:line="576" w:lineRule="exact"/>
        <w:ind w:firstLine="640" w:firstLineChars="200"/>
        <w:rPr>
          <w:color w:val="000000"/>
          <w:sz w:val="32"/>
          <w:szCs w:val="32"/>
        </w:rPr>
      </w:pPr>
      <w:r>
        <w:rPr>
          <w:rFonts w:hint="eastAsia" w:hAnsi="仿宋"/>
          <w:color w:val="000000"/>
          <w:sz w:val="32"/>
          <w:szCs w:val="32"/>
        </w:rPr>
        <w:t>根据《中共广元市委办公室、广元市人民政府办公室关于印发&lt;广元市政府国有资产监督管理委员会职能配置、内设机构和人员编制规定&gt;的通知》(广委办函</w:t>
      </w:r>
      <w:r>
        <w:rPr>
          <w:rFonts w:hint="eastAsia" w:hAnsi="宋体"/>
          <w:color w:val="000000"/>
          <w:sz w:val="32"/>
          <w:szCs w:val="32"/>
        </w:rPr>
        <w:t>〔201</w:t>
      </w:r>
      <w:r>
        <w:rPr>
          <w:rFonts w:hAnsi="宋体"/>
          <w:color w:val="000000"/>
          <w:sz w:val="32"/>
          <w:szCs w:val="32"/>
        </w:rPr>
        <w:t>9</w:t>
      </w:r>
      <w:r>
        <w:rPr>
          <w:rFonts w:hint="eastAsia" w:hAnsi="宋体"/>
          <w:color w:val="000000"/>
          <w:sz w:val="32"/>
          <w:szCs w:val="32"/>
        </w:rPr>
        <w:t>〕</w:t>
      </w:r>
      <w:r>
        <w:rPr>
          <w:rFonts w:hint="eastAsia" w:hAnsi="仿宋"/>
          <w:color w:val="000000"/>
          <w:sz w:val="32"/>
          <w:szCs w:val="32"/>
        </w:rPr>
        <w:t>49号)</w:t>
      </w:r>
      <w:r>
        <w:commentReference w:id="1"/>
      </w:r>
      <w:r>
        <w:rPr>
          <w:rFonts w:hint="eastAsia" w:hAnsi="仿宋"/>
          <w:color w:val="000000"/>
          <w:sz w:val="32"/>
          <w:szCs w:val="32"/>
        </w:rPr>
        <w:t>、《中共广元市委编办关于调整市国资委内设机构的通知》（广编办发</w:t>
      </w:r>
      <w:r>
        <w:rPr>
          <w:rFonts w:hint="eastAsia" w:hAnsi="宋体"/>
          <w:color w:val="000000"/>
          <w:sz w:val="32"/>
          <w:szCs w:val="32"/>
        </w:rPr>
        <w:t>〔2022〕18号</w:t>
      </w:r>
      <w:r>
        <w:rPr>
          <w:rFonts w:hint="eastAsia" w:hAnsi="仿宋"/>
          <w:color w:val="000000"/>
          <w:sz w:val="32"/>
          <w:szCs w:val="32"/>
        </w:rPr>
        <w:t>）</w:t>
      </w:r>
      <w:r>
        <w:rPr>
          <w:rFonts w:hint="eastAsia" w:hAnsi="宋体"/>
          <w:color w:val="000000"/>
          <w:sz w:val="32"/>
          <w:szCs w:val="32"/>
        </w:rPr>
        <w:t>和</w:t>
      </w:r>
      <w:r>
        <w:rPr>
          <w:rFonts w:hint="eastAsia" w:hAnsi="仿宋"/>
          <w:color w:val="000000"/>
          <w:sz w:val="32"/>
          <w:szCs w:val="32"/>
        </w:rPr>
        <w:t>《中共广元市委、广元市人民政府关于印发&lt;广元市机构改革方案&gt;和&lt;广元市机构改革方案的实施意见&gt;的通知》（广委发</w:t>
      </w:r>
      <w:r>
        <w:rPr>
          <w:rFonts w:hint="eastAsia" w:hAnsi="宋体"/>
          <w:color w:val="000000"/>
          <w:sz w:val="32"/>
          <w:szCs w:val="32"/>
        </w:rPr>
        <w:t>〔201</w:t>
      </w:r>
      <w:r>
        <w:rPr>
          <w:rFonts w:hAnsi="宋体"/>
          <w:color w:val="000000"/>
          <w:sz w:val="32"/>
          <w:szCs w:val="32"/>
        </w:rPr>
        <w:t>9</w:t>
      </w:r>
      <w:r>
        <w:rPr>
          <w:rFonts w:hint="eastAsia" w:hAnsi="宋体"/>
          <w:color w:val="000000"/>
          <w:sz w:val="32"/>
          <w:szCs w:val="32"/>
        </w:rPr>
        <w:t>〕</w:t>
      </w:r>
      <w:r>
        <w:rPr>
          <w:rFonts w:hint="eastAsia" w:hAnsi="仿宋"/>
          <w:color w:val="000000"/>
          <w:sz w:val="32"/>
          <w:szCs w:val="32"/>
        </w:rPr>
        <w:t>2号）文件精神，广元市政府国有资产监督管理委员会(简称市国资委)是广元市人民政府工作部门，为正县级。</w:t>
      </w:r>
      <w:r>
        <w:rPr>
          <w:rFonts w:hint="eastAsia"/>
          <w:color w:val="000000"/>
          <w:sz w:val="32"/>
          <w:szCs w:val="32"/>
        </w:rPr>
        <w:t>市国资委下属二级预算事业单位1个，该事业单位经费性质为财政全额拨款，执行政府会计准则制度。</w:t>
      </w:r>
    </w:p>
    <w:p>
      <w:pPr>
        <w:pStyle w:val="2"/>
        <w:spacing w:beforeLines="0" w:line="576" w:lineRule="exact"/>
        <w:ind w:firstLine="600" w:firstLineChars="200"/>
        <w:rPr>
          <w:rFonts w:hAnsi="仿宋_GB2312" w:cs="仿宋_GB2312"/>
        </w:rPr>
      </w:pPr>
      <w:r>
        <w:rPr>
          <w:rFonts w:hint="eastAsia" w:hAnsi="仿宋_GB2312" w:cs="仿宋_GB2312"/>
        </w:rPr>
        <w:t>我委内设机构9个，分别为办公室、产权与收益管理科、投资规划科、财务监督与考核分配科、企业改革科、监督工作科、社会责任科、党建工作科、干部人事科。</w:t>
      </w:r>
    </w:p>
    <w:p>
      <w:pPr>
        <w:pStyle w:val="38"/>
        <w:spacing w:line="576" w:lineRule="exact"/>
        <w:rPr>
          <w:rFonts w:ascii="仿宋_GB2312" w:hAnsi="仿宋_GB2312" w:eastAsia="仿宋_GB2312" w:cs="仿宋_GB2312"/>
        </w:rPr>
      </w:pPr>
      <w:r>
        <w:rPr>
          <w:rFonts w:hint="eastAsia" w:ascii="仿宋_GB2312" w:hAnsi="仿宋_GB2312" w:eastAsia="仿宋_GB2312" w:cs="仿宋_GB2312"/>
        </w:rPr>
        <w:t>委属单位共有2个，包括委机关1个行政单位，广元市国资国企服务中心1个事业单位。</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（二）机构职能和人员概况</w:t>
      </w:r>
      <w:r>
        <w:rPr>
          <w:rFonts w:hint="eastAsia" w:ascii="楷体_GB2312" w:hAnsi="宋体" w:eastAsia="楷体_GB2312"/>
          <w:b/>
          <w:szCs w:val="32"/>
          <w:lang w:val="zh-CN"/>
        </w:rPr>
        <w:t>。</w:t>
      </w:r>
    </w:p>
    <w:p>
      <w:pPr>
        <w:widowControl/>
        <w:spacing w:line="576" w:lineRule="exact"/>
        <w:ind w:firstLine="640"/>
        <w:jc w:val="left"/>
        <w:rPr>
          <w:rFonts w:ascii="仿宋" w:hAnsi="仿宋" w:eastAsia="仿宋" w:cs="宋体"/>
          <w:color w:val="000000"/>
          <w:kern w:val="0"/>
          <w:szCs w:val="32"/>
        </w:rPr>
      </w:pPr>
      <w:r>
        <w:rPr>
          <w:rFonts w:hint="eastAsia" w:ascii="仿宋" w:hAnsi="仿宋" w:eastAsia="仿宋" w:cs="宋体"/>
          <w:color w:val="000000"/>
          <w:kern w:val="0"/>
          <w:szCs w:val="32"/>
        </w:rPr>
        <w:t>1.机构职能</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（1）根据市政府授权，依照《中华人民共和国公司法》、《中华人民共和国企业国有资产法》等法律和行政法规履行出资人职责，监管市属企业的国有资产，加强国有资产的管理工作。</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（2）研究拟订国有资产管理的办法和制度规定，依法对县区国有资产管理进行指导。</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（3）承担监督所监管企业国有资产保值增值的责任，负责所监管企业工资总额管理工作，参与拟订所监管企业负责人收入分配政策并组织实施。</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（4）指导推进国有企业改革重组和现代企业制度建设</w:t>
      </w:r>
      <w:r>
        <w:rPr>
          <w:rFonts w:ascii="Calibri" w:hAnsi="Calibri" w:eastAsia="仿宋" w:cs="Calibri"/>
          <w:color w:val="000000"/>
          <w:kern w:val="0"/>
          <w:szCs w:val="32"/>
        </w:rPr>
        <w:t> </w:t>
      </w:r>
      <w:r>
        <w:rPr>
          <w:rFonts w:hint="eastAsia" w:ascii="Calibri" w:hAnsi="Calibri" w:eastAsia="仿宋" w:cs="Calibri"/>
          <w:color w:val="000000"/>
          <w:kern w:val="0"/>
          <w:szCs w:val="32"/>
        </w:rPr>
        <w:t>，</w:t>
      </w:r>
      <w:r>
        <w:rPr>
          <w:rFonts w:hint="eastAsia" w:ascii="仿宋" w:hAnsi="仿宋" w:eastAsia="仿宋" w:cs="宋体"/>
          <w:color w:val="000000"/>
          <w:kern w:val="0"/>
          <w:szCs w:val="32"/>
        </w:rPr>
        <w:t>完善公司法人治理结构，推动国有经济布局和结构的战略性调整。</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（5）通过法定程序对所监管企业负责人进行任免、考核并根据其经营业绩进行奖惩；建立符合社会主义市场经济体制和现代企业制度要求的选人、用人机制，完善经营者激励和约束制度。</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（6）编制国有资本经营预算和执行方案；监缴所监管企业国有资本收益和市级行政事业单位经营性资产收益。</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（7）负责对国有企业及行政事业单位经营性国有资产实行监督管理，承担产权界定、清产核资、资产评估、资产处置等项工作，确保资产运行安全、完善，提高使用效能。</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 w:hAnsi="仿宋" w:eastAsia="仿宋" w:cs="宋体"/>
          <w:color w:val="000000"/>
          <w:kern w:val="0"/>
          <w:szCs w:val="32"/>
        </w:rPr>
        <w:t>（8）协调中央、省和外地在广国有企业改革发展中与地方相关的事宜。</w:t>
      </w:r>
    </w:p>
    <w:p>
      <w:pPr>
        <w:widowControl/>
        <w:spacing w:line="576" w:lineRule="exact"/>
        <w:ind w:firstLine="640"/>
        <w:jc w:val="left"/>
        <w:rPr>
          <w:rFonts w:ascii="仿宋" w:hAnsi="仿宋" w:eastAsia="仿宋" w:cs="宋体"/>
          <w:color w:val="000000"/>
          <w:kern w:val="0"/>
          <w:szCs w:val="32"/>
        </w:rPr>
      </w:pPr>
      <w:r>
        <w:rPr>
          <w:rFonts w:hint="eastAsia" w:ascii="仿宋" w:hAnsi="仿宋" w:eastAsia="仿宋" w:cs="宋体"/>
          <w:color w:val="000000"/>
          <w:kern w:val="0"/>
          <w:szCs w:val="32"/>
        </w:rPr>
        <w:t>（9）完成市委和市政府交办的其他任务。</w:t>
      </w:r>
    </w:p>
    <w:p>
      <w:pPr>
        <w:spacing w:line="576" w:lineRule="exact"/>
        <w:ind w:firstLine="640"/>
        <w:rPr>
          <w:rFonts w:ascii="微软雅黑" w:hAnsi="微软雅黑" w:eastAsia="微软雅黑" w:cs="宋体"/>
          <w:color w:val="000000"/>
          <w:kern w:val="0"/>
          <w:sz w:val="27"/>
          <w:szCs w:val="27"/>
        </w:rPr>
      </w:pPr>
      <w:r>
        <w:rPr>
          <w:rFonts w:ascii="仿宋_GB2312" w:hAnsi="微软雅黑"/>
          <w:color w:val="000000"/>
          <w:szCs w:val="32"/>
          <w:shd w:val="clear" w:color="auto" w:fill="FFFFFF"/>
        </w:rPr>
        <w:t>2.</w:t>
      </w:r>
      <w:r>
        <w:rPr>
          <w:rFonts w:hint="eastAsia" w:ascii="仿宋_GB2312" w:hAnsi="微软雅黑" w:cs="宋体"/>
          <w:color w:val="000000"/>
          <w:kern w:val="0"/>
          <w:szCs w:val="32"/>
          <w:shd w:val="clear" w:color="auto" w:fill="FFFFFF"/>
        </w:rPr>
        <w:t>人员概况。</w:t>
      </w:r>
    </w:p>
    <w:p>
      <w:pPr>
        <w:widowControl/>
        <w:spacing w:line="576" w:lineRule="exact"/>
        <w:ind w:firstLine="640"/>
        <w:jc w:val="left"/>
        <w:rPr>
          <w:rFonts w:ascii="仿宋_GB2312" w:hAnsi="微软雅黑" w:cs="宋体"/>
          <w:color w:val="000000"/>
          <w:kern w:val="0"/>
          <w:sz w:val="27"/>
          <w:szCs w:val="27"/>
        </w:rPr>
      </w:pPr>
      <w:r>
        <w:rPr>
          <w:rFonts w:hint="eastAsia" w:ascii="仿宋_GB2312" w:hAnsi="仿宋" w:cs="宋体"/>
          <w:color w:val="000000"/>
          <w:kern w:val="0"/>
          <w:szCs w:val="32"/>
        </w:rPr>
        <w:t>市国资委编制54名，其中：行政编制24名，事业编制28名，工勤编制2名。2022年末在职人员5</w:t>
      </w:r>
      <w:r>
        <w:commentReference w:id="2"/>
      </w:r>
      <w:r>
        <w:rPr>
          <w:rFonts w:ascii="仿宋_GB2312" w:hAnsi="仿宋" w:cs="宋体"/>
          <w:color w:val="000000"/>
          <w:kern w:val="0"/>
          <w:szCs w:val="32"/>
        </w:rPr>
        <w:t>1</w:t>
      </w:r>
      <w:r>
        <w:rPr>
          <w:rFonts w:hint="eastAsia" w:ascii="仿宋_GB2312" w:hAnsi="仿宋" w:cs="宋体"/>
          <w:color w:val="000000"/>
          <w:kern w:val="0"/>
          <w:szCs w:val="32"/>
        </w:rPr>
        <w:t>人，其中：行政人员22人，事业人员27个，工勤人员2人；退休人员30人。</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（三）年度主要工作任务</w:t>
      </w:r>
      <w:r>
        <w:rPr>
          <w:rFonts w:hint="eastAsia" w:ascii="楷体_GB2312" w:hAnsi="宋体" w:eastAsia="楷体_GB2312"/>
          <w:b/>
          <w:szCs w:val="32"/>
          <w:lang w:val="zh-CN"/>
        </w:rPr>
        <w:t>。</w:t>
      </w:r>
    </w:p>
    <w:p>
      <w:pPr>
        <w:pStyle w:val="38"/>
        <w:spacing w:line="576" w:lineRule="exact"/>
        <w:rPr>
          <w:rFonts w:ascii="仿宋_GB2312" w:hAnsi="仿宋" w:eastAsia="仿宋_GB2312" w:cs="仿宋_GB2312"/>
          <w:lang w:bidi="ar"/>
        </w:rPr>
      </w:pPr>
      <w:r>
        <w:rPr>
          <w:rFonts w:hint="eastAsia" w:ascii="仿宋_GB2312" w:hAnsi="仿宋" w:eastAsia="仿宋_GB2312" w:cs="仿宋_GB2312"/>
          <w:lang w:bidi="ar"/>
        </w:rPr>
        <w:t xml:space="preserve">1.确保机关及中心正常运转，保障在职人员的工资保险和退休人员补助，保障1辆公车正常运行，保障机关9个内设科室及中心的日常办公运转。                                                     </w:t>
      </w:r>
    </w:p>
    <w:p>
      <w:pPr>
        <w:pStyle w:val="38"/>
        <w:spacing w:line="576" w:lineRule="exact"/>
        <w:rPr>
          <w:rFonts w:ascii="仿宋_GB2312" w:hAnsi="仿宋" w:eastAsia="仿宋_GB2312" w:cs="仿宋_GB2312"/>
          <w:lang w:bidi="ar"/>
        </w:rPr>
      </w:pPr>
      <w:r>
        <w:rPr>
          <w:rFonts w:hint="eastAsia" w:ascii="仿宋_GB2312" w:hAnsi="仿宋" w:eastAsia="仿宋_GB2312" w:cs="仿宋_GB2312"/>
          <w:lang w:bidi="ar"/>
        </w:rPr>
        <w:t xml:space="preserve">2.大力开展招商引资工作，整合优质资源和优势条件，制定差异化招商方案，主动融入成渝双城经济圈，加强与电商龙头企业深化合作，积极争取省企广元行活动。                 </w:t>
      </w:r>
    </w:p>
    <w:p>
      <w:pPr>
        <w:pStyle w:val="38"/>
        <w:spacing w:line="576" w:lineRule="exact"/>
        <w:rPr>
          <w:rFonts w:ascii="仿宋_GB2312" w:hAnsi="仿宋" w:eastAsia="仿宋_GB2312" w:cs="仿宋_GB2312"/>
          <w:lang w:bidi="ar"/>
        </w:rPr>
      </w:pPr>
      <w:r>
        <w:rPr>
          <w:rFonts w:hint="eastAsia" w:ascii="仿宋_GB2312" w:hAnsi="仿宋" w:eastAsia="仿宋_GB2312" w:cs="仿宋_GB2312"/>
          <w:lang w:bidi="ar"/>
        </w:rPr>
        <w:t xml:space="preserve">3.防范化解市属国企债务风险工作，建立债务风险动态管控机制，加强债务资金使用管理，建立债务风险预警机制，建立应急资金保障机制。                                   </w:t>
      </w:r>
    </w:p>
    <w:p>
      <w:pPr>
        <w:pStyle w:val="38"/>
        <w:spacing w:line="576" w:lineRule="exact"/>
        <w:rPr>
          <w:rFonts w:ascii="仿宋_GB2312" w:hAnsi="仿宋" w:eastAsia="仿宋_GB2312" w:cs="仿宋_GB2312"/>
          <w:lang w:bidi="ar"/>
        </w:rPr>
      </w:pPr>
      <w:r>
        <w:rPr>
          <w:rFonts w:hint="eastAsia" w:ascii="仿宋_GB2312" w:hAnsi="仿宋" w:eastAsia="仿宋_GB2312" w:cs="仿宋_GB2312"/>
          <w:lang w:bidi="ar"/>
        </w:rPr>
        <w:t xml:space="preserve">4.扎实推进融资工作，建立规范的企业融资机制，加强融资成本管控，多渠道创新融资手段。                        </w:t>
      </w:r>
    </w:p>
    <w:p>
      <w:pPr>
        <w:pStyle w:val="38"/>
        <w:spacing w:line="576" w:lineRule="exact"/>
        <w:rPr>
          <w:rFonts w:ascii="仿宋_GB2312" w:hAnsi="仿宋" w:eastAsia="仿宋_GB2312" w:cs="仿宋_GB2312"/>
          <w:lang w:bidi="ar"/>
        </w:rPr>
      </w:pPr>
      <w:r>
        <w:rPr>
          <w:rFonts w:hint="eastAsia" w:ascii="仿宋_GB2312" w:hAnsi="仿宋" w:eastAsia="仿宋_GB2312" w:cs="仿宋_GB2312"/>
          <w:lang w:bidi="ar"/>
        </w:rPr>
        <w:t>5.加快推进市级融资平台信用等级AA+创建工作，组建新的受评主体，划入优质资产。</w:t>
      </w:r>
    </w:p>
    <w:p>
      <w:pPr>
        <w:pStyle w:val="38"/>
        <w:spacing w:line="576" w:lineRule="exact"/>
        <w:rPr>
          <w:rFonts w:ascii="仿宋_GB2312" w:hAnsi="仿宋_GB2312" w:eastAsia="仿宋_GB2312" w:cs="仿宋_GB2312"/>
        </w:rPr>
      </w:pPr>
      <w:r>
        <w:rPr>
          <w:rFonts w:hint="eastAsia" w:ascii="仿宋_GB2312" w:hAnsi="仿宋" w:eastAsia="仿宋_GB2312" w:cs="仿宋_GB2312"/>
          <w:lang w:bidi="ar"/>
        </w:rPr>
        <w:t>6.</w:t>
      </w:r>
      <w:r>
        <w:rPr>
          <w:rFonts w:hint="eastAsia" w:ascii="仿宋_GB2312" w:hAnsi="仿宋_GB2312" w:eastAsia="仿宋_GB2312" w:cs="仿宋_GB2312"/>
        </w:rPr>
        <w:t>持续深化国企改革工作，深入推进国企改革三年行动，持续推动市属同类资源整合重组，提升企业的核心竞争力。</w:t>
      </w:r>
    </w:p>
    <w:p>
      <w:pPr>
        <w:pStyle w:val="2"/>
        <w:spacing w:beforeLines="0" w:line="576" w:lineRule="exact"/>
        <w:ind w:firstLine="640" w:firstLineChars="200"/>
        <w:rPr>
          <w:sz w:val="32"/>
          <w:szCs w:val="32"/>
          <w:lang w:val="zh-CN"/>
        </w:rPr>
      </w:pPr>
      <w:r>
        <w:rPr>
          <w:rFonts w:hint="eastAsia" w:hAnsi="仿宋" w:cs="仿宋_GB2312"/>
          <w:sz w:val="32"/>
          <w:szCs w:val="32"/>
          <w:lang w:bidi="ar"/>
        </w:rPr>
        <w:t>7.扎实开展企业业绩考核及薪酬核定工作，进一步完善企业工资总额分级分类管理体制，加强监管企业工资内外收入监督检查力度。</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（四）部门整体支出绩效目标</w:t>
      </w:r>
      <w:r>
        <w:rPr>
          <w:rFonts w:hint="eastAsia" w:ascii="楷体_GB2312" w:hAnsi="宋体" w:eastAsia="楷体_GB2312"/>
          <w:b/>
          <w:szCs w:val="32"/>
          <w:lang w:val="zh-CN"/>
        </w:rPr>
        <w:t>。</w:t>
      </w:r>
    </w:p>
    <w:p>
      <w:pPr>
        <w:widowControl/>
        <w:spacing w:line="576" w:lineRule="exact"/>
        <w:ind w:firstLine="640"/>
        <w:jc w:val="left"/>
        <w:rPr>
          <w:rFonts w:ascii="微软雅黑" w:hAnsi="微软雅黑" w:eastAsia="微软雅黑" w:cs="宋体"/>
          <w:color w:val="000000"/>
          <w:kern w:val="0"/>
          <w:sz w:val="27"/>
          <w:szCs w:val="27"/>
        </w:rPr>
      </w:pPr>
      <w:r>
        <w:rPr>
          <w:rFonts w:hint="eastAsia" w:ascii="仿宋_GB2312" w:hAnsi="微软雅黑" w:cs="宋体"/>
          <w:color w:val="000000"/>
          <w:kern w:val="0"/>
          <w:szCs w:val="32"/>
          <w:shd w:val="clear" w:color="auto" w:fill="FFFFFF"/>
        </w:rPr>
        <w:t>1</w:t>
      </w:r>
      <w:r>
        <w:rPr>
          <w:rFonts w:ascii="仿宋_GB2312" w:hAnsi="微软雅黑" w:cs="宋体"/>
          <w:color w:val="000000"/>
          <w:kern w:val="0"/>
          <w:szCs w:val="32"/>
          <w:shd w:val="clear" w:color="auto" w:fill="FFFFFF"/>
        </w:rPr>
        <w:t>.</w:t>
      </w:r>
      <w:r>
        <w:rPr>
          <w:rFonts w:hint="eastAsia" w:ascii="仿宋_GB2312" w:hAnsi="微软雅黑" w:cs="宋体"/>
          <w:color w:val="000000"/>
          <w:kern w:val="0"/>
          <w:szCs w:val="32"/>
          <w:shd w:val="clear" w:color="auto" w:fill="FFFFFF"/>
        </w:rPr>
        <w:t>部门预算项目绩效管理</w:t>
      </w:r>
    </w:p>
    <w:p>
      <w:pPr>
        <w:widowControl/>
        <w:spacing w:line="576" w:lineRule="exact"/>
        <w:ind w:firstLine="640"/>
        <w:rPr>
          <w:rFonts w:ascii="微软雅黑" w:hAnsi="微软雅黑" w:eastAsia="微软雅黑" w:cs="宋体"/>
          <w:color w:val="000000"/>
          <w:kern w:val="0"/>
          <w:sz w:val="27"/>
          <w:szCs w:val="27"/>
        </w:rPr>
      </w:pPr>
      <w:r>
        <w:rPr>
          <w:rFonts w:hint="eastAsia" w:ascii="仿宋_GB2312" w:hAnsi="微软雅黑" w:cs="宋体"/>
          <w:color w:val="000000"/>
          <w:kern w:val="0"/>
          <w:szCs w:val="32"/>
          <w:shd w:val="clear" w:color="auto" w:fill="FFFFFF"/>
        </w:rPr>
        <w:t>部门预算管理坚持全口径预算编制和分配原则，做到应编尽编，使预算分配与预算批复安全相符。一是认真领会有关文件精神，合理安排工作重点、时间节点，不断加强对软件应用、报表填报、编制口径等要求的学习，根据国资监管工作需要，由各科室提出资金需求，汇总编制部门预算。二是认真编制绩效目标。根据市财政局安排部署，严格按照绩效目标与部门预算管理同步安排、同步编制、同步审核、同步上报、同步公开的管理要求，按照预算批复数严格把控资金支出，做到了绩效目标管理与预算执行管理紧密结合。</w:t>
      </w:r>
    </w:p>
    <w:p>
      <w:pPr>
        <w:widowControl/>
        <w:spacing w:line="576" w:lineRule="exact"/>
        <w:ind w:left="420" w:firstLine="320"/>
        <w:rPr>
          <w:rFonts w:ascii="微软雅黑" w:hAnsi="微软雅黑" w:eastAsia="微软雅黑" w:cs="宋体"/>
          <w:color w:val="000000"/>
          <w:kern w:val="0"/>
          <w:sz w:val="27"/>
          <w:szCs w:val="27"/>
        </w:rPr>
      </w:pPr>
      <w:r>
        <w:rPr>
          <w:rFonts w:hint="eastAsia" w:ascii="仿宋_GB2312" w:hAnsi="微软雅黑" w:cs="宋体"/>
          <w:color w:val="000000"/>
          <w:kern w:val="0"/>
          <w:szCs w:val="32"/>
          <w:shd w:val="clear" w:color="auto" w:fill="FFFFFF"/>
        </w:rPr>
        <w:t>2</w:t>
      </w:r>
      <w:r>
        <w:rPr>
          <w:rFonts w:ascii="仿宋_GB2312" w:hAnsi="微软雅黑" w:cs="宋体"/>
          <w:color w:val="000000"/>
          <w:kern w:val="0"/>
          <w:szCs w:val="32"/>
          <w:shd w:val="clear" w:color="auto" w:fill="FFFFFF"/>
        </w:rPr>
        <w:t>.</w:t>
      </w:r>
      <w:r>
        <w:rPr>
          <w:rFonts w:hint="eastAsia" w:ascii="仿宋_GB2312" w:hAnsi="微软雅黑" w:cs="宋体"/>
          <w:color w:val="000000"/>
          <w:kern w:val="0"/>
          <w:szCs w:val="32"/>
          <w:shd w:val="clear" w:color="auto" w:fill="FFFFFF"/>
        </w:rPr>
        <w:t>结果应用情况</w:t>
      </w:r>
    </w:p>
    <w:p>
      <w:pPr>
        <w:widowControl/>
        <w:spacing w:line="576" w:lineRule="exact"/>
        <w:ind w:firstLine="640"/>
        <w:rPr>
          <w:rFonts w:ascii="仿宋_GB2312" w:hAnsi="微软雅黑" w:cs="宋体"/>
          <w:color w:val="000000"/>
          <w:kern w:val="0"/>
          <w:szCs w:val="32"/>
          <w:shd w:val="clear" w:color="auto" w:fill="FFFFFF"/>
        </w:rPr>
      </w:pPr>
      <w:r>
        <w:rPr>
          <w:rFonts w:hint="eastAsia" w:ascii="仿宋_GB2312" w:hAnsi="微软雅黑" w:cs="宋体"/>
          <w:color w:val="000000"/>
          <w:kern w:val="0"/>
          <w:szCs w:val="32"/>
          <w:shd w:val="clear" w:color="auto" w:fill="FFFFFF"/>
        </w:rPr>
        <w:t>（1）内部应用。我委将委机关和下属事业单位市国资国企服务中心绩效自评纳入考核体系，建立了预算与绩效挂钩机制。</w:t>
      </w:r>
    </w:p>
    <w:p>
      <w:pPr>
        <w:widowControl/>
        <w:spacing w:line="576" w:lineRule="exact"/>
        <w:ind w:firstLine="640"/>
        <w:rPr>
          <w:rFonts w:ascii="仿宋_GB2312" w:hAnsi="微软雅黑" w:cs="宋体"/>
          <w:color w:val="000000"/>
          <w:kern w:val="0"/>
          <w:szCs w:val="32"/>
          <w:shd w:val="clear" w:color="auto" w:fill="FFFFFF"/>
        </w:rPr>
      </w:pPr>
      <w:r>
        <w:rPr>
          <w:rFonts w:hint="eastAsia" w:ascii="仿宋_GB2312" w:hAnsi="微软雅黑" w:cs="宋体"/>
          <w:color w:val="000000"/>
          <w:kern w:val="0"/>
          <w:szCs w:val="32"/>
          <w:shd w:val="clear" w:color="auto" w:fill="FFFFFF"/>
        </w:rPr>
        <w:t>（2）信息公开。我委严格按照《中华人民共和国预算法》、《中华人民共和国政府信息公开条例》等有关要求，在市财政局批复预决算20日内在市政府官网和市国资委官网公开预决算情况，并对有关事项作出说明。</w:t>
      </w:r>
    </w:p>
    <w:p>
      <w:pPr>
        <w:widowControl/>
        <w:spacing w:line="576" w:lineRule="exact"/>
        <w:ind w:firstLine="640"/>
        <w:rPr>
          <w:rFonts w:ascii="微软雅黑" w:hAnsi="微软雅黑" w:eastAsia="微软雅黑" w:cs="宋体"/>
          <w:color w:val="000000"/>
          <w:kern w:val="0"/>
          <w:sz w:val="27"/>
          <w:szCs w:val="27"/>
        </w:rPr>
      </w:pPr>
      <w:r>
        <w:rPr>
          <w:rFonts w:hint="eastAsia" w:ascii="仿宋_GB2312" w:hAnsi="微软雅黑" w:cs="宋体"/>
          <w:color w:val="000000"/>
          <w:kern w:val="0"/>
          <w:szCs w:val="32"/>
          <w:shd w:val="clear" w:color="auto" w:fill="FFFFFF"/>
        </w:rPr>
        <w:t>3</w:t>
      </w:r>
      <w:r>
        <w:rPr>
          <w:rFonts w:ascii="仿宋_GB2312" w:hAnsi="微软雅黑" w:cs="宋体"/>
          <w:color w:val="000000"/>
          <w:kern w:val="0"/>
          <w:szCs w:val="32"/>
          <w:shd w:val="clear" w:color="auto" w:fill="FFFFFF"/>
        </w:rPr>
        <w:t>.</w:t>
      </w:r>
      <w:r>
        <w:rPr>
          <w:rFonts w:hint="eastAsia" w:ascii="仿宋_GB2312" w:hAnsi="微软雅黑" w:cs="宋体"/>
          <w:color w:val="000000"/>
          <w:kern w:val="0"/>
          <w:szCs w:val="32"/>
          <w:shd w:val="clear" w:color="auto" w:fill="FFFFFF"/>
        </w:rPr>
        <w:t>自评质量</w:t>
      </w:r>
    </w:p>
    <w:p>
      <w:pPr>
        <w:widowControl/>
        <w:spacing w:line="576" w:lineRule="exact"/>
        <w:ind w:firstLine="640"/>
        <w:rPr>
          <w:rFonts w:ascii="微软雅黑" w:hAnsi="微软雅黑" w:eastAsia="微软雅黑" w:cs="宋体"/>
          <w:color w:val="000000"/>
          <w:kern w:val="0"/>
          <w:sz w:val="27"/>
          <w:szCs w:val="27"/>
        </w:rPr>
      </w:pPr>
      <w:r>
        <w:rPr>
          <w:rFonts w:hint="eastAsia" w:ascii="仿宋_GB2312" w:hAnsi="微软雅黑" w:cs="宋体"/>
          <w:color w:val="000000"/>
          <w:kern w:val="0"/>
          <w:szCs w:val="32"/>
          <w:shd w:val="clear" w:color="auto" w:fill="FFFFFF"/>
        </w:rPr>
        <w:t>不断完善工作方式方法，进一步提高年初部门预算的合理性，并严格按照中央、省、市相关文件精神做好年初预算申报工作，让资金用在刀刃上。</w:t>
      </w:r>
    </w:p>
    <w:p>
      <w:pPr>
        <w:widowControl/>
        <w:adjustRightInd w:val="0"/>
        <w:snapToGrid w:val="0"/>
        <w:spacing w:line="576" w:lineRule="exact"/>
        <w:ind w:firstLine="640" w:firstLineChars="200"/>
        <w:contextualSpacing/>
        <w:jc w:val="left"/>
        <w:rPr>
          <w:rFonts w:ascii="黑体" w:hAnsi="宋体" w:eastAsia="黑体" w:cs="宋体"/>
          <w:kern w:val="0"/>
          <w:szCs w:val="32"/>
          <w:shd w:val="clear" w:color="auto" w:fill="FFFFFF"/>
        </w:rPr>
      </w:pPr>
      <w:r>
        <w:rPr>
          <w:rFonts w:hint="eastAsia" w:ascii="黑体" w:hAnsi="宋体" w:eastAsia="黑体" w:cs="宋体"/>
          <w:kern w:val="0"/>
          <w:szCs w:val="32"/>
          <w:shd w:val="clear" w:color="auto" w:fill="FFFFFF"/>
        </w:rPr>
        <w:t>二、部门资金收支情况</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（一）部门总体收支情况</w:t>
      </w:r>
      <w:r>
        <w:rPr>
          <w:rFonts w:hint="eastAsia" w:ascii="楷体_GB2312" w:hAnsi="宋体" w:eastAsia="楷体_GB2312"/>
          <w:b/>
          <w:szCs w:val="32"/>
          <w:lang w:val="zh-CN"/>
        </w:rPr>
        <w:t>。</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1.部门总体收入情况</w:t>
      </w:r>
    </w:p>
    <w:p>
      <w:pPr>
        <w:pStyle w:val="2"/>
        <w:spacing w:beforeLines="0" w:line="576" w:lineRule="exact"/>
        <w:ind w:firstLine="640" w:firstLineChars="200"/>
      </w:pPr>
      <w:r>
        <w:rPr>
          <w:rFonts w:hint="eastAsia"/>
          <w:color w:val="000000"/>
          <w:sz w:val="32"/>
          <w:szCs w:val="32"/>
        </w:rPr>
        <w:t>202</w:t>
      </w:r>
      <w:r>
        <w:rPr>
          <w:color w:val="000000"/>
          <w:sz w:val="32"/>
          <w:szCs w:val="32"/>
        </w:rPr>
        <w:t>2</w:t>
      </w:r>
      <w:r>
        <w:rPr>
          <w:rFonts w:hint="eastAsia"/>
          <w:color w:val="000000"/>
          <w:sz w:val="32"/>
          <w:szCs w:val="32"/>
        </w:rPr>
        <w:t>年收入</w:t>
      </w:r>
      <w:r>
        <w:rPr>
          <w:color w:val="000000"/>
          <w:sz w:val="32"/>
          <w:szCs w:val="32"/>
        </w:rPr>
        <w:t>37710.48</w:t>
      </w:r>
      <w:r>
        <w:rPr>
          <w:rFonts w:hint="eastAsia"/>
          <w:color w:val="000000"/>
          <w:sz w:val="32"/>
          <w:szCs w:val="32"/>
        </w:rPr>
        <w:t>万元，其中一般公共预算财政拨款收入</w:t>
      </w:r>
      <w:r>
        <w:rPr>
          <w:color w:val="000000"/>
          <w:sz w:val="32"/>
          <w:szCs w:val="32"/>
        </w:rPr>
        <w:t>4066.16</w:t>
      </w:r>
      <w:r>
        <w:rPr>
          <w:rFonts w:hint="eastAsia"/>
          <w:color w:val="000000"/>
          <w:sz w:val="32"/>
          <w:szCs w:val="32"/>
        </w:rPr>
        <w:t>万元；政府性基金预算财政拨款收入</w:t>
      </w:r>
      <w:r>
        <w:rPr>
          <w:color w:val="000000"/>
          <w:sz w:val="32"/>
          <w:szCs w:val="32"/>
        </w:rPr>
        <w:t>33644.29</w:t>
      </w:r>
      <w:r>
        <w:rPr>
          <w:rFonts w:hint="eastAsia"/>
          <w:color w:val="000000"/>
          <w:sz w:val="32"/>
          <w:szCs w:val="32"/>
        </w:rPr>
        <w:t>万元；其他收入0.0</w:t>
      </w:r>
      <w:r>
        <w:rPr>
          <w:color w:val="000000"/>
          <w:sz w:val="32"/>
          <w:szCs w:val="32"/>
        </w:rPr>
        <w:t>3</w:t>
      </w:r>
      <w:r>
        <w:rPr>
          <w:rFonts w:hint="eastAsia"/>
          <w:color w:val="000000"/>
          <w:sz w:val="32"/>
          <w:szCs w:val="32"/>
        </w:rPr>
        <w:t>万元。</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2.部门总体支出情况</w:t>
      </w:r>
    </w:p>
    <w:p>
      <w:pPr>
        <w:pStyle w:val="2"/>
        <w:spacing w:beforeLines="0" w:line="576" w:lineRule="exact"/>
        <w:ind w:firstLine="640" w:firstLineChars="200"/>
      </w:pPr>
      <w:r>
        <w:rPr>
          <w:rFonts w:hint="eastAsia"/>
          <w:color w:val="000000"/>
          <w:sz w:val="32"/>
          <w:szCs w:val="32"/>
        </w:rPr>
        <w:t>202</w:t>
      </w:r>
      <w:r>
        <w:rPr>
          <w:color w:val="000000"/>
          <w:sz w:val="32"/>
          <w:szCs w:val="32"/>
        </w:rPr>
        <w:t>2</w:t>
      </w:r>
      <w:r>
        <w:rPr>
          <w:rFonts w:hint="eastAsia"/>
          <w:color w:val="000000"/>
          <w:sz w:val="32"/>
          <w:szCs w:val="32"/>
        </w:rPr>
        <w:t>年支出</w:t>
      </w:r>
      <w:r>
        <w:rPr>
          <w:color w:val="000000"/>
          <w:sz w:val="32"/>
          <w:szCs w:val="32"/>
        </w:rPr>
        <w:t>38479.38</w:t>
      </w:r>
      <w:r>
        <w:rPr>
          <w:rFonts w:hint="eastAsia"/>
          <w:color w:val="000000"/>
          <w:sz w:val="32"/>
          <w:szCs w:val="32"/>
        </w:rPr>
        <w:t>万元，其中基本支出1</w:t>
      </w:r>
      <w:r>
        <w:rPr>
          <w:color w:val="000000"/>
          <w:sz w:val="32"/>
          <w:szCs w:val="32"/>
        </w:rPr>
        <w:t>150.62</w:t>
      </w:r>
      <w:r>
        <w:rPr>
          <w:rFonts w:hint="eastAsia"/>
          <w:color w:val="000000"/>
          <w:sz w:val="32"/>
          <w:szCs w:val="32"/>
        </w:rPr>
        <w:t>万元，项目支出3</w:t>
      </w:r>
      <w:r>
        <w:rPr>
          <w:color w:val="000000"/>
          <w:sz w:val="32"/>
          <w:szCs w:val="32"/>
        </w:rPr>
        <w:t>7328.</w:t>
      </w:r>
      <w:commentRangeStart w:id="3"/>
      <w:commentRangeStart w:id="4"/>
      <w:r>
        <w:rPr>
          <w:color w:val="000000"/>
          <w:sz w:val="32"/>
          <w:szCs w:val="32"/>
        </w:rPr>
        <w:t>76</w:t>
      </w:r>
      <w:r>
        <w:rPr>
          <w:rFonts w:hint="eastAsia"/>
          <w:color w:val="000000"/>
          <w:sz w:val="32"/>
          <w:szCs w:val="32"/>
        </w:rPr>
        <w:t>万元</w:t>
      </w:r>
      <w:commentRangeEnd w:id="3"/>
      <w:r>
        <w:commentReference w:id="3"/>
      </w:r>
      <w:commentRangeEnd w:id="4"/>
      <w:r>
        <w:rPr>
          <w:rStyle w:val="20"/>
          <w:rFonts w:ascii="Times New Roman" w:eastAsia="宋体"/>
          <w:kern w:val="2"/>
        </w:rPr>
        <w:commentReference w:id="4"/>
      </w:r>
      <w:r>
        <w:rPr>
          <w:rFonts w:hint="eastAsia"/>
          <w:color w:val="000000"/>
          <w:sz w:val="32"/>
          <w:szCs w:val="32"/>
        </w:rPr>
        <w:t>。</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3.部门总体结转</w:t>
      </w:r>
      <w:bookmarkStart w:id="112" w:name="_GoBack"/>
      <w:bookmarkEnd w:id="112"/>
      <w:r>
        <w:rPr>
          <w:rFonts w:hint="eastAsia" w:ascii="仿宋_GB2312" w:hAnsi="仿宋_GB2312" w:cs="仿宋_GB2312"/>
          <w:kern w:val="0"/>
          <w:szCs w:val="32"/>
          <w:shd w:val="clear" w:color="auto" w:fill="FFFFFF"/>
        </w:rPr>
        <w:t>结余情况</w:t>
      </w:r>
    </w:p>
    <w:p>
      <w:pPr>
        <w:pStyle w:val="2"/>
        <w:spacing w:beforeLines="0" w:line="576" w:lineRule="exact"/>
        <w:ind w:firstLine="600" w:firstLineChars="200"/>
      </w:pPr>
      <w:r>
        <w:t>2022</w:t>
      </w:r>
      <w:r>
        <w:rPr>
          <w:rFonts w:hint="eastAsia"/>
        </w:rPr>
        <w:t>年年末财政拨款结转和结余3</w:t>
      </w:r>
      <w:r>
        <w:t>7.33</w:t>
      </w:r>
      <w:r>
        <w:rPr>
          <w:rFonts w:hint="eastAsia"/>
        </w:rPr>
        <w:t>万元。</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（二）部门财政拨款收支情况。</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1.部门财政拨款收入情况</w:t>
      </w:r>
    </w:p>
    <w:p>
      <w:pPr>
        <w:spacing w:line="576" w:lineRule="exact"/>
        <w:ind w:firstLine="640"/>
        <w:rPr>
          <w:rFonts w:ascii="仿宋_GB2312" w:hAnsi="仿宋"/>
          <w:szCs w:val="32"/>
        </w:rPr>
      </w:pPr>
      <w:r>
        <w:rPr>
          <w:rFonts w:hint="eastAsia" w:ascii="仿宋_GB2312" w:hAnsi="仿宋"/>
          <w:szCs w:val="32"/>
        </w:rPr>
        <w:t>2022年部门财政拨款收入总计37710.45万元。其中：一般公共预算财政拨款收入4066.16万元，政府性基金预算财政拨款收入33644.29万元。</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2.部门财政拨款支出情况</w:t>
      </w:r>
    </w:p>
    <w:p>
      <w:pPr>
        <w:pStyle w:val="2"/>
        <w:spacing w:beforeLines="0" w:line="576" w:lineRule="exact"/>
        <w:ind w:firstLine="640" w:firstLineChars="200"/>
        <w:rPr>
          <w:rFonts w:hAnsi="仿宋"/>
          <w:kern w:val="2"/>
          <w:sz w:val="32"/>
          <w:szCs w:val="32"/>
        </w:rPr>
      </w:pPr>
      <w:r>
        <w:rPr>
          <w:rFonts w:hint="eastAsia" w:hAnsi="仿宋_GB2312" w:cs="仿宋_GB2312"/>
          <w:color w:val="000000" w:themeColor="text1"/>
          <w:sz w:val="32"/>
          <w:szCs w:val="32"/>
          <w:shd w:val="clear" w:color="auto" w:fill="FFFFFF"/>
          <w14:textFill>
            <w14:solidFill>
              <w14:schemeClr w14:val="tx1"/>
            </w14:solidFill>
          </w14:textFill>
        </w:rPr>
        <w:t>2022年度</w:t>
      </w:r>
      <w:r>
        <w:rPr>
          <w:rFonts w:hint="eastAsia"/>
          <w:snapToGrid w:val="0"/>
          <w:color w:val="000000" w:themeColor="text1"/>
          <w:sz w:val="32"/>
          <w:szCs w:val="32"/>
          <w14:textFill>
            <w14:solidFill>
              <w14:schemeClr w14:val="tx1"/>
            </w14:solidFill>
          </w14:textFill>
        </w:rPr>
        <w:t>一般公共预算财政拨款支出4040.33万元，政府性基金预算财政拨款支出34439.05万元。</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3.部门财政拨款结转结余情况</w:t>
      </w:r>
    </w:p>
    <w:p>
      <w:pPr>
        <w:pStyle w:val="2"/>
        <w:spacing w:beforeLines="0" w:line="576" w:lineRule="exact"/>
        <w:ind w:firstLine="640" w:firstLineChars="200"/>
        <w:rPr>
          <w:sz w:val="32"/>
          <w:szCs w:val="32"/>
        </w:rPr>
      </w:pPr>
      <w:r>
        <w:rPr>
          <w:rFonts w:hint="eastAsia"/>
          <w:sz w:val="32"/>
          <w:szCs w:val="32"/>
        </w:rPr>
        <w:t>2022年年末财政拨款结转和结余37.28万元。</w:t>
      </w:r>
    </w:p>
    <w:p>
      <w:pPr>
        <w:widowControl/>
        <w:adjustRightInd w:val="0"/>
        <w:snapToGrid w:val="0"/>
        <w:spacing w:line="576" w:lineRule="exact"/>
        <w:ind w:firstLine="640" w:firstLineChars="200"/>
        <w:contextualSpacing/>
        <w:jc w:val="left"/>
        <w:rPr>
          <w:rFonts w:ascii="黑体" w:hAnsi="宋体" w:eastAsia="黑体" w:cs="宋体"/>
          <w:kern w:val="0"/>
          <w:szCs w:val="32"/>
          <w:shd w:val="clear" w:color="auto" w:fill="FFFFFF"/>
        </w:rPr>
      </w:pPr>
      <w:r>
        <w:rPr>
          <w:rFonts w:hint="eastAsia" w:ascii="黑体" w:hAnsi="宋体" w:eastAsia="黑体" w:cs="宋体"/>
          <w:kern w:val="0"/>
          <w:szCs w:val="32"/>
          <w:shd w:val="clear" w:color="auto" w:fill="FFFFFF"/>
        </w:rPr>
        <w:t>三、部门整体绩效分析</w:t>
      </w:r>
    </w:p>
    <w:p>
      <w:pPr>
        <w:widowControl/>
        <w:adjustRightInd w:val="0"/>
        <w:snapToGrid w:val="0"/>
        <w:spacing w:line="576" w:lineRule="exact"/>
        <w:ind w:firstLine="643" w:firstLineChars="200"/>
        <w:contextualSpacing/>
        <w:jc w:val="left"/>
        <w:rPr>
          <w:rFonts w:ascii="仿宋_GB2312" w:hAnsi="仿宋_GB2312" w:cs="仿宋_GB2312"/>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（一）部门预算项目绩效分析</w:t>
      </w:r>
      <w:r>
        <w:rPr>
          <w:rFonts w:hint="eastAsia" w:ascii="楷体_GB2312" w:hAnsi="宋体" w:eastAsia="楷体_GB2312"/>
          <w:b/>
          <w:szCs w:val="32"/>
          <w:lang w:val="zh-CN"/>
        </w:rPr>
        <w:t>。</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1.人员类项目绩效分析</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2022年工资福利支出946.63万元，按年初预算执行，每月工资按时发放，五险一金及个税按时缴纳，人员经费按标准保障到位，无违规记录。</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2.运转类项目绩效分析</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公用经费执行</w:t>
      </w:r>
      <w:r>
        <w:rPr>
          <w:rFonts w:ascii="仿宋_GB2312" w:hAnsi="仿宋_GB2312" w:cs="仿宋_GB2312"/>
          <w:kern w:val="0"/>
          <w:szCs w:val="32"/>
          <w:shd w:val="clear" w:color="auto" w:fill="FFFFFF"/>
        </w:rPr>
        <w:t>126.60</w:t>
      </w:r>
      <w:r>
        <w:rPr>
          <w:rFonts w:hint="eastAsia" w:ascii="仿宋_GB2312" w:hAnsi="仿宋_GB2312" w:cs="仿宋_GB2312"/>
          <w:kern w:val="0"/>
          <w:szCs w:val="32"/>
          <w:shd w:val="clear" w:color="auto" w:fill="FFFFFF"/>
        </w:rPr>
        <w:t>万元，保障了部门日常工作运转。</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3.特定目标类项目绩效分析</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争取项目工作经费因受疫情影响，外出考察项目相对较少，省企广元行活动延期至年底举办，资金支付集中于年底，预算执行进度相对缓慢。</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派驻纪检组经费坚持厉行节约原则，结余资金0.52万元，预算执行率未达到100%，结余预算指标已收回。</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应交税费项目因新冠疫情持续影响，执行广财资〔2022〕17号、广财资〔2022〕77号文件精神，减少2022年7-12月租金633.3万元，应交税费项目资金预算279万元实际执行202.93万元，结余预算指标已收回。</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财政代管资金预算执行率未达到预期，实际执行预算的32%。</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其余部门预算项目单位支付系统的目标均已完成。为保证项目能够扎实有效实施，项目支出均按照中央“八项规定”要求，严格审批，手续齐全，合法合规，项目支出完全符合国家财经法规和财务管理制度。</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专项资金预算项目中利州区红四方面军四川长征文化公园建设项目已按省要求开展自评，未开展本次自评工作，其余专项资金预算项目均按要求开展本次自评。</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项目绩效评价选用的指标主要包括预算执行情况、财务管理状况、时效、成本以及社会效益等，采取单位绩效评价自评方式，运用分级评分法、比率分值法、满意值赋分发等进行项目绩效评价。项目按照绩效目标的实施内容及工作要求实施完毕，执行情况较好，达到了预期绩效目标。</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（二）部门整体履职绩效分析</w:t>
      </w:r>
      <w:r>
        <w:rPr>
          <w:rFonts w:hint="eastAsia" w:ascii="楷体_GB2312" w:hAnsi="宋体" w:eastAsia="楷体_GB2312"/>
          <w:b/>
          <w:szCs w:val="32"/>
          <w:lang w:val="zh-CN"/>
        </w:rPr>
        <w:t>。</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 xml:space="preserve">1.保障了委机关及中心正常运转，按时足额发放在职人员的工资和保险，退休人员补助，保障了公车正常运行，确保了机关9个内设科室及中心的日常办公运转。                                               </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 xml:space="preserve">2.大力开展招商引资工作，加强成渝、浙广、西广、蓉广等重点区域招商，高质量举办了省企广元行活动。 </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3.国企改革三年行动高质量收官，各治理主体权责边界进一步清晰，法人治理结构更加完善，企业健康发展、可持续发展能力显著提升。</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4.完成了机关与中心2022年办公设备采购需求，提升了办文办会资料印制效率。</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5.顺利通过巩固脱贫攻坚成果和乡村振兴有效衔接工作国家检查验收，圆满完成各项工作。</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 xml:space="preserve">6.保障了派驻纪检组案件审查调查、日常监督及办公经费，完成了市纪委监委下达的各项目标任务。           </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7.按照税法等相关法规以财政非税收入实缴金额为基数核算税金，按月及时足额交纳，坚持做到“精准”入库。</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8.按照租赁合同约定收退保证金及新冠疫情退还多缴租金。</w:t>
      </w:r>
    </w:p>
    <w:p>
      <w:pPr>
        <w:pStyle w:val="2"/>
        <w:spacing w:before="93"/>
        <w:ind w:firstLine="640" w:firstLineChars="200"/>
        <w:rPr>
          <w:lang w:val="zh-CN"/>
        </w:rPr>
      </w:pPr>
      <w:r>
        <w:rPr>
          <w:rFonts w:hint="eastAsia" w:hAnsi="仿宋_GB2312" w:cs="仿宋_GB2312"/>
          <w:sz w:val="32"/>
          <w:szCs w:val="32"/>
          <w:shd w:val="clear" w:color="auto" w:fill="FFFFFF"/>
          <w:lang w:val="zh-CN"/>
        </w:rPr>
        <w:t>9.2022年及时足额完成了对企业项目资金的转拨。</w:t>
      </w:r>
    </w:p>
    <w:p>
      <w:pPr>
        <w:widowControl/>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（三）结果应用情况</w:t>
      </w:r>
      <w:r>
        <w:rPr>
          <w:rFonts w:hint="eastAsia" w:ascii="楷体_GB2312" w:hAnsi="宋体" w:eastAsia="楷体_GB2312"/>
          <w:b/>
          <w:szCs w:val="32"/>
          <w:lang w:val="zh-CN"/>
        </w:rPr>
        <w:t>。</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1.内部应用。我委将委机关和下属事业单位市国资国企服务中心绩效自评纳入考核体系，建立了预算与绩效挂钩机制。</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2.信息公开。我委严格按照《中华人民共和国预算法》、《中华人民共和国政府信息公开条例》等有关要求，在市财政局批复预决算20日内在市政府官网和市国资委官网公开预决算情况，并对有关事项作出说明。</w:t>
      </w:r>
    </w:p>
    <w:p>
      <w:pPr>
        <w:widowControl/>
        <w:numPr>
          <w:ilvl w:val="0"/>
          <w:numId w:val="7"/>
        </w:numPr>
        <w:adjustRightInd w:val="0"/>
        <w:snapToGrid w:val="0"/>
        <w:spacing w:line="576" w:lineRule="exact"/>
        <w:ind w:firstLine="643" w:firstLineChars="200"/>
        <w:contextualSpacing/>
        <w:jc w:val="left"/>
        <w:rPr>
          <w:rFonts w:ascii="楷体_GB2312" w:hAnsi="楷体_GB2312" w:eastAsia="楷体_GB2312" w:cs="楷体_GB2312"/>
          <w:b/>
          <w:bCs/>
          <w:kern w:val="0"/>
          <w:szCs w:val="32"/>
          <w:shd w:val="clear" w:color="auto" w:fill="FFFFFF"/>
          <w:lang w:val="zh-CN"/>
        </w:rPr>
      </w:pPr>
      <w:r>
        <w:rPr>
          <w:rFonts w:hint="eastAsia" w:ascii="楷体_GB2312" w:hAnsi="楷体_GB2312" w:eastAsia="楷体_GB2312" w:cs="楷体_GB2312"/>
          <w:b/>
          <w:bCs/>
          <w:kern w:val="0"/>
          <w:szCs w:val="32"/>
          <w:shd w:val="clear" w:color="auto" w:fill="FFFFFF"/>
          <w:lang w:val="zh-CN"/>
        </w:rPr>
        <w:t>自评质量</w:t>
      </w:r>
      <w:r>
        <w:rPr>
          <w:rFonts w:hint="eastAsia" w:ascii="楷体_GB2312" w:hAnsi="宋体" w:eastAsia="楷体_GB2312"/>
          <w:b/>
          <w:szCs w:val="32"/>
          <w:lang w:val="zh-CN"/>
        </w:rPr>
        <w:t>。</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不断完善工作方式方法，进一步提高年初部门预算的合理性，并严格按照中央、省、市相关文件精神做好年初预算申报工作，让资金用在刀刃上。</w:t>
      </w:r>
    </w:p>
    <w:p>
      <w:pPr>
        <w:widowControl/>
        <w:adjustRightInd w:val="0"/>
        <w:snapToGrid w:val="0"/>
        <w:spacing w:line="576" w:lineRule="exact"/>
        <w:ind w:firstLine="640" w:firstLineChars="200"/>
        <w:contextualSpacing/>
        <w:jc w:val="left"/>
        <w:rPr>
          <w:rFonts w:ascii="黑体" w:hAnsi="宋体" w:eastAsia="黑体" w:cs="宋体"/>
          <w:kern w:val="0"/>
          <w:szCs w:val="32"/>
          <w:shd w:val="clear" w:color="auto" w:fill="FFFFFF"/>
        </w:rPr>
      </w:pPr>
      <w:r>
        <w:rPr>
          <w:rFonts w:hint="eastAsia" w:ascii="黑体" w:hAnsi="宋体" w:eastAsia="黑体" w:cs="宋体"/>
          <w:kern w:val="0"/>
          <w:szCs w:val="32"/>
          <w:shd w:val="clear" w:color="auto" w:fill="FFFFFF"/>
        </w:rPr>
        <w:t>四、评价结论及建议</w:t>
      </w:r>
    </w:p>
    <w:p>
      <w:pPr>
        <w:adjustRightInd w:val="0"/>
        <w:snapToGrid w:val="0"/>
        <w:spacing w:line="576" w:lineRule="exact"/>
        <w:ind w:firstLine="640" w:firstLineChars="200"/>
        <w:contextualSpacing/>
        <w:jc w:val="left"/>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（一）评价结论</w:t>
      </w:r>
    </w:p>
    <w:p>
      <w:pPr>
        <w:spacing w:line="576" w:lineRule="exact"/>
        <w:ind w:firstLine="640" w:firstLineChars="200"/>
        <w:rPr>
          <w:rFonts w:eastAsia="方正仿宋简体"/>
          <w:szCs w:val="32"/>
          <w:lang w:val="zh-CN"/>
        </w:rPr>
      </w:pPr>
      <w:r>
        <w:rPr>
          <w:rFonts w:hint="eastAsia" w:ascii="仿宋_GB2312"/>
          <w:szCs w:val="32"/>
        </w:rPr>
        <w:t>我委积极组织下属二级单位认真全面开展绩效评价工作，对年初纳入部门预算的项目及专项预算项目都进行了项目支出绩效自评。建立健全财务管理制度和内控约束机制，依法、有效地使用财政资金，提高财政资金使用效率。合理分配人、财、物，完成部门职能目标，</w:t>
      </w:r>
      <w:r>
        <w:rPr>
          <w:rFonts w:hint="eastAsia" w:ascii="仿宋_GB2312" w:hAnsi="仿宋_GB2312" w:cs="仿宋_GB2312"/>
          <w:szCs w:val="32"/>
        </w:rPr>
        <w:t>国资监管水平不断提升，国企党建工作不断加强，</w:t>
      </w:r>
      <w:r>
        <w:rPr>
          <w:rFonts w:hint="eastAsia" w:ascii="仿宋_GB2312"/>
          <w:szCs w:val="32"/>
        </w:rPr>
        <w:t>部门整体自评得分96.33分。</w:t>
      </w:r>
    </w:p>
    <w:p>
      <w:pPr>
        <w:numPr>
          <w:ilvl w:val="0"/>
          <w:numId w:val="8"/>
        </w:numPr>
        <w:adjustRightInd w:val="0"/>
        <w:snapToGrid w:val="0"/>
        <w:spacing w:line="576" w:lineRule="exact"/>
        <w:ind w:firstLine="640" w:firstLineChars="200"/>
        <w:contextualSpacing/>
        <w:jc w:val="left"/>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存在问题</w:t>
      </w:r>
    </w:p>
    <w:p>
      <w:pPr>
        <w:spacing w:line="576" w:lineRule="exact"/>
        <w:ind w:firstLine="640" w:firstLineChars="200"/>
        <w:rPr>
          <w:rFonts w:ascii="仿宋_GB2312"/>
          <w:szCs w:val="32"/>
          <w:lang w:val="zh-CN"/>
        </w:rPr>
      </w:pPr>
      <w:r>
        <w:rPr>
          <w:rFonts w:hint="eastAsia" w:ascii="仿宋_GB2312" w:hAnsi="仿宋"/>
          <w:szCs w:val="32"/>
        </w:rPr>
        <w:t>预算编制和执行管理有待进一步加强。</w:t>
      </w:r>
    </w:p>
    <w:p>
      <w:pPr>
        <w:numPr>
          <w:ilvl w:val="0"/>
          <w:numId w:val="8"/>
        </w:numPr>
        <w:adjustRightInd w:val="0"/>
        <w:snapToGrid w:val="0"/>
        <w:spacing w:line="576" w:lineRule="exact"/>
        <w:ind w:firstLine="640" w:firstLineChars="200"/>
        <w:contextualSpacing/>
        <w:jc w:val="left"/>
        <w:rPr>
          <w:rFonts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改进建议</w:t>
      </w:r>
    </w:p>
    <w:p>
      <w:pPr>
        <w:spacing w:line="576" w:lineRule="exact"/>
        <w:ind w:firstLine="640" w:firstLineChars="200"/>
        <w:rPr>
          <w:rFonts w:ascii="仿宋_GB2312" w:hAnsi="仿宋"/>
          <w:szCs w:val="32"/>
        </w:rPr>
      </w:pPr>
      <w:r>
        <w:rPr>
          <w:rFonts w:hint="eastAsia" w:ascii="仿宋_GB2312" w:hAnsi="仿宋"/>
          <w:szCs w:val="32"/>
        </w:rPr>
        <w:t>1.认真执行《预算法》。不断提高思想认识，加强全面预算管理的政策宣传，严格执行公务卡结算，提高财务人员的预算意识，坚持先预算后支出，无预算不支出的财政资金管理原则。</w:t>
      </w:r>
      <w:r>
        <w:rPr>
          <w:rFonts w:hint="eastAsia" w:ascii="仿宋_GB2312" w:hAnsi="Calibri" w:cs="Calibri"/>
          <w:szCs w:val="32"/>
        </w:rPr>
        <w:t> </w:t>
      </w:r>
    </w:p>
    <w:p>
      <w:pPr>
        <w:spacing w:line="576" w:lineRule="exact"/>
        <w:ind w:firstLine="640" w:firstLineChars="200"/>
        <w:rPr>
          <w:rFonts w:ascii="仿宋_GB2312" w:hAnsi="仿宋"/>
          <w:szCs w:val="32"/>
        </w:rPr>
      </w:pPr>
      <w:r>
        <w:rPr>
          <w:rFonts w:hint="eastAsia" w:ascii="仿宋_GB2312" w:hAnsi="仿宋"/>
          <w:szCs w:val="32"/>
        </w:rPr>
        <w:t>2.科学编制部门预算。细化预算绩效指标，提高预算编制科学性，年度预算编制后，按照实际情况定期做好预算执行分析，及时找出并纠正预算实际执行中与预算目标之间的偏差，为科学、准确地编制部门预算积累经验。</w:t>
      </w:r>
    </w:p>
    <w:p>
      <w:pPr>
        <w:spacing w:line="576" w:lineRule="exact"/>
        <w:rPr>
          <w:rFonts w:ascii="仿宋" w:hAnsi="仿宋" w:eastAsia="仿宋"/>
          <w:szCs w:val="32"/>
        </w:rPr>
      </w:pPr>
    </w:p>
    <w:p>
      <w:pPr>
        <w:pStyle w:val="15"/>
        <w:spacing w:line="560" w:lineRule="exact"/>
        <w:ind w:left="0" w:leftChars="0" w:firstLine="640"/>
        <w:rPr>
          <w:rFonts w:hAnsi="仿宋_GB2312" w:cs="仿宋_GB2312"/>
          <w:lang w:val="zh-CN"/>
        </w:rPr>
      </w:pPr>
      <w:r>
        <w:rPr>
          <w:rFonts w:hint="eastAsia" w:hAnsi="仿宋_GB2312" w:cs="仿宋_GB2312"/>
          <w:lang w:val="zh-CN"/>
        </w:rPr>
        <w:t>附表：</w:t>
      </w:r>
      <w:r>
        <w:rPr>
          <w:rFonts w:hint="eastAsia" w:hAnsi="仿宋_GB2312" w:cs="仿宋_GB2312"/>
        </w:rPr>
        <w:t>部门预算项目支出绩效自评表（2022年度）</w:t>
      </w: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left"/>
        <w:rPr>
          <w:rFonts w:ascii="仿宋_GB2312"/>
          <w:kern w:val="0"/>
          <w:sz w:val="30"/>
        </w:rPr>
      </w:pPr>
      <w:r>
        <w:br w:type="page"/>
      </w:r>
      <w:r>
        <w:rPr>
          <w:rFonts w:hint="eastAsia" w:ascii="黑体" w:hAnsi="黑体" w:eastAsia="黑体" w:cs="宋体"/>
          <w:szCs w:val="32"/>
          <w:shd w:val="clear" w:color="auto" w:fill="FFFFFF"/>
          <w:lang w:val="zh-CN"/>
        </w:rPr>
        <w:t>附件</w:t>
      </w:r>
      <w:r>
        <w:rPr>
          <w:rFonts w:hint="eastAsia" w:ascii="黑体" w:hAnsi="黑体" w:eastAsia="黑体" w:cs="宋体"/>
          <w:szCs w:val="32"/>
          <w:shd w:val="clear" w:color="auto" w:fill="FFFFFF"/>
        </w:rPr>
        <w:t>2</w:t>
      </w: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2023年专项资金预算项目绩效自评报告</w:t>
      </w:r>
    </w:p>
    <w:p>
      <w:pPr>
        <w:pStyle w:val="36"/>
        <w:spacing w:line="576" w:lineRule="exact"/>
        <w:ind w:firstLine="640"/>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办公设备购买</w:t>
      </w:r>
      <w:r>
        <w:rPr>
          <w:rFonts w:hint="eastAsia" w:ascii="仿宋_GB2312"/>
          <w:sz w:val="32"/>
          <w:szCs w:val="32"/>
        </w:rPr>
        <w:t>）</w:t>
      </w:r>
    </w:p>
    <w:p>
      <w:pPr>
        <w:adjustRightInd w:val="0"/>
        <w:snapToGrid w:val="0"/>
        <w:spacing w:line="576" w:lineRule="exact"/>
        <w:ind w:firstLine="720"/>
        <w:rPr>
          <w:rFonts w:ascii="黑体" w:hAnsi="宋体" w:eastAsia="黑体"/>
          <w:szCs w:val="32"/>
          <w:lang w:val="zh-CN"/>
        </w:rPr>
      </w:pPr>
      <w:r>
        <w:rPr>
          <w:rFonts w:hint="eastAsia" w:ascii="黑体" w:hAnsi="宋体" w:eastAsia="黑体"/>
          <w:szCs w:val="32"/>
        </w:rPr>
        <w:t>一、</w:t>
      </w:r>
      <w:r>
        <w:rPr>
          <w:rFonts w:hint="eastAsia" w:ascii="黑体" w:hAnsi="宋体" w:eastAsia="黑体"/>
          <w:szCs w:val="32"/>
          <w:lang w:val="zh-CN"/>
        </w:rPr>
        <w:t>项目概况</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（一）项目基本情况。</w:t>
      </w:r>
    </w:p>
    <w:p>
      <w:pPr>
        <w:adjustRightInd w:val="0"/>
        <w:snapToGrid w:val="0"/>
        <w:spacing w:line="576" w:lineRule="exact"/>
        <w:ind w:firstLine="720"/>
        <w:rPr>
          <w:rFonts w:ascii="仿宋" w:hAnsi="仿宋" w:eastAsia="仿宋"/>
          <w:color w:val="000000"/>
          <w:szCs w:val="32"/>
        </w:rPr>
      </w:pPr>
      <w:r>
        <w:rPr>
          <w:rFonts w:hint="eastAsia" w:ascii="仿宋" w:hAnsi="仿宋" w:eastAsia="仿宋"/>
          <w:color w:val="000000"/>
          <w:szCs w:val="32"/>
        </w:rPr>
        <w:t>项目主管部门（单位）在该项目管理中的职能，主要是根据市政府授权，依照《中华人民共和国公司法》、《中华人民共和国企业国有资产法》等法律和行政法规履行出资人职责，监管市属企业的国有资产，加强国有资产的管理工作。项目立项、资金申报是按照市级行政事业单位通用办公设备配置管理办法标准及单位实际办公设备需求编制预算，并严格按程序执行政府采购。为保障我委正常办公条件，年初将办公设备购买项目经费4</w:t>
      </w:r>
      <w:r>
        <w:rPr>
          <w:rFonts w:ascii="仿宋" w:hAnsi="仿宋" w:eastAsia="仿宋"/>
          <w:color w:val="000000"/>
          <w:szCs w:val="32"/>
        </w:rPr>
        <w:t>.2</w:t>
      </w:r>
      <w:r>
        <w:rPr>
          <w:rFonts w:hint="eastAsia" w:ascii="仿宋" w:hAnsi="仿宋" w:eastAsia="仿宋"/>
          <w:color w:val="000000"/>
          <w:szCs w:val="32"/>
        </w:rPr>
        <w:t>万元纳入委机关年度财政预算。</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（二）项目绩效目标。</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rPr>
        <w:t>1.</w:t>
      </w:r>
      <w:r>
        <w:rPr>
          <w:rFonts w:hint="eastAsia" w:ascii="仿宋_GB2312" w:hAnsi="仿宋_GB2312" w:cs="仿宋_GB2312"/>
          <w:kern w:val="0"/>
          <w:szCs w:val="32"/>
          <w:shd w:val="clear" w:color="auto" w:fill="FFFFFF"/>
          <w:lang w:val="zh-CN"/>
        </w:rPr>
        <w:t>项目主要内容。</w:t>
      </w:r>
    </w:p>
    <w:p>
      <w:pPr>
        <w:pStyle w:val="2"/>
        <w:spacing w:beforeLines="0" w:line="576" w:lineRule="exact"/>
        <w:ind w:firstLine="640" w:firstLineChars="200"/>
        <w:rPr>
          <w:lang w:val="zh-CN"/>
        </w:rPr>
      </w:pPr>
      <w:r>
        <w:rPr>
          <w:rFonts w:hint="eastAsia" w:ascii="仿宋" w:hAnsi="仿宋" w:eastAsia="仿宋"/>
          <w:color w:val="000000"/>
          <w:sz w:val="32"/>
          <w:szCs w:val="32"/>
        </w:rPr>
        <w:t>项目主要内容包括购买多功能一体机</w:t>
      </w:r>
      <w:r>
        <w:rPr>
          <w:rFonts w:ascii="仿宋" w:hAnsi="仿宋" w:eastAsia="仿宋"/>
          <w:color w:val="000000"/>
          <w:sz w:val="32"/>
          <w:szCs w:val="32"/>
        </w:rPr>
        <w:t>1</w:t>
      </w:r>
      <w:r>
        <w:rPr>
          <w:rFonts w:hint="eastAsia" w:ascii="仿宋" w:hAnsi="仿宋" w:eastAsia="仿宋"/>
          <w:color w:val="000000"/>
          <w:sz w:val="32"/>
          <w:szCs w:val="32"/>
        </w:rPr>
        <w:t>台、密码柜</w:t>
      </w:r>
      <w:r>
        <w:rPr>
          <w:rFonts w:ascii="仿宋" w:hAnsi="仿宋" w:eastAsia="仿宋"/>
          <w:color w:val="000000"/>
          <w:sz w:val="32"/>
          <w:szCs w:val="32"/>
        </w:rPr>
        <w:t>1</w:t>
      </w:r>
      <w:r>
        <w:rPr>
          <w:rFonts w:hint="eastAsia" w:ascii="仿宋" w:hAnsi="仿宋" w:eastAsia="仿宋"/>
          <w:color w:val="000000"/>
          <w:sz w:val="32"/>
          <w:szCs w:val="32"/>
        </w:rPr>
        <w:t>个、复印纸等。</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rPr>
        <w:t>2.</w:t>
      </w:r>
      <w:r>
        <w:rPr>
          <w:rFonts w:hint="eastAsia" w:ascii="仿宋_GB2312" w:hAnsi="仿宋_GB2312" w:cs="仿宋_GB2312"/>
          <w:kern w:val="0"/>
          <w:szCs w:val="32"/>
          <w:shd w:val="clear" w:color="auto" w:fill="FFFFFF"/>
          <w:lang w:val="zh-CN"/>
        </w:rPr>
        <w:t>项目应实现的具体绩效目标。</w:t>
      </w:r>
    </w:p>
    <w:p>
      <w:pPr>
        <w:pStyle w:val="2"/>
        <w:spacing w:beforeLines="0" w:line="576" w:lineRule="exact"/>
        <w:ind w:firstLine="640" w:firstLineChars="200"/>
        <w:rPr>
          <w:rFonts w:hAnsi="仿宋_GB2312" w:cs="仿宋_GB2312"/>
          <w:sz w:val="32"/>
          <w:szCs w:val="32"/>
          <w:shd w:val="clear" w:color="auto" w:fill="FFFFFF"/>
          <w:lang w:val="zh-CN"/>
        </w:rPr>
      </w:pPr>
      <w:r>
        <w:rPr>
          <w:rFonts w:hint="eastAsia" w:hAnsi="仿宋_GB2312" w:cs="仿宋_GB2312"/>
          <w:sz w:val="32"/>
          <w:szCs w:val="32"/>
          <w:shd w:val="clear" w:color="auto" w:fill="FFFFFF"/>
          <w:lang w:val="zh-CN"/>
        </w:rPr>
        <w:t>通过项目实施，在202</w:t>
      </w:r>
      <w:r>
        <w:rPr>
          <w:rFonts w:hAnsi="仿宋_GB2312" w:cs="仿宋_GB2312"/>
          <w:sz w:val="32"/>
          <w:szCs w:val="32"/>
          <w:shd w:val="clear" w:color="auto" w:fill="FFFFFF"/>
          <w:lang w:val="zh-CN"/>
        </w:rPr>
        <w:t>2</w:t>
      </w:r>
      <w:r>
        <w:rPr>
          <w:rFonts w:hint="eastAsia" w:hAnsi="仿宋_GB2312" w:cs="仿宋_GB2312"/>
          <w:sz w:val="32"/>
          <w:szCs w:val="32"/>
          <w:shd w:val="clear" w:color="auto" w:fill="FFFFFF"/>
          <w:lang w:val="zh-CN"/>
        </w:rPr>
        <w:t>年度采购多功能一体机</w:t>
      </w:r>
      <w:r>
        <w:rPr>
          <w:rFonts w:hAnsi="仿宋_GB2312" w:cs="仿宋_GB2312"/>
          <w:sz w:val="32"/>
          <w:szCs w:val="32"/>
          <w:shd w:val="clear" w:color="auto" w:fill="FFFFFF"/>
          <w:lang w:val="zh-CN"/>
        </w:rPr>
        <w:t>1</w:t>
      </w:r>
      <w:r>
        <w:rPr>
          <w:rFonts w:hint="eastAsia" w:hAnsi="仿宋_GB2312" w:cs="仿宋_GB2312"/>
          <w:sz w:val="32"/>
          <w:szCs w:val="32"/>
          <w:shd w:val="clear" w:color="auto" w:fill="FFFFFF"/>
          <w:lang w:val="zh-CN"/>
        </w:rPr>
        <w:t>台、密码柜</w:t>
      </w:r>
      <w:r>
        <w:rPr>
          <w:rFonts w:hAnsi="仿宋_GB2312" w:cs="仿宋_GB2312"/>
          <w:sz w:val="32"/>
          <w:szCs w:val="32"/>
          <w:shd w:val="clear" w:color="auto" w:fill="FFFFFF"/>
          <w:lang w:val="zh-CN"/>
        </w:rPr>
        <w:t>1</w:t>
      </w:r>
      <w:r>
        <w:rPr>
          <w:rFonts w:hint="eastAsia" w:hAnsi="仿宋_GB2312" w:cs="仿宋_GB2312"/>
          <w:sz w:val="32"/>
          <w:szCs w:val="32"/>
          <w:shd w:val="clear" w:color="auto" w:fill="FFFFFF"/>
          <w:lang w:val="zh-CN"/>
        </w:rPr>
        <w:t>个、复印纸等，解决我委办公设备老化，资料印制效率不高的问题，保障办公效率和办公质量。项目实施严格按照“广元市市级行政事业单位通用办公设备和办公家具配置限额标准”申请购买，按照预期目标完成项目任务。</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3．分析评价申报内容是否与实际相符，申报目标是否合理可行。</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申报内容与实际相符，申报目标合理。</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（三）项目自评步骤及方法。</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color w:val="000000"/>
          <w:szCs w:val="32"/>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我委成立了以主要领导为组长，相关负责同志为成员的自评领导小组，开展了202</w:t>
      </w:r>
      <w:r>
        <w:rPr>
          <w:rFonts w:ascii="仿宋_GB2312"/>
          <w:color w:val="000000"/>
          <w:szCs w:val="32"/>
        </w:rPr>
        <w:t>2</w:t>
      </w:r>
      <w:r>
        <w:rPr>
          <w:rFonts w:hint="eastAsia" w:ascii="仿宋_GB2312"/>
          <w:color w:val="000000"/>
          <w:szCs w:val="32"/>
        </w:rPr>
        <w:t>年度支出绩效评价自评工作。</w:t>
      </w:r>
    </w:p>
    <w:p>
      <w:pPr>
        <w:adjustRightInd w:val="0"/>
        <w:snapToGrid w:val="0"/>
        <w:spacing w:line="576" w:lineRule="exact"/>
        <w:ind w:firstLine="720"/>
        <w:rPr>
          <w:rFonts w:ascii="黑体" w:hAnsi="宋体" w:eastAsia="黑体"/>
          <w:szCs w:val="32"/>
        </w:rPr>
      </w:pPr>
      <w:r>
        <w:rPr>
          <w:rFonts w:hint="eastAsia" w:ascii="黑体" w:hAnsi="宋体" w:eastAsia="黑体"/>
          <w:szCs w:val="32"/>
        </w:rPr>
        <w:t>二、项目资金申报及使用情况</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（一）项目资金申报及批复情况。</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 w:hAnsi="仿宋" w:eastAsia="仿宋"/>
          <w:color w:val="000000"/>
          <w:szCs w:val="32"/>
        </w:rPr>
        <w:t>根据202</w:t>
      </w:r>
      <w:r>
        <w:rPr>
          <w:rFonts w:ascii="仿宋" w:hAnsi="仿宋" w:eastAsia="仿宋"/>
          <w:color w:val="000000"/>
          <w:szCs w:val="32"/>
        </w:rPr>
        <w:t>2</w:t>
      </w:r>
      <w:r>
        <w:rPr>
          <w:rFonts w:hint="eastAsia" w:ascii="仿宋" w:hAnsi="仿宋" w:eastAsia="仿宋"/>
          <w:color w:val="000000"/>
          <w:szCs w:val="32"/>
        </w:rPr>
        <w:t>年工作开展情况，认真填报《202</w:t>
      </w:r>
      <w:r>
        <w:rPr>
          <w:rFonts w:ascii="仿宋" w:hAnsi="仿宋" w:eastAsia="仿宋"/>
          <w:color w:val="000000"/>
          <w:szCs w:val="32"/>
        </w:rPr>
        <w:t>2</w:t>
      </w:r>
      <w:r>
        <w:rPr>
          <w:rFonts w:hint="eastAsia" w:ascii="仿宋" w:hAnsi="仿宋" w:eastAsia="仿宋"/>
          <w:color w:val="000000"/>
          <w:szCs w:val="32"/>
        </w:rPr>
        <w:t>年预算项目支出绩效目标申报表》，编制办公设备购买预算4</w:t>
      </w:r>
      <w:r>
        <w:rPr>
          <w:rFonts w:ascii="仿宋" w:hAnsi="仿宋" w:eastAsia="仿宋"/>
          <w:color w:val="000000"/>
          <w:szCs w:val="32"/>
        </w:rPr>
        <w:t>.2</w:t>
      </w:r>
      <w:r>
        <w:rPr>
          <w:rFonts w:hint="eastAsia" w:ascii="仿宋" w:hAnsi="仿宋" w:eastAsia="仿宋"/>
          <w:color w:val="000000"/>
          <w:szCs w:val="32"/>
        </w:rPr>
        <w:t>万元。市财政局批复了办公设备购买经费预算4</w:t>
      </w:r>
      <w:r>
        <w:rPr>
          <w:rFonts w:ascii="仿宋" w:hAnsi="仿宋" w:eastAsia="仿宋"/>
          <w:color w:val="000000"/>
          <w:szCs w:val="32"/>
        </w:rPr>
        <w:t>.2</w:t>
      </w:r>
      <w:r>
        <w:rPr>
          <w:rFonts w:hint="eastAsia" w:ascii="仿宋" w:hAnsi="仿宋" w:eastAsia="仿宋"/>
          <w:color w:val="000000"/>
          <w:szCs w:val="32"/>
        </w:rPr>
        <w:t>万元，该项目资金全部到位</w:t>
      </w:r>
      <w:r>
        <w:rPr>
          <w:rFonts w:hint="eastAsia" w:ascii="仿宋_GB2312" w:hAnsi="仿宋_GB2312" w:cs="仿宋_GB2312"/>
          <w:kern w:val="0"/>
          <w:szCs w:val="32"/>
          <w:shd w:val="clear" w:color="auto" w:fill="FFFFFF"/>
          <w:lang w:val="zh-CN"/>
        </w:rPr>
        <w:t>。</w:t>
      </w:r>
    </w:p>
    <w:p>
      <w:pPr>
        <w:widowControl/>
        <w:adjustRightInd w:val="0"/>
        <w:snapToGrid w:val="0"/>
        <w:spacing w:line="576" w:lineRule="exact"/>
        <w:ind w:firstLine="643" w:firstLineChars="200"/>
        <w:contextualSpacing/>
        <w:jc w:val="left"/>
        <w:rPr>
          <w:rFonts w:ascii="楷体_GB2312" w:hAnsi="宋体" w:eastAsia="楷体_GB2312"/>
          <w:b/>
          <w:szCs w:val="32"/>
          <w:lang w:val="zh-CN"/>
        </w:rPr>
      </w:pPr>
      <w:r>
        <w:rPr>
          <w:rFonts w:hint="eastAsia" w:ascii="楷体_GB2312" w:hAnsi="宋体" w:eastAsia="楷体_GB2312"/>
          <w:b/>
          <w:szCs w:val="32"/>
          <w:lang w:val="zh-CN"/>
        </w:rPr>
        <w:t>（二）资金计划、到位及使用情况。</w:t>
      </w:r>
    </w:p>
    <w:p>
      <w:pPr>
        <w:widowControl/>
        <w:adjustRightInd w:val="0"/>
        <w:snapToGrid w:val="0"/>
        <w:spacing w:line="576" w:lineRule="exact"/>
        <w:ind w:firstLine="643" w:firstLineChars="200"/>
        <w:contextualSpacing/>
        <w:jc w:val="left"/>
        <w:rPr>
          <w:rFonts w:ascii="微软雅黑" w:hAnsi="微软雅黑" w:eastAsia="微软雅黑" w:cs="宋体"/>
          <w:color w:val="000000"/>
          <w:kern w:val="0"/>
          <w:sz w:val="27"/>
          <w:szCs w:val="27"/>
        </w:rPr>
      </w:pPr>
      <w:r>
        <w:rPr>
          <w:rFonts w:hint="eastAsia" w:ascii="楷体_GB2312" w:hAnsi="宋体" w:eastAsia="楷体_GB2312"/>
          <w:b/>
          <w:szCs w:val="32"/>
        </w:rPr>
        <w:t>1.</w:t>
      </w:r>
      <w:r>
        <w:rPr>
          <w:rFonts w:hint="eastAsia" w:ascii="楷体_GB2312" w:hAnsi="微软雅黑" w:eastAsia="楷体_GB2312" w:cs="宋体"/>
          <w:color w:val="000000"/>
          <w:kern w:val="0"/>
          <w:szCs w:val="32"/>
        </w:rPr>
        <w:t>资金计划。</w:t>
      </w:r>
      <w:r>
        <w:rPr>
          <w:rFonts w:hint="eastAsia" w:ascii="仿宋_GB2312" w:hAnsi="微软雅黑" w:cs="宋体"/>
          <w:color w:val="000000"/>
          <w:kern w:val="0"/>
          <w:szCs w:val="32"/>
        </w:rPr>
        <w:t>市财政局批复了办公设备购买项目经费预算4</w:t>
      </w:r>
      <w:r>
        <w:rPr>
          <w:rFonts w:ascii="仿宋_GB2312" w:hAnsi="微软雅黑" w:cs="宋体"/>
          <w:color w:val="000000"/>
          <w:kern w:val="0"/>
          <w:szCs w:val="32"/>
        </w:rPr>
        <w:t>.2</w:t>
      </w:r>
      <w:r>
        <w:rPr>
          <w:rFonts w:hint="eastAsia" w:ascii="仿宋_GB2312" w:hAnsi="微软雅黑" w:cs="宋体"/>
          <w:color w:val="000000"/>
          <w:kern w:val="0"/>
          <w:szCs w:val="32"/>
        </w:rPr>
        <w:t>万元。</w:t>
      </w:r>
    </w:p>
    <w:p>
      <w:pPr>
        <w:widowControl/>
        <w:spacing w:line="576" w:lineRule="exact"/>
        <w:ind w:firstLine="720"/>
        <w:jc w:val="left"/>
        <w:rPr>
          <w:rFonts w:ascii="微软雅黑" w:hAnsi="微软雅黑" w:eastAsia="微软雅黑" w:cs="宋体"/>
          <w:color w:val="000000"/>
          <w:kern w:val="0"/>
          <w:sz w:val="27"/>
          <w:szCs w:val="27"/>
        </w:rPr>
      </w:pPr>
      <w:r>
        <w:rPr>
          <w:rFonts w:hint="eastAsia" w:ascii="楷体_GB2312" w:hAnsi="微软雅黑" w:eastAsia="楷体_GB2312" w:cs="宋体"/>
          <w:color w:val="000000"/>
          <w:kern w:val="0"/>
          <w:szCs w:val="32"/>
        </w:rPr>
        <w:t>2.资金到位。</w:t>
      </w:r>
      <w:r>
        <w:rPr>
          <w:rFonts w:hint="eastAsia" w:ascii="仿宋_GB2312" w:hAnsi="微软雅黑" w:cs="宋体"/>
          <w:color w:val="000000"/>
          <w:kern w:val="0"/>
          <w:szCs w:val="32"/>
        </w:rPr>
        <w:t>项目资金全部到位。</w:t>
      </w:r>
    </w:p>
    <w:p>
      <w:pPr>
        <w:widowControl/>
        <w:spacing w:line="576" w:lineRule="exact"/>
        <w:ind w:firstLine="720"/>
        <w:jc w:val="left"/>
        <w:rPr>
          <w:rFonts w:ascii="微软雅黑" w:hAnsi="微软雅黑" w:eastAsia="微软雅黑" w:cs="宋体"/>
          <w:color w:val="000000"/>
          <w:kern w:val="0"/>
          <w:sz w:val="27"/>
          <w:szCs w:val="27"/>
        </w:rPr>
      </w:pPr>
      <w:r>
        <w:rPr>
          <w:rFonts w:hint="eastAsia" w:ascii="楷体_GB2312" w:hAnsi="微软雅黑" w:eastAsia="楷体_GB2312" w:cs="宋体"/>
          <w:color w:val="000000"/>
          <w:kern w:val="0"/>
          <w:szCs w:val="32"/>
        </w:rPr>
        <w:t>3</w:t>
      </w:r>
      <w:r>
        <w:rPr>
          <w:rFonts w:ascii="楷体_GB2312" w:hAnsi="微软雅黑" w:eastAsia="楷体_GB2312" w:cs="宋体"/>
          <w:color w:val="000000"/>
          <w:kern w:val="0"/>
          <w:szCs w:val="32"/>
        </w:rPr>
        <w:t>.</w:t>
      </w:r>
      <w:r>
        <w:rPr>
          <w:rFonts w:hint="eastAsia" w:ascii="楷体_GB2312" w:hAnsi="微软雅黑" w:eastAsia="楷体_GB2312" w:cs="宋体"/>
          <w:color w:val="000000"/>
          <w:kern w:val="0"/>
          <w:szCs w:val="32"/>
        </w:rPr>
        <w:t>资金使用。</w:t>
      </w:r>
      <w:r>
        <w:rPr>
          <w:rFonts w:hint="eastAsia" w:ascii="仿宋_GB2312" w:hAnsi="微软雅黑" w:cs="宋体"/>
          <w:color w:val="000000"/>
          <w:kern w:val="0"/>
          <w:szCs w:val="32"/>
        </w:rPr>
        <w:t>项目资金到位后，严格按照我委制定的相关财务制度和流程进行，全部资金都用于该项目支出，无被截留、挤占、挪用的现象。办公设备采购全面贯彻落实过紧日子要求，实际支出3</w:t>
      </w:r>
      <w:r>
        <w:rPr>
          <w:rFonts w:ascii="仿宋_GB2312" w:hAnsi="微软雅黑" w:cs="宋体"/>
          <w:color w:val="000000"/>
          <w:kern w:val="0"/>
          <w:szCs w:val="32"/>
        </w:rPr>
        <w:t>.16</w:t>
      </w:r>
      <w:r>
        <w:rPr>
          <w:rFonts w:hint="eastAsia" w:ascii="仿宋_GB2312" w:hAnsi="微软雅黑" w:cs="宋体"/>
          <w:color w:val="000000"/>
          <w:kern w:val="0"/>
          <w:szCs w:val="32"/>
        </w:rPr>
        <w:t>万元，剩余1</w:t>
      </w:r>
      <w:r>
        <w:rPr>
          <w:rFonts w:ascii="仿宋_GB2312" w:hAnsi="微软雅黑" w:cs="宋体"/>
          <w:color w:val="000000"/>
          <w:kern w:val="0"/>
          <w:szCs w:val="32"/>
        </w:rPr>
        <w:t>.04</w:t>
      </w:r>
      <w:r>
        <w:rPr>
          <w:rFonts w:hint="eastAsia" w:ascii="仿宋_GB2312" w:hAnsi="微软雅黑" w:cs="宋体"/>
          <w:color w:val="000000"/>
          <w:kern w:val="0"/>
          <w:szCs w:val="32"/>
        </w:rPr>
        <w:t>万元财政已收回。</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（三）项目财务管理情况。</w:t>
      </w:r>
    </w:p>
    <w:p>
      <w:pPr>
        <w:adjustRightInd w:val="0"/>
        <w:snapToGrid w:val="0"/>
        <w:spacing w:line="576" w:lineRule="exact"/>
        <w:ind w:firstLine="720"/>
        <w:rPr>
          <w:rFonts w:ascii="仿宋" w:hAnsi="仿宋" w:eastAsia="仿宋"/>
          <w:color w:val="000000"/>
          <w:szCs w:val="32"/>
        </w:rPr>
      </w:pPr>
      <w:r>
        <w:rPr>
          <w:rFonts w:hint="eastAsia" w:ascii="仿宋_GB2312" w:hAnsi="宋体"/>
          <w:color w:val="000000" w:themeColor="text1"/>
          <w:szCs w:val="32"/>
          <w14:textFill>
            <w14:solidFill>
              <w14:schemeClr w14:val="tx1"/>
            </w14:solidFill>
          </w14:textFill>
        </w:rPr>
        <w:t>我单位</w:t>
      </w:r>
      <w:r>
        <w:rPr>
          <w:rFonts w:hint="eastAsia" w:ascii="仿宋" w:hAnsi="仿宋" w:eastAsia="仿宋"/>
          <w:color w:val="000000"/>
          <w:szCs w:val="32"/>
        </w:rPr>
        <w:t>会计机构健全，财务人员岗位分工明确，内部财务管理制度完善，会计核算准确，会计档案管理规范，资金管理流程科学。在项目资金管理和使用上，坚持专款专用，量入为出的原则，各项专用资金使用正确，并达到预期目的。严格票据审核，每笔资金支出都实行了统一申报项目资金计划，审批后按财务制度在财政预算一体化系统审批支付。</w:t>
      </w:r>
    </w:p>
    <w:p>
      <w:pPr>
        <w:adjustRightInd w:val="0"/>
        <w:snapToGrid w:val="0"/>
        <w:spacing w:line="576" w:lineRule="exact"/>
        <w:ind w:firstLine="720"/>
        <w:rPr>
          <w:rFonts w:ascii="黑体" w:hAnsi="宋体" w:eastAsia="黑体"/>
          <w:szCs w:val="32"/>
        </w:rPr>
      </w:pPr>
      <w:r>
        <w:rPr>
          <w:rFonts w:hint="eastAsia" w:ascii="黑体" w:hAnsi="宋体" w:eastAsia="黑体"/>
          <w:szCs w:val="32"/>
        </w:rPr>
        <w:t>三、项目实施及管理情况</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结合项目组织实施管理办法，重点围绕以下内容进行分析评价，并对自评中发现的问题分析说明。</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（一）项目组织架构及实施流程。</w:t>
      </w:r>
    </w:p>
    <w:p>
      <w:pPr>
        <w:pStyle w:val="2"/>
        <w:spacing w:before="93" w:line="576" w:lineRule="exact"/>
        <w:ind w:firstLine="640" w:firstLineChars="200"/>
        <w:rPr>
          <w:lang w:val="zh-CN"/>
        </w:rPr>
      </w:pPr>
      <w:r>
        <w:rPr>
          <w:rFonts w:hint="eastAsia"/>
          <w:color w:val="000000"/>
          <w:sz w:val="32"/>
          <w:szCs w:val="32"/>
        </w:rPr>
        <w:t>按照预期目标完成项目任务。</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（二）项目管理情况。</w:t>
      </w:r>
    </w:p>
    <w:p>
      <w:pPr>
        <w:adjustRightInd w:val="0"/>
        <w:snapToGrid w:val="0"/>
        <w:spacing w:line="576" w:lineRule="exact"/>
        <w:ind w:firstLine="720"/>
        <w:rPr>
          <w:rFonts w:ascii="仿宋_GB2312" w:hAnsi="仿宋_GB2312" w:cs="仿宋_GB2312"/>
          <w:kern w:val="0"/>
          <w:szCs w:val="32"/>
          <w:shd w:val="clear" w:color="auto" w:fill="FFFFFF"/>
          <w:lang w:val="zh-CN"/>
        </w:rPr>
      </w:pPr>
      <w:r>
        <w:rPr>
          <w:rFonts w:hint="eastAsia" w:ascii="仿宋_GB2312"/>
          <w:color w:val="000000"/>
          <w:szCs w:val="32"/>
        </w:rPr>
        <w:t>202</w:t>
      </w:r>
      <w:r>
        <w:rPr>
          <w:rFonts w:ascii="仿宋_GB2312"/>
          <w:color w:val="000000"/>
          <w:szCs w:val="32"/>
        </w:rPr>
        <w:t>2</w:t>
      </w:r>
      <w:r>
        <w:rPr>
          <w:rFonts w:hint="eastAsia" w:ascii="仿宋_GB2312"/>
          <w:color w:val="000000"/>
          <w:szCs w:val="32"/>
        </w:rPr>
        <w:t>年，按照年初工作计划，严格执行政府采购相关制度。通过项目实施，</w:t>
      </w:r>
      <w:r>
        <w:rPr>
          <w:rFonts w:hint="eastAsia" w:ascii="仿宋" w:hAnsi="仿宋" w:eastAsia="仿宋"/>
          <w:color w:val="000000"/>
          <w:szCs w:val="32"/>
        </w:rPr>
        <w:t>解决了我委办公设备老化，资料印制效率不高的问题，保障了办公效率和办公质量</w:t>
      </w:r>
      <w:r>
        <w:rPr>
          <w:rFonts w:hint="eastAsia" w:ascii="仿宋_GB2312"/>
          <w:color w:val="000000"/>
          <w:szCs w:val="32"/>
        </w:rPr>
        <w:t>。</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（三）项目监管情况。</w:t>
      </w:r>
    </w:p>
    <w:p>
      <w:pPr>
        <w:adjustRightInd w:val="0"/>
        <w:snapToGrid w:val="0"/>
        <w:spacing w:line="576" w:lineRule="exact"/>
        <w:ind w:firstLine="720"/>
        <w:rPr>
          <w:rFonts w:ascii="仿宋_GB2312" w:hAnsi="仿宋_GB2312" w:cs="仿宋_GB2312"/>
          <w:kern w:val="0"/>
          <w:szCs w:val="32"/>
          <w:shd w:val="clear" w:color="auto" w:fill="FFFFFF"/>
          <w:lang w:val="zh-CN"/>
        </w:rPr>
      </w:pPr>
      <w:r>
        <w:rPr>
          <w:rFonts w:hint="eastAsia" w:ascii="仿宋_GB2312" w:hAnsi="宋体"/>
          <w:color w:val="000000" w:themeColor="text1"/>
          <w:szCs w:val="32"/>
          <w14:textFill>
            <w14:solidFill>
              <w14:schemeClr w14:val="tx1"/>
            </w14:solidFill>
          </w14:textFill>
        </w:rPr>
        <w:t>我单位</w:t>
      </w:r>
      <w:r>
        <w:commentReference w:id="5"/>
      </w:r>
      <w:r>
        <w:rPr>
          <w:rFonts w:hint="eastAsia" w:ascii="仿宋_GB2312"/>
          <w:color w:val="000000"/>
          <w:szCs w:val="32"/>
        </w:rPr>
        <w:t>严格按照财务管理制度对该项目资金进行管理和使用。在项目资金管理和使用上，坚持专款专用，建立健全财务基础管理制度和约束机制，依法、有效地使用财政资金，并根据市财政局文件要求，开展事前预算绩效评估、事中预算绩效运行监控、事后绩效自评，提高财政资金使用效率。</w:t>
      </w:r>
    </w:p>
    <w:p>
      <w:pPr>
        <w:adjustRightInd w:val="0"/>
        <w:snapToGrid w:val="0"/>
        <w:spacing w:line="576" w:lineRule="exact"/>
        <w:ind w:firstLine="720"/>
        <w:rPr>
          <w:rFonts w:ascii="仿宋_GB2312" w:hAnsi="宋体"/>
          <w:szCs w:val="32"/>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（一）项目完成情况。</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color w:val="000000"/>
          <w:szCs w:val="32"/>
        </w:rPr>
        <w:t>完成了年初批复的项目数量指标、时效指标、满意度指标</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（二）项目效益情况。</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color w:val="000000"/>
          <w:szCs w:val="32"/>
        </w:rPr>
        <w:t>202</w:t>
      </w:r>
      <w:r>
        <w:rPr>
          <w:rFonts w:ascii="仿宋_GB2312"/>
          <w:color w:val="000000"/>
          <w:szCs w:val="32"/>
        </w:rPr>
        <w:t>2</w:t>
      </w:r>
      <w:r>
        <w:rPr>
          <w:rFonts w:hint="eastAsia" w:ascii="仿宋_GB2312"/>
          <w:color w:val="000000"/>
          <w:szCs w:val="32"/>
        </w:rPr>
        <w:t>年度，通过该项目的实施，</w:t>
      </w:r>
      <w:r>
        <w:rPr>
          <w:rFonts w:hint="eastAsia" w:ascii="仿宋" w:hAnsi="仿宋" w:eastAsia="仿宋"/>
          <w:color w:val="000000"/>
          <w:szCs w:val="32"/>
        </w:rPr>
        <w:t>解决了我委打印设备、办公设备老化，资料印制效率不高的问题，提升了办公效率和办公质量</w:t>
      </w:r>
      <w:r>
        <w:rPr>
          <w:rFonts w:hint="eastAsia" w:ascii="仿宋_GB2312"/>
          <w:color w:val="000000"/>
          <w:szCs w:val="32"/>
        </w:rPr>
        <w:t>。</w:t>
      </w:r>
    </w:p>
    <w:p>
      <w:pPr>
        <w:adjustRightInd w:val="0"/>
        <w:snapToGrid w:val="0"/>
        <w:spacing w:line="576" w:lineRule="exact"/>
        <w:ind w:firstLine="720"/>
        <w:rPr>
          <w:rFonts w:ascii="黑体" w:hAnsi="宋体" w:eastAsia="黑体"/>
          <w:szCs w:val="32"/>
        </w:rPr>
      </w:pPr>
      <w:r>
        <w:rPr>
          <w:rFonts w:hint="eastAsia" w:ascii="黑体" w:hAnsi="宋体" w:eastAsia="黑体"/>
          <w:szCs w:val="32"/>
        </w:rPr>
        <w:t>五、评价结论及建议</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（一）评价结论。</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color w:val="000000"/>
          <w:szCs w:val="32"/>
        </w:rPr>
        <w:t>通过项目实施，</w:t>
      </w:r>
      <w:r>
        <w:rPr>
          <w:rFonts w:hint="eastAsia" w:ascii="仿宋" w:hAnsi="仿宋" w:eastAsia="仿宋"/>
          <w:color w:val="000000"/>
          <w:szCs w:val="32"/>
        </w:rPr>
        <w:t>解决了我委办公设备老化，资料印制效率不高的问题，切实提升了办公效率和办公质量</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（二）存在的问题。</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color w:val="000000"/>
          <w:szCs w:val="32"/>
        </w:rPr>
        <w:t>预算的精确度有待提高。</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（三）相关建议。</w:t>
      </w:r>
    </w:p>
    <w:p>
      <w:pPr>
        <w:autoSpaceDE w:val="0"/>
        <w:autoSpaceDN w:val="0"/>
        <w:adjustRightInd w:val="0"/>
        <w:spacing w:line="576" w:lineRule="exact"/>
        <w:ind w:firstLine="640" w:firstLineChars="200"/>
        <w:rPr>
          <w:rFonts w:ascii="仿宋_GB2312"/>
          <w:color w:val="000000"/>
          <w:szCs w:val="32"/>
        </w:rPr>
      </w:pPr>
      <w:r>
        <w:rPr>
          <w:rFonts w:hint="eastAsia" w:ascii="仿宋_GB2312"/>
          <w:color w:val="000000"/>
          <w:szCs w:val="32"/>
        </w:rPr>
        <w:t>加强人员培训，提高预算编制水平。</w:t>
      </w:r>
    </w:p>
    <w:p>
      <w:pPr>
        <w:autoSpaceDE w:val="0"/>
        <w:autoSpaceDN w:val="0"/>
        <w:adjustRightInd w:val="0"/>
        <w:spacing w:line="576" w:lineRule="exact"/>
        <w:rPr>
          <w:rFonts w:ascii="仿宋" w:hAnsi="仿宋" w:eastAsia="仿宋"/>
          <w:b/>
          <w:szCs w:val="32"/>
        </w:rPr>
      </w:pPr>
    </w:p>
    <w:p>
      <w:pPr>
        <w:spacing w:line="576" w:lineRule="exact"/>
        <w:rPr>
          <w:rStyle w:val="30"/>
          <w:rFonts w:ascii="黑体" w:hAnsi="黑体" w:eastAsia="黑体"/>
          <w:b w:val="0"/>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Style w:val="30"/>
          <w:rFonts w:ascii="黑体" w:hAnsi="黑体" w:eastAsia="黑体"/>
          <w:b w:val="0"/>
        </w:rPr>
        <w:br w:type="page"/>
      </w: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乡村振兴工作经费</w:t>
      </w:r>
      <w:r>
        <w:rPr>
          <w:rFonts w:hint="eastAsia" w:ascii="仿宋_GB2312"/>
          <w:sz w:val="32"/>
          <w:szCs w:val="32"/>
        </w:rPr>
        <w:t>）</w:t>
      </w:r>
    </w:p>
    <w:p>
      <w:pPr>
        <w:adjustRightInd w:val="0"/>
        <w:snapToGrid w:val="0"/>
        <w:spacing w:line="576" w:lineRule="exact"/>
        <w:ind w:firstLine="720"/>
        <w:rPr>
          <w:rFonts w:ascii="黑体" w:hAnsi="宋体" w:eastAsia="黑体"/>
          <w:szCs w:val="32"/>
          <w:lang w:val="zh-CN"/>
        </w:rPr>
      </w:pPr>
      <w:r>
        <w:rPr>
          <w:rFonts w:hint="eastAsia" w:ascii="黑体" w:hAnsi="宋体" w:eastAsia="黑体"/>
          <w:szCs w:val="32"/>
        </w:rPr>
        <w:t>一、</w:t>
      </w:r>
      <w:r>
        <w:rPr>
          <w:rFonts w:hint="eastAsia" w:ascii="黑体" w:hAnsi="宋体" w:eastAsia="黑体"/>
          <w:szCs w:val="32"/>
          <w:lang w:val="zh-CN"/>
        </w:rPr>
        <w:t>项目概况</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（一）项目基本情况。</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 w:hAnsi="仿宋" w:eastAsia="仿宋"/>
          <w:color w:val="000000"/>
          <w:szCs w:val="32"/>
        </w:rPr>
        <w:t>项目主管部门（单位）在该项目管理中的职能，主要是拓展巩固脱贫成果与乡村振兴有效衔接工作，切实提升帮扶时效，助推乡村振兴。项目立项、资金申报按照年初乡村振兴工作计划及驻村帮扶相关政策为依据。为保障帮扶工作顺利开展，年初将乡村振兴工作经费</w:t>
      </w:r>
      <w:r>
        <w:rPr>
          <w:rFonts w:ascii="仿宋" w:hAnsi="仿宋" w:eastAsia="仿宋"/>
          <w:color w:val="000000"/>
          <w:szCs w:val="32"/>
        </w:rPr>
        <w:t>5.46</w:t>
      </w:r>
      <w:r>
        <w:rPr>
          <w:rFonts w:hint="eastAsia" w:ascii="仿宋" w:hAnsi="仿宋" w:eastAsia="仿宋"/>
          <w:color w:val="000000"/>
          <w:szCs w:val="32"/>
        </w:rPr>
        <w:t>万元纳入委机关年度财政预算。</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（二）项目绩效目标。</w:t>
      </w:r>
    </w:p>
    <w:p>
      <w:pPr>
        <w:adjustRightInd w:val="0"/>
        <w:snapToGrid w:val="0"/>
        <w:spacing w:line="576" w:lineRule="exact"/>
        <w:ind w:firstLine="720"/>
        <w:rPr>
          <w:rFonts w:ascii="仿宋" w:hAnsi="仿宋" w:eastAsia="仿宋"/>
          <w:color w:val="000000"/>
          <w:szCs w:val="32"/>
        </w:rPr>
      </w:pPr>
      <w:r>
        <w:rPr>
          <w:rFonts w:hint="eastAsia" w:ascii="仿宋" w:hAnsi="仿宋" w:eastAsia="仿宋"/>
          <w:color w:val="000000"/>
          <w:szCs w:val="32"/>
        </w:rPr>
        <w:t>通过项目实施，保障驻村工作队人员3名，走访帮扶村户数达到100%，帮助群众增收，推进基础设施建设，帮扶对象满意度达到9</w:t>
      </w:r>
      <w:r>
        <w:rPr>
          <w:rFonts w:ascii="仿宋" w:hAnsi="仿宋" w:eastAsia="仿宋"/>
          <w:color w:val="000000"/>
          <w:szCs w:val="32"/>
        </w:rPr>
        <w:t>8</w:t>
      </w:r>
      <w:r>
        <w:rPr>
          <w:rFonts w:hint="eastAsia" w:ascii="仿宋" w:hAnsi="仿宋" w:eastAsia="仿宋"/>
          <w:color w:val="000000"/>
          <w:szCs w:val="32"/>
        </w:rPr>
        <w:t>%以上。</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（三）项目自评步骤及方法。</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color w:val="000000"/>
          <w:szCs w:val="32"/>
        </w:rPr>
        <w:t>按照国家政策法规规定和本部门实际情况，我委建立健全财务基础管理制度和约束机制，依法、有效地使用财政资金，提高财政资金使用效率，在完成职能目标中合理分配人、财、物，使之达到较高的工作效率和水平。按照相关要求，我委成立了以主要领导为组长，相关负责同志为成员的自评领导小组，开展了202</w:t>
      </w:r>
      <w:r>
        <w:rPr>
          <w:rFonts w:ascii="仿宋_GB2312"/>
          <w:color w:val="000000"/>
          <w:szCs w:val="32"/>
        </w:rPr>
        <w:t>2</w:t>
      </w:r>
      <w:r>
        <w:rPr>
          <w:rFonts w:hint="eastAsia" w:ascii="仿宋_GB2312"/>
          <w:color w:val="000000"/>
          <w:szCs w:val="32"/>
        </w:rPr>
        <w:t>年度支出绩效评价自评工作</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黑体" w:hAnsi="宋体" w:eastAsia="黑体"/>
          <w:szCs w:val="32"/>
        </w:rPr>
      </w:pPr>
      <w:r>
        <w:rPr>
          <w:rFonts w:hint="eastAsia" w:ascii="黑体" w:hAnsi="宋体" w:eastAsia="黑体"/>
          <w:szCs w:val="32"/>
        </w:rPr>
        <w:t>二、项目资金申报及使用情况</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（一）项目资金申报及批复情况。</w:t>
      </w:r>
    </w:p>
    <w:p>
      <w:pPr>
        <w:adjustRightInd w:val="0"/>
        <w:snapToGrid w:val="0"/>
        <w:spacing w:line="576" w:lineRule="exact"/>
        <w:ind w:firstLine="720"/>
        <w:rPr>
          <w:rFonts w:ascii="仿宋" w:hAnsi="仿宋" w:eastAsia="仿宋"/>
          <w:color w:val="000000"/>
          <w:szCs w:val="32"/>
        </w:rPr>
      </w:pPr>
      <w:r>
        <w:rPr>
          <w:rFonts w:hint="eastAsia" w:ascii="仿宋" w:hAnsi="仿宋" w:eastAsia="仿宋"/>
          <w:color w:val="000000"/>
          <w:szCs w:val="32"/>
        </w:rPr>
        <w:t>根据202</w:t>
      </w:r>
      <w:r>
        <w:rPr>
          <w:rFonts w:ascii="仿宋" w:hAnsi="仿宋" w:eastAsia="仿宋"/>
          <w:color w:val="000000"/>
          <w:szCs w:val="32"/>
        </w:rPr>
        <w:t>2</w:t>
      </w:r>
      <w:r>
        <w:rPr>
          <w:rFonts w:hint="eastAsia" w:ascii="仿宋" w:hAnsi="仿宋" w:eastAsia="仿宋"/>
          <w:color w:val="000000"/>
          <w:szCs w:val="32"/>
        </w:rPr>
        <w:t>年工作开展情况，认真填报《202</w:t>
      </w:r>
      <w:r>
        <w:rPr>
          <w:rFonts w:ascii="仿宋" w:hAnsi="仿宋" w:eastAsia="仿宋"/>
          <w:color w:val="000000"/>
          <w:szCs w:val="32"/>
        </w:rPr>
        <w:t>2</w:t>
      </w:r>
      <w:r>
        <w:rPr>
          <w:rFonts w:hint="eastAsia" w:ascii="仿宋" w:hAnsi="仿宋" w:eastAsia="仿宋"/>
          <w:color w:val="000000"/>
          <w:szCs w:val="32"/>
        </w:rPr>
        <w:t>年预算项目支出绩效目标申报表》，编制乡村振兴工作经费预算</w:t>
      </w:r>
      <w:r>
        <w:rPr>
          <w:rFonts w:ascii="仿宋" w:hAnsi="仿宋" w:eastAsia="仿宋"/>
          <w:color w:val="000000"/>
          <w:szCs w:val="32"/>
        </w:rPr>
        <w:t>5.46</w:t>
      </w:r>
      <w:r>
        <w:rPr>
          <w:rFonts w:hint="eastAsia" w:ascii="仿宋" w:hAnsi="仿宋" w:eastAsia="仿宋"/>
          <w:color w:val="000000"/>
          <w:szCs w:val="32"/>
        </w:rPr>
        <w:t>万元。市财政局批复了乡村振兴工作经费预算</w:t>
      </w:r>
      <w:r>
        <w:rPr>
          <w:rFonts w:ascii="仿宋" w:hAnsi="仿宋" w:eastAsia="仿宋"/>
          <w:color w:val="000000"/>
          <w:szCs w:val="32"/>
        </w:rPr>
        <w:t>5.46</w:t>
      </w:r>
      <w:r>
        <w:rPr>
          <w:rFonts w:hint="eastAsia" w:ascii="仿宋" w:hAnsi="仿宋" w:eastAsia="仿宋"/>
          <w:color w:val="000000"/>
          <w:szCs w:val="32"/>
        </w:rPr>
        <w:t>万元，该项目资金全部到位。</w:t>
      </w:r>
    </w:p>
    <w:p>
      <w:pPr>
        <w:adjustRightInd w:val="0"/>
        <w:snapToGrid w:val="0"/>
        <w:spacing w:line="576" w:lineRule="exact"/>
        <w:ind w:firstLine="720"/>
        <w:rPr>
          <w:rFonts w:ascii="仿宋_GB2312" w:hAnsi="宋体"/>
          <w:szCs w:val="32"/>
          <w:lang w:val="zh-CN"/>
        </w:rPr>
      </w:pPr>
      <w:r>
        <w:rPr>
          <w:rFonts w:hint="eastAsia" w:ascii="楷体_GB2312" w:hAnsi="宋体" w:eastAsia="楷体_GB2312"/>
          <w:b/>
          <w:szCs w:val="32"/>
          <w:lang w:val="zh-CN"/>
        </w:rPr>
        <w:t>（二）资金计划、到位及使用情况（可用表格形式反映）。</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1．资金计划。市财政局批复了乡村振兴工作经费预算</w:t>
      </w:r>
      <w:r>
        <w:rPr>
          <w:rFonts w:ascii="仿宋" w:hAnsi="仿宋" w:eastAsia="仿宋"/>
          <w:color w:val="000000"/>
          <w:szCs w:val="32"/>
        </w:rPr>
        <w:t>5.46</w:t>
      </w:r>
      <w:r>
        <w:rPr>
          <w:rFonts w:hint="eastAsia" w:ascii="仿宋" w:hAnsi="仿宋" w:eastAsia="仿宋"/>
          <w:color w:val="000000"/>
          <w:szCs w:val="32"/>
        </w:rPr>
        <w:t>万元。</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仿宋_GB2312" w:cs="仿宋_GB2312"/>
          <w:kern w:val="0"/>
          <w:szCs w:val="32"/>
          <w:shd w:val="clear" w:color="auto" w:fill="FFFFFF"/>
          <w:lang w:val="zh-CN"/>
        </w:rPr>
        <w:t>2．资金到位。项目资金全部到位。</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lang w:val="zh-CN"/>
        </w:rPr>
        <w:t>3．资金使用。项目资金到位后，严格按照我委制定的相关财务制度和流程进行，全部资金都用于该项目支出，无被截流、挤占、挪用的现象。</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（三）项目财务管理情况。</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hAnsi="宋体"/>
          <w:color w:val="000000" w:themeColor="text1"/>
          <w:szCs w:val="32"/>
          <w14:textFill>
            <w14:solidFill>
              <w14:schemeClr w14:val="tx1"/>
            </w14:solidFill>
          </w14:textFill>
        </w:rPr>
        <w:t>我单位</w:t>
      </w:r>
      <w:r>
        <w:rPr>
          <w:rFonts w:hint="eastAsia" w:ascii="仿宋" w:hAnsi="仿宋" w:eastAsia="仿宋"/>
          <w:color w:val="000000"/>
          <w:szCs w:val="32"/>
        </w:rPr>
        <w:t>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支出都实行了统一申报项目资金计划，审批后按财务制度在财政预算一体化系统审批支付</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黑体" w:hAnsi="宋体" w:eastAsia="黑体"/>
          <w:szCs w:val="32"/>
        </w:rPr>
      </w:pPr>
      <w:r>
        <w:rPr>
          <w:rFonts w:hint="eastAsia" w:ascii="黑体" w:hAnsi="宋体" w:eastAsia="黑体"/>
          <w:szCs w:val="32"/>
        </w:rPr>
        <w:t>三、项目实施及管理情况</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（一）项目组织架构及实施流程。</w:t>
      </w:r>
    </w:p>
    <w:p>
      <w:pPr>
        <w:pStyle w:val="2"/>
        <w:spacing w:before="93" w:line="576" w:lineRule="exact"/>
        <w:ind w:firstLine="640" w:firstLineChars="200"/>
        <w:rPr>
          <w:lang w:val="zh-CN"/>
        </w:rPr>
      </w:pPr>
      <w:r>
        <w:rPr>
          <w:rFonts w:hint="eastAsia"/>
          <w:color w:val="000000"/>
          <w:sz w:val="32"/>
          <w:szCs w:val="32"/>
        </w:rPr>
        <w:t>按照预期目标完成项目任务。</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（二）项目管理情况。</w:t>
      </w:r>
    </w:p>
    <w:p>
      <w:pPr>
        <w:adjustRightInd w:val="0"/>
        <w:snapToGrid w:val="0"/>
        <w:spacing w:line="576" w:lineRule="exact"/>
        <w:ind w:firstLine="720"/>
        <w:rPr>
          <w:rFonts w:ascii="仿宋_GB2312" w:hAnsi="仿宋_GB2312" w:cs="仿宋_GB2312"/>
          <w:kern w:val="0"/>
          <w:szCs w:val="32"/>
          <w:shd w:val="clear" w:color="auto" w:fill="FFFFFF"/>
          <w:lang w:val="zh-CN"/>
        </w:rPr>
      </w:pPr>
      <w:r>
        <w:rPr>
          <w:rFonts w:hint="eastAsia" w:ascii="仿宋_GB2312"/>
          <w:color w:val="000000"/>
          <w:szCs w:val="32"/>
        </w:rPr>
        <w:t>202</w:t>
      </w:r>
      <w:r>
        <w:rPr>
          <w:rFonts w:ascii="仿宋_GB2312"/>
          <w:color w:val="000000"/>
          <w:szCs w:val="32"/>
        </w:rPr>
        <w:t>2</w:t>
      </w:r>
      <w:r>
        <w:rPr>
          <w:rFonts w:hint="eastAsia" w:ascii="仿宋_GB2312"/>
          <w:color w:val="000000"/>
          <w:szCs w:val="32"/>
        </w:rPr>
        <w:t>年，按照年初工作计划，我委认真落实帮扶工作任务，保障驻村工作人员3名，积极帮助白虎村增收致富，为帮扶村争取项目资金</w:t>
      </w:r>
      <w:r>
        <w:rPr>
          <w:rFonts w:ascii="仿宋_GB2312"/>
          <w:color w:val="000000"/>
          <w:szCs w:val="32"/>
        </w:rPr>
        <w:t>30</w:t>
      </w:r>
      <w:r>
        <w:rPr>
          <w:rFonts w:hint="eastAsia" w:ascii="仿宋_GB2312"/>
          <w:color w:val="000000"/>
          <w:szCs w:val="32"/>
        </w:rPr>
        <w:t>万元，推动村组道路、入户路建设，整治山坪塘，完善基础设施，保障群众生命财产安全。为帮扶村软籽石榴园争取管护费用，保障村集体产业稳健运行。组织种植养殖农技培训，进一步提高种植养殖户的管理水平，为群众增产增收提供技术支撑。推进天然气入户工程，提升群众生活质量，群众满意度达100%</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仿宋_GB2312" w:hAnsi="仿宋_GB2312" w:cs="仿宋_GB2312"/>
          <w:kern w:val="0"/>
          <w:szCs w:val="32"/>
          <w:shd w:val="clear" w:color="auto" w:fill="FFFFFF"/>
          <w:lang w:val="zh-CN"/>
        </w:rPr>
      </w:pPr>
      <w:r>
        <w:rPr>
          <w:rFonts w:hint="eastAsia" w:ascii="楷体_GB2312" w:hAnsi="宋体" w:eastAsia="楷体_GB2312"/>
          <w:b/>
          <w:szCs w:val="32"/>
          <w:lang w:val="zh-CN"/>
        </w:rPr>
        <w:t>（三）项目监管情况。</w:t>
      </w:r>
      <w:r>
        <w:rPr>
          <w:rFonts w:hint="eastAsia" w:ascii="仿宋_GB2312"/>
          <w:color w:val="000000"/>
          <w:szCs w:val="32"/>
        </w:rPr>
        <w:t>市国资委严格按照财务管理制度对该项目资金进行管理和使用。在项目资金管理、使用上，坚持专款专用，建立健全财务基础管理制度和约束机制，依法、有效地使用财政资金，并根据财政局文件要求，开展事前预算绩效评估、事中预算绩效运行监控、事后绩效自评，提高财政资金使用效率。</w:t>
      </w:r>
    </w:p>
    <w:p>
      <w:pPr>
        <w:adjustRightInd w:val="0"/>
        <w:snapToGrid w:val="0"/>
        <w:spacing w:line="576" w:lineRule="exact"/>
        <w:ind w:firstLine="720"/>
        <w:rPr>
          <w:rFonts w:ascii="仿宋_GB2312" w:hAnsi="宋体"/>
          <w:szCs w:val="32"/>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（一）项目完成情况。</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color w:val="000000"/>
          <w:szCs w:val="32"/>
        </w:rPr>
        <w:t>完成了年初批复的项目数量指标、时效指标、满意度指标</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（二）项目效益情况。</w:t>
      </w:r>
    </w:p>
    <w:p>
      <w:pPr>
        <w:widowControl/>
        <w:adjustRightInd w:val="0"/>
        <w:snapToGrid w:val="0"/>
        <w:spacing w:line="576" w:lineRule="exact"/>
        <w:ind w:firstLine="640" w:firstLineChars="200"/>
        <w:contextualSpacing/>
        <w:rPr>
          <w:rFonts w:ascii="仿宋_GB2312" w:hAnsi="仿宋_GB2312" w:cs="仿宋_GB2312"/>
          <w:kern w:val="0"/>
          <w:szCs w:val="32"/>
          <w:shd w:val="clear" w:color="auto" w:fill="FFFFFF"/>
          <w:lang w:val="zh-CN"/>
        </w:rPr>
      </w:pPr>
      <w:r>
        <w:rPr>
          <w:rFonts w:hint="eastAsia" w:ascii="仿宋_GB2312"/>
          <w:color w:val="000000"/>
          <w:szCs w:val="32"/>
        </w:rPr>
        <w:t>202</w:t>
      </w:r>
      <w:r>
        <w:rPr>
          <w:rFonts w:ascii="仿宋_GB2312"/>
          <w:color w:val="000000"/>
          <w:szCs w:val="32"/>
        </w:rPr>
        <w:t>2</w:t>
      </w:r>
      <w:r>
        <w:rPr>
          <w:rFonts w:hint="eastAsia" w:ascii="仿宋_GB2312"/>
          <w:color w:val="000000"/>
          <w:szCs w:val="32"/>
        </w:rPr>
        <w:t>年度，通过该项目的实施，有效拓展了帮扶村集体经济，帮助群众增收致富，推进民生工程，保障群众生命财产安全，提升群众生活质量</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黑体" w:hAnsi="宋体" w:eastAsia="黑体"/>
          <w:szCs w:val="32"/>
        </w:rPr>
      </w:pPr>
      <w:r>
        <w:rPr>
          <w:rFonts w:hint="eastAsia" w:ascii="黑体" w:hAnsi="宋体" w:eastAsia="黑体"/>
          <w:szCs w:val="32"/>
        </w:rPr>
        <w:t>五、评价结论及建议</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（一）评价结论。</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lang w:val="zh-CN"/>
        </w:rPr>
      </w:pPr>
      <w:r>
        <w:rPr>
          <w:rFonts w:hint="eastAsia" w:ascii="仿宋_GB2312"/>
          <w:color w:val="000000"/>
          <w:szCs w:val="32"/>
        </w:rPr>
        <w:t>通过项目实施，有效拓展了帮扶村集体经济，帮助群众增收致富，推进民生工程，提升群众生活质量</w:t>
      </w:r>
      <w:r>
        <w:rPr>
          <w:rFonts w:hint="eastAsia" w:ascii="仿宋_GB2312" w:hAnsi="仿宋_GB2312" w:cs="仿宋_GB2312"/>
          <w:kern w:val="0"/>
          <w:szCs w:val="32"/>
          <w:shd w:val="clear" w:color="auto" w:fill="FFFFFF"/>
          <w:lang w:val="zh-CN"/>
        </w:rPr>
        <w:t>。</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（二）存在的问题。</w:t>
      </w:r>
    </w:p>
    <w:p>
      <w:pPr>
        <w:widowControl/>
        <w:adjustRightInd w:val="0"/>
        <w:snapToGrid w:val="0"/>
        <w:spacing w:line="576" w:lineRule="exact"/>
        <w:ind w:firstLine="640" w:firstLineChars="200"/>
        <w:contextualSpacing/>
        <w:jc w:val="left"/>
        <w:rPr>
          <w:rFonts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lang w:val="zh-CN"/>
        </w:rPr>
        <w:t>无。</w:t>
      </w:r>
    </w:p>
    <w:p>
      <w:pPr>
        <w:adjustRightInd w:val="0"/>
        <w:snapToGrid w:val="0"/>
        <w:spacing w:line="576" w:lineRule="exact"/>
        <w:ind w:firstLine="720"/>
        <w:rPr>
          <w:rFonts w:ascii="楷体_GB2312" w:hAnsi="宋体" w:eastAsia="楷体_GB2312"/>
          <w:b/>
          <w:szCs w:val="32"/>
          <w:lang w:val="zh-CN"/>
        </w:rPr>
      </w:pPr>
      <w:r>
        <w:rPr>
          <w:rFonts w:hint="eastAsia" w:ascii="楷体_GB2312" w:hAnsi="宋体" w:eastAsia="楷体_GB2312"/>
          <w:b/>
          <w:szCs w:val="32"/>
          <w:lang w:val="zh-CN"/>
        </w:rPr>
        <w:t>（三）相关建议。</w:t>
      </w:r>
    </w:p>
    <w:p>
      <w:pPr>
        <w:widowControl/>
        <w:adjustRightInd w:val="0"/>
        <w:snapToGrid w:val="0"/>
        <w:spacing w:line="576" w:lineRule="exact"/>
        <w:ind w:firstLine="640" w:firstLineChars="200"/>
        <w:contextualSpacing/>
        <w:jc w:val="left"/>
        <w:rPr>
          <w:rStyle w:val="30"/>
          <w:rFonts w:ascii="黑体" w:hAnsi="黑体" w:eastAsia="黑体"/>
          <w:b w:val="0"/>
          <w:sz w:val="32"/>
          <w:szCs w:val="32"/>
        </w:rPr>
      </w:pPr>
      <w:r>
        <w:rPr>
          <w:rFonts w:hint="eastAsia" w:ascii="仿宋_GB2312" w:hAnsi="仿宋_GB2312" w:cs="仿宋_GB2312"/>
          <w:kern w:val="0"/>
          <w:szCs w:val="32"/>
          <w:shd w:val="clear" w:color="auto" w:fill="FFFFFF"/>
          <w:lang w:val="zh-CN"/>
        </w:rPr>
        <w:t>无。</w:t>
      </w:r>
    </w:p>
    <w:p>
      <w:pPr>
        <w:widowControl/>
        <w:spacing w:line="576" w:lineRule="exact"/>
        <w:jc w:val="left"/>
        <w:rPr>
          <w:rFonts w:ascii="仿宋_GB2312" w:hAnsi="仿宋_GB2312" w:cs="仿宋_GB2312"/>
          <w:szCs w:val="32"/>
        </w:rPr>
      </w:pPr>
    </w:p>
    <w:p>
      <w:pPr>
        <w:pStyle w:val="2"/>
        <w:spacing w:before="93" w:line="576" w:lineRule="exact"/>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ind w:firstLine="640"/>
        <w:jc w:val="center"/>
        <w:rPr>
          <w:rFonts w:ascii="宋体" w:hAnsi="宋体"/>
          <w:color w:val="auto"/>
          <w:kern w:val="2"/>
          <w:sz w:val="32"/>
          <w:szCs w:val="32"/>
        </w:rPr>
      </w:pPr>
      <w:r>
        <w:rPr>
          <w:rFonts w:hint="eastAsia" w:ascii="楷体_GB2312" w:eastAsia="楷体_GB2312"/>
          <w:sz w:val="32"/>
          <w:szCs w:val="32"/>
        </w:rPr>
        <w:t>（高层次人才引进项目</w:t>
      </w:r>
      <w:r>
        <w:rPr>
          <w:rFonts w:hint="eastAsia" w:ascii="仿宋_GB2312"/>
          <w:sz w:val="32"/>
          <w:szCs w:val="32"/>
        </w:rPr>
        <w:t>）</w:t>
      </w:r>
    </w:p>
    <w:p>
      <w:pPr>
        <w:numPr>
          <w:ilvl w:val="0"/>
          <w:numId w:val="9"/>
        </w:numPr>
        <w:adjustRightInd w:val="0"/>
        <w:snapToGrid w:val="0"/>
        <w:spacing w:line="576" w:lineRule="exact"/>
        <w:ind w:firstLine="640" w:firstLineChars="200"/>
        <w:rPr>
          <w:rFonts w:ascii="黑体" w:hAnsi="宋体" w:eastAsia="黑体"/>
          <w:color w:val="000000"/>
          <w:szCs w:val="32"/>
          <w:lang w:val="zh-CN"/>
        </w:rPr>
      </w:pPr>
      <w:r>
        <w:rPr>
          <w:rFonts w:hint="eastAsia" w:ascii="黑体" w:hAnsi="宋体" w:eastAsia="黑体"/>
          <w:color w:val="000000"/>
          <w:szCs w:val="32"/>
          <w:lang w:val="zh-CN"/>
        </w:rPr>
        <w:t>项目概况</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（一）项目基本情况。</w:t>
      </w:r>
    </w:p>
    <w:p>
      <w:pPr>
        <w:adjustRightInd w:val="0"/>
        <w:snapToGrid w:val="0"/>
        <w:spacing w:line="576" w:lineRule="exact"/>
        <w:ind w:firstLine="640" w:firstLineChars="200"/>
        <w:rPr>
          <w:rFonts w:ascii="仿宋" w:hAnsi="仿宋" w:eastAsia="仿宋"/>
          <w:color w:val="000000"/>
          <w:sz w:val="30"/>
          <w:szCs w:val="30"/>
        </w:rPr>
      </w:pPr>
      <w:r>
        <w:rPr>
          <w:rFonts w:hint="eastAsia" w:ascii="仿宋_GB2312" w:hAnsi="宋体"/>
          <w:color w:val="000000"/>
          <w:szCs w:val="32"/>
        </w:rPr>
        <w:t>为提升、优化我单位人员结构，按照《广元市高层次人才引进暂行办法》(广委办〔2014〕38号)、《广元市创新创业人才特殊支持十条措施(试行)》(广组通〔2016〕144号)等文件精神，我单位于2018年引进第10批次高层次人才1人（广人社办发〔2018〕178号），2022年引进第14批次高层次人才2人（广人社办发〔2022〕136号）。我单位根据引进情况认真填报《2022年预算项目支出绩效目标申报表》，编制高层次人才引进项目预算。</w:t>
      </w:r>
    </w:p>
    <w:p>
      <w:pPr>
        <w:adjustRightInd w:val="0"/>
        <w:snapToGrid w:val="0"/>
        <w:spacing w:line="576" w:lineRule="exact"/>
        <w:ind w:firstLine="643" w:firstLineChars="200"/>
        <w:rPr>
          <w:rFonts w:ascii="楷体_GB2312" w:hAnsi="宋体" w:eastAsia="楷体_GB2312"/>
          <w:b/>
          <w:color w:val="000000"/>
          <w:szCs w:val="32"/>
        </w:rPr>
      </w:pPr>
      <w:r>
        <w:rPr>
          <w:rFonts w:hint="eastAsia" w:ascii="楷体_GB2312" w:hAnsi="宋体" w:eastAsia="楷体_GB2312"/>
          <w:b/>
          <w:color w:val="000000"/>
          <w:szCs w:val="32"/>
          <w:lang w:val="zh-CN"/>
        </w:rPr>
        <w:t>（二）项目绩效目标。</w:t>
      </w:r>
    </w:p>
    <w:p>
      <w:pPr>
        <w:adjustRightInd w:val="0"/>
        <w:snapToGrid w:val="0"/>
        <w:spacing w:line="576" w:lineRule="exact"/>
        <w:ind w:firstLine="640" w:firstLineChars="200"/>
        <w:rPr>
          <w:rFonts w:ascii="仿宋" w:hAnsi="仿宋"/>
          <w:color w:val="000000"/>
          <w:sz w:val="30"/>
          <w:szCs w:val="30"/>
        </w:rPr>
      </w:pPr>
      <w:r>
        <w:rPr>
          <w:rFonts w:hint="eastAsia" w:ascii="仿宋_GB2312" w:hAnsi="宋体"/>
          <w:color w:val="000000"/>
          <w:szCs w:val="32"/>
          <w:lang w:val="zh-CN"/>
        </w:rPr>
        <w:t>项目主要内容</w:t>
      </w:r>
      <w:r>
        <w:rPr>
          <w:rFonts w:hint="eastAsia" w:ascii="仿宋_GB2312" w:hAnsi="宋体"/>
          <w:color w:val="000000"/>
          <w:szCs w:val="32"/>
        </w:rPr>
        <w:t>包括第10批次高层次引进人才工作补助费用0.6万元，第14批次高层次引进人才安家补助和工作补助费用16.6万元，补助发放到位100%，人才储备将为国资国企事业发展带来持续影响。</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（三）项目自评步骤及方法。</w:t>
      </w:r>
    </w:p>
    <w:p>
      <w:pPr>
        <w:adjustRightInd w:val="0"/>
        <w:snapToGrid w:val="0"/>
        <w:spacing w:line="576" w:lineRule="exact"/>
        <w:ind w:firstLine="640" w:firstLineChars="200"/>
        <w:rPr>
          <w:rFonts w:ascii="仿宋_GB2312" w:hAnsi="宋体"/>
          <w:color w:val="000000"/>
          <w:szCs w:val="32"/>
        </w:rPr>
      </w:pPr>
      <w:r>
        <w:rPr>
          <w:rFonts w:hint="eastAsia" w:ascii="仿宋_GB2312" w:hAnsi="宋体"/>
          <w:color w:val="000000"/>
          <w:szCs w:val="32"/>
        </w:rPr>
        <w:t>该项目专用资金采用预算绩效指标标准评分方法：分级评分法，指标分别设置权重所占%，指标得分按指标值所在区间的权重计算得分。按年初财政批复的预算项目支出绩效目标，预算资金执行比率及实际完成指标值计算自评得分。</w:t>
      </w:r>
    </w:p>
    <w:p>
      <w:pPr>
        <w:adjustRightInd w:val="0"/>
        <w:snapToGrid w:val="0"/>
        <w:spacing w:line="576" w:lineRule="exact"/>
        <w:ind w:firstLine="720"/>
        <w:rPr>
          <w:rFonts w:ascii="黑体" w:hAnsi="黑体" w:eastAsia="黑体" w:cs="黑体"/>
          <w:bCs/>
          <w:color w:val="000000"/>
          <w:szCs w:val="32"/>
        </w:rPr>
      </w:pPr>
      <w:r>
        <w:rPr>
          <w:rFonts w:hint="eastAsia" w:ascii="黑体" w:hAnsi="黑体" w:eastAsia="黑体" w:cs="黑体"/>
          <w:bCs/>
          <w:color w:val="000000"/>
          <w:szCs w:val="32"/>
        </w:rPr>
        <w:t>二、项目资金申报及使用情况</w:t>
      </w:r>
    </w:p>
    <w:p>
      <w:pPr>
        <w:adjustRightInd w:val="0"/>
        <w:snapToGrid w:val="0"/>
        <w:spacing w:line="576" w:lineRule="exact"/>
        <w:ind w:firstLine="630" w:firstLineChars="196"/>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（一）项目资金申报及批复情况。</w:t>
      </w:r>
    </w:p>
    <w:p>
      <w:pPr>
        <w:adjustRightInd w:val="0"/>
        <w:snapToGrid w:val="0"/>
        <w:spacing w:line="576" w:lineRule="exact"/>
        <w:ind w:firstLine="640" w:firstLineChars="200"/>
        <w:rPr>
          <w:rFonts w:ascii="仿宋" w:hAnsi="仿宋"/>
          <w:color w:val="000000"/>
          <w:sz w:val="30"/>
          <w:szCs w:val="30"/>
        </w:rPr>
      </w:pPr>
      <w:r>
        <w:rPr>
          <w:rFonts w:hint="eastAsia" w:ascii="仿宋_GB2312" w:hAnsi="宋体"/>
          <w:color w:val="000000"/>
          <w:szCs w:val="32"/>
        </w:rPr>
        <w:t>根据广人社函〔2022〕435号、广人社函〔2022〕453号、广人社函〔2022〕477号文件精神，认真填报《2022年预算项目支出绩效目标申报表》，编制高层次人才引进项目预算。市财政局批复我单位2022年第10批次高层次引进人才工作补助费用0.6万元，第14批次高层次引进人才安家补助和工作补助费用16.6万元。</w:t>
      </w:r>
    </w:p>
    <w:p>
      <w:pPr>
        <w:adjustRightInd w:val="0"/>
        <w:snapToGrid w:val="0"/>
        <w:spacing w:line="576" w:lineRule="exact"/>
        <w:ind w:firstLine="643" w:firstLineChars="200"/>
        <w:rPr>
          <w:rFonts w:ascii="仿宋_GB2312" w:hAnsi="宋体"/>
          <w:b/>
          <w:color w:val="000000"/>
          <w:szCs w:val="32"/>
          <w:lang w:val="zh-CN"/>
        </w:rPr>
      </w:pPr>
      <w:r>
        <w:rPr>
          <w:rFonts w:hint="eastAsia" w:ascii="楷体_GB2312" w:hAnsi="楷体_GB2312" w:eastAsia="楷体_GB2312" w:cs="楷体_GB2312"/>
          <w:b/>
          <w:bCs/>
          <w:color w:val="000000"/>
          <w:szCs w:val="32"/>
          <w:lang w:val="zh-CN"/>
        </w:rPr>
        <w:t>（二）资金计划、到位及使用情况。</w:t>
      </w:r>
    </w:p>
    <w:p>
      <w:pPr>
        <w:adjustRightInd w:val="0"/>
        <w:snapToGrid w:val="0"/>
        <w:spacing w:line="576" w:lineRule="exact"/>
        <w:ind w:firstLine="640" w:firstLineChars="200"/>
        <w:rPr>
          <w:rFonts w:ascii="仿宋_GB2312" w:hAnsi="宋体"/>
          <w:color w:val="000000"/>
          <w:szCs w:val="32"/>
          <w:lang w:val="zh-CN"/>
        </w:rPr>
      </w:pPr>
      <w:r>
        <w:rPr>
          <w:rFonts w:hint="eastAsia" w:ascii="仿宋_GB2312" w:hAnsi="宋体"/>
          <w:color w:val="000000"/>
          <w:szCs w:val="32"/>
          <w:lang w:val="zh-CN"/>
        </w:rPr>
        <w:t>1.资金计划</w:t>
      </w:r>
      <w:r>
        <w:rPr>
          <w:rFonts w:hint="eastAsia" w:ascii="仿宋_GB2312" w:hAnsi="宋体"/>
          <w:color w:val="000000"/>
          <w:szCs w:val="32"/>
        </w:rPr>
        <w:t>及到位</w:t>
      </w:r>
      <w:r>
        <w:rPr>
          <w:rFonts w:hint="eastAsia" w:ascii="仿宋_GB2312" w:hAnsi="宋体"/>
          <w:color w:val="000000"/>
          <w:szCs w:val="32"/>
          <w:lang w:val="zh-CN"/>
        </w:rPr>
        <w:t>。根据202</w:t>
      </w:r>
      <w:r>
        <w:rPr>
          <w:rFonts w:hint="eastAsia" w:ascii="仿宋_GB2312" w:hAnsi="宋体"/>
          <w:color w:val="000000"/>
          <w:szCs w:val="32"/>
        </w:rPr>
        <w:t>2</w:t>
      </w:r>
      <w:r>
        <w:rPr>
          <w:rFonts w:hint="eastAsia" w:ascii="仿宋_GB2312" w:hAnsi="宋体"/>
          <w:color w:val="000000"/>
          <w:szCs w:val="32"/>
          <w:lang w:val="zh-CN"/>
        </w:rPr>
        <w:t>年工作开展情况，认真填报《202</w:t>
      </w:r>
      <w:r>
        <w:rPr>
          <w:rFonts w:hint="eastAsia" w:ascii="仿宋_GB2312" w:hAnsi="宋体"/>
          <w:color w:val="000000"/>
          <w:szCs w:val="32"/>
        </w:rPr>
        <w:t>2</w:t>
      </w:r>
      <w:r>
        <w:rPr>
          <w:rFonts w:hint="eastAsia" w:ascii="仿宋_GB2312" w:hAnsi="宋体"/>
          <w:color w:val="000000"/>
          <w:szCs w:val="32"/>
          <w:lang w:val="zh-CN"/>
        </w:rPr>
        <w:t>年预算项目支出绩效目标申报表》，编制</w:t>
      </w:r>
      <w:r>
        <w:rPr>
          <w:rFonts w:hint="eastAsia" w:ascii="仿宋_GB2312" w:hAnsi="宋体"/>
          <w:color w:val="000000"/>
          <w:szCs w:val="32"/>
        </w:rPr>
        <w:t>高层次人才引进项目预算</w:t>
      </w:r>
      <w:r>
        <w:rPr>
          <w:rFonts w:hint="eastAsia" w:ascii="仿宋_GB2312" w:hAnsi="宋体"/>
          <w:color w:val="000000"/>
          <w:szCs w:val="32"/>
          <w:lang w:val="zh-CN"/>
        </w:rPr>
        <w:t>，该</w:t>
      </w:r>
      <w:r>
        <w:rPr>
          <w:rFonts w:hint="eastAsia" w:ascii="仿宋_GB2312" w:hAnsi="宋体"/>
          <w:color w:val="000000"/>
          <w:szCs w:val="32"/>
        </w:rPr>
        <w:t>项目</w:t>
      </w:r>
      <w:r>
        <w:rPr>
          <w:rFonts w:hint="eastAsia" w:ascii="仿宋_GB2312" w:hAnsi="宋体"/>
          <w:color w:val="000000"/>
          <w:szCs w:val="32"/>
          <w:lang w:val="zh-CN"/>
        </w:rPr>
        <w:t>资金</w:t>
      </w:r>
      <w:r>
        <w:rPr>
          <w:rFonts w:hint="eastAsia" w:ascii="仿宋_GB2312" w:hAnsi="宋体"/>
          <w:color w:val="000000"/>
          <w:szCs w:val="32"/>
        </w:rPr>
        <w:t>全部到位</w:t>
      </w:r>
      <w:r>
        <w:rPr>
          <w:rFonts w:hint="eastAsia" w:ascii="仿宋_GB2312" w:hAnsi="宋体"/>
          <w:color w:val="000000"/>
          <w:szCs w:val="32"/>
          <w:lang w:val="zh-CN"/>
        </w:rPr>
        <w:t>。</w:t>
      </w:r>
    </w:p>
    <w:p>
      <w:pPr>
        <w:adjustRightInd w:val="0"/>
        <w:snapToGrid w:val="0"/>
        <w:spacing w:line="576" w:lineRule="exact"/>
        <w:ind w:firstLine="640" w:firstLineChars="200"/>
        <w:rPr>
          <w:rFonts w:ascii="仿宋_GB2312" w:hAnsi="宋体"/>
          <w:color w:val="000000"/>
          <w:szCs w:val="32"/>
        </w:rPr>
      </w:pPr>
      <w:r>
        <w:rPr>
          <w:rFonts w:hint="eastAsia" w:ascii="仿宋_GB2312" w:hAnsi="宋体"/>
          <w:color w:val="000000"/>
          <w:szCs w:val="32"/>
          <w:lang w:val="zh-CN"/>
        </w:rPr>
        <w:t>2.资金使用。项目资金到位后，严格按照</w:t>
      </w:r>
      <w:r>
        <w:rPr>
          <w:rFonts w:hint="eastAsia" w:ascii="仿宋_GB2312" w:hAnsi="宋体"/>
          <w:color w:val="000000"/>
          <w:szCs w:val="32"/>
        </w:rPr>
        <w:t>广人社函〔2022〕435号、广人社函〔2022〕453号、广人社函〔2022〕477号文件</w:t>
      </w:r>
      <w:r>
        <w:rPr>
          <w:rFonts w:hint="eastAsia" w:ascii="仿宋_GB2312" w:hAnsi="宋体"/>
          <w:color w:val="000000"/>
          <w:szCs w:val="32"/>
          <w:lang w:val="zh-CN"/>
        </w:rPr>
        <w:t>精神，</w:t>
      </w:r>
      <w:r>
        <w:rPr>
          <w:rFonts w:hint="eastAsia" w:ascii="仿宋_GB2312" w:hAnsi="宋体"/>
          <w:color w:val="000000"/>
          <w:szCs w:val="32"/>
        </w:rPr>
        <w:t>根据相关财务制度，资金及时发放到位，</w:t>
      </w:r>
      <w:r>
        <w:rPr>
          <w:rFonts w:hint="eastAsia" w:ascii="仿宋_GB2312" w:hAnsi="宋体"/>
          <w:color w:val="000000"/>
          <w:szCs w:val="32"/>
          <w:lang w:val="zh-CN"/>
        </w:rPr>
        <w:t>该项目支出无截留、挤占、挪用的现象。</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（三）项目财务管理情况。</w:t>
      </w:r>
    </w:p>
    <w:p>
      <w:pPr>
        <w:adjustRightInd w:val="0"/>
        <w:snapToGrid w:val="0"/>
        <w:spacing w:line="576" w:lineRule="exact"/>
        <w:ind w:firstLine="640" w:firstLineChars="200"/>
        <w:rPr>
          <w:rFonts w:ascii="仿宋_GB2312" w:hAnsi="宋体"/>
          <w:color w:val="000000"/>
          <w:szCs w:val="32"/>
          <w:lang w:val="zh-CN"/>
        </w:rPr>
      </w:pPr>
      <w:r>
        <w:rPr>
          <w:rFonts w:hint="eastAsia" w:ascii="仿宋_GB2312" w:hAnsi="宋体"/>
          <w:color w:val="000000"/>
          <w:szCs w:val="32"/>
          <w:lang w:val="zh-CN"/>
        </w:rPr>
        <w:t>我委会计机构健全，财务人员岗位分工明确，内部财务管理制度完善，会计核算准确，会计档案管理规范，资金管理流程科学。在项目资金管理、使用上，坚持专款专用，量入为出的原则，各项专用资金使用正确，并达到预期目的。严格票据审核，每笔资金支出都实行了统一申报项目资金计划，审批后按财务制度在</w:t>
      </w:r>
      <w:r>
        <w:rPr>
          <w:rFonts w:hint="eastAsia" w:ascii="仿宋_GB2312" w:hAnsi="宋体"/>
          <w:color w:val="000000"/>
          <w:szCs w:val="32"/>
        </w:rPr>
        <w:t>财政预算一体化管理信息系统审批</w:t>
      </w:r>
      <w:r>
        <w:rPr>
          <w:rFonts w:hint="eastAsia" w:ascii="仿宋_GB2312" w:hAnsi="宋体"/>
          <w:color w:val="000000"/>
          <w:szCs w:val="32"/>
          <w:lang w:val="zh-CN"/>
        </w:rPr>
        <w:t>支付。</w:t>
      </w:r>
    </w:p>
    <w:p>
      <w:pPr>
        <w:adjustRightInd w:val="0"/>
        <w:snapToGrid w:val="0"/>
        <w:spacing w:line="576" w:lineRule="exact"/>
        <w:ind w:firstLine="640" w:firstLineChars="200"/>
        <w:rPr>
          <w:rFonts w:ascii="楷体_GB2312" w:hAnsi="楷体_GB2312" w:eastAsia="楷体_GB2312" w:cs="楷体_GB2312"/>
          <w:b/>
          <w:bCs/>
          <w:color w:val="000000"/>
          <w:szCs w:val="32"/>
          <w:lang w:val="zh-CN"/>
        </w:rPr>
      </w:pPr>
      <w:r>
        <w:rPr>
          <w:rFonts w:hint="eastAsia" w:ascii="黑体" w:hAnsi="黑体" w:eastAsia="黑体" w:cs="黑体"/>
          <w:bCs/>
          <w:color w:val="000000"/>
          <w:szCs w:val="32"/>
        </w:rPr>
        <w:t>三、项目实施及管理情况</w:t>
      </w:r>
    </w:p>
    <w:p>
      <w:pPr>
        <w:adjustRightInd w:val="0"/>
        <w:snapToGrid w:val="0"/>
        <w:spacing w:line="576" w:lineRule="exact"/>
        <w:ind w:firstLine="640" w:firstLineChars="200"/>
        <w:rPr>
          <w:rFonts w:ascii="仿宋_GB2312" w:hAnsi="仿宋_GB2312" w:cs="仿宋_GB2312"/>
          <w:color w:val="000000"/>
          <w:szCs w:val="32"/>
        </w:rPr>
      </w:pPr>
      <w:r>
        <w:rPr>
          <w:rFonts w:hint="eastAsia" w:ascii="仿宋_GB2312" w:hAnsi="宋体"/>
          <w:color w:val="000000"/>
          <w:szCs w:val="32"/>
          <w:lang w:val="zh-CN"/>
        </w:rPr>
        <w:t>该项目专用资金用于我</w:t>
      </w:r>
      <w:r>
        <w:rPr>
          <w:rFonts w:hint="eastAsia" w:ascii="仿宋_GB2312" w:hAnsi="宋体"/>
          <w:color w:val="000000"/>
          <w:szCs w:val="32"/>
        </w:rPr>
        <w:t>单位引进的第10、14批次高层次人才相关补助费用</w:t>
      </w:r>
      <w:r>
        <w:rPr>
          <w:rFonts w:hint="eastAsia" w:ascii="仿宋_GB2312" w:hAnsi="宋体"/>
          <w:color w:val="000000"/>
          <w:szCs w:val="32"/>
          <w:lang w:val="zh-CN"/>
        </w:rPr>
        <w:t>，项目所申报内容与实际相符，申报目标合理可行。</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（一）项目组织架构及实施流程。</w:t>
      </w:r>
    </w:p>
    <w:p>
      <w:pPr>
        <w:adjustRightInd w:val="0"/>
        <w:snapToGrid w:val="0"/>
        <w:spacing w:line="576" w:lineRule="exact"/>
        <w:ind w:firstLine="640" w:firstLineChars="200"/>
        <w:rPr>
          <w:rFonts w:ascii="仿宋_GB2312" w:hAnsi="宋体"/>
          <w:color w:val="000000"/>
          <w:szCs w:val="32"/>
          <w:lang w:val="zh-CN"/>
        </w:rPr>
      </w:pPr>
      <w:r>
        <w:rPr>
          <w:rFonts w:hint="eastAsia" w:ascii="仿宋_GB2312" w:hAnsi="宋体"/>
          <w:color w:val="000000"/>
          <w:szCs w:val="32"/>
          <w:lang w:val="zh-CN"/>
        </w:rPr>
        <w:t>该项目根据</w:t>
      </w:r>
      <w:r>
        <w:rPr>
          <w:rFonts w:hint="eastAsia" w:ascii="仿宋_GB2312"/>
          <w:color w:val="000000"/>
          <w:spacing w:val="2"/>
          <w:szCs w:val="32"/>
        </w:rPr>
        <w:t>各主管部门对5年工作合同期内引进人才的在岗情况（财政全额拨款事业单位）进行认真核实后，填写《2022年度市直事业单位公开引进高层次人才工作补助发放表》后报送至市人力资源社会保障局，由市委组织部、市人力资源社会保障局协调市财政局按年度统一划拨至各部门进行发放。</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（二）项目管理情况</w:t>
      </w:r>
    </w:p>
    <w:p>
      <w:pPr>
        <w:adjustRightInd w:val="0"/>
        <w:snapToGrid w:val="0"/>
        <w:spacing w:line="576" w:lineRule="exact"/>
        <w:ind w:firstLine="648" w:firstLineChars="200"/>
        <w:rPr>
          <w:rFonts w:ascii="仿宋_GB2312"/>
          <w:color w:val="000000"/>
          <w:spacing w:val="2"/>
          <w:szCs w:val="32"/>
        </w:rPr>
      </w:pPr>
      <w:r>
        <w:rPr>
          <w:rFonts w:hint="eastAsia" w:ascii="仿宋_GB2312"/>
          <w:color w:val="000000"/>
          <w:spacing w:val="2"/>
          <w:szCs w:val="32"/>
        </w:rPr>
        <w:t>我委高度重视，客观公正、实事求是地做好信息核实工作，并按月及时足额兑现工作补助和安家补助。在财政部门尚未划拨专项资金前，由单位先行垫支。</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（三）项目监管情况。</w:t>
      </w:r>
    </w:p>
    <w:p>
      <w:pPr>
        <w:adjustRightInd w:val="0"/>
        <w:snapToGrid w:val="0"/>
        <w:spacing w:line="576" w:lineRule="exact"/>
        <w:ind w:firstLine="640" w:firstLineChars="200"/>
        <w:rPr>
          <w:rFonts w:ascii="黑体" w:hAnsi="宋体" w:eastAsia="黑体"/>
          <w:color w:val="000000"/>
          <w:szCs w:val="32"/>
        </w:rPr>
      </w:pPr>
      <w:r>
        <w:rPr>
          <w:rFonts w:hint="eastAsia" w:ascii="仿宋_GB2312" w:hAnsi="宋体"/>
          <w:color w:val="000000"/>
          <w:szCs w:val="32"/>
          <w:lang w:val="zh-CN"/>
        </w:rPr>
        <w:t>严格按照</w:t>
      </w:r>
      <w:r>
        <w:rPr>
          <w:rFonts w:hint="eastAsia" w:ascii="仿宋_GB2312" w:hAnsi="宋体"/>
          <w:color w:val="000000"/>
          <w:szCs w:val="32"/>
        </w:rPr>
        <w:t>广人社函〔2022〕435号、广人社函〔2022〕453号、广人社函〔2022〕477号文件</w:t>
      </w:r>
      <w:r>
        <w:rPr>
          <w:rFonts w:hint="eastAsia" w:ascii="仿宋_GB2312" w:hAnsi="宋体"/>
          <w:color w:val="000000"/>
          <w:szCs w:val="32"/>
          <w:lang w:val="zh-CN"/>
        </w:rPr>
        <w:t>精神</w:t>
      </w:r>
      <w:r>
        <w:rPr>
          <w:rFonts w:hint="eastAsia" w:ascii="仿宋_GB2312" w:hAnsi="宋体"/>
          <w:color w:val="000000"/>
          <w:szCs w:val="32"/>
        </w:rPr>
        <w:t>发放该专项资金。</w:t>
      </w:r>
    </w:p>
    <w:p>
      <w:pPr>
        <w:adjustRightInd w:val="0"/>
        <w:snapToGrid w:val="0"/>
        <w:spacing w:line="576" w:lineRule="exact"/>
        <w:ind w:firstLine="640" w:firstLineChars="200"/>
        <w:rPr>
          <w:rFonts w:ascii="仿宋_GB2312" w:hAnsi="宋体"/>
          <w:color w:val="000000"/>
          <w:szCs w:val="32"/>
          <w:lang w:val="zh-CN"/>
        </w:rPr>
      </w:pPr>
      <w:r>
        <w:rPr>
          <w:rFonts w:hint="eastAsia" w:ascii="黑体" w:hAnsi="宋体" w:eastAsia="黑体"/>
          <w:color w:val="000000"/>
          <w:szCs w:val="32"/>
        </w:rPr>
        <w:t>四、项目绩效情况</w:t>
      </w:r>
      <w:r>
        <w:rPr>
          <w:rFonts w:ascii="仿宋_GB2312" w:hAnsi="宋体"/>
          <w:color w:val="000000"/>
          <w:szCs w:val="32"/>
          <w:lang w:val="zh-CN"/>
        </w:rPr>
        <w:tab/>
      </w:r>
    </w:p>
    <w:p>
      <w:pPr>
        <w:adjustRightInd w:val="0"/>
        <w:snapToGrid w:val="0"/>
        <w:spacing w:line="576" w:lineRule="exact"/>
        <w:ind w:firstLine="643" w:firstLineChars="200"/>
        <w:rPr>
          <w:rFonts w:ascii="楷体_GB2312" w:hAnsi="宋体" w:eastAsia="楷体_GB2312"/>
          <w:b/>
          <w:color w:val="000000"/>
          <w:szCs w:val="32"/>
          <w:lang w:val="zh-CN"/>
        </w:rPr>
      </w:pPr>
      <w:r>
        <w:rPr>
          <w:rFonts w:hint="eastAsia" w:ascii="楷体_GB2312" w:hAnsi="宋体" w:eastAsia="楷体_GB2312"/>
          <w:b/>
          <w:color w:val="000000"/>
          <w:szCs w:val="32"/>
          <w:lang w:val="zh-CN"/>
        </w:rPr>
        <w:t>（一）项目完成情况。</w:t>
      </w:r>
    </w:p>
    <w:p>
      <w:pPr>
        <w:adjustRightInd w:val="0"/>
        <w:snapToGrid w:val="0"/>
        <w:spacing w:line="576" w:lineRule="exact"/>
        <w:ind w:firstLine="640" w:firstLineChars="200"/>
        <w:rPr>
          <w:rFonts w:ascii="仿宋" w:hAnsi="仿宋" w:eastAsia="仿宋"/>
          <w:color w:val="000000"/>
          <w:sz w:val="30"/>
          <w:szCs w:val="30"/>
        </w:rPr>
      </w:pPr>
      <w:r>
        <w:rPr>
          <w:rFonts w:hint="eastAsia" w:ascii="仿宋_GB2312" w:hAnsi="宋体"/>
          <w:color w:val="000000"/>
          <w:szCs w:val="32"/>
          <w:lang w:val="zh-CN"/>
        </w:rPr>
        <w:t>完成了</w:t>
      </w:r>
      <w:r>
        <w:rPr>
          <w:rFonts w:hint="eastAsia" w:ascii="仿宋_GB2312" w:hAnsi="宋体"/>
          <w:color w:val="000000"/>
          <w:szCs w:val="32"/>
        </w:rPr>
        <w:t>第10批次高层次引进人才工作补助费用0.6万元，第14批次高层次引进人才安家补助和工作补助费用16.6万元的发放任务。</w:t>
      </w:r>
    </w:p>
    <w:p>
      <w:pPr>
        <w:adjustRightInd w:val="0"/>
        <w:snapToGrid w:val="0"/>
        <w:spacing w:line="576" w:lineRule="exact"/>
        <w:ind w:firstLine="643" w:firstLineChars="200"/>
        <w:rPr>
          <w:rFonts w:ascii="楷体_GB2312" w:hAnsi="宋体" w:eastAsia="楷体_GB2312"/>
          <w:b/>
          <w:color w:val="000000"/>
          <w:szCs w:val="32"/>
          <w:lang w:val="zh-CN"/>
        </w:rPr>
      </w:pPr>
      <w:r>
        <w:rPr>
          <w:rFonts w:hint="eastAsia" w:ascii="楷体_GB2312" w:hAnsi="宋体" w:eastAsia="楷体_GB2312"/>
          <w:b/>
          <w:color w:val="000000"/>
          <w:szCs w:val="32"/>
          <w:lang w:val="zh-CN"/>
        </w:rPr>
        <w:t>（二）项目效益情况。</w:t>
      </w:r>
    </w:p>
    <w:p>
      <w:pPr>
        <w:adjustRightInd w:val="0"/>
        <w:snapToGrid w:val="0"/>
        <w:spacing w:line="576" w:lineRule="exact"/>
        <w:ind w:firstLine="648" w:firstLineChars="200"/>
        <w:rPr>
          <w:rFonts w:ascii="仿宋_GB2312" w:hAnsi="宋体"/>
          <w:color w:val="000000"/>
          <w:szCs w:val="32"/>
          <w:lang w:val="zh-CN"/>
        </w:rPr>
      </w:pPr>
      <w:r>
        <w:rPr>
          <w:rFonts w:hint="eastAsia" w:ascii="仿宋_GB2312"/>
          <w:color w:val="000000"/>
          <w:spacing w:val="2"/>
          <w:szCs w:val="32"/>
        </w:rPr>
        <w:t>进一步加强了高层次人才引进的管理服务，为人才的稳定性提供了保障</w:t>
      </w:r>
      <w:r>
        <w:rPr>
          <w:rFonts w:hint="eastAsia" w:ascii="仿宋_GB2312" w:hAnsi="宋体"/>
          <w:color w:val="000000"/>
          <w:szCs w:val="32"/>
          <w:lang w:val="zh-CN"/>
        </w:rPr>
        <w:t>。</w:t>
      </w:r>
    </w:p>
    <w:p>
      <w:pPr>
        <w:adjustRightInd w:val="0"/>
        <w:snapToGrid w:val="0"/>
        <w:spacing w:line="576" w:lineRule="exact"/>
        <w:ind w:firstLine="640"/>
        <w:rPr>
          <w:rFonts w:ascii="黑体" w:hAnsi="黑体" w:eastAsia="黑体" w:cs="黑体"/>
          <w:bCs/>
          <w:color w:val="000000"/>
          <w:szCs w:val="32"/>
        </w:rPr>
      </w:pPr>
      <w:r>
        <w:rPr>
          <w:rFonts w:hint="eastAsia" w:ascii="黑体" w:hAnsi="黑体" w:eastAsia="黑体" w:cs="黑体"/>
          <w:bCs/>
          <w:color w:val="000000"/>
          <w:szCs w:val="32"/>
        </w:rPr>
        <w:t>五、评价结论及建议</w:t>
      </w:r>
    </w:p>
    <w:p>
      <w:pPr>
        <w:adjustRightInd w:val="0"/>
        <w:snapToGrid w:val="0"/>
        <w:spacing w:line="576" w:lineRule="exact"/>
        <w:ind w:firstLine="675" w:firstLineChars="210"/>
        <w:rPr>
          <w:rFonts w:eastAsia="仿宋"/>
          <w:color w:val="000000"/>
        </w:rPr>
      </w:pPr>
      <w:r>
        <w:rPr>
          <w:rFonts w:hint="eastAsia" w:ascii="楷体_GB2312" w:hAnsi="楷体_GB2312" w:eastAsia="楷体_GB2312" w:cs="楷体_GB2312"/>
          <w:b/>
          <w:bCs/>
          <w:color w:val="000000"/>
          <w:szCs w:val="32"/>
          <w:lang w:val="zh-CN"/>
        </w:rPr>
        <w:t>（一）评价结论。</w:t>
      </w:r>
    </w:p>
    <w:p>
      <w:pPr>
        <w:adjustRightInd w:val="0"/>
        <w:snapToGrid w:val="0"/>
        <w:spacing w:line="576" w:lineRule="exact"/>
        <w:ind w:firstLine="640" w:firstLineChars="200"/>
        <w:rPr>
          <w:rFonts w:ascii="仿宋_GB2312" w:hAnsi="仿宋"/>
          <w:color w:val="000000"/>
          <w:sz w:val="30"/>
          <w:szCs w:val="30"/>
        </w:rPr>
      </w:pPr>
      <w:r>
        <w:rPr>
          <w:rFonts w:hint="eastAsia" w:ascii="仿宋_GB2312"/>
          <w:color w:val="000000"/>
          <w:szCs w:val="32"/>
        </w:rPr>
        <w:t>部门自评预算执行得分10分，绩效指标得分90分，项目自评得分100分。</w:t>
      </w:r>
    </w:p>
    <w:p>
      <w:pPr>
        <w:adjustRightInd w:val="0"/>
        <w:snapToGrid w:val="0"/>
        <w:spacing w:line="576" w:lineRule="exact"/>
        <w:ind w:firstLine="643" w:firstLineChars="200"/>
        <w:rPr>
          <w:rFonts w:eastAsia="仿宋"/>
          <w:color w:val="000000"/>
        </w:rPr>
      </w:pPr>
      <w:r>
        <w:rPr>
          <w:rFonts w:hint="eastAsia" w:ascii="楷体_GB2312" w:hAnsi="楷体_GB2312" w:eastAsia="楷体_GB2312" w:cs="楷体_GB2312"/>
          <w:b/>
          <w:bCs/>
          <w:color w:val="000000"/>
          <w:szCs w:val="32"/>
          <w:lang w:val="zh-CN"/>
        </w:rPr>
        <w:t>（二）存在的问题。</w:t>
      </w:r>
    </w:p>
    <w:p>
      <w:pPr>
        <w:adjustRightInd w:val="0"/>
        <w:snapToGrid w:val="0"/>
        <w:spacing w:line="576" w:lineRule="exact"/>
        <w:ind w:firstLine="640" w:firstLineChars="200"/>
        <w:rPr>
          <w:rFonts w:ascii="仿宋_GB2312" w:hAnsi="宋体"/>
          <w:color w:val="000000"/>
          <w:szCs w:val="32"/>
        </w:rPr>
      </w:pPr>
      <w:r>
        <w:rPr>
          <w:rFonts w:hint="eastAsia" w:ascii="仿宋_GB2312" w:hAnsi="宋体"/>
          <w:color w:val="000000"/>
          <w:szCs w:val="32"/>
        </w:rPr>
        <w:t>无。</w:t>
      </w:r>
    </w:p>
    <w:p>
      <w:pPr>
        <w:adjustRightInd w:val="0"/>
        <w:snapToGrid w:val="0"/>
        <w:spacing w:line="576" w:lineRule="exact"/>
        <w:ind w:firstLine="643" w:firstLineChars="200"/>
        <w:rPr>
          <w:rFonts w:ascii="楷体_GB2312" w:hAnsi="楷体_GB2312" w:eastAsia="楷体_GB2312" w:cs="楷体_GB2312"/>
          <w:b/>
          <w:bCs/>
          <w:color w:val="000000"/>
          <w:szCs w:val="32"/>
          <w:lang w:val="zh-CN"/>
        </w:rPr>
      </w:pPr>
      <w:r>
        <w:rPr>
          <w:rFonts w:hint="eastAsia" w:ascii="楷体_GB2312" w:hAnsi="楷体_GB2312" w:eastAsia="楷体_GB2312" w:cs="楷体_GB2312"/>
          <w:b/>
          <w:bCs/>
          <w:color w:val="000000"/>
          <w:szCs w:val="32"/>
          <w:lang w:val="zh-CN"/>
        </w:rPr>
        <w:t>（三）相关建议。</w:t>
      </w:r>
    </w:p>
    <w:p>
      <w:pPr>
        <w:adjustRightInd w:val="0"/>
        <w:snapToGrid w:val="0"/>
        <w:spacing w:line="576" w:lineRule="exact"/>
        <w:ind w:firstLine="640" w:firstLineChars="200"/>
        <w:rPr>
          <w:rFonts w:ascii="仿宋_GB2312" w:hAnsi="宋体"/>
          <w:color w:val="000000"/>
          <w:szCs w:val="32"/>
        </w:rPr>
      </w:pPr>
      <w:r>
        <w:rPr>
          <w:rFonts w:hint="eastAsia" w:ascii="仿宋_GB2312" w:hAnsi="宋体"/>
          <w:color w:val="000000"/>
          <w:szCs w:val="32"/>
        </w:rPr>
        <w:t>无。</w:t>
      </w:r>
    </w:p>
    <w:p>
      <w:pPr>
        <w:pStyle w:val="2"/>
        <w:spacing w:before="93" w:line="576" w:lineRule="exact"/>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ind w:firstLine="640"/>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还建房维修基金项目</w:t>
      </w:r>
      <w:r>
        <w:rPr>
          <w:rFonts w:hint="eastAsia" w:ascii="仿宋_GB2312"/>
          <w:sz w:val="32"/>
          <w:szCs w:val="32"/>
        </w:rPr>
        <w:t>）</w:t>
      </w:r>
    </w:p>
    <w:p>
      <w:pPr>
        <w:adjustRightInd w:val="0"/>
        <w:snapToGrid w:val="0"/>
        <w:spacing w:line="576" w:lineRule="exact"/>
        <w:ind w:firstLine="720"/>
        <w:rPr>
          <w:rFonts w:ascii="黑体" w:hAnsi="黑体" w:eastAsia="黑体" w:cs="黑体"/>
          <w:bCs/>
          <w:color w:val="000000" w:themeColor="text1"/>
          <w:szCs w:val="32"/>
          <w:lang w:val="zh-CN"/>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一、</w:t>
      </w:r>
      <w:r>
        <w:rPr>
          <w:rFonts w:hint="eastAsia" w:ascii="黑体" w:hAnsi="黑体" w:eastAsia="黑体" w:cs="黑体"/>
          <w:bCs/>
          <w:color w:val="000000" w:themeColor="text1"/>
          <w:szCs w:val="32"/>
          <w:lang w:val="zh-CN"/>
          <w14:textFill>
            <w14:solidFill>
              <w14:schemeClr w14:val="tx1"/>
            </w14:solidFill>
          </w14:textFill>
        </w:rPr>
        <w:t>项目概况</w:t>
      </w:r>
    </w:p>
    <w:p>
      <w:pPr>
        <w:adjustRightInd w:val="0"/>
        <w:snapToGrid w:val="0"/>
        <w:spacing w:line="576" w:lineRule="exact"/>
        <w:ind w:firstLine="643" w:firstLineChars="20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（一）项目基本情况。</w:t>
      </w:r>
    </w:p>
    <w:p>
      <w:pPr>
        <w:adjustRightInd w:val="0"/>
        <w:snapToGrid w:val="0"/>
        <w:spacing w:line="576" w:lineRule="exact"/>
        <w:ind w:firstLine="640" w:firstLineChars="200"/>
        <w:rPr>
          <w:rFonts w:ascii="仿宋_GB2312" w:hAnsi="仿宋"/>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2014年12月，经市城乡规划委员会会议批准，凤凰佳苑B栋纳入城区旧城改造范围，用于建设“城北壹号”项目。2015年4月，市国资国企服务中心</w:t>
      </w:r>
      <w:r>
        <w:commentReference w:id="6"/>
      </w:r>
      <w:r>
        <w:rPr>
          <w:rFonts w:hint="eastAsia" w:ascii="仿宋_GB2312"/>
          <w:color w:val="000000" w:themeColor="text1"/>
          <w:szCs w:val="32"/>
          <w14:textFill>
            <w14:solidFill>
              <w14:schemeClr w14:val="tx1"/>
            </w14:solidFill>
          </w14:textFill>
        </w:rPr>
        <w:t>与项目建设方广元市嘉萌建设有限公司签订《拆迁补偿协议》，明确</w:t>
      </w:r>
      <w:r>
        <w:rPr>
          <w:rFonts w:hint="eastAsia" w:ascii="仿宋_GB2312" w:hAnsi="仿宋"/>
          <w:color w:val="000000" w:themeColor="text1"/>
          <w:szCs w:val="32"/>
          <w14:textFill>
            <w14:solidFill>
              <w14:schemeClr w14:val="tx1"/>
            </w14:solidFill>
          </w14:textFill>
        </w:rPr>
        <w:t>临街营业房按1</w:t>
      </w:r>
      <w:r>
        <w:rPr>
          <w:rFonts w:hint="eastAsia" w:ascii="仿宋_GB2312" w:hAnsi="宋体" w:cs="宋体"/>
          <w:color w:val="000000" w:themeColor="text1"/>
          <w:szCs w:val="32"/>
          <w14:textFill>
            <w14:solidFill>
              <w14:schemeClr w14:val="tx1"/>
            </w14:solidFill>
          </w14:textFill>
        </w:rPr>
        <w:t>：1的比例还建，同时建设方承担还建房屋修建期租金</w:t>
      </w:r>
      <w:r>
        <w:rPr>
          <w:rFonts w:hint="eastAsia" w:ascii="仿宋_GB2312" w:hAnsi="Calibri"/>
          <w:color w:val="000000" w:themeColor="text1"/>
          <w:szCs w:val="32"/>
          <w14:textFill>
            <w14:solidFill>
              <w14:schemeClr w14:val="tx1"/>
            </w14:solidFill>
          </w14:textFill>
        </w:rPr>
        <w:t>。2018年3月，</w:t>
      </w:r>
      <w:r>
        <w:rPr>
          <w:rFonts w:hint="eastAsia" w:ascii="仿宋_GB2312" w:hAnsi="仿宋"/>
          <w:color w:val="000000" w:themeColor="text1"/>
          <w:szCs w:val="32"/>
          <w14:textFill>
            <w14:solidFill>
              <w14:schemeClr w14:val="tx1"/>
            </w14:solidFill>
          </w14:textFill>
        </w:rPr>
        <w:t>“城北壹号”项目竣工交付使用，我单位对还建的201.72平方米营业房进行了公开招租，年租金6.05万元。2022年5月，</w:t>
      </w:r>
      <w:r>
        <w:rPr>
          <w:rFonts w:hint="eastAsia" w:ascii="仿宋_GB2312"/>
          <w:color w:val="000000" w:themeColor="text1"/>
          <w:szCs w:val="32"/>
          <w14:textFill>
            <w14:solidFill>
              <w14:schemeClr w14:val="tx1"/>
            </w14:solidFill>
          </w14:textFill>
        </w:rPr>
        <w:t>广元市嘉萌建设有限公司致函我单位，要求缴纳房屋维修基金及相关税费（拆迁还建房屋免交税费），以便办理房屋权属证书。</w:t>
      </w:r>
    </w:p>
    <w:p>
      <w:pPr>
        <w:adjustRightInd w:val="0"/>
        <w:snapToGrid w:val="0"/>
        <w:spacing w:line="576" w:lineRule="exact"/>
        <w:ind w:firstLine="643" w:firstLineChars="20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（二）项目绩效目标。</w:t>
      </w:r>
    </w:p>
    <w:p>
      <w:pPr>
        <w:adjustRightInd w:val="0"/>
        <w:snapToGrid w:val="0"/>
        <w:spacing w:line="576"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缴纳房屋维修基金后，及时办理房屋权属证书，确保国有资产安全完整、保值增值。</w:t>
      </w:r>
    </w:p>
    <w:p>
      <w:pPr>
        <w:adjustRightInd w:val="0"/>
        <w:snapToGrid w:val="0"/>
        <w:spacing w:line="576" w:lineRule="exact"/>
        <w:ind w:firstLine="643" w:firstLineChars="20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（三）项目自评步骤及方法</w:t>
      </w:r>
    </w:p>
    <w:p>
      <w:pPr>
        <w:adjustRightInd w:val="0"/>
        <w:snapToGrid w:val="0"/>
        <w:spacing w:line="576"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该项目专用资金采用预算绩效指标标准评分方法：分级评分法，指标分别设置权重所占%，指标得分按指标值所在区间的权重计算得分。按年初财政批复的预算项目支出绩效目标，预算资金执行比率及实际完成指标值计算自评得分。</w:t>
      </w:r>
    </w:p>
    <w:p>
      <w:pPr>
        <w:adjustRightInd w:val="0"/>
        <w:snapToGrid w:val="0"/>
        <w:spacing w:line="576" w:lineRule="exact"/>
        <w:ind w:firstLine="720"/>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二、项目资金申报及使用情况。</w:t>
      </w:r>
    </w:p>
    <w:p>
      <w:pPr>
        <w:adjustRightInd w:val="0"/>
        <w:snapToGrid w:val="0"/>
        <w:spacing w:line="576" w:lineRule="exact"/>
        <w:ind w:firstLine="630" w:firstLineChars="196"/>
        <w:rPr>
          <w:rFonts w:ascii="仿宋_GB2312" w:hAnsi="宋体"/>
          <w:b/>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（一）项目资金申报及批复情况。</w:t>
      </w:r>
    </w:p>
    <w:p>
      <w:pPr>
        <w:adjustRightInd w:val="0"/>
        <w:snapToGrid w:val="0"/>
        <w:spacing w:line="576"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2022年5月，市国资委《关于市国有资产管理中心请求从资产维修维护费中支付还建房屋维修基金的函》（广国资委函〔2022〕81号）请求市财政局同意我单位从预算内资产维修维护费中支付还建房屋维修基金16137.60元。广财资〔2022〕30号文件同意从安排的资产维修维护费中调剂16317.60元用于“城北壹号”还建房维修基金支付。</w:t>
      </w:r>
    </w:p>
    <w:p>
      <w:pPr>
        <w:adjustRightInd w:val="0"/>
        <w:snapToGrid w:val="0"/>
        <w:spacing w:line="576" w:lineRule="exact"/>
        <w:ind w:firstLine="720"/>
        <w:rPr>
          <w:rFonts w:ascii="仿宋_GB2312" w:hAnsi="宋体"/>
          <w:b/>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（二）资金计划、到位及使用情况。</w:t>
      </w:r>
    </w:p>
    <w:p>
      <w:pPr>
        <w:adjustRightInd w:val="0"/>
        <w:snapToGrid w:val="0"/>
        <w:spacing w:line="576"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1.资金计划及到位。从预算内资产维修维护费中支付还建房屋维修基金16137.60元。到位资金16137.60元。</w:t>
      </w:r>
    </w:p>
    <w:p>
      <w:pPr>
        <w:adjustRightInd w:val="0"/>
        <w:snapToGrid w:val="0"/>
        <w:spacing w:line="576" w:lineRule="exact"/>
        <w:ind w:firstLine="645"/>
        <w:rPr>
          <w:rFonts w:ascii="仿宋_GB2312" w:hAnsi="仿宋_GB2312"/>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2.资金使用。我单位</w:t>
      </w:r>
      <w:r>
        <w:rPr>
          <w:rFonts w:hint="eastAsia" w:ascii="仿宋_GB2312"/>
          <w:color w:val="000000" w:themeColor="text1"/>
          <w:szCs w:val="32"/>
          <w14:textFill>
            <w14:solidFill>
              <w14:schemeClr w14:val="tx1"/>
            </w14:solidFill>
          </w14:textFill>
        </w:rPr>
        <w:t>按照市城乡规划建设和住房保障局、市财政局《关于调整我市房屋专项维修资金归集标准的通知》（广规建住发〔2013〕31号）文件中7层以下（含7层）非住宅专项维修资金归集标准为80.00元/</w:t>
      </w:r>
      <w:r>
        <w:rPr>
          <w:rFonts w:hint="eastAsia" w:ascii="仿宋_GB2312" w:hAnsi="宋体" w:cs="宋体"/>
          <w:color w:val="000000" w:themeColor="text1"/>
          <w:szCs w:val="32"/>
          <w14:textFill>
            <w14:solidFill>
              <w14:schemeClr w14:val="tx1"/>
            </w14:solidFill>
          </w14:textFill>
        </w:rPr>
        <w:t>㎡的</w:t>
      </w:r>
      <w:r>
        <w:rPr>
          <w:rFonts w:hint="eastAsia" w:ascii="仿宋_GB2312"/>
          <w:color w:val="000000" w:themeColor="text1"/>
          <w:szCs w:val="32"/>
          <w14:textFill>
            <w14:solidFill>
              <w14:schemeClr w14:val="tx1"/>
            </w14:solidFill>
          </w14:textFill>
        </w:rPr>
        <w:t>规定，支付</w:t>
      </w:r>
      <w:r>
        <w:rPr>
          <w:rFonts w:hint="eastAsia" w:ascii="仿宋_GB2312" w:hAnsi="仿宋"/>
          <w:color w:val="000000" w:themeColor="text1"/>
          <w:szCs w:val="32"/>
          <w14:textFill>
            <w14:solidFill>
              <w14:schemeClr w14:val="tx1"/>
            </w14:solidFill>
          </w14:textFill>
        </w:rPr>
        <w:t>“城北壹号”一楼营业房201.72</w:t>
      </w:r>
      <w:r>
        <w:rPr>
          <w:rFonts w:hint="eastAsia" w:ascii="仿宋_GB2312" w:hAnsi="宋体" w:cs="宋体"/>
          <w:color w:val="000000" w:themeColor="text1"/>
          <w:szCs w:val="32"/>
          <w14:textFill>
            <w14:solidFill>
              <w14:schemeClr w14:val="tx1"/>
            </w14:solidFill>
          </w14:textFill>
        </w:rPr>
        <w:t>平方米的</w:t>
      </w:r>
      <w:r>
        <w:rPr>
          <w:rFonts w:hint="eastAsia" w:ascii="仿宋_GB2312"/>
          <w:color w:val="000000" w:themeColor="text1"/>
          <w:szCs w:val="32"/>
          <w14:textFill>
            <w14:solidFill>
              <w14:schemeClr w14:val="tx1"/>
            </w14:solidFill>
          </w14:textFill>
        </w:rPr>
        <w:t>房屋维修基金16137.60元。</w:t>
      </w:r>
      <w:r>
        <w:rPr>
          <w:rFonts w:hint="eastAsia" w:ascii="仿宋_GB2312" w:hAnsi="宋体"/>
          <w:color w:val="000000" w:themeColor="text1"/>
          <w:szCs w:val="32"/>
          <w14:textFill>
            <w14:solidFill>
              <w14:schemeClr w14:val="tx1"/>
            </w14:solidFill>
          </w14:textFill>
        </w:rPr>
        <w:t>该项资金支付合法合规。</w:t>
      </w:r>
    </w:p>
    <w:p>
      <w:pPr>
        <w:adjustRightInd w:val="0"/>
        <w:snapToGrid w:val="0"/>
        <w:spacing w:line="576" w:lineRule="exact"/>
        <w:ind w:firstLine="72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（三）项目财务管理情况。</w:t>
      </w:r>
    </w:p>
    <w:p>
      <w:pPr>
        <w:adjustRightInd w:val="0"/>
        <w:snapToGrid w:val="0"/>
        <w:spacing w:line="576" w:lineRule="exact"/>
        <w:ind w:firstLine="640" w:firstLineChars="200"/>
        <w:rPr>
          <w:rFonts w:ascii="仿宋_GB2312" w:hAnsi="仿宋_GB2312" w:cs="仿宋_GB2312"/>
          <w:bCs/>
          <w:color w:val="000000" w:themeColor="text1"/>
          <w:kern w:val="0"/>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我单位会计机构健全，财务人员岗位分工明确，内部财</w:t>
      </w:r>
      <w:r>
        <w:rPr>
          <w:rFonts w:hint="eastAsia" w:ascii="仿宋_GB2312" w:hAnsi="仿宋_GB2312" w:cs="仿宋_GB2312"/>
          <w:color w:val="000000" w:themeColor="text1"/>
          <w:szCs w:val="32"/>
          <w14:textFill>
            <w14:solidFill>
              <w14:schemeClr w14:val="tx1"/>
            </w14:solidFill>
          </w14:textFill>
        </w:rPr>
        <w:t>务管</w:t>
      </w:r>
      <w:r>
        <w:rPr>
          <w:rFonts w:hint="eastAsia" w:ascii="仿宋_GB2312" w:hAnsi="仿宋_GB2312" w:cs="仿宋_GB2312"/>
          <w:bCs/>
          <w:color w:val="000000" w:themeColor="text1"/>
          <w:kern w:val="0"/>
          <w:szCs w:val="32"/>
          <w14:textFill>
            <w14:solidFill>
              <w14:schemeClr w14:val="tx1"/>
            </w14:solidFill>
          </w14:textFill>
        </w:rPr>
        <w:t>理制度完善，会计核算准确，会计档案管理规范。资金管理流程科学。在项目资金管理、使用上，坚持专款专用，量入为出的原则，各项专用资金使用正确，并达到预期目的。严格票据审核，每笔资金支出都实行了统一申报项目资金计划，审批后按财务制度在财政预算管理一体化系统上审批支付。</w:t>
      </w:r>
    </w:p>
    <w:p>
      <w:pPr>
        <w:adjustRightInd w:val="0"/>
        <w:snapToGrid w:val="0"/>
        <w:spacing w:line="576" w:lineRule="exact"/>
        <w:ind w:firstLine="640" w:firstLineChars="20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三、项目实施及管理情况</w:t>
      </w:r>
    </w:p>
    <w:p>
      <w:pPr>
        <w:adjustRightInd w:val="0"/>
        <w:snapToGrid w:val="0"/>
        <w:spacing w:line="576" w:lineRule="exact"/>
        <w:ind w:firstLine="640" w:firstLineChars="20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根据</w:t>
      </w:r>
      <w:r>
        <w:rPr>
          <w:rFonts w:hint="eastAsia" w:ascii="仿宋_GB2312" w:hAnsi="仿宋"/>
          <w:color w:val="000000" w:themeColor="text1"/>
          <w:szCs w:val="32"/>
          <w14:textFill>
            <w14:solidFill>
              <w14:schemeClr w14:val="tx1"/>
            </w14:solidFill>
          </w14:textFill>
        </w:rPr>
        <w:t>“城北壹号”项目</w:t>
      </w:r>
      <w:r>
        <w:rPr>
          <w:rFonts w:hint="eastAsia" w:ascii="仿宋_GB2312" w:hAnsi="宋体" w:cs="宋体"/>
          <w:color w:val="000000" w:themeColor="text1"/>
          <w:szCs w:val="32"/>
          <w14:textFill>
            <w14:solidFill>
              <w14:schemeClr w14:val="tx1"/>
            </w14:solidFill>
          </w14:textFill>
        </w:rPr>
        <w:t>建设方</w:t>
      </w:r>
      <w:r>
        <w:rPr>
          <w:rFonts w:hint="eastAsia" w:ascii="仿宋_GB2312"/>
          <w:color w:val="000000" w:themeColor="text1"/>
          <w:szCs w:val="32"/>
          <w14:textFill>
            <w14:solidFill>
              <w14:schemeClr w14:val="tx1"/>
            </w14:solidFill>
          </w14:textFill>
        </w:rPr>
        <w:t>广元市嘉萌建设有限公司缴纳房屋维修基金的要求，我单位及时通过主管部门向市财政局申请</w:t>
      </w:r>
      <w:r>
        <w:rPr>
          <w:rFonts w:hint="eastAsia" w:ascii="仿宋_GB2312" w:hAnsi="宋体"/>
          <w:color w:val="000000" w:themeColor="text1"/>
          <w:szCs w:val="32"/>
          <w14:textFill>
            <w14:solidFill>
              <w14:schemeClr w14:val="tx1"/>
            </w14:solidFill>
          </w14:textFill>
        </w:rPr>
        <w:t>从预算内资产维修维护费中支付还建房屋维修基金，待财政同意后，及时支付还建房屋维修基金。</w:t>
      </w:r>
    </w:p>
    <w:p>
      <w:pPr>
        <w:adjustRightInd w:val="0"/>
        <w:snapToGrid w:val="0"/>
        <w:spacing w:line="576" w:lineRule="exact"/>
        <w:ind w:firstLine="720"/>
        <w:rPr>
          <w:rFonts w:ascii="黑体" w:hAnsi="黑体" w:eastAsia="黑体" w:cs="黑体"/>
          <w:bCs/>
          <w:color w:val="000000" w:themeColor="text1"/>
          <w:szCs w:val="32"/>
          <w:lang w:val="zh-CN"/>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四、项目绩效情况</w:t>
      </w:r>
      <w:r>
        <w:rPr>
          <w:rFonts w:hint="eastAsia" w:ascii="黑体" w:hAnsi="黑体" w:eastAsia="黑体" w:cs="黑体"/>
          <w:bCs/>
          <w:color w:val="000000" w:themeColor="text1"/>
          <w:szCs w:val="32"/>
          <w:lang w:val="zh-CN"/>
          <w14:textFill>
            <w14:solidFill>
              <w14:schemeClr w14:val="tx1"/>
            </w14:solidFill>
          </w14:textFill>
        </w:rPr>
        <w:tab/>
      </w:r>
    </w:p>
    <w:p>
      <w:pPr>
        <w:adjustRightInd w:val="0"/>
        <w:snapToGrid w:val="0"/>
        <w:spacing w:line="576" w:lineRule="exact"/>
        <w:ind w:firstLine="72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（一）项目完成情况。</w:t>
      </w:r>
    </w:p>
    <w:p>
      <w:pPr>
        <w:adjustRightInd w:val="0"/>
        <w:snapToGrid w:val="0"/>
        <w:spacing w:line="576" w:lineRule="exact"/>
        <w:ind w:firstLine="720"/>
        <w:rPr>
          <w:rFonts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已从预算内资产维修维护费中支付还建房屋维修基金16137.60元。</w:t>
      </w:r>
    </w:p>
    <w:p>
      <w:pPr>
        <w:adjustRightInd w:val="0"/>
        <w:snapToGrid w:val="0"/>
        <w:spacing w:line="576" w:lineRule="exact"/>
        <w:ind w:firstLine="72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（二）项目效益情况。</w:t>
      </w:r>
    </w:p>
    <w:p>
      <w:pPr>
        <w:adjustRightInd w:val="0"/>
        <w:snapToGrid w:val="0"/>
        <w:spacing w:line="576"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缴纳房屋维修基金后，及时办理房屋权属证书，确保国有资产安全完整、保值增值。</w:t>
      </w:r>
    </w:p>
    <w:p>
      <w:pPr>
        <w:adjustRightInd w:val="0"/>
        <w:snapToGrid w:val="0"/>
        <w:spacing w:line="576" w:lineRule="exact"/>
        <w:ind w:firstLine="640" w:firstLineChars="200"/>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五、评价结论及建议</w:t>
      </w:r>
    </w:p>
    <w:p>
      <w:pPr>
        <w:adjustRightInd w:val="0"/>
        <w:snapToGrid w:val="0"/>
        <w:spacing w:line="576" w:lineRule="exact"/>
        <w:ind w:firstLine="72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（一）评价结论。</w:t>
      </w:r>
    </w:p>
    <w:p>
      <w:pPr>
        <w:adjustRightInd w:val="0"/>
        <w:snapToGrid w:val="0"/>
        <w:spacing w:line="576" w:lineRule="exact"/>
        <w:ind w:firstLine="72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部门自评预算执行得分10分，绩效指标得分90分，项目自评得分100分。</w:t>
      </w:r>
    </w:p>
    <w:p>
      <w:pPr>
        <w:adjustRightInd w:val="0"/>
        <w:snapToGrid w:val="0"/>
        <w:spacing w:line="576" w:lineRule="exact"/>
        <w:ind w:firstLine="72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（二）存在的问题。</w:t>
      </w:r>
    </w:p>
    <w:p>
      <w:pPr>
        <w:adjustRightInd w:val="0"/>
        <w:snapToGrid w:val="0"/>
        <w:spacing w:line="576" w:lineRule="exact"/>
        <w:ind w:firstLine="72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无。</w:t>
      </w:r>
    </w:p>
    <w:p>
      <w:pPr>
        <w:adjustRightInd w:val="0"/>
        <w:snapToGrid w:val="0"/>
        <w:spacing w:line="576" w:lineRule="exact"/>
        <w:ind w:firstLine="643" w:firstLineChars="200"/>
        <w:rPr>
          <w:rFonts w:ascii="楷体_GB2312" w:hAnsi="楷体_GB2312" w:eastAsia="楷体_GB2312" w:cs="楷体_GB2312"/>
          <w:b/>
          <w:bCs/>
          <w:color w:val="000000" w:themeColor="text1"/>
          <w:szCs w:val="32"/>
          <w:lang w:val="zh-CN"/>
          <w14:textFill>
            <w14:solidFill>
              <w14:schemeClr w14:val="tx1"/>
            </w14:solidFill>
          </w14:textFill>
        </w:rPr>
      </w:pPr>
      <w:r>
        <w:rPr>
          <w:rFonts w:hint="eastAsia" w:ascii="楷体_GB2312" w:hAnsi="楷体_GB2312" w:eastAsia="楷体_GB2312" w:cs="楷体_GB2312"/>
          <w:b/>
          <w:bCs/>
          <w:color w:val="000000" w:themeColor="text1"/>
          <w:szCs w:val="32"/>
          <w:lang w:val="zh-CN"/>
          <w14:textFill>
            <w14:solidFill>
              <w14:schemeClr w14:val="tx1"/>
            </w14:solidFill>
          </w14:textFill>
        </w:rPr>
        <w:t>（三）相关建议。</w:t>
      </w:r>
    </w:p>
    <w:p>
      <w:pPr>
        <w:adjustRightInd w:val="0"/>
        <w:snapToGrid w:val="0"/>
        <w:spacing w:line="576" w:lineRule="exact"/>
        <w:ind w:firstLine="800" w:firstLineChars="250"/>
        <w:rPr>
          <w:rFonts w:ascii="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无。</w:t>
      </w:r>
    </w:p>
    <w:p>
      <w:pPr>
        <w:pStyle w:val="2"/>
        <w:spacing w:before="93" w:line="576" w:lineRule="exact"/>
      </w:pPr>
    </w:p>
    <w:p>
      <w:pPr>
        <w:pStyle w:val="2"/>
        <w:spacing w:before="93" w:line="576" w:lineRule="exact"/>
      </w:pPr>
    </w:p>
    <w:p>
      <w:pPr>
        <w:pStyle w:val="2"/>
        <w:spacing w:before="93" w:line="576" w:lineRule="exact"/>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ind w:firstLine="640"/>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081新城开发项目</w:t>
      </w:r>
      <w:r>
        <w:rPr>
          <w:rFonts w:hint="eastAsia" w:ascii="仿宋_GB2312"/>
          <w:sz w:val="32"/>
          <w:szCs w:val="32"/>
        </w:rPr>
        <w:t>）</w:t>
      </w:r>
    </w:p>
    <w:p>
      <w:pPr>
        <w:adjustRightInd w:val="0"/>
        <w:snapToGrid w:val="0"/>
        <w:spacing w:line="560"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（一）项目基本情况。</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081新城开发项目业主为广元市投资发展集团有限公司，业主主管部门为市国资委，监督项目建设是否按计划进度安全有序推进等。</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081产业新城一号安置点安置还房项目立项依据为广发改函〔</w:t>
      </w:r>
      <w:r>
        <w:rPr>
          <w:rFonts w:hint="eastAsia" w:ascii="仿宋_GB2312" w:hAnsi="仿宋_GB2312" w:cs="仿宋_GB2312"/>
          <w:kern w:val="0"/>
          <w:shd w:val="clear" w:color="auto" w:fill="FFFFFF"/>
        </w:rPr>
        <w:t>2014</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16号文、081产业新城二号安置点安置还房项目立项依据为广发改函〔2013〕265号文、081产业新城生活大道项目立项依据为广发改函〔2014〕57号文。资金申报依据为2022年财政预算资金计划。</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081项目已全部录入财政部隐性债务系统锁定，制定了相应的项目管理制度。</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资金分配考虑缓急情况和建设进度，</w:t>
      </w:r>
      <w:r>
        <w:rPr>
          <w:rFonts w:hint="eastAsia" w:ascii="仿宋_GB2312" w:hAnsi="仿宋_GB2312" w:cs="仿宋_GB2312"/>
          <w:kern w:val="0"/>
          <w:shd w:val="clear" w:color="auto" w:fill="FFFFFF"/>
          <w:lang w:val="zh-CN"/>
        </w:rPr>
        <w:t>所有项目点实施完成</w:t>
      </w:r>
      <w:r>
        <w:rPr>
          <w:rFonts w:hint="eastAsia" w:ascii="仿宋_GB2312" w:hAnsi="仿宋_GB2312" w:cs="仿宋_GB2312"/>
          <w:kern w:val="0"/>
          <w:shd w:val="clear" w:color="auto" w:fill="FFFFFF"/>
        </w:rPr>
        <w:t>后应予支付资金，项目建设情况与</w:t>
      </w:r>
      <w:r>
        <w:rPr>
          <w:rFonts w:hint="eastAsia" w:ascii="仿宋_GB2312" w:hAnsi="仿宋_GB2312" w:cs="仿宋_GB2312"/>
          <w:kern w:val="0"/>
          <w:shd w:val="clear" w:color="auto" w:fill="FFFFFF"/>
          <w:lang w:val="zh-CN"/>
        </w:rPr>
        <w:t>计划情况进行对比</w:t>
      </w:r>
      <w:r>
        <w:rPr>
          <w:rFonts w:hint="eastAsia" w:ascii="仿宋_GB2312" w:hAnsi="仿宋_GB2312" w:cs="仿宋_GB2312"/>
          <w:kern w:val="0"/>
          <w:shd w:val="clear" w:color="auto" w:fill="FFFFFF"/>
        </w:rPr>
        <w:t>其完成质量</w:t>
      </w:r>
      <w:r>
        <w:rPr>
          <w:rFonts w:hint="eastAsia" w:ascii="仿宋_GB2312" w:hAnsi="仿宋_GB2312" w:cs="仿宋_GB2312"/>
          <w:kern w:val="0"/>
          <w:shd w:val="clear" w:color="auto" w:fill="FFFFFF"/>
          <w:lang w:val="zh-CN"/>
        </w:rPr>
        <w:t>。</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（二）项目绩效目标。</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1．项目主要内容。</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主要建设内容为生活大道建设，2014年概算9854万元，后于2015年调整17340万元；一号安置点，概算103267万元；二号安置点，概算46500万元。</w:t>
      </w:r>
    </w:p>
    <w:p>
      <w:pPr>
        <w:numPr>
          <w:ilvl w:val="0"/>
          <w:numId w:val="10"/>
        </w:num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项目绩效目标。</w:t>
      </w:r>
    </w:p>
    <w:p>
      <w:pPr>
        <w:adjustRightInd w:val="0"/>
        <w:snapToGrid w:val="0"/>
        <w:spacing w:line="560"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按建设任务安排，</w:t>
      </w:r>
      <w:r>
        <w:rPr>
          <w:rFonts w:hint="eastAsia" w:ascii="仿宋_GB2312" w:hAnsi="仿宋_GB2312" w:cs="仿宋_GB2312"/>
          <w:kern w:val="0"/>
          <w:shd w:val="clear" w:color="auto" w:fill="FFFFFF"/>
          <w:lang w:val="zh-CN"/>
        </w:rPr>
        <w:t>我司在</w:t>
      </w:r>
      <w:r>
        <w:rPr>
          <w:rFonts w:hint="eastAsia" w:ascii="仿宋_GB2312" w:hAnsi="仿宋_GB2312" w:cs="仿宋_GB2312"/>
          <w:kern w:val="0"/>
          <w:shd w:val="clear" w:color="auto" w:fill="FFFFFF"/>
        </w:rPr>
        <w:t>2013年开始建设，着力打造产业新城</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目前生活大道2016年移交建设局管理，建成安置还房2028 套、含 一号安置点一期，二号安置点一期，已安置群众961户，道路建设为市民出行提供了交通便利，</w:t>
      </w:r>
      <w:r>
        <w:rPr>
          <w:rFonts w:hint="eastAsia" w:ascii="仿宋_GB2312" w:hAnsi="仿宋_GB2312" w:cs="仿宋_GB2312"/>
          <w:kern w:val="0"/>
          <w:shd w:val="clear" w:color="auto" w:fill="FFFFFF"/>
          <w:lang w:val="zh-CN"/>
        </w:rPr>
        <w:t>缓解</w:t>
      </w:r>
      <w:r>
        <w:rPr>
          <w:rFonts w:hint="eastAsia" w:ascii="仿宋_GB2312" w:hAnsi="仿宋_GB2312" w:cs="仿宋_GB2312"/>
          <w:kern w:val="0"/>
          <w:shd w:val="clear" w:color="auto" w:fill="FFFFFF"/>
        </w:rPr>
        <w:t>了</w:t>
      </w:r>
      <w:r>
        <w:rPr>
          <w:rFonts w:hint="eastAsia" w:ascii="仿宋_GB2312" w:hAnsi="仿宋_GB2312" w:cs="仿宋_GB2312"/>
          <w:kern w:val="0"/>
          <w:shd w:val="clear" w:color="auto" w:fill="FFFFFF"/>
          <w:lang w:val="zh-CN"/>
        </w:rPr>
        <w:t>市城区周边交通拥堵，</w:t>
      </w:r>
      <w:r>
        <w:rPr>
          <w:rFonts w:hint="eastAsia" w:ascii="仿宋_GB2312" w:hAnsi="仿宋_GB2312" w:cs="仿宋_GB2312"/>
          <w:kern w:val="0"/>
          <w:shd w:val="clear" w:color="auto" w:fill="FFFFFF"/>
        </w:rPr>
        <w:t>拆迁重建安置对改善城市人居环境和生活质量意义重大，并为我市发展规划提供了先决条件。</w:t>
      </w:r>
    </w:p>
    <w:p>
      <w:pPr>
        <w:pStyle w:val="42"/>
        <w:spacing w:before="93" w:line="560" w:lineRule="exact"/>
        <w:jc w:val="both"/>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截止2022年年底，</w:t>
      </w:r>
      <w:r>
        <w:rPr>
          <w:rFonts w:hint="eastAsia" w:ascii="仿宋_GB2312" w:hAnsi="仿宋_GB2312" w:cs="仿宋_GB2312"/>
          <w:kern w:val="0"/>
          <w:shd w:val="clear" w:color="auto" w:fill="FFFFFF"/>
        </w:rPr>
        <w:t>081新城项目已投资18.46亿元，其中财政拨款47254.85万元，其余资金为我公司垫支，我公司根据2022年财政预算资金安排，在预算范围内申请，根据我公司垫支的工程款凭据据实申报。</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（三）项目自评步骤及方法。</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项目绩效自评采用的组织实施步骤及方法。第一步根据申报目标，以广财绩</w:t>
      </w:r>
      <w:r>
        <w:rPr>
          <w:rFonts w:hint="eastAsia" w:ascii="仿宋_GB2312" w:hAnsi="仿宋_GB2312" w:cs="仿宋_GB2312"/>
          <w:kern w:val="0"/>
          <w:shd w:val="clear" w:color="auto" w:fill="FFFFFF"/>
        </w:rPr>
        <w:t>〔2023〕5号文为指导</w:t>
      </w:r>
      <w:r>
        <w:rPr>
          <w:rFonts w:hint="eastAsia" w:ascii="仿宋_GB2312" w:hAnsi="仿宋_GB2312" w:cs="仿宋_GB2312"/>
          <w:kern w:val="0"/>
          <w:shd w:val="clear" w:color="auto" w:fill="FFFFFF"/>
          <w:lang w:val="zh-CN"/>
        </w:rPr>
        <w:t>，填报2023年市级专项资金预算项目支出绩效评价指标体系自评得分表；第二步填报2023年市级专项资金预算项目支出绩效自评报告；第三步上报主管部门。</w:t>
      </w:r>
    </w:p>
    <w:p>
      <w:pPr>
        <w:adjustRightInd w:val="0"/>
        <w:snapToGrid w:val="0"/>
        <w:spacing w:line="560" w:lineRule="exact"/>
        <w:ind w:firstLine="640" w:firstLineChars="200"/>
        <w:rPr>
          <w:rFonts w:ascii="黑体" w:hAnsi="宋体" w:eastAsia="黑体"/>
        </w:rPr>
      </w:pPr>
      <w:r>
        <w:rPr>
          <w:rFonts w:hint="eastAsia" w:ascii="黑体" w:hAnsi="宋体" w:eastAsia="黑体"/>
        </w:rPr>
        <w:t>二、项目资金申报及使用情况</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（一）项目资金申报及批复情况。</w:t>
      </w:r>
    </w:p>
    <w:p>
      <w:pPr>
        <w:adjustRightInd w:val="0"/>
        <w:snapToGrid w:val="0"/>
        <w:spacing w:line="560"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2021年末，我公司根据081产业新城建设完成投资情况及资金急需情况，向市国资委报送年度资金需求计划，市财政局根据当年预算安排情况，拟定年度基建项目资金计划，081项目年度计划资金安排15000万元，市财政局于2022年4月和12月下达《关于下达基金指标的通知》广财投</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2022</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34号、广财投</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2022</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148号指标文件。</w:t>
      </w:r>
    </w:p>
    <w:p>
      <w:pPr>
        <w:adjustRightInd w:val="0"/>
        <w:snapToGrid w:val="0"/>
        <w:spacing w:line="560" w:lineRule="exact"/>
        <w:ind w:firstLine="480" w:firstLineChars="150"/>
        <w:rPr>
          <w:rFonts w:ascii="仿宋_GB2312" w:hAnsi="宋体"/>
          <w:lang w:val="zh-CN"/>
        </w:rPr>
      </w:pPr>
      <w:r>
        <w:rPr>
          <w:rFonts w:hint="eastAsia" w:ascii="楷体_GB2312" w:hAnsi="宋体" w:eastAsia="楷体_GB2312"/>
          <w:lang w:val="zh-CN"/>
        </w:rPr>
        <w:t>（二）资金计划、到位及使用情况（可用表格形式反映）。</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1．资金计划。20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年财政预算安排资金</w:t>
      </w:r>
      <w:r>
        <w:rPr>
          <w:rFonts w:hint="eastAsia" w:ascii="仿宋_GB2312" w:hAnsi="仿宋_GB2312" w:cs="仿宋_GB2312"/>
          <w:kern w:val="0"/>
          <w:shd w:val="clear" w:color="auto" w:fill="FFFFFF"/>
        </w:rPr>
        <w:t>15000</w:t>
      </w:r>
      <w:r>
        <w:rPr>
          <w:rFonts w:hint="eastAsia" w:ascii="仿宋_GB2312" w:hAnsi="仿宋_GB2312" w:cs="仿宋_GB2312"/>
          <w:kern w:val="0"/>
          <w:shd w:val="clear" w:color="auto" w:fill="FFFFFF"/>
          <w:lang w:val="zh-CN"/>
        </w:rPr>
        <w:t>万元。</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2．资金到位。20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w:t>
      </w:r>
      <w:r>
        <w:rPr>
          <w:rFonts w:hint="eastAsia" w:ascii="仿宋_GB2312" w:hAnsi="仿宋_GB2312" w:cs="仿宋_GB2312"/>
          <w:kern w:val="0"/>
          <w:shd w:val="clear" w:color="auto" w:fill="FFFFFF"/>
        </w:rPr>
        <w:t>1</w:t>
      </w:r>
      <w:r>
        <w:rPr>
          <w:rFonts w:hint="eastAsia" w:ascii="仿宋_GB2312" w:hAnsi="仿宋_GB2312" w:cs="仿宋_GB2312"/>
          <w:kern w:val="0"/>
          <w:shd w:val="clear" w:color="auto" w:fill="FFFFFF"/>
          <w:lang w:val="zh-CN"/>
        </w:rPr>
        <w:t>月</w:t>
      </w:r>
      <w:r>
        <w:rPr>
          <w:rFonts w:hint="eastAsia" w:ascii="仿宋_GB2312" w:hAnsi="仿宋_GB2312" w:cs="仿宋_GB2312"/>
          <w:kern w:val="0"/>
          <w:shd w:val="clear" w:color="auto" w:fill="FFFFFF"/>
        </w:rPr>
        <w:t>、11月</w:t>
      </w:r>
      <w:r>
        <w:rPr>
          <w:rFonts w:hint="eastAsia" w:ascii="仿宋_GB2312" w:hAnsi="仿宋_GB2312" w:cs="仿宋_GB2312"/>
          <w:kern w:val="0"/>
          <w:shd w:val="clear" w:color="auto" w:fill="FFFFFF"/>
          <w:lang w:val="zh-CN"/>
        </w:rPr>
        <w:t>财政拨付项目建设涉及的资金</w:t>
      </w:r>
      <w:r>
        <w:rPr>
          <w:rFonts w:hint="eastAsia" w:ascii="仿宋_GB2312" w:hAnsi="仿宋_GB2312" w:cs="仿宋_GB2312"/>
          <w:kern w:val="0"/>
          <w:shd w:val="clear" w:color="auto" w:fill="FFFFFF"/>
        </w:rPr>
        <w:t>15000</w:t>
      </w:r>
      <w:r>
        <w:rPr>
          <w:rFonts w:hint="eastAsia" w:ascii="仿宋_GB2312" w:hAnsi="仿宋_GB2312" w:cs="仿宋_GB2312"/>
          <w:kern w:val="0"/>
          <w:shd w:val="clear" w:color="auto" w:fill="FFFFFF"/>
          <w:lang w:val="zh-CN"/>
        </w:rPr>
        <w:t>万元</w:t>
      </w:r>
      <w:r>
        <w:rPr>
          <w:rFonts w:hint="eastAsia" w:ascii="仿宋_GB2312" w:hAnsi="仿宋_GB2312" w:cs="仿宋_GB2312"/>
          <w:kern w:val="0"/>
          <w:shd w:val="clear" w:color="auto" w:fill="FFFFFF"/>
        </w:rPr>
        <w:t>，其中生活大道5000万元、一号安置点6000万元、二号安置点4000万元。</w:t>
      </w:r>
      <w:r>
        <w:rPr>
          <w:rFonts w:hint="eastAsia" w:ascii="仿宋_GB2312" w:hAnsi="仿宋_GB2312" w:cs="仿宋_GB2312"/>
          <w:kern w:val="0"/>
          <w:shd w:val="clear" w:color="auto" w:fill="FFFFFF"/>
          <w:lang w:val="zh-CN"/>
        </w:rPr>
        <w:t>资金到位率为</w:t>
      </w:r>
      <w:r>
        <w:rPr>
          <w:rFonts w:hint="eastAsia" w:ascii="仿宋_GB2312" w:hAnsi="仿宋_GB2312" w:cs="仿宋_GB2312"/>
          <w:kern w:val="0"/>
          <w:shd w:val="clear" w:color="auto" w:fill="FFFFFF"/>
        </w:rPr>
        <w:t>100</w:t>
      </w:r>
      <w:r>
        <w:rPr>
          <w:rFonts w:hint="eastAsia" w:ascii="仿宋_GB2312" w:hAnsi="仿宋_GB2312" w:cs="仿宋_GB2312"/>
          <w:kern w:val="0"/>
          <w:shd w:val="clear" w:color="auto" w:fill="FFFFFF"/>
          <w:lang w:val="zh-CN"/>
        </w:rPr>
        <w:t>%。</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3．资金使用。我司对纳入财政基建</w:t>
      </w:r>
      <w:r>
        <w:rPr>
          <w:rFonts w:hint="eastAsia" w:ascii="仿宋_GB2312" w:hAnsi="仿宋_GB2312" w:cs="仿宋_GB2312"/>
          <w:kern w:val="0"/>
          <w:shd w:val="clear" w:color="auto" w:fill="FFFFFF"/>
        </w:rPr>
        <w:t>计划</w:t>
      </w:r>
      <w:r>
        <w:rPr>
          <w:rFonts w:hint="eastAsia" w:ascii="仿宋_GB2312" w:hAnsi="仿宋_GB2312" w:cs="仿宋_GB2312"/>
          <w:kern w:val="0"/>
          <w:shd w:val="clear" w:color="auto" w:fill="FFFFFF"/>
          <w:lang w:val="zh-CN"/>
        </w:rPr>
        <w:t>的项目</w:t>
      </w:r>
      <w:r>
        <w:rPr>
          <w:rFonts w:hint="eastAsia" w:ascii="仿宋_GB2312" w:hAnsi="仿宋_GB2312" w:cs="仿宋_GB2312"/>
          <w:kern w:val="0"/>
          <w:shd w:val="clear" w:color="auto" w:fill="FFFFFF"/>
        </w:rPr>
        <w:t>拨付使用</w:t>
      </w:r>
      <w:r>
        <w:rPr>
          <w:rFonts w:hint="eastAsia" w:ascii="仿宋_GB2312" w:hAnsi="仿宋_GB2312" w:cs="仿宋_GB2312"/>
          <w:kern w:val="0"/>
          <w:shd w:val="clear" w:color="auto" w:fill="FFFFFF"/>
          <w:lang w:val="zh-CN"/>
        </w:rPr>
        <w:t>，并按照建设施工合同约定，已全部支付给承接该工程施工的</w:t>
      </w:r>
      <w:r>
        <w:rPr>
          <w:rFonts w:hint="eastAsia" w:ascii="仿宋_GB2312" w:hAnsi="仿宋_GB2312" w:cs="仿宋_GB2312"/>
          <w:kern w:val="0"/>
          <w:shd w:val="clear" w:color="auto" w:fill="FFFFFF"/>
        </w:rPr>
        <w:t>施工单位15000</w:t>
      </w:r>
      <w:r>
        <w:rPr>
          <w:rFonts w:hint="eastAsia" w:ascii="仿宋_GB2312" w:hAnsi="仿宋_GB2312" w:cs="仿宋_GB2312"/>
          <w:kern w:val="0"/>
          <w:shd w:val="clear" w:color="auto" w:fill="FFFFFF"/>
          <w:lang w:val="zh-CN"/>
        </w:rPr>
        <w:t>万元，</w:t>
      </w:r>
      <w:r>
        <w:rPr>
          <w:rFonts w:hint="eastAsia" w:ascii="仿宋_GB2312" w:hAnsi="仿宋_GB2312" w:cs="仿宋_GB2312"/>
          <w:kern w:val="0"/>
          <w:shd w:val="clear" w:color="auto" w:fill="FFFFFF"/>
        </w:rPr>
        <w:t>至年底，081新城项目已投资18.46亿元。</w:t>
      </w:r>
      <w:r>
        <w:rPr>
          <w:rFonts w:hint="eastAsia" w:ascii="仿宋_GB2312" w:hAnsi="仿宋_GB2312" w:cs="仿宋_GB2312"/>
          <w:kern w:val="0"/>
          <w:shd w:val="clear" w:color="auto" w:fill="FFFFFF"/>
          <w:lang w:val="zh-CN"/>
        </w:rPr>
        <w:t>目前该项目已完工投入使用。</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（三）项目财务管理情况。</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项目财务管理制度健全，严格执行财务管理制度，账务处理及时，会计核算规范等。</w:t>
      </w:r>
    </w:p>
    <w:p>
      <w:pPr>
        <w:adjustRightInd w:val="0"/>
        <w:snapToGrid w:val="0"/>
        <w:spacing w:line="560" w:lineRule="exact"/>
        <w:ind w:firstLine="640" w:firstLineChars="200"/>
        <w:rPr>
          <w:rFonts w:ascii="黑体" w:hAnsi="宋体" w:eastAsia="黑体"/>
        </w:rPr>
      </w:pPr>
      <w:r>
        <w:rPr>
          <w:rFonts w:hint="eastAsia" w:ascii="黑体" w:hAnsi="宋体" w:eastAsia="黑体"/>
        </w:rPr>
        <w:t>三、项目实施及管理情况</w:t>
      </w:r>
    </w:p>
    <w:p>
      <w:pPr>
        <w:adjustRightInd w:val="0"/>
        <w:snapToGrid w:val="0"/>
        <w:spacing w:line="560"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结合项目组织实施管理办法，重点围绕以下内容进行分析评价，并对自评中发现的问题分析说明。</w:t>
      </w:r>
    </w:p>
    <w:p>
      <w:pPr>
        <w:numPr>
          <w:ilvl w:val="0"/>
          <w:numId w:val="11"/>
        </w:num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项目组织架构及实施流程。</w:t>
      </w:r>
    </w:p>
    <w:p>
      <w:pPr>
        <w:adjustRightInd w:val="0"/>
        <w:snapToGrid w:val="0"/>
        <w:spacing w:line="560"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组织架构：我公司成立了081产业新城开发分公司，委派副总经理闫斌负责，并通过抽调及招聘方式组建了项目管理架构。081分公司内设工程部、拆迁部及综合部。</w:t>
      </w:r>
    </w:p>
    <w:p>
      <w:pPr>
        <w:adjustRightInd w:val="0"/>
        <w:snapToGrid w:val="0"/>
        <w:spacing w:line="560"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实施流程：严格按照市委市政府指示及法律法规进行，招标代理、勘察设计、施工、监理等均通过公开招标选取。项目相关信息均按照市建设局等主管部门要求，进行了公示</w:t>
      </w:r>
    </w:p>
    <w:p>
      <w:pPr>
        <w:pStyle w:val="15"/>
        <w:spacing w:line="560" w:lineRule="exact"/>
        <w:ind w:left="0" w:leftChars="0" w:firstLine="640"/>
        <w:rPr>
          <w:rFonts w:hAnsi="仿宋_GB2312" w:cs="仿宋_GB2312"/>
          <w:kern w:val="0"/>
          <w:shd w:val="clear" w:color="auto" w:fill="FFFFFF"/>
          <w:lang w:val="zh-CN"/>
        </w:rPr>
      </w:pPr>
      <w:r>
        <w:rPr>
          <w:rFonts w:hint="eastAsia" w:ascii="楷体_GB2312" w:hAnsi="宋体" w:eastAsia="楷体_GB2312"/>
          <w:lang w:val="zh-CN"/>
        </w:rPr>
        <w:t>（二）项目管理情况。</w:t>
      </w:r>
      <w:r>
        <w:rPr>
          <w:rFonts w:hint="eastAsia" w:hAnsi="仿宋_GB2312" w:cs="仿宋_GB2312"/>
          <w:kern w:val="0"/>
          <w:shd w:val="clear" w:color="auto" w:fill="FFFFFF"/>
        </w:rPr>
        <w:t>在具体进行项目实施过程中，项目公司</w:t>
      </w:r>
      <w:r>
        <w:rPr>
          <w:rFonts w:hint="eastAsia" w:hAnsi="仿宋_GB2312" w:cs="仿宋_GB2312"/>
          <w:kern w:val="0"/>
          <w:shd w:val="clear" w:color="auto" w:fill="FFFFFF"/>
          <w:lang w:val="zh-CN"/>
        </w:rPr>
        <w:t>严格执行</w:t>
      </w:r>
      <w:r>
        <w:rPr>
          <w:rFonts w:hint="eastAsia" w:hAnsi="仿宋_GB2312" w:cs="仿宋_GB2312"/>
          <w:kern w:val="0"/>
          <w:shd w:val="clear" w:color="auto" w:fill="FFFFFF"/>
        </w:rPr>
        <w:t>财政部、建设部项目成本和管理</w:t>
      </w:r>
      <w:r>
        <w:rPr>
          <w:rFonts w:hint="eastAsia" w:hAnsi="仿宋_GB2312" w:cs="仿宋_GB2312"/>
          <w:kern w:val="0"/>
          <w:shd w:val="clear" w:color="auto" w:fill="FFFFFF"/>
          <w:lang w:val="zh-CN"/>
        </w:rPr>
        <w:t>相关法律法规、项目管理</w:t>
      </w:r>
      <w:r>
        <w:rPr>
          <w:rFonts w:hint="eastAsia" w:hAnsi="仿宋_GB2312" w:cs="仿宋_GB2312"/>
          <w:kern w:val="0"/>
          <w:shd w:val="clear" w:color="auto" w:fill="FFFFFF"/>
        </w:rPr>
        <w:t>建章立</w:t>
      </w:r>
      <w:r>
        <w:rPr>
          <w:rFonts w:hint="eastAsia" w:hAnsi="仿宋_GB2312" w:cs="仿宋_GB2312"/>
          <w:kern w:val="0"/>
          <w:shd w:val="clear" w:color="auto" w:fill="FFFFFF"/>
          <w:lang w:val="zh-CN"/>
        </w:rPr>
        <w:t>制，</w:t>
      </w:r>
      <w:r>
        <w:rPr>
          <w:rFonts w:hint="eastAsia" w:hAnsi="仿宋_GB2312" w:cs="仿宋_GB2312"/>
          <w:kern w:val="0"/>
          <w:shd w:val="clear" w:color="auto" w:fill="FFFFFF"/>
        </w:rPr>
        <w:t>各施工工程、勘察设计、监理项目</w:t>
      </w:r>
      <w:r>
        <w:rPr>
          <w:rFonts w:hint="eastAsia" w:hAnsi="仿宋_GB2312" w:cs="仿宋_GB2312"/>
          <w:kern w:val="0"/>
          <w:shd w:val="clear" w:color="auto" w:fill="FFFFFF"/>
          <w:lang w:val="zh-CN"/>
        </w:rPr>
        <w:t>公开招投标、阳光采购等相关制度，</w:t>
      </w:r>
      <w:r>
        <w:rPr>
          <w:rFonts w:hint="eastAsia" w:hAnsi="仿宋_GB2312" w:cs="仿宋_GB2312"/>
          <w:kern w:val="0"/>
          <w:shd w:val="clear" w:color="auto" w:fill="FFFFFF"/>
        </w:rPr>
        <w:t>并接受各级监督检查</w:t>
      </w:r>
      <w:r>
        <w:rPr>
          <w:rFonts w:hint="eastAsia" w:hAnsi="仿宋_GB2312" w:cs="仿宋_GB2312"/>
          <w:kern w:val="0"/>
          <w:shd w:val="clear" w:color="auto" w:fill="FFFFFF"/>
          <w:lang w:val="zh-CN"/>
        </w:rPr>
        <w:t>。</w:t>
      </w:r>
    </w:p>
    <w:p>
      <w:pPr>
        <w:adjustRightInd w:val="0"/>
        <w:snapToGrid w:val="0"/>
        <w:spacing w:line="560" w:lineRule="exact"/>
        <w:ind w:firstLine="640" w:firstLineChars="200"/>
        <w:rPr>
          <w:rFonts w:ascii="仿宋_GB2312" w:hAnsi="仿宋_GB2312" w:cs="仿宋_GB2312"/>
          <w:kern w:val="0"/>
          <w:shd w:val="clear" w:color="auto" w:fill="FFFFFF"/>
          <w:lang w:val="zh-CN"/>
        </w:rPr>
      </w:pPr>
      <w:r>
        <w:rPr>
          <w:rFonts w:hint="eastAsia" w:ascii="楷体_GB2312" w:hAnsi="宋体" w:eastAsia="楷体_GB2312"/>
          <w:lang w:val="zh-CN"/>
        </w:rPr>
        <w:t>（三）项目监管情况。</w:t>
      </w:r>
      <w:r>
        <w:rPr>
          <w:rFonts w:hint="eastAsia" w:ascii="仿宋_GB2312" w:hAnsi="仿宋_GB2312" w:cs="仿宋_GB2312"/>
          <w:kern w:val="0"/>
          <w:shd w:val="clear" w:color="auto" w:fill="FFFFFF"/>
          <w:lang w:val="zh-CN"/>
        </w:rPr>
        <w:t>主管部门不定期到项目现场进行调研，了解项目进度、安全生产等情况，通过现场调研，能够及时发现问题并立即整改，保障了项目建设有序、安全、按计划的推进。</w:t>
      </w:r>
    </w:p>
    <w:p>
      <w:pPr>
        <w:adjustRightInd w:val="0"/>
        <w:snapToGrid w:val="0"/>
        <w:spacing w:line="560" w:lineRule="exact"/>
        <w:ind w:firstLine="640" w:firstLineChars="200"/>
        <w:rPr>
          <w:rFonts w:ascii="仿宋_GB2312" w:hAnsi="宋体"/>
          <w:lang w:val="zh-CN"/>
        </w:rPr>
      </w:pPr>
      <w:r>
        <w:rPr>
          <w:rFonts w:hint="eastAsia" w:ascii="黑体" w:hAnsi="宋体" w:eastAsia="黑体"/>
        </w:rPr>
        <w:t>四、项目绩效情况</w:t>
      </w:r>
      <w:r>
        <w:rPr>
          <w:rFonts w:hint="eastAsia" w:ascii="仿宋_GB2312" w:hAnsi="宋体"/>
          <w:lang w:val="zh-CN"/>
        </w:rPr>
        <w:tab/>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（一）项目完成情况。</w:t>
      </w:r>
    </w:p>
    <w:p>
      <w:pPr>
        <w:adjustRightInd w:val="0"/>
        <w:snapToGrid w:val="0"/>
        <w:spacing w:line="560"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项目严格按照计划及时间节点全面完成。其中较好的完成数量、质量、时效、成本的控制，项目资金与预算相符，无违法违规记录等情况，截止评价时点项目已全部完成了任务量，经相关部门检测项目质量全部达标。项目进度、成本控制目标均按照原计划较好的实现。</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（二）项目效益情况。</w:t>
      </w:r>
    </w:p>
    <w:p>
      <w:pPr>
        <w:adjustRightInd w:val="0"/>
        <w:snapToGrid w:val="0"/>
        <w:spacing w:line="560"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项目建成后，一是改善区域的交通环境，为081新城片区市政交通设施的建设打下坚实的基础，极大的推进广元市经济建设的步伐，为广元市招商引资创造良好的环境，对增强广元市综合竞争力具有重大意义。二是解决了当地居民住房问题和居住环境，使081产业新城拆迁群众的生活质量得到了改善，同时也改善了城北片区的城市面貌，提高了整体生活水平，有利于构建和谐社会，产生了巨大的社会效益。</w:t>
      </w:r>
    </w:p>
    <w:p>
      <w:pPr>
        <w:adjustRightInd w:val="0"/>
        <w:snapToGrid w:val="0"/>
        <w:spacing w:line="560" w:lineRule="exact"/>
        <w:ind w:firstLine="640" w:firstLineChars="200"/>
        <w:rPr>
          <w:rFonts w:ascii="黑体" w:hAnsi="宋体" w:eastAsia="黑体"/>
        </w:rPr>
      </w:pPr>
      <w:r>
        <w:rPr>
          <w:rFonts w:hint="eastAsia" w:ascii="黑体" w:hAnsi="宋体" w:eastAsia="黑体"/>
        </w:rPr>
        <w:t>五、评价结论及建议</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（一）评价结论。</w:t>
      </w:r>
    </w:p>
    <w:p>
      <w:pPr>
        <w:adjustRightInd w:val="0"/>
        <w:snapToGrid w:val="0"/>
        <w:spacing w:line="560"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081项目道路建设为市民出行提供了便利的交通，拆迁重建安置对改善城市人居环境和生活质量意义重大，并为我市发展规划提供了先决条件。</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（二）存在的问题。</w:t>
      </w:r>
    </w:p>
    <w:p>
      <w:pPr>
        <w:adjustRightInd w:val="0"/>
        <w:snapToGrid w:val="0"/>
        <w:spacing w:line="560"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lang w:val="zh-CN"/>
        </w:rPr>
        <w:t>一是征地拆迁进度与项目建设进度需求间存在矛盾，不满足项目建设进度需要，造成项目建设进度及相关配套设施无法满足要求；二是资金需求不能</w:t>
      </w:r>
      <w:r>
        <w:rPr>
          <w:rFonts w:hint="eastAsia" w:ascii="仿宋_GB2312" w:hAnsi="仿宋_GB2312" w:cs="仿宋_GB2312"/>
          <w:kern w:val="0"/>
          <w:shd w:val="clear" w:color="auto" w:fill="FFFFFF"/>
        </w:rPr>
        <w:t>及时</w:t>
      </w:r>
      <w:r>
        <w:rPr>
          <w:rFonts w:hint="eastAsia" w:ascii="仿宋_GB2312" w:hAnsi="仿宋_GB2312" w:cs="仿宋_GB2312"/>
          <w:kern w:val="0"/>
          <w:shd w:val="clear" w:color="auto" w:fill="FFFFFF"/>
          <w:lang w:val="zh-CN"/>
        </w:rPr>
        <w:t>满足建设进度要求</w:t>
      </w:r>
      <w:r>
        <w:rPr>
          <w:rFonts w:hint="eastAsia" w:ascii="仿宋_GB2312" w:hAnsi="仿宋_GB2312" w:cs="仿宋_GB2312"/>
          <w:kern w:val="0"/>
          <w:shd w:val="clear" w:color="auto" w:fill="FFFFFF"/>
        </w:rPr>
        <w:t>。</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lang w:val="zh-CN"/>
        </w:rPr>
        <w:t>（三）相关建议。</w:t>
      </w:r>
    </w:p>
    <w:p>
      <w:pPr>
        <w:adjustRightInd w:val="0"/>
        <w:snapToGrid w:val="0"/>
        <w:spacing w:line="560"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一是提前做好资金计划安排，二是积极与市拆迁办、办事处、社区等征地拆迁单位及个人做好充分沟通协调，制定具体的拆迁计划，明确拆迁的先后顺序，避免出现拆完的不能用、要用的还未拆完等情况的发生，三是积极对接市财政局争取项目建设资金。</w:t>
      </w:r>
    </w:p>
    <w:p>
      <w:pPr>
        <w:pStyle w:val="2"/>
        <w:spacing w:before="93"/>
      </w:pPr>
    </w:p>
    <w:p>
      <w:pPr>
        <w:pStyle w:val="2"/>
        <w:spacing w:before="93"/>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ind w:firstLine="640"/>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南河湿地公园土地流转项目</w:t>
      </w:r>
      <w:r>
        <w:rPr>
          <w:rFonts w:hint="eastAsia" w:ascii="仿宋_GB2312"/>
          <w:sz w:val="32"/>
          <w:szCs w:val="32"/>
        </w:rPr>
        <w:t>）</w:t>
      </w:r>
    </w:p>
    <w:p>
      <w:pPr>
        <w:adjustRightInd w:val="0"/>
        <w:snapToGrid w:val="0"/>
        <w:spacing w:line="576"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（一）项目基本情况</w:t>
      </w:r>
    </w:p>
    <w:p>
      <w:pPr>
        <w:snapToGrid w:val="0"/>
        <w:spacing w:line="576" w:lineRule="exact"/>
        <w:ind w:firstLine="640" w:firstLineChars="200"/>
        <w:rPr>
          <w:rFonts w:ascii="仿宋_GB2312" w:hAnsi="宋体"/>
        </w:rPr>
      </w:pPr>
      <w:r>
        <w:rPr>
          <w:rFonts w:hint="eastAsia" w:ascii="仿宋_GB2312" w:hAnsi="仿宋_GB2312" w:cs="仿宋_GB2312"/>
          <w:bCs/>
          <w:color w:val="000000" w:themeColor="text1"/>
          <w:szCs w:val="32"/>
          <w14:textFill>
            <w14:solidFill>
              <w14:schemeClr w14:val="tx1"/>
            </w14:solidFill>
          </w14:textFill>
        </w:rPr>
        <w:t>市国资</w:t>
      </w:r>
      <w:r>
        <w:rPr>
          <w:rFonts w:hint="eastAsia" w:ascii="仿宋_GB2312" w:hAnsi="仿宋_GB2312" w:cs="仿宋_GB2312"/>
          <w:kern w:val="0"/>
          <w:szCs w:val="32"/>
          <w:shd w:val="clear" w:color="auto" w:fill="FFFFFF"/>
        </w:rPr>
        <w:t>委作为</w:t>
      </w:r>
      <w:r>
        <w:rPr>
          <w:rFonts w:hint="eastAsia" w:hAnsi="仿宋_GB2312" w:cs="仿宋_GB2312"/>
          <w:kern w:val="0"/>
          <w:szCs w:val="32"/>
          <w:shd w:val="clear" w:color="auto" w:fill="FFFFFF"/>
        </w:rPr>
        <w:t>南河湿地公园土地流转</w:t>
      </w:r>
      <w:r>
        <w:rPr>
          <w:rFonts w:hint="eastAsia" w:ascii="仿宋_GB2312" w:hAnsi="仿宋_GB2312" w:cs="仿宋_GB2312"/>
          <w:kern w:val="0"/>
          <w:szCs w:val="32"/>
          <w:shd w:val="clear" w:color="auto" w:fill="FFFFFF"/>
        </w:rPr>
        <w:t>项目</w:t>
      </w:r>
      <w:r>
        <w:rPr>
          <w:rFonts w:hint="eastAsia" w:hAnsi="仿宋_GB2312" w:cs="仿宋_GB2312"/>
          <w:kern w:val="0"/>
          <w:szCs w:val="32"/>
          <w:shd w:val="clear" w:color="auto" w:fill="FFFFFF"/>
        </w:rPr>
        <w:t>主管部门，在项目建设过程中，积极督导项目承建单位广元文旅城市管理有限公司进行项目推进相关事宜。</w:t>
      </w:r>
    </w:p>
    <w:p>
      <w:pPr>
        <w:snapToGrid w:val="0"/>
        <w:spacing w:line="576" w:lineRule="exact"/>
        <w:ind w:firstLine="640" w:firstLineChars="200"/>
        <w:rPr>
          <w:rFonts w:ascii="仿宋_GB2312" w:hAnsi="宋体"/>
        </w:rPr>
      </w:pPr>
      <w:r>
        <w:rPr>
          <w:rFonts w:hint="eastAsia" w:ascii="仿宋_GB2312" w:hAnsi="宋体"/>
          <w:szCs w:val="32"/>
        </w:rPr>
        <w:t>2006年湿地公园建园之初，市凤凰山公园管理处作为建设方与万源村签订土地流转协议，南河湿地公园未征用的土地需流转至征用安置完为止。</w:t>
      </w:r>
      <w:r>
        <w:rPr>
          <w:rFonts w:hint="eastAsia" w:ascii="仿宋_GB2312" w:hAnsi="仿宋_GB2312" w:cs="仿宋_GB2312"/>
          <w:szCs w:val="32"/>
        </w:rPr>
        <w:t>按照七届市委常委会第197次会议审定的《关于市城区广场栖凤湖运行管理体制调整有关事宜的请示》（广府党组〔2020〕78号）要求，市文旅集团组建广元文旅城市管理服务有限公司，于2021年3月承接湿地公园管理运营工作。截至目前，</w:t>
      </w:r>
      <w:r>
        <w:rPr>
          <w:rFonts w:hint="eastAsia" w:ascii="仿宋_GB2312" w:hAnsi="宋体"/>
          <w:szCs w:val="32"/>
        </w:rPr>
        <w:t>南河湿地公园还有100.20亩未被征用，需支付2021—2022年土地流转费</w:t>
      </w:r>
      <w:r>
        <w:rPr>
          <w:rFonts w:hint="eastAsia" w:ascii="仿宋_GB2312" w:hAnsi="仿宋_GB2312" w:cs="仿宋_GB2312"/>
          <w:szCs w:val="32"/>
        </w:rPr>
        <w:t>47.147786万</w:t>
      </w:r>
      <w:r>
        <w:rPr>
          <w:rFonts w:hint="eastAsia" w:ascii="仿宋_GB2312" w:hAnsi="宋体"/>
          <w:szCs w:val="32"/>
        </w:rPr>
        <w:t>元。</w:t>
      </w:r>
    </w:p>
    <w:p>
      <w:pPr>
        <w:spacing w:line="576" w:lineRule="exact"/>
        <w:ind w:firstLine="640" w:firstLineChars="200"/>
        <w:jc w:val="left"/>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rPr>
        <w:t>项目管理办法：</w:t>
      </w:r>
      <w:r>
        <w:rPr>
          <w:rFonts w:hint="eastAsia" w:ascii="仿宋" w:hAnsi="仿宋" w:eastAsia="仿宋" w:cs="仿宋"/>
          <w:szCs w:val="32"/>
        </w:rPr>
        <w:t>严格按照《广元市政府国有企业阳光采购监督管理暂行办法》，</w:t>
      </w:r>
      <w:r>
        <w:rPr>
          <w:rFonts w:hint="eastAsia" w:ascii="仿宋_GB2312" w:hAnsi="仿宋_GB2312" w:cs="仿宋_GB2312"/>
          <w:kern w:val="0"/>
          <w:szCs w:val="32"/>
          <w:shd w:val="clear" w:color="auto" w:fill="FFFFFF"/>
        </w:rPr>
        <w:t>参照广元市文化旅游投资集团有限公司《阳光采购管理暂行办法》及《文旅集团及子公司三会行权轨迹清单》，并结合《广元文旅城市管理服务有限公司规章制度》执行。</w:t>
      </w:r>
    </w:p>
    <w:p>
      <w:pPr>
        <w:pStyle w:val="42"/>
        <w:spacing w:before="93" w:line="576" w:lineRule="exact"/>
      </w:pPr>
      <w:r>
        <w:rPr>
          <w:rFonts w:hint="eastAsia" w:hAnsi="仿宋_GB2312" w:cs="仿宋_GB2312"/>
          <w:b w:val="0"/>
          <w:color w:val="auto"/>
          <w:kern w:val="0"/>
          <w:sz w:val="32"/>
          <w:szCs w:val="32"/>
          <w:shd w:val="clear" w:color="auto" w:fill="FFFFFF"/>
          <w:lang w:val="zh-CN"/>
        </w:rPr>
        <w:t>项目资金的分配始终坚持一个原则：全力保证</w:t>
      </w:r>
      <w:r>
        <w:rPr>
          <w:rFonts w:hint="eastAsia" w:hAnsi="仿宋_GB2312" w:cs="仿宋_GB2312"/>
          <w:b w:val="0"/>
          <w:color w:val="auto"/>
          <w:kern w:val="0"/>
          <w:sz w:val="32"/>
          <w:szCs w:val="32"/>
          <w:shd w:val="clear" w:color="auto" w:fill="FFFFFF"/>
        </w:rPr>
        <w:t>南河湿地公园土地流转</w:t>
      </w:r>
      <w:r>
        <w:rPr>
          <w:rFonts w:hint="eastAsia" w:hAnsi="仿宋_GB2312" w:cs="仿宋_GB2312"/>
          <w:b w:val="0"/>
          <w:color w:val="auto"/>
          <w:kern w:val="0"/>
          <w:sz w:val="32"/>
          <w:szCs w:val="32"/>
          <w:shd w:val="clear" w:color="auto" w:fill="FFFFFF"/>
          <w:lang w:val="zh-CN"/>
        </w:rPr>
        <w:t>顺利推进，确保资金公平合理地分配到各个</w:t>
      </w:r>
      <w:r>
        <w:rPr>
          <w:rFonts w:hint="eastAsia" w:hAnsi="仿宋_GB2312" w:cs="仿宋_GB2312"/>
          <w:b w:val="0"/>
          <w:color w:val="auto"/>
          <w:kern w:val="0"/>
          <w:sz w:val="32"/>
          <w:szCs w:val="32"/>
          <w:shd w:val="clear" w:color="auto" w:fill="FFFFFF"/>
        </w:rPr>
        <w:t>居民小组</w:t>
      </w:r>
      <w:r>
        <w:rPr>
          <w:rFonts w:hint="eastAsia" w:hAnsi="仿宋_GB2312" w:cs="仿宋_GB2312"/>
          <w:b w:val="0"/>
          <w:color w:val="auto"/>
          <w:kern w:val="0"/>
          <w:sz w:val="32"/>
          <w:szCs w:val="32"/>
          <w:shd w:val="clear" w:color="auto" w:fill="FFFFFF"/>
          <w:lang w:val="zh-CN"/>
        </w:rPr>
        <w:t>，实现资金落到实处，强化执行过程监督。</w:t>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（二）项目绩效目标</w:t>
      </w:r>
    </w:p>
    <w:p>
      <w:pPr>
        <w:adjustRightInd w:val="0"/>
        <w:snapToGrid w:val="0"/>
        <w:spacing w:line="576" w:lineRule="exact"/>
        <w:ind w:firstLine="640" w:firstLineChars="200"/>
        <w:contextualSpacing/>
        <w:rPr>
          <w:rFonts w:ascii="仿宋_GB2312" w:hAnsi="仿宋_GB2312" w:cs="仿宋_GB2312"/>
        </w:rPr>
      </w:pPr>
      <w:r>
        <w:rPr>
          <w:rFonts w:hint="eastAsia" w:ascii="仿宋_GB2312" w:hAnsi="仿宋_GB2312" w:cs="仿宋_GB2312"/>
          <w:kern w:val="0"/>
          <w:szCs w:val="32"/>
          <w:shd w:val="clear" w:color="auto" w:fill="FFFFFF"/>
        </w:rPr>
        <w:t>1.项目主要内容</w:t>
      </w:r>
    </w:p>
    <w:p>
      <w:pPr>
        <w:adjustRightInd w:val="0"/>
        <w:snapToGrid w:val="0"/>
        <w:spacing w:line="576" w:lineRule="exact"/>
        <w:ind w:firstLine="640" w:firstLineChars="200"/>
        <w:rPr>
          <w:rFonts w:ascii="仿宋_GB2312" w:hAnsi="宋体"/>
        </w:rPr>
      </w:pPr>
      <w:r>
        <w:rPr>
          <w:rFonts w:hint="eastAsia" w:ascii="仿宋_GB2312" w:hAnsi="宋体"/>
          <w:szCs w:val="32"/>
        </w:rPr>
        <w:t>南河湿地公园还有100.20亩未被征用，需支付2021—2022年土地流转费</w:t>
      </w:r>
      <w:r>
        <w:rPr>
          <w:rFonts w:hint="eastAsia" w:ascii="仿宋_GB2312" w:hAnsi="仿宋_GB2312" w:cs="仿宋_GB2312"/>
          <w:szCs w:val="32"/>
        </w:rPr>
        <w:t>47.147786万</w:t>
      </w:r>
      <w:r>
        <w:rPr>
          <w:rFonts w:hint="eastAsia" w:ascii="仿宋_GB2312" w:hAnsi="宋体"/>
          <w:szCs w:val="32"/>
        </w:rPr>
        <w:t>元。</w:t>
      </w:r>
    </w:p>
    <w:p>
      <w:pPr>
        <w:adjustRightInd w:val="0"/>
        <w:snapToGrid w:val="0"/>
        <w:spacing w:line="576"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征地村民多次上访，稳定风险较高。</w:t>
      </w:r>
      <w:r>
        <w:rPr>
          <w:rFonts w:hint="eastAsia" w:ascii="仿宋_GB2312" w:hAnsi="宋体"/>
          <w:szCs w:val="32"/>
        </w:rPr>
        <w:t>支付土地流转费</w:t>
      </w:r>
      <w:r>
        <w:rPr>
          <w:rFonts w:hint="eastAsia" w:ascii="仿宋_GB2312" w:hAnsi="仿宋_GB2312" w:cs="仿宋_GB2312"/>
          <w:szCs w:val="32"/>
        </w:rPr>
        <w:t>主要目标是</w:t>
      </w:r>
      <w:r>
        <w:rPr>
          <w:rFonts w:hint="eastAsia" w:ascii="仿宋_GB2312" w:hAnsi="宋体"/>
          <w:szCs w:val="32"/>
        </w:rPr>
        <w:t>不影响失地农民正常生活，</w:t>
      </w:r>
      <w:r>
        <w:rPr>
          <w:rFonts w:hint="eastAsia" w:ascii="仿宋_GB2312" w:hAnsi="仿宋_GB2312" w:cs="仿宋_GB2312"/>
          <w:szCs w:val="32"/>
        </w:rPr>
        <w:t>确保信访形势稳定，进一步提升湿地公园生态质量，为市民提供一个安全、有序，生态、优美的休闲、娱乐、健身环境。</w:t>
      </w:r>
    </w:p>
    <w:p>
      <w:pPr>
        <w:adjustRightInd w:val="0"/>
        <w:snapToGrid w:val="0"/>
        <w:spacing w:line="576" w:lineRule="exact"/>
        <w:ind w:firstLine="640" w:firstLineChars="200"/>
        <w:contextualSpacing/>
        <w:rPr>
          <w:rFonts w:ascii="仿宋_GB2312" w:hAnsi="仿宋_GB2312" w:cs="仿宋_GB2312"/>
          <w:lang w:val="zh-CN"/>
        </w:rPr>
      </w:pPr>
      <w:r>
        <w:rPr>
          <w:rFonts w:hint="eastAsia" w:ascii="仿宋_GB2312" w:hAnsi="仿宋_GB2312" w:cs="仿宋_GB2312"/>
          <w:szCs w:val="32"/>
        </w:rPr>
        <w:t>3.</w:t>
      </w:r>
      <w:r>
        <w:rPr>
          <w:rFonts w:hint="eastAsia" w:ascii="仿宋_GB2312" w:hAnsi="仿宋_GB2312" w:cs="仿宋_GB2312"/>
          <w:szCs w:val="32"/>
          <w:lang w:val="zh-CN"/>
        </w:rPr>
        <w:t>资金申报相符性</w:t>
      </w:r>
    </w:p>
    <w:p>
      <w:pPr>
        <w:pStyle w:val="42"/>
        <w:spacing w:before="93" w:line="576" w:lineRule="exact"/>
        <w:rPr>
          <w:rFonts w:hAnsi="仿宋_GB2312" w:cs="仿宋_GB2312"/>
          <w:b w:val="0"/>
          <w:color w:val="auto"/>
          <w:sz w:val="32"/>
          <w:szCs w:val="32"/>
          <w:lang w:val="zh-CN"/>
        </w:rPr>
      </w:pPr>
      <w:r>
        <w:rPr>
          <w:rFonts w:hint="eastAsia" w:hAnsi="仿宋_GB2312" w:cs="仿宋_GB2312"/>
          <w:b w:val="0"/>
          <w:color w:val="auto"/>
          <w:sz w:val="32"/>
          <w:szCs w:val="32"/>
        </w:rPr>
        <w:t>该项目</w:t>
      </w:r>
      <w:r>
        <w:rPr>
          <w:rFonts w:hint="eastAsia" w:hAnsi="仿宋_GB2312" w:cs="仿宋_GB2312"/>
          <w:b w:val="0"/>
          <w:color w:val="auto"/>
          <w:sz w:val="32"/>
          <w:szCs w:val="32"/>
          <w:lang w:val="zh-CN"/>
        </w:rPr>
        <w:t>资金申报内容与具体实施内容相符、申报目标合理可行。</w:t>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（三）项目自评步骤及方法</w:t>
      </w:r>
    </w:p>
    <w:p>
      <w:pPr>
        <w:pStyle w:val="42"/>
        <w:spacing w:before="93" w:line="576" w:lineRule="exact"/>
        <w:rPr>
          <w:rFonts w:hAnsi="仿宋_GB2312" w:cs="仿宋_GB2312"/>
          <w:b w:val="0"/>
          <w:color w:val="auto"/>
          <w:sz w:val="32"/>
          <w:szCs w:val="32"/>
        </w:rPr>
      </w:pPr>
      <w:r>
        <w:rPr>
          <w:rFonts w:hint="eastAsia" w:hAnsi="仿宋_GB2312" w:cs="仿宋_GB2312"/>
          <w:b w:val="0"/>
          <w:color w:val="auto"/>
          <w:sz w:val="32"/>
          <w:szCs w:val="32"/>
          <w:lang w:val="zh-CN"/>
        </w:rPr>
        <w:t>项目绩效自评</w:t>
      </w:r>
      <w:r>
        <w:rPr>
          <w:rFonts w:hint="eastAsia" w:hAnsi="仿宋_GB2312" w:cs="仿宋_GB2312"/>
          <w:b w:val="0"/>
          <w:color w:val="auto"/>
          <w:sz w:val="32"/>
          <w:szCs w:val="32"/>
        </w:rPr>
        <w:t>首先由广元文旅城市管理服务有限公司本项目管理人员和财务人员共同草拟自评报告，分别报项目和财务分管领导审核、最后由公司执行董事审阅后再报送至项目主管单位（市国资委）。</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二、项目资金申报及使用情况</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（一）项目资金申报及批复情况</w:t>
      </w:r>
    </w:p>
    <w:p>
      <w:pPr>
        <w:adjustRightInd w:val="0"/>
        <w:snapToGrid w:val="0"/>
        <w:spacing w:line="576" w:lineRule="exact"/>
        <w:ind w:firstLine="640" w:firstLineChars="200"/>
        <w:rPr>
          <w:rFonts w:ascii="仿宋_GB2312" w:hAnsi="仿宋_GB2312" w:cs="仿宋_GB2312"/>
          <w:position w:val="-2"/>
        </w:rPr>
      </w:pPr>
      <w:r>
        <w:rPr>
          <w:rFonts w:hint="eastAsia" w:ascii="仿宋_GB2312" w:hAnsi="仿宋_GB2312" w:cs="仿宋_GB2312"/>
          <w:position w:val="-2"/>
          <w:szCs w:val="32"/>
          <w:lang w:val="zh-CN"/>
        </w:rPr>
        <w:t>我司分别于</w:t>
      </w:r>
      <w:r>
        <w:rPr>
          <w:rFonts w:hint="eastAsia" w:ascii="仿宋_GB2312" w:hAnsi="仿宋_GB2312" w:cs="仿宋_GB2312"/>
          <w:position w:val="-2"/>
          <w:szCs w:val="32"/>
        </w:rPr>
        <w:t>2022年1月22日、2022年6月18日、2022年11月24日向市文旅集团提交《广元文旅城市管理服务有限公司关于请求拨付南河湿地公园 2021年度土地流转费用的请示》《广元文旅城市管理服务有限公司关于请求拨付南河湿地公园 2022年度土地流转费用的请示》《广元文旅城市管理服务有限公司关于拨付南河湿地公园2021 年度和2022年度土地流转费用的请示》。市文旅集团分别于2022年1月22日、2022年6月18日、2022年11月24日向广元市政府国有资产监督管理委员会提交《广元市文化旅游投资集团有限公司关于请求拨付南河湿地公园2021年度土地流转费用的请示》（广文旅司〔2022〕20号）、《广元市文化旅游投资集团有限公司关于请求拨付南河湿地公园2021年度土地流转费用的请示》（广文旅司〔2022〕79号）。市国资委分别于2022年1月29日、2022年6月23日、2022年8月23日向市财政局提交《广元市政府国有资产监督管理委员会关于请求拨付南河湿地公园 2021 年度土地流转费用的函》（广国资委函〔2022〕 25 号）》《广元市政府国有资产监督管理委员会关于请求拨付南河湿地公园 2022 年度土地流转费用的函》（广国资委函〔2022〕104号）、《广元市政府国有资产监督管理委员会关于拨付南河湿地公园2021 年、2022年度土地流转费用的函》（广国资委函〔2022〕161号）。</w:t>
      </w:r>
    </w:p>
    <w:p>
      <w:pPr>
        <w:adjustRightInd w:val="0"/>
        <w:snapToGrid w:val="0"/>
        <w:spacing w:line="576" w:lineRule="exact"/>
        <w:ind w:firstLine="640" w:firstLineChars="200"/>
        <w:rPr>
          <w:lang w:val="zh-CN"/>
        </w:rPr>
      </w:pPr>
      <w:r>
        <w:rPr>
          <w:rFonts w:hint="eastAsia" w:ascii="仿宋_GB2312" w:hAnsi="仿宋_GB2312" w:cs="仿宋_GB2312"/>
          <w:position w:val="-2"/>
          <w:szCs w:val="32"/>
        </w:rPr>
        <w:t>2022年12月29日，市财政</w:t>
      </w:r>
      <w:r>
        <w:rPr>
          <w:rFonts w:hint="eastAsia" w:ascii="仿宋_GB2312" w:hAnsi="仿宋_GB2312" w:cs="仿宋_GB2312"/>
          <w:position w:val="-2"/>
          <w:szCs w:val="32"/>
          <w:lang w:val="zh-CN"/>
        </w:rPr>
        <w:t>局下达《关于下达基金</w:t>
      </w:r>
      <w:r>
        <w:rPr>
          <w:rFonts w:hint="eastAsia" w:ascii="仿宋_GB2312" w:hAnsi="仿宋_GB2312" w:cs="仿宋_GB2312"/>
          <w:position w:val="-2"/>
          <w:szCs w:val="32"/>
        </w:rPr>
        <w:t>指标的通知</w:t>
      </w:r>
      <w:r>
        <w:rPr>
          <w:rFonts w:hint="eastAsia" w:ascii="仿宋_GB2312" w:hAnsi="仿宋_GB2312" w:cs="仿宋_GB2312"/>
          <w:position w:val="-2"/>
          <w:szCs w:val="32"/>
          <w:lang w:val="zh-CN"/>
        </w:rPr>
        <w:t>》（广财投〔</w:t>
      </w:r>
      <w:r>
        <w:rPr>
          <w:rFonts w:hint="eastAsia" w:ascii="仿宋_GB2312" w:hAnsi="仿宋_GB2312" w:cs="仿宋_GB2312"/>
          <w:position w:val="-2"/>
          <w:szCs w:val="32"/>
        </w:rPr>
        <w:t>2022</w:t>
      </w:r>
      <w:r>
        <w:rPr>
          <w:rFonts w:hint="eastAsia" w:ascii="仿宋_GB2312" w:hAnsi="仿宋_GB2312" w:cs="仿宋_GB2312"/>
          <w:position w:val="-2"/>
          <w:szCs w:val="32"/>
          <w:lang w:val="zh-CN"/>
        </w:rPr>
        <w:t>〕</w:t>
      </w:r>
      <w:r>
        <w:rPr>
          <w:rFonts w:hint="eastAsia" w:ascii="仿宋_GB2312" w:hAnsi="仿宋_GB2312" w:cs="仿宋_GB2312"/>
          <w:position w:val="-2"/>
          <w:szCs w:val="32"/>
        </w:rPr>
        <w:t>167号</w:t>
      </w:r>
      <w:r>
        <w:rPr>
          <w:rFonts w:hint="eastAsia" w:ascii="仿宋_GB2312" w:hAnsi="仿宋_GB2312" w:cs="仿宋_GB2312"/>
          <w:position w:val="-2"/>
          <w:szCs w:val="32"/>
          <w:lang w:val="zh-CN"/>
        </w:rPr>
        <w:t>），安排</w:t>
      </w:r>
      <w:r>
        <w:rPr>
          <w:rFonts w:hint="eastAsia" w:ascii="仿宋_GB2312" w:hAnsi="宋体"/>
          <w:szCs w:val="32"/>
        </w:rPr>
        <w:t>2021—2022年土地流转费</w:t>
      </w:r>
      <w:r>
        <w:rPr>
          <w:rFonts w:hint="eastAsia" w:ascii="仿宋_GB2312" w:hAnsi="仿宋_GB2312" w:cs="仿宋_GB2312"/>
          <w:szCs w:val="32"/>
        </w:rPr>
        <w:t>47.147786万</w:t>
      </w:r>
      <w:r>
        <w:rPr>
          <w:rFonts w:hint="eastAsia" w:ascii="仿宋_GB2312" w:hAnsi="宋体"/>
          <w:szCs w:val="32"/>
        </w:rPr>
        <w:t>元</w:t>
      </w:r>
      <w:r>
        <w:rPr>
          <w:rFonts w:hint="eastAsia" w:ascii="仿宋_GB2312" w:hAnsi="仿宋_GB2312" w:cs="仿宋_GB2312"/>
          <w:position w:val="-2"/>
          <w:szCs w:val="32"/>
        </w:rPr>
        <w:t>。</w:t>
      </w:r>
    </w:p>
    <w:p>
      <w:pPr>
        <w:adjustRightInd w:val="0"/>
        <w:snapToGrid w:val="0"/>
        <w:spacing w:line="576" w:lineRule="exact"/>
        <w:ind w:firstLine="640" w:firstLineChars="200"/>
        <w:rPr>
          <w:lang w:val="zh-CN"/>
        </w:rPr>
      </w:pPr>
      <w:r>
        <w:rPr>
          <w:rFonts w:hint="eastAsia" w:ascii="楷体_GB2312" w:hAnsi="宋体" w:eastAsia="楷体_GB2312"/>
          <w:szCs w:val="32"/>
          <w:lang w:val="zh-CN"/>
        </w:rPr>
        <w:t>（二）资金计划、到位及使用情况</w:t>
      </w:r>
    </w:p>
    <w:p>
      <w:pPr>
        <w:adjustRightInd w:val="0"/>
        <w:snapToGrid w:val="0"/>
        <w:spacing w:line="576" w:lineRule="exact"/>
        <w:ind w:firstLine="640" w:firstLineChars="200"/>
        <w:rPr>
          <w:rFonts w:ascii="仿宋_GB2312" w:hAnsi="宋体"/>
        </w:rPr>
      </w:pPr>
      <w:r>
        <w:rPr>
          <w:rFonts w:hint="eastAsia" w:ascii="仿宋_GB2312" w:hAnsi="仿宋_GB2312" w:cs="仿宋_GB2312"/>
          <w:szCs w:val="32"/>
          <w:lang w:val="zh-CN"/>
        </w:rPr>
        <w:t>资金计划：</w:t>
      </w:r>
      <w:r>
        <w:rPr>
          <w:rFonts w:hint="eastAsia" w:ascii="仿宋_GB2312" w:hAnsi="仿宋_GB2312" w:cs="仿宋_GB2312"/>
          <w:position w:val="-2"/>
          <w:szCs w:val="32"/>
          <w:lang w:val="zh-CN"/>
        </w:rPr>
        <w:t>南河湿地公园</w:t>
      </w:r>
      <w:r>
        <w:rPr>
          <w:rFonts w:hint="eastAsia" w:ascii="仿宋_GB2312" w:hAnsi="宋体"/>
          <w:szCs w:val="32"/>
        </w:rPr>
        <w:t>2021—2022年土地流转费补助资金计划为47.147786万元</w:t>
      </w:r>
    </w:p>
    <w:p>
      <w:pPr>
        <w:adjustRightInd w:val="0"/>
        <w:snapToGrid w:val="0"/>
        <w:spacing w:line="576" w:lineRule="exact"/>
        <w:ind w:firstLine="640" w:firstLineChars="200"/>
        <w:rPr>
          <w:rFonts w:ascii="仿宋_GB2312" w:hAnsi="宋体"/>
        </w:rPr>
      </w:pPr>
      <w:r>
        <w:rPr>
          <w:rFonts w:hint="eastAsia" w:ascii="仿宋_GB2312" w:hAnsi="仿宋_GB2312" w:cs="仿宋_GB2312"/>
          <w:szCs w:val="32"/>
          <w:lang w:val="zh-CN"/>
        </w:rPr>
        <w:t>资金到位：</w:t>
      </w:r>
      <w:r>
        <w:rPr>
          <w:rFonts w:hint="eastAsia" w:ascii="仿宋_GB2312" w:hAnsi="仿宋_GB2312" w:cs="仿宋_GB2312"/>
          <w:position w:val="-2"/>
          <w:szCs w:val="32"/>
        </w:rPr>
        <w:t>2023</w:t>
      </w:r>
      <w:r>
        <w:rPr>
          <w:rFonts w:hint="eastAsia" w:ascii="仿宋_GB2312" w:hAnsi="仿宋_GB2312" w:cs="仿宋_GB2312"/>
          <w:position w:val="-2"/>
          <w:szCs w:val="32"/>
          <w:lang w:val="zh-CN"/>
        </w:rPr>
        <w:t>年</w:t>
      </w:r>
      <w:r>
        <w:rPr>
          <w:rFonts w:hint="eastAsia" w:ascii="仿宋_GB2312" w:hAnsi="仿宋_GB2312" w:cs="仿宋_GB2312"/>
          <w:position w:val="-2"/>
          <w:szCs w:val="32"/>
        </w:rPr>
        <w:t>1</w:t>
      </w:r>
      <w:r>
        <w:rPr>
          <w:rFonts w:hint="eastAsia" w:ascii="仿宋_GB2312" w:hAnsi="仿宋_GB2312" w:cs="仿宋_GB2312"/>
          <w:position w:val="-2"/>
          <w:szCs w:val="32"/>
          <w:lang w:val="zh-CN"/>
        </w:rPr>
        <w:t>月财政拨付</w:t>
      </w:r>
      <w:r>
        <w:rPr>
          <w:rFonts w:hint="eastAsia" w:ascii="仿宋_GB2312" w:hAnsi="宋体"/>
          <w:szCs w:val="32"/>
        </w:rPr>
        <w:t>2021—2022年土地流转费</w:t>
      </w:r>
      <w:r>
        <w:rPr>
          <w:rFonts w:hint="eastAsia" w:ascii="仿宋_GB2312" w:hAnsi="仿宋_GB2312" w:cs="仿宋_GB2312"/>
          <w:szCs w:val="32"/>
        </w:rPr>
        <w:t>47.147786万</w:t>
      </w:r>
      <w:r>
        <w:rPr>
          <w:rFonts w:hint="eastAsia" w:ascii="仿宋_GB2312" w:hAnsi="宋体"/>
          <w:szCs w:val="32"/>
        </w:rPr>
        <w:t>元。</w:t>
      </w:r>
    </w:p>
    <w:p>
      <w:pPr>
        <w:pStyle w:val="42"/>
        <w:spacing w:before="93" w:line="576" w:lineRule="exact"/>
        <w:rPr>
          <w:lang w:val="zh-CN"/>
        </w:rPr>
      </w:pPr>
      <w:r>
        <w:rPr>
          <w:rFonts w:hint="eastAsia" w:hAnsi="宋体"/>
          <w:b w:val="0"/>
          <w:color w:val="auto"/>
          <w:sz w:val="32"/>
          <w:szCs w:val="32"/>
          <w:lang w:val="zh-CN"/>
        </w:rPr>
        <w:t>资金使用</w:t>
      </w:r>
      <w:r>
        <w:rPr>
          <w:rFonts w:hint="eastAsia" w:hAnsi="仿宋_GB2312" w:cs="仿宋_GB2312"/>
          <w:b w:val="0"/>
          <w:color w:val="auto"/>
          <w:position w:val="-2"/>
          <w:sz w:val="32"/>
          <w:szCs w:val="32"/>
          <w:lang w:val="zh-CN"/>
        </w:rPr>
        <w:t>：</w:t>
      </w:r>
      <w:r>
        <w:rPr>
          <w:rFonts w:hint="eastAsia" w:hAnsi="仿宋_GB2312" w:cs="仿宋_GB2312"/>
          <w:b w:val="0"/>
          <w:color w:val="auto"/>
          <w:position w:val="-2"/>
          <w:sz w:val="32"/>
          <w:szCs w:val="32"/>
        </w:rPr>
        <w:t>支付2021年—2022年广元市利州区万缘街道办事处老街社区第一、第二、第三居民小组土地流转费。</w:t>
      </w:r>
    </w:p>
    <w:p>
      <w:pPr>
        <w:numPr>
          <w:ilvl w:val="0"/>
          <w:numId w:val="12"/>
        </w:num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项目财务管理情况</w:t>
      </w:r>
    </w:p>
    <w:p>
      <w:pPr>
        <w:adjustRightInd w:val="0"/>
        <w:snapToGrid w:val="0"/>
        <w:spacing w:line="576"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szCs w:val="32"/>
          <w:lang w:val="zh-CN"/>
        </w:rPr>
        <w:t>项目财务管理制度健全，严格执行财务管理制度，账务处理及时，会计核算规范等。</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三、项目实施及管理情况</w:t>
      </w:r>
    </w:p>
    <w:p>
      <w:pPr>
        <w:adjustRightInd w:val="0"/>
        <w:snapToGrid w:val="0"/>
        <w:spacing w:line="576"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szCs w:val="32"/>
          <w:lang w:val="zh-CN"/>
        </w:rPr>
        <w:t>项目组织管理架构及具体实施流程，包括机构设置、监管措施、执行相关管理制度全部符合法律法规流程。</w:t>
      </w:r>
    </w:p>
    <w:p>
      <w:pPr>
        <w:adjustRightInd w:val="0"/>
        <w:snapToGrid w:val="0"/>
        <w:spacing w:line="576" w:lineRule="exact"/>
        <w:ind w:firstLine="640" w:firstLineChars="200"/>
        <w:rPr>
          <w:rFonts w:ascii="仿宋_GB2312" w:hAnsi="宋体"/>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（一）项目组织架构及实施流程</w:t>
      </w:r>
    </w:p>
    <w:p>
      <w:pPr>
        <w:adjustRightInd w:val="0"/>
        <w:snapToGrid w:val="0"/>
        <w:spacing w:line="576" w:lineRule="exact"/>
        <w:ind w:firstLine="640" w:firstLineChars="200"/>
        <w:rPr>
          <w:rFonts w:ascii="仿宋_GB2312" w:hAnsi="仿宋_GB2312" w:cs="仿宋_GB2312"/>
        </w:rPr>
      </w:pPr>
      <w:r>
        <w:rPr>
          <w:rFonts w:hint="eastAsia" w:hAnsi="仿宋_GB2312" w:cs="仿宋_GB2312"/>
          <w:szCs w:val="32"/>
        </w:rPr>
        <w:t>广元文旅城市管理服务有限公司成立运营管理部</w:t>
      </w:r>
      <w:r>
        <w:rPr>
          <w:rFonts w:hint="eastAsia" w:ascii="仿宋_GB2312" w:hAnsi="仿宋_GB2312" w:cs="仿宋_GB2312"/>
          <w:szCs w:val="32"/>
        </w:rPr>
        <w:t>成立安全生产管理部负责湿地公园土地流转费具体事宜，根据公司</w:t>
      </w:r>
      <w:r>
        <w:rPr>
          <w:rFonts w:hint="eastAsia" w:ascii="仿宋_GB2312" w:hAnsi="宋体"/>
          <w:szCs w:val="32"/>
        </w:rPr>
        <w:t>土地流转</w:t>
      </w:r>
      <w:r>
        <w:rPr>
          <w:rFonts w:hint="eastAsia" w:ascii="仿宋_GB2312" w:hAnsi="仿宋_GB2312" w:cs="仿宋_GB2312"/>
          <w:szCs w:val="32"/>
        </w:rPr>
        <w:t>工作管理要求，明确职责、按照职能职责安排专人对该事项安全、质量、进度等管理。</w:t>
      </w:r>
    </w:p>
    <w:p>
      <w:pPr>
        <w:adjustRightInd w:val="0"/>
        <w:snapToGrid w:val="0"/>
        <w:spacing w:line="576" w:lineRule="exact"/>
        <w:ind w:firstLine="640" w:firstLineChars="200"/>
        <w:contextualSpacing/>
        <w:rPr>
          <w:rFonts w:ascii="楷体_GB2312" w:hAnsi="宋体" w:eastAsia="楷体_GB2312"/>
          <w:lang w:val="zh-CN"/>
        </w:rPr>
      </w:pPr>
      <w:r>
        <w:rPr>
          <w:rFonts w:hint="eastAsia" w:ascii="黑体" w:hAnsi="黑体" w:eastAsia="黑体" w:cs="黑体"/>
          <w:szCs w:val="32"/>
        </w:rPr>
        <w:t>该</w:t>
      </w:r>
      <w:r>
        <w:rPr>
          <w:rFonts w:hint="eastAsia" w:ascii="黑体" w:hAnsi="黑体" w:eastAsia="黑体" w:cs="黑体"/>
          <w:szCs w:val="32"/>
          <w:lang w:val="zh-CN"/>
        </w:rPr>
        <w:t>项目组织管理架构</w:t>
      </w:r>
      <w:r>
        <w:rPr>
          <w:rFonts w:hint="eastAsia" w:ascii="黑体" w:hAnsi="黑体" w:eastAsia="黑体" w:cs="黑体"/>
          <w:szCs w:val="32"/>
        </w:rPr>
        <w:t>图如下</w:t>
      </w:r>
    </w:p>
    <w:p>
      <w:pPr>
        <w:adjustRightInd w:val="0"/>
        <w:snapToGrid w:val="0"/>
        <w:rPr>
          <w:rFonts w:ascii="仿宋_GB2312" w:hAnsi="仿宋_GB2312" w:cs="仿宋_GB2312"/>
          <w:lang w:val="zh-CN"/>
        </w:rPr>
      </w:pPr>
      <w:r>
        <w:rPr>
          <w:rFonts w:hint="eastAsia"/>
        </w:rPr>
        <w:drawing>
          <wp:anchor distT="0" distB="0" distL="114300" distR="114300" simplePos="0" relativeHeight="251667456" behindDoc="1" locked="0" layoutInCell="1" allowOverlap="1">
            <wp:simplePos x="0" y="0"/>
            <wp:positionH relativeFrom="column">
              <wp:posOffset>-1143000</wp:posOffset>
            </wp:positionH>
            <wp:positionV relativeFrom="paragraph">
              <wp:posOffset>116205</wp:posOffset>
            </wp:positionV>
            <wp:extent cx="8192770" cy="2294890"/>
            <wp:effectExtent l="0" t="0" r="0" b="29210"/>
            <wp:wrapNone/>
            <wp:docPr id="17"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pPr>
        <w:adjustRightInd w:val="0"/>
        <w:snapToGrid w:val="0"/>
        <w:ind w:left="640" w:leftChars="200"/>
        <w:rPr>
          <w:rFonts w:ascii="仿宋_GB2312" w:hAnsi="仿宋_GB2312" w:cs="仿宋_GB2312"/>
          <w:lang w:val="zh-CN"/>
        </w:rPr>
      </w:pPr>
    </w:p>
    <w:p>
      <w:pPr>
        <w:adjustRightInd w:val="0"/>
        <w:snapToGrid w:val="0"/>
        <w:ind w:left="640" w:leftChars="200"/>
        <w:rPr>
          <w:rFonts w:ascii="仿宋_GB2312" w:hAnsi="仿宋_GB2312" w:cs="仿宋_GB2312"/>
          <w:lang w:val="zh-CN"/>
        </w:rPr>
      </w:pPr>
    </w:p>
    <w:p>
      <w:pPr>
        <w:adjustRightInd w:val="0"/>
        <w:snapToGrid w:val="0"/>
        <w:ind w:left="640" w:leftChars="200"/>
        <w:rPr>
          <w:rFonts w:ascii="仿宋_GB2312" w:hAnsi="仿宋_GB2312" w:cs="仿宋_GB2312"/>
          <w:lang w:val="zh-CN"/>
        </w:rPr>
      </w:pPr>
    </w:p>
    <w:p>
      <w:pPr>
        <w:adjustRightInd w:val="0"/>
        <w:snapToGrid w:val="0"/>
        <w:spacing w:line="576" w:lineRule="exact"/>
        <w:ind w:left="640" w:leftChars="200"/>
        <w:rPr>
          <w:rFonts w:ascii="仿宋_GB2312" w:hAnsi="仿宋_GB2312" w:cs="仿宋_GB2312"/>
          <w:lang w:val="zh-CN"/>
        </w:rPr>
      </w:pPr>
    </w:p>
    <w:p>
      <w:pPr>
        <w:adjustRightInd w:val="0"/>
        <w:snapToGrid w:val="0"/>
        <w:spacing w:line="576" w:lineRule="exact"/>
        <w:ind w:left="640" w:leftChars="200"/>
        <w:rPr>
          <w:rFonts w:ascii="仿宋_GB2312" w:hAnsi="仿宋_GB2312" w:cs="仿宋_GB2312"/>
          <w:lang w:val="zh-CN"/>
        </w:rPr>
      </w:pPr>
    </w:p>
    <w:p>
      <w:pPr>
        <w:adjustRightInd w:val="0"/>
        <w:snapToGrid w:val="0"/>
        <w:spacing w:line="576" w:lineRule="exact"/>
        <w:ind w:left="640" w:leftChars="200"/>
        <w:rPr>
          <w:rFonts w:ascii="仿宋_GB2312" w:hAnsi="仿宋_GB2312" w:cs="仿宋_GB2312"/>
          <w:lang w:val="zh-CN"/>
        </w:rPr>
      </w:pPr>
    </w:p>
    <w:p>
      <w:pPr>
        <w:adjustRightInd w:val="0"/>
        <w:snapToGrid w:val="0"/>
        <w:spacing w:line="576" w:lineRule="exact"/>
        <w:ind w:firstLine="640" w:firstLineChars="200"/>
        <w:rPr>
          <w:rFonts w:ascii="楷体_GB2312" w:hAnsi="楷体_GB2312" w:eastAsia="楷体_GB2312" w:cs="楷体_GB2312"/>
          <w:lang w:val="zh-CN"/>
        </w:rPr>
      </w:pP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（二）项目管理情况</w:t>
      </w:r>
    </w:p>
    <w:p>
      <w:pPr>
        <w:spacing w:line="576" w:lineRule="exact"/>
        <w:ind w:firstLine="640" w:firstLineChars="200"/>
        <w:jc w:val="left"/>
        <w:rPr>
          <w:lang w:val="zh-CN"/>
        </w:rPr>
      </w:pPr>
      <w:r>
        <w:rPr>
          <w:rFonts w:hint="eastAsia" w:hAnsi="仿宋_GB2312" w:cs="仿宋_GB2312"/>
          <w:szCs w:val="32"/>
        </w:rPr>
        <w:t>广元文旅城市管理服务有限公司</w:t>
      </w:r>
      <w:r>
        <w:rPr>
          <w:rFonts w:hint="eastAsia" w:ascii="仿宋_GB2312" w:hAnsi="仿宋_GB2312" w:cs="仿宋_GB2312"/>
          <w:szCs w:val="32"/>
          <w:lang w:val="zh-CN"/>
        </w:rPr>
        <w:t>项目组织管理架构及具体实施流程，包括机构设置、监管措施、执行相关管理制度相关情况全部符合法律法规流程。</w:t>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（三）项目监管情况。</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市国资委投资科组织人员对土地流转费支付是否及时进行抽查，对土地流转合同签订内容与支付费用是否相符进行查看。</w:t>
      </w:r>
    </w:p>
    <w:p>
      <w:pPr>
        <w:pStyle w:val="42"/>
        <w:spacing w:before="93" w:line="576" w:lineRule="exact"/>
        <w:rPr>
          <w:rFonts w:ascii="楷体_GB2312" w:hAnsi="宋体" w:eastAsia="楷体_GB2312"/>
          <w:b w:val="0"/>
          <w:color w:val="auto"/>
          <w:sz w:val="32"/>
          <w:szCs w:val="32"/>
          <w:lang w:val="zh-CN"/>
        </w:rPr>
      </w:pPr>
      <w:r>
        <w:rPr>
          <w:rFonts w:hint="eastAsia" w:ascii="黑体" w:hAnsi="宋体" w:eastAsia="黑体"/>
          <w:b w:val="0"/>
          <w:color w:val="auto"/>
          <w:sz w:val="32"/>
          <w:szCs w:val="32"/>
        </w:rPr>
        <w:t>四、项目绩效情况</w:t>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（一）项目完成情况</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1.支付2021年—2022年广元市利州区万缘街道办事处老街社区第一居民小组土地流转费11.795242万元。</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2.支付2021年—2022年广元市利州区万缘街道办事处老街社区第二居民小组土地流转费28.764108万元。</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3.支付2021年—2022年广元市利州区万缘街道办事处老街社区第三居民小组土地流转费6.588436万元。</w:t>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w:t>
      </w:r>
      <w:r>
        <w:rPr>
          <w:rFonts w:hint="eastAsia" w:ascii="楷体_GB2312" w:hAnsi="楷体_GB2312" w:eastAsia="楷体_GB2312" w:cs="楷体_GB2312"/>
          <w:szCs w:val="32"/>
        </w:rPr>
        <w:t>二</w:t>
      </w:r>
      <w:r>
        <w:rPr>
          <w:rFonts w:hint="eastAsia" w:ascii="楷体_GB2312" w:hAnsi="楷体_GB2312" w:eastAsia="楷体_GB2312" w:cs="楷体_GB2312"/>
          <w:szCs w:val="32"/>
          <w:lang w:val="zh-CN"/>
        </w:rPr>
        <w:t>）项目效益情况</w:t>
      </w:r>
    </w:p>
    <w:p>
      <w:pPr>
        <w:adjustRightInd w:val="0"/>
        <w:snapToGrid w:val="0"/>
        <w:spacing w:line="576" w:lineRule="exact"/>
        <w:ind w:firstLine="640" w:firstLineChars="200"/>
        <w:rPr>
          <w:lang w:val="zh-CN"/>
        </w:rPr>
      </w:pPr>
      <w:r>
        <w:rPr>
          <w:rFonts w:hint="eastAsia" w:ascii="仿宋_GB2312" w:hAnsi="宋体"/>
          <w:szCs w:val="32"/>
        </w:rPr>
        <w:t>及时支付南河湿地公园土地流转费，保障了失地农民正常生活，</w:t>
      </w:r>
      <w:r>
        <w:rPr>
          <w:rFonts w:hint="eastAsia" w:ascii="仿宋_GB2312" w:hAnsi="仿宋_GB2312" w:cs="仿宋_GB2312"/>
          <w:szCs w:val="32"/>
        </w:rPr>
        <w:t>确保了信访形势稳定，</w:t>
      </w:r>
      <w:r>
        <w:rPr>
          <w:rFonts w:hint="eastAsia" w:ascii="仿宋_GB2312" w:hAnsi="宋体"/>
          <w:szCs w:val="32"/>
        </w:rPr>
        <w:t>维护了社会稳定。</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五、评价结论及建议</w:t>
      </w:r>
    </w:p>
    <w:p>
      <w:pPr>
        <w:adjustRightInd w:val="0"/>
        <w:snapToGrid w:val="0"/>
        <w:spacing w:line="576" w:lineRule="exact"/>
        <w:ind w:firstLine="640" w:firstLineChars="200"/>
        <w:contextualSpacing/>
        <w:jc w:val="left"/>
        <w:rPr>
          <w:rFonts w:ascii="仿宋_GB2312" w:hAnsi="仿宋_GB2312" w:cs="仿宋_GB2312"/>
        </w:rPr>
      </w:pPr>
      <w:r>
        <w:rPr>
          <w:rFonts w:hint="eastAsia" w:ascii="仿宋_GB2312" w:hAnsi="宋体"/>
          <w:szCs w:val="32"/>
        </w:rPr>
        <w:t>及时支付2021—2022年土地流转费，</w:t>
      </w:r>
      <w:r>
        <w:rPr>
          <w:rFonts w:hint="eastAsia" w:ascii="仿宋_GB2312" w:hAnsi="仿宋_GB2312" w:cs="仿宋_GB2312"/>
          <w:szCs w:val="32"/>
        </w:rPr>
        <w:t>确保了信访形势稳定，维护了社会稳定。</w:t>
      </w:r>
    </w:p>
    <w:p>
      <w:pPr>
        <w:pStyle w:val="2"/>
        <w:spacing w:before="93"/>
      </w:pPr>
      <w:r>
        <w:rPr>
          <w:rFonts w:hint="eastAsia" w:hAnsi="仿宋_GB2312" w:cs="仿宋_GB2312"/>
          <w:sz w:val="32"/>
          <w:szCs w:val="32"/>
        </w:rPr>
        <w:t>建议将该费用纳入今后每年财政预算。</w:t>
      </w:r>
    </w:p>
    <w:p>
      <w:pPr>
        <w:pStyle w:val="2"/>
        <w:spacing w:before="93"/>
      </w:pPr>
    </w:p>
    <w:p>
      <w:pPr>
        <w:pStyle w:val="2"/>
        <w:spacing w:before="93"/>
      </w:pPr>
    </w:p>
    <w:p>
      <w:pPr>
        <w:pStyle w:val="2"/>
        <w:spacing w:before="93"/>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hint="eastAsia" w:ascii="仿宋_GB2312"/>
          <w:sz w:val="32"/>
          <w:szCs w:val="32"/>
        </w:rPr>
      </w:pPr>
      <w:r>
        <w:rPr>
          <w:rFonts w:hint="eastAsia" w:ascii="仿宋_GB2312"/>
          <w:sz w:val="32"/>
          <w:szCs w:val="32"/>
        </w:rPr>
        <w:t>（</w:t>
      </w:r>
      <w:r>
        <w:rPr>
          <w:rFonts w:hint="eastAsia" w:ascii="楷体_GB2312" w:eastAsia="楷体_GB2312"/>
          <w:sz w:val="32"/>
          <w:szCs w:val="32"/>
        </w:rPr>
        <w:t>2022年城区公园广场春节氛围营造项目</w:t>
      </w:r>
      <w:r>
        <w:rPr>
          <w:rFonts w:hint="eastAsia" w:ascii="仿宋_GB2312"/>
          <w:sz w:val="32"/>
          <w:szCs w:val="32"/>
        </w:rPr>
        <w:t>）</w:t>
      </w:r>
    </w:p>
    <w:p>
      <w:pPr>
        <w:adjustRightInd w:val="0"/>
        <w:snapToGrid w:val="0"/>
        <w:spacing w:line="576"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（一）项目基本情况</w:t>
      </w:r>
    </w:p>
    <w:p>
      <w:pPr>
        <w:adjustRightInd w:val="0"/>
        <w:snapToGrid w:val="0"/>
        <w:spacing w:line="576" w:lineRule="exact"/>
        <w:ind w:firstLine="640" w:firstLineChars="200"/>
        <w:contextualSpacing/>
        <w:rPr>
          <w:rFonts w:ascii="仿宋_GB2312" w:hAnsi="仿宋_GB2312" w:cs="仿宋_GB2312"/>
        </w:rPr>
      </w:pPr>
      <w:r>
        <w:rPr>
          <w:rFonts w:hint="eastAsia" w:ascii="仿宋_GB2312" w:hAnsi="仿宋_GB2312" w:cs="仿宋_GB2312"/>
          <w:bCs/>
          <w:color w:val="000000" w:themeColor="text1"/>
          <w:szCs w:val="32"/>
          <w14:textFill>
            <w14:solidFill>
              <w14:schemeClr w14:val="tx1"/>
            </w14:solidFill>
          </w14:textFill>
        </w:rPr>
        <w:t>市国资</w:t>
      </w:r>
      <w:r>
        <w:rPr>
          <w:rFonts w:hint="eastAsia" w:ascii="仿宋_GB2312" w:hAnsi="仿宋_GB2312" w:cs="仿宋_GB2312"/>
          <w:kern w:val="0"/>
          <w:szCs w:val="32"/>
          <w:shd w:val="clear" w:color="auto" w:fill="FFFFFF"/>
        </w:rPr>
        <w:t>委作为</w:t>
      </w:r>
      <w:r>
        <w:rPr>
          <w:rFonts w:hint="eastAsia" w:hAnsi="仿宋_GB2312" w:cs="仿宋_GB2312"/>
          <w:kern w:val="0"/>
          <w:szCs w:val="32"/>
          <w:shd w:val="clear" w:color="auto" w:fill="FFFFFF"/>
          <w:lang w:val="zh-CN"/>
        </w:rPr>
        <w:t>202</w:t>
      </w:r>
      <w:r>
        <w:rPr>
          <w:rFonts w:hint="eastAsia" w:hAnsi="仿宋_GB2312" w:cs="仿宋_GB2312"/>
          <w:kern w:val="0"/>
          <w:szCs w:val="32"/>
          <w:shd w:val="clear" w:color="auto" w:fill="FFFFFF"/>
        </w:rPr>
        <w:t>2</w:t>
      </w:r>
      <w:r>
        <w:rPr>
          <w:rFonts w:hint="eastAsia" w:hAnsi="仿宋_GB2312" w:cs="仿宋_GB2312"/>
          <w:kern w:val="0"/>
          <w:szCs w:val="32"/>
          <w:shd w:val="clear" w:color="auto" w:fill="FFFFFF"/>
          <w:lang w:val="zh-CN"/>
        </w:rPr>
        <w:t>年城区公园广场春节氛围营造</w:t>
      </w:r>
      <w:r>
        <w:rPr>
          <w:rFonts w:hint="eastAsia" w:ascii="仿宋_GB2312" w:hAnsi="仿宋_GB2312" w:cs="仿宋_GB2312"/>
          <w:kern w:val="0"/>
          <w:szCs w:val="32"/>
          <w:shd w:val="clear" w:color="auto" w:fill="FFFFFF"/>
        </w:rPr>
        <w:t>项目</w:t>
      </w:r>
      <w:r>
        <w:rPr>
          <w:rFonts w:hint="eastAsia" w:hAnsi="仿宋_GB2312" w:cs="仿宋_GB2312"/>
          <w:kern w:val="0"/>
          <w:szCs w:val="32"/>
          <w:shd w:val="clear" w:color="auto" w:fill="FFFFFF"/>
        </w:rPr>
        <w:t>主管部门，在项目建设过程中，积极督导、协调项目承建单位</w:t>
      </w:r>
      <w:r>
        <w:rPr>
          <w:rFonts w:hint="eastAsia" w:hAnsi="仿宋_GB2312" w:cs="仿宋_GB2312"/>
          <w:szCs w:val="32"/>
        </w:rPr>
        <w:t>广元文旅城市管理服务有限公司</w:t>
      </w:r>
      <w:r>
        <w:rPr>
          <w:rFonts w:hint="eastAsia" w:hAnsi="仿宋_GB2312" w:cs="仿宋_GB2312"/>
          <w:kern w:val="0"/>
          <w:szCs w:val="32"/>
          <w:shd w:val="clear" w:color="auto" w:fill="FFFFFF"/>
        </w:rPr>
        <w:t>进行项目建设等相关事宜。</w:t>
      </w:r>
    </w:p>
    <w:p>
      <w:pPr>
        <w:adjustRightInd w:val="0"/>
        <w:snapToGrid w:val="0"/>
        <w:spacing w:line="576" w:lineRule="exact"/>
        <w:ind w:firstLine="640" w:firstLineChars="200"/>
        <w:contextualSpacing/>
        <w:rPr>
          <w:rFonts w:ascii="仿宋_GB2312" w:hAnsi="仿宋_GB2312" w:cs="仿宋_GB2312"/>
        </w:rPr>
      </w:pPr>
      <w:r>
        <w:rPr>
          <w:rFonts w:hint="eastAsia" w:ascii="仿宋_GB2312" w:hAnsi="仿宋_GB2312" w:cs="仿宋_GB2312"/>
          <w:szCs w:val="32"/>
        </w:rPr>
        <w:t>根据中共广元市委宣传部关于印发《广元市2022年元旦春节氛围营造工作方案》的通知及市文旅集团安排部署，</w:t>
      </w:r>
      <w:r>
        <w:rPr>
          <w:rFonts w:hint="eastAsia" w:hAnsi="仿宋_GB2312" w:cs="仿宋_GB2312"/>
          <w:szCs w:val="32"/>
        </w:rPr>
        <w:t>广元文旅城市管理服务有限公司</w:t>
      </w:r>
      <w:r>
        <w:rPr>
          <w:rFonts w:hint="eastAsia" w:ascii="仿宋_GB2312" w:hAnsi="仿宋_GB2312" w:cs="仿宋_GB2312"/>
          <w:szCs w:val="32"/>
        </w:rPr>
        <w:t>主要负责三大公园、四大广场的春节氛围营造。</w:t>
      </w:r>
    </w:p>
    <w:p>
      <w:pPr>
        <w:spacing w:line="576" w:lineRule="exact"/>
        <w:ind w:firstLine="640" w:firstLineChars="200"/>
        <w:jc w:val="left"/>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rPr>
        <w:t>项目管理办法：</w:t>
      </w:r>
      <w:r>
        <w:rPr>
          <w:rFonts w:hint="eastAsia" w:ascii="仿宋" w:hAnsi="仿宋" w:eastAsia="仿宋" w:cs="仿宋"/>
          <w:szCs w:val="32"/>
        </w:rPr>
        <w:t>严格按照《广元市政府国有企业阳光采购监督管理暂行办法》，</w:t>
      </w:r>
      <w:r>
        <w:rPr>
          <w:rFonts w:hint="eastAsia" w:ascii="仿宋_GB2312" w:hAnsi="仿宋_GB2312" w:cs="仿宋_GB2312"/>
          <w:kern w:val="0"/>
          <w:szCs w:val="32"/>
          <w:shd w:val="clear" w:color="auto" w:fill="FFFFFF"/>
        </w:rPr>
        <w:t>参照广元市文化旅游投资集团有限公司《阳光采购管理暂行办法》及《文旅集团及子公司三会行权轨迹清单》，并结合《广元文旅城市管理服务有限公司规章制度》执行。</w:t>
      </w:r>
    </w:p>
    <w:p>
      <w:pPr>
        <w:pStyle w:val="42"/>
        <w:spacing w:before="93" w:line="576" w:lineRule="exact"/>
        <w:rPr>
          <w:rFonts w:hAnsi="仿宋_GB2312" w:cs="仿宋_GB2312"/>
          <w:sz w:val="32"/>
          <w:szCs w:val="32"/>
        </w:rPr>
      </w:pPr>
      <w:r>
        <w:rPr>
          <w:rFonts w:hint="eastAsia" w:hAnsi="仿宋_GB2312" w:cs="仿宋_GB2312"/>
          <w:b w:val="0"/>
          <w:color w:val="auto"/>
          <w:kern w:val="0"/>
          <w:sz w:val="32"/>
          <w:szCs w:val="32"/>
          <w:shd w:val="clear" w:color="auto" w:fill="FFFFFF"/>
          <w:lang w:val="zh-CN"/>
        </w:rPr>
        <w:t>项目资金的分配始终坚持一个原则：全力保证</w:t>
      </w:r>
      <w:r>
        <w:rPr>
          <w:rFonts w:hint="eastAsia" w:hAnsi="仿宋_GB2312" w:cs="仿宋_GB2312"/>
          <w:b w:val="0"/>
          <w:color w:val="auto"/>
          <w:kern w:val="0"/>
          <w:sz w:val="32"/>
          <w:szCs w:val="32"/>
          <w:shd w:val="clear" w:color="auto" w:fill="FFFFFF"/>
        </w:rPr>
        <w:t>春节氛围营造</w:t>
      </w:r>
      <w:r>
        <w:rPr>
          <w:rFonts w:hint="eastAsia" w:hAnsi="仿宋_GB2312" w:cs="仿宋_GB2312"/>
          <w:b w:val="0"/>
          <w:color w:val="auto"/>
          <w:kern w:val="0"/>
          <w:sz w:val="32"/>
          <w:szCs w:val="32"/>
          <w:shd w:val="clear" w:color="auto" w:fill="FFFFFF"/>
          <w:lang w:val="zh-CN"/>
        </w:rPr>
        <w:t>顺利推进，确保资金公平合理地分配到项目建设的各个环节，提升项目质量和资金使用效益，实现资金落到实处，强化执行过程监督。</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（二）项目绩效目标</w:t>
      </w:r>
    </w:p>
    <w:p>
      <w:pPr>
        <w:adjustRightInd w:val="0"/>
        <w:snapToGrid w:val="0"/>
        <w:spacing w:line="576" w:lineRule="exact"/>
        <w:ind w:firstLine="640" w:firstLineChars="200"/>
        <w:contextualSpacing/>
      </w:pPr>
      <w:r>
        <w:rPr>
          <w:rFonts w:hint="eastAsia" w:ascii="仿宋_GB2312" w:hAnsi="仿宋_GB2312" w:cs="仿宋_GB2312"/>
          <w:kern w:val="0"/>
          <w:szCs w:val="32"/>
          <w:shd w:val="clear" w:color="auto" w:fill="FFFFFF"/>
        </w:rPr>
        <w:t>1.项目主要内容</w:t>
      </w:r>
    </w:p>
    <w:p>
      <w:pPr>
        <w:adjustRightInd w:val="0"/>
        <w:snapToGrid w:val="0"/>
        <w:spacing w:line="576" w:lineRule="exact"/>
        <w:ind w:firstLine="640" w:firstLineChars="200"/>
      </w:pPr>
      <w:r>
        <w:rPr>
          <w:rFonts w:hint="eastAsia"/>
          <w:szCs w:val="32"/>
        </w:rPr>
        <w:t>湿地公园、凤凰山公园、红星公园、利州广场、苴国广场、南河广场、嘉陵广场各点位设置主题景观小品、夜间景观造型（流星雨、满天星）及悬挂装饰（悬挂灯笼、冬瓜灯笼、绒布灯笼、中国结、彩旗、藤球灯）。</w:t>
      </w:r>
    </w:p>
    <w:p>
      <w:pPr>
        <w:adjustRightInd w:val="0"/>
        <w:snapToGrid w:val="0"/>
        <w:spacing w:line="576" w:lineRule="exact"/>
        <w:ind w:firstLine="640" w:firstLineChars="200"/>
        <w:contextualSpacing/>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弘扬中国传统文化，营造喜庆祥和文明的节日气氛，让广大群众在欢乐、温馨、文明、和谐的环境中欢度春节。</w:t>
      </w:r>
    </w:p>
    <w:p>
      <w:pPr>
        <w:adjustRightInd w:val="0"/>
        <w:snapToGrid w:val="0"/>
        <w:spacing w:line="576" w:lineRule="exact"/>
        <w:ind w:firstLine="640" w:firstLineChars="200"/>
        <w:contextualSpacing/>
        <w:rPr>
          <w:rFonts w:ascii="仿宋_GB2312" w:hAnsi="仿宋_GB2312" w:cs="仿宋_GB2312"/>
          <w:lang w:val="zh-CN"/>
        </w:rPr>
      </w:pPr>
      <w:r>
        <w:rPr>
          <w:rFonts w:hint="eastAsia" w:ascii="仿宋_GB2312" w:hAnsi="仿宋_GB2312" w:cs="仿宋_GB2312"/>
          <w:szCs w:val="32"/>
        </w:rPr>
        <w:t>3.</w:t>
      </w:r>
      <w:r>
        <w:rPr>
          <w:rFonts w:hint="eastAsia" w:ascii="仿宋_GB2312" w:hAnsi="仿宋_GB2312" w:cs="仿宋_GB2312"/>
          <w:szCs w:val="32"/>
          <w:lang w:val="zh-CN"/>
        </w:rPr>
        <w:t>资金申报相符性</w:t>
      </w:r>
    </w:p>
    <w:p>
      <w:pPr>
        <w:pStyle w:val="42"/>
        <w:spacing w:before="93" w:line="576" w:lineRule="exact"/>
        <w:rPr>
          <w:rFonts w:hAnsi="仿宋_GB2312" w:cs="仿宋_GB2312"/>
          <w:b w:val="0"/>
          <w:color w:val="auto"/>
          <w:sz w:val="32"/>
          <w:szCs w:val="32"/>
          <w:lang w:val="zh-CN"/>
        </w:rPr>
      </w:pPr>
      <w:r>
        <w:rPr>
          <w:rFonts w:hint="eastAsia" w:hAnsi="仿宋_GB2312" w:cs="仿宋_GB2312"/>
          <w:b w:val="0"/>
          <w:color w:val="auto"/>
          <w:sz w:val="32"/>
          <w:szCs w:val="32"/>
        </w:rPr>
        <w:t>该项目</w:t>
      </w:r>
      <w:r>
        <w:rPr>
          <w:rFonts w:hint="eastAsia" w:hAnsi="仿宋_GB2312" w:cs="仿宋_GB2312"/>
          <w:b w:val="0"/>
          <w:color w:val="auto"/>
          <w:sz w:val="32"/>
          <w:szCs w:val="32"/>
          <w:lang w:val="zh-CN"/>
        </w:rPr>
        <w:t>资金申报内容与具体实施内容相符、申报目标合理可行。</w:t>
      </w:r>
    </w:p>
    <w:p>
      <w:pPr>
        <w:adjustRightInd w:val="0"/>
        <w:snapToGrid w:val="0"/>
        <w:spacing w:line="576" w:lineRule="exact"/>
        <w:ind w:firstLine="640" w:firstLineChars="200"/>
        <w:rPr>
          <w:rFonts w:ascii="仿宋_GB2312" w:hAnsi="仿宋_GB2312" w:cs="仿宋_GB2312"/>
          <w:lang w:val="zh-CN"/>
        </w:rPr>
      </w:pPr>
      <w:r>
        <w:rPr>
          <w:rFonts w:hint="eastAsia" w:ascii="楷体_GB2312" w:hAnsi="宋体" w:eastAsia="楷体_GB2312"/>
          <w:szCs w:val="32"/>
          <w:lang w:val="zh-CN"/>
        </w:rPr>
        <w:t>（三）项目自评步骤及方法</w:t>
      </w:r>
    </w:p>
    <w:p>
      <w:pPr>
        <w:pStyle w:val="42"/>
        <w:spacing w:before="93" w:line="576" w:lineRule="exact"/>
        <w:rPr>
          <w:rFonts w:hAnsi="仿宋_GB2312" w:cs="仿宋_GB2312"/>
          <w:b w:val="0"/>
          <w:color w:val="auto"/>
          <w:sz w:val="32"/>
          <w:szCs w:val="32"/>
          <w:lang w:val="zh-CN"/>
        </w:rPr>
      </w:pPr>
      <w:r>
        <w:rPr>
          <w:rFonts w:hint="eastAsia" w:hAnsi="仿宋_GB2312" w:cs="仿宋_GB2312"/>
          <w:b w:val="0"/>
          <w:color w:val="auto"/>
          <w:sz w:val="32"/>
          <w:szCs w:val="32"/>
          <w:lang w:val="zh-CN"/>
        </w:rPr>
        <w:t>项目绩效自评</w:t>
      </w:r>
      <w:r>
        <w:rPr>
          <w:rFonts w:hint="eastAsia" w:hAnsi="仿宋_GB2312" w:cs="仿宋_GB2312"/>
          <w:b w:val="0"/>
          <w:color w:val="auto"/>
          <w:sz w:val="32"/>
          <w:szCs w:val="32"/>
        </w:rPr>
        <w:t>首先由广元文旅城市管理服务有限公司本项目管理人员和财务人员共同草拟自评报告，分别报项目和财务分管领导审核、最后由公司执行董事审阅后再报送至项目主管单位（市国资委）。</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二、项目资金申报及使用情况</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（一）项目资金申报及批复情况</w:t>
      </w:r>
    </w:p>
    <w:p>
      <w:pPr>
        <w:pStyle w:val="2"/>
        <w:spacing w:before="93" w:line="576" w:lineRule="exact"/>
        <w:ind w:firstLine="600" w:firstLineChars="200"/>
        <w:rPr>
          <w:rFonts w:hAnsi="仿宋_GB2312" w:cs="仿宋_GB2312"/>
          <w:position w:val="-2"/>
          <w:lang w:val="zh-CN"/>
        </w:rPr>
      </w:pPr>
      <w:r>
        <w:rPr>
          <w:rFonts w:hint="eastAsia"/>
          <w:lang w:val="zh-CN"/>
        </w:rPr>
        <w:t>根据中共广元市委宣传部《关于</w:t>
      </w:r>
      <w:r>
        <w:rPr>
          <w:rFonts w:hint="eastAsia" w:hAnsi="仿宋_GB2312" w:cs="仿宋_GB2312"/>
          <w:kern w:val="2"/>
          <w:position w:val="-2"/>
          <w:sz w:val="32"/>
          <w:szCs w:val="32"/>
          <w:lang w:val="zh-CN"/>
        </w:rPr>
        <w:t>印发&lt;广元市 2022年元旦春节氛围营造工作方案&gt;的通知》精神，市文旅集团负责城区公园广场 2022 年元旦春节氛围营造工作。市文旅集团交由下属子公司广元文旅城市管理服务有限公司实施。</w:t>
      </w:r>
    </w:p>
    <w:p>
      <w:pPr>
        <w:pStyle w:val="2"/>
        <w:spacing w:before="93" w:line="576" w:lineRule="exact"/>
        <w:ind w:firstLine="640" w:firstLineChars="200"/>
        <w:rPr>
          <w:rFonts w:hAnsi="仿宋_GB2312" w:cs="仿宋_GB2312"/>
          <w:position w:val="-2"/>
        </w:rPr>
      </w:pPr>
      <w:r>
        <w:rPr>
          <w:rFonts w:hint="eastAsia" w:hAnsi="仿宋_GB2312" w:cs="仿宋_GB2312"/>
          <w:kern w:val="2"/>
          <w:position w:val="-2"/>
          <w:sz w:val="32"/>
          <w:szCs w:val="32"/>
          <w:lang w:val="zh-CN"/>
        </w:rPr>
        <w:t>市财政局分别于</w:t>
      </w:r>
      <w:r>
        <w:rPr>
          <w:rFonts w:hint="eastAsia" w:hAnsi="仿宋_GB2312" w:cs="仿宋_GB2312"/>
          <w:kern w:val="2"/>
          <w:position w:val="-2"/>
          <w:sz w:val="32"/>
          <w:szCs w:val="32"/>
        </w:rPr>
        <w:t>2021年12月31日、2022年2月14日</w:t>
      </w:r>
      <w:r>
        <w:rPr>
          <w:rFonts w:hint="eastAsia" w:hAnsi="仿宋_GB2312" w:cs="仿宋_GB2312"/>
          <w:kern w:val="2"/>
          <w:position w:val="-2"/>
          <w:sz w:val="32"/>
          <w:szCs w:val="32"/>
          <w:lang w:val="zh-CN"/>
        </w:rPr>
        <w:t>下达了《</w:t>
      </w:r>
      <w:r>
        <w:rPr>
          <w:rFonts w:hint="eastAsia" w:hAnsi="仿宋_GB2312" w:cs="仿宋_GB2312"/>
          <w:kern w:val="2"/>
          <w:position w:val="-2"/>
          <w:sz w:val="32"/>
          <w:szCs w:val="32"/>
        </w:rPr>
        <w:t>广元市财政局</w:t>
      </w:r>
      <w:r>
        <w:rPr>
          <w:rFonts w:hint="eastAsia" w:hAnsi="仿宋_GB2312" w:cs="仿宋_GB2312"/>
          <w:kern w:val="2"/>
          <w:position w:val="-2"/>
          <w:sz w:val="32"/>
          <w:szCs w:val="32"/>
          <w:lang w:val="zh-CN"/>
        </w:rPr>
        <w:t>关于下达基金</w:t>
      </w:r>
      <w:r>
        <w:rPr>
          <w:rFonts w:hint="eastAsia" w:hAnsi="仿宋_GB2312" w:cs="仿宋_GB2312"/>
          <w:kern w:val="2"/>
          <w:position w:val="-2"/>
          <w:sz w:val="32"/>
          <w:szCs w:val="32"/>
        </w:rPr>
        <w:t>指标的通知</w:t>
      </w:r>
      <w:r>
        <w:rPr>
          <w:rFonts w:hint="eastAsia" w:hAnsi="仿宋_GB2312" w:cs="仿宋_GB2312"/>
          <w:kern w:val="2"/>
          <w:position w:val="-2"/>
          <w:sz w:val="32"/>
          <w:szCs w:val="32"/>
          <w:lang w:val="zh-CN"/>
        </w:rPr>
        <w:t>》（广财投〔</w:t>
      </w:r>
      <w:r>
        <w:rPr>
          <w:rFonts w:hint="eastAsia" w:hAnsi="仿宋_GB2312" w:cs="仿宋_GB2312"/>
          <w:kern w:val="2"/>
          <w:position w:val="-2"/>
          <w:sz w:val="32"/>
          <w:szCs w:val="32"/>
        </w:rPr>
        <w:t>2021</w:t>
      </w:r>
      <w:r>
        <w:rPr>
          <w:rFonts w:hint="eastAsia" w:hAnsi="仿宋_GB2312" w:cs="仿宋_GB2312"/>
          <w:kern w:val="2"/>
          <w:position w:val="-2"/>
          <w:sz w:val="32"/>
          <w:szCs w:val="32"/>
          <w:lang w:val="zh-CN"/>
        </w:rPr>
        <w:t>〕</w:t>
      </w:r>
      <w:r>
        <w:rPr>
          <w:rFonts w:hint="eastAsia" w:hAnsi="仿宋_GB2312" w:cs="仿宋_GB2312"/>
          <w:kern w:val="2"/>
          <w:position w:val="-2"/>
          <w:sz w:val="32"/>
          <w:szCs w:val="32"/>
        </w:rPr>
        <w:t>229号</w:t>
      </w:r>
      <w:r>
        <w:rPr>
          <w:rFonts w:hint="eastAsia" w:hAnsi="仿宋_GB2312" w:cs="仿宋_GB2312"/>
          <w:kern w:val="2"/>
          <w:position w:val="-2"/>
          <w:sz w:val="32"/>
          <w:szCs w:val="32"/>
          <w:lang w:val="zh-CN"/>
        </w:rPr>
        <w:t>）、《</w:t>
      </w:r>
      <w:r>
        <w:rPr>
          <w:rFonts w:hint="eastAsia" w:hAnsi="仿宋_GB2312" w:cs="仿宋_GB2312"/>
          <w:kern w:val="2"/>
          <w:position w:val="-2"/>
          <w:sz w:val="32"/>
          <w:szCs w:val="32"/>
        </w:rPr>
        <w:t>广元市财政局</w:t>
      </w:r>
      <w:r>
        <w:rPr>
          <w:rFonts w:hint="eastAsia" w:hAnsi="仿宋_GB2312" w:cs="仿宋_GB2312"/>
          <w:kern w:val="2"/>
          <w:position w:val="-2"/>
          <w:sz w:val="32"/>
          <w:szCs w:val="32"/>
          <w:lang w:val="zh-CN"/>
        </w:rPr>
        <w:t>关于下达基金</w:t>
      </w:r>
      <w:r>
        <w:rPr>
          <w:rFonts w:hint="eastAsia" w:hAnsi="仿宋_GB2312" w:cs="仿宋_GB2312"/>
          <w:kern w:val="2"/>
          <w:position w:val="-2"/>
          <w:sz w:val="32"/>
          <w:szCs w:val="32"/>
        </w:rPr>
        <w:t>指标的通知</w:t>
      </w:r>
      <w:r>
        <w:rPr>
          <w:rFonts w:hint="eastAsia" w:hAnsi="仿宋_GB2312" w:cs="仿宋_GB2312"/>
          <w:kern w:val="2"/>
          <w:position w:val="-2"/>
          <w:sz w:val="32"/>
          <w:szCs w:val="32"/>
          <w:lang w:val="zh-CN"/>
        </w:rPr>
        <w:t>》（广财投〔</w:t>
      </w:r>
      <w:r>
        <w:rPr>
          <w:rFonts w:hint="eastAsia" w:hAnsi="仿宋_GB2312" w:cs="仿宋_GB2312"/>
          <w:kern w:val="2"/>
          <w:position w:val="-2"/>
          <w:sz w:val="32"/>
          <w:szCs w:val="32"/>
        </w:rPr>
        <w:t>2022</w:t>
      </w:r>
      <w:r>
        <w:rPr>
          <w:rFonts w:hint="eastAsia" w:hAnsi="仿宋_GB2312" w:cs="仿宋_GB2312"/>
          <w:kern w:val="2"/>
          <w:position w:val="-2"/>
          <w:sz w:val="32"/>
          <w:szCs w:val="32"/>
          <w:lang w:val="zh-CN"/>
        </w:rPr>
        <w:t>〕</w:t>
      </w:r>
      <w:r>
        <w:rPr>
          <w:rFonts w:hint="eastAsia" w:hAnsi="仿宋_GB2312" w:cs="仿宋_GB2312"/>
          <w:kern w:val="2"/>
          <w:position w:val="-2"/>
          <w:sz w:val="32"/>
          <w:szCs w:val="32"/>
        </w:rPr>
        <w:t>5号</w:t>
      </w:r>
      <w:r>
        <w:rPr>
          <w:rFonts w:hint="eastAsia" w:hAnsi="仿宋_GB2312" w:cs="仿宋_GB2312"/>
          <w:kern w:val="2"/>
          <w:position w:val="-2"/>
          <w:sz w:val="32"/>
          <w:szCs w:val="32"/>
          <w:lang w:val="zh-CN"/>
        </w:rPr>
        <w:t>）</w:t>
      </w:r>
      <w:r>
        <w:rPr>
          <w:rFonts w:hint="eastAsia" w:hAnsi="仿宋_GB2312" w:cs="仿宋_GB2312"/>
          <w:kern w:val="2"/>
          <w:position w:val="-2"/>
          <w:sz w:val="32"/>
          <w:szCs w:val="32"/>
        </w:rPr>
        <w:t>,</w:t>
      </w:r>
      <w:r>
        <w:rPr>
          <w:rFonts w:hint="eastAsia" w:hAnsi="仿宋_GB2312" w:cs="仿宋_GB2312"/>
          <w:kern w:val="2"/>
          <w:position w:val="-2"/>
          <w:sz w:val="32"/>
          <w:szCs w:val="32"/>
          <w:lang w:val="zh-CN"/>
        </w:rPr>
        <w:t>安排2022年城区公园广场春节氛围营造启动资金共计</w:t>
      </w:r>
      <w:r>
        <w:rPr>
          <w:rFonts w:hint="eastAsia" w:hAnsi="仿宋_GB2312" w:cs="仿宋_GB2312"/>
          <w:kern w:val="2"/>
          <w:position w:val="-2"/>
          <w:sz w:val="32"/>
          <w:szCs w:val="32"/>
        </w:rPr>
        <w:t>32万元。项目竣工后，我司根据项目结算审计81.2472万元申报余下资金49.2472万元。2023年1月16日，财政局下达了</w:t>
      </w:r>
      <w:r>
        <w:rPr>
          <w:rFonts w:hint="eastAsia"/>
          <w:lang w:val="zh-CN"/>
        </w:rPr>
        <w:t>《</w:t>
      </w:r>
      <w:r>
        <w:rPr>
          <w:rFonts w:hint="eastAsia" w:hAnsi="仿宋_GB2312" w:cs="仿宋_GB2312"/>
          <w:kern w:val="2"/>
          <w:sz w:val="32"/>
          <w:szCs w:val="32"/>
        </w:rPr>
        <w:t>广元市财政局</w:t>
      </w:r>
      <w:r>
        <w:rPr>
          <w:rFonts w:hint="eastAsia" w:hAnsi="仿宋_GB2312" w:cs="仿宋_GB2312"/>
          <w:kern w:val="2"/>
          <w:position w:val="-2"/>
          <w:sz w:val="32"/>
          <w:szCs w:val="32"/>
          <w:lang w:val="zh-CN"/>
        </w:rPr>
        <w:t>关于下达基金</w:t>
      </w:r>
      <w:r>
        <w:rPr>
          <w:rFonts w:hint="eastAsia" w:hAnsi="仿宋_GB2312" w:cs="仿宋_GB2312"/>
          <w:kern w:val="2"/>
          <w:position w:val="-2"/>
          <w:sz w:val="32"/>
          <w:szCs w:val="32"/>
        </w:rPr>
        <w:t>指标的通知</w:t>
      </w:r>
      <w:r>
        <w:rPr>
          <w:rFonts w:hint="eastAsia" w:hAnsi="仿宋_GB2312" w:cs="仿宋_GB2312"/>
          <w:kern w:val="2"/>
          <w:position w:val="-2"/>
          <w:sz w:val="32"/>
          <w:szCs w:val="32"/>
          <w:lang w:val="zh-CN"/>
        </w:rPr>
        <w:t>》（广财投〔</w:t>
      </w:r>
      <w:r>
        <w:rPr>
          <w:rFonts w:hint="eastAsia" w:hAnsi="仿宋_GB2312" w:cs="仿宋_GB2312"/>
          <w:kern w:val="2"/>
          <w:position w:val="-2"/>
          <w:sz w:val="32"/>
          <w:szCs w:val="32"/>
        </w:rPr>
        <w:t>2022</w:t>
      </w:r>
      <w:r>
        <w:rPr>
          <w:rFonts w:hint="eastAsia" w:hAnsi="仿宋_GB2312" w:cs="仿宋_GB2312"/>
          <w:kern w:val="2"/>
          <w:position w:val="-2"/>
          <w:sz w:val="32"/>
          <w:szCs w:val="32"/>
          <w:lang w:val="zh-CN"/>
        </w:rPr>
        <w:t>〕</w:t>
      </w:r>
      <w:r>
        <w:rPr>
          <w:rFonts w:hint="eastAsia" w:hAnsi="仿宋_GB2312" w:cs="仿宋_GB2312"/>
          <w:kern w:val="2"/>
          <w:position w:val="-2"/>
          <w:sz w:val="32"/>
          <w:szCs w:val="32"/>
        </w:rPr>
        <w:t>172号</w:t>
      </w:r>
      <w:r>
        <w:rPr>
          <w:rFonts w:hint="eastAsia" w:hAnsi="仿宋_GB2312" w:cs="仿宋_GB2312"/>
          <w:kern w:val="2"/>
          <w:position w:val="-2"/>
          <w:sz w:val="32"/>
          <w:szCs w:val="32"/>
          <w:lang w:val="zh-CN"/>
        </w:rPr>
        <w:t>）安排余下补助资金</w:t>
      </w:r>
      <w:r>
        <w:rPr>
          <w:rFonts w:hint="eastAsia" w:hAnsi="仿宋_GB2312" w:cs="仿宋_GB2312"/>
          <w:kern w:val="2"/>
          <w:position w:val="-2"/>
          <w:sz w:val="32"/>
          <w:szCs w:val="32"/>
        </w:rPr>
        <w:t>25.0249万元。</w:t>
      </w:r>
    </w:p>
    <w:p>
      <w:pPr>
        <w:adjustRightInd w:val="0"/>
        <w:snapToGrid w:val="0"/>
        <w:spacing w:line="576" w:lineRule="exact"/>
        <w:ind w:firstLine="640" w:firstLineChars="200"/>
        <w:rPr>
          <w:rFonts w:ascii="仿宋_GB2312" w:hAnsi="宋体"/>
          <w:lang w:val="zh-CN"/>
        </w:rPr>
      </w:pPr>
      <w:r>
        <w:rPr>
          <w:rFonts w:hint="eastAsia" w:ascii="楷体_GB2312" w:hAnsi="宋体" w:eastAsia="楷体_GB2312"/>
          <w:szCs w:val="32"/>
          <w:lang w:val="zh-CN"/>
        </w:rPr>
        <w:t>（二）资金计划、到位及使用情况</w:t>
      </w:r>
    </w:p>
    <w:p>
      <w:pPr>
        <w:adjustRightInd w:val="0"/>
        <w:snapToGrid w:val="0"/>
        <w:spacing w:line="576"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zCs w:val="32"/>
          <w:shd w:val="clear" w:color="auto" w:fill="FFFFFF"/>
        </w:rPr>
        <w:t>1.</w:t>
      </w:r>
      <w:r>
        <w:rPr>
          <w:rFonts w:hint="eastAsia" w:ascii="仿宋_GB2312" w:hAnsi="仿宋_GB2312" w:cs="仿宋_GB2312"/>
          <w:kern w:val="0"/>
          <w:szCs w:val="32"/>
          <w:shd w:val="clear" w:color="auto" w:fill="FFFFFF"/>
          <w:lang w:val="zh-CN"/>
        </w:rPr>
        <w:t>资金计划：</w:t>
      </w:r>
      <w:r>
        <w:rPr>
          <w:rFonts w:hint="eastAsia" w:hAnsi="仿宋_GB2312" w:cs="仿宋_GB2312"/>
          <w:szCs w:val="32"/>
          <w:lang w:val="zh-CN"/>
        </w:rPr>
        <w:t>202</w:t>
      </w:r>
      <w:r>
        <w:rPr>
          <w:rFonts w:hint="eastAsia" w:hAnsi="仿宋_GB2312" w:cs="仿宋_GB2312"/>
          <w:szCs w:val="32"/>
        </w:rPr>
        <w:t>3</w:t>
      </w:r>
      <w:r>
        <w:rPr>
          <w:rFonts w:hint="eastAsia" w:hAnsi="仿宋_GB2312" w:cs="仿宋_GB2312"/>
          <w:szCs w:val="32"/>
          <w:lang w:val="zh-CN"/>
        </w:rPr>
        <w:t>年城区公园广场春节氛围营造</w:t>
      </w:r>
      <w:r>
        <w:rPr>
          <w:rFonts w:hint="eastAsia" w:hAnsi="仿宋_GB2312" w:cs="仿宋_GB2312"/>
          <w:szCs w:val="32"/>
        </w:rPr>
        <w:t>补贴资金</w:t>
      </w:r>
      <w:r>
        <w:rPr>
          <w:rFonts w:hint="eastAsia" w:ascii="仿宋_GB2312" w:hAnsi="仿宋_GB2312" w:cs="仿宋_GB2312"/>
          <w:position w:val="-2"/>
          <w:szCs w:val="32"/>
        </w:rPr>
        <w:t>57.0249</w:t>
      </w:r>
      <w:r>
        <w:rPr>
          <w:rFonts w:hint="eastAsia" w:hAnsi="仿宋_GB2312" w:cs="仿宋_GB2312"/>
          <w:szCs w:val="32"/>
        </w:rPr>
        <w:t>万元</w:t>
      </w:r>
    </w:p>
    <w:p>
      <w:pPr>
        <w:adjustRightInd w:val="0"/>
        <w:snapToGrid w:val="0"/>
        <w:spacing w:line="576"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zCs w:val="32"/>
          <w:shd w:val="clear" w:color="auto" w:fill="FFFFFF"/>
        </w:rPr>
        <w:t>2.资金</w:t>
      </w:r>
      <w:r>
        <w:rPr>
          <w:rFonts w:hint="eastAsia" w:ascii="仿宋_GB2312" w:hAnsi="仿宋_GB2312" w:cs="仿宋_GB2312"/>
          <w:kern w:val="0"/>
          <w:szCs w:val="32"/>
          <w:shd w:val="clear" w:color="auto" w:fill="FFFFFF"/>
          <w:lang w:val="zh-CN"/>
        </w:rPr>
        <w:t>到位：</w:t>
      </w:r>
      <w:r>
        <w:rPr>
          <w:rFonts w:hint="eastAsia" w:ascii="仿宋_GB2312" w:hAnsi="仿宋_GB2312" w:cs="仿宋_GB2312"/>
          <w:position w:val="-2"/>
          <w:szCs w:val="32"/>
        </w:rPr>
        <w:t>财政</w:t>
      </w:r>
      <w:r>
        <w:rPr>
          <w:rFonts w:hint="eastAsia" w:ascii="仿宋_GB2312" w:hAnsi="仿宋_GB2312" w:cs="仿宋_GB2312"/>
          <w:position w:val="-2"/>
          <w:szCs w:val="32"/>
          <w:lang w:val="zh-CN"/>
        </w:rPr>
        <w:t>于20</w:t>
      </w:r>
      <w:r>
        <w:rPr>
          <w:rFonts w:hint="eastAsia" w:ascii="仿宋_GB2312" w:hAnsi="仿宋_GB2312" w:cs="仿宋_GB2312"/>
          <w:position w:val="-2"/>
          <w:szCs w:val="32"/>
        </w:rPr>
        <w:t>21</w:t>
      </w:r>
      <w:r>
        <w:rPr>
          <w:rFonts w:hint="eastAsia" w:ascii="仿宋_GB2312" w:hAnsi="仿宋_GB2312" w:cs="仿宋_GB2312"/>
          <w:position w:val="-2"/>
          <w:szCs w:val="32"/>
          <w:lang w:val="zh-CN"/>
        </w:rPr>
        <w:t>年</w:t>
      </w:r>
      <w:r>
        <w:rPr>
          <w:rFonts w:hint="eastAsia" w:ascii="仿宋_GB2312" w:hAnsi="仿宋_GB2312" w:cs="仿宋_GB2312"/>
          <w:position w:val="-2"/>
          <w:szCs w:val="32"/>
        </w:rPr>
        <w:t>12</w:t>
      </w:r>
      <w:r>
        <w:rPr>
          <w:rFonts w:hint="eastAsia" w:ascii="仿宋_GB2312" w:hAnsi="仿宋_GB2312" w:cs="仿宋_GB2312"/>
          <w:position w:val="-2"/>
          <w:szCs w:val="32"/>
          <w:lang w:val="zh-CN"/>
        </w:rPr>
        <w:t>月</w:t>
      </w:r>
      <w:r>
        <w:rPr>
          <w:rFonts w:hint="eastAsia" w:ascii="仿宋_GB2312" w:hAnsi="仿宋_GB2312" w:cs="仿宋_GB2312"/>
          <w:position w:val="-2"/>
          <w:szCs w:val="32"/>
        </w:rPr>
        <w:t>、2023年2月</w:t>
      </w:r>
      <w:r>
        <w:rPr>
          <w:rFonts w:hint="eastAsia" w:ascii="仿宋_GB2312" w:hAnsi="仿宋_GB2312" w:cs="仿宋_GB2312"/>
          <w:position w:val="-2"/>
          <w:szCs w:val="32"/>
          <w:lang w:val="zh-CN"/>
        </w:rPr>
        <w:t>拨付2022年城区公园广场春节氛围营造资金共计</w:t>
      </w:r>
      <w:r>
        <w:rPr>
          <w:rFonts w:hint="eastAsia" w:ascii="仿宋_GB2312" w:hAnsi="仿宋_GB2312" w:cs="仿宋_GB2312"/>
          <w:position w:val="-2"/>
          <w:szCs w:val="32"/>
        </w:rPr>
        <w:t>57.0249</w:t>
      </w:r>
      <w:r>
        <w:rPr>
          <w:rFonts w:hint="eastAsia" w:ascii="仿宋_GB2312" w:hAnsi="仿宋_GB2312" w:cs="仿宋_GB2312"/>
          <w:position w:val="-2"/>
          <w:szCs w:val="32"/>
          <w:lang w:val="zh-CN"/>
        </w:rPr>
        <w:t>万元。</w:t>
      </w:r>
    </w:p>
    <w:p>
      <w:pPr>
        <w:adjustRightInd w:val="0"/>
        <w:snapToGrid w:val="0"/>
        <w:spacing w:line="576" w:lineRule="exact"/>
        <w:ind w:firstLine="640" w:firstLineChars="200"/>
        <w:contextualSpacing/>
        <w:rPr>
          <w:lang w:val="zh-CN"/>
        </w:rPr>
      </w:pPr>
      <w:r>
        <w:rPr>
          <w:rFonts w:hint="eastAsia" w:ascii="仿宋_GB2312" w:hAnsi="仿宋_GB2312" w:cs="仿宋_GB2312"/>
          <w:kern w:val="0"/>
          <w:szCs w:val="32"/>
          <w:shd w:val="clear" w:color="auto" w:fill="FFFFFF"/>
          <w:lang w:val="zh-CN"/>
        </w:rPr>
        <w:t>3</w:t>
      </w:r>
      <w:r>
        <w:rPr>
          <w:rFonts w:hint="eastAsia" w:ascii="仿宋_GB2312" w:hAnsi="仿宋_GB2312" w:cs="仿宋_GB2312"/>
          <w:kern w:val="0"/>
          <w:szCs w:val="32"/>
          <w:shd w:val="clear" w:color="auto" w:fill="FFFFFF"/>
        </w:rPr>
        <w:t>.</w:t>
      </w:r>
      <w:r>
        <w:rPr>
          <w:rFonts w:hint="eastAsia" w:ascii="仿宋_GB2312" w:hAnsi="仿宋_GB2312" w:cs="仿宋_GB2312"/>
          <w:kern w:val="0"/>
          <w:szCs w:val="32"/>
          <w:shd w:val="clear" w:color="auto" w:fill="FFFFFF"/>
          <w:lang w:val="zh-CN"/>
        </w:rPr>
        <w:t>资金使用：</w:t>
      </w:r>
      <w:r>
        <w:rPr>
          <w:rFonts w:hint="eastAsia" w:ascii="仿宋_GB2312" w:hAnsi="宋体"/>
          <w:szCs w:val="32"/>
        </w:rPr>
        <w:t>该项目资金主要用于</w:t>
      </w:r>
      <w:r>
        <w:rPr>
          <w:rFonts w:hint="eastAsia" w:ascii="仿宋_GB2312" w:hAnsi="仿宋_GB2312" w:cs="仿宋_GB2312"/>
          <w:position w:val="-2"/>
          <w:szCs w:val="32"/>
          <w:lang w:val="zh-CN"/>
        </w:rPr>
        <w:t>设置春节主题景观小品、标语、挂灯笼、中国结彩灯</w:t>
      </w:r>
      <w:r>
        <w:rPr>
          <w:rFonts w:hint="eastAsia" w:ascii="仿宋_GB2312" w:hAnsi="仿宋_GB2312" w:cs="仿宋_GB2312"/>
          <w:szCs w:val="32"/>
        </w:rPr>
        <w:t>（包括设计、物料采购、制作、安装、维护等）</w:t>
      </w:r>
      <w:r>
        <w:rPr>
          <w:rFonts w:hint="eastAsia" w:ascii="仿宋_GB2312" w:hAnsi="仿宋_GB2312" w:cs="仿宋_GB2312"/>
          <w:position w:val="-2"/>
          <w:szCs w:val="32"/>
          <w:lang w:val="zh-CN"/>
        </w:rPr>
        <w:t>。</w:t>
      </w:r>
      <w:r>
        <w:rPr>
          <w:rFonts w:hint="eastAsia" w:ascii="仿宋_GB2312" w:hAnsi="仿宋_GB2312" w:cs="仿宋_GB2312"/>
          <w:kern w:val="0"/>
          <w:szCs w:val="32"/>
          <w:shd w:val="clear" w:color="auto" w:fill="FFFFFF"/>
        </w:rPr>
        <w:t>不足部分由我公司自筹。</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（三）项目财务管理情况</w:t>
      </w:r>
    </w:p>
    <w:p>
      <w:pPr>
        <w:adjustRightInd w:val="0"/>
        <w:snapToGrid w:val="0"/>
        <w:spacing w:line="576"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lang w:val="zh-CN"/>
        </w:rPr>
        <w:t>项目财务管理制度健全，严格执行财务管理制度，账务处理及时，会计核算规范。</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三、项目实施及管理情况</w:t>
      </w:r>
    </w:p>
    <w:p>
      <w:pPr>
        <w:adjustRightInd w:val="0"/>
        <w:snapToGrid w:val="0"/>
        <w:spacing w:line="576" w:lineRule="exact"/>
        <w:ind w:firstLine="640" w:firstLineChars="200"/>
        <w:rPr>
          <w:rFonts w:ascii="楷体_GB2312" w:hAnsi="楷体_GB2312" w:eastAsia="楷体_GB2312" w:cs="楷体_GB2312"/>
        </w:rPr>
      </w:pPr>
      <w:r>
        <w:rPr>
          <w:rFonts w:hint="eastAsia" w:ascii="楷体_GB2312" w:hAnsi="楷体_GB2312" w:eastAsia="楷体_GB2312" w:cs="楷体_GB2312"/>
          <w:szCs w:val="32"/>
          <w:lang w:val="zh-CN"/>
        </w:rPr>
        <w:t>（一）项目组织架构及实施流程</w:t>
      </w:r>
    </w:p>
    <w:p>
      <w:pPr>
        <w:adjustRightInd w:val="0"/>
        <w:snapToGrid w:val="0"/>
        <w:spacing w:line="576" w:lineRule="exact"/>
        <w:ind w:firstLine="640" w:firstLineChars="200"/>
        <w:contextualSpacing/>
        <w:rPr>
          <w:rFonts w:ascii="仿宋_GB2312" w:hAnsi="仿宋_GB2312" w:cs="仿宋_GB2312"/>
        </w:rPr>
      </w:pPr>
      <w:r>
        <w:rPr>
          <w:rFonts w:hint="eastAsia" w:hAnsi="仿宋_GB2312" w:cs="仿宋_GB2312"/>
          <w:szCs w:val="32"/>
        </w:rPr>
        <w:t>广元文旅城市管理服务有限公司成立运营管理部负责城区</w:t>
      </w:r>
      <w:r>
        <w:rPr>
          <w:rFonts w:hint="eastAsia" w:ascii="仿宋_GB2312" w:hAnsi="仿宋_GB2312" w:cs="仿宋_GB2312"/>
          <w:szCs w:val="32"/>
        </w:rPr>
        <w:t>公园、广场等春节氛围营造，根据公司工作管理要求，明确职责、安排专人负责该事项的安全、质量、进度等。</w:t>
      </w:r>
    </w:p>
    <w:p>
      <w:pPr>
        <w:adjustRightInd w:val="0"/>
        <w:snapToGrid w:val="0"/>
        <w:spacing w:line="576" w:lineRule="exact"/>
        <w:ind w:firstLine="640" w:firstLineChars="200"/>
        <w:contextualSpacing/>
        <w:rPr>
          <w:rFonts w:ascii="黑体" w:hAnsi="黑体" w:eastAsia="黑体" w:cs="黑体"/>
        </w:rPr>
      </w:pPr>
      <w:r>
        <w:rPr>
          <w:rFonts w:hint="eastAsia" w:ascii="黑体" w:hAnsi="黑体" w:eastAsia="黑体" w:cs="黑体"/>
          <w:szCs w:val="32"/>
        </w:rPr>
        <w:t>该</w:t>
      </w:r>
      <w:r>
        <w:rPr>
          <w:rFonts w:hint="eastAsia" w:ascii="黑体" w:hAnsi="黑体" w:eastAsia="黑体" w:cs="黑体"/>
          <w:szCs w:val="32"/>
          <w:lang w:val="zh-CN"/>
        </w:rPr>
        <w:t>项目组织管理架构</w:t>
      </w:r>
      <w:r>
        <w:rPr>
          <w:rFonts w:hint="eastAsia" w:ascii="黑体" w:hAnsi="黑体" w:eastAsia="黑体" w:cs="黑体"/>
          <w:szCs w:val="32"/>
        </w:rPr>
        <w:t>图如下</w:t>
      </w:r>
    </w:p>
    <w:p>
      <w:pPr>
        <w:pStyle w:val="42"/>
        <w:spacing w:before="93"/>
        <w:ind w:firstLine="602"/>
        <w:rPr>
          <w:lang w:val="zh-CN"/>
        </w:rPr>
      </w:pPr>
    </w:p>
    <w:p>
      <w:pPr>
        <w:pStyle w:val="42"/>
        <w:spacing w:before="93"/>
        <w:ind w:firstLine="602"/>
      </w:pPr>
      <w:r>
        <w:rPr>
          <w:rFonts w:hint="eastAsia"/>
        </w:rPr>
        <w:drawing>
          <wp:anchor distT="0" distB="0" distL="114300" distR="114300" simplePos="0" relativeHeight="251668480" behindDoc="1" locked="0" layoutInCell="1" allowOverlap="1">
            <wp:simplePos x="0" y="0"/>
            <wp:positionH relativeFrom="column">
              <wp:posOffset>-533400</wp:posOffset>
            </wp:positionH>
            <wp:positionV relativeFrom="paragraph">
              <wp:posOffset>-592455</wp:posOffset>
            </wp:positionV>
            <wp:extent cx="6765290" cy="3133090"/>
            <wp:effectExtent l="19050" t="0" r="16510" b="0"/>
            <wp:wrapNone/>
            <wp:docPr id="18" name="图示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pPr>
        <w:adjustRightInd w:val="0"/>
        <w:snapToGrid w:val="0"/>
        <w:spacing w:line="576" w:lineRule="exact"/>
        <w:rPr>
          <w:rFonts w:ascii="仿宋_GB2312" w:hAnsi="仿宋_GB2312" w:cs="仿宋_GB2312"/>
          <w:lang w:val="zh-CN"/>
        </w:rPr>
      </w:pPr>
    </w:p>
    <w:p>
      <w:pPr>
        <w:adjustRightInd w:val="0"/>
        <w:snapToGrid w:val="0"/>
        <w:spacing w:line="576" w:lineRule="exact"/>
        <w:ind w:left="640" w:leftChars="200"/>
        <w:rPr>
          <w:rFonts w:ascii="仿宋_GB2312" w:hAnsi="仿宋_GB2312" w:cs="仿宋_GB2312"/>
          <w:lang w:val="zh-CN"/>
        </w:rPr>
      </w:pPr>
    </w:p>
    <w:p>
      <w:pPr>
        <w:adjustRightInd w:val="0"/>
        <w:snapToGrid w:val="0"/>
        <w:spacing w:line="576" w:lineRule="exact"/>
        <w:ind w:firstLine="320" w:firstLineChars="100"/>
        <w:rPr>
          <w:rFonts w:ascii="仿宋_GB2312" w:hAnsi="仿宋_GB2312" w:cs="仿宋_GB2312"/>
          <w:lang w:val="zh-CN"/>
        </w:rPr>
      </w:pPr>
      <w:r>
        <w:rPr>
          <w:rFonts w:hint="eastAsia" w:ascii="楷体_GB2312" w:hAnsi="楷体_GB2312" w:eastAsia="楷体_GB2312" w:cs="楷体_GB2312"/>
          <w:szCs w:val="32"/>
          <w:lang w:val="zh-CN"/>
        </w:rPr>
        <w:t>（二）项目管理情况</w:t>
      </w:r>
    </w:p>
    <w:p>
      <w:pPr>
        <w:spacing w:line="576" w:lineRule="exact"/>
        <w:ind w:firstLine="640" w:firstLineChars="200"/>
        <w:jc w:val="left"/>
        <w:rPr>
          <w:lang w:val="zh-CN"/>
        </w:rPr>
      </w:pPr>
      <w:r>
        <w:rPr>
          <w:rFonts w:hint="eastAsia" w:hAnsi="仿宋_GB2312" w:cs="仿宋_GB2312"/>
          <w:szCs w:val="32"/>
        </w:rPr>
        <w:t>广元文旅城市管理服务有限公司</w:t>
      </w:r>
      <w:r>
        <w:rPr>
          <w:rFonts w:hint="eastAsia" w:ascii="仿宋_GB2312" w:hAnsi="仿宋_GB2312" w:cs="仿宋_GB2312"/>
          <w:szCs w:val="32"/>
          <w:lang w:val="zh-CN"/>
        </w:rPr>
        <w:t>项目组织管理架构及具体实施流程，包括机构设置、监管措施、执行相关管理制度相关情况全部符合法律法规流程。</w:t>
      </w:r>
    </w:p>
    <w:p>
      <w:pPr>
        <w:adjustRightInd w:val="0"/>
        <w:snapToGrid w:val="0"/>
        <w:spacing w:line="576" w:lineRule="exact"/>
        <w:ind w:firstLine="320" w:firstLineChars="100"/>
        <w:rPr>
          <w:rFonts w:ascii="楷体_GB2312" w:hAnsi="楷体_GB2312" w:eastAsia="楷体_GB2312" w:cs="楷体_GB2312"/>
          <w:lang w:val="zh-CN"/>
        </w:rPr>
      </w:pPr>
      <w:r>
        <w:rPr>
          <w:rFonts w:hint="eastAsia" w:ascii="楷体_GB2312" w:hAnsi="楷体_GB2312" w:eastAsia="楷体_GB2312" w:cs="楷体_GB2312"/>
          <w:szCs w:val="32"/>
          <w:lang w:val="zh-CN"/>
        </w:rPr>
        <w:t>（三）项目监管情况</w:t>
      </w:r>
    </w:p>
    <w:p>
      <w:pPr>
        <w:adjustRightInd w:val="0"/>
        <w:snapToGrid w:val="0"/>
        <w:spacing w:line="576" w:lineRule="exact"/>
        <w:ind w:firstLine="640" w:firstLineChars="200"/>
        <w:rPr>
          <w:rFonts w:ascii="仿宋_GB2312" w:hAnsi="仿宋_GB2312" w:cs="仿宋_GB2312"/>
          <w:lang w:val="zh-CN"/>
        </w:rPr>
      </w:pPr>
      <w:r>
        <w:rPr>
          <w:rFonts w:hint="eastAsia" w:ascii="仿宋_GB2312" w:hAnsi="仿宋_GB2312" w:cs="仿宋_GB2312"/>
          <w:szCs w:val="32"/>
        </w:rPr>
        <w:t>市国资委投资科定期组织人员对项目建设进度、质量和安全进行实地抽查，并组织人员对项目资料进行查看。</w:t>
      </w:r>
    </w:p>
    <w:p>
      <w:pPr>
        <w:adjustRightInd w:val="0"/>
        <w:snapToGrid w:val="0"/>
        <w:spacing w:line="576" w:lineRule="exact"/>
        <w:ind w:firstLine="640" w:firstLineChars="200"/>
        <w:rPr>
          <w:rFonts w:ascii="仿宋_GB2312" w:hAnsi="宋体"/>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（一）项目完成情况</w:t>
      </w:r>
    </w:p>
    <w:p>
      <w:pPr>
        <w:pStyle w:val="2"/>
        <w:widowControl/>
        <w:adjustRightInd w:val="0"/>
        <w:snapToGrid w:val="0"/>
        <w:spacing w:before="93" w:line="576" w:lineRule="exact"/>
        <w:ind w:firstLine="640" w:firstLineChars="200"/>
        <w:rPr>
          <w:rFonts w:hAnsi="仿宋_GB2312" w:cs="仿宋_GB2312"/>
        </w:rPr>
      </w:pPr>
      <w:r>
        <w:rPr>
          <w:rFonts w:hint="eastAsia" w:ascii="Times New Roman" w:hAnsi="仿宋_GB2312" w:cs="仿宋_GB2312"/>
          <w:kern w:val="2"/>
          <w:sz w:val="32"/>
          <w:szCs w:val="32"/>
        </w:rPr>
        <w:t>1.湿地公园春节氛围营造。一是公园入口设计安装主题造型</w:t>
      </w:r>
      <w:r>
        <w:rPr>
          <w:rFonts w:hint="eastAsia" w:hAnsi="仿宋_GB2312" w:cs="仿宋_GB2312"/>
          <w:kern w:val="2"/>
          <w:sz w:val="32"/>
          <w:szCs w:val="32"/>
        </w:rPr>
        <w:t>2</w:t>
      </w:r>
      <w:r>
        <w:rPr>
          <w:rFonts w:hint="eastAsia" w:ascii="Times New Roman" w:hAnsi="仿宋_GB2312" w:cs="仿宋_GB2312"/>
          <w:kern w:val="2"/>
          <w:sz w:val="32"/>
          <w:szCs w:val="32"/>
        </w:rPr>
        <w:t>组；二是公园重点区域安装夜间景观造型，使用流星雨</w:t>
      </w:r>
      <w:r>
        <w:rPr>
          <w:rFonts w:hint="eastAsia" w:hAnsi="仿宋_GB2312" w:cs="仿宋_GB2312"/>
          <w:kern w:val="2"/>
          <w:sz w:val="32"/>
          <w:szCs w:val="32"/>
        </w:rPr>
        <w:t>800</w:t>
      </w:r>
      <w:r>
        <w:rPr>
          <w:rFonts w:hint="eastAsia" w:ascii="Times New Roman" w:hAnsi="仿宋_GB2312" w:cs="仿宋_GB2312"/>
          <w:kern w:val="2"/>
          <w:sz w:val="32"/>
          <w:szCs w:val="32"/>
        </w:rPr>
        <w:t>根和满天星</w:t>
      </w:r>
      <w:r>
        <w:rPr>
          <w:rFonts w:hint="eastAsia" w:hAnsi="仿宋_GB2312" w:cs="仿宋_GB2312"/>
          <w:kern w:val="2"/>
          <w:sz w:val="32"/>
          <w:szCs w:val="32"/>
        </w:rPr>
        <w:t>800</w:t>
      </w:r>
      <w:r>
        <w:rPr>
          <w:rFonts w:hint="eastAsia" w:ascii="Times New Roman" w:hAnsi="仿宋_GB2312" w:cs="仿宋_GB2312"/>
          <w:kern w:val="2"/>
          <w:sz w:val="32"/>
          <w:szCs w:val="32"/>
        </w:rPr>
        <w:t>串；三是主要廊道和景观建筑悬挂灯笼</w:t>
      </w:r>
      <w:r>
        <w:rPr>
          <w:rFonts w:hint="eastAsia" w:hAnsi="仿宋_GB2312" w:cs="仿宋_GB2312"/>
          <w:kern w:val="2"/>
          <w:sz w:val="32"/>
          <w:szCs w:val="32"/>
        </w:rPr>
        <w:t>1000</w:t>
      </w:r>
      <w:r>
        <w:rPr>
          <w:rFonts w:hint="eastAsia" w:ascii="Times New Roman" w:hAnsi="仿宋_GB2312" w:cs="仿宋_GB2312"/>
          <w:kern w:val="2"/>
          <w:sz w:val="32"/>
          <w:szCs w:val="32"/>
        </w:rPr>
        <w:t>个和绒布小灯笼50包。</w:t>
      </w:r>
    </w:p>
    <w:p>
      <w:pPr>
        <w:pStyle w:val="2"/>
        <w:widowControl/>
        <w:adjustRightInd w:val="0"/>
        <w:snapToGrid w:val="0"/>
        <w:spacing w:before="93" w:line="576" w:lineRule="exact"/>
        <w:ind w:firstLine="640" w:firstLineChars="200"/>
        <w:rPr>
          <w:rFonts w:hAnsi="仿宋_GB2312" w:cs="仿宋_GB2312"/>
        </w:rPr>
      </w:pPr>
      <w:r>
        <w:rPr>
          <w:rFonts w:hint="eastAsia" w:ascii="Times New Roman" w:hAnsi="仿宋_GB2312" w:cs="仿宋_GB2312"/>
          <w:kern w:val="2"/>
          <w:sz w:val="32"/>
          <w:szCs w:val="32"/>
        </w:rPr>
        <w:t>2.凤凰山公春节氛围营造。一是园内西入口设计安装主题造型</w:t>
      </w:r>
      <w:r>
        <w:rPr>
          <w:rFonts w:hint="eastAsia" w:hAnsi="仿宋_GB2312" w:cs="仿宋_GB2312"/>
          <w:kern w:val="2"/>
          <w:sz w:val="32"/>
          <w:szCs w:val="32"/>
        </w:rPr>
        <w:t>1</w:t>
      </w:r>
      <w:r>
        <w:rPr>
          <w:rFonts w:hint="eastAsia" w:ascii="Times New Roman" w:hAnsi="仿宋_GB2312" w:cs="仿宋_GB2312"/>
          <w:kern w:val="2"/>
          <w:sz w:val="32"/>
          <w:szCs w:val="32"/>
        </w:rPr>
        <w:t>组；二是落实凤凰楼、宿风亭和西入口亮化景观；三是北入口设置灯笼走廊，冬瓜灯笼</w:t>
      </w:r>
      <w:r>
        <w:rPr>
          <w:rFonts w:hint="eastAsia" w:hAnsi="仿宋_GB2312" w:cs="仿宋_GB2312"/>
          <w:kern w:val="2"/>
          <w:sz w:val="32"/>
          <w:szCs w:val="32"/>
        </w:rPr>
        <w:t>800</w:t>
      </w:r>
      <w:r>
        <w:rPr>
          <w:rFonts w:hint="eastAsia" w:ascii="Times New Roman" w:hAnsi="仿宋_GB2312" w:cs="仿宋_GB2312"/>
          <w:kern w:val="2"/>
          <w:sz w:val="32"/>
          <w:szCs w:val="32"/>
        </w:rPr>
        <w:t>个；四是公园重点区域安装夜间景观造型，使用灯带</w:t>
      </w:r>
      <w:r>
        <w:rPr>
          <w:rFonts w:hint="eastAsia" w:hAnsi="仿宋_GB2312" w:cs="仿宋_GB2312"/>
          <w:kern w:val="2"/>
          <w:sz w:val="32"/>
          <w:szCs w:val="32"/>
        </w:rPr>
        <w:t>LED</w:t>
      </w:r>
      <w:r>
        <w:rPr>
          <w:rFonts w:hint="eastAsia" w:ascii="Times New Roman" w:hAnsi="仿宋_GB2312" w:cs="仿宋_GB2312"/>
          <w:kern w:val="2"/>
          <w:sz w:val="32"/>
          <w:szCs w:val="32"/>
        </w:rPr>
        <w:t>灯带</w:t>
      </w:r>
      <w:r>
        <w:rPr>
          <w:rFonts w:hint="eastAsia" w:hAnsi="仿宋_GB2312" w:cs="仿宋_GB2312"/>
          <w:kern w:val="2"/>
          <w:sz w:val="32"/>
          <w:szCs w:val="32"/>
        </w:rPr>
        <w:t>500</w:t>
      </w:r>
      <w:r>
        <w:rPr>
          <w:rFonts w:hint="eastAsia" w:ascii="Times New Roman" w:hAnsi="仿宋_GB2312" w:cs="仿宋_GB2312"/>
          <w:kern w:val="2"/>
          <w:sz w:val="32"/>
          <w:szCs w:val="32"/>
        </w:rPr>
        <w:t>米、流星雨</w:t>
      </w:r>
      <w:r>
        <w:rPr>
          <w:rFonts w:hint="eastAsia" w:hAnsi="仿宋_GB2312" w:cs="仿宋_GB2312"/>
          <w:kern w:val="2"/>
          <w:sz w:val="32"/>
          <w:szCs w:val="32"/>
        </w:rPr>
        <w:t>800</w:t>
      </w:r>
      <w:r>
        <w:rPr>
          <w:rFonts w:hint="eastAsia" w:ascii="Times New Roman" w:hAnsi="仿宋_GB2312" w:cs="仿宋_GB2312"/>
          <w:kern w:val="2"/>
          <w:sz w:val="32"/>
          <w:szCs w:val="32"/>
        </w:rPr>
        <w:t>根和满天星</w:t>
      </w:r>
      <w:r>
        <w:rPr>
          <w:rFonts w:hint="eastAsia" w:hAnsi="仿宋_GB2312" w:cs="仿宋_GB2312"/>
          <w:kern w:val="2"/>
          <w:sz w:val="32"/>
          <w:szCs w:val="32"/>
        </w:rPr>
        <w:t>800</w:t>
      </w:r>
      <w:r>
        <w:rPr>
          <w:rFonts w:hint="eastAsia" w:ascii="Times New Roman" w:hAnsi="仿宋_GB2312" w:cs="仿宋_GB2312"/>
          <w:kern w:val="2"/>
          <w:sz w:val="32"/>
          <w:szCs w:val="32"/>
        </w:rPr>
        <w:t>串；五是公园主要道路安装彩旗</w:t>
      </w:r>
      <w:r>
        <w:rPr>
          <w:rFonts w:hint="eastAsia" w:hAnsi="仿宋_GB2312" w:cs="仿宋_GB2312"/>
          <w:kern w:val="2"/>
          <w:sz w:val="32"/>
          <w:szCs w:val="32"/>
        </w:rPr>
        <w:t>100面</w:t>
      </w:r>
      <w:r>
        <w:rPr>
          <w:rFonts w:hint="eastAsia" w:ascii="Times New Roman" w:hAnsi="仿宋_GB2312" w:cs="仿宋_GB2312"/>
          <w:kern w:val="2"/>
          <w:sz w:val="32"/>
          <w:szCs w:val="32"/>
        </w:rPr>
        <w:t>，六是公园景观建筑悬挂灯笼，包括</w:t>
      </w:r>
      <w:r>
        <w:rPr>
          <w:rFonts w:hint="eastAsia" w:hAnsi="仿宋_GB2312" w:cs="仿宋_GB2312"/>
          <w:kern w:val="2"/>
          <w:sz w:val="32"/>
          <w:szCs w:val="32"/>
        </w:rPr>
        <w:t xml:space="preserve"> 80#灯</w:t>
      </w:r>
      <w:r>
        <w:rPr>
          <w:rFonts w:hint="eastAsia" w:ascii="Times New Roman" w:hAnsi="仿宋_GB2312" w:cs="仿宋_GB2312"/>
          <w:kern w:val="2"/>
          <w:sz w:val="32"/>
          <w:szCs w:val="32"/>
        </w:rPr>
        <w:t>笼</w:t>
      </w:r>
      <w:r>
        <w:rPr>
          <w:rFonts w:hint="eastAsia" w:hAnsi="仿宋_GB2312" w:cs="仿宋_GB2312"/>
          <w:kern w:val="2"/>
          <w:sz w:val="32"/>
          <w:szCs w:val="32"/>
        </w:rPr>
        <w:t>80个、120#灯笼14个</w:t>
      </w:r>
      <w:r>
        <w:rPr>
          <w:rFonts w:hint="eastAsia" w:ascii="Times New Roman" w:hAnsi="仿宋_GB2312" w:cs="仿宋_GB2312"/>
          <w:kern w:val="2"/>
          <w:sz w:val="32"/>
          <w:szCs w:val="32"/>
        </w:rPr>
        <w:t>和绒布小灯笼</w:t>
      </w:r>
      <w:r>
        <w:rPr>
          <w:rFonts w:hint="eastAsia" w:hAnsi="仿宋_GB2312" w:cs="仿宋_GB2312"/>
          <w:kern w:val="2"/>
          <w:sz w:val="32"/>
          <w:szCs w:val="32"/>
        </w:rPr>
        <w:t>50包。</w:t>
      </w:r>
    </w:p>
    <w:p>
      <w:pPr>
        <w:pStyle w:val="2"/>
        <w:widowControl/>
        <w:adjustRightInd w:val="0"/>
        <w:snapToGrid w:val="0"/>
        <w:spacing w:before="93" w:line="576" w:lineRule="exact"/>
        <w:ind w:firstLine="640" w:firstLineChars="200"/>
        <w:rPr>
          <w:rFonts w:hAnsi="仿宋_GB2312" w:cs="仿宋_GB2312"/>
        </w:rPr>
      </w:pPr>
      <w:r>
        <w:rPr>
          <w:rFonts w:hint="eastAsia" w:ascii="Times New Roman" w:hAnsi="仿宋_GB2312" w:cs="仿宋_GB2312"/>
          <w:kern w:val="2"/>
          <w:sz w:val="32"/>
          <w:szCs w:val="32"/>
        </w:rPr>
        <w:t>3.红星公园春节氛围营造。一是公园入口设计安装主题造型</w:t>
      </w:r>
      <w:r>
        <w:rPr>
          <w:rFonts w:hint="eastAsia" w:hAnsi="仿宋_GB2312" w:cs="仿宋_GB2312"/>
          <w:kern w:val="2"/>
          <w:sz w:val="32"/>
          <w:szCs w:val="32"/>
        </w:rPr>
        <w:t>1组；</w:t>
      </w:r>
      <w:r>
        <w:rPr>
          <w:rFonts w:hint="eastAsia" w:ascii="Times New Roman" w:hAnsi="仿宋_GB2312" w:cs="仿宋_GB2312"/>
          <w:kern w:val="2"/>
          <w:sz w:val="32"/>
          <w:szCs w:val="32"/>
        </w:rPr>
        <w:t>二是公园广场安装特大灯笼、流星雨</w:t>
      </w:r>
      <w:r>
        <w:rPr>
          <w:rFonts w:hint="eastAsia" w:hAnsi="仿宋_GB2312" w:cs="仿宋_GB2312"/>
          <w:kern w:val="2"/>
          <w:sz w:val="32"/>
          <w:szCs w:val="32"/>
        </w:rPr>
        <w:t>400根和满天星400</w:t>
      </w:r>
      <w:r>
        <w:rPr>
          <w:rFonts w:hint="eastAsia" w:ascii="Times New Roman" w:hAnsi="仿宋_GB2312" w:cs="仿宋_GB2312"/>
          <w:kern w:val="2"/>
          <w:sz w:val="32"/>
          <w:szCs w:val="32"/>
        </w:rPr>
        <w:t>串；三是观影广场设置</w:t>
      </w:r>
      <w:r>
        <w:rPr>
          <w:rFonts w:hint="eastAsia" w:hAnsi="仿宋_GB2312" w:cs="仿宋_GB2312"/>
          <w:kern w:val="2"/>
          <w:sz w:val="32"/>
          <w:szCs w:val="32"/>
        </w:rPr>
        <w:t>彩旗200面；四是上山步道悬挂冬瓜灯笼800个；五是公园主路道路悬挂灯笼500个和中国结200个；六是保障红星塔亮灯。</w:t>
      </w:r>
    </w:p>
    <w:p>
      <w:pPr>
        <w:pStyle w:val="2"/>
        <w:widowControl/>
        <w:adjustRightInd w:val="0"/>
        <w:snapToGrid w:val="0"/>
        <w:spacing w:before="93" w:line="576" w:lineRule="exact"/>
        <w:ind w:firstLine="640" w:firstLineChars="200"/>
        <w:rPr>
          <w:rFonts w:hAnsi="仿宋_GB2312" w:cs="仿宋_GB2312"/>
        </w:rPr>
      </w:pPr>
      <w:r>
        <w:rPr>
          <w:rFonts w:hint="eastAsia" w:hAnsi="仿宋_GB2312" w:cs="仿宋_GB2312"/>
          <w:kern w:val="2"/>
          <w:sz w:val="32"/>
          <w:szCs w:val="32"/>
        </w:rPr>
        <w:t>4.利州广场春节氛围营造。一是设计安装主题造型1组；二是广场安装夜间景观造型灯带100米、流星雨灯管600根和满天星灯串400串；三是广场周边悬挂灯笼，使用80#灯笼450个，小灯笼50包和藤球灯1600个。</w:t>
      </w:r>
    </w:p>
    <w:p>
      <w:pPr>
        <w:pStyle w:val="2"/>
        <w:widowControl/>
        <w:adjustRightInd w:val="0"/>
        <w:snapToGrid w:val="0"/>
        <w:spacing w:before="93" w:line="576" w:lineRule="exact"/>
        <w:ind w:firstLine="640" w:firstLineChars="200"/>
        <w:rPr>
          <w:rFonts w:hAnsi="仿宋_GB2312" w:cs="仿宋_GB2312"/>
        </w:rPr>
      </w:pPr>
      <w:r>
        <w:rPr>
          <w:rFonts w:hint="eastAsia" w:hAnsi="仿宋_GB2312" w:cs="仿宋_GB2312"/>
          <w:kern w:val="2"/>
          <w:sz w:val="32"/>
          <w:szCs w:val="32"/>
        </w:rPr>
        <w:t>5.南河广场春节氛围营造。一是设计安装主题造型1组；二是广场安装夜间景观造型灯带100米、流星雨灯管400根和满天星灯串150串；三是广场周边悬挂灯笼，使用80#灯笼500个和冬瓜灯笼500个。</w:t>
      </w:r>
    </w:p>
    <w:p>
      <w:pPr>
        <w:pStyle w:val="2"/>
        <w:widowControl/>
        <w:adjustRightInd w:val="0"/>
        <w:snapToGrid w:val="0"/>
        <w:spacing w:before="93" w:line="576" w:lineRule="exact"/>
        <w:ind w:firstLine="640" w:firstLineChars="200"/>
        <w:rPr>
          <w:rFonts w:hAnsi="仿宋_GB2312" w:cs="仿宋_GB2312"/>
        </w:rPr>
      </w:pPr>
      <w:r>
        <w:rPr>
          <w:rFonts w:hint="eastAsia" w:hAnsi="仿宋_GB2312" w:cs="仿宋_GB2312"/>
          <w:kern w:val="2"/>
          <w:sz w:val="32"/>
          <w:szCs w:val="32"/>
        </w:rPr>
        <w:t>6.嘉陵广场春节氛围营造。一是广场设计安装主题景观造型1组；二是广场安装夜间景观造型，使用流星雨灯管300根和满天星灯串200串；三是广场周边悬挂灯笼，使用80#灯笼150个和冬瓜灯笼150个。</w:t>
      </w:r>
    </w:p>
    <w:p>
      <w:pPr>
        <w:pStyle w:val="2"/>
        <w:widowControl/>
        <w:adjustRightInd w:val="0"/>
        <w:snapToGrid w:val="0"/>
        <w:spacing w:before="93" w:line="576" w:lineRule="exact"/>
        <w:ind w:firstLine="640" w:firstLineChars="200"/>
        <w:rPr>
          <w:rFonts w:hAnsi="仿宋_GB2312" w:cs="仿宋_GB2312"/>
        </w:rPr>
      </w:pPr>
      <w:r>
        <w:rPr>
          <w:rFonts w:hint="eastAsia" w:hAnsi="仿宋_GB2312" w:cs="仿宋_GB2312"/>
          <w:kern w:val="2"/>
          <w:sz w:val="32"/>
          <w:szCs w:val="32"/>
        </w:rPr>
        <w:t>7.苴国广场春节氛围营造。一是广场设计安装主题景观造型1组；二是广场安装夜间景观造型，使用LED灯带100米和流星雨灯管400根；三是广场周边悬挂灯笼，使用80#灯笼300个和绒布灯笼10包。</w:t>
      </w:r>
    </w:p>
    <w:p>
      <w:pPr>
        <w:adjustRightInd w:val="0"/>
        <w:snapToGrid w:val="0"/>
        <w:spacing w:line="576" w:lineRule="exact"/>
        <w:ind w:firstLine="640" w:firstLineChars="200"/>
        <w:rPr>
          <w:rFonts w:ascii="楷体_GB2312" w:hAnsi="楷体_GB2312" w:eastAsia="楷体_GB2312" w:cs="楷体_GB2312"/>
          <w:lang w:val="zh-CN"/>
        </w:rPr>
      </w:pPr>
      <w:r>
        <w:rPr>
          <w:rFonts w:hint="eastAsia" w:ascii="楷体_GB2312" w:hAnsi="楷体_GB2312" w:eastAsia="楷体_GB2312" w:cs="楷体_GB2312"/>
          <w:szCs w:val="32"/>
          <w:lang w:val="zh-CN"/>
        </w:rPr>
        <w:t>（二）项目效益情况</w:t>
      </w:r>
    </w:p>
    <w:p>
      <w:pPr>
        <w:adjustRightInd w:val="0"/>
        <w:snapToGrid w:val="0"/>
        <w:spacing w:line="576"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zCs w:val="32"/>
          <w:shd w:val="clear" w:color="auto" w:fill="FFFFFF"/>
        </w:rPr>
        <w:t>弘扬中国传统文化，营造喜庆祥和文明的节日气氛，让广大群众在欢乐、温馨、文明、和谐的环境中欢度春节，推动广元高质量发展、加快建设川陕甘结合部现代化中心城市凝聚强大精神力量</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五、评价结论及建议</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2022年城区公园广场春节氛围营造项目打造了干净整洁的城市环境，增强了居民群众的获得感、幸福感、安全感，举办了有温度、有年味、有特色的文化活动，营造了欢乐祥和、喜庆热烈、文明进步的节日氛围。</w:t>
      </w:r>
    </w:p>
    <w:p>
      <w:pPr>
        <w:adjustRightInd w:val="0"/>
        <w:snapToGrid w:val="0"/>
        <w:spacing w:line="576" w:lineRule="exact"/>
        <w:ind w:firstLine="640" w:firstLineChars="200"/>
        <w:contextualSpacing/>
        <w:jc w:val="left"/>
        <w:rPr>
          <w:rFonts w:ascii="仿宋_GB2312" w:hAnsi="仿宋_GB2312" w:cs="仿宋_GB2312"/>
          <w:kern w:val="0"/>
          <w:shd w:val="clear" w:color="auto" w:fill="FFFFFF"/>
          <w:lang w:val="zh-CN"/>
        </w:rPr>
      </w:pPr>
    </w:p>
    <w:p>
      <w:pPr>
        <w:pStyle w:val="36"/>
        <w:spacing w:line="576" w:lineRule="exact"/>
        <w:jc w:val="left"/>
        <w:rPr>
          <w:rFonts w:ascii="宋体" w:hAnsi="宋体"/>
          <w:color w:val="auto"/>
          <w:kern w:val="2"/>
          <w:sz w:val="32"/>
          <w:szCs w:val="32"/>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2</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ind w:firstLine="640"/>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2022年城区公园、广场和栖凤湖运行维护项目</w:t>
      </w:r>
      <w:r>
        <w:rPr>
          <w:rFonts w:hint="eastAsia" w:ascii="仿宋_GB2312"/>
          <w:sz w:val="32"/>
          <w:szCs w:val="32"/>
        </w:rPr>
        <w:t>）</w:t>
      </w:r>
    </w:p>
    <w:p>
      <w:pPr>
        <w:adjustRightInd w:val="0"/>
        <w:snapToGrid w:val="0"/>
        <w:spacing w:line="576" w:lineRule="exact"/>
        <w:ind w:firstLine="640" w:firstLineChars="200"/>
        <w:rPr>
          <w:rFonts w:ascii="黑体" w:hAnsi="宋体" w:eastAsia="黑体"/>
          <w:color w:val="000000" w:themeColor="text1"/>
          <w:lang w:val="zh-CN"/>
          <w14:textFill>
            <w14:solidFill>
              <w14:schemeClr w14:val="tx1"/>
            </w14:solidFill>
          </w14:textFill>
        </w:rPr>
      </w:pPr>
      <w:r>
        <w:rPr>
          <w:rFonts w:hint="eastAsia" w:ascii="黑体" w:hAnsi="宋体" w:eastAsia="黑体"/>
          <w:color w:val="000000" w:themeColor="text1"/>
          <w14:textFill>
            <w14:solidFill>
              <w14:schemeClr w14:val="tx1"/>
            </w14:solidFill>
          </w14:textFill>
        </w:rPr>
        <w:t>一、</w:t>
      </w:r>
      <w:r>
        <w:rPr>
          <w:rFonts w:hint="eastAsia" w:ascii="黑体" w:hAnsi="宋体" w:eastAsia="黑体"/>
          <w:color w:val="000000" w:themeColor="text1"/>
          <w:lang w:val="zh-CN"/>
          <w14:textFill>
            <w14:solidFill>
              <w14:schemeClr w14:val="tx1"/>
            </w14:solidFill>
          </w14:textFill>
        </w:rPr>
        <w:t>项目概况</w:t>
      </w:r>
    </w:p>
    <w:p>
      <w:pPr>
        <w:snapToGrid w:val="0"/>
        <w:spacing w:line="576" w:lineRule="exact"/>
        <w:ind w:firstLine="640" w:firstLineChars="200"/>
        <w:rPr>
          <w:rFonts w:ascii="仿宋_GB2312" w:hAnsi="仿宋_GB2312" w:cs="仿宋_GB2312"/>
          <w:color w:val="000000" w:themeColor="text1"/>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（一）项目基本情况</w:t>
      </w:r>
    </w:p>
    <w:p>
      <w:pPr>
        <w:pStyle w:val="36"/>
        <w:spacing w:line="576" w:lineRule="exact"/>
        <w:ind w:left="640" w:firstLine="640" w:firstLineChars="200"/>
        <w:rPr>
          <w:rFonts w:ascii="仿宋_GB2312" w:hAnsi="仿宋_GB2312" w:cs="仿宋_GB2312"/>
          <w:color w:val="000000" w:themeColor="text1"/>
          <w:kern w:val="2"/>
          <w:sz w:val="32"/>
          <w:szCs w:val="32"/>
          <w:lang w:val="en-US"/>
          <w14:textFill>
            <w14:solidFill>
              <w14:schemeClr w14:val="tx1"/>
            </w14:solidFill>
          </w14:textFill>
        </w:rPr>
      </w:pPr>
      <w:r>
        <w:rPr>
          <w:rFonts w:hint="eastAsia" w:ascii="仿宋_GB2312" w:hAnsi="仿宋_GB2312" w:cs="仿宋_GB2312"/>
          <w:color w:val="000000" w:themeColor="text1"/>
          <w:kern w:val="2"/>
          <w:sz w:val="32"/>
          <w:szCs w:val="32"/>
          <w:lang w:val="en-US"/>
          <w14:textFill>
            <w14:solidFill>
              <w14:schemeClr w14:val="tx1"/>
            </w14:solidFill>
          </w14:textFill>
        </w:rPr>
        <w:t>市国资委作为2022年城区公园、广场和栖凤湖运行维护项目主管部门，在项目建设过程中，积极督导项目承建单位广元文旅城市管理有限公司进行项目推进相关事宜。</w:t>
      </w:r>
    </w:p>
    <w:p>
      <w:pPr>
        <w:snapToGrid w:val="0"/>
        <w:spacing w:line="576"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为贯彻落实市委、市政府关于城市管理体制改革工作精神，按照七届市委常委会第197次会议审定的《关于市城区广场栖凤湖运行管理体制调整有关事宜的请示》（广府党组〔2020〕78号）要求，市文旅集团迅速组建广元文旅城市管理服务有限公司，于2021年3月承接栖凤湖清漂以及三大公园、四大广场的管理运营工作。</w:t>
      </w:r>
    </w:p>
    <w:p>
      <w:pPr>
        <w:spacing w:line="576" w:lineRule="exact"/>
        <w:ind w:firstLine="640" w:firstLineChars="200"/>
        <w:jc w:val="left"/>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仿宋_GB2312" w:hAnsi="仿宋_GB2312" w:cs="仿宋_GB2312"/>
          <w:color w:val="000000" w:themeColor="text1"/>
          <w:kern w:val="0"/>
          <w:szCs w:val="32"/>
          <w:shd w:val="clear" w:color="auto" w:fill="FFFFFF"/>
          <w14:textFill>
            <w14:solidFill>
              <w14:schemeClr w14:val="tx1"/>
            </w14:solidFill>
          </w14:textFill>
        </w:rPr>
        <w:t>项目管理办法：</w:t>
      </w:r>
      <w:r>
        <w:rPr>
          <w:rFonts w:hint="eastAsia" w:ascii="仿宋" w:hAnsi="仿宋" w:eastAsia="仿宋" w:cs="仿宋"/>
          <w:color w:val="000000" w:themeColor="text1"/>
          <w:szCs w:val="32"/>
          <w14:textFill>
            <w14:solidFill>
              <w14:schemeClr w14:val="tx1"/>
            </w14:solidFill>
          </w14:textFill>
        </w:rPr>
        <w:t>严格按照《广元市政府国有企业阳光采购监督管理暂行办法》，</w:t>
      </w:r>
      <w:r>
        <w:rPr>
          <w:rFonts w:hint="eastAsia" w:ascii="仿宋_GB2312" w:hAnsi="仿宋_GB2312" w:cs="仿宋_GB2312"/>
          <w:color w:val="000000" w:themeColor="text1"/>
          <w:kern w:val="0"/>
          <w:szCs w:val="32"/>
          <w:shd w:val="clear" w:color="auto" w:fill="FFFFFF"/>
          <w14:textFill>
            <w14:solidFill>
              <w14:schemeClr w14:val="tx1"/>
            </w14:solidFill>
          </w14:textFill>
        </w:rPr>
        <w:t>参照广元市文化旅游投资集团有限公司《阳光采购管理暂行办法》及《文旅集团及子公司三会行权轨迹清单》，并结合《广元文旅城市管理服务有限公司规章制度》执行。</w:t>
      </w:r>
    </w:p>
    <w:p>
      <w:pPr>
        <w:pStyle w:val="15"/>
        <w:spacing w:line="576" w:lineRule="exact"/>
        <w:ind w:left="0" w:leftChars="0" w:firstLine="640"/>
        <w:rPr>
          <w:color w:val="000000" w:themeColor="text1"/>
          <w14:textFill>
            <w14:solidFill>
              <w14:schemeClr w14:val="tx1"/>
            </w14:solidFill>
          </w14:textFill>
        </w:rPr>
      </w:pPr>
      <w:r>
        <w:rPr>
          <w:rFonts w:hint="eastAsia" w:hAnsi="仿宋_GB2312" w:cs="仿宋_GB2312"/>
          <w:color w:val="000000" w:themeColor="text1"/>
          <w:kern w:val="0"/>
          <w:shd w:val="clear" w:color="auto" w:fill="FFFFFF"/>
          <w:lang w:val="zh-CN"/>
          <w14:textFill>
            <w14:solidFill>
              <w14:schemeClr w14:val="tx1"/>
            </w14:solidFill>
          </w14:textFill>
        </w:rPr>
        <w:t>项目资金的分配始终坚持一个原则：全力保证</w:t>
      </w:r>
      <w:r>
        <w:rPr>
          <w:rFonts w:hint="eastAsia" w:hAnsi="仿宋_GB2312" w:cs="仿宋_GB2312"/>
          <w:color w:val="000000" w:themeColor="text1"/>
          <w14:textFill>
            <w14:solidFill>
              <w14:schemeClr w14:val="tx1"/>
            </w14:solidFill>
          </w14:textFill>
        </w:rPr>
        <w:t>2022年城区公园、广场和栖凤湖运行维护项目</w:t>
      </w:r>
      <w:r>
        <w:rPr>
          <w:rFonts w:hint="eastAsia" w:hAnsi="仿宋_GB2312" w:cs="仿宋_GB2312"/>
          <w:color w:val="000000" w:themeColor="text1"/>
          <w:kern w:val="0"/>
          <w:shd w:val="clear" w:color="auto" w:fill="FFFFFF"/>
          <w:lang w:val="zh-CN"/>
          <w14:textFill>
            <w14:solidFill>
              <w14:schemeClr w14:val="tx1"/>
            </w14:solidFill>
          </w14:textFill>
        </w:rPr>
        <w:t>顺利推进，确保资金公平合理地分配到</w:t>
      </w:r>
      <w:r>
        <w:rPr>
          <w:rFonts w:hint="eastAsia"/>
          <w:color w:val="000000" w:themeColor="text1"/>
          <w:lang w:val="zh-CN"/>
          <w14:textFill>
            <w14:solidFill>
              <w14:schemeClr w14:val="tx1"/>
            </w14:solidFill>
          </w14:textFill>
        </w:rPr>
        <w:t>项目建设的各个环节，提升项目质量和资金使用效益，实现资金落到实处，强化执行过程监督。</w:t>
      </w:r>
    </w:p>
    <w:p>
      <w:pPr>
        <w:numPr>
          <w:ilvl w:val="0"/>
          <w:numId w:val="13"/>
        </w:num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项目绩效目标</w:t>
      </w:r>
    </w:p>
    <w:p>
      <w:pPr>
        <w:snapToGrid w:val="0"/>
        <w:spacing w:line="576" w:lineRule="exact"/>
        <w:ind w:firstLine="640" w:firstLineChars="200"/>
        <w:jc w:val="left"/>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仿宋_GB2312" w:hAnsi="仿宋_GB2312" w:cs="仿宋_GB2312"/>
          <w:color w:val="000000" w:themeColor="text1"/>
          <w:kern w:val="0"/>
          <w:szCs w:val="32"/>
          <w:shd w:val="clear" w:color="auto" w:fill="FFFFFF"/>
          <w14:textFill>
            <w14:solidFill>
              <w14:schemeClr w14:val="tx1"/>
            </w14:solidFill>
          </w14:textFill>
        </w:rPr>
        <w:t>1.</w:t>
      </w:r>
      <w:r>
        <w:rPr>
          <w:rFonts w:hint="eastAsia" w:ascii="仿宋_GB2312" w:hAnsi="仿宋_GB2312" w:cs="仿宋_GB2312"/>
          <w:color w:val="000000" w:themeColor="text1"/>
          <w:kern w:val="0"/>
          <w:szCs w:val="32"/>
          <w:shd w:val="clear" w:color="auto" w:fill="FFFFFF"/>
          <w:lang w:val="zh-CN"/>
          <w14:textFill>
            <w14:solidFill>
              <w14:schemeClr w14:val="tx1"/>
            </w14:solidFill>
          </w14:textFill>
        </w:rPr>
        <w:t>项目主要内容</w:t>
      </w:r>
    </w:p>
    <w:p>
      <w:pPr>
        <w:snapToGrid w:val="0"/>
        <w:spacing w:line="576" w:lineRule="exact"/>
        <w:ind w:firstLine="640" w:firstLineChars="200"/>
        <w:jc w:val="left"/>
        <w:rPr>
          <w:color w:val="000000" w:themeColor="text1"/>
          <w14:textFill>
            <w14:solidFill>
              <w14:schemeClr w14:val="tx1"/>
            </w14:solidFill>
          </w14:textFill>
        </w:rPr>
      </w:pPr>
      <w:r>
        <w:rPr>
          <w:rFonts w:hint="eastAsia"/>
          <w:color w:val="000000" w:themeColor="text1"/>
          <w:szCs w:val="32"/>
          <w14:textFill>
            <w14:solidFill>
              <w14:schemeClr w14:val="tx1"/>
            </w14:solidFill>
          </w14:textFill>
        </w:rPr>
        <w:t>三大公园、四大广场日常巡查、安保秩序、安全管理、消防管理、园林绿化等日常运行管理、市政基础设施的日常管护及栖凤湖水面保洁和日常巡查。</w:t>
      </w:r>
    </w:p>
    <w:p>
      <w:pPr>
        <w:adjustRightInd w:val="0"/>
        <w:snapToGrid w:val="0"/>
        <w:spacing w:line="576" w:lineRule="exact"/>
        <w:ind w:firstLine="640" w:firstLineChars="200"/>
        <w:contextualSpacing/>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w:t>
      </w:r>
      <w:r>
        <w:rPr>
          <w:rFonts w:hint="eastAsia" w:ascii="仿宋_GB2312" w:hAnsi="仿宋_GB2312" w:cs="仿宋_GB2312"/>
          <w:color w:val="000000" w:themeColor="text1"/>
          <w:szCs w:val="32"/>
          <w:lang w:val="zh-CN"/>
          <w14:textFill>
            <w14:solidFill>
              <w14:schemeClr w14:val="tx1"/>
            </w14:solidFill>
          </w14:textFill>
        </w:rPr>
        <w:t>项目绩效目标</w:t>
      </w:r>
    </w:p>
    <w:p>
      <w:pPr>
        <w:snapToGrid w:val="0"/>
        <w:spacing w:line="576" w:lineRule="exact"/>
        <w:ind w:firstLine="640" w:firstLineChars="200"/>
        <w:jc w:val="left"/>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打造干净整洁的城市环境，增强居民群众的获得感、幸福感、安全感。</w:t>
      </w:r>
    </w:p>
    <w:p>
      <w:pPr>
        <w:pStyle w:val="42"/>
        <w:spacing w:before="93" w:line="576" w:lineRule="exact"/>
        <w:rPr>
          <w:rFonts w:hAnsi="仿宋_GB2312" w:cs="仿宋_GB2312"/>
          <w:b w:val="0"/>
          <w:color w:val="000000" w:themeColor="text1"/>
          <w:sz w:val="32"/>
          <w:szCs w:val="32"/>
          <w:lang w:val="zh-CN"/>
          <w14:textFill>
            <w14:solidFill>
              <w14:schemeClr w14:val="tx1"/>
            </w14:solidFill>
          </w14:textFill>
        </w:rPr>
      </w:pPr>
      <w:r>
        <w:rPr>
          <w:rFonts w:hint="eastAsia" w:hAnsi="仿宋_GB2312" w:cs="仿宋_GB2312"/>
          <w:b w:val="0"/>
          <w:color w:val="000000" w:themeColor="text1"/>
          <w:sz w:val="32"/>
          <w:szCs w:val="32"/>
          <w14:textFill>
            <w14:solidFill>
              <w14:schemeClr w14:val="tx1"/>
            </w14:solidFill>
          </w14:textFill>
        </w:rPr>
        <w:t>3.</w:t>
      </w:r>
      <w:r>
        <w:rPr>
          <w:rFonts w:hint="eastAsia" w:hAnsi="仿宋_GB2312" w:cs="仿宋_GB2312"/>
          <w:b w:val="0"/>
          <w:color w:val="000000" w:themeColor="text1"/>
          <w:sz w:val="32"/>
          <w:szCs w:val="32"/>
          <w:lang w:val="zh-CN"/>
          <w14:textFill>
            <w14:solidFill>
              <w14:schemeClr w14:val="tx1"/>
            </w14:solidFill>
          </w14:textFill>
        </w:rPr>
        <w:t>资金申报相符性</w:t>
      </w:r>
    </w:p>
    <w:p>
      <w:pPr>
        <w:pStyle w:val="42"/>
        <w:spacing w:before="93" w:line="576" w:lineRule="exact"/>
        <w:rPr>
          <w:rFonts w:hAnsi="仿宋_GB2312" w:cs="仿宋_GB2312"/>
          <w:b w:val="0"/>
          <w:color w:val="000000" w:themeColor="text1"/>
          <w:sz w:val="32"/>
          <w:szCs w:val="32"/>
          <w:lang w:val="zh-CN"/>
          <w14:textFill>
            <w14:solidFill>
              <w14:schemeClr w14:val="tx1"/>
            </w14:solidFill>
          </w14:textFill>
        </w:rPr>
      </w:pPr>
      <w:r>
        <w:rPr>
          <w:rFonts w:hint="eastAsia" w:hAnsi="仿宋_GB2312" w:cs="仿宋_GB2312"/>
          <w:b w:val="0"/>
          <w:color w:val="000000" w:themeColor="text1"/>
          <w:sz w:val="32"/>
          <w:szCs w:val="32"/>
          <w:lang w:val="zh-CN"/>
          <w14:textFill>
            <w14:solidFill>
              <w14:schemeClr w14:val="tx1"/>
            </w14:solidFill>
          </w14:textFill>
        </w:rPr>
        <w:t>广元文旅城市管理服务</w:t>
      </w:r>
      <w:r>
        <w:rPr>
          <w:rFonts w:hint="eastAsia" w:hAnsi="仿宋_GB2312" w:cs="仿宋_GB2312"/>
          <w:b w:val="0"/>
          <w:color w:val="000000" w:themeColor="text1"/>
          <w:sz w:val="32"/>
          <w:szCs w:val="32"/>
          <w14:textFill>
            <w14:solidFill>
              <w14:schemeClr w14:val="tx1"/>
            </w14:solidFill>
          </w14:textFill>
        </w:rPr>
        <w:t>有限</w:t>
      </w:r>
      <w:r>
        <w:rPr>
          <w:rFonts w:hint="eastAsia" w:hAnsi="仿宋_GB2312" w:cs="仿宋_GB2312"/>
          <w:b w:val="0"/>
          <w:color w:val="000000" w:themeColor="text1"/>
          <w:sz w:val="32"/>
          <w:szCs w:val="32"/>
          <w:lang w:val="zh-CN"/>
          <w14:textFill>
            <w14:solidFill>
              <w14:schemeClr w14:val="tx1"/>
            </w14:solidFill>
          </w14:textFill>
        </w:rPr>
        <w:t>公司资金申报内容与具体实施内容相符、申报目标合理可行。</w:t>
      </w:r>
    </w:p>
    <w:p>
      <w:pPr>
        <w:adjustRightInd w:val="0"/>
        <w:snapToGrid w:val="0"/>
        <w:spacing w:line="576" w:lineRule="exact"/>
        <w:ind w:firstLine="640" w:firstLineChars="200"/>
        <w:rPr>
          <w:rFonts w:ascii="楷体_GB2312" w:hAnsi="楷体_GB2312" w:eastAsia="楷体_GB2312" w:cs="楷体_GB2312"/>
          <w:color w:val="000000" w:themeColor="text1"/>
          <w:lang w:val="zh-CN"/>
          <w14:textFill>
            <w14:solidFill>
              <w14:schemeClr w14:val="tx1"/>
            </w14:solidFill>
          </w14:textFill>
        </w:rPr>
      </w:pPr>
      <w:r>
        <w:rPr>
          <w:rFonts w:hint="eastAsia" w:ascii="楷体_GB2312" w:hAnsi="楷体_GB2312" w:eastAsia="楷体_GB2312" w:cs="楷体_GB2312"/>
          <w:color w:val="000000" w:themeColor="text1"/>
          <w:szCs w:val="32"/>
          <w:lang w:val="zh-CN"/>
          <w14:textFill>
            <w14:solidFill>
              <w14:schemeClr w14:val="tx1"/>
            </w14:solidFill>
          </w14:textFill>
        </w:rPr>
        <w:t>（三）项目自评步骤及方法</w:t>
      </w:r>
    </w:p>
    <w:p>
      <w:pPr>
        <w:pStyle w:val="42"/>
        <w:spacing w:before="93" w:line="576" w:lineRule="exact"/>
        <w:rPr>
          <w:rFonts w:hAnsi="仿宋_GB2312" w:cs="仿宋_GB2312"/>
          <w:b w:val="0"/>
          <w:color w:val="000000" w:themeColor="text1"/>
          <w:sz w:val="32"/>
          <w:szCs w:val="32"/>
          <w:lang w:val="zh-CN"/>
          <w14:textFill>
            <w14:solidFill>
              <w14:schemeClr w14:val="tx1"/>
            </w14:solidFill>
          </w14:textFill>
        </w:rPr>
      </w:pPr>
      <w:r>
        <w:rPr>
          <w:rFonts w:hint="eastAsia" w:hAnsi="仿宋_GB2312" w:cs="仿宋_GB2312"/>
          <w:b w:val="0"/>
          <w:color w:val="000000" w:themeColor="text1"/>
          <w:sz w:val="32"/>
          <w:szCs w:val="32"/>
          <w:lang w:val="zh-CN"/>
          <w14:textFill>
            <w14:solidFill>
              <w14:schemeClr w14:val="tx1"/>
            </w14:solidFill>
          </w14:textFill>
        </w:rPr>
        <w:t>项目绩效自评</w:t>
      </w:r>
      <w:r>
        <w:rPr>
          <w:rFonts w:hint="eastAsia" w:hAnsi="仿宋_GB2312" w:cs="仿宋_GB2312"/>
          <w:b w:val="0"/>
          <w:color w:val="000000" w:themeColor="text1"/>
          <w:sz w:val="32"/>
          <w:szCs w:val="32"/>
          <w14:textFill>
            <w14:solidFill>
              <w14:schemeClr w14:val="tx1"/>
            </w14:solidFill>
          </w14:textFill>
        </w:rPr>
        <w:t>首先由广元文旅城市管理服务有限公司本项目管理人员和财务人员共同草拟自评报告，分别报项目和财务分管领导审核、最后由公司执行董事审阅后再报送至项目主管单位（市国资委）。</w:t>
      </w:r>
    </w:p>
    <w:p>
      <w:pPr>
        <w:adjustRightInd w:val="0"/>
        <w:snapToGrid w:val="0"/>
        <w:spacing w:line="576" w:lineRule="exact"/>
        <w:ind w:firstLine="640" w:firstLineChars="200"/>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二、项目资金申报及使用情况</w:t>
      </w: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（一）项目资金申报及批复情况</w:t>
      </w:r>
    </w:p>
    <w:p>
      <w:pPr>
        <w:adjustRightInd w:val="0"/>
        <w:snapToGrid w:val="0"/>
        <w:spacing w:line="576" w:lineRule="exact"/>
        <w:ind w:firstLine="640" w:firstLineChars="200"/>
        <w:contextualSpacing/>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因广元文旅城市管理服务有限公司管理运营收支差额大，维持正常运营困难，市政府于2021年11月组织市财政局、住建局、自然资源局、市委编办和国资委等部门专题研究栖凤湖和公园广场运行管理工作，并将会议议定事项形成《专会纪要》（广府阅〔2021〕58号），议定对市文旅集团将进行为期三年的补助，2021年补助600万元、2022年补助500万元、2023年补助400万元。</w:t>
      </w:r>
    </w:p>
    <w:p>
      <w:pPr>
        <w:adjustRightInd w:val="0"/>
        <w:snapToGrid w:val="0"/>
        <w:spacing w:line="576" w:lineRule="exact"/>
        <w:ind w:firstLine="640" w:firstLineChars="200"/>
        <w:contextualSpacing/>
        <w:rPr>
          <w:rFonts w:ascii="仿宋_GB2312" w:hAnsi="仿宋_GB2312" w:cs="仿宋_GB2312"/>
          <w:color w:val="000000" w:themeColor="text1"/>
          <w:kern w:val="0"/>
          <w:shd w:val="clear" w:color="auto" w:fill="FFFFFF"/>
          <w14:textFill>
            <w14:solidFill>
              <w14:schemeClr w14:val="tx1"/>
            </w14:solidFill>
          </w14:textFill>
        </w:rPr>
      </w:pPr>
      <w:r>
        <w:rPr>
          <w:rFonts w:hint="eastAsia" w:hAnsi="仿宋_GB2312" w:cs="仿宋_GB2312"/>
          <w:color w:val="000000" w:themeColor="text1"/>
          <w:szCs w:val="32"/>
          <w14:textFill>
            <w14:solidFill>
              <w14:schemeClr w14:val="tx1"/>
            </w14:solidFill>
          </w14:textFill>
        </w:rPr>
        <w:t>我公司</w:t>
      </w:r>
      <w:r>
        <w:rPr>
          <w:rFonts w:hint="eastAsia" w:ascii="仿宋_GB2312" w:hAnsi="仿宋_GB2312" w:cs="仿宋_GB2312"/>
          <w:color w:val="000000" w:themeColor="text1"/>
          <w:position w:val="-2"/>
          <w:szCs w:val="32"/>
          <w14:textFill>
            <w14:solidFill>
              <w14:schemeClr w14:val="tx1"/>
            </w14:solidFill>
          </w14:textFill>
        </w:rPr>
        <w:t>2022年</w:t>
      </w:r>
      <w:r>
        <w:rPr>
          <w:rFonts w:hint="eastAsia" w:hAnsi="仿宋_GB2312" w:cs="仿宋_GB2312"/>
          <w:color w:val="000000" w:themeColor="text1"/>
          <w:szCs w:val="32"/>
          <w14:textFill>
            <w14:solidFill>
              <w14:schemeClr w14:val="tx1"/>
            </w14:solidFill>
          </w14:textFill>
        </w:rPr>
        <w:t>请求集团公司协调拨付</w:t>
      </w:r>
      <w:r>
        <w:rPr>
          <w:rFonts w:hint="eastAsia" w:ascii="仿宋_GB2312" w:hAnsi="仿宋_GB2312" w:cs="仿宋_GB2312"/>
          <w:color w:val="000000" w:themeColor="text1"/>
          <w:position w:val="-2"/>
          <w:szCs w:val="32"/>
          <w14:textFill>
            <w14:solidFill>
              <w14:schemeClr w14:val="tx1"/>
            </w14:solidFill>
          </w14:textFill>
        </w:rPr>
        <w:t>2022年度公园广场及栖凤湖运维补助资金相关事宜。2022年8月9日，</w:t>
      </w:r>
      <w:r>
        <w:rPr>
          <w:rFonts w:hint="eastAsia" w:hAnsi="仿宋_GB2312" w:cs="仿宋_GB2312"/>
          <w:color w:val="000000" w:themeColor="text1"/>
          <w:szCs w:val="32"/>
          <w14:textFill>
            <w14:solidFill>
              <w14:schemeClr w14:val="tx1"/>
            </w14:solidFill>
          </w14:textFill>
        </w:rPr>
        <w:t>市文旅集团向</w:t>
      </w:r>
      <w:r>
        <w:rPr>
          <w:rFonts w:hint="eastAsia" w:hAnsi="仿宋_GB2312" w:cs="仿宋_GB2312"/>
          <w:color w:val="000000" w:themeColor="text1"/>
          <w:szCs w:val="32"/>
          <w:lang w:val="zh-CN"/>
          <w14:textFill>
            <w14:solidFill>
              <w14:schemeClr w14:val="tx1"/>
            </w14:solidFill>
          </w14:textFill>
        </w:rPr>
        <w:t>广元市政府国有资产监督管理委员会</w:t>
      </w:r>
      <w:r>
        <w:rPr>
          <w:rFonts w:hint="eastAsia" w:hAnsi="仿宋_GB2312" w:cs="仿宋_GB2312"/>
          <w:color w:val="000000" w:themeColor="text1"/>
          <w:szCs w:val="32"/>
          <w14:textFill>
            <w14:solidFill>
              <w14:schemeClr w14:val="tx1"/>
            </w14:solidFill>
          </w14:textFill>
        </w:rPr>
        <w:t>提交《广元市文化旅游投资集团有限公司关于转报拨付公园广场运行管理及栖凤湖清漂补贴费用的请示》（广文旅司</w:t>
      </w:r>
      <w:r>
        <w:rPr>
          <w:rFonts w:hint="eastAsia" w:ascii="仿宋_GB2312" w:hAnsi="仿宋_GB2312" w:cs="仿宋_GB2312"/>
          <w:color w:val="000000" w:themeColor="text1"/>
          <w:position w:val="-2"/>
          <w:szCs w:val="32"/>
          <w:lang w:val="zh-CN"/>
          <w14:textFill>
            <w14:solidFill>
              <w14:schemeClr w14:val="tx1"/>
            </w14:solidFill>
          </w14:textFill>
        </w:rPr>
        <w:t>〔</w:t>
      </w:r>
      <w:r>
        <w:rPr>
          <w:rFonts w:hint="eastAsia" w:ascii="仿宋_GB2312" w:hAnsi="仿宋_GB2312" w:cs="仿宋_GB2312"/>
          <w:color w:val="000000" w:themeColor="text1"/>
          <w:position w:val="-2"/>
          <w:szCs w:val="32"/>
          <w14:textFill>
            <w14:solidFill>
              <w14:schemeClr w14:val="tx1"/>
            </w14:solidFill>
          </w14:textFill>
        </w:rPr>
        <w:t>2022</w:t>
      </w:r>
      <w:r>
        <w:rPr>
          <w:rFonts w:hint="eastAsia" w:ascii="仿宋_GB2312" w:hAnsi="仿宋_GB2312" w:cs="仿宋_GB2312"/>
          <w:color w:val="000000" w:themeColor="text1"/>
          <w:position w:val="-2"/>
          <w:szCs w:val="32"/>
          <w:lang w:val="zh-CN"/>
          <w14:textFill>
            <w14:solidFill>
              <w14:schemeClr w14:val="tx1"/>
            </w14:solidFill>
          </w14:textFill>
        </w:rPr>
        <w:t>〕</w:t>
      </w:r>
      <w:r>
        <w:rPr>
          <w:rFonts w:hint="eastAsia" w:ascii="仿宋_GB2312" w:hAnsi="仿宋_GB2312" w:cs="仿宋_GB2312"/>
          <w:color w:val="000000" w:themeColor="text1"/>
          <w:position w:val="-2"/>
          <w:szCs w:val="32"/>
          <w14:textFill>
            <w14:solidFill>
              <w14:schemeClr w14:val="tx1"/>
            </w14:solidFill>
          </w14:textFill>
        </w:rPr>
        <w:t>107</w:t>
      </w:r>
      <w:r>
        <w:rPr>
          <w:rFonts w:hint="eastAsia" w:hAnsi="仿宋_GB2312" w:cs="仿宋_GB2312"/>
          <w:color w:val="000000" w:themeColor="text1"/>
          <w:szCs w:val="32"/>
          <w14:textFill>
            <w14:solidFill>
              <w14:schemeClr w14:val="tx1"/>
            </w14:solidFill>
          </w14:textFill>
        </w:rPr>
        <w:t>号）。</w:t>
      </w:r>
      <w:r>
        <w:rPr>
          <w:rFonts w:hint="eastAsia" w:ascii="仿宋_GB2312" w:hAnsi="仿宋_GB2312" w:cs="仿宋_GB2312"/>
          <w:color w:val="000000" w:themeColor="text1"/>
          <w:position w:val="-2"/>
          <w:szCs w:val="32"/>
          <w14:textFill>
            <w14:solidFill>
              <w14:schemeClr w14:val="tx1"/>
            </w14:solidFill>
          </w14:textFill>
        </w:rPr>
        <w:t>2022年8月15日，</w:t>
      </w:r>
      <w:r>
        <w:rPr>
          <w:rFonts w:hint="eastAsia" w:hAnsi="仿宋_GB2312" w:cs="仿宋_GB2312"/>
          <w:color w:val="000000" w:themeColor="text1"/>
          <w:szCs w:val="32"/>
          <w:lang w:val="zh-CN"/>
          <w14:textFill>
            <w14:solidFill>
              <w14:schemeClr w14:val="tx1"/>
            </w14:solidFill>
          </w14:textFill>
        </w:rPr>
        <w:t>市国资委向市财政局提交</w:t>
      </w:r>
      <w:r>
        <w:rPr>
          <w:rFonts w:hint="eastAsia" w:ascii="仿宋_GB2312" w:hAnsi="仿宋_GB2312" w:cs="仿宋_GB2312"/>
          <w:color w:val="000000" w:themeColor="text1"/>
          <w:position w:val="-2"/>
          <w:szCs w:val="32"/>
          <w14:textFill>
            <w14:solidFill>
              <w14:schemeClr w14:val="tx1"/>
            </w14:solidFill>
          </w14:textFill>
        </w:rPr>
        <w:t>《广元市政府国有资产监督管理委员会关于拨付公园广场运行管理及栖凤湖清漂补助资金的函》（广国资委函</w:t>
      </w:r>
      <w:r>
        <w:rPr>
          <w:rFonts w:hint="eastAsia" w:ascii="仿宋_GB2312" w:hAnsi="仿宋_GB2312" w:cs="仿宋_GB2312"/>
          <w:color w:val="000000" w:themeColor="text1"/>
          <w:position w:val="-2"/>
          <w:szCs w:val="32"/>
          <w:lang w:val="zh-CN"/>
          <w14:textFill>
            <w14:solidFill>
              <w14:schemeClr w14:val="tx1"/>
            </w14:solidFill>
          </w14:textFill>
        </w:rPr>
        <w:t>〔</w:t>
      </w:r>
      <w:r>
        <w:rPr>
          <w:rFonts w:hint="eastAsia" w:ascii="仿宋_GB2312" w:hAnsi="仿宋_GB2312" w:cs="仿宋_GB2312"/>
          <w:color w:val="000000" w:themeColor="text1"/>
          <w:position w:val="-2"/>
          <w:szCs w:val="32"/>
          <w14:textFill>
            <w14:solidFill>
              <w14:schemeClr w14:val="tx1"/>
            </w14:solidFill>
          </w14:textFill>
        </w:rPr>
        <w:t>2022</w:t>
      </w:r>
      <w:r>
        <w:rPr>
          <w:rFonts w:hint="eastAsia" w:ascii="仿宋_GB2312" w:hAnsi="仿宋_GB2312" w:cs="仿宋_GB2312"/>
          <w:color w:val="000000" w:themeColor="text1"/>
          <w:position w:val="-2"/>
          <w:szCs w:val="32"/>
          <w:lang w:val="zh-CN"/>
          <w14:textFill>
            <w14:solidFill>
              <w14:schemeClr w14:val="tx1"/>
            </w14:solidFill>
          </w14:textFill>
        </w:rPr>
        <w:t>〕</w:t>
      </w:r>
      <w:r>
        <w:rPr>
          <w:rFonts w:hint="eastAsia" w:ascii="仿宋_GB2312" w:hAnsi="仿宋_GB2312" w:cs="仿宋_GB2312"/>
          <w:color w:val="000000" w:themeColor="text1"/>
          <w:position w:val="-2"/>
          <w:szCs w:val="32"/>
          <w14:textFill>
            <w14:solidFill>
              <w14:schemeClr w14:val="tx1"/>
            </w14:solidFill>
          </w14:textFill>
        </w:rPr>
        <w:t>126号）。2022年9月15日，市财政局下达了《</w:t>
      </w:r>
      <w:r>
        <w:rPr>
          <w:rFonts w:hint="eastAsia" w:hAnsi="仿宋_GB2312" w:cs="仿宋_GB2312"/>
          <w:color w:val="000000" w:themeColor="text1"/>
          <w:szCs w:val="32"/>
          <w14:textFill>
            <w14:solidFill>
              <w14:schemeClr w14:val="tx1"/>
            </w14:solidFill>
          </w14:textFill>
        </w:rPr>
        <w:t>广元市财政局</w:t>
      </w:r>
      <w:r>
        <w:rPr>
          <w:rFonts w:hint="eastAsia" w:ascii="仿宋_GB2312" w:hAnsi="仿宋_GB2312" w:cs="仿宋_GB2312"/>
          <w:color w:val="000000" w:themeColor="text1"/>
          <w:position w:val="-2"/>
          <w:szCs w:val="32"/>
          <w14:textFill>
            <w14:solidFill>
              <w14:schemeClr w14:val="tx1"/>
            </w14:solidFill>
          </w14:textFill>
        </w:rPr>
        <w:t>关于下达一次性专项资金的通知》</w:t>
      </w:r>
      <w:r>
        <w:rPr>
          <w:rFonts w:hint="eastAsia" w:ascii="仿宋_GB2312" w:hAnsi="仿宋_GB2312" w:cs="仿宋_GB2312"/>
          <w:color w:val="000000" w:themeColor="text1"/>
          <w:position w:val="-2"/>
          <w:szCs w:val="32"/>
          <w:lang w:val="zh-CN"/>
          <w14:textFill>
            <w14:solidFill>
              <w14:schemeClr w14:val="tx1"/>
            </w14:solidFill>
          </w14:textFill>
        </w:rPr>
        <w:t>（广财投〔</w:t>
      </w:r>
      <w:r>
        <w:rPr>
          <w:rFonts w:hint="eastAsia" w:ascii="仿宋_GB2312" w:hAnsi="仿宋_GB2312" w:cs="仿宋_GB2312"/>
          <w:color w:val="000000" w:themeColor="text1"/>
          <w:position w:val="-2"/>
          <w:szCs w:val="32"/>
          <w14:textFill>
            <w14:solidFill>
              <w14:schemeClr w14:val="tx1"/>
            </w14:solidFill>
          </w14:textFill>
        </w:rPr>
        <w:t>2022</w:t>
      </w:r>
      <w:r>
        <w:rPr>
          <w:rFonts w:hint="eastAsia" w:ascii="仿宋_GB2312" w:hAnsi="仿宋_GB2312" w:cs="仿宋_GB2312"/>
          <w:color w:val="000000" w:themeColor="text1"/>
          <w:position w:val="-2"/>
          <w:szCs w:val="32"/>
          <w:lang w:val="zh-CN"/>
          <w14:textFill>
            <w14:solidFill>
              <w14:schemeClr w14:val="tx1"/>
            </w14:solidFill>
          </w14:textFill>
        </w:rPr>
        <w:t>〕</w:t>
      </w:r>
      <w:r>
        <w:rPr>
          <w:rFonts w:hint="eastAsia" w:ascii="仿宋_GB2312" w:hAnsi="仿宋_GB2312" w:cs="仿宋_GB2312"/>
          <w:color w:val="000000" w:themeColor="text1"/>
          <w:position w:val="-2"/>
          <w:szCs w:val="32"/>
          <w14:textFill>
            <w14:solidFill>
              <w14:schemeClr w14:val="tx1"/>
            </w14:solidFill>
          </w14:textFill>
        </w:rPr>
        <w:t>98号</w:t>
      </w:r>
      <w:r>
        <w:rPr>
          <w:rFonts w:hint="eastAsia" w:ascii="仿宋_GB2312" w:hAnsi="仿宋_GB2312" w:cs="仿宋_GB2312"/>
          <w:color w:val="000000" w:themeColor="text1"/>
          <w:position w:val="-2"/>
          <w:szCs w:val="32"/>
          <w:lang w:val="zh-CN"/>
          <w14:textFill>
            <w14:solidFill>
              <w14:schemeClr w14:val="tx1"/>
            </w14:solidFill>
          </w14:textFill>
        </w:rPr>
        <w:t>），安排</w:t>
      </w:r>
      <w:r>
        <w:rPr>
          <w:rFonts w:hint="eastAsia" w:ascii="仿宋_GB2312" w:hAnsi="仿宋_GB2312" w:cs="仿宋_GB2312"/>
          <w:color w:val="000000" w:themeColor="text1"/>
          <w:position w:val="-2"/>
          <w:szCs w:val="32"/>
          <w14:textFill>
            <w14:solidFill>
              <w14:schemeClr w14:val="tx1"/>
            </w14:solidFill>
          </w14:textFill>
        </w:rPr>
        <w:t>2022年度公园广场及栖凤湖运维补助资金500万元。</w:t>
      </w:r>
    </w:p>
    <w:p>
      <w:pPr>
        <w:adjustRightInd w:val="0"/>
        <w:snapToGrid w:val="0"/>
        <w:spacing w:line="576" w:lineRule="exact"/>
        <w:ind w:firstLine="640" w:firstLineChars="200"/>
        <w:rPr>
          <w:rFonts w:ascii="仿宋_GB2312" w:hAnsi="宋体"/>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（二）资金计划、到位及使用情况</w:t>
      </w:r>
    </w:p>
    <w:p>
      <w:pPr>
        <w:pStyle w:val="43"/>
        <w:shd w:val="clear" w:color="auto" w:fill="FFFFFF"/>
        <w:spacing w:line="576" w:lineRule="exact"/>
        <w:ind w:firstLine="640" w:firstLineChars="200"/>
        <w:rPr>
          <w:rFonts w:ascii="仿宋_GB2312" w:hAnsi="仿宋_GB2312" w:cs="仿宋_GB2312"/>
          <w:color w:val="000000" w:themeColor="text1"/>
          <w:szCs w:val="32"/>
          <w:shd w:val="clear" w:color="auto" w:fill="FFFFFF"/>
          <w:lang w:val="zh-CN"/>
          <w14:textFill>
            <w14:solidFill>
              <w14:schemeClr w14:val="tx1"/>
            </w14:solidFill>
          </w14:textFill>
        </w:rPr>
      </w:pPr>
      <w:r>
        <w:rPr>
          <w:rFonts w:hint="eastAsia" w:ascii="仿宋_GB2312" w:hAnsi="仿宋_GB2312" w:cs="仿宋_GB2312"/>
          <w:color w:val="000000" w:themeColor="text1"/>
          <w:szCs w:val="32"/>
          <w:shd w:val="clear" w:color="auto" w:fill="FFFFFF"/>
          <w:lang w:val="zh-CN"/>
          <w14:textFill>
            <w14:solidFill>
              <w14:schemeClr w14:val="tx1"/>
            </w14:solidFill>
          </w14:textFill>
        </w:rPr>
        <w:t>1．资金计划及到位情况</w:t>
      </w:r>
    </w:p>
    <w:p>
      <w:pPr>
        <w:pStyle w:val="43"/>
        <w:shd w:val="clear" w:color="auto" w:fill="FFFFFF"/>
        <w:spacing w:line="576" w:lineRule="exact"/>
        <w:ind w:firstLine="640" w:firstLineChars="200"/>
        <w:rPr>
          <w:rFonts w:ascii="仿宋_GB2312" w:hAnsi="仿宋_GB2312" w:cs="仿宋_GB2312"/>
          <w:color w:val="000000" w:themeColor="text1"/>
          <w:kern w:val="2"/>
          <w:position w:val="-2"/>
          <w:szCs w:val="32"/>
          <w:lang w:val="zh-CN"/>
          <w14:textFill>
            <w14:solidFill>
              <w14:schemeClr w14:val="tx1"/>
            </w14:solidFill>
          </w14:textFill>
        </w:rPr>
      </w:pPr>
      <w:r>
        <w:rPr>
          <w:rFonts w:hint="eastAsia" w:ascii="仿宋_GB2312" w:hAnsi="仿宋_GB2312" w:cs="仿宋_GB2312"/>
          <w:color w:val="000000" w:themeColor="text1"/>
          <w:kern w:val="2"/>
          <w:szCs w:val="32"/>
          <w:lang w:val="zh-CN"/>
          <w14:textFill>
            <w14:solidFill>
              <w14:schemeClr w14:val="tx1"/>
            </w14:solidFill>
          </w14:textFill>
        </w:rPr>
        <w:t>资金计划：</w:t>
      </w:r>
      <w:r>
        <w:rPr>
          <w:rFonts w:hint="eastAsia" w:ascii="仿宋_GB2312" w:hAnsi="仿宋_GB2312" w:cs="仿宋_GB2312"/>
          <w:color w:val="000000" w:themeColor="text1"/>
          <w:kern w:val="2"/>
          <w:szCs w:val="32"/>
          <w14:textFill>
            <w14:solidFill>
              <w14:schemeClr w14:val="tx1"/>
            </w14:solidFill>
          </w14:textFill>
        </w:rPr>
        <w:t>2022年城区公园、广场和栖凤湖运行维护补助</w:t>
      </w:r>
      <w:r>
        <w:rPr>
          <w:rFonts w:hint="eastAsia" w:ascii="仿宋_GB2312" w:hAnsi="仿宋_GB2312" w:cs="仿宋_GB2312"/>
          <w:color w:val="000000" w:themeColor="text1"/>
          <w:kern w:val="2"/>
          <w:position w:val="-2"/>
          <w:szCs w:val="32"/>
          <w:lang w:val="zh-CN"/>
          <w14:textFill>
            <w14:solidFill>
              <w14:schemeClr w14:val="tx1"/>
            </w14:solidFill>
          </w14:textFill>
        </w:rPr>
        <w:t>资</w:t>
      </w:r>
      <w:r>
        <w:rPr>
          <w:rFonts w:hint="eastAsia" w:ascii="仿宋_GB2312" w:hAnsi="仿宋_GB2312" w:cs="仿宋_GB2312"/>
          <w:color w:val="000000" w:themeColor="text1"/>
          <w:kern w:val="2"/>
          <w:szCs w:val="32"/>
          <w:lang w:val="zh-CN"/>
          <w14:textFill>
            <w14:solidFill>
              <w14:schemeClr w14:val="tx1"/>
            </w14:solidFill>
          </w14:textFill>
        </w:rPr>
        <w:t>金计划</w:t>
      </w:r>
      <w:r>
        <w:rPr>
          <w:rFonts w:hint="eastAsia" w:ascii="仿宋_GB2312" w:hAnsi="仿宋_GB2312" w:cs="仿宋_GB2312"/>
          <w:color w:val="000000" w:themeColor="text1"/>
          <w:kern w:val="2"/>
          <w:szCs w:val="32"/>
          <w14:textFill>
            <w14:solidFill>
              <w14:schemeClr w14:val="tx1"/>
            </w14:solidFill>
          </w14:textFill>
        </w:rPr>
        <w:t>500</w:t>
      </w:r>
      <w:r>
        <w:rPr>
          <w:rFonts w:hint="eastAsia" w:ascii="仿宋_GB2312" w:hAnsi="仿宋_GB2312" w:cs="仿宋_GB2312"/>
          <w:color w:val="000000" w:themeColor="text1"/>
          <w:kern w:val="2"/>
          <w:szCs w:val="32"/>
          <w:lang w:val="zh-CN"/>
          <w14:textFill>
            <w14:solidFill>
              <w14:schemeClr w14:val="tx1"/>
            </w14:solidFill>
          </w14:textFill>
        </w:rPr>
        <w:t>万元。</w:t>
      </w:r>
    </w:p>
    <w:p>
      <w:pPr>
        <w:pStyle w:val="43"/>
        <w:shd w:val="clear" w:color="auto" w:fill="FFFFFF"/>
        <w:spacing w:line="576" w:lineRule="exact"/>
        <w:ind w:firstLine="640" w:firstLineChars="200"/>
        <w:rPr>
          <w:color w:val="000000" w:themeColor="text1"/>
          <w14:textFill>
            <w14:solidFill>
              <w14:schemeClr w14:val="tx1"/>
            </w14:solidFill>
          </w14:textFill>
        </w:rPr>
      </w:pPr>
      <w:r>
        <w:rPr>
          <w:rFonts w:hint="eastAsia" w:ascii="仿宋_GB2312" w:hAnsi="仿宋_GB2312" w:cs="仿宋_GB2312"/>
          <w:color w:val="000000" w:themeColor="text1"/>
          <w:kern w:val="2"/>
          <w:szCs w:val="32"/>
          <w:lang w:val="zh-CN"/>
          <w14:textFill>
            <w14:solidFill>
              <w14:schemeClr w14:val="tx1"/>
            </w14:solidFill>
          </w14:textFill>
        </w:rPr>
        <w:t>资金到位：</w:t>
      </w:r>
      <w:r>
        <w:rPr>
          <w:rFonts w:hint="eastAsia" w:ascii="仿宋_GB2312" w:hAnsi="仿宋_GB2312" w:cs="仿宋_GB2312"/>
          <w:color w:val="000000" w:themeColor="text1"/>
          <w:kern w:val="2"/>
          <w:position w:val="-2"/>
          <w:szCs w:val="32"/>
          <w:lang w:val="zh-CN"/>
          <w14:textFill>
            <w14:solidFill>
              <w14:schemeClr w14:val="tx1"/>
            </w14:solidFill>
          </w14:textFill>
        </w:rPr>
        <w:t>20</w:t>
      </w:r>
      <w:r>
        <w:rPr>
          <w:rFonts w:hint="eastAsia" w:ascii="仿宋_GB2312" w:hAnsi="仿宋_GB2312" w:cs="仿宋_GB2312"/>
          <w:color w:val="000000" w:themeColor="text1"/>
          <w:kern w:val="2"/>
          <w:position w:val="-2"/>
          <w:szCs w:val="32"/>
          <w14:textFill>
            <w14:solidFill>
              <w14:schemeClr w14:val="tx1"/>
            </w14:solidFill>
          </w14:textFill>
        </w:rPr>
        <w:t>22</w:t>
      </w:r>
      <w:r>
        <w:rPr>
          <w:rFonts w:hint="eastAsia" w:ascii="仿宋_GB2312" w:hAnsi="仿宋_GB2312" w:cs="仿宋_GB2312"/>
          <w:color w:val="000000" w:themeColor="text1"/>
          <w:kern w:val="2"/>
          <w:position w:val="-2"/>
          <w:szCs w:val="32"/>
          <w:lang w:val="zh-CN"/>
          <w14:textFill>
            <w14:solidFill>
              <w14:schemeClr w14:val="tx1"/>
            </w14:solidFill>
          </w14:textFill>
        </w:rPr>
        <w:t>年</w:t>
      </w:r>
      <w:r>
        <w:rPr>
          <w:rFonts w:hint="eastAsia" w:ascii="仿宋_GB2312" w:hAnsi="仿宋_GB2312" w:cs="仿宋_GB2312"/>
          <w:color w:val="000000" w:themeColor="text1"/>
          <w:kern w:val="2"/>
          <w:position w:val="-2"/>
          <w:szCs w:val="32"/>
          <w14:textFill>
            <w14:solidFill>
              <w14:schemeClr w14:val="tx1"/>
            </w14:solidFill>
          </w14:textFill>
        </w:rPr>
        <w:t>9</w:t>
      </w:r>
      <w:r>
        <w:rPr>
          <w:rFonts w:hint="eastAsia" w:ascii="仿宋_GB2312" w:hAnsi="仿宋_GB2312" w:cs="仿宋_GB2312"/>
          <w:color w:val="000000" w:themeColor="text1"/>
          <w:kern w:val="2"/>
          <w:position w:val="-2"/>
          <w:szCs w:val="32"/>
          <w:lang w:val="zh-CN"/>
          <w14:textFill>
            <w14:solidFill>
              <w14:schemeClr w14:val="tx1"/>
            </w14:solidFill>
          </w14:textFill>
        </w:rPr>
        <w:t>月财政拨付</w:t>
      </w:r>
      <w:r>
        <w:rPr>
          <w:rFonts w:hint="eastAsia" w:ascii="仿宋_GB2312" w:hAnsi="仿宋_GB2312" w:cs="仿宋_GB2312"/>
          <w:color w:val="000000" w:themeColor="text1"/>
          <w:kern w:val="2"/>
          <w:position w:val="-2"/>
          <w:szCs w:val="32"/>
          <w14:textFill>
            <w14:solidFill>
              <w14:schemeClr w14:val="tx1"/>
            </w14:solidFill>
          </w14:textFill>
        </w:rPr>
        <w:t>公园广场及栖凤湖运维补助资金500万元</w:t>
      </w:r>
      <w:r>
        <w:rPr>
          <w:rFonts w:hint="eastAsia" w:ascii="仿宋_GB2312" w:hAnsi="仿宋_GB2312" w:cs="仿宋_GB2312"/>
          <w:color w:val="000000" w:themeColor="text1"/>
          <w:kern w:val="2"/>
          <w:position w:val="-2"/>
          <w:szCs w:val="32"/>
          <w:lang w:val="zh-CN"/>
          <w14:textFill>
            <w14:solidFill>
              <w14:schemeClr w14:val="tx1"/>
            </w14:solidFill>
          </w14:textFill>
        </w:rPr>
        <w:t>。</w:t>
      </w:r>
    </w:p>
    <w:p>
      <w:pPr>
        <w:adjustRightInd w:val="0"/>
        <w:snapToGrid w:val="0"/>
        <w:spacing w:line="576" w:lineRule="exact"/>
        <w:ind w:firstLine="640" w:firstLineChars="200"/>
        <w:contextualSpacing/>
        <w:rPr>
          <w:color w:val="000000" w:themeColor="text1"/>
          <w14:textFill>
            <w14:solidFill>
              <w14:schemeClr w14:val="tx1"/>
            </w14:solidFill>
          </w14:textFill>
        </w:rPr>
      </w:pPr>
      <w:r>
        <w:rPr>
          <w:rFonts w:hint="eastAsia" w:ascii="仿宋_GB2312" w:hAnsi="仿宋_GB2312" w:cs="仿宋_GB2312"/>
          <w:color w:val="000000" w:themeColor="text1"/>
          <w:kern w:val="0"/>
          <w:szCs w:val="32"/>
          <w:shd w:val="clear" w:color="auto" w:fill="FFFFFF"/>
          <w:lang w:val="zh-CN"/>
          <w14:textFill>
            <w14:solidFill>
              <w14:schemeClr w14:val="tx1"/>
            </w14:solidFill>
          </w14:textFill>
        </w:rPr>
        <w:t>资金使用：该资金主要用于</w:t>
      </w:r>
      <w:r>
        <w:rPr>
          <w:rFonts w:hint="eastAsia" w:ascii="仿宋_GB2312" w:hAnsi="仿宋_GB2312" w:cs="仿宋_GB2312"/>
          <w:color w:val="000000" w:themeColor="text1"/>
          <w:kern w:val="0"/>
          <w:szCs w:val="32"/>
          <w:shd w:val="clear" w:color="auto" w:fill="FFFFFF"/>
          <w14:textFill>
            <w14:solidFill>
              <w14:schemeClr w14:val="tx1"/>
            </w14:solidFill>
          </w14:textFill>
        </w:rPr>
        <w:t>2022年栖凤湖清漂及公园广场运维，不足部分由我公司自筹。</w:t>
      </w: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（三）项目财务管理情况</w:t>
      </w:r>
    </w:p>
    <w:p>
      <w:pPr>
        <w:adjustRightInd w:val="0"/>
        <w:snapToGrid w:val="0"/>
        <w:spacing w:line="576" w:lineRule="exact"/>
        <w:ind w:firstLine="640" w:firstLineChars="200"/>
        <w:contextualSpacing/>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仿宋_GB2312" w:hAnsi="仿宋_GB2312" w:cs="仿宋_GB2312"/>
          <w:color w:val="000000" w:themeColor="text1"/>
          <w:kern w:val="0"/>
          <w:szCs w:val="32"/>
          <w:shd w:val="clear" w:color="auto" w:fill="FFFFFF"/>
          <w:lang w:val="zh-CN"/>
          <w14:textFill>
            <w14:solidFill>
              <w14:schemeClr w14:val="tx1"/>
            </w14:solidFill>
          </w14:textFill>
        </w:rPr>
        <w:t>项目财务管理制度健全，严格执行财务管理制度，账务处理及时，会计核算规范。</w:t>
      </w:r>
    </w:p>
    <w:p>
      <w:pPr>
        <w:adjustRightInd w:val="0"/>
        <w:snapToGrid w:val="0"/>
        <w:spacing w:line="576" w:lineRule="exact"/>
        <w:ind w:firstLine="640" w:firstLineChars="200"/>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三、项目实施及管理情况</w:t>
      </w: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（一）项目组织架构及实施流程</w:t>
      </w:r>
    </w:p>
    <w:p>
      <w:pPr>
        <w:pStyle w:val="2"/>
        <w:spacing w:before="93" w:line="576" w:lineRule="exact"/>
        <w:ind w:firstLine="600" w:firstLineChars="200"/>
        <w:rPr>
          <w:rFonts w:hAnsi="仿宋_GB2312" w:cs="仿宋_GB2312"/>
          <w:color w:val="000000" w:themeColor="text1"/>
          <w14:textFill>
            <w14:solidFill>
              <w14:schemeClr w14:val="tx1"/>
            </w14:solidFill>
          </w14:textFill>
        </w:rPr>
      </w:pPr>
      <w:r>
        <w:rPr>
          <w:rFonts w:hint="eastAsia"/>
          <w:color w:val="000000" w:themeColor="text1"/>
          <w:lang w:val="zh-CN"/>
          <w14:textFill>
            <w14:solidFill>
              <w14:schemeClr w14:val="tx1"/>
            </w14:solidFill>
          </w14:textFill>
        </w:rPr>
        <w:tab/>
      </w:r>
      <w:r>
        <w:rPr>
          <w:rFonts w:hint="eastAsia" w:hAnsi="仿宋_GB2312" w:cs="仿宋_GB2312"/>
          <w:color w:val="000000" w:themeColor="text1"/>
          <w:sz w:val="32"/>
          <w:szCs w:val="32"/>
          <w14:textFill>
            <w14:solidFill>
              <w14:schemeClr w14:val="tx1"/>
            </w14:solidFill>
          </w14:textFill>
        </w:rPr>
        <w:t>广元文旅城市管理服务有限公司</w:t>
      </w:r>
      <w:r>
        <w:rPr>
          <w:rFonts w:hint="eastAsia" w:hAnsi="仿宋_GB2312" w:cs="仿宋_GB2312"/>
          <w:color w:val="000000" w:themeColor="text1"/>
          <w:kern w:val="2"/>
          <w:sz w:val="32"/>
          <w:szCs w:val="32"/>
          <w14:textFill>
            <w14:solidFill>
              <w14:schemeClr w14:val="tx1"/>
            </w14:solidFill>
          </w14:textFill>
        </w:rPr>
        <w:t>成立运营管理部负责城区公园、广场日常运维，成立安全生产管理部负责栖凤湖清漂及安全巡查。并根据公司项目工作管理要求，明确职责，按照职能职责安排专人对各区域安全、质量、进度等管理。</w:t>
      </w:r>
    </w:p>
    <w:p>
      <w:pPr>
        <w:pStyle w:val="2"/>
        <w:spacing w:before="93" w:line="576" w:lineRule="exact"/>
        <w:ind w:firstLine="640" w:firstLineChars="200"/>
        <w:rPr>
          <w:rFonts w:hAnsi="仿宋_GB2312" w:cs="仿宋_GB2312"/>
          <w:color w:val="000000" w:themeColor="text1"/>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该</w:t>
      </w:r>
      <w:r>
        <w:rPr>
          <w:rFonts w:hint="eastAsia" w:ascii="黑体" w:hAnsi="黑体" w:eastAsia="黑体" w:cs="黑体"/>
          <w:color w:val="000000" w:themeColor="text1"/>
          <w:kern w:val="2"/>
          <w:sz w:val="32"/>
          <w:szCs w:val="32"/>
          <w:lang w:val="zh-CN"/>
          <w14:textFill>
            <w14:solidFill>
              <w14:schemeClr w14:val="tx1"/>
            </w14:solidFill>
          </w14:textFill>
        </w:rPr>
        <w:t>项目组织管理架构图如下</w:t>
      </w:r>
    </w:p>
    <w:p>
      <w:pPr>
        <w:pStyle w:val="42"/>
        <w:tabs>
          <w:tab w:val="left" w:pos="2409"/>
        </w:tabs>
        <w:spacing w:before="93" w:line="576" w:lineRule="exact"/>
        <w:ind w:firstLine="602"/>
        <w:rPr>
          <w:color w:val="000000" w:themeColor="text1"/>
          <w:lang w:val="zh-CN"/>
          <w14:textFill>
            <w14:solidFill>
              <w14:schemeClr w14:val="tx1"/>
            </w14:solidFill>
          </w14:textFill>
        </w:rPr>
      </w:pPr>
    </w:p>
    <w:p>
      <w:pPr>
        <w:pStyle w:val="42"/>
        <w:tabs>
          <w:tab w:val="left" w:pos="2409"/>
        </w:tabs>
        <w:spacing w:before="93" w:line="576" w:lineRule="exact"/>
        <w:ind w:firstLine="602"/>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drawing>
          <wp:anchor distT="0" distB="0" distL="114300" distR="114300" simplePos="0" relativeHeight="251669504" behindDoc="1" locked="0" layoutInCell="1" allowOverlap="1">
            <wp:simplePos x="0" y="0"/>
            <wp:positionH relativeFrom="column">
              <wp:posOffset>-588645</wp:posOffset>
            </wp:positionH>
            <wp:positionV relativeFrom="paragraph">
              <wp:posOffset>-411480</wp:posOffset>
            </wp:positionV>
            <wp:extent cx="6765290" cy="2047875"/>
            <wp:effectExtent l="38100" t="0" r="16510" b="0"/>
            <wp:wrapNone/>
            <wp:docPr id="19" name="图示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p>
    <w:p>
      <w:pPr>
        <w:pStyle w:val="42"/>
        <w:tabs>
          <w:tab w:val="left" w:pos="2409"/>
        </w:tabs>
        <w:spacing w:before="93" w:line="576" w:lineRule="exact"/>
        <w:ind w:firstLine="602"/>
        <w:rPr>
          <w:color w:val="000000" w:themeColor="text1"/>
          <w:lang w:val="zh-CN"/>
          <w14:textFill>
            <w14:solidFill>
              <w14:schemeClr w14:val="tx1"/>
            </w14:solidFill>
          </w14:textFill>
        </w:rPr>
      </w:pPr>
    </w:p>
    <w:p>
      <w:pPr>
        <w:pStyle w:val="42"/>
        <w:tabs>
          <w:tab w:val="left" w:pos="2409"/>
        </w:tabs>
        <w:spacing w:before="93" w:line="576" w:lineRule="exact"/>
        <w:ind w:firstLine="0" w:firstLineChars="0"/>
        <w:rPr>
          <w:color w:val="000000" w:themeColor="text1"/>
          <w:lang w:val="zh-CN"/>
          <w14:textFill>
            <w14:solidFill>
              <w14:schemeClr w14:val="tx1"/>
            </w14:solidFill>
          </w14:textFill>
        </w:rPr>
      </w:pPr>
    </w:p>
    <w:p>
      <w:pPr>
        <w:pStyle w:val="42"/>
        <w:tabs>
          <w:tab w:val="left" w:pos="2409"/>
        </w:tabs>
        <w:spacing w:before="93" w:line="576" w:lineRule="exact"/>
        <w:ind w:firstLine="0" w:firstLineChars="0"/>
        <w:rPr>
          <w:color w:val="000000" w:themeColor="text1"/>
          <w:lang w:val="zh-CN"/>
          <w14:textFill>
            <w14:solidFill>
              <w14:schemeClr w14:val="tx1"/>
            </w14:solidFill>
          </w14:textFill>
        </w:rPr>
      </w:pPr>
    </w:p>
    <w:p>
      <w:pPr>
        <w:pStyle w:val="42"/>
        <w:tabs>
          <w:tab w:val="left" w:pos="2409"/>
        </w:tabs>
        <w:spacing w:before="93" w:line="576" w:lineRule="exact"/>
        <w:ind w:firstLine="0" w:firstLineChars="0"/>
        <w:rPr>
          <w:color w:val="000000" w:themeColor="text1"/>
          <w:lang w:val="zh-CN"/>
          <w14:textFill>
            <w14:solidFill>
              <w14:schemeClr w14:val="tx1"/>
            </w14:solidFill>
          </w14:textFill>
        </w:rPr>
      </w:pP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（二）项目管理情况</w:t>
      </w:r>
    </w:p>
    <w:p>
      <w:pPr>
        <w:spacing w:line="576" w:lineRule="exact"/>
        <w:ind w:firstLine="640" w:firstLineChars="200"/>
        <w:jc w:val="left"/>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公园、广场运维费用</w:t>
      </w:r>
      <w:r>
        <w:rPr>
          <w:rFonts w:hint="eastAsia" w:ascii="仿宋_GB2312" w:hAnsi="仿宋_GB2312" w:cs="仿宋_GB2312"/>
          <w:color w:val="000000" w:themeColor="text1"/>
          <w:kern w:val="0"/>
          <w:szCs w:val="32"/>
          <w:shd w:val="clear" w:color="auto" w:fill="FFFFFF"/>
          <w:lang w:val="zh-CN"/>
          <w14:textFill>
            <w14:solidFill>
              <w14:schemeClr w14:val="tx1"/>
            </w14:solidFill>
          </w14:textFill>
        </w:rPr>
        <w:t>严格执行财务管理制度报销。另外特别制定《</w:t>
      </w:r>
      <w:r>
        <w:rPr>
          <w:rFonts w:hint="eastAsia" w:ascii="仿宋_GB2312" w:hAnsi="仿宋_GB2312" w:cs="仿宋_GB2312"/>
          <w:color w:val="000000" w:themeColor="text1"/>
          <w:kern w:val="0"/>
          <w:szCs w:val="32"/>
          <w:shd w:val="clear" w:color="auto" w:fill="FFFFFF"/>
          <w14:textFill>
            <w14:solidFill>
              <w14:schemeClr w14:val="tx1"/>
            </w14:solidFill>
          </w14:textFill>
        </w:rPr>
        <w:t>广元市</w:t>
      </w:r>
      <w:r>
        <w:rPr>
          <w:rFonts w:hint="eastAsia" w:ascii="仿宋_GB2312" w:hAnsi="仿宋_GB2312" w:cs="仿宋_GB2312"/>
          <w:color w:val="000000" w:themeColor="text1"/>
          <w:kern w:val="0"/>
          <w:szCs w:val="32"/>
          <w:shd w:val="clear" w:color="auto" w:fill="FFFFFF"/>
          <w:lang w:val="zh-CN"/>
          <w14:textFill>
            <w14:solidFill>
              <w14:schemeClr w14:val="tx1"/>
            </w14:solidFill>
          </w14:textFill>
        </w:rPr>
        <w:t>栖凤湖</w:t>
      </w:r>
      <w:r>
        <w:rPr>
          <w:rFonts w:hint="eastAsia" w:ascii="仿宋_GB2312" w:hAnsi="仿宋_GB2312" w:cs="仿宋_GB2312"/>
          <w:color w:val="000000" w:themeColor="text1"/>
          <w:kern w:val="0"/>
          <w:szCs w:val="32"/>
          <w:shd w:val="clear" w:color="auto" w:fill="FFFFFF"/>
          <w14:textFill>
            <w14:solidFill>
              <w14:schemeClr w14:val="tx1"/>
            </w14:solidFill>
          </w14:textFill>
        </w:rPr>
        <w:t>保洁工作管理制度》，该制度明确规定了栖凤湖保洁管理职责、管理内容、要求、报告与记录等事项。</w:t>
      </w: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w:t>
      </w:r>
      <w:r>
        <w:rPr>
          <w:rFonts w:hint="eastAsia" w:ascii="楷体_GB2312" w:hAnsi="宋体" w:eastAsia="楷体_GB2312"/>
          <w:color w:val="000000" w:themeColor="text1"/>
          <w:szCs w:val="32"/>
          <w14:textFill>
            <w14:solidFill>
              <w14:schemeClr w14:val="tx1"/>
            </w14:solidFill>
          </w14:textFill>
        </w:rPr>
        <w:t>三</w:t>
      </w:r>
      <w:r>
        <w:rPr>
          <w:rFonts w:hint="eastAsia" w:ascii="楷体_GB2312" w:hAnsi="宋体" w:eastAsia="楷体_GB2312"/>
          <w:color w:val="000000" w:themeColor="text1"/>
          <w:szCs w:val="32"/>
          <w:lang w:val="zh-CN"/>
          <w14:textFill>
            <w14:solidFill>
              <w14:schemeClr w14:val="tx1"/>
            </w14:solidFill>
          </w14:textFill>
        </w:rPr>
        <w:t>）项目监管情况</w:t>
      </w:r>
    </w:p>
    <w:p>
      <w:pPr>
        <w:autoSpaceDN w:val="0"/>
        <w:spacing w:line="576" w:lineRule="exact"/>
        <w:ind w:firstLine="640" w:firstLineChars="200"/>
        <w:rPr>
          <w:rFonts w:ascii="仿宋_GB2312" w:hAnsi="仿宋_GB2312" w:cs="仿宋_GB2312"/>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1.监管单位抽查。市国资委投资科定期组织人员对项目进度、质量和安全进行实地抽查。</w:t>
      </w:r>
    </w:p>
    <w:p>
      <w:pPr>
        <w:autoSpaceDN w:val="0"/>
        <w:spacing w:line="576" w:lineRule="exact"/>
        <w:ind w:firstLine="643" w:firstLineChars="200"/>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仿宋_GB2312" w:hAnsi="仿宋_GB2312" w:cs="仿宋_GB2312"/>
          <w:b/>
          <w:bCs/>
          <w:color w:val="000000" w:themeColor="text1"/>
          <w:position w:val="-2"/>
          <w:szCs w:val="32"/>
          <w14:textFill>
            <w14:solidFill>
              <w14:schemeClr w14:val="tx1"/>
            </w14:solidFill>
          </w14:textFill>
        </w:rPr>
        <w:t>2.公司内部自查。</w:t>
      </w:r>
      <w:r>
        <w:rPr>
          <w:rFonts w:hint="eastAsia" w:ascii="仿宋_GB2312" w:hAnsi="仿宋_GB2312" w:cs="仿宋_GB2312"/>
          <w:b/>
          <w:bCs/>
          <w:color w:val="000000" w:themeColor="text1"/>
          <w:position w:val="-2"/>
          <w:szCs w:val="32"/>
          <w:lang w:val="zh-CN"/>
          <w14:textFill>
            <w14:solidFill>
              <w14:schemeClr w14:val="tx1"/>
            </w14:solidFill>
          </w14:textFill>
        </w:rPr>
        <w:t>一是</w:t>
      </w:r>
      <w:r>
        <w:rPr>
          <w:rFonts w:hint="eastAsia" w:ascii="仿宋_GB2312" w:hAnsi="仿宋_GB2312" w:cs="仿宋_GB2312"/>
          <w:bCs/>
          <w:color w:val="000000" w:themeColor="text1"/>
          <w:szCs w:val="32"/>
          <w14:textFill>
            <w14:solidFill>
              <w14:schemeClr w14:val="tx1"/>
            </w14:solidFill>
          </w14:textFill>
        </w:rPr>
        <w:t>组织危险源辨识与风险分级研判工作</w:t>
      </w:r>
      <w:r>
        <w:rPr>
          <w:rFonts w:hint="eastAsia" w:ascii="楷体_GB2312" w:hAnsi="楷体_GB2312" w:eastAsia="楷体_GB2312" w:cs="楷体_GB2312"/>
          <w:color w:val="000000" w:themeColor="text1"/>
          <w:szCs w:val="32"/>
          <w14:textFill>
            <w14:solidFill>
              <w14:schemeClr w14:val="tx1"/>
            </w14:solidFill>
          </w14:textFill>
        </w:rPr>
        <w:t>。</w:t>
      </w:r>
      <w:r>
        <w:rPr>
          <w:rFonts w:hint="eastAsia" w:ascii="仿宋_GB2312" w:hAnsi="仿宋_GB2312" w:cs="仿宋_GB2312"/>
          <w:bCs/>
          <w:color w:val="000000" w:themeColor="text1"/>
          <w:szCs w:val="32"/>
          <w14:textFill>
            <w14:solidFill>
              <w14:schemeClr w14:val="tx1"/>
            </w14:solidFill>
          </w14:textFill>
        </w:rPr>
        <w:t>组织全面排查公园、广场内安全隐患和生产经营活动中的危险源，建立了公司风险管控清单，梳理风险点15个，并逐项进行了等级研判，制定了风险控制措施。</w:t>
      </w:r>
      <w:r>
        <w:rPr>
          <w:rFonts w:hint="eastAsia" w:ascii="仿宋_GB2312" w:hAnsi="仿宋_GB2312" w:cs="仿宋_GB2312"/>
          <w:b/>
          <w:color w:val="000000" w:themeColor="text1"/>
          <w:szCs w:val="32"/>
          <w14:textFill>
            <w14:solidFill>
              <w14:schemeClr w14:val="tx1"/>
            </w14:solidFill>
          </w14:textFill>
        </w:rPr>
        <w:t>二是</w:t>
      </w:r>
      <w:r>
        <w:rPr>
          <w:rFonts w:hint="eastAsia" w:ascii="仿宋_GB2312" w:hAnsi="仿宋_GB2312" w:cs="仿宋_GB2312"/>
          <w:bCs/>
          <w:color w:val="000000" w:themeColor="text1"/>
          <w:szCs w:val="32"/>
          <w14:textFill>
            <w14:solidFill>
              <w14:schemeClr w14:val="tx1"/>
            </w14:solidFill>
          </w14:textFill>
        </w:rPr>
        <w:t>加强汛期地质灾害防范工作。</w:t>
      </w:r>
      <w:r>
        <w:rPr>
          <w:rFonts w:hint="eastAsia" w:ascii="仿宋_GB2312" w:hAnsi="宋体"/>
          <w:color w:val="000000" w:themeColor="text1"/>
          <w:szCs w:val="32"/>
          <w14:textFill>
            <w14:solidFill>
              <w14:schemeClr w14:val="tx1"/>
            </w14:solidFill>
          </w14:textFill>
        </w:rPr>
        <w:t>印发汛期防汛工作通知</w:t>
      </w:r>
      <w:r>
        <w:rPr>
          <w:rFonts w:hint="eastAsia" w:ascii="仿宋_GB2312"/>
          <w:color w:val="000000" w:themeColor="text1"/>
          <w:szCs w:val="32"/>
          <w14:textFill>
            <w14:solidFill>
              <w14:schemeClr w14:val="tx1"/>
            </w14:solidFill>
          </w14:textFill>
        </w:rPr>
        <w:t>，组织对园区的排水沟、防洪渠和下水道等进行疏通整治，制定防汛值班表，严格按照防汛值班安排，实行24小时值班，做到值班安排责任到人，监督管理到位，确保南河湿地公园、凤凰山公园和红星公园等重点区域汛期地质灾害防范安全，管理人员对栖凤湖保洁工作的落实情况和效果进行日常监督检查。三</w:t>
      </w:r>
      <w:r>
        <w:rPr>
          <w:rFonts w:hint="eastAsia" w:ascii="仿宋_GB2312" w:hAnsi="仿宋_GB2312" w:cs="仿宋_GB2312"/>
          <w:b/>
          <w:color w:val="000000" w:themeColor="text1"/>
          <w:kern w:val="0"/>
          <w:szCs w:val="32"/>
          <w14:textFill>
            <w14:solidFill>
              <w14:schemeClr w14:val="tx1"/>
            </w14:solidFill>
          </w14:textFill>
        </w:rPr>
        <w:t>是</w:t>
      </w:r>
      <w:r>
        <w:rPr>
          <w:rFonts w:hint="eastAsia" w:ascii="仿宋_GB2312" w:hAnsi="仿宋_GB2312" w:cs="仿宋_GB2312"/>
          <w:bCs/>
          <w:color w:val="000000" w:themeColor="text1"/>
          <w:szCs w:val="32"/>
          <w14:textFill>
            <w14:solidFill>
              <w14:schemeClr w14:val="tx1"/>
            </w14:solidFill>
          </w14:textFill>
        </w:rPr>
        <w:t>认真组织安全隐患排查治理工作。</w:t>
      </w:r>
      <w:r>
        <w:rPr>
          <w:rFonts w:hint="eastAsia" w:ascii="仿宋_GB2312" w:hAnsi="宋体" w:cs="宋体"/>
          <w:color w:val="000000" w:themeColor="text1"/>
          <w:kern w:val="0"/>
          <w:szCs w:val="32"/>
          <w14:textFill>
            <w14:solidFill>
              <w14:schemeClr w14:val="tx1"/>
            </w14:solidFill>
          </w14:textFill>
        </w:rPr>
        <w:t>对公园广场进行消防设施、水电设备和地质危害等全面检查，强力排查整治安全隐患，重点落实凤凰山公园10套特种游乐设备的安全检查监管，落实每周抽检，每月全覆盖，</w:t>
      </w:r>
      <w:r>
        <w:rPr>
          <w:rFonts w:hint="eastAsia" w:ascii="仿宋_GB2312" w:hAnsi="仿宋"/>
          <w:color w:val="000000" w:themeColor="text1"/>
          <w:szCs w:val="32"/>
          <w14:textFill>
            <w14:solidFill>
              <w14:schemeClr w14:val="tx1"/>
            </w14:solidFill>
          </w14:textFill>
        </w:rPr>
        <w:t>多举措保障了公园广场安全形势平稳。</w:t>
      </w:r>
    </w:p>
    <w:p>
      <w:pPr>
        <w:adjustRightInd w:val="0"/>
        <w:snapToGrid w:val="0"/>
        <w:spacing w:line="576" w:lineRule="exact"/>
        <w:ind w:firstLine="640" w:firstLineChars="200"/>
        <w:rPr>
          <w:rFonts w:ascii="仿宋_GB2312" w:hAnsi="宋体"/>
          <w:color w:val="000000" w:themeColor="text1"/>
          <w:lang w:val="zh-CN"/>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四、项目绩效情况</w:t>
      </w:r>
      <w:r>
        <w:rPr>
          <w:rFonts w:hint="eastAsia" w:ascii="仿宋_GB2312" w:hAnsi="宋体"/>
          <w:color w:val="000000" w:themeColor="text1"/>
          <w:szCs w:val="32"/>
          <w:lang w:val="zh-CN"/>
          <w14:textFill>
            <w14:solidFill>
              <w14:schemeClr w14:val="tx1"/>
            </w14:solidFill>
          </w14:textFill>
        </w:rPr>
        <w:tab/>
      </w: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（一）项目完成情况</w:t>
      </w:r>
    </w:p>
    <w:p>
      <w:pPr>
        <w:adjustRightInd w:val="0"/>
        <w:snapToGrid w:val="0"/>
        <w:spacing w:line="576" w:lineRule="exact"/>
        <w:ind w:firstLine="640" w:firstLineChars="200"/>
        <w:contextualSpacing/>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一是做好闲置房屋的招商。为优化资源配置，通过市场化招租，湿地公园植入“喜来”婚礼、凤凰山公园植入“凤凰山居”业态，大大减少房屋空置率，提高公司经营收入。二是做好公园广场日常维修维护。采取计划实施维修项目和应急抢修项目，确保各公园、广场设施设备的正常运转，湿地公园基建设施全面排危工作，维修园区道路损坏裂缝共100米。维修座椅39把、抢修水管、维修老旧抽水泵。更换地灯，杆灯200余盏。维修清石路面30㎡。凤凰山公园维修路灯72盏、青石围栏41米、路沿石13米、座椅9个、垃圾桶10个，抢修水管爆裂3次、公园正大门安装装饰灯具，柏荫印象庭院火锅店屋顶补漏。购置双桶垃圾桶20个，分类垃圾桶12个，垃圾桶内胆80个。确保公园内座椅、照明、垃圾桶及标示标牌等完整率达到98%；亮灯率达99%。三是做好公园广场日常绿化养护管理。及时对植物进行病虫害防治，绿篱和草坪等及时彻底地实施修剪、浇水、施肥，清除绿化内的杂草。湿地公园人工清理福寿螺6000余斤，清割梯田、多塘水生植物1次，清割旱地植物1次，清理枯枝烂叶170多车，春季苗木栽种6170株，铺装草坪300㎡、播种草地1000余㎡，春夏季抗旱浇水60000余㎡，施肥10000多㎡、冬季树木刷白13000余株；凤凰山公园补植裸露土地草皮1050㎡，苗木栽种1102株，修剪草坪灌木累计约38000平方米，树木刷白3000余株。四是做好病虫害防治工作。按照“早预防、早发现、早治疗”原则，提前介入做好植被病虫害防治，全年病虫害防治次数达16次。五是做好租金减免工作。根据市国资委《广元市国资委优化营商环境建设工作方案的通知》《关于市级行政事业单位和市属国有企业向中小微企业和个体工商户减免房租的通知》要求，与125户经营户签订《租金减免申请表》，实现“应减尽减、应免尽免”，减免金额高达205.17万元。六是创建全国文明城市工作。城市公园广场属于第七届全国文明城市创建工作重要节点，我司加强文明宣传引导，前后组织安装文明宣传标语110余条、标识标牌1000余个，制作核心主义价值观景观小品10组，设置志愿服务站点6个，在公园广场等场所设置宣传标语110余条，制作景观小品10组，设置志愿服务站点5个；推行网格化管理模式，整个公园广场增加创文工作人员60余人。实施分区定人、定岗定责，落实公园广场“五乱”治理、疫情防控、安全巡查、文明劝导、卫生保洁和秩序维持等工作。七是严格落实公园广场新冠疫情常态化防控，认真执行公园入口人员扫码登记、定期场所消杀、宣传引导、规范项目经营和日常卫生保洁、垃圾清运等工作；全力保障公共场所安全，落实游乐设施安全管理、森林防灭火安全、地质灾害隐患排查和基础设施隐患排查等工作，保障了公园广场安全形势稳定，无重大安全事故发生。八是落实栖凤湖水面清漂工作，将湖区化为10个区域网格化清漂管理，年度清理水面垃圾等漂浮物1000余吨。</w:t>
      </w:r>
    </w:p>
    <w:p>
      <w:pPr>
        <w:adjustRightInd w:val="0"/>
        <w:snapToGrid w:val="0"/>
        <w:spacing w:line="576" w:lineRule="exact"/>
        <w:ind w:firstLine="640" w:firstLineChars="200"/>
        <w:rPr>
          <w:rFonts w:ascii="楷体_GB2312" w:hAnsi="宋体" w:eastAsia="楷体_GB2312"/>
          <w:color w:val="000000" w:themeColor="text1"/>
          <w:lang w:val="zh-CN"/>
          <w14:textFill>
            <w14:solidFill>
              <w14:schemeClr w14:val="tx1"/>
            </w14:solidFill>
          </w14:textFill>
        </w:rPr>
      </w:pPr>
      <w:r>
        <w:rPr>
          <w:rFonts w:hint="eastAsia" w:ascii="楷体_GB2312" w:hAnsi="宋体" w:eastAsia="楷体_GB2312"/>
          <w:color w:val="000000" w:themeColor="text1"/>
          <w:szCs w:val="32"/>
          <w:lang w:val="zh-CN"/>
          <w14:textFill>
            <w14:solidFill>
              <w14:schemeClr w14:val="tx1"/>
            </w14:solidFill>
          </w14:textFill>
        </w:rPr>
        <w:t>（二）项目效益情况</w:t>
      </w:r>
    </w:p>
    <w:p>
      <w:pPr>
        <w:adjustRightInd w:val="0"/>
        <w:snapToGrid w:val="0"/>
        <w:spacing w:line="576" w:lineRule="exact"/>
        <w:ind w:firstLine="640" w:firstLineChars="200"/>
        <w:rPr>
          <w:rFonts w:ascii="仿宋_GB2312" w:hAnsi="仿宋_GB2312" w:cs="仿宋_GB2312"/>
          <w:color w:val="000000" w:themeColor="text1"/>
          <w:szCs w:val="40"/>
          <w14:textFill>
            <w14:solidFill>
              <w14:schemeClr w14:val="tx1"/>
            </w14:solidFill>
          </w14:textFill>
        </w:rPr>
      </w:pPr>
      <w:r>
        <w:rPr>
          <w:rFonts w:hint="eastAsia" w:ascii="仿宋_GB2312" w:hAnsi="仿宋_GB2312" w:cs="仿宋_GB2312"/>
          <w:color w:val="000000" w:themeColor="text1"/>
          <w:szCs w:val="40"/>
          <w14:textFill>
            <w14:solidFill>
              <w14:schemeClr w14:val="tx1"/>
            </w14:solidFill>
          </w14:textFill>
        </w:rPr>
        <w:t>实现城市自然资源和人文资源的增值，使城市的综合财富得到提高，城市居民生活质量和幸福感得到提升。</w:t>
      </w:r>
    </w:p>
    <w:p>
      <w:pPr>
        <w:adjustRightInd w:val="0"/>
        <w:snapToGrid w:val="0"/>
        <w:spacing w:line="576" w:lineRule="exact"/>
        <w:ind w:firstLine="640" w:firstLineChars="200"/>
        <w:rPr>
          <w:rFonts w:ascii="仿宋_GB2312" w:hAnsi="仿宋_GB2312" w:cs="仿宋_GB2312"/>
          <w:color w:val="000000" w:themeColor="text1"/>
          <w:kern w:val="0"/>
          <w:shd w:val="clear" w:color="auto" w:fill="FFFFFF"/>
          <w:lang w:val="zh-CN"/>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五、评价结论及建议</w:t>
      </w:r>
    </w:p>
    <w:p>
      <w:pPr>
        <w:adjustRightInd w:val="0"/>
        <w:snapToGrid w:val="0"/>
        <w:spacing w:line="576" w:lineRule="exact"/>
        <w:ind w:firstLine="640" w:firstLineChars="200"/>
        <w:contextualSpacing/>
        <w:jc w:val="left"/>
        <w:rPr>
          <w:rFonts w:ascii="仿宋_GB2312" w:hAnsi="仿宋_GB2312" w:cs="仿宋_GB2312"/>
          <w:color w:val="000000" w:themeColor="text1"/>
          <w:kern w:val="0"/>
          <w:shd w:val="clear" w:color="auto" w:fill="FFFFFF"/>
          <w14:textFill>
            <w14:solidFill>
              <w14:schemeClr w14:val="tx1"/>
            </w14:solidFill>
          </w14:textFill>
        </w:rPr>
      </w:pPr>
      <w:r>
        <w:rPr>
          <w:rFonts w:hint="eastAsia" w:ascii="仿宋_GB2312" w:hAnsi="仿宋_GB2312" w:cs="仿宋_GB2312"/>
          <w:color w:val="000000" w:themeColor="text1"/>
          <w:szCs w:val="40"/>
          <w14:textFill>
            <w14:solidFill>
              <w14:schemeClr w14:val="tx1"/>
            </w14:solidFill>
          </w14:textFill>
        </w:rPr>
        <w:t>通过公园广场、栖凤湖的运营，</w:t>
      </w:r>
      <w:r>
        <w:rPr>
          <w:rFonts w:hint="eastAsia"/>
          <w:color w:val="000000" w:themeColor="text1"/>
          <w:szCs w:val="32"/>
          <w14:textFill>
            <w14:solidFill>
              <w14:schemeClr w14:val="tx1"/>
            </w14:solidFill>
          </w14:textFill>
        </w:rPr>
        <w:t>在文旅城市服务板块构建一个良性的产业生态，同时为自身构建一个可持续循环地发展闭环。</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2"/>
        <w:spacing w:before="93" w:line="576" w:lineRule="exact"/>
      </w:pPr>
    </w:p>
    <w:p>
      <w:pPr>
        <w:pStyle w:val="2"/>
        <w:spacing w:before="93" w:line="576" w:lineRule="exact"/>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adjustRightInd w:val="0"/>
        <w:snapToGrid w:val="0"/>
        <w:spacing w:line="576" w:lineRule="exact"/>
        <w:jc w:val="center"/>
        <w:rPr>
          <w:rFonts w:ascii="仿宋_GB2312"/>
          <w:szCs w:val="32"/>
        </w:rPr>
      </w:pPr>
      <w:r>
        <w:rPr>
          <w:rFonts w:hint="eastAsia" w:ascii="仿宋_GB2312"/>
          <w:szCs w:val="32"/>
        </w:rPr>
        <w:t>（</w:t>
      </w:r>
      <w:r>
        <w:rPr>
          <w:rFonts w:hint="eastAsia" w:ascii="楷体_GB2312" w:eastAsia="楷体_GB2312"/>
          <w:szCs w:val="32"/>
        </w:rPr>
        <w:t>2023年城区公园广场春节氛围营造项目</w:t>
      </w:r>
      <w:r>
        <w:rPr>
          <w:rFonts w:hint="eastAsia" w:ascii="仿宋_GB2312"/>
          <w:szCs w:val="32"/>
        </w:rPr>
        <w:t>）</w:t>
      </w:r>
    </w:p>
    <w:p>
      <w:pPr>
        <w:adjustRightInd w:val="0"/>
        <w:snapToGrid w:val="0"/>
        <w:spacing w:line="576"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（一）项目基本情况</w:t>
      </w:r>
    </w:p>
    <w:p>
      <w:pPr>
        <w:pStyle w:val="42"/>
        <w:spacing w:before="93" w:line="576" w:lineRule="exact"/>
        <w:rPr>
          <w:rFonts w:hAnsi="仿宋_GB2312" w:cs="仿宋_GB2312"/>
          <w:sz w:val="32"/>
          <w:szCs w:val="32"/>
        </w:rPr>
      </w:pPr>
      <w:r>
        <w:rPr>
          <w:rFonts w:hint="eastAsia" w:hAnsi="仿宋_GB2312" w:cs="仿宋_GB2312"/>
          <w:b w:val="0"/>
          <w:bCs/>
          <w:color w:val="000000" w:themeColor="text1"/>
          <w:sz w:val="32"/>
          <w:szCs w:val="32"/>
          <w14:textFill>
            <w14:solidFill>
              <w14:schemeClr w14:val="tx1"/>
            </w14:solidFill>
          </w14:textFill>
        </w:rPr>
        <w:t>市国资</w:t>
      </w:r>
      <w:r>
        <w:rPr>
          <w:rFonts w:hint="eastAsia" w:hAnsi="仿宋_GB2312" w:cs="仿宋_GB2312"/>
          <w:b w:val="0"/>
          <w:color w:val="auto"/>
          <w:kern w:val="0"/>
          <w:sz w:val="32"/>
          <w:szCs w:val="32"/>
          <w:shd w:val="clear" w:color="auto" w:fill="FFFFFF"/>
        </w:rPr>
        <w:t>委作为</w:t>
      </w:r>
      <w:r>
        <w:rPr>
          <w:rFonts w:hint="eastAsia" w:hAnsi="仿宋_GB2312" w:cs="仿宋_GB2312"/>
          <w:b w:val="0"/>
          <w:color w:val="auto"/>
          <w:kern w:val="0"/>
          <w:sz w:val="32"/>
          <w:szCs w:val="32"/>
          <w:shd w:val="clear" w:color="auto" w:fill="FFFFFF"/>
          <w:lang w:val="zh-CN"/>
        </w:rPr>
        <w:t>202</w:t>
      </w:r>
      <w:r>
        <w:rPr>
          <w:rFonts w:hint="eastAsia" w:hAnsi="仿宋_GB2312" w:cs="仿宋_GB2312"/>
          <w:b w:val="0"/>
          <w:color w:val="auto"/>
          <w:kern w:val="0"/>
          <w:sz w:val="32"/>
          <w:szCs w:val="32"/>
          <w:shd w:val="clear" w:color="auto" w:fill="FFFFFF"/>
        </w:rPr>
        <w:t>3</w:t>
      </w:r>
      <w:r>
        <w:rPr>
          <w:rFonts w:hint="eastAsia" w:hAnsi="仿宋_GB2312" w:cs="仿宋_GB2312"/>
          <w:b w:val="0"/>
          <w:color w:val="auto"/>
          <w:kern w:val="0"/>
          <w:sz w:val="32"/>
          <w:szCs w:val="32"/>
          <w:shd w:val="clear" w:color="auto" w:fill="FFFFFF"/>
          <w:lang w:val="zh-CN"/>
        </w:rPr>
        <w:t>年城区公园广场春节氛围营造</w:t>
      </w:r>
      <w:r>
        <w:rPr>
          <w:rFonts w:hint="eastAsia" w:hAnsi="仿宋_GB2312" w:cs="仿宋_GB2312"/>
          <w:b w:val="0"/>
          <w:color w:val="auto"/>
          <w:kern w:val="0"/>
          <w:sz w:val="32"/>
          <w:szCs w:val="32"/>
          <w:shd w:val="clear" w:color="auto" w:fill="FFFFFF"/>
        </w:rPr>
        <w:t>项目主管部门，在项目建设过程中，积极督导、协调项目承建单位</w:t>
      </w:r>
      <w:r>
        <w:rPr>
          <w:rFonts w:hint="eastAsia" w:hAnsi="仿宋_GB2312" w:cs="仿宋_GB2312"/>
          <w:b w:val="0"/>
          <w:color w:val="auto"/>
          <w:sz w:val="32"/>
          <w:szCs w:val="32"/>
        </w:rPr>
        <w:t>广元文旅城市管理服务有限公司</w:t>
      </w:r>
      <w:r>
        <w:rPr>
          <w:rFonts w:hint="eastAsia" w:hAnsi="仿宋_GB2312" w:cs="仿宋_GB2312"/>
          <w:b w:val="0"/>
          <w:color w:val="auto"/>
          <w:kern w:val="0"/>
          <w:sz w:val="32"/>
          <w:szCs w:val="32"/>
          <w:shd w:val="clear" w:color="auto" w:fill="FFFFFF"/>
        </w:rPr>
        <w:t>进行项目建设等相关事宜。</w:t>
      </w:r>
    </w:p>
    <w:p>
      <w:pPr>
        <w:spacing w:line="576" w:lineRule="exact"/>
        <w:ind w:firstLine="640" w:firstLineChars="200"/>
        <w:jc w:val="left"/>
        <w:rPr>
          <w:rFonts w:ascii="仿宋_GB2312" w:hAnsi="仿宋_GB2312" w:cs="仿宋_GB2312"/>
          <w:color w:val="FF0000"/>
          <w:kern w:val="0"/>
          <w:shd w:val="clear" w:color="auto" w:fill="FFFFFF"/>
        </w:rPr>
      </w:pPr>
      <w:r>
        <w:rPr>
          <w:rFonts w:hint="eastAsia" w:ascii="仿宋_GB2312" w:hAnsi="仿宋_GB2312" w:cs="仿宋_GB2312"/>
          <w:szCs w:val="32"/>
        </w:rPr>
        <w:t>根据中共广元市委宣传部《关于印发&lt;广元市 2023 年春节氛围营造工作方案&gt;的通知》精神，市文旅集团负责市城区进出口、主要街道、公园广场等重要节点的春节氛围营造工作，市文旅集团将通过花卉布景、灯光造型和主题景观设计等方式，以人民群众喜闻乐见的方式，展示全市经济社会发展成就，营造喜庆祥和的传统节日氛围。该项目由是文旅集团子公司</w:t>
      </w:r>
      <w:r>
        <w:rPr>
          <w:rFonts w:hint="eastAsia" w:ascii="仿宋_GB2312" w:hAnsi="仿宋_GB2312" w:cs="仿宋_GB2312"/>
          <w:kern w:val="0"/>
          <w:szCs w:val="32"/>
          <w:shd w:val="clear" w:color="auto" w:fill="FFFFFF"/>
        </w:rPr>
        <w:t>广元文旅城市管理服务有限公司负责具体实施。</w:t>
      </w:r>
    </w:p>
    <w:p>
      <w:pPr>
        <w:spacing w:line="576" w:lineRule="exact"/>
        <w:ind w:firstLine="640" w:firstLineChars="200"/>
        <w:jc w:val="left"/>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rPr>
        <w:t>项目管理办法：</w:t>
      </w:r>
      <w:r>
        <w:rPr>
          <w:rFonts w:hint="eastAsia" w:ascii="仿宋" w:hAnsi="仿宋" w:eastAsia="仿宋" w:cs="仿宋"/>
          <w:szCs w:val="32"/>
        </w:rPr>
        <w:t>严格按照《广元市政府国有企业阳光采购监督管理暂行办法》，</w:t>
      </w:r>
      <w:r>
        <w:rPr>
          <w:rFonts w:hint="eastAsia" w:ascii="仿宋_GB2312" w:hAnsi="仿宋_GB2312" w:cs="仿宋_GB2312"/>
          <w:kern w:val="0"/>
          <w:szCs w:val="32"/>
          <w:shd w:val="clear" w:color="auto" w:fill="FFFFFF"/>
        </w:rPr>
        <w:t>参照广元市文化旅游投资集团有限公司《阳光采购管理暂行办法》及《文旅集团及子公司三会行权轨迹清单》，并结合《广元文旅城市管理服务有限公司规章制度》执行。</w:t>
      </w:r>
    </w:p>
    <w:p>
      <w:pPr>
        <w:pStyle w:val="42"/>
        <w:spacing w:before="93" w:line="576" w:lineRule="exact"/>
        <w:rPr>
          <w:rFonts w:hAnsi="仿宋_GB2312" w:cs="仿宋_GB2312"/>
          <w:b w:val="0"/>
          <w:color w:val="auto"/>
          <w:kern w:val="0"/>
          <w:sz w:val="32"/>
          <w:szCs w:val="32"/>
          <w:shd w:val="clear" w:color="auto" w:fill="FFFFFF"/>
        </w:rPr>
      </w:pPr>
      <w:r>
        <w:rPr>
          <w:rFonts w:hint="eastAsia" w:hAnsi="仿宋_GB2312" w:cs="仿宋_GB2312"/>
          <w:b w:val="0"/>
          <w:color w:val="auto"/>
          <w:kern w:val="0"/>
          <w:sz w:val="32"/>
          <w:szCs w:val="32"/>
          <w:shd w:val="clear" w:color="auto" w:fill="FFFFFF"/>
          <w:lang w:val="zh-CN"/>
        </w:rPr>
        <w:t>项目资金的分配始终坚持一个原则：全力保证</w:t>
      </w:r>
      <w:r>
        <w:rPr>
          <w:rFonts w:hint="eastAsia" w:hAnsi="仿宋_GB2312" w:cs="仿宋_GB2312"/>
          <w:b w:val="0"/>
          <w:color w:val="auto"/>
          <w:kern w:val="0"/>
          <w:sz w:val="32"/>
          <w:szCs w:val="32"/>
          <w:shd w:val="clear" w:color="auto" w:fill="FFFFFF"/>
        </w:rPr>
        <w:t>春节氛围营造</w:t>
      </w:r>
      <w:r>
        <w:rPr>
          <w:rFonts w:hint="eastAsia" w:hAnsi="仿宋_GB2312" w:cs="仿宋_GB2312"/>
          <w:b w:val="0"/>
          <w:color w:val="auto"/>
          <w:kern w:val="0"/>
          <w:sz w:val="32"/>
          <w:szCs w:val="32"/>
          <w:shd w:val="clear" w:color="auto" w:fill="FFFFFF"/>
          <w:lang w:val="zh-CN"/>
        </w:rPr>
        <w:t>顺利推进，确保资金公平合理地分配到项目建设的各个环节，提升项目质量和资金使用效益，实现资金落到实处，强化执行过程监督。</w:t>
      </w:r>
    </w:p>
    <w:p>
      <w:pPr>
        <w:adjustRightInd w:val="0"/>
        <w:snapToGrid w:val="0"/>
        <w:spacing w:line="576" w:lineRule="exact"/>
        <w:ind w:firstLine="640" w:firstLineChars="200"/>
        <w:rPr>
          <w:rFonts w:ascii="楷体_GB2312" w:hAnsi="宋体" w:eastAsia="楷体_GB2312"/>
        </w:rPr>
      </w:pPr>
      <w:r>
        <w:rPr>
          <w:rFonts w:hint="eastAsia" w:ascii="楷体_GB2312" w:hAnsi="宋体" w:eastAsia="楷体_GB2312"/>
          <w:szCs w:val="32"/>
          <w:lang w:val="zh-CN"/>
        </w:rPr>
        <w:t>（二）项目绩效目标</w:t>
      </w:r>
    </w:p>
    <w:p>
      <w:pPr>
        <w:adjustRightInd w:val="0"/>
        <w:snapToGrid w:val="0"/>
        <w:spacing w:line="576"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zCs w:val="32"/>
          <w:shd w:val="clear" w:color="auto" w:fill="FFFFFF"/>
        </w:rPr>
        <w:t>1.项目主要内容</w:t>
      </w:r>
    </w:p>
    <w:p>
      <w:pPr>
        <w:adjustRightInd w:val="0"/>
        <w:snapToGrid w:val="0"/>
        <w:spacing w:line="576" w:lineRule="exact"/>
        <w:ind w:firstLine="640" w:firstLineChars="200"/>
        <w:contextualSpacing/>
        <w:rPr>
          <w:rFonts w:ascii="仿宋_GB2312" w:hAnsi="仿宋_GB2312" w:cs="仿宋_GB2312"/>
        </w:rPr>
      </w:pPr>
      <w:r>
        <w:rPr>
          <w:rFonts w:hint="eastAsia" w:ascii="仿宋_GB2312" w:hAnsi="仿宋_GB2312" w:cs="仿宋_GB2312"/>
          <w:kern w:val="0"/>
          <w:szCs w:val="32"/>
          <w:shd w:val="clear" w:color="auto" w:fill="FFFFFF"/>
          <w:lang w:val="zh-CN"/>
        </w:rPr>
        <w:t>项目主要内容为</w:t>
      </w:r>
      <w:r>
        <w:rPr>
          <w:rFonts w:hint="eastAsia" w:ascii="仿宋_GB2312" w:hAnsi="仿宋_GB2312" w:cs="仿宋_GB2312"/>
          <w:kern w:val="0"/>
          <w:szCs w:val="32"/>
          <w:shd w:val="clear" w:color="auto" w:fill="FFFFFF"/>
        </w:rPr>
        <w:t>在</w:t>
      </w:r>
      <w:r>
        <w:rPr>
          <w:rFonts w:hint="eastAsia" w:ascii="仿宋_GB2312" w:hAnsi="仿宋_GB2312" w:cs="仿宋_GB2312"/>
          <w:szCs w:val="32"/>
        </w:rPr>
        <w:t>广元市利州区（市城区）进出口、主要街道、公园、广场等点位，提供春节氛围营造服务（包括设计、物料采购、制作、安装、维护等）</w:t>
      </w:r>
    </w:p>
    <w:p>
      <w:pPr>
        <w:adjustRightInd w:val="0"/>
        <w:snapToGrid w:val="0"/>
        <w:spacing w:line="576"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6" w:lineRule="exact"/>
        <w:ind w:firstLine="640" w:firstLineChars="200"/>
        <w:contextualSpacing/>
        <w:rPr>
          <w:rFonts w:ascii="仿宋_GB2312" w:hAnsi="仿宋_GB2312" w:cs="仿宋_GB2312"/>
        </w:rPr>
      </w:pPr>
      <w:r>
        <w:rPr>
          <w:rFonts w:hint="eastAsia" w:ascii="仿宋_GB2312" w:hAnsi="仿宋_GB2312" w:cs="仿宋_GB2312"/>
          <w:szCs w:val="32"/>
        </w:rPr>
        <w:t>弘扬中国传统文化，营造喜庆祥和文明的节日气氛，让广大群众在欢乐、温馨、文明、和谐的环境中欢度春节。</w:t>
      </w:r>
    </w:p>
    <w:p>
      <w:pPr>
        <w:adjustRightInd w:val="0"/>
        <w:snapToGrid w:val="0"/>
        <w:spacing w:line="576" w:lineRule="exact"/>
        <w:ind w:firstLine="640" w:firstLineChars="200"/>
        <w:contextualSpacing/>
        <w:rPr>
          <w:rFonts w:ascii="仿宋_GB2312" w:hAnsi="仿宋_GB2312" w:cs="仿宋_GB2312"/>
          <w:lang w:val="zh-CN"/>
        </w:rPr>
      </w:pPr>
      <w:r>
        <w:rPr>
          <w:rFonts w:hint="eastAsia" w:ascii="仿宋_GB2312" w:hAnsi="仿宋_GB2312" w:cs="仿宋_GB2312"/>
          <w:szCs w:val="32"/>
        </w:rPr>
        <w:t>3.</w:t>
      </w:r>
      <w:r>
        <w:rPr>
          <w:rFonts w:hint="eastAsia" w:ascii="仿宋_GB2312" w:hAnsi="仿宋_GB2312" w:cs="仿宋_GB2312"/>
          <w:szCs w:val="32"/>
          <w:lang w:val="zh-CN"/>
        </w:rPr>
        <w:t>资金申报相符性</w:t>
      </w:r>
    </w:p>
    <w:p>
      <w:pPr>
        <w:adjustRightInd w:val="0"/>
        <w:snapToGrid w:val="0"/>
        <w:spacing w:line="576" w:lineRule="exact"/>
        <w:ind w:firstLine="640" w:firstLineChars="200"/>
        <w:contextualSpacing/>
        <w:rPr>
          <w:rFonts w:ascii="仿宋_GB2312" w:hAnsi="仿宋_GB2312" w:cs="仿宋_GB2312"/>
          <w:lang w:val="zh-CN"/>
        </w:rPr>
      </w:pPr>
      <w:r>
        <w:rPr>
          <w:rFonts w:hint="eastAsia" w:ascii="仿宋_GB2312" w:hAnsi="仿宋_GB2312" w:cs="仿宋_GB2312"/>
          <w:szCs w:val="32"/>
        </w:rPr>
        <w:t>该项目</w:t>
      </w:r>
      <w:r>
        <w:rPr>
          <w:rFonts w:hint="eastAsia" w:ascii="仿宋_GB2312" w:hAnsi="仿宋_GB2312" w:cs="仿宋_GB2312"/>
          <w:szCs w:val="32"/>
          <w:lang w:val="zh-CN"/>
        </w:rPr>
        <w:t>资金申报内容与具体实施内容相符、申报目标合理可行。</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（三）项目自评步骤及方法</w:t>
      </w:r>
    </w:p>
    <w:p>
      <w:pPr>
        <w:pStyle w:val="42"/>
        <w:spacing w:before="93" w:line="576" w:lineRule="exact"/>
        <w:rPr>
          <w:color w:val="auto"/>
          <w:lang w:val="zh-CN"/>
        </w:rPr>
      </w:pPr>
      <w:r>
        <w:rPr>
          <w:rFonts w:hint="eastAsia" w:hAnsi="仿宋_GB2312" w:cs="仿宋_GB2312"/>
          <w:b w:val="0"/>
          <w:color w:val="auto"/>
          <w:sz w:val="32"/>
          <w:szCs w:val="32"/>
          <w:lang w:val="zh-CN"/>
        </w:rPr>
        <w:t>项目绩效自评</w:t>
      </w:r>
      <w:r>
        <w:rPr>
          <w:rFonts w:hint="eastAsia" w:hAnsi="仿宋_GB2312" w:cs="仿宋_GB2312"/>
          <w:b w:val="0"/>
          <w:color w:val="auto"/>
          <w:sz w:val="32"/>
          <w:szCs w:val="32"/>
        </w:rPr>
        <w:t>首先由广元文旅城市管理服务有限公司本项目管理人员和财务人员共同草拟自评报告，分别报项目和财务分管领导审核、最后由公司执行董事审阅后再报送至项目主管单位（市国资委）。</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二、项目资金申报及使用情况</w:t>
      </w:r>
    </w:p>
    <w:p>
      <w:pPr>
        <w:adjustRightInd w:val="0"/>
        <w:snapToGrid w:val="0"/>
        <w:spacing w:line="576" w:lineRule="exact"/>
        <w:ind w:firstLine="640" w:firstLineChars="200"/>
        <w:contextualSpacing/>
        <w:rPr>
          <w:rFonts w:ascii="楷体_GB2312" w:hAnsi="楷体_GB2312" w:eastAsia="楷体_GB2312" w:cs="楷体_GB2312"/>
          <w:lang w:val="zh-CN"/>
        </w:rPr>
      </w:pPr>
      <w:r>
        <w:rPr>
          <w:rFonts w:hint="eastAsia" w:ascii="楷体_GB2312" w:hAnsi="楷体_GB2312" w:eastAsia="楷体_GB2312" w:cs="楷体_GB2312"/>
          <w:szCs w:val="32"/>
          <w:lang w:val="zh-CN"/>
        </w:rPr>
        <w:t>（一）项目资金申报及批复情况</w:t>
      </w:r>
    </w:p>
    <w:p>
      <w:pPr>
        <w:adjustRightInd w:val="0"/>
        <w:snapToGrid w:val="0"/>
        <w:spacing w:line="576" w:lineRule="exact"/>
        <w:ind w:firstLine="640" w:firstLineChars="200"/>
        <w:contextualSpacing/>
        <w:rPr>
          <w:rFonts w:ascii="仿宋_GB2312" w:hAnsi="仿宋_GB2312" w:cs="仿宋_GB2312"/>
        </w:rPr>
      </w:pPr>
      <w:r>
        <w:rPr>
          <w:rFonts w:hint="eastAsia" w:ascii="仿宋_GB2312" w:hAnsi="仿宋_GB2312" w:cs="仿宋_GB2312"/>
          <w:szCs w:val="32"/>
        </w:rPr>
        <w:t>2022年11月24日，市委宣传部向市政府提交《关于2023年春节氛围营造工作有关事宜的请示》（广宣</w:t>
      </w:r>
      <w:r>
        <w:rPr>
          <w:rFonts w:hint="eastAsia" w:ascii="仿宋_GB2312" w:hAnsi="仿宋_GB2312" w:cs="仿宋_GB2312"/>
          <w:szCs w:val="32"/>
          <w:lang w:val="zh-CN"/>
        </w:rPr>
        <w:t>〔</w:t>
      </w:r>
      <w:r>
        <w:rPr>
          <w:rFonts w:hint="eastAsia" w:ascii="仿宋_GB2312" w:hAnsi="仿宋_GB2312" w:cs="仿宋_GB2312"/>
          <w:szCs w:val="32"/>
        </w:rPr>
        <w:t>2022</w:t>
      </w:r>
      <w:r>
        <w:rPr>
          <w:rFonts w:hint="eastAsia" w:ascii="仿宋_GB2312" w:hAnsi="仿宋_GB2312" w:cs="仿宋_GB2312"/>
          <w:szCs w:val="32"/>
          <w:lang w:val="zh-CN"/>
        </w:rPr>
        <w:t>〕</w:t>
      </w:r>
      <w:r>
        <w:rPr>
          <w:rFonts w:hint="eastAsia" w:ascii="仿宋_GB2312" w:hAnsi="仿宋_GB2312" w:cs="仿宋_GB2312"/>
          <w:szCs w:val="32"/>
        </w:rPr>
        <w:t>76号），建议在保持200万专项资金不变的基础上将2023年春节氛围营造工作交由市文旅集团进行实施。2022年12月，市领导批示2023年春节氛围营造工作由市委宣传部负责统筹，市文旅集团具体负责实施，市财政给予200万元补助资金，纳入2023年市财政预算安排，不足部分由市文旅集团通过市场化运作方式解决。可预拨市文旅集团150万元资金并适当扩大其自主权以利市场化运作。</w:t>
      </w:r>
    </w:p>
    <w:p>
      <w:pPr>
        <w:adjustRightInd w:val="0"/>
        <w:snapToGrid w:val="0"/>
        <w:spacing w:line="576" w:lineRule="exact"/>
        <w:ind w:firstLine="640" w:firstLineChars="200"/>
        <w:contextualSpacing/>
        <w:rPr>
          <w:rFonts w:ascii="仿宋_GB2312" w:hAnsi="仿宋_GB2312" w:cs="仿宋_GB2312"/>
          <w:lang w:val="zh-CN"/>
        </w:rPr>
      </w:pPr>
      <w:r>
        <w:rPr>
          <w:rFonts w:hint="eastAsia" w:ascii="仿宋_GB2312" w:hAnsi="仿宋_GB2312" w:cs="仿宋_GB2312"/>
          <w:szCs w:val="32"/>
        </w:rPr>
        <w:t>2022年12月30日，市</w:t>
      </w:r>
      <w:r>
        <w:rPr>
          <w:rFonts w:hint="eastAsia" w:ascii="仿宋_GB2312" w:hAnsi="仿宋_GB2312" w:cs="仿宋_GB2312"/>
          <w:szCs w:val="32"/>
          <w:lang w:val="zh-CN"/>
        </w:rPr>
        <w:t>财政局下达了《</w:t>
      </w:r>
      <w:r>
        <w:rPr>
          <w:rFonts w:hint="eastAsia" w:ascii="仿宋_GB2312" w:hAnsi="仿宋_GB2312" w:cs="仿宋_GB2312"/>
          <w:szCs w:val="32"/>
        </w:rPr>
        <w:t>广元市财政局</w:t>
      </w:r>
      <w:r>
        <w:rPr>
          <w:rFonts w:hint="eastAsia" w:ascii="仿宋_GB2312" w:hAnsi="仿宋_GB2312" w:cs="仿宋_GB2312"/>
          <w:szCs w:val="32"/>
          <w:lang w:val="zh-CN"/>
        </w:rPr>
        <w:t>关于下达基金</w:t>
      </w:r>
      <w:r>
        <w:rPr>
          <w:rFonts w:hint="eastAsia" w:ascii="仿宋_GB2312" w:hAnsi="仿宋_GB2312" w:cs="仿宋_GB2312"/>
          <w:szCs w:val="32"/>
        </w:rPr>
        <w:t>指标的通知</w:t>
      </w:r>
      <w:r>
        <w:rPr>
          <w:rFonts w:hint="eastAsia" w:ascii="仿宋_GB2312" w:hAnsi="仿宋_GB2312" w:cs="仿宋_GB2312"/>
          <w:szCs w:val="32"/>
          <w:lang w:val="zh-CN"/>
        </w:rPr>
        <w:t>》（广财投〔</w:t>
      </w:r>
      <w:r>
        <w:rPr>
          <w:rFonts w:hint="eastAsia" w:ascii="仿宋_GB2312" w:hAnsi="仿宋_GB2312" w:cs="仿宋_GB2312"/>
          <w:szCs w:val="32"/>
        </w:rPr>
        <w:t>2022</w:t>
      </w:r>
      <w:r>
        <w:rPr>
          <w:rFonts w:hint="eastAsia" w:ascii="仿宋_GB2312" w:hAnsi="仿宋_GB2312" w:cs="仿宋_GB2312"/>
          <w:szCs w:val="32"/>
          <w:lang w:val="zh-CN"/>
        </w:rPr>
        <w:t>〕</w:t>
      </w:r>
      <w:r>
        <w:rPr>
          <w:rFonts w:hint="eastAsia" w:ascii="仿宋_GB2312" w:hAnsi="仿宋_GB2312" w:cs="仿宋_GB2312"/>
          <w:szCs w:val="32"/>
        </w:rPr>
        <w:t>161号</w:t>
      </w:r>
      <w:r>
        <w:rPr>
          <w:rFonts w:hint="eastAsia" w:ascii="仿宋_GB2312" w:hAnsi="仿宋_GB2312" w:cs="仿宋_GB2312"/>
          <w:szCs w:val="32"/>
          <w:lang w:val="zh-CN"/>
        </w:rPr>
        <w:t>），安排202</w:t>
      </w:r>
      <w:r>
        <w:rPr>
          <w:rFonts w:hint="eastAsia" w:ascii="仿宋_GB2312" w:hAnsi="仿宋_GB2312" w:cs="仿宋_GB2312"/>
          <w:szCs w:val="32"/>
        </w:rPr>
        <w:t>3</w:t>
      </w:r>
      <w:r>
        <w:rPr>
          <w:rFonts w:hint="eastAsia" w:ascii="仿宋_GB2312" w:hAnsi="仿宋_GB2312" w:cs="仿宋_GB2312"/>
          <w:szCs w:val="32"/>
          <w:lang w:val="zh-CN"/>
        </w:rPr>
        <w:t>年城区公园广场春节氛围营造资金</w:t>
      </w:r>
      <w:r>
        <w:rPr>
          <w:rFonts w:hint="eastAsia" w:ascii="仿宋_GB2312" w:hAnsi="仿宋_GB2312" w:cs="仿宋_GB2312"/>
          <w:szCs w:val="32"/>
        </w:rPr>
        <w:t>150万元。</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（二）资金计划、到位及使用情况</w:t>
      </w:r>
    </w:p>
    <w:p>
      <w:pPr>
        <w:adjustRightInd w:val="0"/>
        <w:snapToGrid w:val="0"/>
        <w:spacing w:line="576"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lang w:val="zh-CN"/>
        </w:rPr>
        <w:t>资金计划：</w:t>
      </w:r>
      <w:r>
        <w:rPr>
          <w:rFonts w:hint="eastAsia" w:hAnsi="仿宋_GB2312" w:cs="仿宋_GB2312"/>
          <w:szCs w:val="32"/>
          <w:lang w:val="zh-CN"/>
        </w:rPr>
        <w:t>202</w:t>
      </w:r>
      <w:r>
        <w:rPr>
          <w:rFonts w:hint="eastAsia" w:hAnsi="仿宋_GB2312" w:cs="仿宋_GB2312"/>
          <w:szCs w:val="32"/>
        </w:rPr>
        <w:t>3</w:t>
      </w:r>
      <w:r>
        <w:rPr>
          <w:rFonts w:hint="eastAsia" w:hAnsi="仿宋_GB2312" w:cs="仿宋_GB2312"/>
          <w:szCs w:val="32"/>
          <w:lang w:val="zh-CN"/>
        </w:rPr>
        <w:t>年城区公园广场春节氛围营造</w:t>
      </w:r>
      <w:r>
        <w:rPr>
          <w:rFonts w:hint="eastAsia" w:hAnsi="仿宋_GB2312" w:cs="仿宋_GB2312"/>
          <w:szCs w:val="32"/>
        </w:rPr>
        <w:t>补贴资金计划为150万元。</w:t>
      </w:r>
    </w:p>
    <w:p>
      <w:pPr>
        <w:adjustRightInd w:val="0"/>
        <w:snapToGrid w:val="0"/>
        <w:spacing w:line="576" w:lineRule="exact"/>
        <w:ind w:firstLine="640" w:firstLineChars="200"/>
        <w:contextualSpacing/>
        <w:rPr>
          <w:lang w:val="zh-CN"/>
        </w:rPr>
      </w:pPr>
      <w:r>
        <w:rPr>
          <w:rFonts w:hint="eastAsia" w:ascii="仿宋_GB2312" w:hAnsi="仿宋_GB2312" w:cs="仿宋_GB2312"/>
          <w:szCs w:val="32"/>
          <w:lang w:val="zh-CN"/>
        </w:rPr>
        <w:t>资金到位：</w:t>
      </w:r>
      <w:r>
        <w:rPr>
          <w:rFonts w:hint="eastAsia" w:hAnsi="仿宋_GB2312" w:cs="仿宋_GB2312"/>
          <w:szCs w:val="32"/>
          <w:lang w:val="zh-CN"/>
        </w:rPr>
        <w:t>202</w:t>
      </w:r>
      <w:r>
        <w:rPr>
          <w:rFonts w:hint="eastAsia" w:hAnsi="仿宋_GB2312" w:cs="仿宋_GB2312"/>
          <w:szCs w:val="32"/>
        </w:rPr>
        <w:t>3</w:t>
      </w:r>
      <w:r>
        <w:rPr>
          <w:rFonts w:hint="eastAsia" w:hAnsi="仿宋_GB2312" w:cs="仿宋_GB2312"/>
          <w:szCs w:val="32"/>
          <w:lang w:val="zh-CN"/>
        </w:rPr>
        <w:t>年城区公园广场春节氛围营造</w:t>
      </w:r>
      <w:r>
        <w:rPr>
          <w:rFonts w:hint="eastAsia" w:hAnsi="仿宋_GB2312" w:cs="仿宋_GB2312"/>
          <w:szCs w:val="32"/>
        </w:rPr>
        <w:t>补贴资金</w:t>
      </w:r>
      <w:r>
        <w:rPr>
          <w:rFonts w:hint="eastAsia" w:ascii="仿宋_GB2312" w:hAnsi="宋体"/>
          <w:szCs w:val="32"/>
        </w:rPr>
        <w:t>到位</w:t>
      </w:r>
      <w:r>
        <w:rPr>
          <w:rFonts w:hint="eastAsia" w:hAnsi="宋体"/>
          <w:szCs w:val="32"/>
        </w:rPr>
        <w:t>150</w:t>
      </w:r>
      <w:r>
        <w:rPr>
          <w:rFonts w:hint="eastAsia" w:ascii="仿宋_GB2312" w:hAnsi="宋体"/>
          <w:szCs w:val="32"/>
        </w:rPr>
        <w:t>万元。</w:t>
      </w:r>
    </w:p>
    <w:p>
      <w:pPr>
        <w:adjustRightInd w:val="0"/>
        <w:snapToGrid w:val="0"/>
        <w:spacing w:line="576" w:lineRule="exact"/>
        <w:ind w:firstLine="640" w:firstLineChars="200"/>
        <w:contextualSpacing/>
        <w:rPr>
          <w:lang w:val="zh-CN"/>
        </w:rPr>
      </w:pPr>
      <w:r>
        <w:rPr>
          <w:rFonts w:hint="eastAsia" w:ascii="仿宋_GB2312" w:hAnsi="宋体"/>
          <w:szCs w:val="32"/>
          <w:lang w:val="zh-CN"/>
        </w:rPr>
        <w:t>资金使用：</w:t>
      </w:r>
      <w:r>
        <w:rPr>
          <w:rFonts w:hint="eastAsia" w:ascii="仿宋_GB2312" w:hAnsi="宋体"/>
          <w:szCs w:val="32"/>
        </w:rPr>
        <w:t>该项目资金主要用于</w:t>
      </w:r>
      <w:r>
        <w:rPr>
          <w:rFonts w:hint="eastAsia" w:ascii="仿宋_GB2312" w:hAnsi="仿宋_GB2312" w:cs="仿宋_GB2312"/>
          <w:position w:val="-2"/>
          <w:szCs w:val="32"/>
          <w:lang w:val="zh-CN"/>
        </w:rPr>
        <w:t>设置春节主题景观小品、标语、挂灯笼、中国结彩灯</w:t>
      </w:r>
      <w:r>
        <w:rPr>
          <w:rFonts w:hint="eastAsia" w:ascii="仿宋_GB2312" w:hAnsi="仿宋_GB2312" w:cs="仿宋_GB2312"/>
          <w:szCs w:val="32"/>
        </w:rPr>
        <w:t>（包括设计、物料采购、制作、安装、维护等）</w:t>
      </w:r>
      <w:r>
        <w:rPr>
          <w:rFonts w:hint="eastAsia" w:ascii="仿宋_GB2312" w:hAnsi="仿宋_GB2312" w:cs="仿宋_GB2312"/>
          <w:position w:val="-2"/>
          <w:szCs w:val="32"/>
          <w:lang w:val="zh-CN"/>
        </w:rPr>
        <w:t>。</w:t>
      </w:r>
      <w:r>
        <w:rPr>
          <w:rFonts w:hint="eastAsia" w:ascii="仿宋_GB2312" w:hAnsi="宋体"/>
          <w:szCs w:val="32"/>
        </w:rPr>
        <w:t>资金支付合规合法，与预算相符</w:t>
      </w:r>
      <w:r>
        <w:rPr>
          <w:rFonts w:hint="eastAsia" w:hAnsi="宋体"/>
          <w:szCs w:val="32"/>
        </w:rPr>
        <w:t>。</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（三）项目财务管理情况</w:t>
      </w:r>
    </w:p>
    <w:p>
      <w:pPr>
        <w:adjustRightInd w:val="0"/>
        <w:snapToGrid w:val="0"/>
        <w:spacing w:line="576"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lang w:val="zh-CN"/>
        </w:rPr>
        <w:t>该项目财务管理制度健全，严格执行财务管理制度，账务处理及时，会计核算规范。</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三、项目实施及管理情况</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（一）项目组织架构及实施流程</w:t>
      </w:r>
    </w:p>
    <w:p>
      <w:pPr>
        <w:adjustRightInd w:val="0"/>
        <w:snapToGrid w:val="0"/>
        <w:spacing w:line="576" w:lineRule="exact"/>
        <w:ind w:firstLine="640" w:firstLineChars="200"/>
        <w:contextualSpacing/>
        <w:rPr>
          <w:rFonts w:ascii="仿宋_GB2312" w:hAnsi="仿宋_GB2312" w:cs="仿宋_GB2312"/>
          <w:sz w:val="28"/>
          <w:szCs w:val="28"/>
        </w:rPr>
      </w:pPr>
      <w:r>
        <w:rPr>
          <w:rFonts w:hint="eastAsia" w:hAnsi="仿宋_GB2312" w:cs="仿宋_GB2312"/>
          <w:szCs w:val="32"/>
        </w:rPr>
        <w:t>广元文旅城市管理服务有限公司成立运营管理部负责城区</w:t>
      </w:r>
      <w:r>
        <w:rPr>
          <w:rFonts w:hint="eastAsia" w:ascii="仿宋_GB2312" w:hAnsi="仿宋_GB2312" w:cs="仿宋_GB2312"/>
          <w:szCs w:val="32"/>
        </w:rPr>
        <w:t>公园、广场等春节氛围营造，根据公司工作管理要求，明确职责、安排专人负责该事项的安全、质量、进度等。</w:t>
      </w:r>
    </w:p>
    <w:p>
      <w:pPr>
        <w:adjustRightInd w:val="0"/>
        <w:snapToGrid w:val="0"/>
        <w:spacing w:line="576" w:lineRule="exact"/>
        <w:ind w:firstLine="640" w:firstLineChars="200"/>
        <w:contextualSpacing/>
        <w:rPr>
          <w:rFonts w:ascii="黑体" w:hAnsi="黑体" w:eastAsia="黑体" w:cs="黑体"/>
        </w:rPr>
      </w:pPr>
      <w:r>
        <w:rPr>
          <w:rFonts w:hint="eastAsia" w:ascii="黑体" w:hAnsi="黑体" w:eastAsia="黑体" w:cs="黑体"/>
        </w:rPr>
        <w:drawing>
          <wp:anchor distT="0" distB="0" distL="114300" distR="114300" simplePos="0" relativeHeight="251670528" behindDoc="1" locked="0" layoutInCell="1" allowOverlap="1">
            <wp:simplePos x="0" y="0"/>
            <wp:positionH relativeFrom="column">
              <wp:posOffset>-571500</wp:posOffset>
            </wp:positionH>
            <wp:positionV relativeFrom="paragraph">
              <wp:posOffset>3810</wp:posOffset>
            </wp:positionV>
            <wp:extent cx="6765290" cy="3133090"/>
            <wp:effectExtent l="19050" t="0" r="16510" b="0"/>
            <wp:wrapNone/>
            <wp:docPr id="20" name="图示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rFonts w:hint="eastAsia" w:ascii="黑体" w:hAnsi="黑体" w:eastAsia="黑体" w:cs="黑体"/>
          <w:szCs w:val="32"/>
        </w:rPr>
        <w:t>该</w:t>
      </w:r>
      <w:r>
        <w:rPr>
          <w:rFonts w:hint="eastAsia" w:ascii="黑体" w:hAnsi="黑体" w:eastAsia="黑体" w:cs="黑体"/>
          <w:szCs w:val="32"/>
          <w:lang w:val="zh-CN"/>
        </w:rPr>
        <w:t>项目组织管理架构</w:t>
      </w:r>
      <w:r>
        <w:rPr>
          <w:rFonts w:hint="eastAsia" w:ascii="黑体" w:hAnsi="黑体" w:eastAsia="黑体" w:cs="黑体"/>
          <w:szCs w:val="32"/>
        </w:rPr>
        <w:t>图如下</w:t>
      </w:r>
    </w:p>
    <w:p>
      <w:pPr>
        <w:pStyle w:val="42"/>
        <w:spacing w:before="93"/>
        <w:ind w:firstLine="602"/>
      </w:pPr>
    </w:p>
    <w:p>
      <w:pPr>
        <w:spacing w:line="576" w:lineRule="exact"/>
        <w:rPr>
          <w:rFonts w:ascii="楷体_GB2312" w:hAnsi="宋体" w:eastAsia="楷体_GB2312"/>
          <w:lang w:val="zh-CN"/>
        </w:rPr>
      </w:pPr>
    </w:p>
    <w:p>
      <w:pPr>
        <w:pStyle w:val="42"/>
        <w:spacing w:before="93" w:line="576" w:lineRule="exact"/>
        <w:rPr>
          <w:rFonts w:ascii="楷体_GB2312" w:hAnsi="宋体" w:eastAsia="楷体_GB2312"/>
          <w:b w:val="0"/>
          <w:color w:val="auto"/>
          <w:sz w:val="32"/>
          <w:szCs w:val="32"/>
          <w:lang w:val="zh-CN"/>
        </w:rPr>
      </w:pPr>
    </w:p>
    <w:p>
      <w:pPr>
        <w:pStyle w:val="42"/>
        <w:spacing w:before="93" w:line="576" w:lineRule="exact"/>
        <w:ind w:firstLine="0" w:firstLineChars="0"/>
        <w:rPr>
          <w:rFonts w:ascii="楷体_GB2312" w:hAnsi="宋体" w:eastAsia="楷体_GB2312"/>
          <w:b w:val="0"/>
          <w:color w:val="auto"/>
          <w:sz w:val="32"/>
          <w:szCs w:val="32"/>
          <w:lang w:val="zh-CN"/>
        </w:rPr>
      </w:pPr>
    </w:p>
    <w:p>
      <w:pPr>
        <w:pStyle w:val="42"/>
        <w:spacing w:before="93" w:line="576" w:lineRule="exact"/>
        <w:rPr>
          <w:rFonts w:ascii="楷体_GB2312" w:hAnsi="宋体" w:eastAsia="楷体_GB2312"/>
          <w:b w:val="0"/>
          <w:color w:val="auto"/>
          <w:sz w:val="32"/>
          <w:szCs w:val="32"/>
          <w:lang w:val="zh-CN"/>
        </w:rPr>
      </w:pPr>
    </w:p>
    <w:p>
      <w:pPr>
        <w:pStyle w:val="42"/>
        <w:spacing w:before="93" w:line="576" w:lineRule="exact"/>
        <w:rPr>
          <w:rFonts w:ascii="楷体_GB2312" w:hAnsi="宋体" w:eastAsia="楷体_GB2312"/>
          <w:b w:val="0"/>
          <w:color w:val="auto"/>
          <w:sz w:val="32"/>
          <w:szCs w:val="32"/>
          <w:lang w:val="zh-CN"/>
        </w:rPr>
      </w:pPr>
    </w:p>
    <w:p>
      <w:pPr>
        <w:adjustRightInd w:val="0"/>
        <w:snapToGrid w:val="0"/>
        <w:spacing w:line="576" w:lineRule="exact"/>
        <w:rPr>
          <w:rFonts w:ascii="仿宋_GB2312" w:hAnsi="仿宋_GB2312" w:cs="仿宋_GB2312"/>
        </w:rPr>
      </w:pP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（二）项目管理情况</w:t>
      </w:r>
    </w:p>
    <w:p>
      <w:pPr>
        <w:spacing w:line="576" w:lineRule="exact"/>
        <w:ind w:firstLine="640" w:firstLineChars="200"/>
        <w:jc w:val="left"/>
        <w:rPr>
          <w:lang w:val="zh-CN"/>
        </w:rPr>
      </w:pPr>
      <w:r>
        <w:rPr>
          <w:rFonts w:hint="eastAsia" w:hAnsi="仿宋_GB2312" w:cs="仿宋_GB2312"/>
          <w:szCs w:val="32"/>
        </w:rPr>
        <w:t>广元文旅城市管理服务有限公司</w:t>
      </w:r>
      <w:r>
        <w:rPr>
          <w:rFonts w:hint="eastAsia" w:ascii="仿宋_GB2312" w:hAnsi="仿宋_GB2312" w:cs="仿宋_GB2312"/>
          <w:szCs w:val="32"/>
          <w:lang w:val="zh-CN"/>
        </w:rPr>
        <w:t>项目组织管理架构及具体实施流程，包括机构设置、监管措施、执行相关管理制度相关情况全部符合法律法规流程。</w:t>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（三）项目监管情况</w:t>
      </w:r>
    </w:p>
    <w:p>
      <w:pPr>
        <w:adjustRightInd w:val="0"/>
        <w:snapToGrid w:val="0"/>
        <w:spacing w:line="576" w:lineRule="exact"/>
        <w:ind w:firstLine="640" w:firstLineChars="200"/>
        <w:rPr>
          <w:rFonts w:ascii="仿宋_GB2312" w:hAnsi="仿宋_GB2312" w:cs="仿宋_GB2312"/>
        </w:rPr>
      </w:pPr>
      <w:r>
        <w:rPr>
          <w:rFonts w:hint="eastAsia" w:ascii="仿宋_GB2312" w:hAnsi="仿宋_GB2312" w:cs="仿宋_GB2312"/>
          <w:szCs w:val="32"/>
        </w:rPr>
        <w:t>市国资委投资科定期组织人员对项目建设进度、质量和安全进行实地抽查，并组织人员对项目资料进行查看。</w:t>
      </w:r>
    </w:p>
    <w:p>
      <w:pPr>
        <w:adjustRightInd w:val="0"/>
        <w:snapToGrid w:val="0"/>
        <w:spacing w:line="576" w:lineRule="exact"/>
        <w:ind w:firstLine="640" w:firstLineChars="200"/>
        <w:rPr>
          <w:rFonts w:ascii="仿宋_GB2312" w:hAnsi="宋体"/>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6" w:lineRule="exact"/>
        <w:ind w:firstLine="640" w:firstLineChars="200"/>
        <w:rPr>
          <w:rFonts w:ascii="楷体_GB2312" w:hAnsi="宋体" w:eastAsia="楷体_GB2312"/>
          <w:lang w:val="zh-CN"/>
        </w:rPr>
      </w:pPr>
      <w:r>
        <w:rPr>
          <w:rFonts w:hint="eastAsia" w:ascii="楷体_GB2312" w:hAnsi="宋体" w:eastAsia="楷体_GB2312"/>
          <w:szCs w:val="32"/>
          <w:lang w:val="zh-CN"/>
        </w:rPr>
        <w:t>（一）项目完成情况</w:t>
      </w:r>
    </w:p>
    <w:p>
      <w:pPr>
        <w:adjustRightInd w:val="0"/>
        <w:snapToGrid w:val="0"/>
        <w:spacing w:line="576" w:lineRule="exact"/>
        <w:ind w:firstLine="643" w:firstLineChars="200"/>
        <w:rPr>
          <w:rFonts w:ascii="仿宋_GB2312" w:hAnsi="仿宋_GB2312" w:cs="仿宋_GB2312"/>
        </w:rPr>
      </w:pPr>
      <w:r>
        <w:rPr>
          <w:rFonts w:hint="eastAsia" w:ascii="仿宋_GB2312" w:hAnsi="仿宋_GB2312" w:cs="仿宋_GB2312"/>
          <w:b/>
          <w:bCs/>
          <w:szCs w:val="32"/>
        </w:rPr>
        <w:t>一是</w:t>
      </w:r>
      <w:r>
        <w:rPr>
          <w:rFonts w:hint="eastAsia" w:ascii="仿宋_GB2312" w:hAnsi="仿宋_GB2312" w:cs="仿宋_GB2312"/>
          <w:szCs w:val="32"/>
        </w:rPr>
        <w:t>在老城、东坝、万缘、南河、雪峰、上西、下西7个片区、63个营造点位，共计安装满天星流星雨15000余串、流星雨60000余根，各式灯笼28000余个，藤球灯、麦穗灯、芦苇灯、星星月亮灯等其他灯具40000余个，彩旗2500余面，景观小品26组。扮靓了城市空间，呈现出花团锦簇、张灯结彩、姹紫嫣红的热闹过年氛围。</w:t>
      </w:r>
      <w:r>
        <w:rPr>
          <w:rFonts w:hint="eastAsia" w:ascii="仿宋_GB2312" w:hAnsi="仿宋_GB2312" w:cs="仿宋_GB2312"/>
          <w:b/>
          <w:bCs/>
          <w:szCs w:val="32"/>
        </w:rPr>
        <w:t>二是</w:t>
      </w:r>
      <w:r>
        <w:rPr>
          <w:rFonts w:hint="eastAsia" w:ascii="仿宋_GB2312" w:hAnsi="仿宋_GB2312" w:cs="仿宋_GB2312"/>
          <w:szCs w:val="32"/>
        </w:rPr>
        <w:t>对利州广场龙柱和文化艺术中心的巨型造型柱进行光亮工程改造，改造后广场12根龙柱柱身以龙、凤、祥云等造型呈现出“龙翔凤舞”的美丽光组景象，文化艺术中心的8根造型柱在LED投光灯的光束包裹下，显现出美轮美奂的现代艺术气息。</w:t>
      </w:r>
      <w:r>
        <w:rPr>
          <w:rFonts w:hint="eastAsia" w:ascii="仿宋_GB2312" w:hAnsi="仿宋_GB2312" w:cs="仿宋_GB2312"/>
          <w:b/>
          <w:bCs/>
          <w:szCs w:val="32"/>
        </w:rPr>
        <w:t>三是</w:t>
      </w:r>
      <w:r>
        <w:rPr>
          <w:rFonts w:hint="eastAsia" w:ascii="仿宋_GB2312" w:hAnsi="仿宋_GB2312" w:cs="仿宋_GB2312"/>
          <w:szCs w:val="32"/>
        </w:rPr>
        <w:t>通过微信、抖音等平台对氛围营造点位进行大力宣传，合计拍摄、制作和发送各节点春节氛围营造短视频数百条。</w:t>
      </w:r>
    </w:p>
    <w:p>
      <w:pPr>
        <w:adjustRightInd w:val="0"/>
        <w:snapToGrid w:val="0"/>
        <w:spacing w:line="576" w:lineRule="exact"/>
        <w:ind w:firstLine="640" w:firstLineChars="200"/>
        <w:rPr>
          <w:rFonts w:ascii="楷体_GB2312" w:hAnsi="宋体" w:eastAsia="楷体_GB2312"/>
        </w:rPr>
      </w:pPr>
      <w:r>
        <w:rPr>
          <w:rFonts w:hint="eastAsia" w:ascii="楷体_GB2312" w:hAnsi="宋体" w:eastAsia="楷体_GB2312"/>
          <w:szCs w:val="32"/>
          <w:lang w:val="zh-CN"/>
        </w:rPr>
        <w:t>（</w:t>
      </w:r>
      <w:r>
        <w:rPr>
          <w:rFonts w:hint="eastAsia" w:ascii="楷体_GB2312" w:hAnsi="宋体" w:eastAsia="楷体_GB2312"/>
          <w:szCs w:val="32"/>
        </w:rPr>
        <w:t>二</w:t>
      </w:r>
      <w:r>
        <w:rPr>
          <w:rFonts w:hint="eastAsia" w:ascii="楷体_GB2312" w:hAnsi="宋体" w:eastAsia="楷体_GB2312"/>
          <w:szCs w:val="32"/>
          <w:lang w:val="zh-CN"/>
        </w:rPr>
        <w:t>）项目效益情况</w:t>
      </w:r>
    </w:p>
    <w:p>
      <w:pPr>
        <w:pStyle w:val="2"/>
        <w:spacing w:before="93" w:line="576" w:lineRule="exact"/>
        <w:ind w:firstLine="640" w:firstLineChars="200"/>
        <w:rPr>
          <w:rFonts w:hAnsi="仿宋_GB2312" w:cs="仿宋_GB2312"/>
        </w:rPr>
      </w:pPr>
      <w:r>
        <w:rPr>
          <w:rFonts w:hint="eastAsia" w:hAnsi="仿宋_GB2312" w:cs="仿宋_GB2312"/>
          <w:sz w:val="32"/>
          <w:szCs w:val="32"/>
          <w:lang w:val="zh-CN"/>
        </w:rPr>
        <w:t>202</w:t>
      </w:r>
      <w:r>
        <w:rPr>
          <w:rFonts w:hint="eastAsia" w:hAnsi="仿宋_GB2312" w:cs="仿宋_GB2312"/>
          <w:sz w:val="32"/>
          <w:szCs w:val="32"/>
        </w:rPr>
        <w:t>3</w:t>
      </w:r>
      <w:r>
        <w:rPr>
          <w:rFonts w:hint="eastAsia" w:hAnsi="仿宋_GB2312" w:cs="仿宋_GB2312"/>
          <w:sz w:val="32"/>
          <w:szCs w:val="32"/>
          <w:lang w:val="zh-CN"/>
        </w:rPr>
        <w:t>年城区公园广场春节氛围营造</w:t>
      </w:r>
      <w:r>
        <w:rPr>
          <w:rFonts w:hint="eastAsia" w:hAnsi="仿宋_GB2312" w:cs="仿宋_GB2312"/>
          <w:sz w:val="32"/>
          <w:szCs w:val="32"/>
        </w:rPr>
        <w:t>扮靓了城市空间，呈现出花团锦簇、张灯结彩、姹紫嫣红的热闹过年氛围，使城市夜间景观</w:t>
      </w:r>
      <w:r>
        <w:rPr>
          <w:rFonts w:hint="eastAsia" w:hAnsi="仿宋_GB2312" w:cs="仿宋_GB2312"/>
          <w:sz w:val="32"/>
          <w:szCs w:val="32"/>
          <w:lang w:val="zh-CN"/>
        </w:rPr>
        <w:t>呈现近10年来最好光亮景观，</w:t>
      </w:r>
      <w:r>
        <w:rPr>
          <w:rFonts w:hint="eastAsia" w:hAnsi="仿宋_GB2312" w:cs="仿宋_GB2312"/>
          <w:sz w:val="32"/>
          <w:szCs w:val="32"/>
        </w:rPr>
        <w:t>弘扬中华优秀传统文化，增强居民群众的获得感、幸福感、安全感，整体效果得到广大市民群众的高度认可。</w:t>
      </w:r>
    </w:p>
    <w:p>
      <w:pPr>
        <w:adjustRightInd w:val="0"/>
        <w:snapToGrid w:val="0"/>
        <w:spacing w:line="576" w:lineRule="exact"/>
        <w:ind w:firstLine="640" w:firstLineChars="200"/>
        <w:rPr>
          <w:rFonts w:ascii="黑体" w:hAnsi="宋体" w:eastAsia="黑体"/>
        </w:rPr>
      </w:pPr>
      <w:r>
        <w:rPr>
          <w:rFonts w:hint="eastAsia" w:ascii="黑体" w:hAnsi="宋体" w:eastAsia="黑体"/>
          <w:szCs w:val="32"/>
        </w:rPr>
        <w:t>五、评价结论及建议</w:t>
      </w:r>
    </w:p>
    <w:p>
      <w:pPr>
        <w:pStyle w:val="2"/>
        <w:spacing w:before="93" w:line="576" w:lineRule="exact"/>
        <w:ind w:firstLine="640" w:firstLineChars="200"/>
        <w:rPr>
          <w:lang w:val="zh-CN"/>
        </w:rPr>
      </w:pPr>
      <w:r>
        <w:rPr>
          <w:rFonts w:hint="eastAsia" w:hAnsi="仿宋_GB2312" w:cs="仿宋_GB2312"/>
          <w:sz w:val="32"/>
          <w:szCs w:val="32"/>
        </w:rPr>
        <w:t>2023年城区公园广场春节氛围营造项目打造了干净整洁的城市环境，增强了居民群众的获得感、幸福感、安全感，举办了有温度、有年味、有特色的文化活动，营造了欢乐祥和、喜庆热烈、文明进步的节日氛围。</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广元公交东城首末站建设项目</w:t>
      </w:r>
      <w:r>
        <w:rPr>
          <w:rFonts w:hint="eastAsia" w:ascii="仿宋_GB2312"/>
          <w:sz w:val="32"/>
          <w:szCs w:val="32"/>
        </w:rPr>
        <w:t>）</w:t>
      </w:r>
    </w:p>
    <w:p>
      <w:pPr>
        <w:pStyle w:val="43"/>
        <w:shd w:val="clear" w:color="auto" w:fill="FFFFFF"/>
        <w:spacing w:line="576" w:lineRule="exact"/>
        <w:outlineLvl w:val="1"/>
        <w:rPr>
          <w:rFonts w:ascii="仿宋" w:hAnsi="仿宋" w:eastAsia="仿宋" w:cs="仿宋"/>
          <w:b/>
          <w:bCs/>
          <w:kern w:val="2"/>
          <w:szCs w:val="32"/>
        </w:rPr>
      </w:pPr>
      <w:r>
        <w:rPr>
          <w:rFonts w:hint="eastAsia" w:ascii="仿宋" w:hAnsi="仿宋" w:eastAsia="仿宋" w:cs="仿宋"/>
          <w:b/>
          <w:bCs/>
          <w:kern w:val="2"/>
          <w:position w:val="-2"/>
          <w:szCs w:val="32"/>
        </w:rPr>
        <w:t>一、</w:t>
      </w:r>
      <w:r>
        <w:rPr>
          <w:rFonts w:hint="eastAsia" w:ascii="仿宋" w:hAnsi="仿宋" w:eastAsia="仿宋" w:cs="仿宋"/>
          <w:b/>
          <w:bCs/>
          <w:kern w:val="2"/>
          <w:szCs w:val="32"/>
        </w:rPr>
        <w:t>项目概况</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b/>
          <w:bCs/>
          <w:position w:val="-2"/>
          <w:szCs w:val="32"/>
        </w:rPr>
        <w:t xml:space="preserve">   </w:t>
      </w:r>
      <w:r>
        <w:rPr>
          <w:rFonts w:hint="eastAsia" w:ascii="仿宋" w:hAnsi="仿宋" w:eastAsia="仿宋" w:cs="仿宋"/>
          <w:b/>
          <w:bCs/>
          <w:szCs w:val="32"/>
          <w:lang w:val="zh-CN"/>
        </w:rPr>
        <w:t>（一）项目基本情况。</w:t>
      </w:r>
    </w:p>
    <w:p>
      <w:pPr>
        <w:pStyle w:val="42"/>
        <w:spacing w:line="576" w:lineRule="exact"/>
        <w:ind w:firstLine="0" w:firstLineChars="0"/>
        <w:rPr>
          <w:rFonts w:ascii="仿宋" w:hAnsi="仿宋" w:eastAsia="仿宋" w:cs="仿宋"/>
          <w:b w:val="0"/>
          <w:color w:val="auto"/>
          <w:kern w:val="0"/>
          <w:sz w:val="32"/>
          <w:szCs w:val="32"/>
          <w:shd w:val="clear" w:color="auto" w:fill="FFFFFF"/>
        </w:rPr>
      </w:pPr>
      <w:r>
        <w:rPr>
          <w:rFonts w:hint="eastAsia" w:ascii="仿宋" w:hAnsi="仿宋" w:eastAsia="仿宋" w:cs="仿宋"/>
          <w:position w:val="-2"/>
          <w:sz w:val="32"/>
          <w:szCs w:val="32"/>
        </w:rPr>
        <w:t xml:space="preserve">    </w:t>
      </w:r>
      <w:r>
        <w:rPr>
          <w:rFonts w:hint="eastAsia" w:ascii="仿宋" w:hAnsi="仿宋" w:eastAsia="仿宋" w:cs="仿宋"/>
          <w:b w:val="0"/>
          <w:bCs/>
          <w:sz w:val="32"/>
          <w:szCs w:val="32"/>
        </w:rPr>
        <w:t>市国资</w:t>
      </w:r>
      <w:r>
        <w:rPr>
          <w:rFonts w:hint="eastAsia" w:ascii="仿宋" w:hAnsi="仿宋" w:eastAsia="仿宋" w:cs="仿宋"/>
          <w:b w:val="0"/>
          <w:color w:val="auto"/>
          <w:kern w:val="0"/>
          <w:sz w:val="32"/>
          <w:szCs w:val="32"/>
          <w:shd w:val="clear" w:color="auto" w:fill="FFFFFF"/>
        </w:rPr>
        <w:t>委作为</w:t>
      </w:r>
      <w:r>
        <w:rPr>
          <w:rFonts w:hint="eastAsia" w:ascii="仿宋" w:hAnsi="仿宋" w:eastAsia="仿宋" w:cs="仿宋"/>
          <w:b w:val="0"/>
          <w:bCs/>
          <w:sz w:val="32"/>
          <w:szCs w:val="32"/>
        </w:rPr>
        <w:t>广元公交东城首末站建设项目主管部</w:t>
      </w:r>
      <w:r>
        <w:rPr>
          <w:rFonts w:hint="eastAsia" w:ascii="仿宋" w:hAnsi="仿宋" w:eastAsia="仿宋" w:cs="仿宋"/>
          <w:b w:val="0"/>
          <w:color w:val="auto"/>
          <w:kern w:val="0"/>
          <w:sz w:val="32"/>
          <w:szCs w:val="32"/>
          <w:shd w:val="clear" w:color="auto" w:fill="FFFFFF"/>
        </w:rPr>
        <w:t>门，在项目建设过程中，积极督导项目建设单位广元公共交通有限公司进行项目立项审批工作，积极协调项目推进过程中建设手续办理相关事宜。</w:t>
      </w:r>
    </w:p>
    <w:p>
      <w:pPr>
        <w:pStyle w:val="43"/>
        <w:shd w:val="clear" w:color="auto" w:fill="FFFFFF"/>
        <w:spacing w:line="576" w:lineRule="exact"/>
        <w:rPr>
          <w:rFonts w:ascii="仿宋" w:hAnsi="仿宋" w:eastAsia="仿宋" w:cs="仿宋"/>
          <w:szCs w:val="32"/>
          <w:lang w:val="zh-CN"/>
        </w:rPr>
      </w:pPr>
      <w:r>
        <w:rPr>
          <w:rFonts w:hint="eastAsia" w:ascii="仿宋" w:hAnsi="仿宋" w:eastAsia="仿宋" w:cs="仿宋"/>
          <w:kern w:val="2"/>
          <w:position w:val="-2"/>
          <w:szCs w:val="32"/>
        </w:rPr>
        <w:t xml:space="preserve">    </w:t>
      </w:r>
      <w:r>
        <w:rPr>
          <w:rFonts w:hint="eastAsia" w:ascii="仿宋" w:hAnsi="仿宋" w:eastAsia="仿宋" w:cs="仿宋"/>
          <w:color w:val="000000"/>
          <w:szCs w:val="32"/>
        </w:rPr>
        <w:t>该项目选址于大石镇大石社区污水处理厂旁东侧原绿化用地，共计15.23亩。主要用于解决公交车辆夜间停放、车辆加油、加气及充电的多种需求。该项目选址方案已于2021年1月14日通过市专委会，同年3月18日通过市规委会，于9月18日取得土地预审与选址意见书，12月17日，经八届市人民政府第8次常务会议定同意投资建设广元公交东城首末站项目，项目估算总投资2826万元，并通过市政府审定由财政承担780万元划拨土地费用，现正在进行征拆工作</w:t>
      </w:r>
      <w:r>
        <w:rPr>
          <w:rFonts w:hint="eastAsia" w:ascii="仿宋" w:hAnsi="仿宋" w:eastAsia="仿宋" w:cs="仿宋"/>
          <w:szCs w:val="32"/>
        </w:rPr>
        <w:t>。</w:t>
      </w:r>
    </w:p>
    <w:p>
      <w:pPr>
        <w:spacing w:line="576" w:lineRule="exac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color w:val="000000"/>
          <w:szCs w:val="32"/>
        </w:rPr>
        <w:t>项目</w:t>
      </w:r>
      <w:r>
        <w:rPr>
          <w:rFonts w:hint="eastAsia" w:ascii="仿宋" w:hAnsi="仿宋" w:eastAsia="仿宋" w:cs="仿宋"/>
          <w:color w:val="000000"/>
          <w:szCs w:val="32"/>
          <w:lang w:val="zh-CN"/>
        </w:rPr>
        <w:t>管理办法制定</w:t>
      </w:r>
      <w:r>
        <w:rPr>
          <w:rFonts w:hint="eastAsia" w:ascii="仿宋" w:hAnsi="仿宋" w:eastAsia="仿宋" w:cs="仿宋"/>
          <w:szCs w:val="32"/>
        </w:rPr>
        <w:t>严格按照《中华人民共和国建筑法》、《建设工程质量管理条例》等相关法律法规，制定和完善了《广元市公共交通有限公司工程项目管理制度》，制度中明确了进度管理、成本管理、质量管理、安全管理、招投标管理等一系列管理职责。</w:t>
      </w:r>
    </w:p>
    <w:p>
      <w:pPr>
        <w:pStyle w:val="15"/>
        <w:spacing w:after="0" w:line="576" w:lineRule="exact"/>
        <w:ind w:left="0" w:leftChars="0" w:firstLine="0" w:firstLineChars="0"/>
        <w:rPr>
          <w:rFonts w:ascii="仿宋" w:hAnsi="仿宋" w:eastAsia="仿宋" w:cs="仿宋"/>
          <w:lang w:val="zh-CN"/>
        </w:rPr>
      </w:pPr>
      <w:r>
        <w:rPr>
          <w:rFonts w:hint="eastAsia" w:ascii="仿宋" w:hAnsi="仿宋" w:eastAsia="仿宋" w:cs="仿宋"/>
          <w:position w:val="-2"/>
        </w:rPr>
        <w:t xml:space="preserve">    </w:t>
      </w:r>
      <w:r>
        <w:rPr>
          <w:rFonts w:hint="eastAsia" w:ascii="仿宋" w:hAnsi="仿宋" w:eastAsia="仿宋" w:cs="仿宋"/>
          <w:kern w:val="0"/>
          <w:lang w:val="zh-CN"/>
        </w:rPr>
        <w:t>项目资金的分配始终坚持一个原则：全力保证工程项目顺利推进，确保资金公平合理地分配到项目建设的各个环节，提升项目质量和资金使用效益，实现资金落到实处，强化执行过程监督。</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（二）项目绩效目标。</w:t>
      </w:r>
    </w:p>
    <w:p>
      <w:pPr>
        <w:adjustRightInd w:val="0"/>
        <w:snapToGrid w:val="0"/>
        <w:spacing w:line="576" w:lineRule="exact"/>
        <w:contextualSpacing/>
        <w:rPr>
          <w:rFonts w:ascii="仿宋" w:hAnsi="仿宋" w:eastAsia="仿宋" w:cs="仿宋"/>
          <w:b/>
          <w:bCs/>
          <w:color w:val="FF0000"/>
          <w:kern w:val="0"/>
          <w:szCs w:val="32"/>
          <w:shd w:val="clear" w:color="auto" w:fill="FFFFFF"/>
          <w:lang w:val="zh-CN"/>
        </w:rPr>
      </w:pPr>
      <w:r>
        <w:rPr>
          <w:rFonts w:hint="eastAsia" w:ascii="仿宋" w:hAnsi="仿宋" w:eastAsia="仿宋" w:cs="仿宋"/>
          <w:b/>
          <w:bCs/>
          <w:position w:val="-2"/>
          <w:szCs w:val="32"/>
        </w:rPr>
        <w:t xml:space="preserve">    </w:t>
      </w:r>
      <w:r>
        <w:rPr>
          <w:rFonts w:hint="eastAsia" w:ascii="仿宋" w:hAnsi="仿宋" w:eastAsia="仿宋" w:cs="仿宋"/>
          <w:b/>
          <w:bCs/>
          <w:kern w:val="0"/>
          <w:szCs w:val="32"/>
          <w:shd w:val="clear" w:color="auto" w:fill="FFFFFF"/>
        </w:rPr>
        <w:t>1.</w:t>
      </w:r>
      <w:r>
        <w:rPr>
          <w:rFonts w:hint="eastAsia" w:ascii="仿宋" w:hAnsi="仿宋" w:eastAsia="仿宋" w:cs="仿宋"/>
          <w:b/>
          <w:bCs/>
          <w:kern w:val="0"/>
          <w:szCs w:val="32"/>
          <w:shd w:val="clear" w:color="auto" w:fill="FFFFFF"/>
          <w:lang w:val="zh-CN"/>
        </w:rPr>
        <w:t>项目主要内容</w:t>
      </w:r>
    </w:p>
    <w:p>
      <w:pPr>
        <w:widowControl/>
        <w:spacing w:line="576" w:lineRule="exac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szCs w:val="32"/>
        </w:rPr>
        <w:t>该项目估算总投资2826万元。主要建设内容为综合能源补给站1座（含加油、加气、充电），停车位50个，管理用房及其附属设施。</w:t>
      </w:r>
    </w:p>
    <w:p>
      <w:pPr>
        <w:adjustRightInd w:val="0"/>
        <w:snapToGrid w:val="0"/>
        <w:spacing w:line="576" w:lineRule="exact"/>
        <w:contextualSpacing/>
        <w:rPr>
          <w:rFonts w:ascii="仿宋" w:hAnsi="仿宋" w:eastAsia="仿宋" w:cs="仿宋"/>
          <w:b/>
          <w:bCs/>
          <w:color w:val="FF0000"/>
          <w:kern w:val="0"/>
          <w:szCs w:val="32"/>
          <w:shd w:val="clear" w:color="auto" w:fill="FFFFFF"/>
          <w:lang w:val="zh-CN"/>
        </w:rPr>
      </w:pPr>
      <w:r>
        <w:rPr>
          <w:rFonts w:hint="eastAsia" w:ascii="仿宋" w:hAnsi="仿宋" w:eastAsia="仿宋" w:cs="仿宋"/>
          <w:position w:val="-2"/>
          <w:szCs w:val="32"/>
        </w:rPr>
        <w:t xml:space="preserve">   </w:t>
      </w:r>
      <w:r>
        <w:rPr>
          <w:rFonts w:hint="eastAsia" w:ascii="仿宋" w:hAnsi="仿宋" w:eastAsia="仿宋" w:cs="仿宋"/>
          <w:b/>
          <w:bCs/>
          <w:position w:val="-2"/>
          <w:szCs w:val="32"/>
        </w:rPr>
        <w:t xml:space="preserve"> </w:t>
      </w:r>
      <w:r>
        <w:rPr>
          <w:rFonts w:hint="eastAsia" w:ascii="仿宋" w:hAnsi="仿宋" w:eastAsia="仿宋" w:cs="仿宋"/>
          <w:b/>
          <w:bCs/>
          <w:szCs w:val="32"/>
        </w:rPr>
        <w:t>2.</w:t>
      </w:r>
      <w:r>
        <w:rPr>
          <w:rFonts w:hint="eastAsia" w:ascii="仿宋" w:hAnsi="仿宋" w:eastAsia="仿宋" w:cs="仿宋"/>
          <w:b/>
          <w:bCs/>
          <w:szCs w:val="32"/>
          <w:lang w:val="zh-CN"/>
        </w:rPr>
        <w:t>项目绩效目标</w:t>
      </w:r>
    </w:p>
    <w:p>
      <w:pPr>
        <w:pStyle w:val="43"/>
        <w:shd w:val="clear" w:color="auto" w:fill="FFFFFF"/>
        <w:spacing w:line="576" w:lineRule="exact"/>
        <w:rPr>
          <w:rFonts w:ascii="仿宋" w:hAnsi="仿宋" w:eastAsia="仿宋" w:cs="仿宋"/>
          <w:szCs w:val="32"/>
        </w:rPr>
      </w:pPr>
      <w:r>
        <w:rPr>
          <w:rFonts w:hint="eastAsia" w:ascii="仿宋" w:hAnsi="仿宋" w:eastAsia="仿宋" w:cs="仿宋"/>
          <w:kern w:val="2"/>
          <w:position w:val="-2"/>
          <w:szCs w:val="32"/>
        </w:rPr>
        <w:t xml:space="preserve">    </w:t>
      </w:r>
      <w:r>
        <w:rPr>
          <w:rFonts w:hint="eastAsia" w:ascii="仿宋" w:hAnsi="仿宋" w:eastAsia="仿宋" w:cs="仿宋"/>
          <w:color w:val="000000"/>
          <w:szCs w:val="32"/>
        </w:rPr>
        <w:t>已于2021年1月14日市专委会通过选址方案，同年3月18日通过市规委会，于9月18日取得土地预审与选址意见书，12月17日，经八届市人民政府第8次常务会议定同意投资建设广元公交东城首末站项目，项目估算总投资2826万元，并通过市政府审定由财政承担780万元划拨土地费用，现正在进行征拆工作</w:t>
      </w:r>
      <w:r>
        <w:rPr>
          <w:rFonts w:hint="eastAsia" w:ascii="仿宋" w:hAnsi="仿宋" w:eastAsia="仿宋" w:cs="仿宋"/>
          <w:szCs w:val="32"/>
        </w:rPr>
        <w:t>。该项目</w:t>
      </w:r>
      <w:r>
        <w:rPr>
          <w:rFonts w:hint="eastAsia" w:ascii="仿宋" w:hAnsi="仿宋" w:eastAsia="仿宋" w:cs="仿宋"/>
          <w:color w:val="000000"/>
          <w:szCs w:val="32"/>
        </w:rPr>
        <w:t>主要用于解决公交车辆夜间停放、车辆加油、加气及充电的多种需求。</w:t>
      </w:r>
    </w:p>
    <w:p>
      <w:pPr>
        <w:pStyle w:val="42"/>
        <w:spacing w:line="576" w:lineRule="exact"/>
        <w:ind w:firstLine="0" w:firstLineChars="0"/>
        <w:rPr>
          <w:rFonts w:ascii="仿宋" w:hAnsi="仿宋" w:eastAsia="仿宋" w:cs="仿宋"/>
          <w:color w:val="auto"/>
          <w:sz w:val="32"/>
          <w:szCs w:val="32"/>
          <w:lang w:val="zh-CN"/>
        </w:rPr>
      </w:pPr>
      <w:r>
        <w:rPr>
          <w:rFonts w:hint="eastAsia" w:ascii="仿宋" w:hAnsi="仿宋" w:eastAsia="仿宋" w:cs="仿宋"/>
          <w:position w:val="-2"/>
          <w:sz w:val="32"/>
          <w:szCs w:val="32"/>
        </w:rPr>
        <w:t xml:space="preserve">    </w:t>
      </w:r>
      <w:r>
        <w:rPr>
          <w:rFonts w:hint="eastAsia" w:ascii="仿宋" w:hAnsi="仿宋" w:eastAsia="仿宋" w:cs="仿宋"/>
          <w:color w:val="auto"/>
          <w:sz w:val="32"/>
          <w:szCs w:val="32"/>
        </w:rPr>
        <w:t>3.</w:t>
      </w:r>
      <w:r>
        <w:rPr>
          <w:rFonts w:hint="eastAsia" w:ascii="仿宋" w:hAnsi="仿宋" w:eastAsia="仿宋" w:cs="仿宋"/>
          <w:color w:val="auto"/>
          <w:sz w:val="32"/>
          <w:szCs w:val="32"/>
          <w:lang w:val="zh-CN"/>
        </w:rPr>
        <w:t>资金申报相符性</w:t>
      </w:r>
    </w:p>
    <w:p>
      <w:pPr>
        <w:spacing w:line="576" w:lineRule="exact"/>
        <w:jc w:val="left"/>
        <w:rPr>
          <w:rFonts w:ascii="仿宋" w:hAnsi="仿宋" w:eastAsia="仿宋" w:cs="仿宋"/>
          <w:color w:val="000000"/>
          <w:kern w:val="0"/>
          <w:szCs w:val="32"/>
          <w:lang w:val="zh-CN"/>
        </w:rPr>
      </w:pPr>
      <w:r>
        <w:rPr>
          <w:rFonts w:hint="eastAsia" w:ascii="仿宋" w:hAnsi="仿宋" w:eastAsia="仿宋" w:cs="仿宋"/>
          <w:position w:val="-2"/>
          <w:szCs w:val="32"/>
        </w:rPr>
        <w:t xml:space="preserve">    </w:t>
      </w:r>
      <w:r>
        <w:rPr>
          <w:rFonts w:hint="eastAsia" w:ascii="仿宋" w:hAnsi="仿宋" w:eastAsia="仿宋" w:cs="仿宋"/>
          <w:color w:val="000000"/>
          <w:kern w:val="0"/>
          <w:szCs w:val="32"/>
          <w:lang w:val="zh-CN"/>
        </w:rPr>
        <w:t>我司申报的</w:t>
      </w:r>
      <w:r>
        <w:rPr>
          <w:rFonts w:hint="eastAsia" w:ascii="仿宋" w:hAnsi="仿宋" w:eastAsia="仿宋" w:cs="仿宋"/>
          <w:color w:val="000000"/>
          <w:kern w:val="0"/>
          <w:szCs w:val="32"/>
        </w:rPr>
        <w:t>广元公交东城首末站建设</w:t>
      </w:r>
      <w:r>
        <w:rPr>
          <w:rFonts w:hint="eastAsia" w:ascii="仿宋" w:hAnsi="仿宋" w:eastAsia="仿宋" w:cs="仿宋"/>
          <w:color w:val="000000"/>
          <w:kern w:val="0"/>
          <w:szCs w:val="32"/>
          <w:lang w:val="zh-CN"/>
        </w:rPr>
        <w:t>项目资金全部用于该</w:t>
      </w:r>
      <w:r>
        <w:rPr>
          <w:rFonts w:hint="eastAsia" w:ascii="仿宋" w:hAnsi="仿宋" w:eastAsia="仿宋" w:cs="仿宋"/>
          <w:color w:val="000000"/>
          <w:kern w:val="0"/>
          <w:szCs w:val="32"/>
        </w:rPr>
        <w:t>项目征拆补偿</w:t>
      </w:r>
      <w:r>
        <w:rPr>
          <w:rFonts w:hint="eastAsia" w:ascii="仿宋" w:hAnsi="仿宋" w:eastAsia="仿宋" w:cs="仿宋"/>
          <w:color w:val="000000"/>
          <w:kern w:val="0"/>
          <w:szCs w:val="32"/>
          <w:lang w:val="zh-CN"/>
        </w:rPr>
        <w:t>，与具体实施内容相符，申报目标合理可行。</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（三）项目自评步骤及方法。</w:t>
      </w:r>
    </w:p>
    <w:p>
      <w:pPr>
        <w:pStyle w:val="42"/>
        <w:spacing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position w:val="-2"/>
          <w:sz w:val="32"/>
          <w:szCs w:val="32"/>
        </w:rPr>
        <w:t xml:space="preserve">    </w:t>
      </w:r>
      <w:r>
        <w:rPr>
          <w:rFonts w:hint="eastAsia" w:ascii="仿宋" w:hAnsi="仿宋" w:eastAsia="仿宋" w:cs="仿宋"/>
          <w:b w:val="0"/>
          <w:color w:val="auto"/>
          <w:sz w:val="32"/>
          <w:szCs w:val="32"/>
          <w:lang w:val="zh-CN"/>
        </w:rPr>
        <w:t>项目绩效自评</w:t>
      </w:r>
      <w:r>
        <w:rPr>
          <w:rFonts w:hint="eastAsia" w:ascii="仿宋" w:hAnsi="仿宋" w:eastAsia="仿宋" w:cs="仿宋"/>
          <w:b w:val="0"/>
          <w:color w:val="auto"/>
          <w:sz w:val="32"/>
          <w:szCs w:val="32"/>
        </w:rPr>
        <w:t>首先由广元公共交通公司经营发展中心员工和财务人员共同草拟自评报告，分别报项目和财务分管领导审核、最后由公司总经理审阅后再报送至项目主管单位（市国资委）。</w:t>
      </w:r>
    </w:p>
    <w:p>
      <w:pPr>
        <w:pStyle w:val="42"/>
        <w:spacing w:line="576" w:lineRule="exact"/>
        <w:ind w:firstLine="0" w:firstLineChars="0"/>
        <w:rPr>
          <w:rFonts w:ascii="仿宋" w:hAnsi="仿宋" w:eastAsia="仿宋" w:cs="仿宋"/>
          <w:color w:val="auto"/>
          <w:sz w:val="32"/>
          <w:szCs w:val="32"/>
        </w:rPr>
      </w:pPr>
      <w:r>
        <w:rPr>
          <w:rFonts w:hint="eastAsia" w:ascii="仿宋" w:hAnsi="仿宋" w:eastAsia="仿宋" w:cs="仿宋"/>
          <w:position w:val="-2"/>
          <w:sz w:val="32"/>
          <w:szCs w:val="32"/>
        </w:rPr>
        <w:t xml:space="preserve">    二、</w:t>
      </w:r>
      <w:r>
        <w:rPr>
          <w:rFonts w:hint="eastAsia" w:ascii="仿宋" w:hAnsi="仿宋" w:eastAsia="仿宋" w:cs="仿宋"/>
          <w:color w:val="auto"/>
          <w:sz w:val="32"/>
          <w:szCs w:val="32"/>
        </w:rPr>
        <w:t>项目资金申报及使用情况</w:t>
      </w:r>
    </w:p>
    <w:p>
      <w:pPr>
        <w:adjustRightInd w:val="0"/>
        <w:snapToGrid w:val="0"/>
        <w:spacing w:line="576" w:lineRule="exact"/>
        <w:rPr>
          <w:rFonts w:ascii="仿宋" w:hAnsi="仿宋" w:eastAsia="仿宋" w:cs="仿宋"/>
          <w:b/>
          <w:szCs w:val="32"/>
          <w:lang w:val="zh-CN"/>
        </w:rPr>
      </w:pPr>
      <w:r>
        <w:rPr>
          <w:rFonts w:hint="eastAsia" w:ascii="仿宋" w:hAnsi="仿宋" w:eastAsia="仿宋" w:cs="仿宋"/>
          <w:b/>
          <w:position w:val="-2"/>
          <w:szCs w:val="32"/>
        </w:rPr>
        <w:t xml:space="preserve">   （一）</w:t>
      </w:r>
      <w:r>
        <w:rPr>
          <w:rFonts w:hint="eastAsia" w:ascii="仿宋" w:hAnsi="仿宋" w:eastAsia="仿宋" w:cs="仿宋"/>
          <w:b/>
          <w:szCs w:val="32"/>
          <w:lang w:val="zh-CN"/>
        </w:rPr>
        <w:t>项目资金申报及批复情况。</w:t>
      </w:r>
    </w:p>
    <w:p>
      <w:pPr>
        <w:pStyle w:val="42"/>
        <w:spacing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position w:val="-2"/>
          <w:sz w:val="32"/>
          <w:szCs w:val="32"/>
        </w:rPr>
        <w:t xml:space="preserve">    </w:t>
      </w:r>
      <w:r>
        <w:rPr>
          <w:rFonts w:hint="eastAsia" w:ascii="仿宋" w:hAnsi="仿宋" w:eastAsia="仿宋" w:cs="仿宋"/>
          <w:b w:val="0"/>
          <w:color w:val="auto"/>
          <w:sz w:val="32"/>
          <w:szCs w:val="32"/>
        </w:rPr>
        <w:t>2022年5月21日，市财政局下达了《广元市财政局关于下达基金指标的通知》（广财投〔2022〕73号），</w:t>
      </w:r>
      <w:r>
        <w:rPr>
          <w:rFonts w:hint="eastAsia" w:ascii="仿宋" w:hAnsi="仿宋" w:eastAsia="仿宋" w:cs="仿宋"/>
          <w:b w:val="0"/>
          <w:color w:val="auto"/>
          <w:sz w:val="32"/>
          <w:szCs w:val="32"/>
          <w:lang w:val="zh-CN"/>
        </w:rPr>
        <w:t>20</w:t>
      </w:r>
      <w:r>
        <w:rPr>
          <w:rFonts w:hint="eastAsia" w:ascii="仿宋" w:hAnsi="仿宋" w:eastAsia="仿宋" w:cs="仿宋"/>
          <w:b w:val="0"/>
          <w:color w:val="auto"/>
          <w:sz w:val="32"/>
          <w:szCs w:val="32"/>
        </w:rPr>
        <w:t>22</w:t>
      </w:r>
      <w:r>
        <w:rPr>
          <w:rFonts w:hint="eastAsia" w:ascii="仿宋" w:hAnsi="仿宋" w:eastAsia="仿宋" w:cs="仿宋"/>
          <w:b w:val="0"/>
          <w:color w:val="auto"/>
          <w:sz w:val="32"/>
          <w:szCs w:val="32"/>
          <w:lang w:val="zh-CN"/>
        </w:rPr>
        <w:t>年财政预算安排市城区港湾式公交站台项目建设涉及的工程资金</w:t>
      </w:r>
      <w:r>
        <w:rPr>
          <w:rFonts w:hint="eastAsia" w:ascii="仿宋" w:hAnsi="仿宋" w:eastAsia="仿宋" w:cs="仿宋"/>
          <w:b w:val="0"/>
          <w:color w:val="auto"/>
          <w:sz w:val="32"/>
          <w:szCs w:val="32"/>
        </w:rPr>
        <w:t>780</w:t>
      </w:r>
      <w:r>
        <w:rPr>
          <w:rFonts w:hint="eastAsia" w:ascii="仿宋" w:hAnsi="仿宋" w:eastAsia="仿宋" w:cs="仿宋"/>
          <w:b w:val="0"/>
          <w:color w:val="auto"/>
          <w:sz w:val="32"/>
          <w:szCs w:val="32"/>
          <w:lang w:val="zh-CN"/>
        </w:rPr>
        <w:t>万元。</w:t>
      </w:r>
    </w:p>
    <w:p>
      <w:pPr>
        <w:pStyle w:val="42"/>
        <w:spacing w:line="576" w:lineRule="exact"/>
        <w:ind w:firstLine="0" w:firstLineChars="0"/>
        <w:rPr>
          <w:rFonts w:ascii="仿宋" w:hAnsi="仿宋" w:eastAsia="仿宋" w:cs="仿宋"/>
          <w:bCs/>
          <w:color w:val="auto"/>
          <w:sz w:val="32"/>
          <w:szCs w:val="32"/>
          <w:lang w:val="zh-CN"/>
        </w:rPr>
      </w:pPr>
      <w:r>
        <w:rPr>
          <w:rFonts w:hint="eastAsia" w:ascii="仿宋" w:hAnsi="仿宋" w:eastAsia="仿宋" w:cs="仿宋"/>
          <w:position w:val="-2"/>
          <w:sz w:val="32"/>
          <w:szCs w:val="32"/>
        </w:rPr>
        <w:t xml:space="preserve">   </w:t>
      </w:r>
      <w:r>
        <w:rPr>
          <w:rFonts w:hint="eastAsia" w:ascii="仿宋" w:hAnsi="仿宋" w:eastAsia="仿宋" w:cs="仿宋"/>
          <w:bCs/>
          <w:color w:val="auto"/>
          <w:sz w:val="32"/>
          <w:szCs w:val="32"/>
          <w:lang w:val="zh-CN"/>
        </w:rPr>
        <w:t>（</w:t>
      </w:r>
      <w:r>
        <w:rPr>
          <w:rFonts w:hint="eastAsia" w:ascii="仿宋" w:hAnsi="仿宋" w:eastAsia="仿宋" w:cs="仿宋"/>
          <w:bCs/>
          <w:color w:val="auto"/>
          <w:sz w:val="32"/>
          <w:szCs w:val="32"/>
        </w:rPr>
        <w:t>二</w:t>
      </w:r>
      <w:r>
        <w:rPr>
          <w:rFonts w:hint="eastAsia" w:ascii="仿宋" w:hAnsi="仿宋" w:eastAsia="仿宋" w:cs="仿宋"/>
          <w:bCs/>
          <w:color w:val="auto"/>
          <w:sz w:val="32"/>
          <w:szCs w:val="32"/>
          <w:lang w:val="zh-CN"/>
        </w:rPr>
        <w:t>）资金计划、到位及使用情况。</w:t>
      </w:r>
    </w:p>
    <w:p>
      <w:pPr>
        <w:pStyle w:val="42"/>
        <w:spacing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position w:val="-2"/>
          <w:sz w:val="32"/>
          <w:szCs w:val="32"/>
        </w:rPr>
        <w:t xml:space="preserve">    </w:t>
      </w:r>
      <w:r>
        <w:rPr>
          <w:rFonts w:hint="eastAsia" w:ascii="仿宋" w:hAnsi="仿宋" w:eastAsia="仿宋" w:cs="仿宋"/>
          <w:b w:val="0"/>
          <w:color w:val="auto"/>
          <w:sz w:val="32"/>
          <w:szCs w:val="32"/>
          <w:lang w:val="zh-CN"/>
        </w:rPr>
        <w:t>资金计划：</w:t>
      </w:r>
      <w:r>
        <w:rPr>
          <w:rFonts w:hint="eastAsia" w:ascii="仿宋" w:hAnsi="仿宋" w:eastAsia="仿宋" w:cs="仿宋"/>
          <w:b w:val="0"/>
          <w:color w:val="auto"/>
          <w:sz w:val="32"/>
          <w:szCs w:val="32"/>
        </w:rPr>
        <w:t>2022年度广元公交东城首末站建设</w:t>
      </w:r>
      <w:r>
        <w:rPr>
          <w:rFonts w:hint="eastAsia" w:ascii="仿宋" w:hAnsi="仿宋" w:eastAsia="仿宋" w:cs="仿宋"/>
          <w:b w:val="0"/>
          <w:color w:val="auto"/>
          <w:sz w:val="32"/>
          <w:szCs w:val="32"/>
          <w:lang w:val="zh-CN"/>
        </w:rPr>
        <w:t>项目</w:t>
      </w:r>
      <w:r>
        <w:rPr>
          <w:rFonts w:hint="eastAsia" w:ascii="仿宋" w:hAnsi="仿宋" w:eastAsia="仿宋" w:cs="仿宋"/>
          <w:b w:val="0"/>
          <w:color w:val="auto"/>
          <w:sz w:val="32"/>
          <w:szCs w:val="32"/>
        </w:rPr>
        <w:t>计划支付该项目征拆补偿资金780万元。</w:t>
      </w:r>
    </w:p>
    <w:p>
      <w:pPr>
        <w:pStyle w:val="42"/>
        <w:spacing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position w:val="-2"/>
          <w:sz w:val="32"/>
          <w:szCs w:val="32"/>
        </w:rPr>
        <w:t xml:space="preserve">    </w:t>
      </w:r>
      <w:r>
        <w:rPr>
          <w:rFonts w:hint="eastAsia" w:ascii="仿宋" w:hAnsi="仿宋" w:eastAsia="仿宋" w:cs="仿宋"/>
          <w:b w:val="0"/>
          <w:color w:val="auto"/>
          <w:sz w:val="32"/>
          <w:szCs w:val="32"/>
          <w:lang w:val="zh-CN"/>
        </w:rPr>
        <w:t>资金到位：20</w:t>
      </w:r>
      <w:r>
        <w:rPr>
          <w:rFonts w:hint="eastAsia" w:ascii="仿宋" w:hAnsi="仿宋" w:eastAsia="仿宋" w:cs="仿宋"/>
          <w:b w:val="0"/>
          <w:color w:val="auto"/>
          <w:sz w:val="32"/>
          <w:szCs w:val="32"/>
        </w:rPr>
        <w:t>22</w:t>
      </w:r>
      <w:r>
        <w:rPr>
          <w:rFonts w:hint="eastAsia" w:ascii="仿宋" w:hAnsi="仿宋" w:eastAsia="仿宋" w:cs="仿宋"/>
          <w:b w:val="0"/>
          <w:color w:val="auto"/>
          <w:sz w:val="32"/>
          <w:szCs w:val="32"/>
          <w:lang w:val="zh-CN"/>
        </w:rPr>
        <w:t>年</w:t>
      </w:r>
      <w:r>
        <w:rPr>
          <w:rFonts w:hint="eastAsia" w:ascii="仿宋" w:hAnsi="仿宋" w:eastAsia="仿宋" w:cs="仿宋"/>
          <w:b w:val="0"/>
          <w:color w:val="auto"/>
          <w:sz w:val="32"/>
          <w:szCs w:val="32"/>
        </w:rPr>
        <w:t>9</w:t>
      </w:r>
      <w:r>
        <w:rPr>
          <w:rFonts w:hint="eastAsia" w:ascii="仿宋" w:hAnsi="仿宋" w:eastAsia="仿宋" w:cs="仿宋"/>
          <w:b w:val="0"/>
          <w:color w:val="auto"/>
          <w:sz w:val="32"/>
          <w:szCs w:val="32"/>
          <w:lang w:val="zh-CN"/>
        </w:rPr>
        <w:t>月</w:t>
      </w:r>
      <w:r>
        <w:rPr>
          <w:rFonts w:hint="eastAsia" w:ascii="仿宋" w:hAnsi="仿宋" w:eastAsia="仿宋" w:cs="仿宋"/>
          <w:b w:val="0"/>
          <w:color w:val="auto"/>
          <w:sz w:val="32"/>
          <w:szCs w:val="32"/>
        </w:rPr>
        <w:t>7日</w:t>
      </w:r>
      <w:r>
        <w:rPr>
          <w:rFonts w:hint="eastAsia" w:ascii="仿宋" w:hAnsi="仿宋" w:eastAsia="仿宋" w:cs="仿宋"/>
          <w:b w:val="0"/>
          <w:color w:val="auto"/>
          <w:sz w:val="32"/>
          <w:szCs w:val="32"/>
          <w:lang w:val="zh-CN"/>
        </w:rPr>
        <w:t>财政拨付</w:t>
      </w:r>
      <w:r>
        <w:rPr>
          <w:rFonts w:hint="eastAsia" w:ascii="仿宋" w:hAnsi="仿宋" w:eastAsia="仿宋" w:cs="仿宋"/>
          <w:b w:val="0"/>
          <w:color w:val="auto"/>
          <w:sz w:val="32"/>
          <w:szCs w:val="32"/>
        </w:rPr>
        <w:t>广元公交东城首末站</w:t>
      </w:r>
      <w:r>
        <w:rPr>
          <w:rFonts w:hint="eastAsia" w:ascii="仿宋" w:hAnsi="仿宋" w:eastAsia="仿宋" w:cs="仿宋"/>
          <w:b w:val="0"/>
          <w:color w:val="auto"/>
          <w:sz w:val="32"/>
          <w:szCs w:val="32"/>
          <w:lang w:val="zh-CN"/>
        </w:rPr>
        <w:t>建设项目涉及资金</w:t>
      </w:r>
      <w:r>
        <w:rPr>
          <w:rFonts w:hint="eastAsia" w:ascii="仿宋" w:hAnsi="仿宋" w:eastAsia="仿宋" w:cs="仿宋"/>
          <w:b w:val="0"/>
          <w:color w:val="auto"/>
          <w:sz w:val="32"/>
          <w:szCs w:val="32"/>
        </w:rPr>
        <w:t>780</w:t>
      </w:r>
      <w:r>
        <w:rPr>
          <w:rFonts w:hint="eastAsia" w:ascii="仿宋" w:hAnsi="仿宋" w:eastAsia="仿宋" w:cs="仿宋"/>
          <w:b w:val="0"/>
          <w:color w:val="auto"/>
          <w:sz w:val="32"/>
          <w:szCs w:val="32"/>
          <w:lang w:val="zh-CN"/>
        </w:rPr>
        <w:t>万元</w:t>
      </w:r>
      <w:r>
        <w:rPr>
          <w:rFonts w:hint="eastAsia" w:ascii="仿宋" w:hAnsi="仿宋" w:eastAsia="仿宋" w:cs="仿宋"/>
          <w:b w:val="0"/>
          <w:color w:val="auto"/>
          <w:sz w:val="32"/>
          <w:szCs w:val="32"/>
        </w:rPr>
        <w:t>。</w:t>
      </w:r>
    </w:p>
    <w:p>
      <w:pPr>
        <w:widowControl/>
        <w:spacing w:line="576" w:lineRule="exact"/>
        <w:rPr>
          <w:rFonts w:ascii="仿宋" w:hAnsi="仿宋" w:eastAsia="仿宋" w:cs="仿宋"/>
          <w:position w:val="-2"/>
          <w:szCs w:val="32"/>
          <w:lang w:val="zh-CN"/>
        </w:rPr>
      </w:pPr>
      <w:r>
        <w:rPr>
          <w:rFonts w:hint="eastAsia" w:ascii="仿宋" w:hAnsi="仿宋" w:eastAsia="仿宋" w:cs="仿宋"/>
          <w:position w:val="-2"/>
          <w:szCs w:val="32"/>
        </w:rPr>
        <w:t xml:space="preserve">    </w:t>
      </w:r>
      <w:r>
        <w:rPr>
          <w:rFonts w:hint="eastAsia" w:ascii="仿宋" w:hAnsi="仿宋" w:eastAsia="仿宋" w:cs="仿宋"/>
          <w:szCs w:val="32"/>
          <w:lang w:val="zh-CN"/>
        </w:rPr>
        <w:t>资金使用：</w:t>
      </w:r>
      <w:r>
        <w:rPr>
          <w:rFonts w:hint="eastAsia" w:ascii="仿宋" w:hAnsi="仿宋" w:eastAsia="仿宋" w:cs="仿宋"/>
          <w:position w:val="-2"/>
          <w:szCs w:val="32"/>
          <w:lang w:val="zh-CN"/>
        </w:rPr>
        <w:t>我司</w:t>
      </w:r>
      <w:r>
        <w:rPr>
          <w:rFonts w:hint="eastAsia" w:ascii="仿宋" w:hAnsi="仿宋" w:eastAsia="仿宋" w:cs="仿宋"/>
          <w:position w:val="-2"/>
          <w:szCs w:val="32"/>
        </w:rPr>
        <w:t>按照拆迁需求将780万元中的300万元于2022年11月30日转入市财政局，剩余资金将按照拆迁进度支付</w:t>
      </w:r>
      <w:r>
        <w:rPr>
          <w:rFonts w:hint="eastAsia" w:ascii="仿宋" w:hAnsi="仿宋" w:eastAsia="仿宋" w:cs="仿宋"/>
          <w:position w:val="-2"/>
          <w:szCs w:val="32"/>
          <w:lang w:val="zh-CN"/>
        </w:rPr>
        <w:t>。</w:t>
      </w:r>
    </w:p>
    <w:p>
      <w:pPr>
        <w:adjustRightInd w:val="0"/>
        <w:snapToGrid w:val="0"/>
        <w:spacing w:line="576" w:lineRule="exact"/>
        <w:rPr>
          <w:rFonts w:ascii="仿宋" w:hAnsi="仿宋" w:eastAsia="仿宋" w:cs="仿宋"/>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（三）项目财务管理情况。</w:t>
      </w:r>
    </w:p>
    <w:p>
      <w:pPr>
        <w:pStyle w:val="43"/>
        <w:shd w:val="clear" w:color="auto" w:fill="FFFFFF"/>
        <w:spacing w:line="576" w:lineRule="exact"/>
        <w:rPr>
          <w:rFonts w:ascii="仿宋" w:hAnsi="仿宋" w:eastAsia="仿宋" w:cs="仿宋"/>
          <w:szCs w:val="32"/>
          <w:lang w:val="zh-CN"/>
        </w:rPr>
      </w:pPr>
      <w:r>
        <w:rPr>
          <w:rFonts w:hint="eastAsia" w:ascii="仿宋" w:hAnsi="仿宋" w:eastAsia="仿宋" w:cs="仿宋"/>
          <w:kern w:val="2"/>
          <w:position w:val="-2"/>
          <w:szCs w:val="32"/>
        </w:rPr>
        <w:t xml:space="preserve">    </w:t>
      </w:r>
      <w:r>
        <w:rPr>
          <w:rFonts w:hint="eastAsia" w:ascii="仿宋" w:hAnsi="仿宋" w:eastAsia="仿宋" w:cs="仿宋"/>
          <w:szCs w:val="32"/>
          <w:lang w:val="zh-CN"/>
        </w:rPr>
        <w:t>项目财务管理制度健全，严格执行财务管理制度，账务处理及时，会计核算规范等。</w:t>
      </w:r>
    </w:p>
    <w:p>
      <w:pPr>
        <w:pStyle w:val="43"/>
        <w:shd w:val="clear" w:color="auto" w:fill="FFFFFF"/>
        <w:spacing w:line="576" w:lineRule="exact"/>
        <w:rPr>
          <w:rFonts w:ascii="仿宋" w:hAnsi="仿宋" w:eastAsia="仿宋" w:cs="仿宋"/>
          <w:b/>
          <w:bCs/>
          <w:kern w:val="2"/>
          <w:szCs w:val="32"/>
          <w:lang w:val="zh-CN"/>
        </w:rPr>
      </w:pPr>
      <w:r>
        <w:rPr>
          <w:rFonts w:hint="eastAsia" w:ascii="仿宋" w:hAnsi="仿宋" w:eastAsia="仿宋" w:cs="仿宋"/>
          <w:kern w:val="2"/>
          <w:position w:val="-2"/>
          <w:szCs w:val="32"/>
        </w:rPr>
        <w:t xml:space="preserve">    </w:t>
      </w:r>
      <w:r>
        <w:rPr>
          <w:rFonts w:hint="eastAsia" w:ascii="仿宋" w:hAnsi="仿宋" w:eastAsia="仿宋" w:cs="仿宋"/>
          <w:b/>
          <w:bCs/>
          <w:kern w:val="2"/>
          <w:position w:val="-2"/>
          <w:szCs w:val="32"/>
        </w:rPr>
        <w:t>三、</w:t>
      </w:r>
      <w:r>
        <w:rPr>
          <w:rFonts w:hint="eastAsia" w:ascii="仿宋" w:hAnsi="仿宋" w:eastAsia="仿宋" w:cs="仿宋"/>
          <w:b/>
          <w:bCs/>
          <w:kern w:val="2"/>
          <w:szCs w:val="32"/>
          <w:lang w:val="zh-CN"/>
        </w:rPr>
        <w:t>项目实施及管理情况</w:t>
      </w:r>
    </w:p>
    <w:p>
      <w:pPr>
        <w:spacing w:line="576" w:lineRule="exact"/>
        <w:jc w:val="left"/>
        <w:rPr>
          <w:rFonts w:ascii="仿宋" w:hAnsi="仿宋" w:eastAsia="仿宋" w:cs="仿宋"/>
          <w:szCs w:val="32"/>
          <w:lang w:val="zh-CN"/>
        </w:rPr>
      </w:pPr>
      <w:r>
        <w:rPr>
          <w:rFonts w:hint="eastAsia" w:ascii="仿宋" w:hAnsi="仿宋" w:eastAsia="仿宋" w:cs="仿宋"/>
          <w:position w:val="-2"/>
          <w:szCs w:val="32"/>
        </w:rPr>
        <w:t xml:space="preserve">    </w:t>
      </w:r>
      <w:r>
        <w:rPr>
          <w:rFonts w:hint="eastAsia" w:ascii="仿宋" w:hAnsi="仿宋" w:eastAsia="仿宋" w:cs="仿宋"/>
          <w:szCs w:val="32"/>
          <w:lang w:val="zh-CN"/>
        </w:rPr>
        <w:t>项目组织管理架构及具体实施流程，包括机构设置、监管措施、执行相关管理制度（招投标、政府采购、项目公示等）相关情况全部符合法律法规流程。</w:t>
      </w:r>
    </w:p>
    <w:p>
      <w:pPr>
        <w:spacing w:line="576" w:lineRule="exact"/>
        <w:jc w:val="lef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szCs w:val="32"/>
          <w:lang w:val="zh-CN"/>
        </w:rPr>
        <w:t>其中：基建项目的基本建设程序均按照相关法律法规及施工合同执行，未出现违规违法行为。</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四、项目绩效情况</w:t>
      </w:r>
      <w:r>
        <w:rPr>
          <w:rFonts w:hint="eastAsia" w:ascii="仿宋" w:hAnsi="仿宋" w:eastAsia="仿宋" w:cs="仿宋"/>
          <w:b/>
          <w:bCs/>
          <w:szCs w:val="32"/>
          <w:lang w:val="zh-CN"/>
        </w:rPr>
        <w:tab/>
      </w:r>
    </w:p>
    <w:p>
      <w:pPr>
        <w:adjustRightInd w:val="0"/>
        <w:snapToGrid w:val="0"/>
        <w:spacing w:line="576" w:lineRule="exact"/>
        <w:rPr>
          <w:rFonts w:ascii="仿宋" w:hAnsi="仿宋" w:eastAsia="仿宋" w:cs="仿宋"/>
          <w:szCs w:val="32"/>
          <w:lang w:val="zh-CN"/>
        </w:rPr>
      </w:pPr>
      <w:r>
        <w:rPr>
          <w:rFonts w:hint="eastAsia" w:ascii="仿宋" w:hAnsi="仿宋" w:eastAsia="仿宋" w:cs="仿宋"/>
          <w:b/>
          <w:bCs/>
          <w:position w:val="-2"/>
          <w:szCs w:val="32"/>
        </w:rPr>
        <w:t xml:space="preserve">   </w:t>
      </w:r>
      <w:r>
        <w:rPr>
          <w:rFonts w:hint="eastAsia" w:ascii="仿宋" w:hAnsi="仿宋" w:eastAsia="仿宋" w:cs="仿宋"/>
          <w:b/>
          <w:bCs/>
          <w:szCs w:val="32"/>
          <w:lang w:val="zh-CN"/>
        </w:rPr>
        <w:t>（一）项目完成情况。</w:t>
      </w:r>
    </w:p>
    <w:p>
      <w:pPr>
        <w:pStyle w:val="43"/>
        <w:shd w:val="clear" w:color="auto" w:fill="FFFFFF"/>
        <w:spacing w:line="576" w:lineRule="exact"/>
        <w:rPr>
          <w:rFonts w:ascii="仿宋" w:hAnsi="仿宋" w:eastAsia="仿宋" w:cs="仿宋"/>
          <w:kern w:val="2"/>
          <w:szCs w:val="32"/>
          <w:lang w:val="zh-CN"/>
        </w:rPr>
      </w:pPr>
      <w:r>
        <w:rPr>
          <w:rFonts w:hint="eastAsia" w:ascii="仿宋" w:hAnsi="仿宋" w:eastAsia="仿宋" w:cs="仿宋"/>
          <w:kern w:val="2"/>
          <w:position w:val="-2"/>
          <w:szCs w:val="32"/>
        </w:rPr>
        <w:t xml:space="preserve">    </w:t>
      </w:r>
      <w:r>
        <w:rPr>
          <w:rFonts w:hint="eastAsia" w:ascii="仿宋" w:hAnsi="仿宋" w:eastAsia="仿宋" w:cs="仿宋"/>
          <w:kern w:val="2"/>
          <w:szCs w:val="32"/>
        </w:rPr>
        <w:t>该</w:t>
      </w:r>
      <w:r>
        <w:rPr>
          <w:rFonts w:hint="eastAsia" w:ascii="仿宋" w:hAnsi="仿宋" w:eastAsia="仿宋" w:cs="仿宋"/>
          <w:szCs w:val="32"/>
          <w:lang w:val="zh-CN"/>
        </w:rPr>
        <w:t>项目</w:t>
      </w:r>
      <w:r>
        <w:rPr>
          <w:rFonts w:hint="eastAsia" w:ascii="仿宋" w:hAnsi="仿宋" w:eastAsia="仿宋" w:cs="仿宋"/>
          <w:szCs w:val="32"/>
        </w:rPr>
        <w:t>前期工作</w:t>
      </w:r>
      <w:r>
        <w:rPr>
          <w:rFonts w:hint="eastAsia" w:ascii="仿宋" w:hAnsi="仿宋" w:eastAsia="仿宋" w:cs="仿宋"/>
          <w:szCs w:val="32"/>
          <w:lang w:val="zh-CN"/>
        </w:rPr>
        <w:t>严格按照计划及时间节点</w:t>
      </w:r>
      <w:r>
        <w:rPr>
          <w:rFonts w:hint="eastAsia" w:ascii="仿宋" w:hAnsi="仿宋" w:eastAsia="仿宋" w:cs="仿宋"/>
          <w:szCs w:val="32"/>
        </w:rPr>
        <w:t>有序开展</w:t>
      </w:r>
      <w:r>
        <w:rPr>
          <w:rFonts w:hint="eastAsia" w:ascii="仿宋" w:hAnsi="仿宋" w:eastAsia="仿宋" w:cs="仿宋"/>
          <w:szCs w:val="32"/>
          <w:lang w:val="zh-CN"/>
        </w:rPr>
        <w:t>。</w:t>
      </w:r>
      <w:r>
        <w:rPr>
          <w:rFonts w:hint="eastAsia" w:ascii="仿宋" w:hAnsi="仿宋" w:eastAsia="仿宋" w:cs="仿宋"/>
          <w:szCs w:val="32"/>
        </w:rPr>
        <w:t>但由于加油站建设不符合要求及CNG加气站未纳入省发改委十四五发展规划，现正在积极协调中，现在在进行拆迁工作</w:t>
      </w:r>
      <w:r>
        <w:rPr>
          <w:rFonts w:hint="eastAsia" w:ascii="仿宋" w:hAnsi="仿宋" w:eastAsia="仿宋" w:cs="仿宋"/>
          <w:kern w:val="2"/>
          <w:szCs w:val="32"/>
        </w:rPr>
        <w:t>。</w:t>
      </w:r>
    </w:p>
    <w:p>
      <w:pPr>
        <w:pStyle w:val="43"/>
        <w:shd w:val="clear" w:color="auto" w:fill="FFFFFF"/>
        <w:spacing w:line="576" w:lineRule="exact"/>
        <w:rPr>
          <w:rFonts w:ascii="仿宋" w:hAnsi="仿宋" w:eastAsia="仿宋" w:cs="仿宋"/>
          <w:b/>
          <w:bCs/>
          <w:szCs w:val="32"/>
          <w:lang w:val="zh-CN"/>
        </w:rPr>
      </w:pPr>
      <w:r>
        <w:rPr>
          <w:rFonts w:hint="eastAsia" w:ascii="仿宋" w:hAnsi="仿宋" w:eastAsia="仿宋" w:cs="仿宋"/>
          <w:kern w:val="2"/>
          <w:position w:val="-2"/>
          <w:szCs w:val="32"/>
        </w:rPr>
        <w:t xml:space="preserve"> </w:t>
      </w:r>
      <w:r>
        <w:rPr>
          <w:rFonts w:hint="eastAsia" w:ascii="仿宋" w:hAnsi="仿宋" w:eastAsia="仿宋" w:cs="仿宋"/>
          <w:b/>
          <w:bCs/>
          <w:kern w:val="2"/>
          <w:position w:val="-2"/>
          <w:szCs w:val="32"/>
        </w:rPr>
        <w:t xml:space="preserve">  （二）</w:t>
      </w:r>
      <w:r>
        <w:rPr>
          <w:rFonts w:hint="eastAsia" w:ascii="仿宋" w:hAnsi="仿宋" w:eastAsia="仿宋" w:cs="仿宋"/>
          <w:b/>
          <w:bCs/>
          <w:szCs w:val="32"/>
          <w:lang w:val="zh-CN"/>
        </w:rPr>
        <w:t>项目效益情况。</w:t>
      </w:r>
    </w:p>
    <w:p>
      <w:pPr>
        <w:spacing w:line="576" w:lineRule="exact"/>
        <w:jc w:val="lef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szCs w:val="32"/>
          <w:lang w:val="zh-CN"/>
        </w:rPr>
        <w:t>广元</w:t>
      </w:r>
      <w:r>
        <w:rPr>
          <w:rFonts w:hint="eastAsia" w:ascii="仿宋" w:hAnsi="仿宋" w:eastAsia="仿宋" w:cs="仿宋"/>
          <w:szCs w:val="32"/>
        </w:rPr>
        <w:t>公交东城首末站</w:t>
      </w:r>
      <w:r>
        <w:rPr>
          <w:rFonts w:hint="eastAsia" w:ascii="仿宋" w:hAnsi="仿宋" w:eastAsia="仿宋" w:cs="仿宋"/>
          <w:szCs w:val="32"/>
          <w:lang w:val="zh-CN"/>
        </w:rPr>
        <w:t>建设项目系社会公益项目，该项目建设是以人为本、公交优先的理念，将“畅通、安全、便民”作为城市公交发展的原则，将有利于公交车辆</w:t>
      </w:r>
      <w:r>
        <w:rPr>
          <w:rFonts w:hint="eastAsia" w:ascii="仿宋" w:hAnsi="仿宋" w:eastAsia="仿宋" w:cs="仿宋"/>
          <w:szCs w:val="32"/>
        </w:rPr>
        <w:t>夜间停放，方便车辆加气、充电</w:t>
      </w:r>
      <w:r>
        <w:rPr>
          <w:rFonts w:hint="eastAsia" w:ascii="仿宋" w:hAnsi="仿宋" w:eastAsia="仿宋" w:cs="仿宋"/>
          <w:szCs w:val="32"/>
          <w:lang w:val="zh-CN"/>
        </w:rPr>
        <w:t>，</w:t>
      </w:r>
      <w:r>
        <w:rPr>
          <w:rFonts w:hint="eastAsia" w:ascii="仿宋" w:hAnsi="仿宋" w:eastAsia="仿宋" w:cs="仿宋"/>
          <w:szCs w:val="32"/>
        </w:rPr>
        <w:t>减少资源浪费，方便</w:t>
      </w:r>
      <w:r>
        <w:rPr>
          <w:rFonts w:hint="eastAsia" w:ascii="仿宋" w:hAnsi="仿宋" w:eastAsia="仿宋" w:cs="仿宋"/>
          <w:szCs w:val="32"/>
          <w:lang w:val="zh-CN"/>
        </w:rPr>
        <w:t>市民安全</w:t>
      </w:r>
      <w:r>
        <w:rPr>
          <w:rFonts w:hint="eastAsia" w:ascii="仿宋" w:hAnsi="仿宋" w:eastAsia="仿宋" w:cs="仿宋"/>
          <w:szCs w:val="32"/>
        </w:rPr>
        <w:t>快捷出行</w:t>
      </w:r>
      <w:r>
        <w:rPr>
          <w:rFonts w:hint="eastAsia" w:ascii="仿宋" w:hAnsi="仿宋" w:eastAsia="仿宋" w:cs="仿宋"/>
          <w:szCs w:val="32"/>
          <w:lang w:val="zh-CN"/>
        </w:rPr>
        <w:t>需求，对缓解市城区周边交通拥堵，保障市民安全出行，提升城市形象，加快智慧城市的建设步伐，具有重要的意义。</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position w:val="-2"/>
          <w:szCs w:val="32"/>
        </w:rPr>
        <w:t xml:space="preserve"> </w:t>
      </w:r>
      <w:r>
        <w:rPr>
          <w:rFonts w:hint="eastAsia" w:ascii="仿宋" w:hAnsi="仿宋" w:eastAsia="仿宋" w:cs="仿宋"/>
          <w:b/>
          <w:bCs/>
          <w:szCs w:val="32"/>
          <w:lang w:val="zh-CN"/>
        </w:rPr>
        <w:t>五、评价结论及建议</w:t>
      </w:r>
    </w:p>
    <w:p>
      <w:pPr>
        <w:spacing w:line="576" w:lineRule="exact"/>
        <w:rPr>
          <w:rFonts w:ascii="仿宋" w:hAnsi="仿宋" w:eastAsia="仿宋" w:cs="仿宋"/>
          <w:szCs w:val="32"/>
        </w:rPr>
      </w:pPr>
      <w:r>
        <w:rPr>
          <w:rFonts w:hint="eastAsia" w:ascii="仿宋" w:hAnsi="仿宋" w:eastAsia="仿宋" w:cs="仿宋"/>
          <w:position w:val="-2"/>
          <w:szCs w:val="32"/>
        </w:rPr>
        <w:t xml:space="preserve">    该项目的实施将有效缓解公交车安全停放的问题，同时规范了公交相关配套设施使用的问题。不仅实现了公交的社会效益，同时也提升公交辅业的发展，创造了经济效益。我司建议在实施能源基础设施建设方面分步推进，以充电桩建设为先，根据车用能源发展的新政策逐步推进，有效减少项目投资风险。该项目在前期工作中未出现各类违法违规问题。</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森林院子片区棚户区限价商品房项目</w:t>
      </w:r>
      <w:r>
        <w:rPr>
          <w:rFonts w:hint="eastAsia" w:ascii="仿宋_GB2312"/>
          <w:sz w:val="32"/>
          <w:szCs w:val="32"/>
        </w:rPr>
        <w:t>）</w:t>
      </w:r>
    </w:p>
    <w:p>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（一）项目基本情况。</w:t>
      </w:r>
    </w:p>
    <w:p>
      <w:pPr>
        <w:pStyle w:val="42"/>
        <w:spacing w:before="93"/>
        <w:rPr>
          <w:lang w:val="zh-CN"/>
        </w:rPr>
      </w:pPr>
      <w:r>
        <w:rPr>
          <w:rFonts w:hint="eastAsia" w:hAnsi="仿宋_GB2312" w:cs="仿宋_GB2312"/>
          <w:b w:val="0"/>
          <w:bCs/>
          <w:color w:val="000000" w:themeColor="text1"/>
          <w:sz w:val="32"/>
          <w:szCs w:val="32"/>
          <w14:textFill>
            <w14:solidFill>
              <w14:schemeClr w14:val="tx1"/>
            </w14:solidFill>
          </w14:textFill>
        </w:rPr>
        <w:t>市国资委作为森林院子片区棚户区限价商品房项目购房补差</w:t>
      </w:r>
      <w:r>
        <w:rPr>
          <w:rFonts w:hint="eastAsia" w:hAnsi="仿宋_GB2312" w:cs="仿宋_GB2312"/>
          <w:b w:val="0"/>
          <w:color w:val="auto"/>
          <w:kern w:val="0"/>
          <w:sz w:val="32"/>
          <w:szCs w:val="32"/>
          <w:shd w:val="clear" w:color="auto" w:fill="FFFFFF"/>
        </w:rPr>
        <w:t>主管部门，在项目建设过程中，积极督导项目承建单位广元市文化旅游投资集团有限公司进行各项工作，积极协调建设工作中资金及补差相关事宜。</w:t>
      </w:r>
    </w:p>
    <w:p>
      <w:pPr>
        <w:snapToGrid w:val="0"/>
        <w:spacing w:line="576" w:lineRule="exact"/>
        <w:ind w:firstLine="640" w:firstLineChars="200"/>
        <w:rPr>
          <w:rFonts w:ascii="仿宋_GB2312" w:hAnsi="宋体"/>
        </w:rPr>
      </w:pPr>
      <w:r>
        <w:rPr>
          <w:rFonts w:hint="eastAsia" w:ascii="仿宋_GB2312" w:hAnsi="宋体"/>
          <w:szCs w:val="32"/>
        </w:rPr>
        <w:t>该笔支出属于黑石坡前期土地出让金返还款，该属于公共财政支持范围，筹资渠道符合法律法规规定，筹资结构合理，资金来源渠道明确，同时制定实施方案或计划，组织机构健全，职责分工明确，有具体的实施时间，有明确的工作程序，基础设施条件能够有效保障，具有相应的质量检查、验收等必要的控制措施或手段，有针对突发事件或未知风险的应急措施等。</w:t>
      </w:r>
    </w:p>
    <w:p>
      <w:pPr>
        <w:spacing w:line="560" w:lineRule="exact"/>
        <w:ind w:firstLine="640" w:firstLineChars="200"/>
        <w:rPr>
          <w:rFonts w:ascii="仿宋" w:hAnsi="仿宋" w:eastAsia="仿宋" w:cs="仿宋"/>
        </w:rPr>
      </w:pPr>
      <w:r>
        <w:rPr>
          <w:rFonts w:hint="eastAsia" w:ascii="仿宋" w:hAnsi="仿宋" w:eastAsia="仿宋" w:cs="仿宋"/>
          <w:szCs w:val="32"/>
        </w:rPr>
        <w:t>森林院子片区棚户区限价商品房项目购房补差严格按照《中华人民共和国建筑法》、制定和完善了《广元市文化旅游集团有限公司工程款拨付制度》，制度中明确了资金拨付等一系列管理职责。</w:t>
      </w:r>
    </w:p>
    <w:p>
      <w:pPr>
        <w:pStyle w:val="15"/>
        <w:ind w:left="0" w:leftChars="0" w:firstLine="640"/>
        <w:rPr>
          <w:lang w:val="zh-CN"/>
        </w:rPr>
      </w:pPr>
      <w:r>
        <w:rPr>
          <w:rFonts w:hint="eastAsia"/>
          <w:lang w:val="zh-CN"/>
        </w:rPr>
        <w:t>项目资金的分配始终坚持一个原则：全力保证工程项目顺利推进，确保资金公平合理地分配到项目建设的各个环节，提升项目质量和资金使用效益，实现资金落到实处，强化执行过程监督。</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lang w:val="zh-CN"/>
        </w:rPr>
        <w:t>1．项目主要内容</w:t>
      </w:r>
    </w:p>
    <w:p>
      <w:pPr>
        <w:spacing w:line="576" w:lineRule="exact"/>
        <w:ind w:firstLine="640" w:firstLineChars="200"/>
        <w:textAlignment w:val="baseline"/>
        <w:rPr>
          <w:lang w:val="zh-CN"/>
        </w:rPr>
      </w:pPr>
      <w:r>
        <w:rPr>
          <w:rFonts w:hint="eastAsia" w:ascii="仿宋_GB2312" w:hAnsi="仿宋_GB2312" w:cs="仿宋_GB2312"/>
          <w:szCs w:val="32"/>
        </w:rPr>
        <w:t>全面推动黑石坡森林康养旅游度假区项目建设，加快度假区重点项目拆迁安置工作，经八届市人民政府第12次常务会议定“同意按照1000元/㎡的标准，解决黑石坡森林康养旅游度假区拆迁安置人员所选购森林院子限价商品房的购房补差补助资金3465万元”。截止目前森林院子限价商品房已安置353套住房，建筑面积31885.8㎡，政策范围内应补差补助面积30125.32㎡，合计应拨付购房补差补助资金3012.5320万元。</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8" w:lineRule="exact"/>
        <w:ind w:firstLine="620" w:firstLineChars="200"/>
        <w:contextualSpacing/>
        <w:rPr>
          <w:rFonts w:ascii="仿宋_GB2312" w:hAnsi="仿宋_GB2312" w:cs="仿宋_GB2312"/>
          <w:kern w:val="0"/>
          <w:shd w:val="clear" w:color="auto" w:fill="FFFFFF"/>
          <w:lang w:val="zh-CN"/>
        </w:rPr>
      </w:pPr>
      <w:r>
        <w:rPr>
          <w:rFonts w:hint="eastAsia" w:ascii="仿宋_GB2312" w:hAnsi="宋体" w:cs="仿宋_GB2312"/>
          <w:color w:val="000000"/>
          <w:kern w:val="0"/>
          <w:sz w:val="31"/>
          <w:szCs w:val="31"/>
          <w:lang w:bidi="ar"/>
        </w:rPr>
        <w:t>黑石坡棚户区改造工作是保障项目建设的供地，提升整体景区形象的必然要求。本项目森林院子片区棚户区限价商品房项目既是改善棚户区群众居住条件和完善城市基础设施配套的要求，更是保障由于景区建设而拆迁的农户基本的住房需求，项目建成后主要用于解决森林院子片区、徐家桃园片区、中央森林康养大道三处地块征地拆迁安置问题。该</w:t>
      </w:r>
      <w:r>
        <w:rPr>
          <w:rFonts w:ascii="仿宋_GB2312" w:hAnsi="宋体" w:cs="仿宋_GB2312"/>
          <w:color w:val="000000"/>
          <w:kern w:val="0"/>
          <w:sz w:val="31"/>
          <w:szCs w:val="31"/>
          <w:lang w:bidi="ar"/>
        </w:rPr>
        <w:t xml:space="preserve">项目规划用地 21.36 亩，新建限价商品房约54700平方米， </w:t>
      </w:r>
      <w:r>
        <w:rPr>
          <w:rFonts w:hint="eastAsia" w:ascii="仿宋_GB2312" w:hAnsi="宋体" w:cs="仿宋_GB2312"/>
          <w:color w:val="000000"/>
          <w:kern w:val="0"/>
          <w:sz w:val="31"/>
          <w:szCs w:val="31"/>
          <w:lang w:bidi="ar"/>
        </w:rPr>
        <w:t>包含住宅、商业等内容。</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spacing w:line="576" w:lineRule="exact"/>
        <w:ind w:firstLine="640" w:firstLineChars="200"/>
        <w:jc w:val="left"/>
        <w:rPr>
          <w:rFonts w:ascii="仿宋_GB2312" w:hAnsi="仿宋_GB2312" w:cs="仿宋_GB2312"/>
          <w:kern w:val="0"/>
          <w:shd w:val="clear" w:color="auto" w:fill="FFFFFF"/>
          <w:lang w:val="zh-CN"/>
        </w:rPr>
      </w:pPr>
      <w:r>
        <w:rPr>
          <w:rFonts w:hint="eastAsia" w:ascii="仿宋_GB2312" w:hAnsi="仿宋_GB2312" w:cs="仿宋_GB2312"/>
          <w:szCs w:val="32"/>
          <w:lang w:val="zh-CN"/>
        </w:rPr>
        <w:t>该项目严格按照计划及时间节点全面完成。在完成过程中质量、时效、成本均得到有效控制，</w:t>
      </w:r>
      <w:r>
        <w:rPr>
          <w:rFonts w:hint="eastAsia" w:ascii="仿宋_GB2312" w:hAnsi="仿宋_GB2312" w:cs="仿宋_GB2312"/>
          <w:szCs w:val="32"/>
        </w:rPr>
        <w:t>项目资金与预算相符，无违法违规记录</w:t>
      </w:r>
      <w:r>
        <w:rPr>
          <w:rFonts w:hint="eastAsia" w:ascii="仿宋_GB2312" w:hAnsi="仿宋_GB2312" w:cs="仿宋_GB2312"/>
          <w:szCs w:val="32"/>
          <w:lang w:val="zh-CN"/>
        </w:rPr>
        <w:t>等情况，截止评价时点项目已全部完成了任务量，经相关部门检测项目质量全部达标。</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（三）项目自评步骤及方法。</w:t>
      </w:r>
    </w:p>
    <w:p>
      <w:pPr>
        <w:pStyle w:val="42"/>
        <w:spacing w:before="93"/>
        <w:rPr>
          <w:rFonts w:hAnsi="仿宋_GB2312" w:cs="仿宋_GB2312"/>
          <w:b w:val="0"/>
          <w:color w:val="auto"/>
          <w:sz w:val="32"/>
          <w:szCs w:val="32"/>
          <w:lang w:val="zh-CN"/>
        </w:rPr>
      </w:pPr>
      <w:r>
        <w:rPr>
          <w:rFonts w:hint="eastAsia" w:hAnsi="仿宋_GB2312" w:cs="仿宋_GB2312"/>
          <w:b w:val="0"/>
          <w:color w:val="auto"/>
          <w:sz w:val="32"/>
          <w:szCs w:val="32"/>
          <w:lang w:val="zh-CN"/>
        </w:rPr>
        <w:t>项目绩效自评</w:t>
      </w:r>
      <w:r>
        <w:rPr>
          <w:rFonts w:hint="eastAsia" w:hAnsi="仿宋_GB2312" w:cs="仿宋_GB2312"/>
          <w:b w:val="0"/>
          <w:color w:val="auto"/>
          <w:sz w:val="32"/>
          <w:szCs w:val="32"/>
        </w:rPr>
        <w:t>首先由广元市文化旅游投资集团有限公司项目管理部员工和财务人员共同草拟自评报告，报分管领导审核、报送至项目主管单位（市国资委）。</w:t>
      </w:r>
    </w:p>
    <w:p>
      <w:pPr>
        <w:adjustRightInd w:val="0"/>
        <w:snapToGrid w:val="0"/>
        <w:spacing w:line="578" w:lineRule="exact"/>
        <w:ind w:firstLine="640" w:firstLineChars="200"/>
        <w:rPr>
          <w:rFonts w:ascii="黑体" w:hAnsi="宋体" w:eastAsia="黑体"/>
        </w:rPr>
      </w:pPr>
      <w:r>
        <w:rPr>
          <w:rFonts w:hint="eastAsia" w:ascii="黑体" w:hAnsi="宋体" w:eastAsia="黑体"/>
          <w:szCs w:val="32"/>
        </w:rPr>
        <w:t>二、项目资金申报及使用情况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（一）项目资金申报及批复情况。</w:t>
      </w:r>
    </w:p>
    <w:p>
      <w:pPr>
        <w:spacing w:line="576" w:lineRule="exact"/>
        <w:ind w:firstLine="640" w:firstLineChars="200"/>
        <w:jc w:val="left"/>
        <w:rPr>
          <w:rFonts w:hAnsi="仿宋_GB2312" w:cs="仿宋_GB2312"/>
        </w:rPr>
      </w:pPr>
      <w:r>
        <w:rPr>
          <w:rFonts w:hint="eastAsia" w:ascii="仿宋_GB2312" w:hAnsi="仿宋_GB2312" w:cs="仿宋_GB2312"/>
          <w:szCs w:val="32"/>
        </w:rPr>
        <w:t>2022年3月22日，我公司向</w:t>
      </w:r>
      <w:r>
        <w:rPr>
          <w:rFonts w:hint="eastAsia" w:ascii="仿宋_GB2312" w:hAnsi="仿宋_GB2312" w:cs="仿宋_GB2312"/>
          <w:szCs w:val="32"/>
          <w:lang w:val="zh-CN"/>
        </w:rPr>
        <w:t>广元市政府国有资产监督管理委员会</w:t>
      </w:r>
      <w:r>
        <w:rPr>
          <w:rFonts w:hint="eastAsia" w:ascii="仿宋_GB2312" w:hAnsi="仿宋_GB2312" w:cs="仿宋_GB2312"/>
          <w:szCs w:val="32"/>
        </w:rPr>
        <w:t>提交《广元市文化旅游投资集团有限公司关于协调拨付黑石坡森林康养旅游度假区拆迁安置人员购房补差补助资金的请示》（</w:t>
      </w:r>
      <w:r>
        <w:rPr>
          <w:rFonts w:hint="eastAsia" w:ascii="仿宋_GB2312"/>
          <w:szCs w:val="32"/>
        </w:rPr>
        <w:t>广文旅司</w:t>
      </w:r>
      <w:r>
        <w:rPr>
          <w:rFonts w:hint="eastAsia" w:ascii="仿宋_GB2312" w:hAnsi="仿宋_GB2312" w:cs="仿宋_GB2312"/>
          <w:szCs w:val="32"/>
        </w:rPr>
        <w:t>〔</w:t>
      </w:r>
      <w:r>
        <w:rPr>
          <w:rFonts w:hint="eastAsia" w:ascii="仿宋_GB2312"/>
          <w:szCs w:val="32"/>
        </w:rPr>
        <w:t>2022〕31号</w:t>
      </w:r>
      <w:r>
        <w:rPr>
          <w:rFonts w:hint="eastAsia" w:hAnsi="仿宋_GB2312" w:cs="仿宋_GB2312"/>
          <w:szCs w:val="32"/>
        </w:rPr>
        <w:t>），申请资金</w:t>
      </w:r>
      <w:r>
        <w:rPr>
          <w:rFonts w:hint="eastAsia" w:ascii="仿宋_GB2312" w:hAnsi="仿宋_GB2312" w:cs="仿宋_GB2312"/>
          <w:szCs w:val="32"/>
        </w:rPr>
        <w:t>3012.532</w:t>
      </w:r>
      <w:r>
        <w:rPr>
          <w:rFonts w:hint="eastAsia" w:hAnsi="仿宋_GB2312" w:cs="仿宋_GB2312"/>
          <w:szCs w:val="32"/>
        </w:rPr>
        <w:t>万元。2022年4月13日，市财政局下达了《广元市财政局关于下达基金指标的通知》（广财投（2022）35号），</w:t>
      </w:r>
      <w:r>
        <w:rPr>
          <w:rFonts w:hint="eastAsia" w:ascii="仿宋_GB2312" w:hAnsi="仿宋_GB2312" w:cs="仿宋_GB2312"/>
          <w:szCs w:val="32"/>
        </w:rPr>
        <w:t>拨付黑石坡森林康养旅游度假区拆迁安置人员购房补差补助资金</w:t>
      </w:r>
      <w:r>
        <w:rPr>
          <w:rFonts w:hint="eastAsia" w:hAnsi="仿宋_GB2312" w:cs="仿宋_GB2312"/>
          <w:szCs w:val="32"/>
        </w:rPr>
        <w:t>3012.532万元。</w:t>
      </w:r>
    </w:p>
    <w:p>
      <w:pPr>
        <w:adjustRightInd w:val="0"/>
        <w:snapToGrid w:val="0"/>
        <w:spacing w:line="578" w:lineRule="exact"/>
        <w:ind w:firstLine="320" w:firstLineChars="100"/>
        <w:rPr>
          <w:rFonts w:ascii="仿宋_GB2312" w:hAnsi="宋体"/>
          <w:highlight w:val="yellow"/>
          <w:lang w:val="zh-CN"/>
        </w:rPr>
      </w:pPr>
      <w:r>
        <w:rPr>
          <w:rFonts w:hint="eastAsia" w:ascii="楷体_GB2312" w:hAnsi="宋体" w:eastAsia="楷体_GB231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lang w:val="zh-CN"/>
        </w:rPr>
        <w:t>资金计划：</w:t>
      </w:r>
      <w:r>
        <w:rPr>
          <w:rFonts w:hint="eastAsia" w:hAnsi="仿宋_GB2312" w:cs="仿宋_GB2312"/>
          <w:szCs w:val="32"/>
        </w:rPr>
        <w:t>黑石坡森林康养旅游度假区拆迁安置人员购房补差补助资金计划为3012.532万元。</w:t>
      </w:r>
    </w:p>
    <w:p>
      <w:pPr>
        <w:adjustRightInd w:val="0"/>
        <w:snapToGrid w:val="0"/>
        <w:spacing w:line="578" w:lineRule="exact"/>
        <w:ind w:firstLine="640" w:firstLineChars="200"/>
        <w:contextualSpacing/>
        <w:rPr>
          <w:rFonts w:hAnsi="仿宋_GB2312" w:cs="仿宋_GB2312"/>
          <w:szCs w:val="32"/>
        </w:rPr>
      </w:pPr>
      <w:r>
        <w:rPr>
          <w:rFonts w:hint="eastAsia" w:ascii="仿宋_GB2312" w:hAnsi="仿宋_GB2312" w:cs="仿宋_GB2312"/>
          <w:szCs w:val="32"/>
          <w:lang w:val="zh-CN"/>
        </w:rPr>
        <w:t>资金到位：</w:t>
      </w:r>
      <w:r>
        <w:rPr>
          <w:rFonts w:hint="eastAsia" w:hAnsi="宋体"/>
          <w:szCs w:val="32"/>
        </w:rPr>
        <w:t>2022年度合计解决</w:t>
      </w:r>
      <w:r>
        <w:rPr>
          <w:rFonts w:hint="eastAsia" w:hAnsi="仿宋_GB2312" w:cs="仿宋_GB2312"/>
          <w:szCs w:val="32"/>
        </w:rPr>
        <w:t>黑石坡森林康养旅游度假区拆迁安置人员购房补差补助资金计划为3012.532万元。</w:t>
      </w:r>
    </w:p>
    <w:p>
      <w:pPr>
        <w:adjustRightInd w:val="0"/>
        <w:snapToGrid w:val="0"/>
        <w:spacing w:line="578" w:lineRule="exact"/>
        <w:ind w:firstLine="640" w:firstLineChars="200"/>
        <w:contextualSpacing/>
      </w:pPr>
      <w:r>
        <w:rPr>
          <w:rFonts w:hint="eastAsia" w:ascii="仿宋_GB2312" w:hAnsi="仿宋_GB2312" w:cs="仿宋_GB2312"/>
          <w:szCs w:val="32"/>
          <w:lang w:val="zh-CN"/>
        </w:rPr>
        <w:t>资金情况：</w:t>
      </w:r>
      <w:r>
        <w:rPr>
          <w:rFonts w:hint="eastAsia" w:hAnsi="宋体"/>
          <w:szCs w:val="32"/>
        </w:rPr>
        <w:t>2022年度按时按质支付</w:t>
      </w:r>
      <w:r>
        <w:rPr>
          <w:rFonts w:hint="eastAsia" w:hAnsi="仿宋_GB2312" w:cs="仿宋_GB2312"/>
          <w:szCs w:val="32"/>
        </w:rPr>
        <w:t>黑石坡森林康养旅游度假区拆迁安置人员购房补差补助资金。</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（三）项目财务管理情况。</w:t>
      </w:r>
    </w:p>
    <w:p>
      <w:pPr>
        <w:pStyle w:val="15"/>
        <w:ind w:left="0" w:leftChars="0" w:firstLine="640"/>
        <w:rPr>
          <w:rFonts w:hAnsi="仿宋_GB2312" w:cs="仿宋_GB2312"/>
          <w:color w:val="FF0000"/>
          <w:kern w:val="0"/>
          <w:shd w:val="clear" w:color="auto" w:fill="FFFFFF"/>
          <w:lang w:val="zh-CN"/>
        </w:rPr>
      </w:pPr>
      <w:r>
        <w:rPr>
          <w:rFonts w:hint="eastAsia" w:hAnsi="仿宋_GB2312" w:cs="仿宋_GB2312"/>
          <w:lang w:val="zh-CN"/>
        </w:rPr>
        <w:t>该项目财务管理制度健全，账务处理及时，</w:t>
      </w:r>
      <w:r>
        <w:rPr>
          <w:rFonts w:hint="eastAsia" w:hAnsi="宋体"/>
        </w:rPr>
        <w:t>会计核算严格，</w:t>
      </w:r>
      <w:r>
        <w:rPr>
          <w:rFonts w:hint="eastAsia"/>
          <w:lang w:val="zh-CN"/>
        </w:rPr>
        <w:t>项目资金管理和使用坚持科学安排、合理配置、严格落实监管原则。</w:t>
      </w:r>
    </w:p>
    <w:p>
      <w:pPr>
        <w:adjustRightInd w:val="0"/>
        <w:snapToGrid w:val="0"/>
        <w:spacing w:line="578" w:lineRule="exact"/>
        <w:ind w:firstLine="640" w:firstLineChars="200"/>
        <w:rPr>
          <w:rFonts w:ascii="仿宋_GB2312" w:hAnsi="宋体"/>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（一）项目完成情况。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rPr>
        <w:t>分项目类别对应项目安排时确定的绩效目标完成情况进行分析，</w:t>
      </w:r>
      <w:r>
        <w:rPr>
          <w:rFonts w:hint="eastAsia" w:ascii="仿宋_GB2312" w:hAnsi="仿宋_GB2312" w:cs="仿宋_GB2312"/>
          <w:kern w:val="0"/>
          <w:szCs w:val="32"/>
          <w:shd w:val="clear" w:color="auto" w:fill="FFFFFF"/>
          <w:lang w:val="zh-CN"/>
        </w:rPr>
        <w:t>包括项目完成数量、质量、时效、成本等情况，资金结余情况，违规记录等，对照项目计划完成目标对截止评价时点的任务量完成、质量标准、进度计划、成本控制目标的实现程度进行评价，并进行分析说明。</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（二）项目效益情况。</w:t>
      </w:r>
    </w:p>
    <w:p>
      <w:pPr>
        <w:adjustRightInd w:val="0"/>
        <w:snapToGrid w:val="0"/>
        <w:spacing w:line="578" w:lineRule="exact"/>
        <w:ind w:firstLine="620" w:firstLineChars="200"/>
        <w:contextualSpacing/>
        <w:rPr>
          <w:rFonts w:ascii="仿宋_GB2312" w:hAnsi="仿宋_GB2312" w:cs="仿宋_GB2312"/>
          <w:kern w:val="0"/>
          <w:shd w:val="clear" w:color="auto" w:fill="FFFFFF"/>
          <w:lang w:val="zh-CN"/>
        </w:rPr>
      </w:pPr>
      <w:r>
        <w:rPr>
          <w:rFonts w:ascii="仿宋_GB2312" w:hAnsi="宋体" w:cs="仿宋_GB2312"/>
          <w:color w:val="000000"/>
          <w:kern w:val="0"/>
          <w:sz w:val="31"/>
          <w:szCs w:val="31"/>
          <w:lang w:bidi="ar"/>
        </w:rPr>
        <w:t>森林院子片区棚户区限价商品房项目建设是解决广元市森</w:t>
      </w:r>
      <w:r>
        <w:rPr>
          <w:rFonts w:hint="eastAsia" w:ascii="仿宋_GB2312" w:hAnsi="宋体" w:cs="仿宋_GB2312"/>
          <w:color w:val="000000"/>
          <w:kern w:val="0"/>
          <w:sz w:val="31"/>
          <w:szCs w:val="31"/>
          <w:lang w:bidi="ar"/>
        </w:rPr>
        <w:t>林院子片区棚户区当地居民住房条件的迫切需要，同时也是改善城区环境，提升城市形象的迫切需要。有利于广元市的城区规划发展，提升土地利用价值，腾出空余土地招商引资，促进广元经济的长远发展</w:t>
      </w:r>
      <w:r>
        <w:rPr>
          <w:rFonts w:hint="eastAsia" w:ascii="仿宋_GB2312" w:hAnsi="仿宋_GB2312" w:cs="仿宋_GB2312"/>
          <w:kern w:val="0"/>
          <w:szCs w:val="32"/>
          <w:shd w:val="clear" w:color="auto" w:fill="FFFFFF"/>
          <w:lang w:val="zh-CN"/>
        </w:rPr>
        <w:t>。</w:t>
      </w:r>
    </w:p>
    <w:p>
      <w:pPr>
        <w:adjustRightInd w:val="0"/>
        <w:snapToGrid w:val="0"/>
        <w:spacing w:line="578" w:lineRule="exact"/>
        <w:ind w:firstLine="640" w:firstLineChars="200"/>
        <w:rPr>
          <w:rFonts w:ascii="黑体" w:hAnsi="宋体" w:eastAsia="黑体"/>
        </w:rPr>
      </w:pPr>
      <w:r>
        <w:rPr>
          <w:rFonts w:hint="eastAsia" w:ascii="黑体" w:hAnsi="宋体" w:eastAsia="黑体"/>
          <w:szCs w:val="32"/>
        </w:rPr>
        <w:t>五、评价结论及建议</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（一）评价结论。</w:t>
      </w:r>
    </w:p>
    <w:p>
      <w:pPr>
        <w:pStyle w:val="42"/>
        <w:spacing w:before="93"/>
        <w:rPr>
          <w:rFonts w:hAnsi="仿宋_GB2312" w:cs="仿宋_GB2312"/>
          <w:b w:val="0"/>
          <w:color w:val="auto"/>
          <w:sz w:val="32"/>
          <w:szCs w:val="32"/>
          <w:lang w:val="zh-CN"/>
        </w:rPr>
      </w:pPr>
      <w:r>
        <w:rPr>
          <w:rFonts w:hint="eastAsia" w:hAnsi="仿宋_GB2312" w:cs="仿宋_GB2312"/>
          <w:b w:val="0"/>
          <w:color w:val="auto"/>
          <w:sz w:val="32"/>
          <w:szCs w:val="32"/>
        </w:rPr>
        <w:t>森林院子片区棚户区限价商品房项目购房补差</w:t>
      </w:r>
      <w:r>
        <w:rPr>
          <w:rFonts w:hint="eastAsia" w:hAnsi="仿宋_GB2312" w:cs="仿宋_GB2312"/>
          <w:b w:val="0"/>
          <w:color w:val="auto"/>
          <w:sz w:val="32"/>
          <w:szCs w:val="32"/>
          <w:lang w:val="zh-CN"/>
        </w:rPr>
        <w:t>、施工管理以及项目审计等方面均未出现各类违法违规问题。</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锦粼逸园保障性住房项目</w:t>
      </w:r>
      <w:r>
        <w:rPr>
          <w:rFonts w:hint="eastAsia" w:ascii="仿宋_GB2312"/>
          <w:sz w:val="32"/>
          <w:szCs w:val="32"/>
        </w:rPr>
        <w:t>）</w:t>
      </w:r>
    </w:p>
    <w:p>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（一）项目基本情况。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锦粼逸园保障性住房项目业主为广元市房地产经营有限公司，业主主管部门为市国资委，监督项目建设是否按计划进度安全有序推进等。</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hAnsi="仿宋_GB2312" w:cs="仿宋_GB2312"/>
          <w:bCs/>
          <w:szCs w:val="32"/>
        </w:rPr>
        <w:t>项目于2014年11月17日取得《关于锦粼逸园保障性住房</w:t>
      </w:r>
      <w:r>
        <w:rPr>
          <w:rFonts w:hint="eastAsia" w:hAnsi="仿宋_GB2312" w:cs="仿宋_GB2312"/>
          <w:szCs w:val="32"/>
        </w:rPr>
        <w:t>项目可行性研究报告的复函》（广发改函</w:t>
      </w:r>
      <w:r>
        <w:rPr>
          <w:rFonts w:hint="eastAsia" w:ascii="仿宋_GB2312" w:hAnsi="仿宋_GB2312" w:cs="仿宋_GB2312"/>
          <w:kern w:val="0"/>
          <w:shd w:val="clear" w:color="auto" w:fill="FFFFFF"/>
        </w:rPr>
        <w:t>〔2014〕</w:t>
      </w:r>
      <w:r>
        <w:rPr>
          <w:rFonts w:hint="eastAsia" w:hAnsi="仿宋_GB2312" w:cs="仿宋_GB2312"/>
          <w:szCs w:val="32"/>
        </w:rPr>
        <w:t>220号），复函明确资金来源为财政预算资金及其他，</w:t>
      </w:r>
      <w:r>
        <w:rPr>
          <w:rFonts w:hint="eastAsia" w:ascii="仿宋_GB2312" w:hAnsi="仿宋_GB2312" w:cs="仿宋_GB2312"/>
          <w:kern w:val="0"/>
          <w:shd w:val="clear" w:color="auto" w:fill="FFFFFF"/>
        </w:rPr>
        <w:t>资金申报依据为2022年财政预算资金计划</w:t>
      </w:r>
      <w:r>
        <w:rPr>
          <w:rFonts w:hint="eastAsia" w:hAnsi="仿宋_GB2312" w:cs="仿宋_GB2312"/>
          <w:szCs w:val="32"/>
        </w:rPr>
        <w:t>。</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项目管理办法制定由锦粼逸园项目部制定相应的项目管理制度，严格项目收支管理。</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项目资金的分配按项目法分配，以所有项目点实施完成情况与规划计划情况进行对比。</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（二）项目绩效目标。</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kern w:val="0"/>
          <w:szCs w:val="32"/>
          <w:shd w:val="clear" w:color="auto" w:fill="FFFFFF"/>
        </w:rPr>
        <w:t>1.</w:t>
      </w:r>
      <w:r>
        <w:rPr>
          <w:rFonts w:hint="eastAsia" w:ascii="仿宋_GB2312" w:hAnsi="仿宋_GB2312" w:cs="仿宋_GB2312"/>
          <w:kern w:val="0"/>
          <w:szCs w:val="32"/>
          <w:shd w:val="clear" w:color="auto" w:fill="FFFFFF"/>
          <w:lang w:val="zh-CN"/>
        </w:rPr>
        <w:t>项目主要内容</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完成698套保障性住房建设和相关配套设施。</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该项目</w:t>
      </w:r>
      <w:r>
        <w:rPr>
          <w:rFonts w:hint="eastAsia" w:ascii="仿宋_GB2312" w:hAnsi="仿宋_GB2312" w:cs="仿宋_GB2312"/>
          <w:kern w:val="0"/>
          <w:shd w:val="clear" w:color="auto" w:fill="FFFFFF"/>
          <w:lang w:val="zh-CN"/>
        </w:rPr>
        <w:t>已于2019年9月10日完成竣工验收，2021年完成工程结算审计，完成尾款支付。</w:t>
      </w:r>
    </w:p>
    <w:p>
      <w:pPr>
        <w:pStyle w:val="42"/>
        <w:spacing w:before="93"/>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adjustRightInd w:val="0"/>
        <w:snapToGrid w:val="0"/>
        <w:spacing w:line="578" w:lineRule="exact"/>
        <w:ind w:firstLine="640" w:firstLineChars="200"/>
        <w:contextualSpacing/>
        <w:rPr>
          <w:rFonts w:ascii="仿宋_GB2312" w:hAnsi="仿宋_GB2312" w:cs="仿宋_GB2312"/>
          <w:lang w:val="zh-CN"/>
        </w:rPr>
      </w:pPr>
      <w:r>
        <w:rPr>
          <w:rFonts w:hint="eastAsia" w:ascii="仿宋_GB2312" w:hAnsi="仿宋_GB2312" w:cs="仿宋_GB2312"/>
          <w:kern w:val="0"/>
          <w:shd w:val="clear" w:color="auto" w:fill="FFFFFF"/>
          <w:lang w:val="zh-CN"/>
        </w:rPr>
        <w:t>截止2022年年底，</w:t>
      </w:r>
      <w:r>
        <w:rPr>
          <w:rFonts w:hint="eastAsia" w:ascii="仿宋_GB2312" w:hAnsi="仿宋_GB2312" w:cs="仿宋_GB2312"/>
          <w:kern w:val="0"/>
          <w:shd w:val="clear" w:color="auto" w:fill="FFFFFF"/>
        </w:rPr>
        <w:t>锦粼逸园项目已投资2.43亿元，其中财政拨款20501万元，其余资金为我公司垫支，我公司根据2022年财政预算资金安排，在预算范围内申请，根据我公司垫支的工程款凭据据实申报。</w:t>
      </w:r>
      <w:r>
        <w:rPr>
          <w:rFonts w:hint="eastAsia" w:ascii="仿宋_GB2312" w:hAnsi="仿宋_GB2312" w:cs="仿宋_GB2312"/>
          <w:szCs w:val="32"/>
          <w:lang w:val="zh-CN"/>
        </w:rPr>
        <w:t>资金申报内容与具体实施内容相符、申报目标合理可行。</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第一步根据申报目标，以广财绩</w:t>
      </w:r>
      <w:r>
        <w:rPr>
          <w:rFonts w:hint="eastAsia" w:ascii="仿宋_GB2312" w:hAnsi="仿宋_GB2312" w:cs="仿宋_GB2312"/>
          <w:kern w:val="0"/>
          <w:shd w:val="clear" w:color="auto" w:fill="FFFFFF"/>
        </w:rPr>
        <w:t>〔2023〕5号文为指导</w:t>
      </w:r>
      <w:r>
        <w:rPr>
          <w:rFonts w:hint="eastAsia" w:ascii="仿宋_GB2312" w:hAnsi="仿宋_GB2312" w:cs="仿宋_GB2312"/>
          <w:kern w:val="0"/>
          <w:shd w:val="clear" w:color="auto" w:fill="FFFFFF"/>
          <w:lang w:val="zh-CN"/>
        </w:rPr>
        <w:t>，填报2023年市级专项资金预算项目支出绩效评价指标体系自评得分表；第二步填报2023年市级专项资金预算项目支出绩效自评报告；第三步上报主管部门。</w:t>
      </w:r>
    </w:p>
    <w:p>
      <w:pPr>
        <w:adjustRightInd w:val="0"/>
        <w:snapToGrid w:val="0"/>
        <w:spacing w:line="578" w:lineRule="exact"/>
        <w:ind w:firstLine="640" w:firstLineChars="200"/>
        <w:rPr>
          <w:rFonts w:ascii="黑体" w:hAnsi="宋体" w:eastAsia="黑体"/>
        </w:rPr>
      </w:pPr>
      <w:r>
        <w:rPr>
          <w:rFonts w:hint="eastAsia" w:ascii="黑体" w:hAnsi="宋体" w:eastAsia="黑体"/>
        </w:rPr>
        <w:t>二、项目资金申报及使用情况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2021年末，我公司根据锦粼逸园保障性住房建设完成投资情况及资金需求情况，向市国资委报送年度资金需求计划，市财政局根据当年预算安排情况，拟定年度基建项目资金计划，锦粼逸园项目年度计划资金安排1000万元，市财政局于2022年2月下达《关于下达基金指标的通知》广财投</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2022</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11号。</w:t>
      </w:r>
    </w:p>
    <w:p>
      <w:pPr>
        <w:adjustRightInd w:val="0"/>
        <w:snapToGrid w:val="0"/>
        <w:spacing w:line="578" w:lineRule="exact"/>
        <w:ind w:firstLine="640" w:firstLineChars="200"/>
        <w:rPr>
          <w:rFonts w:ascii="仿宋_GB2312" w:hAnsi="宋体"/>
          <w:lang w:val="zh-CN"/>
        </w:rPr>
      </w:pPr>
      <w:r>
        <w:rPr>
          <w:rFonts w:hint="eastAsia" w:ascii="楷体_GB2312" w:hAnsi="宋体" w:eastAsia="楷体_GB2312"/>
          <w:lang w:val="zh-CN"/>
        </w:rPr>
        <w:t>（二）资金计划、到位及使用情况（可用表格形式反映）。</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lang w:val="zh-CN"/>
        </w:rPr>
        <w:t>资金计划：20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年财政预算安排资金</w:t>
      </w:r>
      <w:r>
        <w:rPr>
          <w:rFonts w:hint="eastAsia" w:ascii="仿宋_GB2312" w:hAnsi="仿宋_GB2312" w:cs="仿宋_GB2312"/>
          <w:kern w:val="0"/>
          <w:shd w:val="clear" w:color="auto" w:fill="FFFFFF"/>
        </w:rPr>
        <w:t>1000万元。</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资金到位：20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w:t>
      </w:r>
      <w:r>
        <w:rPr>
          <w:rFonts w:hint="eastAsia" w:ascii="仿宋_GB2312" w:hAnsi="仿宋_GB2312" w:cs="仿宋_GB2312"/>
          <w:kern w:val="0"/>
          <w:shd w:val="clear" w:color="auto" w:fill="FFFFFF"/>
        </w:rPr>
        <w:t>3</w:t>
      </w:r>
      <w:r>
        <w:rPr>
          <w:rFonts w:hint="eastAsia" w:ascii="仿宋_GB2312" w:hAnsi="仿宋_GB2312" w:cs="仿宋_GB2312"/>
          <w:kern w:val="0"/>
          <w:shd w:val="clear" w:color="auto" w:fill="FFFFFF"/>
          <w:lang w:val="zh-CN"/>
        </w:rPr>
        <w:t>月财政拨付项目建设涉及的资金</w:t>
      </w:r>
      <w:r>
        <w:rPr>
          <w:rFonts w:hint="eastAsia" w:ascii="仿宋_GB2312" w:hAnsi="仿宋_GB2312" w:cs="仿宋_GB2312"/>
          <w:kern w:val="0"/>
          <w:shd w:val="clear" w:color="auto" w:fill="FFFFFF"/>
        </w:rPr>
        <w:t>1000</w:t>
      </w:r>
      <w:r>
        <w:rPr>
          <w:rFonts w:hint="eastAsia" w:ascii="仿宋_GB2312" w:hAnsi="仿宋_GB2312" w:cs="仿宋_GB2312"/>
          <w:kern w:val="0"/>
          <w:shd w:val="clear" w:color="auto" w:fill="FFFFFF"/>
          <w:lang w:val="zh-CN"/>
        </w:rPr>
        <w:t>万元。</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资金使用：我司对纳入财政基建</w:t>
      </w:r>
      <w:r>
        <w:rPr>
          <w:rFonts w:hint="eastAsia" w:ascii="仿宋_GB2312" w:hAnsi="仿宋_GB2312" w:cs="仿宋_GB2312"/>
          <w:kern w:val="0"/>
          <w:shd w:val="clear" w:color="auto" w:fill="FFFFFF"/>
        </w:rPr>
        <w:t>计划</w:t>
      </w:r>
      <w:r>
        <w:rPr>
          <w:rFonts w:hint="eastAsia" w:ascii="仿宋_GB2312" w:hAnsi="仿宋_GB2312" w:cs="仿宋_GB2312"/>
          <w:kern w:val="0"/>
          <w:shd w:val="clear" w:color="auto" w:fill="FFFFFF"/>
          <w:lang w:val="zh-CN"/>
        </w:rPr>
        <w:t>的项目</w:t>
      </w:r>
      <w:r>
        <w:rPr>
          <w:rFonts w:hint="eastAsia" w:ascii="仿宋_GB2312" w:hAnsi="仿宋_GB2312" w:cs="仿宋_GB2312"/>
          <w:kern w:val="0"/>
          <w:shd w:val="clear" w:color="auto" w:fill="FFFFFF"/>
        </w:rPr>
        <w:t>拨付使用</w:t>
      </w:r>
      <w:r>
        <w:rPr>
          <w:rFonts w:hint="eastAsia" w:ascii="仿宋_GB2312" w:hAnsi="仿宋_GB2312" w:cs="仿宋_GB2312"/>
          <w:kern w:val="0"/>
          <w:shd w:val="clear" w:color="auto" w:fill="FFFFFF"/>
          <w:lang w:val="zh-CN"/>
        </w:rPr>
        <w:t>，并按照建设施工合同约定，已全部支付给承接该工程施工的</w:t>
      </w:r>
      <w:r>
        <w:rPr>
          <w:rFonts w:hint="eastAsia" w:ascii="仿宋_GB2312" w:hAnsi="仿宋_GB2312" w:cs="仿宋_GB2312"/>
          <w:kern w:val="0"/>
          <w:shd w:val="clear" w:color="auto" w:fill="FFFFFF"/>
        </w:rPr>
        <w:t>施工单位1000</w:t>
      </w:r>
      <w:r>
        <w:rPr>
          <w:rFonts w:hint="eastAsia" w:ascii="仿宋_GB2312" w:hAnsi="仿宋_GB2312" w:cs="仿宋_GB2312"/>
          <w:kern w:val="0"/>
          <w:shd w:val="clear" w:color="auto" w:fill="FFFFFF"/>
          <w:lang w:val="zh-CN"/>
        </w:rPr>
        <w:t>万元，目前该项目已完工投入使用。</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项目财务管理制度健全，严格执行财务管理制度，账务处理及时，会计核算规范等。</w:t>
      </w:r>
    </w:p>
    <w:p>
      <w:pPr>
        <w:adjustRightInd w:val="0"/>
        <w:snapToGrid w:val="0"/>
        <w:spacing w:line="578" w:lineRule="exact"/>
        <w:ind w:firstLine="640" w:firstLineChars="200"/>
        <w:rPr>
          <w:rFonts w:ascii="黑体" w:hAnsi="宋体" w:eastAsia="黑体"/>
        </w:rPr>
      </w:pPr>
      <w:r>
        <w:rPr>
          <w:rFonts w:hint="eastAsia" w:ascii="黑体" w:hAnsi="宋体" w:eastAsia="黑体"/>
        </w:rPr>
        <w:t>三、项目实施及管理情况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结合项目组织实施管理办法，重点围绕以下内容进行分析评价，并对自评中发现的问题分析说明。</w:t>
      </w:r>
    </w:p>
    <w:p>
      <w:pPr>
        <w:numPr>
          <w:ilvl w:val="0"/>
          <w:numId w:val="14"/>
        </w:num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项目组织架构及实施流程。</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锦粼逸园保障性住房项目成立项目部，根据公司项目工作管理要求，明确职责、建立项目管理体系及制度：张文林任项目负责人，曾进</w:t>
      </w:r>
      <w:r>
        <w:rPr>
          <w:rFonts w:hint="eastAsia" w:ascii="仿宋" w:hAnsi="仿宋" w:eastAsia="仿宋" w:cs="仿宋_GB2312"/>
          <w:kern w:val="0"/>
          <w:shd w:val="clear" w:color="auto" w:fill="FFFFFF"/>
          <w:lang w:val="zh-CN"/>
        </w:rPr>
        <w:t>、赵钦</w:t>
      </w:r>
      <w:r>
        <w:rPr>
          <w:rFonts w:hint="eastAsia" w:ascii="仿宋" w:hAnsi="仿宋" w:eastAsia="仿宋" w:cs="微软雅黑"/>
          <w:kern w:val="0"/>
          <w:shd w:val="clear" w:color="auto" w:fill="FFFFFF"/>
          <w:lang w:val="zh-CN"/>
        </w:rPr>
        <w:t>珮</w:t>
      </w:r>
      <w:r>
        <w:rPr>
          <w:rFonts w:hint="eastAsia" w:ascii="仿宋" w:hAnsi="仿宋" w:eastAsia="仿宋" w:cs="仿宋_GB2312"/>
          <w:kern w:val="0"/>
          <w:shd w:val="clear" w:color="auto" w:fill="FFFFFF"/>
          <w:lang w:val="zh-CN"/>
        </w:rPr>
        <w:t>任</w:t>
      </w:r>
      <w:r>
        <w:rPr>
          <w:rFonts w:hint="eastAsia" w:ascii="仿宋_GB2312" w:hAnsi="仿宋_GB2312" w:cs="仿宋_GB2312"/>
          <w:kern w:val="0"/>
          <w:shd w:val="clear" w:color="auto" w:fill="FFFFFF"/>
          <w:lang w:val="zh-CN"/>
        </w:rPr>
        <w:t>现场管理员，彭露瑶任造价管理员。</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实施流程：严格按照市委市政府指示及法律法规进行，招标代理、勘察设计、施工、监理等均通过公开招标选取。项目相关信息均按照市建设局等主管部门要求，进行了公示</w:t>
      </w:r>
    </w:p>
    <w:p>
      <w:pPr>
        <w:numPr>
          <w:ilvl w:val="0"/>
          <w:numId w:val="14"/>
        </w:num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楷体_GB2312" w:hAnsi="宋体" w:eastAsia="楷体_GB2312"/>
          <w:lang w:val="zh-CN"/>
        </w:rPr>
        <w:t>项目管理情况。</w:t>
      </w:r>
      <w:r>
        <w:rPr>
          <w:rFonts w:hint="eastAsia" w:ascii="仿宋_GB2312" w:hAnsi="仿宋_GB2312" w:cs="仿宋_GB2312"/>
          <w:kern w:val="0"/>
          <w:shd w:val="clear" w:color="auto" w:fill="FFFFFF"/>
        </w:rPr>
        <w:t>在具体进行项目实施过程中，项目公司</w:t>
      </w:r>
      <w:r>
        <w:rPr>
          <w:rFonts w:hint="eastAsia" w:ascii="仿宋_GB2312" w:hAnsi="仿宋_GB2312" w:cs="仿宋_GB2312"/>
          <w:kern w:val="0"/>
          <w:shd w:val="clear" w:color="auto" w:fill="FFFFFF"/>
          <w:lang w:val="zh-CN"/>
        </w:rPr>
        <w:t>严格执行</w:t>
      </w:r>
      <w:r>
        <w:rPr>
          <w:rFonts w:hint="eastAsia" w:ascii="仿宋_GB2312" w:hAnsi="仿宋_GB2312" w:cs="仿宋_GB2312"/>
          <w:kern w:val="0"/>
          <w:shd w:val="clear" w:color="auto" w:fill="FFFFFF"/>
        </w:rPr>
        <w:t>财政部、建设部项目成本和管理</w:t>
      </w:r>
      <w:r>
        <w:rPr>
          <w:rFonts w:hint="eastAsia" w:ascii="仿宋_GB2312" w:hAnsi="仿宋_GB2312" w:cs="仿宋_GB2312"/>
          <w:kern w:val="0"/>
          <w:shd w:val="clear" w:color="auto" w:fill="FFFFFF"/>
          <w:lang w:val="zh-CN"/>
        </w:rPr>
        <w:t>相关法律法规、项目管理</w:t>
      </w:r>
      <w:r>
        <w:rPr>
          <w:rFonts w:hint="eastAsia" w:ascii="仿宋_GB2312" w:hAnsi="仿宋_GB2312" w:cs="仿宋_GB2312"/>
          <w:kern w:val="0"/>
          <w:shd w:val="clear" w:color="auto" w:fill="FFFFFF"/>
        </w:rPr>
        <w:t>建章立</w:t>
      </w:r>
      <w:r>
        <w:rPr>
          <w:rFonts w:hint="eastAsia" w:ascii="仿宋_GB2312" w:hAnsi="仿宋_GB2312" w:cs="仿宋_GB2312"/>
          <w:kern w:val="0"/>
          <w:shd w:val="clear" w:color="auto" w:fill="FFFFFF"/>
          <w:lang w:val="zh-CN"/>
        </w:rPr>
        <w:t>制，</w:t>
      </w:r>
      <w:r>
        <w:rPr>
          <w:rFonts w:hint="eastAsia" w:ascii="仿宋_GB2312" w:hAnsi="仿宋_GB2312" w:cs="仿宋_GB2312"/>
          <w:kern w:val="0"/>
          <w:shd w:val="clear" w:color="auto" w:fill="FFFFFF"/>
        </w:rPr>
        <w:t>各施工工程、勘察设计、监理项目</w:t>
      </w:r>
      <w:r>
        <w:rPr>
          <w:rFonts w:hint="eastAsia" w:ascii="仿宋_GB2312" w:hAnsi="仿宋_GB2312" w:cs="仿宋_GB2312"/>
          <w:kern w:val="0"/>
          <w:shd w:val="clear" w:color="auto" w:fill="FFFFFF"/>
          <w:lang w:val="zh-CN"/>
        </w:rPr>
        <w:t>公开招投标、阳光采购等相关制度，</w:t>
      </w:r>
      <w:r>
        <w:rPr>
          <w:rFonts w:hint="eastAsia" w:ascii="仿宋_GB2312" w:hAnsi="仿宋_GB2312" w:cs="仿宋_GB2312"/>
          <w:kern w:val="0"/>
          <w:shd w:val="clear" w:color="auto" w:fill="FFFFFF"/>
        </w:rPr>
        <w:t>并接受各级监督检查</w:t>
      </w:r>
      <w:r>
        <w:rPr>
          <w:rFonts w:hint="eastAsia" w:ascii="仿宋_GB2312" w:hAnsi="仿宋_GB2312" w:cs="仿宋_GB2312"/>
          <w:kern w:val="0"/>
          <w:shd w:val="clear" w:color="auto" w:fill="FFFFFF"/>
          <w:lang w:val="zh-CN"/>
        </w:rPr>
        <w:t>。</w:t>
      </w:r>
    </w:p>
    <w:p>
      <w:pPr>
        <w:numPr>
          <w:ilvl w:val="0"/>
          <w:numId w:val="14"/>
        </w:num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楷体_GB2312" w:hAnsi="宋体" w:eastAsia="楷体_GB2312"/>
          <w:lang w:val="zh-CN"/>
        </w:rPr>
        <w:t>项目监管情况。</w:t>
      </w:r>
    </w:p>
    <w:p>
      <w:pPr>
        <w:pStyle w:val="15"/>
        <w:ind w:left="0" w:leftChars="0" w:firstLine="640"/>
        <w:rPr>
          <w:rFonts w:hAnsi="仿宋_GB2312" w:cs="仿宋_GB2312"/>
          <w:lang w:val="zh-CN"/>
        </w:rPr>
      </w:pPr>
      <w:r>
        <w:rPr>
          <w:rFonts w:hint="eastAsia" w:hAnsi="仿宋_GB2312" w:cs="仿宋_GB2312"/>
          <w:lang w:val="zh-CN"/>
        </w:rPr>
        <w:t>项目主管部门包括市住建局、市财政局及市国资委。市住建局质安站定期对该项目施工质量及安全措施落实情况进行现场检查；市财政局财评中心对该项目资金使用情况及合同合规性进行过程监督；市国资委投资科对该项目推进情况进行督导。</w:t>
      </w:r>
    </w:p>
    <w:p>
      <w:pPr>
        <w:adjustRightInd w:val="0"/>
        <w:snapToGrid w:val="0"/>
        <w:spacing w:line="578" w:lineRule="exact"/>
        <w:ind w:firstLine="640" w:firstLineChars="200"/>
        <w:rPr>
          <w:rFonts w:ascii="仿宋_GB2312" w:hAnsi="宋体"/>
          <w:lang w:val="zh-CN"/>
        </w:rPr>
      </w:pPr>
      <w:r>
        <w:rPr>
          <w:rFonts w:hint="eastAsia" w:ascii="黑体" w:hAnsi="宋体" w:eastAsia="黑体"/>
        </w:rPr>
        <w:t>四、项目绩效情况</w:t>
      </w:r>
      <w:r>
        <w:rPr>
          <w:rFonts w:hint="eastAsia" w:ascii="仿宋_GB2312" w:hAnsi="宋体"/>
          <w:lang w:val="zh-CN"/>
        </w:rPr>
        <w:tab/>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（一）项目完成情况。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分</w:t>
      </w:r>
      <w:r>
        <w:rPr>
          <w:rFonts w:hint="eastAsia" w:ascii="仿宋_GB2312" w:hAnsi="仿宋_GB2312" w:cs="仿宋_GB2312"/>
          <w:szCs w:val="32"/>
          <w:lang w:val="zh-CN"/>
        </w:rPr>
        <w:t>项目类别对应项目</w:t>
      </w:r>
      <w:r>
        <w:rPr>
          <w:rFonts w:hint="eastAsia" w:ascii="仿宋_GB2312" w:hAnsi="仿宋_GB2312" w:cs="仿宋_GB2312"/>
          <w:kern w:val="0"/>
          <w:shd w:val="clear" w:color="auto" w:fill="FFFFFF"/>
        </w:rPr>
        <w:t>安排时确定的绩效目标完成情况进行分析，</w:t>
      </w:r>
      <w:r>
        <w:rPr>
          <w:rFonts w:hint="eastAsia" w:ascii="仿宋_GB2312" w:hAnsi="仿宋_GB2312" w:cs="仿宋_GB2312"/>
          <w:kern w:val="0"/>
          <w:shd w:val="clear" w:color="auto" w:fill="FFFFFF"/>
          <w:lang w:val="zh-CN"/>
        </w:rPr>
        <w:t>包括项目完成数量、质量、时效、成本等情况，资金结余情况，违规记录等，对照项目计划完成目标对截止评价时点的任务量完成、质量标准、进度计划、成本控制目标的实现程度进行评价，并进行分析说明。</w:t>
      </w:r>
    </w:p>
    <w:p>
      <w:pPr>
        <w:adjustRightInd w:val="0"/>
        <w:snapToGrid w:val="0"/>
        <w:spacing w:line="578" w:lineRule="exact"/>
        <w:ind w:firstLine="640" w:firstLineChars="200"/>
        <w:rPr>
          <w:lang w:val="zh-CN"/>
        </w:rPr>
      </w:pPr>
      <w:r>
        <w:rPr>
          <w:rFonts w:hint="eastAsia" w:ascii="仿宋_GB2312" w:hAnsi="仿宋_GB2312" w:cs="仿宋_GB2312"/>
          <w:kern w:val="0"/>
          <w:shd w:val="clear" w:color="auto" w:fill="FFFFFF"/>
        </w:rPr>
        <w:t>项目严格按照计划及时间节点全面完成。较好的完成数量、质量、时效、成本的控制，项目资金与预算相符，无违法违规记录等情况，截止评价时点项目已全部完成了任务量，经相关部门检测项目质量全部达标。项目进度、成本控制目标均按照原计划较好的实现。</w:t>
      </w:r>
    </w:p>
    <w:p>
      <w:pPr>
        <w:numPr>
          <w:ilvl w:val="0"/>
          <w:numId w:val="15"/>
        </w:num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项目效益情况。</w:t>
      </w:r>
    </w:p>
    <w:p>
      <w:pPr>
        <w:adjustRightInd w:val="0"/>
        <w:snapToGrid w:val="0"/>
        <w:spacing w:line="578" w:lineRule="exact"/>
        <w:ind w:firstLine="640" w:firstLineChars="200"/>
        <w:rPr>
          <w:lang w:val="zh-CN"/>
        </w:rPr>
      </w:pPr>
      <w:r>
        <w:rPr>
          <w:rFonts w:hint="eastAsia" w:ascii="仿宋_GB2312" w:hAnsi="仿宋_GB2312" w:cs="仿宋_GB2312"/>
          <w:kern w:val="0"/>
          <w:shd w:val="clear" w:color="auto" w:fill="FFFFFF"/>
        </w:rPr>
        <w:t>该项目住房包括还建房和公租房。该项目的建成解决了当地居民住房问题和居住环境，使金鱼山片区拆迁群众的生活质量得到了改善，同时也改善了金鱼山片区的城市面貌，提高了整体生活水平，有利于构建和谐社会，产生了巨大的社会效益，群众满意度较高。</w:t>
      </w:r>
    </w:p>
    <w:p>
      <w:pPr>
        <w:adjustRightInd w:val="0"/>
        <w:snapToGrid w:val="0"/>
        <w:spacing w:line="578" w:lineRule="exact"/>
        <w:ind w:firstLine="640" w:firstLineChars="200"/>
        <w:rPr>
          <w:rFonts w:ascii="黑体" w:hAnsi="宋体" w:eastAsia="黑体"/>
        </w:rPr>
      </w:pPr>
      <w:r>
        <w:rPr>
          <w:rFonts w:hint="eastAsia" w:ascii="黑体" w:hAnsi="宋体" w:eastAsia="黑体"/>
        </w:rPr>
        <w:t>五、评价结论及建议</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（一）评价结论。</w:t>
      </w:r>
    </w:p>
    <w:p>
      <w:pPr>
        <w:pStyle w:val="15"/>
        <w:ind w:left="0" w:leftChars="0" w:firstLine="640"/>
        <w:rPr>
          <w:lang w:val="zh-CN"/>
        </w:rPr>
      </w:pPr>
      <w:r>
        <w:rPr>
          <w:rFonts w:hint="eastAsia" w:hAnsi="仿宋_GB2312" w:cs="仿宋_GB2312"/>
          <w:kern w:val="0"/>
          <w:shd w:val="clear" w:color="auto" w:fill="FFFFFF"/>
        </w:rPr>
        <w:t>该项目的建成解决了当地居民住房问题和居住环境，使金鱼山片区拆迁群众的生活质量得到了改善，同时也改善了金鱼山片区的城市面貌，提高了整体生活水平，有利于构建和谐社会，产生了巨大的社会效益。</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（二）存在的问题。</w:t>
      </w:r>
    </w:p>
    <w:p>
      <w:pPr>
        <w:adjustRightInd w:val="0"/>
        <w:snapToGrid w:val="0"/>
        <w:spacing w:line="578" w:lineRule="exact"/>
        <w:ind w:firstLine="640" w:firstLineChars="200"/>
      </w:pPr>
      <w:r>
        <w:rPr>
          <w:rFonts w:hint="eastAsia" w:ascii="仿宋_GB2312" w:hAnsi="仿宋_GB2312" w:cs="仿宋_GB2312"/>
          <w:kern w:val="0"/>
          <w:shd w:val="clear" w:color="auto" w:fill="FFFFFF"/>
          <w:lang w:val="zh-CN"/>
        </w:rPr>
        <w:t>一是征地拆迁进度与项目建设进度需求间存在矛盾，不满足项目建设进度需要，造成项目建设进度与原计划有所滞后；二是资金需求不能</w:t>
      </w:r>
      <w:r>
        <w:rPr>
          <w:rFonts w:hint="eastAsia" w:ascii="仿宋_GB2312" w:hAnsi="仿宋_GB2312" w:cs="仿宋_GB2312"/>
          <w:kern w:val="0"/>
          <w:shd w:val="clear" w:color="auto" w:fill="FFFFFF"/>
        </w:rPr>
        <w:t>及时</w:t>
      </w:r>
      <w:r>
        <w:rPr>
          <w:rFonts w:hint="eastAsia" w:ascii="仿宋_GB2312" w:hAnsi="仿宋_GB2312" w:cs="仿宋_GB2312"/>
          <w:kern w:val="0"/>
          <w:shd w:val="clear" w:color="auto" w:fill="FFFFFF"/>
          <w:lang w:val="zh-CN"/>
        </w:rPr>
        <w:t>满足建设进度要求</w:t>
      </w:r>
      <w:r>
        <w:rPr>
          <w:rFonts w:hint="eastAsia" w:ascii="仿宋_GB2312" w:hAnsi="仿宋_GB2312" w:cs="仿宋_GB2312"/>
          <w:kern w:val="0"/>
          <w:shd w:val="clear" w:color="auto" w:fill="FFFFFF"/>
        </w:rPr>
        <w:t>，该项目于2019年9月竣工，目前财政资金欠拨约3800万元。</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（三）相关建议。</w:t>
      </w:r>
    </w:p>
    <w:p>
      <w:pPr>
        <w:pStyle w:val="36"/>
        <w:spacing w:line="576" w:lineRule="exact"/>
        <w:ind w:firstLine="640" w:firstLineChars="200"/>
        <w:jc w:val="left"/>
        <w:rPr>
          <w:rFonts w:ascii="宋体" w:hAnsi="宋体"/>
          <w:color w:val="auto"/>
          <w:kern w:val="2"/>
          <w:sz w:val="32"/>
          <w:szCs w:val="32"/>
          <w:lang w:val="en-US"/>
        </w:rPr>
      </w:pPr>
      <w:r>
        <w:rPr>
          <w:rFonts w:hint="eastAsia" w:ascii="仿宋_GB2312" w:hAnsi="仿宋_GB2312" w:cs="仿宋_GB2312"/>
          <w:sz w:val="32"/>
          <w:szCs w:val="32"/>
          <w:shd w:val="clear" w:color="auto" w:fill="FFFFFF"/>
        </w:rPr>
        <w:t>一是提前做好资金计划安排，安抚施工单位及班组情绪；二是积极对接市财政局争取项目建设资金。</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广元市科技大道工程建设项目</w:t>
      </w:r>
      <w:r>
        <w:rPr>
          <w:rFonts w:hint="eastAsia" w:ascii="仿宋_GB2312"/>
          <w:sz w:val="32"/>
          <w:szCs w:val="32"/>
        </w:rPr>
        <w:t>）</w:t>
      </w:r>
    </w:p>
    <w:p>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（一）项目基本情况。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广元市科技大道工程建设项目</w:t>
      </w:r>
      <w:r>
        <w:rPr>
          <w:rFonts w:hint="eastAsia" w:ascii="仿宋_GB2312" w:hAnsi="仿宋_GB2312" w:cs="仿宋_GB2312"/>
          <w:kern w:val="0"/>
          <w:shd w:val="clear" w:color="auto" w:fill="FFFFFF"/>
        </w:rPr>
        <w:t>属于081产业新城开发项目中一部分，</w:t>
      </w:r>
      <w:r>
        <w:rPr>
          <w:rFonts w:hint="eastAsia" w:ascii="仿宋_GB2312" w:hAnsi="仿宋_GB2312" w:cs="仿宋_GB2312"/>
          <w:kern w:val="0"/>
          <w:shd w:val="clear" w:color="auto" w:fill="FFFFFF"/>
          <w:lang w:val="zh-CN"/>
        </w:rPr>
        <w:t>业主为广元市投资发展集团有限公司，业主主管部门为市国资委，监督项目建设是否按计划进度安全有序推进等。</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项目立项前进行了必要的可行性论证，并报立项申请。</w:t>
      </w:r>
      <w:r>
        <w:rPr>
          <w:rFonts w:hint="eastAsia" w:ascii="仿宋_GB2312" w:hAnsi="仿宋_GB2312" w:cs="仿宋_GB2312"/>
          <w:kern w:val="0"/>
          <w:shd w:val="clear" w:color="auto" w:fill="FFFFFF"/>
          <w:lang w:val="zh-CN"/>
        </w:rPr>
        <w:t>广元市科技大道工程建设项目立项情况如下：</w:t>
      </w:r>
      <w:r>
        <w:rPr>
          <w:rFonts w:hint="eastAsia" w:ascii="仿宋_GB2312" w:hAnsi="仿宋_GB2312" w:cs="仿宋_GB2312"/>
          <w:kern w:val="0"/>
          <w:shd w:val="clear" w:color="auto" w:fill="FFFFFF"/>
        </w:rPr>
        <w:t>广元市科技大道工程建设项目立项依据为广发改函〔2013〕116号文，资金申报依据为2022年财政预算资金计划。</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广元市科技大道工程建设项目已全部录入财政部隐性债务系统锁定，制定了相应的项目管理制度，严格项目收支管理。</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资金分配考虑缓急情况和建设进度，</w:t>
      </w:r>
      <w:r>
        <w:rPr>
          <w:rFonts w:hint="eastAsia" w:ascii="仿宋_GB2312" w:hAnsi="仿宋_GB2312" w:cs="仿宋_GB2312"/>
          <w:kern w:val="0"/>
          <w:shd w:val="clear" w:color="auto" w:fill="FFFFFF"/>
          <w:lang w:val="zh-CN"/>
        </w:rPr>
        <w:t>所有项目点实施完成</w:t>
      </w:r>
      <w:r>
        <w:rPr>
          <w:rFonts w:hint="eastAsia" w:ascii="仿宋_GB2312" w:hAnsi="仿宋_GB2312" w:cs="仿宋_GB2312"/>
          <w:kern w:val="0"/>
          <w:shd w:val="clear" w:color="auto" w:fill="FFFFFF"/>
        </w:rPr>
        <w:t>后应予支付资金，项目建设情况与</w:t>
      </w:r>
      <w:r>
        <w:rPr>
          <w:rFonts w:hint="eastAsia" w:ascii="仿宋_GB2312" w:hAnsi="仿宋_GB2312" w:cs="仿宋_GB2312"/>
          <w:kern w:val="0"/>
          <w:shd w:val="clear" w:color="auto" w:fill="FFFFFF"/>
          <w:lang w:val="zh-CN"/>
        </w:rPr>
        <w:t>计划情况进行对比</w:t>
      </w:r>
      <w:r>
        <w:rPr>
          <w:rFonts w:hint="eastAsia" w:ascii="仿宋_GB2312" w:hAnsi="仿宋_GB2312" w:cs="仿宋_GB2312"/>
          <w:kern w:val="0"/>
          <w:shd w:val="clear" w:color="auto" w:fill="FFFFFF"/>
        </w:rPr>
        <w:t>其完成质量</w:t>
      </w:r>
      <w:r>
        <w:rPr>
          <w:rFonts w:hint="eastAsia" w:ascii="仿宋_GB2312" w:hAnsi="仿宋_GB2312" w:cs="仿宋_GB2312"/>
          <w:kern w:val="0"/>
          <w:shd w:val="clear" w:color="auto" w:fill="FFFFFF"/>
          <w:lang w:val="zh-CN"/>
        </w:rPr>
        <w:t>。</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（二）项目绩效目标。</w:t>
      </w:r>
    </w:p>
    <w:p>
      <w:pPr>
        <w:adjustRightInd w:val="0"/>
        <w:snapToGrid w:val="0"/>
        <w:spacing w:line="520"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1．项目主要内容。</w:t>
      </w:r>
    </w:p>
    <w:p>
      <w:pPr>
        <w:adjustRightInd w:val="0"/>
        <w:snapToGrid w:val="0"/>
        <w:spacing w:line="520"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主要建设内容为科技大道，</w:t>
      </w:r>
      <w:r>
        <w:rPr>
          <w:rFonts w:hint="eastAsia" w:ascii="仿宋_GB2312" w:hAnsi="仿宋_GB2312" w:cs="仿宋_GB2312"/>
          <w:szCs w:val="32"/>
        </w:rPr>
        <w:t>新建市政道路长2263米，宽24米及配套设施，</w:t>
      </w:r>
      <w:r>
        <w:rPr>
          <w:rFonts w:hint="eastAsia" w:ascii="仿宋_GB2312" w:hAnsi="仿宋_GB2312" w:cs="仿宋_GB2312"/>
          <w:kern w:val="0"/>
          <w:shd w:val="clear" w:color="auto" w:fill="FFFFFF"/>
        </w:rPr>
        <w:t>概算21308 万元。</w:t>
      </w:r>
    </w:p>
    <w:p>
      <w:pPr>
        <w:numPr>
          <w:ilvl w:val="0"/>
          <w:numId w:val="16"/>
        </w:num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项目绩效目标。</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按建设任务安排，</w:t>
      </w:r>
      <w:r>
        <w:rPr>
          <w:rFonts w:hint="eastAsia" w:ascii="仿宋_GB2312" w:hAnsi="仿宋_GB2312" w:cs="仿宋_GB2312"/>
          <w:kern w:val="0"/>
          <w:shd w:val="clear" w:color="auto" w:fill="FFFFFF"/>
          <w:lang w:val="zh-CN"/>
        </w:rPr>
        <w:t>我司在</w:t>
      </w:r>
      <w:r>
        <w:rPr>
          <w:rFonts w:hint="eastAsia" w:ascii="仿宋_GB2312" w:hAnsi="仿宋_GB2312" w:cs="仿宋_GB2312"/>
          <w:kern w:val="0"/>
          <w:shd w:val="clear" w:color="auto" w:fill="FFFFFF"/>
        </w:rPr>
        <w:t>2013年开始建设，着力打造产业新城</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至目前，已完成科技大道建设任务，2016年移交建设局管理，道路建设为市民出行提供了交通便利，</w:t>
      </w:r>
      <w:r>
        <w:rPr>
          <w:rFonts w:hint="eastAsia" w:ascii="仿宋_GB2312" w:hAnsi="仿宋_GB2312" w:cs="仿宋_GB2312"/>
          <w:kern w:val="0"/>
          <w:shd w:val="clear" w:color="auto" w:fill="FFFFFF"/>
          <w:lang w:val="zh-CN"/>
        </w:rPr>
        <w:t>缓解</w:t>
      </w:r>
      <w:r>
        <w:rPr>
          <w:rFonts w:hint="eastAsia" w:ascii="仿宋_GB2312" w:hAnsi="仿宋_GB2312" w:cs="仿宋_GB2312"/>
          <w:kern w:val="0"/>
          <w:shd w:val="clear" w:color="auto" w:fill="FFFFFF"/>
        </w:rPr>
        <w:t>了</w:t>
      </w:r>
      <w:r>
        <w:rPr>
          <w:rFonts w:hint="eastAsia" w:ascii="仿宋_GB2312" w:hAnsi="仿宋_GB2312" w:cs="仿宋_GB2312"/>
          <w:kern w:val="0"/>
          <w:shd w:val="clear" w:color="auto" w:fill="FFFFFF"/>
          <w:lang w:val="zh-CN"/>
        </w:rPr>
        <w:t>市城区周边交通拥堵，</w:t>
      </w:r>
      <w:r>
        <w:rPr>
          <w:rFonts w:hint="eastAsia" w:ascii="仿宋_GB2312" w:hAnsi="仿宋_GB2312" w:cs="仿宋_GB2312"/>
          <w:kern w:val="0"/>
          <w:shd w:val="clear" w:color="auto" w:fill="FFFFFF"/>
        </w:rPr>
        <w:t>对改善城市人居环境和生活质量意义重大，并为我市发展规划提供了先决条件。</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申报内容与实际相符，申报目标合理可行。截止2022年年底，</w:t>
      </w:r>
      <w:r>
        <w:rPr>
          <w:rFonts w:hint="eastAsia" w:ascii="仿宋_GB2312" w:hAnsi="仿宋_GB2312" w:cs="仿宋_GB2312"/>
          <w:kern w:val="0"/>
          <w:shd w:val="clear" w:color="auto" w:fill="FFFFFF"/>
        </w:rPr>
        <w:t>081新城项目已投资18.46亿元（含科技大道2亿元），其中财政拨款47254.85万元（科技大道拨款5209万元），其余资金为我公司垫支，我公司根据2022年财政预算资金安排，在预算范围内申请，根据我公司垫支的工程款凭据据实申报。</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项目绩效自评采用的组织实施步骤及方法。第一步根据申报目标，以广财绩</w:t>
      </w:r>
      <w:r>
        <w:rPr>
          <w:rFonts w:hint="eastAsia" w:ascii="仿宋_GB2312" w:hAnsi="仿宋_GB2312" w:cs="仿宋_GB2312"/>
          <w:kern w:val="0"/>
          <w:shd w:val="clear" w:color="auto" w:fill="FFFFFF"/>
        </w:rPr>
        <w:t>〔2023〕5号文为指导</w:t>
      </w:r>
      <w:r>
        <w:rPr>
          <w:rFonts w:hint="eastAsia" w:ascii="仿宋_GB2312" w:hAnsi="仿宋_GB2312" w:cs="仿宋_GB2312"/>
          <w:kern w:val="0"/>
          <w:shd w:val="clear" w:color="auto" w:fill="FFFFFF"/>
          <w:lang w:val="zh-CN"/>
        </w:rPr>
        <w:t>，填报2023年市级专项资金预算项目支出绩效评价指标体系自评得分表；第二步填报2023年市级专项资金预算项目支出绩效自评报告；第三步上报主管部门。</w:t>
      </w:r>
    </w:p>
    <w:p>
      <w:pPr>
        <w:adjustRightInd w:val="0"/>
        <w:snapToGrid w:val="0"/>
        <w:spacing w:line="578" w:lineRule="exact"/>
        <w:ind w:firstLine="640" w:firstLineChars="200"/>
        <w:rPr>
          <w:rFonts w:ascii="黑体" w:hAnsi="宋体" w:eastAsia="黑体"/>
        </w:rPr>
      </w:pPr>
      <w:r>
        <w:rPr>
          <w:rFonts w:hint="eastAsia" w:ascii="黑体" w:hAnsi="宋体" w:eastAsia="黑体"/>
        </w:rPr>
        <w:t>二、项目资金申报及使用情况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2021年末，我公司根据081产业新城建设完成投资情况及资金急需情况，向市国资委报送年度资金需求计划，市财政局根据当年预算安排情况，拟定年度基建项目资金计划，</w:t>
      </w:r>
      <w:r>
        <w:rPr>
          <w:rFonts w:hint="eastAsia" w:ascii="仿宋_GB2312" w:hAnsi="仿宋_GB2312" w:cs="仿宋_GB2312"/>
          <w:kern w:val="0"/>
          <w:shd w:val="clear" w:color="auto" w:fill="FFFFFF"/>
          <w:lang w:val="zh-CN"/>
        </w:rPr>
        <w:t>广元市科技大道工程建设</w:t>
      </w:r>
      <w:r>
        <w:rPr>
          <w:rFonts w:hint="eastAsia" w:ascii="仿宋_GB2312" w:hAnsi="仿宋_GB2312" w:cs="仿宋_GB2312"/>
          <w:kern w:val="0"/>
          <w:shd w:val="clear" w:color="auto" w:fill="FFFFFF"/>
        </w:rPr>
        <w:t>项目年度计划资金安排2000万元，市财政局于12月下达《关于下达基金指标的通知》广财投</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2022</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147号指标文。</w:t>
      </w:r>
    </w:p>
    <w:p>
      <w:pPr>
        <w:adjustRightInd w:val="0"/>
        <w:snapToGrid w:val="0"/>
        <w:spacing w:line="578" w:lineRule="exact"/>
        <w:ind w:firstLine="480" w:firstLineChars="150"/>
        <w:rPr>
          <w:rFonts w:ascii="仿宋_GB2312" w:hAnsi="宋体"/>
          <w:lang w:val="zh-CN"/>
        </w:rPr>
      </w:pPr>
      <w:r>
        <w:rPr>
          <w:rFonts w:hint="eastAsia" w:ascii="楷体_GB2312" w:hAnsi="宋体" w:eastAsia="楷体_GB2312"/>
          <w:lang w:val="zh-CN"/>
        </w:rPr>
        <w:t>（二）资金计划、到位及使用情况（可用表格形式反映）。</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资金计划：20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年财政预算安排资金</w:t>
      </w:r>
      <w:r>
        <w:rPr>
          <w:rFonts w:hint="eastAsia" w:ascii="仿宋_GB2312" w:hAnsi="仿宋_GB2312" w:cs="仿宋_GB2312"/>
          <w:kern w:val="0"/>
          <w:shd w:val="clear" w:color="auto" w:fill="FFFFFF"/>
        </w:rPr>
        <w:t>2000</w:t>
      </w:r>
      <w:r>
        <w:rPr>
          <w:rFonts w:hint="eastAsia" w:ascii="仿宋_GB2312" w:hAnsi="仿宋_GB2312" w:cs="仿宋_GB2312"/>
          <w:kern w:val="0"/>
          <w:shd w:val="clear" w:color="auto" w:fill="FFFFFF"/>
          <w:lang w:val="zh-CN"/>
        </w:rPr>
        <w:t>万元。</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资金到位：20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w:t>
      </w:r>
      <w:r>
        <w:rPr>
          <w:rFonts w:hint="eastAsia" w:ascii="仿宋_GB2312" w:hAnsi="仿宋_GB2312" w:cs="仿宋_GB2312"/>
          <w:kern w:val="0"/>
          <w:shd w:val="clear" w:color="auto" w:fill="FFFFFF"/>
        </w:rPr>
        <w:t>11月</w:t>
      </w:r>
      <w:r>
        <w:rPr>
          <w:rFonts w:hint="eastAsia" w:ascii="仿宋_GB2312" w:hAnsi="仿宋_GB2312" w:cs="仿宋_GB2312"/>
          <w:kern w:val="0"/>
          <w:shd w:val="clear" w:color="auto" w:fill="FFFFFF"/>
          <w:lang w:val="zh-CN"/>
        </w:rPr>
        <w:t>财政拨付项目建设涉及的资金</w:t>
      </w:r>
      <w:r>
        <w:rPr>
          <w:rFonts w:hint="eastAsia" w:ascii="仿宋_GB2312" w:hAnsi="仿宋_GB2312" w:cs="仿宋_GB2312"/>
          <w:kern w:val="0"/>
          <w:shd w:val="clear" w:color="auto" w:fill="FFFFFF"/>
        </w:rPr>
        <w:t>2000</w:t>
      </w:r>
      <w:r>
        <w:rPr>
          <w:rFonts w:hint="eastAsia" w:ascii="仿宋_GB2312" w:hAnsi="仿宋_GB2312" w:cs="仿宋_GB2312"/>
          <w:kern w:val="0"/>
          <w:shd w:val="clear" w:color="auto" w:fill="FFFFFF"/>
          <w:lang w:val="zh-CN"/>
        </w:rPr>
        <w:t>万元，</w:t>
      </w:r>
      <w:r>
        <w:rPr>
          <w:rFonts w:hint="eastAsia" w:ascii="仿宋_GB2312" w:hAnsi="仿宋_GB2312" w:cs="仿宋_GB2312"/>
          <w:kern w:val="0"/>
          <w:shd w:val="clear" w:color="auto" w:fill="FFFFFF"/>
        </w:rPr>
        <w:t>其中科技大道2000万元，</w:t>
      </w:r>
      <w:r>
        <w:rPr>
          <w:rFonts w:hint="eastAsia" w:ascii="仿宋_GB2312" w:hAnsi="仿宋_GB2312" w:cs="仿宋_GB2312"/>
          <w:kern w:val="0"/>
          <w:shd w:val="clear" w:color="auto" w:fill="FFFFFF"/>
          <w:lang w:val="zh-CN"/>
        </w:rPr>
        <w:t>资金到位率为</w:t>
      </w:r>
      <w:r>
        <w:rPr>
          <w:rFonts w:hint="eastAsia" w:ascii="仿宋_GB2312" w:hAnsi="仿宋_GB2312" w:cs="仿宋_GB2312"/>
          <w:kern w:val="0"/>
          <w:shd w:val="clear" w:color="auto" w:fill="FFFFFF"/>
        </w:rPr>
        <w:t>100</w:t>
      </w:r>
      <w:r>
        <w:rPr>
          <w:rFonts w:hint="eastAsia" w:ascii="仿宋_GB2312" w:hAnsi="仿宋_GB2312" w:cs="仿宋_GB2312"/>
          <w:kern w:val="0"/>
          <w:shd w:val="clear" w:color="auto" w:fill="FFFFFF"/>
          <w:lang w:val="zh-CN"/>
        </w:rPr>
        <w:t>%。</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资金使用：我司对纳入财政基建</w:t>
      </w:r>
      <w:r>
        <w:rPr>
          <w:rFonts w:hint="eastAsia" w:ascii="仿宋_GB2312" w:hAnsi="仿宋_GB2312" w:cs="仿宋_GB2312"/>
          <w:kern w:val="0"/>
          <w:shd w:val="clear" w:color="auto" w:fill="FFFFFF"/>
        </w:rPr>
        <w:t>计划</w:t>
      </w:r>
      <w:r>
        <w:rPr>
          <w:rFonts w:hint="eastAsia" w:ascii="仿宋_GB2312" w:hAnsi="仿宋_GB2312" w:cs="仿宋_GB2312"/>
          <w:kern w:val="0"/>
          <w:shd w:val="clear" w:color="auto" w:fill="FFFFFF"/>
          <w:lang w:val="zh-CN"/>
        </w:rPr>
        <w:t>的项目</w:t>
      </w:r>
      <w:r>
        <w:rPr>
          <w:rFonts w:hint="eastAsia" w:ascii="仿宋_GB2312" w:hAnsi="仿宋_GB2312" w:cs="仿宋_GB2312"/>
          <w:kern w:val="0"/>
          <w:shd w:val="clear" w:color="auto" w:fill="FFFFFF"/>
        </w:rPr>
        <w:t>拨付使用</w:t>
      </w:r>
      <w:r>
        <w:rPr>
          <w:rFonts w:hint="eastAsia" w:ascii="仿宋_GB2312" w:hAnsi="仿宋_GB2312" w:cs="仿宋_GB2312"/>
          <w:kern w:val="0"/>
          <w:shd w:val="clear" w:color="auto" w:fill="FFFFFF"/>
          <w:lang w:val="zh-CN"/>
        </w:rPr>
        <w:t>，并按照</w:t>
      </w:r>
      <w:r>
        <w:rPr>
          <w:rFonts w:hint="eastAsia" w:ascii="仿宋_GB2312" w:hAnsi="仿宋_GB2312" w:cs="仿宋_GB2312"/>
          <w:kern w:val="0"/>
          <w:shd w:val="clear" w:color="auto" w:fill="FFFFFF"/>
        </w:rPr>
        <w:t>征拆部门资金需求</w:t>
      </w:r>
      <w:r>
        <w:rPr>
          <w:rFonts w:hint="eastAsia" w:ascii="仿宋_GB2312" w:hAnsi="仿宋_GB2312" w:cs="仿宋_GB2312"/>
          <w:kern w:val="0"/>
          <w:shd w:val="clear" w:color="auto" w:fill="FFFFFF"/>
          <w:lang w:val="zh-CN"/>
        </w:rPr>
        <w:t>，已全部支付给</w:t>
      </w:r>
      <w:r>
        <w:rPr>
          <w:rFonts w:hint="eastAsia" w:ascii="仿宋_GB2312" w:hAnsi="仿宋_GB2312" w:cs="仿宋_GB2312"/>
          <w:kern w:val="0"/>
          <w:shd w:val="clear" w:color="auto" w:fill="FFFFFF"/>
        </w:rPr>
        <w:t>征拆单位2000</w:t>
      </w:r>
      <w:r>
        <w:rPr>
          <w:rFonts w:hint="eastAsia" w:ascii="仿宋_GB2312" w:hAnsi="仿宋_GB2312" w:cs="仿宋_GB2312"/>
          <w:kern w:val="0"/>
          <w:shd w:val="clear" w:color="auto" w:fill="FFFFFF"/>
          <w:lang w:val="zh-CN"/>
        </w:rPr>
        <w:t>万元，</w:t>
      </w:r>
      <w:r>
        <w:rPr>
          <w:rFonts w:hint="eastAsia" w:ascii="仿宋_GB2312" w:hAnsi="仿宋_GB2312" w:cs="仿宋_GB2312"/>
          <w:kern w:val="0"/>
          <w:shd w:val="clear" w:color="auto" w:fill="FFFFFF"/>
        </w:rPr>
        <w:t>至年底，081新城项目已投资18.46亿元（科技大道2亿元）。</w:t>
      </w:r>
      <w:r>
        <w:rPr>
          <w:rFonts w:hint="eastAsia" w:ascii="仿宋_GB2312" w:hAnsi="仿宋_GB2312" w:cs="仿宋_GB2312"/>
          <w:kern w:val="0"/>
          <w:shd w:val="clear" w:color="auto" w:fill="FFFFFF"/>
          <w:lang w:val="zh-CN"/>
        </w:rPr>
        <w:t>目前该项目已完工投入使用。</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项目财务管理制度健全，严格执行财务管理制度，账务处理及时，会计核算规范等。</w:t>
      </w:r>
    </w:p>
    <w:p>
      <w:pPr>
        <w:adjustRightInd w:val="0"/>
        <w:snapToGrid w:val="0"/>
        <w:spacing w:line="578" w:lineRule="exact"/>
        <w:ind w:firstLine="640" w:firstLineChars="200"/>
        <w:rPr>
          <w:rFonts w:ascii="黑体" w:hAnsi="宋体" w:eastAsia="黑体"/>
        </w:rPr>
      </w:pPr>
      <w:r>
        <w:rPr>
          <w:rFonts w:hint="eastAsia" w:ascii="黑体" w:hAnsi="宋体" w:eastAsia="黑体"/>
        </w:rPr>
        <w:t>三、项目实施及管理情况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结合项目组织实施管理办法，重点围绕以下内容进行分析评价，并对自评中发现的问题分析说明。</w:t>
      </w:r>
    </w:p>
    <w:p>
      <w:pPr>
        <w:numPr>
          <w:ilvl w:val="0"/>
          <w:numId w:val="11"/>
        </w:num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项目组织架构及实施流程。</w:t>
      </w:r>
    </w:p>
    <w:p>
      <w:pPr>
        <w:adjustRightInd w:val="0"/>
        <w:snapToGrid w:val="0"/>
        <w:spacing w:line="560" w:lineRule="exact"/>
        <w:rPr>
          <w:rFonts w:ascii="仿宋" w:hAnsi="仿宋" w:eastAsia="仿宋" w:cs="仿宋"/>
          <w:bCs/>
        </w:rPr>
      </w:pPr>
      <w:r>
        <w:rPr>
          <w:rFonts w:hint="eastAsia"/>
        </w:rPr>
        <w:t xml:space="preserve">     </w:t>
      </w:r>
      <w:r>
        <w:rPr>
          <w:rFonts w:hint="eastAsia" w:ascii="仿宋" w:hAnsi="仿宋" w:eastAsia="仿宋" w:cs="仿宋"/>
          <w:bCs/>
          <w:szCs w:val="32"/>
        </w:rPr>
        <w:t>组织架构：我公司成立了081产业新城开发分公司，专门负责整个项目的开发建设管理，并通过抽调及招聘方式组建了项目管理架构。081分公司内设工程部、拆迁部及综合部。</w:t>
      </w:r>
    </w:p>
    <w:p>
      <w:pPr>
        <w:pStyle w:val="15"/>
        <w:ind w:left="0" w:leftChars="0" w:firstLine="640"/>
        <w:rPr>
          <w:rFonts w:ascii="仿宋" w:hAnsi="仿宋" w:eastAsia="仿宋" w:cs="仿宋"/>
          <w:bCs/>
        </w:rPr>
      </w:pPr>
      <w:r>
        <w:rPr>
          <w:rFonts w:hint="eastAsia" w:ascii="仿宋" w:hAnsi="仿宋" w:eastAsia="仿宋" w:cs="仿宋"/>
          <w:bCs/>
        </w:rPr>
        <w:t>实施流程：严格按照市委市政府指示及法律法规进行，招标代理、勘察设计、施工、监理等均通过公开招标选取。项目相关信息均按照市建设局等主管部门要求，进行了公示</w:t>
      </w:r>
    </w:p>
    <w:p>
      <w:pPr>
        <w:pStyle w:val="15"/>
        <w:ind w:left="0" w:leftChars="0" w:firstLine="640"/>
        <w:rPr>
          <w:rFonts w:hAnsi="仿宋_GB2312" w:cs="仿宋_GB2312"/>
          <w:kern w:val="0"/>
          <w:shd w:val="clear" w:color="auto" w:fill="FFFFFF"/>
          <w:lang w:val="zh-CN"/>
        </w:rPr>
      </w:pPr>
      <w:r>
        <w:rPr>
          <w:rFonts w:hint="eastAsia" w:ascii="楷体_GB2312" w:hAnsi="宋体" w:eastAsia="楷体_GB2312"/>
          <w:lang w:val="zh-CN"/>
        </w:rPr>
        <w:t>（二）项目管理情况。</w:t>
      </w:r>
      <w:r>
        <w:rPr>
          <w:rFonts w:hint="eastAsia" w:hAnsi="仿宋_GB2312" w:cs="仿宋_GB2312"/>
          <w:kern w:val="0"/>
          <w:shd w:val="clear" w:color="auto" w:fill="FFFFFF"/>
        </w:rPr>
        <w:t>在具体进行项目实施过程中，项目公司</w:t>
      </w:r>
      <w:r>
        <w:rPr>
          <w:rFonts w:hint="eastAsia" w:hAnsi="仿宋_GB2312" w:cs="仿宋_GB2312"/>
          <w:kern w:val="0"/>
          <w:shd w:val="clear" w:color="auto" w:fill="FFFFFF"/>
          <w:lang w:val="zh-CN"/>
        </w:rPr>
        <w:t>严格执行</w:t>
      </w:r>
      <w:r>
        <w:rPr>
          <w:rFonts w:hint="eastAsia" w:hAnsi="仿宋_GB2312" w:cs="仿宋_GB2312"/>
          <w:kern w:val="0"/>
          <w:shd w:val="clear" w:color="auto" w:fill="FFFFFF"/>
        </w:rPr>
        <w:t>财政部、建设部项目成本和管理</w:t>
      </w:r>
      <w:r>
        <w:rPr>
          <w:rFonts w:hint="eastAsia" w:hAnsi="仿宋_GB2312" w:cs="仿宋_GB2312"/>
          <w:kern w:val="0"/>
          <w:shd w:val="clear" w:color="auto" w:fill="FFFFFF"/>
          <w:lang w:val="zh-CN"/>
        </w:rPr>
        <w:t>相关法律法规、项目管理</w:t>
      </w:r>
      <w:r>
        <w:rPr>
          <w:rFonts w:hint="eastAsia" w:hAnsi="仿宋_GB2312" w:cs="仿宋_GB2312"/>
          <w:kern w:val="0"/>
          <w:shd w:val="clear" w:color="auto" w:fill="FFFFFF"/>
        </w:rPr>
        <w:t>建章立</w:t>
      </w:r>
      <w:r>
        <w:rPr>
          <w:rFonts w:hint="eastAsia" w:hAnsi="仿宋_GB2312" w:cs="仿宋_GB2312"/>
          <w:kern w:val="0"/>
          <w:shd w:val="clear" w:color="auto" w:fill="FFFFFF"/>
          <w:lang w:val="zh-CN"/>
        </w:rPr>
        <w:t>制，</w:t>
      </w:r>
      <w:r>
        <w:rPr>
          <w:rFonts w:hint="eastAsia" w:hAnsi="仿宋_GB2312" w:cs="仿宋_GB2312"/>
          <w:kern w:val="0"/>
          <w:shd w:val="clear" w:color="auto" w:fill="FFFFFF"/>
        </w:rPr>
        <w:t>各施工工程、勘察设计、监理项目</w:t>
      </w:r>
      <w:r>
        <w:rPr>
          <w:rFonts w:hint="eastAsia" w:hAnsi="仿宋_GB2312" w:cs="仿宋_GB2312"/>
          <w:kern w:val="0"/>
          <w:shd w:val="clear" w:color="auto" w:fill="FFFFFF"/>
          <w:lang w:val="zh-CN"/>
        </w:rPr>
        <w:t>公开招投标、阳光采购等相关制度，</w:t>
      </w:r>
      <w:r>
        <w:rPr>
          <w:rFonts w:hint="eastAsia" w:hAnsi="仿宋_GB2312" w:cs="仿宋_GB2312"/>
          <w:kern w:val="0"/>
          <w:shd w:val="clear" w:color="auto" w:fill="FFFFFF"/>
        </w:rPr>
        <w:t>并接受各级监督检查</w:t>
      </w:r>
      <w:r>
        <w:rPr>
          <w:rFonts w:hint="eastAsia" w:hAnsi="仿宋_GB2312" w:cs="仿宋_GB2312"/>
          <w:kern w:val="0"/>
          <w:shd w:val="clear" w:color="auto" w:fill="FFFFFF"/>
          <w:lang w:val="zh-CN"/>
        </w:rPr>
        <w:t>。。</w:t>
      </w:r>
    </w:p>
    <w:p>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楷体_GB2312" w:hAnsi="宋体" w:eastAsia="楷体_GB2312"/>
          <w:lang w:val="zh-CN"/>
        </w:rPr>
        <w:t>（三）项目监管情况。</w:t>
      </w:r>
      <w:r>
        <w:rPr>
          <w:rFonts w:hint="eastAsia" w:ascii="仿宋_GB2312" w:hAnsi="仿宋_GB2312" w:cs="仿宋_GB2312"/>
          <w:kern w:val="0"/>
          <w:shd w:val="clear" w:color="auto" w:fill="FFFFFF"/>
          <w:lang w:val="zh-CN"/>
        </w:rPr>
        <w:t>项目主管部门（单位）为加强项目管理所采取的监管手段、监管程序、监管工作开展情况及实现的效果等。主管部门不定期到项目现场进行调研，了解项目进度、安全生产等情况，通过现场调研，能够及时发现问题并立即整改，保障了项目建设有序、安全、按计划的推进。</w:t>
      </w:r>
    </w:p>
    <w:p>
      <w:pPr>
        <w:adjustRightInd w:val="0"/>
        <w:snapToGrid w:val="0"/>
        <w:spacing w:line="578" w:lineRule="exact"/>
        <w:ind w:firstLine="640" w:firstLineChars="200"/>
        <w:rPr>
          <w:rFonts w:ascii="仿宋_GB2312" w:hAnsi="宋体"/>
          <w:lang w:val="zh-CN"/>
        </w:rPr>
      </w:pPr>
      <w:r>
        <w:rPr>
          <w:rFonts w:hint="eastAsia" w:ascii="黑体" w:hAnsi="宋体" w:eastAsia="黑体"/>
        </w:rPr>
        <w:t>四、项目绩效情况</w:t>
      </w:r>
      <w:r>
        <w:rPr>
          <w:rFonts w:hint="eastAsia" w:ascii="仿宋_GB2312" w:hAnsi="宋体"/>
          <w:lang w:val="zh-CN"/>
        </w:rPr>
        <w:tab/>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（一）项目完成情况。</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项目严格按照计划及时间节点全面完成。其中较好的完成数量、质量、时效、成本的控制，项目资金与预算相符，无违法违规记录等情况，截止评价时点项目已全部完成了任务量，经相关部门检测项目质量全部达标。项目进度、成本控制目标均按照原计划较好的实现。</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（二）项目效益情况。</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项目建成后，一是改善区域的交通环境，为081 新城片区市政交通设施的建设打下坚实的基础，极大的推进广元市经济建设的步伐，为广元市招商引资创造良好的环境，对增强广元市综合竞争力具有重大意义。二是解决了当地居民住房问题和居住环境，使081产业新城拆迁群众的生活质量得到了改善，同时也改善了城北片区的城市面貌，提高了整体生活水平，有利于构建和谐社会，产生了巨大的社会效益。</w:t>
      </w:r>
    </w:p>
    <w:p>
      <w:pPr>
        <w:adjustRightInd w:val="0"/>
        <w:snapToGrid w:val="0"/>
        <w:spacing w:line="578" w:lineRule="exact"/>
        <w:ind w:firstLine="640" w:firstLineChars="200"/>
        <w:rPr>
          <w:rFonts w:ascii="黑体" w:hAnsi="宋体" w:eastAsia="黑体"/>
        </w:rPr>
      </w:pPr>
      <w:r>
        <w:rPr>
          <w:rFonts w:hint="eastAsia" w:ascii="黑体" w:hAnsi="宋体" w:eastAsia="黑体"/>
        </w:rPr>
        <w:t>五、评价结论及建议</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（一）评价结论。</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081项目道路建设为市民出行提供了便利的交通，拆迁重建安置对改善城市人居环境和生活质量意义重大，并为我市发展规划提供了先决条件。</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（二）存在的问题。</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lang w:val="zh-CN"/>
        </w:rPr>
        <w:t>一是征地拆迁进度与项目建设进度需求间存在矛盾，不满足项目建设进度需要，造成项目建设进度及相关配套设施无法满足要求；二是资金需求不能</w:t>
      </w:r>
      <w:r>
        <w:rPr>
          <w:rFonts w:hint="eastAsia" w:ascii="仿宋_GB2312" w:hAnsi="仿宋_GB2312" w:cs="仿宋_GB2312"/>
          <w:kern w:val="0"/>
          <w:shd w:val="clear" w:color="auto" w:fill="FFFFFF"/>
        </w:rPr>
        <w:t>及时</w:t>
      </w:r>
      <w:r>
        <w:rPr>
          <w:rFonts w:hint="eastAsia" w:ascii="仿宋_GB2312" w:hAnsi="仿宋_GB2312" w:cs="仿宋_GB2312"/>
          <w:kern w:val="0"/>
          <w:shd w:val="clear" w:color="auto" w:fill="FFFFFF"/>
          <w:lang w:val="zh-CN"/>
        </w:rPr>
        <w:t>满足建设进度要求</w:t>
      </w:r>
      <w:r>
        <w:rPr>
          <w:rFonts w:hint="eastAsia" w:ascii="仿宋_GB2312" w:hAnsi="仿宋_GB2312" w:cs="仿宋_GB2312"/>
          <w:kern w:val="0"/>
          <w:shd w:val="clear" w:color="auto" w:fill="FFFFFF"/>
        </w:rPr>
        <w:t>。</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（三）相关建议。</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一是提前做好资金计划安排，二是积极与市拆迁办、办事处、社区等征地拆迁单位及个人做好充分沟通协调，制定具体的拆迁计划，明确拆迁的先后顺序，避免出现拆完的不能用、要用的还未拆完等情况的发生，三是积极对接市财政局争取项目建设资金。</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市城区港湾式站台项目</w:t>
      </w:r>
      <w:r>
        <w:rPr>
          <w:rFonts w:hint="eastAsia" w:ascii="仿宋_GB2312"/>
          <w:sz w:val="32"/>
          <w:szCs w:val="32"/>
        </w:rPr>
        <w:t>）</w:t>
      </w:r>
    </w:p>
    <w:p>
      <w:pPr>
        <w:pStyle w:val="43"/>
        <w:numPr>
          <w:ilvl w:val="0"/>
          <w:numId w:val="17"/>
        </w:numPr>
        <w:shd w:val="clear" w:color="auto" w:fill="FFFFFF"/>
        <w:spacing w:line="576" w:lineRule="exact"/>
        <w:ind w:firstLine="643" w:firstLineChars="200"/>
        <w:outlineLvl w:val="1"/>
        <w:rPr>
          <w:rFonts w:ascii="仿宋" w:hAnsi="仿宋" w:eastAsia="仿宋" w:cs="仿宋"/>
          <w:b/>
          <w:bCs/>
          <w:kern w:val="2"/>
          <w:szCs w:val="32"/>
        </w:rPr>
      </w:pPr>
      <w:r>
        <w:rPr>
          <w:rFonts w:hint="eastAsia" w:ascii="仿宋" w:hAnsi="仿宋" w:eastAsia="仿宋" w:cs="仿宋"/>
          <w:b/>
          <w:bCs/>
          <w:kern w:val="2"/>
          <w:szCs w:val="32"/>
        </w:rPr>
        <w:t>项目概况</w:t>
      </w:r>
    </w:p>
    <w:p>
      <w:pPr>
        <w:adjustRightInd w:val="0"/>
        <w:snapToGrid w:val="0"/>
        <w:spacing w:line="576" w:lineRule="exact"/>
        <w:rPr>
          <w:rFonts w:ascii="仿宋" w:hAnsi="仿宋" w:eastAsia="仿宋" w:cs="仿宋"/>
          <w:szCs w:val="32"/>
          <w:lang w:val="zh-CN"/>
        </w:rPr>
      </w:pPr>
      <w:r>
        <w:rPr>
          <w:rFonts w:hint="eastAsia" w:ascii="仿宋" w:hAnsi="仿宋" w:eastAsia="仿宋" w:cs="仿宋"/>
          <w:b/>
          <w:bCs/>
          <w:position w:val="-2"/>
          <w:szCs w:val="32"/>
        </w:rPr>
        <w:t xml:space="preserve">   </w:t>
      </w:r>
      <w:r>
        <w:rPr>
          <w:rFonts w:hint="eastAsia" w:ascii="仿宋" w:hAnsi="仿宋" w:eastAsia="仿宋" w:cs="仿宋"/>
          <w:b/>
          <w:bCs/>
          <w:szCs w:val="32"/>
          <w:lang w:val="zh-CN"/>
        </w:rPr>
        <w:t>（一）项目基本情况。</w:t>
      </w:r>
    </w:p>
    <w:p>
      <w:pPr>
        <w:pStyle w:val="42"/>
        <w:spacing w:before="93" w:line="576" w:lineRule="exact"/>
        <w:ind w:firstLine="0" w:firstLineChars="0"/>
        <w:rPr>
          <w:rFonts w:ascii="仿宋" w:hAnsi="仿宋" w:eastAsia="仿宋" w:cs="仿宋"/>
          <w:b w:val="0"/>
          <w:color w:val="auto"/>
          <w:kern w:val="0"/>
          <w:sz w:val="32"/>
          <w:szCs w:val="32"/>
          <w:shd w:val="clear" w:color="auto" w:fill="FFFFFF"/>
        </w:rPr>
      </w:pPr>
      <w:r>
        <w:rPr>
          <w:rFonts w:hint="eastAsia" w:ascii="仿宋" w:hAnsi="仿宋" w:eastAsia="仿宋" w:cs="仿宋"/>
          <w:b w:val="0"/>
          <w:position w:val="-2"/>
          <w:sz w:val="32"/>
          <w:szCs w:val="32"/>
        </w:rPr>
        <w:t xml:space="preserve">    </w:t>
      </w:r>
      <w:r>
        <w:rPr>
          <w:rFonts w:hint="eastAsia" w:ascii="仿宋" w:hAnsi="仿宋" w:eastAsia="仿宋" w:cs="仿宋"/>
          <w:b w:val="0"/>
          <w:sz w:val="32"/>
          <w:szCs w:val="32"/>
        </w:rPr>
        <w:t>市国资</w:t>
      </w:r>
      <w:r>
        <w:rPr>
          <w:rFonts w:hint="eastAsia" w:ascii="仿宋" w:hAnsi="仿宋" w:eastAsia="仿宋" w:cs="仿宋"/>
          <w:b w:val="0"/>
          <w:color w:val="auto"/>
          <w:kern w:val="0"/>
          <w:sz w:val="32"/>
          <w:szCs w:val="32"/>
          <w:shd w:val="clear" w:color="auto" w:fill="FFFFFF"/>
        </w:rPr>
        <w:t>委作为</w:t>
      </w:r>
      <w:r>
        <w:rPr>
          <w:rFonts w:hint="eastAsia" w:ascii="仿宋" w:hAnsi="仿宋" w:eastAsia="仿宋" w:cs="仿宋"/>
          <w:b w:val="0"/>
          <w:sz w:val="32"/>
          <w:szCs w:val="32"/>
        </w:rPr>
        <w:t>市城区港湾式站台项目主管部</w:t>
      </w:r>
      <w:r>
        <w:rPr>
          <w:rFonts w:hint="eastAsia" w:ascii="仿宋" w:hAnsi="仿宋" w:eastAsia="仿宋" w:cs="仿宋"/>
          <w:b w:val="0"/>
          <w:color w:val="auto"/>
          <w:kern w:val="0"/>
          <w:sz w:val="32"/>
          <w:szCs w:val="32"/>
          <w:shd w:val="clear" w:color="auto" w:fill="FFFFFF"/>
        </w:rPr>
        <w:t>门，在项目建设过程中，积极督导项目建设单位广元公共交通有限公司进行项目立项审批工作，积极协调项目推进过程中建设手续办理相关事宜。</w:t>
      </w:r>
    </w:p>
    <w:p>
      <w:pPr>
        <w:pStyle w:val="43"/>
        <w:shd w:val="clear" w:color="auto" w:fill="FFFFFF"/>
        <w:spacing w:line="576" w:lineRule="exact"/>
        <w:rPr>
          <w:rFonts w:ascii="仿宋" w:hAnsi="仿宋" w:eastAsia="仿宋" w:cs="仿宋"/>
          <w:szCs w:val="32"/>
        </w:rPr>
      </w:pPr>
      <w:r>
        <w:rPr>
          <w:rFonts w:hint="eastAsia" w:ascii="仿宋" w:hAnsi="仿宋" w:eastAsia="仿宋" w:cs="仿宋"/>
          <w:kern w:val="2"/>
          <w:position w:val="-2"/>
          <w:szCs w:val="32"/>
        </w:rPr>
        <w:t xml:space="preserve">    </w:t>
      </w:r>
      <w:r>
        <w:rPr>
          <w:rFonts w:hint="eastAsia" w:ascii="仿宋" w:hAnsi="仿宋" w:eastAsia="仿宋" w:cs="仿宋"/>
          <w:szCs w:val="32"/>
        </w:rPr>
        <w:t>该项目为市政府2015年第80次常务会议研究确定的市级民生工程，2015年8月和2016年9月先后两次经市发改委调整投资，估算总投资由2052万元调整为2168万元。主要建设内容为154座市城区港湾式公交站台（其中新建132座，改造22座），新建6座LCD智能电子站牌，由隆生国际建设集团有限公司承建。该项目于2015年12月7日开工，2019年4月25日竣工，市审计局于2020年9月2日至2020年10月21日对本项目进行了工程审计，并出具了审计报告。该项目财务决算为1889.7611万元。</w:t>
      </w:r>
    </w:p>
    <w:p>
      <w:pPr>
        <w:spacing w:line="576" w:lineRule="exac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color w:val="000000"/>
          <w:szCs w:val="32"/>
        </w:rPr>
        <w:t>项目</w:t>
      </w:r>
      <w:r>
        <w:rPr>
          <w:rFonts w:hint="eastAsia" w:ascii="仿宋" w:hAnsi="仿宋" w:eastAsia="仿宋" w:cs="仿宋"/>
          <w:color w:val="000000"/>
          <w:szCs w:val="32"/>
          <w:lang w:val="zh-CN"/>
        </w:rPr>
        <w:t>管理办法制定</w:t>
      </w:r>
      <w:r>
        <w:rPr>
          <w:rFonts w:hint="eastAsia" w:ascii="仿宋" w:hAnsi="仿宋" w:eastAsia="仿宋" w:cs="仿宋"/>
          <w:szCs w:val="32"/>
        </w:rPr>
        <w:t>严格按照《中华人民共和国建筑法》、《建设工程质量管理条例》等相关法律法规，制定和完善了《广元市公共交通有限公司工程项目管理制度》，制度中明确了进度管理、成本管理、质量管理、安全管理、招投标管理等一系列管理职责。</w:t>
      </w:r>
    </w:p>
    <w:p>
      <w:pPr>
        <w:pStyle w:val="15"/>
        <w:spacing w:after="0" w:line="576" w:lineRule="exact"/>
        <w:ind w:left="0" w:leftChars="0" w:firstLine="0" w:firstLineChars="0"/>
        <w:rPr>
          <w:rFonts w:ascii="仿宋" w:hAnsi="仿宋" w:eastAsia="仿宋" w:cs="仿宋"/>
          <w:lang w:val="zh-CN"/>
        </w:rPr>
      </w:pPr>
      <w:r>
        <w:rPr>
          <w:rFonts w:hint="eastAsia" w:ascii="仿宋" w:hAnsi="仿宋" w:eastAsia="仿宋" w:cs="仿宋"/>
          <w:position w:val="-2"/>
        </w:rPr>
        <w:t xml:space="preserve">    </w:t>
      </w:r>
      <w:r>
        <w:rPr>
          <w:rFonts w:hint="eastAsia" w:ascii="仿宋" w:hAnsi="仿宋" w:eastAsia="仿宋" w:cs="仿宋"/>
          <w:kern w:val="0"/>
          <w:lang w:val="zh-CN"/>
        </w:rPr>
        <w:t>项目资金的分配始终坚持一个原则：全力保证工程项目顺利推进，确保资金公平合理地分配到项目建设的各个环节，提升项目质量和资金使用效益，实现资金落到实处，强化执行过程监督。</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（二）项目绩效目标。</w:t>
      </w:r>
    </w:p>
    <w:p>
      <w:pPr>
        <w:adjustRightInd w:val="0"/>
        <w:snapToGrid w:val="0"/>
        <w:spacing w:line="576" w:lineRule="exact"/>
        <w:contextualSpacing/>
        <w:rPr>
          <w:rFonts w:ascii="仿宋" w:hAnsi="仿宋" w:eastAsia="仿宋" w:cs="仿宋"/>
          <w:b/>
          <w:bCs/>
          <w:color w:val="FF0000"/>
          <w:kern w:val="0"/>
          <w:szCs w:val="32"/>
          <w:shd w:val="clear" w:color="auto" w:fill="FFFFFF"/>
          <w:lang w:val="zh-CN"/>
        </w:rPr>
      </w:pPr>
      <w:r>
        <w:rPr>
          <w:rFonts w:hint="eastAsia" w:ascii="仿宋" w:hAnsi="仿宋" w:eastAsia="仿宋" w:cs="仿宋"/>
          <w:b/>
          <w:bCs/>
          <w:position w:val="-2"/>
          <w:szCs w:val="32"/>
        </w:rPr>
        <w:t xml:space="preserve">    </w:t>
      </w:r>
      <w:r>
        <w:rPr>
          <w:rFonts w:hint="eastAsia" w:ascii="仿宋" w:hAnsi="仿宋" w:eastAsia="仿宋" w:cs="仿宋"/>
          <w:b/>
          <w:bCs/>
          <w:kern w:val="0"/>
          <w:szCs w:val="32"/>
          <w:shd w:val="clear" w:color="auto" w:fill="FFFFFF"/>
        </w:rPr>
        <w:t>1.</w:t>
      </w:r>
      <w:r>
        <w:rPr>
          <w:rFonts w:hint="eastAsia" w:ascii="仿宋" w:hAnsi="仿宋" w:eastAsia="仿宋" w:cs="仿宋"/>
          <w:b/>
          <w:bCs/>
          <w:kern w:val="0"/>
          <w:szCs w:val="32"/>
          <w:shd w:val="clear" w:color="auto" w:fill="FFFFFF"/>
          <w:lang w:val="zh-CN"/>
        </w:rPr>
        <w:t>项目主要内容</w:t>
      </w:r>
    </w:p>
    <w:p>
      <w:pPr>
        <w:widowControl/>
        <w:spacing w:line="576" w:lineRule="exac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szCs w:val="32"/>
        </w:rPr>
        <w:t>该项目估算总投资2168万元。主要建设内容为154座市城区港湾式公交站台（其中新建132座，改造22座），新建6座LCD智能电子站牌。</w:t>
      </w:r>
    </w:p>
    <w:p>
      <w:pPr>
        <w:adjustRightInd w:val="0"/>
        <w:snapToGrid w:val="0"/>
        <w:spacing w:line="576" w:lineRule="exact"/>
        <w:contextualSpacing/>
        <w:rPr>
          <w:rFonts w:ascii="仿宋" w:hAnsi="仿宋" w:eastAsia="仿宋" w:cs="仿宋"/>
          <w:b/>
          <w:bCs/>
          <w:color w:val="FF0000"/>
          <w:kern w:val="0"/>
          <w:szCs w:val="32"/>
          <w:shd w:val="clear" w:color="auto" w:fill="FFFFFF"/>
          <w:lang w:val="zh-CN"/>
        </w:rPr>
      </w:pPr>
      <w:r>
        <w:rPr>
          <w:rFonts w:hint="eastAsia" w:ascii="仿宋" w:hAnsi="仿宋" w:eastAsia="仿宋" w:cs="仿宋"/>
          <w:position w:val="-2"/>
          <w:szCs w:val="32"/>
        </w:rPr>
        <w:t xml:space="preserve"> </w:t>
      </w:r>
      <w:r>
        <w:rPr>
          <w:rFonts w:hint="eastAsia" w:ascii="仿宋" w:hAnsi="仿宋" w:eastAsia="仿宋" w:cs="仿宋"/>
          <w:b/>
          <w:bCs/>
          <w:position w:val="-2"/>
          <w:szCs w:val="32"/>
        </w:rPr>
        <w:t xml:space="preserve">   </w:t>
      </w:r>
      <w:r>
        <w:rPr>
          <w:rFonts w:hint="eastAsia" w:ascii="仿宋" w:hAnsi="仿宋" w:eastAsia="仿宋" w:cs="仿宋"/>
          <w:b/>
          <w:bCs/>
          <w:szCs w:val="32"/>
        </w:rPr>
        <w:t>2.</w:t>
      </w:r>
      <w:r>
        <w:rPr>
          <w:rFonts w:hint="eastAsia" w:ascii="仿宋" w:hAnsi="仿宋" w:eastAsia="仿宋" w:cs="仿宋"/>
          <w:b/>
          <w:bCs/>
          <w:szCs w:val="32"/>
          <w:lang w:val="zh-CN"/>
        </w:rPr>
        <w:t>项目绩效目标</w:t>
      </w:r>
    </w:p>
    <w:p>
      <w:pPr>
        <w:spacing w:line="576" w:lineRule="exact"/>
        <w:jc w:val="left"/>
        <w:rPr>
          <w:rFonts w:ascii="仿宋" w:hAnsi="仿宋" w:eastAsia="仿宋" w:cs="仿宋"/>
          <w:position w:val="-2"/>
          <w:szCs w:val="32"/>
          <w:lang w:val="zh-CN"/>
        </w:rPr>
      </w:pPr>
      <w:r>
        <w:rPr>
          <w:rFonts w:hint="eastAsia" w:ascii="仿宋" w:hAnsi="仿宋" w:eastAsia="仿宋" w:cs="仿宋"/>
          <w:position w:val="-2"/>
          <w:szCs w:val="32"/>
        </w:rPr>
        <w:t xml:space="preserve">    </w:t>
      </w:r>
      <w:r>
        <w:rPr>
          <w:rFonts w:hint="eastAsia" w:ascii="仿宋" w:hAnsi="仿宋" w:eastAsia="仿宋" w:cs="仿宋"/>
          <w:position w:val="-2"/>
          <w:szCs w:val="32"/>
          <w:lang w:val="zh-CN"/>
        </w:rPr>
        <w:t>我司在</w:t>
      </w:r>
      <w:r>
        <w:rPr>
          <w:rFonts w:hint="eastAsia" w:ascii="仿宋" w:hAnsi="仿宋" w:eastAsia="仿宋" w:cs="仿宋"/>
          <w:position w:val="-2"/>
          <w:szCs w:val="32"/>
        </w:rPr>
        <w:t>2016年开始建设，以前一直无标准的公交</w:t>
      </w:r>
      <w:r>
        <w:rPr>
          <w:rFonts w:hint="eastAsia" w:ascii="仿宋" w:hAnsi="仿宋" w:eastAsia="仿宋" w:cs="仿宋"/>
          <w:position w:val="-2"/>
          <w:szCs w:val="32"/>
          <w:lang w:val="zh-CN"/>
        </w:rPr>
        <w:t>站台，所有公交车运行无法停靠进站，不仅影响城市交通秩序及形象，而且存在严重的安全隐患。建设公交站台</w:t>
      </w:r>
      <w:r>
        <w:rPr>
          <w:rFonts w:hint="eastAsia" w:ascii="仿宋" w:hAnsi="仿宋" w:eastAsia="仿宋" w:cs="仿宋"/>
          <w:position w:val="-2"/>
          <w:szCs w:val="32"/>
        </w:rPr>
        <w:t>154座，</w:t>
      </w:r>
      <w:r>
        <w:rPr>
          <w:rFonts w:hint="eastAsia" w:ascii="仿宋" w:hAnsi="仿宋" w:eastAsia="仿宋" w:cs="仿宋"/>
          <w:position w:val="-2"/>
          <w:szCs w:val="32"/>
          <w:lang w:val="zh-CN"/>
        </w:rPr>
        <w:t>主要功能是减少公交车进出站时对交通的影响，满足市民安全乘车需求，对缓解市城区周边交通拥堵，保障市民安全出行具有十分重要的意义。</w:t>
      </w:r>
    </w:p>
    <w:p>
      <w:pPr>
        <w:pStyle w:val="42"/>
        <w:spacing w:before="93" w:line="576" w:lineRule="exact"/>
        <w:ind w:firstLine="0" w:firstLineChars="0"/>
        <w:rPr>
          <w:rFonts w:ascii="仿宋" w:hAnsi="仿宋" w:eastAsia="仿宋" w:cs="仿宋"/>
          <w:bCs/>
          <w:color w:val="auto"/>
          <w:sz w:val="32"/>
          <w:szCs w:val="32"/>
          <w:lang w:val="zh-CN"/>
        </w:rPr>
      </w:pPr>
      <w:r>
        <w:rPr>
          <w:rFonts w:hint="eastAsia" w:ascii="仿宋" w:hAnsi="仿宋" w:eastAsia="仿宋" w:cs="仿宋"/>
          <w:b w:val="0"/>
          <w:position w:val="-2"/>
          <w:sz w:val="32"/>
          <w:szCs w:val="32"/>
        </w:rPr>
        <w:t xml:space="preserve">  </w:t>
      </w:r>
      <w:r>
        <w:rPr>
          <w:rFonts w:hint="eastAsia" w:ascii="仿宋" w:hAnsi="仿宋" w:eastAsia="仿宋" w:cs="仿宋"/>
          <w:bCs/>
          <w:position w:val="-2"/>
          <w:sz w:val="32"/>
          <w:szCs w:val="32"/>
        </w:rPr>
        <w:t xml:space="preserve">  </w:t>
      </w:r>
      <w:r>
        <w:rPr>
          <w:rFonts w:hint="eastAsia" w:ascii="仿宋" w:hAnsi="仿宋" w:eastAsia="仿宋" w:cs="仿宋"/>
          <w:bCs/>
          <w:color w:val="auto"/>
          <w:sz w:val="32"/>
          <w:szCs w:val="32"/>
        </w:rPr>
        <w:t>3.</w:t>
      </w:r>
      <w:r>
        <w:rPr>
          <w:rFonts w:hint="eastAsia" w:ascii="仿宋" w:hAnsi="仿宋" w:eastAsia="仿宋" w:cs="仿宋"/>
          <w:bCs/>
          <w:color w:val="auto"/>
          <w:sz w:val="32"/>
          <w:szCs w:val="32"/>
          <w:lang w:val="zh-CN"/>
        </w:rPr>
        <w:t>资金申报相符性</w:t>
      </w:r>
    </w:p>
    <w:p>
      <w:pPr>
        <w:spacing w:line="576" w:lineRule="exact"/>
        <w:jc w:val="left"/>
        <w:rPr>
          <w:rFonts w:ascii="仿宋" w:hAnsi="仿宋" w:eastAsia="仿宋" w:cs="仿宋"/>
          <w:position w:val="-2"/>
          <w:szCs w:val="32"/>
          <w:lang w:val="zh-CN"/>
        </w:rPr>
      </w:pPr>
      <w:r>
        <w:rPr>
          <w:rFonts w:hint="eastAsia" w:ascii="仿宋" w:hAnsi="仿宋" w:eastAsia="仿宋" w:cs="仿宋"/>
          <w:position w:val="-2"/>
          <w:szCs w:val="32"/>
        </w:rPr>
        <w:t xml:space="preserve">    </w:t>
      </w:r>
      <w:r>
        <w:rPr>
          <w:rFonts w:hint="eastAsia" w:ascii="仿宋" w:hAnsi="仿宋" w:eastAsia="仿宋" w:cs="仿宋"/>
          <w:position w:val="-2"/>
          <w:szCs w:val="32"/>
          <w:lang w:val="zh-CN"/>
        </w:rPr>
        <w:t>我司申报的市城区港湾式公交站台项目建设资金全部用于该站台建设，与具体实施内容相符，申报目标合理可行。</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b/>
          <w:bCs/>
          <w:position w:val="-2"/>
          <w:szCs w:val="32"/>
        </w:rPr>
        <w:t xml:space="preserve">   </w:t>
      </w:r>
      <w:r>
        <w:rPr>
          <w:rFonts w:hint="eastAsia" w:ascii="仿宋" w:hAnsi="仿宋" w:eastAsia="仿宋" w:cs="仿宋"/>
          <w:b/>
          <w:bCs/>
          <w:szCs w:val="32"/>
          <w:lang w:val="zh-CN"/>
        </w:rPr>
        <w:t>（三）项目自评步骤及方法。</w:t>
      </w:r>
    </w:p>
    <w:p>
      <w:pPr>
        <w:pStyle w:val="42"/>
        <w:spacing w:before="93"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b w:val="0"/>
          <w:position w:val="-2"/>
          <w:sz w:val="32"/>
          <w:szCs w:val="32"/>
        </w:rPr>
        <w:t xml:space="preserve">    </w:t>
      </w:r>
      <w:r>
        <w:rPr>
          <w:rFonts w:hint="eastAsia" w:ascii="仿宋" w:hAnsi="仿宋" w:eastAsia="仿宋" w:cs="仿宋"/>
          <w:b w:val="0"/>
          <w:color w:val="auto"/>
          <w:sz w:val="32"/>
          <w:szCs w:val="32"/>
          <w:lang w:val="zh-CN"/>
        </w:rPr>
        <w:t>项目绩效自评</w:t>
      </w:r>
      <w:r>
        <w:rPr>
          <w:rFonts w:hint="eastAsia" w:ascii="仿宋" w:hAnsi="仿宋" w:eastAsia="仿宋" w:cs="仿宋"/>
          <w:b w:val="0"/>
          <w:color w:val="auto"/>
          <w:sz w:val="32"/>
          <w:szCs w:val="32"/>
        </w:rPr>
        <w:t>首先由广元公共交通公司经营发展中心员工和财务人员共同草拟自评报告，分别报项目和财务分管领导审核、最后由公司总经理审阅后再报送至项目主管单位（市国资委）。</w:t>
      </w:r>
    </w:p>
    <w:p>
      <w:pPr>
        <w:pStyle w:val="42"/>
        <w:spacing w:before="93" w:line="576" w:lineRule="exact"/>
        <w:ind w:firstLine="0" w:firstLineChars="0"/>
        <w:rPr>
          <w:rFonts w:ascii="仿宋" w:hAnsi="仿宋" w:eastAsia="仿宋" w:cs="仿宋"/>
          <w:bCs/>
          <w:color w:val="auto"/>
          <w:sz w:val="32"/>
          <w:szCs w:val="32"/>
        </w:rPr>
      </w:pPr>
      <w:r>
        <w:rPr>
          <w:rFonts w:hint="eastAsia" w:ascii="仿宋" w:hAnsi="仿宋" w:eastAsia="仿宋" w:cs="仿宋"/>
          <w:b w:val="0"/>
          <w:position w:val="-2"/>
          <w:sz w:val="32"/>
          <w:szCs w:val="32"/>
        </w:rPr>
        <w:t xml:space="preserve">    二、</w:t>
      </w:r>
      <w:r>
        <w:rPr>
          <w:rFonts w:hint="eastAsia" w:ascii="仿宋" w:hAnsi="仿宋" w:eastAsia="仿宋" w:cs="仿宋"/>
          <w:bCs/>
          <w:color w:val="auto"/>
          <w:sz w:val="32"/>
          <w:szCs w:val="32"/>
        </w:rPr>
        <w:t>项目资金申报及使用情况</w:t>
      </w:r>
    </w:p>
    <w:p>
      <w:pPr>
        <w:adjustRightInd w:val="0"/>
        <w:snapToGrid w:val="0"/>
        <w:spacing w:line="576" w:lineRule="exact"/>
        <w:rPr>
          <w:rFonts w:ascii="仿宋" w:hAnsi="仿宋" w:eastAsia="仿宋" w:cs="仿宋"/>
          <w:szCs w:val="32"/>
          <w:lang w:val="zh-CN"/>
        </w:rPr>
      </w:pPr>
      <w:r>
        <w:rPr>
          <w:rFonts w:hint="eastAsia" w:ascii="仿宋" w:hAnsi="仿宋" w:eastAsia="仿宋" w:cs="仿宋"/>
          <w:position w:val="-2"/>
          <w:szCs w:val="32"/>
        </w:rPr>
        <w:t xml:space="preserve">   （一）</w:t>
      </w:r>
      <w:r>
        <w:rPr>
          <w:rFonts w:hint="eastAsia" w:ascii="仿宋" w:hAnsi="仿宋" w:eastAsia="仿宋" w:cs="仿宋"/>
          <w:b/>
          <w:bCs/>
          <w:szCs w:val="32"/>
          <w:lang w:val="zh-CN"/>
        </w:rPr>
        <w:t>项目资金申报及批复情况。</w:t>
      </w:r>
    </w:p>
    <w:p>
      <w:pPr>
        <w:pStyle w:val="42"/>
        <w:spacing w:before="93"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b w:val="0"/>
          <w:position w:val="-2"/>
          <w:sz w:val="32"/>
          <w:szCs w:val="32"/>
        </w:rPr>
        <w:t xml:space="preserve">    </w:t>
      </w:r>
      <w:r>
        <w:rPr>
          <w:rFonts w:hint="eastAsia" w:ascii="仿宋" w:hAnsi="仿宋" w:eastAsia="仿宋" w:cs="仿宋"/>
          <w:b w:val="0"/>
          <w:color w:val="auto"/>
          <w:sz w:val="32"/>
          <w:szCs w:val="32"/>
        </w:rPr>
        <w:t>2022年2月14日，市财政局下达了《广元市财政局关于下达基金指标的通知》（广财投〔2022〕10号），</w:t>
      </w:r>
      <w:r>
        <w:rPr>
          <w:rFonts w:hint="eastAsia" w:ascii="仿宋" w:hAnsi="仿宋" w:eastAsia="仿宋" w:cs="仿宋"/>
          <w:b w:val="0"/>
          <w:color w:val="auto"/>
          <w:sz w:val="32"/>
          <w:szCs w:val="32"/>
          <w:lang w:val="zh-CN"/>
        </w:rPr>
        <w:t>20</w:t>
      </w:r>
      <w:r>
        <w:rPr>
          <w:rFonts w:hint="eastAsia" w:ascii="仿宋" w:hAnsi="仿宋" w:eastAsia="仿宋" w:cs="仿宋"/>
          <w:b w:val="0"/>
          <w:color w:val="auto"/>
          <w:sz w:val="32"/>
          <w:szCs w:val="32"/>
        </w:rPr>
        <w:t>22</w:t>
      </w:r>
      <w:r>
        <w:rPr>
          <w:rFonts w:hint="eastAsia" w:ascii="仿宋" w:hAnsi="仿宋" w:eastAsia="仿宋" w:cs="仿宋"/>
          <w:b w:val="0"/>
          <w:color w:val="auto"/>
          <w:sz w:val="32"/>
          <w:szCs w:val="32"/>
          <w:lang w:val="zh-CN"/>
        </w:rPr>
        <w:t>年财政预算安排市城区港湾式公交站台项目建设涉及的工程资金</w:t>
      </w:r>
      <w:r>
        <w:rPr>
          <w:rFonts w:hint="eastAsia" w:ascii="仿宋" w:hAnsi="仿宋" w:eastAsia="仿宋" w:cs="仿宋"/>
          <w:b w:val="0"/>
          <w:color w:val="auto"/>
          <w:sz w:val="32"/>
          <w:szCs w:val="32"/>
        </w:rPr>
        <w:t>105.95</w:t>
      </w:r>
      <w:r>
        <w:rPr>
          <w:rFonts w:hint="eastAsia" w:ascii="仿宋" w:hAnsi="仿宋" w:eastAsia="仿宋" w:cs="仿宋"/>
          <w:b w:val="0"/>
          <w:color w:val="auto"/>
          <w:sz w:val="32"/>
          <w:szCs w:val="32"/>
          <w:lang w:val="zh-CN"/>
        </w:rPr>
        <w:t>万元。</w:t>
      </w:r>
    </w:p>
    <w:p>
      <w:pPr>
        <w:pStyle w:val="42"/>
        <w:spacing w:before="93"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b w:val="0"/>
          <w:position w:val="-2"/>
          <w:sz w:val="32"/>
          <w:szCs w:val="32"/>
        </w:rPr>
        <w:t xml:space="preserve">  </w:t>
      </w:r>
      <w:r>
        <w:rPr>
          <w:rFonts w:hint="eastAsia" w:ascii="仿宋" w:hAnsi="仿宋" w:eastAsia="仿宋" w:cs="仿宋"/>
          <w:bCs/>
          <w:position w:val="-2"/>
          <w:sz w:val="32"/>
          <w:szCs w:val="32"/>
        </w:rPr>
        <w:t xml:space="preserve"> </w:t>
      </w:r>
      <w:r>
        <w:rPr>
          <w:rFonts w:hint="eastAsia" w:ascii="仿宋" w:hAnsi="仿宋" w:eastAsia="仿宋" w:cs="仿宋"/>
          <w:bCs/>
          <w:color w:val="auto"/>
          <w:sz w:val="32"/>
          <w:szCs w:val="32"/>
          <w:lang w:val="zh-CN"/>
        </w:rPr>
        <w:t>（</w:t>
      </w:r>
      <w:r>
        <w:rPr>
          <w:rFonts w:hint="eastAsia" w:ascii="仿宋" w:hAnsi="仿宋" w:eastAsia="仿宋" w:cs="仿宋"/>
          <w:bCs/>
          <w:color w:val="auto"/>
          <w:sz w:val="32"/>
          <w:szCs w:val="32"/>
        </w:rPr>
        <w:t>二</w:t>
      </w:r>
      <w:r>
        <w:rPr>
          <w:rFonts w:hint="eastAsia" w:ascii="仿宋" w:hAnsi="仿宋" w:eastAsia="仿宋" w:cs="仿宋"/>
          <w:bCs/>
          <w:color w:val="auto"/>
          <w:sz w:val="32"/>
          <w:szCs w:val="32"/>
          <w:lang w:val="zh-CN"/>
        </w:rPr>
        <w:t>）资金计划、到位及使用情况</w:t>
      </w:r>
      <w:r>
        <w:rPr>
          <w:rFonts w:hint="eastAsia" w:ascii="仿宋" w:hAnsi="仿宋" w:eastAsia="仿宋" w:cs="仿宋"/>
          <w:b w:val="0"/>
          <w:color w:val="auto"/>
          <w:sz w:val="32"/>
          <w:szCs w:val="32"/>
          <w:lang w:val="zh-CN"/>
        </w:rPr>
        <w:t>。</w:t>
      </w:r>
    </w:p>
    <w:p>
      <w:pPr>
        <w:pStyle w:val="42"/>
        <w:spacing w:before="93"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b w:val="0"/>
          <w:position w:val="-2"/>
          <w:sz w:val="32"/>
          <w:szCs w:val="32"/>
        </w:rPr>
        <w:t xml:space="preserve">    </w:t>
      </w:r>
      <w:r>
        <w:rPr>
          <w:rFonts w:hint="eastAsia" w:ascii="仿宋" w:hAnsi="仿宋" w:eastAsia="仿宋" w:cs="仿宋"/>
          <w:b w:val="0"/>
          <w:color w:val="auto"/>
          <w:sz w:val="32"/>
          <w:szCs w:val="32"/>
          <w:lang w:val="zh-CN"/>
        </w:rPr>
        <w:t>资金计划：</w:t>
      </w:r>
      <w:r>
        <w:rPr>
          <w:rFonts w:hint="eastAsia" w:ascii="仿宋" w:hAnsi="仿宋" w:eastAsia="仿宋" w:cs="仿宋"/>
          <w:b w:val="0"/>
          <w:color w:val="auto"/>
          <w:sz w:val="32"/>
          <w:szCs w:val="32"/>
        </w:rPr>
        <w:t>2022年度</w:t>
      </w:r>
      <w:r>
        <w:rPr>
          <w:rFonts w:hint="eastAsia" w:ascii="仿宋" w:hAnsi="仿宋" w:eastAsia="仿宋" w:cs="仿宋"/>
          <w:b w:val="0"/>
          <w:color w:val="auto"/>
          <w:sz w:val="32"/>
          <w:szCs w:val="32"/>
          <w:lang w:val="zh-CN"/>
        </w:rPr>
        <w:t>市城区港湾式公交站台项目</w:t>
      </w:r>
      <w:r>
        <w:rPr>
          <w:rFonts w:hint="eastAsia" w:ascii="仿宋" w:hAnsi="仿宋" w:eastAsia="仿宋" w:cs="仿宋"/>
          <w:b w:val="0"/>
          <w:color w:val="auto"/>
          <w:sz w:val="32"/>
          <w:szCs w:val="32"/>
        </w:rPr>
        <w:t>计划支付该项目</w:t>
      </w:r>
      <w:r>
        <w:rPr>
          <w:rFonts w:hint="eastAsia" w:ascii="仿宋" w:hAnsi="仿宋" w:eastAsia="仿宋" w:cs="仿宋"/>
          <w:b w:val="0"/>
          <w:color w:val="auto"/>
          <w:sz w:val="32"/>
          <w:szCs w:val="32"/>
          <w:lang w:val="zh-CN"/>
        </w:rPr>
        <w:t>尾款和保证金</w:t>
      </w:r>
      <w:r>
        <w:rPr>
          <w:rFonts w:hint="eastAsia" w:ascii="仿宋" w:hAnsi="仿宋" w:eastAsia="仿宋" w:cs="仿宋"/>
          <w:b w:val="0"/>
          <w:color w:val="auto"/>
          <w:sz w:val="32"/>
          <w:szCs w:val="32"/>
        </w:rPr>
        <w:t>105.95万元。</w:t>
      </w:r>
    </w:p>
    <w:p>
      <w:pPr>
        <w:pStyle w:val="42"/>
        <w:spacing w:before="93" w:line="576" w:lineRule="exact"/>
        <w:ind w:firstLine="0" w:firstLineChars="0"/>
        <w:rPr>
          <w:rFonts w:ascii="仿宋" w:hAnsi="仿宋" w:eastAsia="仿宋" w:cs="仿宋"/>
          <w:b w:val="0"/>
          <w:color w:val="auto"/>
          <w:sz w:val="32"/>
          <w:szCs w:val="32"/>
          <w:lang w:val="zh-CN"/>
        </w:rPr>
      </w:pPr>
      <w:r>
        <w:rPr>
          <w:rFonts w:hint="eastAsia" w:ascii="仿宋" w:hAnsi="仿宋" w:eastAsia="仿宋" w:cs="仿宋"/>
          <w:b w:val="0"/>
          <w:position w:val="-2"/>
          <w:sz w:val="32"/>
          <w:szCs w:val="32"/>
        </w:rPr>
        <w:t xml:space="preserve">    </w:t>
      </w:r>
      <w:r>
        <w:rPr>
          <w:rFonts w:hint="eastAsia" w:ascii="仿宋" w:hAnsi="仿宋" w:eastAsia="仿宋" w:cs="仿宋"/>
          <w:b w:val="0"/>
          <w:color w:val="auto"/>
          <w:sz w:val="32"/>
          <w:szCs w:val="32"/>
          <w:lang w:val="zh-CN"/>
        </w:rPr>
        <w:t>资金到位：20</w:t>
      </w:r>
      <w:r>
        <w:rPr>
          <w:rFonts w:hint="eastAsia" w:ascii="仿宋" w:hAnsi="仿宋" w:eastAsia="仿宋" w:cs="仿宋"/>
          <w:b w:val="0"/>
          <w:color w:val="auto"/>
          <w:sz w:val="32"/>
          <w:szCs w:val="32"/>
        </w:rPr>
        <w:t>22</w:t>
      </w:r>
      <w:r>
        <w:rPr>
          <w:rFonts w:hint="eastAsia" w:ascii="仿宋" w:hAnsi="仿宋" w:eastAsia="仿宋" w:cs="仿宋"/>
          <w:b w:val="0"/>
          <w:color w:val="auto"/>
          <w:sz w:val="32"/>
          <w:szCs w:val="32"/>
          <w:lang w:val="zh-CN"/>
        </w:rPr>
        <w:t>年</w:t>
      </w:r>
      <w:r>
        <w:rPr>
          <w:rFonts w:hint="eastAsia" w:ascii="仿宋" w:hAnsi="仿宋" w:eastAsia="仿宋" w:cs="仿宋"/>
          <w:b w:val="0"/>
          <w:color w:val="auto"/>
          <w:sz w:val="32"/>
          <w:szCs w:val="32"/>
        </w:rPr>
        <w:t>2</w:t>
      </w:r>
      <w:r>
        <w:rPr>
          <w:rFonts w:hint="eastAsia" w:ascii="仿宋" w:hAnsi="仿宋" w:eastAsia="仿宋" w:cs="仿宋"/>
          <w:b w:val="0"/>
          <w:color w:val="auto"/>
          <w:sz w:val="32"/>
          <w:szCs w:val="32"/>
          <w:lang w:val="zh-CN"/>
        </w:rPr>
        <w:t>月财政拨付市城区港湾式公交站台项目建设涉及的工程资金</w:t>
      </w:r>
      <w:r>
        <w:rPr>
          <w:rFonts w:hint="eastAsia" w:ascii="仿宋" w:hAnsi="仿宋" w:eastAsia="仿宋" w:cs="仿宋"/>
          <w:b w:val="0"/>
          <w:color w:val="auto"/>
          <w:sz w:val="32"/>
          <w:szCs w:val="32"/>
        </w:rPr>
        <w:t>105.95</w:t>
      </w:r>
      <w:r>
        <w:rPr>
          <w:rFonts w:hint="eastAsia" w:ascii="仿宋" w:hAnsi="仿宋" w:eastAsia="仿宋" w:cs="仿宋"/>
          <w:b w:val="0"/>
          <w:color w:val="auto"/>
          <w:sz w:val="32"/>
          <w:szCs w:val="32"/>
          <w:lang w:val="zh-CN"/>
        </w:rPr>
        <w:t>万元</w:t>
      </w:r>
      <w:r>
        <w:rPr>
          <w:rFonts w:hint="eastAsia" w:ascii="仿宋" w:hAnsi="仿宋" w:eastAsia="仿宋" w:cs="仿宋"/>
          <w:b w:val="0"/>
          <w:color w:val="auto"/>
          <w:sz w:val="32"/>
          <w:szCs w:val="32"/>
        </w:rPr>
        <w:t>。</w:t>
      </w:r>
    </w:p>
    <w:p>
      <w:pPr>
        <w:pStyle w:val="42"/>
        <w:spacing w:before="93" w:line="576" w:lineRule="exact"/>
        <w:rPr>
          <w:rFonts w:ascii="仿宋" w:hAnsi="仿宋" w:eastAsia="仿宋" w:cs="仿宋"/>
          <w:b w:val="0"/>
          <w:position w:val="-2"/>
          <w:sz w:val="32"/>
          <w:szCs w:val="32"/>
          <w:lang w:val="zh-CN"/>
        </w:rPr>
      </w:pPr>
      <w:r>
        <w:rPr>
          <w:rFonts w:hint="eastAsia" w:ascii="仿宋" w:hAnsi="仿宋" w:eastAsia="仿宋" w:cs="仿宋"/>
          <w:b w:val="0"/>
          <w:color w:val="auto"/>
          <w:sz w:val="32"/>
          <w:szCs w:val="32"/>
          <w:lang w:val="zh-CN"/>
        </w:rPr>
        <w:t>资金使用：我司对纳入财政基建预算的市城区港湾式公交站台项目造价预算均通过</w:t>
      </w:r>
      <w:r>
        <w:rPr>
          <w:rFonts w:hint="eastAsia" w:ascii="仿宋" w:hAnsi="仿宋" w:eastAsia="仿宋" w:cs="仿宋"/>
          <w:b w:val="0"/>
          <w:position w:val="-2"/>
          <w:sz w:val="32"/>
          <w:szCs w:val="32"/>
          <w:lang w:val="zh-CN"/>
        </w:rPr>
        <w:t>市财政局财评中心进行财评，并按照建设施工合同约定，已全部支付尾款和保证金</w:t>
      </w:r>
      <w:r>
        <w:rPr>
          <w:rFonts w:hint="eastAsia" w:ascii="仿宋" w:hAnsi="仿宋" w:eastAsia="仿宋" w:cs="仿宋"/>
          <w:b w:val="0"/>
          <w:position w:val="-2"/>
          <w:sz w:val="32"/>
          <w:szCs w:val="32"/>
        </w:rPr>
        <w:t>105.95</w:t>
      </w:r>
      <w:r>
        <w:rPr>
          <w:rFonts w:hint="eastAsia" w:ascii="仿宋" w:hAnsi="仿宋" w:eastAsia="仿宋" w:cs="仿宋"/>
          <w:b w:val="0"/>
          <w:position w:val="-2"/>
          <w:sz w:val="32"/>
          <w:szCs w:val="32"/>
          <w:lang w:val="zh-CN"/>
        </w:rPr>
        <w:t>万元，目前该项目已完工投入使用。</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b/>
          <w:bCs/>
          <w:position w:val="-2"/>
          <w:szCs w:val="32"/>
        </w:rPr>
        <w:t xml:space="preserve">   </w:t>
      </w:r>
      <w:r>
        <w:rPr>
          <w:rFonts w:hint="eastAsia" w:ascii="仿宋" w:hAnsi="仿宋" w:eastAsia="仿宋" w:cs="仿宋"/>
          <w:b/>
          <w:bCs/>
          <w:szCs w:val="32"/>
          <w:lang w:val="zh-CN"/>
        </w:rPr>
        <w:t>（三）项目财务管理情况。</w:t>
      </w:r>
    </w:p>
    <w:p>
      <w:pPr>
        <w:pStyle w:val="43"/>
        <w:shd w:val="clear" w:color="auto" w:fill="FFFFFF"/>
        <w:spacing w:line="576" w:lineRule="exact"/>
        <w:rPr>
          <w:rFonts w:ascii="仿宋" w:hAnsi="仿宋" w:eastAsia="仿宋" w:cs="仿宋"/>
          <w:szCs w:val="32"/>
          <w:lang w:val="zh-CN"/>
        </w:rPr>
      </w:pPr>
      <w:r>
        <w:rPr>
          <w:rFonts w:hint="eastAsia" w:ascii="仿宋" w:hAnsi="仿宋" w:eastAsia="仿宋" w:cs="仿宋"/>
          <w:kern w:val="2"/>
          <w:position w:val="-2"/>
          <w:szCs w:val="32"/>
        </w:rPr>
        <w:t xml:space="preserve">    </w:t>
      </w:r>
      <w:r>
        <w:rPr>
          <w:rFonts w:hint="eastAsia" w:ascii="仿宋" w:hAnsi="仿宋" w:eastAsia="仿宋" w:cs="仿宋"/>
          <w:szCs w:val="32"/>
          <w:lang w:val="zh-CN"/>
        </w:rPr>
        <w:t>项目财务管理制度健全，严格执行财务管理制度，账务处理及时，会计核算规范等。</w:t>
      </w:r>
    </w:p>
    <w:p>
      <w:pPr>
        <w:pStyle w:val="43"/>
        <w:shd w:val="clear" w:color="auto" w:fill="FFFFFF"/>
        <w:spacing w:line="576" w:lineRule="exact"/>
        <w:rPr>
          <w:rFonts w:ascii="仿宋" w:hAnsi="仿宋" w:eastAsia="仿宋" w:cs="仿宋"/>
          <w:b/>
          <w:bCs/>
          <w:kern w:val="2"/>
          <w:szCs w:val="32"/>
          <w:lang w:val="zh-CN"/>
        </w:rPr>
      </w:pPr>
      <w:r>
        <w:rPr>
          <w:rFonts w:hint="eastAsia" w:ascii="仿宋" w:hAnsi="仿宋" w:eastAsia="仿宋" w:cs="仿宋"/>
          <w:kern w:val="2"/>
          <w:position w:val="-2"/>
          <w:szCs w:val="32"/>
        </w:rPr>
        <w:t xml:space="preserve">    </w:t>
      </w:r>
      <w:r>
        <w:rPr>
          <w:rFonts w:hint="eastAsia" w:ascii="仿宋" w:hAnsi="仿宋" w:eastAsia="仿宋" w:cs="仿宋"/>
          <w:b/>
          <w:bCs/>
          <w:kern w:val="2"/>
          <w:position w:val="-2"/>
          <w:szCs w:val="32"/>
        </w:rPr>
        <w:t>三、</w:t>
      </w:r>
      <w:r>
        <w:rPr>
          <w:rFonts w:hint="eastAsia" w:ascii="仿宋" w:hAnsi="仿宋" w:eastAsia="仿宋" w:cs="仿宋"/>
          <w:b/>
          <w:bCs/>
          <w:kern w:val="2"/>
          <w:szCs w:val="32"/>
          <w:lang w:val="zh-CN"/>
        </w:rPr>
        <w:t>项目实施及管理情况</w:t>
      </w:r>
    </w:p>
    <w:p>
      <w:pPr>
        <w:spacing w:line="576" w:lineRule="exact"/>
        <w:jc w:val="left"/>
        <w:rPr>
          <w:rFonts w:ascii="仿宋" w:hAnsi="仿宋" w:eastAsia="仿宋" w:cs="仿宋"/>
          <w:szCs w:val="32"/>
          <w:lang w:val="zh-CN"/>
        </w:rPr>
      </w:pPr>
      <w:r>
        <w:rPr>
          <w:rFonts w:hint="eastAsia" w:ascii="仿宋" w:hAnsi="仿宋" w:eastAsia="仿宋" w:cs="仿宋"/>
          <w:position w:val="-2"/>
          <w:szCs w:val="32"/>
        </w:rPr>
        <w:t xml:space="preserve">    </w:t>
      </w:r>
      <w:r>
        <w:rPr>
          <w:rFonts w:hint="eastAsia" w:ascii="仿宋" w:hAnsi="仿宋" w:eastAsia="仿宋" w:cs="仿宋"/>
          <w:szCs w:val="32"/>
          <w:lang w:val="zh-CN"/>
        </w:rPr>
        <w:t>项目组织管理架构及具体实施流程，包括机构设置、监管措施、执行相关管理制度（招投标、政府采购、项目公示等）相关情况全部符合法律法规流程。</w:t>
      </w:r>
    </w:p>
    <w:p>
      <w:pPr>
        <w:spacing w:line="576" w:lineRule="exact"/>
        <w:jc w:val="left"/>
        <w:rPr>
          <w:rFonts w:ascii="仿宋" w:hAnsi="仿宋" w:eastAsia="仿宋" w:cs="仿宋"/>
          <w:szCs w:val="32"/>
        </w:rPr>
      </w:pPr>
      <w:r>
        <w:rPr>
          <w:rFonts w:hint="eastAsia" w:ascii="仿宋" w:hAnsi="仿宋" w:eastAsia="仿宋" w:cs="仿宋"/>
          <w:position w:val="-2"/>
          <w:szCs w:val="32"/>
        </w:rPr>
        <w:t xml:space="preserve">    </w:t>
      </w:r>
      <w:r>
        <w:rPr>
          <w:rFonts w:hint="eastAsia" w:ascii="仿宋" w:hAnsi="仿宋" w:eastAsia="仿宋" w:cs="仿宋"/>
          <w:szCs w:val="32"/>
          <w:lang w:val="zh-CN"/>
        </w:rPr>
        <w:t>其中：基建项目的基本建设程序均按照相关法律法规及施工合同执行，未出现违规违法行为。</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position w:val="-2"/>
          <w:szCs w:val="32"/>
        </w:rPr>
        <w:t xml:space="preserve"> </w:t>
      </w:r>
      <w:r>
        <w:rPr>
          <w:rFonts w:hint="eastAsia" w:ascii="仿宋" w:hAnsi="仿宋" w:eastAsia="仿宋" w:cs="仿宋"/>
          <w:b/>
          <w:bCs/>
          <w:szCs w:val="32"/>
          <w:lang w:val="zh-CN"/>
        </w:rPr>
        <w:t>四、项目绩效情况</w:t>
      </w:r>
      <w:r>
        <w:rPr>
          <w:rFonts w:hint="eastAsia" w:ascii="仿宋" w:hAnsi="仿宋" w:eastAsia="仿宋" w:cs="仿宋"/>
          <w:b/>
          <w:bCs/>
          <w:szCs w:val="32"/>
          <w:lang w:val="zh-CN"/>
        </w:rPr>
        <w:tab/>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（一）项目完成情况。</w:t>
      </w:r>
    </w:p>
    <w:p>
      <w:pPr>
        <w:pStyle w:val="43"/>
        <w:shd w:val="clear" w:color="auto" w:fill="FFFFFF"/>
        <w:spacing w:line="576" w:lineRule="exact"/>
        <w:rPr>
          <w:rFonts w:ascii="仿宋" w:hAnsi="仿宋" w:eastAsia="仿宋" w:cs="仿宋"/>
          <w:kern w:val="2"/>
          <w:szCs w:val="32"/>
        </w:rPr>
      </w:pPr>
      <w:r>
        <w:rPr>
          <w:rFonts w:hint="eastAsia" w:ascii="仿宋" w:hAnsi="仿宋" w:eastAsia="仿宋" w:cs="仿宋"/>
          <w:kern w:val="2"/>
          <w:position w:val="-2"/>
          <w:szCs w:val="32"/>
        </w:rPr>
        <w:t xml:space="preserve">    </w:t>
      </w:r>
      <w:r>
        <w:rPr>
          <w:rFonts w:hint="eastAsia" w:ascii="仿宋" w:hAnsi="仿宋" w:eastAsia="仿宋" w:cs="仿宋"/>
          <w:kern w:val="2"/>
          <w:szCs w:val="32"/>
        </w:rPr>
        <w:t>该项目于2015年12月开工建设，2019年4月经设计单位、建设单位、监理单位、施工单位验收质量合格。</w:t>
      </w:r>
    </w:p>
    <w:p>
      <w:pPr>
        <w:pStyle w:val="43"/>
        <w:shd w:val="clear" w:color="auto" w:fill="FFFFFF"/>
        <w:spacing w:line="576" w:lineRule="exact"/>
        <w:rPr>
          <w:rFonts w:ascii="仿宋" w:hAnsi="仿宋" w:eastAsia="仿宋" w:cs="仿宋"/>
          <w:kern w:val="2"/>
          <w:szCs w:val="32"/>
          <w:lang w:val="zh-CN"/>
        </w:rPr>
      </w:pPr>
      <w:r>
        <w:rPr>
          <w:rFonts w:hint="eastAsia" w:ascii="仿宋" w:hAnsi="仿宋" w:eastAsia="仿宋" w:cs="仿宋"/>
          <w:kern w:val="2"/>
          <w:position w:val="-2"/>
          <w:szCs w:val="32"/>
        </w:rPr>
        <w:t xml:space="preserve">    </w:t>
      </w:r>
      <w:r>
        <w:rPr>
          <w:rFonts w:hint="eastAsia" w:ascii="仿宋" w:hAnsi="仿宋" w:eastAsia="仿宋" w:cs="仿宋"/>
          <w:kern w:val="2"/>
          <w:szCs w:val="32"/>
          <w:lang w:val="zh-CN"/>
        </w:rPr>
        <w:t>项目严格按照计划及时间节点全面完成。其中较好的完成数量、质量、时效、成本的控制，</w:t>
      </w:r>
      <w:r>
        <w:rPr>
          <w:rFonts w:hint="eastAsia" w:ascii="仿宋" w:hAnsi="仿宋" w:eastAsia="仿宋" w:cs="仿宋"/>
          <w:kern w:val="2"/>
          <w:szCs w:val="32"/>
        </w:rPr>
        <w:t>项目资金与预算相符，无违法违规记录</w:t>
      </w:r>
      <w:r>
        <w:rPr>
          <w:rFonts w:hint="eastAsia" w:ascii="仿宋" w:hAnsi="仿宋" w:eastAsia="仿宋" w:cs="仿宋"/>
          <w:kern w:val="2"/>
          <w:szCs w:val="32"/>
          <w:lang w:val="zh-CN"/>
        </w:rPr>
        <w:t>等情况，截止评价时点项目已全部完成了任务量，经相关部门检测项目质量全部达标。项目进度、成本控制目标均按照原计划较好的实现。</w:t>
      </w:r>
    </w:p>
    <w:p>
      <w:pPr>
        <w:pStyle w:val="43"/>
        <w:shd w:val="clear" w:color="auto" w:fill="FFFFFF"/>
        <w:spacing w:line="576" w:lineRule="exact"/>
        <w:rPr>
          <w:rFonts w:ascii="仿宋" w:hAnsi="仿宋" w:eastAsia="仿宋" w:cs="仿宋"/>
          <w:szCs w:val="32"/>
          <w:lang w:val="zh-CN"/>
        </w:rPr>
      </w:pPr>
      <w:r>
        <w:rPr>
          <w:rFonts w:hint="eastAsia" w:ascii="仿宋" w:hAnsi="仿宋" w:eastAsia="仿宋" w:cs="仿宋"/>
          <w:kern w:val="2"/>
          <w:position w:val="-2"/>
          <w:szCs w:val="32"/>
        </w:rPr>
        <w:t xml:space="preserve">    </w:t>
      </w:r>
      <w:r>
        <w:rPr>
          <w:rFonts w:hint="eastAsia" w:ascii="仿宋" w:hAnsi="仿宋" w:eastAsia="仿宋" w:cs="仿宋"/>
          <w:b/>
          <w:bCs/>
          <w:szCs w:val="32"/>
          <w:lang w:val="zh-CN"/>
        </w:rPr>
        <w:t>（二）项目效益情况</w:t>
      </w:r>
      <w:r>
        <w:rPr>
          <w:rFonts w:hint="eastAsia" w:ascii="仿宋" w:hAnsi="仿宋" w:eastAsia="仿宋" w:cs="仿宋"/>
          <w:szCs w:val="32"/>
          <w:lang w:val="zh-CN"/>
        </w:rPr>
        <w:t>。</w:t>
      </w:r>
    </w:p>
    <w:p>
      <w:pPr>
        <w:spacing w:line="576" w:lineRule="exact"/>
        <w:jc w:val="left"/>
        <w:rPr>
          <w:rFonts w:ascii="仿宋" w:hAnsi="仿宋" w:eastAsia="仿宋" w:cs="仿宋"/>
          <w:szCs w:val="32"/>
          <w:lang w:val="zh-CN"/>
        </w:rPr>
      </w:pPr>
      <w:r>
        <w:rPr>
          <w:rFonts w:hint="eastAsia" w:ascii="仿宋" w:hAnsi="仿宋" w:eastAsia="仿宋" w:cs="仿宋"/>
          <w:position w:val="-2"/>
          <w:szCs w:val="32"/>
        </w:rPr>
        <w:t xml:space="preserve">    </w:t>
      </w:r>
      <w:r>
        <w:rPr>
          <w:rFonts w:hint="eastAsia" w:ascii="仿宋" w:hAnsi="仿宋" w:eastAsia="仿宋" w:cs="仿宋"/>
          <w:szCs w:val="32"/>
          <w:lang w:val="zh-CN"/>
        </w:rPr>
        <w:t>广元市城区港湾式公交站台建设项目系社会公益项目，该项目建设是以人为本、公交优先的理念，将“畅通、安全、便民”作为城市公交发展的原则，将有利于公交车辆与社会车辆分流，减少公交车进出站时对交通的影响，满足市民安全乘车需求，对缓解市城区周边交通拥堵，保障市民安全出行，提升城市形象，加快智慧城市的建设步伐，具有重要的意义。</w:t>
      </w:r>
    </w:p>
    <w:p>
      <w:pPr>
        <w:adjustRightInd w:val="0"/>
        <w:snapToGrid w:val="0"/>
        <w:spacing w:line="576" w:lineRule="exact"/>
        <w:rPr>
          <w:rFonts w:ascii="仿宋" w:hAnsi="仿宋" w:eastAsia="仿宋" w:cs="仿宋"/>
          <w:b/>
          <w:bCs/>
          <w:szCs w:val="32"/>
        </w:rPr>
      </w:pPr>
      <w:r>
        <w:rPr>
          <w:rFonts w:hint="eastAsia" w:ascii="仿宋" w:hAnsi="仿宋" w:eastAsia="仿宋" w:cs="仿宋"/>
          <w:position w:val="-2"/>
          <w:szCs w:val="32"/>
        </w:rPr>
        <w:t xml:space="preserve">    </w:t>
      </w:r>
      <w:r>
        <w:rPr>
          <w:rFonts w:hint="eastAsia" w:ascii="仿宋" w:hAnsi="仿宋" w:eastAsia="仿宋" w:cs="仿宋"/>
          <w:b/>
          <w:bCs/>
          <w:szCs w:val="32"/>
        </w:rPr>
        <w:t>五、评价结论及建议</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（一）评价结论。</w:t>
      </w:r>
    </w:p>
    <w:p>
      <w:pPr>
        <w:adjustRightInd w:val="0"/>
        <w:snapToGrid w:val="0"/>
        <w:spacing w:line="576" w:lineRule="exact"/>
        <w:contextualSpacing/>
        <w:rPr>
          <w:rFonts w:ascii="仿宋" w:hAnsi="仿宋" w:eastAsia="仿宋" w:cs="仿宋"/>
          <w:kern w:val="0"/>
          <w:szCs w:val="32"/>
          <w:shd w:val="clear" w:color="auto" w:fill="FFFFFF"/>
          <w:lang w:val="zh-CN"/>
        </w:rPr>
      </w:pPr>
      <w:r>
        <w:rPr>
          <w:rFonts w:hint="eastAsia" w:ascii="仿宋" w:hAnsi="仿宋" w:eastAsia="仿宋" w:cs="仿宋"/>
          <w:position w:val="-2"/>
          <w:szCs w:val="32"/>
        </w:rPr>
        <w:t xml:space="preserve">    </w:t>
      </w:r>
      <w:r>
        <w:rPr>
          <w:rFonts w:hint="eastAsia" w:ascii="仿宋" w:hAnsi="仿宋" w:eastAsia="仿宋" w:cs="仿宋"/>
          <w:szCs w:val="32"/>
        </w:rPr>
        <w:t>市城区港湾式公交站台项目在施工建设、施工管理以及项目审计等方面均未出现各类违法违规问题。并</w:t>
      </w:r>
      <w:r>
        <w:rPr>
          <w:rFonts w:hint="eastAsia" w:ascii="仿宋" w:hAnsi="仿宋" w:eastAsia="仿宋" w:cs="仿宋"/>
          <w:kern w:val="0"/>
          <w:szCs w:val="32"/>
          <w:shd w:val="clear" w:color="auto" w:fill="FFFFFF"/>
          <w:lang w:val="zh-CN"/>
        </w:rPr>
        <w:t>满足了市民安全乘车需求，及缓解了市城区周边交通拥堵，保障了市民安全出行，提升了城市形象，加快了智慧城市的建设步伐。</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szCs w:val="32"/>
          <w:lang w:val="zh-CN"/>
        </w:rPr>
        <w:t>二）存在的问题。</w:t>
      </w:r>
    </w:p>
    <w:p>
      <w:pPr>
        <w:adjustRightInd w:val="0"/>
        <w:snapToGrid w:val="0"/>
        <w:spacing w:line="576" w:lineRule="exact"/>
        <w:contextualSpacing/>
        <w:rPr>
          <w:rFonts w:ascii="仿宋" w:hAnsi="仿宋" w:eastAsia="仿宋" w:cs="仿宋"/>
          <w:kern w:val="0"/>
          <w:szCs w:val="32"/>
          <w:shd w:val="clear" w:color="auto" w:fill="FFFFFF"/>
        </w:rPr>
      </w:pPr>
      <w:r>
        <w:rPr>
          <w:rFonts w:hint="eastAsia" w:ascii="仿宋" w:hAnsi="仿宋" w:eastAsia="仿宋" w:cs="仿宋"/>
          <w:position w:val="-2"/>
          <w:szCs w:val="32"/>
        </w:rPr>
        <w:t xml:space="preserve">    </w:t>
      </w:r>
      <w:r>
        <w:rPr>
          <w:rFonts w:hint="eastAsia" w:ascii="仿宋" w:hAnsi="仿宋" w:eastAsia="仿宋" w:cs="仿宋"/>
          <w:kern w:val="0"/>
          <w:szCs w:val="32"/>
          <w:shd w:val="clear" w:color="auto" w:fill="FFFFFF"/>
          <w:lang w:val="zh-CN"/>
        </w:rPr>
        <w:t>市城区部分站台未建有港湾式站台，影响市民乘车安全出行。</w:t>
      </w:r>
    </w:p>
    <w:p>
      <w:pPr>
        <w:adjustRightInd w:val="0"/>
        <w:snapToGrid w:val="0"/>
        <w:spacing w:line="576" w:lineRule="exact"/>
        <w:rPr>
          <w:rFonts w:ascii="仿宋" w:hAnsi="仿宋" w:eastAsia="仿宋" w:cs="仿宋"/>
          <w:b/>
          <w:bCs/>
          <w:szCs w:val="32"/>
          <w:lang w:val="zh-CN"/>
        </w:rPr>
      </w:pPr>
      <w:r>
        <w:rPr>
          <w:rFonts w:hint="eastAsia" w:ascii="仿宋" w:hAnsi="仿宋" w:eastAsia="仿宋" w:cs="仿宋"/>
          <w:position w:val="-2"/>
          <w:szCs w:val="32"/>
        </w:rPr>
        <w:t xml:space="preserve">  </w:t>
      </w:r>
      <w:r>
        <w:rPr>
          <w:rFonts w:hint="eastAsia" w:ascii="仿宋" w:hAnsi="仿宋" w:eastAsia="仿宋" w:cs="仿宋"/>
          <w:b/>
          <w:bCs/>
          <w:position w:val="-2"/>
          <w:szCs w:val="32"/>
        </w:rPr>
        <w:t xml:space="preserve"> </w:t>
      </w:r>
      <w:r>
        <w:rPr>
          <w:rFonts w:hint="eastAsia" w:ascii="仿宋" w:hAnsi="仿宋" w:eastAsia="仿宋" w:cs="仿宋"/>
          <w:b/>
          <w:bCs/>
          <w:szCs w:val="32"/>
          <w:lang w:val="zh-CN"/>
        </w:rPr>
        <w:t>（三）相关建议。</w:t>
      </w:r>
    </w:p>
    <w:p>
      <w:pPr>
        <w:adjustRightInd w:val="0"/>
        <w:snapToGrid w:val="0"/>
        <w:spacing w:line="576" w:lineRule="exact"/>
        <w:contextualSpacing/>
        <w:rPr>
          <w:rFonts w:ascii="仿宋" w:hAnsi="仿宋" w:eastAsia="仿宋" w:cs="仿宋"/>
          <w:kern w:val="0"/>
          <w:szCs w:val="32"/>
          <w:shd w:val="clear" w:color="auto" w:fill="FFFFFF"/>
          <w:lang w:val="zh-CN"/>
        </w:rPr>
      </w:pPr>
      <w:r>
        <w:rPr>
          <w:rFonts w:hint="eastAsia" w:ascii="仿宋" w:hAnsi="仿宋" w:eastAsia="仿宋" w:cs="仿宋"/>
          <w:position w:val="-2"/>
          <w:szCs w:val="32"/>
        </w:rPr>
        <w:t xml:space="preserve">    </w:t>
      </w:r>
      <w:r>
        <w:rPr>
          <w:rFonts w:hint="eastAsia" w:ascii="仿宋" w:hAnsi="仿宋" w:eastAsia="仿宋" w:cs="仿宋"/>
          <w:kern w:val="0"/>
          <w:szCs w:val="32"/>
          <w:shd w:val="clear" w:color="auto" w:fill="FFFFFF"/>
          <w:lang w:val="zh-CN"/>
        </w:rPr>
        <w:t>为了市政容貌，市民出行安全便利，建议政府可把市城区公交站台全部修建成港湾式站台。</w:t>
      </w: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left"/>
        <w:rPr>
          <w:rFonts w:ascii="宋体" w:hAnsi="宋体"/>
          <w:color w:val="auto"/>
          <w:kern w:val="2"/>
          <w:sz w:val="32"/>
          <w:szCs w:val="32"/>
          <w:lang w:val="en-US"/>
        </w:rPr>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万源农村路网建设项目</w:t>
      </w:r>
      <w:r>
        <w:rPr>
          <w:rFonts w:hint="eastAsia" w:ascii="仿宋_GB2312"/>
          <w:sz w:val="32"/>
          <w:szCs w:val="32"/>
        </w:rPr>
        <w:t>）</w:t>
      </w:r>
    </w:p>
    <w:p>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（一）项目基本情况。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万源农村路网</w:t>
      </w:r>
      <w:r>
        <w:rPr>
          <w:rFonts w:hint="eastAsia" w:ascii="仿宋_GB2312" w:hAnsi="仿宋_GB2312" w:cs="仿宋_GB2312"/>
          <w:kern w:val="0"/>
          <w:shd w:val="clear" w:color="auto" w:fill="FFFFFF"/>
          <w:lang w:val="zh-CN"/>
        </w:rPr>
        <w:t>建设项目业主为广元市投资发展集团有限公司，</w:t>
      </w:r>
      <w:r>
        <w:rPr>
          <w:rFonts w:hint="eastAsia" w:ascii="仿宋_GB2312" w:hAnsi="仿宋_GB2312" w:cs="仿宋_GB2312"/>
          <w:kern w:val="0"/>
          <w:shd w:val="clear" w:color="auto" w:fill="FFFFFF"/>
        </w:rPr>
        <w:t>负责项目建设，内容包括万源新区道路、桥梁、安置还房和其他基础配套设施建设项目 ，</w:t>
      </w:r>
      <w:r>
        <w:rPr>
          <w:rFonts w:hint="eastAsia" w:ascii="仿宋_GB2312" w:hAnsi="仿宋_GB2312" w:cs="仿宋_GB2312"/>
          <w:kern w:val="0"/>
          <w:shd w:val="clear" w:color="auto" w:fill="FFFFFF"/>
          <w:lang w:val="zh-CN"/>
        </w:rPr>
        <w:t>业主主管部门为市国资委，监督项目建设是否按计划进度安全有序推进等。</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项目立项</w:t>
      </w:r>
      <w:r>
        <w:rPr>
          <w:rFonts w:hint="eastAsia" w:ascii="仿宋_GB2312" w:hAnsi="仿宋_GB2312" w:cs="仿宋_GB2312"/>
          <w:kern w:val="0"/>
          <w:shd w:val="clear" w:color="auto" w:fill="FFFFFF"/>
        </w:rPr>
        <w:t>经可行性论证，上报申请项目立项，</w:t>
      </w:r>
      <w:r>
        <w:rPr>
          <w:rFonts w:hint="eastAsia" w:ascii="仿宋_GB2312" w:hAnsi="仿宋_GB2312" w:cs="仿宋_GB2312"/>
          <w:szCs w:val="32"/>
        </w:rPr>
        <w:t>利州区万源村农村路网建设项目立项情况：2009年6月10日立项，广发改投资（2009）139号文《关于利州区万源村农村路网建设项目可行性研究报告及立项的批复》，2019年因建设规划调整，经市政府常务会议和市委常委会讨论同意调整概算，</w:t>
      </w:r>
      <w:r>
        <w:rPr>
          <w:rFonts w:hint="eastAsia" w:ascii="仿宋_GB2312" w:hAnsi="仿宋_GB2312" w:cs="仿宋_GB2312"/>
          <w:kern w:val="0"/>
          <w:szCs w:val="32"/>
          <w:shd w:val="clear" w:color="auto" w:fill="FFFFFF"/>
        </w:rPr>
        <w:t>资金申报依据为2022年财政预算资金计划。</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财政安排预算资金外，不足部分的万源农村路网建设项目资金通过债务解决已全部录入财政部隐性债务系统锁定，制定了相应的项目管理制度，严格资金收支管理。</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资金分配考虑缓急情况和建设进度，</w:t>
      </w:r>
      <w:r>
        <w:rPr>
          <w:rFonts w:hint="eastAsia" w:ascii="仿宋_GB2312" w:hAnsi="仿宋_GB2312" w:cs="仿宋_GB2312"/>
          <w:kern w:val="0"/>
          <w:shd w:val="clear" w:color="auto" w:fill="FFFFFF"/>
          <w:lang w:val="zh-CN"/>
        </w:rPr>
        <w:t>所有项目点实施完成</w:t>
      </w:r>
      <w:r>
        <w:rPr>
          <w:rFonts w:hint="eastAsia" w:ascii="仿宋_GB2312" w:hAnsi="仿宋_GB2312" w:cs="仿宋_GB2312"/>
          <w:kern w:val="0"/>
          <w:shd w:val="clear" w:color="auto" w:fill="FFFFFF"/>
        </w:rPr>
        <w:t>后应予支付资金，项目建设情况与</w:t>
      </w:r>
      <w:r>
        <w:rPr>
          <w:rFonts w:hint="eastAsia" w:ascii="仿宋_GB2312" w:hAnsi="仿宋_GB2312" w:cs="仿宋_GB2312"/>
          <w:kern w:val="0"/>
          <w:shd w:val="clear" w:color="auto" w:fill="FFFFFF"/>
          <w:lang w:val="zh-CN"/>
        </w:rPr>
        <w:t>计划情况进行对比</w:t>
      </w:r>
      <w:r>
        <w:rPr>
          <w:rFonts w:hint="eastAsia" w:ascii="仿宋_GB2312" w:hAnsi="仿宋_GB2312" w:cs="仿宋_GB2312"/>
          <w:kern w:val="0"/>
          <w:shd w:val="clear" w:color="auto" w:fill="FFFFFF"/>
        </w:rPr>
        <w:t>其完成质量</w:t>
      </w:r>
      <w:r>
        <w:rPr>
          <w:rFonts w:hint="eastAsia" w:ascii="仿宋_GB2312" w:hAnsi="仿宋_GB2312" w:cs="仿宋_GB2312"/>
          <w:kern w:val="0"/>
          <w:shd w:val="clear" w:color="auto" w:fill="FFFFFF"/>
          <w:lang w:val="zh-CN"/>
        </w:rPr>
        <w:t>。</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（二）项目绩效目标。</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kern w:val="0"/>
          <w:szCs w:val="32"/>
          <w:shd w:val="clear" w:color="auto" w:fill="FFFFFF"/>
        </w:rPr>
        <w:t>1.</w:t>
      </w:r>
      <w:r>
        <w:rPr>
          <w:rFonts w:hint="eastAsia" w:ascii="仿宋_GB2312" w:hAnsi="仿宋_GB2312" w:cs="仿宋_GB2312"/>
          <w:kern w:val="0"/>
          <w:szCs w:val="32"/>
          <w:shd w:val="clear" w:color="auto" w:fill="FFFFFF"/>
          <w:lang w:val="zh-CN"/>
        </w:rPr>
        <w:t>项目主要内容</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新建安置还房小区共三处，总建筑面积达34.8万平方米，建成安置还房2378套，新建道路12条，全长11.077公里，新建桥梁1座，全长872米，电力通道1030和6449米，并建设公共基础配套设施。2022年按计划完成投资建设任务。</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按建设任务安排，</w:t>
      </w:r>
      <w:r>
        <w:rPr>
          <w:rFonts w:hint="eastAsia" w:ascii="仿宋_GB2312" w:hAnsi="仿宋_GB2312" w:cs="仿宋_GB2312"/>
          <w:kern w:val="0"/>
          <w:shd w:val="clear" w:color="auto" w:fill="FFFFFF"/>
          <w:lang w:val="zh-CN"/>
        </w:rPr>
        <w:t>我司在</w:t>
      </w:r>
      <w:r>
        <w:rPr>
          <w:rFonts w:hint="eastAsia" w:ascii="仿宋_GB2312" w:hAnsi="仿宋_GB2312" w:cs="仿宋_GB2312"/>
          <w:kern w:val="0"/>
          <w:shd w:val="clear" w:color="auto" w:fill="FFFFFF"/>
        </w:rPr>
        <w:t>2013年开始建设，着力打造新区建设</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至目前，已完成建设任务，各项目于2014到2021年移交有关部门管理，电力通道建设对推进广元市政基础设施建设中电力运输进程，提高为社会公众服务质量、促进社会经济增长和解决城市就业问题及城市生态环境的建设有着重要的意义；道路建设为市民出行提供了交通便利，</w:t>
      </w:r>
      <w:r>
        <w:rPr>
          <w:rFonts w:hint="eastAsia" w:ascii="仿宋_GB2312" w:hAnsi="仿宋_GB2312" w:cs="仿宋_GB2312"/>
          <w:kern w:val="0"/>
          <w:shd w:val="clear" w:color="auto" w:fill="FFFFFF"/>
          <w:lang w:val="zh-CN"/>
        </w:rPr>
        <w:t>缓解</w:t>
      </w:r>
      <w:r>
        <w:rPr>
          <w:rFonts w:hint="eastAsia" w:ascii="仿宋_GB2312" w:hAnsi="仿宋_GB2312" w:cs="仿宋_GB2312"/>
          <w:kern w:val="0"/>
          <w:shd w:val="clear" w:color="auto" w:fill="FFFFFF"/>
        </w:rPr>
        <w:t>了</w:t>
      </w:r>
      <w:r>
        <w:rPr>
          <w:rFonts w:hint="eastAsia" w:ascii="仿宋_GB2312" w:hAnsi="仿宋_GB2312" w:cs="仿宋_GB2312"/>
          <w:kern w:val="0"/>
          <w:shd w:val="clear" w:color="auto" w:fill="FFFFFF"/>
          <w:lang w:val="zh-CN"/>
        </w:rPr>
        <w:t>市城区周边交通拥堵、改善城乡居民的人居环境和城市交通通行状况、促进社会经济增长和解决城市就业问题及城市生态环境的建设有着重要的意义</w:t>
      </w:r>
      <w:r>
        <w:rPr>
          <w:rFonts w:hint="eastAsia" w:ascii="仿宋_GB2312" w:hAnsi="仿宋_GB2312" w:cs="仿宋_GB2312"/>
          <w:kern w:val="0"/>
          <w:shd w:val="clear" w:color="auto" w:fill="FFFFFF"/>
        </w:rPr>
        <w:t>；征拆安置对㧵展城市空间，推进广元市政基础设施建设进程，提高为社会公众服务质量，改善城乡居民的人居环境、促进社会经济增长和解决城市就业问题有着重要的意义。各项目的建设并为我市发展规划提供了先决条件。</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项目</w:t>
      </w:r>
      <w:r>
        <w:rPr>
          <w:rFonts w:hint="eastAsia" w:ascii="仿宋_GB2312" w:hAnsi="仿宋_GB2312" w:cs="仿宋_GB2312"/>
          <w:kern w:val="0"/>
          <w:shd w:val="clear" w:color="auto" w:fill="FFFFFF"/>
          <w:lang w:val="zh-CN"/>
        </w:rPr>
        <w:t>申报内容与实际相符，申报目标合理可行。截止2022年年底，</w:t>
      </w:r>
      <w:r>
        <w:rPr>
          <w:rFonts w:hint="eastAsia" w:ascii="仿宋_GB2312" w:hAnsi="仿宋_GB2312" w:cs="仿宋_GB2312"/>
          <w:kern w:val="0"/>
          <w:shd w:val="clear" w:color="auto" w:fill="FFFFFF"/>
        </w:rPr>
        <w:t>万源农村路网建设项目已投资21亿元其中万源10KV电力通道工程（21号路段）、万源21号路道路工程建设项目、万源二号安置点（二期）建设项目均完成既定建设任务，当年资金来源其中财政拨款7300万元，其余资金为我公司垫支，我公司根据2022年财政预算资金安排，在预算范围内申请，根据我公司垫支的工程款凭据据实申报。</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项目绩效自评采用的组织实施步骤及方法。第一步根据申报目标，以广财绩</w:t>
      </w:r>
      <w:r>
        <w:rPr>
          <w:rFonts w:hint="eastAsia" w:ascii="仿宋_GB2312" w:hAnsi="仿宋_GB2312" w:cs="仿宋_GB2312"/>
          <w:kern w:val="0"/>
          <w:shd w:val="clear" w:color="auto" w:fill="FFFFFF"/>
        </w:rPr>
        <w:t>〔2023〕5号文为指导</w:t>
      </w:r>
      <w:r>
        <w:rPr>
          <w:rFonts w:hint="eastAsia" w:ascii="仿宋_GB2312" w:hAnsi="仿宋_GB2312" w:cs="仿宋_GB2312"/>
          <w:kern w:val="0"/>
          <w:shd w:val="clear" w:color="auto" w:fill="FFFFFF"/>
          <w:lang w:val="zh-CN"/>
        </w:rPr>
        <w:t>，填报2023年市级专项资金预算项目支出绩效评价指标体系自评得分表；第二步填报2023年市级专项资金预算项目支出绩效自评报告；第三步上报主管部门。</w:t>
      </w:r>
    </w:p>
    <w:p>
      <w:pPr>
        <w:adjustRightInd w:val="0"/>
        <w:snapToGrid w:val="0"/>
        <w:spacing w:line="578" w:lineRule="exact"/>
        <w:ind w:firstLine="640" w:firstLineChars="200"/>
        <w:rPr>
          <w:rFonts w:ascii="黑体" w:hAnsi="宋体" w:eastAsia="黑体"/>
        </w:rPr>
      </w:pPr>
      <w:r>
        <w:rPr>
          <w:rFonts w:hint="eastAsia" w:ascii="黑体" w:hAnsi="宋体" w:eastAsia="黑体"/>
        </w:rPr>
        <w:t>二、项目资金申报及使用情况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cs="仿宋_GB2312"/>
          <w:kern w:val="0"/>
          <w:shd w:val="clear" w:color="auto" w:fill="FFFFFF"/>
        </w:rPr>
        <w:t>2021年末，我公司根据万源农村路网建设完成投资情况及资金急需情况，向市国资委报送年度资金需求计划，市财政局根据当年预算安排情况，拟定年度基建项目资金计划，项目年度计划资金安排7300万元，市财政局于12月下达《关于下达基金指标的通知》广财投</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2022</w:t>
      </w:r>
      <w:r>
        <w:rPr>
          <w:rFonts w:hint="eastAsia" w:ascii="仿宋_GB2312" w:hAnsi="仿宋_GB2312" w:cs="仿宋_GB2312"/>
          <w:kern w:val="0"/>
          <w:shd w:val="clear" w:color="auto" w:fill="FFFFFF"/>
          <w:lang w:val="zh-CN"/>
        </w:rPr>
        <w:t>〕</w:t>
      </w:r>
      <w:r>
        <w:rPr>
          <w:rFonts w:hint="eastAsia" w:ascii="仿宋_GB2312" w:hAnsi="仿宋_GB2312" w:cs="仿宋_GB2312"/>
          <w:kern w:val="0"/>
          <w:shd w:val="clear" w:color="auto" w:fill="FFFFFF"/>
        </w:rPr>
        <w:t>147号指标文。</w:t>
      </w:r>
    </w:p>
    <w:p>
      <w:pPr>
        <w:adjustRightInd w:val="0"/>
        <w:snapToGrid w:val="0"/>
        <w:spacing w:line="578" w:lineRule="exact"/>
        <w:ind w:firstLine="480" w:firstLineChars="150"/>
        <w:rPr>
          <w:rFonts w:ascii="仿宋_GB2312" w:hAnsi="宋体"/>
          <w:lang w:val="zh-CN"/>
        </w:rPr>
      </w:pPr>
      <w:r>
        <w:rPr>
          <w:rFonts w:hint="eastAsia" w:ascii="楷体_GB2312" w:hAnsi="宋体" w:eastAsia="楷体_GB231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资金计划：20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年财政预算安排资金</w:t>
      </w:r>
      <w:r>
        <w:rPr>
          <w:rFonts w:hint="eastAsia" w:ascii="仿宋_GB2312" w:hAnsi="仿宋_GB2312" w:cs="仿宋_GB2312"/>
          <w:kern w:val="0"/>
          <w:shd w:val="clear" w:color="auto" w:fill="FFFFFF"/>
        </w:rPr>
        <w:t>7300</w:t>
      </w:r>
      <w:r>
        <w:rPr>
          <w:rFonts w:hint="eastAsia" w:ascii="仿宋_GB2312" w:hAnsi="仿宋_GB2312" w:cs="仿宋_GB2312"/>
          <w:kern w:val="0"/>
          <w:shd w:val="clear" w:color="auto" w:fill="FFFFFF"/>
          <w:lang w:val="zh-CN"/>
        </w:rPr>
        <w:t>万元。</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资金到位：20</w:t>
      </w:r>
      <w:r>
        <w:rPr>
          <w:rFonts w:hint="eastAsia" w:ascii="仿宋_GB2312" w:hAnsi="仿宋_GB2312" w:cs="仿宋_GB2312"/>
          <w:kern w:val="0"/>
          <w:shd w:val="clear" w:color="auto" w:fill="FFFFFF"/>
        </w:rPr>
        <w:t>22</w:t>
      </w:r>
      <w:r>
        <w:rPr>
          <w:rFonts w:hint="eastAsia" w:ascii="仿宋_GB2312" w:hAnsi="仿宋_GB2312" w:cs="仿宋_GB2312"/>
          <w:kern w:val="0"/>
          <w:shd w:val="clear" w:color="auto" w:fill="FFFFFF"/>
          <w:lang w:val="zh-CN"/>
        </w:rPr>
        <w:t>年</w:t>
      </w:r>
      <w:r>
        <w:rPr>
          <w:rFonts w:hint="eastAsia" w:ascii="仿宋_GB2312" w:hAnsi="仿宋_GB2312" w:cs="仿宋_GB2312"/>
          <w:kern w:val="0"/>
          <w:shd w:val="clear" w:color="auto" w:fill="FFFFFF"/>
        </w:rPr>
        <w:t>11月</w:t>
      </w:r>
      <w:r>
        <w:rPr>
          <w:rFonts w:hint="eastAsia" w:ascii="仿宋_GB2312" w:hAnsi="仿宋_GB2312" w:cs="仿宋_GB2312"/>
          <w:kern w:val="0"/>
          <w:shd w:val="clear" w:color="auto" w:fill="FFFFFF"/>
          <w:lang w:val="zh-CN"/>
        </w:rPr>
        <w:t>财政拨付项目建设涉及的资金</w:t>
      </w:r>
      <w:r>
        <w:rPr>
          <w:rFonts w:hint="eastAsia" w:ascii="仿宋_GB2312" w:hAnsi="仿宋_GB2312" w:cs="仿宋_GB2312"/>
          <w:kern w:val="0"/>
          <w:shd w:val="clear" w:color="auto" w:fill="FFFFFF"/>
        </w:rPr>
        <w:t>7300</w:t>
      </w:r>
      <w:r>
        <w:rPr>
          <w:rFonts w:hint="eastAsia" w:ascii="仿宋_GB2312" w:hAnsi="仿宋_GB2312" w:cs="仿宋_GB2312"/>
          <w:kern w:val="0"/>
          <w:shd w:val="clear" w:color="auto" w:fill="FFFFFF"/>
          <w:lang w:val="zh-CN"/>
        </w:rPr>
        <w:t>万元，</w:t>
      </w:r>
      <w:r>
        <w:rPr>
          <w:rFonts w:hint="eastAsia" w:ascii="仿宋_GB2312" w:hAnsi="仿宋_GB2312" w:cs="仿宋_GB2312"/>
          <w:kern w:val="0"/>
          <w:shd w:val="clear" w:color="auto" w:fill="FFFFFF"/>
        </w:rPr>
        <w:t>其中万源10KV电力通道工程（21号路段）300万元、万源21号路道路工程建设项目3000万元、万源二号安置点（二期）建设项目4000万元，</w:t>
      </w:r>
      <w:r>
        <w:rPr>
          <w:rFonts w:hint="eastAsia" w:ascii="仿宋_GB2312" w:hAnsi="仿宋_GB2312" w:cs="仿宋_GB2312"/>
          <w:kern w:val="0"/>
          <w:shd w:val="clear" w:color="auto" w:fill="FFFFFF"/>
          <w:lang w:val="zh-CN"/>
        </w:rPr>
        <w:t>资金到位率为</w:t>
      </w:r>
      <w:r>
        <w:rPr>
          <w:rFonts w:hint="eastAsia" w:ascii="仿宋_GB2312" w:hAnsi="仿宋_GB2312" w:cs="仿宋_GB2312"/>
          <w:kern w:val="0"/>
          <w:shd w:val="clear" w:color="auto" w:fill="FFFFFF"/>
        </w:rPr>
        <w:t>100</w:t>
      </w:r>
      <w:r>
        <w:rPr>
          <w:rFonts w:hint="eastAsia" w:ascii="仿宋_GB2312" w:hAnsi="仿宋_GB2312" w:cs="仿宋_GB2312"/>
          <w:kern w:val="0"/>
          <w:shd w:val="clear" w:color="auto" w:fill="FFFFFF"/>
          <w:lang w:val="zh-CN"/>
        </w:rPr>
        <w:t>%。</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资金使用：我司对纳入财政基建</w:t>
      </w:r>
      <w:r>
        <w:rPr>
          <w:rFonts w:hint="eastAsia" w:ascii="仿宋_GB2312" w:hAnsi="仿宋_GB2312" w:cs="仿宋_GB2312"/>
          <w:kern w:val="0"/>
          <w:shd w:val="clear" w:color="auto" w:fill="FFFFFF"/>
        </w:rPr>
        <w:t>计划</w:t>
      </w:r>
      <w:r>
        <w:rPr>
          <w:rFonts w:hint="eastAsia" w:ascii="仿宋_GB2312" w:hAnsi="仿宋_GB2312" w:cs="仿宋_GB2312"/>
          <w:kern w:val="0"/>
          <w:shd w:val="clear" w:color="auto" w:fill="FFFFFF"/>
          <w:lang w:val="zh-CN"/>
        </w:rPr>
        <w:t>的项目</w:t>
      </w:r>
      <w:r>
        <w:rPr>
          <w:rFonts w:hint="eastAsia" w:ascii="仿宋_GB2312" w:hAnsi="仿宋_GB2312" w:cs="仿宋_GB2312"/>
          <w:kern w:val="0"/>
          <w:shd w:val="clear" w:color="auto" w:fill="FFFFFF"/>
        </w:rPr>
        <w:t>拨付使用</w:t>
      </w:r>
      <w:r>
        <w:rPr>
          <w:rFonts w:hint="eastAsia" w:ascii="仿宋_GB2312" w:hAnsi="仿宋_GB2312" w:cs="仿宋_GB2312"/>
          <w:kern w:val="0"/>
          <w:shd w:val="clear" w:color="auto" w:fill="FFFFFF"/>
          <w:lang w:val="zh-CN"/>
        </w:rPr>
        <w:t>，并按照</w:t>
      </w:r>
      <w:r>
        <w:rPr>
          <w:rFonts w:hint="eastAsia" w:ascii="仿宋_GB2312" w:hAnsi="仿宋_GB2312" w:cs="仿宋_GB2312"/>
          <w:kern w:val="0"/>
          <w:shd w:val="clear" w:color="auto" w:fill="FFFFFF"/>
        </w:rPr>
        <w:t>征拆部门资金需求</w:t>
      </w:r>
      <w:r>
        <w:rPr>
          <w:rFonts w:hint="eastAsia" w:ascii="仿宋_GB2312" w:hAnsi="仿宋_GB2312" w:cs="仿宋_GB2312"/>
          <w:kern w:val="0"/>
          <w:shd w:val="clear" w:color="auto" w:fill="FFFFFF"/>
          <w:lang w:val="zh-CN"/>
        </w:rPr>
        <w:t>，已全部支付给</w:t>
      </w:r>
      <w:r>
        <w:rPr>
          <w:rFonts w:hint="eastAsia" w:ascii="仿宋_GB2312" w:hAnsi="仿宋_GB2312" w:cs="仿宋_GB2312"/>
          <w:kern w:val="0"/>
          <w:shd w:val="clear" w:color="auto" w:fill="FFFFFF"/>
        </w:rPr>
        <w:t>施工单位7300</w:t>
      </w:r>
      <w:r>
        <w:rPr>
          <w:rFonts w:hint="eastAsia" w:ascii="仿宋_GB2312" w:hAnsi="仿宋_GB2312" w:cs="仿宋_GB2312"/>
          <w:kern w:val="0"/>
          <w:shd w:val="clear" w:color="auto" w:fill="FFFFFF"/>
          <w:lang w:val="zh-CN"/>
        </w:rPr>
        <w:t>万元，</w:t>
      </w:r>
      <w:r>
        <w:rPr>
          <w:rFonts w:hint="eastAsia" w:ascii="仿宋_GB2312" w:hAnsi="仿宋_GB2312" w:cs="仿宋_GB2312"/>
          <w:kern w:val="0"/>
          <w:shd w:val="clear" w:color="auto" w:fill="FFFFFF"/>
        </w:rPr>
        <w:t>至年底，万源农村路网项目已投资22亿元。</w:t>
      </w:r>
      <w:r>
        <w:rPr>
          <w:rFonts w:hint="eastAsia" w:ascii="仿宋_GB2312" w:hAnsi="仿宋_GB2312" w:cs="仿宋_GB2312"/>
          <w:kern w:val="0"/>
          <w:shd w:val="clear" w:color="auto" w:fill="FFFFFF"/>
          <w:lang w:val="zh-CN"/>
        </w:rPr>
        <w:t>目前该项目已完工投入使用。</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项目财务管理制度健全，严格执行财务管理制度，账务处理及时，会计核算规范等。</w:t>
      </w:r>
    </w:p>
    <w:p>
      <w:pPr>
        <w:adjustRightInd w:val="0"/>
        <w:snapToGrid w:val="0"/>
        <w:spacing w:line="578" w:lineRule="exact"/>
        <w:ind w:firstLine="640" w:firstLineChars="200"/>
        <w:rPr>
          <w:rFonts w:ascii="黑体" w:hAnsi="宋体" w:eastAsia="黑体"/>
        </w:rPr>
      </w:pPr>
      <w:r>
        <w:rPr>
          <w:rFonts w:hint="eastAsia" w:ascii="黑体" w:hAnsi="宋体" w:eastAsia="黑体"/>
        </w:rPr>
        <w:t>三、项目实施及管理情况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结合项目组织实施管理办法，重点围绕以下内容进行分析评价，并对自评中发现的问题分析说明。</w:t>
      </w:r>
    </w:p>
    <w:p>
      <w:pPr>
        <w:numPr>
          <w:ilvl w:val="0"/>
          <w:numId w:val="11"/>
        </w:num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项目组织架构及实施流程。</w:t>
      </w:r>
    </w:p>
    <w:p>
      <w:pPr>
        <w:adjustRightInd w:val="0"/>
        <w:snapToGrid w:val="0"/>
        <w:spacing w:line="560" w:lineRule="exact"/>
        <w:rPr>
          <w:rFonts w:ascii="仿宋_GB2312" w:hAnsi="仿宋_GB2312" w:cs="仿宋_GB2312"/>
          <w:kern w:val="0"/>
          <w:shd w:val="clear" w:color="auto" w:fill="FFFFFF"/>
        </w:rPr>
      </w:pPr>
      <w:r>
        <w:rPr>
          <w:rFonts w:hint="eastAsia"/>
        </w:rPr>
        <w:t xml:space="preserve">    </w:t>
      </w:r>
      <w:r>
        <w:rPr>
          <w:rFonts w:hint="eastAsia" w:ascii="仿宋_GB2312" w:hAnsi="仿宋_GB2312" w:cs="仿宋_GB2312"/>
          <w:kern w:val="0"/>
          <w:szCs w:val="32"/>
          <w:shd w:val="clear" w:color="auto" w:fill="FFFFFF"/>
        </w:rPr>
        <w:t xml:space="preserve"> 组织架构：我公司成立了万源开发分公司，专门负责整个项目的开发建设管理，由工程部负责，接受万源项目指挥部领导，并通过抽调及招聘方式组建了项目管理架构。分公司内设工程部、拆迁部及综合部。</w:t>
      </w:r>
    </w:p>
    <w:p>
      <w:pPr>
        <w:pStyle w:val="15"/>
        <w:ind w:left="0" w:leftChars="0" w:firstLine="960" w:firstLineChars="300"/>
        <w:rPr>
          <w:rFonts w:hAnsi="仿宋_GB2312" w:cs="仿宋_GB2312"/>
          <w:kern w:val="0"/>
          <w:shd w:val="clear" w:color="auto" w:fill="FFFFFF"/>
        </w:rPr>
      </w:pPr>
      <w:r>
        <w:rPr>
          <w:rFonts w:hint="eastAsia" w:hAnsi="仿宋_GB2312" w:cs="仿宋_GB2312"/>
          <w:kern w:val="0"/>
          <w:shd w:val="clear" w:color="auto" w:fill="FFFFFF"/>
        </w:rPr>
        <w:t>实施流程：严格按照市委市政府指示及法律法规进行，招标代理、勘察设计、施工、监理等均通过公开招标选取。项目相关信息均按照市建设局等主管部门要求，进行了公示</w:t>
      </w:r>
    </w:p>
    <w:p>
      <w:pPr>
        <w:pStyle w:val="15"/>
        <w:ind w:left="0" w:leftChars="0" w:firstLine="640"/>
        <w:rPr>
          <w:rFonts w:hAnsi="仿宋_GB2312" w:cs="仿宋_GB2312"/>
          <w:kern w:val="0"/>
          <w:shd w:val="clear" w:color="auto" w:fill="FFFFFF"/>
          <w:lang w:val="zh-CN"/>
        </w:rPr>
      </w:pPr>
      <w:r>
        <w:rPr>
          <w:rFonts w:hint="eastAsia" w:ascii="楷体_GB2312" w:hAnsi="宋体" w:eastAsia="楷体_GB2312"/>
          <w:lang w:val="zh-CN"/>
        </w:rPr>
        <w:t>（二）项目管理情况。</w:t>
      </w:r>
      <w:r>
        <w:rPr>
          <w:rFonts w:hint="eastAsia" w:hAnsi="仿宋_GB2312" w:cs="仿宋_GB2312"/>
          <w:kern w:val="0"/>
          <w:shd w:val="clear" w:color="auto" w:fill="FFFFFF"/>
        </w:rPr>
        <w:t>在具体进行项目实施过程中，项目公司</w:t>
      </w:r>
      <w:r>
        <w:rPr>
          <w:rFonts w:hint="eastAsia" w:hAnsi="仿宋_GB2312" w:cs="仿宋_GB2312"/>
          <w:kern w:val="0"/>
          <w:shd w:val="clear" w:color="auto" w:fill="FFFFFF"/>
          <w:lang w:val="zh-CN"/>
        </w:rPr>
        <w:t>严格执行</w:t>
      </w:r>
      <w:r>
        <w:rPr>
          <w:rFonts w:hint="eastAsia" w:hAnsi="仿宋_GB2312" w:cs="仿宋_GB2312"/>
          <w:kern w:val="0"/>
          <w:shd w:val="clear" w:color="auto" w:fill="FFFFFF"/>
        </w:rPr>
        <w:t>财政部、建设部项目成本和管理</w:t>
      </w:r>
      <w:r>
        <w:rPr>
          <w:rFonts w:hint="eastAsia" w:hAnsi="仿宋_GB2312" w:cs="仿宋_GB2312"/>
          <w:kern w:val="0"/>
          <w:shd w:val="clear" w:color="auto" w:fill="FFFFFF"/>
          <w:lang w:val="zh-CN"/>
        </w:rPr>
        <w:t>相关法律法规、项目管理</w:t>
      </w:r>
      <w:r>
        <w:rPr>
          <w:rFonts w:hint="eastAsia" w:hAnsi="仿宋_GB2312" w:cs="仿宋_GB2312"/>
          <w:kern w:val="0"/>
          <w:shd w:val="clear" w:color="auto" w:fill="FFFFFF"/>
        </w:rPr>
        <w:t>建章立</w:t>
      </w:r>
      <w:r>
        <w:rPr>
          <w:rFonts w:hint="eastAsia" w:hAnsi="仿宋_GB2312" w:cs="仿宋_GB2312"/>
          <w:kern w:val="0"/>
          <w:shd w:val="clear" w:color="auto" w:fill="FFFFFF"/>
          <w:lang w:val="zh-CN"/>
        </w:rPr>
        <w:t>制，</w:t>
      </w:r>
      <w:r>
        <w:rPr>
          <w:rFonts w:hint="eastAsia" w:hAnsi="仿宋_GB2312" w:cs="仿宋_GB2312"/>
          <w:kern w:val="0"/>
          <w:shd w:val="clear" w:color="auto" w:fill="FFFFFF"/>
        </w:rPr>
        <w:t>各施工工程、勘察设计、监理项目</w:t>
      </w:r>
      <w:r>
        <w:rPr>
          <w:rFonts w:hint="eastAsia" w:hAnsi="仿宋_GB2312" w:cs="仿宋_GB2312"/>
          <w:kern w:val="0"/>
          <w:shd w:val="clear" w:color="auto" w:fill="FFFFFF"/>
          <w:lang w:val="zh-CN"/>
        </w:rPr>
        <w:t>公开招投标、阳光采购等相关制度，</w:t>
      </w:r>
      <w:r>
        <w:rPr>
          <w:rFonts w:hint="eastAsia" w:hAnsi="仿宋_GB2312" w:cs="仿宋_GB2312"/>
          <w:kern w:val="0"/>
          <w:shd w:val="clear" w:color="auto" w:fill="FFFFFF"/>
        </w:rPr>
        <w:t>并接受各级监督检查</w:t>
      </w:r>
      <w:r>
        <w:rPr>
          <w:rFonts w:hint="eastAsia" w:hAnsi="仿宋_GB2312" w:cs="仿宋_GB2312"/>
          <w:kern w:val="0"/>
          <w:shd w:val="clear" w:color="auto" w:fill="FFFFFF"/>
          <w:lang w:val="zh-CN"/>
        </w:rPr>
        <w:t>。</w:t>
      </w:r>
    </w:p>
    <w:p>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楷体_GB2312" w:hAnsi="宋体" w:eastAsia="楷体_GB2312"/>
          <w:lang w:val="zh-CN"/>
        </w:rPr>
        <w:t>（三）项目监管情况。</w:t>
      </w:r>
      <w:r>
        <w:rPr>
          <w:rFonts w:hint="eastAsia" w:ascii="仿宋_GB2312" w:hAnsi="仿宋_GB2312" w:cs="仿宋_GB2312"/>
          <w:kern w:val="0"/>
          <w:shd w:val="clear" w:color="auto" w:fill="FFFFFF"/>
          <w:lang w:val="zh-CN"/>
        </w:rPr>
        <w:t>主管部门不定期到项目现场进行调研，了解项目进度、安全生产等情况，通过现场调研，能够及时发现问题并立即整改，保障了项目建设有序、安全、按计划的推进。</w:t>
      </w:r>
    </w:p>
    <w:p>
      <w:pPr>
        <w:adjustRightInd w:val="0"/>
        <w:snapToGrid w:val="0"/>
        <w:spacing w:line="578" w:lineRule="exact"/>
        <w:ind w:firstLine="640" w:firstLineChars="200"/>
        <w:rPr>
          <w:rFonts w:ascii="仿宋_GB2312" w:hAnsi="宋体"/>
          <w:lang w:val="zh-CN"/>
        </w:rPr>
      </w:pPr>
      <w:r>
        <w:rPr>
          <w:rFonts w:hint="eastAsia" w:ascii="黑体" w:hAnsi="宋体" w:eastAsia="黑体"/>
        </w:rPr>
        <w:t>四、项目绩效情况</w:t>
      </w:r>
      <w:r>
        <w:rPr>
          <w:rFonts w:hint="eastAsia" w:ascii="仿宋_GB2312" w:hAnsi="宋体"/>
          <w:lang w:val="zh-CN"/>
        </w:rPr>
        <w:tab/>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（一）项目完成情况。</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项目严格按照计划及时间节点全面完成。其中较好的完成数量、质量、时效、成本的控制，项目资金与预算相符，无违法违规记录等情况，截止评价时点项目已全部完成了任务量，经相关部门检测项目质量全部达标。项目进度、成本控制目标均按照原计划较好的实现。</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（二）项目效益情况。</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项目建成后，一是改善区域的交通环境，为万源新区市政交通设施的建设打下坚实的基础，极大的推进广元市经济建设的步伐，为广元市招商引资创造良好的环境，对增强广元市综合竞争力具有重大意义。二是解决了当地居民住房问题和居住环境，使原城乡结合部群众的生活质量得到了改善，同时也改善了城市整体面貌，提高了整体生活水平，有利于构建和谐社会，产生了巨大的社会效益。</w:t>
      </w:r>
    </w:p>
    <w:p>
      <w:pPr>
        <w:adjustRightInd w:val="0"/>
        <w:snapToGrid w:val="0"/>
        <w:spacing w:line="578" w:lineRule="exact"/>
        <w:ind w:firstLine="640" w:firstLineChars="200"/>
        <w:rPr>
          <w:rFonts w:ascii="黑体" w:hAnsi="宋体" w:eastAsia="黑体"/>
        </w:rPr>
      </w:pPr>
      <w:r>
        <w:rPr>
          <w:rFonts w:hint="eastAsia" w:ascii="黑体" w:hAnsi="宋体" w:eastAsia="黑体"/>
        </w:rPr>
        <w:t>五、评价结论及建议</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（一）评价结论。</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rPr>
        <w:t>万源农村建设项目道路建设为市民出行提供了便利的交通，拆迁重建安置对改善城市人居环境和生活质量意义重大，并为我市发展规划提供了先决条件。</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（二）存在的问题。</w:t>
      </w:r>
    </w:p>
    <w:p>
      <w:pPr>
        <w:adjustRightInd w:val="0"/>
        <w:snapToGrid w:val="0"/>
        <w:spacing w:line="578" w:lineRule="exact"/>
        <w:ind w:firstLine="640" w:firstLineChars="200"/>
        <w:rPr>
          <w:rFonts w:ascii="仿宋_GB2312" w:hAnsi="仿宋_GB2312" w:cs="仿宋_GB2312"/>
          <w:kern w:val="0"/>
          <w:shd w:val="clear" w:color="auto" w:fill="FFFFFF"/>
        </w:rPr>
      </w:pPr>
      <w:r>
        <w:rPr>
          <w:rFonts w:hint="eastAsia" w:ascii="仿宋_GB2312" w:hAnsi="仿宋_GB2312" w:cs="仿宋_GB2312"/>
          <w:kern w:val="0"/>
          <w:shd w:val="clear" w:color="auto" w:fill="FFFFFF"/>
          <w:lang w:val="zh-CN"/>
        </w:rPr>
        <w:t>一是征地拆迁进度与项目建设进度需求间存在矛盾，不满足项目建设进度需要，造成项目建设进度及相关配套设施无法满足要求；二是资金需求不能</w:t>
      </w:r>
      <w:r>
        <w:rPr>
          <w:rFonts w:hint="eastAsia" w:ascii="仿宋_GB2312" w:hAnsi="仿宋_GB2312" w:cs="仿宋_GB2312"/>
          <w:kern w:val="0"/>
          <w:shd w:val="clear" w:color="auto" w:fill="FFFFFF"/>
        </w:rPr>
        <w:t>及时</w:t>
      </w:r>
      <w:r>
        <w:rPr>
          <w:rFonts w:hint="eastAsia" w:ascii="仿宋_GB2312" w:hAnsi="仿宋_GB2312" w:cs="仿宋_GB2312"/>
          <w:kern w:val="0"/>
          <w:shd w:val="clear" w:color="auto" w:fill="FFFFFF"/>
          <w:lang w:val="zh-CN"/>
        </w:rPr>
        <w:t>满足建设进度要求</w:t>
      </w:r>
      <w:r>
        <w:rPr>
          <w:rFonts w:hint="eastAsia" w:ascii="仿宋_GB2312" w:hAnsi="仿宋_GB2312" w:cs="仿宋_GB2312"/>
          <w:kern w:val="0"/>
          <w:shd w:val="clear" w:color="auto" w:fill="FFFFFF"/>
        </w:rPr>
        <w:t>。</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lang w:val="zh-CN"/>
        </w:rPr>
        <w:t>（三）相关建议。</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rPr>
        <w:t>一是提前做好资金计划安排，二是积极与市拆迁办、办事处、社区等征地拆迁单位及个人做好充分沟通协调，制定具体的拆迁计划，明确拆迁的先后顺序，避免出现拆完的不能用、要用的还未拆完等情况的发生，三是积极对接市财政局争取项目建设资金。</w:t>
      </w:r>
    </w:p>
    <w:p>
      <w:pPr>
        <w:adjustRightInd w:val="0"/>
        <w:snapToGrid w:val="0"/>
        <w:spacing w:line="578" w:lineRule="exact"/>
        <w:contextualSpacing/>
        <w:jc w:val="left"/>
        <w:rPr>
          <w:rFonts w:ascii="仿宋_GB2312" w:hAnsi="仿宋_GB2312" w:cs="仿宋_GB2312"/>
          <w:kern w:val="0"/>
          <w:shd w:val="clear" w:color="auto" w:fill="FFFFFF"/>
          <w:lang w:val="zh-CN"/>
        </w:rPr>
      </w:pPr>
    </w:p>
    <w:p>
      <w:pPr>
        <w:pStyle w:val="36"/>
        <w:spacing w:line="576" w:lineRule="exact"/>
        <w:jc w:val="left"/>
        <w:rPr>
          <w:rFonts w:ascii="宋体" w:hAnsi="宋体"/>
          <w:color w:val="auto"/>
          <w:kern w:val="2"/>
          <w:sz w:val="32"/>
          <w:szCs w:val="32"/>
          <w:lang w:val="en-US"/>
        </w:rPr>
      </w:pPr>
    </w:p>
    <w:p>
      <w:pPr>
        <w:pStyle w:val="2"/>
        <w:spacing w:before="93"/>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主城区供排水PPP项目</w:t>
      </w:r>
      <w:r>
        <w:rPr>
          <w:rFonts w:hint="eastAsia" w:ascii="仿宋_GB2312"/>
          <w:sz w:val="32"/>
          <w:szCs w:val="32"/>
        </w:rPr>
        <w:t>）</w:t>
      </w:r>
    </w:p>
    <w:p>
      <w:pPr>
        <w:adjustRightInd w:val="0"/>
        <w:snapToGrid w:val="0"/>
        <w:spacing w:line="560"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640" w:firstLineChars="200"/>
        <w:rPr>
          <w:rFonts w:ascii="楷体_GB2312" w:hAnsi="宋体" w:eastAsia="楷体_GB2312"/>
          <w:lang w:val="zh-CN"/>
        </w:rPr>
      </w:pPr>
      <w:r>
        <w:rPr>
          <w:rFonts w:hint="eastAsia" w:ascii="楷体_GB2312" w:hAnsi="宋体" w:eastAsia="楷体_GB2312"/>
          <w:szCs w:val="32"/>
          <w:lang w:val="zh-CN"/>
        </w:rPr>
        <w:t>（一）项目基本情况。</w:t>
      </w:r>
    </w:p>
    <w:p>
      <w:pPr>
        <w:pStyle w:val="42"/>
        <w:spacing w:before="93" w:line="560" w:lineRule="exact"/>
        <w:rPr>
          <w:rFonts w:hAnsi="仿宋_GB2312" w:cs="仿宋_GB2312"/>
          <w:b w:val="0"/>
          <w:color w:val="auto"/>
          <w:kern w:val="0"/>
          <w:sz w:val="32"/>
          <w:szCs w:val="32"/>
          <w:shd w:val="clear" w:color="auto" w:fill="FFFFFF"/>
        </w:rPr>
      </w:pPr>
      <w:r>
        <w:rPr>
          <w:rFonts w:hint="eastAsia" w:hAnsi="仿宋_GB2312" w:cs="仿宋_GB2312"/>
          <w:b w:val="0"/>
          <w:bCs/>
          <w:color w:val="000000" w:themeColor="text1"/>
          <w:sz w:val="32"/>
          <w:szCs w:val="32"/>
          <w14:textFill>
            <w14:solidFill>
              <w14:schemeClr w14:val="tx1"/>
            </w14:solidFill>
          </w14:textFill>
        </w:rPr>
        <w:t>市国资</w:t>
      </w:r>
      <w:r>
        <w:rPr>
          <w:rFonts w:hint="eastAsia" w:hAnsi="仿宋_GB2312" w:cs="仿宋_GB2312"/>
          <w:b w:val="0"/>
          <w:color w:val="auto"/>
          <w:kern w:val="0"/>
          <w:sz w:val="32"/>
          <w:szCs w:val="32"/>
          <w:shd w:val="clear" w:color="auto" w:fill="FFFFFF"/>
        </w:rPr>
        <w:t>委作为主城区供排水PPP项目主管部门，在项目建设过程中，积极督导项目承建单位广元首创水务有限公司进行项目立项审批工作，积极协调项目推进过程中建设手续办理相关事宜。</w:t>
      </w:r>
    </w:p>
    <w:p>
      <w:pPr>
        <w:spacing w:line="560" w:lineRule="exact"/>
        <w:ind w:firstLine="640" w:firstLineChars="200"/>
        <w:jc w:val="left"/>
        <w:rPr>
          <w:rFonts w:ascii="仿宋_GB2312" w:hAnsi="仿宋_GB2312" w:cs="仿宋_GB2312"/>
          <w:kern w:val="0"/>
          <w:shd w:val="clear" w:color="auto" w:fill="FFFFFF"/>
        </w:rPr>
      </w:pPr>
      <w:r>
        <w:rPr>
          <w:rFonts w:hint="eastAsia" w:ascii="仿宋_GB2312" w:hAnsi="仿宋_GB2312" w:cs="仿宋_GB2312"/>
          <w:kern w:val="0"/>
          <w:szCs w:val="32"/>
          <w:shd w:val="clear" w:color="auto" w:fill="FFFFFF"/>
          <w:lang w:val="zh-CN"/>
        </w:rPr>
        <w:t>白龙水厂连通城区输水管网工程于</w:t>
      </w:r>
      <w:r>
        <w:rPr>
          <w:rFonts w:hint="eastAsia" w:ascii="仿宋_GB2312" w:hAnsi="仿宋_GB2312" w:cs="仿宋_GB2312"/>
          <w:kern w:val="0"/>
          <w:szCs w:val="32"/>
          <w:shd w:val="clear" w:color="auto" w:fill="FFFFFF"/>
        </w:rPr>
        <w:t>2017年11月7日完成项目备案，</w:t>
      </w:r>
      <w:r>
        <w:rPr>
          <w:rFonts w:hint="eastAsia" w:ascii="仿宋_GB2312" w:hAnsi="仿宋_GB2312" w:cs="仿宋_GB2312"/>
          <w:color w:val="000000" w:themeColor="text1"/>
          <w:szCs w:val="32"/>
          <w14:textFill>
            <w14:solidFill>
              <w14:schemeClr w14:val="tx1"/>
            </w14:solidFill>
          </w14:textFill>
        </w:rPr>
        <w:t>根据</w:t>
      </w:r>
      <w:r>
        <w:rPr>
          <w:rFonts w:hint="eastAsia" w:ascii="仿宋_GB2312" w:hAnsi="仿宋_GB2312" w:cs="仿宋_GB2312"/>
          <w:bCs/>
          <w:color w:val="000000" w:themeColor="text1"/>
          <w:szCs w:val="32"/>
          <w14:textFill>
            <w14:solidFill>
              <w14:schemeClr w14:val="tx1"/>
            </w14:solidFill>
          </w14:textFill>
        </w:rPr>
        <w:t>2015年11月26日广元市人民政府与北京首创股份有限公司签订的《广元市城区供排水PPP项目投资合作协议》、2017年12月1日广元市人民政府与广元首创水务有限公司签订的《广元市主城区供水管网及配套设施PPP项目投资建设协议》中的市</w:t>
      </w:r>
      <w:r>
        <w:rPr>
          <w:rFonts w:hint="eastAsia" w:ascii="仿宋_GB2312" w:hAnsi="仿宋_GB2312" w:cs="仿宋_GB2312"/>
          <w:bCs/>
          <w:szCs w:val="32"/>
        </w:rPr>
        <w:t>城区供水管网PPP</w:t>
      </w:r>
      <w:r>
        <w:rPr>
          <w:rFonts w:hint="eastAsia" w:ascii="仿宋_GB2312" w:hAnsi="仿宋_GB2312" w:cs="仿宋_GB2312"/>
          <w:bCs/>
          <w:color w:val="000000" w:themeColor="text1"/>
          <w:szCs w:val="32"/>
          <w14:textFill>
            <w14:solidFill>
              <w14:schemeClr w14:val="tx1"/>
            </w14:solidFill>
          </w14:textFill>
        </w:rPr>
        <w:t>项目相关协议约定，</w:t>
      </w:r>
      <w:r>
        <w:rPr>
          <w:rFonts w:hint="eastAsia" w:ascii="仿宋_GB2312" w:hAnsi="仿宋_GB2312" w:cs="仿宋_GB2312"/>
          <w:color w:val="000000" w:themeColor="text1"/>
          <w:szCs w:val="32"/>
          <w14:textFill>
            <w14:solidFill>
              <w14:schemeClr w14:val="tx1"/>
            </w14:solidFill>
          </w14:textFill>
        </w:rPr>
        <w:t>广元首创水务有限公司于2022年8月22日向</w:t>
      </w:r>
      <w:r>
        <w:rPr>
          <w:rFonts w:hint="eastAsia" w:ascii="仿宋_GB2312" w:hAnsi="仿宋_GB2312" w:cs="仿宋_GB2312"/>
          <w:color w:val="000000" w:themeColor="text1"/>
          <w:szCs w:val="32"/>
          <w:lang w:val="zh-CN"/>
          <w14:textFill>
            <w14:solidFill>
              <w14:schemeClr w14:val="tx1"/>
            </w14:solidFill>
          </w14:textFill>
        </w:rPr>
        <w:t>广元市政府国有资产监督管理委员会</w:t>
      </w:r>
      <w:r>
        <w:rPr>
          <w:rFonts w:hint="eastAsia" w:ascii="仿宋_GB2312" w:hAnsi="仿宋_GB2312" w:cs="仿宋_GB2312"/>
          <w:color w:val="000000" w:themeColor="text1"/>
          <w:szCs w:val="32"/>
          <w14:textFill>
            <w14:solidFill>
              <w14:schemeClr w14:val="tx1"/>
            </w14:solidFill>
          </w14:textFill>
        </w:rPr>
        <w:t>提交</w:t>
      </w:r>
      <w:r>
        <w:rPr>
          <w:rFonts w:hint="eastAsia" w:ascii="仿宋_GB2312" w:hAnsi="仿宋_GB2312" w:cs="仿宋_GB2312"/>
          <w:bCs/>
          <w:color w:val="000000" w:themeColor="text1"/>
          <w:szCs w:val="32"/>
          <w14:textFill>
            <w14:solidFill>
              <w14:schemeClr w14:val="tx1"/>
            </w14:solidFill>
          </w14:textFill>
        </w:rPr>
        <w:t>《广元首创水务有限公司关于请求协调主城区供排水PPP项目财政付费有关事项的报告</w:t>
      </w:r>
      <w:r>
        <w:rPr>
          <w:rFonts w:hint="eastAsia" w:ascii="仿宋_GB2312" w:hAnsi="仿宋_GB2312" w:cs="仿宋_GB2312"/>
          <w:color w:val="000000" w:themeColor="text1"/>
          <w:szCs w:val="32"/>
          <w14:textFill>
            <w14:solidFill>
              <w14:schemeClr w14:val="tx1"/>
            </w14:solidFill>
          </w14:textFill>
        </w:rPr>
        <w:t>》（广元首创文〔2022〕53号）。</w:t>
      </w:r>
    </w:p>
    <w:p>
      <w:pPr>
        <w:spacing w:line="560" w:lineRule="exact"/>
        <w:ind w:firstLine="640" w:firstLineChars="200"/>
        <w:rPr>
          <w:rFonts w:ascii="仿宋" w:hAnsi="仿宋" w:eastAsia="仿宋" w:cs="仿宋"/>
        </w:rPr>
      </w:pPr>
      <w:r>
        <w:rPr>
          <w:rFonts w:hint="eastAsia" w:ascii="仿宋_GB2312" w:hAnsi="仿宋_GB2312" w:cs="仿宋_GB2312"/>
          <w:color w:val="000000" w:themeColor="text1"/>
          <w:szCs w:val="32"/>
          <w14:textFill>
            <w14:solidFill>
              <w14:schemeClr w14:val="tx1"/>
            </w14:solidFill>
          </w14:textFill>
        </w:rPr>
        <w:t>项目</w:t>
      </w:r>
      <w:r>
        <w:rPr>
          <w:rFonts w:hint="eastAsia" w:ascii="仿宋_GB2312" w:hAnsi="仿宋_GB2312" w:cs="仿宋_GB2312"/>
          <w:color w:val="000000" w:themeColor="text1"/>
          <w:szCs w:val="32"/>
          <w:lang w:val="zh-CN"/>
          <w14:textFill>
            <w14:solidFill>
              <w14:schemeClr w14:val="tx1"/>
            </w14:solidFill>
          </w14:textFill>
        </w:rPr>
        <w:t>管理办法制定</w:t>
      </w:r>
      <w:r>
        <w:rPr>
          <w:rFonts w:hint="eastAsia" w:ascii="仿宋" w:hAnsi="仿宋" w:eastAsia="仿宋" w:cs="仿宋"/>
          <w:szCs w:val="32"/>
        </w:rPr>
        <w:t>严格按照《中华人民共和国建筑法》、《建设工程质量管理条例》等相关法律法规，制定和完善了《广元首创水务有限公司项目工程管理制度》，制度中明确了管网一期项目部进度管理、成本管理、质量管理、安全管理、招采管理等一系列管理职责。</w:t>
      </w:r>
    </w:p>
    <w:p>
      <w:pPr>
        <w:pStyle w:val="15"/>
        <w:spacing w:line="560" w:lineRule="exact"/>
        <w:ind w:left="0" w:leftChars="0" w:firstLine="640"/>
        <w:rPr>
          <w:lang w:val="zh-CN"/>
        </w:rPr>
      </w:pPr>
      <w:r>
        <w:rPr>
          <w:rFonts w:hint="eastAsia"/>
          <w:lang w:val="zh-CN"/>
        </w:rPr>
        <w:t>项目资金的分配始终坚持一个原则：全力保证工程项目顺利推进，确保资金公平合理地分配到项目建设的各个环节，提升项目质量和资金使用效益，实现资金落到实处，强化执行过程监督。</w:t>
      </w:r>
    </w:p>
    <w:p>
      <w:pPr>
        <w:adjustRightInd w:val="0"/>
        <w:snapToGrid w:val="0"/>
        <w:spacing w:line="560" w:lineRule="exact"/>
        <w:ind w:firstLine="640" w:firstLineChars="200"/>
        <w:rPr>
          <w:lang w:val="zh-CN"/>
        </w:rPr>
      </w:pPr>
      <w:r>
        <w:rPr>
          <w:rFonts w:hint="eastAsia"/>
          <w:szCs w:val="32"/>
          <w:lang w:val="zh-CN"/>
        </w:rPr>
        <w:t>（二）项目绩效目标。</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kern w:val="0"/>
          <w:szCs w:val="32"/>
          <w:shd w:val="clear" w:color="auto" w:fill="FFFFFF"/>
        </w:rPr>
        <w:t>1.</w:t>
      </w:r>
      <w:r>
        <w:rPr>
          <w:rFonts w:hint="eastAsia" w:ascii="仿宋_GB2312" w:hAnsi="仿宋_GB2312" w:cs="仿宋_GB2312"/>
          <w:kern w:val="0"/>
          <w:szCs w:val="32"/>
          <w:shd w:val="clear" w:color="auto" w:fill="FFFFFF"/>
          <w:lang w:val="zh-CN"/>
        </w:rPr>
        <w:t>项目主要内容</w:t>
      </w:r>
    </w:p>
    <w:p>
      <w:pPr>
        <w:spacing w:line="560" w:lineRule="exact"/>
        <w:ind w:firstLine="640" w:firstLineChars="200"/>
      </w:pPr>
      <w:r>
        <w:rPr>
          <w:rFonts w:hint="eastAsia" w:ascii="仿宋_GB2312" w:hAnsi="仿宋_GB2312" w:cs="仿宋_GB2312"/>
          <w:kern w:val="0"/>
          <w:szCs w:val="32"/>
          <w:shd w:val="clear" w:color="auto" w:fill="FFFFFF"/>
          <w:lang w:val="zh-CN"/>
        </w:rPr>
        <w:t>白龙水厂连通城区输水管网工程</w:t>
      </w:r>
      <w:r>
        <w:rPr>
          <w:rFonts w:hint="eastAsia" w:ascii="仿宋_GB2312" w:hAnsi="仿宋_GB2312" w:cs="仿宋_GB2312"/>
          <w:kern w:val="0"/>
          <w:szCs w:val="32"/>
          <w:shd w:val="clear" w:color="auto" w:fill="FFFFFF"/>
        </w:rPr>
        <w:t>概算约为1.33亿，项目</w:t>
      </w:r>
      <w:r>
        <w:rPr>
          <w:rFonts w:hint="eastAsia" w:ascii="仿宋_GB2312" w:hAnsi="仿宋_GB2312" w:cs="仿宋_GB2312"/>
          <w:kern w:val="0"/>
          <w:szCs w:val="32"/>
          <w:shd w:val="clear" w:color="auto" w:fill="FFFFFF"/>
          <w:lang w:val="zh-CN"/>
        </w:rPr>
        <w:t>建设主要内容为向中心城区输水按7.5万m3/d，安装管道总长12.</w:t>
      </w:r>
      <w:r>
        <w:rPr>
          <w:rFonts w:hint="eastAsia" w:ascii="仿宋_GB2312" w:hAnsi="仿宋_GB2312" w:cs="仿宋_GB2312"/>
          <w:kern w:val="0"/>
          <w:szCs w:val="32"/>
          <w:shd w:val="clear" w:color="auto" w:fill="FFFFFF"/>
        </w:rPr>
        <w:t>9</w:t>
      </w:r>
      <w:r>
        <w:rPr>
          <w:rFonts w:hint="eastAsia" w:ascii="仿宋_GB2312" w:hAnsi="仿宋_GB2312" w:cs="仿宋_GB2312"/>
          <w:kern w:val="0"/>
          <w:szCs w:val="32"/>
          <w:shd w:val="clear" w:color="auto" w:fill="FFFFFF"/>
          <w:lang w:val="zh-CN"/>
        </w:rPr>
        <w:t>km，其中陵宝路DN1000管道6km，利州西路DN800管道5.5km，西滨路-嘉陵江东岸DN800和DN1000管道1.4km。供水水质需达到国家现行的《生活饮用水卫生标准》(GB5749-2006)。</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rPr>
        <w:t>2.</w:t>
      </w:r>
      <w:r>
        <w:rPr>
          <w:rFonts w:hint="eastAsia" w:ascii="仿宋_GB2312" w:hAnsi="仿宋_GB2312" w:cs="仿宋_GB2312"/>
          <w:szCs w:val="32"/>
          <w:lang w:val="zh-CN"/>
        </w:rPr>
        <w:t>项目绩效目标</w:t>
      </w:r>
    </w:p>
    <w:p>
      <w:pPr>
        <w:pStyle w:val="42"/>
        <w:spacing w:before="93" w:line="560" w:lineRule="exact"/>
        <w:rPr>
          <w:lang w:val="zh-CN"/>
        </w:rPr>
      </w:pPr>
      <w:r>
        <w:rPr>
          <w:rFonts w:hint="eastAsia" w:hAnsi="仿宋_GB2312" w:cs="仿宋_GB2312"/>
          <w:b w:val="0"/>
          <w:color w:val="auto"/>
          <w:sz w:val="32"/>
          <w:szCs w:val="32"/>
        </w:rPr>
        <w:t>该项目中新建管网12.9公里，利用陵宝线和利州西路现有的管道8.2公里，不涉及改造管网，工程验收合格率及可行性研究规范性指标值必达100%。该项目建成后与</w:t>
      </w:r>
      <w:r>
        <w:rPr>
          <w:rFonts w:hint="eastAsia" w:hAnsi="仿宋_GB2312" w:cs="仿宋_GB2312"/>
          <w:b w:val="0"/>
          <w:color w:val="auto"/>
          <w:sz w:val="32"/>
          <w:szCs w:val="32"/>
          <w:lang w:val="zh-CN"/>
        </w:rPr>
        <w:t>中心城区现有的主供水管道</w:t>
      </w:r>
      <w:r>
        <w:rPr>
          <w:rFonts w:hint="eastAsia" w:hAnsi="仿宋_GB2312" w:cs="仿宋_GB2312"/>
          <w:b w:val="0"/>
          <w:color w:val="auto"/>
          <w:sz w:val="32"/>
          <w:szCs w:val="32"/>
        </w:rPr>
        <w:t>相连接以</w:t>
      </w:r>
      <w:r>
        <w:rPr>
          <w:rFonts w:hint="eastAsia" w:hAnsi="仿宋_GB2312" w:cs="仿宋_GB2312"/>
          <w:b w:val="0"/>
          <w:color w:val="auto"/>
          <w:sz w:val="32"/>
          <w:szCs w:val="32"/>
          <w:lang w:val="zh-CN"/>
        </w:rPr>
        <w:t>确保白龙水厂一期工程出厂水成功送往中心片区，</w:t>
      </w:r>
      <w:r>
        <w:rPr>
          <w:rFonts w:hint="eastAsia" w:hAnsi="仿宋_GB2312" w:cs="仿宋_GB2312"/>
          <w:b w:val="0"/>
          <w:color w:val="auto"/>
          <w:sz w:val="32"/>
          <w:szCs w:val="32"/>
        </w:rPr>
        <w:t>与西湾水厂形成双水源格局。不仅</w:t>
      </w:r>
      <w:r>
        <w:rPr>
          <w:rFonts w:hint="eastAsia" w:hAnsi="仿宋_GB2312" w:cs="仿宋_GB2312"/>
          <w:b w:val="0"/>
          <w:color w:val="auto"/>
          <w:sz w:val="32"/>
          <w:szCs w:val="32"/>
          <w:lang w:val="zh-CN"/>
        </w:rPr>
        <w:t>完善了广元市中心城区供水管网系统，</w:t>
      </w:r>
      <w:r>
        <w:rPr>
          <w:rFonts w:hint="eastAsia" w:hAnsi="仿宋_GB2312" w:cs="仿宋_GB2312"/>
          <w:b w:val="0"/>
          <w:color w:val="auto"/>
          <w:sz w:val="32"/>
          <w:szCs w:val="32"/>
        </w:rPr>
        <w:t>提高了城市供水安全性和可靠性，为老百姓带来了更便利、更安全的用水，也大大</w:t>
      </w:r>
      <w:r>
        <w:rPr>
          <w:rFonts w:hint="eastAsia" w:hAnsi="仿宋_GB2312" w:cs="仿宋_GB2312"/>
          <w:b w:val="0"/>
          <w:color w:val="auto"/>
          <w:sz w:val="32"/>
          <w:szCs w:val="32"/>
          <w:lang w:val="zh-CN"/>
        </w:rPr>
        <w:t>降低了供水管网漏损率</w:t>
      </w:r>
      <w:r>
        <w:rPr>
          <w:rFonts w:hint="eastAsia" w:hAnsi="仿宋_GB2312" w:cs="仿宋_GB2312"/>
          <w:b w:val="0"/>
          <w:color w:val="auto"/>
          <w:sz w:val="32"/>
          <w:szCs w:val="32"/>
        </w:rPr>
        <w:t>和运行成本</w:t>
      </w:r>
      <w:r>
        <w:rPr>
          <w:rFonts w:hint="eastAsia" w:hAnsi="仿宋_GB2312" w:cs="仿宋_GB2312"/>
          <w:b w:val="0"/>
          <w:color w:val="auto"/>
          <w:sz w:val="32"/>
          <w:szCs w:val="32"/>
          <w:lang w:val="zh-CN"/>
        </w:rPr>
        <w:t>，其降低水资源浪费率为</w:t>
      </w:r>
      <w:r>
        <w:rPr>
          <w:rFonts w:hint="eastAsia" w:hAnsi="仿宋_GB2312" w:cs="仿宋_GB2312"/>
          <w:b w:val="0"/>
          <w:color w:val="auto"/>
          <w:sz w:val="32"/>
          <w:szCs w:val="32"/>
        </w:rPr>
        <w:t xml:space="preserve">80%，降低运行成本率为30%。 </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pStyle w:val="42"/>
        <w:spacing w:before="93" w:line="560" w:lineRule="exact"/>
        <w:rPr>
          <w:lang w:val="zh-CN"/>
        </w:rPr>
      </w:pPr>
      <w:r>
        <w:rPr>
          <w:rFonts w:hint="eastAsia" w:hAnsi="仿宋_GB2312" w:cs="仿宋_GB2312"/>
          <w:b w:val="0"/>
          <w:color w:val="auto"/>
          <w:sz w:val="32"/>
          <w:szCs w:val="32"/>
          <w:lang w:val="zh-CN"/>
        </w:rPr>
        <w:t>广元首创水务有限公司资金申报内容与具体实施内容相符、申报目标合理可行。</w:t>
      </w:r>
    </w:p>
    <w:p>
      <w:pPr>
        <w:adjustRightInd w:val="0"/>
        <w:snapToGrid w:val="0"/>
        <w:spacing w:line="560" w:lineRule="exact"/>
        <w:ind w:firstLine="640" w:firstLineChars="200"/>
        <w:rPr>
          <w:rFonts w:ascii="仿宋_GB2312" w:hAnsi="仿宋_GB2312" w:cs="仿宋_GB2312"/>
          <w:lang w:val="zh-CN"/>
        </w:rPr>
      </w:pPr>
      <w:r>
        <w:rPr>
          <w:rFonts w:hint="eastAsia" w:ascii="仿宋_GB2312" w:hAnsi="仿宋_GB2312" w:cs="仿宋_GB2312"/>
          <w:szCs w:val="32"/>
          <w:lang w:val="zh-CN"/>
        </w:rPr>
        <w:t>（三）项目自评步骤及方法。</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lang w:val="zh-CN"/>
        </w:rPr>
        <w:t>项目绩效自评</w:t>
      </w:r>
      <w:r>
        <w:rPr>
          <w:rFonts w:hint="eastAsia" w:hAnsi="仿宋_GB2312" w:cs="仿宋_GB2312"/>
          <w:b w:val="0"/>
          <w:color w:val="auto"/>
          <w:sz w:val="32"/>
          <w:szCs w:val="32"/>
        </w:rPr>
        <w:t>首先由广元首创水务公司项目管理部员工和财务人员共同草拟自评报告，分别报项目和财务分管领导审核、最后由公司总经理审阅后再报送至项目主管单位（市国资委）。</w:t>
      </w:r>
    </w:p>
    <w:p>
      <w:pPr>
        <w:adjustRightInd w:val="0"/>
        <w:snapToGrid w:val="0"/>
        <w:spacing w:line="560" w:lineRule="exact"/>
        <w:ind w:firstLine="640" w:firstLineChars="200"/>
        <w:rPr>
          <w:rFonts w:ascii="黑体" w:hAnsi="宋体" w:eastAsia="黑体"/>
        </w:rPr>
      </w:pPr>
      <w:r>
        <w:rPr>
          <w:rFonts w:hint="eastAsia" w:ascii="黑体" w:hAnsi="宋体" w:eastAsia="黑体"/>
          <w:szCs w:val="32"/>
        </w:rPr>
        <w:t>二、项目资金申报及使用情况</w:t>
      </w:r>
    </w:p>
    <w:p>
      <w:pPr>
        <w:adjustRightInd w:val="0"/>
        <w:snapToGrid w:val="0"/>
        <w:spacing w:line="560" w:lineRule="exact"/>
        <w:ind w:firstLine="640" w:firstLineChars="200"/>
        <w:rPr>
          <w:rFonts w:ascii="仿宋_GB2312" w:hAnsi="仿宋_GB2312" w:cs="仿宋_GB2312"/>
          <w:lang w:val="zh-CN"/>
        </w:rPr>
      </w:pPr>
      <w:r>
        <w:rPr>
          <w:rFonts w:hint="eastAsia" w:ascii="仿宋_GB2312" w:hAnsi="仿宋_GB2312" w:cs="仿宋_GB2312"/>
          <w:szCs w:val="32"/>
          <w:lang w:val="zh-CN"/>
        </w:rPr>
        <w:t>（一）项目资金申报及批复情况。</w:t>
      </w:r>
    </w:p>
    <w:p>
      <w:pPr>
        <w:pStyle w:val="42"/>
        <w:spacing w:before="93" w:line="560" w:lineRule="exact"/>
        <w:rPr>
          <w:rFonts w:hAnsi="仿宋_GB2312" w:cs="仿宋_GB2312"/>
          <w:b w:val="0"/>
          <w:color w:val="auto"/>
          <w:sz w:val="32"/>
          <w:szCs w:val="32"/>
        </w:rPr>
      </w:pPr>
      <w:r>
        <w:rPr>
          <w:rFonts w:hint="eastAsia" w:hAnsi="仿宋_GB2312" w:cs="仿宋_GB2312"/>
          <w:b w:val="0"/>
          <w:color w:val="auto"/>
          <w:sz w:val="32"/>
          <w:szCs w:val="32"/>
        </w:rPr>
        <w:t>2022年8月22日，我公司向</w:t>
      </w:r>
      <w:r>
        <w:rPr>
          <w:rFonts w:hint="eastAsia" w:hAnsi="仿宋_GB2312" w:cs="仿宋_GB2312"/>
          <w:b w:val="0"/>
          <w:color w:val="auto"/>
          <w:sz w:val="32"/>
          <w:szCs w:val="32"/>
          <w:lang w:val="zh-CN"/>
        </w:rPr>
        <w:t>广元市政府国有资产监督管理委员会</w:t>
      </w:r>
      <w:r>
        <w:rPr>
          <w:rFonts w:hint="eastAsia" w:hAnsi="仿宋_GB2312" w:cs="仿宋_GB2312"/>
          <w:b w:val="0"/>
          <w:color w:val="auto"/>
          <w:sz w:val="32"/>
          <w:szCs w:val="32"/>
        </w:rPr>
        <w:t>提交《广元首创水务有限公司关于请求协调主城区供排水PPP项目财政付费有关事项的报告》（广元首创文〔2022〕53号）。2022年8月23日，</w:t>
      </w:r>
      <w:r>
        <w:rPr>
          <w:rFonts w:hint="eastAsia" w:hAnsi="仿宋_GB2312" w:cs="仿宋_GB2312"/>
          <w:b w:val="0"/>
          <w:color w:val="auto"/>
          <w:sz w:val="32"/>
          <w:szCs w:val="32"/>
          <w:lang w:val="zh-CN"/>
        </w:rPr>
        <w:t>市国资委向市财政局提交《广元市政府国有资产监督管理委员会关于商请拨付主城区供排水</w:t>
      </w:r>
      <w:r>
        <w:rPr>
          <w:rFonts w:hint="eastAsia" w:hAnsi="仿宋_GB2312" w:cs="仿宋_GB2312"/>
          <w:b w:val="0"/>
          <w:color w:val="auto"/>
          <w:sz w:val="32"/>
          <w:szCs w:val="32"/>
        </w:rPr>
        <w:t>PPP项目项目费用的函》（广国资委函〔2022〕118号）。2022年11月21日，市财政局下达了《广元市财政局关于下达基金指标的通知》（广财投〔2022〕132号），拨付2022年度主城区供排水PPP项目管网一期项目运营补贴617.55万元。</w:t>
      </w:r>
    </w:p>
    <w:p>
      <w:pPr>
        <w:adjustRightInd w:val="0"/>
        <w:snapToGrid w:val="0"/>
        <w:spacing w:line="560" w:lineRule="exact"/>
        <w:ind w:firstLine="640" w:firstLineChars="200"/>
        <w:rPr>
          <w:rFonts w:ascii="仿宋_GB2312" w:hAnsi="宋体"/>
          <w:color w:val="FF0000"/>
          <w:lang w:val="zh-CN"/>
        </w:rPr>
      </w:pPr>
      <w:r>
        <w:rPr>
          <w:rFonts w:hint="eastAsia" w:ascii="仿宋_GB2312" w:hAnsi="仿宋_GB2312" w:cs="仿宋_GB2312"/>
          <w:szCs w:val="32"/>
          <w:lang w:val="zh-CN"/>
        </w:rPr>
        <w:t>（二）资金计划、到位及使用情况。</w:t>
      </w:r>
    </w:p>
    <w:p>
      <w:pPr>
        <w:adjustRightInd w:val="0"/>
        <w:snapToGrid w:val="0"/>
        <w:spacing w:line="560" w:lineRule="exact"/>
        <w:ind w:firstLine="640" w:firstLineChars="200"/>
        <w:contextualSpacing/>
        <w:rPr>
          <w:rFonts w:ascii="仿宋_GB2312" w:hAnsi="仿宋_GB2312" w:cs="仿宋_GB2312"/>
          <w:color w:val="FF0000"/>
          <w:kern w:val="0"/>
          <w:shd w:val="clear" w:color="auto" w:fill="FFFFFF"/>
          <w:lang w:val="zh-CN"/>
        </w:rPr>
      </w:pPr>
      <w:r>
        <w:rPr>
          <w:rFonts w:hint="eastAsia" w:ascii="仿宋_GB2312" w:hAnsi="仿宋_GB2312" w:cs="仿宋_GB2312"/>
          <w:szCs w:val="32"/>
          <w:lang w:val="zh-CN"/>
        </w:rPr>
        <w:t>资金计划：</w:t>
      </w:r>
      <w:r>
        <w:rPr>
          <w:rFonts w:hint="eastAsia" w:hAnsi="仿宋_GB2312" w:cs="仿宋_GB2312"/>
          <w:szCs w:val="32"/>
        </w:rPr>
        <w:t>2022年度主城区供排水PPP项目管网项目运营补贴资金计划为1348.01万元。</w:t>
      </w:r>
    </w:p>
    <w:p>
      <w:pPr>
        <w:adjustRightInd w:val="0"/>
        <w:snapToGrid w:val="0"/>
        <w:spacing w:line="560" w:lineRule="exact"/>
        <w:ind w:firstLine="640" w:firstLineChars="200"/>
        <w:contextualSpacing/>
        <w:rPr>
          <w:lang w:val="zh-CN"/>
        </w:rPr>
      </w:pPr>
      <w:r>
        <w:rPr>
          <w:rFonts w:hint="eastAsia" w:ascii="仿宋_GB2312" w:hAnsi="仿宋_GB2312" w:cs="仿宋_GB2312"/>
          <w:szCs w:val="32"/>
          <w:lang w:val="zh-CN"/>
        </w:rPr>
        <w:t>资金到位：</w:t>
      </w:r>
      <w:r>
        <w:rPr>
          <w:rFonts w:hint="eastAsia" w:hAnsi="宋体"/>
          <w:szCs w:val="32"/>
        </w:rPr>
        <w:t>2022年度管网项目</w:t>
      </w:r>
      <w:r>
        <w:rPr>
          <w:rFonts w:hint="eastAsia" w:hAnsi="仿宋_GB2312" w:cs="仿宋_GB2312"/>
          <w:szCs w:val="32"/>
        </w:rPr>
        <w:t>运营补贴资金</w:t>
      </w:r>
      <w:r>
        <w:rPr>
          <w:rFonts w:hint="eastAsia" w:ascii="仿宋_GB2312" w:hAnsi="宋体"/>
          <w:szCs w:val="32"/>
        </w:rPr>
        <w:t>到位共计</w:t>
      </w:r>
      <w:r>
        <w:rPr>
          <w:rFonts w:hint="eastAsia" w:hAnsi="宋体"/>
          <w:szCs w:val="32"/>
        </w:rPr>
        <w:t>617.55</w:t>
      </w:r>
      <w:r>
        <w:rPr>
          <w:rFonts w:hint="eastAsia" w:ascii="仿宋_GB2312" w:hAnsi="宋体"/>
          <w:szCs w:val="32"/>
        </w:rPr>
        <w:t>万元。</w:t>
      </w:r>
    </w:p>
    <w:p>
      <w:pPr>
        <w:adjustRightInd w:val="0"/>
        <w:snapToGrid w:val="0"/>
        <w:spacing w:line="560" w:lineRule="exact"/>
        <w:ind w:firstLine="640" w:firstLineChars="200"/>
        <w:contextualSpacing/>
        <w:rPr>
          <w:lang w:val="zh-CN"/>
        </w:rPr>
      </w:pPr>
      <w:r>
        <w:rPr>
          <w:rFonts w:hint="eastAsia" w:ascii="仿宋_GB2312" w:hAnsi="宋体"/>
          <w:szCs w:val="32"/>
          <w:lang w:val="zh-CN"/>
        </w:rPr>
        <w:t>资金使用：</w:t>
      </w:r>
      <w:r>
        <w:rPr>
          <w:rFonts w:hint="eastAsia" w:ascii="仿宋_GB2312" w:hAnsi="宋体"/>
          <w:szCs w:val="32"/>
        </w:rPr>
        <w:t>该项目资金主要用于项目建设期贷款的还本付息，资金支付合规合法，与预算相符</w:t>
      </w:r>
      <w:r>
        <w:rPr>
          <w:rFonts w:hint="eastAsia" w:hAnsi="宋体"/>
          <w:szCs w:val="32"/>
        </w:rPr>
        <w:t>。</w:t>
      </w:r>
    </w:p>
    <w:p>
      <w:pPr>
        <w:adjustRightInd w:val="0"/>
        <w:snapToGrid w:val="0"/>
        <w:spacing w:line="560" w:lineRule="exact"/>
        <w:ind w:firstLine="640" w:firstLineChars="200"/>
        <w:rPr>
          <w:rFonts w:ascii="仿宋_GB2312" w:hAnsi="仿宋_GB2312" w:cs="仿宋_GB2312"/>
          <w:lang w:val="zh-CN"/>
        </w:rPr>
      </w:pPr>
      <w:r>
        <w:rPr>
          <w:rFonts w:hint="eastAsia" w:ascii="仿宋_GB2312" w:hAnsi="仿宋_GB2312" w:cs="仿宋_GB2312"/>
          <w:szCs w:val="32"/>
          <w:lang w:val="zh-CN"/>
        </w:rPr>
        <w:t>（三）项目财务管理情况。</w:t>
      </w:r>
    </w:p>
    <w:p>
      <w:pPr>
        <w:pStyle w:val="15"/>
        <w:spacing w:line="560" w:lineRule="exact"/>
        <w:ind w:left="0" w:leftChars="0" w:firstLine="640"/>
        <w:rPr>
          <w:rFonts w:hAnsi="仿宋_GB2312" w:cs="仿宋_GB2312"/>
          <w:color w:val="FF0000"/>
          <w:kern w:val="0"/>
          <w:shd w:val="clear" w:color="auto" w:fill="FFFFFF"/>
          <w:lang w:val="zh-CN"/>
        </w:rPr>
      </w:pPr>
      <w:r>
        <w:rPr>
          <w:rFonts w:hint="eastAsia" w:hAnsi="仿宋_GB2312" w:cs="仿宋_GB2312"/>
          <w:lang w:val="zh-CN"/>
        </w:rPr>
        <w:t>该项目财务管理制度健全，</w:t>
      </w:r>
      <w:r>
        <w:rPr>
          <w:rFonts w:hint="eastAsia" w:hAnsi="宋体"/>
        </w:rPr>
        <w:t>严格按照《广元首</w:t>
      </w:r>
      <w:r>
        <w:rPr>
          <w:rFonts w:hint="eastAsia" w:hAnsi="仿宋_GB2312" w:cs="仿宋_GB2312"/>
        </w:rPr>
        <w:t>创水务有限公司</w:t>
      </w:r>
      <w:r>
        <w:rPr>
          <w:rFonts w:hint="eastAsia" w:hAnsi="仿宋_GB2312" w:cs="仿宋_GB2312"/>
          <w:lang w:val="zh-CN"/>
        </w:rPr>
        <w:t>财务支出管理制度》（6.0试行版）</w:t>
      </w:r>
      <w:r>
        <w:rPr>
          <w:rFonts w:hint="eastAsia" w:hAnsi="宋体"/>
        </w:rPr>
        <w:t>进行支出管理，</w:t>
      </w:r>
      <w:r>
        <w:rPr>
          <w:rFonts w:hint="eastAsia" w:hAnsi="仿宋_GB2312" w:cs="仿宋_GB2312"/>
          <w:lang w:val="zh-CN"/>
        </w:rPr>
        <w:t>账务处理及时，</w:t>
      </w:r>
      <w:r>
        <w:rPr>
          <w:rFonts w:hint="eastAsia" w:hAnsi="宋体"/>
        </w:rPr>
        <w:t>会计核算严格，</w:t>
      </w:r>
      <w:r>
        <w:rPr>
          <w:rFonts w:hint="eastAsia"/>
          <w:lang w:val="zh-CN"/>
        </w:rPr>
        <w:t>项目资金管理和使用坚持科学安排、合理配置、专款专用、专账核算，严格落实监管原则。</w:t>
      </w:r>
    </w:p>
    <w:p>
      <w:pPr>
        <w:adjustRightInd w:val="0"/>
        <w:snapToGrid w:val="0"/>
        <w:spacing w:line="560" w:lineRule="exact"/>
        <w:ind w:firstLine="640" w:firstLineChars="200"/>
        <w:rPr>
          <w:rFonts w:ascii="黑体" w:hAnsi="宋体" w:eastAsia="黑体"/>
          <w:lang w:val="zh-CN"/>
        </w:rPr>
      </w:pPr>
      <w:r>
        <w:rPr>
          <w:rFonts w:hint="eastAsia" w:ascii="黑体" w:hAnsi="宋体" w:eastAsia="黑体"/>
          <w:lang w:val="zh-CN"/>
        </w:rPr>
        <w:t>三、项目实施及管理情况</w:t>
      </w:r>
    </w:p>
    <w:p>
      <w:pPr>
        <w:numPr>
          <w:ilvl w:val="0"/>
          <w:numId w:val="18"/>
        </w:numPr>
        <w:adjustRightInd w:val="0"/>
        <w:snapToGrid w:val="0"/>
        <w:spacing w:line="560" w:lineRule="exact"/>
        <w:ind w:firstLine="640" w:firstLineChars="200"/>
        <w:rPr>
          <w:lang w:val="zh-CN"/>
        </w:rPr>
      </w:pPr>
      <w:r>
        <w:rPr>
          <w:rFonts w:hint="eastAsia"/>
          <w:szCs w:val="32"/>
          <w:lang w:val="zh-CN"/>
        </w:rPr>
        <w:t>项目组织架构及实施流程。</w:t>
      </w:r>
    </w:p>
    <w:p>
      <w:pPr>
        <w:pStyle w:val="2"/>
        <w:spacing w:before="93" w:line="560" w:lineRule="exact"/>
        <w:ind w:firstLine="640" w:firstLineChars="200"/>
        <w:rPr>
          <w:rFonts w:hAnsi="仿宋_GB2312" w:cs="仿宋_GB2312"/>
        </w:rPr>
      </w:pPr>
      <w:r>
        <w:rPr>
          <w:rFonts w:hint="eastAsia" w:hAnsi="仿宋_GB2312" w:cs="仿宋_GB2312"/>
          <w:kern w:val="2"/>
          <w:sz w:val="32"/>
          <w:szCs w:val="32"/>
        </w:rPr>
        <w:t>主城区供水管网及配套设施PPP项目成立项目部，根据公司项目工作管理要求，明确职责、建立项目管理体系，按照职能职责安排专人对项目安全、质量、进度等管理。该</w:t>
      </w:r>
      <w:r>
        <w:rPr>
          <w:rFonts w:hint="eastAsia" w:hAnsi="仿宋_GB2312" w:cs="仿宋_GB2312"/>
          <w:kern w:val="2"/>
          <w:sz w:val="32"/>
          <w:szCs w:val="32"/>
          <w:lang w:val="zh-CN"/>
        </w:rPr>
        <w:t>项目组织管理架构</w:t>
      </w:r>
      <w:r>
        <w:rPr>
          <w:rFonts w:hint="eastAsia" w:hAnsi="仿宋_GB2312" w:cs="仿宋_GB2312"/>
          <w:kern w:val="2"/>
          <w:sz w:val="32"/>
          <w:szCs w:val="32"/>
        </w:rPr>
        <w:t>如图所示。</w:t>
      </w:r>
    </w:p>
    <w:p>
      <w:pPr>
        <w:pStyle w:val="42"/>
        <w:spacing w:before="93" w:line="240" w:lineRule="auto"/>
        <w:ind w:firstLine="602"/>
        <w:rPr>
          <w:rFonts w:hAnsi="宋体"/>
          <w:b w:val="0"/>
          <w:lang w:val="zh-CN"/>
        </w:rPr>
      </w:pPr>
      <w:r>
        <w:rPr>
          <w:rFonts w:hint="eastAsia" w:ascii="仿宋" w:hAnsi="仿宋" w:eastAsia="仿宋" w:cs="仿宋"/>
        </w:rPr>
        <w:drawing>
          <wp:inline distT="0" distB="0" distL="114300" distR="114300">
            <wp:extent cx="5410200" cy="3564890"/>
            <wp:effectExtent l="0" t="0" r="0" b="3810"/>
            <wp:docPr id="8" name="图片 8" descr="168050654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80506548316"/>
                    <pic:cNvPicPr>
                      <a:picLocks noChangeAspect="1"/>
                    </pic:cNvPicPr>
                  </pic:nvPicPr>
                  <pic:blipFill>
                    <a:blip r:embed="rId37"/>
                    <a:stretch>
                      <a:fillRect/>
                    </a:stretch>
                  </pic:blipFill>
                  <pic:spPr>
                    <a:xfrm>
                      <a:off x="0" y="0"/>
                      <a:ext cx="5410200" cy="3564890"/>
                    </a:xfrm>
                    <a:prstGeom prst="rect">
                      <a:avLst/>
                    </a:prstGeom>
                  </pic:spPr>
                </pic:pic>
              </a:graphicData>
            </a:graphic>
          </wp:inline>
        </w:drawing>
      </w:r>
    </w:p>
    <w:p>
      <w:pPr>
        <w:numPr>
          <w:ilvl w:val="0"/>
          <w:numId w:val="18"/>
        </w:numPr>
        <w:adjustRightInd w:val="0"/>
        <w:snapToGrid w:val="0"/>
        <w:spacing w:line="560" w:lineRule="exact"/>
        <w:ind w:firstLine="640" w:firstLineChars="200"/>
        <w:rPr>
          <w:rFonts w:ascii="仿宋_GB2312" w:hAnsi="仿宋_GB2312" w:cs="仿宋_GB2312"/>
          <w:lang w:val="zh-CN"/>
        </w:rPr>
      </w:pPr>
      <w:r>
        <w:rPr>
          <w:rFonts w:hint="eastAsia" w:ascii="仿宋_GB2312" w:hAnsi="仿宋_GB2312" w:cs="仿宋_GB2312"/>
          <w:szCs w:val="32"/>
          <w:lang w:val="zh-CN"/>
        </w:rPr>
        <w:t>项目管理情况。</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广元首创水务有限公司项目管理部严格落实《建筑法》等法律法规，白龙水厂连通城区输水管网工程的勘察、设计、施工、监理以及与工程建设有关的重要设备、材料等采购，均做到了依法招标。</w:t>
      </w:r>
    </w:p>
    <w:p>
      <w:pPr>
        <w:numPr>
          <w:ilvl w:val="0"/>
          <w:numId w:val="18"/>
        </w:numPr>
        <w:adjustRightInd w:val="0"/>
        <w:snapToGrid w:val="0"/>
        <w:spacing w:line="560" w:lineRule="exact"/>
        <w:ind w:firstLine="640" w:firstLineChars="200"/>
        <w:rPr>
          <w:lang w:val="zh-CN"/>
        </w:rPr>
      </w:pPr>
      <w:r>
        <w:rPr>
          <w:rFonts w:hint="eastAsia" w:ascii="仿宋_GB2312" w:hAnsi="仿宋_GB2312" w:cs="仿宋_GB2312"/>
          <w:szCs w:val="32"/>
          <w:lang w:val="zh-CN"/>
        </w:rPr>
        <w:t>项目监管情况。</w:t>
      </w:r>
    </w:p>
    <w:p>
      <w:pPr>
        <w:adjustRightInd w:val="0"/>
        <w:snapToGrid w:val="0"/>
        <w:spacing w:line="560" w:lineRule="exact"/>
        <w:ind w:firstLine="640" w:firstLineChars="200"/>
        <w:rPr>
          <w:lang w:val="zh-CN"/>
        </w:rPr>
      </w:pPr>
      <w:r>
        <w:rPr>
          <w:rFonts w:hint="eastAsia" w:ascii="仿宋_GB2312" w:hAnsi="仿宋_GB2312" w:cs="仿宋_GB2312"/>
          <w:szCs w:val="32"/>
        </w:rPr>
        <w:t>市国资委投资科定期组织人员对项目建设进度、质量和安全进行实地抽查，并组织人员对监理日志等项目资料进行查看；</w:t>
      </w:r>
      <w:r>
        <w:rPr>
          <w:rFonts w:hint="eastAsia" w:ascii="仿宋" w:hAnsi="仿宋" w:eastAsia="仿宋" w:cs="仿宋"/>
          <w:szCs w:val="32"/>
        </w:rPr>
        <w:t>市住建局质安站进行项目建设全过程质量、安全监督。</w:t>
      </w:r>
    </w:p>
    <w:p>
      <w:pPr>
        <w:adjustRightInd w:val="0"/>
        <w:snapToGrid w:val="0"/>
        <w:spacing w:line="560" w:lineRule="exact"/>
        <w:ind w:firstLine="640" w:firstLineChars="200"/>
        <w:rPr>
          <w:rFonts w:ascii="黑体" w:hAnsi="宋体" w:eastAsia="黑体"/>
          <w:lang w:val="zh-CN"/>
        </w:rPr>
      </w:pPr>
      <w:r>
        <w:rPr>
          <w:rFonts w:hint="eastAsia" w:ascii="黑体" w:hAnsi="宋体" w:eastAsia="黑体"/>
          <w:lang w:val="zh-CN"/>
        </w:rPr>
        <w:t>四、项目绩效情况</w:t>
      </w:r>
      <w:r>
        <w:rPr>
          <w:rFonts w:hint="eastAsia" w:ascii="黑体" w:hAnsi="宋体" w:eastAsia="黑体"/>
          <w:lang w:val="zh-CN"/>
        </w:rPr>
        <w:tab/>
      </w:r>
    </w:p>
    <w:p>
      <w:pPr>
        <w:adjustRightInd w:val="0"/>
        <w:snapToGrid w:val="0"/>
        <w:spacing w:line="560" w:lineRule="exact"/>
        <w:ind w:firstLine="640" w:firstLineChars="200"/>
        <w:rPr>
          <w:rFonts w:ascii="仿宋_GB2312" w:hAnsi="仿宋_GB2312" w:cs="仿宋_GB2312"/>
          <w:lang w:val="zh-CN"/>
        </w:rPr>
      </w:pPr>
      <w:r>
        <w:rPr>
          <w:rFonts w:hint="eastAsia" w:ascii="仿宋_GB2312" w:hAnsi="仿宋_GB2312" w:cs="仿宋_GB2312"/>
          <w:szCs w:val="32"/>
          <w:lang w:val="zh-CN"/>
        </w:rPr>
        <w:t>（一）项目完成情况。</w:t>
      </w:r>
    </w:p>
    <w:p>
      <w:pPr>
        <w:adjustRightInd w:val="0"/>
        <w:snapToGrid w:val="0"/>
        <w:spacing w:line="560" w:lineRule="exact"/>
        <w:ind w:firstLine="720"/>
        <w:rPr>
          <w:rFonts w:ascii="仿宋_GB2312" w:hAnsi="仿宋_GB2312" w:cs="仿宋_GB2312"/>
        </w:rPr>
      </w:pPr>
      <w:r>
        <w:rPr>
          <w:rFonts w:hint="eastAsia" w:ascii="仿宋_GB2312" w:hAnsi="仿宋_GB2312" w:cs="仿宋_GB2312"/>
          <w:szCs w:val="32"/>
        </w:rPr>
        <w:t>该项目于2018年5月4日开工、于2019年6月底完工、于2019年7月开始管道冲洗调试工作、10月完成五方责任主体验收。分部分项工程中隧道工程从2018年8月开始施工，2019年1月贯通， 5月隧道输水管与旧管网贯通。沉管工程于2018年12月开始施工，于2019年2月完工。陵宝路从2018年5月开始施工，于2019年5月完工，西滨路从2018年8月开始施工，于2019年5月完工。利州西路拆迁影响，利州西路从2018年5月开始施工，工作面推进缓慢，直到于2019年8月全线贯通。</w:t>
      </w:r>
    </w:p>
    <w:p>
      <w:pPr>
        <w:spacing w:line="560" w:lineRule="exact"/>
        <w:ind w:firstLine="640" w:firstLineChars="200"/>
        <w:jc w:val="left"/>
        <w:rPr>
          <w:lang w:val="zh-CN"/>
        </w:rPr>
      </w:pPr>
      <w:r>
        <w:rPr>
          <w:rFonts w:hint="eastAsia" w:ascii="仿宋_GB2312" w:hAnsi="仿宋_GB2312" w:cs="仿宋_GB2312"/>
          <w:szCs w:val="32"/>
          <w:lang w:val="zh-CN"/>
        </w:rPr>
        <w:t>该项目严格按照计划及时间节点全面完成。在完成过程中质量、时效、成本均得到有效控制，</w:t>
      </w:r>
      <w:r>
        <w:rPr>
          <w:rFonts w:hint="eastAsia" w:ascii="仿宋_GB2312" w:hAnsi="仿宋_GB2312" w:cs="仿宋_GB2312"/>
          <w:szCs w:val="32"/>
        </w:rPr>
        <w:t>项目资金与预算相符，无违法违规记录</w:t>
      </w:r>
      <w:r>
        <w:rPr>
          <w:rFonts w:hint="eastAsia" w:ascii="仿宋_GB2312" w:hAnsi="仿宋_GB2312" w:cs="仿宋_GB2312"/>
          <w:szCs w:val="32"/>
          <w:lang w:val="zh-CN"/>
        </w:rPr>
        <w:t>等情况，截止评价时点项目已全部完成了任务量，经相关部门检测项目质量全部达标。</w:t>
      </w:r>
      <w:r>
        <w:rPr>
          <w:rFonts w:hint="eastAsia" w:ascii="仿宋_GB2312" w:hAnsi="仿宋_GB2312" w:cs="仿宋_GB2312"/>
          <w:szCs w:val="32"/>
        </w:rPr>
        <w:t xml:space="preserve"> </w:t>
      </w:r>
    </w:p>
    <w:p>
      <w:pPr>
        <w:adjustRightInd w:val="0"/>
        <w:snapToGrid w:val="0"/>
        <w:spacing w:line="560" w:lineRule="exact"/>
        <w:ind w:firstLine="640" w:firstLineChars="200"/>
        <w:rPr>
          <w:rFonts w:ascii="仿宋_GB2312" w:hAnsi="仿宋_GB2312" w:cs="仿宋_GB2312"/>
          <w:color w:val="FF0000"/>
          <w:kern w:val="0"/>
          <w:shd w:val="clear" w:color="auto" w:fill="FFFFFF"/>
        </w:rPr>
      </w:pPr>
      <w:r>
        <w:rPr>
          <w:rFonts w:hint="eastAsia" w:ascii="仿宋_GB2312" w:hAnsi="仿宋_GB2312" w:cs="仿宋_GB2312"/>
          <w:szCs w:val="32"/>
          <w:lang w:val="zh-CN"/>
        </w:rPr>
        <w:t>（二）项目效益情况。</w:t>
      </w:r>
      <w:r>
        <w:rPr>
          <w:rFonts w:hint="eastAsia" w:ascii="仿宋_GB2312" w:hAnsi="仿宋_GB2312" w:cs="仿宋_GB2312"/>
          <w:szCs w:val="32"/>
        </w:rPr>
        <w:t xml:space="preserve"> </w:t>
      </w:r>
      <w:r>
        <w:rPr>
          <w:rFonts w:hint="eastAsia" w:ascii="仿宋_GB2312" w:hAnsi="仿宋_GB2312" w:cs="仿宋_GB2312"/>
          <w:color w:val="FF0000"/>
          <w:kern w:val="0"/>
          <w:szCs w:val="32"/>
          <w:shd w:val="clear" w:color="auto" w:fill="FFFFFF"/>
        </w:rPr>
        <w:t xml:space="preserve">  </w:t>
      </w:r>
    </w:p>
    <w:p>
      <w:pPr>
        <w:adjustRightInd w:val="0"/>
        <w:snapToGrid w:val="0"/>
        <w:spacing w:line="560" w:lineRule="exact"/>
        <w:ind w:firstLine="640" w:firstLineChars="200"/>
        <w:contextualSpacing/>
        <w:rPr>
          <w:lang w:val="zh-CN"/>
        </w:rPr>
      </w:pPr>
      <w:r>
        <w:rPr>
          <w:rFonts w:hint="eastAsia" w:ascii="仿宋_GB2312" w:hAnsi="仿宋_GB2312" w:cs="仿宋_GB2312"/>
          <w:szCs w:val="32"/>
          <w:lang w:val="zh-CN"/>
        </w:rPr>
        <w:t>城市供水是城市重要的基础设施，是服务性的生产企业，它直接关系到城市经济的发展和人民生活水平的提高，我单位紧紧围绕“为生产建设、为人民服务”的方针，积极开源节流，客服种种困难，向政策要活力，向管理要效益。以社会效益为主的同时，保障企业的经济效益，既保证供水质量，使用水居民用户满意，也要保证企业的正常经营运转。只有平衡好社会效益和经济效益，才能高效持续的为城市提供优质水源，保证人民群众生活质量。</w:t>
      </w:r>
    </w:p>
    <w:p>
      <w:pPr>
        <w:adjustRightInd w:val="0"/>
        <w:snapToGrid w:val="0"/>
        <w:spacing w:line="560" w:lineRule="exact"/>
        <w:ind w:firstLine="640" w:firstLineChars="200"/>
        <w:rPr>
          <w:rFonts w:ascii="黑体" w:hAnsi="宋体" w:eastAsia="黑体"/>
          <w:lang w:val="zh-CN"/>
        </w:rPr>
      </w:pPr>
      <w:r>
        <w:rPr>
          <w:rFonts w:hint="eastAsia" w:ascii="黑体" w:hAnsi="宋体" w:eastAsia="黑体"/>
          <w:lang w:val="zh-CN"/>
        </w:rPr>
        <w:t>五、评价结论及建议</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主城区供排水PPP</w:t>
      </w:r>
      <w:r>
        <w:rPr>
          <w:rFonts w:hint="eastAsia" w:hAnsi="仿宋_GB2312" w:cs="仿宋_GB2312"/>
          <w:b w:val="0"/>
          <w:color w:val="auto"/>
          <w:sz w:val="32"/>
          <w:szCs w:val="32"/>
          <w:lang w:val="zh-CN"/>
        </w:rPr>
        <w:t>项目在施工建设、施工管理以及项目审计等方面均未出现各类违法违规问题。</w:t>
      </w:r>
    </w:p>
    <w:p>
      <w:pPr>
        <w:pStyle w:val="42"/>
        <w:spacing w:before="93" w:line="560" w:lineRule="exact"/>
        <w:ind w:firstLine="0" w:firstLineChars="0"/>
        <w:rPr>
          <w:rFonts w:hAnsi="仿宋_GB2312" w:cs="仿宋_GB2312"/>
          <w:b w:val="0"/>
          <w:color w:val="auto"/>
          <w:sz w:val="32"/>
          <w:szCs w:val="32"/>
          <w:lang w:val="zh-CN"/>
        </w:rPr>
      </w:pPr>
    </w:p>
    <w:p>
      <w:pPr>
        <w:pStyle w:val="2"/>
        <w:spacing w:before="93"/>
      </w:pPr>
    </w:p>
    <w:p>
      <w:pPr>
        <w:pStyle w:val="2"/>
        <w:spacing w:before="93"/>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黑石坡康养度假区森林院子、翠鸣谷配套道路、百草园等项目征拆项目</w:t>
      </w:r>
      <w:r>
        <w:rPr>
          <w:rFonts w:hint="eastAsia" w:ascii="仿宋_GB2312"/>
          <w:sz w:val="32"/>
          <w:szCs w:val="32"/>
        </w:rPr>
        <w:t>）</w:t>
      </w:r>
    </w:p>
    <w:p>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（一）项目基本情况。</w:t>
      </w:r>
    </w:p>
    <w:p>
      <w:pPr>
        <w:adjustRightInd w:val="0"/>
        <w:snapToGrid w:val="0"/>
        <w:spacing w:line="578" w:lineRule="exact"/>
        <w:ind w:firstLine="640" w:firstLineChars="200"/>
        <w:contextualSpacing/>
        <w:rPr>
          <w:lang w:val="zh-CN"/>
        </w:rPr>
      </w:pPr>
      <w:r>
        <w:rPr>
          <w:rFonts w:hint="eastAsia" w:ascii="仿宋_GB2312" w:hAnsi="仿宋_GB2312" w:cs="仿宋_GB2312"/>
          <w:bCs/>
          <w:color w:val="000000" w:themeColor="text1"/>
          <w:szCs w:val="32"/>
          <w14:textFill>
            <w14:solidFill>
              <w14:schemeClr w14:val="tx1"/>
            </w14:solidFill>
          </w14:textFill>
        </w:rPr>
        <w:t>市国资委</w:t>
      </w:r>
      <w:r>
        <w:rPr>
          <w:rFonts w:hint="eastAsia" w:hAnsi="仿宋_GB2312" w:cs="仿宋_GB2312"/>
          <w:bCs/>
          <w:color w:val="000000" w:themeColor="text1"/>
          <w:szCs w:val="32"/>
          <w14:textFill>
            <w14:solidFill>
              <w14:schemeClr w14:val="tx1"/>
            </w14:solidFill>
          </w14:textFill>
        </w:rPr>
        <w:t>作</w:t>
      </w:r>
      <w:r>
        <w:rPr>
          <w:rFonts w:hint="eastAsia" w:ascii="仿宋_GB2312" w:hAnsi="仿宋_GB2312" w:cs="仿宋_GB2312"/>
          <w:kern w:val="0"/>
          <w:szCs w:val="32"/>
          <w:shd w:val="clear" w:color="auto" w:fill="FFFFFF"/>
        </w:rPr>
        <w:t>为</w:t>
      </w:r>
      <w:r>
        <w:rPr>
          <w:rFonts w:hint="eastAsia" w:ascii="仿宋_GB2312" w:hAnsi="仿宋_GB2312" w:cs="仿宋_GB2312"/>
          <w:kern w:val="0"/>
          <w:szCs w:val="32"/>
          <w:shd w:val="clear" w:color="auto" w:fill="FFFFFF"/>
          <w:lang w:val="zh-CN"/>
        </w:rPr>
        <w:t>广元市文化旅游投资集团有限公司</w:t>
      </w:r>
      <w:r>
        <w:rPr>
          <w:rFonts w:hint="eastAsia" w:ascii="仿宋_GB2312" w:hAnsi="仿宋_GB2312" w:cs="仿宋_GB2312"/>
          <w:kern w:val="0"/>
          <w:szCs w:val="32"/>
          <w:shd w:val="clear" w:color="auto" w:fill="FFFFFF"/>
        </w:rPr>
        <w:t>关于对黑石坡康养度假区森林院子、翠鸣谷配套道路、百草园等项目征拆</w:t>
      </w:r>
      <w:r>
        <w:rPr>
          <w:rFonts w:ascii="仿宋_GB2312" w:hAnsi="仿宋_GB2312" w:cs="仿宋_GB2312"/>
          <w:kern w:val="0"/>
          <w:szCs w:val="32"/>
          <w:shd w:val="clear" w:color="auto" w:fill="FFFFFF"/>
          <w:lang w:val="zh-CN"/>
        </w:rPr>
        <w:t>项目</w:t>
      </w:r>
      <w:r>
        <w:rPr>
          <w:rFonts w:hint="eastAsia" w:ascii="仿宋_GB2312" w:hAnsi="仿宋_GB2312" w:cs="仿宋_GB2312"/>
          <w:kern w:val="0"/>
          <w:szCs w:val="32"/>
          <w:shd w:val="clear" w:color="auto" w:fill="FFFFFF"/>
        </w:rPr>
        <w:t>主</w:t>
      </w:r>
      <w:r>
        <w:rPr>
          <w:rFonts w:hint="eastAsia" w:hAnsi="仿宋_GB2312" w:cs="仿宋_GB2312"/>
          <w:kern w:val="0"/>
          <w:szCs w:val="32"/>
          <w:shd w:val="clear" w:color="auto" w:fill="FFFFFF"/>
        </w:rPr>
        <w:t>管部门，在项目建设过程中，积极督导项目各项工作，积极协调征拆相关事宜。</w:t>
      </w:r>
    </w:p>
    <w:p>
      <w:pPr>
        <w:snapToGrid w:val="0"/>
        <w:spacing w:line="576" w:lineRule="exact"/>
        <w:ind w:firstLine="640" w:firstLineChars="200"/>
        <w:rPr>
          <w:rFonts w:ascii="仿宋_GB2312" w:hAnsi="宋体"/>
        </w:rPr>
      </w:pPr>
      <w:r>
        <w:rPr>
          <w:rFonts w:hint="eastAsia" w:ascii="仿宋_GB2312" w:hAnsi="宋体"/>
          <w:szCs w:val="32"/>
        </w:rPr>
        <w:t>该笔支出属于黑石坡前期土地出让金返还款，该属于公共财政支持范围，筹资渠道符合法律法规规定，筹资结构合理，资金来源渠道明确，同时制定实施方案或计划，组织机构健全，职责分工明确，有具体的实施时间，有明确的工作程序，基础设施条件能够有效保障，具有相应的质量检查、验收等必要的控制措施或手段，有针对突发事件或未知风险的应急措施等。</w:t>
      </w:r>
    </w:p>
    <w:p>
      <w:pPr>
        <w:spacing w:line="560" w:lineRule="exact"/>
        <w:ind w:firstLine="640" w:firstLineChars="200"/>
        <w:rPr>
          <w:rFonts w:ascii="仿宋" w:hAnsi="仿宋" w:eastAsia="仿宋" w:cs="仿宋"/>
        </w:rPr>
      </w:pPr>
      <w:r>
        <w:rPr>
          <w:rFonts w:hint="eastAsia" w:ascii="仿宋_GB2312" w:hAnsi="仿宋_GB2312" w:cs="仿宋_GB2312"/>
          <w:kern w:val="0"/>
          <w:szCs w:val="32"/>
          <w:shd w:val="clear" w:color="auto" w:fill="FFFFFF"/>
        </w:rPr>
        <w:t>黑石坡康养度假区森林院子、翠鸣谷配套道路、百草园等项目</w:t>
      </w:r>
      <w:r>
        <w:rPr>
          <w:rFonts w:hint="eastAsia" w:ascii="仿宋" w:hAnsi="仿宋" w:eastAsia="仿宋" w:cs="仿宋"/>
          <w:szCs w:val="32"/>
        </w:rPr>
        <w:t>购房补差严格按照《中华人民共和国建筑法》、制定和完善了《广元市文化旅游集团有限公司工程款拨付制度》，制度中明确了资金拨付等一系列管理职责。</w:t>
      </w:r>
    </w:p>
    <w:p>
      <w:pPr>
        <w:pStyle w:val="15"/>
        <w:ind w:left="0" w:leftChars="0" w:firstLine="640"/>
        <w:rPr>
          <w:lang w:val="zh-CN"/>
        </w:rPr>
      </w:pPr>
      <w:r>
        <w:rPr>
          <w:rFonts w:hint="eastAsia"/>
          <w:lang w:val="zh-CN"/>
        </w:rPr>
        <w:t>项目资金的分配始终坚持一个原则：全力保证</w:t>
      </w:r>
      <w:r>
        <w:rPr>
          <w:rFonts w:hint="eastAsia"/>
        </w:rPr>
        <w:t>征拆工作</w:t>
      </w:r>
      <w:r>
        <w:rPr>
          <w:rFonts w:hint="eastAsia"/>
          <w:lang w:val="zh-CN"/>
        </w:rPr>
        <w:t>顺利推进，确保资金公平合理地分配到项目建设的各个环节，提升项目质量和资金使用效益，实现资金落到实处，强化执行过程监督。</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cs="仿宋_GB2312"/>
          <w:kern w:val="0"/>
          <w:szCs w:val="32"/>
          <w:shd w:val="clear" w:color="auto" w:fill="FFFFFF"/>
          <w:lang w:val="zh-CN"/>
        </w:rPr>
        <w:t>1．项目主要内容</w:t>
      </w:r>
    </w:p>
    <w:p>
      <w:pPr>
        <w:pStyle w:val="42"/>
        <w:spacing w:before="93"/>
        <w:rPr>
          <w:rFonts w:ascii="Times New Roman"/>
          <w:b w:val="0"/>
          <w:color w:val="auto"/>
          <w:sz w:val="32"/>
          <w:szCs w:val="32"/>
          <w:lang w:val="zh-CN"/>
        </w:rPr>
      </w:pPr>
      <w:r>
        <w:rPr>
          <w:rFonts w:hint="eastAsia" w:ascii="Times New Roman"/>
          <w:b w:val="0"/>
          <w:color w:val="auto"/>
          <w:sz w:val="32"/>
          <w:szCs w:val="32"/>
          <w:lang w:val="zh-CN"/>
        </w:rPr>
        <w:t>森林院子片区棚户区限价商品房项目：占地21.23亩，建筑面积5.5万平方米，主要建设3栋23-24层住宅和1栋3层商业楼。</w:t>
      </w:r>
    </w:p>
    <w:p>
      <w:pPr>
        <w:adjustRightInd w:val="0"/>
        <w:snapToGrid w:val="0"/>
        <w:spacing w:line="560" w:lineRule="exact"/>
        <w:ind w:firstLine="640" w:firstLineChars="200"/>
        <w:contextualSpacing/>
      </w:pPr>
      <w:r>
        <w:rPr>
          <w:rFonts w:hint="eastAsia" w:ascii="仿宋_GB2312" w:hAnsi="仿宋_GB2312" w:cs="仿宋_GB2312"/>
          <w:szCs w:val="32"/>
        </w:rPr>
        <w:t>2.</w:t>
      </w:r>
      <w:r>
        <w:rPr>
          <w:rFonts w:hint="eastAsia" w:ascii="仿宋_GB2312" w:hAnsi="仿宋_GB2312" w:cs="仿宋_GB2312"/>
          <w:szCs w:val="32"/>
          <w:lang w:val="zh-CN"/>
        </w:rPr>
        <w:t>项目绩效目标</w:t>
      </w:r>
    </w:p>
    <w:p>
      <w:pPr>
        <w:adjustRightInd w:val="0"/>
        <w:snapToGrid w:val="0"/>
        <w:spacing w:line="578" w:lineRule="exact"/>
        <w:ind w:firstLine="640" w:firstLineChars="200"/>
        <w:contextualSpacing/>
      </w:pPr>
      <w:r>
        <w:rPr>
          <w:rFonts w:hint="eastAsia"/>
          <w:szCs w:val="32"/>
        </w:rPr>
        <w:t>完成雪峰村二组、四组、五组，共计227人农转非安置费；翠鸣谷片区温泉康养配套道路工程项目土地补偿安置费（雪峰村四组）；森林院子一期项目5户打官司调解预估补偿费；过渡费发放；殷泽全（百草园项目租地户清场搬迁补偿费）；袁康民、袁实（游客接待中心租地户搬迁补偿）；孙玉蓉等56人社保费；百草园项目集体防旱池及附属设施等补偿（雁栖社区）；雁栖社区集体及个人部分地面附着物补偿杆管线迁改费用（电力、天然气杆线）；青林观等6条道路占用黑石坡林场林地补偿费，328.8亩林木补偿费等费用的发放及对应的安置工作；马家坡项目自来水迁改费；打石沟水库（所涉雁栖、柜北、金柜社区）征拆补贴费用。</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szCs w:val="32"/>
        </w:rPr>
        <w:t>马家坡项目自来水迁改费；打石沟水库（所涉雁栖、柜北、金柜社区）</w:t>
      </w:r>
      <w:r>
        <w:rPr>
          <w:rFonts w:hint="eastAsia" w:ascii="仿宋_GB2312" w:hAnsi="仿宋_GB2312" w:cs="仿宋_GB2312"/>
          <w:kern w:val="0"/>
          <w:szCs w:val="32"/>
          <w:shd w:val="clear" w:color="auto" w:fill="FFFFFF"/>
        </w:rPr>
        <w:t>项目因补偿标准未达成一致，</w:t>
      </w:r>
      <w:r>
        <w:rPr>
          <w:rFonts w:hint="eastAsia"/>
          <w:szCs w:val="32"/>
        </w:rPr>
        <w:t>两项正在进行中，预计5月底完成。</w:t>
      </w:r>
    </w:p>
    <w:p>
      <w:pPr>
        <w:pStyle w:val="42"/>
        <w:spacing w:before="93" w:line="560" w:lineRule="exact"/>
        <w:rPr>
          <w:rFonts w:hAnsi="仿宋_GB2312" w:cs="仿宋_GB2312"/>
          <w:b w:val="0"/>
          <w:color w:val="auto"/>
          <w:sz w:val="32"/>
          <w:szCs w:val="32"/>
          <w:lang w:val="zh-CN"/>
        </w:rPr>
      </w:pPr>
      <w:r>
        <w:rPr>
          <w:rFonts w:hint="eastAsia" w:hAnsi="仿宋_GB2312" w:cs="仿宋_GB2312"/>
          <w:b w:val="0"/>
          <w:color w:val="auto"/>
          <w:sz w:val="32"/>
          <w:szCs w:val="32"/>
        </w:rPr>
        <w:t>3.</w:t>
      </w:r>
      <w:r>
        <w:rPr>
          <w:rFonts w:hint="eastAsia" w:hAnsi="仿宋_GB2312" w:cs="仿宋_GB2312"/>
          <w:b w:val="0"/>
          <w:color w:val="auto"/>
          <w:sz w:val="32"/>
          <w:szCs w:val="32"/>
          <w:lang w:val="zh-CN"/>
        </w:rPr>
        <w:t>资金申报相符性</w:t>
      </w:r>
    </w:p>
    <w:p>
      <w:pPr>
        <w:spacing w:line="576" w:lineRule="exact"/>
        <w:ind w:firstLine="640" w:firstLineChars="200"/>
        <w:jc w:val="left"/>
        <w:rPr>
          <w:rFonts w:ascii="仿宋_GB2312" w:hAnsi="仿宋_GB2312" w:cs="仿宋_GB2312"/>
          <w:kern w:val="0"/>
          <w:shd w:val="clear" w:color="auto" w:fill="FFFFFF"/>
          <w:lang w:val="zh-CN"/>
        </w:rPr>
      </w:pPr>
      <w:r>
        <w:rPr>
          <w:rFonts w:hint="eastAsia" w:ascii="仿宋_GB2312" w:hAnsi="仿宋_GB2312" w:cs="仿宋_GB2312"/>
          <w:szCs w:val="32"/>
          <w:lang w:val="zh-CN"/>
        </w:rPr>
        <w:t>在完成过程中质量、时效、成本均得到有效控制，</w:t>
      </w:r>
      <w:r>
        <w:rPr>
          <w:rFonts w:hint="eastAsia" w:ascii="仿宋_GB2312" w:hAnsi="仿宋_GB2312" w:cs="仿宋_GB2312"/>
          <w:szCs w:val="32"/>
        </w:rPr>
        <w:t>项目资金与预算相符，无违法违规记录</w:t>
      </w:r>
      <w:r>
        <w:rPr>
          <w:rFonts w:hint="eastAsia" w:ascii="仿宋_GB2312" w:hAnsi="仿宋_GB2312" w:cs="仿宋_GB2312"/>
          <w:szCs w:val="32"/>
          <w:lang w:val="zh-CN"/>
        </w:rPr>
        <w:t>等情况，截止评价时点项目已全部完成了任务量，经相关部门检测项目质量全部达标。</w:t>
      </w:r>
      <w:r>
        <w:rPr>
          <w:rFonts w:hint="eastAsia" w:ascii="仿宋_GB2312" w:hAnsi="仿宋_GB2312" w:cs="仿宋_GB2312"/>
          <w:szCs w:val="32"/>
        </w:rPr>
        <w:t xml:space="preserve"> </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（三）项目自评步骤及方法。</w:t>
      </w:r>
    </w:p>
    <w:p>
      <w:pPr>
        <w:pStyle w:val="42"/>
        <w:spacing w:before="93"/>
        <w:rPr>
          <w:rFonts w:hAnsi="仿宋_GB2312" w:cs="仿宋_GB2312"/>
          <w:b w:val="0"/>
          <w:color w:val="auto"/>
          <w:sz w:val="32"/>
          <w:szCs w:val="32"/>
          <w:lang w:val="zh-CN"/>
        </w:rPr>
      </w:pPr>
      <w:r>
        <w:rPr>
          <w:rFonts w:hint="eastAsia" w:hAnsi="仿宋_GB2312" w:cs="仿宋_GB2312"/>
          <w:b w:val="0"/>
          <w:color w:val="auto"/>
          <w:sz w:val="32"/>
          <w:szCs w:val="32"/>
          <w:lang w:val="zh-CN"/>
        </w:rPr>
        <w:t>项目绩效自评</w:t>
      </w:r>
      <w:r>
        <w:rPr>
          <w:rFonts w:hint="eastAsia" w:hAnsi="仿宋_GB2312" w:cs="仿宋_GB2312"/>
          <w:b w:val="0"/>
          <w:color w:val="auto"/>
          <w:sz w:val="32"/>
          <w:szCs w:val="32"/>
        </w:rPr>
        <w:t>首先由广元市文化旅游投资集团有限公司项目管理部员工和财务人员共同草拟自评报告，报分管领导审核、报送至项目主管单位（市国资委）。</w:t>
      </w:r>
    </w:p>
    <w:p>
      <w:pPr>
        <w:adjustRightInd w:val="0"/>
        <w:snapToGrid w:val="0"/>
        <w:spacing w:line="578" w:lineRule="exact"/>
        <w:ind w:firstLine="640" w:firstLineChars="200"/>
        <w:rPr>
          <w:rFonts w:ascii="黑体" w:hAnsi="宋体" w:eastAsia="黑体"/>
        </w:rPr>
      </w:pPr>
      <w:r>
        <w:rPr>
          <w:rFonts w:hint="eastAsia" w:ascii="黑体" w:hAnsi="宋体" w:eastAsia="黑体"/>
          <w:szCs w:val="32"/>
        </w:rPr>
        <w:t>二、项目资金申报及使用情况</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（一）项目资金申报及批复情况。</w:t>
      </w:r>
    </w:p>
    <w:p>
      <w:pPr>
        <w:spacing w:line="576" w:lineRule="exact"/>
        <w:ind w:firstLine="640" w:firstLineChars="200"/>
        <w:jc w:val="left"/>
        <w:rPr>
          <w:rFonts w:hAnsi="仿宋_GB2312" w:cs="仿宋_GB2312"/>
        </w:rPr>
      </w:pPr>
      <w:r>
        <w:rPr>
          <w:rFonts w:hint="eastAsia" w:ascii="仿宋_GB2312" w:hAnsi="仿宋_GB2312" w:cs="仿宋_GB2312"/>
          <w:szCs w:val="32"/>
        </w:rPr>
        <w:t>2022年3月4日，我公司向</w:t>
      </w:r>
      <w:r>
        <w:rPr>
          <w:rFonts w:hint="eastAsia" w:ascii="仿宋_GB2312" w:hAnsi="仿宋_GB2312" w:cs="仿宋_GB2312"/>
          <w:szCs w:val="32"/>
          <w:lang w:val="zh-CN"/>
        </w:rPr>
        <w:t>广元市政府国有资产监督管理委员会</w:t>
      </w:r>
      <w:r>
        <w:rPr>
          <w:rFonts w:hint="eastAsia" w:ascii="仿宋_GB2312" w:hAnsi="仿宋_GB2312" w:cs="仿宋_GB2312"/>
          <w:szCs w:val="32"/>
        </w:rPr>
        <w:t>提交《</w:t>
      </w:r>
      <w:r>
        <w:rPr>
          <w:rFonts w:hint="eastAsia" w:ascii="仿宋_GB2312" w:hAnsi="仿宋_GB2312" w:cs="仿宋_GB2312"/>
          <w:szCs w:val="32"/>
          <w:lang w:val="zh-CN"/>
        </w:rPr>
        <w:t>广元市文化旅游投资集团有限公司关于拨付黑石坡康养度假区建设推进急需资金的报告</w:t>
      </w:r>
      <w:r>
        <w:rPr>
          <w:rFonts w:hint="eastAsia" w:ascii="仿宋_GB2312" w:hAnsi="仿宋_GB2312" w:cs="仿宋_GB2312"/>
          <w:szCs w:val="32"/>
        </w:rPr>
        <w:t>》（广文旅</w:t>
      </w:r>
      <w:r>
        <w:rPr>
          <w:rFonts w:hint="eastAsia" w:hAnsi="仿宋_GB2312" w:cs="仿宋_GB2312"/>
          <w:szCs w:val="32"/>
        </w:rPr>
        <w:t>司（2022）44号），申请资金4701.06万元。2022年6月7日，市财政局下达了《广元市财政局关于下达基金指标的通知》（广财投（2022）53号），拨付黑石坡康养度假区森林院子、翠鸣谷配套道路、百草园等项目征拆补助资金3658.26万元。</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w:t>
      </w:r>
      <w:r>
        <w:rPr>
          <w:rFonts w:hint="eastAsia" w:ascii="楷体_GB2312" w:hAnsi="宋体" w:eastAsia="楷体_GB2312"/>
          <w:szCs w:val="32"/>
        </w:rPr>
        <w:t>二</w:t>
      </w:r>
      <w:r>
        <w:rPr>
          <w:rFonts w:hint="eastAsia" w:ascii="楷体_GB2312" w:hAnsi="宋体" w:eastAsia="楷体_GB2312"/>
          <w:szCs w:val="32"/>
          <w:lang w:val="zh-CN"/>
        </w:rPr>
        <w:t>）项目财务管理情况。</w:t>
      </w:r>
    </w:p>
    <w:p>
      <w:pPr>
        <w:pStyle w:val="15"/>
        <w:ind w:left="0" w:leftChars="0" w:firstLine="640"/>
        <w:rPr>
          <w:rFonts w:hAnsi="仿宋_GB2312" w:cs="仿宋_GB2312"/>
          <w:color w:val="FF0000"/>
          <w:kern w:val="0"/>
          <w:shd w:val="clear" w:color="auto" w:fill="FFFFFF"/>
          <w:lang w:val="zh-CN"/>
        </w:rPr>
      </w:pPr>
      <w:r>
        <w:rPr>
          <w:rFonts w:hint="eastAsia" w:hAnsi="仿宋_GB2312" w:cs="仿宋_GB2312"/>
          <w:lang w:val="zh-CN"/>
        </w:rPr>
        <w:t>该项目财务管理制度健全，账务处理及时，</w:t>
      </w:r>
      <w:r>
        <w:rPr>
          <w:rFonts w:hint="eastAsia" w:hAnsi="宋体"/>
        </w:rPr>
        <w:t>会计核算严格，</w:t>
      </w:r>
      <w:r>
        <w:rPr>
          <w:rFonts w:hint="eastAsia"/>
          <w:lang w:val="zh-CN"/>
        </w:rPr>
        <w:t>项目资金管理和使用坚持科学安排、合理配置、严格落实监管原则。</w:t>
      </w:r>
    </w:p>
    <w:p>
      <w:pPr>
        <w:adjustRightInd w:val="0"/>
        <w:snapToGrid w:val="0"/>
        <w:spacing w:line="578" w:lineRule="exact"/>
        <w:ind w:firstLine="640" w:firstLineChars="200"/>
        <w:rPr>
          <w:rFonts w:ascii="仿宋_GB2312" w:hAnsi="宋体"/>
          <w:lang w:val="zh-CN"/>
        </w:rPr>
      </w:pPr>
      <w:r>
        <w:rPr>
          <w:rFonts w:hint="eastAsia" w:ascii="黑体" w:hAnsi="宋体" w:eastAsia="黑体"/>
          <w:szCs w:val="32"/>
        </w:rPr>
        <w:t>四、项目绩效情况</w:t>
      </w:r>
      <w:r>
        <w:rPr>
          <w:rFonts w:hint="eastAsia" w:ascii="仿宋_GB2312" w:hAnsi="宋体"/>
          <w:szCs w:val="32"/>
          <w:lang w:val="zh-CN"/>
        </w:rPr>
        <w:tab/>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（一）项目完成情况。</w:t>
      </w:r>
    </w:p>
    <w:p>
      <w:pPr>
        <w:adjustRightInd w:val="0"/>
        <w:snapToGrid w:val="0"/>
        <w:spacing w:line="578" w:lineRule="exact"/>
        <w:ind w:firstLine="640" w:firstLineChars="200"/>
        <w:contextualSpacing/>
        <w:rPr>
          <w:rFonts w:ascii="仿宋_GB2312" w:hAnsi="仿宋_GB2312" w:cs="仿宋_GB2312"/>
          <w:lang w:val="zh-CN"/>
        </w:rPr>
      </w:pPr>
      <w:r>
        <w:rPr>
          <w:rFonts w:hint="eastAsia" w:ascii="仿宋_GB2312" w:hAnsi="仿宋_GB2312" w:cs="仿宋_GB2312"/>
          <w:szCs w:val="32"/>
        </w:rPr>
        <w:t>1.</w:t>
      </w:r>
      <w:r>
        <w:rPr>
          <w:rFonts w:hint="eastAsia" w:ascii="仿宋_GB2312" w:hAnsi="仿宋_GB2312" w:cs="仿宋_GB2312"/>
          <w:szCs w:val="32"/>
          <w:lang w:val="zh-CN"/>
        </w:rPr>
        <w:t>资金计划</w:t>
      </w:r>
    </w:p>
    <w:p>
      <w:pPr>
        <w:pStyle w:val="42"/>
        <w:spacing w:before="93"/>
        <w:rPr>
          <w:rFonts w:hAnsi="仿宋_GB2312" w:cs="仿宋_GB2312"/>
          <w:b w:val="0"/>
          <w:color w:val="FF0000"/>
          <w:kern w:val="0"/>
          <w:sz w:val="32"/>
          <w:szCs w:val="32"/>
          <w:shd w:val="clear" w:color="auto" w:fill="FFFFFF"/>
          <w:lang w:val="zh-CN"/>
        </w:rPr>
      </w:pPr>
      <w:r>
        <w:rPr>
          <w:rFonts w:hint="eastAsia" w:hAnsi="仿宋_GB2312" w:cs="仿宋_GB2312"/>
          <w:b w:val="0"/>
          <w:color w:val="auto"/>
          <w:sz w:val="32"/>
          <w:szCs w:val="32"/>
        </w:rPr>
        <w:t>黑石坡康养度假区森林院子、翠鸣谷配套道路、百草园等项目征拆补助资金合计计划为4701.06万元。</w:t>
      </w:r>
    </w:p>
    <w:p>
      <w:pPr>
        <w:adjustRightInd w:val="0"/>
        <w:snapToGrid w:val="0"/>
        <w:spacing w:line="578" w:lineRule="exact"/>
        <w:ind w:firstLine="640" w:firstLineChars="200"/>
        <w:contextualSpacing/>
        <w:rPr>
          <w:rFonts w:ascii="仿宋_GB2312" w:hAnsi="仿宋_GB2312" w:cs="仿宋_GB2312"/>
          <w:lang w:val="zh-CN"/>
        </w:rPr>
      </w:pPr>
      <w:r>
        <w:rPr>
          <w:rFonts w:hint="eastAsia" w:ascii="仿宋_GB2312" w:hAnsi="仿宋_GB2312" w:cs="仿宋_GB2312"/>
          <w:szCs w:val="32"/>
        </w:rPr>
        <w:t>2.</w:t>
      </w:r>
      <w:r>
        <w:rPr>
          <w:rFonts w:hint="eastAsia" w:ascii="仿宋_GB2312" w:hAnsi="仿宋_GB2312" w:cs="仿宋_GB2312"/>
          <w:szCs w:val="32"/>
          <w:lang w:val="zh-CN"/>
        </w:rPr>
        <w:t>资金到位</w:t>
      </w:r>
    </w:p>
    <w:p>
      <w:pPr>
        <w:pStyle w:val="42"/>
        <w:spacing w:before="93"/>
        <w:rPr>
          <w:rFonts w:ascii="楷体_GB2312" w:hAnsi="宋体" w:eastAsia="楷体_GB2312"/>
          <w:b w:val="0"/>
          <w:color w:val="auto"/>
          <w:sz w:val="32"/>
          <w:szCs w:val="32"/>
          <w:lang w:val="zh-CN"/>
        </w:rPr>
      </w:pPr>
      <w:r>
        <w:rPr>
          <w:rFonts w:hint="eastAsia" w:hAnsi="宋体"/>
          <w:b w:val="0"/>
          <w:color w:val="auto"/>
          <w:sz w:val="32"/>
          <w:szCs w:val="32"/>
        </w:rPr>
        <w:t>2022年度</w:t>
      </w:r>
      <w:r>
        <w:rPr>
          <w:rFonts w:hint="eastAsia" w:hAnsi="仿宋_GB2312" w:cs="仿宋_GB2312"/>
          <w:b w:val="0"/>
          <w:color w:val="auto"/>
          <w:sz w:val="32"/>
          <w:szCs w:val="32"/>
        </w:rPr>
        <w:t>黑石坡康养度假区森林院子、翠鸣谷配套道路、百草园等项目征拆补助资金到位资金3658.26</w:t>
      </w:r>
      <w:r>
        <w:rPr>
          <w:rFonts w:hint="eastAsia" w:hAnsi="宋体"/>
          <w:b w:val="0"/>
          <w:color w:val="auto"/>
          <w:sz w:val="32"/>
          <w:szCs w:val="32"/>
        </w:rPr>
        <w:t>万元。另外市财政解决并支付社保资金1042.8万元，合计解决各项资金4701.06万元。</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（二）项目效益情况。</w:t>
      </w:r>
    </w:p>
    <w:p>
      <w:pPr>
        <w:snapToGrid w:val="0"/>
        <w:spacing w:line="576" w:lineRule="exact"/>
        <w:ind w:firstLine="640" w:firstLineChars="200"/>
        <w:rPr>
          <w:rFonts w:ascii="仿宋_GB2312" w:hAnsi="宋体"/>
        </w:rPr>
      </w:pPr>
      <w:r>
        <w:rPr>
          <w:rFonts w:hint="eastAsia" w:ascii="仿宋_GB2312" w:hAnsi="宋体"/>
          <w:szCs w:val="32"/>
        </w:rPr>
        <w:t>建设省市重点工程黑石坡康养旅游度假区项目，响应文旅兴市的号召的同时，改善当地交通环境，经济产业结构，土地梳理后出让后还可增加地方财政收入。</w:t>
      </w:r>
    </w:p>
    <w:p>
      <w:pPr>
        <w:adjustRightInd w:val="0"/>
        <w:snapToGrid w:val="0"/>
        <w:spacing w:line="578" w:lineRule="exact"/>
        <w:ind w:firstLine="640" w:firstLineChars="200"/>
        <w:rPr>
          <w:rFonts w:ascii="黑体" w:hAnsi="宋体" w:eastAsia="黑体"/>
        </w:rPr>
      </w:pPr>
      <w:r>
        <w:rPr>
          <w:rFonts w:hint="eastAsia" w:ascii="黑体" w:hAnsi="宋体" w:eastAsia="黑体"/>
          <w:szCs w:val="32"/>
        </w:rPr>
        <w:t>五、评价结论及建议</w:t>
      </w:r>
    </w:p>
    <w:p>
      <w:pPr>
        <w:adjustRightInd w:val="0"/>
        <w:snapToGrid w:val="0"/>
        <w:spacing w:line="578" w:lineRule="exact"/>
        <w:ind w:firstLine="640" w:firstLineChars="200"/>
        <w:rPr>
          <w:rFonts w:ascii="楷体_GB2312" w:hAnsi="宋体" w:eastAsia="楷体_GB2312"/>
          <w:lang w:val="zh-CN"/>
        </w:rPr>
      </w:pPr>
      <w:r>
        <w:rPr>
          <w:rFonts w:hint="eastAsia" w:ascii="楷体_GB2312" w:hAnsi="宋体" w:eastAsia="楷体_GB2312"/>
          <w:szCs w:val="32"/>
          <w:lang w:val="zh-CN"/>
        </w:rPr>
        <w:t>（一）评价结论。</w:t>
      </w:r>
    </w:p>
    <w:p>
      <w:pPr>
        <w:pStyle w:val="42"/>
        <w:spacing w:before="93"/>
        <w:rPr>
          <w:rFonts w:hAnsi="仿宋_GB2312" w:cs="仿宋_GB2312"/>
          <w:b w:val="0"/>
          <w:color w:val="auto"/>
          <w:sz w:val="32"/>
          <w:szCs w:val="32"/>
          <w:lang w:val="zh-CN"/>
        </w:rPr>
      </w:pPr>
      <w:r>
        <w:rPr>
          <w:rFonts w:hint="eastAsia" w:hAnsi="仿宋_GB2312" w:cs="仿宋_GB2312"/>
          <w:b w:val="0"/>
          <w:color w:val="auto"/>
          <w:kern w:val="0"/>
          <w:sz w:val="32"/>
          <w:szCs w:val="32"/>
          <w:shd w:val="clear" w:color="auto" w:fill="FFFFFF"/>
        </w:rPr>
        <w:t>黑石坡康养度假区森林院子、翠鸣谷配套道路、百草园等项目征拆</w:t>
      </w:r>
      <w:r>
        <w:rPr>
          <w:rFonts w:hAnsi="仿宋_GB2312" w:cs="仿宋_GB2312"/>
          <w:b w:val="0"/>
          <w:color w:val="auto"/>
          <w:kern w:val="0"/>
          <w:sz w:val="32"/>
          <w:szCs w:val="32"/>
          <w:shd w:val="clear" w:color="auto" w:fill="FFFFFF"/>
          <w:lang w:val="zh-CN"/>
        </w:rPr>
        <w:t>项目</w:t>
      </w:r>
      <w:r>
        <w:rPr>
          <w:rFonts w:hint="eastAsia" w:hAnsi="仿宋_GB2312" w:cs="仿宋_GB2312"/>
          <w:b w:val="0"/>
          <w:color w:val="auto"/>
          <w:sz w:val="32"/>
          <w:szCs w:val="32"/>
        </w:rPr>
        <w:t>项目</w:t>
      </w:r>
      <w:r>
        <w:rPr>
          <w:rFonts w:hint="eastAsia" w:hAnsi="仿宋_GB2312" w:cs="仿宋_GB2312"/>
          <w:b w:val="0"/>
          <w:color w:val="auto"/>
          <w:sz w:val="32"/>
          <w:szCs w:val="32"/>
          <w:lang w:val="zh-CN"/>
        </w:rPr>
        <w:t>管理以及项目审计等方面均未出现各类违法违规问题。</w:t>
      </w:r>
    </w:p>
    <w:p>
      <w:pPr>
        <w:pStyle w:val="2"/>
        <w:spacing w:before="93"/>
      </w:pPr>
    </w:p>
    <w:p>
      <w:pPr>
        <w:pStyle w:val="2"/>
        <w:spacing w:before="93"/>
      </w:pPr>
    </w:p>
    <w:p>
      <w:pPr>
        <w:pStyle w:val="2"/>
        <w:spacing w:before="93"/>
      </w:pPr>
    </w:p>
    <w:p>
      <w:pPr>
        <w:pStyle w:val="36"/>
        <w:spacing w:line="576"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ascii="方正小标宋简体" w:hAnsi="方正小标宋简体" w:eastAsia="方正小标宋简体" w:cs="方正小标宋简体"/>
          <w:color w:val="auto"/>
          <w:kern w:val="2"/>
          <w:sz w:val="32"/>
          <w:szCs w:val="32"/>
          <w:lang w:val="en-US"/>
        </w:rPr>
        <w:t>3</w:t>
      </w:r>
      <w:r>
        <w:rPr>
          <w:rFonts w:hint="eastAsia" w:ascii="方正小标宋简体" w:hAnsi="方正小标宋简体" w:eastAsia="方正小标宋简体" w:cs="方正小标宋简体"/>
          <w:color w:val="auto"/>
          <w:kern w:val="2"/>
          <w:sz w:val="32"/>
          <w:szCs w:val="32"/>
          <w:lang w:val="en-US"/>
        </w:rPr>
        <w:t>年专项资金预算项目绩效自评报告</w:t>
      </w:r>
    </w:p>
    <w:p>
      <w:pPr>
        <w:pStyle w:val="36"/>
        <w:spacing w:line="576" w:lineRule="exact"/>
        <w:jc w:val="center"/>
        <w:rPr>
          <w:rFonts w:ascii="宋体" w:hAnsi="宋体"/>
          <w:color w:val="auto"/>
          <w:kern w:val="2"/>
          <w:sz w:val="32"/>
          <w:szCs w:val="32"/>
        </w:rPr>
      </w:pPr>
      <w:r>
        <w:rPr>
          <w:rFonts w:hint="eastAsia" w:ascii="仿宋_GB2312"/>
          <w:sz w:val="32"/>
          <w:szCs w:val="32"/>
        </w:rPr>
        <w:t>（</w:t>
      </w:r>
      <w:r>
        <w:rPr>
          <w:rFonts w:hint="eastAsia" w:ascii="楷体_GB2312" w:eastAsia="楷体_GB2312"/>
          <w:sz w:val="32"/>
          <w:szCs w:val="32"/>
        </w:rPr>
        <w:t>2022年文化保护传承利用工程（第一批）中央基建投资支出预算项目</w:t>
      </w:r>
      <w:r>
        <w:rPr>
          <w:rFonts w:hint="eastAsia" w:ascii="仿宋_GB2312"/>
          <w:sz w:val="32"/>
          <w:szCs w:val="32"/>
        </w:rPr>
        <w:t>）</w:t>
      </w:r>
    </w:p>
    <w:p>
      <w:pPr>
        <w:ind w:firstLine="640" w:firstLineChars="200"/>
        <w:rPr>
          <w:rFonts w:ascii="黑体" w:hAnsi="黑体" w:eastAsia="黑体" w:cs="黑体"/>
          <w:bCs/>
          <w:szCs w:val="32"/>
        </w:rPr>
      </w:pPr>
      <w:r>
        <w:rPr>
          <w:rFonts w:hint="eastAsia" w:ascii="黑体" w:hAnsi="黑体" w:eastAsia="黑体" w:cs="黑体"/>
          <w:bCs/>
          <w:szCs w:val="32"/>
        </w:rPr>
        <w:t>一、绩效目标分解下达情况</w:t>
      </w:r>
    </w:p>
    <w:p>
      <w:pPr>
        <w:ind w:firstLine="640" w:firstLineChars="200"/>
        <w:outlineLvl w:val="0"/>
        <w:rPr>
          <w:rFonts w:ascii="仿宋_GB2312"/>
          <w:strike/>
          <w:szCs w:val="32"/>
        </w:rPr>
      </w:pPr>
      <w:r>
        <w:rPr>
          <w:rFonts w:hint="eastAsia" w:ascii="仿宋_GB2312"/>
          <w:szCs w:val="32"/>
        </w:rPr>
        <w:t>2022年6月2日广元市政府国有资产监督管理委员会拨付2022年文化保护传承利用工程资金2000万元至广元文旅城市管理服务有限公司，用于建设利州区红四方面军四川长征文化公园建设项目。</w:t>
      </w:r>
    </w:p>
    <w:p>
      <w:pPr>
        <w:ind w:firstLine="640" w:firstLineChars="200"/>
        <w:rPr>
          <w:rFonts w:ascii="黑体" w:hAnsi="黑体" w:eastAsia="黑体" w:cs="黑体"/>
          <w:bCs/>
          <w:szCs w:val="32"/>
        </w:rPr>
      </w:pPr>
      <w:r>
        <w:rPr>
          <w:rFonts w:hint="eastAsia" w:ascii="黑体" w:hAnsi="黑体" w:eastAsia="黑体" w:cs="黑体"/>
          <w:bCs/>
          <w:szCs w:val="32"/>
        </w:rPr>
        <w:t>二、绩效目标完成情况分析</w:t>
      </w:r>
    </w:p>
    <w:p>
      <w:pPr>
        <w:ind w:firstLine="643" w:firstLineChars="200"/>
        <w:outlineLvl w:val="0"/>
        <w:rPr>
          <w:rFonts w:ascii="仿宋_GB2312"/>
          <w:szCs w:val="32"/>
        </w:rPr>
      </w:pPr>
      <w:r>
        <w:rPr>
          <w:rFonts w:hint="eastAsia" w:ascii="楷体_GB2312" w:hAnsi="楷体_GB2312" w:eastAsia="楷体_GB2312" w:cs="楷体_GB2312"/>
          <w:b/>
          <w:bCs/>
          <w:szCs w:val="32"/>
        </w:rPr>
        <w:t>（一）资金投入情况分析。(</w:t>
      </w:r>
      <w:r>
        <w:rPr>
          <w:rFonts w:hint="eastAsia" w:ascii="仿宋_GB2312"/>
          <w:szCs w:val="32"/>
        </w:rPr>
        <w:t>分析资金投入及执行情况。）</w:t>
      </w:r>
    </w:p>
    <w:p>
      <w:pPr>
        <w:ind w:firstLine="640" w:firstLineChars="200"/>
        <w:outlineLvl w:val="0"/>
        <w:rPr>
          <w:rFonts w:ascii="仿宋_GB2312"/>
          <w:szCs w:val="32"/>
        </w:rPr>
      </w:pPr>
      <w:r>
        <w:rPr>
          <w:rFonts w:hint="eastAsia" w:ascii="仿宋_GB2312"/>
          <w:szCs w:val="32"/>
        </w:rPr>
        <w:t>2022年度已支付项目前期费用70万元，工程费用758万元，共计828万元。至2023年3月前期（含其他）费用支付76万元，工程费用1459万元，共计支付1535万元。</w:t>
      </w:r>
    </w:p>
    <w:p>
      <w:pPr>
        <w:ind w:firstLine="643" w:firstLineChars="200"/>
        <w:outlineLvl w:val="0"/>
        <w:rPr>
          <w:rFonts w:ascii="仿宋_GB2312"/>
          <w:szCs w:val="32"/>
        </w:rPr>
      </w:pPr>
      <w:r>
        <w:rPr>
          <w:rFonts w:hint="eastAsia" w:ascii="楷体_GB2312" w:hAnsi="楷体_GB2312" w:eastAsia="楷体_GB2312" w:cs="楷体_GB2312"/>
          <w:b/>
          <w:bCs/>
          <w:szCs w:val="32"/>
        </w:rPr>
        <w:t>（二）资金管理情况分析。</w:t>
      </w:r>
      <w:r>
        <w:rPr>
          <w:rFonts w:hint="eastAsia" w:ascii="仿宋_GB2312"/>
          <w:szCs w:val="32"/>
        </w:rPr>
        <w:t>（分析资金分配、下达、拨付、使用、执行、预算绩效管理、支出责任履行等情况）</w:t>
      </w:r>
    </w:p>
    <w:p>
      <w:pPr>
        <w:ind w:firstLine="640" w:firstLineChars="200"/>
        <w:outlineLvl w:val="0"/>
        <w:rPr>
          <w:rFonts w:ascii="仿宋_GB2312"/>
          <w:szCs w:val="32"/>
        </w:rPr>
      </w:pPr>
      <w:r>
        <w:rPr>
          <w:rFonts w:hint="eastAsia" w:ascii="仿宋_GB2312"/>
          <w:szCs w:val="32"/>
        </w:rPr>
        <w:t>2022年文化保护传承利用工程资金2000万元，2022年度使用828万元，支付率为41%。</w:t>
      </w:r>
    </w:p>
    <w:p>
      <w:pPr>
        <w:ind w:firstLine="643" w:firstLineChars="200"/>
        <w:outlineLvl w:val="0"/>
        <w:rPr>
          <w:rFonts w:ascii="楷体_GB2312" w:hAnsi="楷体_GB2312" w:eastAsia="楷体_GB2312" w:cs="楷体_GB2312"/>
          <w:b/>
          <w:bCs/>
          <w:szCs w:val="32"/>
        </w:rPr>
      </w:pPr>
      <w:r>
        <w:rPr>
          <w:rFonts w:hint="eastAsia" w:ascii="楷体_GB2312" w:hAnsi="楷体_GB2312" w:eastAsia="楷体_GB2312" w:cs="楷体_GB2312"/>
          <w:b/>
          <w:bCs/>
          <w:szCs w:val="32"/>
        </w:rPr>
        <w:t>（三）总体绩效目标完成情况分析。（</w:t>
      </w:r>
      <w:r>
        <w:rPr>
          <w:rFonts w:hint="eastAsia" w:ascii="仿宋_GB2312"/>
          <w:szCs w:val="32"/>
        </w:rPr>
        <w:t>对照总体目标分析全年市级完成情况。</w:t>
      </w:r>
      <w:r>
        <w:rPr>
          <w:rFonts w:hint="eastAsia" w:ascii="楷体_GB2312" w:hAnsi="楷体_GB2312" w:eastAsia="楷体_GB2312" w:cs="楷体_GB2312"/>
          <w:b/>
          <w:bCs/>
          <w:szCs w:val="32"/>
        </w:rPr>
        <w:t>）</w:t>
      </w:r>
    </w:p>
    <w:p>
      <w:pPr>
        <w:ind w:firstLine="640" w:firstLineChars="200"/>
        <w:outlineLvl w:val="0"/>
        <w:rPr>
          <w:rFonts w:ascii="仿宋_GB2312"/>
          <w:szCs w:val="32"/>
        </w:rPr>
      </w:pPr>
      <w:r>
        <w:rPr>
          <w:rFonts w:hint="eastAsia" w:ascii="仿宋_GB2312"/>
          <w:szCs w:val="32"/>
        </w:rPr>
        <w:t>项目实施工程中严格对质量、数量的管理，较好的完成了目标任务。预计2023年5月30日竣工验收，直至2023年3月已完成工程红军塔改造、红星广场2300平方米改造、游步道1.5公里、绿化景观8300平方米、排污管网1KM、地质灾害防治10000平方米、路灯智慧设施53套、新建红星亭一座、新建红星记忆廊一座、新建红星记忆亭一座均已完成，新建房屋共650平方米，新建公厕一座85平方米主体结构已完成，正在进行装饰装修工程。成品垃圾房正在购买中。配套应急救助配套设施等基础设计正在施工。2022年度完成总工程量49%。</w:t>
      </w:r>
    </w:p>
    <w:p>
      <w:pPr>
        <w:ind w:firstLine="643" w:firstLineChars="200"/>
        <w:outlineLvl w:val="0"/>
        <w:rPr>
          <w:rFonts w:ascii="仿宋_GB2312"/>
          <w:szCs w:val="32"/>
        </w:rPr>
      </w:pPr>
      <w:r>
        <w:rPr>
          <w:rFonts w:hint="eastAsia" w:ascii="楷体_GB2312" w:hAnsi="楷体_GB2312" w:eastAsia="楷体_GB2312" w:cs="楷体_GB2312"/>
          <w:b/>
          <w:bCs/>
          <w:szCs w:val="32"/>
        </w:rPr>
        <w:t>（四）绩效指标完成情况分析。</w:t>
      </w:r>
      <w:r>
        <w:rPr>
          <w:rFonts w:hint="eastAsia" w:ascii="仿宋_GB2312"/>
          <w:szCs w:val="32"/>
        </w:rPr>
        <w:t>（根据各三级绩效指标值，逐项分析全年实际完成情况。）</w:t>
      </w:r>
    </w:p>
    <w:p>
      <w:pPr>
        <w:ind w:firstLine="640" w:firstLineChars="200"/>
        <w:outlineLvl w:val="0"/>
        <w:rPr>
          <w:rFonts w:ascii="仿宋_GB2312"/>
          <w:szCs w:val="32"/>
        </w:rPr>
      </w:pPr>
      <w:r>
        <w:rPr>
          <w:rFonts w:hint="eastAsia" w:ascii="仿宋_GB2312"/>
          <w:szCs w:val="32"/>
        </w:rPr>
        <w:t>数量指标：新建建筑面积650平方米，改造绿化景观8300平方米，地质灾害防治10000平方米，排污管网10000千米均完成。</w:t>
      </w:r>
    </w:p>
    <w:p>
      <w:pPr>
        <w:ind w:firstLine="640" w:firstLineChars="200"/>
        <w:outlineLvl w:val="0"/>
        <w:rPr>
          <w:rFonts w:ascii="仿宋_GB2312"/>
          <w:szCs w:val="32"/>
        </w:rPr>
      </w:pPr>
      <w:r>
        <w:rPr>
          <w:rFonts w:hint="eastAsia" w:ascii="仿宋_GB2312"/>
          <w:szCs w:val="32"/>
        </w:rPr>
        <w:t>质量指标：施工质量合格、环保质量合格。</w:t>
      </w:r>
    </w:p>
    <w:p>
      <w:pPr>
        <w:ind w:firstLine="640" w:firstLineChars="200"/>
        <w:outlineLvl w:val="0"/>
        <w:rPr>
          <w:rFonts w:ascii="仿宋_GB2312"/>
          <w:szCs w:val="32"/>
        </w:rPr>
      </w:pPr>
      <w:r>
        <w:rPr>
          <w:rFonts w:hint="eastAsia" w:ascii="仿宋_GB2312"/>
          <w:szCs w:val="32"/>
        </w:rPr>
        <w:t>时效指标：开工时间2022年8月6日，竣工时间未竣工。</w:t>
      </w:r>
    </w:p>
    <w:p>
      <w:pPr>
        <w:ind w:firstLine="640" w:firstLineChars="200"/>
        <w:outlineLvl w:val="0"/>
        <w:rPr>
          <w:rFonts w:ascii="仿宋_GB2312"/>
          <w:szCs w:val="32"/>
        </w:rPr>
      </w:pPr>
      <w:r>
        <w:rPr>
          <w:rFonts w:hint="eastAsia" w:ascii="仿宋_GB2312"/>
          <w:szCs w:val="32"/>
        </w:rPr>
        <w:t>成本指标：总投资2000万元，指标值完成投资45%，实际完成49%。</w:t>
      </w:r>
    </w:p>
    <w:p>
      <w:pPr>
        <w:ind w:firstLine="640" w:firstLineChars="200"/>
        <w:outlineLvl w:val="0"/>
        <w:rPr>
          <w:rFonts w:ascii="仿宋_GB2312"/>
          <w:szCs w:val="32"/>
        </w:rPr>
      </w:pPr>
      <w:r>
        <w:rPr>
          <w:rFonts w:hint="eastAsia" w:ascii="仿宋_GB2312"/>
          <w:szCs w:val="32"/>
        </w:rPr>
        <w:t>经济指标：带动文旅收入3万元，因未竣工无收入。</w:t>
      </w:r>
    </w:p>
    <w:p>
      <w:pPr>
        <w:ind w:firstLine="640" w:firstLineChars="200"/>
        <w:outlineLvl w:val="0"/>
        <w:rPr>
          <w:rFonts w:ascii="仿宋_GB2312"/>
          <w:szCs w:val="32"/>
        </w:rPr>
      </w:pPr>
      <w:r>
        <w:rPr>
          <w:rFonts w:hint="eastAsia" w:ascii="仿宋_GB2312"/>
          <w:szCs w:val="32"/>
        </w:rPr>
        <w:t>社会效益指标：带动相关产业群众增收</w:t>
      </w:r>
      <w:r>
        <w:rPr>
          <w:rFonts w:hint="eastAsia" w:ascii="微软雅黑" w:hAnsi="微软雅黑" w:eastAsia="微软雅黑" w:cs="微软雅黑"/>
          <w:szCs w:val="32"/>
        </w:rPr>
        <w:t>≧</w:t>
      </w:r>
      <w:r>
        <w:rPr>
          <w:rFonts w:hint="eastAsia" w:ascii="仿宋_GB2312"/>
          <w:szCs w:val="32"/>
        </w:rPr>
        <w:t>10万元，增加临时就业岗位</w:t>
      </w:r>
      <w:r>
        <w:rPr>
          <w:rFonts w:hint="eastAsia" w:ascii="微软雅黑" w:hAnsi="微软雅黑" w:eastAsia="微软雅黑" w:cs="微软雅黑"/>
          <w:szCs w:val="32"/>
        </w:rPr>
        <w:t>≧</w:t>
      </w:r>
      <w:r>
        <w:rPr>
          <w:rFonts w:hint="eastAsia" w:ascii="仿宋_GB2312"/>
          <w:szCs w:val="32"/>
        </w:rPr>
        <w:t>10个，因未竣工无产业群众增收和就业岗位。</w:t>
      </w:r>
    </w:p>
    <w:p>
      <w:pPr>
        <w:ind w:firstLine="640" w:firstLineChars="200"/>
        <w:outlineLvl w:val="0"/>
        <w:rPr>
          <w:rFonts w:ascii="仿宋_GB2312"/>
          <w:szCs w:val="32"/>
        </w:rPr>
      </w:pPr>
      <w:r>
        <w:rPr>
          <w:rFonts w:ascii="仿宋_GB2312"/>
          <w:szCs w:val="32"/>
        </w:rPr>
        <w:t>生态效益指标</w:t>
      </w:r>
      <w:r>
        <w:rPr>
          <w:rFonts w:hint="eastAsia" w:ascii="仿宋_GB2312"/>
          <w:szCs w:val="32"/>
        </w:rPr>
        <w:t>：环保措施、水土保持，按照相关文件执行合格。</w:t>
      </w:r>
    </w:p>
    <w:p>
      <w:pPr>
        <w:ind w:firstLine="640" w:firstLineChars="200"/>
        <w:outlineLvl w:val="0"/>
        <w:rPr>
          <w:rFonts w:ascii="仿宋_GB2312"/>
          <w:szCs w:val="32"/>
        </w:rPr>
      </w:pPr>
      <w:r>
        <w:rPr>
          <w:rFonts w:ascii="仿宋_GB2312"/>
          <w:szCs w:val="32"/>
        </w:rPr>
        <w:t>可持续影响指标</w:t>
      </w:r>
      <w:r>
        <w:rPr>
          <w:rFonts w:hint="eastAsia" w:ascii="仿宋_GB2312"/>
          <w:szCs w:val="32"/>
        </w:rPr>
        <w:t>：建立健全的运营管理制度，已建立。</w:t>
      </w:r>
    </w:p>
    <w:p>
      <w:pPr>
        <w:ind w:firstLine="640" w:firstLineChars="200"/>
        <w:outlineLvl w:val="0"/>
        <w:rPr>
          <w:rFonts w:ascii="仿宋_GB2312"/>
          <w:szCs w:val="32"/>
        </w:rPr>
      </w:pPr>
      <w:r>
        <w:rPr>
          <w:rFonts w:ascii="仿宋_GB2312"/>
          <w:szCs w:val="32"/>
        </w:rPr>
        <w:t>服务对象满意度指标</w:t>
      </w:r>
      <w:r>
        <w:rPr>
          <w:rFonts w:hint="eastAsia" w:ascii="仿宋_GB2312"/>
          <w:szCs w:val="32"/>
        </w:rPr>
        <w:t>：区域辐射人群满意度；提高当地人居环境水平，提高人文内涵，美化居住环境；可完善城市公共服务能力，加快城市化建设进程，群众满意度</w:t>
      </w:r>
      <w:r>
        <w:rPr>
          <w:rFonts w:hint="eastAsia" w:ascii="微软雅黑" w:hAnsi="微软雅黑" w:eastAsia="微软雅黑" w:cs="微软雅黑"/>
          <w:szCs w:val="32"/>
        </w:rPr>
        <w:t>≧</w:t>
      </w:r>
      <w:r>
        <w:rPr>
          <w:rFonts w:hint="eastAsia" w:ascii="仿宋_GB2312"/>
          <w:szCs w:val="32"/>
        </w:rPr>
        <w:t>80%。因未竣工无法调查居民满意度。</w:t>
      </w:r>
    </w:p>
    <w:p>
      <w:pPr>
        <w:ind w:firstLine="640" w:firstLineChars="200"/>
        <w:outlineLvl w:val="0"/>
        <w:rPr>
          <w:rFonts w:ascii="仿宋_GB2312"/>
          <w:szCs w:val="32"/>
        </w:rPr>
      </w:pPr>
      <w:r>
        <w:rPr>
          <w:rFonts w:hint="eastAsia" w:ascii="仿宋_GB2312"/>
          <w:szCs w:val="32"/>
        </w:rPr>
        <w:t>综上部分指标因项目未竣工无法达到完成值。</w:t>
      </w:r>
    </w:p>
    <w:p>
      <w:pPr>
        <w:ind w:firstLine="640" w:firstLineChars="200"/>
        <w:rPr>
          <w:rFonts w:ascii="仿宋_GB2312"/>
          <w:szCs w:val="32"/>
        </w:rPr>
      </w:pPr>
      <w:r>
        <w:rPr>
          <w:rFonts w:hint="eastAsia" w:ascii="黑体" w:hAnsi="黑体" w:eastAsia="黑体" w:cs="黑体"/>
          <w:bCs/>
          <w:szCs w:val="32"/>
        </w:rPr>
        <w:t>三、偏离绩效目标的原因和下一步改进措施</w:t>
      </w:r>
    </w:p>
    <w:p>
      <w:pPr>
        <w:ind w:firstLine="640" w:firstLineChars="200"/>
        <w:rPr>
          <w:rFonts w:ascii="仿宋_GB2312"/>
          <w:szCs w:val="32"/>
        </w:rPr>
      </w:pPr>
      <w:r>
        <w:rPr>
          <w:rFonts w:hint="eastAsia" w:ascii="仿宋_GB2312"/>
          <w:szCs w:val="32"/>
        </w:rPr>
        <w:t>项目指标因2022年无法竣工使社会效益、经济效益和服务对象满意度指标无法达到指标值，其余数量指标、质量指标、时效指标、成本指标、生态指标、可持续影响指标均达到指标值。下一步将加快推进项目施工进度，预计2023年5月30日竣工验收开园后，达到全部绩效指标。</w:t>
      </w:r>
    </w:p>
    <w:p>
      <w:pPr>
        <w:ind w:firstLine="640" w:firstLineChars="200"/>
        <w:rPr>
          <w:rFonts w:ascii="黑体" w:hAnsi="黑体" w:eastAsia="黑体" w:cs="黑体"/>
          <w:bCs/>
          <w:szCs w:val="32"/>
        </w:rPr>
      </w:pPr>
      <w:r>
        <w:rPr>
          <w:rFonts w:hint="eastAsia" w:ascii="黑体" w:hAnsi="黑体" w:eastAsia="黑体" w:cs="黑体"/>
          <w:bCs/>
          <w:szCs w:val="32"/>
        </w:rPr>
        <w:t>四、绩效自评结果拟应用和公开情况</w:t>
      </w:r>
    </w:p>
    <w:p>
      <w:pPr>
        <w:ind w:firstLine="640" w:firstLineChars="200"/>
        <w:rPr>
          <w:rFonts w:ascii="仿宋_GB2312"/>
          <w:szCs w:val="32"/>
        </w:rPr>
      </w:pPr>
      <w:r>
        <w:rPr>
          <w:rFonts w:hint="eastAsia" w:ascii="仿宋_GB2312"/>
          <w:szCs w:val="32"/>
        </w:rPr>
        <w:t>无。</w:t>
      </w:r>
    </w:p>
    <w:p>
      <w:pPr>
        <w:ind w:firstLine="640" w:firstLineChars="200"/>
        <w:rPr>
          <w:rFonts w:ascii="黑体" w:hAnsi="黑体" w:eastAsia="黑体" w:cs="黑体"/>
          <w:bCs/>
          <w:szCs w:val="32"/>
        </w:rPr>
      </w:pPr>
      <w:r>
        <w:rPr>
          <w:rFonts w:hint="eastAsia" w:ascii="黑体" w:hAnsi="黑体" w:eastAsia="黑体" w:cs="黑体"/>
          <w:bCs/>
          <w:szCs w:val="32"/>
        </w:rPr>
        <w:t>五、其他需要说明的问题</w:t>
      </w:r>
    </w:p>
    <w:p>
      <w:pPr>
        <w:ind w:firstLine="640" w:firstLineChars="200"/>
      </w:pPr>
      <w:r>
        <w:rPr>
          <w:rFonts w:hint="eastAsia"/>
        </w:rPr>
        <w:t>无。</w:t>
      </w:r>
    </w:p>
    <w:p>
      <w:pPr>
        <w:pStyle w:val="2"/>
        <w:spacing w:before="93"/>
      </w:pPr>
    </w:p>
    <w:p>
      <w:pPr>
        <w:pStyle w:val="2"/>
        <w:spacing w:before="93"/>
      </w:pPr>
    </w:p>
    <w:p>
      <w:pPr>
        <w:pStyle w:val="2"/>
        <w:spacing w:before="93"/>
      </w:pPr>
    </w:p>
    <w:p>
      <w:pPr>
        <w:pStyle w:val="2"/>
        <w:tabs>
          <w:tab w:val="left" w:pos="2260"/>
        </w:tabs>
        <w:spacing w:before="93"/>
      </w:pPr>
    </w:p>
    <w:p>
      <w:pPr>
        <w:pStyle w:val="2"/>
        <w:tabs>
          <w:tab w:val="left" w:pos="2260"/>
        </w:tabs>
        <w:spacing w:before="93"/>
      </w:pPr>
    </w:p>
    <w:p>
      <w:pPr>
        <w:tabs>
          <w:tab w:val="left" w:pos="2260"/>
        </w:tabs>
        <w:sectPr>
          <w:footerReference r:id="rId6" w:type="default"/>
          <w:pgSz w:w="11906" w:h="16838"/>
          <w:pgMar w:top="2098" w:right="1474" w:bottom="1984" w:left="1587" w:header="851" w:footer="1559" w:gutter="0"/>
          <w:pgNumType w:start="1"/>
          <w:cols w:space="425" w:num="1"/>
          <w:docGrid w:type="lines" w:linePitch="312" w:charSpace="0"/>
        </w:sectPr>
      </w:pPr>
      <w:r>
        <w:tab/>
      </w:r>
    </w:p>
    <w:p>
      <w:pPr>
        <w:pStyle w:val="2"/>
        <w:spacing w:before="93" w:line="576" w:lineRule="exact"/>
      </w:pPr>
    </w:p>
    <w:p>
      <w:pPr>
        <w:spacing w:line="576" w:lineRule="exact"/>
        <w:jc w:val="center"/>
        <w:outlineLvl w:val="0"/>
        <w:rPr>
          <w:rFonts w:ascii="仿宋" w:hAnsi="仿宋" w:eastAsia="仿宋"/>
        </w:rPr>
      </w:pPr>
      <w:bookmarkStart w:id="84" w:name="_Toc146616505"/>
      <w:bookmarkStart w:id="85" w:name="_Toc15396618"/>
      <w:r>
        <w:rPr>
          <w:rFonts w:hint="eastAsia" w:ascii="黑体" w:hAnsi="黑体" w:eastAsia="黑体"/>
          <w:sz w:val="44"/>
          <w:szCs w:val="44"/>
        </w:rPr>
        <w:t>第</w:t>
      </w:r>
      <w:r>
        <w:rPr>
          <w:rStyle w:val="30"/>
          <w:rFonts w:hint="eastAsia" w:ascii="黑体" w:hAnsi="黑体" w:eastAsia="黑体"/>
          <w:b w:val="0"/>
        </w:rPr>
        <w:t>五部分 附表</w:t>
      </w:r>
      <w:bookmarkEnd w:id="80"/>
      <w:bookmarkEnd w:id="84"/>
      <w:bookmarkEnd w:id="85"/>
      <w:bookmarkStart w:id="86" w:name="_Toc15396619"/>
    </w:p>
    <w:p>
      <w:pPr>
        <w:pStyle w:val="4"/>
        <w:spacing w:line="576" w:lineRule="exact"/>
        <w:rPr>
          <w:rFonts w:ascii="仿宋" w:hAnsi="仿宋" w:eastAsia="仿宋"/>
        </w:rPr>
      </w:pPr>
      <w:bookmarkStart w:id="87" w:name="_Toc146616506"/>
      <w:r>
        <w:rPr>
          <w:rFonts w:hint="eastAsia" w:ascii="仿宋" w:hAnsi="仿宋" w:eastAsia="仿宋"/>
          <w:b w:val="0"/>
        </w:rPr>
        <w:t>一、收</w:t>
      </w:r>
      <w:r>
        <w:rPr>
          <w:rStyle w:val="31"/>
          <w:rFonts w:hint="eastAsia" w:ascii="仿宋" w:hAnsi="仿宋" w:eastAsia="仿宋"/>
          <w:b w:val="0"/>
          <w:bCs w:val="0"/>
        </w:rPr>
        <w:t>入支出决算总表</w:t>
      </w:r>
      <w:bookmarkEnd w:id="86"/>
      <w:bookmarkEnd w:id="87"/>
    </w:p>
    <w:p>
      <w:pPr>
        <w:pStyle w:val="4"/>
        <w:spacing w:line="576" w:lineRule="exact"/>
        <w:rPr>
          <w:rFonts w:ascii="仿宋" w:hAnsi="仿宋" w:eastAsia="仿宋"/>
        </w:rPr>
      </w:pPr>
      <w:bookmarkStart w:id="88" w:name="_Toc15396620"/>
      <w:bookmarkStart w:id="89" w:name="_Toc146616507"/>
      <w:r>
        <w:rPr>
          <w:rFonts w:hint="eastAsia" w:ascii="仿宋" w:hAnsi="仿宋" w:eastAsia="仿宋"/>
          <w:b w:val="0"/>
        </w:rPr>
        <w:t>二、收</w:t>
      </w:r>
      <w:r>
        <w:rPr>
          <w:rStyle w:val="31"/>
          <w:rFonts w:hint="eastAsia" w:ascii="仿宋" w:hAnsi="仿宋" w:eastAsia="仿宋"/>
          <w:b w:val="0"/>
          <w:bCs w:val="0"/>
        </w:rPr>
        <w:t>入决算表</w:t>
      </w:r>
      <w:bookmarkEnd w:id="88"/>
      <w:bookmarkEnd w:id="89"/>
    </w:p>
    <w:p>
      <w:pPr>
        <w:pStyle w:val="4"/>
        <w:spacing w:line="576" w:lineRule="exact"/>
        <w:rPr>
          <w:rFonts w:ascii="仿宋" w:hAnsi="仿宋" w:eastAsia="仿宋"/>
        </w:rPr>
      </w:pPr>
      <w:bookmarkStart w:id="90" w:name="_Toc15396621"/>
      <w:bookmarkStart w:id="91" w:name="_Toc146616508"/>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90"/>
      <w:bookmarkEnd w:id="91"/>
    </w:p>
    <w:p>
      <w:pPr>
        <w:pStyle w:val="4"/>
        <w:spacing w:line="576" w:lineRule="exact"/>
        <w:rPr>
          <w:rFonts w:ascii="仿宋" w:hAnsi="仿宋" w:eastAsia="仿宋"/>
          <w:b w:val="0"/>
        </w:rPr>
      </w:pPr>
      <w:bookmarkStart w:id="92" w:name="_Toc146616509"/>
      <w:bookmarkStart w:id="93"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92"/>
      <w:bookmarkEnd w:id="93"/>
    </w:p>
    <w:p>
      <w:pPr>
        <w:pStyle w:val="4"/>
        <w:spacing w:line="576" w:lineRule="exact"/>
        <w:rPr>
          <w:rStyle w:val="31"/>
          <w:rFonts w:ascii="仿宋" w:hAnsi="仿宋" w:eastAsia="仿宋"/>
          <w:b w:val="0"/>
          <w:bCs w:val="0"/>
        </w:rPr>
      </w:pPr>
      <w:bookmarkStart w:id="94" w:name="_Toc15396623"/>
      <w:bookmarkStart w:id="95" w:name="_Toc146616510"/>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94"/>
      <w:bookmarkEnd w:id="95"/>
      <w:bookmarkStart w:id="96" w:name="_Toc15396624"/>
    </w:p>
    <w:p>
      <w:pPr>
        <w:pStyle w:val="4"/>
        <w:spacing w:line="576" w:lineRule="exact"/>
        <w:rPr>
          <w:rFonts w:ascii="仿宋" w:hAnsi="仿宋" w:eastAsia="仿宋"/>
        </w:rPr>
      </w:pPr>
      <w:bookmarkStart w:id="97" w:name="_Toc146616511"/>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96"/>
      <w:bookmarkEnd w:id="97"/>
    </w:p>
    <w:p>
      <w:pPr>
        <w:pStyle w:val="4"/>
        <w:spacing w:line="576" w:lineRule="exact"/>
        <w:rPr>
          <w:rFonts w:ascii="仿宋" w:hAnsi="仿宋" w:eastAsia="仿宋"/>
        </w:rPr>
      </w:pPr>
      <w:bookmarkStart w:id="98" w:name="_Toc146616512"/>
      <w:bookmarkStart w:id="99"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98"/>
      <w:bookmarkEnd w:id="99"/>
    </w:p>
    <w:p>
      <w:pPr>
        <w:pStyle w:val="4"/>
        <w:spacing w:line="576" w:lineRule="exact"/>
        <w:rPr>
          <w:rFonts w:ascii="仿宋" w:hAnsi="仿宋" w:eastAsia="仿宋"/>
        </w:rPr>
      </w:pPr>
      <w:bookmarkStart w:id="100" w:name="_Toc146616513"/>
      <w:bookmarkStart w:id="101"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00"/>
      <w:bookmarkEnd w:id="101"/>
    </w:p>
    <w:p>
      <w:pPr>
        <w:pStyle w:val="4"/>
        <w:spacing w:line="576" w:lineRule="exact"/>
        <w:rPr>
          <w:rFonts w:ascii="仿宋" w:hAnsi="仿宋" w:eastAsia="仿宋"/>
        </w:rPr>
      </w:pPr>
      <w:bookmarkStart w:id="102" w:name="_Toc15396627"/>
      <w:bookmarkStart w:id="103" w:name="_Toc146616514"/>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02"/>
      <w:bookmarkEnd w:id="103"/>
    </w:p>
    <w:p>
      <w:pPr>
        <w:pStyle w:val="4"/>
        <w:spacing w:line="576" w:lineRule="exact"/>
        <w:rPr>
          <w:rFonts w:ascii="仿宋" w:hAnsi="仿宋" w:eastAsia="仿宋"/>
        </w:rPr>
      </w:pPr>
      <w:bookmarkStart w:id="104" w:name="_Toc15396628"/>
      <w:bookmarkStart w:id="105" w:name="_Toc146616515"/>
      <w:r>
        <w:rPr>
          <w:rStyle w:val="31"/>
          <w:rFonts w:hint="eastAsia" w:ascii="仿宋" w:hAnsi="仿宋" w:eastAsia="仿宋"/>
          <w:b w:val="0"/>
          <w:bCs w:val="0"/>
        </w:rPr>
        <w:t>十、</w:t>
      </w:r>
      <w:bookmarkEnd w:id="104"/>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05"/>
    </w:p>
    <w:p>
      <w:pPr>
        <w:pStyle w:val="4"/>
        <w:spacing w:line="576" w:lineRule="exact"/>
        <w:rPr>
          <w:rFonts w:ascii="仿宋" w:hAnsi="仿宋" w:eastAsia="仿宋"/>
        </w:rPr>
      </w:pPr>
      <w:bookmarkStart w:id="106" w:name="_Toc15396629"/>
      <w:bookmarkStart w:id="107" w:name="_Toc146616516"/>
      <w:r>
        <w:rPr>
          <w:rStyle w:val="31"/>
          <w:rFonts w:hint="eastAsia" w:ascii="仿宋" w:hAnsi="仿宋" w:eastAsia="仿宋"/>
          <w:b w:val="0"/>
          <w:bCs w:val="0"/>
        </w:rPr>
        <w:t>十一、</w:t>
      </w:r>
      <w:bookmarkEnd w:id="106"/>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07"/>
    </w:p>
    <w:p>
      <w:pPr>
        <w:pStyle w:val="4"/>
        <w:spacing w:line="576" w:lineRule="exact"/>
        <w:rPr>
          <w:rFonts w:ascii="仿宋" w:hAnsi="仿宋" w:eastAsia="仿宋"/>
        </w:rPr>
      </w:pPr>
      <w:bookmarkStart w:id="108" w:name="_Toc15396630"/>
      <w:bookmarkStart w:id="109" w:name="_Toc146616517"/>
      <w:r>
        <w:rPr>
          <w:rStyle w:val="31"/>
          <w:rFonts w:hint="eastAsia" w:ascii="仿宋" w:hAnsi="仿宋" w:eastAsia="仿宋"/>
          <w:b w:val="0"/>
          <w:bCs w:val="0"/>
        </w:rPr>
        <w:t>十二、</w:t>
      </w:r>
      <w:bookmarkEnd w:id="108"/>
      <w:r>
        <w:rPr>
          <w:rStyle w:val="31"/>
          <w:rFonts w:hint="eastAsia" w:ascii="仿宋" w:hAnsi="仿宋" w:eastAsia="仿宋"/>
          <w:b w:val="0"/>
          <w:bCs w:val="0"/>
        </w:rPr>
        <w:t>国有资本经营预算财政拨款支出决算表</w:t>
      </w:r>
      <w:bookmarkEnd w:id="109"/>
    </w:p>
    <w:p>
      <w:pPr>
        <w:pStyle w:val="4"/>
        <w:spacing w:line="576" w:lineRule="exact"/>
        <w:rPr>
          <w:rFonts w:eastAsia="仿宋"/>
        </w:rPr>
      </w:pPr>
      <w:bookmarkStart w:id="110" w:name="_Toc15396631"/>
      <w:bookmarkStart w:id="111" w:name="_Toc146616518"/>
      <w:r>
        <w:rPr>
          <w:rStyle w:val="31"/>
          <w:rFonts w:hint="eastAsia" w:ascii="仿宋" w:hAnsi="仿宋" w:eastAsia="仿宋"/>
          <w:b w:val="0"/>
          <w:bCs w:val="0"/>
        </w:rPr>
        <w:t>十三、</w:t>
      </w:r>
      <w:bookmarkEnd w:id="110"/>
      <w:r>
        <w:rPr>
          <w:rStyle w:val="31"/>
          <w:rFonts w:hint="eastAsia" w:ascii="仿宋" w:hAnsi="仿宋" w:eastAsia="仿宋"/>
          <w:b w:val="0"/>
          <w:bCs w:val="0"/>
        </w:rPr>
        <w:t>财政拨款“三公”经费支出决算表</w:t>
      </w:r>
      <w:bookmarkEnd w:id="111"/>
    </w:p>
    <w:sectPr>
      <w:footerReference r:id="rId8" w:type="first"/>
      <w:footerReference r:id="rId7" w:type="default"/>
      <w:pgSz w:w="11906" w:h="16838"/>
      <w:pgMar w:top="1440" w:right="1800" w:bottom="1440" w:left="1800"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3-09-25T18:00:00Z" w:initials="管">
    <w:p w14:paraId="08EA2310">
      <w:pPr>
        <w:pStyle w:val="6"/>
      </w:pPr>
      <w:r>
        <w:rPr>
          <w:rFonts w:hint="eastAsia"/>
        </w:rPr>
        <w:t>17直接到25？？</w:t>
      </w:r>
    </w:p>
  </w:comment>
  <w:comment w:id="1" w:author="admin" w:date="2023-09-25T18:01:00Z" w:initials="管">
    <w:p w14:paraId="77673A2C">
      <w:pPr>
        <w:pStyle w:val="6"/>
      </w:pPr>
      <w:r>
        <w:rPr>
          <w:rFonts w:hint="eastAsia"/>
        </w:rPr>
        <w:t>新增内容</w:t>
      </w:r>
    </w:p>
  </w:comment>
  <w:comment w:id="2" w:author="admin" w:date="2023-09-25T18:06:00Z" w:initials="管">
    <w:p w14:paraId="485A2063">
      <w:pPr>
        <w:pStyle w:val="6"/>
      </w:pPr>
      <w:r>
        <w:rPr>
          <w:rFonts w:hint="eastAsia"/>
        </w:rPr>
        <w:t>加起来不等。</w:t>
      </w:r>
    </w:p>
  </w:comment>
  <w:comment w:id="3" w:author="admin" w:date="2023-09-25T18:13:00Z" w:initials="管">
    <w:p w14:paraId="7A6458E4">
      <w:pPr>
        <w:pStyle w:val="6"/>
      </w:pPr>
      <w:r>
        <w:rPr>
          <w:rFonts w:hint="eastAsia"/>
        </w:rPr>
        <w:t>对小数点收整差异，有影响不？</w:t>
      </w:r>
    </w:p>
  </w:comment>
  <w:comment w:id="4" w:author="Administrator" w:date="2023-09-26T09:58:00Z" w:initials="A">
    <w:p w14:paraId="0CB01739">
      <w:pPr>
        <w:pStyle w:val="6"/>
      </w:pPr>
      <w:r>
        <w:annotationRef/>
      </w:r>
    </w:p>
  </w:comment>
  <w:comment w:id="5" w:author="admin" w:date="2023-09-25T18:34:00Z" w:initials="管">
    <w:p w14:paraId="7F691898">
      <w:pPr>
        <w:pStyle w:val="6"/>
      </w:pPr>
      <w:r>
        <w:rPr>
          <w:rFonts w:hint="eastAsia"/>
        </w:rPr>
        <w:t>整段有修改。</w:t>
      </w:r>
    </w:p>
  </w:comment>
  <w:comment w:id="6" w:author="admin" w:date="2023-09-25T18:45:00Z" w:initials="管">
    <w:p w14:paraId="38D27D0B">
      <w:pPr>
        <w:pStyle w:val="6"/>
      </w:pPr>
      <w:r>
        <w:rPr>
          <w:rFonts w:hint="eastAsia"/>
        </w:rPr>
        <w:t>是委机关、还是国资国企服务中心或企业？、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EA2310" w15:done="0"/>
  <w15:commentEx w15:paraId="77673A2C" w15:done="0"/>
  <w15:commentEx w15:paraId="485A2063" w15:done="0"/>
  <w15:commentEx w15:paraId="7A6458E4" w15:done="0"/>
  <w15:commentEx w15:paraId="0CB01739" w15:done="0" w15:paraIdParent="7A6458E4"/>
  <w15:commentEx w15:paraId="7F691898" w15:done="0"/>
  <w15:commentEx w15:paraId="38D27D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仿宋简体">
    <w:altName w:val="宋体"/>
    <w:panose1 w:val="00000000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399105"/>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267069"/>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585B"/>
    <w:multiLevelType w:val="singleLevel"/>
    <w:tmpl w:val="835B585B"/>
    <w:lvl w:ilvl="0" w:tentative="0">
      <w:start w:val="1"/>
      <w:numFmt w:val="chineseCounting"/>
      <w:suff w:val="nothing"/>
      <w:lvlText w:val="（%1）"/>
      <w:lvlJc w:val="left"/>
      <w:rPr>
        <w:rFonts w:hint="eastAsia"/>
      </w:rPr>
    </w:lvl>
  </w:abstractNum>
  <w:abstractNum w:abstractNumId="1">
    <w:nsid w:val="88200FE1"/>
    <w:multiLevelType w:val="singleLevel"/>
    <w:tmpl w:val="88200FE1"/>
    <w:lvl w:ilvl="0" w:tentative="0">
      <w:start w:val="2"/>
      <w:numFmt w:val="chineseCounting"/>
      <w:suff w:val="nothing"/>
      <w:lvlText w:val="（%1）"/>
      <w:lvlJc w:val="left"/>
      <w:rPr>
        <w:rFonts w:hint="eastAsia"/>
      </w:rPr>
    </w:lvl>
  </w:abstractNum>
  <w:abstractNum w:abstractNumId="2">
    <w:nsid w:val="9DFA9053"/>
    <w:multiLevelType w:val="singleLevel"/>
    <w:tmpl w:val="9DFA9053"/>
    <w:lvl w:ilvl="0" w:tentative="0">
      <w:start w:val="2"/>
      <w:numFmt w:val="decimal"/>
      <w:suff w:val="nothing"/>
      <w:lvlText w:val="%1．"/>
      <w:lvlJc w:val="left"/>
    </w:lvl>
  </w:abstractNum>
  <w:abstractNum w:abstractNumId="3">
    <w:nsid w:val="A83899AD"/>
    <w:multiLevelType w:val="singleLevel"/>
    <w:tmpl w:val="A83899AD"/>
    <w:lvl w:ilvl="0" w:tentative="0">
      <w:start w:val="1"/>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EBEF323"/>
    <w:multiLevelType w:val="singleLevel"/>
    <w:tmpl w:val="DEBEF323"/>
    <w:lvl w:ilvl="0" w:tentative="0">
      <w:start w:val="4"/>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7DCD15A"/>
    <w:multiLevelType w:val="singleLevel"/>
    <w:tmpl w:val="E7DCD15A"/>
    <w:lvl w:ilvl="0" w:tentative="0">
      <w:start w:val="2"/>
      <w:numFmt w:val="chineseCounting"/>
      <w:suff w:val="nothing"/>
      <w:lvlText w:val="（%1）"/>
      <w:lvlJc w:val="left"/>
      <w:rPr>
        <w:rFonts w:hint="eastAsia"/>
      </w:rPr>
    </w:lvl>
  </w:abstractNum>
  <w:abstractNum w:abstractNumId="8">
    <w:nsid w:val="E7FC1C99"/>
    <w:multiLevelType w:val="singleLevel"/>
    <w:tmpl w:val="E7FC1C99"/>
    <w:lvl w:ilvl="0" w:tentative="0">
      <w:start w:val="1"/>
      <w:numFmt w:val="decimal"/>
      <w:suff w:val="nothing"/>
      <w:lvlText w:val="%1．"/>
      <w:lvlJc w:val="left"/>
      <w:pPr>
        <w:ind w:left="0" w:firstLine="400"/>
      </w:pPr>
      <w:rPr>
        <w:rFonts w:hint="default"/>
      </w:rPr>
    </w:lvl>
  </w:abstractNum>
  <w:abstractNum w:abstractNumId="9">
    <w:nsid w:val="F01794BB"/>
    <w:multiLevelType w:val="singleLevel"/>
    <w:tmpl w:val="F01794BB"/>
    <w:lvl w:ilvl="0" w:tentative="0">
      <w:start w:val="2"/>
      <w:numFmt w:val="decimal"/>
      <w:suff w:val="nothing"/>
      <w:lvlText w:val="%1．"/>
      <w:lvlJc w:val="left"/>
    </w:lvl>
  </w:abstractNum>
  <w:abstractNum w:abstractNumId="10">
    <w:nsid w:val="F0CE32CA"/>
    <w:multiLevelType w:val="singleLevel"/>
    <w:tmpl w:val="F0CE32CA"/>
    <w:lvl w:ilvl="0" w:tentative="0">
      <w:start w:val="1"/>
      <w:numFmt w:val="chineseCounting"/>
      <w:suff w:val="nothing"/>
      <w:lvlText w:val="（%1）"/>
      <w:lvlJc w:val="left"/>
      <w:rPr>
        <w:rFonts w:hint="eastAsia"/>
      </w:rPr>
    </w:lvl>
  </w:abstractNum>
  <w:abstractNum w:abstractNumId="11">
    <w:nsid w:val="FFF674BC"/>
    <w:multiLevelType w:val="singleLevel"/>
    <w:tmpl w:val="FFF674BC"/>
    <w:lvl w:ilvl="0" w:tentative="0">
      <w:start w:val="1"/>
      <w:numFmt w:val="chineseCounting"/>
      <w:suff w:val="nothing"/>
      <w:lvlText w:val="%1、"/>
      <w:lvlJc w:val="left"/>
      <w:rPr>
        <w:rFonts w:hint="eastAsia"/>
      </w:rPr>
    </w:lvl>
  </w:abstractNum>
  <w:abstractNum w:abstractNumId="12">
    <w:nsid w:val="01C7F85D"/>
    <w:multiLevelType w:val="singleLevel"/>
    <w:tmpl w:val="01C7F85D"/>
    <w:lvl w:ilvl="0" w:tentative="0">
      <w:start w:val="3"/>
      <w:numFmt w:val="chineseCounting"/>
      <w:suff w:val="nothing"/>
      <w:lvlText w:val="（%1）"/>
      <w:lvlJc w:val="left"/>
      <w:rPr>
        <w:rFonts w:hint="eastAsia"/>
      </w:rPr>
    </w:lvl>
  </w:abstractNum>
  <w:abstractNum w:abstractNumId="13">
    <w:nsid w:val="0F84797E"/>
    <w:multiLevelType w:val="singleLevel"/>
    <w:tmpl w:val="0F84797E"/>
    <w:lvl w:ilvl="0" w:tentative="0">
      <w:start w:val="1"/>
      <w:numFmt w:val="chineseCounting"/>
      <w:suff w:val="nothing"/>
      <w:lvlText w:val="（%1）"/>
      <w:lvlJc w:val="left"/>
      <w:rPr>
        <w:rFonts w:hint="eastAsia"/>
      </w:rPr>
    </w:lvl>
  </w:abstractNum>
  <w:abstractNum w:abstractNumId="1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1B2C1873"/>
    <w:multiLevelType w:val="singleLevel"/>
    <w:tmpl w:val="1B2C1873"/>
    <w:lvl w:ilvl="0" w:tentative="0">
      <w:start w:val="1"/>
      <w:numFmt w:val="chineseCounting"/>
      <w:suff w:val="nothing"/>
      <w:lvlText w:val="%1、"/>
      <w:lvlJc w:val="left"/>
      <w:rPr>
        <w:rFonts w:hint="eastAsia"/>
      </w:rPr>
    </w:lvl>
  </w:abstractNum>
  <w:abstractNum w:abstractNumId="16">
    <w:nsid w:val="60904BF0"/>
    <w:multiLevelType w:val="singleLevel"/>
    <w:tmpl w:val="60904BF0"/>
    <w:lvl w:ilvl="0" w:tentative="0">
      <w:start w:val="2"/>
      <w:numFmt w:val="chineseCounting"/>
      <w:suff w:val="nothing"/>
      <w:lvlText w:val="（%1）"/>
      <w:lvlJc w:val="left"/>
      <w:rPr>
        <w:rFonts w:hint="eastAsia"/>
      </w:rPr>
    </w:lvl>
  </w:abstractNum>
  <w:abstractNum w:abstractNumId="1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7"/>
  </w:num>
  <w:num w:numId="2">
    <w:abstractNumId w:val="14"/>
  </w:num>
  <w:num w:numId="3">
    <w:abstractNumId w:val="4"/>
  </w:num>
  <w:num w:numId="4">
    <w:abstractNumId w:val="6"/>
  </w:num>
  <w:num w:numId="5">
    <w:abstractNumId w:val="8"/>
  </w:num>
  <w:num w:numId="6">
    <w:abstractNumId w:val="11"/>
  </w:num>
  <w:num w:numId="7">
    <w:abstractNumId w:val="5"/>
  </w:num>
  <w:num w:numId="8">
    <w:abstractNumId w:val="16"/>
  </w:num>
  <w:num w:numId="9">
    <w:abstractNumId w:val="3"/>
  </w:num>
  <w:num w:numId="10">
    <w:abstractNumId w:val="9"/>
  </w:num>
  <w:num w:numId="11">
    <w:abstractNumId w:val="13"/>
  </w:num>
  <w:num w:numId="12">
    <w:abstractNumId w:val="12"/>
  </w:num>
  <w:num w:numId="13">
    <w:abstractNumId w:val="7"/>
  </w:num>
  <w:num w:numId="14">
    <w:abstractNumId w:val="0"/>
  </w:num>
  <w:num w:numId="15">
    <w:abstractNumId w:val="1"/>
  </w:num>
  <w:num w:numId="16">
    <w:abstractNumId w:val="2"/>
  </w:num>
  <w:num w:numId="17">
    <w:abstractNumId w:val="15"/>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YjNlMmI2ZjlkZDI3YmRkNWFlOWViODI5MzhhY2MifQ=="/>
  </w:docVars>
  <w:rsids>
    <w:rsidRoot w:val="00F1361C"/>
    <w:rsid w:val="00015DA9"/>
    <w:rsid w:val="000222C6"/>
    <w:rsid w:val="000223F9"/>
    <w:rsid w:val="000233F8"/>
    <w:rsid w:val="0002549F"/>
    <w:rsid w:val="00034C04"/>
    <w:rsid w:val="000468DB"/>
    <w:rsid w:val="0006487A"/>
    <w:rsid w:val="00065F8F"/>
    <w:rsid w:val="0006673F"/>
    <w:rsid w:val="00070A43"/>
    <w:rsid w:val="000768F2"/>
    <w:rsid w:val="000823B3"/>
    <w:rsid w:val="00084B5F"/>
    <w:rsid w:val="0009184B"/>
    <w:rsid w:val="0009315E"/>
    <w:rsid w:val="00094236"/>
    <w:rsid w:val="0009593C"/>
    <w:rsid w:val="00096552"/>
    <w:rsid w:val="00097322"/>
    <w:rsid w:val="000976C5"/>
    <w:rsid w:val="000A2163"/>
    <w:rsid w:val="000A3B7B"/>
    <w:rsid w:val="000A6A92"/>
    <w:rsid w:val="000B047F"/>
    <w:rsid w:val="000B5923"/>
    <w:rsid w:val="000B5A48"/>
    <w:rsid w:val="000B6FF3"/>
    <w:rsid w:val="000C3467"/>
    <w:rsid w:val="000C3CA6"/>
    <w:rsid w:val="000C52CC"/>
    <w:rsid w:val="000C6273"/>
    <w:rsid w:val="000C70CD"/>
    <w:rsid w:val="000D1267"/>
    <w:rsid w:val="000D1D50"/>
    <w:rsid w:val="000D5782"/>
    <w:rsid w:val="000D7568"/>
    <w:rsid w:val="000E6194"/>
    <w:rsid w:val="000E6613"/>
    <w:rsid w:val="000E7119"/>
    <w:rsid w:val="000F7C31"/>
    <w:rsid w:val="001061FE"/>
    <w:rsid w:val="00110A9C"/>
    <w:rsid w:val="00113726"/>
    <w:rsid w:val="00114E9B"/>
    <w:rsid w:val="0013052A"/>
    <w:rsid w:val="00131C66"/>
    <w:rsid w:val="00133006"/>
    <w:rsid w:val="00134641"/>
    <w:rsid w:val="00142216"/>
    <w:rsid w:val="00144D6A"/>
    <w:rsid w:val="0014729F"/>
    <w:rsid w:val="00157BAB"/>
    <w:rsid w:val="001654D1"/>
    <w:rsid w:val="00174518"/>
    <w:rsid w:val="0018106D"/>
    <w:rsid w:val="0018742D"/>
    <w:rsid w:val="001877A7"/>
    <w:rsid w:val="00191536"/>
    <w:rsid w:val="001922E8"/>
    <w:rsid w:val="00196687"/>
    <w:rsid w:val="001967AA"/>
    <w:rsid w:val="001A02B2"/>
    <w:rsid w:val="001B54D6"/>
    <w:rsid w:val="001C0962"/>
    <w:rsid w:val="001C2293"/>
    <w:rsid w:val="001C5E5C"/>
    <w:rsid w:val="001D7531"/>
    <w:rsid w:val="001E737D"/>
    <w:rsid w:val="001F0592"/>
    <w:rsid w:val="001F7506"/>
    <w:rsid w:val="002006CD"/>
    <w:rsid w:val="00202B36"/>
    <w:rsid w:val="00204B7A"/>
    <w:rsid w:val="00204CDE"/>
    <w:rsid w:val="00207920"/>
    <w:rsid w:val="0021101A"/>
    <w:rsid w:val="00212F4E"/>
    <w:rsid w:val="00220536"/>
    <w:rsid w:val="00235629"/>
    <w:rsid w:val="00235CB4"/>
    <w:rsid w:val="00237B5E"/>
    <w:rsid w:val="00241184"/>
    <w:rsid w:val="002428F3"/>
    <w:rsid w:val="002549B1"/>
    <w:rsid w:val="00256397"/>
    <w:rsid w:val="00260C38"/>
    <w:rsid w:val="002616C0"/>
    <w:rsid w:val="00261BBF"/>
    <w:rsid w:val="00265372"/>
    <w:rsid w:val="002662AA"/>
    <w:rsid w:val="00280496"/>
    <w:rsid w:val="0028696E"/>
    <w:rsid w:val="00291833"/>
    <w:rsid w:val="002928D3"/>
    <w:rsid w:val="00294DC9"/>
    <w:rsid w:val="00295495"/>
    <w:rsid w:val="002A31DE"/>
    <w:rsid w:val="002B2613"/>
    <w:rsid w:val="002C60A4"/>
    <w:rsid w:val="002D6D05"/>
    <w:rsid w:val="002D6F89"/>
    <w:rsid w:val="002E28C4"/>
    <w:rsid w:val="002F1818"/>
    <w:rsid w:val="002F36DA"/>
    <w:rsid w:val="002F567B"/>
    <w:rsid w:val="00303A21"/>
    <w:rsid w:val="003216A9"/>
    <w:rsid w:val="003264DB"/>
    <w:rsid w:val="00335A74"/>
    <w:rsid w:val="00340C45"/>
    <w:rsid w:val="00356E95"/>
    <w:rsid w:val="003576C5"/>
    <w:rsid w:val="0036561B"/>
    <w:rsid w:val="0037013F"/>
    <w:rsid w:val="0037122A"/>
    <w:rsid w:val="00380C92"/>
    <w:rsid w:val="0038298C"/>
    <w:rsid w:val="003924EB"/>
    <w:rsid w:val="003A484F"/>
    <w:rsid w:val="003A4883"/>
    <w:rsid w:val="003A4EBC"/>
    <w:rsid w:val="003A6AF1"/>
    <w:rsid w:val="003B0BE0"/>
    <w:rsid w:val="003B0C1B"/>
    <w:rsid w:val="003B688C"/>
    <w:rsid w:val="003C0291"/>
    <w:rsid w:val="003C2C04"/>
    <w:rsid w:val="003C39AE"/>
    <w:rsid w:val="003C5DA7"/>
    <w:rsid w:val="003C7B60"/>
    <w:rsid w:val="003D0C0F"/>
    <w:rsid w:val="003D1FB2"/>
    <w:rsid w:val="003D66DA"/>
    <w:rsid w:val="003E1310"/>
    <w:rsid w:val="003E6F55"/>
    <w:rsid w:val="003F27DB"/>
    <w:rsid w:val="00401861"/>
    <w:rsid w:val="00406254"/>
    <w:rsid w:val="0041450C"/>
    <w:rsid w:val="00415483"/>
    <w:rsid w:val="004223DE"/>
    <w:rsid w:val="0042685E"/>
    <w:rsid w:val="00434489"/>
    <w:rsid w:val="00437085"/>
    <w:rsid w:val="004370A4"/>
    <w:rsid w:val="00443880"/>
    <w:rsid w:val="00444360"/>
    <w:rsid w:val="004464F4"/>
    <w:rsid w:val="00457DE1"/>
    <w:rsid w:val="00471401"/>
    <w:rsid w:val="00473F31"/>
    <w:rsid w:val="0048263A"/>
    <w:rsid w:val="00483E34"/>
    <w:rsid w:val="00487E5D"/>
    <w:rsid w:val="004A711F"/>
    <w:rsid w:val="004B199D"/>
    <w:rsid w:val="004B4690"/>
    <w:rsid w:val="004C0188"/>
    <w:rsid w:val="004D457C"/>
    <w:rsid w:val="004D7B92"/>
    <w:rsid w:val="004E0A2D"/>
    <w:rsid w:val="004E206B"/>
    <w:rsid w:val="004E6DF7"/>
    <w:rsid w:val="004F0FBD"/>
    <w:rsid w:val="004F3177"/>
    <w:rsid w:val="004F48AB"/>
    <w:rsid w:val="004F52C1"/>
    <w:rsid w:val="004F7296"/>
    <w:rsid w:val="00505A47"/>
    <w:rsid w:val="00512FDA"/>
    <w:rsid w:val="00520DA0"/>
    <w:rsid w:val="00527032"/>
    <w:rsid w:val="00530116"/>
    <w:rsid w:val="00541729"/>
    <w:rsid w:val="0054525C"/>
    <w:rsid w:val="00554E45"/>
    <w:rsid w:val="00565A68"/>
    <w:rsid w:val="005664BB"/>
    <w:rsid w:val="00566FFA"/>
    <w:rsid w:val="0057481D"/>
    <w:rsid w:val="0058486E"/>
    <w:rsid w:val="00585B33"/>
    <w:rsid w:val="0059014D"/>
    <w:rsid w:val="005B177A"/>
    <w:rsid w:val="005B246A"/>
    <w:rsid w:val="005B4A7D"/>
    <w:rsid w:val="005B5C64"/>
    <w:rsid w:val="005B610B"/>
    <w:rsid w:val="005C22B9"/>
    <w:rsid w:val="005C5337"/>
    <w:rsid w:val="005C6BD0"/>
    <w:rsid w:val="005D0CC4"/>
    <w:rsid w:val="005D1C8B"/>
    <w:rsid w:val="005D468D"/>
    <w:rsid w:val="005D5CED"/>
    <w:rsid w:val="005E1C6D"/>
    <w:rsid w:val="005F1A4C"/>
    <w:rsid w:val="005F5F6B"/>
    <w:rsid w:val="00605688"/>
    <w:rsid w:val="006070AF"/>
    <w:rsid w:val="00607E6C"/>
    <w:rsid w:val="006101B1"/>
    <w:rsid w:val="006144D2"/>
    <w:rsid w:val="00614E44"/>
    <w:rsid w:val="0062270A"/>
    <w:rsid w:val="00622830"/>
    <w:rsid w:val="00623DA0"/>
    <w:rsid w:val="00630AEF"/>
    <w:rsid w:val="006325F8"/>
    <w:rsid w:val="00633463"/>
    <w:rsid w:val="00634C9A"/>
    <w:rsid w:val="006440E4"/>
    <w:rsid w:val="00651DF0"/>
    <w:rsid w:val="0065204F"/>
    <w:rsid w:val="0066343B"/>
    <w:rsid w:val="00664777"/>
    <w:rsid w:val="006748A4"/>
    <w:rsid w:val="00676E40"/>
    <w:rsid w:val="00681A31"/>
    <w:rsid w:val="00683E73"/>
    <w:rsid w:val="00693937"/>
    <w:rsid w:val="006A3141"/>
    <w:rsid w:val="006A5E34"/>
    <w:rsid w:val="006B2422"/>
    <w:rsid w:val="006B2B9A"/>
    <w:rsid w:val="006B30B2"/>
    <w:rsid w:val="006B7C3B"/>
    <w:rsid w:val="006C1937"/>
    <w:rsid w:val="006C20BB"/>
    <w:rsid w:val="006D1D7E"/>
    <w:rsid w:val="006E2E2E"/>
    <w:rsid w:val="006E6463"/>
    <w:rsid w:val="006F020C"/>
    <w:rsid w:val="00711FD9"/>
    <w:rsid w:val="007127B7"/>
    <w:rsid w:val="007135D4"/>
    <w:rsid w:val="007147F0"/>
    <w:rsid w:val="0071798E"/>
    <w:rsid w:val="007273CA"/>
    <w:rsid w:val="007416B6"/>
    <w:rsid w:val="00741BFC"/>
    <w:rsid w:val="00741E63"/>
    <w:rsid w:val="00746F48"/>
    <w:rsid w:val="0075404D"/>
    <w:rsid w:val="007572E6"/>
    <w:rsid w:val="0076182A"/>
    <w:rsid w:val="00762E61"/>
    <w:rsid w:val="00767B7E"/>
    <w:rsid w:val="00773790"/>
    <w:rsid w:val="00774221"/>
    <w:rsid w:val="007770C3"/>
    <w:rsid w:val="007807E8"/>
    <w:rsid w:val="007827B1"/>
    <w:rsid w:val="00784575"/>
    <w:rsid w:val="00784D24"/>
    <w:rsid w:val="00785FBA"/>
    <w:rsid w:val="007867EA"/>
    <w:rsid w:val="00786E4A"/>
    <w:rsid w:val="007875EB"/>
    <w:rsid w:val="0079426B"/>
    <w:rsid w:val="007A1156"/>
    <w:rsid w:val="007A62C5"/>
    <w:rsid w:val="007A6473"/>
    <w:rsid w:val="007B21B8"/>
    <w:rsid w:val="007C458A"/>
    <w:rsid w:val="007D1682"/>
    <w:rsid w:val="007D312A"/>
    <w:rsid w:val="007D3F19"/>
    <w:rsid w:val="007E23B0"/>
    <w:rsid w:val="007E23E5"/>
    <w:rsid w:val="007E3986"/>
    <w:rsid w:val="007E4FA7"/>
    <w:rsid w:val="007F1991"/>
    <w:rsid w:val="007F2C2F"/>
    <w:rsid w:val="007F55FC"/>
    <w:rsid w:val="007F5665"/>
    <w:rsid w:val="00800112"/>
    <w:rsid w:val="00813348"/>
    <w:rsid w:val="00815D72"/>
    <w:rsid w:val="008253BB"/>
    <w:rsid w:val="00826AE5"/>
    <w:rsid w:val="0083519C"/>
    <w:rsid w:val="0083706E"/>
    <w:rsid w:val="008408F6"/>
    <w:rsid w:val="008423A5"/>
    <w:rsid w:val="00850625"/>
    <w:rsid w:val="00853718"/>
    <w:rsid w:val="00855221"/>
    <w:rsid w:val="00860645"/>
    <w:rsid w:val="00867285"/>
    <w:rsid w:val="00870057"/>
    <w:rsid w:val="00870FFC"/>
    <w:rsid w:val="00871F71"/>
    <w:rsid w:val="00872FD8"/>
    <w:rsid w:val="00874B61"/>
    <w:rsid w:val="00882CC2"/>
    <w:rsid w:val="00885AF4"/>
    <w:rsid w:val="008939CD"/>
    <w:rsid w:val="00896FC2"/>
    <w:rsid w:val="008B0B00"/>
    <w:rsid w:val="008B593F"/>
    <w:rsid w:val="008B768C"/>
    <w:rsid w:val="008B769C"/>
    <w:rsid w:val="008C2653"/>
    <w:rsid w:val="008C4DB1"/>
    <w:rsid w:val="008C4EAF"/>
    <w:rsid w:val="008C5176"/>
    <w:rsid w:val="008C517F"/>
    <w:rsid w:val="008C7FD0"/>
    <w:rsid w:val="008D3761"/>
    <w:rsid w:val="008D3A37"/>
    <w:rsid w:val="008D46AA"/>
    <w:rsid w:val="008E1DE7"/>
    <w:rsid w:val="008E2B48"/>
    <w:rsid w:val="008E55B6"/>
    <w:rsid w:val="008E707C"/>
    <w:rsid w:val="008E7461"/>
    <w:rsid w:val="008F474B"/>
    <w:rsid w:val="00900B08"/>
    <w:rsid w:val="00902155"/>
    <w:rsid w:val="00902FA3"/>
    <w:rsid w:val="00910088"/>
    <w:rsid w:val="00923564"/>
    <w:rsid w:val="0092392E"/>
    <w:rsid w:val="00923A9B"/>
    <w:rsid w:val="009315F9"/>
    <w:rsid w:val="00933499"/>
    <w:rsid w:val="00935C98"/>
    <w:rsid w:val="0094036F"/>
    <w:rsid w:val="00942084"/>
    <w:rsid w:val="00946945"/>
    <w:rsid w:val="00951248"/>
    <w:rsid w:val="0095152F"/>
    <w:rsid w:val="00954C49"/>
    <w:rsid w:val="00955E37"/>
    <w:rsid w:val="00956CA8"/>
    <w:rsid w:val="0097099F"/>
    <w:rsid w:val="00970D2F"/>
    <w:rsid w:val="00971997"/>
    <w:rsid w:val="00971FFC"/>
    <w:rsid w:val="00972638"/>
    <w:rsid w:val="00976B67"/>
    <w:rsid w:val="00983B94"/>
    <w:rsid w:val="0098660A"/>
    <w:rsid w:val="009931C3"/>
    <w:rsid w:val="009A296E"/>
    <w:rsid w:val="009B2C43"/>
    <w:rsid w:val="009B4EAE"/>
    <w:rsid w:val="009B56BA"/>
    <w:rsid w:val="009B7573"/>
    <w:rsid w:val="009C22F4"/>
    <w:rsid w:val="009C2A4B"/>
    <w:rsid w:val="009C2E98"/>
    <w:rsid w:val="009D005C"/>
    <w:rsid w:val="009D0F90"/>
    <w:rsid w:val="009D3447"/>
    <w:rsid w:val="009D4711"/>
    <w:rsid w:val="009E3147"/>
    <w:rsid w:val="009F1185"/>
    <w:rsid w:val="009F18CD"/>
    <w:rsid w:val="009F2A13"/>
    <w:rsid w:val="009F7527"/>
    <w:rsid w:val="00A04EB0"/>
    <w:rsid w:val="00A13CC1"/>
    <w:rsid w:val="00A16847"/>
    <w:rsid w:val="00A1735A"/>
    <w:rsid w:val="00A237D8"/>
    <w:rsid w:val="00A268C4"/>
    <w:rsid w:val="00A307CD"/>
    <w:rsid w:val="00A31B92"/>
    <w:rsid w:val="00A331C8"/>
    <w:rsid w:val="00A40A00"/>
    <w:rsid w:val="00A4142F"/>
    <w:rsid w:val="00A422EB"/>
    <w:rsid w:val="00A4426C"/>
    <w:rsid w:val="00A45BB7"/>
    <w:rsid w:val="00A56DF2"/>
    <w:rsid w:val="00A56E6E"/>
    <w:rsid w:val="00A67AB5"/>
    <w:rsid w:val="00A733B2"/>
    <w:rsid w:val="00A741C2"/>
    <w:rsid w:val="00A84BAC"/>
    <w:rsid w:val="00A91760"/>
    <w:rsid w:val="00A93B00"/>
    <w:rsid w:val="00A93C21"/>
    <w:rsid w:val="00AA2F49"/>
    <w:rsid w:val="00AB3053"/>
    <w:rsid w:val="00AB56E9"/>
    <w:rsid w:val="00AB6144"/>
    <w:rsid w:val="00AB64C9"/>
    <w:rsid w:val="00AC096B"/>
    <w:rsid w:val="00AC3C6A"/>
    <w:rsid w:val="00AC4EE4"/>
    <w:rsid w:val="00AD1B2C"/>
    <w:rsid w:val="00AD5620"/>
    <w:rsid w:val="00AD656B"/>
    <w:rsid w:val="00AD7C1B"/>
    <w:rsid w:val="00AE16BA"/>
    <w:rsid w:val="00AE1EBE"/>
    <w:rsid w:val="00AF15A5"/>
    <w:rsid w:val="00B03C9D"/>
    <w:rsid w:val="00B060AE"/>
    <w:rsid w:val="00B10517"/>
    <w:rsid w:val="00B135B8"/>
    <w:rsid w:val="00B14E76"/>
    <w:rsid w:val="00B161B8"/>
    <w:rsid w:val="00B16465"/>
    <w:rsid w:val="00B17B12"/>
    <w:rsid w:val="00B17E96"/>
    <w:rsid w:val="00B2048C"/>
    <w:rsid w:val="00B310B9"/>
    <w:rsid w:val="00B31AE1"/>
    <w:rsid w:val="00B35F3F"/>
    <w:rsid w:val="00B36CBB"/>
    <w:rsid w:val="00B425E0"/>
    <w:rsid w:val="00B440AA"/>
    <w:rsid w:val="00B44B70"/>
    <w:rsid w:val="00B44FAF"/>
    <w:rsid w:val="00B53C56"/>
    <w:rsid w:val="00B57B8F"/>
    <w:rsid w:val="00B57DAF"/>
    <w:rsid w:val="00B7495E"/>
    <w:rsid w:val="00B77EA6"/>
    <w:rsid w:val="00B81598"/>
    <w:rsid w:val="00B841F1"/>
    <w:rsid w:val="00B86358"/>
    <w:rsid w:val="00B92709"/>
    <w:rsid w:val="00B944D6"/>
    <w:rsid w:val="00B95A47"/>
    <w:rsid w:val="00B9728E"/>
    <w:rsid w:val="00BB14BC"/>
    <w:rsid w:val="00BB4DF0"/>
    <w:rsid w:val="00BC1B95"/>
    <w:rsid w:val="00BC289F"/>
    <w:rsid w:val="00BC2D50"/>
    <w:rsid w:val="00BC5361"/>
    <w:rsid w:val="00BC5460"/>
    <w:rsid w:val="00BC6B50"/>
    <w:rsid w:val="00BD0E25"/>
    <w:rsid w:val="00BD3261"/>
    <w:rsid w:val="00BD6881"/>
    <w:rsid w:val="00BF404D"/>
    <w:rsid w:val="00BF5BD6"/>
    <w:rsid w:val="00C03E31"/>
    <w:rsid w:val="00C07BF1"/>
    <w:rsid w:val="00C10529"/>
    <w:rsid w:val="00C12597"/>
    <w:rsid w:val="00C2786E"/>
    <w:rsid w:val="00C33E72"/>
    <w:rsid w:val="00C354B2"/>
    <w:rsid w:val="00C354DB"/>
    <w:rsid w:val="00C35554"/>
    <w:rsid w:val="00C376AF"/>
    <w:rsid w:val="00C40C48"/>
    <w:rsid w:val="00C42709"/>
    <w:rsid w:val="00C53089"/>
    <w:rsid w:val="00C533CC"/>
    <w:rsid w:val="00C560D8"/>
    <w:rsid w:val="00C5751C"/>
    <w:rsid w:val="00C61BFC"/>
    <w:rsid w:val="00C62B85"/>
    <w:rsid w:val="00C65438"/>
    <w:rsid w:val="00C703D5"/>
    <w:rsid w:val="00C71437"/>
    <w:rsid w:val="00C71EF7"/>
    <w:rsid w:val="00C73592"/>
    <w:rsid w:val="00C73B22"/>
    <w:rsid w:val="00C74840"/>
    <w:rsid w:val="00C76C68"/>
    <w:rsid w:val="00C7703C"/>
    <w:rsid w:val="00C860A4"/>
    <w:rsid w:val="00C87FD8"/>
    <w:rsid w:val="00C91381"/>
    <w:rsid w:val="00C91CBB"/>
    <w:rsid w:val="00C94079"/>
    <w:rsid w:val="00C97051"/>
    <w:rsid w:val="00CA251C"/>
    <w:rsid w:val="00CB0E84"/>
    <w:rsid w:val="00CB4E70"/>
    <w:rsid w:val="00CC09B6"/>
    <w:rsid w:val="00CC5188"/>
    <w:rsid w:val="00CC666F"/>
    <w:rsid w:val="00CD1E3F"/>
    <w:rsid w:val="00CD362D"/>
    <w:rsid w:val="00CD5BDB"/>
    <w:rsid w:val="00CD6B48"/>
    <w:rsid w:val="00CE44F6"/>
    <w:rsid w:val="00CE49DA"/>
    <w:rsid w:val="00CE7B61"/>
    <w:rsid w:val="00CF2961"/>
    <w:rsid w:val="00CF6340"/>
    <w:rsid w:val="00D00095"/>
    <w:rsid w:val="00D079FA"/>
    <w:rsid w:val="00D114F0"/>
    <w:rsid w:val="00D154D1"/>
    <w:rsid w:val="00D17569"/>
    <w:rsid w:val="00D20620"/>
    <w:rsid w:val="00D254F7"/>
    <w:rsid w:val="00D26091"/>
    <w:rsid w:val="00D2685C"/>
    <w:rsid w:val="00D34E7C"/>
    <w:rsid w:val="00D35489"/>
    <w:rsid w:val="00D36AFE"/>
    <w:rsid w:val="00D377F0"/>
    <w:rsid w:val="00D44708"/>
    <w:rsid w:val="00D51276"/>
    <w:rsid w:val="00D62CC1"/>
    <w:rsid w:val="00D7035F"/>
    <w:rsid w:val="00D81B46"/>
    <w:rsid w:val="00DA634F"/>
    <w:rsid w:val="00DA65AC"/>
    <w:rsid w:val="00DB1913"/>
    <w:rsid w:val="00DB27C7"/>
    <w:rsid w:val="00DB4DCE"/>
    <w:rsid w:val="00DC007F"/>
    <w:rsid w:val="00DC2012"/>
    <w:rsid w:val="00DC410D"/>
    <w:rsid w:val="00DC5A81"/>
    <w:rsid w:val="00DC68CA"/>
    <w:rsid w:val="00DC7CBA"/>
    <w:rsid w:val="00DD13B3"/>
    <w:rsid w:val="00DD19E5"/>
    <w:rsid w:val="00DD5D8C"/>
    <w:rsid w:val="00DD73B7"/>
    <w:rsid w:val="00DE2A58"/>
    <w:rsid w:val="00DF28BC"/>
    <w:rsid w:val="00DF34B9"/>
    <w:rsid w:val="00DF40B3"/>
    <w:rsid w:val="00DF621E"/>
    <w:rsid w:val="00E01053"/>
    <w:rsid w:val="00E05604"/>
    <w:rsid w:val="00E06A8D"/>
    <w:rsid w:val="00E07ACF"/>
    <w:rsid w:val="00E17FE7"/>
    <w:rsid w:val="00E247A2"/>
    <w:rsid w:val="00E25FFE"/>
    <w:rsid w:val="00E33077"/>
    <w:rsid w:val="00E331A1"/>
    <w:rsid w:val="00E33202"/>
    <w:rsid w:val="00E336A9"/>
    <w:rsid w:val="00E407A6"/>
    <w:rsid w:val="00E4448F"/>
    <w:rsid w:val="00E472B1"/>
    <w:rsid w:val="00E50599"/>
    <w:rsid w:val="00E50624"/>
    <w:rsid w:val="00E507B1"/>
    <w:rsid w:val="00E553C1"/>
    <w:rsid w:val="00E56079"/>
    <w:rsid w:val="00E568DF"/>
    <w:rsid w:val="00E64269"/>
    <w:rsid w:val="00E64A5A"/>
    <w:rsid w:val="00E65299"/>
    <w:rsid w:val="00E82267"/>
    <w:rsid w:val="00E853CE"/>
    <w:rsid w:val="00E867B6"/>
    <w:rsid w:val="00E86A88"/>
    <w:rsid w:val="00E901FA"/>
    <w:rsid w:val="00E94824"/>
    <w:rsid w:val="00E97E9A"/>
    <w:rsid w:val="00EA010F"/>
    <w:rsid w:val="00ED1B63"/>
    <w:rsid w:val="00ED2C2D"/>
    <w:rsid w:val="00ED3C1F"/>
    <w:rsid w:val="00ED4085"/>
    <w:rsid w:val="00ED420E"/>
    <w:rsid w:val="00ED6FBE"/>
    <w:rsid w:val="00EE2F57"/>
    <w:rsid w:val="00EF4C34"/>
    <w:rsid w:val="00EF77C6"/>
    <w:rsid w:val="00F052DE"/>
    <w:rsid w:val="00F05438"/>
    <w:rsid w:val="00F07564"/>
    <w:rsid w:val="00F108E2"/>
    <w:rsid w:val="00F1361C"/>
    <w:rsid w:val="00F156F0"/>
    <w:rsid w:val="00F160C7"/>
    <w:rsid w:val="00F2408F"/>
    <w:rsid w:val="00F240E9"/>
    <w:rsid w:val="00F256E2"/>
    <w:rsid w:val="00F27CFC"/>
    <w:rsid w:val="00F3375A"/>
    <w:rsid w:val="00F36D8F"/>
    <w:rsid w:val="00F417B1"/>
    <w:rsid w:val="00F45853"/>
    <w:rsid w:val="00F5099C"/>
    <w:rsid w:val="00F509A6"/>
    <w:rsid w:val="00F51F21"/>
    <w:rsid w:val="00F602DF"/>
    <w:rsid w:val="00F71EBE"/>
    <w:rsid w:val="00F754A1"/>
    <w:rsid w:val="00F81FD9"/>
    <w:rsid w:val="00F841AA"/>
    <w:rsid w:val="00F84A94"/>
    <w:rsid w:val="00F86EB3"/>
    <w:rsid w:val="00F87E96"/>
    <w:rsid w:val="00FA23E8"/>
    <w:rsid w:val="00FB7D0C"/>
    <w:rsid w:val="00FD3CC1"/>
    <w:rsid w:val="00FF1947"/>
    <w:rsid w:val="00FF1E02"/>
    <w:rsid w:val="00FF30B4"/>
    <w:rsid w:val="015975B8"/>
    <w:rsid w:val="02143E91"/>
    <w:rsid w:val="044C6E68"/>
    <w:rsid w:val="066E0107"/>
    <w:rsid w:val="07996F6E"/>
    <w:rsid w:val="0A2032A3"/>
    <w:rsid w:val="0DAF0B93"/>
    <w:rsid w:val="0F98263C"/>
    <w:rsid w:val="101860EC"/>
    <w:rsid w:val="108F5D13"/>
    <w:rsid w:val="10C055FF"/>
    <w:rsid w:val="118107EC"/>
    <w:rsid w:val="13345697"/>
    <w:rsid w:val="13D50BC4"/>
    <w:rsid w:val="16BB723D"/>
    <w:rsid w:val="1BE8440E"/>
    <w:rsid w:val="1D155CEE"/>
    <w:rsid w:val="1FF35744"/>
    <w:rsid w:val="23860B96"/>
    <w:rsid w:val="240371BF"/>
    <w:rsid w:val="26C26CF7"/>
    <w:rsid w:val="29FD04D3"/>
    <w:rsid w:val="2C8A61B5"/>
    <w:rsid w:val="2D202ABC"/>
    <w:rsid w:val="2DF04E50"/>
    <w:rsid w:val="2F040D46"/>
    <w:rsid w:val="306D4B10"/>
    <w:rsid w:val="319F7F4E"/>
    <w:rsid w:val="31AB2B70"/>
    <w:rsid w:val="32A9493D"/>
    <w:rsid w:val="3304709D"/>
    <w:rsid w:val="36AA5135"/>
    <w:rsid w:val="376D39B2"/>
    <w:rsid w:val="37E16F03"/>
    <w:rsid w:val="38890550"/>
    <w:rsid w:val="38D469F0"/>
    <w:rsid w:val="3CA37266"/>
    <w:rsid w:val="3D98207C"/>
    <w:rsid w:val="3E78745D"/>
    <w:rsid w:val="429343FE"/>
    <w:rsid w:val="44E268DA"/>
    <w:rsid w:val="45771102"/>
    <w:rsid w:val="4A627F82"/>
    <w:rsid w:val="4B0E749A"/>
    <w:rsid w:val="4B4F25DA"/>
    <w:rsid w:val="4BE068DB"/>
    <w:rsid w:val="4D577224"/>
    <w:rsid w:val="4EAB630A"/>
    <w:rsid w:val="4ECE2238"/>
    <w:rsid w:val="4F740B35"/>
    <w:rsid w:val="4FA62E9D"/>
    <w:rsid w:val="53654E1D"/>
    <w:rsid w:val="537E6D0A"/>
    <w:rsid w:val="5AF92295"/>
    <w:rsid w:val="5CD71FC4"/>
    <w:rsid w:val="60DB227B"/>
    <w:rsid w:val="670A5668"/>
    <w:rsid w:val="68156EE5"/>
    <w:rsid w:val="6B105217"/>
    <w:rsid w:val="6C4A05C8"/>
    <w:rsid w:val="6E7E3605"/>
    <w:rsid w:val="6FF5CC65"/>
    <w:rsid w:val="710E1068"/>
    <w:rsid w:val="715C0E4B"/>
    <w:rsid w:val="72734D90"/>
    <w:rsid w:val="72C232B3"/>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34"/>
    <w:unhideWhenUsed/>
    <w:qFormat/>
    <w:uiPriority w:val="9"/>
    <w:pPr>
      <w:keepNext/>
      <w:keepLines/>
      <w:spacing w:before="260" w:after="260" w:line="416" w:lineRule="auto"/>
      <w:outlineLvl w:val="2"/>
    </w:pPr>
    <w:rPr>
      <w:b/>
      <w:bCs/>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kern w:val="0"/>
      <w:sz w:val="30"/>
    </w:rPr>
  </w:style>
  <w:style w:type="paragraph" w:styleId="6">
    <w:name w:val="annotation text"/>
    <w:basedOn w:val="1"/>
    <w:link w:val="39"/>
    <w:semiHidden/>
    <w:unhideWhenUsed/>
    <w:qFormat/>
    <w:uiPriority w:val="99"/>
    <w:pPr>
      <w:jc w:val="left"/>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annotation subject"/>
    <w:basedOn w:val="6"/>
    <w:next w:val="6"/>
    <w:link w:val="40"/>
    <w:semiHidden/>
    <w:unhideWhenUsed/>
    <w:qFormat/>
    <w:uiPriority w:val="99"/>
    <w:rPr>
      <w:b/>
      <w:bCs/>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9"/>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29"/>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常用样式（方正仿宋简）"/>
    <w:basedOn w:val="1"/>
    <w:qFormat/>
    <w:uiPriority w:val="99"/>
    <w:pPr>
      <w:spacing w:line="560" w:lineRule="exact"/>
      <w:ind w:firstLine="640" w:firstLineChars="200"/>
    </w:pPr>
    <w:rPr>
      <w:rFonts w:eastAsia="方正仿宋简体"/>
      <w:szCs w:val="32"/>
    </w:rPr>
  </w:style>
  <w:style w:type="character" w:customStyle="1" w:styleId="39">
    <w:name w:val="批注文字 字符"/>
    <w:basedOn w:val="17"/>
    <w:link w:val="6"/>
    <w:semiHidden/>
    <w:qFormat/>
    <w:uiPriority w:val="99"/>
    <w:rPr>
      <w:rFonts w:ascii="Times New Roman" w:hAnsi="Times New Roman" w:eastAsia="宋体" w:cs="Times New Roman"/>
      <w:kern w:val="2"/>
      <w:sz w:val="21"/>
      <w:szCs w:val="24"/>
    </w:rPr>
  </w:style>
  <w:style w:type="character" w:customStyle="1" w:styleId="40">
    <w:name w:val="批注主题 字符"/>
    <w:basedOn w:val="39"/>
    <w:link w:val="14"/>
    <w:semiHidden/>
    <w:qFormat/>
    <w:uiPriority w:val="99"/>
    <w:rPr>
      <w:rFonts w:ascii="Times New Roman" w:hAnsi="Times New Roman" w:eastAsia="宋体" w:cs="Times New Roman"/>
      <w:b/>
      <w:bCs/>
      <w:kern w:val="2"/>
      <w:sz w:val="21"/>
      <w:szCs w:val="24"/>
    </w:rPr>
  </w:style>
  <w:style w:type="paragraph" w:customStyle="1" w:styleId="41">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2">
    <w:name w:val="样式 样式 (西文) 宋体 (中文) 仿宋_GB2312 小四 + 首行缩进:  2 字符 行距: 最小值 12 磅"/>
    <w:basedOn w:val="1"/>
    <w:qFormat/>
    <w:uiPriority w:val="0"/>
    <w:pPr>
      <w:spacing w:line="240" w:lineRule="atLeast"/>
      <w:ind w:firstLine="640" w:firstLineChars="200"/>
      <w:jc w:val="left"/>
    </w:pPr>
    <w:rPr>
      <w:rFonts w:ascii="仿宋_GB2312"/>
      <w:b/>
      <w:color w:val="000000"/>
      <w:sz w:val="30"/>
      <w:szCs w:val="28"/>
    </w:rPr>
  </w:style>
  <w:style w:type="paragraph" w:customStyle="1" w:styleId="4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2.xml"/><Relationship Id="rId4" Type="http://schemas.microsoft.com/office/2011/relationships/commentsExtended" Target="commentsExtended.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png"/><Relationship Id="rId36" Type="http://schemas.microsoft.com/office/2007/relationships/diagramDrawing" Target="diagrams/drawing4.xml"/><Relationship Id="rId35" Type="http://schemas.openxmlformats.org/officeDocument/2006/relationships/diagramColors" Target="diagrams/colors4.xml"/><Relationship Id="rId34" Type="http://schemas.openxmlformats.org/officeDocument/2006/relationships/diagramQuickStyle" Target="diagrams/quickStyle4.xml"/><Relationship Id="rId33" Type="http://schemas.openxmlformats.org/officeDocument/2006/relationships/diagramLayout" Target="diagrams/layout4.xml"/><Relationship Id="rId32" Type="http://schemas.openxmlformats.org/officeDocument/2006/relationships/diagramData" Target="diagrams/data4.xml"/><Relationship Id="rId31" Type="http://schemas.microsoft.com/office/2007/relationships/diagramDrawing" Target="diagrams/drawing3.xml"/><Relationship Id="rId30" Type="http://schemas.openxmlformats.org/officeDocument/2006/relationships/diagramColors" Target="diagrams/colors3.xml"/><Relationship Id="rId3" Type="http://schemas.openxmlformats.org/officeDocument/2006/relationships/comments" Target="comments.xml"/><Relationship Id="rId29" Type="http://schemas.openxmlformats.org/officeDocument/2006/relationships/diagramQuickStyle" Target="diagrams/quickStyle3.xml"/><Relationship Id="rId28" Type="http://schemas.openxmlformats.org/officeDocument/2006/relationships/diagramLayout" Target="diagrams/layout3.xml"/><Relationship Id="rId27" Type="http://schemas.openxmlformats.org/officeDocument/2006/relationships/diagramData" Target="diagrams/data3.xml"/><Relationship Id="rId26" Type="http://schemas.microsoft.com/office/2007/relationships/diagramDrawing" Target="diagrams/drawing2.xml"/><Relationship Id="rId25" Type="http://schemas.openxmlformats.org/officeDocument/2006/relationships/diagramColors" Target="diagrams/colors2.xml"/><Relationship Id="rId24" Type="http://schemas.openxmlformats.org/officeDocument/2006/relationships/diagramQuickStyle" Target="diagrams/quickStyle2.xml"/><Relationship Id="rId23" Type="http://schemas.openxmlformats.org/officeDocument/2006/relationships/diagramLayout" Target="diagrams/layout2.xml"/><Relationship Id="rId22" Type="http://schemas.openxmlformats.org/officeDocument/2006/relationships/diagramData" Target="diagrams/data2.xml"/><Relationship Id="rId21" Type="http://schemas.microsoft.com/office/2007/relationships/diagramDrawing" Target="diagrams/drawing1.xml"/><Relationship Id="rId20" Type="http://schemas.openxmlformats.org/officeDocument/2006/relationships/diagramColors" Target="diagrams/colors1.xml"/><Relationship Id="rId2" Type="http://schemas.openxmlformats.org/officeDocument/2006/relationships/settings" Target="settings.xml"/><Relationship Id="rId19" Type="http://schemas.openxmlformats.org/officeDocument/2006/relationships/diagramQuickStyle" Target="diagrams/quickStyle1.xml"/><Relationship Id="rId18" Type="http://schemas.openxmlformats.org/officeDocument/2006/relationships/diagramLayout" Target="diagrams/layout1.xml"/><Relationship Id="rId17" Type="http://schemas.openxmlformats.org/officeDocument/2006/relationships/diagramData" Target="diagrams/data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收支情况</c:v>
                </c:pt>
              </c:strCache>
            </c:strRef>
          </c:cat>
          <c:val>
            <c:numRef>
              <c:f>Sheet1!$B$2</c:f>
              <c:numCache>
                <c:formatCode>General</c:formatCode>
                <c:ptCount val="1"/>
                <c:pt idx="0">
                  <c:v>54740.85</c:v>
                </c:pt>
              </c:numCache>
            </c:numRef>
          </c:val>
        </c:ser>
        <c:ser>
          <c:idx val="1"/>
          <c:order val="1"/>
          <c:tx>
            <c:strRef>
              <c:f>Sheet1!$C$1</c:f>
              <c:strCache>
                <c:ptCount val="1"/>
                <c:pt idx="0">
                  <c:v>2022年</c:v>
                </c:pt>
              </c:strCache>
            </c:strRef>
          </c:tx>
          <c:spPr>
            <a:solidFill>
              <a:schemeClr val="accent1"/>
            </a:solidFill>
            <a:ln>
              <a:noFill/>
            </a:ln>
            <a:effectLst/>
          </c:spPr>
          <c:invertIfNegative val="0"/>
          <c:dLbls>
            <c:delete val="1"/>
          </c:dLbls>
          <c:cat>
            <c:strRef>
              <c:f>Sheet1!$A$2</c:f>
              <c:strCache>
                <c:ptCount val="1"/>
                <c:pt idx="0">
                  <c:v>收支情况</c:v>
                </c:pt>
              </c:strCache>
            </c:strRef>
          </c:cat>
          <c:val>
            <c:numRef>
              <c:f>Sheet1!$C$2</c:f>
              <c:numCache>
                <c:formatCode>General</c:formatCode>
                <c:ptCount val="1"/>
                <c:pt idx="0">
                  <c:v>38516.71</c:v>
                </c:pt>
              </c:numCache>
            </c:numRef>
          </c:val>
        </c:ser>
        <c:dLbls>
          <c:showLegendKey val="0"/>
          <c:showVal val="0"/>
          <c:showCatName val="0"/>
          <c:showSerName val="0"/>
          <c:showPercent val="0"/>
          <c:showBubbleSize val="0"/>
        </c:dLbls>
        <c:gapWidth val="204"/>
        <c:overlap val="-100"/>
        <c:axId val="765923088"/>
        <c:axId val="650064120"/>
      </c:barChart>
      <c:catAx>
        <c:axId val="76592308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0064120"/>
        <c:crosses val="autoZero"/>
        <c:auto val="1"/>
        <c:lblAlgn val="ctr"/>
        <c:lblOffset val="100"/>
        <c:noMultiLvlLbl val="0"/>
      </c:catAx>
      <c:valAx>
        <c:axId val="650064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923088"/>
        <c:crosses val="autoZero"/>
        <c:crossBetween val="between"/>
      </c:valAx>
      <c:spPr>
        <a:noFill/>
        <a:ln>
          <a:noFill/>
        </a:ln>
        <a:effectLst/>
      </c:spPr>
    </c:plotArea>
    <c:legend>
      <c:legendPos val="b"/>
      <c:layout>
        <c:manualLayout>
          <c:xMode val="edge"/>
          <c:yMode val="edge"/>
          <c:x val="0.0679551533670232"/>
          <c:y val="0.909700234839066"/>
          <c:w val="0.929637043130803"/>
          <c:h val="0.069659930279612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solidFill>
              <a:schemeClr val="accent1"/>
            </a:solidFill>
          </c:spPr>
          <c:explosion val="0"/>
          <c:dPt>
            <c:idx val="0"/>
            <c:bubble3D val="0"/>
            <c:spPr>
              <a:solidFill>
                <a:schemeClr val="bg1">
                  <a:lumMod val="75000"/>
                </a:schemeClr>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rgbClr val="C00000"/>
              </a:solidFill>
              <a:ln w="19050">
                <a:solidFill>
                  <a:schemeClr val="lt1"/>
                </a:solidFill>
              </a:ln>
              <a:effectLst/>
            </c:spPr>
          </c:dPt>
          <c:dLbls>
            <c:delete val="1"/>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4066.16</c:v>
                </c:pt>
                <c:pt idx="1">
                  <c:v>33644.29</c:v>
                </c:pt>
                <c:pt idx="2">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2022年支出</c:v>
                </c:pt>
              </c:strCache>
            </c:strRef>
          </c:tx>
          <c:spPr>
            <a:solidFill>
              <a:schemeClr val="accent1"/>
            </a:solidFill>
          </c:spPr>
          <c:explosion val="0"/>
          <c:dPt>
            <c:idx val="0"/>
            <c:bubble3D val="0"/>
            <c:spPr>
              <a:solidFill>
                <a:schemeClr val="bg1">
                  <a:lumMod val="75000"/>
                </a:schemeClr>
              </a:solidFill>
              <a:ln w="19050">
                <a:solidFill>
                  <a:schemeClr val="lt1"/>
                </a:solidFill>
              </a:ln>
              <a:effectLst/>
            </c:spPr>
          </c:dPt>
          <c:dPt>
            <c:idx val="1"/>
            <c:bubble3D val="0"/>
            <c:spPr>
              <a:solidFill>
                <a:schemeClr val="accent1"/>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1150.62</c:v>
                </c:pt>
                <c:pt idx="1">
                  <c:v>37328.77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54740.85</c:v>
                </c:pt>
              </c:numCache>
            </c:numRef>
          </c:val>
        </c:ser>
        <c:ser>
          <c:idx val="1"/>
          <c:order val="1"/>
          <c:tx>
            <c:strRef>
              <c:f>Sheet1!$C$1</c:f>
              <c:strCache>
                <c:ptCount val="1"/>
                <c:pt idx="0">
                  <c:v>2022年</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38516.66</c:v>
                </c:pt>
              </c:numCache>
            </c:numRef>
          </c:val>
        </c:ser>
        <c:dLbls>
          <c:showLegendKey val="0"/>
          <c:showVal val="0"/>
          <c:showCatName val="0"/>
          <c:showSerName val="0"/>
          <c:showPercent val="0"/>
          <c:showBubbleSize val="0"/>
        </c:dLbls>
        <c:gapWidth val="219"/>
        <c:overlap val="-27"/>
        <c:axId val="589442880"/>
        <c:axId val="589443208"/>
      </c:barChart>
      <c:catAx>
        <c:axId val="589442880"/>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443208"/>
        <c:crosses val="autoZero"/>
        <c:auto val="1"/>
        <c:lblAlgn val="ctr"/>
        <c:lblOffset val="100"/>
        <c:noMultiLvlLbl val="0"/>
      </c:catAx>
      <c:valAx>
        <c:axId val="589443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442880"/>
        <c:crosses val="autoZero"/>
        <c:crossBetween val="between"/>
      </c:valAx>
      <c:spPr>
        <a:noFill/>
        <a:ln>
          <a:noFill/>
        </a:ln>
        <a:effectLst/>
      </c:spPr>
    </c:plotArea>
    <c:legend>
      <c:legendPos val="b"/>
      <c:layout>
        <c:manualLayout>
          <c:xMode val="edge"/>
          <c:yMode val="edge"/>
          <c:x val="0.156749792863901"/>
          <c:y val="0.905572267862802"/>
          <c:w val="0.749105759805548"/>
          <c:h val="0.069659930279612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Sheet1!$B$2</c:f>
              <c:numCache>
                <c:formatCode>General</c:formatCode>
                <c:ptCount val="1"/>
                <c:pt idx="0">
                  <c:v>2331</c:v>
                </c:pt>
              </c:numCache>
            </c:numRef>
          </c:val>
        </c:ser>
        <c:ser>
          <c:idx val="1"/>
          <c:order val="1"/>
          <c:tx>
            <c:strRef>
              <c:f>Sheet1!$C$1</c:f>
              <c:strCache>
                <c:ptCount val="1"/>
                <c:pt idx="0">
                  <c:v>2022</c:v>
                </c:pt>
              </c:strCache>
            </c:strRef>
          </c:tx>
          <c:spPr>
            <a:solidFill>
              <a:schemeClr val="accent1"/>
            </a:solidFill>
            <a:ln>
              <a:noFill/>
            </a:ln>
            <a:effectLst/>
          </c:spPr>
          <c:invertIfNegative val="0"/>
          <c:dLbls>
            <c:delete val="1"/>
          </c:dLbls>
          <c:cat>
            <c:strRef>
              <c:f>Sheet1!$A$2</c:f>
              <c:strCache>
                <c:ptCount val="1"/>
                <c:pt idx="0">
                  <c:v>类别 1</c:v>
                </c:pt>
              </c:strCache>
            </c:strRef>
          </c:cat>
          <c:val>
            <c:numRef>
              <c:f>Sheet1!$C$2</c:f>
              <c:numCache>
                <c:formatCode>General</c:formatCode>
                <c:ptCount val="1"/>
                <c:pt idx="0">
                  <c:v>4040.33</c:v>
                </c:pt>
              </c:numCache>
            </c:numRef>
          </c:val>
        </c:ser>
        <c:dLbls>
          <c:showLegendKey val="0"/>
          <c:showVal val="0"/>
          <c:showCatName val="0"/>
          <c:showSerName val="0"/>
          <c:showPercent val="0"/>
          <c:showBubbleSize val="0"/>
        </c:dLbls>
        <c:gapWidth val="219"/>
        <c:overlap val="-27"/>
        <c:axId val="636126056"/>
        <c:axId val="636134912"/>
      </c:barChart>
      <c:catAx>
        <c:axId val="63612605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134912"/>
        <c:crosses val="autoZero"/>
        <c:auto val="1"/>
        <c:lblAlgn val="ctr"/>
        <c:lblOffset val="100"/>
        <c:noMultiLvlLbl val="0"/>
      </c:catAx>
      <c:valAx>
        <c:axId val="63613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126056"/>
        <c:crosses val="autoZero"/>
        <c:crossBetween val="between"/>
      </c:valAx>
      <c:spPr>
        <a:noFill/>
        <a:ln>
          <a:noFill/>
        </a:ln>
        <a:effectLst/>
      </c:spPr>
    </c:plotArea>
    <c:legend>
      <c:legendPos val="b"/>
      <c:layout>
        <c:manualLayout>
          <c:xMode val="edge"/>
          <c:yMode val="edge"/>
          <c:x val="0.20683406929058"/>
          <c:y val="0.905572267862802"/>
          <c:w val="0.653753002762447"/>
          <c:h val="0.069659930279612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系列 1</c:v>
                </c:pt>
              </c:strCache>
            </c:strRef>
          </c:tx>
          <c:spPr/>
          <c:explosion val="0"/>
          <c:dPt>
            <c:idx val="0"/>
            <c:bubble3D val="0"/>
            <c:spPr>
              <a:solidFill>
                <a:schemeClr val="accent5">
                  <a:lumMod val="20000"/>
                  <a:lumOff val="80000"/>
                </a:schemeClr>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1"/>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Lbls>
            <c:delete val="1"/>
          </c:dLbls>
          <c:cat>
            <c:strRef>
              <c:f>Sheet1!$A$2:$A$7</c:f>
              <c:strCache>
                <c:ptCount val="6"/>
                <c:pt idx="0">
                  <c:v>文化旅游体育与传媒支出</c:v>
                </c:pt>
                <c:pt idx="1">
                  <c:v>社会保障和就业支出</c:v>
                </c:pt>
                <c:pt idx="2">
                  <c:v>卫生健康支出</c:v>
                </c:pt>
                <c:pt idx="3">
                  <c:v>城乡社区支出</c:v>
                </c:pt>
                <c:pt idx="4">
                  <c:v>资源勘探工业信息等支出</c:v>
                </c:pt>
                <c:pt idx="5">
                  <c:v>住房保障支出</c:v>
                </c:pt>
              </c:strCache>
            </c:strRef>
          </c:cat>
          <c:val>
            <c:numRef>
              <c:f>Sheet1!$B$2:$B$7</c:f>
              <c:numCache>
                <c:formatCode>General</c:formatCode>
                <c:ptCount val="6"/>
                <c:pt idx="0">
                  <c:v>2000</c:v>
                </c:pt>
                <c:pt idx="1">
                  <c:v>108.27</c:v>
                </c:pt>
                <c:pt idx="2">
                  <c:v>35.48</c:v>
                </c:pt>
                <c:pt idx="3">
                  <c:v>500</c:v>
                </c:pt>
                <c:pt idx="4">
                  <c:v>1314.63</c:v>
                </c:pt>
                <c:pt idx="5">
                  <c:v>81.96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rgbClr val="FF0000"/>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bg1">
                  <a:lumMod val="75000"/>
                </a:schemeClr>
              </a:solidFill>
              <a:ln w="19050">
                <a:solidFill>
                  <a:schemeClr val="lt1"/>
                </a:solidFill>
              </a:ln>
              <a:effectLst/>
            </c:spPr>
          </c:dPt>
          <c:dLbls>
            <c:delete val="1"/>
          </c:dLbls>
          <c:cat>
            <c:strRef>
              <c:f>Sheet1!$A$2:$A$3</c:f>
              <c:strCache>
                <c:ptCount val="2"/>
                <c:pt idx="0">
                  <c:v>公务用车购置及运行维护费</c:v>
                </c:pt>
                <c:pt idx="1">
                  <c:v>公务接待费</c:v>
                </c:pt>
              </c:strCache>
            </c:strRef>
          </c:cat>
          <c:val>
            <c:numRef>
              <c:f>Sheet1!$B$2:$B$3</c:f>
              <c:numCache>
                <c:formatCode>General</c:formatCode>
                <c:ptCount val="2"/>
                <c:pt idx="0">
                  <c:v>3.76</c:v>
                </c:pt>
                <c:pt idx="1">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1" loCatId="hierarchy" qsTypeId="urn:microsoft.com/office/officeart/2005/8/quickstyle/simple1#1" qsCatId="simple" csTypeId="urn:microsoft.com/office/officeart/2005/8/colors/accent1_2#1" csCatId="accent1" phldr="0"/>
      <dgm:spPr/>
      <dgm:t>
        <a:bodyPr/>
        <a:p>
          <a:endParaRPr lang="zh-CN" altLang="en-US"/>
        </a:p>
      </dgm:t>
    </dgm:pt>
    <dgm:pt modelId="{D4DB8080-BF18-46F9-914E-891DA7EE3CE8}">
      <dgm:prSet phldr="0" custT="1"/>
      <dgm:spPr/>
      <dgm:t>
        <a:bodyPr vert="horz" wrap="square"/>
        <a:p>
          <a:pPr>
            <a:lnSpc>
              <a:spcPct val="100000"/>
            </a:lnSpc>
            <a:spcBef>
              <a:spcPct val="0"/>
            </a:spcBef>
            <a:spcAft>
              <a:spcPct val="35000"/>
            </a:spcAft>
          </a:pPr>
          <a:r>
            <a:rPr lang="zh-CN" sz="1200" b="1"/>
            <a:t>执行董事</a:t>
          </a:r>
        </a:p>
      </dgm:t>
    </dgm:pt>
    <dgm:pt modelId="{BC11F66E-9EAB-4D4D-9B1A-AB0A6A3E8A49}" cxnId="{A0DD5182-F5AA-4454-8A10-B6E6A11F5634}" type="parTrans">
      <dgm:prSet/>
      <dgm:spPr/>
    </dgm:pt>
    <dgm:pt modelId="{B1C45B18-0396-47E7-8750-B7D6BCEEEDF1}" cxnId="{A0DD5182-F5AA-4454-8A10-B6E6A11F5634}" type="sibTrans">
      <dgm:prSet/>
      <dgm:spPr/>
    </dgm:pt>
    <dgm:pt modelId="{47C757F0-AA23-46BE-9311-EA432CDEEAA1}">
      <dgm:prSet phldrT="[文本]" phldr="0" custT="1"/>
      <dgm:spPr/>
      <dgm:t>
        <a:bodyPr vert="horz" wrap="square"/>
        <a:p>
          <a:pPr>
            <a:lnSpc>
              <a:spcPct val="100000"/>
            </a:lnSpc>
            <a:spcBef>
              <a:spcPct val="0"/>
            </a:spcBef>
            <a:spcAft>
              <a:spcPct val="35000"/>
            </a:spcAft>
          </a:pPr>
          <a:r>
            <a:rPr lang="en-US" altLang="zh-CN" sz="950" b="1"/>
            <a:t> </a:t>
          </a:r>
          <a:r>
            <a:rPr lang="zh-CN" altLang="en-US" sz="950" b="1"/>
            <a:t>副经理             （主持经理层工作）</a:t>
          </a:r>
          <a:r>
            <a:rPr lang="en-US" altLang="zh-CN" sz="950" b="1"/>
            <a:t>  </a:t>
          </a:r>
        </a:p>
      </dgm:t>
    </dgm:pt>
    <dgm:pt modelId="{AB39B06D-FE6C-48B2-B5B4-77CD0C8CF7AD}" cxnId="{1DDF5E46-4829-4393-A69F-7D6879E1C723}" type="parTrans">
      <dgm:prSet/>
      <dgm:spPr/>
      <dgm:t>
        <a:bodyPr/>
        <a:p>
          <a:endParaRPr lang="zh-CN" altLang="en-US"/>
        </a:p>
      </dgm:t>
    </dgm:pt>
    <dgm:pt modelId="{DF0D1C21-B79E-4875-B7FA-EF183CB48B88}" cxnId="{1DDF5E46-4829-4393-A69F-7D6879E1C723}" type="sibTrans">
      <dgm:prSet/>
      <dgm:spPr/>
      <dgm:t>
        <a:bodyPr/>
        <a:p>
          <a:endParaRPr lang="zh-CN" altLang="en-US"/>
        </a:p>
      </dgm:t>
    </dgm:pt>
    <dgm:pt modelId="{9303B455-9B75-4A5E-9E15-5AC62EB20A0E}">
      <dgm:prSet phldr="0" custT="1"/>
      <dgm:spPr/>
      <dgm:t>
        <a:bodyPr vert="horz" wrap="square"/>
        <a:p>
          <a:pPr>
            <a:lnSpc>
              <a:spcPct val="100000"/>
            </a:lnSpc>
            <a:spcBef>
              <a:spcPct val="0"/>
            </a:spcBef>
            <a:spcAft>
              <a:spcPct val="35000"/>
            </a:spcAft>
          </a:pPr>
          <a:r>
            <a:rPr lang="zh-CN" sz="1000" b="1"/>
            <a:t>安全生产管理部</a:t>
          </a:r>
        </a:p>
      </dgm:t>
    </dgm:pt>
    <dgm:pt modelId="{1B59EEA2-85F2-40C7-8173-B64CE642F891}" cxnId="{EA6928DD-A6AF-455B-818A-24E04A4FAB91}" type="parTrans">
      <dgm:prSet/>
      <dgm:spPr/>
    </dgm:pt>
    <dgm:pt modelId="{284C0F89-F2A5-4D4F-A472-FEBE9F7B62C8}" cxnId="{EA6928DD-A6AF-455B-818A-24E04A4FAB91}" type="sibTrans">
      <dgm:prSet/>
      <dgm:spPr/>
    </dgm:pt>
    <dgm:pt modelId="{87A9308F-0008-4AC3-B97E-96795435649E}">
      <dgm:prSet phldr="0" custT="1"/>
      <dgm:spPr/>
      <dgm:t>
        <a:bodyPr vert="horz" wrap="square"/>
        <a:p>
          <a:pPr>
            <a:lnSpc>
              <a:spcPct val="100000"/>
            </a:lnSpc>
            <a:spcBef>
              <a:spcPct val="0"/>
            </a:spcBef>
            <a:spcAft>
              <a:spcPct val="35000"/>
            </a:spcAft>
          </a:pPr>
          <a:r>
            <a:rPr lang="zh-CN" sz="1000" b="1"/>
            <a:t>湿地公园土地流转</a:t>
          </a:r>
        </a:p>
      </dgm:t>
    </dgm:pt>
    <dgm:pt modelId="{6C682182-6830-409A-B09A-07602C01D5B7}" cxnId="{83B17F89-774F-4F03-9452-847F97F22EC5}" type="parTrans">
      <dgm:prSet/>
      <dgm:spPr/>
    </dgm:pt>
    <dgm:pt modelId="{8BC6B5B9-2E5D-4F24-A36E-768D2DC54578}" cxnId="{83B17F89-774F-4F03-9452-847F97F22EC5}" type="sibTrans">
      <dgm:prSet/>
      <dgm:spPr/>
    </dgm:pt>
    <dgm:pt modelId="{E498DC9C-C5AC-4482-A26F-3B99DC5D79F0}" type="pres">
      <dgm:prSet presAssocID="{A77D31B3-3808-4FBA-8FA4-CC8D448A173E}" presName="hierChild1" presStyleCnt="0">
        <dgm:presLayoutVars>
          <dgm:orgChart val="1"/>
          <dgm:chPref val="1"/>
          <dgm:dir val="rev"/>
          <dgm:animOne val="branch"/>
          <dgm:animLvl val="lvl"/>
          <dgm:resizeHandles/>
        </dgm:presLayoutVars>
      </dgm:prSet>
      <dgm:spPr/>
    </dgm:pt>
    <dgm:pt modelId="{25ADC70F-A7E9-405B-878B-58F5E373D3E0}" type="pres">
      <dgm:prSet presAssocID="{D4DB8080-BF18-46F9-914E-891DA7EE3CE8}" presName="hierRoot1" presStyleCnt="0">
        <dgm:presLayoutVars>
          <dgm:hierBranch val="init"/>
        </dgm:presLayoutVars>
      </dgm:prSet>
      <dgm:spPr/>
    </dgm:pt>
    <dgm:pt modelId="{2EE19359-8834-43DA-AD2F-2EF687AD4135}" type="pres">
      <dgm:prSet presAssocID="{D4DB8080-BF18-46F9-914E-891DA7EE3CE8}" presName="rootComposite1" presStyleCnt="0"/>
      <dgm:spPr/>
    </dgm:pt>
    <dgm:pt modelId="{548429D0-4959-45CE-9F1B-55D8B5528792}" type="pres">
      <dgm:prSet presAssocID="{D4DB8080-BF18-46F9-914E-891DA7EE3CE8}" presName="rootText1" presStyleLbl="node0" presStyleIdx="0" presStyleCnt="1">
        <dgm:presLayoutVars>
          <dgm:chPref val="3"/>
        </dgm:presLayoutVars>
      </dgm:prSet>
      <dgm:spPr/>
    </dgm:pt>
    <dgm:pt modelId="{FE1027BA-E880-4B94-A74D-A4B319508BAB}" type="pres">
      <dgm:prSet presAssocID="{D4DB8080-BF18-46F9-914E-891DA7EE3CE8}" presName="rootConnector1" presStyleLbl="node1" presStyleIdx="0" presStyleCnt="0"/>
      <dgm:spPr/>
    </dgm:pt>
    <dgm:pt modelId="{36630B76-8CAA-496E-8BB0-6F9D391C33CA}" type="pres">
      <dgm:prSet presAssocID="{D4DB8080-BF18-46F9-914E-891DA7EE3CE8}" presName="hierChild2" presStyleCnt="0"/>
      <dgm:spPr/>
    </dgm:pt>
    <dgm:pt modelId="{520D8E41-6A18-4A1A-B736-084E94AE52CF}" type="pres">
      <dgm:prSet presAssocID="{AB39B06D-FE6C-48B2-B5B4-77CD0C8CF7AD}" presName="Name37" presStyleLbl="parChTrans1D2" presStyleIdx="0" presStyleCnt="1"/>
      <dgm:spPr/>
    </dgm:pt>
    <dgm:pt modelId="{77F41637-9AF4-4F1F-AA02-DC8FDAB3C82B}" type="pres">
      <dgm:prSet presAssocID="{47C757F0-AA23-46BE-9311-EA432CDEEAA1}" presName="hierRoot2" presStyleCnt="0">
        <dgm:presLayoutVars>
          <dgm:hierBranch/>
        </dgm:presLayoutVars>
      </dgm:prSet>
      <dgm:spPr/>
    </dgm:pt>
    <dgm:pt modelId="{C5FD5C45-29B1-4F0A-AAA8-09F55C7CD3D3}" type="pres">
      <dgm:prSet presAssocID="{47C757F0-AA23-46BE-9311-EA432CDEEAA1}" presName="rootComposite" presStyleCnt="0"/>
      <dgm:spPr/>
    </dgm:pt>
    <dgm:pt modelId="{4F313537-711D-4E90-AC2F-1293DB22AEFC}" type="pres">
      <dgm:prSet presAssocID="{47C757F0-AA23-46BE-9311-EA432CDEEAA1}" presName="rootText" presStyleLbl="node2" presStyleIdx="0" presStyleCnt="1">
        <dgm:presLayoutVars>
          <dgm:chPref val="3"/>
        </dgm:presLayoutVars>
      </dgm:prSet>
      <dgm:spPr/>
    </dgm:pt>
    <dgm:pt modelId="{E99EC1B2-2649-444F-97E7-99F97C534125}" type="pres">
      <dgm:prSet presAssocID="{47C757F0-AA23-46BE-9311-EA432CDEEAA1}" presName="rootConnector" presStyleLbl="node2" presStyleIdx="0" presStyleCnt="1"/>
      <dgm:spPr/>
    </dgm:pt>
    <dgm:pt modelId="{F0165290-5938-41E5-9E43-F598B83B13C2}" type="pres">
      <dgm:prSet presAssocID="{47C757F0-AA23-46BE-9311-EA432CDEEAA1}" presName="hierChild4" presStyleCnt="0"/>
      <dgm:spPr/>
    </dgm:pt>
    <dgm:pt modelId="{694A3DAD-CED7-4771-B5A2-A6D7FCEC34E9}" type="pres">
      <dgm:prSet presAssocID="{1B59EEA2-85F2-40C7-8173-B64CE642F891}" presName="Name35" presStyleLbl="parChTrans1D3" presStyleIdx="0" presStyleCnt="1"/>
      <dgm:spPr/>
    </dgm:pt>
    <dgm:pt modelId="{F4F5F604-C689-4027-B8F9-4F69B324FB03}" type="pres">
      <dgm:prSet presAssocID="{9303B455-9B75-4A5E-9E15-5AC62EB20A0E}" presName="hierRoot2" presStyleCnt="0">
        <dgm:presLayoutVars>
          <dgm:hierBranch/>
        </dgm:presLayoutVars>
      </dgm:prSet>
      <dgm:spPr/>
    </dgm:pt>
    <dgm:pt modelId="{80D490AC-EA29-4DFB-8122-A3B706A91683}" type="pres">
      <dgm:prSet presAssocID="{9303B455-9B75-4A5E-9E15-5AC62EB20A0E}" presName="rootComposite" presStyleCnt="0"/>
      <dgm:spPr/>
    </dgm:pt>
    <dgm:pt modelId="{7A75F0EB-3E52-4EEF-9E00-DED1E1343493}" type="pres">
      <dgm:prSet presAssocID="{9303B455-9B75-4A5E-9E15-5AC62EB20A0E}" presName="rootText" presStyleLbl="node3" presStyleIdx="0" presStyleCnt="1">
        <dgm:presLayoutVars>
          <dgm:chPref val="3"/>
        </dgm:presLayoutVars>
      </dgm:prSet>
      <dgm:spPr/>
    </dgm:pt>
    <dgm:pt modelId="{AF140CF1-9735-4D63-8DA0-49DFD38D8E0E}" type="pres">
      <dgm:prSet presAssocID="{9303B455-9B75-4A5E-9E15-5AC62EB20A0E}" presName="rootConnector" presStyleLbl="node3" presStyleIdx="0" presStyleCnt="1"/>
      <dgm:spPr/>
    </dgm:pt>
    <dgm:pt modelId="{27EA82C1-5800-4B93-97BE-8D7217EA1EB5}" type="pres">
      <dgm:prSet presAssocID="{9303B455-9B75-4A5E-9E15-5AC62EB20A0E}" presName="hierChild4" presStyleCnt="0"/>
      <dgm:spPr/>
    </dgm:pt>
    <dgm:pt modelId="{6FCB3B2B-FE63-4620-8F30-DE3BAC841DB1}" type="pres">
      <dgm:prSet presAssocID="{6C682182-6830-409A-B09A-07602C01D5B7}" presName="Name35" presStyleLbl="parChTrans1D4" presStyleIdx="0" presStyleCnt="1"/>
      <dgm:spPr/>
    </dgm:pt>
    <dgm:pt modelId="{C1F1718D-1F5A-4A43-AE6F-14C7212D51A1}" type="pres">
      <dgm:prSet presAssocID="{87A9308F-0008-4AC3-B97E-96795435649E}" presName="hierRoot2" presStyleCnt="0">
        <dgm:presLayoutVars>
          <dgm:hierBranch val="init"/>
        </dgm:presLayoutVars>
      </dgm:prSet>
      <dgm:spPr/>
    </dgm:pt>
    <dgm:pt modelId="{586D027C-D34C-4D26-B77A-D117111ABE6C}" type="pres">
      <dgm:prSet presAssocID="{87A9308F-0008-4AC3-B97E-96795435649E}" presName="rootComposite" presStyleCnt="0"/>
      <dgm:spPr/>
    </dgm:pt>
    <dgm:pt modelId="{93AC308C-D4B3-4C9F-9D02-C75CE2C6AAE0}" type="pres">
      <dgm:prSet presAssocID="{87A9308F-0008-4AC3-B97E-96795435649E}" presName="rootText" presStyleLbl="node4" presStyleIdx="0" presStyleCnt="1">
        <dgm:presLayoutVars>
          <dgm:chPref val="3"/>
        </dgm:presLayoutVars>
      </dgm:prSet>
      <dgm:spPr/>
    </dgm:pt>
    <dgm:pt modelId="{5E004F04-E116-4E80-B673-791F4D1BF5D9}" type="pres">
      <dgm:prSet presAssocID="{87A9308F-0008-4AC3-B97E-96795435649E}" presName="rootConnector" presStyleLbl="node4" presStyleIdx="0" presStyleCnt="1"/>
      <dgm:spPr/>
    </dgm:pt>
    <dgm:pt modelId="{89C4AFD2-7CAE-49C5-8F81-530A595063D3}" type="pres">
      <dgm:prSet presAssocID="{87A9308F-0008-4AC3-B97E-96795435649E}" presName="hierChild4" presStyleCnt="0"/>
      <dgm:spPr/>
    </dgm:pt>
    <dgm:pt modelId="{B682F57C-221D-4A7E-B1AB-7A5C5BECC317}" type="pres">
      <dgm:prSet presAssocID="{87A9308F-0008-4AC3-B97E-96795435649E}" presName="hierChild5" presStyleCnt="0"/>
      <dgm:spPr/>
    </dgm:pt>
    <dgm:pt modelId="{B509A6D1-55AD-412F-8EDB-CC7A4AA9943B}" type="pres">
      <dgm:prSet presAssocID="{9303B455-9B75-4A5E-9E15-5AC62EB20A0E}" presName="hierChild5" presStyleCnt="0"/>
      <dgm:spPr/>
    </dgm:pt>
    <dgm:pt modelId="{CEA4362A-AF6D-423F-8B8D-0EE4D6071B22}" type="pres">
      <dgm:prSet presAssocID="{47C757F0-AA23-46BE-9311-EA432CDEEAA1}" presName="hierChild5" presStyleCnt="0"/>
      <dgm:spPr/>
    </dgm:pt>
    <dgm:pt modelId="{8E9BA135-8CAB-41C7-BF73-CCCCB5D528C5}" type="pres">
      <dgm:prSet presAssocID="{D4DB8080-BF18-46F9-914E-891DA7EE3CE8}" presName="hierChild3" presStyleCnt="0"/>
      <dgm:spPr/>
    </dgm:pt>
  </dgm:ptLst>
  <dgm:cxnLst>
    <dgm:cxn modelId="{AF535002-C4BE-4218-AF35-F9A9532DADB9}" type="presOf" srcId="{6C682182-6830-409A-B09A-07602C01D5B7}" destId="{6FCB3B2B-FE63-4620-8F30-DE3BAC841DB1}" srcOrd="0" destOrd="0" presId="urn:microsoft.com/office/officeart/2005/8/layout/orgChart1#1"/>
    <dgm:cxn modelId="{E02A6D19-345D-43BD-B9F1-ECA36AF5848D}" type="presOf" srcId="{47C757F0-AA23-46BE-9311-EA432CDEEAA1}" destId="{4F313537-711D-4E90-AC2F-1293DB22AEFC}" srcOrd="1" destOrd="0" presId="urn:microsoft.com/office/officeart/2005/8/layout/orgChart1#1"/>
    <dgm:cxn modelId="{EEACDA20-43CF-47AC-9368-3D410D5697F2}" type="presOf" srcId="{D4DB8080-BF18-46F9-914E-891DA7EE3CE8}" destId="{FE1027BA-E880-4B94-A74D-A4B319508BAB}" srcOrd="2" destOrd="0" presId="urn:microsoft.com/office/officeart/2005/8/layout/orgChart1#1"/>
    <dgm:cxn modelId="{1DDF5E46-4829-4393-A69F-7D6879E1C723}" srcId="{D4DB8080-BF18-46F9-914E-891DA7EE3CE8}" destId="{47C757F0-AA23-46BE-9311-EA432CDEEAA1}" srcOrd="0" destOrd="0" parTransId="{AB39B06D-FE6C-48B2-B5B4-77CD0C8CF7AD}" sibTransId="{DF0D1C21-B79E-4875-B7FA-EF183CB48B88}"/>
    <dgm:cxn modelId="{9EA45867-6FB3-49B5-8301-F447E2A48304}" type="presOf" srcId="{9303B455-9B75-4A5E-9E15-5AC62EB20A0E}" destId="{80D490AC-EA29-4DFB-8122-A3B706A91683}" srcOrd="0" destOrd="0" presId="urn:microsoft.com/office/officeart/2005/8/layout/orgChart1#1"/>
    <dgm:cxn modelId="{6E6D824A-D1C9-43B4-BAAC-03553D221697}" type="presOf" srcId="{87A9308F-0008-4AC3-B97E-96795435649E}" destId="{93AC308C-D4B3-4C9F-9D02-C75CE2C6AAE0}" srcOrd="1" destOrd="0" presId="urn:microsoft.com/office/officeart/2005/8/layout/orgChart1#1"/>
    <dgm:cxn modelId="{61B81F4C-E8A5-4BD2-A0E5-0021AAF16888}" type="presOf" srcId="{D4DB8080-BF18-46F9-914E-891DA7EE3CE8}" destId="{548429D0-4959-45CE-9F1B-55D8B5528792}" srcOrd="1" destOrd="0" presId="urn:microsoft.com/office/officeart/2005/8/layout/orgChart1#1"/>
    <dgm:cxn modelId="{F24E947D-0A18-463A-AA90-7173F43AC66B}" type="presOf" srcId="{47C757F0-AA23-46BE-9311-EA432CDEEAA1}" destId="{E99EC1B2-2649-444F-97E7-99F97C534125}" srcOrd="2" destOrd="0" presId="urn:microsoft.com/office/officeart/2005/8/layout/orgChart1#1"/>
    <dgm:cxn modelId="{A8047E7E-8C32-41D1-BDBE-40396629AEAB}" type="presOf" srcId="{D4DB8080-BF18-46F9-914E-891DA7EE3CE8}" destId="{2EE19359-8834-43DA-AD2F-2EF687AD4135}" srcOrd="0" destOrd="0" presId="urn:microsoft.com/office/officeart/2005/8/layout/orgChart1#1"/>
    <dgm:cxn modelId="{A0DD5182-F5AA-4454-8A10-B6E6A11F5634}" srcId="{A77D31B3-3808-4FBA-8FA4-CC8D448A173E}" destId="{D4DB8080-BF18-46F9-914E-891DA7EE3CE8}" srcOrd="0" destOrd="0" parTransId="{BC11F66E-9EAB-4D4D-9B1A-AB0A6A3E8A49}" sibTransId="{B1C45B18-0396-47E7-8750-B7D6BCEEEDF1}"/>
    <dgm:cxn modelId="{83B17F89-774F-4F03-9452-847F97F22EC5}" srcId="{9303B455-9B75-4A5E-9E15-5AC62EB20A0E}" destId="{87A9308F-0008-4AC3-B97E-96795435649E}" srcOrd="0" destOrd="0" parTransId="{6C682182-6830-409A-B09A-07602C01D5B7}" sibTransId="{8BC6B5B9-2E5D-4F24-A36E-768D2DC54578}"/>
    <dgm:cxn modelId="{DDCEAE90-4F63-4AB5-9733-A80B96418194}" type="presOf" srcId="{9303B455-9B75-4A5E-9E15-5AC62EB20A0E}" destId="{AF140CF1-9735-4D63-8DA0-49DFD38D8E0E}" srcOrd="2" destOrd="0" presId="urn:microsoft.com/office/officeart/2005/8/layout/orgChart1#1"/>
    <dgm:cxn modelId="{69661A91-6938-4809-A12B-159B40F82E54}" type="presOf" srcId="{87A9308F-0008-4AC3-B97E-96795435649E}" destId="{586D027C-D34C-4D26-B77A-D117111ABE6C}" srcOrd="0" destOrd="0" presId="urn:microsoft.com/office/officeart/2005/8/layout/orgChart1#1"/>
    <dgm:cxn modelId="{F66BD393-9ADD-4D0A-8280-B2A91C8D80E8}" type="presOf" srcId="{A77D31B3-3808-4FBA-8FA4-CC8D448A173E}" destId="{E498DC9C-C5AC-4482-A26F-3B99DC5D79F0}" srcOrd="0" destOrd="0" presId="urn:microsoft.com/office/officeart/2005/8/layout/orgChart1#1"/>
    <dgm:cxn modelId="{2F1DCE9F-390F-4842-B133-F22EAB9209F0}" type="presOf" srcId="{9303B455-9B75-4A5E-9E15-5AC62EB20A0E}" destId="{7A75F0EB-3E52-4EEF-9E00-DED1E1343493}" srcOrd="1" destOrd="0" presId="urn:microsoft.com/office/officeart/2005/8/layout/orgChart1#1"/>
    <dgm:cxn modelId="{8E3ED1C5-5C3E-41F8-8C50-AD27F8B17F6F}" type="presOf" srcId="{AB39B06D-FE6C-48B2-B5B4-77CD0C8CF7AD}" destId="{520D8E41-6A18-4A1A-B736-084E94AE52CF}" srcOrd="0" destOrd="0" presId="urn:microsoft.com/office/officeart/2005/8/layout/orgChart1#1"/>
    <dgm:cxn modelId="{9E632CD3-8CB7-46A9-BF9E-6139B3444BAB}" type="presOf" srcId="{87A9308F-0008-4AC3-B97E-96795435649E}" destId="{5E004F04-E116-4E80-B673-791F4D1BF5D9}" srcOrd="2" destOrd="0" presId="urn:microsoft.com/office/officeart/2005/8/layout/orgChart1#1"/>
    <dgm:cxn modelId="{EA6928DD-A6AF-455B-818A-24E04A4FAB91}" srcId="{47C757F0-AA23-46BE-9311-EA432CDEEAA1}" destId="{9303B455-9B75-4A5E-9E15-5AC62EB20A0E}" srcOrd="0" destOrd="0" parTransId="{1B59EEA2-85F2-40C7-8173-B64CE642F891}" sibTransId="{284C0F89-F2A5-4D4F-A472-FEBE9F7B62C8}"/>
    <dgm:cxn modelId="{8180BDDF-0185-4D69-9113-C28A14FE8B6F}" type="presOf" srcId="{1B59EEA2-85F2-40C7-8173-B64CE642F891}" destId="{694A3DAD-CED7-4771-B5A2-A6D7FCEC34E9}" srcOrd="0" destOrd="0" presId="urn:microsoft.com/office/officeart/2005/8/layout/orgChart1#1"/>
    <dgm:cxn modelId="{42E667E7-C4EF-46CB-A88F-3974668FAA3F}" type="presOf" srcId="{47C757F0-AA23-46BE-9311-EA432CDEEAA1}" destId="{C5FD5C45-29B1-4F0A-AAA8-09F55C7CD3D3}" srcOrd="0" destOrd="0" presId="urn:microsoft.com/office/officeart/2005/8/layout/orgChart1#1"/>
    <dgm:cxn modelId="{951CCFF6-5369-4407-8659-1076E6F8C15A}" type="presParOf" srcId="{E498DC9C-C5AC-4482-A26F-3B99DC5D79F0}" destId="{25ADC70F-A7E9-405B-878B-58F5E373D3E0}" srcOrd="0" destOrd="0" presId="urn:microsoft.com/office/officeart/2005/8/layout/orgChart1#1"/>
    <dgm:cxn modelId="{8C5CCEBC-6889-44D9-9651-4718E448E8D6}" type="presParOf" srcId="{25ADC70F-A7E9-405B-878B-58F5E373D3E0}" destId="{2EE19359-8834-43DA-AD2F-2EF687AD4135}" srcOrd="0" destOrd="0" presId="urn:microsoft.com/office/officeart/2005/8/layout/orgChart1#1"/>
    <dgm:cxn modelId="{F1F6B7BD-200A-4502-9013-50C7FF6F1163}" type="presParOf" srcId="{2EE19359-8834-43DA-AD2F-2EF687AD4135}" destId="{548429D0-4959-45CE-9F1B-55D8B5528792}" srcOrd="0" destOrd="0" presId="urn:microsoft.com/office/officeart/2005/8/layout/orgChart1#1"/>
    <dgm:cxn modelId="{3EDDE211-BE8E-4E6E-8BC1-0A9523DADFF7}" type="presParOf" srcId="{2EE19359-8834-43DA-AD2F-2EF687AD4135}" destId="{FE1027BA-E880-4B94-A74D-A4B319508BAB}" srcOrd="1" destOrd="0" presId="urn:microsoft.com/office/officeart/2005/8/layout/orgChart1#1"/>
    <dgm:cxn modelId="{3811A791-985B-4976-99F2-6F9F557C6050}" type="presParOf" srcId="{25ADC70F-A7E9-405B-878B-58F5E373D3E0}" destId="{36630B76-8CAA-496E-8BB0-6F9D391C33CA}" srcOrd="1" destOrd="0" presId="urn:microsoft.com/office/officeart/2005/8/layout/orgChart1#1"/>
    <dgm:cxn modelId="{072D79B1-51E3-4288-A4C1-F1FBF4E7A69D}" type="presParOf" srcId="{36630B76-8CAA-496E-8BB0-6F9D391C33CA}" destId="{520D8E41-6A18-4A1A-B736-084E94AE52CF}" srcOrd="0" destOrd="0" presId="urn:microsoft.com/office/officeart/2005/8/layout/orgChart1#1"/>
    <dgm:cxn modelId="{C91026BB-B3E1-45B7-9648-7950196E5570}" type="presParOf" srcId="{36630B76-8CAA-496E-8BB0-6F9D391C33CA}" destId="{77F41637-9AF4-4F1F-AA02-DC8FDAB3C82B}" srcOrd="1" destOrd="0" presId="urn:microsoft.com/office/officeart/2005/8/layout/orgChart1#1"/>
    <dgm:cxn modelId="{31588767-131F-45D7-AA53-5954BB0C03FA}" type="presParOf" srcId="{77F41637-9AF4-4F1F-AA02-DC8FDAB3C82B}" destId="{C5FD5C45-29B1-4F0A-AAA8-09F55C7CD3D3}" srcOrd="0" destOrd="0" presId="urn:microsoft.com/office/officeart/2005/8/layout/orgChart1#1"/>
    <dgm:cxn modelId="{13B19FD3-FB87-4FC8-B6CD-2B0BD3F9E01C}" type="presParOf" srcId="{C5FD5C45-29B1-4F0A-AAA8-09F55C7CD3D3}" destId="{4F313537-711D-4E90-AC2F-1293DB22AEFC}" srcOrd="0" destOrd="0" presId="urn:microsoft.com/office/officeart/2005/8/layout/orgChart1#1"/>
    <dgm:cxn modelId="{D4BC07C1-07FE-4981-9A23-408E2D42063A}" type="presParOf" srcId="{C5FD5C45-29B1-4F0A-AAA8-09F55C7CD3D3}" destId="{E99EC1B2-2649-444F-97E7-99F97C534125}" srcOrd="1" destOrd="0" presId="urn:microsoft.com/office/officeart/2005/8/layout/orgChart1#1"/>
    <dgm:cxn modelId="{35625098-2157-4547-8927-673F38BD699D}" type="presParOf" srcId="{77F41637-9AF4-4F1F-AA02-DC8FDAB3C82B}" destId="{F0165290-5938-41E5-9E43-F598B83B13C2}" srcOrd="1" destOrd="0" presId="urn:microsoft.com/office/officeart/2005/8/layout/orgChart1#1"/>
    <dgm:cxn modelId="{DC32D6C0-3044-4EC2-90BC-A1390411AF45}" type="presParOf" srcId="{F0165290-5938-41E5-9E43-F598B83B13C2}" destId="{694A3DAD-CED7-4771-B5A2-A6D7FCEC34E9}" srcOrd="0" destOrd="0" presId="urn:microsoft.com/office/officeart/2005/8/layout/orgChart1#1"/>
    <dgm:cxn modelId="{76125FB6-6DC6-49A8-BB40-724847D1113D}" type="presParOf" srcId="{F0165290-5938-41E5-9E43-F598B83B13C2}" destId="{F4F5F604-C689-4027-B8F9-4F69B324FB03}" srcOrd="1" destOrd="0" presId="urn:microsoft.com/office/officeart/2005/8/layout/orgChart1#1"/>
    <dgm:cxn modelId="{8C47FCBF-2001-4DCA-807A-F96D77FE1E9A}" type="presParOf" srcId="{F4F5F604-C689-4027-B8F9-4F69B324FB03}" destId="{80D490AC-EA29-4DFB-8122-A3B706A91683}" srcOrd="0" destOrd="0" presId="urn:microsoft.com/office/officeart/2005/8/layout/orgChart1#1"/>
    <dgm:cxn modelId="{4764E8FA-F256-442E-9E0E-8615B106E8E3}" type="presParOf" srcId="{80D490AC-EA29-4DFB-8122-A3B706A91683}" destId="{7A75F0EB-3E52-4EEF-9E00-DED1E1343493}" srcOrd="0" destOrd="0" presId="urn:microsoft.com/office/officeart/2005/8/layout/orgChart1#1"/>
    <dgm:cxn modelId="{9C8F90B0-80CD-430E-9236-AE6D0DBAEDE9}" type="presParOf" srcId="{80D490AC-EA29-4DFB-8122-A3B706A91683}" destId="{AF140CF1-9735-4D63-8DA0-49DFD38D8E0E}" srcOrd="1" destOrd="0" presId="urn:microsoft.com/office/officeart/2005/8/layout/orgChart1#1"/>
    <dgm:cxn modelId="{78432AF0-DD09-4CB8-A8D7-860FF428A495}" type="presParOf" srcId="{F4F5F604-C689-4027-B8F9-4F69B324FB03}" destId="{27EA82C1-5800-4B93-97BE-8D7217EA1EB5}" srcOrd="1" destOrd="0" presId="urn:microsoft.com/office/officeart/2005/8/layout/orgChart1#1"/>
    <dgm:cxn modelId="{9E242F8D-DF79-4C37-BAA6-9DD9745B71CD}" type="presParOf" srcId="{27EA82C1-5800-4B93-97BE-8D7217EA1EB5}" destId="{6FCB3B2B-FE63-4620-8F30-DE3BAC841DB1}" srcOrd="0" destOrd="0" presId="urn:microsoft.com/office/officeart/2005/8/layout/orgChart1#1"/>
    <dgm:cxn modelId="{327E034E-E577-41DD-A6CF-40864EF83B9A}" type="presParOf" srcId="{27EA82C1-5800-4B93-97BE-8D7217EA1EB5}" destId="{C1F1718D-1F5A-4A43-AE6F-14C7212D51A1}" srcOrd="1" destOrd="0" presId="urn:microsoft.com/office/officeart/2005/8/layout/orgChart1#1"/>
    <dgm:cxn modelId="{C29B38F2-F134-492D-BBE3-945AAE67CF90}" type="presParOf" srcId="{C1F1718D-1F5A-4A43-AE6F-14C7212D51A1}" destId="{586D027C-D34C-4D26-B77A-D117111ABE6C}" srcOrd="0" destOrd="0" presId="urn:microsoft.com/office/officeart/2005/8/layout/orgChart1#1"/>
    <dgm:cxn modelId="{8300CFA9-2CCD-4599-9BA2-02EBF14646C9}" type="presParOf" srcId="{586D027C-D34C-4D26-B77A-D117111ABE6C}" destId="{93AC308C-D4B3-4C9F-9D02-C75CE2C6AAE0}" srcOrd="0" destOrd="0" presId="urn:microsoft.com/office/officeart/2005/8/layout/orgChart1#1"/>
    <dgm:cxn modelId="{AB52C6F3-485C-4DB4-8741-81A2206AEFBF}" type="presParOf" srcId="{586D027C-D34C-4D26-B77A-D117111ABE6C}" destId="{5E004F04-E116-4E80-B673-791F4D1BF5D9}" srcOrd="1" destOrd="0" presId="urn:microsoft.com/office/officeart/2005/8/layout/orgChart1#1"/>
    <dgm:cxn modelId="{A6224FAB-B442-4CDD-8328-B8BD382DAA1A}" type="presParOf" srcId="{C1F1718D-1F5A-4A43-AE6F-14C7212D51A1}" destId="{89C4AFD2-7CAE-49C5-8F81-530A595063D3}" srcOrd="1" destOrd="0" presId="urn:microsoft.com/office/officeart/2005/8/layout/orgChart1#1"/>
    <dgm:cxn modelId="{9D61D3C4-8955-4D0A-A45F-0B1D0D14DF4A}" type="presParOf" srcId="{C1F1718D-1F5A-4A43-AE6F-14C7212D51A1}" destId="{B682F57C-221D-4A7E-B1AB-7A5C5BECC317}" srcOrd="2" destOrd="0" presId="urn:microsoft.com/office/officeart/2005/8/layout/orgChart1#1"/>
    <dgm:cxn modelId="{FB06578E-861A-4F2E-BAC6-DBB25B075981}" type="presParOf" srcId="{F4F5F604-C689-4027-B8F9-4F69B324FB03}" destId="{B509A6D1-55AD-412F-8EDB-CC7A4AA9943B}" srcOrd="2" destOrd="0" presId="urn:microsoft.com/office/officeart/2005/8/layout/orgChart1#1"/>
    <dgm:cxn modelId="{BCE23BA1-FA83-4F13-B218-A7865ED3C101}" type="presParOf" srcId="{77F41637-9AF4-4F1F-AA02-DC8FDAB3C82B}" destId="{CEA4362A-AF6D-423F-8B8D-0EE4D6071B22}" srcOrd="2" destOrd="0" presId="urn:microsoft.com/office/officeart/2005/8/layout/orgChart1#1"/>
    <dgm:cxn modelId="{1D6F0E60-BCEF-4D22-9BCB-B5FDB3A2B626}" type="presParOf" srcId="{25ADC70F-A7E9-405B-878B-58F5E373D3E0}" destId="{8E9BA135-8CAB-41C7-BF73-CCCCB5D528C5}" srcOrd="2" destOrd="0" presId="urn:microsoft.com/office/officeart/2005/8/layout/orgChart1#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2" loCatId="hierarchy" qsTypeId="urn:microsoft.com/office/officeart/2005/8/quickstyle/simple1#2" qsCatId="simple" csTypeId="urn:microsoft.com/office/officeart/2005/8/colors/accent1_2#2" csCatId="accent1" phldr="0"/>
      <dgm:spPr/>
      <dgm:t>
        <a:bodyPr/>
        <a:p>
          <a:endParaRPr lang="zh-CN" altLang="en-US"/>
        </a:p>
      </dgm:t>
    </dgm:pt>
    <dgm:pt modelId="{D4DB8080-BF18-46F9-914E-891DA7EE3CE8}">
      <dgm:prSet phldr="0" custT="1"/>
      <dgm:spPr/>
      <dgm:t>
        <a:bodyPr vert="horz" wrap="square"/>
        <a:p>
          <a:pPr>
            <a:lnSpc>
              <a:spcPct val="100000"/>
            </a:lnSpc>
            <a:spcBef>
              <a:spcPct val="0"/>
            </a:spcBef>
            <a:spcAft>
              <a:spcPct val="35000"/>
            </a:spcAft>
          </a:pPr>
          <a:r>
            <a:rPr lang="zh-CN" sz="950" b="1"/>
            <a:t>执行董事</a:t>
          </a:r>
        </a:p>
      </dgm:t>
    </dgm:pt>
    <dgm:pt modelId="{BC11F66E-9EAB-4D4D-9B1A-AB0A6A3E8A49}" cxnId="{28E1372D-EB59-423F-A7C2-D2840121930B}" type="parTrans">
      <dgm:prSet/>
      <dgm:spPr/>
    </dgm:pt>
    <dgm:pt modelId="{B1C45B18-0396-47E7-8750-B7D6BCEEEDF1}" cxnId="{28E1372D-EB59-423F-A7C2-D2840121930B}" type="sibTrans">
      <dgm:prSet/>
      <dgm:spPr/>
    </dgm:pt>
    <dgm:pt modelId="{47C757F0-AA23-46BE-9311-EA432CDEEAA1}">
      <dgm:prSet phldrT="[文本]" phldr="0" custT="1"/>
      <dgm:spPr/>
      <dgm:t>
        <a:bodyPr vert="horz" wrap="square"/>
        <a:p>
          <a:pPr>
            <a:lnSpc>
              <a:spcPct val="100000"/>
            </a:lnSpc>
            <a:spcBef>
              <a:spcPct val="0"/>
            </a:spcBef>
            <a:spcAft>
              <a:spcPct val="35000"/>
            </a:spcAft>
          </a:pPr>
          <a:r>
            <a:rPr lang="en-US" altLang="zh-CN" sz="850" b="1"/>
            <a:t> </a:t>
          </a:r>
          <a:r>
            <a:rPr lang="zh-CN" altLang="en-US" sz="850" b="1"/>
            <a:t>副经理（主持经理层工作）</a:t>
          </a:r>
          <a:r>
            <a:rPr lang="en-US" altLang="zh-CN" sz="850" b="1"/>
            <a:t>  </a:t>
          </a:r>
        </a:p>
      </dgm:t>
    </dgm:pt>
    <dgm:pt modelId="{AB39B06D-FE6C-48B2-B5B4-77CD0C8CF7AD}" cxnId="{86EFF66B-ADD0-4240-AE05-DDE0208129D3}" type="parTrans">
      <dgm:prSet/>
      <dgm:spPr/>
      <dgm:t>
        <a:bodyPr/>
        <a:p>
          <a:endParaRPr lang="zh-CN" altLang="en-US"/>
        </a:p>
      </dgm:t>
    </dgm:pt>
    <dgm:pt modelId="{DF0D1C21-B79E-4875-B7FA-EF183CB48B88}" cxnId="{86EFF66B-ADD0-4240-AE05-DDE0208129D3}" type="sibTrans">
      <dgm:prSet/>
      <dgm:spPr/>
      <dgm:t>
        <a:bodyPr/>
        <a:p>
          <a:endParaRPr lang="zh-CN" altLang="en-US"/>
        </a:p>
      </dgm:t>
    </dgm:pt>
    <dgm:pt modelId="{038F7370-823C-4BA3-957C-76B74C1E13C0}">
      <dgm:prSet phldr="0" custT="1"/>
      <dgm:spPr/>
      <dgm:t>
        <a:bodyPr vert="horz" wrap="square"/>
        <a:p>
          <a:pPr>
            <a:lnSpc>
              <a:spcPct val="100000"/>
            </a:lnSpc>
            <a:spcBef>
              <a:spcPct val="0"/>
            </a:spcBef>
            <a:spcAft>
              <a:spcPct val="35000"/>
            </a:spcAft>
          </a:pPr>
          <a:r>
            <a:rPr lang="zh-CN" sz="950" b="1"/>
            <a:t>运营管理部</a:t>
          </a:r>
        </a:p>
      </dgm:t>
    </dgm:pt>
    <dgm:pt modelId="{DDDF17B6-4880-480D-BE1A-45E0EFEC4C51}" cxnId="{A278E6DD-2291-45E1-974E-07F41135AB24}" type="parTrans">
      <dgm:prSet/>
      <dgm:spPr/>
    </dgm:pt>
    <dgm:pt modelId="{F0251358-80BE-4707-8088-5E4BDD6C349F}" cxnId="{A278E6DD-2291-45E1-974E-07F41135AB24}" type="sibTrans">
      <dgm:prSet/>
      <dgm:spPr/>
    </dgm:pt>
    <dgm:pt modelId="{A28A005B-24C7-45D3-8E23-AF80EF2C8667}">
      <dgm:prSet phldr="0" custT="1"/>
      <dgm:spPr/>
      <dgm:t>
        <a:bodyPr vert="horz" wrap="square"/>
        <a:p>
          <a:pPr>
            <a:lnSpc>
              <a:spcPct val="100000"/>
            </a:lnSpc>
            <a:spcBef>
              <a:spcPct val="0"/>
            </a:spcBef>
            <a:spcAft>
              <a:spcPct val="35000"/>
            </a:spcAft>
          </a:pPr>
          <a:r>
            <a:rPr lang="zh-CN" sz="950" b="1"/>
            <a:t>嘉陵广场</a:t>
          </a:r>
        </a:p>
      </dgm:t>
    </dgm:pt>
    <dgm:pt modelId="{80AA4443-E6FD-47C4-8B76-01769741B66D}" cxnId="{D7AEC542-E0EE-4257-9400-6EDAAE75015F}" type="parTrans">
      <dgm:prSet/>
      <dgm:spPr/>
    </dgm:pt>
    <dgm:pt modelId="{11DA1480-511A-40AD-8A2D-3EB856310C4C}" cxnId="{D7AEC542-E0EE-4257-9400-6EDAAE75015F}" type="sibTrans">
      <dgm:prSet/>
      <dgm:spPr/>
    </dgm:pt>
    <dgm:pt modelId="{F6189581-3965-4F63-BB03-AC9C354E133A}">
      <dgm:prSet phldr="0" custT="1"/>
      <dgm:spPr/>
      <dgm:t>
        <a:bodyPr vert="horz" wrap="square"/>
        <a:p>
          <a:pPr>
            <a:lnSpc>
              <a:spcPct val="100000"/>
            </a:lnSpc>
            <a:spcBef>
              <a:spcPct val="0"/>
            </a:spcBef>
            <a:spcAft>
              <a:spcPct val="35000"/>
            </a:spcAft>
          </a:pPr>
          <a:r>
            <a:rPr lang="zh-CN" sz="950" b="1"/>
            <a:t>南河广场</a:t>
          </a:r>
        </a:p>
      </dgm:t>
    </dgm:pt>
    <dgm:pt modelId="{D98B4EFF-AC4B-4CB6-B0AF-EC1358EAC204}" cxnId="{183A0A8C-02B5-407F-A3AD-20161B7188EA}" type="parTrans">
      <dgm:prSet/>
      <dgm:spPr/>
    </dgm:pt>
    <dgm:pt modelId="{2C8BFE9C-A79F-4E86-86D6-3BC65F138382}" cxnId="{183A0A8C-02B5-407F-A3AD-20161B7188EA}" type="sibTrans">
      <dgm:prSet/>
      <dgm:spPr/>
    </dgm:pt>
    <dgm:pt modelId="{2659DCC7-6A4F-4144-BC55-58D5AF5F76AF}">
      <dgm:prSet phldr="0" custT="1"/>
      <dgm:spPr/>
      <dgm:t>
        <a:bodyPr vert="horz" wrap="square"/>
        <a:p>
          <a:pPr>
            <a:lnSpc>
              <a:spcPct val="100000"/>
            </a:lnSpc>
            <a:spcBef>
              <a:spcPct val="0"/>
            </a:spcBef>
            <a:spcAft>
              <a:spcPct val="35000"/>
            </a:spcAft>
          </a:pPr>
          <a:r>
            <a:rPr lang="zh-CN" sz="950" b="1"/>
            <a:t>苴国广场</a:t>
          </a:r>
        </a:p>
      </dgm:t>
    </dgm:pt>
    <dgm:pt modelId="{C52D8F05-A956-424B-BFB5-D1C904210BA8}" cxnId="{DB9CF700-45ED-49C4-90D9-3788F6A290EC}" type="parTrans">
      <dgm:prSet/>
      <dgm:spPr/>
    </dgm:pt>
    <dgm:pt modelId="{B3C97DF9-6822-4283-A0AE-F3D2C8E5F9BC}" cxnId="{DB9CF700-45ED-49C4-90D9-3788F6A290EC}" type="sibTrans">
      <dgm:prSet/>
      <dgm:spPr/>
    </dgm:pt>
    <dgm:pt modelId="{27AE2A84-043C-47E4-9F76-EF4AFF8BED0D}">
      <dgm:prSet phldr="0" custT="1"/>
      <dgm:spPr/>
      <dgm:t>
        <a:bodyPr vert="horz" wrap="square"/>
        <a:p>
          <a:pPr>
            <a:lnSpc>
              <a:spcPct val="100000"/>
            </a:lnSpc>
            <a:spcBef>
              <a:spcPct val="0"/>
            </a:spcBef>
            <a:spcAft>
              <a:spcPct val="35000"/>
            </a:spcAft>
          </a:pPr>
          <a:r>
            <a:rPr lang="zh-CN" sz="950" b="1"/>
            <a:t>利州广场</a:t>
          </a:r>
        </a:p>
      </dgm:t>
    </dgm:pt>
    <dgm:pt modelId="{14142E90-8E49-4AE8-A3F7-093826BB5621}" cxnId="{35875FFD-378E-45B0-81D3-077F8213F6C1}" type="parTrans">
      <dgm:prSet/>
      <dgm:spPr/>
    </dgm:pt>
    <dgm:pt modelId="{008F6839-6787-4954-8D7D-728A4C616851}" cxnId="{35875FFD-378E-45B0-81D3-077F8213F6C1}" type="sibTrans">
      <dgm:prSet/>
      <dgm:spPr/>
    </dgm:pt>
    <dgm:pt modelId="{7C8F3D6F-33E4-4628-899B-AA4EC95D4819}">
      <dgm:prSet phldr="0" custT="1"/>
      <dgm:spPr/>
      <dgm:t>
        <a:bodyPr vert="horz" wrap="square"/>
        <a:p>
          <a:pPr>
            <a:lnSpc>
              <a:spcPct val="100000"/>
            </a:lnSpc>
            <a:spcBef>
              <a:spcPct val="0"/>
            </a:spcBef>
            <a:spcAft>
              <a:spcPct val="35000"/>
            </a:spcAft>
          </a:pPr>
          <a:r>
            <a:rPr lang="zh-CN" sz="950" b="1"/>
            <a:t>红星公园</a:t>
          </a:r>
        </a:p>
      </dgm:t>
    </dgm:pt>
    <dgm:pt modelId="{1CBF4651-EAC6-4DB2-8454-614819F4E564}" cxnId="{0B1F5B4A-D4A3-4F48-9EDF-B8A22774A339}" type="parTrans">
      <dgm:prSet/>
      <dgm:spPr/>
    </dgm:pt>
    <dgm:pt modelId="{A26B3FAF-B154-4598-A661-F77EE3F646D0}" cxnId="{0B1F5B4A-D4A3-4F48-9EDF-B8A22774A339}" type="sibTrans">
      <dgm:prSet/>
      <dgm:spPr/>
    </dgm:pt>
    <dgm:pt modelId="{F2335893-10A2-4D56-B653-EDD6EB7224BB}">
      <dgm:prSet phldr="0" custT="1"/>
      <dgm:spPr/>
      <dgm:t>
        <a:bodyPr vert="horz" wrap="square"/>
        <a:p>
          <a:pPr>
            <a:lnSpc>
              <a:spcPct val="100000"/>
            </a:lnSpc>
            <a:spcBef>
              <a:spcPct val="0"/>
            </a:spcBef>
            <a:spcAft>
              <a:spcPct val="35000"/>
            </a:spcAft>
          </a:pPr>
          <a:r>
            <a:rPr lang="zh-CN" sz="950" b="1"/>
            <a:t>湿地公园</a:t>
          </a:r>
        </a:p>
      </dgm:t>
    </dgm:pt>
    <dgm:pt modelId="{5AF5ADFB-E7E4-4F5A-9737-FB54B190F72C}" cxnId="{132794CF-FA51-4B28-8831-FEECC535212B}" type="parTrans">
      <dgm:prSet/>
      <dgm:spPr/>
    </dgm:pt>
    <dgm:pt modelId="{8957F72D-BB97-44F3-8786-EB49B9D9D927}" cxnId="{132794CF-FA51-4B28-8831-FEECC535212B}" type="sibTrans">
      <dgm:prSet/>
      <dgm:spPr/>
    </dgm:pt>
    <dgm:pt modelId="{E721092F-FDA0-41CD-B5B2-9A407AC82AFB}">
      <dgm:prSet phldr="0" custT="1"/>
      <dgm:spPr/>
      <dgm:t>
        <a:bodyPr vert="horz" wrap="square"/>
        <a:p>
          <a:pPr>
            <a:lnSpc>
              <a:spcPct val="100000"/>
            </a:lnSpc>
            <a:spcBef>
              <a:spcPct val="0"/>
            </a:spcBef>
            <a:spcAft>
              <a:spcPct val="35000"/>
            </a:spcAft>
          </a:pPr>
          <a:r>
            <a:rPr lang="zh-CN" sz="950" b="1"/>
            <a:t>凤凰山公园</a:t>
          </a:r>
        </a:p>
      </dgm:t>
    </dgm:pt>
    <dgm:pt modelId="{C44738DB-7485-4CDC-B61E-16C8697D7254}" cxnId="{82C24D7A-21B4-4D44-8E09-887EC44BDF0A}" type="parTrans">
      <dgm:prSet/>
      <dgm:spPr/>
    </dgm:pt>
    <dgm:pt modelId="{A43E700C-0749-462E-B5F6-FBD4115F52B2}" cxnId="{82C24D7A-21B4-4D44-8E09-887EC44BDF0A}" type="sibTrans">
      <dgm:prSet/>
      <dgm:spPr/>
    </dgm:pt>
    <dgm:pt modelId="{E498DC9C-C5AC-4482-A26F-3B99DC5D79F0}" type="pres">
      <dgm:prSet presAssocID="{A77D31B3-3808-4FBA-8FA4-CC8D448A173E}" presName="hierChild1" presStyleCnt="0">
        <dgm:presLayoutVars>
          <dgm:orgChart val="1"/>
          <dgm:chPref val="1"/>
          <dgm:dir val="rev"/>
          <dgm:animOne val="branch"/>
          <dgm:animLvl val="lvl"/>
          <dgm:resizeHandles/>
        </dgm:presLayoutVars>
      </dgm:prSet>
      <dgm:spPr/>
    </dgm:pt>
    <dgm:pt modelId="{25ADC70F-A7E9-405B-878B-58F5E373D3E0}" type="pres">
      <dgm:prSet presAssocID="{D4DB8080-BF18-46F9-914E-891DA7EE3CE8}" presName="hierRoot1" presStyleCnt="0">
        <dgm:presLayoutVars>
          <dgm:hierBranch val="init"/>
        </dgm:presLayoutVars>
      </dgm:prSet>
      <dgm:spPr/>
    </dgm:pt>
    <dgm:pt modelId="{2EE19359-8834-43DA-AD2F-2EF687AD4135}" type="pres">
      <dgm:prSet presAssocID="{D4DB8080-BF18-46F9-914E-891DA7EE3CE8}" presName="rootComposite1" presStyleCnt="0"/>
      <dgm:spPr/>
    </dgm:pt>
    <dgm:pt modelId="{548429D0-4959-45CE-9F1B-55D8B5528792}" type="pres">
      <dgm:prSet presAssocID="{D4DB8080-BF18-46F9-914E-891DA7EE3CE8}" presName="rootText1" presStyleLbl="node0" presStyleIdx="0" presStyleCnt="1">
        <dgm:presLayoutVars>
          <dgm:chPref val="3"/>
        </dgm:presLayoutVars>
      </dgm:prSet>
      <dgm:spPr/>
    </dgm:pt>
    <dgm:pt modelId="{FE1027BA-E880-4B94-A74D-A4B319508BAB}" type="pres">
      <dgm:prSet presAssocID="{D4DB8080-BF18-46F9-914E-891DA7EE3CE8}" presName="rootConnector1" presStyleLbl="node1" presStyleIdx="0" presStyleCnt="0"/>
      <dgm:spPr/>
    </dgm:pt>
    <dgm:pt modelId="{36630B76-8CAA-496E-8BB0-6F9D391C33CA}" type="pres">
      <dgm:prSet presAssocID="{D4DB8080-BF18-46F9-914E-891DA7EE3CE8}" presName="hierChild2" presStyleCnt="0"/>
      <dgm:spPr/>
    </dgm:pt>
    <dgm:pt modelId="{520D8E41-6A18-4A1A-B736-084E94AE52CF}" type="pres">
      <dgm:prSet presAssocID="{AB39B06D-FE6C-48B2-B5B4-77CD0C8CF7AD}" presName="Name37" presStyleLbl="parChTrans1D2" presStyleIdx="0" presStyleCnt="1"/>
      <dgm:spPr/>
    </dgm:pt>
    <dgm:pt modelId="{77F41637-9AF4-4F1F-AA02-DC8FDAB3C82B}" type="pres">
      <dgm:prSet presAssocID="{47C757F0-AA23-46BE-9311-EA432CDEEAA1}" presName="hierRoot2" presStyleCnt="0">
        <dgm:presLayoutVars>
          <dgm:hierBranch/>
        </dgm:presLayoutVars>
      </dgm:prSet>
      <dgm:spPr/>
    </dgm:pt>
    <dgm:pt modelId="{C5FD5C45-29B1-4F0A-AAA8-09F55C7CD3D3}" type="pres">
      <dgm:prSet presAssocID="{47C757F0-AA23-46BE-9311-EA432CDEEAA1}" presName="rootComposite" presStyleCnt="0"/>
      <dgm:spPr/>
    </dgm:pt>
    <dgm:pt modelId="{4F313537-711D-4E90-AC2F-1293DB22AEFC}" type="pres">
      <dgm:prSet presAssocID="{47C757F0-AA23-46BE-9311-EA432CDEEAA1}" presName="rootText" presStyleLbl="node2" presStyleIdx="0" presStyleCnt="1">
        <dgm:presLayoutVars>
          <dgm:chPref val="3"/>
        </dgm:presLayoutVars>
      </dgm:prSet>
      <dgm:spPr/>
    </dgm:pt>
    <dgm:pt modelId="{E99EC1B2-2649-444F-97E7-99F97C534125}" type="pres">
      <dgm:prSet presAssocID="{47C757F0-AA23-46BE-9311-EA432CDEEAA1}" presName="rootConnector" presStyleLbl="node2" presStyleIdx="0" presStyleCnt="1"/>
      <dgm:spPr/>
    </dgm:pt>
    <dgm:pt modelId="{F0165290-5938-41E5-9E43-F598B83B13C2}" type="pres">
      <dgm:prSet presAssocID="{47C757F0-AA23-46BE-9311-EA432CDEEAA1}" presName="hierChild4" presStyleCnt="0"/>
      <dgm:spPr/>
    </dgm:pt>
    <dgm:pt modelId="{A7169207-4774-4460-8261-3A5E6C26367F}" type="pres">
      <dgm:prSet presAssocID="{DDDF17B6-4880-480D-BE1A-45E0EFEC4C51}" presName="Name35" presStyleLbl="parChTrans1D3" presStyleIdx="0" presStyleCnt="1"/>
      <dgm:spPr/>
    </dgm:pt>
    <dgm:pt modelId="{7C4FDB6E-BE14-456A-9640-38816894E4FF}" type="pres">
      <dgm:prSet presAssocID="{038F7370-823C-4BA3-957C-76B74C1E13C0}" presName="hierRoot2" presStyleCnt="0">
        <dgm:presLayoutVars>
          <dgm:hierBranch/>
        </dgm:presLayoutVars>
      </dgm:prSet>
      <dgm:spPr/>
    </dgm:pt>
    <dgm:pt modelId="{B0A92391-ADC2-44EC-8F10-045613A73D90}" type="pres">
      <dgm:prSet presAssocID="{038F7370-823C-4BA3-957C-76B74C1E13C0}" presName="rootComposite" presStyleCnt="0"/>
      <dgm:spPr/>
    </dgm:pt>
    <dgm:pt modelId="{09E6C6DC-6711-429D-BFF2-CFF65AEE764F}" type="pres">
      <dgm:prSet presAssocID="{038F7370-823C-4BA3-957C-76B74C1E13C0}" presName="rootText" presStyleLbl="node3" presStyleIdx="0" presStyleCnt="1">
        <dgm:presLayoutVars>
          <dgm:chPref val="3"/>
        </dgm:presLayoutVars>
      </dgm:prSet>
      <dgm:spPr/>
    </dgm:pt>
    <dgm:pt modelId="{FAE981DF-221D-4820-B57E-B3F6FDF04489}" type="pres">
      <dgm:prSet presAssocID="{038F7370-823C-4BA3-957C-76B74C1E13C0}" presName="rootConnector" presStyleLbl="node3" presStyleIdx="0" presStyleCnt="1"/>
      <dgm:spPr/>
    </dgm:pt>
    <dgm:pt modelId="{6F7E435B-7C43-4BC8-868C-21D13121BE13}" type="pres">
      <dgm:prSet presAssocID="{038F7370-823C-4BA3-957C-76B74C1E13C0}" presName="hierChild4" presStyleCnt="0"/>
      <dgm:spPr/>
    </dgm:pt>
    <dgm:pt modelId="{C4AFDE71-B4A8-4973-8E5B-D1AD186CCD79}" type="pres">
      <dgm:prSet presAssocID="{80AA4443-E6FD-47C4-8B76-01769741B66D}" presName="Name35" presStyleLbl="parChTrans1D4" presStyleIdx="0" presStyleCnt="7"/>
      <dgm:spPr/>
    </dgm:pt>
    <dgm:pt modelId="{DE0E98AC-CA8B-479B-A887-660B1ADCEF2F}" type="pres">
      <dgm:prSet presAssocID="{A28A005B-24C7-45D3-8E23-AF80EF2C8667}" presName="hierRoot2" presStyleCnt="0">
        <dgm:presLayoutVars>
          <dgm:hierBranch val="init"/>
        </dgm:presLayoutVars>
      </dgm:prSet>
      <dgm:spPr/>
    </dgm:pt>
    <dgm:pt modelId="{88A4D9B1-3E6B-4EFB-A232-39D4E838C816}" type="pres">
      <dgm:prSet presAssocID="{A28A005B-24C7-45D3-8E23-AF80EF2C8667}" presName="rootComposite" presStyleCnt="0"/>
      <dgm:spPr/>
    </dgm:pt>
    <dgm:pt modelId="{A8EA43F0-1412-4974-9969-21E76FC1AFF6}" type="pres">
      <dgm:prSet presAssocID="{A28A005B-24C7-45D3-8E23-AF80EF2C8667}" presName="rootText" presStyleLbl="node4" presStyleIdx="0" presStyleCnt="7">
        <dgm:presLayoutVars>
          <dgm:chPref val="3"/>
        </dgm:presLayoutVars>
      </dgm:prSet>
      <dgm:spPr/>
    </dgm:pt>
    <dgm:pt modelId="{620844EF-DE81-441F-BAF0-F2D3EF22ACDE}" type="pres">
      <dgm:prSet presAssocID="{A28A005B-24C7-45D3-8E23-AF80EF2C8667}" presName="rootConnector" presStyleLbl="node4" presStyleIdx="0" presStyleCnt="7"/>
      <dgm:spPr/>
    </dgm:pt>
    <dgm:pt modelId="{4C8A2C59-4D76-4228-AD49-F5BA2994CA92}" type="pres">
      <dgm:prSet presAssocID="{A28A005B-24C7-45D3-8E23-AF80EF2C8667}" presName="hierChild4" presStyleCnt="0"/>
      <dgm:spPr/>
    </dgm:pt>
    <dgm:pt modelId="{120B5259-E867-403F-8090-B4620428BF3E}" type="pres">
      <dgm:prSet presAssocID="{A28A005B-24C7-45D3-8E23-AF80EF2C8667}" presName="hierChild5" presStyleCnt="0"/>
      <dgm:spPr/>
    </dgm:pt>
    <dgm:pt modelId="{EA174B30-A9F4-4593-8CDD-983277FAE01F}" type="pres">
      <dgm:prSet presAssocID="{D98B4EFF-AC4B-4CB6-B0AF-EC1358EAC204}" presName="Name35" presStyleLbl="parChTrans1D4" presStyleIdx="1" presStyleCnt="7"/>
      <dgm:spPr/>
    </dgm:pt>
    <dgm:pt modelId="{0E7343C2-97A0-43F8-A275-BF99E33A44B6}" type="pres">
      <dgm:prSet presAssocID="{F6189581-3965-4F63-BB03-AC9C354E133A}" presName="hierRoot2" presStyleCnt="0">
        <dgm:presLayoutVars>
          <dgm:hierBranch val="init"/>
        </dgm:presLayoutVars>
      </dgm:prSet>
      <dgm:spPr/>
    </dgm:pt>
    <dgm:pt modelId="{67C3F5C7-8F49-42EB-A0B0-9F364281E1CF}" type="pres">
      <dgm:prSet presAssocID="{F6189581-3965-4F63-BB03-AC9C354E133A}" presName="rootComposite" presStyleCnt="0"/>
      <dgm:spPr/>
    </dgm:pt>
    <dgm:pt modelId="{130444B1-E42E-4B9B-8EC7-3F6DBA6992F6}" type="pres">
      <dgm:prSet presAssocID="{F6189581-3965-4F63-BB03-AC9C354E133A}" presName="rootText" presStyleLbl="node4" presStyleIdx="1" presStyleCnt="7">
        <dgm:presLayoutVars>
          <dgm:chPref val="3"/>
        </dgm:presLayoutVars>
      </dgm:prSet>
      <dgm:spPr/>
    </dgm:pt>
    <dgm:pt modelId="{B01C76B2-423D-417C-B04F-21D287FBBBE8}" type="pres">
      <dgm:prSet presAssocID="{F6189581-3965-4F63-BB03-AC9C354E133A}" presName="rootConnector" presStyleLbl="node4" presStyleIdx="1" presStyleCnt="7"/>
      <dgm:spPr/>
    </dgm:pt>
    <dgm:pt modelId="{531ECFF1-69B1-4A6E-9A83-117D70F0A465}" type="pres">
      <dgm:prSet presAssocID="{F6189581-3965-4F63-BB03-AC9C354E133A}" presName="hierChild4" presStyleCnt="0"/>
      <dgm:spPr/>
    </dgm:pt>
    <dgm:pt modelId="{16C37085-9609-49B3-8A9C-B1536CDB0FCB}" type="pres">
      <dgm:prSet presAssocID="{F6189581-3965-4F63-BB03-AC9C354E133A}" presName="hierChild5" presStyleCnt="0"/>
      <dgm:spPr/>
    </dgm:pt>
    <dgm:pt modelId="{566B04C6-D361-4ABB-8411-374659B7A426}" type="pres">
      <dgm:prSet presAssocID="{C52D8F05-A956-424B-BFB5-D1C904210BA8}" presName="Name35" presStyleLbl="parChTrans1D4" presStyleIdx="2" presStyleCnt="7"/>
      <dgm:spPr/>
    </dgm:pt>
    <dgm:pt modelId="{2C5631F1-996C-4601-93F5-7E903CABCB49}" type="pres">
      <dgm:prSet presAssocID="{2659DCC7-6A4F-4144-BC55-58D5AF5F76AF}" presName="hierRoot2" presStyleCnt="0">
        <dgm:presLayoutVars>
          <dgm:hierBranch val="init"/>
        </dgm:presLayoutVars>
      </dgm:prSet>
      <dgm:spPr/>
    </dgm:pt>
    <dgm:pt modelId="{CB3F7C3B-87B9-4AF7-83D1-2D4F22F3A677}" type="pres">
      <dgm:prSet presAssocID="{2659DCC7-6A4F-4144-BC55-58D5AF5F76AF}" presName="rootComposite" presStyleCnt="0"/>
      <dgm:spPr/>
    </dgm:pt>
    <dgm:pt modelId="{E114033E-2914-4A5A-87BC-39D5E9885BC8}" type="pres">
      <dgm:prSet presAssocID="{2659DCC7-6A4F-4144-BC55-58D5AF5F76AF}" presName="rootText" presStyleLbl="node4" presStyleIdx="2" presStyleCnt="7">
        <dgm:presLayoutVars>
          <dgm:chPref val="3"/>
        </dgm:presLayoutVars>
      </dgm:prSet>
      <dgm:spPr/>
    </dgm:pt>
    <dgm:pt modelId="{5E60A862-64B9-44E0-BB8C-0E3194CCABD5}" type="pres">
      <dgm:prSet presAssocID="{2659DCC7-6A4F-4144-BC55-58D5AF5F76AF}" presName="rootConnector" presStyleLbl="node4" presStyleIdx="2" presStyleCnt="7"/>
      <dgm:spPr/>
    </dgm:pt>
    <dgm:pt modelId="{00769896-AFCA-4B11-B12D-965CCB72FA4C}" type="pres">
      <dgm:prSet presAssocID="{2659DCC7-6A4F-4144-BC55-58D5AF5F76AF}" presName="hierChild4" presStyleCnt="0"/>
      <dgm:spPr/>
    </dgm:pt>
    <dgm:pt modelId="{6612E4B0-8C6D-4240-9EF8-69074953CCA3}" type="pres">
      <dgm:prSet presAssocID="{2659DCC7-6A4F-4144-BC55-58D5AF5F76AF}" presName="hierChild5" presStyleCnt="0"/>
      <dgm:spPr/>
    </dgm:pt>
    <dgm:pt modelId="{892F8B8A-E0E4-45ED-8F57-7A7AFE1AE828}" type="pres">
      <dgm:prSet presAssocID="{14142E90-8E49-4AE8-A3F7-093826BB5621}" presName="Name35" presStyleLbl="parChTrans1D4" presStyleIdx="3" presStyleCnt="7"/>
      <dgm:spPr/>
    </dgm:pt>
    <dgm:pt modelId="{BB56CABD-46DE-49FD-B562-2F8A6E5453FF}" type="pres">
      <dgm:prSet presAssocID="{27AE2A84-043C-47E4-9F76-EF4AFF8BED0D}" presName="hierRoot2" presStyleCnt="0">
        <dgm:presLayoutVars>
          <dgm:hierBranch val="init"/>
        </dgm:presLayoutVars>
      </dgm:prSet>
      <dgm:spPr/>
    </dgm:pt>
    <dgm:pt modelId="{61699661-6872-47E0-82D2-68752E87F3BF}" type="pres">
      <dgm:prSet presAssocID="{27AE2A84-043C-47E4-9F76-EF4AFF8BED0D}" presName="rootComposite" presStyleCnt="0"/>
      <dgm:spPr/>
    </dgm:pt>
    <dgm:pt modelId="{60518649-A13B-41CD-8EDC-BA0342D4EDF2}" type="pres">
      <dgm:prSet presAssocID="{27AE2A84-043C-47E4-9F76-EF4AFF8BED0D}" presName="rootText" presStyleLbl="node4" presStyleIdx="3" presStyleCnt="7">
        <dgm:presLayoutVars>
          <dgm:chPref val="3"/>
        </dgm:presLayoutVars>
      </dgm:prSet>
      <dgm:spPr/>
    </dgm:pt>
    <dgm:pt modelId="{4BD9941B-A042-4B95-B1A8-6429D831C634}" type="pres">
      <dgm:prSet presAssocID="{27AE2A84-043C-47E4-9F76-EF4AFF8BED0D}" presName="rootConnector" presStyleLbl="node4" presStyleIdx="3" presStyleCnt="7"/>
      <dgm:spPr/>
    </dgm:pt>
    <dgm:pt modelId="{0BD6F597-8F39-4CCD-AA9B-5D6668CEAA73}" type="pres">
      <dgm:prSet presAssocID="{27AE2A84-043C-47E4-9F76-EF4AFF8BED0D}" presName="hierChild4" presStyleCnt="0"/>
      <dgm:spPr/>
    </dgm:pt>
    <dgm:pt modelId="{20C7A246-69FF-44F6-838F-E7CB2C8522B5}" type="pres">
      <dgm:prSet presAssocID="{27AE2A84-043C-47E4-9F76-EF4AFF8BED0D}" presName="hierChild5" presStyleCnt="0"/>
      <dgm:spPr/>
    </dgm:pt>
    <dgm:pt modelId="{ACF6B2DC-195F-4D2A-B4FA-A88FBE380472}" type="pres">
      <dgm:prSet presAssocID="{1CBF4651-EAC6-4DB2-8454-614819F4E564}" presName="Name35" presStyleLbl="parChTrans1D4" presStyleIdx="4" presStyleCnt="7"/>
      <dgm:spPr/>
    </dgm:pt>
    <dgm:pt modelId="{25EB0CE7-A564-4C40-A218-FFEEC85D2312}" type="pres">
      <dgm:prSet presAssocID="{7C8F3D6F-33E4-4628-899B-AA4EC95D4819}" presName="hierRoot2" presStyleCnt="0">
        <dgm:presLayoutVars>
          <dgm:hierBranch val="init"/>
        </dgm:presLayoutVars>
      </dgm:prSet>
      <dgm:spPr/>
    </dgm:pt>
    <dgm:pt modelId="{E93D8C85-10C8-4338-B0A4-A9A72800789F}" type="pres">
      <dgm:prSet presAssocID="{7C8F3D6F-33E4-4628-899B-AA4EC95D4819}" presName="rootComposite" presStyleCnt="0"/>
      <dgm:spPr/>
    </dgm:pt>
    <dgm:pt modelId="{AEDE2EE1-B25F-47BC-A5F2-17A6D96734CF}" type="pres">
      <dgm:prSet presAssocID="{7C8F3D6F-33E4-4628-899B-AA4EC95D4819}" presName="rootText" presStyleLbl="node4" presStyleIdx="4" presStyleCnt="7">
        <dgm:presLayoutVars>
          <dgm:chPref val="3"/>
        </dgm:presLayoutVars>
      </dgm:prSet>
      <dgm:spPr/>
    </dgm:pt>
    <dgm:pt modelId="{442DDA63-7C85-4323-A69C-F76861049D27}" type="pres">
      <dgm:prSet presAssocID="{7C8F3D6F-33E4-4628-899B-AA4EC95D4819}" presName="rootConnector" presStyleLbl="node4" presStyleIdx="4" presStyleCnt="7"/>
      <dgm:spPr/>
    </dgm:pt>
    <dgm:pt modelId="{2CE91C0A-5F64-4AB2-8B54-0D2985237E6E}" type="pres">
      <dgm:prSet presAssocID="{7C8F3D6F-33E4-4628-899B-AA4EC95D4819}" presName="hierChild4" presStyleCnt="0"/>
      <dgm:spPr/>
    </dgm:pt>
    <dgm:pt modelId="{FD3EE63D-8F88-40CA-8DD0-C201F996ED66}" type="pres">
      <dgm:prSet presAssocID="{7C8F3D6F-33E4-4628-899B-AA4EC95D4819}" presName="hierChild5" presStyleCnt="0"/>
      <dgm:spPr/>
    </dgm:pt>
    <dgm:pt modelId="{C7B955B4-AFC3-40A3-A8EF-B4F4FBB07AE6}" type="pres">
      <dgm:prSet presAssocID="{5AF5ADFB-E7E4-4F5A-9737-FB54B190F72C}" presName="Name35" presStyleLbl="parChTrans1D4" presStyleIdx="5" presStyleCnt="7"/>
      <dgm:spPr/>
    </dgm:pt>
    <dgm:pt modelId="{268F46C9-5789-449C-B139-0E73F137502C}" type="pres">
      <dgm:prSet presAssocID="{F2335893-10A2-4D56-B653-EDD6EB7224BB}" presName="hierRoot2" presStyleCnt="0">
        <dgm:presLayoutVars>
          <dgm:hierBranch val="init"/>
        </dgm:presLayoutVars>
      </dgm:prSet>
      <dgm:spPr/>
    </dgm:pt>
    <dgm:pt modelId="{0627F952-213C-49A4-879F-1A296313DE8A}" type="pres">
      <dgm:prSet presAssocID="{F2335893-10A2-4D56-B653-EDD6EB7224BB}" presName="rootComposite" presStyleCnt="0"/>
      <dgm:spPr/>
    </dgm:pt>
    <dgm:pt modelId="{B6C20806-61AF-41E3-AFAA-B5CEBEFE8567}" type="pres">
      <dgm:prSet presAssocID="{F2335893-10A2-4D56-B653-EDD6EB7224BB}" presName="rootText" presStyleLbl="node4" presStyleIdx="5" presStyleCnt="7">
        <dgm:presLayoutVars>
          <dgm:chPref val="3"/>
        </dgm:presLayoutVars>
      </dgm:prSet>
      <dgm:spPr/>
    </dgm:pt>
    <dgm:pt modelId="{D1D8DBE2-B54E-4B37-88BE-16A85F6E27EB}" type="pres">
      <dgm:prSet presAssocID="{F2335893-10A2-4D56-B653-EDD6EB7224BB}" presName="rootConnector" presStyleLbl="node4" presStyleIdx="5" presStyleCnt="7"/>
      <dgm:spPr/>
    </dgm:pt>
    <dgm:pt modelId="{EAD08414-2D6A-465D-9623-940B69C44727}" type="pres">
      <dgm:prSet presAssocID="{F2335893-10A2-4D56-B653-EDD6EB7224BB}" presName="hierChild4" presStyleCnt="0"/>
      <dgm:spPr/>
    </dgm:pt>
    <dgm:pt modelId="{9B0B38F5-A836-4D37-B9D5-6ED188A2B58D}" type="pres">
      <dgm:prSet presAssocID="{F2335893-10A2-4D56-B653-EDD6EB7224BB}" presName="hierChild5" presStyleCnt="0"/>
      <dgm:spPr/>
    </dgm:pt>
    <dgm:pt modelId="{C58F17CA-8825-4626-A6B7-E7C094E5AF5B}" type="pres">
      <dgm:prSet presAssocID="{C44738DB-7485-4CDC-B61E-16C8697D7254}" presName="Name35" presStyleLbl="parChTrans1D4" presStyleIdx="6" presStyleCnt="7"/>
      <dgm:spPr/>
    </dgm:pt>
    <dgm:pt modelId="{E79CD580-947C-41DC-97C9-098ED9C28B94}" type="pres">
      <dgm:prSet presAssocID="{E721092F-FDA0-41CD-B5B2-9A407AC82AFB}" presName="hierRoot2" presStyleCnt="0">
        <dgm:presLayoutVars>
          <dgm:hierBranch val="init"/>
        </dgm:presLayoutVars>
      </dgm:prSet>
      <dgm:spPr/>
    </dgm:pt>
    <dgm:pt modelId="{D9EF50DB-B5EC-4EF0-AB46-FA85238404FA}" type="pres">
      <dgm:prSet presAssocID="{E721092F-FDA0-41CD-B5B2-9A407AC82AFB}" presName="rootComposite" presStyleCnt="0"/>
      <dgm:spPr/>
    </dgm:pt>
    <dgm:pt modelId="{AADA8437-AB16-41D4-BA50-D35E72C14255}" type="pres">
      <dgm:prSet presAssocID="{E721092F-FDA0-41CD-B5B2-9A407AC82AFB}" presName="rootText" presStyleLbl="node4" presStyleIdx="6" presStyleCnt="7">
        <dgm:presLayoutVars>
          <dgm:chPref val="3"/>
        </dgm:presLayoutVars>
      </dgm:prSet>
      <dgm:spPr/>
    </dgm:pt>
    <dgm:pt modelId="{DEBA06D8-2824-4D1C-B072-8AB341DFE630}" type="pres">
      <dgm:prSet presAssocID="{E721092F-FDA0-41CD-B5B2-9A407AC82AFB}" presName="rootConnector" presStyleLbl="node4" presStyleIdx="6" presStyleCnt="7"/>
      <dgm:spPr/>
    </dgm:pt>
    <dgm:pt modelId="{F5235455-18E2-4BA4-84C9-84CEFBFFEC3E}" type="pres">
      <dgm:prSet presAssocID="{E721092F-FDA0-41CD-B5B2-9A407AC82AFB}" presName="hierChild4" presStyleCnt="0"/>
      <dgm:spPr/>
    </dgm:pt>
    <dgm:pt modelId="{4877BC0F-C782-4A99-9F78-176EB4B34DB3}" type="pres">
      <dgm:prSet presAssocID="{E721092F-FDA0-41CD-B5B2-9A407AC82AFB}" presName="hierChild5" presStyleCnt="0"/>
      <dgm:spPr/>
    </dgm:pt>
    <dgm:pt modelId="{AD5C2BB3-450D-4FE8-8A64-A5FD211B6154}" type="pres">
      <dgm:prSet presAssocID="{038F7370-823C-4BA3-957C-76B74C1E13C0}" presName="hierChild5" presStyleCnt="0"/>
      <dgm:spPr/>
    </dgm:pt>
    <dgm:pt modelId="{CEA4362A-AF6D-423F-8B8D-0EE4D6071B22}" type="pres">
      <dgm:prSet presAssocID="{47C757F0-AA23-46BE-9311-EA432CDEEAA1}" presName="hierChild5" presStyleCnt="0"/>
      <dgm:spPr/>
    </dgm:pt>
    <dgm:pt modelId="{8E9BA135-8CAB-41C7-BF73-CCCCB5D528C5}" type="pres">
      <dgm:prSet presAssocID="{D4DB8080-BF18-46F9-914E-891DA7EE3CE8}" presName="hierChild3" presStyleCnt="0"/>
      <dgm:spPr/>
    </dgm:pt>
  </dgm:ptLst>
  <dgm:cxnLst>
    <dgm:cxn modelId="{DB9CF700-45ED-49C4-90D9-3788F6A290EC}" srcId="{038F7370-823C-4BA3-957C-76B74C1E13C0}" destId="{2659DCC7-6A4F-4144-BC55-58D5AF5F76AF}" srcOrd="2" destOrd="0" parTransId="{C52D8F05-A956-424B-BFB5-D1C904210BA8}" sibTransId="{B3C97DF9-6822-4283-A0AE-F3D2C8E5F9BC}"/>
    <dgm:cxn modelId="{B0417F03-B7F6-49B6-A36E-F9EC580009DD}" type="presOf" srcId="{47C757F0-AA23-46BE-9311-EA432CDEEAA1}" destId="{C5FD5C45-29B1-4F0A-AAA8-09F55C7CD3D3}" srcOrd="0" destOrd="0" presId="urn:microsoft.com/office/officeart/2005/8/layout/orgChart1#2"/>
    <dgm:cxn modelId="{C681950A-4449-46A8-90B6-D40B7309B8D8}" type="presOf" srcId="{A28A005B-24C7-45D3-8E23-AF80EF2C8667}" destId="{88A4D9B1-3E6B-4EFB-A232-39D4E838C816}" srcOrd="0" destOrd="0" presId="urn:microsoft.com/office/officeart/2005/8/layout/orgChart1#2"/>
    <dgm:cxn modelId="{BB99CB23-F656-4A22-87B9-E6C8E3194706}" type="presOf" srcId="{7C8F3D6F-33E4-4628-899B-AA4EC95D4819}" destId="{E93D8C85-10C8-4338-B0A4-A9A72800789F}" srcOrd="0" destOrd="0" presId="urn:microsoft.com/office/officeart/2005/8/layout/orgChart1#2"/>
    <dgm:cxn modelId="{45BBB425-97E2-4C05-B5DB-5FE114F7D49F}" type="presOf" srcId="{E721092F-FDA0-41CD-B5B2-9A407AC82AFB}" destId="{D9EF50DB-B5EC-4EF0-AB46-FA85238404FA}" srcOrd="0" destOrd="0" presId="urn:microsoft.com/office/officeart/2005/8/layout/orgChart1#2"/>
    <dgm:cxn modelId="{28E1372D-EB59-423F-A7C2-D2840121930B}" srcId="{A77D31B3-3808-4FBA-8FA4-CC8D448A173E}" destId="{D4DB8080-BF18-46F9-914E-891DA7EE3CE8}" srcOrd="0" destOrd="0" parTransId="{BC11F66E-9EAB-4D4D-9B1A-AB0A6A3E8A49}" sibTransId="{B1C45B18-0396-47E7-8750-B7D6BCEEEDF1}"/>
    <dgm:cxn modelId="{BDA2EE2F-0151-4A52-9F13-8DD7EFE28C23}" type="presOf" srcId="{F2335893-10A2-4D56-B653-EDD6EB7224BB}" destId="{0627F952-213C-49A4-879F-1A296313DE8A}" srcOrd="0" destOrd="0" presId="urn:microsoft.com/office/officeart/2005/8/layout/orgChart1#2"/>
    <dgm:cxn modelId="{78F3CC31-D98E-4A17-AFDC-645262371584}" type="presOf" srcId="{47C757F0-AA23-46BE-9311-EA432CDEEAA1}" destId="{E99EC1B2-2649-444F-97E7-99F97C534125}" srcOrd="2" destOrd="0" presId="urn:microsoft.com/office/officeart/2005/8/layout/orgChart1#2"/>
    <dgm:cxn modelId="{D7AEC542-E0EE-4257-9400-6EDAAE75015F}" srcId="{038F7370-823C-4BA3-957C-76B74C1E13C0}" destId="{A28A005B-24C7-45D3-8E23-AF80EF2C8667}" srcOrd="0" destOrd="0" parTransId="{80AA4443-E6FD-47C4-8B76-01769741B66D}" sibTransId="{11DA1480-511A-40AD-8A2D-3EB856310C4C}"/>
    <dgm:cxn modelId="{F1346A43-644B-4ED0-BE8A-5834B0A645C8}" type="presOf" srcId="{F6189581-3965-4F63-BB03-AC9C354E133A}" destId="{B01C76B2-423D-417C-B04F-21D287FBBBE8}" srcOrd="2" destOrd="0" presId="urn:microsoft.com/office/officeart/2005/8/layout/orgChart1#2"/>
    <dgm:cxn modelId="{A168C664-E76B-4963-8A5E-8399BE7BDBB7}" type="presOf" srcId="{F2335893-10A2-4D56-B653-EDD6EB7224BB}" destId="{D1D8DBE2-B54E-4B37-88BE-16A85F6E27EB}" srcOrd="2" destOrd="0" presId="urn:microsoft.com/office/officeart/2005/8/layout/orgChart1#2"/>
    <dgm:cxn modelId="{20E7234A-6172-4E21-8867-023A4B32F8CE}" type="presOf" srcId="{A28A005B-24C7-45D3-8E23-AF80EF2C8667}" destId="{A8EA43F0-1412-4974-9969-21E76FC1AFF6}" srcOrd="1" destOrd="0" presId="urn:microsoft.com/office/officeart/2005/8/layout/orgChart1#2"/>
    <dgm:cxn modelId="{0B1F5B4A-D4A3-4F48-9EDF-B8A22774A339}" srcId="{038F7370-823C-4BA3-957C-76B74C1E13C0}" destId="{7C8F3D6F-33E4-4628-899B-AA4EC95D4819}" srcOrd="4" destOrd="0" parTransId="{1CBF4651-EAC6-4DB2-8454-614819F4E564}" sibTransId="{A26B3FAF-B154-4598-A661-F77EE3F646D0}"/>
    <dgm:cxn modelId="{A944E26A-0800-4F73-A087-7AB4D17D53B0}" type="presOf" srcId="{C52D8F05-A956-424B-BFB5-D1C904210BA8}" destId="{566B04C6-D361-4ABB-8411-374659B7A426}" srcOrd="0" destOrd="0" presId="urn:microsoft.com/office/officeart/2005/8/layout/orgChart1#2"/>
    <dgm:cxn modelId="{E524BF6B-DC07-44AB-AFBE-D42A45D29BB5}" type="presOf" srcId="{47C757F0-AA23-46BE-9311-EA432CDEEAA1}" destId="{4F313537-711D-4E90-AC2F-1293DB22AEFC}" srcOrd="1" destOrd="0" presId="urn:microsoft.com/office/officeart/2005/8/layout/orgChart1#2"/>
    <dgm:cxn modelId="{86EFF66B-ADD0-4240-AE05-DDE0208129D3}" srcId="{D4DB8080-BF18-46F9-914E-891DA7EE3CE8}" destId="{47C757F0-AA23-46BE-9311-EA432CDEEAA1}" srcOrd="0" destOrd="0" parTransId="{AB39B06D-FE6C-48B2-B5B4-77CD0C8CF7AD}" sibTransId="{DF0D1C21-B79E-4875-B7FA-EF183CB48B88}"/>
    <dgm:cxn modelId="{9E408E73-E18F-400C-A750-809D06DF8652}" type="presOf" srcId="{AB39B06D-FE6C-48B2-B5B4-77CD0C8CF7AD}" destId="{520D8E41-6A18-4A1A-B736-084E94AE52CF}" srcOrd="0" destOrd="0" presId="urn:microsoft.com/office/officeart/2005/8/layout/orgChart1#2"/>
    <dgm:cxn modelId="{279FBD76-FA30-4436-8FB7-53B9D8A10394}" type="presOf" srcId="{E721092F-FDA0-41CD-B5B2-9A407AC82AFB}" destId="{DEBA06D8-2824-4D1C-B072-8AB341DFE630}" srcOrd="2" destOrd="0" presId="urn:microsoft.com/office/officeart/2005/8/layout/orgChart1#2"/>
    <dgm:cxn modelId="{82C24D7A-21B4-4D44-8E09-887EC44BDF0A}" srcId="{038F7370-823C-4BA3-957C-76B74C1E13C0}" destId="{E721092F-FDA0-41CD-B5B2-9A407AC82AFB}" srcOrd="6" destOrd="0" parTransId="{C44738DB-7485-4CDC-B61E-16C8697D7254}" sibTransId="{A43E700C-0749-462E-B5F6-FBD4115F52B2}"/>
    <dgm:cxn modelId="{87D3B583-94EA-4258-A1FB-8613B81F6364}" type="presOf" srcId="{D98B4EFF-AC4B-4CB6-B0AF-EC1358EAC204}" destId="{EA174B30-A9F4-4593-8CDD-983277FAE01F}" srcOrd="0" destOrd="0" presId="urn:microsoft.com/office/officeart/2005/8/layout/orgChart1#2"/>
    <dgm:cxn modelId="{6AA2BE83-12FD-4F25-92A8-3DBF25C84FEC}" type="presOf" srcId="{C44738DB-7485-4CDC-B61E-16C8697D7254}" destId="{C58F17CA-8825-4626-A6B7-E7C094E5AF5B}" srcOrd="0" destOrd="0" presId="urn:microsoft.com/office/officeart/2005/8/layout/orgChart1#2"/>
    <dgm:cxn modelId="{BF75F484-F959-4DC4-9601-F4CF7293255C}" type="presOf" srcId="{DDDF17B6-4880-480D-BE1A-45E0EFEC4C51}" destId="{A7169207-4774-4460-8261-3A5E6C26367F}" srcOrd="0" destOrd="0" presId="urn:microsoft.com/office/officeart/2005/8/layout/orgChart1#2"/>
    <dgm:cxn modelId="{183A0A8C-02B5-407F-A3AD-20161B7188EA}" srcId="{038F7370-823C-4BA3-957C-76B74C1E13C0}" destId="{F6189581-3965-4F63-BB03-AC9C354E133A}" srcOrd="1" destOrd="0" parTransId="{D98B4EFF-AC4B-4CB6-B0AF-EC1358EAC204}" sibTransId="{2C8BFE9C-A79F-4E86-86D6-3BC65F138382}"/>
    <dgm:cxn modelId="{F0232E8E-79F9-4D7C-9342-FE9044CCA2B0}" type="presOf" srcId="{038F7370-823C-4BA3-957C-76B74C1E13C0}" destId="{09E6C6DC-6711-429D-BFF2-CFF65AEE764F}" srcOrd="1" destOrd="0" presId="urn:microsoft.com/office/officeart/2005/8/layout/orgChart1#2"/>
    <dgm:cxn modelId="{C362D194-A3F0-441E-AC01-B347BE65C38C}" type="presOf" srcId="{038F7370-823C-4BA3-957C-76B74C1E13C0}" destId="{B0A92391-ADC2-44EC-8F10-045613A73D90}" srcOrd="0" destOrd="0" presId="urn:microsoft.com/office/officeart/2005/8/layout/orgChart1#2"/>
    <dgm:cxn modelId="{E04A619B-1E4F-47CD-981C-1972E347A1B8}" type="presOf" srcId="{5AF5ADFB-E7E4-4F5A-9737-FB54B190F72C}" destId="{C7B955B4-AFC3-40A3-A8EF-B4F4FBB07AE6}" srcOrd="0" destOrd="0" presId="urn:microsoft.com/office/officeart/2005/8/layout/orgChart1#2"/>
    <dgm:cxn modelId="{96CE659C-295C-452C-8367-EA46904F256A}" type="presOf" srcId="{F2335893-10A2-4D56-B653-EDD6EB7224BB}" destId="{B6C20806-61AF-41E3-AFAA-B5CEBEFE8567}" srcOrd="1" destOrd="0" presId="urn:microsoft.com/office/officeart/2005/8/layout/orgChart1#2"/>
    <dgm:cxn modelId="{F149DFA1-8017-4A30-964A-A9909B3CF97F}" type="presOf" srcId="{D4DB8080-BF18-46F9-914E-891DA7EE3CE8}" destId="{2EE19359-8834-43DA-AD2F-2EF687AD4135}" srcOrd="0" destOrd="0" presId="urn:microsoft.com/office/officeart/2005/8/layout/orgChart1#2"/>
    <dgm:cxn modelId="{020EBEA3-EFE5-4E92-8DC3-A3D51AFE4973}" type="presOf" srcId="{7C8F3D6F-33E4-4628-899B-AA4EC95D4819}" destId="{AEDE2EE1-B25F-47BC-A5F2-17A6D96734CF}" srcOrd="1" destOrd="0" presId="urn:microsoft.com/office/officeart/2005/8/layout/orgChart1#2"/>
    <dgm:cxn modelId="{CD6511A4-2923-4B2D-99F9-38D8B7A36DB1}" type="presOf" srcId="{038F7370-823C-4BA3-957C-76B74C1E13C0}" destId="{FAE981DF-221D-4820-B57E-B3F6FDF04489}" srcOrd="2" destOrd="0" presId="urn:microsoft.com/office/officeart/2005/8/layout/orgChart1#2"/>
    <dgm:cxn modelId="{7E324EAE-1890-4A27-BD71-A8E89364756C}" type="presOf" srcId="{2659DCC7-6A4F-4144-BC55-58D5AF5F76AF}" destId="{CB3F7C3B-87B9-4AF7-83D1-2D4F22F3A677}" srcOrd="0" destOrd="0" presId="urn:microsoft.com/office/officeart/2005/8/layout/orgChart1#2"/>
    <dgm:cxn modelId="{3B0737AF-54DA-49B7-B5E4-9F9A09233EDD}" type="presOf" srcId="{2659DCC7-6A4F-4144-BC55-58D5AF5F76AF}" destId="{5E60A862-64B9-44E0-BB8C-0E3194CCABD5}" srcOrd="2" destOrd="0" presId="urn:microsoft.com/office/officeart/2005/8/layout/orgChart1#2"/>
    <dgm:cxn modelId="{6A8885B0-EE6C-4905-A501-5B4BC280FA94}" type="presOf" srcId="{E721092F-FDA0-41CD-B5B2-9A407AC82AFB}" destId="{AADA8437-AB16-41D4-BA50-D35E72C14255}" srcOrd="1" destOrd="0" presId="urn:microsoft.com/office/officeart/2005/8/layout/orgChart1#2"/>
    <dgm:cxn modelId="{2DAFB1BC-184E-430D-B1B0-F21CEE78BEC1}" type="presOf" srcId="{A28A005B-24C7-45D3-8E23-AF80EF2C8667}" destId="{620844EF-DE81-441F-BAF0-F2D3EF22ACDE}" srcOrd="2" destOrd="0" presId="urn:microsoft.com/office/officeart/2005/8/layout/orgChart1#2"/>
    <dgm:cxn modelId="{A95010BE-1866-4272-9EF1-6AFC69174D17}" type="presOf" srcId="{F6189581-3965-4F63-BB03-AC9C354E133A}" destId="{67C3F5C7-8F49-42EB-A0B0-9F364281E1CF}" srcOrd="0" destOrd="0" presId="urn:microsoft.com/office/officeart/2005/8/layout/orgChart1#2"/>
    <dgm:cxn modelId="{0CF56CBF-F911-488A-806C-F66925439A11}" type="presOf" srcId="{27AE2A84-043C-47E4-9F76-EF4AFF8BED0D}" destId="{4BD9941B-A042-4B95-B1A8-6429D831C634}" srcOrd="2" destOrd="0" presId="urn:microsoft.com/office/officeart/2005/8/layout/orgChart1#2"/>
    <dgm:cxn modelId="{5C15D7C2-9DD9-41B6-94B5-E111E21AF18C}" type="presOf" srcId="{2659DCC7-6A4F-4144-BC55-58D5AF5F76AF}" destId="{E114033E-2914-4A5A-87BC-39D5E9885BC8}" srcOrd="1" destOrd="0" presId="urn:microsoft.com/office/officeart/2005/8/layout/orgChart1#2"/>
    <dgm:cxn modelId="{FE307BC5-23D4-4403-BC4B-A03D41C9E34F}" type="presOf" srcId="{27AE2A84-043C-47E4-9F76-EF4AFF8BED0D}" destId="{60518649-A13B-41CD-8EDC-BA0342D4EDF2}" srcOrd="1" destOrd="0" presId="urn:microsoft.com/office/officeart/2005/8/layout/orgChart1#2"/>
    <dgm:cxn modelId="{CA981BC7-BF23-4435-BE06-929D6A7ED296}" type="presOf" srcId="{D4DB8080-BF18-46F9-914E-891DA7EE3CE8}" destId="{548429D0-4959-45CE-9F1B-55D8B5528792}" srcOrd="1" destOrd="0" presId="urn:microsoft.com/office/officeart/2005/8/layout/orgChart1#2"/>
    <dgm:cxn modelId="{566AAAC8-0C38-4628-AD28-AB4D0B78D42F}" type="presOf" srcId="{7C8F3D6F-33E4-4628-899B-AA4EC95D4819}" destId="{442DDA63-7C85-4323-A69C-F76861049D27}" srcOrd="2" destOrd="0" presId="urn:microsoft.com/office/officeart/2005/8/layout/orgChart1#2"/>
    <dgm:cxn modelId="{A1E5E6C9-99B4-45D6-BED1-C9E99A4F2E9D}" type="presOf" srcId="{80AA4443-E6FD-47C4-8B76-01769741B66D}" destId="{C4AFDE71-B4A8-4973-8E5B-D1AD186CCD79}" srcOrd="0" destOrd="0" presId="urn:microsoft.com/office/officeart/2005/8/layout/orgChart1#2"/>
    <dgm:cxn modelId="{38DA10CF-09E5-49FA-8F67-434C29F23EBE}" type="presOf" srcId="{14142E90-8E49-4AE8-A3F7-093826BB5621}" destId="{892F8B8A-E0E4-45ED-8F57-7A7AFE1AE828}" srcOrd="0" destOrd="0" presId="urn:microsoft.com/office/officeart/2005/8/layout/orgChart1#2"/>
    <dgm:cxn modelId="{132794CF-FA51-4B28-8831-FEECC535212B}" srcId="{038F7370-823C-4BA3-957C-76B74C1E13C0}" destId="{F2335893-10A2-4D56-B653-EDD6EB7224BB}" srcOrd="5" destOrd="0" parTransId="{5AF5ADFB-E7E4-4F5A-9737-FB54B190F72C}" sibTransId="{8957F72D-BB97-44F3-8786-EB49B9D9D927}"/>
    <dgm:cxn modelId="{283FD0D0-35DA-4E24-8DE8-6CEDCD30417C}" type="presOf" srcId="{A77D31B3-3808-4FBA-8FA4-CC8D448A173E}" destId="{E498DC9C-C5AC-4482-A26F-3B99DC5D79F0}" srcOrd="0" destOrd="0" presId="urn:microsoft.com/office/officeart/2005/8/layout/orgChart1#2"/>
    <dgm:cxn modelId="{A21623D2-3A36-411F-8B01-E797970556F1}" type="presOf" srcId="{D4DB8080-BF18-46F9-914E-891DA7EE3CE8}" destId="{FE1027BA-E880-4B94-A74D-A4B319508BAB}" srcOrd="2" destOrd="0" presId="urn:microsoft.com/office/officeart/2005/8/layout/orgChart1#2"/>
    <dgm:cxn modelId="{F0B25ED8-A051-48D3-BE95-92E7FD86EAE9}" type="presOf" srcId="{27AE2A84-043C-47E4-9F76-EF4AFF8BED0D}" destId="{61699661-6872-47E0-82D2-68752E87F3BF}" srcOrd="0" destOrd="0" presId="urn:microsoft.com/office/officeart/2005/8/layout/orgChart1#2"/>
    <dgm:cxn modelId="{A278E6DD-2291-45E1-974E-07F41135AB24}" srcId="{47C757F0-AA23-46BE-9311-EA432CDEEAA1}" destId="{038F7370-823C-4BA3-957C-76B74C1E13C0}" srcOrd="0" destOrd="0" parTransId="{DDDF17B6-4880-480D-BE1A-45E0EFEC4C51}" sibTransId="{F0251358-80BE-4707-8088-5E4BDD6C349F}"/>
    <dgm:cxn modelId="{E0E140F4-572C-4904-A451-B1F717A0438C}" type="presOf" srcId="{1CBF4651-EAC6-4DB2-8454-614819F4E564}" destId="{ACF6B2DC-195F-4D2A-B4FA-A88FBE380472}" srcOrd="0" destOrd="0" presId="urn:microsoft.com/office/officeart/2005/8/layout/orgChart1#2"/>
    <dgm:cxn modelId="{35875FFD-378E-45B0-81D3-077F8213F6C1}" srcId="{038F7370-823C-4BA3-957C-76B74C1E13C0}" destId="{27AE2A84-043C-47E4-9F76-EF4AFF8BED0D}" srcOrd="3" destOrd="0" parTransId="{14142E90-8E49-4AE8-A3F7-093826BB5621}" sibTransId="{008F6839-6787-4954-8D7D-728A4C616851}"/>
    <dgm:cxn modelId="{1E4587FD-5825-4B19-9992-9643B350356C}" type="presOf" srcId="{F6189581-3965-4F63-BB03-AC9C354E133A}" destId="{130444B1-E42E-4B9B-8EC7-3F6DBA6992F6}" srcOrd="1" destOrd="0" presId="urn:microsoft.com/office/officeart/2005/8/layout/orgChart1#2"/>
    <dgm:cxn modelId="{23750639-F4BA-4C6A-B08B-8A8EE501AEAB}" type="presParOf" srcId="{E498DC9C-C5AC-4482-A26F-3B99DC5D79F0}" destId="{25ADC70F-A7E9-405B-878B-58F5E373D3E0}" srcOrd="0" destOrd="0" presId="urn:microsoft.com/office/officeart/2005/8/layout/orgChart1#2"/>
    <dgm:cxn modelId="{796B13CB-0ED8-4301-B7DA-FE4CEA87B782}" type="presParOf" srcId="{25ADC70F-A7E9-405B-878B-58F5E373D3E0}" destId="{2EE19359-8834-43DA-AD2F-2EF687AD4135}" srcOrd="0" destOrd="0" presId="urn:microsoft.com/office/officeart/2005/8/layout/orgChart1#2"/>
    <dgm:cxn modelId="{213B93A1-FC9B-496F-AA82-1F5FC0620068}" type="presParOf" srcId="{2EE19359-8834-43DA-AD2F-2EF687AD4135}" destId="{548429D0-4959-45CE-9F1B-55D8B5528792}" srcOrd="0" destOrd="0" presId="urn:microsoft.com/office/officeart/2005/8/layout/orgChart1#2"/>
    <dgm:cxn modelId="{53E5B956-E05A-4ACB-B488-B9FACB288364}" type="presParOf" srcId="{2EE19359-8834-43DA-AD2F-2EF687AD4135}" destId="{FE1027BA-E880-4B94-A74D-A4B319508BAB}" srcOrd="1" destOrd="0" presId="urn:microsoft.com/office/officeart/2005/8/layout/orgChart1#2"/>
    <dgm:cxn modelId="{91859740-6190-4306-A25F-C130DA2D4180}" type="presParOf" srcId="{25ADC70F-A7E9-405B-878B-58F5E373D3E0}" destId="{36630B76-8CAA-496E-8BB0-6F9D391C33CA}" srcOrd="1" destOrd="0" presId="urn:microsoft.com/office/officeart/2005/8/layout/orgChart1#2"/>
    <dgm:cxn modelId="{79A69268-BEF1-4F76-9C3E-8EA0E7CFAC67}" type="presParOf" srcId="{36630B76-8CAA-496E-8BB0-6F9D391C33CA}" destId="{520D8E41-6A18-4A1A-B736-084E94AE52CF}" srcOrd="0" destOrd="0" presId="urn:microsoft.com/office/officeart/2005/8/layout/orgChart1#2"/>
    <dgm:cxn modelId="{79E509E4-D3FF-418E-A6BC-35E579F18CA3}" type="presParOf" srcId="{36630B76-8CAA-496E-8BB0-6F9D391C33CA}" destId="{77F41637-9AF4-4F1F-AA02-DC8FDAB3C82B}" srcOrd="1" destOrd="0" presId="urn:microsoft.com/office/officeart/2005/8/layout/orgChart1#2"/>
    <dgm:cxn modelId="{B63A08B4-CC09-44EE-9CCE-8DE29DF3ED4C}" type="presParOf" srcId="{77F41637-9AF4-4F1F-AA02-DC8FDAB3C82B}" destId="{C5FD5C45-29B1-4F0A-AAA8-09F55C7CD3D3}" srcOrd="0" destOrd="0" presId="urn:microsoft.com/office/officeart/2005/8/layout/orgChart1#2"/>
    <dgm:cxn modelId="{512F9DBA-1328-46A6-B52A-D6D4766C2A00}" type="presParOf" srcId="{C5FD5C45-29B1-4F0A-AAA8-09F55C7CD3D3}" destId="{4F313537-711D-4E90-AC2F-1293DB22AEFC}" srcOrd="0" destOrd="0" presId="urn:microsoft.com/office/officeart/2005/8/layout/orgChart1#2"/>
    <dgm:cxn modelId="{1B20E783-8EA8-43B7-8C25-081CF1D5D089}" type="presParOf" srcId="{C5FD5C45-29B1-4F0A-AAA8-09F55C7CD3D3}" destId="{E99EC1B2-2649-444F-97E7-99F97C534125}" srcOrd="1" destOrd="0" presId="urn:microsoft.com/office/officeart/2005/8/layout/orgChart1#2"/>
    <dgm:cxn modelId="{EABC7C46-EF8C-4377-8ED9-A0753EB227BB}" type="presParOf" srcId="{77F41637-9AF4-4F1F-AA02-DC8FDAB3C82B}" destId="{F0165290-5938-41E5-9E43-F598B83B13C2}" srcOrd="1" destOrd="0" presId="urn:microsoft.com/office/officeart/2005/8/layout/orgChart1#2"/>
    <dgm:cxn modelId="{6CC58697-E88C-4430-838B-BC51F46ECDFE}" type="presParOf" srcId="{F0165290-5938-41E5-9E43-F598B83B13C2}" destId="{A7169207-4774-4460-8261-3A5E6C26367F}" srcOrd="0" destOrd="0" presId="urn:microsoft.com/office/officeart/2005/8/layout/orgChart1#2"/>
    <dgm:cxn modelId="{B90C1755-1714-4AFE-BE19-8AF1329C2B44}" type="presParOf" srcId="{F0165290-5938-41E5-9E43-F598B83B13C2}" destId="{7C4FDB6E-BE14-456A-9640-38816894E4FF}" srcOrd="1" destOrd="0" presId="urn:microsoft.com/office/officeart/2005/8/layout/orgChart1#2"/>
    <dgm:cxn modelId="{CC2D4ED9-3A86-4959-9AF6-C8A94468A2FF}" type="presParOf" srcId="{7C4FDB6E-BE14-456A-9640-38816894E4FF}" destId="{B0A92391-ADC2-44EC-8F10-045613A73D90}" srcOrd="0" destOrd="0" presId="urn:microsoft.com/office/officeart/2005/8/layout/orgChart1#2"/>
    <dgm:cxn modelId="{FB79B7F6-709B-4552-A40A-690DE915658F}" type="presParOf" srcId="{B0A92391-ADC2-44EC-8F10-045613A73D90}" destId="{09E6C6DC-6711-429D-BFF2-CFF65AEE764F}" srcOrd="0" destOrd="0" presId="urn:microsoft.com/office/officeart/2005/8/layout/orgChart1#2"/>
    <dgm:cxn modelId="{C33A6A0B-67EC-4441-B0EE-8B30F4810B6B}" type="presParOf" srcId="{B0A92391-ADC2-44EC-8F10-045613A73D90}" destId="{FAE981DF-221D-4820-B57E-B3F6FDF04489}" srcOrd="1" destOrd="0" presId="urn:microsoft.com/office/officeart/2005/8/layout/orgChart1#2"/>
    <dgm:cxn modelId="{6F20D1A8-8B99-4FEC-B69F-ADB1357ADE9E}" type="presParOf" srcId="{7C4FDB6E-BE14-456A-9640-38816894E4FF}" destId="{6F7E435B-7C43-4BC8-868C-21D13121BE13}" srcOrd="1" destOrd="0" presId="urn:microsoft.com/office/officeart/2005/8/layout/orgChart1#2"/>
    <dgm:cxn modelId="{CA3B73F8-36B3-420D-A49B-7361B45B8D68}" type="presParOf" srcId="{6F7E435B-7C43-4BC8-868C-21D13121BE13}" destId="{C4AFDE71-B4A8-4973-8E5B-D1AD186CCD79}" srcOrd="0" destOrd="0" presId="urn:microsoft.com/office/officeart/2005/8/layout/orgChart1#2"/>
    <dgm:cxn modelId="{236ECBD9-AD7E-4070-BB67-1F0034EE594B}" type="presParOf" srcId="{6F7E435B-7C43-4BC8-868C-21D13121BE13}" destId="{DE0E98AC-CA8B-479B-A887-660B1ADCEF2F}" srcOrd="1" destOrd="0" presId="urn:microsoft.com/office/officeart/2005/8/layout/orgChart1#2"/>
    <dgm:cxn modelId="{FE4B32E5-CD4F-4562-A323-F9311680B2DC}" type="presParOf" srcId="{DE0E98AC-CA8B-479B-A887-660B1ADCEF2F}" destId="{88A4D9B1-3E6B-4EFB-A232-39D4E838C816}" srcOrd="0" destOrd="0" presId="urn:microsoft.com/office/officeart/2005/8/layout/orgChart1#2"/>
    <dgm:cxn modelId="{88591BDE-BCC3-48CB-83CB-D3F72F2C0845}" type="presParOf" srcId="{88A4D9B1-3E6B-4EFB-A232-39D4E838C816}" destId="{A8EA43F0-1412-4974-9969-21E76FC1AFF6}" srcOrd="0" destOrd="0" presId="urn:microsoft.com/office/officeart/2005/8/layout/orgChart1#2"/>
    <dgm:cxn modelId="{E50A1972-818E-4510-8D95-2FA9D1D083B2}" type="presParOf" srcId="{88A4D9B1-3E6B-4EFB-A232-39D4E838C816}" destId="{620844EF-DE81-441F-BAF0-F2D3EF22ACDE}" srcOrd="1" destOrd="0" presId="urn:microsoft.com/office/officeart/2005/8/layout/orgChart1#2"/>
    <dgm:cxn modelId="{B8CBDE69-036E-413A-B925-99135F017473}" type="presParOf" srcId="{DE0E98AC-CA8B-479B-A887-660B1ADCEF2F}" destId="{4C8A2C59-4D76-4228-AD49-F5BA2994CA92}" srcOrd="1" destOrd="0" presId="urn:microsoft.com/office/officeart/2005/8/layout/orgChart1#2"/>
    <dgm:cxn modelId="{5A021706-0C54-4EF6-B474-B29044FA79AD}" type="presParOf" srcId="{DE0E98AC-CA8B-479B-A887-660B1ADCEF2F}" destId="{120B5259-E867-403F-8090-B4620428BF3E}" srcOrd="2" destOrd="0" presId="urn:microsoft.com/office/officeart/2005/8/layout/orgChart1#2"/>
    <dgm:cxn modelId="{2D4CE5A7-86F9-4796-8F16-63E70C2511D6}" type="presParOf" srcId="{6F7E435B-7C43-4BC8-868C-21D13121BE13}" destId="{EA174B30-A9F4-4593-8CDD-983277FAE01F}" srcOrd="2" destOrd="0" presId="urn:microsoft.com/office/officeart/2005/8/layout/orgChart1#2"/>
    <dgm:cxn modelId="{1FFBD202-EBF5-475D-9D28-B39C45AF9003}" type="presParOf" srcId="{6F7E435B-7C43-4BC8-868C-21D13121BE13}" destId="{0E7343C2-97A0-43F8-A275-BF99E33A44B6}" srcOrd="3" destOrd="0" presId="urn:microsoft.com/office/officeart/2005/8/layout/orgChart1#2"/>
    <dgm:cxn modelId="{3AF72E6A-A75F-4A3A-B1A7-C37A2BD21FEB}" type="presParOf" srcId="{0E7343C2-97A0-43F8-A275-BF99E33A44B6}" destId="{67C3F5C7-8F49-42EB-A0B0-9F364281E1CF}" srcOrd="0" destOrd="0" presId="urn:microsoft.com/office/officeart/2005/8/layout/orgChart1#2"/>
    <dgm:cxn modelId="{3B3EA090-29B7-4041-AFB5-740B4190215A}" type="presParOf" srcId="{67C3F5C7-8F49-42EB-A0B0-9F364281E1CF}" destId="{130444B1-E42E-4B9B-8EC7-3F6DBA6992F6}" srcOrd="0" destOrd="0" presId="urn:microsoft.com/office/officeart/2005/8/layout/orgChart1#2"/>
    <dgm:cxn modelId="{EE8A5929-D9D0-4FCE-A52B-0E0D8CB42086}" type="presParOf" srcId="{67C3F5C7-8F49-42EB-A0B0-9F364281E1CF}" destId="{B01C76B2-423D-417C-B04F-21D287FBBBE8}" srcOrd="1" destOrd="0" presId="urn:microsoft.com/office/officeart/2005/8/layout/orgChart1#2"/>
    <dgm:cxn modelId="{39699F52-405D-4101-90D9-2184793BA5B0}" type="presParOf" srcId="{0E7343C2-97A0-43F8-A275-BF99E33A44B6}" destId="{531ECFF1-69B1-4A6E-9A83-117D70F0A465}" srcOrd="1" destOrd="0" presId="urn:microsoft.com/office/officeart/2005/8/layout/orgChart1#2"/>
    <dgm:cxn modelId="{0506897B-9B5F-4A0A-AA17-7D7C971E33D3}" type="presParOf" srcId="{0E7343C2-97A0-43F8-A275-BF99E33A44B6}" destId="{16C37085-9609-49B3-8A9C-B1536CDB0FCB}" srcOrd="2" destOrd="0" presId="urn:microsoft.com/office/officeart/2005/8/layout/orgChart1#2"/>
    <dgm:cxn modelId="{96345129-7EA8-47A0-A609-601A043B681D}" type="presParOf" srcId="{6F7E435B-7C43-4BC8-868C-21D13121BE13}" destId="{566B04C6-D361-4ABB-8411-374659B7A426}" srcOrd="4" destOrd="0" presId="urn:microsoft.com/office/officeart/2005/8/layout/orgChart1#2"/>
    <dgm:cxn modelId="{8476CC24-C508-4C36-9164-E1A724EE87D0}" type="presParOf" srcId="{6F7E435B-7C43-4BC8-868C-21D13121BE13}" destId="{2C5631F1-996C-4601-93F5-7E903CABCB49}" srcOrd="5" destOrd="0" presId="urn:microsoft.com/office/officeart/2005/8/layout/orgChart1#2"/>
    <dgm:cxn modelId="{5F747B7E-CF08-42B4-A189-622E692D6736}" type="presParOf" srcId="{2C5631F1-996C-4601-93F5-7E903CABCB49}" destId="{CB3F7C3B-87B9-4AF7-83D1-2D4F22F3A677}" srcOrd="0" destOrd="0" presId="urn:microsoft.com/office/officeart/2005/8/layout/orgChart1#2"/>
    <dgm:cxn modelId="{15B30E1D-C60A-41E5-97C1-4021D06B921B}" type="presParOf" srcId="{CB3F7C3B-87B9-4AF7-83D1-2D4F22F3A677}" destId="{E114033E-2914-4A5A-87BC-39D5E9885BC8}" srcOrd="0" destOrd="0" presId="urn:microsoft.com/office/officeart/2005/8/layout/orgChart1#2"/>
    <dgm:cxn modelId="{60DC4DD2-60A4-485F-871B-45CB27B34EC0}" type="presParOf" srcId="{CB3F7C3B-87B9-4AF7-83D1-2D4F22F3A677}" destId="{5E60A862-64B9-44E0-BB8C-0E3194CCABD5}" srcOrd="1" destOrd="0" presId="urn:microsoft.com/office/officeart/2005/8/layout/orgChart1#2"/>
    <dgm:cxn modelId="{06E66CE5-6F1E-4CB4-A033-0625869DDE64}" type="presParOf" srcId="{2C5631F1-996C-4601-93F5-7E903CABCB49}" destId="{00769896-AFCA-4B11-B12D-965CCB72FA4C}" srcOrd="1" destOrd="0" presId="urn:microsoft.com/office/officeart/2005/8/layout/orgChart1#2"/>
    <dgm:cxn modelId="{15C7F139-FB03-4FA8-A43B-4FEB7121BFEF}" type="presParOf" srcId="{2C5631F1-996C-4601-93F5-7E903CABCB49}" destId="{6612E4B0-8C6D-4240-9EF8-69074953CCA3}" srcOrd="2" destOrd="0" presId="urn:microsoft.com/office/officeart/2005/8/layout/orgChart1#2"/>
    <dgm:cxn modelId="{E24EDE4E-E82F-4A02-8784-235E75DD173F}" type="presParOf" srcId="{6F7E435B-7C43-4BC8-868C-21D13121BE13}" destId="{892F8B8A-E0E4-45ED-8F57-7A7AFE1AE828}" srcOrd="6" destOrd="0" presId="urn:microsoft.com/office/officeart/2005/8/layout/orgChart1#2"/>
    <dgm:cxn modelId="{181AE3C4-C5EE-4542-97CC-D21C35D5991E}" type="presParOf" srcId="{6F7E435B-7C43-4BC8-868C-21D13121BE13}" destId="{BB56CABD-46DE-49FD-B562-2F8A6E5453FF}" srcOrd="7" destOrd="0" presId="urn:microsoft.com/office/officeart/2005/8/layout/orgChart1#2"/>
    <dgm:cxn modelId="{D784D3DD-8C47-4477-8F29-E2F7F97A3764}" type="presParOf" srcId="{BB56CABD-46DE-49FD-B562-2F8A6E5453FF}" destId="{61699661-6872-47E0-82D2-68752E87F3BF}" srcOrd="0" destOrd="0" presId="urn:microsoft.com/office/officeart/2005/8/layout/orgChart1#2"/>
    <dgm:cxn modelId="{C22D7B3A-4D15-40AE-A1E2-A4A0573524F3}" type="presParOf" srcId="{61699661-6872-47E0-82D2-68752E87F3BF}" destId="{60518649-A13B-41CD-8EDC-BA0342D4EDF2}" srcOrd="0" destOrd="0" presId="urn:microsoft.com/office/officeart/2005/8/layout/orgChart1#2"/>
    <dgm:cxn modelId="{F98838BA-7E34-4D18-8F06-9814CA58E169}" type="presParOf" srcId="{61699661-6872-47E0-82D2-68752E87F3BF}" destId="{4BD9941B-A042-4B95-B1A8-6429D831C634}" srcOrd="1" destOrd="0" presId="urn:microsoft.com/office/officeart/2005/8/layout/orgChart1#2"/>
    <dgm:cxn modelId="{37AAB506-507D-4212-B1C5-5EA44FFBE6CC}" type="presParOf" srcId="{BB56CABD-46DE-49FD-B562-2F8A6E5453FF}" destId="{0BD6F597-8F39-4CCD-AA9B-5D6668CEAA73}" srcOrd="1" destOrd="0" presId="urn:microsoft.com/office/officeart/2005/8/layout/orgChart1#2"/>
    <dgm:cxn modelId="{AFABD336-762B-44C2-95FA-32748316C0F0}" type="presParOf" srcId="{BB56CABD-46DE-49FD-B562-2F8A6E5453FF}" destId="{20C7A246-69FF-44F6-838F-E7CB2C8522B5}" srcOrd="2" destOrd="0" presId="urn:microsoft.com/office/officeart/2005/8/layout/orgChart1#2"/>
    <dgm:cxn modelId="{6BF38B72-FD6F-4F28-89F7-48A19444E291}" type="presParOf" srcId="{6F7E435B-7C43-4BC8-868C-21D13121BE13}" destId="{ACF6B2DC-195F-4D2A-B4FA-A88FBE380472}" srcOrd="8" destOrd="0" presId="urn:microsoft.com/office/officeart/2005/8/layout/orgChart1#2"/>
    <dgm:cxn modelId="{BBC79EA6-5D20-495F-96E6-3B0B1C05D89A}" type="presParOf" srcId="{6F7E435B-7C43-4BC8-868C-21D13121BE13}" destId="{25EB0CE7-A564-4C40-A218-FFEEC85D2312}" srcOrd="9" destOrd="0" presId="urn:microsoft.com/office/officeart/2005/8/layout/orgChart1#2"/>
    <dgm:cxn modelId="{03B4542E-2A1C-45B0-8758-3BB4CC1B0171}" type="presParOf" srcId="{25EB0CE7-A564-4C40-A218-FFEEC85D2312}" destId="{E93D8C85-10C8-4338-B0A4-A9A72800789F}" srcOrd="0" destOrd="0" presId="urn:microsoft.com/office/officeart/2005/8/layout/orgChart1#2"/>
    <dgm:cxn modelId="{99E36B4D-50AF-4439-A882-D82F38DCC6EE}" type="presParOf" srcId="{E93D8C85-10C8-4338-B0A4-A9A72800789F}" destId="{AEDE2EE1-B25F-47BC-A5F2-17A6D96734CF}" srcOrd="0" destOrd="0" presId="urn:microsoft.com/office/officeart/2005/8/layout/orgChart1#2"/>
    <dgm:cxn modelId="{AA8AFC1C-3629-44AD-8997-EF96EDB29638}" type="presParOf" srcId="{E93D8C85-10C8-4338-B0A4-A9A72800789F}" destId="{442DDA63-7C85-4323-A69C-F76861049D27}" srcOrd="1" destOrd="0" presId="urn:microsoft.com/office/officeart/2005/8/layout/orgChart1#2"/>
    <dgm:cxn modelId="{D08E365E-8F4A-4BB0-A646-3592D1022263}" type="presParOf" srcId="{25EB0CE7-A564-4C40-A218-FFEEC85D2312}" destId="{2CE91C0A-5F64-4AB2-8B54-0D2985237E6E}" srcOrd="1" destOrd="0" presId="urn:microsoft.com/office/officeart/2005/8/layout/orgChart1#2"/>
    <dgm:cxn modelId="{D7C02F7C-28C3-479C-8AA1-384AAD5780FF}" type="presParOf" srcId="{25EB0CE7-A564-4C40-A218-FFEEC85D2312}" destId="{FD3EE63D-8F88-40CA-8DD0-C201F996ED66}" srcOrd="2" destOrd="0" presId="urn:microsoft.com/office/officeart/2005/8/layout/orgChart1#2"/>
    <dgm:cxn modelId="{CC40BECA-3EAF-4268-B3C5-2F74050647B1}" type="presParOf" srcId="{6F7E435B-7C43-4BC8-868C-21D13121BE13}" destId="{C7B955B4-AFC3-40A3-A8EF-B4F4FBB07AE6}" srcOrd="10" destOrd="0" presId="urn:microsoft.com/office/officeart/2005/8/layout/orgChart1#2"/>
    <dgm:cxn modelId="{259F8D15-0691-4860-9C72-4634019F03E6}" type="presParOf" srcId="{6F7E435B-7C43-4BC8-868C-21D13121BE13}" destId="{268F46C9-5789-449C-B139-0E73F137502C}" srcOrd="11" destOrd="0" presId="urn:microsoft.com/office/officeart/2005/8/layout/orgChart1#2"/>
    <dgm:cxn modelId="{CD4869E7-EFB2-4E1D-A11F-3AB5E780F1B3}" type="presParOf" srcId="{268F46C9-5789-449C-B139-0E73F137502C}" destId="{0627F952-213C-49A4-879F-1A296313DE8A}" srcOrd="0" destOrd="0" presId="urn:microsoft.com/office/officeart/2005/8/layout/orgChart1#2"/>
    <dgm:cxn modelId="{C30F44F7-2C42-43A3-97B6-C175B8EAFD50}" type="presParOf" srcId="{0627F952-213C-49A4-879F-1A296313DE8A}" destId="{B6C20806-61AF-41E3-AFAA-B5CEBEFE8567}" srcOrd="0" destOrd="0" presId="urn:microsoft.com/office/officeart/2005/8/layout/orgChart1#2"/>
    <dgm:cxn modelId="{850D3E89-D74A-4864-B483-CF2A9A4C9197}" type="presParOf" srcId="{0627F952-213C-49A4-879F-1A296313DE8A}" destId="{D1D8DBE2-B54E-4B37-88BE-16A85F6E27EB}" srcOrd="1" destOrd="0" presId="urn:microsoft.com/office/officeart/2005/8/layout/orgChart1#2"/>
    <dgm:cxn modelId="{AF1F15CC-C1EF-47A4-88AA-899598130FBC}" type="presParOf" srcId="{268F46C9-5789-449C-B139-0E73F137502C}" destId="{EAD08414-2D6A-465D-9623-940B69C44727}" srcOrd="1" destOrd="0" presId="urn:microsoft.com/office/officeart/2005/8/layout/orgChart1#2"/>
    <dgm:cxn modelId="{3DB1AD0C-ACED-4633-81CD-AA230200AA88}" type="presParOf" srcId="{268F46C9-5789-449C-B139-0E73F137502C}" destId="{9B0B38F5-A836-4D37-B9D5-6ED188A2B58D}" srcOrd="2" destOrd="0" presId="urn:microsoft.com/office/officeart/2005/8/layout/orgChart1#2"/>
    <dgm:cxn modelId="{5A6B105A-4317-4FC9-A24C-2C40DAAFD8D7}" type="presParOf" srcId="{6F7E435B-7C43-4BC8-868C-21D13121BE13}" destId="{C58F17CA-8825-4626-A6B7-E7C094E5AF5B}" srcOrd="12" destOrd="0" presId="urn:microsoft.com/office/officeart/2005/8/layout/orgChart1#2"/>
    <dgm:cxn modelId="{F61359F0-9665-4B4F-86D0-CF9FCE1CCF83}" type="presParOf" srcId="{6F7E435B-7C43-4BC8-868C-21D13121BE13}" destId="{E79CD580-947C-41DC-97C9-098ED9C28B94}" srcOrd="13" destOrd="0" presId="urn:microsoft.com/office/officeart/2005/8/layout/orgChart1#2"/>
    <dgm:cxn modelId="{AC5BD0D4-6EC2-4EA3-9C0C-A11B81C56184}" type="presParOf" srcId="{E79CD580-947C-41DC-97C9-098ED9C28B94}" destId="{D9EF50DB-B5EC-4EF0-AB46-FA85238404FA}" srcOrd="0" destOrd="0" presId="urn:microsoft.com/office/officeart/2005/8/layout/orgChart1#2"/>
    <dgm:cxn modelId="{2CAE9496-27FA-4638-8F65-2B792241C9A3}" type="presParOf" srcId="{D9EF50DB-B5EC-4EF0-AB46-FA85238404FA}" destId="{AADA8437-AB16-41D4-BA50-D35E72C14255}" srcOrd="0" destOrd="0" presId="urn:microsoft.com/office/officeart/2005/8/layout/orgChart1#2"/>
    <dgm:cxn modelId="{3CAB3C65-F447-4788-A08A-695DB3AA766E}" type="presParOf" srcId="{D9EF50DB-B5EC-4EF0-AB46-FA85238404FA}" destId="{DEBA06D8-2824-4D1C-B072-8AB341DFE630}" srcOrd="1" destOrd="0" presId="urn:microsoft.com/office/officeart/2005/8/layout/orgChart1#2"/>
    <dgm:cxn modelId="{0177A928-E8A7-4294-ABA2-584577A3C8F2}" type="presParOf" srcId="{E79CD580-947C-41DC-97C9-098ED9C28B94}" destId="{F5235455-18E2-4BA4-84C9-84CEFBFFEC3E}" srcOrd="1" destOrd="0" presId="urn:microsoft.com/office/officeart/2005/8/layout/orgChart1#2"/>
    <dgm:cxn modelId="{FA1468D7-E0B4-46D7-916E-6108EE7D509A}" type="presParOf" srcId="{E79CD580-947C-41DC-97C9-098ED9C28B94}" destId="{4877BC0F-C782-4A99-9F78-176EB4B34DB3}" srcOrd="2" destOrd="0" presId="urn:microsoft.com/office/officeart/2005/8/layout/orgChart1#2"/>
    <dgm:cxn modelId="{C713AA2E-D02E-42CB-B784-36C09CF441A8}" type="presParOf" srcId="{7C4FDB6E-BE14-456A-9640-38816894E4FF}" destId="{AD5C2BB3-450D-4FE8-8A64-A5FD211B6154}" srcOrd="2" destOrd="0" presId="urn:microsoft.com/office/officeart/2005/8/layout/orgChart1#2"/>
    <dgm:cxn modelId="{3061EFA7-F7D0-41AB-94D2-74C8E0B3E753}" type="presParOf" srcId="{77F41637-9AF4-4F1F-AA02-DC8FDAB3C82B}" destId="{CEA4362A-AF6D-423F-8B8D-0EE4D6071B22}" srcOrd="2" destOrd="0" presId="urn:microsoft.com/office/officeart/2005/8/layout/orgChart1#2"/>
    <dgm:cxn modelId="{AFA84C11-E892-4E77-B738-BF38212798A3}" type="presParOf" srcId="{25ADC70F-A7E9-405B-878B-58F5E373D3E0}" destId="{8E9BA135-8CAB-41C7-BF73-CCCCB5D528C5}" srcOrd="2" destOrd="0" presId="urn:microsoft.com/office/officeart/2005/8/layout/orgChart1#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3" loCatId="hierarchy" qsTypeId="urn:microsoft.com/office/officeart/2005/8/quickstyle/simple1#3" qsCatId="simple" csTypeId="urn:microsoft.com/office/officeart/2005/8/colors/accent1_2#3" csCatId="accent1" phldr="0"/>
      <dgm:spPr/>
      <dgm:t>
        <a:bodyPr/>
        <a:p>
          <a:endParaRPr lang="zh-CN" altLang="en-US"/>
        </a:p>
      </dgm:t>
    </dgm:pt>
    <dgm:pt modelId="{D4DB8080-BF18-46F9-914E-891DA7EE3CE8}">
      <dgm:prSet phldr="0" custT="1"/>
      <dgm:spPr/>
      <dgm:t>
        <a:bodyPr vert="horz" wrap="square"/>
        <a:p>
          <a:pPr>
            <a:lnSpc>
              <a:spcPct val="100000"/>
            </a:lnSpc>
            <a:spcBef>
              <a:spcPct val="0"/>
            </a:spcBef>
            <a:spcAft>
              <a:spcPct val="35000"/>
            </a:spcAft>
          </a:pPr>
          <a:r>
            <a:rPr lang="zh-CN" sz="950" b="1"/>
            <a:t>执行董事</a:t>
          </a:r>
        </a:p>
      </dgm:t>
    </dgm:pt>
    <dgm:pt modelId="{BC11F66E-9EAB-4D4D-9B1A-AB0A6A3E8A49}" cxnId="{5914BC03-28D8-47D6-A665-5377A4AE76D2}" type="parTrans">
      <dgm:prSet/>
      <dgm:spPr/>
    </dgm:pt>
    <dgm:pt modelId="{B1C45B18-0396-47E7-8750-B7D6BCEEEDF1}" cxnId="{5914BC03-28D8-47D6-A665-5377A4AE76D2}" type="sibTrans">
      <dgm:prSet/>
      <dgm:spPr/>
    </dgm:pt>
    <dgm:pt modelId="{47C757F0-AA23-46BE-9311-EA432CDEEAA1}">
      <dgm:prSet phldrT="[文本]" phldr="0" custT="1"/>
      <dgm:spPr/>
      <dgm:t>
        <a:bodyPr vert="horz" wrap="square"/>
        <a:p>
          <a:pPr>
            <a:lnSpc>
              <a:spcPct val="100000"/>
            </a:lnSpc>
            <a:spcBef>
              <a:spcPct val="0"/>
            </a:spcBef>
            <a:spcAft>
              <a:spcPct val="35000"/>
            </a:spcAft>
          </a:pPr>
          <a:r>
            <a:rPr lang="en-US" altLang="zh-CN" sz="850" b="1"/>
            <a:t> </a:t>
          </a:r>
          <a:r>
            <a:rPr lang="zh-CN" altLang="en-US" sz="850" b="1"/>
            <a:t>副经理（主持经理层工作）</a:t>
          </a:r>
          <a:r>
            <a:rPr lang="en-US" altLang="zh-CN" sz="850" b="1"/>
            <a:t>  </a:t>
          </a:r>
        </a:p>
      </dgm:t>
    </dgm:pt>
    <dgm:pt modelId="{AB39B06D-FE6C-48B2-B5B4-77CD0C8CF7AD}" cxnId="{9BE9D876-FB5B-4A8F-BD2A-F8786D5B923A}" type="parTrans">
      <dgm:prSet/>
      <dgm:spPr/>
      <dgm:t>
        <a:bodyPr/>
        <a:p>
          <a:endParaRPr lang="zh-CN" altLang="en-US"/>
        </a:p>
      </dgm:t>
    </dgm:pt>
    <dgm:pt modelId="{DF0D1C21-B79E-4875-B7FA-EF183CB48B88}" cxnId="{9BE9D876-FB5B-4A8F-BD2A-F8786D5B923A}" type="sibTrans">
      <dgm:prSet/>
      <dgm:spPr/>
      <dgm:t>
        <a:bodyPr/>
        <a:p>
          <a:endParaRPr lang="zh-CN" altLang="en-US"/>
        </a:p>
      </dgm:t>
    </dgm:pt>
    <dgm:pt modelId="{C4E64C92-08D2-412B-A175-D1DD34277B69}">
      <dgm:prSet phldr="0" custT="1"/>
      <dgm:spPr/>
      <dgm:t>
        <a:bodyPr vert="horz" wrap="square"/>
        <a:p>
          <a:pPr>
            <a:lnSpc>
              <a:spcPct val="100000"/>
            </a:lnSpc>
            <a:spcBef>
              <a:spcPct val="0"/>
            </a:spcBef>
            <a:spcAft>
              <a:spcPct val="35000"/>
            </a:spcAft>
          </a:pPr>
          <a:r>
            <a:rPr lang="zh-CN" sz="950" b="1"/>
            <a:t>安全生产管理部</a:t>
          </a:r>
        </a:p>
      </dgm:t>
    </dgm:pt>
    <dgm:pt modelId="{AB1A0457-64BD-4FA6-A350-5CB92D360A39}" cxnId="{E1C0AC24-458A-4C85-A7B3-0B401604F79D}" type="parTrans">
      <dgm:prSet/>
      <dgm:spPr/>
    </dgm:pt>
    <dgm:pt modelId="{4DEE0D4B-1669-461A-9D25-61361BE560A7}" cxnId="{E1C0AC24-458A-4C85-A7B3-0B401604F79D}" type="sibTrans">
      <dgm:prSet/>
      <dgm:spPr/>
    </dgm:pt>
    <dgm:pt modelId="{3010D83A-3B63-4080-867D-9B7BA91410ED}">
      <dgm:prSet phldr="0" custT="1"/>
      <dgm:spPr/>
      <dgm:t>
        <a:bodyPr vert="horz" wrap="square"/>
        <a:p>
          <a:pPr>
            <a:lnSpc>
              <a:spcPct val="100000"/>
            </a:lnSpc>
            <a:spcBef>
              <a:spcPct val="0"/>
            </a:spcBef>
            <a:spcAft>
              <a:spcPct val="35000"/>
            </a:spcAft>
          </a:pPr>
          <a:r>
            <a:rPr lang="zh-CN" sz="950" b="1"/>
            <a:t>栖凤湖</a:t>
          </a:r>
        </a:p>
      </dgm:t>
    </dgm:pt>
    <dgm:pt modelId="{0C3E7F82-E77D-4018-835F-F5E74EF48574}" cxnId="{D7F17950-58F6-4E7C-8656-87BBA31AA987}" type="parTrans">
      <dgm:prSet/>
      <dgm:spPr/>
    </dgm:pt>
    <dgm:pt modelId="{6D393857-5CA7-422D-923B-FD5C71747250}" cxnId="{D7F17950-58F6-4E7C-8656-87BBA31AA987}" type="sibTrans">
      <dgm:prSet/>
      <dgm:spPr/>
    </dgm:pt>
    <dgm:pt modelId="{038F7370-823C-4BA3-957C-76B74C1E13C0}">
      <dgm:prSet phldr="0" custT="1"/>
      <dgm:spPr/>
      <dgm:t>
        <a:bodyPr vert="horz" wrap="square"/>
        <a:p>
          <a:pPr>
            <a:lnSpc>
              <a:spcPct val="100000"/>
            </a:lnSpc>
            <a:spcBef>
              <a:spcPct val="0"/>
            </a:spcBef>
            <a:spcAft>
              <a:spcPct val="35000"/>
            </a:spcAft>
          </a:pPr>
          <a:r>
            <a:rPr lang="zh-CN" sz="950" b="1"/>
            <a:t>运营管理部</a:t>
          </a:r>
        </a:p>
      </dgm:t>
    </dgm:pt>
    <dgm:pt modelId="{DDDF17B6-4880-480D-BE1A-45E0EFEC4C51}" cxnId="{5B2A4236-6120-4FA3-B815-8703D8702F22}" type="parTrans">
      <dgm:prSet/>
      <dgm:spPr/>
    </dgm:pt>
    <dgm:pt modelId="{F0251358-80BE-4707-8088-5E4BDD6C349F}" cxnId="{5B2A4236-6120-4FA3-B815-8703D8702F22}" type="sibTrans">
      <dgm:prSet/>
      <dgm:spPr/>
    </dgm:pt>
    <dgm:pt modelId="{A28A005B-24C7-45D3-8E23-AF80EF2C8667}">
      <dgm:prSet phldr="0" custT="1"/>
      <dgm:spPr/>
      <dgm:t>
        <a:bodyPr vert="horz" wrap="square"/>
        <a:p>
          <a:pPr>
            <a:lnSpc>
              <a:spcPct val="100000"/>
            </a:lnSpc>
            <a:spcBef>
              <a:spcPct val="0"/>
            </a:spcBef>
            <a:spcAft>
              <a:spcPct val="35000"/>
            </a:spcAft>
          </a:pPr>
          <a:r>
            <a:rPr lang="zh-CN" sz="950" b="1"/>
            <a:t>嘉陵广场</a:t>
          </a:r>
        </a:p>
      </dgm:t>
    </dgm:pt>
    <dgm:pt modelId="{80AA4443-E6FD-47C4-8B76-01769741B66D}" cxnId="{44127648-338B-46A3-A26F-2C9415419DA3}" type="parTrans">
      <dgm:prSet/>
      <dgm:spPr/>
    </dgm:pt>
    <dgm:pt modelId="{11DA1480-511A-40AD-8A2D-3EB856310C4C}" cxnId="{44127648-338B-46A3-A26F-2C9415419DA3}" type="sibTrans">
      <dgm:prSet/>
      <dgm:spPr/>
    </dgm:pt>
    <dgm:pt modelId="{F6189581-3965-4F63-BB03-AC9C354E133A}">
      <dgm:prSet phldr="0" custT="1"/>
      <dgm:spPr/>
      <dgm:t>
        <a:bodyPr vert="horz" wrap="square"/>
        <a:p>
          <a:pPr>
            <a:lnSpc>
              <a:spcPct val="100000"/>
            </a:lnSpc>
            <a:spcBef>
              <a:spcPct val="0"/>
            </a:spcBef>
            <a:spcAft>
              <a:spcPct val="35000"/>
            </a:spcAft>
          </a:pPr>
          <a:r>
            <a:rPr lang="zh-CN" sz="950" b="1"/>
            <a:t>南河广场</a:t>
          </a:r>
        </a:p>
      </dgm:t>
    </dgm:pt>
    <dgm:pt modelId="{D98B4EFF-AC4B-4CB6-B0AF-EC1358EAC204}" cxnId="{3DED1C7A-ABE2-4AAD-ACE8-A57E1FCCDF98}" type="parTrans">
      <dgm:prSet/>
      <dgm:spPr/>
    </dgm:pt>
    <dgm:pt modelId="{2C8BFE9C-A79F-4E86-86D6-3BC65F138382}" cxnId="{3DED1C7A-ABE2-4AAD-ACE8-A57E1FCCDF98}" type="sibTrans">
      <dgm:prSet/>
      <dgm:spPr/>
    </dgm:pt>
    <dgm:pt modelId="{2659DCC7-6A4F-4144-BC55-58D5AF5F76AF}">
      <dgm:prSet phldr="0" custT="1"/>
      <dgm:spPr/>
      <dgm:t>
        <a:bodyPr vert="horz" wrap="square"/>
        <a:p>
          <a:pPr>
            <a:lnSpc>
              <a:spcPct val="100000"/>
            </a:lnSpc>
            <a:spcBef>
              <a:spcPct val="0"/>
            </a:spcBef>
            <a:spcAft>
              <a:spcPct val="35000"/>
            </a:spcAft>
          </a:pPr>
          <a:r>
            <a:rPr lang="zh-CN" sz="950" b="1"/>
            <a:t>苴国广场</a:t>
          </a:r>
        </a:p>
      </dgm:t>
    </dgm:pt>
    <dgm:pt modelId="{C52D8F05-A956-424B-BFB5-D1C904210BA8}" cxnId="{543F40EE-B02A-445E-95DB-A32BD467FDD0}" type="parTrans">
      <dgm:prSet/>
      <dgm:spPr/>
    </dgm:pt>
    <dgm:pt modelId="{B3C97DF9-6822-4283-A0AE-F3D2C8E5F9BC}" cxnId="{543F40EE-B02A-445E-95DB-A32BD467FDD0}" type="sibTrans">
      <dgm:prSet/>
      <dgm:spPr/>
    </dgm:pt>
    <dgm:pt modelId="{27AE2A84-043C-47E4-9F76-EF4AFF8BED0D}">
      <dgm:prSet phldr="0" custT="1"/>
      <dgm:spPr/>
      <dgm:t>
        <a:bodyPr vert="horz" wrap="square"/>
        <a:p>
          <a:pPr>
            <a:lnSpc>
              <a:spcPct val="100000"/>
            </a:lnSpc>
            <a:spcBef>
              <a:spcPct val="0"/>
            </a:spcBef>
            <a:spcAft>
              <a:spcPct val="35000"/>
            </a:spcAft>
          </a:pPr>
          <a:r>
            <a:rPr lang="zh-CN" sz="950" b="1"/>
            <a:t>利州广场</a:t>
          </a:r>
        </a:p>
      </dgm:t>
    </dgm:pt>
    <dgm:pt modelId="{14142E90-8E49-4AE8-A3F7-093826BB5621}" cxnId="{B6139193-806F-41B9-BBB3-6FE5D2B9DC2E}" type="parTrans">
      <dgm:prSet/>
      <dgm:spPr/>
    </dgm:pt>
    <dgm:pt modelId="{008F6839-6787-4954-8D7D-728A4C616851}" cxnId="{B6139193-806F-41B9-BBB3-6FE5D2B9DC2E}" type="sibTrans">
      <dgm:prSet/>
      <dgm:spPr/>
    </dgm:pt>
    <dgm:pt modelId="{7C8F3D6F-33E4-4628-899B-AA4EC95D4819}">
      <dgm:prSet phldr="0" custT="1"/>
      <dgm:spPr/>
      <dgm:t>
        <a:bodyPr vert="horz" wrap="square"/>
        <a:p>
          <a:pPr>
            <a:lnSpc>
              <a:spcPct val="100000"/>
            </a:lnSpc>
            <a:spcBef>
              <a:spcPct val="0"/>
            </a:spcBef>
            <a:spcAft>
              <a:spcPct val="35000"/>
            </a:spcAft>
          </a:pPr>
          <a:r>
            <a:rPr lang="zh-CN" sz="950" b="1"/>
            <a:t>红星公园</a:t>
          </a:r>
        </a:p>
      </dgm:t>
    </dgm:pt>
    <dgm:pt modelId="{1CBF4651-EAC6-4DB2-8454-614819F4E564}" cxnId="{8D0E7E93-5AB9-468F-9A06-83E69BF3BC8C}" type="parTrans">
      <dgm:prSet/>
      <dgm:spPr/>
    </dgm:pt>
    <dgm:pt modelId="{A26B3FAF-B154-4598-A661-F77EE3F646D0}" cxnId="{8D0E7E93-5AB9-468F-9A06-83E69BF3BC8C}" type="sibTrans">
      <dgm:prSet/>
      <dgm:spPr/>
    </dgm:pt>
    <dgm:pt modelId="{F2335893-10A2-4D56-B653-EDD6EB7224BB}">
      <dgm:prSet phldr="0" custT="1"/>
      <dgm:spPr/>
      <dgm:t>
        <a:bodyPr vert="horz" wrap="square"/>
        <a:p>
          <a:pPr>
            <a:lnSpc>
              <a:spcPct val="100000"/>
            </a:lnSpc>
            <a:spcBef>
              <a:spcPct val="0"/>
            </a:spcBef>
            <a:spcAft>
              <a:spcPct val="35000"/>
            </a:spcAft>
          </a:pPr>
          <a:r>
            <a:rPr lang="zh-CN" sz="950" b="1"/>
            <a:t>湿地公园</a:t>
          </a:r>
        </a:p>
      </dgm:t>
    </dgm:pt>
    <dgm:pt modelId="{5AF5ADFB-E7E4-4F5A-9737-FB54B190F72C}" cxnId="{A1556D68-0304-4DD4-80BC-9B94F8B453E0}" type="parTrans">
      <dgm:prSet/>
      <dgm:spPr/>
    </dgm:pt>
    <dgm:pt modelId="{8957F72D-BB97-44F3-8786-EB49B9D9D927}" cxnId="{A1556D68-0304-4DD4-80BC-9B94F8B453E0}" type="sibTrans">
      <dgm:prSet/>
      <dgm:spPr/>
    </dgm:pt>
    <dgm:pt modelId="{E721092F-FDA0-41CD-B5B2-9A407AC82AFB}">
      <dgm:prSet phldr="0" custT="1"/>
      <dgm:spPr/>
      <dgm:t>
        <a:bodyPr vert="horz" wrap="square"/>
        <a:p>
          <a:pPr>
            <a:lnSpc>
              <a:spcPct val="100000"/>
            </a:lnSpc>
            <a:spcBef>
              <a:spcPct val="0"/>
            </a:spcBef>
            <a:spcAft>
              <a:spcPct val="35000"/>
            </a:spcAft>
          </a:pPr>
          <a:r>
            <a:rPr lang="zh-CN" sz="950" b="1"/>
            <a:t>凤凰山公园</a:t>
          </a:r>
        </a:p>
      </dgm:t>
    </dgm:pt>
    <dgm:pt modelId="{C44738DB-7485-4CDC-B61E-16C8697D7254}" cxnId="{816A705E-24F0-434C-8EFB-885BA75EE72E}" type="parTrans">
      <dgm:prSet/>
      <dgm:spPr/>
    </dgm:pt>
    <dgm:pt modelId="{A43E700C-0749-462E-B5F6-FBD4115F52B2}" cxnId="{816A705E-24F0-434C-8EFB-885BA75EE72E}" type="sibTrans">
      <dgm:prSet/>
      <dgm:spPr/>
    </dgm:pt>
    <dgm:pt modelId="{E498DC9C-C5AC-4482-A26F-3B99DC5D79F0}" type="pres">
      <dgm:prSet presAssocID="{A77D31B3-3808-4FBA-8FA4-CC8D448A173E}" presName="hierChild1" presStyleCnt="0">
        <dgm:presLayoutVars>
          <dgm:orgChart val="1"/>
          <dgm:chPref val="1"/>
          <dgm:dir val="rev"/>
          <dgm:animOne val="branch"/>
          <dgm:animLvl val="lvl"/>
          <dgm:resizeHandles/>
        </dgm:presLayoutVars>
      </dgm:prSet>
      <dgm:spPr/>
    </dgm:pt>
    <dgm:pt modelId="{25ADC70F-A7E9-405B-878B-58F5E373D3E0}" type="pres">
      <dgm:prSet presAssocID="{D4DB8080-BF18-46F9-914E-891DA7EE3CE8}" presName="hierRoot1" presStyleCnt="0">
        <dgm:presLayoutVars>
          <dgm:hierBranch val="init"/>
        </dgm:presLayoutVars>
      </dgm:prSet>
      <dgm:spPr/>
    </dgm:pt>
    <dgm:pt modelId="{2EE19359-8834-43DA-AD2F-2EF687AD4135}" type="pres">
      <dgm:prSet presAssocID="{D4DB8080-BF18-46F9-914E-891DA7EE3CE8}" presName="rootComposite1" presStyleCnt="0"/>
      <dgm:spPr/>
    </dgm:pt>
    <dgm:pt modelId="{548429D0-4959-45CE-9F1B-55D8B5528792}" type="pres">
      <dgm:prSet presAssocID="{D4DB8080-BF18-46F9-914E-891DA7EE3CE8}" presName="rootText1" presStyleLbl="node0" presStyleIdx="0" presStyleCnt="1">
        <dgm:presLayoutVars>
          <dgm:chPref val="3"/>
        </dgm:presLayoutVars>
      </dgm:prSet>
      <dgm:spPr/>
    </dgm:pt>
    <dgm:pt modelId="{FE1027BA-E880-4B94-A74D-A4B319508BAB}" type="pres">
      <dgm:prSet presAssocID="{D4DB8080-BF18-46F9-914E-891DA7EE3CE8}" presName="rootConnector1" presStyleLbl="node1" presStyleIdx="0" presStyleCnt="0"/>
      <dgm:spPr/>
    </dgm:pt>
    <dgm:pt modelId="{36630B76-8CAA-496E-8BB0-6F9D391C33CA}" type="pres">
      <dgm:prSet presAssocID="{D4DB8080-BF18-46F9-914E-891DA7EE3CE8}" presName="hierChild2" presStyleCnt="0"/>
      <dgm:spPr/>
    </dgm:pt>
    <dgm:pt modelId="{520D8E41-6A18-4A1A-B736-084E94AE52CF}" type="pres">
      <dgm:prSet presAssocID="{AB39B06D-FE6C-48B2-B5B4-77CD0C8CF7AD}" presName="Name37" presStyleLbl="parChTrans1D2" presStyleIdx="0" presStyleCnt="1"/>
      <dgm:spPr/>
    </dgm:pt>
    <dgm:pt modelId="{77F41637-9AF4-4F1F-AA02-DC8FDAB3C82B}" type="pres">
      <dgm:prSet presAssocID="{47C757F0-AA23-46BE-9311-EA432CDEEAA1}" presName="hierRoot2" presStyleCnt="0">
        <dgm:presLayoutVars>
          <dgm:hierBranch/>
        </dgm:presLayoutVars>
      </dgm:prSet>
      <dgm:spPr/>
    </dgm:pt>
    <dgm:pt modelId="{C5FD5C45-29B1-4F0A-AAA8-09F55C7CD3D3}" type="pres">
      <dgm:prSet presAssocID="{47C757F0-AA23-46BE-9311-EA432CDEEAA1}" presName="rootComposite" presStyleCnt="0"/>
      <dgm:spPr/>
    </dgm:pt>
    <dgm:pt modelId="{4F313537-711D-4E90-AC2F-1293DB22AEFC}" type="pres">
      <dgm:prSet presAssocID="{47C757F0-AA23-46BE-9311-EA432CDEEAA1}" presName="rootText" presStyleLbl="node2" presStyleIdx="0" presStyleCnt="1">
        <dgm:presLayoutVars>
          <dgm:chPref val="3"/>
        </dgm:presLayoutVars>
      </dgm:prSet>
      <dgm:spPr/>
    </dgm:pt>
    <dgm:pt modelId="{E99EC1B2-2649-444F-97E7-99F97C534125}" type="pres">
      <dgm:prSet presAssocID="{47C757F0-AA23-46BE-9311-EA432CDEEAA1}" presName="rootConnector" presStyleLbl="node2" presStyleIdx="0" presStyleCnt="1"/>
      <dgm:spPr/>
    </dgm:pt>
    <dgm:pt modelId="{F0165290-5938-41E5-9E43-F598B83B13C2}" type="pres">
      <dgm:prSet presAssocID="{47C757F0-AA23-46BE-9311-EA432CDEEAA1}" presName="hierChild4" presStyleCnt="0"/>
      <dgm:spPr/>
    </dgm:pt>
    <dgm:pt modelId="{72F512DA-A652-45EB-940E-B64BC575F582}" type="pres">
      <dgm:prSet presAssocID="{AB1A0457-64BD-4FA6-A350-5CB92D360A39}" presName="Name35" presStyleLbl="parChTrans1D3" presStyleIdx="0" presStyleCnt="2"/>
      <dgm:spPr/>
    </dgm:pt>
    <dgm:pt modelId="{53B553A2-4EE3-46B5-B7E9-13453C98946D}" type="pres">
      <dgm:prSet presAssocID="{C4E64C92-08D2-412B-A175-D1DD34277B69}" presName="hierRoot2" presStyleCnt="0">
        <dgm:presLayoutVars>
          <dgm:hierBranch val="init"/>
        </dgm:presLayoutVars>
      </dgm:prSet>
      <dgm:spPr/>
    </dgm:pt>
    <dgm:pt modelId="{AF8D35DD-E656-4E19-A1D0-5DDEE6C8220F}" type="pres">
      <dgm:prSet presAssocID="{C4E64C92-08D2-412B-A175-D1DD34277B69}" presName="rootComposite" presStyleCnt="0"/>
      <dgm:spPr/>
    </dgm:pt>
    <dgm:pt modelId="{DF8299FE-0B92-4372-83F3-B8E9DBB13052}" type="pres">
      <dgm:prSet presAssocID="{C4E64C92-08D2-412B-A175-D1DD34277B69}" presName="rootText" presStyleLbl="node3" presStyleIdx="0" presStyleCnt="2">
        <dgm:presLayoutVars>
          <dgm:chPref val="3"/>
        </dgm:presLayoutVars>
      </dgm:prSet>
      <dgm:spPr/>
    </dgm:pt>
    <dgm:pt modelId="{29F174FA-6C92-4918-A851-C205CAFA8C74}" type="pres">
      <dgm:prSet presAssocID="{C4E64C92-08D2-412B-A175-D1DD34277B69}" presName="rootConnector" presStyleLbl="node3" presStyleIdx="0" presStyleCnt="2"/>
      <dgm:spPr/>
    </dgm:pt>
    <dgm:pt modelId="{2DEB5E9B-9FC5-4061-9CDA-E172029EE448}" type="pres">
      <dgm:prSet presAssocID="{C4E64C92-08D2-412B-A175-D1DD34277B69}" presName="hierChild4" presStyleCnt="0"/>
      <dgm:spPr/>
    </dgm:pt>
    <dgm:pt modelId="{C1DA7333-62A7-4207-9BE0-2C478E7622EA}" type="pres">
      <dgm:prSet presAssocID="{0C3E7F82-E77D-4018-835F-F5E74EF48574}" presName="Name37" presStyleLbl="parChTrans1D4" presStyleIdx="0" presStyleCnt="8"/>
      <dgm:spPr/>
    </dgm:pt>
    <dgm:pt modelId="{2165646D-78C8-4F2A-8D13-362A6DCC65CA}" type="pres">
      <dgm:prSet presAssocID="{3010D83A-3B63-4080-867D-9B7BA91410ED}" presName="hierRoot2" presStyleCnt="0">
        <dgm:presLayoutVars>
          <dgm:hierBranch val="init"/>
        </dgm:presLayoutVars>
      </dgm:prSet>
      <dgm:spPr/>
    </dgm:pt>
    <dgm:pt modelId="{6A201310-11AE-4447-867A-DC6B4032AE3A}" type="pres">
      <dgm:prSet presAssocID="{3010D83A-3B63-4080-867D-9B7BA91410ED}" presName="rootComposite" presStyleCnt="0"/>
      <dgm:spPr/>
    </dgm:pt>
    <dgm:pt modelId="{7604AAF8-707E-48E0-BE7F-6F0E26DA3997}" type="pres">
      <dgm:prSet presAssocID="{3010D83A-3B63-4080-867D-9B7BA91410ED}" presName="rootText" presStyleLbl="node4" presStyleIdx="0" presStyleCnt="8">
        <dgm:presLayoutVars>
          <dgm:chPref val="3"/>
        </dgm:presLayoutVars>
      </dgm:prSet>
      <dgm:spPr/>
    </dgm:pt>
    <dgm:pt modelId="{159E24B9-97EC-4AA2-BFFB-47CB199679BF}" type="pres">
      <dgm:prSet presAssocID="{3010D83A-3B63-4080-867D-9B7BA91410ED}" presName="rootConnector" presStyleLbl="node4" presStyleIdx="0" presStyleCnt="8"/>
      <dgm:spPr/>
    </dgm:pt>
    <dgm:pt modelId="{B43383FF-F4F6-475D-91D4-B98F886D129A}" type="pres">
      <dgm:prSet presAssocID="{3010D83A-3B63-4080-867D-9B7BA91410ED}" presName="hierChild4" presStyleCnt="0"/>
      <dgm:spPr/>
    </dgm:pt>
    <dgm:pt modelId="{19A54954-A5E4-4A67-8C4E-927224CD3349}" type="pres">
      <dgm:prSet presAssocID="{3010D83A-3B63-4080-867D-9B7BA91410ED}" presName="hierChild5" presStyleCnt="0"/>
      <dgm:spPr/>
    </dgm:pt>
    <dgm:pt modelId="{32D1FA3B-444D-4087-AACC-ED605C0EB701}" type="pres">
      <dgm:prSet presAssocID="{C4E64C92-08D2-412B-A175-D1DD34277B69}" presName="hierChild5" presStyleCnt="0"/>
      <dgm:spPr/>
    </dgm:pt>
    <dgm:pt modelId="{A7169207-4774-4460-8261-3A5E6C26367F}" type="pres">
      <dgm:prSet presAssocID="{DDDF17B6-4880-480D-BE1A-45E0EFEC4C51}" presName="Name35" presStyleLbl="parChTrans1D3" presStyleIdx="1" presStyleCnt="2"/>
      <dgm:spPr/>
    </dgm:pt>
    <dgm:pt modelId="{7C4FDB6E-BE14-456A-9640-38816894E4FF}" type="pres">
      <dgm:prSet presAssocID="{038F7370-823C-4BA3-957C-76B74C1E13C0}" presName="hierRoot2" presStyleCnt="0">
        <dgm:presLayoutVars>
          <dgm:hierBranch/>
        </dgm:presLayoutVars>
      </dgm:prSet>
      <dgm:spPr/>
    </dgm:pt>
    <dgm:pt modelId="{B0A92391-ADC2-44EC-8F10-045613A73D90}" type="pres">
      <dgm:prSet presAssocID="{038F7370-823C-4BA3-957C-76B74C1E13C0}" presName="rootComposite" presStyleCnt="0"/>
      <dgm:spPr/>
    </dgm:pt>
    <dgm:pt modelId="{09E6C6DC-6711-429D-BFF2-CFF65AEE764F}" type="pres">
      <dgm:prSet presAssocID="{038F7370-823C-4BA3-957C-76B74C1E13C0}" presName="rootText" presStyleLbl="node3" presStyleIdx="1" presStyleCnt="2">
        <dgm:presLayoutVars>
          <dgm:chPref val="3"/>
        </dgm:presLayoutVars>
      </dgm:prSet>
      <dgm:spPr/>
    </dgm:pt>
    <dgm:pt modelId="{FAE981DF-221D-4820-B57E-B3F6FDF04489}" type="pres">
      <dgm:prSet presAssocID="{038F7370-823C-4BA3-957C-76B74C1E13C0}" presName="rootConnector" presStyleLbl="node3" presStyleIdx="1" presStyleCnt="2"/>
      <dgm:spPr/>
    </dgm:pt>
    <dgm:pt modelId="{6F7E435B-7C43-4BC8-868C-21D13121BE13}" type="pres">
      <dgm:prSet presAssocID="{038F7370-823C-4BA3-957C-76B74C1E13C0}" presName="hierChild4" presStyleCnt="0"/>
      <dgm:spPr/>
    </dgm:pt>
    <dgm:pt modelId="{C4AFDE71-B4A8-4973-8E5B-D1AD186CCD79}" type="pres">
      <dgm:prSet presAssocID="{80AA4443-E6FD-47C4-8B76-01769741B66D}" presName="Name35" presStyleLbl="parChTrans1D4" presStyleIdx="1" presStyleCnt="8"/>
      <dgm:spPr/>
    </dgm:pt>
    <dgm:pt modelId="{DE0E98AC-CA8B-479B-A887-660B1ADCEF2F}" type="pres">
      <dgm:prSet presAssocID="{A28A005B-24C7-45D3-8E23-AF80EF2C8667}" presName="hierRoot2" presStyleCnt="0">
        <dgm:presLayoutVars>
          <dgm:hierBranch val="init"/>
        </dgm:presLayoutVars>
      </dgm:prSet>
      <dgm:spPr/>
    </dgm:pt>
    <dgm:pt modelId="{88A4D9B1-3E6B-4EFB-A232-39D4E838C816}" type="pres">
      <dgm:prSet presAssocID="{A28A005B-24C7-45D3-8E23-AF80EF2C8667}" presName="rootComposite" presStyleCnt="0"/>
      <dgm:spPr/>
    </dgm:pt>
    <dgm:pt modelId="{A8EA43F0-1412-4974-9969-21E76FC1AFF6}" type="pres">
      <dgm:prSet presAssocID="{A28A005B-24C7-45D3-8E23-AF80EF2C8667}" presName="rootText" presStyleLbl="node4" presStyleIdx="1" presStyleCnt="8">
        <dgm:presLayoutVars>
          <dgm:chPref val="3"/>
        </dgm:presLayoutVars>
      </dgm:prSet>
      <dgm:spPr/>
    </dgm:pt>
    <dgm:pt modelId="{620844EF-DE81-441F-BAF0-F2D3EF22ACDE}" type="pres">
      <dgm:prSet presAssocID="{A28A005B-24C7-45D3-8E23-AF80EF2C8667}" presName="rootConnector" presStyleLbl="node4" presStyleIdx="1" presStyleCnt="8"/>
      <dgm:spPr/>
    </dgm:pt>
    <dgm:pt modelId="{4C8A2C59-4D76-4228-AD49-F5BA2994CA92}" type="pres">
      <dgm:prSet presAssocID="{A28A005B-24C7-45D3-8E23-AF80EF2C8667}" presName="hierChild4" presStyleCnt="0"/>
      <dgm:spPr/>
    </dgm:pt>
    <dgm:pt modelId="{120B5259-E867-403F-8090-B4620428BF3E}" type="pres">
      <dgm:prSet presAssocID="{A28A005B-24C7-45D3-8E23-AF80EF2C8667}" presName="hierChild5" presStyleCnt="0"/>
      <dgm:spPr/>
    </dgm:pt>
    <dgm:pt modelId="{EA174B30-A9F4-4593-8CDD-983277FAE01F}" type="pres">
      <dgm:prSet presAssocID="{D98B4EFF-AC4B-4CB6-B0AF-EC1358EAC204}" presName="Name35" presStyleLbl="parChTrans1D4" presStyleIdx="2" presStyleCnt="8"/>
      <dgm:spPr/>
    </dgm:pt>
    <dgm:pt modelId="{0E7343C2-97A0-43F8-A275-BF99E33A44B6}" type="pres">
      <dgm:prSet presAssocID="{F6189581-3965-4F63-BB03-AC9C354E133A}" presName="hierRoot2" presStyleCnt="0">
        <dgm:presLayoutVars>
          <dgm:hierBranch val="init"/>
        </dgm:presLayoutVars>
      </dgm:prSet>
      <dgm:spPr/>
    </dgm:pt>
    <dgm:pt modelId="{67C3F5C7-8F49-42EB-A0B0-9F364281E1CF}" type="pres">
      <dgm:prSet presAssocID="{F6189581-3965-4F63-BB03-AC9C354E133A}" presName="rootComposite" presStyleCnt="0"/>
      <dgm:spPr/>
    </dgm:pt>
    <dgm:pt modelId="{130444B1-E42E-4B9B-8EC7-3F6DBA6992F6}" type="pres">
      <dgm:prSet presAssocID="{F6189581-3965-4F63-BB03-AC9C354E133A}" presName="rootText" presStyleLbl="node4" presStyleIdx="2" presStyleCnt="8">
        <dgm:presLayoutVars>
          <dgm:chPref val="3"/>
        </dgm:presLayoutVars>
      </dgm:prSet>
      <dgm:spPr/>
    </dgm:pt>
    <dgm:pt modelId="{B01C76B2-423D-417C-B04F-21D287FBBBE8}" type="pres">
      <dgm:prSet presAssocID="{F6189581-3965-4F63-BB03-AC9C354E133A}" presName="rootConnector" presStyleLbl="node4" presStyleIdx="2" presStyleCnt="8"/>
      <dgm:spPr/>
    </dgm:pt>
    <dgm:pt modelId="{531ECFF1-69B1-4A6E-9A83-117D70F0A465}" type="pres">
      <dgm:prSet presAssocID="{F6189581-3965-4F63-BB03-AC9C354E133A}" presName="hierChild4" presStyleCnt="0"/>
      <dgm:spPr/>
    </dgm:pt>
    <dgm:pt modelId="{16C37085-9609-49B3-8A9C-B1536CDB0FCB}" type="pres">
      <dgm:prSet presAssocID="{F6189581-3965-4F63-BB03-AC9C354E133A}" presName="hierChild5" presStyleCnt="0"/>
      <dgm:spPr/>
    </dgm:pt>
    <dgm:pt modelId="{566B04C6-D361-4ABB-8411-374659B7A426}" type="pres">
      <dgm:prSet presAssocID="{C52D8F05-A956-424B-BFB5-D1C904210BA8}" presName="Name35" presStyleLbl="parChTrans1D4" presStyleIdx="3" presStyleCnt="8"/>
      <dgm:spPr/>
    </dgm:pt>
    <dgm:pt modelId="{2C5631F1-996C-4601-93F5-7E903CABCB49}" type="pres">
      <dgm:prSet presAssocID="{2659DCC7-6A4F-4144-BC55-58D5AF5F76AF}" presName="hierRoot2" presStyleCnt="0">
        <dgm:presLayoutVars>
          <dgm:hierBranch val="init"/>
        </dgm:presLayoutVars>
      </dgm:prSet>
      <dgm:spPr/>
    </dgm:pt>
    <dgm:pt modelId="{CB3F7C3B-87B9-4AF7-83D1-2D4F22F3A677}" type="pres">
      <dgm:prSet presAssocID="{2659DCC7-6A4F-4144-BC55-58D5AF5F76AF}" presName="rootComposite" presStyleCnt="0"/>
      <dgm:spPr/>
    </dgm:pt>
    <dgm:pt modelId="{E114033E-2914-4A5A-87BC-39D5E9885BC8}" type="pres">
      <dgm:prSet presAssocID="{2659DCC7-6A4F-4144-BC55-58D5AF5F76AF}" presName="rootText" presStyleLbl="node4" presStyleIdx="3" presStyleCnt="8">
        <dgm:presLayoutVars>
          <dgm:chPref val="3"/>
        </dgm:presLayoutVars>
      </dgm:prSet>
      <dgm:spPr/>
    </dgm:pt>
    <dgm:pt modelId="{5E60A862-64B9-44E0-BB8C-0E3194CCABD5}" type="pres">
      <dgm:prSet presAssocID="{2659DCC7-6A4F-4144-BC55-58D5AF5F76AF}" presName="rootConnector" presStyleLbl="node4" presStyleIdx="3" presStyleCnt="8"/>
      <dgm:spPr/>
    </dgm:pt>
    <dgm:pt modelId="{00769896-AFCA-4B11-B12D-965CCB72FA4C}" type="pres">
      <dgm:prSet presAssocID="{2659DCC7-6A4F-4144-BC55-58D5AF5F76AF}" presName="hierChild4" presStyleCnt="0"/>
      <dgm:spPr/>
    </dgm:pt>
    <dgm:pt modelId="{6612E4B0-8C6D-4240-9EF8-69074953CCA3}" type="pres">
      <dgm:prSet presAssocID="{2659DCC7-6A4F-4144-BC55-58D5AF5F76AF}" presName="hierChild5" presStyleCnt="0"/>
      <dgm:spPr/>
    </dgm:pt>
    <dgm:pt modelId="{892F8B8A-E0E4-45ED-8F57-7A7AFE1AE828}" type="pres">
      <dgm:prSet presAssocID="{14142E90-8E49-4AE8-A3F7-093826BB5621}" presName="Name35" presStyleLbl="parChTrans1D4" presStyleIdx="4" presStyleCnt="8"/>
      <dgm:spPr/>
    </dgm:pt>
    <dgm:pt modelId="{BB56CABD-46DE-49FD-B562-2F8A6E5453FF}" type="pres">
      <dgm:prSet presAssocID="{27AE2A84-043C-47E4-9F76-EF4AFF8BED0D}" presName="hierRoot2" presStyleCnt="0">
        <dgm:presLayoutVars>
          <dgm:hierBranch val="init"/>
        </dgm:presLayoutVars>
      </dgm:prSet>
      <dgm:spPr/>
    </dgm:pt>
    <dgm:pt modelId="{61699661-6872-47E0-82D2-68752E87F3BF}" type="pres">
      <dgm:prSet presAssocID="{27AE2A84-043C-47E4-9F76-EF4AFF8BED0D}" presName="rootComposite" presStyleCnt="0"/>
      <dgm:spPr/>
    </dgm:pt>
    <dgm:pt modelId="{60518649-A13B-41CD-8EDC-BA0342D4EDF2}" type="pres">
      <dgm:prSet presAssocID="{27AE2A84-043C-47E4-9F76-EF4AFF8BED0D}" presName="rootText" presStyleLbl="node4" presStyleIdx="4" presStyleCnt="8">
        <dgm:presLayoutVars>
          <dgm:chPref val="3"/>
        </dgm:presLayoutVars>
      </dgm:prSet>
      <dgm:spPr/>
    </dgm:pt>
    <dgm:pt modelId="{4BD9941B-A042-4B95-B1A8-6429D831C634}" type="pres">
      <dgm:prSet presAssocID="{27AE2A84-043C-47E4-9F76-EF4AFF8BED0D}" presName="rootConnector" presStyleLbl="node4" presStyleIdx="4" presStyleCnt="8"/>
      <dgm:spPr/>
    </dgm:pt>
    <dgm:pt modelId="{0BD6F597-8F39-4CCD-AA9B-5D6668CEAA73}" type="pres">
      <dgm:prSet presAssocID="{27AE2A84-043C-47E4-9F76-EF4AFF8BED0D}" presName="hierChild4" presStyleCnt="0"/>
      <dgm:spPr/>
    </dgm:pt>
    <dgm:pt modelId="{20C7A246-69FF-44F6-838F-E7CB2C8522B5}" type="pres">
      <dgm:prSet presAssocID="{27AE2A84-043C-47E4-9F76-EF4AFF8BED0D}" presName="hierChild5" presStyleCnt="0"/>
      <dgm:spPr/>
    </dgm:pt>
    <dgm:pt modelId="{ACF6B2DC-195F-4D2A-B4FA-A88FBE380472}" type="pres">
      <dgm:prSet presAssocID="{1CBF4651-EAC6-4DB2-8454-614819F4E564}" presName="Name35" presStyleLbl="parChTrans1D4" presStyleIdx="5" presStyleCnt="8"/>
      <dgm:spPr/>
    </dgm:pt>
    <dgm:pt modelId="{25EB0CE7-A564-4C40-A218-FFEEC85D2312}" type="pres">
      <dgm:prSet presAssocID="{7C8F3D6F-33E4-4628-899B-AA4EC95D4819}" presName="hierRoot2" presStyleCnt="0">
        <dgm:presLayoutVars>
          <dgm:hierBranch val="init"/>
        </dgm:presLayoutVars>
      </dgm:prSet>
      <dgm:spPr/>
    </dgm:pt>
    <dgm:pt modelId="{E93D8C85-10C8-4338-B0A4-A9A72800789F}" type="pres">
      <dgm:prSet presAssocID="{7C8F3D6F-33E4-4628-899B-AA4EC95D4819}" presName="rootComposite" presStyleCnt="0"/>
      <dgm:spPr/>
    </dgm:pt>
    <dgm:pt modelId="{AEDE2EE1-B25F-47BC-A5F2-17A6D96734CF}" type="pres">
      <dgm:prSet presAssocID="{7C8F3D6F-33E4-4628-899B-AA4EC95D4819}" presName="rootText" presStyleLbl="node4" presStyleIdx="5" presStyleCnt="8">
        <dgm:presLayoutVars>
          <dgm:chPref val="3"/>
        </dgm:presLayoutVars>
      </dgm:prSet>
      <dgm:spPr/>
    </dgm:pt>
    <dgm:pt modelId="{442DDA63-7C85-4323-A69C-F76861049D27}" type="pres">
      <dgm:prSet presAssocID="{7C8F3D6F-33E4-4628-899B-AA4EC95D4819}" presName="rootConnector" presStyleLbl="node4" presStyleIdx="5" presStyleCnt="8"/>
      <dgm:spPr/>
    </dgm:pt>
    <dgm:pt modelId="{2CE91C0A-5F64-4AB2-8B54-0D2985237E6E}" type="pres">
      <dgm:prSet presAssocID="{7C8F3D6F-33E4-4628-899B-AA4EC95D4819}" presName="hierChild4" presStyleCnt="0"/>
      <dgm:spPr/>
    </dgm:pt>
    <dgm:pt modelId="{FD3EE63D-8F88-40CA-8DD0-C201F996ED66}" type="pres">
      <dgm:prSet presAssocID="{7C8F3D6F-33E4-4628-899B-AA4EC95D4819}" presName="hierChild5" presStyleCnt="0"/>
      <dgm:spPr/>
    </dgm:pt>
    <dgm:pt modelId="{C7B955B4-AFC3-40A3-A8EF-B4F4FBB07AE6}" type="pres">
      <dgm:prSet presAssocID="{5AF5ADFB-E7E4-4F5A-9737-FB54B190F72C}" presName="Name35" presStyleLbl="parChTrans1D4" presStyleIdx="6" presStyleCnt="8"/>
      <dgm:spPr/>
    </dgm:pt>
    <dgm:pt modelId="{268F46C9-5789-449C-B139-0E73F137502C}" type="pres">
      <dgm:prSet presAssocID="{F2335893-10A2-4D56-B653-EDD6EB7224BB}" presName="hierRoot2" presStyleCnt="0">
        <dgm:presLayoutVars>
          <dgm:hierBranch val="init"/>
        </dgm:presLayoutVars>
      </dgm:prSet>
      <dgm:spPr/>
    </dgm:pt>
    <dgm:pt modelId="{0627F952-213C-49A4-879F-1A296313DE8A}" type="pres">
      <dgm:prSet presAssocID="{F2335893-10A2-4D56-B653-EDD6EB7224BB}" presName="rootComposite" presStyleCnt="0"/>
      <dgm:spPr/>
    </dgm:pt>
    <dgm:pt modelId="{B6C20806-61AF-41E3-AFAA-B5CEBEFE8567}" type="pres">
      <dgm:prSet presAssocID="{F2335893-10A2-4D56-B653-EDD6EB7224BB}" presName="rootText" presStyleLbl="node4" presStyleIdx="6" presStyleCnt="8">
        <dgm:presLayoutVars>
          <dgm:chPref val="3"/>
        </dgm:presLayoutVars>
      </dgm:prSet>
      <dgm:spPr/>
    </dgm:pt>
    <dgm:pt modelId="{D1D8DBE2-B54E-4B37-88BE-16A85F6E27EB}" type="pres">
      <dgm:prSet presAssocID="{F2335893-10A2-4D56-B653-EDD6EB7224BB}" presName="rootConnector" presStyleLbl="node4" presStyleIdx="6" presStyleCnt="8"/>
      <dgm:spPr/>
    </dgm:pt>
    <dgm:pt modelId="{EAD08414-2D6A-465D-9623-940B69C44727}" type="pres">
      <dgm:prSet presAssocID="{F2335893-10A2-4D56-B653-EDD6EB7224BB}" presName="hierChild4" presStyleCnt="0"/>
      <dgm:spPr/>
    </dgm:pt>
    <dgm:pt modelId="{9B0B38F5-A836-4D37-B9D5-6ED188A2B58D}" type="pres">
      <dgm:prSet presAssocID="{F2335893-10A2-4D56-B653-EDD6EB7224BB}" presName="hierChild5" presStyleCnt="0"/>
      <dgm:spPr/>
    </dgm:pt>
    <dgm:pt modelId="{C58F17CA-8825-4626-A6B7-E7C094E5AF5B}" type="pres">
      <dgm:prSet presAssocID="{C44738DB-7485-4CDC-B61E-16C8697D7254}" presName="Name35" presStyleLbl="parChTrans1D4" presStyleIdx="7" presStyleCnt="8"/>
      <dgm:spPr/>
    </dgm:pt>
    <dgm:pt modelId="{E79CD580-947C-41DC-97C9-098ED9C28B94}" type="pres">
      <dgm:prSet presAssocID="{E721092F-FDA0-41CD-B5B2-9A407AC82AFB}" presName="hierRoot2" presStyleCnt="0">
        <dgm:presLayoutVars>
          <dgm:hierBranch val="init"/>
        </dgm:presLayoutVars>
      </dgm:prSet>
      <dgm:spPr/>
    </dgm:pt>
    <dgm:pt modelId="{D9EF50DB-B5EC-4EF0-AB46-FA85238404FA}" type="pres">
      <dgm:prSet presAssocID="{E721092F-FDA0-41CD-B5B2-9A407AC82AFB}" presName="rootComposite" presStyleCnt="0"/>
      <dgm:spPr/>
    </dgm:pt>
    <dgm:pt modelId="{AADA8437-AB16-41D4-BA50-D35E72C14255}" type="pres">
      <dgm:prSet presAssocID="{E721092F-FDA0-41CD-B5B2-9A407AC82AFB}" presName="rootText" presStyleLbl="node4" presStyleIdx="7" presStyleCnt="8">
        <dgm:presLayoutVars>
          <dgm:chPref val="3"/>
        </dgm:presLayoutVars>
      </dgm:prSet>
      <dgm:spPr/>
    </dgm:pt>
    <dgm:pt modelId="{DEBA06D8-2824-4D1C-B072-8AB341DFE630}" type="pres">
      <dgm:prSet presAssocID="{E721092F-FDA0-41CD-B5B2-9A407AC82AFB}" presName="rootConnector" presStyleLbl="node4" presStyleIdx="7" presStyleCnt="8"/>
      <dgm:spPr/>
    </dgm:pt>
    <dgm:pt modelId="{F5235455-18E2-4BA4-84C9-84CEFBFFEC3E}" type="pres">
      <dgm:prSet presAssocID="{E721092F-FDA0-41CD-B5B2-9A407AC82AFB}" presName="hierChild4" presStyleCnt="0"/>
      <dgm:spPr/>
    </dgm:pt>
    <dgm:pt modelId="{4877BC0F-C782-4A99-9F78-176EB4B34DB3}" type="pres">
      <dgm:prSet presAssocID="{E721092F-FDA0-41CD-B5B2-9A407AC82AFB}" presName="hierChild5" presStyleCnt="0"/>
      <dgm:spPr/>
    </dgm:pt>
    <dgm:pt modelId="{AD5C2BB3-450D-4FE8-8A64-A5FD211B6154}" type="pres">
      <dgm:prSet presAssocID="{038F7370-823C-4BA3-957C-76B74C1E13C0}" presName="hierChild5" presStyleCnt="0"/>
      <dgm:spPr/>
    </dgm:pt>
    <dgm:pt modelId="{CEA4362A-AF6D-423F-8B8D-0EE4D6071B22}" type="pres">
      <dgm:prSet presAssocID="{47C757F0-AA23-46BE-9311-EA432CDEEAA1}" presName="hierChild5" presStyleCnt="0"/>
      <dgm:spPr/>
    </dgm:pt>
    <dgm:pt modelId="{8E9BA135-8CAB-41C7-BF73-CCCCB5D528C5}" type="pres">
      <dgm:prSet presAssocID="{D4DB8080-BF18-46F9-914E-891DA7EE3CE8}" presName="hierChild3" presStyleCnt="0"/>
      <dgm:spPr/>
    </dgm:pt>
  </dgm:ptLst>
  <dgm:cxnLst>
    <dgm:cxn modelId="{5914BC03-28D8-47D6-A665-5377A4AE76D2}" srcId="{A77D31B3-3808-4FBA-8FA4-CC8D448A173E}" destId="{D4DB8080-BF18-46F9-914E-891DA7EE3CE8}" srcOrd="0" destOrd="0" parTransId="{BC11F66E-9EAB-4D4D-9B1A-AB0A6A3E8A49}" sibTransId="{B1C45B18-0396-47E7-8750-B7D6BCEEEDF1}"/>
    <dgm:cxn modelId="{592C6405-5516-4B02-8958-C1D73874980A}" type="presOf" srcId="{C4E64C92-08D2-412B-A175-D1DD34277B69}" destId="{AF8D35DD-E656-4E19-A1D0-5DDEE6C8220F}" srcOrd="0" destOrd="0" presId="urn:microsoft.com/office/officeart/2005/8/layout/orgChart1#3"/>
    <dgm:cxn modelId="{7835FA0E-D839-446B-B64A-0BA4D6447AF1}" type="presOf" srcId="{DDDF17B6-4880-480D-BE1A-45E0EFEC4C51}" destId="{A7169207-4774-4460-8261-3A5E6C26367F}" srcOrd="0" destOrd="0" presId="urn:microsoft.com/office/officeart/2005/8/layout/orgChart1#3"/>
    <dgm:cxn modelId="{B787D312-D2AE-43EA-A919-9A9259B0DEA6}" type="presOf" srcId="{E721092F-FDA0-41CD-B5B2-9A407AC82AFB}" destId="{AADA8437-AB16-41D4-BA50-D35E72C14255}" srcOrd="1" destOrd="0" presId="urn:microsoft.com/office/officeart/2005/8/layout/orgChart1#3"/>
    <dgm:cxn modelId="{A5304F14-1574-4DB1-A02E-935C3AEA28BF}" type="presOf" srcId="{0C3E7F82-E77D-4018-835F-F5E74EF48574}" destId="{C1DA7333-62A7-4207-9BE0-2C478E7622EA}" srcOrd="0" destOrd="0" presId="urn:microsoft.com/office/officeart/2005/8/layout/orgChart1#3"/>
    <dgm:cxn modelId="{802DB61A-1097-4B30-BFD2-6E70F8EB59BE}" type="presOf" srcId="{F2335893-10A2-4D56-B653-EDD6EB7224BB}" destId="{B6C20806-61AF-41E3-AFAA-B5CEBEFE8567}" srcOrd="1" destOrd="0" presId="urn:microsoft.com/office/officeart/2005/8/layout/orgChart1#3"/>
    <dgm:cxn modelId="{ED6BE61B-B15F-4628-B122-B58D9A6C7869}" type="presOf" srcId="{038F7370-823C-4BA3-957C-76B74C1E13C0}" destId="{09E6C6DC-6711-429D-BFF2-CFF65AEE764F}" srcOrd="1" destOrd="0" presId="urn:microsoft.com/office/officeart/2005/8/layout/orgChart1#3"/>
    <dgm:cxn modelId="{F2983C1E-1A01-4474-A564-F82E09D09615}" type="presOf" srcId="{2659DCC7-6A4F-4144-BC55-58D5AF5F76AF}" destId="{E114033E-2914-4A5A-87BC-39D5E9885BC8}" srcOrd="1" destOrd="0" presId="urn:microsoft.com/office/officeart/2005/8/layout/orgChart1#3"/>
    <dgm:cxn modelId="{6264FD21-01B2-4A9E-A4C5-725328265986}" type="presOf" srcId="{F6189581-3965-4F63-BB03-AC9C354E133A}" destId="{67C3F5C7-8F49-42EB-A0B0-9F364281E1CF}" srcOrd="0" destOrd="0" presId="urn:microsoft.com/office/officeart/2005/8/layout/orgChart1#3"/>
    <dgm:cxn modelId="{E1C0AC24-458A-4C85-A7B3-0B401604F79D}" srcId="{47C757F0-AA23-46BE-9311-EA432CDEEAA1}" destId="{C4E64C92-08D2-412B-A175-D1DD34277B69}" srcOrd="0" destOrd="0" parTransId="{AB1A0457-64BD-4FA6-A350-5CB92D360A39}" sibTransId="{4DEE0D4B-1669-461A-9D25-61361BE560A7}"/>
    <dgm:cxn modelId="{4438E029-845B-43E6-98EE-515C2615242C}" type="presOf" srcId="{C52D8F05-A956-424B-BFB5-D1C904210BA8}" destId="{566B04C6-D361-4ABB-8411-374659B7A426}" srcOrd="0" destOrd="0" presId="urn:microsoft.com/office/officeart/2005/8/layout/orgChart1#3"/>
    <dgm:cxn modelId="{B9DF932B-55F0-4CA5-9060-759B94DAD5FE}" type="presOf" srcId="{47C757F0-AA23-46BE-9311-EA432CDEEAA1}" destId="{C5FD5C45-29B1-4F0A-AAA8-09F55C7CD3D3}" srcOrd="0" destOrd="0" presId="urn:microsoft.com/office/officeart/2005/8/layout/orgChart1#3"/>
    <dgm:cxn modelId="{5B2A4236-6120-4FA3-B815-8703D8702F22}" srcId="{47C757F0-AA23-46BE-9311-EA432CDEEAA1}" destId="{038F7370-823C-4BA3-957C-76B74C1E13C0}" srcOrd="1" destOrd="0" parTransId="{DDDF17B6-4880-480D-BE1A-45E0EFEC4C51}" sibTransId="{F0251358-80BE-4707-8088-5E4BDD6C349F}"/>
    <dgm:cxn modelId="{28804D3A-DADC-42A7-88F9-4C139D08E664}" type="presOf" srcId="{A28A005B-24C7-45D3-8E23-AF80EF2C8667}" destId="{88A4D9B1-3E6B-4EFB-A232-39D4E838C816}" srcOrd="0" destOrd="0" presId="urn:microsoft.com/office/officeart/2005/8/layout/orgChart1#3"/>
    <dgm:cxn modelId="{870FBC3A-2CF4-4722-B60A-0AA9A4A575C7}" type="presOf" srcId="{038F7370-823C-4BA3-957C-76B74C1E13C0}" destId="{FAE981DF-221D-4820-B57E-B3F6FDF04489}" srcOrd="2" destOrd="0" presId="urn:microsoft.com/office/officeart/2005/8/layout/orgChart1#3"/>
    <dgm:cxn modelId="{91D9C93A-D040-4FF2-A977-3AA4CF69693E}" type="presOf" srcId="{7C8F3D6F-33E4-4628-899B-AA4EC95D4819}" destId="{AEDE2EE1-B25F-47BC-A5F2-17A6D96734CF}" srcOrd="1" destOrd="0" presId="urn:microsoft.com/office/officeart/2005/8/layout/orgChart1#3"/>
    <dgm:cxn modelId="{816A705E-24F0-434C-8EFB-885BA75EE72E}" srcId="{038F7370-823C-4BA3-957C-76B74C1E13C0}" destId="{E721092F-FDA0-41CD-B5B2-9A407AC82AFB}" srcOrd="6" destOrd="0" parTransId="{C44738DB-7485-4CDC-B61E-16C8697D7254}" sibTransId="{A43E700C-0749-462E-B5F6-FBD4115F52B2}"/>
    <dgm:cxn modelId="{563CCE62-AD2F-4AB6-B665-827AE90B0D78}" type="presOf" srcId="{D4DB8080-BF18-46F9-914E-891DA7EE3CE8}" destId="{2EE19359-8834-43DA-AD2F-2EF687AD4135}" srcOrd="0" destOrd="0" presId="urn:microsoft.com/office/officeart/2005/8/layout/orgChart1#3"/>
    <dgm:cxn modelId="{F2D84E63-41CC-4265-9264-97746D6EA0A2}" type="presOf" srcId="{D4DB8080-BF18-46F9-914E-891DA7EE3CE8}" destId="{FE1027BA-E880-4B94-A74D-A4B319508BAB}" srcOrd="2" destOrd="0" presId="urn:microsoft.com/office/officeart/2005/8/layout/orgChart1#3"/>
    <dgm:cxn modelId="{A1556D68-0304-4DD4-80BC-9B94F8B453E0}" srcId="{038F7370-823C-4BA3-957C-76B74C1E13C0}" destId="{F2335893-10A2-4D56-B653-EDD6EB7224BB}" srcOrd="5" destOrd="0" parTransId="{5AF5ADFB-E7E4-4F5A-9737-FB54B190F72C}" sibTransId="{8957F72D-BB97-44F3-8786-EB49B9D9D927}"/>
    <dgm:cxn modelId="{44127648-338B-46A3-A26F-2C9415419DA3}" srcId="{038F7370-823C-4BA3-957C-76B74C1E13C0}" destId="{A28A005B-24C7-45D3-8E23-AF80EF2C8667}" srcOrd="0" destOrd="0" parTransId="{80AA4443-E6FD-47C4-8B76-01769741B66D}" sibTransId="{11DA1480-511A-40AD-8A2D-3EB856310C4C}"/>
    <dgm:cxn modelId="{C8DD0E4D-A053-403C-9A16-7BF171CC00B7}" type="presOf" srcId="{E721092F-FDA0-41CD-B5B2-9A407AC82AFB}" destId="{DEBA06D8-2824-4D1C-B072-8AB341DFE630}" srcOrd="2" destOrd="0" presId="urn:microsoft.com/office/officeart/2005/8/layout/orgChart1#3"/>
    <dgm:cxn modelId="{8968646D-A720-454D-A31B-BCAC432FF9CD}" type="presOf" srcId="{3010D83A-3B63-4080-867D-9B7BA91410ED}" destId="{6A201310-11AE-4447-867A-DC6B4032AE3A}" srcOrd="0" destOrd="0" presId="urn:microsoft.com/office/officeart/2005/8/layout/orgChart1#3"/>
    <dgm:cxn modelId="{AA765E6F-F815-4CA0-A0FC-9D8FFD75B73A}" type="presOf" srcId="{D98B4EFF-AC4B-4CB6-B0AF-EC1358EAC204}" destId="{EA174B30-A9F4-4593-8CDD-983277FAE01F}" srcOrd="0" destOrd="0" presId="urn:microsoft.com/office/officeart/2005/8/layout/orgChart1#3"/>
    <dgm:cxn modelId="{D7F17950-58F6-4E7C-8656-87BBA31AA987}" srcId="{C4E64C92-08D2-412B-A175-D1DD34277B69}" destId="{3010D83A-3B63-4080-867D-9B7BA91410ED}" srcOrd="0" destOrd="0" parTransId="{0C3E7F82-E77D-4018-835F-F5E74EF48574}" sibTransId="{6D393857-5CA7-422D-923B-FD5C71747250}"/>
    <dgm:cxn modelId="{9BE9D876-FB5B-4A8F-BD2A-F8786D5B923A}" srcId="{D4DB8080-BF18-46F9-914E-891DA7EE3CE8}" destId="{47C757F0-AA23-46BE-9311-EA432CDEEAA1}" srcOrd="0" destOrd="0" parTransId="{AB39B06D-FE6C-48B2-B5B4-77CD0C8CF7AD}" sibTransId="{DF0D1C21-B79E-4875-B7FA-EF183CB48B88}"/>
    <dgm:cxn modelId="{06ECA958-04DC-48C0-936E-E7D7E2F6FCFF}" type="presOf" srcId="{D4DB8080-BF18-46F9-914E-891DA7EE3CE8}" destId="{548429D0-4959-45CE-9F1B-55D8B5528792}" srcOrd="1" destOrd="0" presId="urn:microsoft.com/office/officeart/2005/8/layout/orgChart1#3"/>
    <dgm:cxn modelId="{30AE9B79-F0A3-471A-A7F1-68140344682D}" type="presOf" srcId="{2659DCC7-6A4F-4144-BC55-58D5AF5F76AF}" destId="{5E60A862-64B9-44E0-BB8C-0E3194CCABD5}" srcOrd="2" destOrd="0" presId="urn:microsoft.com/office/officeart/2005/8/layout/orgChart1#3"/>
    <dgm:cxn modelId="{3DED1C7A-ABE2-4AAD-ACE8-A57E1FCCDF98}" srcId="{038F7370-823C-4BA3-957C-76B74C1E13C0}" destId="{F6189581-3965-4F63-BB03-AC9C354E133A}" srcOrd="1" destOrd="0" parTransId="{D98B4EFF-AC4B-4CB6-B0AF-EC1358EAC204}" sibTransId="{2C8BFE9C-A79F-4E86-86D6-3BC65F138382}"/>
    <dgm:cxn modelId="{4B0FFE7B-AF7D-4603-A796-63CE2A4EDC47}" type="presOf" srcId="{1CBF4651-EAC6-4DB2-8454-614819F4E564}" destId="{ACF6B2DC-195F-4D2A-B4FA-A88FBE380472}" srcOrd="0" destOrd="0" presId="urn:microsoft.com/office/officeart/2005/8/layout/orgChart1#3"/>
    <dgm:cxn modelId="{3A44E282-C111-418F-B4A5-B922AF0F6D91}" type="presOf" srcId="{F6189581-3965-4F63-BB03-AC9C354E133A}" destId="{B01C76B2-423D-417C-B04F-21D287FBBBE8}" srcOrd="2" destOrd="0" presId="urn:microsoft.com/office/officeart/2005/8/layout/orgChart1#3"/>
    <dgm:cxn modelId="{8D0E7E93-5AB9-468F-9A06-83E69BF3BC8C}" srcId="{038F7370-823C-4BA3-957C-76B74C1E13C0}" destId="{7C8F3D6F-33E4-4628-899B-AA4EC95D4819}" srcOrd="4" destOrd="0" parTransId="{1CBF4651-EAC6-4DB2-8454-614819F4E564}" sibTransId="{A26B3FAF-B154-4598-A661-F77EE3F646D0}"/>
    <dgm:cxn modelId="{B6139193-806F-41B9-BBB3-6FE5D2B9DC2E}" srcId="{038F7370-823C-4BA3-957C-76B74C1E13C0}" destId="{27AE2A84-043C-47E4-9F76-EF4AFF8BED0D}" srcOrd="3" destOrd="0" parTransId="{14142E90-8E49-4AE8-A3F7-093826BB5621}" sibTransId="{008F6839-6787-4954-8D7D-728A4C616851}"/>
    <dgm:cxn modelId="{8C709194-B234-4868-A170-1797EFE27EDE}" type="presOf" srcId="{AB39B06D-FE6C-48B2-B5B4-77CD0C8CF7AD}" destId="{520D8E41-6A18-4A1A-B736-084E94AE52CF}" srcOrd="0" destOrd="0" presId="urn:microsoft.com/office/officeart/2005/8/layout/orgChart1#3"/>
    <dgm:cxn modelId="{68FFD699-2DAE-4A81-95F9-2B237DA6D4D4}" type="presOf" srcId="{3010D83A-3B63-4080-867D-9B7BA91410ED}" destId="{159E24B9-97EC-4AA2-BFFB-47CB199679BF}" srcOrd="2" destOrd="0" presId="urn:microsoft.com/office/officeart/2005/8/layout/orgChart1#3"/>
    <dgm:cxn modelId="{CF07489D-696D-4ED9-8812-7CD947C9B632}" type="presOf" srcId="{038F7370-823C-4BA3-957C-76B74C1E13C0}" destId="{B0A92391-ADC2-44EC-8F10-045613A73D90}" srcOrd="0" destOrd="0" presId="urn:microsoft.com/office/officeart/2005/8/layout/orgChart1#3"/>
    <dgm:cxn modelId="{6A76B49E-2201-4AED-B7AF-8DAFE9AA3DE5}" type="presOf" srcId="{27AE2A84-043C-47E4-9F76-EF4AFF8BED0D}" destId="{61699661-6872-47E0-82D2-68752E87F3BF}" srcOrd="0" destOrd="0" presId="urn:microsoft.com/office/officeart/2005/8/layout/orgChart1#3"/>
    <dgm:cxn modelId="{035376A2-F509-4876-872A-BFD11C049E67}" type="presOf" srcId="{C4E64C92-08D2-412B-A175-D1DD34277B69}" destId="{29F174FA-6C92-4918-A851-C205CAFA8C74}" srcOrd="2" destOrd="0" presId="urn:microsoft.com/office/officeart/2005/8/layout/orgChart1#3"/>
    <dgm:cxn modelId="{6EE27BA2-2C86-448F-B855-007E77FF0BF8}" type="presOf" srcId="{7C8F3D6F-33E4-4628-899B-AA4EC95D4819}" destId="{442DDA63-7C85-4323-A69C-F76861049D27}" srcOrd="2" destOrd="0" presId="urn:microsoft.com/office/officeart/2005/8/layout/orgChart1#3"/>
    <dgm:cxn modelId="{35EBC4A4-52F4-4E27-8561-F3009DC2D3E5}" type="presOf" srcId="{F2335893-10A2-4D56-B653-EDD6EB7224BB}" destId="{D1D8DBE2-B54E-4B37-88BE-16A85F6E27EB}" srcOrd="2" destOrd="0" presId="urn:microsoft.com/office/officeart/2005/8/layout/orgChart1#3"/>
    <dgm:cxn modelId="{C39D64AF-2F21-4D60-B089-BC47395F1AB2}" type="presOf" srcId="{80AA4443-E6FD-47C4-8B76-01769741B66D}" destId="{C4AFDE71-B4A8-4973-8E5B-D1AD186CCD79}" srcOrd="0" destOrd="0" presId="urn:microsoft.com/office/officeart/2005/8/layout/orgChart1#3"/>
    <dgm:cxn modelId="{CB6CACB1-7E17-4D86-B83F-675B0500779A}" type="presOf" srcId="{C4E64C92-08D2-412B-A175-D1DD34277B69}" destId="{DF8299FE-0B92-4372-83F3-B8E9DBB13052}" srcOrd="1" destOrd="0" presId="urn:microsoft.com/office/officeart/2005/8/layout/orgChart1#3"/>
    <dgm:cxn modelId="{988578B3-093F-4029-9009-0DCE6DCE3360}" type="presOf" srcId="{47C757F0-AA23-46BE-9311-EA432CDEEAA1}" destId="{E99EC1B2-2649-444F-97E7-99F97C534125}" srcOrd="2" destOrd="0" presId="urn:microsoft.com/office/officeart/2005/8/layout/orgChart1#3"/>
    <dgm:cxn modelId="{CEC5A6B3-A56E-4248-8944-C9539BCB0FA1}" type="presOf" srcId="{E721092F-FDA0-41CD-B5B2-9A407AC82AFB}" destId="{D9EF50DB-B5EC-4EF0-AB46-FA85238404FA}" srcOrd="0" destOrd="0" presId="urn:microsoft.com/office/officeart/2005/8/layout/orgChart1#3"/>
    <dgm:cxn modelId="{31868FB5-EE0D-4457-A7D0-1F08F0A80E53}" type="presOf" srcId="{27AE2A84-043C-47E4-9F76-EF4AFF8BED0D}" destId="{4BD9941B-A042-4B95-B1A8-6429D831C634}" srcOrd="2" destOrd="0" presId="urn:microsoft.com/office/officeart/2005/8/layout/orgChart1#3"/>
    <dgm:cxn modelId="{96BAA4C2-773A-4878-AC97-94048285FCE7}" type="presOf" srcId="{F6189581-3965-4F63-BB03-AC9C354E133A}" destId="{130444B1-E42E-4B9B-8EC7-3F6DBA6992F6}" srcOrd="1" destOrd="0" presId="urn:microsoft.com/office/officeart/2005/8/layout/orgChart1#3"/>
    <dgm:cxn modelId="{746840C3-E537-461E-9BAC-43EEBDDF99E1}" type="presOf" srcId="{A28A005B-24C7-45D3-8E23-AF80EF2C8667}" destId="{A8EA43F0-1412-4974-9969-21E76FC1AFF6}" srcOrd="1" destOrd="0" presId="urn:microsoft.com/office/officeart/2005/8/layout/orgChart1#3"/>
    <dgm:cxn modelId="{038DE6C5-B92A-4B74-9FB4-E1F34D68EAD6}" type="presOf" srcId="{5AF5ADFB-E7E4-4F5A-9737-FB54B190F72C}" destId="{C7B955B4-AFC3-40A3-A8EF-B4F4FBB07AE6}" srcOrd="0" destOrd="0" presId="urn:microsoft.com/office/officeart/2005/8/layout/orgChart1#3"/>
    <dgm:cxn modelId="{E202E3C8-018B-4D92-971A-7388B1799309}" type="presOf" srcId="{47C757F0-AA23-46BE-9311-EA432CDEEAA1}" destId="{4F313537-711D-4E90-AC2F-1293DB22AEFC}" srcOrd="1" destOrd="0" presId="urn:microsoft.com/office/officeart/2005/8/layout/orgChart1#3"/>
    <dgm:cxn modelId="{57C0DECD-E9D4-49FB-AB54-1F56D78DECD1}" type="presOf" srcId="{A28A005B-24C7-45D3-8E23-AF80EF2C8667}" destId="{620844EF-DE81-441F-BAF0-F2D3EF22ACDE}" srcOrd="2" destOrd="0" presId="urn:microsoft.com/office/officeart/2005/8/layout/orgChart1#3"/>
    <dgm:cxn modelId="{D6CC03CE-FD04-4985-A676-14BB0C2946E1}" type="presOf" srcId="{7C8F3D6F-33E4-4628-899B-AA4EC95D4819}" destId="{E93D8C85-10C8-4338-B0A4-A9A72800789F}" srcOrd="0" destOrd="0" presId="urn:microsoft.com/office/officeart/2005/8/layout/orgChart1#3"/>
    <dgm:cxn modelId="{3C4A60D5-C258-472D-908C-1F0F3F83A8D0}" type="presOf" srcId="{14142E90-8E49-4AE8-A3F7-093826BB5621}" destId="{892F8B8A-E0E4-45ED-8F57-7A7AFE1AE828}" srcOrd="0" destOrd="0" presId="urn:microsoft.com/office/officeart/2005/8/layout/orgChart1#3"/>
    <dgm:cxn modelId="{207D43DB-54C5-42AC-9405-FD5C99400513}" type="presOf" srcId="{3010D83A-3B63-4080-867D-9B7BA91410ED}" destId="{7604AAF8-707E-48E0-BE7F-6F0E26DA3997}" srcOrd="1" destOrd="0" presId="urn:microsoft.com/office/officeart/2005/8/layout/orgChart1#3"/>
    <dgm:cxn modelId="{680CD9DF-1188-403F-99F5-CF5E4A82CC7F}" type="presOf" srcId="{A77D31B3-3808-4FBA-8FA4-CC8D448A173E}" destId="{E498DC9C-C5AC-4482-A26F-3B99DC5D79F0}" srcOrd="0" destOrd="0" presId="urn:microsoft.com/office/officeart/2005/8/layout/orgChart1#3"/>
    <dgm:cxn modelId="{A8B831E6-AFD3-4843-A2C8-E23DE242AB22}" type="presOf" srcId="{27AE2A84-043C-47E4-9F76-EF4AFF8BED0D}" destId="{60518649-A13B-41CD-8EDC-BA0342D4EDF2}" srcOrd="1" destOrd="0" presId="urn:microsoft.com/office/officeart/2005/8/layout/orgChart1#3"/>
    <dgm:cxn modelId="{543F40EE-B02A-445E-95DB-A32BD467FDD0}" srcId="{038F7370-823C-4BA3-957C-76B74C1E13C0}" destId="{2659DCC7-6A4F-4144-BC55-58D5AF5F76AF}" srcOrd="2" destOrd="0" parTransId="{C52D8F05-A956-424B-BFB5-D1C904210BA8}" sibTransId="{B3C97DF9-6822-4283-A0AE-F3D2C8E5F9BC}"/>
    <dgm:cxn modelId="{E173FCF0-3B40-49A1-B745-405779939B8D}" type="presOf" srcId="{2659DCC7-6A4F-4144-BC55-58D5AF5F76AF}" destId="{CB3F7C3B-87B9-4AF7-83D1-2D4F22F3A677}" srcOrd="0" destOrd="0" presId="urn:microsoft.com/office/officeart/2005/8/layout/orgChart1#3"/>
    <dgm:cxn modelId="{7EC5BEF5-85BA-42A3-9DF0-35868C7CC38A}" type="presOf" srcId="{F2335893-10A2-4D56-B653-EDD6EB7224BB}" destId="{0627F952-213C-49A4-879F-1A296313DE8A}" srcOrd="0" destOrd="0" presId="urn:microsoft.com/office/officeart/2005/8/layout/orgChart1#3"/>
    <dgm:cxn modelId="{F3832CFB-6984-4208-BF05-B942794AF86B}" type="presOf" srcId="{AB1A0457-64BD-4FA6-A350-5CB92D360A39}" destId="{72F512DA-A652-45EB-940E-B64BC575F582}" srcOrd="0" destOrd="0" presId="urn:microsoft.com/office/officeart/2005/8/layout/orgChart1#3"/>
    <dgm:cxn modelId="{FA9268FB-34DE-43A4-A8DC-B8AB94D974A5}" type="presOf" srcId="{C44738DB-7485-4CDC-B61E-16C8697D7254}" destId="{C58F17CA-8825-4626-A6B7-E7C094E5AF5B}" srcOrd="0" destOrd="0" presId="urn:microsoft.com/office/officeart/2005/8/layout/orgChart1#3"/>
    <dgm:cxn modelId="{5E626BA1-2134-4510-9384-C1936C82BCEA}" type="presParOf" srcId="{E498DC9C-C5AC-4482-A26F-3B99DC5D79F0}" destId="{25ADC70F-A7E9-405B-878B-58F5E373D3E0}" srcOrd="0" destOrd="0" presId="urn:microsoft.com/office/officeart/2005/8/layout/orgChart1#3"/>
    <dgm:cxn modelId="{36E30676-6D0F-4380-A65C-5F450E82E44D}" type="presParOf" srcId="{25ADC70F-A7E9-405B-878B-58F5E373D3E0}" destId="{2EE19359-8834-43DA-AD2F-2EF687AD4135}" srcOrd="0" destOrd="0" presId="urn:microsoft.com/office/officeart/2005/8/layout/orgChart1#3"/>
    <dgm:cxn modelId="{B61B2E98-C741-4A36-BC31-10A88ADF2BDD}" type="presParOf" srcId="{2EE19359-8834-43DA-AD2F-2EF687AD4135}" destId="{548429D0-4959-45CE-9F1B-55D8B5528792}" srcOrd="0" destOrd="0" presId="urn:microsoft.com/office/officeart/2005/8/layout/orgChart1#3"/>
    <dgm:cxn modelId="{57787857-89F8-4153-A136-8480827A99B0}" type="presParOf" srcId="{2EE19359-8834-43DA-AD2F-2EF687AD4135}" destId="{FE1027BA-E880-4B94-A74D-A4B319508BAB}" srcOrd="1" destOrd="0" presId="urn:microsoft.com/office/officeart/2005/8/layout/orgChart1#3"/>
    <dgm:cxn modelId="{9E3E2029-10C4-43C5-9A95-A89DCEC31312}" type="presParOf" srcId="{25ADC70F-A7E9-405B-878B-58F5E373D3E0}" destId="{36630B76-8CAA-496E-8BB0-6F9D391C33CA}" srcOrd="1" destOrd="0" presId="urn:microsoft.com/office/officeart/2005/8/layout/orgChart1#3"/>
    <dgm:cxn modelId="{699149FA-A4DF-491F-87DF-498384D482D8}" type="presParOf" srcId="{36630B76-8CAA-496E-8BB0-6F9D391C33CA}" destId="{520D8E41-6A18-4A1A-B736-084E94AE52CF}" srcOrd="0" destOrd="0" presId="urn:microsoft.com/office/officeart/2005/8/layout/orgChart1#3"/>
    <dgm:cxn modelId="{64B85CBB-5FDD-42D4-8150-47DB5B5D9441}" type="presParOf" srcId="{36630B76-8CAA-496E-8BB0-6F9D391C33CA}" destId="{77F41637-9AF4-4F1F-AA02-DC8FDAB3C82B}" srcOrd="1" destOrd="0" presId="urn:microsoft.com/office/officeart/2005/8/layout/orgChart1#3"/>
    <dgm:cxn modelId="{6E090632-E01E-4CDD-8E18-5E457C0738B0}" type="presParOf" srcId="{77F41637-9AF4-4F1F-AA02-DC8FDAB3C82B}" destId="{C5FD5C45-29B1-4F0A-AAA8-09F55C7CD3D3}" srcOrd="0" destOrd="0" presId="urn:microsoft.com/office/officeart/2005/8/layout/orgChart1#3"/>
    <dgm:cxn modelId="{EC36AD2C-AD2E-4B38-A7C1-192B45845A7D}" type="presParOf" srcId="{C5FD5C45-29B1-4F0A-AAA8-09F55C7CD3D3}" destId="{4F313537-711D-4E90-AC2F-1293DB22AEFC}" srcOrd="0" destOrd="0" presId="urn:microsoft.com/office/officeart/2005/8/layout/orgChart1#3"/>
    <dgm:cxn modelId="{A88F34D7-5BB8-41A6-A24B-6C610C99D301}" type="presParOf" srcId="{C5FD5C45-29B1-4F0A-AAA8-09F55C7CD3D3}" destId="{E99EC1B2-2649-444F-97E7-99F97C534125}" srcOrd="1" destOrd="0" presId="urn:microsoft.com/office/officeart/2005/8/layout/orgChart1#3"/>
    <dgm:cxn modelId="{EE32E206-71A9-4132-B1C7-D7C877515833}" type="presParOf" srcId="{77F41637-9AF4-4F1F-AA02-DC8FDAB3C82B}" destId="{F0165290-5938-41E5-9E43-F598B83B13C2}" srcOrd="1" destOrd="0" presId="urn:microsoft.com/office/officeart/2005/8/layout/orgChart1#3"/>
    <dgm:cxn modelId="{34DE38D8-1EC6-4346-AADB-388503E90707}" type="presParOf" srcId="{F0165290-5938-41E5-9E43-F598B83B13C2}" destId="{72F512DA-A652-45EB-940E-B64BC575F582}" srcOrd="0" destOrd="0" presId="urn:microsoft.com/office/officeart/2005/8/layout/orgChart1#3"/>
    <dgm:cxn modelId="{11498224-2452-43E8-954D-FF99CE212421}" type="presParOf" srcId="{F0165290-5938-41E5-9E43-F598B83B13C2}" destId="{53B553A2-4EE3-46B5-B7E9-13453C98946D}" srcOrd="1" destOrd="0" presId="urn:microsoft.com/office/officeart/2005/8/layout/orgChart1#3"/>
    <dgm:cxn modelId="{8E500880-6C7E-4795-AC78-A50F2FD94D14}" type="presParOf" srcId="{53B553A2-4EE3-46B5-B7E9-13453C98946D}" destId="{AF8D35DD-E656-4E19-A1D0-5DDEE6C8220F}" srcOrd="0" destOrd="0" presId="urn:microsoft.com/office/officeart/2005/8/layout/orgChart1#3"/>
    <dgm:cxn modelId="{F3EBD37B-3ACB-4932-9863-C7AC41569F7C}" type="presParOf" srcId="{AF8D35DD-E656-4E19-A1D0-5DDEE6C8220F}" destId="{DF8299FE-0B92-4372-83F3-B8E9DBB13052}" srcOrd="0" destOrd="0" presId="urn:microsoft.com/office/officeart/2005/8/layout/orgChart1#3"/>
    <dgm:cxn modelId="{F7053923-4057-4465-A760-5E5BF4C60023}" type="presParOf" srcId="{AF8D35DD-E656-4E19-A1D0-5DDEE6C8220F}" destId="{29F174FA-6C92-4918-A851-C205CAFA8C74}" srcOrd="1" destOrd="0" presId="urn:microsoft.com/office/officeart/2005/8/layout/orgChart1#3"/>
    <dgm:cxn modelId="{399AE4A0-FD60-450D-8842-76AB097ED50C}" type="presParOf" srcId="{53B553A2-4EE3-46B5-B7E9-13453C98946D}" destId="{2DEB5E9B-9FC5-4061-9CDA-E172029EE448}" srcOrd="1" destOrd="0" presId="urn:microsoft.com/office/officeart/2005/8/layout/orgChart1#3"/>
    <dgm:cxn modelId="{A3073FC4-BE24-476A-9A4E-EAD34464B765}" type="presParOf" srcId="{2DEB5E9B-9FC5-4061-9CDA-E172029EE448}" destId="{C1DA7333-62A7-4207-9BE0-2C478E7622EA}" srcOrd="0" destOrd="0" presId="urn:microsoft.com/office/officeart/2005/8/layout/orgChart1#3"/>
    <dgm:cxn modelId="{3F550ADF-E2BE-4AA6-834A-5F5BDD10B918}" type="presParOf" srcId="{2DEB5E9B-9FC5-4061-9CDA-E172029EE448}" destId="{2165646D-78C8-4F2A-8D13-362A6DCC65CA}" srcOrd="1" destOrd="0" presId="urn:microsoft.com/office/officeart/2005/8/layout/orgChart1#3"/>
    <dgm:cxn modelId="{5786F3C7-1C20-4ACF-AF62-DA0BB75CF22E}" type="presParOf" srcId="{2165646D-78C8-4F2A-8D13-362A6DCC65CA}" destId="{6A201310-11AE-4447-867A-DC6B4032AE3A}" srcOrd="0" destOrd="0" presId="urn:microsoft.com/office/officeart/2005/8/layout/orgChart1#3"/>
    <dgm:cxn modelId="{4FD9C183-A832-4B63-B038-471E8757F3A1}" type="presParOf" srcId="{6A201310-11AE-4447-867A-DC6B4032AE3A}" destId="{7604AAF8-707E-48E0-BE7F-6F0E26DA3997}" srcOrd="0" destOrd="0" presId="urn:microsoft.com/office/officeart/2005/8/layout/orgChart1#3"/>
    <dgm:cxn modelId="{E109E267-0304-44AF-BBF1-9E0F4CFAE7DC}" type="presParOf" srcId="{6A201310-11AE-4447-867A-DC6B4032AE3A}" destId="{159E24B9-97EC-4AA2-BFFB-47CB199679BF}" srcOrd="1" destOrd="0" presId="urn:microsoft.com/office/officeart/2005/8/layout/orgChart1#3"/>
    <dgm:cxn modelId="{8B1CE593-80A3-4BCA-A649-A7B3DE63D9B4}" type="presParOf" srcId="{2165646D-78C8-4F2A-8D13-362A6DCC65CA}" destId="{B43383FF-F4F6-475D-91D4-B98F886D129A}" srcOrd="1" destOrd="0" presId="urn:microsoft.com/office/officeart/2005/8/layout/orgChart1#3"/>
    <dgm:cxn modelId="{DC9959F2-4035-45DD-8662-F70C162FC33B}" type="presParOf" srcId="{2165646D-78C8-4F2A-8D13-362A6DCC65CA}" destId="{19A54954-A5E4-4A67-8C4E-927224CD3349}" srcOrd="2" destOrd="0" presId="urn:microsoft.com/office/officeart/2005/8/layout/orgChart1#3"/>
    <dgm:cxn modelId="{37836155-680B-419F-AF97-1A920E49EDB0}" type="presParOf" srcId="{53B553A2-4EE3-46B5-B7E9-13453C98946D}" destId="{32D1FA3B-444D-4087-AACC-ED605C0EB701}" srcOrd="2" destOrd="0" presId="urn:microsoft.com/office/officeart/2005/8/layout/orgChart1#3"/>
    <dgm:cxn modelId="{4F6CAB39-981A-47B2-A469-B84BF6A4CF2C}" type="presParOf" srcId="{F0165290-5938-41E5-9E43-F598B83B13C2}" destId="{A7169207-4774-4460-8261-3A5E6C26367F}" srcOrd="2" destOrd="0" presId="urn:microsoft.com/office/officeart/2005/8/layout/orgChart1#3"/>
    <dgm:cxn modelId="{A6153BD2-FDCF-49FE-B142-7CF834E0D7B6}" type="presParOf" srcId="{F0165290-5938-41E5-9E43-F598B83B13C2}" destId="{7C4FDB6E-BE14-456A-9640-38816894E4FF}" srcOrd="3" destOrd="0" presId="urn:microsoft.com/office/officeart/2005/8/layout/orgChart1#3"/>
    <dgm:cxn modelId="{781E0502-052F-4831-AF58-6CAD9362F193}" type="presParOf" srcId="{7C4FDB6E-BE14-456A-9640-38816894E4FF}" destId="{B0A92391-ADC2-44EC-8F10-045613A73D90}" srcOrd="0" destOrd="0" presId="urn:microsoft.com/office/officeart/2005/8/layout/orgChart1#3"/>
    <dgm:cxn modelId="{5C0A9338-8083-4E31-94B0-C431C964AE4A}" type="presParOf" srcId="{B0A92391-ADC2-44EC-8F10-045613A73D90}" destId="{09E6C6DC-6711-429D-BFF2-CFF65AEE764F}" srcOrd="0" destOrd="0" presId="urn:microsoft.com/office/officeart/2005/8/layout/orgChart1#3"/>
    <dgm:cxn modelId="{FFEEDDAC-BFD0-4170-8E4E-F6DC5E8907DF}" type="presParOf" srcId="{B0A92391-ADC2-44EC-8F10-045613A73D90}" destId="{FAE981DF-221D-4820-B57E-B3F6FDF04489}" srcOrd="1" destOrd="0" presId="urn:microsoft.com/office/officeart/2005/8/layout/orgChart1#3"/>
    <dgm:cxn modelId="{6ABD85BE-FE52-47E5-98C7-7067B1377D72}" type="presParOf" srcId="{7C4FDB6E-BE14-456A-9640-38816894E4FF}" destId="{6F7E435B-7C43-4BC8-868C-21D13121BE13}" srcOrd="1" destOrd="0" presId="urn:microsoft.com/office/officeart/2005/8/layout/orgChart1#3"/>
    <dgm:cxn modelId="{6E8F46BA-C5C3-4CA8-A652-2F8488F4F9E0}" type="presParOf" srcId="{6F7E435B-7C43-4BC8-868C-21D13121BE13}" destId="{C4AFDE71-B4A8-4973-8E5B-D1AD186CCD79}" srcOrd="0" destOrd="0" presId="urn:microsoft.com/office/officeart/2005/8/layout/orgChart1#3"/>
    <dgm:cxn modelId="{E8BDD90E-DCE7-43C8-B76A-F94582BC4C35}" type="presParOf" srcId="{6F7E435B-7C43-4BC8-868C-21D13121BE13}" destId="{DE0E98AC-CA8B-479B-A887-660B1ADCEF2F}" srcOrd="1" destOrd="0" presId="urn:microsoft.com/office/officeart/2005/8/layout/orgChart1#3"/>
    <dgm:cxn modelId="{7D35A3B9-DF35-4500-9D51-2C96B816C166}" type="presParOf" srcId="{DE0E98AC-CA8B-479B-A887-660B1ADCEF2F}" destId="{88A4D9B1-3E6B-4EFB-A232-39D4E838C816}" srcOrd="0" destOrd="0" presId="urn:microsoft.com/office/officeart/2005/8/layout/orgChart1#3"/>
    <dgm:cxn modelId="{46BBF3BB-64D9-4BF1-97D5-241450A1CDE7}" type="presParOf" srcId="{88A4D9B1-3E6B-4EFB-A232-39D4E838C816}" destId="{A8EA43F0-1412-4974-9969-21E76FC1AFF6}" srcOrd="0" destOrd="0" presId="urn:microsoft.com/office/officeart/2005/8/layout/orgChart1#3"/>
    <dgm:cxn modelId="{724C64EC-304D-4D4C-AC07-B1669C4A1BA7}" type="presParOf" srcId="{88A4D9B1-3E6B-4EFB-A232-39D4E838C816}" destId="{620844EF-DE81-441F-BAF0-F2D3EF22ACDE}" srcOrd="1" destOrd="0" presId="urn:microsoft.com/office/officeart/2005/8/layout/orgChart1#3"/>
    <dgm:cxn modelId="{E835531F-CD3E-4C8D-AF6F-35EB2BFCE4BF}" type="presParOf" srcId="{DE0E98AC-CA8B-479B-A887-660B1ADCEF2F}" destId="{4C8A2C59-4D76-4228-AD49-F5BA2994CA92}" srcOrd="1" destOrd="0" presId="urn:microsoft.com/office/officeart/2005/8/layout/orgChart1#3"/>
    <dgm:cxn modelId="{2C2E7812-80DD-4607-AAB5-8F2535D4FEC8}" type="presParOf" srcId="{DE0E98AC-CA8B-479B-A887-660B1ADCEF2F}" destId="{120B5259-E867-403F-8090-B4620428BF3E}" srcOrd="2" destOrd="0" presId="urn:microsoft.com/office/officeart/2005/8/layout/orgChart1#3"/>
    <dgm:cxn modelId="{018EF00B-F0EE-4587-BC5D-E0E8B9714757}" type="presParOf" srcId="{6F7E435B-7C43-4BC8-868C-21D13121BE13}" destId="{EA174B30-A9F4-4593-8CDD-983277FAE01F}" srcOrd="2" destOrd="0" presId="urn:microsoft.com/office/officeart/2005/8/layout/orgChart1#3"/>
    <dgm:cxn modelId="{85A13E72-DFD5-49AD-BCF0-381B1819D32C}" type="presParOf" srcId="{6F7E435B-7C43-4BC8-868C-21D13121BE13}" destId="{0E7343C2-97A0-43F8-A275-BF99E33A44B6}" srcOrd="3" destOrd="0" presId="urn:microsoft.com/office/officeart/2005/8/layout/orgChart1#3"/>
    <dgm:cxn modelId="{46BB8A3A-599D-4401-9A3B-CBCE9728FACF}" type="presParOf" srcId="{0E7343C2-97A0-43F8-A275-BF99E33A44B6}" destId="{67C3F5C7-8F49-42EB-A0B0-9F364281E1CF}" srcOrd="0" destOrd="0" presId="urn:microsoft.com/office/officeart/2005/8/layout/orgChart1#3"/>
    <dgm:cxn modelId="{D217EC06-FEDD-4005-A8DB-D3FCB6272AE6}" type="presParOf" srcId="{67C3F5C7-8F49-42EB-A0B0-9F364281E1CF}" destId="{130444B1-E42E-4B9B-8EC7-3F6DBA6992F6}" srcOrd="0" destOrd="0" presId="urn:microsoft.com/office/officeart/2005/8/layout/orgChart1#3"/>
    <dgm:cxn modelId="{820081A1-33D9-4E9C-A2D7-84169588F62D}" type="presParOf" srcId="{67C3F5C7-8F49-42EB-A0B0-9F364281E1CF}" destId="{B01C76B2-423D-417C-B04F-21D287FBBBE8}" srcOrd="1" destOrd="0" presId="urn:microsoft.com/office/officeart/2005/8/layout/orgChart1#3"/>
    <dgm:cxn modelId="{36E1D1C7-1DB5-4C49-AF10-E922042230B1}" type="presParOf" srcId="{0E7343C2-97A0-43F8-A275-BF99E33A44B6}" destId="{531ECFF1-69B1-4A6E-9A83-117D70F0A465}" srcOrd="1" destOrd="0" presId="urn:microsoft.com/office/officeart/2005/8/layout/orgChart1#3"/>
    <dgm:cxn modelId="{486CC9CF-89DB-4C36-9FCD-2C8A0B4CAF74}" type="presParOf" srcId="{0E7343C2-97A0-43F8-A275-BF99E33A44B6}" destId="{16C37085-9609-49B3-8A9C-B1536CDB0FCB}" srcOrd="2" destOrd="0" presId="urn:microsoft.com/office/officeart/2005/8/layout/orgChart1#3"/>
    <dgm:cxn modelId="{7A4D716E-DF09-4924-968A-956877D2B957}" type="presParOf" srcId="{6F7E435B-7C43-4BC8-868C-21D13121BE13}" destId="{566B04C6-D361-4ABB-8411-374659B7A426}" srcOrd="4" destOrd="0" presId="urn:microsoft.com/office/officeart/2005/8/layout/orgChart1#3"/>
    <dgm:cxn modelId="{35307DAB-3B48-4736-AD0D-6F73186CF7CE}" type="presParOf" srcId="{6F7E435B-7C43-4BC8-868C-21D13121BE13}" destId="{2C5631F1-996C-4601-93F5-7E903CABCB49}" srcOrd="5" destOrd="0" presId="urn:microsoft.com/office/officeart/2005/8/layout/orgChart1#3"/>
    <dgm:cxn modelId="{278E8F25-1EA4-4A87-8469-1E0A1304DDCA}" type="presParOf" srcId="{2C5631F1-996C-4601-93F5-7E903CABCB49}" destId="{CB3F7C3B-87B9-4AF7-83D1-2D4F22F3A677}" srcOrd="0" destOrd="0" presId="urn:microsoft.com/office/officeart/2005/8/layout/orgChart1#3"/>
    <dgm:cxn modelId="{3D70B522-8DA4-466E-89CF-86A7753350FA}" type="presParOf" srcId="{CB3F7C3B-87B9-4AF7-83D1-2D4F22F3A677}" destId="{E114033E-2914-4A5A-87BC-39D5E9885BC8}" srcOrd="0" destOrd="0" presId="urn:microsoft.com/office/officeart/2005/8/layout/orgChart1#3"/>
    <dgm:cxn modelId="{CA69A266-9B51-4E18-9E85-781606800F90}" type="presParOf" srcId="{CB3F7C3B-87B9-4AF7-83D1-2D4F22F3A677}" destId="{5E60A862-64B9-44E0-BB8C-0E3194CCABD5}" srcOrd="1" destOrd="0" presId="urn:microsoft.com/office/officeart/2005/8/layout/orgChart1#3"/>
    <dgm:cxn modelId="{9AC4FAC4-07CD-47ED-BFFB-0F7603224E92}" type="presParOf" srcId="{2C5631F1-996C-4601-93F5-7E903CABCB49}" destId="{00769896-AFCA-4B11-B12D-965CCB72FA4C}" srcOrd="1" destOrd="0" presId="urn:microsoft.com/office/officeart/2005/8/layout/orgChart1#3"/>
    <dgm:cxn modelId="{BC137F9E-6171-4980-B21E-65438022196B}" type="presParOf" srcId="{2C5631F1-996C-4601-93F5-7E903CABCB49}" destId="{6612E4B0-8C6D-4240-9EF8-69074953CCA3}" srcOrd="2" destOrd="0" presId="urn:microsoft.com/office/officeart/2005/8/layout/orgChart1#3"/>
    <dgm:cxn modelId="{09CFB717-3F07-41F6-94BB-68FE491535DF}" type="presParOf" srcId="{6F7E435B-7C43-4BC8-868C-21D13121BE13}" destId="{892F8B8A-E0E4-45ED-8F57-7A7AFE1AE828}" srcOrd="6" destOrd="0" presId="urn:microsoft.com/office/officeart/2005/8/layout/orgChart1#3"/>
    <dgm:cxn modelId="{73DD69C5-8930-4686-9F6C-367E5AA251F3}" type="presParOf" srcId="{6F7E435B-7C43-4BC8-868C-21D13121BE13}" destId="{BB56CABD-46DE-49FD-B562-2F8A6E5453FF}" srcOrd="7" destOrd="0" presId="urn:microsoft.com/office/officeart/2005/8/layout/orgChart1#3"/>
    <dgm:cxn modelId="{26DDBF43-D2D1-46CE-9D18-4EED19905B43}" type="presParOf" srcId="{BB56CABD-46DE-49FD-B562-2F8A6E5453FF}" destId="{61699661-6872-47E0-82D2-68752E87F3BF}" srcOrd="0" destOrd="0" presId="urn:microsoft.com/office/officeart/2005/8/layout/orgChart1#3"/>
    <dgm:cxn modelId="{30EC38A0-FE1D-4534-84C0-C64E9B312FE5}" type="presParOf" srcId="{61699661-6872-47E0-82D2-68752E87F3BF}" destId="{60518649-A13B-41CD-8EDC-BA0342D4EDF2}" srcOrd="0" destOrd="0" presId="urn:microsoft.com/office/officeart/2005/8/layout/orgChart1#3"/>
    <dgm:cxn modelId="{B0DCDE19-2AB4-4728-9664-1C6E97526EC6}" type="presParOf" srcId="{61699661-6872-47E0-82D2-68752E87F3BF}" destId="{4BD9941B-A042-4B95-B1A8-6429D831C634}" srcOrd="1" destOrd="0" presId="urn:microsoft.com/office/officeart/2005/8/layout/orgChart1#3"/>
    <dgm:cxn modelId="{8C80B70D-1908-4FAC-8BE1-8DB7BAF795A7}" type="presParOf" srcId="{BB56CABD-46DE-49FD-B562-2F8A6E5453FF}" destId="{0BD6F597-8F39-4CCD-AA9B-5D6668CEAA73}" srcOrd="1" destOrd="0" presId="urn:microsoft.com/office/officeart/2005/8/layout/orgChart1#3"/>
    <dgm:cxn modelId="{94685395-1E85-43E7-8627-75A15BF2D496}" type="presParOf" srcId="{BB56CABD-46DE-49FD-B562-2F8A6E5453FF}" destId="{20C7A246-69FF-44F6-838F-E7CB2C8522B5}" srcOrd="2" destOrd="0" presId="urn:microsoft.com/office/officeart/2005/8/layout/orgChart1#3"/>
    <dgm:cxn modelId="{EAC87CD7-BD6C-4F6E-AAD6-9198509062B2}" type="presParOf" srcId="{6F7E435B-7C43-4BC8-868C-21D13121BE13}" destId="{ACF6B2DC-195F-4D2A-B4FA-A88FBE380472}" srcOrd="8" destOrd="0" presId="urn:microsoft.com/office/officeart/2005/8/layout/orgChart1#3"/>
    <dgm:cxn modelId="{6E2D512A-C077-413C-927C-9AD9AEADB815}" type="presParOf" srcId="{6F7E435B-7C43-4BC8-868C-21D13121BE13}" destId="{25EB0CE7-A564-4C40-A218-FFEEC85D2312}" srcOrd="9" destOrd="0" presId="urn:microsoft.com/office/officeart/2005/8/layout/orgChart1#3"/>
    <dgm:cxn modelId="{808B9E62-AE77-472A-B878-C995E42125B5}" type="presParOf" srcId="{25EB0CE7-A564-4C40-A218-FFEEC85D2312}" destId="{E93D8C85-10C8-4338-B0A4-A9A72800789F}" srcOrd="0" destOrd="0" presId="urn:microsoft.com/office/officeart/2005/8/layout/orgChart1#3"/>
    <dgm:cxn modelId="{2D480448-50E8-400B-A29C-C2ADBF42F853}" type="presParOf" srcId="{E93D8C85-10C8-4338-B0A4-A9A72800789F}" destId="{AEDE2EE1-B25F-47BC-A5F2-17A6D96734CF}" srcOrd="0" destOrd="0" presId="urn:microsoft.com/office/officeart/2005/8/layout/orgChart1#3"/>
    <dgm:cxn modelId="{84334146-A853-4A78-B7CF-CA3135957012}" type="presParOf" srcId="{E93D8C85-10C8-4338-B0A4-A9A72800789F}" destId="{442DDA63-7C85-4323-A69C-F76861049D27}" srcOrd="1" destOrd="0" presId="urn:microsoft.com/office/officeart/2005/8/layout/orgChart1#3"/>
    <dgm:cxn modelId="{468BFD7C-5E13-4523-BE9C-2E740C53E9E7}" type="presParOf" srcId="{25EB0CE7-A564-4C40-A218-FFEEC85D2312}" destId="{2CE91C0A-5F64-4AB2-8B54-0D2985237E6E}" srcOrd="1" destOrd="0" presId="urn:microsoft.com/office/officeart/2005/8/layout/orgChart1#3"/>
    <dgm:cxn modelId="{10E1AA3D-9583-4D3B-ACCA-4A9963E0D415}" type="presParOf" srcId="{25EB0CE7-A564-4C40-A218-FFEEC85D2312}" destId="{FD3EE63D-8F88-40CA-8DD0-C201F996ED66}" srcOrd="2" destOrd="0" presId="urn:microsoft.com/office/officeart/2005/8/layout/orgChart1#3"/>
    <dgm:cxn modelId="{D063C88E-E0F4-446E-BC7D-B49AA5B59BB2}" type="presParOf" srcId="{6F7E435B-7C43-4BC8-868C-21D13121BE13}" destId="{C7B955B4-AFC3-40A3-A8EF-B4F4FBB07AE6}" srcOrd="10" destOrd="0" presId="urn:microsoft.com/office/officeart/2005/8/layout/orgChart1#3"/>
    <dgm:cxn modelId="{5BC6A7F3-ACEC-4708-9D08-95BDB7498B70}" type="presParOf" srcId="{6F7E435B-7C43-4BC8-868C-21D13121BE13}" destId="{268F46C9-5789-449C-B139-0E73F137502C}" srcOrd="11" destOrd="0" presId="urn:microsoft.com/office/officeart/2005/8/layout/orgChart1#3"/>
    <dgm:cxn modelId="{D5551204-9AAC-4B4D-B2E0-4AE0824AC9EC}" type="presParOf" srcId="{268F46C9-5789-449C-B139-0E73F137502C}" destId="{0627F952-213C-49A4-879F-1A296313DE8A}" srcOrd="0" destOrd="0" presId="urn:microsoft.com/office/officeart/2005/8/layout/orgChart1#3"/>
    <dgm:cxn modelId="{185200A7-3AE7-469C-B48C-4EA569301E76}" type="presParOf" srcId="{0627F952-213C-49A4-879F-1A296313DE8A}" destId="{B6C20806-61AF-41E3-AFAA-B5CEBEFE8567}" srcOrd="0" destOrd="0" presId="urn:microsoft.com/office/officeart/2005/8/layout/orgChart1#3"/>
    <dgm:cxn modelId="{C26FEB14-CCE4-4BB3-A1BC-297DB4734715}" type="presParOf" srcId="{0627F952-213C-49A4-879F-1A296313DE8A}" destId="{D1D8DBE2-B54E-4B37-88BE-16A85F6E27EB}" srcOrd="1" destOrd="0" presId="urn:microsoft.com/office/officeart/2005/8/layout/orgChart1#3"/>
    <dgm:cxn modelId="{8B774AEA-B6A0-4D70-9D75-97B054760AAF}" type="presParOf" srcId="{268F46C9-5789-449C-B139-0E73F137502C}" destId="{EAD08414-2D6A-465D-9623-940B69C44727}" srcOrd="1" destOrd="0" presId="urn:microsoft.com/office/officeart/2005/8/layout/orgChart1#3"/>
    <dgm:cxn modelId="{D7236AF5-03D6-43A9-BF70-6CE347C642F1}" type="presParOf" srcId="{268F46C9-5789-449C-B139-0E73F137502C}" destId="{9B0B38F5-A836-4D37-B9D5-6ED188A2B58D}" srcOrd="2" destOrd="0" presId="urn:microsoft.com/office/officeart/2005/8/layout/orgChart1#3"/>
    <dgm:cxn modelId="{CC68F1C6-4286-4321-B625-58F0E35F526F}" type="presParOf" srcId="{6F7E435B-7C43-4BC8-868C-21D13121BE13}" destId="{C58F17CA-8825-4626-A6B7-E7C094E5AF5B}" srcOrd="12" destOrd="0" presId="urn:microsoft.com/office/officeart/2005/8/layout/orgChart1#3"/>
    <dgm:cxn modelId="{CE46C5F8-94DB-4E6E-8EF3-1A694FD3AAAE}" type="presParOf" srcId="{6F7E435B-7C43-4BC8-868C-21D13121BE13}" destId="{E79CD580-947C-41DC-97C9-098ED9C28B94}" srcOrd="13" destOrd="0" presId="urn:microsoft.com/office/officeart/2005/8/layout/orgChart1#3"/>
    <dgm:cxn modelId="{3AE5AA0B-6570-4F88-8CED-47A48B03C3BE}" type="presParOf" srcId="{E79CD580-947C-41DC-97C9-098ED9C28B94}" destId="{D9EF50DB-B5EC-4EF0-AB46-FA85238404FA}" srcOrd="0" destOrd="0" presId="urn:microsoft.com/office/officeart/2005/8/layout/orgChart1#3"/>
    <dgm:cxn modelId="{7410705A-E86A-4E3E-AE5C-0A0C20125037}" type="presParOf" srcId="{D9EF50DB-B5EC-4EF0-AB46-FA85238404FA}" destId="{AADA8437-AB16-41D4-BA50-D35E72C14255}" srcOrd="0" destOrd="0" presId="urn:microsoft.com/office/officeart/2005/8/layout/orgChart1#3"/>
    <dgm:cxn modelId="{3F0E0E05-6F17-4561-93BF-A5616B24CDA6}" type="presParOf" srcId="{D9EF50DB-B5EC-4EF0-AB46-FA85238404FA}" destId="{DEBA06D8-2824-4D1C-B072-8AB341DFE630}" srcOrd="1" destOrd="0" presId="urn:microsoft.com/office/officeart/2005/8/layout/orgChart1#3"/>
    <dgm:cxn modelId="{3557FBA0-0B8E-473B-90B9-8968BE9295E3}" type="presParOf" srcId="{E79CD580-947C-41DC-97C9-098ED9C28B94}" destId="{F5235455-18E2-4BA4-84C9-84CEFBFFEC3E}" srcOrd="1" destOrd="0" presId="urn:microsoft.com/office/officeart/2005/8/layout/orgChart1#3"/>
    <dgm:cxn modelId="{C6E8BF7F-89A6-41B3-8035-C93F293EE70D}" type="presParOf" srcId="{E79CD580-947C-41DC-97C9-098ED9C28B94}" destId="{4877BC0F-C782-4A99-9F78-176EB4B34DB3}" srcOrd="2" destOrd="0" presId="urn:microsoft.com/office/officeart/2005/8/layout/orgChart1#3"/>
    <dgm:cxn modelId="{C337E7F2-46EE-4BC5-A729-ECD3691648E4}" type="presParOf" srcId="{7C4FDB6E-BE14-456A-9640-38816894E4FF}" destId="{AD5C2BB3-450D-4FE8-8A64-A5FD211B6154}" srcOrd="2" destOrd="0" presId="urn:microsoft.com/office/officeart/2005/8/layout/orgChart1#3"/>
    <dgm:cxn modelId="{0E25A9F8-3473-4F62-81AA-AA4F88801F3F}" type="presParOf" srcId="{77F41637-9AF4-4F1F-AA02-DC8FDAB3C82B}" destId="{CEA4362A-AF6D-423F-8B8D-0EE4D6071B22}" srcOrd="2" destOrd="0" presId="urn:microsoft.com/office/officeart/2005/8/layout/orgChart1#3"/>
    <dgm:cxn modelId="{6635A8E5-F129-4B9D-9785-355865395E56}" type="presParOf" srcId="{25ADC70F-A7E9-405B-878B-58F5E373D3E0}" destId="{8E9BA135-8CAB-41C7-BF73-CCCCB5D528C5}" srcOrd="2" destOrd="0" presId="urn:microsoft.com/office/officeart/2005/8/layout/orgChart1#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4" loCatId="hierarchy" qsTypeId="urn:microsoft.com/office/officeart/2005/8/quickstyle/simple1#4" qsCatId="simple" csTypeId="urn:microsoft.com/office/officeart/2005/8/colors/accent1_2#4" csCatId="accent1" phldr="0"/>
      <dgm:spPr/>
      <dgm:t>
        <a:bodyPr/>
        <a:p>
          <a:endParaRPr lang="zh-CN" altLang="en-US"/>
        </a:p>
      </dgm:t>
    </dgm:pt>
    <dgm:pt modelId="{D4DB8080-BF18-46F9-914E-891DA7EE3CE8}">
      <dgm:prSet phldr="0" custT="1"/>
      <dgm:spPr/>
      <dgm:t>
        <a:bodyPr vert="horz" wrap="square"/>
        <a:p>
          <a:pPr>
            <a:lnSpc>
              <a:spcPct val="100000"/>
            </a:lnSpc>
            <a:spcBef>
              <a:spcPct val="0"/>
            </a:spcBef>
            <a:spcAft>
              <a:spcPct val="35000"/>
            </a:spcAft>
          </a:pPr>
          <a:r>
            <a:rPr lang="zh-CN" sz="950" b="1"/>
            <a:t>执行董事</a:t>
          </a:r>
        </a:p>
      </dgm:t>
    </dgm:pt>
    <dgm:pt modelId="{BC11F66E-9EAB-4D4D-9B1A-AB0A6A3E8A49}" cxnId="{28E1372D-EB59-423F-A7C2-D2840121930B}" type="parTrans">
      <dgm:prSet/>
      <dgm:spPr/>
    </dgm:pt>
    <dgm:pt modelId="{B1C45B18-0396-47E7-8750-B7D6BCEEEDF1}" cxnId="{28E1372D-EB59-423F-A7C2-D2840121930B}" type="sibTrans">
      <dgm:prSet/>
      <dgm:spPr/>
    </dgm:pt>
    <dgm:pt modelId="{47C757F0-AA23-46BE-9311-EA432CDEEAA1}">
      <dgm:prSet phldrT="[文本]" phldr="0" custT="1"/>
      <dgm:spPr/>
      <dgm:t>
        <a:bodyPr vert="horz" wrap="square"/>
        <a:p>
          <a:pPr>
            <a:lnSpc>
              <a:spcPct val="100000"/>
            </a:lnSpc>
            <a:spcBef>
              <a:spcPct val="0"/>
            </a:spcBef>
            <a:spcAft>
              <a:spcPct val="35000"/>
            </a:spcAft>
          </a:pPr>
          <a:r>
            <a:rPr lang="en-US" altLang="zh-CN" sz="850" b="1"/>
            <a:t> </a:t>
          </a:r>
          <a:r>
            <a:rPr lang="zh-CN" altLang="en-US" sz="850" b="1"/>
            <a:t>副经理（主持经理层工作）</a:t>
          </a:r>
          <a:r>
            <a:rPr lang="en-US" altLang="zh-CN" sz="850" b="1"/>
            <a:t>  </a:t>
          </a:r>
        </a:p>
      </dgm:t>
    </dgm:pt>
    <dgm:pt modelId="{AB39B06D-FE6C-48B2-B5B4-77CD0C8CF7AD}" cxnId="{86EFF66B-ADD0-4240-AE05-DDE0208129D3}" type="parTrans">
      <dgm:prSet/>
      <dgm:spPr/>
      <dgm:t>
        <a:bodyPr/>
        <a:p>
          <a:endParaRPr lang="zh-CN" altLang="en-US"/>
        </a:p>
      </dgm:t>
    </dgm:pt>
    <dgm:pt modelId="{DF0D1C21-B79E-4875-B7FA-EF183CB48B88}" cxnId="{86EFF66B-ADD0-4240-AE05-DDE0208129D3}" type="sibTrans">
      <dgm:prSet/>
      <dgm:spPr/>
      <dgm:t>
        <a:bodyPr/>
        <a:p>
          <a:endParaRPr lang="zh-CN" altLang="en-US"/>
        </a:p>
      </dgm:t>
    </dgm:pt>
    <dgm:pt modelId="{038F7370-823C-4BA3-957C-76B74C1E13C0}">
      <dgm:prSet phldr="0" custT="1"/>
      <dgm:spPr/>
      <dgm:t>
        <a:bodyPr vert="horz" wrap="square"/>
        <a:p>
          <a:pPr>
            <a:lnSpc>
              <a:spcPct val="100000"/>
            </a:lnSpc>
            <a:spcBef>
              <a:spcPct val="0"/>
            </a:spcBef>
            <a:spcAft>
              <a:spcPct val="35000"/>
            </a:spcAft>
          </a:pPr>
          <a:r>
            <a:rPr lang="zh-CN" sz="950" b="1"/>
            <a:t>运营管理部</a:t>
          </a:r>
        </a:p>
      </dgm:t>
    </dgm:pt>
    <dgm:pt modelId="{DDDF17B6-4880-480D-BE1A-45E0EFEC4C51}" cxnId="{A278E6DD-2291-45E1-974E-07F41135AB24}" type="parTrans">
      <dgm:prSet/>
      <dgm:spPr/>
    </dgm:pt>
    <dgm:pt modelId="{F0251358-80BE-4707-8088-5E4BDD6C349F}" cxnId="{A278E6DD-2291-45E1-974E-07F41135AB24}" type="sibTrans">
      <dgm:prSet/>
      <dgm:spPr/>
    </dgm:pt>
    <dgm:pt modelId="{A28A005B-24C7-45D3-8E23-AF80EF2C8667}">
      <dgm:prSet phldr="0" custT="1"/>
      <dgm:spPr/>
      <dgm:t>
        <a:bodyPr vert="horz" wrap="square"/>
        <a:p>
          <a:pPr>
            <a:lnSpc>
              <a:spcPct val="100000"/>
            </a:lnSpc>
            <a:spcBef>
              <a:spcPct val="0"/>
            </a:spcBef>
            <a:spcAft>
              <a:spcPct val="35000"/>
            </a:spcAft>
          </a:pPr>
          <a:r>
            <a:rPr lang="zh-CN" sz="950" b="1"/>
            <a:t>嘉陵广场</a:t>
          </a:r>
        </a:p>
      </dgm:t>
    </dgm:pt>
    <dgm:pt modelId="{80AA4443-E6FD-47C4-8B76-01769741B66D}" cxnId="{D7AEC542-E0EE-4257-9400-6EDAAE75015F}" type="parTrans">
      <dgm:prSet/>
      <dgm:spPr/>
    </dgm:pt>
    <dgm:pt modelId="{11DA1480-511A-40AD-8A2D-3EB856310C4C}" cxnId="{D7AEC542-E0EE-4257-9400-6EDAAE75015F}" type="sibTrans">
      <dgm:prSet/>
      <dgm:spPr/>
    </dgm:pt>
    <dgm:pt modelId="{F6189581-3965-4F63-BB03-AC9C354E133A}">
      <dgm:prSet phldr="0" custT="1"/>
      <dgm:spPr/>
      <dgm:t>
        <a:bodyPr vert="horz" wrap="square"/>
        <a:p>
          <a:pPr>
            <a:lnSpc>
              <a:spcPct val="100000"/>
            </a:lnSpc>
            <a:spcBef>
              <a:spcPct val="0"/>
            </a:spcBef>
            <a:spcAft>
              <a:spcPct val="35000"/>
            </a:spcAft>
          </a:pPr>
          <a:r>
            <a:rPr lang="zh-CN" sz="950" b="1"/>
            <a:t>南河广场</a:t>
          </a:r>
        </a:p>
      </dgm:t>
    </dgm:pt>
    <dgm:pt modelId="{D98B4EFF-AC4B-4CB6-B0AF-EC1358EAC204}" cxnId="{183A0A8C-02B5-407F-A3AD-20161B7188EA}" type="parTrans">
      <dgm:prSet/>
      <dgm:spPr/>
    </dgm:pt>
    <dgm:pt modelId="{2C8BFE9C-A79F-4E86-86D6-3BC65F138382}" cxnId="{183A0A8C-02B5-407F-A3AD-20161B7188EA}" type="sibTrans">
      <dgm:prSet/>
      <dgm:spPr/>
    </dgm:pt>
    <dgm:pt modelId="{2659DCC7-6A4F-4144-BC55-58D5AF5F76AF}">
      <dgm:prSet phldr="0" custT="1"/>
      <dgm:spPr/>
      <dgm:t>
        <a:bodyPr vert="horz" wrap="square"/>
        <a:p>
          <a:pPr>
            <a:lnSpc>
              <a:spcPct val="100000"/>
            </a:lnSpc>
            <a:spcBef>
              <a:spcPct val="0"/>
            </a:spcBef>
            <a:spcAft>
              <a:spcPct val="35000"/>
            </a:spcAft>
          </a:pPr>
          <a:r>
            <a:rPr lang="zh-CN" sz="950" b="1"/>
            <a:t>苴国广场</a:t>
          </a:r>
        </a:p>
      </dgm:t>
    </dgm:pt>
    <dgm:pt modelId="{C52D8F05-A956-424B-BFB5-D1C904210BA8}" cxnId="{DB9CF700-45ED-49C4-90D9-3788F6A290EC}" type="parTrans">
      <dgm:prSet/>
      <dgm:spPr/>
    </dgm:pt>
    <dgm:pt modelId="{B3C97DF9-6822-4283-A0AE-F3D2C8E5F9BC}" cxnId="{DB9CF700-45ED-49C4-90D9-3788F6A290EC}" type="sibTrans">
      <dgm:prSet/>
      <dgm:spPr/>
    </dgm:pt>
    <dgm:pt modelId="{27AE2A84-043C-47E4-9F76-EF4AFF8BED0D}">
      <dgm:prSet phldr="0" custT="1"/>
      <dgm:spPr/>
      <dgm:t>
        <a:bodyPr vert="horz" wrap="square"/>
        <a:p>
          <a:pPr>
            <a:lnSpc>
              <a:spcPct val="100000"/>
            </a:lnSpc>
            <a:spcBef>
              <a:spcPct val="0"/>
            </a:spcBef>
            <a:spcAft>
              <a:spcPct val="35000"/>
            </a:spcAft>
          </a:pPr>
          <a:r>
            <a:rPr lang="zh-CN" sz="950" b="1"/>
            <a:t>利州广场</a:t>
          </a:r>
        </a:p>
      </dgm:t>
    </dgm:pt>
    <dgm:pt modelId="{14142E90-8E49-4AE8-A3F7-093826BB5621}" cxnId="{35875FFD-378E-45B0-81D3-077F8213F6C1}" type="parTrans">
      <dgm:prSet/>
      <dgm:spPr/>
    </dgm:pt>
    <dgm:pt modelId="{008F6839-6787-4954-8D7D-728A4C616851}" cxnId="{35875FFD-378E-45B0-81D3-077F8213F6C1}" type="sibTrans">
      <dgm:prSet/>
      <dgm:spPr/>
    </dgm:pt>
    <dgm:pt modelId="{7C8F3D6F-33E4-4628-899B-AA4EC95D4819}">
      <dgm:prSet phldr="0" custT="1"/>
      <dgm:spPr/>
      <dgm:t>
        <a:bodyPr vert="horz" wrap="square"/>
        <a:p>
          <a:pPr>
            <a:lnSpc>
              <a:spcPct val="100000"/>
            </a:lnSpc>
            <a:spcBef>
              <a:spcPct val="0"/>
            </a:spcBef>
            <a:spcAft>
              <a:spcPct val="35000"/>
            </a:spcAft>
          </a:pPr>
          <a:r>
            <a:rPr lang="zh-CN" sz="950" b="1"/>
            <a:t>红星公园</a:t>
          </a:r>
        </a:p>
      </dgm:t>
    </dgm:pt>
    <dgm:pt modelId="{1CBF4651-EAC6-4DB2-8454-614819F4E564}" cxnId="{0B1F5B4A-D4A3-4F48-9EDF-B8A22774A339}" type="parTrans">
      <dgm:prSet/>
      <dgm:spPr/>
    </dgm:pt>
    <dgm:pt modelId="{A26B3FAF-B154-4598-A661-F77EE3F646D0}" cxnId="{0B1F5B4A-D4A3-4F48-9EDF-B8A22774A339}" type="sibTrans">
      <dgm:prSet/>
      <dgm:spPr/>
    </dgm:pt>
    <dgm:pt modelId="{F2335893-10A2-4D56-B653-EDD6EB7224BB}">
      <dgm:prSet phldr="0" custT="1"/>
      <dgm:spPr/>
      <dgm:t>
        <a:bodyPr vert="horz" wrap="square"/>
        <a:p>
          <a:pPr>
            <a:lnSpc>
              <a:spcPct val="100000"/>
            </a:lnSpc>
            <a:spcBef>
              <a:spcPct val="0"/>
            </a:spcBef>
            <a:spcAft>
              <a:spcPct val="35000"/>
            </a:spcAft>
          </a:pPr>
          <a:r>
            <a:rPr lang="zh-CN" sz="950" b="1"/>
            <a:t>湿地公园</a:t>
          </a:r>
        </a:p>
      </dgm:t>
    </dgm:pt>
    <dgm:pt modelId="{5AF5ADFB-E7E4-4F5A-9737-FB54B190F72C}" cxnId="{132794CF-FA51-4B28-8831-FEECC535212B}" type="parTrans">
      <dgm:prSet/>
      <dgm:spPr/>
    </dgm:pt>
    <dgm:pt modelId="{8957F72D-BB97-44F3-8786-EB49B9D9D927}" cxnId="{132794CF-FA51-4B28-8831-FEECC535212B}" type="sibTrans">
      <dgm:prSet/>
      <dgm:spPr/>
    </dgm:pt>
    <dgm:pt modelId="{E721092F-FDA0-41CD-B5B2-9A407AC82AFB}">
      <dgm:prSet phldr="0" custT="1"/>
      <dgm:spPr/>
      <dgm:t>
        <a:bodyPr vert="horz" wrap="square"/>
        <a:p>
          <a:pPr>
            <a:lnSpc>
              <a:spcPct val="100000"/>
            </a:lnSpc>
            <a:spcBef>
              <a:spcPct val="0"/>
            </a:spcBef>
            <a:spcAft>
              <a:spcPct val="35000"/>
            </a:spcAft>
          </a:pPr>
          <a:r>
            <a:rPr lang="zh-CN" sz="950" b="1"/>
            <a:t>凤凰山公园</a:t>
          </a:r>
        </a:p>
      </dgm:t>
    </dgm:pt>
    <dgm:pt modelId="{C44738DB-7485-4CDC-B61E-16C8697D7254}" cxnId="{82C24D7A-21B4-4D44-8E09-887EC44BDF0A}" type="parTrans">
      <dgm:prSet/>
      <dgm:spPr/>
    </dgm:pt>
    <dgm:pt modelId="{A43E700C-0749-462E-B5F6-FBD4115F52B2}" cxnId="{82C24D7A-21B4-4D44-8E09-887EC44BDF0A}" type="sibTrans">
      <dgm:prSet/>
      <dgm:spPr/>
    </dgm:pt>
    <dgm:pt modelId="{E498DC9C-C5AC-4482-A26F-3B99DC5D79F0}" type="pres">
      <dgm:prSet presAssocID="{A77D31B3-3808-4FBA-8FA4-CC8D448A173E}" presName="hierChild1" presStyleCnt="0">
        <dgm:presLayoutVars>
          <dgm:orgChart val="1"/>
          <dgm:chPref val="1"/>
          <dgm:dir val="rev"/>
          <dgm:animOne val="branch"/>
          <dgm:animLvl val="lvl"/>
          <dgm:resizeHandles/>
        </dgm:presLayoutVars>
      </dgm:prSet>
      <dgm:spPr/>
    </dgm:pt>
    <dgm:pt modelId="{25ADC70F-A7E9-405B-878B-58F5E373D3E0}" type="pres">
      <dgm:prSet presAssocID="{D4DB8080-BF18-46F9-914E-891DA7EE3CE8}" presName="hierRoot1" presStyleCnt="0">
        <dgm:presLayoutVars>
          <dgm:hierBranch val="init"/>
        </dgm:presLayoutVars>
      </dgm:prSet>
      <dgm:spPr/>
    </dgm:pt>
    <dgm:pt modelId="{2EE19359-8834-43DA-AD2F-2EF687AD4135}" type="pres">
      <dgm:prSet presAssocID="{D4DB8080-BF18-46F9-914E-891DA7EE3CE8}" presName="rootComposite1" presStyleCnt="0"/>
      <dgm:spPr/>
    </dgm:pt>
    <dgm:pt modelId="{548429D0-4959-45CE-9F1B-55D8B5528792}" type="pres">
      <dgm:prSet presAssocID="{D4DB8080-BF18-46F9-914E-891DA7EE3CE8}" presName="rootText1" presStyleLbl="node0" presStyleIdx="0" presStyleCnt="1">
        <dgm:presLayoutVars>
          <dgm:chPref val="3"/>
        </dgm:presLayoutVars>
      </dgm:prSet>
      <dgm:spPr/>
    </dgm:pt>
    <dgm:pt modelId="{FE1027BA-E880-4B94-A74D-A4B319508BAB}" type="pres">
      <dgm:prSet presAssocID="{D4DB8080-BF18-46F9-914E-891DA7EE3CE8}" presName="rootConnector1" presStyleLbl="node1" presStyleIdx="0" presStyleCnt="0"/>
      <dgm:spPr/>
    </dgm:pt>
    <dgm:pt modelId="{36630B76-8CAA-496E-8BB0-6F9D391C33CA}" type="pres">
      <dgm:prSet presAssocID="{D4DB8080-BF18-46F9-914E-891DA7EE3CE8}" presName="hierChild2" presStyleCnt="0"/>
      <dgm:spPr/>
    </dgm:pt>
    <dgm:pt modelId="{520D8E41-6A18-4A1A-B736-084E94AE52CF}" type="pres">
      <dgm:prSet presAssocID="{AB39B06D-FE6C-48B2-B5B4-77CD0C8CF7AD}" presName="Name37" presStyleLbl="parChTrans1D2" presStyleIdx="0" presStyleCnt="1"/>
      <dgm:spPr/>
    </dgm:pt>
    <dgm:pt modelId="{77F41637-9AF4-4F1F-AA02-DC8FDAB3C82B}" type="pres">
      <dgm:prSet presAssocID="{47C757F0-AA23-46BE-9311-EA432CDEEAA1}" presName="hierRoot2" presStyleCnt="0">
        <dgm:presLayoutVars>
          <dgm:hierBranch/>
        </dgm:presLayoutVars>
      </dgm:prSet>
      <dgm:spPr/>
    </dgm:pt>
    <dgm:pt modelId="{C5FD5C45-29B1-4F0A-AAA8-09F55C7CD3D3}" type="pres">
      <dgm:prSet presAssocID="{47C757F0-AA23-46BE-9311-EA432CDEEAA1}" presName="rootComposite" presStyleCnt="0"/>
      <dgm:spPr/>
    </dgm:pt>
    <dgm:pt modelId="{4F313537-711D-4E90-AC2F-1293DB22AEFC}" type="pres">
      <dgm:prSet presAssocID="{47C757F0-AA23-46BE-9311-EA432CDEEAA1}" presName="rootText" presStyleLbl="node2" presStyleIdx="0" presStyleCnt="1">
        <dgm:presLayoutVars>
          <dgm:chPref val="3"/>
        </dgm:presLayoutVars>
      </dgm:prSet>
      <dgm:spPr/>
    </dgm:pt>
    <dgm:pt modelId="{E99EC1B2-2649-444F-97E7-99F97C534125}" type="pres">
      <dgm:prSet presAssocID="{47C757F0-AA23-46BE-9311-EA432CDEEAA1}" presName="rootConnector" presStyleLbl="node2" presStyleIdx="0" presStyleCnt="1"/>
      <dgm:spPr/>
    </dgm:pt>
    <dgm:pt modelId="{F0165290-5938-41E5-9E43-F598B83B13C2}" type="pres">
      <dgm:prSet presAssocID="{47C757F0-AA23-46BE-9311-EA432CDEEAA1}" presName="hierChild4" presStyleCnt="0"/>
      <dgm:spPr/>
    </dgm:pt>
    <dgm:pt modelId="{A7169207-4774-4460-8261-3A5E6C26367F}" type="pres">
      <dgm:prSet presAssocID="{DDDF17B6-4880-480D-BE1A-45E0EFEC4C51}" presName="Name35" presStyleLbl="parChTrans1D3" presStyleIdx="0" presStyleCnt="1"/>
      <dgm:spPr/>
    </dgm:pt>
    <dgm:pt modelId="{7C4FDB6E-BE14-456A-9640-38816894E4FF}" type="pres">
      <dgm:prSet presAssocID="{038F7370-823C-4BA3-957C-76B74C1E13C0}" presName="hierRoot2" presStyleCnt="0">
        <dgm:presLayoutVars>
          <dgm:hierBranch/>
        </dgm:presLayoutVars>
      </dgm:prSet>
      <dgm:spPr/>
    </dgm:pt>
    <dgm:pt modelId="{B0A92391-ADC2-44EC-8F10-045613A73D90}" type="pres">
      <dgm:prSet presAssocID="{038F7370-823C-4BA3-957C-76B74C1E13C0}" presName="rootComposite" presStyleCnt="0"/>
      <dgm:spPr/>
    </dgm:pt>
    <dgm:pt modelId="{09E6C6DC-6711-429D-BFF2-CFF65AEE764F}" type="pres">
      <dgm:prSet presAssocID="{038F7370-823C-4BA3-957C-76B74C1E13C0}" presName="rootText" presStyleLbl="node3" presStyleIdx="0" presStyleCnt="1">
        <dgm:presLayoutVars>
          <dgm:chPref val="3"/>
        </dgm:presLayoutVars>
      </dgm:prSet>
      <dgm:spPr/>
    </dgm:pt>
    <dgm:pt modelId="{FAE981DF-221D-4820-B57E-B3F6FDF04489}" type="pres">
      <dgm:prSet presAssocID="{038F7370-823C-4BA3-957C-76B74C1E13C0}" presName="rootConnector" presStyleLbl="node3" presStyleIdx="0" presStyleCnt="1"/>
      <dgm:spPr/>
    </dgm:pt>
    <dgm:pt modelId="{6F7E435B-7C43-4BC8-868C-21D13121BE13}" type="pres">
      <dgm:prSet presAssocID="{038F7370-823C-4BA3-957C-76B74C1E13C0}" presName="hierChild4" presStyleCnt="0"/>
      <dgm:spPr/>
    </dgm:pt>
    <dgm:pt modelId="{C4AFDE71-B4A8-4973-8E5B-D1AD186CCD79}" type="pres">
      <dgm:prSet presAssocID="{80AA4443-E6FD-47C4-8B76-01769741B66D}" presName="Name35" presStyleLbl="parChTrans1D4" presStyleIdx="0" presStyleCnt="7"/>
      <dgm:spPr/>
    </dgm:pt>
    <dgm:pt modelId="{DE0E98AC-CA8B-479B-A887-660B1ADCEF2F}" type="pres">
      <dgm:prSet presAssocID="{A28A005B-24C7-45D3-8E23-AF80EF2C8667}" presName="hierRoot2" presStyleCnt="0">
        <dgm:presLayoutVars>
          <dgm:hierBranch val="init"/>
        </dgm:presLayoutVars>
      </dgm:prSet>
      <dgm:spPr/>
    </dgm:pt>
    <dgm:pt modelId="{88A4D9B1-3E6B-4EFB-A232-39D4E838C816}" type="pres">
      <dgm:prSet presAssocID="{A28A005B-24C7-45D3-8E23-AF80EF2C8667}" presName="rootComposite" presStyleCnt="0"/>
      <dgm:spPr/>
    </dgm:pt>
    <dgm:pt modelId="{A8EA43F0-1412-4974-9969-21E76FC1AFF6}" type="pres">
      <dgm:prSet presAssocID="{A28A005B-24C7-45D3-8E23-AF80EF2C8667}" presName="rootText" presStyleLbl="node4" presStyleIdx="0" presStyleCnt="7">
        <dgm:presLayoutVars>
          <dgm:chPref val="3"/>
        </dgm:presLayoutVars>
      </dgm:prSet>
      <dgm:spPr/>
    </dgm:pt>
    <dgm:pt modelId="{620844EF-DE81-441F-BAF0-F2D3EF22ACDE}" type="pres">
      <dgm:prSet presAssocID="{A28A005B-24C7-45D3-8E23-AF80EF2C8667}" presName="rootConnector" presStyleLbl="node4" presStyleIdx="0" presStyleCnt="7"/>
      <dgm:spPr/>
    </dgm:pt>
    <dgm:pt modelId="{4C8A2C59-4D76-4228-AD49-F5BA2994CA92}" type="pres">
      <dgm:prSet presAssocID="{A28A005B-24C7-45D3-8E23-AF80EF2C8667}" presName="hierChild4" presStyleCnt="0"/>
      <dgm:spPr/>
    </dgm:pt>
    <dgm:pt modelId="{120B5259-E867-403F-8090-B4620428BF3E}" type="pres">
      <dgm:prSet presAssocID="{A28A005B-24C7-45D3-8E23-AF80EF2C8667}" presName="hierChild5" presStyleCnt="0"/>
      <dgm:spPr/>
    </dgm:pt>
    <dgm:pt modelId="{EA174B30-A9F4-4593-8CDD-983277FAE01F}" type="pres">
      <dgm:prSet presAssocID="{D98B4EFF-AC4B-4CB6-B0AF-EC1358EAC204}" presName="Name35" presStyleLbl="parChTrans1D4" presStyleIdx="1" presStyleCnt="7"/>
      <dgm:spPr/>
    </dgm:pt>
    <dgm:pt modelId="{0E7343C2-97A0-43F8-A275-BF99E33A44B6}" type="pres">
      <dgm:prSet presAssocID="{F6189581-3965-4F63-BB03-AC9C354E133A}" presName="hierRoot2" presStyleCnt="0">
        <dgm:presLayoutVars>
          <dgm:hierBranch val="init"/>
        </dgm:presLayoutVars>
      </dgm:prSet>
      <dgm:spPr/>
    </dgm:pt>
    <dgm:pt modelId="{67C3F5C7-8F49-42EB-A0B0-9F364281E1CF}" type="pres">
      <dgm:prSet presAssocID="{F6189581-3965-4F63-BB03-AC9C354E133A}" presName="rootComposite" presStyleCnt="0"/>
      <dgm:spPr/>
    </dgm:pt>
    <dgm:pt modelId="{130444B1-E42E-4B9B-8EC7-3F6DBA6992F6}" type="pres">
      <dgm:prSet presAssocID="{F6189581-3965-4F63-BB03-AC9C354E133A}" presName="rootText" presStyleLbl="node4" presStyleIdx="1" presStyleCnt="7">
        <dgm:presLayoutVars>
          <dgm:chPref val="3"/>
        </dgm:presLayoutVars>
      </dgm:prSet>
      <dgm:spPr/>
    </dgm:pt>
    <dgm:pt modelId="{B01C76B2-423D-417C-B04F-21D287FBBBE8}" type="pres">
      <dgm:prSet presAssocID="{F6189581-3965-4F63-BB03-AC9C354E133A}" presName="rootConnector" presStyleLbl="node4" presStyleIdx="1" presStyleCnt="7"/>
      <dgm:spPr/>
    </dgm:pt>
    <dgm:pt modelId="{531ECFF1-69B1-4A6E-9A83-117D70F0A465}" type="pres">
      <dgm:prSet presAssocID="{F6189581-3965-4F63-BB03-AC9C354E133A}" presName="hierChild4" presStyleCnt="0"/>
      <dgm:spPr/>
    </dgm:pt>
    <dgm:pt modelId="{16C37085-9609-49B3-8A9C-B1536CDB0FCB}" type="pres">
      <dgm:prSet presAssocID="{F6189581-3965-4F63-BB03-AC9C354E133A}" presName="hierChild5" presStyleCnt="0"/>
      <dgm:spPr/>
    </dgm:pt>
    <dgm:pt modelId="{566B04C6-D361-4ABB-8411-374659B7A426}" type="pres">
      <dgm:prSet presAssocID="{C52D8F05-A956-424B-BFB5-D1C904210BA8}" presName="Name35" presStyleLbl="parChTrans1D4" presStyleIdx="2" presStyleCnt="7"/>
      <dgm:spPr/>
    </dgm:pt>
    <dgm:pt modelId="{2C5631F1-996C-4601-93F5-7E903CABCB49}" type="pres">
      <dgm:prSet presAssocID="{2659DCC7-6A4F-4144-BC55-58D5AF5F76AF}" presName="hierRoot2" presStyleCnt="0">
        <dgm:presLayoutVars>
          <dgm:hierBranch val="init"/>
        </dgm:presLayoutVars>
      </dgm:prSet>
      <dgm:spPr/>
    </dgm:pt>
    <dgm:pt modelId="{CB3F7C3B-87B9-4AF7-83D1-2D4F22F3A677}" type="pres">
      <dgm:prSet presAssocID="{2659DCC7-6A4F-4144-BC55-58D5AF5F76AF}" presName="rootComposite" presStyleCnt="0"/>
      <dgm:spPr/>
    </dgm:pt>
    <dgm:pt modelId="{E114033E-2914-4A5A-87BC-39D5E9885BC8}" type="pres">
      <dgm:prSet presAssocID="{2659DCC7-6A4F-4144-BC55-58D5AF5F76AF}" presName="rootText" presStyleLbl="node4" presStyleIdx="2" presStyleCnt="7">
        <dgm:presLayoutVars>
          <dgm:chPref val="3"/>
        </dgm:presLayoutVars>
      </dgm:prSet>
      <dgm:spPr/>
    </dgm:pt>
    <dgm:pt modelId="{5E60A862-64B9-44E0-BB8C-0E3194CCABD5}" type="pres">
      <dgm:prSet presAssocID="{2659DCC7-6A4F-4144-BC55-58D5AF5F76AF}" presName="rootConnector" presStyleLbl="node4" presStyleIdx="2" presStyleCnt="7"/>
      <dgm:spPr/>
    </dgm:pt>
    <dgm:pt modelId="{00769896-AFCA-4B11-B12D-965CCB72FA4C}" type="pres">
      <dgm:prSet presAssocID="{2659DCC7-6A4F-4144-BC55-58D5AF5F76AF}" presName="hierChild4" presStyleCnt="0"/>
      <dgm:spPr/>
    </dgm:pt>
    <dgm:pt modelId="{6612E4B0-8C6D-4240-9EF8-69074953CCA3}" type="pres">
      <dgm:prSet presAssocID="{2659DCC7-6A4F-4144-BC55-58D5AF5F76AF}" presName="hierChild5" presStyleCnt="0"/>
      <dgm:spPr/>
    </dgm:pt>
    <dgm:pt modelId="{892F8B8A-E0E4-45ED-8F57-7A7AFE1AE828}" type="pres">
      <dgm:prSet presAssocID="{14142E90-8E49-4AE8-A3F7-093826BB5621}" presName="Name35" presStyleLbl="parChTrans1D4" presStyleIdx="3" presStyleCnt="7"/>
      <dgm:spPr/>
    </dgm:pt>
    <dgm:pt modelId="{BB56CABD-46DE-49FD-B562-2F8A6E5453FF}" type="pres">
      <dgm:prSet presAssocID="{27AE2A84-043C-47E4-9F76-EF4AFF8BED0D}" presName="hierRoot2" presStyleCnt="0">
        <dgm:presLayoutVars>
          <dgm:hierBranch val="init"/>
        </dgm:presLayoutVars>
      </dgm:prSet>
      <dgm:spPr/>
    </dgm:pt>
    <dgm:pt modelId="{61699661-6872-47E0-82D2-68752E87F3BF}" type="pres">
      <dgm:prSet presAssocID="{27AE2A84-043C-47E4-9F76-EF4AFF8BED0D}" presName="rootComposite" presStyleCnt="0"/>
      <dgm:spPr/>
    </dgm:pt>
    <dgm:pt modelId="{60518649-A13B-41CD-8EDC-BA0342D4EDF2}" type="pres">
      <dgm:prSet presAssocID="{27AE2A84-043C-47E4-9F76-EF4AFF8BED0D}" presName="rootText" presStyleLbl="node4" presStyleIdx="3" presStyleCnt="7">
        <dgm:presLayoutVars>
          <dgm:chPref val="3"/>
        </dgm:presLayoutVars>
      </dgm:prSet>
      <dgm:spPr/>
    </dgm:pt>
    <dgm:pt modelId="{4BD9941B-A042-4B95-B1A8-6429D831C634}" type="pres">
      <dgm:prSet presAssocID="{27AE2A84-043C-47E4-9F76-EF4AFF8BED0D}" presName="rootConnector" presStyleLbl="node4" presStyleIdx="3" presStyleCnt="7"/>
      <dgm:spPr/>
    </dgm:pt>
    <dgm:pt modelId="{0BD6F597-8F39-4CCD-AA9B-5D6668CEAA73}" type="pres">
      <dgm:prSet presAssocID="{27AE2A84-043C-47E4-9F76-EF4AFF8BED0D}" presName="hierChild4" presStyleCnt="0"/>
      <dgm:spPr/>
    </dgm:pt>
    <dgm:pt modelId="{20C7A246-69FF-44F6-838F-E7CB2C8522B5}" type="pres">
      <dgm:prSet presAssocID="{27AE2A84-043C-47E4-9F76-EF4AFF8BED0D}" presName="hierChild5" presStyleCnt="0"/>
      <dgm:spPr/>
    </dgm:pt>
    <dgm:pt modelId="{ACF6B2DC-195F-4D2A-B4FA-A88FBE380472}" type="pres">
      <dgm:prSet presAssocID="{1CBF4651-EAC6-4DB2-8454-614819F4E564}" presName="Name35" presStyleLbl="parChTrans1D4" presStyleIdx="4" presStyleCnt="7"/>
      <dgm:spPr/>
    </dgm:pt>
    <dgm:pt modelId="{25EB0CE7-A564-4C40-A218-FFEEC85D2312}" type="pres">
      <dgm:prSet presAssocID="{7C8F3D6F-33E4-4628-899B-AA4EC95D4819}" presName="hierRoot2" presStyleCnt="0">
        <dgm:presLayoutVars>
          <dgm:hierBranch val="init"/>
        </dgm:presLayoutVars>
      </dgm:prSet>
      <dgm:spPr/>
    </dgm:pt>
    <dgm:pt modelId="{E93D8C85-10C8-4338-B0A4-A9A72800789F}" type="pres">
      <dgm:prSet presAssocID="{7C8F3D6F-33E4-4628-899B-AA4EC95D4819}" presName="rootComposite" presStyleCnt="0"/>
      <dgm:spPr/>
    </dgm:pt>
    <dgm:pt modelId="{AEDE2EE1-B25F-47BC-A5F2-17A6D96734CF}" type="pres">
      <dgm:prSet presAssocID="{7C8F3D6F-33E4-4628-899B-AA4EC95D4819}" presName="rootText" presStyleLbl="node4" presStyleIdx="4" presStyleCnt="7">
        <dgm:presLayoutVars>
          <dgm:chPref val="3"/>
        </dgm:presLayoutVars>
      </dgm:prSet>
      <dgm:spPr/>
    </dgm:pt>
    <dgm:pt modelId="{442DDA63-7C85-4323-A69C-F76861049D27}" type="pres">
      <dgm:prSet presAssocID="{7C8F3D6F-33E4-4628-899B-AA4EC95D4819}" presName="rootConnector" presStyleLbl="node4" presStyleIdx="4" presStyleCnt="7"/>
      <dgm:spPr/>
    </dgm:pt>
    <dgm:pt modelId="{2CE91C0A-5F64-4AB2-8B54-0D2985237E6E}" type="pres">
      <dgm:prSet presAssocID="{7C8F3D6F-33E4-4628-899B-AA4EC95D4819}" presName="hierChild4" presStyleCnt="0"/>
      <dgm:spPr/>
    </dgm:pt>
    <dgm:pt modelId="{FD3EE63D-8F88-40CA-8DD0-C201F996ED66}" type="pres">
      <dgm:prSet presAssocID="{7C8F3D6F-33E4-4628-899B-AA4EC95D4819}" presName="hierChild5" presStyleCnt="0"/>
      <dgm:spPr/>
    </dgm:pt>
    <dgm:pt modelId="{C7B955B4-AFC3-40A3-A8EF-B4F4FBB07AE6}" type="pres">
      <dgm:prSet presAssocID="{5AF5ADFB-E7E4-4F5A-9737-FB54B190F72C}" presName="Name35" presStyleLbl="parChTrans1D4" presStyleIdx="5" presStyleCnt="7"/>
      <dgm:spPr/>
    </dgm:pt>
    <dgm:pt modelId="{268F46C9-5789-449C-B139-0E73F137502C}" type="pres">
      <dgm:prSet presAssocID="{F2335893-10A2-4D56-B653-EDD6EB7224BB}" presName="hierRoot2" presStyleCnt="0">
        <dgm:presLayoutVars>
          <dgm:hierBranch val="init"/>
        </dgm:presLayoutVars>
      </dgm:prSet>
      <dgm:spPr/>
    </dgm:pt>
    <dgm:pt modelId="{0627F952-213C-49A4-879F-1A296313DE8A}" type="pres">
      <dgm:prSet presAssocID="{F2335893-10A2-4D56-B653-EDD6EB7224BB}" presName="rootComposite" presStyleCnt="0"/>
      <dgm:spPr/>
    </dgm:pt>
    <dgm:pt modelId="{B6C20806-61AF-41E3-AFAA-B5CEBEFE8567}" type="pres">
      <dgm:prSet presAssocID="{F2335893-10A2-4D56-B653-EDD6EB7224BB}" presName="rootText" presStyleLbl="node4" presStyleIdx="5" presStyleCnt="7">
        <dgm:presLayoutVars>
          <dgm:chPref val="3"/>
        </dgm:presLayoutVars>
      </dgm:prSet>
      <dgm:spPr/>
    </dgm:pt>
    <dgm:pt modelId="{D1D8DBE2-B54E-4B37-88BE-16A85F6E27EB}" type="pres">
      <dgm:prSet presAssocID="{F2335893-10A2-4D56-B653-EDD6EB7224BB}" presName="rootConnector" presStyleLbl="node4" presStyleIdx="5" presStyleCnt="7"/>
      <dgm:spPr/>
    </dgm:pt>
    <dgm:pt modelId="{EAD08414-2D6A-465D-9623-940B69C44727}" type="pres">
      <dgm:prSet presAssocID="{F2335893-10A2-4D56-B653-EDD6EB7224BB}" presName="hierChild4" presStyleCnt="0"/>
      <dgm:spPr/>
    </dgm:pt>
    <dgm:pt modelId="{9B0B38F5-A836-4D37-B9D5-6ED188A2B58D}" type="pres">
      <dgm:prSet presAssocID="{F2335893-10A2-4D56-B653-EDD6EB7224BB}" presName="hierChild5" presStyleCnt="0"/>
      <dgm:spPr/>
    </dgm:pt>
    <dgm:pt modelId="{C58F17CA-8825-4626-A6B7-E7C094E5AF5B}" type="pres">
      <dgm:prSet presAssocID="{C44738DB-7485-4CDC-B61E-16C8697D7254}" presName="Name35" presStyleLbl="parChTrans1D4" presStyleIdx="6" presStyleCnt="7"/>
      <dgm:spPr/>
    </dgm:pt>
    <dgm:pt modelId="{E79CD580-947C-41DC-97C9-098ED9C28B94}" type="pres">
      <dgm:prSet presAssocID="{E721092F-FDA0-41CD-B5B2-9A407AC82AFB}" presName="hierRoot2" presStyleCnt="0">
        <dgm:presLayoutVars>
          <dgm:hierBranch val="init"/>
        </dgm:presLayoutVars>
      </dgm:prSet>
      <dgm:spPr/>
    </dgm:pt>
    <dgm:pt modelId="{D9EF50DB-B5EC-4EF0-AB46-FA85238404FA}" type="pres">
      <dgm:prSet presAssocID="{E721092F-FDA0-41CD-B5B2-9A407AC82AFB}" presName="rootComposite" presStyleCnt="0"/>
      <dgm:spPr/>
    </dgm:pt>
    <dgm:pt modelId="{AADA8437-AB16-41D4-BA50-D35E72C14255}" type="pres">
      <dgm:prSet presAssocID="{E721092F-FDA0-41CD-B5B2-9A407AC82AFB}" presName="rootText" presStyleLbl="node4" presStyleIdx="6" presStyleCnt="7">
        <dgm:presLayoutVars>
          <dgm:chPref val="3"/>
        </dgm:presLayoutVars>
      </dgm:prSet>
      <dgm:spPr/>
    </dgm:pt>
    <dgm:pt modelId="{DEBA06D8-2824-4D1C-B072-8AB341DFE630}" type="pres">
      <dgm:prSet presAssocID="{E721092F-FDA0-41CD-B5B2-9A407AC82AFB}" presName="rootConnector" presStyleLbl="node4" presStyleIdx="6" presStyleCnt="7"/>
      <dgm:spPr/>
    </dgm:pt>
    <dgm:pt modelId="{F5235455-18E2-4BA4-84C9-84CEFBFFEC3E}" type="pres">
      <dgm:prSet presAssocID="{E721092F-FDA0-41CD-B5B2-9A407AC82AFB}" presName="hierChild4" presStyleCnt="0"/>
      <dgm:spPr/>
    </dgm:pt>
    <dgm:pt modelId="{4877BC0F-C782-4A99-9F78-176EB4B34DB3}" type="pres">
      <dgm:prSet presAssocID="{E721092F-FDA0-41CD-B5B2-9A407AC82AFB}" presName="hierChild5" presStyleCnt="0"/>
      <dgm:spPr/>
    </dgm:pt>
    <dgm:pt modelId="{AD5C2BB3-450D-4FE8-8A64-A5FD211B6154}" type="pres">
      <dgm:prSet presAssocID="{038F7370-823C-4BA3-957C-76B74C1E13C0}" presName="hierChild5" presStyleCnt="0"/>
      <dgm:spPr/>
    </dgm:pt>
    <dgm:pt modelId="{CEA4362A-AF6D-423F-8B8D-0EE4D6071B22}" type="pres">
      <dgm:prSet presAssocID="{47C757F0-AA23-46BE-9311-EA432CDEEAA1}" presName="hierChild5" presStyleCnt="0"/>
      <dgm:spPr/>
    </dgm:pt>
    <dgm:pt modelId="{8E9BA135-8CAB-41C7-BF73-CCCCB5D528C5}" type="pres">
      <dgm:prSet presAssocID="{D4DB8080-BF18-46F9-914E-891DA7EE3CE8}" presName="hierChild3" presStyleCnt="0"/>
      <dgm:spPr/>
    </dgm:pt>
  </dgm:ptLst>
  <dgm:cxnLst>
    <dgm:cxn modelId="{DB9CF700-45ED-49C4-90D9-3788F6A290EC}" srcId="{038F7370-823C-4BA3-957C-76B74C1E13C0}" destId="{2659DCC7-6A4F-4144-BC55-58D5AF5F76AF}" srcOrd="2" destOrd="0" parTransId="{C52D8F05-A956-424B-BFB5-D1C904210BA8}" sibTransId="{B3C97DF9-6822-4283-A0AE-F3D2C8E5F9BC}"/>
    <dgm:cxn modelId="{B0417F03-B7F6-49B6-A36E-F9EC580009DD}" type="presOf" srcId="{47C757F0-AA23-46BE-9311-EA432CDEEAA1}" destId="{C5FD5C45-29B1-4F0A-AAA8-09F55C7CD3D3}" srcOrd="0" destOrd="0" presId="urn:microsoft.com/office/officeart/2005/8/layout/orgChart1#4"/>
    <dgm:cxn modelId="{C681950A-4449-46A8-90B6-D40B7309B8D8}" type="presOf" srcId="{A28A005B-24C7-45D3-8E23-AF80EF2C8667}" destId="{88A4D9B1-3E6B-4EFB-A232-39D4E838C816}" srcOrd="0" destOrd="0" presId="urn:microsoft.com/office/officeart/2005/8/layout/orgChart1#4"/>
    <dgm:cxn modelId="{BB99CB23-F656-4A22-87B9-E6C8E3194706}" type="presOf" srcId="{7C8F3D6F-33E4-4628-899B-AA4EC95D4819}" destId="{E93D8C85-10C8-4338-B0A4-A9A72800789F}" srcOrd="0" destOrd="0" presId="urn:microsoft.com/office/officeart/2005/8/layout/orgChart1#4"/>
    <dgm:cxn modelId="{45BBB425-97E2-4C05-B5DB-5FE114F7D49F}" type="presOf" srcId="{E721092F-FDA0-41CD-B5B2-9A407AC82AFB}" destId="{D9EF50DB-B5EC-4EF0-AB46-FA85238404FA}" srcOrd="0" destOrd="0" presId="urn:microsoft.com/office/officeart/2005/8/layout/orgChart1#4"/>
    <dgm:cxn modelId="{28E1372D-EB59-423F-A7C2-D2840121930B}" srcId="{A77D31B3-3808-4FBA-8FA4-CC8D448A173E}" destId="{D4DB8080-BF18-46F9-914E-891DA7EE3CE8}" srcOrd="0" destOrd="0" parTransId="{BC11F66E-9EAB-4D4D-9B1A-AB0A6A3E8A49}" sibTransId="{B1C45B18-0396-47E7-8750-B7D6BCEEEDF1}"/>
    <dgm:cxn modelId="{BDA2EE2F-0151-4A52-9F13-8DD7EFE28C23}" type="presOf" srcId="{F2335893-10A2-4D56-B653-EDD6EB7224BB}" destId="{0627F952-213C-49A4-879F-1A296313DE8A}" srcOrd="0" destOrd="0" presId="urn:microsoft.com/office/officeart/2005/8/layout/orgChart1#4"/>
    <dgm:cxn modelId="{78F3CC31-D98E-4A17-AFDC-645262371584}" type="presOf" srcId="{47C757F0-AA23-46BE-9311-EA432CDEEAA1}" destId="{E99EC1B2-2649-444F-97E7-99F97C534125}" srcOrd="2" destOrd="0" presId="urn:microsoft.com/office/officeart/2005/8/layout/orgChart1#4"/>
    <dgm:cxn modelId="{D7AEC542-E0EE-4257-9400-6EDAAE75015F}" srcId="{038F7370-823C-4BA3-957C-76B74C1E13C0}" destId="{A28A005B-24C7-45D3-8E23-AF80EF2C8667}" srcOrd="0" destOrd="0" parTransId="{80AA4443-E6FD-47C4-8B76-01769741B66D}" sibTransId="{11DA1480-511A-40AD-8A2D-3EB856310C4C}"/>
    <dgm:cxn modelId="{F1346A43-644B-4ED0-BE8A-5834B0A645C8}" type="presOf" srcId="{F6189581-3965-4F63-BB03-AC9C354E133A}" destId="{B01C76B2-423D-417C-B04F-21D287FBBBE8}" srcOrd="2" destOrd="0" presId="urn:microsoft.com/office/officeart/2005/8/layout/orgChart1#4"/>
    <dgm:cxn modelId="{A168C664-E76B-4963-8A5E-8399BE7BDBB7}" type="presOf" srcId="{F2335893-10A2-4D56-B653-EDD6EB7224BB}" destId="{D1D8DBE2-B54E-4B37-88BE-16A85F6E27EB}" srcOrd="2" destOrd="0" presId="urn:microsoft.com/office/officeart/2005/8/layout/orgChart1#4"/>
    <dgm:cxn modelId="{20E7234A-6172-4E21-8867-023A4B32F8CE}" type="presOf" srcId="{A28A005B-24C7-45D3-8E23-AF80EF2C8667}" destId="{A8EA43F0-1412-4974-9969-21E76FC1AFF6}" srcOrd="1" destOrd="0" presId="urn:microsoft.com/office/officeart/2005/8/layout/orgChart1#4"/>
    <dgm:cxn modelId="{0B1F5B4A-D4A3-4F48-9EDF-B8A22774A339}" srcId="{038F7370-823C-4BA3-957C-76B74C1E13C0}" destId="{7C8F3D6F-33E4-4628-899B-AA4EC95D4819}" srcOrd="4" destOrd="0" parTransId="{1CBF4651-EAC6-4DB2-8454-614819F4E564}" sibTransId="{A26B3FAF-B154-4598-A661-F77EE3F646D0}"/>
    <dgm:cxn modelId="{A944E26A-0800-4F73-A087-7AB4D17D53B0}" type="presOf" srcId="{C52D8F05-A956-424B-BFB5-D1C904210BA8}" destId="{566B04C6-D361-4ABB-8411-374659B7A426}" srcOrd="0" destOrd="0" presId="urn:microsoft.com/office/officeart/2005/8/layout/orgChart1#4"/>
    <dgm:cxn modelId="{E524BF6B-DC07-44AB-AFBE-D42A45D29BB5}" type="presOf" srcId="{47C757F0-AA23-46BE-9311-EA432CDEEAA1}" destId="{4F313537-711D-4E90-AC2F-1293DB22AEFC}" srcOrd="1" destOrd="0" presId="urn:microsoft.com/office/officeart/2005/8/layout/orgChart1#4"/>
    <dgm:cxn modelId="{86EFF66B-ADD0-4240-AE05-DDE0208129D3}" srcId="{D4DB8080-BF18-46F9-914E-891DA7EE3CE8}" destId="{47C757F0-AA23-46BE-9311-EA432CDEEAA1}" srcOrd="0" destOrd="0" parTransId="{AB39B06D-FE6C-48B2-B5B4-77CD0C8CF7AD}" sibTransId="{DF0D1C21-B79E-4875-B7FA-EF183CB48B88}"/>
    <dgm:cxn modelId="{9E408E73-E18F-400C-A750-809D06DF8652}" type="presOf" srcId="{AB39B06D-FE6C-48B2-B5B4-77CD0C8CF7AD}" destId="{520D8E41-6A18-4A1A-B736-084E94AE52CF}" srcOrd="0" destOrd="0" presId="urn:microsoft.com/office/officeart/2005/8/layout/orgChart1#4"/>
    <dgm:cxn modelId="{279FBD76-FA30-4436-8FB7-53B9D8A10394}" type="presOf" srcId="{E721092F-FDA0-41CD-B5B2-9A407AC82AFB}" destId="{DEBA06D8-2824-4D1C-B072-8AB341DFE630}" srcOrd="2" destOrd="0" presId="urn:microsoft.com/office/officeart/2005/8/layout/orgChart1#4"/>
    <dgm:cxn modelId="{82C24D7A-21B4-4D44-8E09-887EC44BDF0A}" srcId="{038F7370-823C-4BA3-957C-76B74C1E13C0}" destId="{E721092F-FDA0-41CD-B5B2-9A407AC82AFB}" srcOrd="6" destOrd="0" parTransId="{C44738DB-7485-4CDC-B61E-16C8697D7254}" sibTransId="{A43E700C-0749-462E-B5F6-FBD4115F52B2}"/>
    <dgm:cxn modelId="{87D3B583-94EA-4258-A1FB-8613B81F6364}" type="presOf" srcId="{D98B4EFF-AC4B-4CB6-B0AF-EC1358EAC204}" destId="{EA174B30-A9F4-4593-8CDD-983277FAE01F}" srcOrd="0" destOrd="0" presId="urn:microsoft.com/office/officeart/2005/8/layout/orgChart1#4"/>
    <dgm:cxn modelId="{6AA2BE83-12FD-4F25-92A8-3DBF25C84FEC}" type="presOf" srcId="{C44738DB-7485-4CDC-B61E-16C8697D7254}" destId="{C58F17CA-8825-4626-A6B7-E7C094E5AF5B}" srcOrd="0" destOrd="0" presId="urn:microsoft.com/office/officeart/2005/8/layout/orgChart1#4"/>
    <dgm:cxn modelId="{BF75F484-F959-4DC4-9601-F4CF7293255C}" type="presOf" srcId="{DDDF17B6-4880-480D-BE1A-45E0EFEC4C51}" destId="{A7169207-4774-4460-8261-3A5E6C26367F}" srcOrd="0" destOrd="0" presId="urn:microsoft.com/office/officeart/2005/8/layout/orgChart1#4"/>
    <dgm:cxn modelId="{183A0A8C-02B5-407F-A3AD-20161B7188EA}" srcId="{038F7370-823C-4BA3-957C-76B74C1E13C0}" destId="{F6189581-3965-4F63-BB03-AC9C354E133A}" srcOrd="1" destOrd="0" parTransId="{D98B4EFF-AC4B-4CB6-B0AF-EC1358EAC204}" sibTransId="{2C8BFE9C-A79F-4E86-86D6-3BC65F138382}"/>
    <dgm:cxn modelId="{F0232E8E-79F9-4D7C-9342-FE9044CCA2B0}" type="presOf" srcId="{038F7370-823C-4BA3-957C-76B74C1E13C0}" destId="{09E6C6DC-6711-429D-BFF2-CFF65AEE764F}" srcOrd="1" destOrd="0" presId="urn:microsoft.com/office/officeart/2005/8/layout/orgChart1#4"/>
    <dgm:cxn modelId="{C362D194-A3F0-441E-AC01-B347BE65C38C}" type="presOf" srcId="{038F7370-823C-4BA3-957C-76B74C1E13C0}" destId="{B0A92391-ADC2-44EC-8F10-045613A73D90}" srcOrd="0" destOrd="0" presId="urn:microsoft.com/office/officeart/2005/8/layout/orgChart1#4"/>
    <dgm:cxn modelId="{E04A619B-1E4F-47CD-981C-1972E347A1B8}" type="presOf" srcId="{5AF5ADFB-E7E4-4F5A-9737-FB54B190F72C}" destId="{C7B955B4-AFC3-40A3-A8EF-B4F4FBB07AE6}" srcOrd="0" destOrd="0" presId="urn:microsoft.com/office/officeart/2005/8/layout/orgChart1#4"/>
    <dgm:cxn modelId="{96CE659C-295C-452C-8367-EA46904F256A}" type="presOf" srcId="{F2335893-10A2-4D56-B653-EDD6EB7224BB}" destId="{B6C20806-61AF-41E3-AFAA-B5CEBEFE8567}" srcOrd="1" destOrd="0" presId="urn:microsoft.com/office/officeart/2005/8/layout/orgChart1#4"/>
    <dgm:cxn modelId="{F149DFA1-8017-4A30-964A-A9909B3CF97F}" type="presOf" srcId="{D4DB8080-BF18-46F9-914E-891DA7EE3CE8}" destId="{2EE19359-8834-43DA-AD2F-2EF687AD4135}" srcOrd="0" destOrd="0" presId="urn:microsoft.com/office/officeart/2005/8/layout/orgChart1#4"/>
    <dgm:cxn modelId="{020EBEA3-EFE5-4E92-8DC3-A3D51AFE4973}" type="presOf" srcId="{7C8F3D6F-33E4-4628-899B-AA4EC95D4819}" destId="{AEDE2EE1-B25F-47BC-A5F2-17A6D96734CF}" srcOrd="1" destOrd="0" presId="urn:microsoft.com/office/officeart/2005/8/layout/orgChart1#4"/>
    <dgm:cxn modelId="{CD6511A4-2923-4B2D-99F9-38D8B7A36DB1}" type="presOf" srcId="{038F7370-823C-4BA3-957C-76B74C1E13C0}" destId="{FAE981DF-221D-4820-B57E-B3F6FDF04489}" srcOrd="2" destOrd="0" presId="urn:microsoft.com/office/officeart/2005/8/layout/orgChart1#4"/>
    <dgm:cxn modelId="{7E324EAE-1890-4A27-BD71-A8E89364756C}" type="presOf" srcId="{2659DCC7-6A4F-4144-BC55-58D5AF5F76AF}" destId="{CB3F7C3B-87B9-4AF7-83D1-2D4F22F3A677}" srcOrd="0" destOrd="0" presId="urn:microsoft.com/office/officeart/2005/8/layout/orgChart1#4"/>
    <dgm:cxn modelId="{3B0737AF-54DA-49B7-B5E4-9F9A09233EDD}" type="presOf" srcId="{2659DCC7-6A4F-4144-BC55-58D5AF5F76AF}" destId="{5E60A862-64B9-44E0-BB8C-0E3194CCABD5}" srcOrd="2" destOrd="0" presId="urn:microsoft.com/office/officeart/2005/8/layout/orgChart1#4"/>
    <dgm:cxn modelId="{6A8885B0-EE6C-4905-A501-5B4BC280FA94}" type="presOf" srcId="{E721092F-FDA0-41CD-B5B2-9A407AC82AFB}" destId="{AADA8437-AB16-41D4-BA50-D35E72C14255}" srcOrd="1" destOrd="0" presId="urn:microsoft.com/office/officeart/2005/8/layout/orgChart1#4"/>
    <dgm:cxn modelId="{2DAFB1BC-184E-430D-B1B0-F21CEE78BEC1}" type="presOf" srcId="{A28A005B-24C7-45D3-8E23-AF80EF2C8667}" destId="{620844EF-DE81-441F-BAF0-F2D3EF22ACDE}" srcOrd="2" destOrd="0" presId="urn:microsoft.com/office/officeart/2005/8/layout/orgChart1#4"/>
    <dgm:cxn modelId="{A95010BE-1866-4272-9EF1-6AFC69174D17}" type="presOf" srcId="{F6189581-3965-4F63-BB03-AC9C354E133A}" destId="{67C3F5C7-8F49-42EB-A0B0-9F364281E1CF}" srcOrd="0" destOrd="0" presId="urn:microsoft.com/office/officeart/2005/8/layout/orgChart1#4"/>
    <dgm:cxn modelId="{0CF56CBF-F911-488A-806C-F66925439A11}" type="presOf" srcId="{27AE2A84-043C-47E4-9F76-EF4AFF8BED0D}" destId="{4BD9941B-A042-4B95-B1A8-6429D831C634}" srcOrd="2" destOrd="0" presId="urn:microsoft.com/office/officeart/2005/8/layout/orgChart1#4"/>
    <dgm:cxn modelId="{5C15D7C2-9DD9-41B6-94B5-E111E21AF18C}" type="presOf" srcId="{2659DCC7-6A4F-4144-BC55-58D5AF5F76AF}" destId="{E114033E-2914-4A5A-87BC-39D5E9885BC8}" srcOrd="1" destOrd="0" presId="urn:microsoft.com/office/officeart/2005/8/layout/orgChart1#4"/>
    <dgm:cxn modelId="{FE307BC5-23D4-4403-BC4B-A03D41C9E34F}" type="presOf" srcId="{27AE2A84-043C-47E4-9F76-EF4AFF8BED0D}" destId="{60518649-A13B-41CD-8EDC-BA0342D4EDF2}" srcOrd="1" destOrd="0" presId="urn:microsoft.com/office/officeart/2005/8/layout/orgChart1#4"/>
    <dgm:cxn modelId="{CA981BC7-BF23-4435-BE06-929D6A7ED296}" type="presOf" srcId="{D4DB8080-BF18-46F9-914E-891DA7EE3CE8}" destId="{548429D0-4959-45CE-9F1B-55D8B5528792}" srcOrd="1" destOrd="0" presId="urn:microsoft.com/office/officeart/2005/8/layout/orgChart1#4"/>
    <dgm:cxn modelId="{566AAAC8-0C38-4628-AD28-AB4D0B78D42F}" type="presOf" srcId="{7C8F3D6F-33E4-4628-899B-AA4EC95D4819}" destId="{442DDA63-7C85-4323-A69C-F76861049D27}" srcOrd="2" destOrd="0" presId="urn:microsoft.com/office/officeart/2005/8/layout/orgChart1#4"/>
    <dgm:cxn modelId="{A1E5E6C9-99B4-45D6-BED1-C9E99A4F2E9D}" type="presOf" srcId="{80AA4443-E6FD-47C4-8B76-01769741B66D}" destId="{C4AFDE71-B4A8-4973-8E5B-D1AD186CCD79}" srcOrd="0" destOrd="0" presId="urn:microsoft.com/office/officeart/2005/8/layout/orgChart1#4"/>
    <dgm:cxn modelId="{38DA10CF-09E5-49FA-8F67-434C29F23EBE}" type="presOf" srcId="{14142E90-8E49-4AE8-A3F7-093826BB5621}" destId="{892F8B8A-E0E4-45ED-8F57-7A7AFE1AE828}" srcOrd="0" destOrd="0" presId="urn:microsoft.com/office/officeart/2005/8/layout/orgChart1#4"/>
    <dgm:cxn modelId="{132794CF-FA51-4B28-8831-FEECC535212B}" srcId="{038F7370-823C-4BA3-957C-76B74C1E13C0}" destId="{F2335893-10A2-4D56-B653-EDD6EB7224BB}" srcOrd="5" destOrd="0" parTransId="{5AF5ADFB-E7E4-4F5A-9737-FB54B190F72C}" sibTransId="{8957F72D-BB97-44F3-8786-EB49B9D9D927}"/>
    <dgm:cxn modelId="{283FD0D0-35DA-4E24-8DE8-6CEDCD30417C}" type="presOf" srcId="{A77D31B3-3808-4FBA-8FA4-CC8D448A173E}" destId="{E498DC9C-C5AC-4482-A26F-3B99DC5D79F0}" srcOrd="0" destOrd="0" presId="urn:microsoft.com/office/officeart/2005/8/layout/orgChart1#4"/>
    <dgm:cxn modelId="{A21623D2-3A36-411F-8B01-E797970556F1}" type="presOf" srcId="{D4DB8080-BF18-46F9-914E-891DA7EE3CE8}" destId="{FE1027BA-E880-4B94-A74D-A4B319508BAB}" srcOrd="2" destOrd="0" presId="urn:microsoft.com/office/officeart/2005/8/layout/orgChart1#4"/>
    <dgm:cxn modelId="{F0B25ED8-A051-48D3-BE95-92E7FD86EAE9}" type="presOf" srcId="{27AE2A84-043C-47E4-9F76-EF4AFF8BED0D}" destId="{61699661-6872-47E0-82D2-68752E87F3BF}" srcOrd="0" destOrd="0" presId="urn:microsoft.com/office/officeart/2005/8/layout/orgChart1#4"/>
    <dgm:cxn modelId="{A278E6DD-2291-45E1-974E-07F41135AB24}" srcId="{47C757F0-AA23-46BE-9311-EA432CDEEAA1}" destId="{038F7370-823C-4BA3-957C-76B74C1E13C0}" srcOrd="0" destOrd="0" parTransId="{DDDF17B6-4880-480D-BE1A-45E0EFEC4C51}" sibTransId="{F0251358-80BE-4707-8088-5E4BDD6C349F}"/>
    <dgm:cxn modelId="{E0E140F4-572C-4904-A451-B1F717A0438C}" type="presOf" srcId="{1CBF4651-EAC6-4DB2-8454-614819F4E564}" destId="{ACF6B2DC-195F-4D2A-B4FA-A88FBE380472}" srcOrd="0" destOrd="0" presId="urn:microsoft.com/office/officeart/2005/8/layout/orgChart1#4"/>
    <dgm:cxn modelId="{35875FFD-378E-45B0-81D3-077F8213F6C1}" srcId="{038F7370-823C-4BA3-957C-76B74C1E13C0}" destId="{27AE2A84-043C-47E4-9F76-EF4AFF8BED0D}" srcOrd="3" destOrd="0" parTransId="{14142E90-8E49-4AE8-A3F7-093826BB5621}" sibTransId="{008F6839-6787-4954-8D7D-728A4C616851}"/>
    <dgm:cxn modelId="{1E4587FD-5825-4B19-9992-9643B350356C}" type="presOf" srcId="{F6189581-3965-4F63-BB03-AC9C354E133A}" destId="{130444B1-E42E-4B9B-8EC7-3F6DBA6992F6}" srcOrd="1" destOrd="0" presId="urn:microsoft.com/office/officeart/2005/8/layout/orgChart1#4"/>
    <dgm:cxn modelId="{23750639-F4BA-4C6A-B08B-8A8EE501AEAB}" type="presParOf" srcId="{E498DC9C-C5AC-4482-A26F-3B99DC5D79F0}" destId="{25ADC70F-A7E9-405B-878B-58F5E373D3E0}" srcOrd="0" destOrd="0" presId="urn:microsoft.com/office/officeart/2005/8/layout/orgChart1#4"/>
    <dgm:cxn modelId="{796B13CB-0ED8-4301-B7DA-FE4CEA87B782}" type="presParOf" srcId="{25ADC70F-A7E9-405B-878B-58F5E373D3E0}" destId="{2EE19359-8834-43DA-AD2F-2EF687AD4135}" srcOrd="0" destOrd="0" presId="urn:microsoft.com/office/officeart/2005/8/layout/orgChart1#4"/>
    <dgm:cxn modelId="{213B93A1-FC9B-496F-AA82-1F5FC0620068}" type="presParOf" srcId="{2EE19359-8834-43DA-AD2F-2EF687AD4135}" destId="{548429D0-4959-45CE-9F1B-55D8B5528792}" srcOrd="0" destOrd="0" presId="urn:microsoft.com/office/officeart/2005/8/layout/orgChart1#4"/>
    <dgm:cxn modelId="{53E5B956-E05A-4ACB-B488-B9FACB288364}" type="presParOf" srcId="{2EE19359-8834-43DA-AD2F-2EF687AD4135}" destId="{FE1027BA-E880-4B94-A74D-A4B319508BAB}" srcOrd="1" destOrd="0" presId="urn:microsoft.com/office/officeart/2005/8/layout/orgChart1#4"/>
    <dgm:cxn modelId="{91859740-6190-4306-A25F-C130DA2D4180}" type="presParOf" srcId="{25ADC70F-A7E9-405B-878B-58F5E373D3E0}" destId="{36630B76-8CAA-496E-8BB0-6F9D391C33CA}" srcOrd="1" destOrd="0" presId="urn:microsoft.com/office/officeart/2005/8/layout/orgChart1#4"/>
    <dgm:cxn modelId="{79A69268-BEF1-4F76-9C3E-8EA0E7CFAC67}" type="presParOf" srcId="{36630B76-8CAA-496E-8BB0-6F9D391C33CA}" destId="{520D8E41-6A18-4A1A-B736-084E94AE52CF}" srcOrd="0" destOrd="0" presId="urn:microsoft.com/office/officeart/2005/8/layout/orgChart1#4"/>
    <dgm:cxn modelId="{79E509E4-D3FF-418E-A6BC-35E579F18CA3}" type="presParOf" srcId="{36630B76-8CAA-496E-8BB0-6F9D391C33CA}" destId="{77F41637-9AF4-4F1F-AA02-DC8FDAB3C82B}" srcOrd="1" destOrd="0" presId="urn:microsoft.com/office/officeart/2005/8/layout/orgChart1#4"/>
    <dgm:cxn modelId="{B63A08B4-CC09-44EE-9CCE-8DE29DF3ED4C}" type="presParOf" srcId="{77F41637-9AF4-4F1F-AA02-DC8FDAB3C82B}" destId="{C5FD5C45-29B1-4F0A-AAA8-09F55C7CD3D3}" srcOrd="0" destOrd="0" presId="urn:microsoft.com/office/officeart/2005/8/layout/orgChart1#4"/>
    <dgm:cxn modelId="{512F9DBA-1328-46A6-B52A-D6D4766C2A00}" type="presParOf" srcId="{C5FD5C45-29B1-4F0A-AAA8-09F55C7CD3D3}" destId="{4F313537-711D-4E90-AC2F-1293DB22AEFC}" srcOrd="0" destOrd="0" presId="urn:microsoft.com/office/officeart/2005/8/layout/orgChart1#4"/>
    <dgm:cxn modelId="{1B20E783-8EA8-43B7-8C25-081CF1D5D089}" type="presParOf" srcId="{C5FD5C45-29B1-4F0A-AAA8-09F55C7CD3D3}" destId="{E99EC1B2-2649-444F-97E7-99F97C534125}" srcOrd="1" destOrd="0" presId="urn:microsoft.com/office/officeart/2005/8/layout/orgChart1#4"/>
    <dgm:cxn modelId="{EABC7C46-EF8C-4377-8ED9-A0753EB227BB}" type="presParOf" srcId="{77F41637-9AF4-4F1F-AA02-DC8FDAB3C82B}" destId="{F0165290-5938-41E5-9E43-F598B83B13C2}" srcOrd="1" destOrd="0" presId="urn:microsoft.com/office/officeart/2005/8/layout/orgChart1#4"/>
    <dgm:cxn modelId="{6CC58697-E88C-4430-838B-BC51F46ECDFE}" type="presParOf" srcId="{F0165290-5938-41E5-9E43-F598B83B13C2}" destId="{A7169207-4774-4460-8261-3A5E6C26367F}" srcOrd="0" destOrd="0" presId="urn:microsoft.com/office/officeart/2005/8/layout/orgChart1#4"/>
    <dgm:cxn modelId="{B90C1755-1714-4AFE-BE19-8AF1329C2B44}" type="presParOf" srcId="{F0165290-5938-41E5-9E43-F598B83B13C2}" destId="{7C4FDB6E-BE14-456A-9640-38816894E4FF}" srcOrd="1" destOrd="0" presId="urn:microsoft.com/office/officeart/2005/8/layout/orgChart1#4"/>
    <dgm:cxn modelId="{CC2D4ED9-3A86-4959-9AF6-C8A94468A2FF}" type="presParOf" srcId="{7C4FDB6E-BE14-456A-9640-38816894E4FF}" destId="{B0A92391-ADC2-44EC-8F10-045613A73D90}" srcOrd="0" destOrd="0" presId="urn:microsoft.com/office/officeart/2005/8/layout/orgChart1#4"/>
    <dgm:cxn modelId="{FB79B7F6-709B-4552-A40A-690DE915658F}" type="presParOf" srcId="{B0A92391-ADC2-44EC-8F10-045613A73D90}" destId="{09E6C6DC-6711-429D-BFF2-CFF65AEE764F}" srcOrd="0" destOrd="0" presId="urn:microsoft.com/office/officeart/2005/8/layout/orgChart1#4"/>
    <dgm:cxn modelId="{C33A6A0B-67EC-4441-B0EE-8B30F4810B6B}" type="presParOf" srcId="{B0A92391-ADC2-44EC-8F10-045613A73D90}" destId="{FAE981DF-221D-4820-B57E-B3F6FDF04489}" srcOrd="1" destOrd="0" presId="urn:microsoft.com/office/officeart/2005/8/layout/orgChart1#4"/>
    <dgm:cxn modelId="{6F20D1A8-8B99-4FEC-B69F-ADB1357ADE9E}" type="presParOf" srcId="{7C4FDB6E-BE14-456A-9640-38816894E4FF}" destId="{6F7E435B-7C43-4BC8-868C-21D13121BE13}" srcOrd="1" destOrd="0" presId="urn:microsoft.com/office/officeart/2005/8/layout/orgChart1#4"/>
    <dgm:cxn modelId="{CA3B73F8-36B3-420D-A49B-7361B45B8D68}" type="presParOf" srcId="{6F7E435B-7C43-4BC8-868C-21D13121BE13}" destId="{C4AFDE71-B4A8-4973-8E5B-D1AD186CCD79}" srcOrd="0" destOrd="0" presId="urn:microsoft.com/office/officeart/2005/8/layout/orgChart1#4"/>
    <dgm:cxn modelId="{236ECBD9-AD7E-4070-BB67-1F0034EE594B}" type="presParOf" srcId="{6F7E435B-7C43-4BC8-868C-21D13121BE13}" destId="{DE0E98AC-CA8B-479B-A887-660B1ADCEF2F}" srcOrd="1" destOrd="0" presId="urn:microsoft.com/office/officeart/2005/8/layout/orgChart1#4"/>
    <dgm:cxn modelId="{FE4B32E5-CD4F-4562-A323-F9311680B2DC}" type="presParOf" srcId="{DE0E98AC-CA8B-479B-A887-660B1ADCEF2F}" destId="{88A4D9B1-3E6B-4EFB-A232-39D4E838C816}" srcOrd="0" destOrd="0" presId="urn:microsoft.com/office/officeart/2005/8/layout/orgChart1#4"/>
    <dgm:cxn modelId="{88591BDE-BCC3-48CB-83CB-D3F72F2C0845}" type="presParOf" srcId="{88A4D9B1-3E6B-4EFB-A232-39D4E838C816}" destId="{A8EA43F0-1412-4974-9969-21E76FC1AFF6}" srcOrd="0" destOrd="0" presId="urn:microsoft.com/office/officeart/2005/8/layout/orgChart1#4"/>
    <dgm:cxn modelId="{E50A1972-818E-4510-8D95-2FA9D1D083B2}" type="presParOf" srcId="{88A4D9B1-3E6B-4EFB-A232-39D4E838C816}" destId="{620844EF-DE81-441F-BAF0-F2D3EF22ACDE}" srcOrd="1" destOrd="0" presId="urn:microsoft.com/office/officeart/2005/8/layout/orgChart1#4"/>
    <dgm:cxn modelId="{B8CBDE69-036E-413A-B925-99135F017473}" type="presParOf" srcId="{DE0E98AC-CA8B-479B-A887-660B1ADCEF2F}" destId="{4C8A2C59-4D76-4228-AD49-F5BA2994CA92}" srcOrd="1" destOrd="0" presId="urn:microsoft.com/office/officeart/2005/8/layout/orgChart1#4"/>
    <dgm:cxn modelId="{5A021706-0C54-4EF6-B474-B29044FA79AD}" type="presParOf" srcId="{DE0E98AC-CA8B-479B-A887-660B1ADCEF2F}" destId="{120B5259-E867-403F-8090-B4620428BF3E}" srcOrd="2" destOrd="0" presId="urn:microsoft.com/office/officeart/2005/8/layout/orgChart1#4"/>
    <dgm:cxn modelId="{2D4CE5A7-86F9-4796-8F16-63E70C2511D6}" type="presParOf" srcId="{6F7E435B-7C43-4BC8-868C-21D13121BE13}" destId="{EA174B30-A9F4-4593-8CDD-983277FAE01F}" srcOrd="2" destOrd="0" presId="urn:microsoft.com/office/officeart/2005/8/layout/orgChart1#4"/>
    <dgm:cxn modelId="{1FFBD202-EBF5-475D-9D28-B39C45AF9003}" type="presParOf" srcId="{6F7E435B-7C43-4BC8-868C-21D13121BE13}" destId="{0E7343C2-97A0-43F8-A275-BF99E33A44B6}" srcOrd="3" destOrd="0" presId="urn:microsoft.com/office/officeart/2005/8/layout/orgChart1#4"/>
    <dgm:cxn modelId="{3AF72E6A-A75F-4A3A-B1A7-C37A2BD21FEB}" type="presParOf" srcId="{0E7343C2-97A0-43F8-A275-BF99E33A44B6}" destId="{67C3F5C7-8F49-42EB-A0B0-9F364281E1CF}" srcOrd="0" destOrd="0" presId="urn:microsoft.com/office/officeart/2005/8/layout/orgChart1#4"/>
    <dgm:cxn modelId="{3B3EA090-29B7-4041-AFB5-740B4190215A}" type="presParOf" srcId="{67C3F5C7-8F49-42EB-A0B0-9F364281E1CF}" destId="{130444B1-E42E-4B9B-8EC7-3F6DBA6992F6}" srcOrd="0" destOrd="0" presId="urn:microsoft.com/office/officeart/2005/8/layout/orgChart1#4"/>
    <dgm:cxn modelId="{EE8A5929-D9D0-4FCE-A52B-0E0D8CB42086}" type="presParOf" srcId="{67C3F5C7-8F49-42EB-A0B0-9F364281E1CF}" destId="{B01C76B2-423D-417C-B04F-21D287FBBBE8}" srcOrd="1" destOrd="0" presId="urn:microsoft.com/office/officeart/2005/8/layout/orgChart1#4"/>
    <dgm:cxn modelId="{39699F52-405D-4101-90D9-2184793BA5B0}" type="presParOf" srcId="{0E7343C2-97A0-43F8-A275-BF99E33A44B6}" destId="{531ECFF1-69B1-4A6E-9A83-117D70F0A465}" srcOrd="1" destOrd="0" presId="urn:microsoft.com/office/officeart/2005/8/layout/orgChart1#4"/>
    <dgm:cxn modelId="{0506897B-9B5F-4A0A-AA17-7D7C971E33D3}" type="presParOf" srcId="{0E7343C2-97A0-43F8-A275-BF99E33A44B6}" destId="{16C37085-9609-49B3-8A9C-B1536CDB0FCB}" srcOrd="2" destOrd="0" presId="urn:microsoft.com/office/officeart/2005/8/layout/orgChart1#4"/>
    <dgm:cxn modelId="{96345129-7EA8-47A0-A609-601A043B681D}" type="presParOf" srcId="{6F7E435B-7C43-4BC8-868C-21D13121BE13}" destId="{566B04C6-D361-4ABB-8411-374659B7A426}" srcOrd="4" destOrd="0" presId="urn:microsoft.com/office/officeart/2005/8/layout/orgChart1#4"/>
    <dgm:cxn modelId="{8476CC24-C508-4C36-9164-E1A724EE87D0}" type="presParOf" srcId="{6F7E435B-7C43-4BC8-868C-21D13121BE13}" destId="{2C5631F1-996C-4601-93F5-7E903CABCB49}" srcOrd="5" destOrd="0" presId="urn:microsoft.com/office/officeart/2005/8/layout/orgChart1#4"/>
    <dgm:cxn modelId="{5F747B7E-CF08-42B4-A189-622E692D6736}" type="presParOf" srcId="{2C5631F1-996C-4601-93F5-7E903CABCB49}" destId="{CB3F7C3B-87B9-4AF7-83D1-2D4F22F3A677}" srcOrd="0" destOrd="0" presId="urn:microsoft.com/office/officeart/2005/8/layout/orgChart1#4"/>
    <dgm:cxn modelId="{15B30E1D-C60A-41E5-97C1-4021D06B921B}" type="presParOf" srcId="{CB3F7C3B-87B9-4AF7-83D1-2D4F22F3A677}" destId="{E114033E-2914-4A5A-87BC-39D5E9885BC8}" srcOrd="0" destOrd="0" presId="urn:microsoft.com/office/officeart/2005/8/layout/orgChart1#4"/>
    <dgm:cxn modelId="{60DC4DD2-60A4-485F-871B-45CB27B34EC0}" type="presParOf" srcId="{CB3F7C3B-87B9-4AF7-83D1-2D4F22F3A677}" destId="{5E60A862-64B9-44E0-BB8C-0E3194CCABD5}" srcOrd="1" destOrd="0" presId="urn:microsoft.com/office/officeart/2005/8/layout/orgChart1#4"/>
    <dgm:cxn modelId="{06E66CE5-6F1E-4CB4-A033-0625869DDE64}" type="presParOf" srcId="{2C5631F1-996C-4601-93F5-7E903CABCB49}" destId="{00769896-AFCA-4B11-B12D-965CCB72FA4C}" srcOrd="1" destOrd="0" presId="urn:microsoft.com/office/officeart/2005/8/layout/orgChart1#4"/>
    <dgm:cxn modelId="{15C7F139-FB03-4FA8-A43B-4FEB7121BFEF}" type="presParOf" srcId="{2C5631F1-996C-4601-93F5-7E903CABCB49}" destId="{6612E4B0-8C6D-4240-9EF8-69074953CCA3}" srcOrd="2" destOrd="0" presId="urn:microsoft.com/office/officeart/2005/8/layout/orgChart1#4"/>
    <dgm:cxn modelId="{E24EDE4E-E82F-4A02-8784-235E75DD173F}" type="presParOf" srcId="{6F7E435B-7C43-4BC8-868C-21D13121BE13}" destId="{892F8B8A-E0E4-45ED-8F57-7A7AFE1AE828}" srcOrd="6" destOrd="0" presId="urn:microsoft.com/office/officeart/2005/8/layout/orgChart1#4"/>
    <dgm:cxn modelId="{181AE3C4-C5EE-4542-97CC-D21C35D5991E}" type="presParOf" srcId="{6F7E435B-7C43-4BC8-868C-21D13121BE13}" destId="{BB56CABD-46DE-49FD-B562-2F8A6E5453FF}" srcOrd="7" destOrd="0" presId="urn:microsoft.com/office/officeart/2005/8/layout/orgChart1#4"/>
    <dgm:cxn modelId="{D784D3DD-8C47-4477-8F29-E2F7F97A3764}" type="presParOf" srcId="{BB56CABD-46DE-49FD-B562-2F8A6E5453FF}" destId="{61699661-6872-47E0-82D2-68752E87F3BF}" srcOrd="0" destOrd="0" presId="urn:microsoft.com/office/officeart/2005/8/layout/orgChart1#4"/>
    <dgm:cxn modelId="{C22D7B3A-4D15-40AE-A1E2-A4A0573524F3}" type="presParOf" srcId="{61699661-6872-47E0-82D2-68752E87F3BF}" destId="{60518649-A13B-41CD-8EDC-BA0342D4EDF2}" srcOrd="0" destOrd="0" presId="urn:microsoft.com/office/officeart/2005/8/layout/orgChart1#4"/>
    <dgm:cxn modelId="{F98838BA-7E34-4D18-8F06-9814CA58E169}" type="presParOf" srcId="{61699661-6872-47E0-82D2-68752E87F3BF}" destId="{4BD9941B-A042-4B95-B1A8-6429D831C634}" srcOrd="1" destOrd="0" presId="urn:microsoft.com/office/officeart/2005/8/layout/orgChart1#4"/>
    <dgm:cxn modelId="{37AAB506-507D-4212-B1C5-5EA44FFBE6CC}" type="presParOf" srcId="{BB56CABD-46DE-49FD-B562-2F8A6E5453FF}" destId="{0BD6F597-8F39-4CCD-AA9B-5D6668CEAA73}" srcOrd="1" destOrd="0" presId="urn:microsoft.com/office/officeart/2005/8/layout/orgChart1#4"/>
    <dgm:cxn modelId="{AFABD336-762B-44C2-95FA-32748316C0F0}" type="presParOf" srcId="{BB56CABD-46DE-49FD-B562-2F8A6E5453FF}" destId="{20C7A246-69FF-44F6-838F-E7CB2C8522B5}" srcOrd="2" destOrd="0" presId="urn:microsoft.com/office/officeart/2005/8/layout/orgChart1#4"/>
    <dgm:cxn modelId="{6BF38B72-FD6F-4F28-89F7-48A19444E291}" type="presParOf" srcId="{6F7E435B-7C43-4BC8-868C-21D13121BE13}" destId="{ACF6B2DC-195F-4D2A-B4FA-A88FBE380472}" srcOrd="8" destOrd="0" presId="urn:microsoft.com/office/officeart/2005/8/layout/orgChart1#4"/>
    <dgm:cxn modelId="{BBC79EA6-5D20-495F-96E6-3B0B1C05D89A}" type="presParOf" srcId="{6F7E435B-7C43-4BC8-868C-21D13121BE13}" destId="{25EB0CE7-A564-4C40-A218-FFEEC85D2312}" srcOrd="9" destOrd="0" presId="urn:microsoft.com/office/officeart/2005/8/layout/orgChart1#4"/>
    <dgm:cxn modelId="{03B4542E-2A1C-45B0-8758-3BB4CC1B0171}" type="presParOf" srcId="{25EB0CE7-A564-4C40-A218-FFEEC85D2312}" destId="{E93D8C85-10C8-4338-B0A4-A9A72800789F}" srcOrd="0" destOrd="0" presId="urn:microsoft.com/office/officeart/2005/8/layout/orgChart1#4"/>
    <dgm:cxn modelId="{99E36B4D-50AF-4439-A882-D82F38DCC6EE}" type="presParOf" srcId="{E93D8C85-10C8-4338-B0A4-A9A72800789F}" destId="{AEDE2EE1-B25F-47BC-A5F2-17A6D96734CF}" srcOrd="0" destOrd="0" presId="urn:microsoft.com/office/officeart/2005/8/layout/orgChart1#4"/>
    <dgm:cxn modelId="{AA8AFC1C-3629-44AD-8997-EF96EDB29638}" type="presParOf" srcId="{E93D8C85-10C8-4338-B0A4-A9A72800789F}" destId="{442DDA63-7C85-4323-A69C-F76861049D27}" srcOrd="1" destOrd="0" presId="urn:microsoft.com/office/officeart/2005/8/layout/orgChart1#4"/>
    <dgm:cxn modelId="{D08E365E-8F4A-4BB0-A646-3592D1022263}" type="presParOf" srcId="{25EB0CE7-A564-4C40-A218-FFEEC85D2312}" destId="{2CE91C0A-5F64-4AB2-8B54-0D2985237E6E}" srcOrd="1" destOrd="0" presId="urn:microsoft.com/office/officeart/2005/8/layout/orgChart1#4"/>
    <dgm:cxn modelId="{D7C02F7C-28C3-479C-8AA1-384AAD5780FF}" type="presParOf" srcId="{25EB0CE7-A564-4C40-A218-FFEEC85D2312}" destId="{FD3EE63D-8F88-40CA-8DD0-C201F996ED66}" srcOrd="2" destOrd="0" presId="urn:microsoft.com/office/officeart/2005/8/layout/orgChart1#4"/>
    <dgm:cxn modelId="{CC40BECA-3EAF-4268-B3C5-2F74050647B1}" type="presParOf" srcId="{6F7E435B-7C43-4BC8-868C-21D13121BE13}" destId="{C7B955B4-AFC3-40A3-A8EF-B4F4FBB07AE6}" srcOrd="10" destOrd="0" presId="urn:microsoft.com/office/officeart/2005/8/layout/orgChart1#4"/>
    <dgm:cxn modelId="{259F8D15-0691-4860-9C72-4634019F03E6}" type="presParOf" srcId="{6F7E435B-7C43-4BC8-868C-21D13121BE13}" destId="{268F46C9-5789-449C-B139-0E73F137502C}" srcOrd="11" destOrd="0" presId="urn:microsoft.com/office/officeart/2005/8/layout/orgChart1#4"/>
    <dgm:cxn modelId="{CD4869E7-EFB2-4E1D-A11F-3AB5E780F1B3}" type="presParOf" srcId="{268F46C9-5789-449C-B139-0E73F137502C}" destId="{0627F952-213C-49A4-879F-1A296313DE8A}" srcOrd="0" destOrd="0" presId="urn:microsoft.com/office/officeart/2005/8/layout/orgChart1#4"/>
    <dgm:cxn modelId="{C30F44F7-2C42-43A3-97B6-C175B8EAFD50}" type="presParOf" srcId="{0627F952-213C-49A4-879F-1A296313DE8A}" destId="{B6C20806-61AF-41E3-AFAA-B5CEBEFE8567}" srcOrd="0" destOrd="0" presId="urn:microsoft.com/office/officeart/2005/8/layout/orgChart1#4"/>
    <dgm:cxn modelId="{850D3E89-D74A-4864-B483-CF2A9A4C9197}" type="presParOf" srcId="{0627F952-213C-49A4-879F-1A296313DE8A}" destId="{D1D8DBE2-B54E-4B37-88BE-16A85F6E27EB}" srcOrd="1" destOrd="0" presId="urn:microsoft.com/office/officeart/2005/8/layout/orgChart1#4"/>
    <dgm:cxn modelId="{AF1F15CC-C1EF-47A4-88AA-899598130FBC}" type="presParOf" srcId="{268F46C9-5789-449C-B139-0E73F137502C}" destId="{EAD08414-2D6A-465D-9623-940B69C44727}" srcOrd="1" destOrd="0" presId="urn:microsoft.com/office/officeart/2005/8/layout/orgChart1#4"/>
    <dgm:cxn modelId="{3DB1AD0C-ACED-4633-81CD-AA230200AA88}" type="presParOf" srcId="{268F46C9-5789-449C-B139-0E73F137502C}" destId="{9B0B38F5-A836-4D37-B9D5-6ED188A2B58D}" srcOrd="2" destOrd="0" presId="urn:microsoft.com/office/officeart/2005/8/layout/orgChart1#4"/>
    <dgm:cxn modelId="{5A6B105A-4317-4FC9-A24C-2C40DAAFD8D7}" type="presParOf" srcId="{6F7E435B-7C43-4BC8-868C-21D13121BE13}" destId="{C58F17CA-8825-4626-A6B7-E7C094E5AF5B}" srcOrd="12" destOrd="0" presId="urn:microsoft.com/office/officeart/2005/8/layout/orgChart1#4"/>
    <dgm:cxn modelId="{F61359F0-9665-4B4F-86D0-CF9FCE1CCF83}" type="presParOf" srcId="{6F7E435B-7C43-4BC8-868C-21D13121BE13}" destId="{E79CD580-947C-41DC-97C9-098ED9C28B94}" srcOrd="13" destOrd="0" presId="urn:microsoft.com/office/officeart/2005/8/layout/orgChart1#4"/>
    <dgm:cxn modelId="{AC5BD0D4-6EC2-4EA3-9C0C-A11B81C56184}" type="presParOf" srcId="{E79CD580-947C-41DC-97C9-098ED9C28B94}" destId="{D9EF50DB-B5EC-4EF0-AB46-FA85238404FA}" srcOrd="0" destOrd="0" presId="urn:microsoft.com/office/officeart/2005/8/layout/orgChart1#4"/>
    <dgm:cxn modelId="{2CAE9496-27FA-4638-8F65-2B792241C9A3}" type="presParOf" srcId="{D9EF50DB-B5EC-4EF0-AB46-FA85238404FA}" destId="{AADA8437-AB16-41D4-BA50-D35E72C14255}" srcOrd="0" destOrd="0" presId="urn:microsoft.com/office/officeart/2005/8/layout/orgChart1#4"/>
    <dgm:cxn modelId="{3CAB3C65-F447-4788-A08A-695DB3AA766E}" type="presParOf" srcId="{D9EF50DB-B5EC-4EF0-AB46-FA85238404FA}" destId="{DEBA06D8-2824-4D1C-B072-8AB341DFE630}" srcOrd="1" destOrd="0" presId="urn:microsoft.com/office/officeart/2005/8/layout/orgChart1#4"/>
    <dgm:cxn modelId="{0177A928-E8A7-4294-ABA2-584577A3C8F2}" type="presParOf" srcId="{E79CD580-947C-41DC-97C9-098ED9C28B94}" destId="{F5235455-18E2-4BA4-84C9-84CEFBFFEC3E}" srcOrd="1" destOrd="0" presId="urn:microsoft.com/office/officeart/2005/8/layout/orgChart1#4"/>
    <dgm:cxn modelId="{FA1468D7-E0B4-46D7-916E-6108EE7D509A}" type="presParOf" srcId="{E79CD580-947C-41DC-97C9-098ED9C28B94}" destId="{4877BC0F-C782-4A99-9F78-176EB4B34DB3}" srcOrd="2" destOrd="0" presId="urn:microsoft.com/office/officeart/2005/8/layout/orgChart1#4"/>
    <dgm:cxn modelId="{C713AA2E-D02E-42CB-B784-36C09CF441A8}" type="presParOf" srcId="{7C4FDB6E-BE14-456A-9640-38816894E4FF}" destId="{AD5C2BB3-450D-4FE8-8A64-A5FD211B6154}" srcOrd="2" destOrd="0" presId="urn:microsoft.com/office/officeart/2005/8/layout/orgChart1#4"/>
    <dgm:cxn modelId="{3061EFA7-F7D0-41AB-94D2-74C8E0B3E753}" type="presParOf" srcId="{77F41637-9AF4-4F1F-AA02-DC8FDAB3C82B}" destId="{CEA4362A-AF6D-423F-8B8D-0EE4D6071B22}" srcOrd="2" destOrd="0" presId="urn:microsoft.com/office/officeart/2005/8/layout/orgChart1#4"/>
    <dgm:cxn modelId="{AFA84C11-E892-4E77-B738-BF38212798A3}" type="presParOf" srcId="{25ADC70F-A7E9-405B-878B-58F5E373D3E0}" destId="{8E9BA135-8CAB-41C7-BF73-CCCCB5D528C5}" srcOrd="2" destOrd="0" presId="urn:microsoft.com/office/officeart/2005/8/layout/orgChart1#4"/>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8192770" cy="2294890"/>
        <a:chOff x="0" y="0"/>
        <a:chExt cx="8192770" cy="2294890"/>
      </a:xfrm>
    </dsp:grpSpPr>
    <dsp:sp modelId="{520D8E41-6A18-4A1A-B736-084E94AE52CF}">
      <dsp:nvSpPr>
        <dsp:cNvPr id="5" name="任意多边形 4"/>
        <dsp:cNvSpPr/>
      </dsp:nvSpPr>
      <dsp:spPr bwMode="white">
        <a:xfrm>
          <a:off x="4096385" y="436291"/>
          <a:ext cx="0" cy="183242"/>
        </a:xfrm>
        <a:custGeom>
          <a:avLst/>
          <a:gdLst/>
          <a:ahLst/>
          <a:cxnLst/>
          <a:pathLst>
            <a:path h="289">
              <a:moveTo>
                <a:pt x="0" y="0"/>
              </a:moveTo>
              <a:lnTo>
                <a:pt x="0" y="289"/>
              </a:lnTo>
            </a:path>
          </a:pathLst>
        </a:custGeom>
      </dsp:spPr>
      <dsp:style>
        <a:lnRef idx="2">
          <a:schemeClr val="accent1">
            <a:shade val="60000"/>
          </a:schemeClr>
        </a:lnRef>
        <a:fillRef idx="0">
          <a:schemeClr val="accent1"/>
        </a:fillRef>
        <a:effectRef idx="0">
          <a:scrgbClr r="0" g="0" b="0"/>
        </a:effectRef>
        <a:fontRef idx="minor"/>
      </dsp:style>
      <dsp:txXfrm>
        <a:off x="4096385" y="436291"/>
        <a:ext cx="0" cy="183242"/>
      </dsp:txXfrm>
    </dsp:sp>
    <dsp:sp modelId="{694A3DAD-CED7-4771-B5A2-A6D7FCEC34E9}">
      <dsp:nvSpPr>
        <dsp:cNvPr id="8" name="任意多边形 7"/>
        <dsp:cNvSpPr/>
      </dsp:nvSpPr>
      <dsp:spPr bwMode="white">
        <a:xfrm>
          <a:off x="4096385" y="1055824"/>
          <a:ext cx="0" cy="183242"/>
        </a:xfrm>
        <a:custGeom>
          <a:avLst/>
          <a:gdLst/>
          <a:ahLst/>
          <a:cxnLst/>
          <a:pathLst>
            <a:path h="289">
              <a:moveTo>
                <a:pt x="0" y="0"/>
              </a:moveTo>
              <a:lnTo>
                <a:pt x="0" y="289"/>
              </a:lnTo>
            </a:path>
          </a:pathLst>
        </a:custGeom>
      </dsp:spPr>
      <dsp:style>
        <a:lnRef idx="2">
          <a:schemeClr val="accent1">
            <a:shade val="80000"/>
          </a:schemeClr>
        </a:lnRef>
        <a:fillRef idx="0">
          <a:schemeClr val="accent1"/>
        </a:fillRef>
        <a:effectRef idx="0">
          <a:scrgbClr r="0" g="0" b="0"/>
        </a:effectRef>
        <a:fontRef idx="minor"/>
      </dsp:style>
      <dsp:txXfrm>
        <a:off x="4096385" y="1055824"/>
        <a:ext cx="0" cy="183242"/>
      </dsp:txXfrm>
    </dsp:sp>
    <dsp:sp modelId="{6FCB3B2B-FE63-4620-8F30-DE3BAC841DB1}">
      <dsp:nvSpPr>
        <dsp:cNvPr id="11" name="任意多边形 10"/>
        <dsp:cNvSpPr/>
      </dsp:nvSpPr>
      <dsp:spPr bwMode="white">
        <a:xfrm>
          <a:off x="4096385" y="1675357"/>
          <a:ext cx="0" cy="183242"/>
        </a:xfrm>
        <a:custGeom>
          <a:avLst/>
          <a:gdLst/>
          <a:ahLst/>
          <a:cxnLst/>
          <a:pathLst>
            <a:path h="289">
              <a:moveTo>
                <a:pt x="0" y="0"/>
              </a:moveTo>
              <a:lnTo>
                <a:pt x="0" y="289"/>
              </a:lnTo>
            </a:path>
          </a:pathLst>
        </a:custGeom>
      </dsp:spPr>
      <dsp:style>
        <a:lnRef idx="2">
          <a:schemeClr val="accent1">
            <a:shade val="80000"/>
          </a:schemeClr>
        </a:lnRef>
        <a:fillRef idx="0">
          <a:schemeClr val="accent1"/>
        </a:fillRef>
        <a:effectRef idx="0">
          <a:scrgbClr r="0" g="0" b="0"/>
        </a:effectRef>
        <a:fontRef idx="minor"/>
      </dsp:style>
      <dsp:txXfrm>
        <a:off x="4096385" y="1675357"/>
        <a:ext cx="0" cy="183242"/>
      </dsp:txXfrm>
    </dsp:sp>
    <dsp:sp modelId="{548429D0-4959-45CE-9F1B-55D8B5528792}">
      <dsp:nvSpPr>
        <dsp:cNvPr id="3" name="矩形 2"/>
        <dsp:cNvSpPr/>
      </dsp:nvSpPr>
      <dsp:spPr bwMode="white">
        <a:xfrm>
          <a:off x="3660094" y="0"/>
          <a:ext cx="872582" cy="43629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200" b="1"/>
            <a:t>执行董事</a:t>
          </a:r>
        </a:p>
      </dsp:txBody>
      <dsp:txXfrm>
        <a:off x="3660094" y="0"/>
        <a:ext cx="872582" cy="436291"/>
      </dsp:txXfrm>
    </dsp:sp>
    <dsp:sp modelId="{4F313537-711D-4E90-AC2F-1293DB22AEFC}">
      <dsp:nvSpPr>
        <dsp:cNvPr id="6" name="矩形 5"/>
        <dsp:cNvSpPr/>
      </dsp:nvSpPr>
      <dsp:spPr bwMode="white">
        <a:xfrm>
          <a:off x="3660094" y="619533"/>
          <a:ext cx="872582" cy="43629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950" b="1"/>
            <a:t> </a:t>
          </a:r>
          <a:r>
            <a:rPr lang="zh-CN" altLang="en-US" sz="950" b="1"/>
            <a:t>副经理             （主持经理层工作）</a:t>
          </a:r>
          <a:r>
            <a:rPr lang="en-US" altLang="zh-CN" sz="950" b="1"/>
            <a:t>  </a:t>
          </a:r>
        </a:p>
      </dsp:txBody>
      <dsp:txXfrm>
        <a:off x="3660094" y="619533"/>
        <a:ext cx="872582" cy="436291"/>
      </dsp:txXfrm>
    </dsp:sp>
    <dsp:sp modelId="{7A75F0EB-3E52-4EEF-9E00-DED1E1343493}">
      <dsp:nvSpPr>
        <dsp:cNvPr id="9" name="矩形 8"/>
        <dsp:cNvSpPr/>
      </dsp:nvSpPr>
      <dsp:spPr bwMode="white">
        <a:xfrm>
          <a:off x="3660094" y="1239066"/>
          <a:ext cx="872582" cy="43629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000" b="1"/>
            <a:t>安全生产管理部</a:t>
          </a:r>
        </a:p>
      </dsp:txBody>
      <dsp:txXfrm>
        <a:off x="3660094" y="1239066"/>
        <a:ext cx="872582" cy="436291"/>
      </dsp:txXfrm>
    </dsp:sp>
    <dsp:sp modelId="{93AC308C-D4B3-4C9F-9D02-C75CE2C6AAE0}">
      <dsp:nvSpPr>
        <dsp:cNvPr id="12" name="矩形 11"/>
        <dsp:cNvSpPr/>
      </dsp:nvSpPr>
      <dsp:spPr bwMode="white">
        <a:xfrm>
          <a:off x="3660094" y="1858599"/>
          <a:ext cx="872582" cy="43629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1000" b="1"/>
            <a:t>湿地公园土地流转</a:t>
          </a:r>
        </a:p>
      </dsp:txBody>
      <dsp:txXfrm>
        <a:off x="3660094" y="1858599"/>
        <a:ext cx="872582" cy="436291"/>
      </dsp:txXfrm>
    </dsp:sp>
    <dsp:sp modelId="{FE1027BA-E880-4B94-A74D-A4B319508BAB}">
      <dsp:nvSpPr>
        <dsp:cNvPr id="4" name="矩形 3" hidden="1"/>
        <dsp:cNvSpPr/>
      </dsp:nvSpPr>
      <dsp:spPr>
        <a:xfrm>
          <a:off x="3660094" y="0"/>
          <a:ext cx="174516" cy="436291"/>
        </a:xfrm>
        <a:prstGeom prst="rect">
          <a:avLst/>
        </a:prstGeom>
      </dsp:spPr>
      <dsp:txXfrm>
        <a:off x="3660094" y="0"/>
        <a:ext cx="174516" cy="436291"/>
      </dsp:txXfrm>
    </dsp:sp>
    <dsp:sp modelId="{E99EC1B2-2649-444F-97E7-99F97C534125}">
      <dsp:nvSpPr>
        <dsp:cNvPr id="7" name="矩形 6" hidden="1"/>
        <dsp:cNvSpPr/>
      </dsp:nvSpPr>
      <dsp:spPr>
        <a:xfrm>
          <a:off x="4358160" y="619533"/>
          <a:ext cx="174516" cy="436291"/>
        </a:xfrm>
        <a:prstGeom prst="rect">
          <a:avLst/>
        </a:prstGeom>
      </dsp:spPr>
      <dsp:txXfrm>
        <a:off x="4358160" y="619533"/>
        <a:ext cx="174516" cy="436291"/>
      </dsp:txXfrm>
    </dsp:sp>
    <dsp:sp modelId="{AF140CF1-9735-4D63-8DA0-49DFD38D8E0E}">
      <dsp:nvSpPr>
        <dsp:cNvPr id="10" name="矩形 9" hidden="1"/>
        <dsp:cNvSpPr/>
      </dsp:nvSpPr>
      <dsp:spPr>
        <a:xfrm>
          <a:off x="4358160" y="1239066"/>
          <a:ext cx="174516" cy="436291"/>
        </a:xfrm>
        <a:prstGeom prst="rect">
          <a:avLst/>
        </a:prstGeom>
      </dsp:spPr>
      <dsp:txXfrm>
        <a:off x="4358160" y="1239066"/>
        <a:ext cx="174516" cy="436291"/>
      </dsp:txXfrm>
    </dsp:sp>
    <dsp:sp modelId="{5E004F04-E116-4E80-B673-791F4D1BF5D9}">
      <dsp:nvSpPr>
        <dsp:cNvPr id="13" name="矩形 12" hidden="1"/>
        <dsp:cNvSpPr/>
      </dsp:nvSpPr>
      <dsp:spPr>
        <a:xfrm>
          <a:off x="3660094" y="1858599"/>
          <a:ext cx="174516" cy="436291"/>
        </a:xfrm>
        <a:prstGeom prst="rect">
          <a:avLst/>
        </a:prstGeom>
      </dsp:spPr>
      <dsp:txXfrm>
        <a:off x="3660094" y="1858599"/>
        <a:ext cx="174516" cy="4362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6765290" cy="3133090"/>
        <a:chOff x="0" y="0"/>
        <a:chExt cx="6765290" cy="3133090"/>
      </a:xfrm>
    </dsp:grpSpPr>
    <dsp:sp modelId="{520D8E41-6A18-4A1A-B736-084E94AE52CF}">
      <dsp:nvSpPr>
        <dsp:cNvPr id="5" name="任意多边形 4"/>
        <dsp:cNvSpPr/>
      </dsp:nvSpPr>
      <dsp:spPr bwMode="white">
        <a:xfrm>
          <a:off x="3382645" y="899025"/>
          <a:ext cx="0" cy="171999"/>
        </a:xfrm>
        <a:custGeom>
          <a:avLst/>
          <a:gdLst/>
          <a:ahLst/>
          <a:cxnLst/>
          <a:pathLst>
            <a:path h="271">
              <a:moveTo>
                <a:pt x="0" y="0"/>
              </a:moveTo>
              <a:lnTo>
                <a:pt x="0" y="271"/>
              </a:lnTo>
            </a:path>
          </a:pathLst>
        </a:custGeom>
      </dsp:spPr>
      <dsp:style>
        <a:lnRef idx="2">
          <a:schemeClr val="accent1">
            <a:shade val="60000"/>
          </a:schemeClr>
        </a:lnRef>
        <a:fillRef idx="0">
          <a:schemeClr val="accent1"/>
        </a:fillRef>
        <a:effectRef idx="0">
          <a:scrgbClr r="0" g="0" b="0"/>
        </a:effectRef>
        <a:fontRef idx="minor"/>
      </dsp:style>
      <dsp:txXfrm>
        <a:off x="3382645" y="899025"/>
        <a:ext cx="0" cy="171999"/>
      </dsp:txXfrm>
    </dsp:sp>
    <dsp:sp modelId="{A7169207-4774-4460-8261-3A5E6C26367F}">
      <dsp:nvSpPr>
        <dsp:cNvPr id="8" name="任意多边形 7"/>
        <dsp:cNvSpPr/>
      </dsp:nvSpPr>
      <dsp:spPr bwMode="white">
        <a:xfrm>
          <a:off x="3382645" y="1480546"/>
          <a:ext cx="0" cy="171999"/>
        </a:xfrm>
        <a:custGeom>
          <a:avLst/>
          <a:gdLst/>
          <a:ahLst/>
          <a:cxnLst/>
          <a:pathLst>
            <a:path h="271">
              <a:moveTo>
                <a:pt x="0" y="0"/>
              </a:moveTo>
              <a:lnTo>
                <a:pt x="0" y="271"/>
              </a:lnTo>
            </a:path>
          </a:pathLst>
        </a:custGeom>
      </dsp:spPr>
      <dsp:style>
        <a:lnRef idx="2">
          <a:schemeClr val="accent1">
            <a:shade val="80000"/>
          </a:schemeClr>
        </a:lnRef>
        <a:fillRef idx="0">
          <a:schemeClr val="accent1"/>
        </a:fillRef>
        <a:effectRef idx="0">
          <a:scrgbClr r="0" g="0" b="0"/>
        </a:effectRef>
        <a:fontRef idx="minor"/>
      </dsp:style>
      <dsp:txXfrm>
        <a:off x="3382645" y="1480546"/>
        <a:ext cx="0" cy="171999"/>
      </dsp:txXfrm>
    </dsp:sp>
    <dsp:sp modelId="{C4AFDE71-B4A8-4973-8E5B-D1AD186CCD79}">
      <dsp:nvSpPr>
        <dsp:cNvPr id="11" name="任意多边形 10"/>
        <dsp:cNvSpPr/>
      </dsp:nvSpPr>
      <dsp:spPr bwMode="white">
        <a:xfrm>
          <a:off x="3382645" y="2062066"/>
          <a:ext cx="2973124" cy="171999"/>
        </a:xfrm>
        <a:custGeom>
          <a:avLst/>
          <a:gdLst/>
          <a:ahLst/>
          <a:cxnLst/>
          <a:pathLst>
            <a:path w="4682" h="271">
              <a:moveTo>
                <a:pt x="0" y="0"/>
              </a:moveTo>
              <a:lnTo>
                <a:pt x="0" y="135"/>
              </a:lnTo>
              <a:lnTo>
                <a:pt x="4682" y="135"/>
              </a:lnTo>
              <a:lnTo>
                <a:pt x="4682"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2973124" cy="171999"/>
      </dsp:txXfrm>
    </dsp:sp>
    <dsp:sp modelId="{EA174B30-A9F4-4593-8CDD-983277FAE01F}">
      <dsp:nvSpPr>
        <dsp:cNvPr id="14" name="任意多边形 13"/>
        <dsp:cNvSpPr/>
      </dsp:nvSpPr>
      <dsp:spPr bwMode="white">
        <a:xfrm>
          <a:off x="3382645" y="2062066"/>
          <a:ext cx="1982083" cy="171999"/>
        </a:xfrm>
        <a:custGeom>
          <a:avLst/>
          <a:gdLst/>
          <a:ahLst/>
          <a:cxnLst/>
          <a:pathLst>
            <a:path w="3121" h="271">
              <a:moveTo>
                <a:pt x="0" y="0"/>
              </a:moveTo>
              <a:lnTo>
                <a:pt x="0" y="135"/>
              </a:lnTo>
              <a:lnTo>
                <a:pt x="3121" y="135"/>
              </a:lnTo>
              <a:lnTo>
                <a:pt x="3121"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1982083" cy="171999"/>
      </dsp:txXfrm>
    </dsp:sp>
    <dsp:sp modelId="{566B04C6-D361-4ABB-8411-374659B7A426}">
      <dsp:nvSpPr>
        <dsp:cNvPr id="17" name="任意多边形 16"/>
        <dsp:cNvSpPr/>
      </dsp:nvSpPr>
      <dsp:spPr bwMode="white">
        <a:xfrm>
          <a:off x="3382645" y="2062066"/>
          <a:ext cx="991041" cy="171999"/>
        </a:xfrm>
        <a:custGeom>
          <a:avLst/>
          <a:gdLst/>
          <a:ahLst/>
          <a:cxnLst/>
          <a:pathLst>
            <a:path w="1561" h="271">
              <a:moveTo>
                <a:pt x="0" y="0"/>
              </a:moveTo>
              <a:lnTo>
                <a:pt x="0" y="135"/>
              </a:lnTo>
              <a:lnTo>
                <a:pt x="1561" y="135"/>
              </a:lnTo>
              <a:lnTo>
                <a:pt x="1561"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991041" cy="171999"/>
      </dsp:txXfrm>
    </dsp:sp>
    <dsp:sp modelId="{892F8B8A-E0E4-45ED-8F57-7A7AFE1AE828}">
      <dsp:nvSpPr>
        <dsp:cNvPr id="20" name="任意多边形 19"/>
        <dsp:cNvSpPr/>
      </dsp:nvSpPr>
      <dsp:spPr bwMode="white">
        <a:xfrm>
          <a:off x="3382645" y="2062066"/>
          <a:ext cx="0" cy="171999"/>
        </a:xfrm>
        <a:custGeom>
          <a:avLst/>
          <a:gdLst/>
          <a:ahLst/>
          <a:cxnLst/>
          <a:pathLst>
            <a:path h="271">
              <a:moveTo>
                <a:pt x="0" y="0"/>
              </a:moveTo>
              <a:lnTo>
                <a:pt x="0"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0" cy="171999"/>
      </dsp:txXfrm>
    </dsp:sp>
    <dsp:sp modelId="{ACF6B2DC-195F-4D2A-B4FA-A88FBE380472}">
      <dsp:nvSpPr>
        <dsp:cNvPr id="23" name="任意多边形 22"/>
        <dsp:cNvSpPr/>
      </dsp:nvSpPr>
      <dsp:spPr bwMode="white">
        <a:xfrm>
          <a:off x="2391604" y="2062066"/>
          <a:ext cx="991041" cy="171999"/>
        </a:xfrm>
        <a:custGeom>
          <a:avLst/>
          <a:gdLst/>
          <a:ahLst/>
          <a:cxnLst/>
          <a:pathLst>
            <a:path w="1561" h="271">
              <a:moveTo>
                <a:pt x="1561" y="0"/>
              </a:moveTo>
              <a:lnTo>
                <a:pt x="1561" y="135"/>
              </a:lnTo>
              <a:lnTo>
                <a:pt x="0" y="135"/>
              </a:lnTo>
              <a:lnTo>
                <a:pt x="0" y="271"/>
              </a:lnTo>
            </a:path>
          </a:pathLst>
        </a:custGeom>
      </dsp:spPr>
      <dsp:style>
        <a:lnRef idx="2">
          <a:schemeClr val="accent1">
            <a:shade val="80000"/>
          </a:schemeClr>
        </a:lnRef>
        <a:fillRef idx="0">
          <a:schemeClr val="accent1"/>
        </a:fillRef>
        <a:effectRef idx="0">
          <a:scrgbClr r="0" g="0" b="0"/>
        </a:effectRef>
        <a:fontRef idx="minor"/>
      </dsp:style>
      <dsp:txXfrm>
        <a:off x="2391604" y="2062066"/>
        <a:ext cx="991041" cy="171999"/>
      </dsp:txXfrm>
    </dsp:sp>
    <dsp:sp modelId="{C7B955B4-AFC3-40A3-A8EF-B4F4FBB07AE6}">
      <dsp:nvSpPr>
        <dsp:cNvPr id="26" name="任意多边形 25"/>
        <dsp:cNvSpPr/>
      </dsp:nvSpPr>
      <dsp:spPr bwMode="white">
        <a:xfrm>
          <a:off x="1400562" y="2062066"/>
          <a:ext cx="1982083" cy="171999"/>
        </a:xfrm>
        <a:custGeom>
          <a:avLst/>
          <a:gdLst/>
          <a:ahLst/>
          <a:cxnLst/>
          <a:pathLst>
            <a:path w="3121" h="271">
              <a:moveTo>
                <a:pt x="3121" y="0"/>
              </a:moveTo>
              <a:lnTo>
                <a:pt x="3121" y="135"/>
              </a:lnTo>
              <a:lnTo>
                <a:pt x="0" y="135"/>
              </a:lnTo>
              <a:lnTo>
                <a:pt x="0" y="271"/>
              </a:lnTo>
            </a:path>
          </a:pathLst>
        </a:custGeom>
      </dsp:spPr>
      <dsp:style>
        <a:lnRef idx="2">
          <a:schemeClr val="accent1">
            <a:shade val="80000"/>
          </a:schemeClr>
        </a:lnRef>
        <a:fillRef idx="0">
          <a:schemeClr val="accent1"/>
        </a:fillRef>
        <a:effectRef idx="0">
          <a:scrgbClr r="0" g="0" b="0"/>
        </a:effectRef>
        <a:fontRef idx="minor"/>
      </dsp:style>
      <dsp:txXfrm>
        <a:off x="1400562" y="2062066"/>
        <a:ext cx="1982083" cy="171999"/>
      </dsp:txXfrm>
    </dsp:sp>
    <dsp:sp modelId="{C58F17CA-8825-4626-A6B7-E7C094E5AF5B}">
      <dsp:nvSpPr>
        <dsp:cNvPr id="29" name="任意多边形 28"/>
        <dsp:cNvSpPr/>
      </dsp:nvSpPr>
      <dsp:spPr bwMode="white">
        <a:xfrm>
          <a:off x="409521" y="2062066"/>
          <a:ext cx="2973124" cy="171999"/>
        </a:xfrm>
        <a:custGeom>
          <a:avLst/>
          <a:gdLst/>
          <a:ahLst/>
          <a:cxnLst/>
          <a:pathLst>
            <a:path w="4682" h="271">
              <a:moveTo>
                <a:pt x="4682" y="0"/>
              </a:moveTo>
              <a:lnTo>
                <a:pt x="4682" y="135"/>
              </a:lnTo>
              <a:lnTo>
                <a:pt x="0" y="135"/>
              </a:lnTo>
              <a:lnTo>
                <a:pt x="0" y="271"/>
              </a:lnTo>
            </a:path>
          </a:pathLst>
        </a:custGeom>
      </dsp:spPr>
      <dsp:style>
        <a:lnRef idx="2">
          <a:schemeClr val="accent1">
            <a:shade val="80000"/>
          </a:schemeClr>
        </a:lnRef>
        <a:fillRef idx="0">
          <a:schemeClr val="accent1"/>
        </a:fillRef>
        <a:effectRef idx="0">
          <a:scrgbClr r="0" g="0" b="0"/>
        </a:effectRef>
        <a:fontRef idx="minor"/>
      </dsp:style>
      <dsp:txXfrm>
        <a:off x="409521" y="2062066"/>
        <a:ext cx="2973124" cy="171999"/>
      </dsp:txXfrm>
    </dsp:sp>
    <dsp:sp modelId="{548429D0-4959-45CE-9F1B-55D8B5528792}">
      <dsp:nvSpPr>
        <dsp:cNvPr id="3" name="矩形 2"/>
        <dsp:cNvSpPr/>
      </dsp:nvSpPr>
      <dsp:spPr bwMode="white">
        <a:xfrm>
          <a:off x="2973124" y="489504"/>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执行董事</a:t>
          </a:r>
        </a:p>
      </dsp:txBody>
      <dsp:txXfrm>
        <a:off x="2973124" y="489504"/>
        <a:ext cx="819042" cy="409521"/>
      </dsp:txXfrm>
    </dsp:sp>
    <dsp:sp modelId="{4F313537-711D-4E90-AC2F-1293DB22AEFC}">
      <dsp:nvSpPr>
        <dsp:cNvPr id="6" name="矩形 5"/>
        <dsp:cNvSpPr/>
      </dsp:nvSpPr>
      <dsp:spPr bwMode="white">
        <a:xfrm>
          <a:off x="2973124" y="1071024"/>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080" tIns="5080" rIns="5080" bIns="508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850" b="1"/>
            <a:t> </a:t>
          </a:r>
          <a:r>
            <a:rPr lang="zh-CN" altLang="en-US" sz="850" b="1"/>
            <a:t>副经理（主持经理层工作）</a:t>
          </a:r>
          <a:r>
            <a:rPr lang="en-US" altLang="zh-CN" sz="850" b="1"/>
            <a:t>  </a:t>
          </a:r>
        </a:p>
      </dsp:txBody>
      <dsp:txXfrm>
        <a:off x="2973124" y="1071024"/>
        <a:ext cx="819042" cy="409521"/>
      </dsp:txXfrm>
    </dsp:sp>
    <dsp:sp modelId="{09E6C6DC-6711-429D-BFF2-CFF65AEE764F}">
      <dsp:nvSpPr>
        <dsp:cNvPr id="9" name="矩形 8"/>
        <dsp:cNvSpPr/>
      </dsp:nvSpPr>
      <dsp:spPr bwMode="white">
        <a:xfrm>
          <a:off x="2973124" y="1652544"/>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运营管理部</a:t>
          </a:r>
        </a:p>
      </dsp:txBody>
      <dsp:txXfrm>
        <a:off x="2973124" y="1652544"/>
        <a:ext cx="819042" cy="409521"/>
      </dsp:txXfrm>
    </dsp:sp>
    <dsp:sp modelId="{A8EA43F0-1412-4974-9969-21E76FC1AFF6}">
      <dsp:nvSpPr>
        <dsp:cNvPr id="12" name="矩形 11"/>
        <dsp:cNvSpPr/>
      </dsp:nvSpPr>
      <dsp:spPr bwMode="white">
        <a:xfrm>
          <a:off x="5946248"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嘉陵广场</a:t>
          </a:r>
        </a:p>
      </dsp:txBody>
      <dsp:txXfrm>
        <a:off x="5946248" y="2234065"/>
        <a:ext cx="819042" cy="409521"/>
      </dsp:txXfrm>
    </dsp:sp>
    <dsp:sp modelId="{130444B1-E42E-4B9B-8EC7-3F6DBA6992F6}">
      <dsp:nvSpPr>
        <dsp:cNvPr id="15" name="矩形 14"/>
        <dsp:cNvSpPr/>
      </dsp:nvSpPr>
      <dsp:spPr bwMode="white">
        <a:xfrm>
          <a:off x="4955206"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南河广场</a:t>
          </a:r>
        </a:p>
      </dsp:txBody>
      <dsp:txXfrm>
        <a:off x="4955206" y="2234065"/>
        <a:ext cx="819042" cy="409521"/>
      </dsp:txXfrm>
    </dsp:sp>
    <dsp:sp modelId="{E114033E-2914-4A5A-87BC-39D5E9885BC8}">
      <dsp:nvSpPr>
        <dsp:cNvPr id="18" name="矩形 17"/>
        <dsp:cNvSpPr/>
      </dsp:nvSpPr>
      <dsp:spPr bwMode="white">
        <a:xfrm>
          <a:off x="3964165"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苴国广场</a:t>
          </a:r>
        </a:p>
      </dsp:txBody>
      <dsp:txXfrm>
        <a:off x="3964165" y="2234065"/>
        <a:ext cx="819042" cy="409521"/>
      </dsp:txXfrm>
    </dsp:sp>
    <dsp:sp modelId="{60518649-A13B-41CD-8EDC-BA0342D4EDF2}">
      <dsp:nvSpPr>
        <dsp:cNvPr id="21" name="矩形 20"/>
        <dsp:cNvSpPr/>
      </dsp:nvSpPr>
      <dsp:spPr bwMode="white">
        <a:xfrm>
          <a:off x="2973124"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利州广场</a:t>
          </a:r>
        </a:p>
      </dsp:txBody>
      <dsp:txXfrm>
        <a:off x="2973124" y="2234065"/>
        <a:ext cx="819042" cy="409521"/>
      </dsp:txXfrm>
    </dsp:sp>
    <dsp:sp modelId="{AEDE2EE1-B25F-47BC-A5F2-17A6D96734CF}">
      <dsp:nvSpPr>
        <dsp:cNvPr id="24" name="矩形 23"/>
        <dsp:cNvSpPr/>
      </dsp:nvSpPr>
      <dsp:spPr bwMode="white">
        <a:xfrm>
          <a:off x="1982083"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红星公园</a:t>
          </a:r>
        </a:p>
      </dsp:txBody>
      <dsp:txXfrm>
        <a:off x="1982083" y="2234065"/>
        <a:ext cx="819042" cy="409521"/>
      </dsp:txXfrm>
    </dsp:sp>
    <dsp:sp modelId="{B6C20806-61AF-41E3-AFAA-B5CEBEFE8567}">
      <dsp:nvSpPr>
        <dsp:cNvPr id="27" name="矩形 26"/>
        <dsp:cNvSpPr/>
      </dsp:nvSpPr>
      <dsp:spPr bwMode="white">
        <a:xfrm>
          <a:off x="991041"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湿地公园</a:t>
          </a:r>
        </a:p>
      </dsp:txBody>
      <dsp:txXfrm>
        <a:off x="991041" y="2234065"/>
        <a:ext cx="819042" cy="409521"/>
      </dsp:txXfrm>
    </dsp:sp>
    <dsp:sp modelId="{AADA8437-AB16-41D4-BA50-D35E72C14255}">
      <dsp:nvSpPr>
        <dsp:cNvPr id="30" name="矩形 29"/>
        <dsp:cNvSpPr/>
      </dsp:nvSpPr>
      <dsp:spPr bwMode="white">
        <a:xfrm>
          <a:off x="0"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凤凰山公园</a:t>
          </a:r>
        </a:p>
      </dsp:txBody>
      <dsp:txXfrm>
        <a:off x="0" y="2234065"/>
        <a:ext cx="819042" cy="409521"/>
      </dsp:txXfrm>
    </dsp:sp>
    <dsp:sp modelId="{FE1027BA-E880-4B94-A74D-A4B319508BAB}">
      <dsp:nvSpPr>
        <dsp:cNvPr id="4" name="矩形 3" hidden="1"/>
        <dsp:cNvSpPr/>
      </dsp:nvSpPr>
      <dsp:spPr>
        <a:xfrm>
          <a:off x="2973124" y="489504"/>
          <a:ext cx="163808" cy="409521"/>
        </a:xfrm>
        <a:prstGeom prst="rect">
          <a:avLst/>
        </a:prstGeom>
      </dsp:spPr>
      <dsp:txXfrm>
        <a:off x="2973124" y="489504"/>
        <a:ext cx="163808" cy="409521"/>
      </dsp:txXfrm>
    </dsp:sp>
    <dsp:sp modelId="{E99EC1B2-2649-444F-97E7-99F97C534125}">
      <dsp:nvSpPr>
        <dsp:cNvPr id="7" name="矩形 6" hidden="1"/>
        <dsp:cNvSpPr/>
      </dsp:nvSpPr>
      <dsp:spPr>
        <a:xfrm>
          <a:off x="3628358" y="1071024"/>
          <a:ext cx="163808" cy="409521"/>
        </a:xfrm>
        <a:prstGeom prst="rect">
          <a:avLst/>
        </a:prstGeom>
      </dsp:spPr>
      <dsp:txXfrm>
        <a:off x="3628358" y="1071024"/>
        <a:ext cx="163808" cy="409521"/>
      </dsp:txXfrm>
    </dsp:sp>
    <dsp:sp modelId="{FAE981DF-221D-4820-B57E-B3F6FDF04489}">
      <dsp:nvSpPr>
        <dsp:cNvPr id="10" name="矩形 9" hidden="1"/>
        <dsp:cNvSpPr/>
      </dsp:nvSpPr>
      <dsp:spPr>
        <a:xfrm>
          <a:off x="3628358" y="1652544"/>
          <a:ext cx="163808" cy="409521"/>
        </a:xfrm>
        <a:prstGeom prst="rect">
          <a:avLst/>
        </a:prstGeom>
      </dsp:spPr>
      <dsp:txXfrm>
        <a:off x="3628358" y="1652544"/>
        <a:ext cx="163808" cy="409521"/>
      </dsp:txXfrm>
    </dsp:sp>
    <dsp:sp modelId="{620844EF-DE81-441F-BAF0-F2D3EF22ACDE}">
      <dsp:nvSpPr>
        <dsp:cNvPr id="13" name="矩形 12" hidden="1"/>
        <dsp:cNvSpPr/>
      </dsp:nvSpPr>
      <dsp:spPr>
        <a:xfrm>
          <a:off x="5946248" y="2234065"/>
          <a:ext cx="163808" cy="409521"/>
        </a:xfrm>
        <a:prstGeom prst="rect">
          <a:avLst/>
        </a:prstGeom>
      </dsp:spPr>
      <dsp:txXfrm>
        <a:off x="5946248" y="2234065"/>
        <a:ext cx="163808" cy="409521"/>
      </dsp:txXfrm>
    </dsp:sp>
    <dsp:sp modelId="{B01C76B2-423D-417C-B04F-21D287FBBBE8}">
      <dsp:nvSpPr>
        <dsp:cNvPr id="16" name="矩形 15" hidden="1"/>
        <dsp:cNvSpPr/>
      </dsp:nvSpPr>
      <dsp:spPr>
        <a:xfrm>
          <a:off x="4955206" y="2234065"/>
          <a:ext cx="163808" cy="409521"/>
        </a:xfrm>
        <a:prstGeom prst="rect">
          <a:avLst/>
        </a:prstGeom>
      </dsp:spPr>
      <dsp:txXfrm>
        <a:off x="4955206" y="2234065"/>
        <a:ext cx="163808" cy="409521"/>
      </dsp:txXfrm>
    </dsp:sp>
    <dsp:sp modelId="{5E60A862-64B9-44E0-BB8C-0E3194CCABD5}">
      <dsp:nvSpPr>
        <dsp:cNvPr id="19" name="矩形 18" hidden="1"/>
        <dsp:cNvSpPr/>
      </dsp:nvSpPr>
      <dsp:spPr>
        <a:xfrm>
          <a:off x="3964165" y="2234065"/>
          <a:ext cx="163808" cy="409521"/>
        </a:xfrm>
        <a:prstGeom prst="rect">
          <a:avLst/>
        </a:prstGeom>
      </dsp:spPr>
      <dsp:txXfrm>
        <a:off x="3964165" y="2234065"/>
        <a:ext cx="163808" cy="409521"/>
      </dsp:txXfrm>
    </dsp:sp>
    <dsp:sp modelId="{4BD9941B-A042-4B95-B1A8-6429D831C634}">
      <dsp:nvSpPr>
        <dsp:cNvPr id="22" name="矩形 21" hidden="1"/>
        <dsp:cNvSpPr/>
      </dsp:nvSpPr>
      <dsp:spPr>
        <a:xfrm>
          <a:off x="2973124" y="2234065"/>
          <a:ext cx="163808" cy="409521"/>
        </a:xfrm>
        <a:prstGeom prst="rect">
          <a:avLst/>
        </a:prstGeom>
      </dsp:spPr>
      <dsp:txXfrm>
        <a:off x="2973124" y="2234065"/>
        <a:ext cx="163808" cy="409521"/>
      </dsp:txXfrm>
    </dsp:sp>
    <dsp:sp modelId="{442DDA63-7C85-4323-A69C-F76861049D27}">
      <dsp:nvSpPr>
        <dsp:cNvPr id="25" name="矩形 24" hidden="1"/>
        <dsp:cNvSpPr/>
      </dsp:nvSpPr>
      <dsp:spPr>
        <a:xfrm>
          <a:off x="1982083" y="2234065"/>
          <a:ext cx="163808" cy="409521"/>
        </a:xfrm>
        <a:prstGeom prst="rect">
          <a:avLst/>
        </a:prstGeom>
      </dsp:spPr>
      <dsp:txXfrm>
        <a:off x="1982083" y="2234065"/>
        <a:ext cx="163808" cy="409521"/>
      </dsp:txXfrm>
    </dsp:sp>
    <dsp:sp modelId="{D1D8DBE2-B54E-4B37-88BE-16A85F6E27EB}">
      <dsp:nvSpPr>
        <dsp:cNvPr id="28" name="矩形 27" hidden="1"/>
        <dsp:cNvSpPr/>
      </dsp:nvSpPr>
      <dsp:spPr>
        <a:xfrm>
          <a:off x="991041" y="2234065"/>
          <a:ext cx="163808" cy="409521"/>
        </a:xfrm>
        <a:prstGeom prst="rect">
          <a:avLst/>
        </a:prstGeom>
      </dsp:spPr>
      <dsp:txXfrm>
        <a:off x="991041" y="2234065"/>
        <a:ext cx="163808" cy="409521"/>
      </dsp:txXfrm>
    </dsp:sp>
    <dsp:sp modelId="{DEBA06D8-2824-4D1C-B072-8AB341DFE630}">
      <dsp:nvSpPr>
        <dsp:cNvPr id="31" name="矩形 30" hidden="1"/>
        <dsp:cNvSpPr/>
      </dsp:nvSpPr>
      <dsp:spPr>
        <a:xfrm>
          <a:off x="0" y="2234065"/>
          <a:ext cx="163808" cy="409521"/>
        </a:xfrm>
        <a:prstGeom prst="rect">
          <a:avLst/>
        </a:prstGeom>
      </dsp:spPr>
      <dsp:txXfrm>
        <a:off x="0" y="2234065"/>
        <a:ext cx="163808" cy="4095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6765290" cy="2047875"/>
        <a:chOff x="0" y="0"/>
        <a:chExt cx="6765290" cy="2047875"/>
      </a:xfrm>
    </dsp:grpSpPr>
    <dsp:sp modelId="{520D8E41-6A18-4A1A-B736-084E94AE52CF}">
      <dsp:nvSpPr>
        <dsp:cNvPr id="5" name="任意多边形 4"/>
        <dsp:cNvSpPr/>
      </dsp:nvSpPr>
      <dsp:spPr bwMode="white">
        <a:xfrm>
          <a:off x="4589967" y="441708"/>
          <a:ext cx="0" cy="150022"/>
        </a:xfrm>
        <a:custGeom>
          <a:avLst/>
          <a:gdLst/>
          <a:ahLst/>
          <a:cxnLst/>
          <a:pathLst>
            <a:path h="236">
              <a:moveTo>
                <a:pt x="0" y="0"/>
              </a:moveTo>
              <a:lnTo>
                <a:pt x="0" y="236"/>
              </a:lnTo>
            </a:path>
          </a:pathLst>
        </a:custGeom>
      </dsp:spPr>
      <dsp:style>
        <a:lnRef idx="2">
          <a:schemeClr val="accent1">
            <a:shade val="60000"/>
          </a:schemeClr>
        </a:lnRef>
        <a:fillRef idx="0">
          <a:schemeClr val="accent1"/>
        </a:fillRef>
        <a:effectRef idx="0">
          <a:scrgbClr r="0" g="0" b="0"/>
        </a:effectRef>
        <a:fontRef idx="minor"/>
      </dsp:style>
      <dsp:txXfrm>
        <a:off x="4589967" y="441708"/>
        <a:ext cx="0" cy="150022"/>
      </dsp:txXfrm>
    </dsp:sp>
    <dsp:sp modelId="{72F512DA-A652-45EB-940E-B64BC575F582}">
      <dsp:nvSpPr>
        <dsp:cNvPr id="8" name="任意多边形 7"/>
        <dsp:cNvSpPr/>
      </dsp:nvSpPr>
      <dsp:spPr bwMode="white">
        <a:xfrm>
          <a:off x="4589967" y="948926"/>
          <a:ext cx="1639529" cy="150022"/>
        </a:xfrm>
        <a:custGeom>
          <a:avLst/>
          <a:gdLst/>
          <a:ahLst/>
          <a:cxnLst/>
          <a:pathLst>
            <a:path w="2582" h="236">
              <a:moveTo>
                <a:pt x="0" y="0"/>
              </a:moveTo>
              <a:lnTo>
                <a:pt x="0" y="118"/>
              </a:lnTo>
              <a:lnTo>
                <a:pt x="2582" y="118"/>
              </a:lnTo>
              <a:lnTo>
                <a:pt x="2582" y="236"/>
              </a:lnTo>
            </a:path>
          </a:pathLst>
        </a:custGeom>
      </dsp:spPr>
      <dsp:style>
        <a:lnRef idx="2">
          <a:schemeClr val="accent1">
            <a:shade val="80000"/>
          </a:schemeClr>
        </a:lnRef>
        <a:fillRef idx="0">
          <a:schemeClr val="accent1"/>
        </a:fillRef>
        <a:effectRef idx="0">
          <a:scrgbClr r="0" g="0" b="0"/>
        </a:effectRef>
        <a:fontRef idx="minor"/>
      </dsp:style>
      <dsp:txXfrm>
        <a:off x="4589967" y="948926"/>
        <a:ext cx="1639529" cy="150022"/>
      </dsp:txXfrm>
    </dsp:sp>
    <dsp:sp modelId="{C1DA7333-62A7-4207-9BE0-2C478E7622EA}">
      <dsp:nvSpPr>
        <dsp:cNvPr id="11" name="任意多边形 10"/>
        <dsp:cNvSpPr/>
      </dsp:nvSpPr>
      <dsp:spPr bwMode="white">
        <a:xfrm>
          <a:off x="5943739" y="1456145"/>
          <a:ext cx="107159" cy="328620"/>
        </a:xfrm>
        <a:custGeom>
          <a:avLst/>
          <a:gdLst/>
          <a:ahLst/>
          <a:cxnLst/>
          <a:pathLst>
            <a:path w="169" h="518">
              <a:moveTo>
                <a:pt x="0" y="0"/>
              </a:moveTo>
              <a:lnTo>
                <a:pt x="0" y="518"/>
              </a:lnTo>
              <a:lnTo>
                <a:pt x="169" y="518"/>
              </a:lnTo>
            </a:path>
          </a:pathLst>
        </a:custGeom>
      </dsp:spPr>
      <dsp:style>
        <a:lnRef idx="2">
          <a:schemeClr val="accent1">
            <a:shade val="80000"/>
          </a:schemeClr>
        </a:lnRef>
        <a:fillRef idx="0">
          <a:schemeClr val="accent1"/>
        </a:fillRef>
        <a:effectRef idx="0">
          <a:scrgbClr r="0" g="0" b="0"/>
        </a:effectRef>
        <a:fontRef idx="minor"/>
      </dsp:style>
      <dsp:txXfrm>
        <a:off x="5943739" y="1456145"/>
        <a:ext cx="107159" cy="328620"/>
      </dsp:txXfrm>
    </dsp:sp>
    <dsp:sp modelId="{A7169207-4774-4460-8261-3A5E6C26367F}">
      <dsp:nvSpPr>
        <dsp:cNvPr id="14" name="任意多边形 13"/>
        <dsp:cNvSpPr/>
      </dsp:nvSpPr>
      <dsp:spPr bwMode="white">
        <a:xfrm>
          <a:off x="2950438" y="948926"/>
          <a:ext cx="1639529" cy="150022"/>
        </a:xfrm>
        <a:custGeom>
          <a:avLst/>
          <a:gdLst/>
          <a:ahLst/>
          <a:cxnLst/>
          <a:pathLst>
            <a:path w="2582" h="236">
              <a:moveTo>
                <a:pt x="2582" y="0"/>
              </a:moveTo>
              <a:lnTo>
                <a:pt x="2582" y="118"/>
              </a:lnTo>
              <a:lnTo>
                <a:pt x="0" y="118"/>
              </a:lnTo>
              <a:lnTo>
                <a:pt x="0" y="236"/>
              </a:lnTo>
            </a:path>
          </a:pathLst>
        </a:custGeom>
      </dsp:spPr>
      <dsp:style>
        <a:lnRef idx="2">
          <a:schemeClr val="accent1">
            <a:shade val="80000"/>
          </a:schemeClr>
        </a:lnRef>
        <a:fillRef idx="0">
          <a:schemeClr val="accent1"/>
        </a:fillRef>
        <a:effectRef idx="0">
          <a:scrgbClr r="0" g="0" b="0"/>
        </a:effectRef>
        <a:fontRef idx="minor"/>
      </dsp:style>
      <dsp:txXfrm>
        <a:off x="2950438" y="948926"/>
        <a:ext cx="1639529" cy="150022"/>
      </dsp:txXfrm>
    </dsp:sp>
    <dsp:sp modelId="{C4AFDE71-B4A8-4973-8E5B-D1AD186CCD79}">
      <dsp:nvSpPr>
        <dsp:cNvPr id="17" name="任意多边形 16"/>
        <dsp:cNvSpPr/>
      </dsp:nvSpPr>
      <dsp:spPr bwMode="white">
        <a:xfrm>
          <a:off x="2950438" y="1456145"/>
          <a:ext cx="2593242" cy="150022"/>
        </a:xfrm>
        <a:custGeom>
          <a:avLst/>
          <a:gdLst/>
          <a:ahLst/>
          <a:cxnLst/>
          <a:pathLst>
            <a:path w="4084" h="236">
              <a:moveTo>
                <a:pt x="0" y="0"/>
              </a:moveTo>
              <a:lnTo>
                <a:pt x="0" y="118"/>
              </a:lnTo>
              <a:lnTo>
                <a:pt x="4084" y="118"/>
              </a:lnTo>
              <a:lnTo>
                <a:pt x="4084" y="236"/>
              </a:lnTo>
            </a:path>
          </a:pathLst>
        </a:custGeom>
      </dsp:spPr>
      <dsp:style>
        <a:lnRef idx="2">
          <a:schemeClr val="accent1">
            <a:shade val="80000"/>
          </a:schemeClr>
        </a:lnRef>
        <a:fillRef idx="0">
          <a:schemeClr val="accent1"/>
        </a:fillRef>
        <a:effectRef idx="0">
          <a:scrgbClr r="0" g="0" b="0"/>
        </a:effectRef>
        <a:fontRef idx="minor"/>
      </dsp:style>
      <dsp:txXfrm>
        <a:off x="2950438" y="1456145"/>
        <a:ext cx="2593242" cy="150022"/>
      </dsp:txXfrm>
    </dsp:sp>
    <dsp:sp modelId="{EA174B30-A9F4-4593-8CDD-983277FAE01F}">
      <dsp:nvSpPr>
        <dsp:cNvPr id="20" name="任意多边形 19"/>
        <dsp:cNvSpPr/>
      </dsp:nvSpPr>
      <dsp:spPr bwMode="white">
        <a:xfrm>
          <a:off x="2950438" y="1456145"/>
          <a:ext cx="1728828" cy="150022"/>
        </a:xfrm>
        <a:custGeom>
          <a:avLst/>
          <a:gdLst/>
          <a:ahLst/>
          <a:cxnLst/>
          <a:pathLst>
            <a:path w="2723" h="236">
              <a:moveTo>
                <a:pt x="0" y="0"/>
              </a:moveTo>
              <a:lnTo>
                <a:pt x="0" y="118"/>
              </a:lnTo>
              <a:lnTo>
                <a:pt x="2723" y="118"/>
              </a:lnTo>
              <a:lnTo>
                <a:pt x="2723" y="236"/>
              </a:lnTo>
            </a:path>
          </a:pathLst>
        </a:custGeom>
      </dsp:spPr>
      <dsp:style>
        <a:lnRef idx="2">
          <a:schemeClr val="accent1">
            <a:shade val="80000"/>
          </a:schemeClr>
        </a:lnRef>
        <a:fillRef idx="0">
          <a:schemeClr val="accent1"/>
        </a:fillRef>
        <a:effectRef idx="0">
          <a:scrgbClr r="0" g="0" b="0"/>
        </a:effectRef>
        <a:fontRef idx="minor"/>
      </dsp:style>
      <dsp:txXfrm>
        <a:off x="2950438" y="1456145"/>
        <a:ext cx="1728828" cy="150022"/>
      </dsp:txXfrm>
    </dsp:sp>
    <dsp:sp modelId="{566B04C6-D361-4ABB-8411-374659B7A426}">
      <dsp:nvSpPr>
        <dsp:cNvPr id="23" name="任意多边形 22"/>
        <dsp:cNvSpPr/>
      </dsp:nvSpPr>
      <dsp:spPr bwMode="white">
        <a:xfrm>
          <a:off x="2950438" y="1456145"/>
          <a:ext cx="864414" cy="150022"/>
        </a:xfrm>
        <a:custGeom>
          <a:avLst/>
          <a:gdLst/>
          <a:ahLst/>
          <a:cxnLst/>
          <a:pathLst>
            <a:path w="1361" h="236">
              <a:moveTo>
                <a:pt x="0" y="0"/>
              </a:moveTo>
              <a:lnTo>
                <a:pt x="0" y="118"/>
              </a:lnTo>
              <a:lnTo>
                <a:pt x="1361" y="118"/>
              </a:lnTo>
              <a:lnTo>
                <a:pt x="1361" y="236"/>
              </a:lnTo>
            </a:path>
          </a:pathLst>
        </a:custGeom>
      </dsp:spPr>
      <dsp:style>
        <a:lnRef idx="2">
          <a:schemeClr val="accent1">
            <a:shade val="80000"/>
          </a:schemeClr>
        </a:lnRef>
        <a:fillRef idx="0">
          <a:schemeClr val="accent1"/>
        </a:fillRef>
        <a:effectRef idx="0">
          <a:scrgbClr r="0" g="0" b="0"/>
        </a:effectRef>
        <a:fontRef idx="minor"/>
      </dsp:style>
      <dsp:txXfrm>
        <a:off x="2950438" y="1456145"/>
        <a:ext cx="864414" cy="150022"/>
      </dsp:txXfrm>
    </dsp:sp>
    <dsp:sp modelId="{892F8B8A-E0E4-45ED-8F57-7A7AFE1AE828}">
      <dsp:nvSpPr>
        <dsp:cNvPr id="26" name="任意多边形 25"/>
        <dsp:cNvSpPr/>
      </dsp:nvSpPr>
      <dsp:spPr bwMode="white">
        <a:xfrm>
          <a:off x="2950438" y="1456145"/>
          <a:ext cx="0" cy="150022"/>
        </a:xfrm>
        <a:custGeom>
          <a:avLst/>
          <a:gdLst/>
          <a:ahLst/>
          <a:cxnLst/>
          <a:pathLst>
            <a:path h="236">
              <a:moveTo>
                <a:pt x="0" y="0"/>
              </a:moveTo>
              <a:lnTo>
                <a:pt x="0" y="118"/>
              </a:lnTo>
              <a:lnTo>
                <a:pt x="0" y="118"/>
              </a:lnTo>
              <a:lnTo>
                <a:pt x="0" y="236"/>
              </a:lnTo>
            </a:path>
          </a:pathLst>
        </a:custGeom>
      </dsp:spPr>
      <dsp:style>
        <a:lnRef idx="2">
          <a:schemeClr val="accent1">
            <a:shade val="80000"/>
          </a:schemeClr>
        </a:lnRef>
        <a:fillRef idx="0">
          <a:schemeClr val="accent1"/>
        </a:fillRef>
        <a:effectRef idx="0">
          <a:scrgbClr r="0" g="0" b="0"/>
        </a:effectRef>
        <a:fontRef idx="minor"/>
      </dsp:style>
      <dsp:txXfrm>
        <a:off x="2950438" y="1456145"/>
        <a:ext cx="0" cy="150022"/>
      </dsp:txXfrm>
    </dsp:sp>
    <dsp:sp modelId="{ACF6B2DC-195F-4D2A-B4FA-A88FBE380472}">
      <dsp:nvSpPr>
        <dsp:cNvPr id="29" name="任意多边形 28"/>
        <dsp:cNvSpPr/>
      </dsp:nvSpPr>
      <dsp:spPr bwMode="white">
        <a:xfrm>
          <a:off x="2086024" y="1456145"/>
          <a:ext cx="864414" cy="150022"/>
        </a:xfrm>
        <a:custGeom>
          <a:avLst/>
          <a:gdLst/>
          <a:ahLst/>
          <a:cxnLst/>
          <a:pathLst>
            <a:path w="1361" h="236">
              <a:moveTo>
                <a:pt x="1361" y="0"/>
              </a:moveTo>
              <a:lnTo>
                <a:pt x="1361" y="118"/>
              </a:lnTo>
              <a:lnTo>
                <a:pt x="0" y="118"/>
              </a:lnTo>
              <a:lnTo>
                <a:pt x="0" y="236"/>
              </a:lnTo>
            </a:path>
          </a:pathLst>
        </a:custGeom>
      </dsp:spPr>
      <dsp:style>
        <a:lnRef idx="2">
          <a:schemeClr val="accent1">
            <a:shade val="80000"/>
          </a:schemeClr>
        </a:lnRef>
        <a:fillRef idx="0">
          <a:schemeClr val="accent1"/>
        </a:fillRef>
        <a:effectRef idx="0">
          <a:scrgbClr r="0" g="0" b="0"/>
        </a:effectRef>
        <a:fontRef idx="minor"/>
      </dsp:style>
      <dsp:txXfrm>
        <a:off x="2086024" y="1456145"/>
        <a:ext cx="864414" cy="150022"/>
      </dsp:txXfrm>
    </dsp:sp>
    <dsp:sp modelId="{C7B955B4-AFC3-40A3-A8EF-B4F4FBB07AE6}">
      <dsp:nvSpPr>
        <dsp:cNvPr id="32" name="任意多边形 31"/>
        <dsp:cNvSpPr/>
      </dsp:nvSpPr>
      <dsp:spPr bwMode="white">
        <a:xfrm>
          <a:off x="1221610" y="1456145"/>
          <a:ext cx="1728828" cy="150022"/>
        </a:xfrm>
        <a:custGeom>
          <a:avLst/>
          <a:gdLst/>
          <a:ahLst/>
          <a:cxnLst/>
          <a:pathLst>
            <a:path w="2723" h="236">
              <a:moveTo>
                <a:pt x="2723" y="0"/>
              </a:moveTo>
              <a:lnTo>
                <a:pt x="2723" y="118"/>
              </a:lnTo>
              <a:lnTo>
                <a:pt x="0" y="118"/>
              </a:lnTo>
              <a:lnTo>
                <a:pt x="0" y="236"/>
              </a:lnTo>
            </a:path>
          </a:pathLst>
        </a:custGeom>
      </dsp:spPr>
      <dsp:style>
        <a:lnRef idx="2">
          <a:schemeClr val="accent1">
            <a:shade val="80000"/>
          </a:schemeClr>
        </a:lnRef>
        <a:fillRef idx="0">
          <a:schemeClr val="accent1"/>
        </a:fillRef>
        <a:effectRef idx="0">
          <a:scrgbClr r="0" g="0" b="0"/>
        </a:effectRef>
        <a:fontRef idx="minor"/>
      </dsp:style>
      <dsp:txXfrm>
        <a:off x="1221610" y="1456145"/>
        <a:ext cx="1728828" cy="150022"/>
      </dsp:txXfrm>
    </dsp:sp>
    <dsp:sp modelId="{C58F17CA-8825-4626-A6B7-E7C094E5AF5B}">
      <dsp:nvSpPr>
        <dsp:cNvPr id="35" name="任意多边形 34"/>
        <dsp:cNvSpPr/>
      </dsp:nvSpPr>
      <dsp:spPr bwMode="white">
        <a:xfrm>
          <a:off x="357196" y="1456145"/>
          <a:ext cx="2593242" cy="150022"/>
        </a:xfrm>
        <a:custGeom>
          <a:avLst/>
          <a:gdLst/>
          <a:ahLst/>
          <a:cxnLst/>
          <a:pathLst>
            <a:path w="4084" h="236">
              <a:moveTo>
                <a:pt x="4084" y="0"/>
              </a:moveTo>
              <a:lnTo>
                <a:pt x="4084" y="118"/>
              </a:lnTo>
              <a:lnTo>
                <a:pt x="0" y="118"/>
              </a:lnTo>
              <a:lnTo>
                <a:pt x="0" y="236"/>
              </a:lnTo>
            </a:path>
          </a:pathLst>
        </a:custGeom>
      </dsp:spPr>
      <dsp:style>
        <a:lnRef idx="2">
          <a:schemeClr val="accent1">
            <a:shade val="80000"/>
          </a:schemeClr>
        </a:lnRef>
        <a:fillRef idx="0">
          <a:schemeClr val="accent1"/>
        </a:fillRef>
        <a:effectRef idx="0">
          <a:scrgbClr r="0" g="0" b="0"/>
        </a:effectRef>
        <a:fontRef idx="minor"/>
      </dsp:style>
      <dsp:txXfrm>
        <a:off x="357196" y="1456145"/>
        <a:ext cx="2593242" cy="150022"/>
      </dsp:txXfrm>
    </dsp:sp>
    <dsp:sp modelId="{548429D0-4959-45CE-9F1B-55D8B5528792}">
      <dsp:nvSpPr>
        <dsp:cNvPr id="3" name="矩形 2"/>
        <dsp:cNvSpPr/>
      </dsp:nvSpPr>
      <dsp:spPr bwMode="white">
        <a:xfrm>
          <a:off x="4232771" y="84512"/>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执行董事</a:t>
          </a:r>
        </a:p>
      </dsp:txBody>
      <dsp:txXfrm>
        <a:off x="4232771" y="84512"/>
        <a:ext cx="714392" cy="357196"/>
      </dsp:txXfrm>
    </dsp:sp>
    <dsp:sp modelId="{4F313537-711D-4E90-AC2F-1293DB22AEFC}">
      <dsp:nvSpPr>
        <dsp:cNvPr id="6" name="矩形 5"/>
        <dsp:cNvSpPr/>
      </dsp:nvSpPr>
      <dsp:spPr bwMode="white">
        <a:xfrm>
          <a:off x="4232771" y="591730"/>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080" tIns="5080" rIns="5080" bIns="508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850" b="1"/>
            <a:t> </a:t>
          </a:r>
          <a:r>
            <a:rPr lang="zh-CN" altLang="en-US" sz="850" b="1"/>
            <a:t>副经理（主持经理层工作）</a:t>
          </a:r>
          <a:r>
            <a:rPr lang="en-US" altLang="zh-CN" sz="850" b="1"/>
            <a:t>  </a:t>
          </a:r>
        </a:p>
      </dsp:txBody>
      <dsp:txXfrm>
        <a:off x="4232771" y="591730"/>
        <a:ext cx="714392" cy="357196"/>
      </dsp:txXfrm>
    </dsp:sp>
    <dsp:sp modelId="{DF8299FE-0B92-4372-83F3-B8E9DBB13052}">
      <dsp:nvSpPr>
        <dsp:cNvPr id="9" name="矩形 8"/>
        <dsp:cNvSpPr/>
      </dsp:nvSpPr>
      <dsp:spPr bwMode="white">
        <a:xfrm>
          <a:off x="5872300" y="1098949"/>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安全生产管理部</a:t>
          </a:r>
        </a:p>
      </dsp:txBody>
      <dsp:txXfrm>
        <a:off x="5872300" y="1098949"/>
        <a:ext cx="714392" cy="357196"/>
      </dsp:txXfrm>
    </dsp:sp>
    <dsp:sp modelId="{7604AAF8-707E-48E0-BE7F-6F0E26DA3997}">
      <dsp:nvSpPr>
        <dsp:cNvPr id="12" name="矩形 11"/>
        <dsp:cNvSpPr/>
      </dsp:nvSpPr>
      <dsp:spPr bwMode="white">
        <a:xfrm>
          <a:off x="6050898"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栖凤湖</a:t>
          </a:r>
        </a:p>
      </dsp:txBody>
      <dsp:txXfrm>
        <a:off x="6050898" y="1606167"/>
        <a:ext cx="714392" cy="357196"/>
      </dsp:txXfrm>
    </dsp:sp>
    <dsp:sp modelId="{09E6C6DC-6711-429D-BFF2-CFF65AEE764F}">
      <dsp:nvSpPr>
        <dsp:cNvPr id="15" name="矩形 14"/>
        <dsp:cNvSpPr/>
      </dsp:nvSpPr>
      <dsp:spPr bwMode="white">
        <a:xfrm>
          <a:off x="2593242" y="1098949"/>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运营管理部</a:t>
          </a:r>
        </a:p>
      </dsp:txBody>
      <dsp:txXfrm>
        <a:off x="2593242" y="1098949"/>
        <a:ext cx="714392" cy="357196"/>
      </dsp:txXfrm>
    </dsp:sp>
    <dsp:sp modelId="{A8EA43F0-1412-4974-9969-21E76FC1AFF6}">
      <dsp:nvSpPr>
        <dsp:cNvPr id="18" name="矩形 17"/>
        <dsp:cNvSpPr/>
      </dsp:nvSpPr>
      <dsp:spPr bwMode="white">
        <a:xfrm>
          <a:off x="5186484"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嘉陵广场</a:t>
          </a:r>
        </a:p>
      </dsp:txBody>
      <dsp:txXfrm>
        <a:off x="5186484" y="1606167"/>
        <a:ext cx="714392" cy="357196"/>
      </dsp:txXfrm>
    </dsp:sp>
    <dsp:sp modelId="{130444B1-E42E-4B9B-8EC7-3F6DBA6992F6}">
      <dsp:nvSpPr>
        <dsp:cNvPr id="21" name="矩形 20"/>
        <dsp:cNvSpPr/>
      </dsp:nvSpPr>
      <dsp:spPr bwMode="white">
        <a:xfrm>
          <a:off x="4322070"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南河广场</a:t>
          </a:r>
        </a:p>
      </dsp:txBody>
      <dsp:txXfrm>
        <a:off x="4322070" y="1606167"/>
        <a:ext cx="714392" cy="357196"/>
      </dsp:txXfrm>
    </dsp:sp>
    <dsp:sp modelId="{E114033E-2914-4A5A-87BC-39D5E9885BC8}">
      <dsp:nvSpPr>
        <dsp:cNvPr id="24" name="矩形 23"/>
        <dsp:cNvSpPr/>
      </dsp:nvSpPr>
      <dsp:spPr bwMode="white">
        <a:xfrm>
          <a:off x="3457656"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苴国广场</a:t>
          </a:r>
        </a:p>
      </dsp:txBody>
      <dsp:txXfrm>
        <a:off x="3457656" y="1606167"/>
        <a:ext cx="714392" cy="357196"/>
      </dsp:txXfrm>
    </dsp:sp>
    <dsp:sp modelId="{60518649-A13B-41CD-8EDC-BA0342D4EDF2}">
      <dsp:nvSpPr>
        <dsp:cNvPr id="27" name="矩形 26"/>
        <dsp:cNvSpPr/>
      </dsp:nvSpPr>
      <dsp:spPr bwMode="white">
        <a:xfrm>
          <a:off x="2593242"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利州广场</a:t>
          </a:r>
        </a:p>
      </dsp:txBody>
      <dsp:txXfrm>
        <a:off x="2593242" y="1606167"/>
        <a:ext cx="714392" cy="357196"/>
      </dsp:txXfrm>
    </dsp:sp>
    <dsp:sp modelId="{AEDE2EE1-B25F-47BC-A5F2-17A6D96734CF}">
      <dsp:nvSpPr>
        <dsp:cNvPr id="30" name="矩形 29"/>
        <dsp:cNvSpPr/>
      </dsp:nvSpPr>
      <dsp:spPr bwMode="white">
        <a:xfrm>
          <a:off x="1728828"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红星公园</a:t>
          </a:r>
        </a:p>
      </dsp:txBody>
      <dsp:txXfrm>
        <a:off x="1728828" y="1606167"/>
        <a:ext cx="714392" cy="357196"/>
      </dsp:txXfrm>
    </dsp:sp>
    <dsp:sp modelId="{B6C20806-61AF-41E3-AFAA-B5CEBEFE8567}">
      <dsp:nvSpPr>
        <dsp:cNvPr id="33" name="矩形 32"/>
        <dsp:cNvSpPr/>
      </dsp:nvSpPr>
      <dsp:spPr bwMode="white">
        <a:xfrm>
          <a:off x="864414"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湿地公园</a:t>
          </a:r>
        </a:p>
      </dsp:txBody>
      <dsp:txXfrm>
        <a:off x="864414" y="1606167"/>
        <a:ext cx="714392" cy="357196"/>
      </dsp:txXfrm>
    </dsp:sp>
    <dsp:sp modelId="{AADA8437-AB16-41D4-BA50-D35E72C14255}">
      <dsp:nvSpPr>
        <dsp:cNvPr id="36" name="矩形 35"/>
        <dsp:cNvSpPr/>
      </dsp:nvSpPr>
      <dsp:spPr bwMode="white">
        <a:xfrm>
          <a:off x="0" y="1606167"/>
          <a:ext cx="714392" cy="357196"/>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凤凰山公园</a:t>
          </a:r>
        </a:p>
      </dsp:txBody>
      <dsp:txXfrm>
        <a:off x="0" y="1606167"/>
        <a:ext cx="714392" cy="357196"/>
      </dsp:txXfrm>
    </dsp:sp>
    <dsp:sp modelId="{FE1027BA-E880-4B94-A74D-A4B319508BAB}">
      <dsp:nvSpPr>
        <dsp:cNvPr id="4" name="矩形 3" hidden="1"/>
        <dsp:cNvSpPr/>
      </dsp:nvSpPr>
      <dsp:spPr>
        <a:xfrm>
          <a:off x="4232771" y="84512"/>
          <a:ext cx="142878" cy="357196"/>
        </a:xfrm>
        <a:prstGeom prst="rect">
          <a:avLst/>
        </a:prstGeom>
      </dsp:spPr>
      <dsp:txXfrm>
        <a:off x="4232771" y="84512"/>
        <a:ext cx="142878" cy="357196"/>
      </dsp:txXfrm>
    </dsp:sp>
    <dsp:sp modelId="{E99EC1B2-2649-444F-97E7-99F97C534125}">
      <dsp:nvSpPr>
        <dsp:cNvPr id="7" name="矩形 6" hidden="1"/>
        <dsp:cNvSpPr/>
      </dsp:nvSpPr>
      <dsp:spPr>
        <a:xfrm>
          <a:off x="4804285" y="591730"/>
          <a:ext cx="142878" cy="357196"/>
        </a:xfrm>
        <a:prstGeom prst="rect">
          <a:avLst/>
        </a:prstGeom>
      </dsp:spPr>
      <dsp:txXfrm>
        <a:off x="4804285" y="591730"/>
        <a:ext cx="142878" cy="357196"/>
      </dsp:txXfrm>
    </dsp:sp>
    <dsp:sp modelId="{29F174FA-6C92-4918-A851-C205CAFA8C74}">
      <dsp:nvSpPr>
        <dsp:cNvPr id="10" name="矩形 9" hidden="1"/>
        <dsp:cNvSpPr/>
      </dsp:nvSpPr>
      <dsp:spPr>
        <a:xfrm>
          <a:off x="5872300" y="1098949"/>
          <a:ext cx="142878" cy="357196"/>
        </a:xfrm>
        <a:prstGeom prst="rect">
          <a:avLst/>
        </a:prstGeom>
      </dsp:spPr>
      <dsp:txXfrm>
        <a:off x="5872300" y="1098949"/>
        <a:ext cx="142878" cy="357196"/>
      </dsp:txXfrm>
    </dsp:sp>
    <dsp:sp modelId="{159E24B9-97EC-4AA2-BFFB-47CB199679BF}">
      <dsp:nvSpPr>
        <dsp:cNvPr id="13" name="矩形 12" hidden="1"/>
        <dsp:cNvSpPr/>
      </dsp:nvSpPr>
      <dsp:spPr>
        <a:xfrm>
          <a:off x="6050898" y="1606167"/>
          <a:ext cx="142878" cy="357196"/>
        </a:xfrm>
        <a:prstGeom prst="rect">
          <a:avLst/>
        </a:prstGeom>
      </dsp:spPr>
      <dsp:txXfrm>
        <a:off x="6050898" y="1606167"/>
        <a:ext cx="142878" cy="357196"/>
      </dsp:txXfrm>
    </dsp:sp>
    <dsp:sp modelId="{FAE981DF-221D-4820-B57E-B3F6FDF04489}">
      <dsp:nvSpPr>
        <dsp:cNvPr id="16" name="矩形 15" hidden="1"/>
        <dsp:cNvSpPr/>
      </dsp:nvSpPr>
      <dsp:spPr>
        <a:xfrm>
          <a:off x="3164756" y="1098949"/>
          <a:ext cx="142878" cy="357196"/>
        </a:xfrm>
        <a:prstGeom prst="rect">
          <a:avLst/>
        </a:prstGeom>
      </dsp:spPr>
      <dsp:txXfrm>
        <a:off x="3164756" y="1098949"/>
        <a:ext cx="142878" cy="357196"/>
      </dsp:txXfrm>
    </dsp:sp>
    <dsp:sp modelId="{620844EF-DE81-441F-BAF0-F2D3EF22ACDE}">
      <dsp:nvSpPr>
        <dsp:cNvPr id="19" name="矩形 18" hidden="1"/>
        <dsp:cNvSpPr/>
      </dsp:nvSpPr>
      <dsp:spPr>
        <a:xfrm>
          <a:off x="5186484" y="1606167"/>
          <a:ext cx="142878" cy="357196"/>
        </a:xfrm>
        <a:prstGeom prst="rect">
          <a:avLst/>
        </a:prstGeom>
      </dsp:spPr>
      <dsp:txXfrm>
        <a:off x="5186484" y="1606167"/>
        <a:ext cx="142878" cy="357196"/>
      </dsp:txXfrm>
    </dsp:sp>
    <dsp:sp modelId="{B01C76B2-423D-417C-B04F-21D287FBBBE8}">
      <dsp:nvSpPr>
        <dsp:cNvPr id="22" name="矩形 21" hidden="1"/>
        <dsp:cNvSpPr/>
      </dsp:nvSpPr>
      <dsp:spPr>
        <a:xfrm>
          <a:off x="4322070" y="1606167"/>
          <a:ext cx="142878" cy="357196"/>
        </a:xfrm>
        <a:prstGeom prst="rect">
          <a:avLst/>
        </a:prstGeom>
      </dsp:spPr>
      <dsp:txXfrm>
        <a:off x="4322070" y="1606167"/>
        <a:ext cx="142878" cy="357196"/>
      </dsp:txXfrm>
    </dsp:sp>
    <dsp:sp modelId="{5E60A862-64B9-44E0-BB8C-0E3194CCABD5}">
      <dsp:nvSpPr>
        <dsp:cNvPr id="25" name="矩形 24" hidden="1"/>
        <dsp:cNvSpPr/>
      </dsp:nvSpPr>
      <dsp:spPr>
        <a:xfrm>
          <a:off x="3457656" y="1606167"/>
          <a:ext cx="142878" cy="357196"/>
        </a:xfrm>
        <a:prstGeom prst="rect">
          <a:avLst/>
        </a:prstGeom>
      </dsp:spPr>
      <dsp:txXfrm>
        <a:off x="3457656" y="1606167"/>
        <a:ext cx="142878" cy="357196"/>
      </dsp:txXfrm>
    </dsp:sp>
    <dsp:sp modelId="{4BD9941B-A042-4B95-B1A8-6429D831C634}">
      <dsp:nvSpPr>
        <dsp:cNvPr id="28" name="矩形 27" hidden="1"/>
        <dsp:cNvSpPr/>
      </dsp:nvSpPr>
      <dsp:spPr>
        <a:xfrm>
          <a:off x="2593242" y="1606167"/>
          <a:ext cx="142878" cy="357196"/>
        </a:xfrm>
        <a:prstGeom prst="rect">
          <a:avLst/>
        </a:prstGeom>
      </dsp:spPr>
      <dsp:txXfrm>
        <a:off x="2593242" y="1606167"/>
        <a:ext cx="142878" cy="357196"/>
      </dsp:txXfrm>
    </dsp:sp>
    <dsp:sp modelId="{442DDA63-7C85-4323-A69C-F76861049D27}">
      <dsp:nvSpPr>
        <dsp:cNvPr id="31" name="矩形 30" hidden="1"/>
        <dsp:cNvSpPr/>
      </dsp:nvSpPr>
      <dsp:spPr>
        <a:xfrm>
          <a:off x="1728828" y="1606167"/>
          <a:ext cx="142878" cy="357196"/>
        </a:xfrm>
        <a:prstGeom prst="rect">
          <a:avLst/>
        </a:prstGeom>
      </dsp:spPr>
      <dsp:txXfrm>
        <a:off x="1728828" y="1606167"/>
        <a:ext cx="142878" cy="357196"/>
      </dsp:txXfrm>
    </dsp:sp>
    <dsp:sp modelId="{D1D8DBE2-B54E-4B37-88BE-16A85F6E27EB}">
      <dsp:nvSpPr>
        <dsp:cNvPr id="34" name="矩形 33" hidden="1"/>
        <dsp:cNvSpPr/>
      </dsp:nvSpPr>
      <dsp:spPr>
        <a:xfrm>
          <a:off x="864414" y="1606167"/>
          <a:ext cx="142878" cy="357196"/>
        </a:xfrm>
        <a:prstGeom prst="rect">
          <a:avLst/>
        </a:prstGeom>
      </dsp:spPr>
      <dsp:txXfrm>
        <a:off x="864414" y="1606167"/>
        <a:ext cx="142878" cy="357196"/>
      </dsp:txXfrm>
    </dsp:sp>
    <dsp:sp modelId="{DEBA06D8-2824-4D1C-B072-8AB341DFE630}">
      <dsp:nvSpPr>
        <dsp:cNvPr id="37" name="矩形 36" hidden="1"/>
        <dsp:cNvSpPr/>
      </dsp:nvSpPr>
      <dsp:spPr>
        <a:xfrm>
          <a:off x="0" y="1606167"/>
          <a:ext cx="142878" cy="357196"/>
        </a:xfrm>
        <a:prstGeom prst="rect">
          <a:avLst/>
        </a:prstGeom>
      </dsp:spPr>
      <dsp:txXfrm>
        <a:off x="0" y="1606167"/>
        <a:ext cx="142878" cy="3571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6765290" cy="3133090"/>
        <a:chOff x="0" y="0"/>
        <a:chExt cx="6765290" cy="3133090"/>
      </a:xfrm>
    </dsp:grpSpPr>
    <dsp:sp modelId="{520D8E41-6A18-4A1A-B736-084E94AE52CF}">
      <dsp:nvSpPr>
        <dsp:cNvPr id="5" name="任意多边形 4"/>
        <dsp:cNvSpPr/>
      </dsp:nvSpPr>
      <dsp:spPr bwMode="white">
        <a:xfrm>
          <a:off x="3382645" y="899025"/>
          <a:ext cx="0" cy="171999"/>
        </a:xfrm>
        <a:custGeom>
          <a:avLst/>
          <a:gdLst/>
          <a:ahLst/>
          <a:cxnLst/>
          <a:pathLst>
            <a:path h="271">
              <a:moveTo>
                <a:pt x="0" y="0"/>
              </a:moveTo>
              <a:lnTo>
                <a:pt x="0" y="271"/>
              </a:lnTo>
            </a:path>
          </a:pathLst>
        </a:custGeom>
      </dsp:spPr>
      <dsp:style>
        <a:lnRef idx="2">
          <a:schemeClr val="accent1">
            <a:shade val="60000"/>
          </a:schemeClr>
        </a:lnRef>
        <a:fillRef idx="0">
          <a:schemeClr val="accent1"/>
        </a:fillRef>
        <a:effectRef idx="0">
          <a:scrgbClr r="0" g="0" b="0"/>
        </a:effectRef>
        <a:fontRef idx="minor"/>
      </dsp:style>
      <dsp:txXfrm>
        <a:off x="3382645" y="899025"/>
        <a:ext cx="0" cy="171999"/>
      </dsp:txXfrm>
    </dsp:sp>
    <dsp:sp modelId="{A7169207-4774-4460-8261-3A5E6C26367F}">
      <dsp:nvSpPr>
        <dsp:cNvPr id="8" name="任意多边形 7"/>
        <dsp:cNvSpPr/>
      </dsp:nvSpPr>
      <dsp:spPr bwMode="white">
        <a:xfrm>
          <a:off x="3382645" y="1480546"/>
          <a:ext cx="0" cy="171999"/>
        </a:xfrm>
        <a:custGeom>
          <a:avLst/>
          <a:gdLst/>
          <a:ahLst/>
          <a:cxnLst/>
          <a:pathLst>
            <a:path h="271">
              <a:moveTo>
                <a:pt x="0" y="0"/>
              </a:moveTo>
              <a:lnTo>
                <a:pt x="0" y="271"/>
              </a:lnTo>
            </a:path>
          </a:pathLst>
        </a:custGeom>
      </dsp:spPr>
      <dsp:style>
        <a:lnRef idx="2">
          <a:schemeClr val="accent1">
            <a:shade val="80000"/>
          </a:schemeClr>
        </a:lnRef>
        <a:fillRef idx="0">
          <a:schemeClr val="accent1"/>
        </a:fillRef>
        <a:effectRef idx="0">
          <a:scrgbClr r="0" g="0" b="0"/>
        </a:effectRef>
        <a:fontRef idx="minor"/>
      </dsp:style>
      <dsp:txXfrm>
        <a:off x="3382645" y="1480546"/>
        <a:ext cx="0" cy="171999"/>
      </dsp:txXfrm>
    </dsp:sp>
    <dsp:sp modelId="{C4AFDE71-B4A8-4973-8E5B-D1AD186CCD79}">
      <dsp:nvSpPr>
        <dsp:cNvPr id="11" name="任意多边形 10"/>
        <dsp:cNvSpPr/>
      </dsp:nvSpPr>
      <dsp:spPr bwMode="white">
        <a:xfrm>
          <a:off x="3382645" y="2062066"/>
          <a:ext cx="2973124" cy="171999"/>
        </a:xfrm>
        <a:custGeom>
          <a:avLst/>
          <a:gdLst/>
          <a:ahLst/>
          <a:cxnLst/>
          <a:pathLst>
            <a:path w="4682" h="271">
              <a:moveTo>
                <a:pt x="0" y="0"/>
              </a:moveTo>
              <a:lnTo>
                <a:pt x="0" y="135"/>
              </a:lnTo>
              <a:lnTo>
                <a:pt x="4682" y="135"/>
              </a:lnTo>
              <a:lnTo>
                <a:pt x="4682"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2973124" cy="171999"/>
      </dsp:txXfrm>
    </dsp:sp>
    <dsp:sp modelId="{EA174B30-A9F4-4593-8CDD-983277FAE01F}">
      <dsp:nvSpPr>
        <dsp:cNvPr id="14" name="任意多边形 13"/>
        <dsp:cNvSpPr/>
      </dsp:nvSpPr>
      <dsp:spPr bwMode="white">
        <a:xfrm>
          <a:off x="3382645" y="2062066"/>
          <a:ext cx="1982083" cy="171999"/>
        </a:xfrm>
        <a:custGeom>
          <a:avLst/>
          <a:gdLst/>
          <a:ahLst/>
          <a:cxnLst/>
          <a:pathLst>
            <a:path w="3121" h="271">
              <a:moveTo>
                <a:pt x="0" y="0"/>
              </a:moveTo>
              <a:lnTo>
                <a:pt x="0" y="135"/>
              </a:lnTo>
              <a:lnTo>
                <a:pt x="3121" y="135"/>
              </a:lnTo>
              <a:lnTo>
                <a:pt x="3121"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1982083" cy="171999"/>
      </dsp:txXfrm>
    </dsp:sp>
    <dsp:sp modelId="{566B04C6-D361-4ABB-8411-374659B7A426}">
      <dsp:nvSpPr>
        <dsp:cNvPr id="17" name="任意多边形 16"/>
        <dsp:cNvSpPr/>
      </dsp:nvSpPr>
      <dsp:spPr bwMode="white">
        <a:xfrm>
          <a:off x="3382645" y="2062066"/>
          <a:ext cx="991041" cy="171999"/>
        </a:xfrm>
        <a:custGeom>
          <a:avLst/>
          <a:gdLst/>
          <a:ahLst/>
          <a:cxnLst/>
          <a:pathLst>
            <a:path w="1561" h="271">
              <a:moveTo>
                <a:pt x="0" y="0"/>
              </a:moveTo>
              <a:lnTo>
                <a:pt x="0" y="135"/>
              </a:lnTo>
              <a:lnTo>
                <a:pt x="1561" y="135"/>
              </a:lnTo>
              <a:lnTo>
                <a:pt x="1561"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991041" cy="171999"/>
      </dsp:txXfrm>
    </dsp:sp>
    <dsp:sp modelId="{892F8B8A-E0E4-45ED-8F57-7A7AFE1AE828}">
      <dsp:nvSpPr>
        <dsp:cNvPr id="20" name="任意多边形 19"/>
        <dsp:cNvSpPr/>
      </dsp:nvSpPr>
      <dsp:spPr bwMode="white">
        <a:xfrm>
          <a:off x="3382645" y="2062066"/>
          <a:ext cx="0" cy="171999"/>
        </a:xfrm>
        <a:custGeom>
          <a:avLst/>
          <a:gdLst/>
          <a:ahLst/>
          <a:cxnLst/>
          <a:pathLst>
            <a:path h="271">
              <a:moveTo>
                <a:pt x="0" y="0"/>
              </a:moveTo>
              <a:lnTo>
                <a:pt x="0" y="271"/>
              </a:lnTo>
            </a:path>
          </a:pathLst>
        </a:custGeom>
      </dsp:spPr>
      <dsp:style>
        <a:lnRef idx="2">
          <a:schemeClr val="accent1">
            <a:shade val="80000"/>
          </a:schemeClr>
        </a:lnRef>
        <a:fillRef idx="0">
          <a:schemeClr val="accent1"/>
        </a:fillRef>
        <a:effectRef idx="0">
          <a:scrgbClr r="0" g="0" b="0"/>
        </a:effectRef>
        <a:fontRef idx="minor"/>
      </dsp:style>
      <dsp:txXfrm>
        <a:off x="3382645" y="2062066"/>
        <a:ext cx="0" cy="171999"/>
      </dsp:txXfrm>
    </dsp:sp>
    <dsp:sp modelId="{ACF6B2DC-195F-4D2A-B4FA-A88FBE380472}">
      <dsp:nvSpPr>
        <dsp:cNvPr id="23" name="任意多边形 22"/>
        <dsp:cNvSpPr/>
      </dsp:nvSpPr>
      <dsp:spPr bwMode="white">
        <a:xfrm>
          <a:off x="2391604" y="2062066"/>
          <a:ext cx="991041" cy="171999"/>
        </a:xfrm>
        <a:custGeom>
          <a:avLst/>
          <a:gdLst/>
          <a:ahLst/>
          <a:cxnLst/>
          <a:pathLst>
            <a:path w="1561" h="271">
              <a:moveTo>
                <a:pt x="1561" y="0"/>
              </a:moveTo>
              <a:lnTo>
                <a:pt x="1561" y="135"/>
              </a:lnTo>
              <a:lnTo>
                <a:pt x="0" y="135"/>
              </a:lnTo>
              <a:lnTo>
                <a:pt x="0" y="271"/>
              </a:lnTo>
            </a:path>
          </a:pathLst>
        </a:custGeom>
      </dsp:spPr>
      <dsp:style>
        <a:lnRef idx="2">
          <a:schemeClr val="accent1">
            <a:shade val="80000"/>
          </a:schemeClr>
        </a:lnRef>
        <a:fillRef idx="0">
          <a:schemeClr val="accent1"/>
        </a:fillRef>
        <a:effectRef idx="0">
          <a:scrgbClr r="0" g="0" b="0"/>
        </a:effectRef>
        <a:fontRef idx="minor"/>
      </dsp:style>
      <dsp:txXfrm>
        <a:off x="2391604" y="2062066"/>
        <a:ext cx="991041" cy="171999"/>
      </dsp:txXfrm>
    </dsp:sp>
    <dsp:sp modelId="{C7B955B4-AFC3-40A3-A8EF-B4F4FBB07AE6}">
      <dsp:nvSpPr>
        <dsp:cNvPr id="26" name="任意多边形 25"/>
        <dsp:cNvSpPr/>
      </dsp:nvSpPr>
      <dsp:spPr bwMode="white">
        <a:xfrm>
          <a:off x="1400562" y="2062066"/>
          <a:ext cx="1982083" cy="171999"/>
        </a:xfrm>
        <a:custGeom>
          <a:avLst/>
          <a:gdLst/>
          <a:ahLst/>
          <a:cxnLst/>
          <a:pathLst>
            <a:path w="3121" h="271">
              <a:moveTo>
                <a:pt x="3121" y="0"/>
              </a:moveTo>
              <a:lnTo>
                <a:pt x="3121" y="135"/>
              </a:lnTo>
              <a:lnTo>
                <a:pt x="0" y="135"/>
              </a:lnTo>
              <a:lnTo>
                <a:pt x="0" y="271"/>
              </a:lnTo>
            </a:path>
          </a:pathLst>
        </a:custGeom>
      </dsp:spPr>
      <dsp:style>
        <a:lnRef idx="2">
          <a:schemeClr val="accent1">
            <a:shade val="80000"/>
          </a:schemeClr>
        </a:lnRef>
        <a:fillRef idx="0">
          <a:schemeClr val="accent1"/>
        </a:fillRef>
        <a:effectRef idx="0">
          <a:scrgbClr r="0" g="0" b="0"/>
        </a:effectRef>
        <a:fontRef idx="minor"/>
      </dsp:style>
      <dsp:txXfrm>
        <a:off x="1400562" y="2062066"/>
        <a:ext cx="1982083" cy="171999"/>
      </dsp:txXfrm>
    </dsp:sp>
    <dsp:sp modelId="{C58F17CA-8825-4626-A6B7-E7C094E5AF5B}">
      <dsp:nvSpPr>
        <dsp:cNvPr id="29" name="任意多边形 28"/>
        <dsp:cNvSpPr/>
      </dsp:nvSpPr>
      <dsp:spPr bwMode="white">
        <a:xfrm>
          <a:off x="409521" y="2062066"/>
          <a:ext cx="2973124" cy="171999"/>
        </a:xfrm>
        <a:custGeom>
          <a:avLst/>
          <a:gdLst/>
          <a:ahLst/>
          <a:cxnLst/>
          <a:pathLst>
            <a:path w="4682" h="271">
              <a:moveTo>
                <a:pt x="4682" y="0"/>
              </a:moveTo>
              <a:lnTo>
                <a:pt x="4682" y="135"/>
              </a:lnTo>
              <a:lnTo>
                <a:pt x="0" y="135"/>
              </a:lnTo>
              <a:lnTo>
                <a:pt x="0" y="271"/>
              </a:lnTo>
            </a:path>
          </a:pathLst>
        </a:custGeom>
      </dsp:spPr>
      <dsp:style>
        <a:lnRef idx="2">
          <a:schemeClr val="accent1">
            <a:shade val="80000"/>
          </a:schemeClr>
        </a:lnRef>
        <a:fillRef idx="0">
          <a:schemeClr val="accent1"/>
        </a:fillRef>
        <a:effectRef idx="0">
          <a:scrgbClr r="0" g="0" b="0"/>
        </a:effectRef>
        <a:fontRef idx="minor"/>
      </dsp:style>
      <dsp:txXfrm>
        <a:off x="409521" y="2062066"/>
        <a:ext cx="2973124" cy="171999"/>
      </dsp:txXfrm>
    </dsp:sp>
    <dsp:sp modelId="{548429D0-4959-45CE-9F1B-55D8B5528792}">
      <dsp:nvSpPr>
        <dsp:cNvPr id="3" name="矩形 2"/>
        <dsp:cNvSpPr/>
      </dsp:nvSpPr>
      <dsp:spPr bwMode="white">
        <a:xfrm>
          <a:off x="2973124" y="489504"/>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执行董事</a:t>
          </a:r>
        </a:p>
      </dsp:txBody>
      <dsp:txXfrm>
        <a:off x="2973124" y="489504"/>
        <a:ext cx="819042" cy="409521"/>
      </dsp:txXfrm>
    </dsp:sp>
    <dsp:sp modelId="{4F313537-711D-4E90-AC2F-1293DB22AEFC}">
      <dsp:nvSpPr>
        <dsp:cNvPr id="6" name="矩形 5"/>
        <dsp:cNvSpPr/>
      </dsp:nvSpPr>
      <dsp:spPr bwMode="white">
        <a:xfrm>
          <a:off x="2973124" y="1071024"/>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080" tIns="5080" rIns="5080" bIns="508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850" b="1"/>
            <a:t> </a:t>
          </a:r>
          <a:r>
            <a:rPr lang="zh-CN" altLang="en-US" sz="850" b="1"/>
            <a:t>副经理（主持经理层工作）</a:t>
          </a:r>
          <a:r>
            <a:rPr lang="en-US" altLang="zh-CN" sz="850" b="1"/>
            <a:t>  </a:t>
          </a:r>
        </a:p>
      </dsp:txBody>
      <dsp:txXfrm>
        <a:off x="2973124" y="1071024"/>
        <a:ext cx="819042" cy="409521"/>
      </dsp:txXfrm>
    </dsp:sp>
    <dsp:sp modelId="{09E6C6DC-6711-429D-BFF2-CFF65AEE764F}">
      <dsp:nvSpPr>
        <dsp:cNvPr id="9" name="矩形 8"/>
        <dsp:cNvSpPr/>
      </dsp:nvSpPr>
      <dsp:spPr bwMode="white">
        <a:xfrm>
          <a:off x="2973124" y="1652544"/>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运营管理部</a:t>
          </a:r>
        </a:p>
      </dsp:txBody>
      <dsp:txXfrm>
        <a:off x="2973124" y="1652544"/>
        <a:ext cx="819042" cy="409521"/>
      </dsp:txXfrm>
    </dsp:sp>
    <dsp:sp modelId="{A8EA43F0-1412-4974-9969-21E76FC1AFF6}">
      <dsp:nvSpPr>
        <dsp:cNvPr id="12" name="矩形 11"/>
        <dsp:cNvSpPr/>
      </dsp:nvSpPr>
      <dsp:spPr bwMode="white">
        <a:xfrm>
          <a:off x="5946248"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嘉陵广场</a:t>
          </a:r>
        </a:p>
      </dsp:txBody>
      <dsp:txXfrm>
        <a:off x="5946248" y="2234065"/>
        <a:ext cx="819042" cy="409521"/>
      </dsp:txXfrm>
    </dsp:sp>
    <dsp:sp modelId="{130444B1-E42E-4B9B-8EC7-3F6DBA6992F6}">
      <dsp:nvSpPr>
        <dsp:cNvPr id="15" name="矩形 14"/>
        <dsp:cNvSpPr/>
      </dsp:nvSpPr>
      <dsp:spPr bwMode="white">
        <a:xfrm>
          <a:off x="4955206"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南河广场</a:t>
          </a:r>
        </a:p>
      </dsp:txBody>
      <dsp:txXfrm>
        <a:off x="4955206" y="2234065"/>
        <a:ext cx="819042" cy="409521"/>
      </dsp:txXfrm>
    </dsp:sp>
    <dsp:sp modelId="{E114033E-2914-4A5A-87BC-39D5E9885BC8}">
      <dsp:nvSpPr>
        <dsp:cNvPr id="18" name="矩形 17"/>
        <dsp:cNvSpPr/>
      </dsp:nvSpPr>
      <dsp:spPr bwMode="white">
        <a:xfrm>
          <a:off x="3964165"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苴国广场</a:t>
          </a:r>
        </a:p>
      </dsp:txBody>
      <dsp:txXfrm>
        <a:off x="3964165" y="2234065"/>
        <a:ext cx="819042" cy="409521"/>
      </dsp:txXfrm>
    </dsp:sp>
    <dsp:sp modelId="{60518649-A13B-41CD-8EDC-BA0342D4EDF2}">
      <dsp:nvSpPr>
        <dsp:cNvPr id="21" name="矩形 20"/>
        <dsp:cNvSpPr/>
      </dsp:nvSpPr>
      <dsp:spPr bwMode="white">
        <a:xfrm>
          <a:off x="2973124"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利州广场</a:t>
          </a:r>
        </a:p>
      </dsp:txBody>
      <dsp:txXfrm>
        <a:off x="2973124" y="2234065"/>
        <a:ext cx="819042" cy="409521"/>
      </dsp:txXfrm>
    </dsp:sp>
    <dsp:sp modelId="{AEDE2EE1-B25F-47BC-A5F2-17A6D96734CF}">
      <dsp:nvSpPr>
        <dsp:cNvPr id="24" name="矩形 23"/>
        <dsp:cNvSpPr/>
      </dsp:nvSpPr>
      <dsp:spPr bwMode="white">
        <a:xfrm>
          <a:off x="1982083"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红星公园</a:t>
          </a:r>
        </a:p>
      </dsp:txBody>
      <dsp:txXfrm>
        <a:off x="1982083" y="2234065"/>
        <a:ext cx="819042" cy="409521"/>
      </dsp:txXfrm>
    </dsp:sp>
    <dsp:sp modelId="{B6C20806-61AF-41E3-AFAA-B5CEBEFE8567}">
      <dsp:nvSpPr>
        <dsp:cNvPr id="27" name="矩形 26"/>
        <dsp:cNvSpPr/>
      </dsp:nvSpPr>
      <dsp:spPr bwMode="white">
        <a:xfrm>
          <a:off x="991041"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湿地公园</a:t>
          </a:r>
        </a:p>
      </dsp:txBody>
      <dsp:txXfrm>
        <a:off x="991041" y="2234065"/>
        <a:ext cx="819042" cy="409521"/>
      </dsp:txXfrm>
    </dsp:sp>
    <dsp:sp modelId="{AADA8437-AB16-41D4-BA50-D35E72C14255}">
      <dsp:nvSpPr>
        <dsp:cNvPr id="30" name="矩形 29"/>
        <dsp:cNvSpPr/>
      </dsp:nvSpPr>
      <dsp:spPr bwMode="white">
        <a:xfrm>
          <a:off x="0" y="2234065"/>
          <a:ext cx="819042" cy="409521"/>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5715" tIns="5715" rIns="5715" bIns="5715"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sz="950" b="1"/>
            <a:t>凤凰山公园</a:t>
          </a:r>
        </a:p>
      </dsp:txBody>
      <dsp:txXfrm>
        <a:off x="0" y="2234065"/>
        <a:ext cx="819042" cy="409521"/>
      </dsp:txXfrm>
    </dsp:sp>
    <dsp:sp modelId="{FE1027BA-E880-4B94-A74D-A4B319508BAB}">
      <dsp:nvSpPr>
        <dsp:cNvPr id="4" name="矩形 3" hidden="1"/>
        <dsp:cNvSpPr/>
      </dsp:nvSpPr>
      <dsp:spPr>
        <a:xfrm>
          <a:off x="2973124" y="489504"/>
          <a:ext cx="163808" cy="409521"/>
        </a:xfrm>
        <a:prstGeom prst="rect">
          <a:avLst/>
        </a:prstGeom>
      </dsp:spPr>
      <dsp:txXfrm>
        <a:off x="2973124" y="489504"/>
        <a:ext cx="163808" cy="409521"/>
      </dsp:txXfrm>
    </dsp:sp>
    <dsp:sp modelId="{E99EC1B2-2649-444F-97E7-99F97C534125}">
      <dsp:nvSpPr>
        <dsp:cNvPr id="7" name="矩形 6" hidden="1"/>
        <dsp:cNvSpPr/>
      </dsp:nvSpPr>
      <dsp:spPr>
        <a:xfrm>
          <a:off x="3628358" y="1071024"/>
          <a:ext cx="163808" cy="409521"/>
        </a:xfrm>
        <a:prstGeom prst="rect">
          <a:avLst/>
        </a:prstGeom>
      </dsp:spPr>
      <dsp:txXfrm>
        <a:off x="3628358" y="1071024"/>
        <a:ext cx="163808" cy="409521"/>
      </dsp:txXfrm>
    </dsp:sp>
    <dsp:sp modelId="{FAE981DF-221D-4820-B57E-B3F6FDF04489}">
      <dsp:nvSpPr>
        <dsp:cNvPr id="10" name="矩形 9" hidden="1"/>
        <dsp:cNvSpPr/>
      </dsp:nvSpPr>
      <dsp:spPr>
        <a:xfrm>
          <a:off x="3628358" y="1652544"/>
          <a:ext cx="163808" cy="409521"/>
        </a:xfrm>
        <a:prstGeom prst="rect">
          <a:avLst/>
        </a:prstGeom>
      </dsp:spPr>
      <dsp:txXfrm>
        <a:off x="3628358" y="1652544"/>
        <a:ext cx="163808" cy="409521"/>
      </dsp:txXfrm>
    </dsp:sp>
    <dsp:sp modelId="{620844EF-DE81-441F-BAF0-F2D3EF22ACDE}">
      <dsp:nvSpPr>
        <dsp:cNvPr id="13" name="矩形 12" hidden="1"/>
        <dsp:cNvSpPr/>
      </dsp:nvSpPr>
      <dsp:spPr>
        <a:xfrm>
          <a:off x="5946248" y="2234065"/>
          <a:ext cx="163808" cy="409521"/>
        </a:xfrm>
        <a:prstGeom prst="rect">
          <a:avLst/>
        </a:prstGeom>
      </dsp:spPr>
      <dsp:txXfrm>
        <a:off x="5946248" y="2234065"/>
        <a:ext cx="163808" cy="409521"/>
      </dsp:txXfrm>
    </dsp:sp>
    <dsp:sp modelId="{B01C76B2-423D-417C-B04F-21D287FBBBE8}">
      <dsp:nvSpPr>
        <dsp:cNvPr id="16" name="矩形 15" hidden="1"/>
        <dsp:cNvSpPr/>
      </dsp:nvSpPr>
      <dsp:spPr>
        <a:xfrm>
          <a:off x="4955206" y="2234065"/>
          <a:ext cx="163808" cy="409521"/>
        </a:xfrm>
        <a:prstGeom prst="rect">
          <a:avLst/>
        </a:prstGeom>
      </dsp:spPr>
      <dsp:txXfrm>
        <a:off x="4955206" y="2234065"/>
        <a:ext cx="163808" cy="409521"/>
      </dsp:txXfrm>
    </dsp:sp>
    <dsp:sp modelId="{5E60A862-64B9-44E0-BB8C-0E3194CCABD5}">
      <dsp:nvSpPr>
        <dsp:cNvPr id="19" name="矩形 18" hidden="1"/>
        <dsp:cNvSpPr/>
      </dsp:nvSpPr>
      <dsp:spPr>
        <a:xfrm>
          <a:off x="3964165" y="2234065"/>
          <a:ext cx="163808" cy="409521"/>
        </a:xfrm>
        <a:prstGeom prst="rect">
          <a:avLst/>
        </a:prstGeom>
      </dsp:spPr>
      <dsp:txXfrm>
        <a:off x="3964165" y="2234065"/>
        <a:ext cx="163808" cy="409521"/>
      </dsp:txXfrm>
    </dsp:sp>
    <dsp:sp modelId="{4BD9941B-A042-4B95-B1A8-6429D831C634}">
      <dsp:nvSpPr>
        <dsp:cNvPr id="22" name="矩形 21" hidden="1"/>
        <dsp:cNvSpPr/>
      </dsp:nvSpPr>
      <dsp:spPr>
        <a:xfrm>
          <a:off x="2973124" y="2234065"/>
          <a:ext cx="163808" cy="409521"/>
        </a:xfrm>
        <a:prstGeom prst="rect">
          <a:avLst/>
        </a:prstGeom>
      </dsp:spPr>
      <dsp:txXfrm>
        <a:off x="2973124" y="2234065"/>
        <a:ext cx="163808" cy="409521"/>
      </dsp:txXfrm>
    </dsp:sp>
    <dsp:sp modelId="{442DDA63-7C85-4323-A69C-F76861049D27}">
      <dsp:nvSpPr>
        <dsp:cNvPr id="25" name="矩形 24" hidden="1"/>
        <dsp:cNvSpPr/>
      </dsp:nvSpPr>
      <dsp:spPr>
        <a:xfrm>
          <a:off x="1982083" y="2234065"/>
          <a:ext cx="163808" cy="409521"/>
        </a:xfrm>
        <a:prstGeom prst="rect">
          <a:avLst/>
        </a:prstGeom>
      </dsp:spPr>
      <dsp:txXfrm>
        <a:off x="1982083" y="2234065"/>
        <a:ext cx="163808" cy="409521"/>
      </dsp:txXfrm>
    </dsp:sp>
    <dsp:sp modelId="{D1D8DBE2-B54E-4B37-88BE-16A85F6E27EB}">
      <dsp:nvSpPr>
        <dsp:cNvPr id="28" name="矩形 27" hidden="1"/>
        <dsp:cNvSpPr/>
      </dsp:nvSpPr>
      <dsp:spPr>
        <a:xfrm>
          <a:off x="991041" y="2234065"/>
          <a:ext cx="163808" cy="409521"/>
        </a:xfrm>
        <a:prstGeom prst="rect">
          <a:avLst/>
        </a:prstGeom>
      </dsp:spPr>
      <dsp:txXfrm>
        <a:off x="991041" y="2234065"/>
        <a:ext cx="163808" cy="409521"/>
      </dsp:txXfrm>
    </dsp:sp>
    <dsp:sp modelId="{DEBA06D8-2824-4D1C-B072-8AB341DFE630}">
      <dsp:nvSpPr>
        <dsp:cNvPr id="31" name="矩形 30" hidden="1"/>
        <dsp:cNvSpPr/>
      </dsp:nvSpPr>
      <dsp:spPr>
        <a:xfrm>
          <a:off x="0" y="2234065"/>
          <a:ext cx="163808" cy="409521"/>
        </a:xfrm>
        <a:prstGeom prst="rect">
          <a:avLst/>
        </a:prstGeom>
      </dsp:spPr>
      <dsp:txXfrm>
        <a:off x="0" y="2234065"/>
        <a:ext cx="163808" cy="4095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4">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E4D9A-8D65-4F2A-97D6-D994F7CCF90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115</Pages>
  <Words>45258</Words>
  <Characters>48245</Characters>
  <Lines>371</Lines>
  <Paragraphs>104</Paragraphs>
  <TotalTime>7</TotalTime>
  <ScaleCrop>false</ScaleCrop>
  <LinksUpToDate>false</LinksUpToDate>
  <CharactersWithSpaces>48905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2023-09-13T03:15:00Z</dcterms:created>
  <dc:creator>市国资委</dc:creator>
  <cp:lastModifiedBy> </cp:lastModifiedBy>
  <cp:lastPrinted>2023-07-31T02:35:00Z</cp:lastPrinted>
  <dcterms:modified xsi:type="dcterms:W3CDTF">2023-09-28T14:07:28Z</dcterms:modified>
  <dc:title>2022年度决算公开编制说明</dc:title>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1BF328E4FCBC46E183310AF8D9815CC9</vt:lpwstr>
  </property>
</Properties>
</file>