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96597"/>
      <w:bookmarkStart w:id="2" w:name="_Toc15377425"/>
      <w:bookmarkStart w:id="3" w:name="_Toc15378441"/>
      <w:bookmarkStart w:id="4" w:name="_Toc15396475"/>
      <w:bookmarkStart w:id="5"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shd w:val="clear"/>
        <w:jc w:val="center"/>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lang w:eastAsia="zh-CN"/>
        </w:rPr>
        <w:t>年度</w:t>
      </w:r>
      <w:bookmarkEnd w:id="0"/>
      <w:bookmarkEnd w:id="1"/>
      <w:bookmarkEnd w:id="2"/>
      <w:bookmarkEnd w:id="3"/>
      <w:bookmarkEnd w:id="4"/>
    </w:p>
    <w:p>
      <w:pPr>
        <w:shd w:val="clear"/>
        <w:jc w:val="center"/>
        <w:rPr>
          <w:rFonts w:hint="eastAsia" w:ascii="方正小标宋简体" w:hAnsi="方正小标宋简体" w:eastAsia="方正小标宋简体" w:cs="方正小标宋简体"/>
          <w:color w:val="auto"/>
          <w:sz w:val="72"/>
          <w:szCs w:val="72"/>
          <w:highlight w:val="none"/>
          <w:lang w:eastAsia="zh-CN"/>
        </w:rPr>
      </w:pPr>
    </w:p>
    <w:bookmarkEnd w:id="5"/>
    <w:p>
      <w:pPr>
        <w:shd w:val="clear"/>
        <w:jc w:val="center"/>
        <w:rPr>
          <w:rFonts w:hint="eastAsia" w:ascii="方正小标宋简体" w:hAnsi="方正小标宋简体" w:eastAsia="方正小标宋简体" w:cs="方正小标宋简体"/>
          <w:color w:val="auto"/>
          <w:sz w:val="72"/>
          <w:szCs w:val="72"/>
          <w:highlight w:val="none"/>
          <w:lang w:eastAsia="zh-CN"/>
        </w:rPr>
      </w:pPr>
      <w:bookmarkStart w:id="6" w:name="_Toc4628"/>
      <w:bookmarkStart w:id="7" w:name="_Toc13750"/>
      <w:bookmarkStart w:id="8" w:name="_Toc32586"/>
      <w:bookmarkStart w:id="9" w:name="_Toc6786"/>
      <w:bookmarkStart w:id="10" w:name="_Toc9963"/>
      <w:bookmarkStart w:id="11" w:name="_Toc1903"/>
      <w:r>
        <w:rPr>
          <w:rFonts w:hint="eastAsia" w:ascii="方正小标宋简体" w:hAnsi="方正小标宋简体" w:eastAsia="方正小标宋简体" w:cs="方正小标宋简体"/>
          <w:color w:val="auto"/>
          <w:sz w:val="72"/>
          <w:szCs w:val="72"/>
          <w:highlight w:val="none"/>
          <w:lang w:eastAsia="zh-CN"/>
        </w:rPr>
        <w:t>广元市卫生健康委员会</w:t>
      </w:r>
      <w:bookmarkEnd w:id="6"/>
      <w:bookmarkEnd w:id="7"/>
      <w:bookmarkEnd w:id="8"/>
      <w:bookmarkEnd w:id="9"/>
      <w:bookmarkEnd w:id="10"/>
      <w:bookmarkEnd w:id="11"/>
    </w:p>
    <w:p>
      <w:pPr>
        <w:shd w:val="clear"/>
        <w:jc w:val="center"/>
        <w:rPr>
          <w:rFonts w:hint="eastAsia" w:ascii="方正小标宋简体" w:hAnsi="方正小标宋简体" w:eastAsia="方正小标宋简体" w:cs="方正小标宋简体"/>
          <w:color w:val="auto"/>
          <w:sz w:val="72"/>
          <w:szCs w:val="72"/>
          <w:highlight w:val="none"/>
          <w:lang w:eastAsia="zh-CN"/>
        </w:rPr>
      </w:pPr>
    </w:p>
    <w:p>
      <w:pPr>
        <w:shd w:val="clear"/>
        <w:jc w:val="center"/>
        <w:rPr>
          <w:rFonts w:hint="eastAsia" w:ascii="方正小标宋简体" w:hAnsi="方正小标宋简体" w:eastAsia="方正小标宋简体" w:cs="方正小标宋简体"/>
          <w:color w:val="auto"/>
          <w:sz w:val="72"/>
          <w:szCs w:val="72"/>
          <w:highlight w:val="none"/>
          <w:lang w:eastAsia="zh-CN"/>
        </w:rPr>
        <w:sectPr>
          <w:headerReference r:id="rId3" w:type="default"/>
          <w:pgSz w:w="11906" w:h="16838"/>
          <w:pgMar w:top="1440" w:right="1800" w:bottom="1440" w:left="1800" w:header="851" w:footer="992" w:gutter="0"/>
          <w:pgNumType w:fmt="numberInDash" w:start="1"/>
          <w:cols w:space="425" w:num="1"/>
          <w:titlePg/>
          <w:docGrid w:type="lines" w:linePitch="312" w:charSpace="0"/>
        </w:sectPr>
      </w:pPr>
      <w:bookmarkStart w:id="12" w:name="_Toc6273"/>
      <w:bookmarkStart w:id="13" w:name="_Toc22174"/>
      <w:bookmarkStart w:id="14" w:name="_Toc16298"/>
      <w:bookmarkStart w:id="15" w:name="_Toc21388"/>
      <w:bookmarkStart w:id="16" w:name="_Toc23532"/>
      <w:bookmarkStart w:id="17" w:name="_Toc19838"/>
      <w:r>
        <w:rPr>
          <w:rFonts w:hint="eastAsia" w:ascii="方正小标宋简体" w:hAnsi="方正小标宋简体" w:eastAsia="方正小标宋简体" w:cs="方正小标宋简体"/>
          <w:color w:val="auto"/>
          <w:sz w:val="72"/>
          <w:szCs w:val="72"/>
          <w:highlight w:val="none"/>
          <w:lang w:eastAsia="zh-CN"/>
        </w:rPr>
        <w:t>部门决算</w:t>
      </w:r>
      <w:bookmarkEnd w:id="12"/>
      <w:bookmarkEnd w:id="13"/>
      <w:bookmarkEnd w:id="14"/>
      <w:bookmarkEnd w:id="15"/>
      <w:bookmarkEnd w:id="16"/>
      <w:bookmarkEnd w:id="17"/>
    </w:p>
    <w:p>
      <w:pPr>
        <w:pStyle w:val="2"/>
        <w:shd w:val="clear"/>
        <w:rPr>
          <w:color w:val="auto"/>
          <w:highlight w:val="none"/>
        </w:rPr>
      </w:pPr>
    </w:p>
    <w:sdt>
      <w:sdtPr>
        <w:rPr>
          <w:rFonts w:hint="eastAsia" w:ascii="黑体" w:hAnsi="黑体" w:eastAsia="黑体" w:cs="Times New Roman"/>
          <w:color w:val="auto"/>
          <w:sz w:val="48"/>
          <w:szCs w:val="48"/>
          <w:highlight w:val="none"/>
          <w:lang w:val="en-US" w:eastAsia="zh-CN"/>
        </w:rPr>
        <w:id w:val="147475381"/>
        <w15:color w:val="DBDBDB"/>
        <w:docPartObj>
          <w:docPartGallery w:val="Table of Contents"/>
          <w:docPartUnique/>
        </w:docPartObj>
      </w:sdtPr>
      <w:sdtEndPr>
        <w:rPr>
          <w:rFonts w:hint="eastAsia" w:ascii="仿宋" w:hAnsi="仿宋" w:eastAsia="仿宋" w:cs="仿宋"/>
          <w:b/>
          <w:color w:val="auto"/>
          <w:kern w:val="2"/>
          <w:sz w:val="28"/>
          <w:szCs w:val="28"/>
          <w:highlight w:val="none"/>
          <w:lang w:val="en-US" w:eastAsia="zh-CN" w:bidi="ar-SA"/>
        </w:rPr>
      </w:sdtEndPr>
      <w:sdtContent>
        <w:p>
          <w:pPr>
            <w:shd w:val="clear"/>
            <w:jc w:val="center"/>
            <w:rPr>
              <w:rFonts w:hint="eastAsia" w:ascii="黑体" w:hAnsi="黑体" w:eastAsia="黑体" w:cs="Times New Roman"/>
              <w:color w:val="auto"/>
              <w:sz w:val="48"/>
              <w:szCs w:val="48"/>
              <w:highlight w:val="none"/>
            </w:rPr>
          </w:pPr>
          <w:bookmarkStart w:id="101" w:name="_GoBack"/>
          <w:r>
            <w:rPr>
              <w:rFonts w:hint="eastAsia" w:ascii="黑体" w:hAnsi="黑体" w:eastAsia="黑体" w:cs="Times New Roman"/>
              <w:color w:val="auto"/>
              <w:sz w:val="48"/>
              <w:szCs w:val="48"/>
              <w:highlight w:val="none"/>
            </w:rPr>
            <w:t>目</w:t>
          </w:r>
          <w:r>
            <w:rPr>
              <w:rFonts w:hint="eastAsia" w:ascii="黑体" w:hAnsi="黑体" w:eastAsia="黑体" w:cs="Times New Roman"/>
              <w:color w:val="auto"/>
              <w:sz w:val="48"/>
              <w:szCs w:val="48"/>
              <w:highlight w:val="none"/>
              <w:lang w:val="en-US" w:eastAsia="zh-CN"/>
            </w:rPr>
            <w:t xml:space="preserve"> </w:t>
          </w:r>
          <w:r>
            <w:rPr>
              <w:rFonts w:hint="eastAsia" w:ascii="黑体" w:hAnsi="黑体" w:eastAsia="黑体" w:cs="Times New Roman"/>
              <w:color w:val="auto"/>
              <w:sz w:val="48"/>
              <w:szCs w:val="48"/>
              <w:highlight w:val="none"/>
            </w:rPr>
            <w:t>录</w:t>
          </w:r>
        </w:p>
        <w:p>
          <w:pPr>
            <w:pStyle w:val="12"/>
            <w:shd w:val="clear"/>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pStyle w:val="12"/>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_Toc6158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第一部分 </w:t>
          </w:r>
          <w:r>
            <w:rPr>
              <w:rFonts w:hint="eastAsia" w:ascii="仿宋" w:hAnsi="仿宋" w:eastAsia="仿宋" w:cs="仿宋"/>
              <w:bCs w:val="0"/>
              <w:color w:val="auto"/>
              <w:sz w:val="28"/>
              <w:szCs w:val="28"/>
              <w:highlight w:val="none"/>
            </w:rPr>
            <w:t>部门概况</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_Toc6158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_Toc11057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一、 部门职责</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_Toc11057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_Toc18375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 xml:space="preserve">二、 </w:t>
          </w:r>
          <w:r>
            <w:rPr>
              <w:rFonts w:hint="eastAsia" w:ascii="仿宋" w:hAnsi="仿宋" w:eastAsia="仿宋" w:cs="仿宋"/>
              <w:color w:val="auto"/>
              <w:sz w:val="28"/>
              <w:szCs w:val="28"/>
              <w:highlight w:val="none"/>
            </w:rPr>
            <w:t>机</w:t>
          </w:r>
          <w:r>
            <w:rPr>
              <w:rFonts w:hint="eastAsia" w:ascii="仿宋" w:hAnsi="仿宋" w:eastAsia="仿宋" w:cs="仿宋"/>
              <w:bCs w:val="0"/>
              <w:color w:val="auto"/>
              <w:sz w:val="28"/>
              <w:szCs w:val="28"/>
              <w:highlight w:val="none"/>
            </w:rPr>
            <w:t>构设置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_Toc18375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- 4 -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2"/>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_Toc18617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 xml:space="preserve">第二部分 </w:t>
          </w:r>
          <w:r>
            <w:rPr>
              <w:rFonts w:hint="eastAsia" w:ascii="仿宋" w:hAnsi="仿宋" w:eastAsia="仿宋" w:cs="仿宋"/>
              <w:bCs/>
              <w:color w:val="auto"/>
              <w:sz w:val="28"/>
              <w:szCs w:val="28"/>
              <w:highlight w:val="none"/>
              <w:lang w:val="en-US" w:eastAsia="zh-CN"/>
            </w:rPr>
            <w:t>2022年度</w:t>
          </w:r>
          <w:r>
            <w:rPr>
              <w:rFonts w:hint="eastAsia" w:ascii="仿宋" w:hAnsi="仿宋" w:eastAsia="仿宋" w:cs="仿宋"/>
              <w:bCs/>
              <w:color w:val="auto"/>
              <w:sz w:val="28"/>
              <w:szCs w:val="28"/>
              <w:highlight w:val="none"/>
            </w:rPr>
            <w:t>部门决算情况说明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_Toc18617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_Toc30645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 收入支出决算总体情况说明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_Toc30645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_Toc29563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 收入决算情况说明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_Toc29563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- 6 -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_Toc19306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 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_Toc19306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- 6 -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_Toc29067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四、财政拨款收入支出决算总体情况说明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_Toc29067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- 7 -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_Toc1609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五、一般公共预算财政拨款支出决算情况说明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_Toc1609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- 8 -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_Toc16348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六、一般公共预算财政拨款基本支出决算情况说明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_Toc16348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_Toc17456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七、财政拨款“三公”经费支出决算情况说明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_Toc17456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- 16 -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_Toc6842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八、政府性基金预算支出决算情况说明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_Toc6842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_Toc18555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九、 国有资本经营预算支出决算情况说明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_Toc18555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_Toc22351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十、 其他重要事项的情况说明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_Toc22351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2"/>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_Toc7676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第三部分 名词解释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_Toc7676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- 21 -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2"/>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_Toc32301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第四部分 附件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_Toc32301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- 28 -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2"/>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_Toc22495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第五部分 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_Toc22495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- 38 -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_Toc22313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一、收</w:t>
          </w:r>
          <w:r>
            <w:rPr>
              <w:rFonts w:hint="eastAsia" w:ascii="仿宋" w:hAnsi="仿宋" w:eastAsia="仿宋" w:cs="仿宋"/>
              <w:bCs w:val="0"/>
              <w:color w:val="auto"/>
              <w:sz w:val="28"/>
              <w:szCs w:val="28"/>
              <w:highlight w:val="none"/>
            </w:rPr>
            <w:t>入支出决算总表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_Toc22313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二、收</w:t>
          </w:r>
          <w:r>
            <w:rPr>
              <w:rFonts w:hint="eastAsia" w:ascii="仿宋" w:hAnsi="仿宋" w:eastAsia="仿宋" w:cs="仿宋"/>
              <w:bCs w:val="0"/>
              <w:color w:val="auto"/>
              <w:sz w:val="28"/>
              <w:szCs w:val="28"/>
              <w:highlight w:val="none"/>
            </w:rPr>
            <w:t>入决算表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_Toc22797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三、</w:t>
          </w:r>
          <w:r>
            <w:rPr>
              <w:rFonts w:hint="eastAsia" w:ascii="仿宋" w:hAnsi="仿宋" w:eastAsia="仿宋" w:cs="仿宋"/>
              <w:color w:val="auto"/>
              <w:sz w:val="28"/>
              <w:szCs w:val="28"/>
              <w:highlight w:val="none"/>
            </w:rPr>
            <w:t>支</w:t>
          </w:r>
          <w:r>
            <w:rPr>
              <w:rFonts w:hint="eastAsia" w:ascii="仿宋" w:hAnsi="仿宋" w:eastAsia="仿宋" w:cs="仿宋"/>
              <w:bCs w:val="0"/>
              <w:color w:val="auto"/>
              <w:sz w:val="28"/>
              <w:szCs w:val="28"/>
              <w:highlight w:val="none"/>
            </w:rPr>
            <w:t>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_Toc22797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_Toc3406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四、</w:t>
          </w:r>
          <w:r>
            <w:rPr>
              <w:rFonts w:hint="eastAsia" w:ascii="仿宋" w:hAnsi="仿宋" w:eastAsia="仿宋" w:cs="仿宋"/>
              <w:color w:val="auto"/>
              <w:sz w:val="28"/>
              <w:szCs w:val="28"/>
              <w:highlight w:val="none"/>
            </w:rPr>
            <w:t>财</w:t>
          </w:r>
          <w:r>
            <w:rPr>
              <w:rFonts w:hint="eastAsia" w:ascii="仿宋" w:hAnsi="仿宋" w:eastAsia="仿宋" w:cs="仿宋"/>
              <w:bCs w:val="0"/>
              <w:color w:val="auto"/>
              <w:sz w:val="28"/>
              <w:szCs w:val="28"/>
              <w:highlight w:val="none"/>
            </w:rPr>
            <w:t>政拨款收入支出决算总表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_Toc3406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_Toc17392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五、</w:t>
          </w:r>
          <w:r>
            <w:rPr>
              <w:rFonts w:hint="eastAsia" w:ascii="仿宋" w:hAnsi="仿宋" w:eastAsia="仿宋" w:cs="仿宋"/>
              <w:color w:val="auto"/>
              <w:sz w:val="28"/>
              <w:szCs w:val="28"/>
              <w:highlight w:val="none"/>
            </w:rPr>
            <w:t>财</w:t>
          </w:r>
          <w:r>
            <w:rPr>
              <w:rFonts w:hint="eastAsia" w:ascii="仿宋" w:hAnsi="仿宋" w:eastAsia="仿宋" w:cs="仿宋"/>
              <w:bCs w:val="0"/>
              <w:color w:val="auto"/>
              <w:sz w:val="28"/>
              <w:szCs w:val="28"/>
              <w:highlight w:val="none"/>
            </w:rPr>
            <w:t>政拨款支出决算明细表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_Toc17392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_Toc30536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六、</w:t>
          </w:r>
          <w:r>
            <w:rPr>
              <w:rFonts w:hint="eastAsia" w:ascii="仿宋" w:hAnsi="仿宋" w:eastAsia="仿宋" w:cs="仿宋"/>
              <w:color w:val="auto"/>
              <w:sz w:val="28"/>
              <w:szCs w:val="28"/>
              <w:highlight w:val="none"/>
            </w:rPr>
            <w:t>一</w:t>
          </w:r>
          <w:r>
            <w:rPr>
              <w:rFonts w:hint="eastAsia" w:ascii="仿宋" w:hAnsi="仿宋" w:eastAsia="仿宋" w:cs="仿宋"/>
              <w:bCs w:val="0"/>
              <w:color w:val="auto"/>
              <w:sz w:val="28"/>
              <w:szCs w:val="28"/>
              <w:highlight w:val="none"/>
            </w:rPr>
            <w:t>般公共预算财政拨款支出决算表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_Toc30536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_Toc9012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七、</w:t>
          </w:r>
          <w:r>
            <w:rPr>
              <w:rFonts w:hint="eastAsia" w:ascii="仿宋" w:hAnsi="仿宋" w:eastAsia="仿宋" w:cs="仿宋"/>
              <w:color w:val="auto"/>
              <w:sz w:val="28"/>
              <w:szCs w:val="28"/>
              <w:highlight w:val="none"/>
            </w:rPr>
            <w:t>一</w:t>
          </w:r>
          <w:r>
            <w:rPr>
              <w:rFonts w:hint="eastAsia" w:ascii="仿宋" w:hAnsi="仿宋" w:eastAsia="仿宋" w:cs="仿宋"/>
              <w:bCs w:val="0"/>
              <w:color w:val="auto"/>
              <w:sz w:val="28"/>
              <w:szCs w:val="28"/>
              <w:highlight w:val="none"/>
            </w:rPr>
            <w:t>般公共预算财政拨款支出决算明细表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_Toc9012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_Toc10889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八、</w:t>
          </w:r>
          <w:r>
            <w:rPr>
              <w:rFonts w:hint="eastAsia" w:ascii="仿宋" w:hAnsi="仿宋" w:eastAsia="仿宋" w:cs="仿宋"/>
              <w:color w:val="auto"/>
              <w:sz w:val="28"/>
              <w:szCs w:val="28"/>
              <w:highlight w:val="none"/>
            </w:rPr>
            <w:t>一</w:t>
          </w:r>
          <w:r>
            <w:rPr>
              <w:rFonts w:hint="eastAsia" w:ascii="仿宋" w:hAnsi="仿宋" w:eastAsia="仿宋" w:cs="仿宋"/>
              <w:bCs w:val="0"/>
              <w:color w:val="auto"/>
              <w:sz w:val="28"/>
              <w:szCs w:val="28"/>
              <w:highlight w:val="none"/>
            </w:rPr>
            <w:t>般公共预算财政拨款基本支出决算表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_Toc10889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_Toc7281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九、</w:t>
          </w:r>
          <w:r>
            <w:rPr>
              <w:rFonts w:hint="eastAsia" w:ascii="仿宋" w:hAnsi="仿宋" w:eastAsia="仿宋" w:cs="仿宋"/>
              <w:color w:val="auto"/>
              <w:sz w:val="28"/>
              <w:szCs w:val="28"/>
              <w:highlight w:val="none"/>
            </w:rPr>
            <w:t>一</w:t>
          </w:r>
          <w:r>
            <w:rPr>
              <w:rFonts w:hint="eastAsia" w:ascii="仿宋" w:hAnsi="仿宋" w:eastAsia="仿宋" w:cs="仿宋"/>
              <w:bCs w:val="0"/>
              <w:color w:val="auto"/>
              <w:sz w:val="28"/>
              <w:szCs w:val="28"/>
              <w:highlight w:val="none"/>
            </w:rPr>
            <w:t>般公共预算财政拨款项目支出决算表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_Toc7281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_Toc29557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十、</w:t>
          </w:r>
          <w:r>
            <w:rPr>
              <w:rFonts w:hint="eastAsia" w:ascii="仿宋" w:hAnsi="仿宋" w:eastAsia="仿宋" w:cs="仿宋"/>
              <w:color w:val="auto"/>
              <w:sz w:val="28"/>
              <w:szCs w:val="28"/>
              <w:highlight w:val="none"/>
            </w:rPr>
            <w:t>政</w:t>
          </w:r>
          <w:r>
            <w:rPr>
              <w:rFonts w:hint="eastAsia" w:ascii="仿宋" w:hAnsi="仿宋" w:eastAsia="仿宋" w:cs="仿宋"/>
              <w:bCs w:val="0"/>
              <w:color w:val="auto"/>
              <w:sz w:val="28"/>
              <w:szCs w:val="28"/>
              <w:highlight w:val="none"/>
            </w:rPr>
            <w:t>府性基金预算财政拨款收入支出决算表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_Toc29557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_Toc23266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十一、</w:t>
          </w:r>
          <w:r>
            <w:rPr>
              <w:rFonts w:hint="eastAsia" w:ascii="仿宋" w:hAnsi="仿宋" w:eastAsia="仿宋" w:cs="仿宋"/>
              <w:color w:val="auto"/>
              <w:sz w:val="28"/>
              <w:szCs w:val="28"/>
              <w:highlight w:val="none"/>
            </w:rPr>
            <w:t>国</w:t>
          </w:r>
          <w:r>
            <w:rPr>
              <w:rFonts w:hint="eastAsia" w:ascii="仿宋" w:hAnsi="仿宋" w:eastAsia="仿宋" w:cs="仿宋"/>
              <w:bCs w:val="0"/>
              <w:color w:val="auto"/>
              <w:sz w:val="28"/>
              <w:szCs w:val="28"/>
              <w:highlight w:val="none"/>
            </w:rPr>
            <w:t>有资本经营预算</w:t>
          </w:r>
          <w:r>
            <w:rPr>
              <w:rFonts w:hint="eastAsia" w:ascii="仿宋" w:hAnsi="仿宋" w:eastAsia="仿宋" w:cs="仿宋"/>
              <w:bCs w:val="0"/>
              <w:color w:val="auto"/>
              <w:sz w:val="28"/>
              <w:szCs w:val="28"/>
              <w:highlight w:val="none"/>
              <w:lang w:eastAsia="zh-CN"/>
            </w:rPr>
            <w:t>财政拨款收入</w:t>
          </w:r>
          <w:r>
            <w:rPr>
              <w:rFonts w:hint="eastAsia" w:ascii="仿宋" w:hAnsi="仿宋" w:eastAsia="仿宋" w:cs="仿宋"/>
              <w:bCs w:val="0"/>
              <w:color w:val="auto"/>
              <w:sz w:val="28"/>
              <w:szCs w:val="28"/>
              <w:highlight w:val="none"/>
            </w:rPr>
            <w:t>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_Toc23266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_Toc18206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十二、</w:t>
          </w:r>
          <w:r>
            <w:rPr>
              <w:rFonts w:hint="eastAsia" w:ascii="仿宋" w:hAnsi="仿宋" w:eastAsia="仿宋" w:cs="仿宋"/>
              <w:bCs w:val="0"/>
              <w:color w:val="auto"/>
              <w:sz w:val="28"/>
              <w:szCs w:val="28"/>
              <w:highlight w:val="none"/>
              <w:lang w:eastAsia="zh-CN"/>
            </w:rPr>
            <w:t>国有资本经营预算财政拨款支出决算表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_Toc18206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3"/>
            <w:shd w:val="clear"/>
            <w:tabs>
              <w:tab w:val="right" w:leader="dot" w:pos="8306"/>
              <w:tab w:val="clear" w:pos="829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_Toc8973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rPr>
            <w:t>十三、</w:t>
          </w:r>
          <w:r>
            <w:rPr>
              <w:rFonts w:hint="eastAsia" w:ascii="仿宋" w:hAnsi="仿宋" w:eastAsia="仿宋" w:cs="仿宋"/>
              <w:bCs w:val="0"/>
              <w:color w:val="auto"/>
              <w:sz w:val="28"/>
              <w:szCs w:val="28"/>
              <w:highlight w:val="none"/>
              <w:lang w:eastAsia="zh-CN"/>
            </w:rPr>
            <w:t>财政拨款“三公”经费支出决算表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_Toc8973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shd w:val="clea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bookmarkEnd w:id="101"/>
        </w:p>
      </w:sdtContent>
    </w:sdt>
    <w:p>
      <w:pPr>
        <w:pStyle w:val="3"/>
        <w:shd w:val="clear"/>
        <w:jc w:val="center"/>
        <w:rPr>
          <w:rFonts w:hint="eastAsia" w:ascii="仿宋" w:hAnsi="仿宋" w:eastAsia="仿宋" w:cs="仿宋"/>
          <w:b w:val="0"/>
          <w:color w:val="auto"/>
          <w:highlight w:val="none"/>
        </w:rPr>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3"/>
        <w:shd w:val="clear"/>
        <w:jc w:val="center"/>
        <w:rPr>
          <w:rStyle w:val="21"/>
          <w:rFonts w:ascii="黑体" w:hAnsi="黑体" w:eastAsia="黑体"/>
          <w:b/>
          <w:bCs w:val="0"/>
          <w:color w:val="auto"/>
          <w:highlight w:val="none"/>
        </w:rPr>
      </w:pPr>
      <w:bookmarkStart w:id="18" w:name="_Toc6158"/>
      <w:r>
        <w:rPr>
          <w:rFonts w:hint="eastAsia" w:ascii="黑体" w:hAnsi="黑体" w:eastAsia="黑体"/>
          <w:b w:val="0"/>
          <w:color w:val="auto"/>
          <w:highlight w:val="none"/>
        </w:rPr>
        <w:t xml:space="preserve">第一部分 </w:t>
      </w:r>
      <w:r>
        <w:rPr>
          <w:rStyle w:val="21"/>
          <w:rFonts w:hint="eastAsia" w:ascii="黑体" w:hAnsi="黑体" w:eastAsia="黑体"/>
          <w:b w:val="0"/>
          <w:bCs w:val="0"/>
          <w:color w:val="auto"/>
          <w:highlight w:val="none"/>
        </w:rPr>
        <w:t>部门概况</w:t>
      </w:r>
      <w:bookmarkEnd w:id="18"/>
    </w:p>
    <w:p>
      <w:pPr>
        <w:widowControl/>
        <w:shd w:val="clear"/>
        <w:jc w:val="left"/>
        <w:rPr>
          <w:rFonts w:ascii="黑体" w:eastAsia="黑体"/>
          <w:color w:val="auto"/>
          <w:sz w:val="32"/>
          <w:szCs w:val="32"/>
          <w:highlight w:val="none"/>
        </w:rPr>
      </w:pPr>
    </w:p>
    <w:p>
      <w:pPr>
        <w:pStyle w:val="4"/>
        <w:numPr>
          <w:ilvl w:val="0"/>
          <w:numId w:val="1"/>
        </w:numPr>
        <w:shd w:val="clear"/>
        <w:rPr>
          <w:rFonts w:hint="eastAsia" w:ascii="黑体" w:hAnsi="黑体" w:eastAsia="黑体"/>
          <w:b w:val="0"/>
          <w:color w:val="auto"/>
          <w:highlight w:val="none"/>
          <w:lang w:eastAsia="zh-CN"/>
        </w:rPr>
      </w:pPr>
      <w:bookmarkStart w:id="19" w:name="_Toc11057"/>
      <w:r>
        <w:rPr>
          <w:rFonts w:hint="eastAsia" w:ascii="黑体" w:hAnsi="黑体" w:eastAsia="黑体"/>
          <w:b w:val="0"/>
          <w:color w:val="auto"/>
          <w:highlight w:val="none"/>
          <w:lang w:eastAsia="zh-CN"/>
        </w:rPr>
        <w:t>部门职责</w:t>
      </w:r>
      <w:bookmarkEnd w:id="19"/>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组织拟订全市卫生健康政策。负责起草卫生健康事业发展规章草案、政策措施、规划，组织实施卫生健康政策标准与技术规范。统筹规划全市卫生健康资源配置。制定并组织实施推进卫生健康基本公共服务均等化、普惠化、便捷化和公共资源向基层延伸等政策措施。</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牵头推进全市深化医药卫生体制改革。研究提出深化改革重大政策、措施的建议。牵头组织全市分级诊疗、现代医院管理、全民医保、药品供应保障、综合监管5项基本医疗卫生制度建设。制定并组织实施推动卫生健康公共服务提供主体多元化、方式多样化的政策措施。</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制定并组织落实全市疾病预防控制规划、免疫规划以及严重危害人民健康的艾滋病等重大传染病、寄生虫病、地方病等公共卫生问题的干预措施。负责全市卫生应急工作，组织和指导全市突发公共卫生事件预防控制和各类突发公共事件的医疗卫生救援。发布法定报告传染病疫情信息、突发公共卫生事件应急处置信息。依照国家检疫传染病和监测传染病目录，参与开展检疫监测工作。</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4.贯彻落实国家应对人口老龄化政策措施。负责推进老年健康服务体系建设和医养结合工作。承担市老龄工作委员会日常工作。</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5.贯彻落实国家药物政策和国家基本药物制度。开展药械使用监测、临床综合评价和短缺药品预警，组织执行国家药典和国家基本药物目录、省药品增补目录和基本药物使用的政策措施。组织实施食品安全风险监测。开展食品安全企业标准备案。</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6.负责职责范围内的职业卫生、放射卫生、环境卫生、学校卫生、公共场所卫生、饮用水卫生等公共卫生的监督管理。负责传染病防治监督，健全卫生健康综合监管体系，规范卫生健康行政执法行为，监督检查有关法律法规和政策措施的落实，组织查处重大违法行为。</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7.制定全市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8.负责全市计划生育管理和服务工作。开展人口监测预警，研究提出人口与家庭发展相关政策建议，依法实施计划生育政策。</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9.指导县（区）卫生健康工作。指导基层医疗卫生、妇幼健康服务体系和基层卫生队伍建设。推进卫生健康科技创新发展。</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10.贯彻执行国家、省促进中医药（含中西医结合和民族医药）事业发展的法律法规，拟订全市中医药中长期发展规划并组织实施，促进中药资源的保护、开发和合理利用，拟订全市中药产业发展规划、产业政策和中药的扶持政策并组织实施，监督指导全市中医药工作。</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11.负责市确定的保健对象的医疗保健工作。负责市本级离休干部医疗管理工作。负责重要会议与重大活动的医疗卫生保障工作。</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12.指导市计划生育协会的业务工作。</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13.依法依规履行卫生健康行业安全生产监管职责。负责职责范围内的生态环境保护、审批服务便民化等工作。</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14.完成市委、市政府交办的其他任务。</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15.职能转变。牢固树立大卫生、大健康理念，推动实施健康中国、健康四川和健康广元战略，助推中国生态康养旅游名市建设，以改革创新为动力，以促健康、转模式、强基层、重保障为着力点，把以治病为中心转变到以人民健康为中心，为人民群众提供全方位全周期卫生健康服务。一是更加注重预防为主和健康促进，提高健康意识，加强预防控制重大疾病工作，积极应对人口老龄化，健全卫生健康服务体系。二是更加注重卫生健康服务公平性和可及性，推动工作重心下移和资源下沉，推进卫生健康公共资源向基层延伸、向农村覆盖、向边远地区和生活困难群众倾斜。三是更加注重提高服务质量和水平，推动建设高质量健康服务基地和中医药强市。四是更加注重深化医药卫生体制改革的科学性和持续性，加快分级诊疗制度建设，加强医疗、医保、医药的联动改革，加大公立医院改革力度。</w:t>
      </w:r>
    </w:p>
    <w:p>
      <w:pPr>
        <w:widowControl w:val="0"/>
        <w:numPr>
          <w:ilvl w:val="0"/>
          <w:numId w:val="0"/>
        </w:numPr>
        <w:shd w:val="clear"/>
        <w:jc w:val="both"/>
        <w:rPr>
          <w:rFonts w:hint="eastAsia"/>
          <w:color w:val="auto"/>
          <w:highlight w:val="none"/>
          <w:lang w:eastAsia="zh-CN"/>
        </w:rPr>
      </w:pPr>
    </w:p>
    <w:p>
      <w:pPr>
        <w:pStyle w:val="4"/>
        <w:numPr>
          <w:ilvl w:val="0"/>
          <w:numId w:val="1"/>
        </w:numPr>
        <w:shd w:val="clear"/>
        <w:ind w:left="0" w:leftChars="0" w:firstLine="0" w:firstLineChars="0"/>
        <w:rPr>
          <w:rStyle w:val="22"/>
          <w:rFonts w:hint="eastAsia" w:ascii="黑体" w:hAnsi="黑体" w:eastAsia="黑体"/>
          <w:b w:val="0"/>
          <w:bCs w:val="0"/>
          <w:color w:val="auto"/>
          <w:highlight w:val="none"/>
        </w:rPr>
      </w:pPr>
      <w:bookmarkStart w:id="20" w:name="_Toc15377200"/>
      <w:bookmarkStart w:id="21" w:name="_Toc18375"/>
      <w:bookmarkStart w:id="22" w:name="_Toc15396601"/>
      <w:r>
        <w:rPr>
          <w:rFonts w:hint="eastAsia" w:ascii="黑体" w:hAnsi="黑体" w:eastAsia="黑体"/>
          <w:b w:val="0"/>
          <w:color w:val="auto"/>
          <w:highlight w:val="none"/>
        </w:rPr>
        <w:t>机</w:t>
      </w:r>
      <w:r>
        <w:rPr>
          <w:rStyle w:val="22"/>
          <w:rFonts w:hint="eastAsia" w:ascii="黑体" w:hAnsi="黑体" w:eastAsia="黑体"/>
          <w:b w:val="0"/>
          <w:bCs w:val="0"/>
          <w:color w:val="auto"/>
          <w:highlight w:val="none"/>
        </w:rPr>
        <w:t>构设置</w:t>
      </w:r>
      <w:bookmarkEnd w:id="20"/>
      <w:bookmarkEnd w:id="21"/>
      <w:bookmarkEnd w:id="22"/>
    </w:p>
    <w:p>
      <w:pPr>
        <w:shd w:val="clear"/>
        <w:ind w:firstLine="800" w:firstLineChars="25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广元市卫生健康委员会</w:t>
      </w:r>
      <w:r>
        <w:rPr>
          <w:rFonts w:hint="eastAsia" w:ascii="仿宋" w:hAnsi="仿宋" w:eastAsia="仿宋" w:cs="Times New Roman"/>
          <w:color w:val="auto"/>
          <w:sz w:val="32"/>
          <w:szCs w:val="32"/>
          <w:highlight w:val="none"/>
          <w:lang w:eastAsia="zh-CN"/>
        </w:rPr>
        <w:t>下属二级预算单位</w:t>
      </w:r>
      <w:r>
        <w:rPr>
          <w:rFonts w:hint="eastAsia" w:ascii="仿宋" w:hAnsi="仿宋" w:eastAsia="仿宋" w:cs="Times New Roman"/>
          <w:color w:val="auto"/>
          <w:sz w:val="32"/>
          <w:szCs w:val="32"/>
          <w:highlight w:val="none"/>
          <w:lang w:val="en-US" w:eastAsia="zh-CN"/>
        </w:rPr>
        <w:t>13个，其中行政单位1个，参照公务员法管理的事业单位2个，其他事业单位10个。</w:t>
      </w:r>
    </w:p>
    <w:p>
      <w:pPr>
        <w:shd w:val="clear"/>
        <w:ind w:firstLine="800" w:firstLineChars="25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纳入广元市卫生健康委员会20</w:t>
      </w: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年度部门决算编制范围的二级预算单位包括：</w:t>
      </w:r>
    </w:p>
    <w:p>
      <w:pPr>
        <w:shd w:val="clear"/>
        <w:ind w:firstLine="525" w:firstLineChars="250"/>
        <w:rPr>
          <w:rFonts w:hint="eastAsia" w:ascii="仿宋" w:hAnsi="仿宋" w:eastAsia="仿宋" w:cs="Times New Roman"/>
          <w:color w:val="auto"/>
          <w:sz w:val="32"/>
          <w:szCs w:val="32"/>
          <w:highlight w:val="none"/>
          <w:lang w:val="en-US" w:eastAsia="zh-CN"/>
        </w:rPr>
      </w:pPr>
      <w:r>
        <w:rPr>
          <w:rFonts w:hint="eastAsia" w:ascii="仿宋" w:hAnsi="仿宋" w:eastAsia="仿宋"/>
          <w:color w:val="auto"/>
          <w:szCs w:val="32"/>
          <w:highlight w:val="none"/>
          <w:lang w:val="en-US" w:eastAsia="zh-CN"/>
        </w:rPr>
        <w:t xml:space="preserve"> </w:t>
      </w:r>
      <w:r>
        <w:rPr>
          <w:rFonts w:hint="eastAsia" w:ascii="仿宋" w:hAnsi="仿宋" w:eastAsia="仿宋" w:cs="Times New Roman"/>
          <w:color w:val="auto"/>
          <w:sz w:val="32"/>
          <w:szCs w:val="32"/>
          <w:highlight w:val="none"/>
          <w:lang w:val="en-US" w:eastAsia="zh-CN"/>
        </w:rPr>
        <w:t>1.市卫生健康委员会本级</w:t>
      </w:r>
    </w:p>
    <w:p>
      <w:pPr>
        <w:shd w:val="clear"/>
        <w:ind w:firstLine="800" w:firstLineChars="25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（含未独立核算单位市卫生计生信息中心）</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2.市妇幼保健院</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3.市疾病预防控制中心</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4.市中心医院</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5.市中医医院</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6.市第一人民医院</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7.市中心血站</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8.市精神卫生中心</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9.市紧急救援中心</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10.市计划生育协会</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11.市计划生育药品器械管理站</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12.市医学技术服务管理中心</w:t>
      </w:r>
    </w:p>
    <w:p>
      <w:pPr>
        <w:shd w:val="clea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13.市老龄工作委员会办公室</w:t>
      </w:r>
    </w:p>
    <w:p>
      <w:pPr>
        <w:pStyle w:val="3"/>
        <w:shd w:val="clear"/>
        <w:ind w:right="440"/>
        <w:jc w:val="center"/>
        <w:rPr>
          <w:rStyle w:val="21"/>
          <w:rFonts w:ascii="黑体" w:hAnsi="黑体" w:eastAsia="黑体"/>
          <w:b w:val="0"/>
          <w:bCs/>
          <w:color w:val="auto"/>
          <w:highlight w:val="none"/>
        </w:rPr>
      </w:pPr>
      <w:bookmarkStart w:id="23" w:name="_Toc18617"/>
      <w:bookmarkStart w:id="24" w:name="_Toc15377204"/>
      <w:bookmarkStart w:id="2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1"/>
          <w:rFonts w:hint="eastAsia" w:ascii="黑体" w:hAnsi="黑体" w:eastAsia="黑体"/>
          <w:b w:val="0"/>
          <w:bCs/>
          <w:color w:val="auto"/>
          <w:highlight w:val="none"/>
        </w:rPr>
        <w:t>部门决算情况说明</w:t>
      </w:r>
      <w:bookmarkEnd w:id="23"/>
      <w:bookmarkEnd w:id="24"/>
      <w:bookmarkEnd w:id="25"/>
    </w:p>
    <w:p>
      <w:pPr>
        <w:shd w:val="clear"/>
        <w:rPr>
          <w:color w:val="auto"/>
          <w:highlight w:val="none"/>
        </w:rPr>
      </w:pPr>
    </w:p>
    <w:p>
      <w:pPr>
        <w:pStyle w:val="32"/>
        <w:numPr>
          <w:ilvl w:val="0"/>
          <w:numId w:val="2"/>
        </w:numPr>
        <w:shd w:val="clear"/>
        <w:spacing w:line="600" w:lineRule="exact"/>
        <w:ind w:firstLineChars="0"/>
        <w:outlineLvl w:val="1"/>
        <w:rPr>
          <w:rStyle w:val="22"/>
          <w:rFonts w:ascii="黑体" w:hAnsi="黑体" w:eastAsia="黑体"/>
          <w:b w:val="0"/>
          <w:color w:val="auto"/>
          <w:highlight w:val="none"/>
        </w:rPr>
      </w:pPr>
      <w:bookmarkStart w:id="26" w:name="_Toc15377205"/>
      <w:bookmarkStart w:id="27" w:name="_Toc15396603"/>
      <w:bookmarkStart w:id="28" w:name="_Toc30645"/>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26"/>
      <w:bookmarkEnd w:id="27"/>
      <w:bookmarkEnd w:id="28"/>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420627.79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350873.39万元</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69754.4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19.88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疫情防控加大了财政拨款投入；二是其他收入的增加，市中心医院、市第一人民医院、市精卫中心短期借款用于医院发展。</w:t>
      </w:r>
    </w:p>
    <w:p>
      <w:pPr>
        <w:shd w:val="clear"/>
        <w:spacing w:line="600" w:lineRule="exact"/>
        <w:rPr>
          <w:rFonts w:hint="eastAsia" w:ascii="仿宋" w:hAnsi="仿宋" w:eastAsia="仿宋"/>
          <w:color w:val="auto"/>
          <w:sz w:val="32"/>
          <w:szCs w:val="32"/>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4445</wp:posOffset>
            </wp:positionH>
            <wp:positionV relativeFrom="paragraph">
              <wp:posOffset>128270</wp:posOffset>
            </wp:positionV>
            <wp:extent cx="5273040" cy="2337435"/>
            <wp:effectExtent l="4445" t="4445" r="18415" b="20320"/>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hd w:val="clear"/>
        <w:spacing w:line="600" w:lineRule="exact"/>
        <w:ind w:firstLine="640" w:firstLineChars="200"/>
        <w:jc w:val="left"/>
        <w:rPr>
          <w:rFonts w:ascii="仿宋_GB2312" w:eastAsia="仿宋_GB2312"/>
          <w:color w:val="auto"/>
          <w:sz w:val="32"/>
          <w:szCs w:val="32"/>
          <w:highlight w:val="none"/>
        </w:rPr>
      </w:pPr>
    </w:p>
    <w:p>
      <w:pPr>
        <w:pStyle w:val="32"/>
        <w:numPr>
          <w:ilvl w:val="0"/>
          <w:numId w:val="2"/>
        </w:numPr>
        <w:shd w:val="clear"/>
        <w:spacing w:line="600" w:lineRule="exact"/>
        <w:ind w:firstLineChars="0"/>
        <w:outlineLvl w:val="1"/>
        <w:rPr>
          <w:rStyle w:val="22"/>
          <w:rFonts w:ascii="黑体" w:hAnsi="黑体" w:eastAsia="黑体"/>
          <w:b w:val="0"/>
          <w:color w:val="auto"/>
          <w:highlight w:val="none"/>
        </w:rPr>
      </w:pPr>
      <w:bookmarkStart w:id="29" w:name="_Toc29563"/>
      <w:bookmarkStart w:id="30" w:name="_Toc15377206"/>
      <w:bookmarkStart w:id="31" w:name="_Toc15396604"/>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29"/>
      <w:bookmarkEnd w:id="30"/>
      <w:bookmarkEnd w:id="31"/>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0288" behindDoc="0" locked="0" layoutInCell="1" allowOverlap="1">
            <wp:simplePos x="0" y="0"/>
            <wp:positionH relativeFrom="column">
              <wp:posOffset>23495</wp:posOffset>
            </wp:positionH>
            <wp:positionV relativeFrom="paragraph">
              <wp:posOffset>1836420</wp:posOffset>
            </wp:positionV>
            <wp:extent cx="5270500" cy="2716530"/>
            <wp:effectExtent l="4445" t="4445" r="20955" b="2222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408926.54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39452.56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9.65</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235687.15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57.63</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133786.83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32.72</w:t>
      </w:r>
      <w:r>
        <w:rPr>
          <w:rFonts w:hint="eastAsia" w:ascii="仿宋" w:hAnsi="仿宋" w:eastAsia="仿宋"/>
          <w:color w:val="auto"/>
          <w:sz w:val="32"/>
          <w:szCs w:val="32"/>
          <w:highlight w:val="none"/>
        </w:rPr>
        <w:t>%。</w:t>
      </w:r>
    </w:p>
    <w:p>
      <w:pPr>
        <w:shd w:val="clea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32"/>
        <w:numPr>
          <w:ilvl w:val="0"/>
          <w:numId w:val="2"/>
        </w:numPr>
        <w:shd w:val="clear"/>
        <w:spacing w:line="600" w:lineRule="exact"/>
        <w:ind w:firstLineChars="0"/>
        <w:outlineLvl w:val="1"/>
        <w:rPr>
          <w:rStyle w:val="22"/>
          <w:rFonts w:ascii="黑体" w:hAnsi="黑体" w:eastAsia="黑体"/>
          <w:b w:val="0"/>
          <w:color w:val="auto"/>
          <w:highlight w:val="none"/>
        </w:rPr>
      </w:pPr>
      <w:bookmarkStart w:id="32" w:name="_Toc15396605"/>
      <w:bookmarkStart w:id="33" w:name="_Toc15377207"/>
      <w:bookmarkStart w:id="34" w:name="_Toc19306"/>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32"/>
      <w:bookmarkEnd w:id="33"/>
      <w:bookmarkEnd w:id="34"/>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411680.05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364591.81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88.56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47088.24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hd w:val="clear"/>
        <w:spacing w:line="600" w:lineRule="exact"/>
        <w:jc w:val="center"/>
        <w:rPr>
          <w:rFonts w:ascii="仿宋_GB2312" w:eastAsia="仿宋_GB2312"/>
          <w:color w:val="auto"/>
          <w:sz w:val="32"/>
          <w:szCs w:val="32"/>
          <w:highlight w:val="none"/>
        </w:rPr>
      </w:pPr>
      <w:r>
        <w:rPr>
          <w:color w:val="auto"/>
          <w:highlight w:val="none"/>
        </w:rPr>
        <w:drawing>
          <wp:anchor distT="0" distB="0" distL="114300" distR="114300" simplePos="0" relativeHeight="251661312" behindDoc="0" locked="0" layoutInCell="1" allowOverlap="1">
            <wp:simplePos x="0" y="0"/>
            <wp:positionH relativeFrom="column">
              <wp:posOffset>58420</wp:posOffset>
            </wp:positionH>
            <wp:positionV relativeFrom="paragraph">
              <wp:posOffset>150495</wp:posOffset>
            </wp:positionV>
            <wp:extent cx="5273040" cy="2493645"/>
            <wp:effectExtent l="4445" t="4445" r="18415" b="1651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（图3：支出决算结构图）（饼状图）</w:t>
      </w:r>
    </w:p>
    <w:p>
      <w:pPr>
        <w:shd w:val="clear"/>
        <w:spacing w:line="600" w:lineRule="exact"/>
        <w:ind w:firstLine="640" w:firstLineChars="200"/>
        <w:outlineLvl w:val="1"/>
        <w:rPr>
          <w:rStyle w:val="22"/>
          <w:rFonts w:ascii="黑体" w:hAnsi="黑体" w:eastAsia="黑体"/>
          <w:b w:val="0"/>
          <w:color w:val="auto"/>
          <w:highlight w:val="none"/>
        </w:rPr>
      </w:pPr>
      <w:bookmarkStart w:id="35" w:name="_Toc15377208"/>
      <w:bookmarkStart w:id="36" w:name="_Toc29067"/>
      <w:bookmarkStart w:id="37" w:name="_Toc15396606"/>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35"/>
      <w:bookmarkEnd w:id="36"/>
      <w:bookmarkEnd w:id="37"/>
    </w:p>
    <w:p>
      <w:pPr>
        <w:shd w:val="clea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41944.02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32894.18万元</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9049.84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疫情防控，加大财政拨款的投入。</w:t>
      </w:r>
    </w:p>
    <w:p>
      <w:pPr>
        <w:pStyle w:val="2"/>
        <w:shd w:val="clear"/>
        <w:rPr>
          <w:rFonts w:hint="eastAsia" w:ascii="仿宋" w:hAnsi="仿宋" w:eastAsia="仿宋"/>
          <w:color w:val="auto"/>
          <w:sz w:val="32"/>
          <w:szCs w:val="32"/>
          <w:highlight w:val="none"/>
        </w:rPr>
      </w:pPr>
    </w:p>
    <w:p>
      <w:pPr>
        <w:shd w:val="clear"/>
        <w:spacing w:line="600" w:lineRule="exact"/>
        <w:rPr>
          <w:color w:val="auto"/>
          <w:highlight w:val="none"/>
        </w:rPr>
      </w:pPr>
      <w:r>
        <w:rPr>
          <w:color w:val="auto"/>
          <w:highlight w:val="none"/>
        </w:rPr>
        <w:drawing>
          <wp:anchor distT="0" distB="0" distL="114300" distR="114300" simplePos="0" relativeHeight="251662336" behindDoc="0" locked="0" layoutInCell="1" allowOverlap="1">
            <wp:simplePos x="0" y="0"/>
            <wp:positionH relativeFrom="column">
              <wp:posOffset>13970</wp:posOffset>
            </wp:positionH>
            <wp:positionV relativeFrom="paragraph">
              <wp:posOffset>204470</wp:posOffset>
            </wp:positionV>
            <wp:extent cx="5273040" cy="2493645"/>
            <wp:effectExtent l="4445" t="4445" r="18415" b="1651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hd w:val="clear"/>
        <w:spacing w:line="600" w:lineRule="exact"/>
        <w:ind w:firstLine="640"/>
        <w:rPr>
          <w:rFonts w:ascii="仿宋" w:hAnsi="仿宋" w:eastAsia="仿宋"/>
          <w:b/>
          <w:color w:val="auto"/>
          <w:sz w:val="32"/>
          <w:szCs w:val="32"/>
          <w:highlight w:val="none"/>
        </w:rPr>
      </w:pPr>
    </w:p>
    <w:p>
      <w:pPr>
        <w:shd w:val="clear"/>
        <w:spacing w:line="600" w:lineRule="exact"/>
        <w:ind w:firstLine="640" w:firstLineChars="200"/>
        <w:outlineLvl w:val="1"/>
        <w:rPr>
          <w:rStyle w:val="22"/>
          <w:rFonts w:ascii="黑体" w:hAnsi="黑体" w:eastAsia="黑体"/>
          <w:b w:val="0"/>
          <w:color w:val="auto"/>
          <w:highlight w:val="none"/>
        </w:rPr>
      </w:pPr>
      <w:bookmarkStart w:id="38" w:name="_Toc15377209"/>
      <w:bookmarkStart w:id="39" w:name="_Toc15396607"/>
      <w:bookmarkStart w:id="40" w:name="_Toc16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38"/>
      <w:bookmarkEnd w:id="39"/>
      <w:bookmarkEnd w:id="40"/>
    </w:p>
    <w:p>
      <w:pPr>
        <w:shd w:val="clea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hd w:val="clea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33237.21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27409.7万元</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5827.51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疫情防控，加大财政拨款的投入。</w:t>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420" w:firstLineChars="200"/>
        <w:rPr>
          <w:color w:val="auto"/>
          <w:highlight w:val="none"/>
        </w:rPr>
      </w:pPr>
      <w:r>
        <w:rPr>
          <w:color w:val="auto"/>
          <w:highlight w:val="none"/>
        </w:rPr>
        <w:drawing>
          <wp:anchor distT="0" distB="0" distL="114300" distR="114300" simplePos="0" relativeHeight="251663360" behindDoc="1" locked="0" layoutInCell="1" allowOverlap="1">
            <wp:simplePos x="0" y="0"/>
            <wp:positionH relativeFrom="column">
              <wp:posOffset>137795</wp:posOffset>
            </wp:positionH>
            <wp:positionV relativeFrom="paragraph">
              <wp:posOffset>161290</wp:posOffset>
            </wp:positionV>
            <wp:extent cx="5273040" cy="2571750"/>
            <wp:effectExtent l="4445" t="4445" r="18415" b="14605"/>
            <wp:wrapTight wrapText="bothSides">
              <wp:wrapPolygon>
                <wp:start x="-18" y="-37"/>
                <wp:lineTo x="-18" y="21563"/>
                <wp:lineTo x="21519" y="21563"/>
                <wp:lineTo x="21519" y="-37"/>
                <wp:lineTo x="-18" y="-37"/>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hd w:val="clear"/>
        <w:spacing w:line="600" w:lineRule="exact"/>
        <w:jc w:val="center"/>
        <w:rPr>
          <w:rFonts w:ascii="仿宋" w:hAnsi="仿宋" w:eastAsia="仿宋"/>
          <w:color w:val="auto"/>
          <w:sz w:val="32"/>
          <w:szCs w:val="32"/>
          <w:highlight w:val="none"/>
        </w:rPr>
      </w:pPr>
      <w:r>
        <w:rPr>
          <w:rFonts w:hint="eastAsia" w:ascii="仿宋" w:hAnsi="仿宋" w:eastAsia="仿宋"/>
          <w:color w:val="auto"/>
          <w:sz w:val="28"/>
          <w:szCs w:val="28"/>
          <w:highlight w:val="none"/>
        </w:rPr>
        <w:t>（图5：一般公共预算财政拨款支出决算变动情况）（柱状图）</w:t>
      </w:r>
    </w:p>
    <w:p>
      <w:pPr>
        <w:shd w:val="clea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33237.21</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8.44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725.94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31754.69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738.46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shd w:val="clear"/>
        <w:rPr>
          <w:rFonts w:ascii="仿宋" w:hAnsi="仿宋" w:eastAsia="仿宋"/>
          <w:color w:val="auto"/>
          <w:sz w:val="32"/>
          <w:szCs w:val="32"/>
          <w:highlight w:val="none"/>
        </w:rPr>
      </w:pPr>
      <w:r>
        <w:rPr>
          <w:color w:val="auto"/>
          <w:highlight w:val="none"/>
        </w:rPr>
        <w:drawing>
          <wp:anchor distT="0" distB="0" distL="114300" distR="114300" simplePos="0" relativeHeight="251664384" behindDoc="0" locked="0" layoutInCell="1" allowOverlap="1">
            <wp:simplePos x="0" y="0"/>
            <wp:positionH relativeFrom="column">
              <wp:posOffset>4445</wp:posOffset>
            </wp:positionH>
            <wp:positionV relativeFrom="paragraph">
              <wp:posOffset>61595</wp:posOffset>
            </wp:positionV>
            <wp:extent cx="5272405" cy="3566160"/>
            <wp:effectExtent l="4445" t="4445" r="19050" b="10795"/>
            <wp:wrapSquare wrapText="bothSides"/>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hd w:val="clea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hd w:val="clea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hd w:val="clear"/>
        <w:spacing w:line="600" w:lineRule="exact"/>
        <w:ind w:firstLine="640" w:firstLineChars="200"/>
        <w:rPr>
          <w:rStyle w:val="18"/>
          <w:rFonts w:hint="eastAsia" w:ascii="仿宋" w:hAnsi="仿宋" w:eastAsia="仿宋"/>
          <w:bCs/>
          <w:color w:val="auto"/>
          <w:sz w:val="32"/>
          <w:szCs w:val="32"/>
          <w:highlight w:val="none"/>
        </w:rPr>
      </w:pPr>
      <w:bookmarkStart w:id="44" w:name="_Toc15377213"/>
      <w:bookmarkStart w:id="45" w:name="_Toc15378460"/>
      <w:bookmarkStart w:id="46" w:name="_Toc15377444"/>
      <w:r>
        <w:rPr>
          <w:rStyle w:val="18"/>
          <w:rFonts w:hint="eastAsia" w:ascii="仿宋" w:hAnsi="仿宋" w:eastAsia="仿宋"/>
          <w:bCs/>
          <w:color w:val="auto"/>
          <w:sz w:val="32"/>
          <w:szCs w:val="32"/>
          <w:highlight w:val="none"/>
        </w:rPr>
        <w:t>20</w:t>
      </w:r>
      <w:r>
        <w:rPr>
          <w:rStyle w:val="18"/>
          <w:rFonts w:hint="eastAsia" w:ascii="仿宋" w:hAnsi="仿宋" w:eastAsia="仿宋"/>
          <w:bCs/>
          <w:color w:val="auto"/>
          <w:sz w:val="32"/>
          <w:szCs w:val="32"/>
          <w:highlight w:val="none"/>
          <w:lang w:val="en-US" w:eastAsia="zh-CN"/>
        </w:rPr>
        <w:t>22</w:t>
      </w:r>
      <w:r>
        <w:rPr>
          <w:rStyle w:val="18"/>
          <w:rFonts w:hint="eastAsia" w:ascii="仿宋" w:hAnsi="仿宋" w:eastAsia="仿宋"/>
          <w:bCs/>
          <w:color w:val="auto"/>
          <w:sz w:val="32"/>
          <w:szCs w:val="32"/>
          <w:highlight w:val="none"/>
        </w:rPr>
        <w:t>年</w:t>
      </w:r>
      <w:r>
        <w:rPr>
          <w:rStyle w:val="18"/>
          <w:rFonts w:hint="eastAsia" w:ascii="仿宋" w:hAnsi="仿宋" w:eastAsia="仿宋"/>
          <w:bCs/>
          <w:color w:val="auto"/>
          <w:sz w:val="32"/>
          <w:szCs w:val="32"/>
          <w:highlight w:val="none"/>
          <w:lang w:eastAsia="zh-CN"/>
        </w:rPr>
        <w:t>一</w:t>
      </w:r>
      <w:r>
        <w:rPr>
          <w:rStyle w:val="18"/>
          <w:rFonts w:hint="eastAsia" w:ascii="仿宋" w:hAnsi="仿宋" w:eastAsia="仿宋"/>
          <w:bCs/>
          <w:color w:val="auto"/>
          <w:sz w:val="32"/>
          <w:szCs w:val="32"/>
          <w:highlight w:val="none"/>
        </w:rPr>
        <w:t>般公共预算支出决算数为</w:t>
      </w:r>
      <w:r>
        <w:rPr>
          <w:rStyle w:val="18"/>
          <w:rFonts w:hint="eastAsia" w:ascii="仿宋" w:hAnsi="仿宋" w:eastAsia="仿宋"/>
          <w:bCs/>
          <w:color w:val="auto"/>
          <w:sz w:val="32"/>
          <w:szCs w:val="32"/>
          <w:highlight w:val="none"/>
          <w:lang w:val="en-US" w:eastAsia="zh-CN"/>
        </w:rPr>
        <w:t>33237.21</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79.24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4"/>
      <w:bookmarkEnd w:id="45"/>
      <w:bookmarkEnd w:id="46"/>
    </w:p>
    <w:p>
      <w:pPr>
        <w:shd w:val="clear"/>
        <w:spacing w:line="600" w:lineRule="exact"/>
        <w:ind w:firstLine="640" w:firstLineChars="200"/>
        <w:rPr>
          <w:rFonts w:hint="eastAsia" w:ascii="仿宋" w:eastAsia="仿宋"/>
          <w:b/>
          <w:color w:val="auto"/>
          <w:sz w:val="32"/>
          <w:szCs w:val="32"/>
          <w:highlight w:val="none"/>
          <w:lang w:eastAsia="zh-CN"/>
        </w:rPr>
      </w:pPr>
      <w:r>
        <w:rPr>
          <w:rStyle w:val="18"/>
          <w:rFonts w:hint="eastAsia" w:ascii="仿宋" w:eastAsia="仿宋"/>
          <w:bCs/>
          <w:color w:val="auto"/>
          <w:sz w:val="32"/>
          <w:szCs w:val="32"/>
          <w:highlight w:val="none"/>
        </w:rPr>
        <w:t>1.一般公共服务</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商贸事务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招商引资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2.3</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val="en-US" w:eastAsia="zh-CN"/>
        </w:rPr>
        <w:t>。</w:t>
      </w:r>
    </w:p>
    <w:p>
      <w:pPr>
        <w:shd w:val="clear"/>
        <w:spacing w:line="600" w:lineRule="exact"/>
        <w:ind w:firstLine="640" w:firstLineChars="200"/>
        <w:rPr>
          <w:rStyle w:val="18"/>
          <w:rFonts w:hint="eastAsia" w:ascii="仿宋" w:eastAsia="仿宋"/>
          <w:b w:val="0"/>
          <w:bCs/>
          <w:color w:val="auto"/>
          <w:sz w:val="32"/>
          <w:szCs w:val="32"/>
          <w:highlight w:val="none"/>
          <w:lang w:val="en-US" w:eastAsia="zh-CN"/>
        </w:rPr>
      </w:pPr>
      <w:r>
        <w:rPr>
          <w:rStyle w:val="18"/>
          <w:rFonts w:hint="eastAsia" w:ascii="仿宋" w:eastAsia="仿宋"/>
          <w:bCs/>
          <w:color w:val="auto"/>
          <w:sz w:val="32"/>
          <w:szCs w:val="32"/>
          <w:highlight w:val="none"/>
          <w:lang w:val="en-US" w:eastAsia="zh-CN"/>
        </w:rPr>
        <w:t>2.</w:t>
      </w:r>
      <w:r>
        <w:rPr>
          <w:rStyle w:val="18"/>
          <w:rFonts w:hint="eastAsia" w:ascii="仿宋" w:eastAsia="仿宋"/>
          <w:bCs/>
          <w:color w:val="auto"/>
          <w:sz w:val="32"/>
          <w:szCs w:val="32"/>
          <w:highlight w:val="none"/>
          <w:lang w:eastAsia="zh-CN"/>
        </w:rPr>
        <w:t>一般公共服务支出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其他一般公共服务支出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其他一般公共服务支出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6.14</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lang w:val="en-US" w:eastAsia="zh-CN"/>
        </w:rPr>
        <w:t xml:space="preserve">                     </w:t>
      </w:r>
    </w:p>
    <w:p>
      <w:pPr>
        <w:shd w:val="clear"/>
        <w:spacing w:line="600" w:lineRule="exact"/>
        <w:ind w:firstLine="640" w:firstLineChars="200"/>
        <w:rPr>
          <w:rStyle w:val="18"/>
          <w:rFonts w:hint="eastAsia" w:ascii="仿宋" w:eastAsia="仿宋"/>
          <w:b w:val="0"/>
          <w:bCs w:val="0"/>
          <w:color w:val="auto"/>
          <w:sz w:val="32"/>
          <w:szCs w:val="32"/>
          <w:highlight w:val="none"/>
          <w:lang w:val="en-US" w:eastAsia="zh-CN"/>
        </w:rPr>
      </w:pPr>
      <w:r>
        <w:rPr>
          <w:rStyle w:val="18"/>
          <w:rFonts w:hint="eastAsia" w:ascii="仿宋" w:eastAsia="仿宋"/>
          <w:b/>
          <w:bCs/>
          <w:color w:val="auto"/>
          <w:sz w:val="32"/>
          <w:szCs w:val="32"/>
          <w:highlight w:val="none"/>
          <w:lang w:val="en-US" w:eastAsia="zh-CN"/>
        </w:rPr>
        <w:t>3.</w:t>
      </w:r>
      <w:r>
        <w:rPr>
          <w:rStyle w:val="18"/>
          <w:rFonts w:hint="eastAsia" w:ascii="仿宋" w:eastAsia="仿宋"/>
          <w:bCs/>
          <w:color w:val="auto"/>
          <w:sz w:val="32"/>
          <w:szCs w:val="32"/>
          <w:highlight w:val="none"/>
        </w:rPr>
        <w:t>科学技术</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技术研究与开发</w:t>
      </w:r>
      <w:r>
        <w:rPr>
          <w:rStyle w:val="18"/>
          <w:rFonts w:hint="eastAsia" w:ascii="仿宋" w:eastAsia="仿宋"/>
          <w:bCs/>
          <w:color w:val="auto"/>
          <w:sz w:val="32"/>
          <w:szCs w:val="32"/>
          <w:highlight w:val="none"/>
        </w:rPr>
        <w:t>（款）</w:t>
      </w:r>
      <w:r>
        <w:rPr>
          <w:rStyle w:val="18"/>
          <w:rFonts w:hint="eastAsia" w:ascii="仿宋" w:eastAsia="仿宋"/>
          <w:b/>
          <w:bCs/>
          <w:color w:val="auto"/>
          <w:sz w:val="32"/>
          <w:szCs w:val="32"/>
          <w:highlight w:val="none"/>
          <w:lang w:val="en-US" w:eastAsia="zh-CN"/>
        </w:rPr>
        <w:t xml:space="preserve">其他技术研究与开发支出（项）： </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0</w:t>
      </w:r>
      <w:r>
        <w:rPr>
          <w:rStyle w:val="18"/>
          <w:rFonts w:hint="eastAsia" w:ascii="仿宋" w:eastAsia="仿宋"/>
          <w:b w:val="0"/>
          <w:bCs/>
          <w:color w:val="auto"/>
          <w:sz w:val="32"/>
          <w:szCs w:val="32"/>
          <w:highlight w:val="none"/>
        </w:rPr>
        <w:t>万元，完成预算</w:t>
      </w:r>
      <w:r>
        <w:rPr>
          <w:rStyle w:val="18"/>
          <w:rFonts w:hint="eastAsia" w:ascii="仿宋" w:eastAsia="仿宋"/>
          <w:b w:val="0"/>
          <w:bCs w:val="0"/>
          <w:color w:val="auto"/>
          <w:sz w:val="32"/>
          <w:szCs w:val="32"/>
          <w:highlight w:val="none"/>
          <w:lang w:val="en-US" w:eastAsia="zh-CN"/>
        </w:rPr>
        <w:t>0</w:t>
      </w:r>
      <w:r>
        <w:rPr>
          <w:rStyle w:val="18"/>
          <w:rFonts w:hint="eastAsia" w:ascii="仿宋" w:eastAsia="仿宋"/>
          <w:b w:val="0"/>
          <w:bCs w:val="0"/>
          <w:color w:val="auto"/>
          <w:sz w:val="32"/>
          <w:szCs w:val="32"/>
          <w:highlight w:val="none"/>
        </w:rPr>
        <w:t>%，决算数小于预算数的主要原因</w:t>
      </w:r>
      <w:r>
        <w:rPr>
          <w:rStyle w:val="18"/>
          <w:rFonts w:hint="eastAsia" w:ascii="仿宋" w:eastAsia="仿宋"/>
          <w:b w:val="0"/>
          <w:bCs/>
          <w:color w:val="auto"/>
          <w:sz w:val="32"/>
          <w:szCs w:val="32"/>
          <w:highlight w:val="none"/>
        </w:rPr>
        <w:t>是</w:t>
      </w:r>
      <w:r>
        <w:rPr>
          <w:rStyle w:val="18"/>
          <w:rFonts w:hint="eastAsia" w:ascii="仿宋" w:eastAsia="仿宋"/>
          <w:b w:val="0"/>
          <w:bCs/>
          <w:color w:val="auto"/>
          <w:sz w:val="32"/>
          <w:szCs w:val="32"/>
          <w:highlight w:val="none"/>
          <w:lang w:eastAsia="zh-CN"/>
        </w:rPr>
        <w:t>市中医医院的科研项目还在进行中，项目未验收</w:t>
      </w:r>
      <w:r>
        <w:rPr>
          <w:rStyle w:val="18"/>
          <w:rFonts w:hint="eastAsia" w:ascii="仿宋" w:eastAsia="仿宋"/>
          <w:b w:val="0"/>
          <w:bCs w:val="0"/>
          <w:color w:val="auto"/>
          <w:sz w:val="32"/>
          <w:szCs w:val="32"/>
          <w:highlight w:val="none"/>
        </w:rPr>
        <w:t>未达到支付条件，待202</w:t>
      </w:r>
      <w:r>
        <w:rPr>
          <w:rStyle w:val="18"/>
          <w:rFonts w:hint="eastAsia" w:ascii="仿宋" w:eastAsia="仿宋"/>
          <w:b w:val="0"/>
          <w:bCs w:val="0"/>
          <w:color w:val="auto"/>
          <w:sz w:val="32"/>
          <w:szCs w:val="32"/>
          <w:highlight w:val="none"/>
          <w:lang w:val="en-US" w:eastAsia="zh-CN"/>
        </w:rPr>
        <w:t>3</w:t>
      </w:r>
      <w:r>
        <w:rPr>
          <w:rStyle w:val="18"/>
          <w:rFonts w:hint="eastAsia" w:ascii="仿宋" w:eastAsia="仿宋"/>
          <w:b w:val="0"/>
          <w:bCs w:val="0"/>
          <w:color w:val="auto"/>
          <w:sz w:val="32"/>
          <w:szCs w:val="32"/>
          <w:highlight w:val="none"/>
        </w:rPr>
        <w:t>年支付。</w:t>
      </w:r>
      <w:r>
        <w:rPr>
          <w:rStyle w:val="18"/>
          <w:rFonts w:hint="eastAsia" w:ascii="仿宋" w:eastAsia="仿宋"/>
          <w:b w:val="0"/>
          <w:bCs w:val="0"/>
          <w:color w:val="auto"/>
          <w:sz w:val="32"/>
          <w:szCs w:val="32"/>
          <w:highlight w:val="none"/>
          <w:lang w:val="en-US" w:eastAsia="zh-CN"/>
        </w:rPr>
        <w:t xml:space="preserve">  </w:t>
      </w:r>
    </w:p>
    <w:p>
      <w:pPr>
        <w:shd w:val="clear"/>
        <w:spacing w:line="600" w:lineRule="exact"/>
        <w:ind w:firstLine="640" w:firstLineChars="200"/>
        <w:rPr>
          <w:rStyle w:val="18"/>
          <w:rFonts w:hint="eastAsia" w:ascii="仿宋" w:eastAsia="仿宋"/>
          <w:b w:val="0"/>
          <w:bCs w:val="0"/>
          <w:color w:val="auto"/>
          <w:sz w:val="32"/>
          <w:szCs w:val="32"/>
          <w:highlight w:val="none"/>
        </w:rPr>
      </w:pPr>
      <w:r>
        <w:rPr>
          <w:rStyle w:val="18"/>
          <w:rFonts w:hint="eastAsia" w:ascii="仿宋" w:eastAsia="仿宋"/>
          <w:b w:val="0"/>
          <w:bCs w:val="0"/>
          <w:color w:val="auto"/>
          <w:sz w:val="32"/>
          <w:szCs w:val="32"/>
          <w:highlight w:val="none"/>
          <w:lang w:val="en-US" w:eastAsia="zh-CN"/>
        </w:rPr>
        <w:t xml:space="preserve">  </w:t>
      </w:r>
      <w:r>
        <w:rPr>
          <w:rStyle w:val="18"/>
          <w:rFonts w:hint="eastAsia" w:ascii="仿宋" w:eastAsia="仿宋"/>
          <w:b/>
          <w:bCs/>
          <w:color w:val="auto"/>
          <w:sz w:val="32"/>
          <w:szCs w:val="32"/>
          <w:highlight w:val="none"/>
          <w:lang w:val="en-US" w:eastAsia="zh-CN"/>
        </w:rPr>
        <w:t>4.</w:t>
      </w:r>
      <w:r>
        <w:rPr>
          <w:rStyle w:val="18"/>
          <w:rFonts w:hint="eastAsia" w:ascii="仿宋" w:eastAsia="仿宋"/>
          <w:bCs/>
          <w:color w:val="auto"/>
          <w:sz w:val="32"/>
          <w:szCs w:val="32"/>
          <w:highlight w:val="none"/>
        </w:rPr>
        <w:t>科学技术</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科技重大项目</w:t>
      </w:r>
      <w:r>
        <w:rPr>
          <w:rStyle w:val="18"/>
          <w:rFonts w:hint="eastAsia" w:ascii="仿宋" w:eastAsia="仿宋"/>
          <w:bCs/>
          <w:color w:val="auto"/>
          <w:sz w:val="32"/>
          <w:szCs w:val="32"/>
          <w:highlight w:val="none"/>
        </w:rPr>
        <w:t>（款）</w:t>
      </w:r>
      <w:r>
        <w:rPr>
          <w:rStyle w:val="18"/>
          <w:rFonts w:hint="eastAsia" w:ascii="仿宋" w:eastAsia="仿宋"/>
          <w:b/>
          <w:bCs/>
          <w:color w:val="auto"/>
          <w:sz w:val="32"/>
          <w:szCs w:val="32"/>
          <w:highlight w:val="none"/>
          <w:lang w:val="en-US" w:eastAsia="zh-CN"/>
        </w:rPr>
        <w:t xml:space="preserve">重点研发计划（项）： </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3.25</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13.99</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市第一人民医院和市精卫中心的科研项目还在进行中，项目还没验收</w:t>
      </w:r>
      <w:r>
        <w:rPr>
          <w:rStyle w:val="18"/>
          <w:rFonts w:hint="eastAsia" w:ascii="仿宋" w:eastAsia="仿宋"/>
          <w:b w:val="0"/>
          <w:bCs w:val="0"/>
          <w:color w:val="auto"/>
          <w:sz w:val="32"/>
          <w:szCs w:val="32"/>
          <w:highlight w:val="none"/>
        </w:rPr>
        <w:t>未达到支付条件，待202</w:t>
      </w:r>
      <w:r>
        <w:rPr>
          <w:rStyle w:val="18"/>
          <w:rFonts w:hint="eastAsia" w:ascii="仿宋" w:eastAsia="仿宋"/>
          <w:b w:val="0"/>
          <w:bCs w:val="0"/>
          <w:color w:val="auto"/>
          <w:sz w:val="32"/>
          <w:szCs w:val="32"/>
          <w:highlight w:val="none"/>
          <w:lang w:val="en-US" w:eastAsia="zh-CN"/>
        </w:rPr>
        <w:t>3</w:t>
      </w:r>
      <w:r>
        <w:rPr>
          <w:rStyle w:val="18"/>
          <w:rFonts w:hint="eastAsia" w:ascii="仿宋" w:eastAsia="仿宋"/>
          <w:b w:val="0"/>
          <w:bCs w:val="0"/>
          <w:color w:val="auto"/>
          <w:sz w:val="32"/>
          <w:szCs w:val="32"/>
          <w:highlight w:val="none"/>
        </w:rPr>
        <w:t>年支付。</w:t>
      </w:r>
    </w:p>
    <w:p>
      <w:pPr>
        <w:shd w:val="clear"/>
        <w:spacing w:line="600" w:lineRule="exact"/>
        <w:ind w:firstLine="640" w:firstLineChars="200"/>
        <w:rPr>
          <w:rStyle w:val="18"/>
          <w:rFonts w:hint="default" w:ascii="仿宋" w:eastAsia="仿宋"/>
          <w:b w:val="0"/>
          <w:bCs/>
          <w:color w:val="auto"/>
          <w:sz w:val="32"/>
          <w:szCs w:val="32"/>
          <w:highlight w:val="none"/>
          <w:lang w:val="en-US" w:eastAsia="zh-CN"/>
        </w:rPr>
      </w:pPr>
      <w:r>
        <w:rPr>
          <w:rStyle w:val="18"/>
          <w:rFonts w:hint="eastAsia" w:ascii="仿宋" w:eastAsia="仿宋"/>
          <w:b/>
          <w:bCs/>
          <w:color w:val="auto"/>
          <w:sz w:val="32"/>
          <w:szCs w:val="32"/>
          <w:highlight w:val="none"/>
          <w:lang w:val="en-US" w:eastAsia="zh-CN"/>
        </w:rPr>
        <w:t>5.</w:t>
      </w:r>
      <w:r>
        <w:rPr>
          <w:rStyle w:val="18"/>
          <w:rFonts w:hint="eastAsia" w:ascii="仿宋" w:eastAsia="仿宋"/>
          <w:bCs/>
          <w:color w:val="auto"/>
          <w:sz w:val="32"/>
          <w:szCs w:val="32"/>
          <w:highlight w:val="none"/>
        </w:rPr>
        <w:t>科学技术</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其他科学科技支出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其他科学科技支出</w:t>
      </w:r>
      <w:r>
        <w:rPr>
          <w:rStyle w:val="18"/>
          <w:rFonts w:hint="eastAsia" w:ascii="仿宋" w:eastAsia="仿宋"/>
          <w:b/>
          <w:bCs/>
          <w:color w:val="auto"/>
          <w:sz w:val="32"/>
          <w:szCs w:val="32"/>
          <w:highlight w:val="none"/>
          <w:lang w:val="en-US" w:eastAsia="zh-CN"/>
        </w:rPr>
        <w:t xml:space="preserve">（项）： </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6.42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27.46</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市中心医院的科研项目还在进行中，项目还没验收</w:t>
      </w:r>
      <w:r>
        <w:rPr>
          <w:rStyle w:val="18"/>
          <w:rFonts w:hint="eastAsia" w:ascii="仿宋" w:eastAsia="仿宋"/>
          <w:b w:val="0"/>
          <w:bCs w:val="0"/>
          <w:color w:val="auto"/>
          <w:sz w:val="32"/>
          <w:szCs w:val="32"/>
          <w:highlight w:val="none"/>
        </w:rPr>
        <w:t>未达到支付条件，待202</w:t>
      </w:r>
      <w:r>
        <w:rPr>
          <w:rStyle w:val="18"/>
          <w:rFonts w:hint="eastAsia" w:ascii="仿宋" w:eastAsia="仿宋"/>
          <w:b w:val="0"/>
          <w:bCs w:val="0"/>
          <w:color w:val="auto"/>
          <w:sz w:val="32"/>
          <w:szCs w:val="32"/>
          <w:highlight w:val="none"/>
          <w:lang w:val="en-US" w:eastAsia="zh-CN"/>
        </w:rPr>
        <w:t>3</w:t>
      </w:r>
      <w:r>
        <w:rPr>
          <w:rStyle w:val="18"/>
          <w:rFonts w:hint="eastAsia" w:ascii="仿宋" w:eastAsia="仿宋"/>
          <w:b w:val="0"/>
          <w:bCs w:val="0"/>
          <w:color w:val="auto"/>
          <w:sz w:val="32"/>
          <w:szCs w:val="32"/>
          <w:highlight w:val="none"/>
        </w:rPr>
        <w:t>年支付。</w:t>
      </w:r>
    </w:p>
    <w:p>
      <w:pPr>
        <w:shd w:val="clear"/>
        <w:spacing w:line="240" w:lineRule="auto"/>
        <w:ind w:firstLine="640" w:firstLineChars="200"/>
        <w:rPr>
          <w:rStyle w:val="18"/>
          <w:rFonts w:hint="eastAsia" w:ascii="仿宋" w:eastAsia="仿宋"/>
          <w:b w:val="0"/>
          <w:bCs w:val="0"/>
          <w:color w:val="auto"/>
          <w:sz w:val="32"/>
          <w:szCs w:val="32"/>
          <w:highlight w:val="none"/>
        </w:rPr>
      </w:pPr>
      <w:r>
        <w:rPr>
          <w:rStyle w:val="18"/>
          <w:rFonts w:hint="eastAsia" w:ascii="仿宋" w:eastAsia="仿宋"/>
          <w:bCs/>
          <w:color w:val="auto"/>
          <w:sz w:val="32"/>
          <w:szCs w:val="32"/>
          <w:highlight w:val="none"/>
          <w:lang w:val="en-US" w:eastAsia="zh-CN"/>
        </w:rPr>
        <w:t>6</w:t>
      </w:r>
      <w:r>
        <w:rPr>
          <w:rStyle w:val="18"/>
          <w:rFonts w:hint="eastAsia" w:ascii="仿宋" w:eastAsia="仿宋"/>
          <w:bCs/>
          <w:color w:val="auto"/>
          <w:sz w:val="32"/>
          <w:szCs w:val="32"/>
          <w:highlight w:val="none"/>
        </w:rPr>
        <w:t>.社会保障和就业</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人力资源和社会保障管理事务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引进人才费用</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4</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33.33</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w:t>
      </w:r>
      <w:r>
        <w:rPr>
          <w:rStyle w:val="18"/>
          <w:rFonts w:hint="eastAsia" w:ascii="仿宋" w:eastAsia="仿宋"/>
          <w:b w:val="0"/>
          <w:bCs/>
          <w:color w:val="auto"/>
          <w:sz w:val="32"/>
          <w:szCs w:val="32"/>
          <w:highlight w:val="none"/>
          <w:lang w:eastAsia="zh-CN"/>
        </w:rPr>
        <w:t>的主要原因是市精卫中心引进人才试用期未</w:t>
      </w:r>
      <w:r>
        <w:rPr>
          <w:rStyle w:val="18"/>
          <w:rFonts w:hint="eastAsia" w:ascii="仿宋" w:eastAsia="仿宋"/>
          <w:b w:val="0"/>
          <w:bCs/>
          <w:color w:val="auto"/>
          <w:sz w:val="32"/>
          <w:szCs w:val="32"/>
          <w:highlight w:val="none"/>
          <w:lang w:val="en-US" w:eastAsia="zh-CN"/>
        </w:rPr>
        <w:t>满，</w:t>
      </w:r>
      <w:r>
        <w:rPr>
          <w:rStyle w:val="18"/>
          <w:rFonts w:hint="eastAsia" w:ascii="仿宋" w:eastAsia="仿宋"/>
          <w:b w:val="0"/>
          <w:bCs/>
          <w:color w:val="auto"/>
          <w:sz w:val="32"/>
          <w:szCs w:val="32"/>
          <w:highlight w:val="none"/>
          <w:lang w:eastAsia="zh-CN"/>
        </w:rPr>
        <w:t>待</w:t>
      </w:r>
      <w:r>
        <w:rPr>
          <w:rStyle w:val="18"/>
          <w:rFonts w:hint="eastAsia" w:ascii="仿宋" w:eastAsia="仿宋"/>
          <w:b w:val="0"/>
          <w:bCs/>
          <w:color w:val="auto"/>
          <w:sz w:val="32"/>
          <w:szCs w:val="32"/>
          <w:highlight w:val="none"/>
          <w:lang w:val="en-US" w:eastAsia="zh-CN"/>
        </w:rPr>
        <w:t>转正后</w:t>
      </w:r>
      <w:r>
        <w:rPr>
          <w:rStyle w:val="18"/>
          <w:rFonts w:hint="eastAsia" w:ascii="仿宋" w:eastAsia="仿宋"/>
          <w:b w:val="0"/>
          <w:bCs w:val="0"/>
          <w:color w:val="auto"/>
          <w:sz w:val="32"/>
          <w:szCs w:val="32"/>
          <w:highlight w:val="none"/>
        </w:rPr>
        <w:t>支付。</w:t>
      </w:r>
    </w:p>
    <w:p>
      <w:pPr>
        <w:shd w:val="clear"/>
        <w:spacing w:line="240" w:lineRule="auto"/>
        <w:ind w:firstLine="640" w:firstLineChars="200"/>
        <w:rPr>
          <w:rStyle w:val="18"/>
          <w:rFonts w:hint="eastAsia" w:ascii="仿宋" w:eastAsia="仿宋"/>
          <w:b w:val="0"/>
          <w:bCs w:val="0"/>
          <w:color w:val="auto"/>
          <w:sz w:val="32"/>
          <w:szCs w:val="32"/>
          <w:highlight w:val="none"/>
        </w:rPr>
      </w:pPr>
      <w:r>
        <w:rPr>
          <w:rStyle w:val="18"/>
          <w:rFonts w:hint="eastAsia" w:ascii="仿宋" w:eastAsia="仿宋"/>
          <w:bCs/>
          <w:color w:val="auto"/>
          <w:sz w:val="32"/>
          <w:szCs w:val="32"/>
          <w:highlight w:val="none"/>
          <w:lang w:val="en-US" w:eastAsia="zh-CN"/>
        </w:rPr>
        <w:t>7</w:t>
      </w:r>
      <w:r>
        <w:rPr>
          <w:rStyle w:val="18"/>
          <w:rFonts w:hint="eastAsia" w:ascii="仿宋" w:eastAsia="仿宋"/>
          <w:bCs/>
          <w:color w:val="auto"/>
          <w:sz w:val="32"/>
          <w:szCs w:val="32"/>
          <w:highlight w:val="none"/>
        </w:rPr>
        <w:t>.社会保障和就业</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人力资源和社会保障管理事务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其他人力资源和社会保障管理事务支出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21.42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val="0"/>
          <w:color w:val="auto"/>
          <w:sz w:val="32"/>
          <w:szCs w:val="32"/>
          <w:highlight w:val="none"/>
        </w:rPr>
        <w:t>。</w:t>
      </w:r>
    </w:p>
    <w:p>
      <w:pPr>
        <w:shd w:val="clear"/>
        <w:spacing w:line="600" w:lineRule="exact"/>
        <w:ind w:firstLine="640" w:firstLineChars="200"/>
        <w:rPr>
          <w:rStyle w:val="18"/>
          <w:rFonts w:hint="eastAsia" w:ascii="仿宋" w:eastAsia="仿宋"/>
          <w:b w:val="0"/>
          <w:bCs/>
          <w:color w:val="auto"/>
          <w:sz w:val="32"/>
          <w:szCs w:val="32"/>
          <w:highlight w:val="none"/>
          <w:lang w:eastAsia="zh-CN"/>
        </w:rPr>
      </w:pPr>
      <w:r>
        <w:rPr>
          <w:rStyle w:val="18"/>
          <w:rFonts w:hint="eastAsia" w:ascii="仿宋" w:eastAsia="仿宋"/>
          <w:bCs/>
          <w:color w:val="auto"/>
          <w:sz w:val="32"/>
          <w:szCs w:val="32"/>
          <w:highlight w:val="none"/>
          <w:lang w:val="en-US" w:eastAsia="zh-CN"/>
        </w:rPr>
        <w:t>8.</w:t>
      </w:r>
      <w:r>
        <w:rPr>
          <w:rStyle w:val="18"/>
          <w:rFonts w:hint="eastAsia" w:ascii="仿宋" w:eastAsia="仿宋"/>
          <w:bCs/>
          <w:color w:val="auto"/>
          <w:sz w:val="32"/>
          <w:szCs w:val="32"/>
          <w:highlight w:val="none"/>
        </w:rPr>
        <w:t>社会保障和就业</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行政事业单位养老支出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机关事业单位基本养老保险缴费支出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608.09</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98.82</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w:t>
      </w:r>
      <w:r>
        <w:rPr>
          <w:rStyle w:val="18"/>
          <w:rFonts w:hint="eastAsia" w:ascii="仿宋" w:eastAsia="仿宋"/>
          <w:b w:val="0"/>
          <w:bCs/>
          <w:color w:val="auto"/>
          <w:sz w:val="32"/>
          <w:szCs w:val="32"/>
          <w:highlight w:val="none"/>
          <w:lang w:eastAsia="zh-CN"/>
        </w:rPr>
        <w:t>的主要原因是市紧急救援中心</w:t>
      </w:r>
      <w:r>
        <w:rPr>
          <w:rStyle w:val="18"/>
          <w:rFonts w:hint="eastAsia" w:ascii="仿宋" w:eastAsia="仿宋"/>
          <w:b w:val="0"/>
          <w:bCs/>
          <w:color w:val="auto"/>
          <w:sz w:val="32"/>
          <w:szCs w:val="32"/>
          <w:highlight w:val="none"/>
          <w:lang w:val="en-US" w:eastAsia="zh-CN"/>
        </w:rPr>
        <w:t>2022年基础绩效养老保险单位部分于年底下达</w:t>
      </w:r>
      <w:r>
        <w:rPr>
          <w:rStyle w:val="18"/>
          <w:rFonts w:hint="eastAsia" w:ascii="仿宋" w:eastAsia="仿宋"/>
          <w:b w:val="0"/>
          <w:bCs/>
          <w:color w:val="auto"/>
          <w:sz w:val="32"/>
          <w:szCs w:val="32"/>
          <w:highlight w:val="none"/>
          <w:lang w:eastAsia="zh-CN"/>
        </w:rPr>
        <w:t>，待</w:t>
      </w:r>
      <w:r>
        <w:rPr>
          <w:rStyle w:val="18"/>
          <w:rFonts w:hint="eastAsia" w:ascii="仿宋" w:eastAsia="仿宋"/>
          <w:b w:val="0"/>
          <w:bCs/>
          <w:color w:val="auto"/>
          <w:sz w:val="32"/>
          <w:szCs w:val="32"/>
          <w:highlight w:val="none"/>
          <w:lang w:val="en-US" w:eastAsia="zh-CN"/>
        </w:rPr>
        <w:t>2023年</w:t>
      </w:r>
      <w:r>
        <w:rPr>
          <w:rStyle w:val="18"/>
          <w:rFonts w:hint="eastAsia" w:ascii="仿宋" w:eastAsia="仿宋"/>
          <w:b w:val="0"/>
          <w:bCs w:val="0"/>
          <w:color w:val="auto"/>
          <w:sz w:val="32"/>
          <w:szCs w:val="32"/>
          <w:highlight w:val="none"/>
        </w:rPr>
        <w:t>完成支付</w:t>
      </w:r>
      <w:r>
        <w:rPr>
          <w:rStyle w:val="18"/>
          <w:rFonts w:hint="eastAsia" w:ascii="仿宋" w:eastAsia="仿宋"/>
          <w:b w:val="0"/>
          <w:bCs/>
          <w:color w:val="auto"/>
          <w:sz w:val="32"/>
          <w:szCs w:val="32"/>
          <w:highlight w:val="none"/>
          <w:lang w:eastAsia="zh-CN"/>
        </w:rPr>
        <w:t>。</w:t>
      </w:r>
    </w:p>
    <w:p>
      <w:pPr>
        <w:shd w:val="clear"/>
        <w:spacing w:line="600" w:lineRule="exact"/>
        <w:ind w:firstLine="640" w:firstLineChars="200"/>
        <w:rPr>
          <w:rStyle w:val="18"/>
          <w:rFonts w:hint="eastAsia" w:ascii="仿宋" w:eastAsia="仿宋"/>
          <w:b w:val="0"/>
          <w:bCs/>
          <w:color w:val="auto"/>
          <w:sz w:val="32"/>
          <w:szCs w:val="32"/>
          <w:highlight w:val="none"/>
        </w:rPr>
      </w:pPr>
      <w:r>
        <w:rPr>
          <w:rStyle w:val="18"/>
          <w:rFonts w:hint="eastAsia" w:ascii="仿宋" w:eastAsia="仿宋"/>
          <w:bCs/>
          <w:color w:val="auto"/>
          <w:sz w:val="32"/>
          <w:szCs w:val="32"/>
          <w:highlight w:val="none"/>
          <w:lang w:val="en-US" w:eastAsia="zh-CN"/>
        </w:rPr>
        <w:t>9</w:t>
      </w:r>
      <w:r>
        <w:rPr>
          <w:rStyle w:val="18"/>
          <w:rFonts w:hint="eastAsia" w:ascii="仿宋" w:eastAsia="仿宋"/>
          <w:bCs/>
          <w:color w:val="auto"/>
          <w:sz w:val="32"/>
          <w:szCs w:val="32"/>
          <w:highlight w:val="none"/>
        </w:rPr>
        <w:t>.社会保障和就业</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行政事业单位养老支出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机关事业单位职业年金缴费支出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71.07</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600" w:lineRule="exact"/>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10.</w:t>
      </w:r>
      <w:r>
        <w:rPr>
          <w:rStyle w:val="18"/>
          <w:rFonts w:hint="eastAsia" w:ascii="仿宋" w:eastAsia="仿宋"/>
          <w:bCs/>
          <w:color w:val="auto"/>
          <w:sz w:val="32"/>
          <w:szCs w:val="32"/>
          <w:highlight w:val="none"/>
        </w:rPr>
        <w:t>社会保障和就业</w:t>
      </w:r>
      <w:r>
        <w:rPr>
          <w:rStyle w:val="18"/>
          <w:rFonts w:hint="eastAsia" w:ascii="仿宋" w:eastAsia="仿宋"/>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其他社会保障和就业支出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其他社会保障和就业支出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 xml:space="preserve"> 支出决算为</w:t>
      </w:r>
      <w:r>
        <w:rPr>
          <w:rStyle w:val="18"/>
          <w:rFonts w:hint="eastAsia" w:ascii="仿宋" w:eastAsia="仿宋"/>
          <w:b w:val="0"/>
          <w:bCs/>
          <w:color w:val="auto"/>
          <w:sz w:val="32"/>
          <w:szCs w:val="32"/>
          <w:highlight w:val="none"/>
          <w:lang w:val="en-US" w:eastAsia="zh-CN"/>
        </w:rPr>
        <w:t>21.36</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600" w:lineRule="exact"/>
        <w:ind w:firstLine="640" w:firstLineChars="200"/>
        <w:rPr>
          <w:rFonts w:hint="eastAsia" w:ascii="仿宋" w:eastAsia="仿宋"/>
          <w:b/>
          <w:color w:val="auto"/>
          <w:sz w:val="32"/>
          <w:szCs w:val="32"/>
          <w:highlight w:val="none"/>
        </w:rPr>
      </w:pPr>
      <w:r>
        <w:rPr>
          <w:rFonts w:hint="eastAsia" w:ascii="仿宋" w:eastAsia="仿宋"/>
          <w:b/>
          <w:bCs/>
          <w:color w:val="auto"/>
          <w:sz w:val="32"/>
          <w:szCs w:val="32"/>
          <w:highlight w:val="none"/>
          <w:lang w:val="en-US" w:eastAsia="zh-CN"/>
        </w:rPr>
        <w:t>11.</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卫生健康管理事务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行政运行</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1353.72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p>
    <w:p>
      <w:pPr>
        <w:shd w:val="clear"/>
        <w:spacing w:line="600" w:lineRule="exact"/>
        <w:ind w:firstLine="640" w:firstLineChars="200"/>
        <w:rPr>
          <w:rStyle w:val="18"/>
          <w:rFonts w:hint="eastAsia"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12.</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卫生健康管理事务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一般行政管理事务</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326.29</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val="en-US" w:eastAsia="zh-CN"/>
        </w:rPr>
        <w:t xml:space="preserve">。   </w:t>
      </w:r>
    </w:p>
    <w:p>
      <w:pPr>
        <w:shd w:val="clear"/>
        <w:spacing w:line="240" w:lineRule="auto"/>
        <w:ind w:firstLine="640" w:firstLineChars="200"/>
        <w:rPr>
          <w:rStyle w:val="18"/>
          <w:rFonts w:hint="default"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13.</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卫生健康管理事务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其他卫生健康管理事务支出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191.94</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90.56</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市中医医院结转的</w:t>
      </w:r>
      <w:r>
        <w:rPr>
          <w:rStyle w:val="18"/>
          <w:rFonts w:hint="eastAsia" w:ascii="仿宋" w:eastAsia="仿宋"/>
          <w:b w:val="0"/>
          <w:bCs/>
          <w:color w:val="auto"/>
          <w:sz w:val="32"/>
          <w:szCs w:val="32"/>
          <w:highlight w:val="none"/>
          <w:lang w:val="en-US" w:eastAsia="zh-CN"/>
        </w:rPr>
        <w:t>2021年市级重大事业发展经费，方案是用于门诊手术室改造，</w:t>
      </w:r>
      <w:r>
        <w:rPr>
          <w:rStyle w:val="18"/>
          <w:rFonts w:hint="eastAsia" w:ascii="仿宋" w:eastAsia="仿宋"/>
          <w:b w:val="0"/>
          <w:bCs/>
          <w:color w:val="auto"/>
          <w:sz w:val="32"/>
          <w:szCs w:val="32"/>
          <w:highlight w:val="none"/>
        </w:rPr>
        <w:t>2022年由于疫情防控未完成验收</w:t>
      </w:r>
      <w:r>
        <w:rPr>
          <w:rStyle w:val="18"/>
          <w:rFonts w:hint="eastAsia" w:ascii="仿宋" w:eastAsia="仿宋"/>
          <w:b w:val="0"/>
          <w:bCs/>
          <w:color w:val="auto"/>
          <w:sz w:val="32"/>
          <w:szCs w:val="32"/>
          <w:highlight w:val="none"/>
          <w:lang w:eastAsia="zh-CN"/>
        </w:rPr>
        <w:t>，</w:t>
      </w:r>
      <w:r>
        <w:rPr>
          <w:rStyle w:val="18"/>
          <w:rFonts w:hint="eastAsia" w:ascii="仿宋" w:eastAsia="仿宋"/>
          <w:b w:val="0"/>
          <w:bCs w:val="0"/>
          <w:color w:val="auto"/>
          <w:sz w:val="32"/>
          <w:szCs w:val="32"/>
          <w:highlight w:val="none"/>
        </w:rPr>
        <w:t>待202</w:t>
      </w:r>
      <w:r>
        <w:rPr>
          <w:rStyle w:val="18"/>
          <w:rFonts w:hint="eastAsia" w:ascii="仿宋" w:eastAsia="仿宋"/>
          <w:b w:val="0"/>
          <w:bCs w:val="0"/>
          <w:color w:val="auto"/>
          <w:sz w:val="32"/>
          <w:szCs w:val="32"/>
          <w:highlight w:val="none"/>
          <w:lang w:val="en-US" w:eastAsia="zh-CN"/>
        </w:rPr>
        <w:t>3</w:t>
      </w:r>
      <w:r>
        <w:rPr>
          <w:rStyle w:val="18"/>
          <w:rFonts w:hint="eastAsia" w:ascii="仿宋" w:eastAsia="仿宋"/>
          <w:b w:val="0"/>
          <w:bCs w:val="0"/>
          <w:color w:val="auto"/>
          <w:sz w:val="32"/>
          <w:szCs w:val="32"/>
          <w:highlight w:val="none"/>
        </w:rPr>
        <w:t>年支付</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14.</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公立医院</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综合医院</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1239.2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91.88</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w:t>
      </w:r>
      <w:r>
        <w:rPr>
          <w:rStyle w:val="18"/>
          <w:rFonts w:hint="eastAsia" w:ascii="仿宋" w:eastAsia="仿宋"/>
          <w:b w:val="0"/>
          <w:bCs/>
          <w:color w:val="auto"/>
          <w:sz w:val="32"/>
          <w:szCs w:val="32"/>
          <w:highlight w:val="none"/>
          <w:lang w:eastAsia="zh-CN"/>
        </w:rPr>
        <w:t>一</w:t>
      </w:r>
      <w:r>
        <w:rPr>
          <w:rStyle w:val="18"/>
          <w:rFonts w:hint="eastAsia" w:ascii="仿宋" w:eastAsia="仿宋"/>
          <w:b w:val="0"/>
          <w:bCs/>
          <w:color w:val="auto"/>
          <w:sz w:val="32"/>
          <w:szCs w:val="32"/>
          <w:highlight w:val="none"/>
        </w:rPr>
        <w:t>是</w:t>
      </w:r>
      <w:r>
        <w:rPr>
          <w:rStyle w:val="18"/>
          <w:rFonts w:hint="eastAsia" w:ascii="仿宋" w:eastAsia="仿宋"/>
          <w:b w:val="0"/>
          <w:bCs/>
          <w:color w:val="auto"/>
          <w:sz w:val="32"/>
          <w:szCs w:val="32"/>
          <w:highlight w:val="none"/>
          <w:lang w:eastAsia="zh-CN"/>
        </w:rPr>
        <w:t>市精卫中心</w:t>
      </w:r>
      <w:r>
        <w:rPr>
          <w:rStyle w:val="18"/>
          <w:rFonts w:hint="eastAsia" w:ascii="仿宋" w:eastAsia="仿宋"/>
          <w:b w:val="0"/>
          <w:bCs/>
          <w:color w:val="auto"/>
          <w:sz w:val="32"/>
          <w:szCs w:val="32"/>
          <w:highlight w:val="none"/>
        </w:rPr>
        <w:t>2022年医院因疫情封控3个月，项目无法</w:t>
      </w:r>
      <w:r>
        <w:rPr>
          <w:rStyle w:val="18"/>
          <w:rFonts w:hint="eastAsia" w:ascii="仿宋" w:eastAsia="仿宋"/>
          <w:b w:val="0"/>
          <w:bCs/>
          <w:color w:val="auto"/>
          <w:sz w:val="32"/>
          <w:szCs w:val="32"/>
          <w:highlight w:val="none"/>
          <w:lang w:eastAsia="zh-CN"/>
        </w:rPr>
        <w:t>按计划</w:t>
      </w:r>
      <w:r>
        <w:rPr>
          <w:rStyle w:val="18"/>
          <w:rFonts w:hint="eastAsia" w:ascii="仿宋" w:eastAsia="仿宋"/>
          <w:b w:val="0"/>
          <w:bCs/>
          <w:color w:val="auto"/>
          <w:sz w:val="32"/>
          <w:szCs w:val="32"/>
          <w:highlight w:val="none"/>
        </w:rPr>
        <w:t>实施</w:t>
      </w:r>
      <w:r>
        <w:rPr>
          <w:rStyle w:val="18"/>
          <w:rFonts w:hint="eastAsia" w:ascii="仿宋" w:eastAsia="仿宋"/>
          <w:b w:val="0"/>
          <w:bCs/>
          <w:color w:val="auto"/>
          <w:sz w:val="32"/>
          <w:szCs w:val="32"/>
          <w:highlight w:val="none"/>
          <w:lang w:eastAsia="zh-CN"/>
        </w:rPr>
        <w:t>；二是市</w:t>
      </w:r>
      <w:r>
        <w:rPr>
          <w:rStyle w:val="18"/>
          <w:rFonts w:hint="eastAsia" w:ascii="仿宋" w:eastAsia="仿宋"/>
          <w:b w:val="0"/>
          <w:bCs/>
          <w:color w:val="auto"/>
          <w:sz w:val="32"/>
          <w:szCs w:val="32"/>
          <w:highlight w:val="none"/>
        </w:rPr>
        <w:t>中心医院人才引进安家费</w:t>
      </w:r>
      <w:r>
        <w:rPr>
          <w:rStyle w:val="18"/>
          <w:rFonts w:hint="eastAsia" w:ascii="仿宋" w:eastAsia="仿宋"/>
          <w:b w:val="0"/>
          <w:bCs/>
          <w:color w:val="auto"/>
          <w:sz w:val="32"/>
          <w:szCs w:val="32"/>
          <w:highlight w:val="none"/>
          <w:lang w:eastAsia="zh-CN"/>
        </w:rPr>
        <w:t>，待人员服务期满后发放。</w:t>
      </w:r>
    </w:p>
    <w:p>
      <w:pPr>
        <w:shd w:val="clear"/>
        <w:spacing w:line="240" w:lineRule="auto"/>
        <w:ind w:firstLine="640" w:firstLineChars="200"/>
        <w:rPr>
          <w:rStyle w:val="18"/>
          <w:rFonts w:hint="default" w:ascii="仿宋" w:eastAsia="仿宋"/>
          <w:b w:val="0"/>
          <w:bCs w:val="0"/>
          <w:color w:val="auto"/>
          <w:sz w:val="32"/>
          <w:szCs w:val="32"/>
          <w:highlight w:val="none"/>
          <w:lang w:val="en-US" w:eastAsia="zh-CN"/>
        </w:rPr>
      </w:pPr>
      <w:r>
        <w:rPr>
          <w:rFonts w:hint="eastAsia" w:ascii="仿宋" w:eastAsia="仿宋"/>
          <w:b/>
          <w:bCs/>
          <w:color w:val="auto"/>
          <w:sz w:val="32"/>
          <w:szCs w:val="32"/>
          <w:highlight w:val="none"/>
          <w:lang w:val="en-US" w:eastAsia="zh-CN"/>
        </w:rPr>
        <w:t>15.</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公立医院</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中医（民族）医院</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3951.94</w:t>
      </w:r>
      <w:r>
        <w:rPr>
          <w:rStyle w:val="18"/>
          <w:rFonts w:hint="eastAsia" w:ascii="仿宋" w:eastAsia="仿宋"/>
          <w:b w:val="0"/>
          <w:bCs/>
          <w:color w:val="auto"/>
          <w:sz w:val="32"/>
          <w:szCs w:val="32"/>
          <w:highlight w:val="none"/>
        </w:rPr>
        <w:t>万元，完成</w:t>
      </w:r>
      <w:r>
        <w:rPr>
          <w:rStyle w:val="18"/>
          <w:rFonts w:hint="eastAsia" w:ascii="仿宋" w:eastAsia="仿宋"/>
          <w:b w:val="0"/>
          <w:bCs/>
          <w:color w:val="auto"/>
          <w:sz w:val="32"/>
          <w:szCs w:val="32"/>
          <w:highlight w:val="none"/>
          <w:lang w:eastAsia="zh-CN"/>
        </w:rPr>
        <w:t>预算</w:t>
      </w:r>
      <w:r>
        <w:rPr>
          <w:rStyle w:val="18"/>
          <w:rFonts w:hint="eastAsia" w:ascii="仿宋" w:eastAsia="仿宋"/>
          <w:b w:val="0"/>
          <w:bCs/>
          <w:color w:val="auto"/>
          <w:sz w:val="32"/>
          <w:szCs w:val="32"/>
          <w:highlight w:val="none"/>
          <w:lang w:val="en-US" w:eastAsia="zh-CN"/>
        </w:rPr>
        <w:t>38.37</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市中医医院的门诊住院综合楼工程建设项目周期四年，目前在建，资金按进度</w:t>
      </w:r>
      <w:r>
        <w:rPr>
          <w:rStyle w:val="18"/>
          <w:rFonts w:hint="eastAsia" w:ascii="仿宋" w:eastAsia="仿宋"/>
          <w:b w:val="0"/>
          <w:bCs w:val="0"/>
          <w:color w:val="auto"/>
          <w:sz w:val="32"/>
          <w:szCs w:val="32"/>
          <w:highlight w:val="none"/>
        </w:rPr>
        <w:t>支付</w:t>
      </w:r>
      <w:r>
        <w:rPr>
          <w:rStyle w:val="18"/>
          <w:rFonts w:hint="eastAsia" w:ascii="仿宋" w:eastAsia="仿宋"/>
          <w:b w:val="0"/>
          <w:bCs w:val="0"/>
          <w:color w:val="auto"/>
          <w:sz w:val="32"/>
          <w:szCs w:val="32"/>
          <w:highlight w:val="none"/>
          <w:lang w:eastAsia="zh-CN"/>
        </w:rPr>
        <w:t>中</w:t>
      </w:r>
      <w:r>
        <w:rPr>
          <w:rStyle w:val="18"/>
          <w:rFonts w:hint="eastAsia" w:ascii="仿宋" w:eastAsia="仿宋"/>
          <w:b w:val="0"/>
          <w:bCs w:val="0"/>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16.</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公立医院</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传染病医院</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1555.78</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97.79</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市中心医院</w:t>
      </w:r>
      <w:r>
        <w:rPr>
          <w:rStyle w:val="18"/>
          <w:rFonts w:hint="eastAsia" w:ascii="仿宋" w:eastAsia="仿宋"/>
          <w:b w:val="0"/>
          <w:bCs/>
          <w:color w:val="auto"/>
          <w:sz w:val="32"/>
          <w:szCs w:val="32"/>
          <w:highlight w:val="none"/>
        </w:rPr>
        <w:t>支援嘉陵社区红码医院形成的设备、送餐等费用需按合同约定支付，</w:t>
      </w:r>
      <w:r>
        <w:rPr>
          <w:rStyle w:val="18"/>
          <w:rFonts w:hint="eastAsia" w:ascii="仿宋" w:eastAsia="仿宋"/>
          <w:b w:val="0"/>
          <w:bCs/>
          <w:color w:val="auto"/>
          <w:sz w:val="32"/>
          <w:szCs w:val="32"/>
          <w:highlight w:val="none"/>
          <w:lang w:eastAsia="zh-CN"/>
        </w:rPr>
        <w:t>待</w:t>
      </w:r>
      <w:r>
        <w:rPr>
          <w:rStyle w:val="18"/>
          <w:rFonts w:hint="eastAsia" w:ascii="仿宋" w:eastAsia="仿宋"/>
          <w:b w:val="0"/>
          <w:bCs/>
          <w:color w:val="auto"/>
          <w:sz w:val="32"/>
          <w:szCs w:val="32"/>
          <w:highlight w:val="none"/>
        </w:rPr>
        <w:t>2023年支付完成</w:t>
      </w:r>
      <w:r>
        <w:rPr>
          <w:rStyle w:val="18"/>
          <w:rFonts w:hint="eastAsia" w:ascii="仿宋" w:eastAsia="仿宋"/>
          <w:b w:val="0"/>
          <w:bCs/>
          <w:color w:val="auto"/>
          <w:sz w:val="32"/>
          <w:szCs w:val="32"/>
          <w:highlight w:val="none"/>
          <w:lang w:eastAsia="zh-CN"/>
        </w:rPr>
        <w:t>。</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17.</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公立医院</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精神病医院</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3142.42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99.83</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市精卫中心因疫情封控，原计划开展的培训无法进行，待</w:t>
      </w:r>
      <w:r>
        <w:rPr>
          <w:rStyle w:val="18"/>
          <w:rFonts w:hint="eastAsia" w:ascii="仿宋" w:eastAsia="仿宋"/>
          <w:b w:val="0"/>
          <w:bCs/>
          <w:color w:val="auto"/>
          <w:sz w:val="32"/>
          <w:szCs w:val="32"/>
          <w:highlight w:val="none"/>
          <w:lang w:val="en-US" w:eastAsia="zh-CN"/>
        </w:rPr>
        <w:t>2023年支付</w:t>
      </w:r>
      <w:r>
        <w:rPr>
          <w:rStyle w:val="18"/>
          <w:rFonts w:hint="eastAsia" w:ascii="仿宋" w:eastAsia="仿宋"/>
          <w:b w:val="0"/>
          <w:bCs/>
          <w:color w:val="auto"/>
          <w:sz w:val="32"/>
          <w:szCs w:val="32"/>
          <w:highlight w:val="none"/>
          <w:lang w:eastAsia="zh-CN"/>
        </w:rPr>
        <w:t>。</w:t>
      </w:r>
    </w:p>
    <w:p>
      <w:pPr>
        <w:shd w:val="clear"/>
        <w:spacing w:line="240" w:lineRule="auto"/>
        <w:ind w:firstLine="640" w:firstLineChars="200"/>
        <w:rPr>
          <w:rFonts w:hint="eastAsia"/>
          <w:color w:val="auto"/>
          <w:highlight w:val="none"/>
        </w:rPr>
      </w:pPr>
      <w:r>
        <w:rPr>
          <w:rFonts w:hint="eastAsia" w:ascii="仿宋" w:eastAsia="仿宋"/>
          <w:b/>
          <w:bCs/>
          <w:color w:val="auto"/>
          <w:sz w:val="32"/>
          <w:szCs w:val="32"/>
          <w:highlight w:val="none"/>
          <w:lang w:val="en-US" w:eastAsia="zh-CN"/>
        </w:rPr>
        <w:t>18.</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公立医院</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妇幼保健医院</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6.7</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19.</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公立医院</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其他公立医院支出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127.35</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88.93</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决算数小于预算数的主要原因是疫情防控无法开展全科医生转岗培训，</w:t>
      </w:r>
      <w:r>
        <w:rPr>
          <w:rStyle w:val="18"/>
          <w:rFonts w:hint="eastAsia" w:ascii="仿宋" w:eastAsia="仿宋"/>
          <w:b w:val="0"/>
          <w:bCs/>
          <w:color w:val="auto"/>
          <w:sz w:val="32"/>
          <w:szCs w:val="32"/>
          <w:highlight w:val="none"/>
          <w:lang w:eastAsia="zh-CN"/>
        </w:rPr>
        <w:t>待</w:t>
      </w:r>
      <w:r>
        <w:rPr>
          <w:rStyle w:val="18"/>
          <w:rFonts w:hint="eastAsia" w:ascii="仿宋" w:eastAsia="仿宋"/>
          <w:b w:val="0"/>
          <w:bCs/>
          <w:color w:val="auto"/>
          <w:sz w:val="32"/>
          <w:szCs w:val="32"/>
          <w:highlight w:val="none"/>
          <w:lang w:val="en-US" w:eastAsia="zh-CN"/>
        </w:rPr>
        <w:t>2023年支付</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20.</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疾病预防控制机构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2578.68</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21.</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卫生监督机构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34.1</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val="en-US" w:eastAsia="zh-CN"/>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22.</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妇幼保健机构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1318.7</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val="en-US" w:eastAsia="zh-CN"/>
        </w:rPr>
        <w:t>。</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23.</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应急救治机构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248.94</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99.7</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市紧急救援中心收到员工退回的以前年度培训差旅费。</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24.</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采供血机构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584.59</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Fonts w:hint="eastAsia"/>
          <w:color w:val="auto"/>
          <w:highlight w:val="none"/>
        </w:rPr>
      </w:pPr>
      <w:r>
        <w:rPr>
          <w:rFonts w:hint="eastAsia" w:ascii="仿宋" w:eastAsia="仿宋"/>
          <w:b/>
          <w:bCs/>
          <w:color w:val="auto"/>
          <w:sz w:val="32"/>
          <w:szCs w:val="32"/>
          <w:highlight w:val="none"/>
          <w:lang w:val="en-US" w:eastAsia="zh-CN"/>
        </w:rPr>
        <w:t>25.</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其他专业公共卫生机构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4.8</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default"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26.</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基本公共卫生服务</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138.43</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99.28</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疫情封控，项目无法开展，待</w:t>
      </w:r>
      <w:r>
        <w:rPr>
          <w:rStyle w:val="18"/>
          <w:rFonts w:hint="eastAsia" w:ascii="仿宋" w:eastAsia="仿宋"/>
          <w:b w:val="0"/>
          <w:bCs/>
          <w:color w:val="auto"/>
          <w:sz w:val="32"/>
          <w:szCs w:val="32"/>
          <w:highlight w:val="none"/>
          <w:lang w:val="en-US" w:eastAsia="zh-CN"/>
        </w:rPr>
        <w:t>2023年支付。</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27.</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重大公共卫生服务</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379.94</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93.18</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疫情封控，项目无法开展，待</w:t>
      </w:r>
      <w:r>
        <w:rPr>
          <w:rStyle w:val="18"/>
          <w:rFonts w:hint="eastAsia" w:ascii="仿宋" w:eastAsia="仿宋"/>
          <w:b w:val="0"/>
          <w:bCs/>
          <w:color w:val="auto"/>
          <w:sz w:val="32"/>
          <w:szCs w:val="32"/>
          <w:highlight w:val="none"/>
          <w:lang w:val="en-US" w:eastAsia="zh-CN"/>
        </w:rPr>
        <w:t>2023年支付</w:t>
      </w:r>
      <w:r>
        <w:rPr>
          <w:rStyle w:val="18"/>
          <w:rFonts w:hint="eastAsia" w:ascii="仿宋" w:eastAsia="仿宋"/>
          <w:b w:val="0"/>
          <w:bCs/>
          <w:color w:val="auto"/>
          <w:sz w:val="32"/>
          <w:szCs w:val="32"/>
          <w:highlight w:val="none"/>
          <w:lang w:eastAsia="zh-CN"/>
        </w:rPr>
        <w:t>。</w:t>
      </w:r>
    </w:p>
    <w:p>
      <w:pPr>
        <w:shd w:val="clear"/>
        <w:spacing w:line="240" w:lineRule="auto"/>
        <w:ind w:firstLine="640" w:firstLineChars="200"/>
        <w:rPr>
          <w:rStyle w:val="18"/>
          <w:rFonts w:hint="default"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28.</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突发公共卫生事件应急处理</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1415.75</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96.76</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疫情封控，未完善报账资料手续，待</w:t>
      </w:r>
      <w:r>
        <w:rPr>
          <w:rStyle w:val="18"/>
          <w:rFonts w:hint="eastAsia" w:ascii="仿宋" w:eastAsia="仿宋"/>
          <w:b w:val="0"/>
          <w:bCs/>
          <w:color w:val="auto"/>
          <w:sz w:val="32"/>
          <w:szCs w:val="32"/>
          <w:highlight w:val="none"/>
          <w:lang w:val="en-US" w:eastAsia="zh-CN"/>
        </w:rPr>
        <w:t>2023年支付。</w:t>
      </w:r>
    </w:p>
    <w:p>
      <w:pPr>
        <w:shd w:val="clear"/>
        <w:spacing w:line="240" w:lineRule="auto"/>
        <w:ind w:firstLine="640" w:firstLineChars="200"/>
        <w:rPr>
          <w:rStyle w:val="18"/>
          <w:rFonts w:hint="eastAsia"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29.</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公共卫生</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其他公共卫生支出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8904.72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99.96</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疫情封控，未完善报账资料手续，待</w:t>
      </w:r>
      <w:r>
        <w:rPr>
          <w:rStyle w:val="18"/>
          <w:rFonts w:hint="eastAsia" w:ascii="仿宋" w:eastAsia="仿宋"/>
          <w:b w:val="0"/>
          <w:bCs/>
          <w:color w:val="auto"/>
          <w:sz w:val="32"/>
          <w:szCs w:val="32"/>
          <w:highlight w:val="none"/>
          <w:lang w:val="en-US" w:eastAsia="zh-CN"/>
        </w:rPr>
        <w:t>2023年支付。</w:t>
      </w:r>
    </w:p>
    <w:p>
      <w:pPr>
        <w:shd w:val="clear"/>
        <w:spacing w:line="240" w:lineRule="auto"/>
        <w:ind w:firstLine="640" w:firstLineChars="200"/>
        <w:rPr>
          <w:rStyle w:val="18"/>
          <w:rFonts w:hint="default"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30.</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中医药</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中医（民族医）药专项</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724.2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65.25</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市中医医院的</w:t>
      </w:r>
      <w:r>
        <w:rPr>
          <w:rStyle w:val="18"/>
          <w:rFonts w:hint="eastAsia" w:ascii="仿宋" w:eastAsia="仿宋"/>
          <w:b w:val="0"/>
          <w:bCs/>
          <w:color w:val="auto"/>
          <w:sz w:val="32"/>
          <w:szCs w:val="32"/>
          <w:highlight w:val="none"/>
        </w:rPr>
        <w:t>中医疫病防治和紧急救援基地建设项目</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名老中医工作室建设项目所购设备和改造工程款未支付，</w:t>
      </w:r>
      <w:r>
        <w:rPr>
          <w:rStyle w:val="18"/>
          <w:rFonts w:hint="eastAsia" w:ascii="仿宋" w:eastAsia="仿宋"/>
          <w:b w:val="0"/>
          <w:bCs/>
          <w:color w:val="auto"/>
          <w:sz w:val="32"/>
          <w:szCs w:val="32"/>
          <w:highlight w:val="none"/>
          <w:lang w:eastAsia="zh-CN"/>
        </w:rPr>
        <w:t>待</w:t>
      </w:r>
      <w:r>
        <w:rPr>
          <w:rStyle w:val="18"/>
          <w:rFonts w:hint="eastAsia" w:ascii="仿宋" w:eastAsia="仿宋"/>
          <w:b w:val="0"/>
          <w:bCs/>
          <w:color w:val="auto"/>
          <w:sz w:val="32"/>
          <w:szCs w:val="32"/>
          <w:highlight w:val="none"/>
        </w:rPr>
        <w:t>2023年支付</w:t>
      </w:r>
      <w:r>
        <w:rPr>
          <w:rStyle w:val="18"/>
          <w:rFonts w:hint="eastAsia" w:ascii="仿宋" w:eastAsia="仿宋"/>
          <w:b w:val="0"/>
          <w:bCs/>
          <w:color w:val="auto"/>
          <w:sz w:val="32"/>
          <w:szCs w:val="32"/>
          <w:highlight w:val="none"/>
          <w:lang w:eastAsia="zh-CN"/>
        </w:rPr>
        <w:t>。</w:t>
      </w:r>
    </w:p>
    <w:p>
      <w:pPr>
        <w:shd w:val="clear"/>
        <w:spacing w:line="240" w:lineRule="auto"/>
        <w:ind w:firstLine="640" w:firstLineChars="200"/>
        <w:rPr>
          <w:rStyle w:val="18"/>
          <w:rFonts w:hint="eastAsia" w:ascii="仿宋" w:eastAsia="仿宋"/>
          <w:b w:val="0"/>
          <w:bCs/>
          <w:color w:val="auto"/>
          <w:sz w:val="32"/>
          <w:szCs w:val="32"/>
          <w:highlight w:val="none"/>
        </w:rPr>
      </w:pPr>
      <w:r>
        <w:rPr>
          <w:rStyle w:val="18"/>
          <w:rFonts w:hint="eastAsia" w:ascii="仿宋" w:eastAsia="仿宋"/>
          <w:b/>
          <w:bCs/>
          <w:color w:val="auto"/>
          <w:sz w:val="32"/>
          <w:szCs w:val="32"/>
          <w:highlight w:val="none"/>
          <w:lang w:val="en-US" w:eastAsia="zh-CN"/>
        </w:rPr>
        <w:t>31.</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
          <w:bCs/>
          <w:color w:val="auto"/>
          <w:sz w:val="32"/>
          <w:szCs w:val="32"/>
          <w:highlight w:val="none"/>
        </w:rPr>
        <w:t>（类）</w:t>
      </w:r>
      <w:r>
        <w:rPr>
          <w:rStyle w:val="18"/>
          <w:rFonts w:hint="eastAsia" w:ascii="仿宋" w:eastAsia="仿宋"/>
          <w:b/>
          <w:bCs/>
          <w:color w:val="auto"/>
          <w:sz w:val="32"/>
          <w:szCs w:val="32"/>
          <w:highlight w:val="none"/>
          <w:lang w:eastAsia="zh-CN"/>
        </w:rPr>
        <w:t>中医药</w:t>
      </w:r>
      <w:r>
        <w:rPr>
          <w:rStyle w:val="18"/>
          <w:rFonts w:hint="eastAsia" w:ascii="仿宋" w:eastAsia="仿宋"/>
          <w:b/>
          <w:bCs/>
          <w:color w:val="auto"/>
          <w:sz w:val="32"/>
          <w:szCs w:val="32"/>
          <w:highlight w:val="none"/>
        </w:rPr>
        <w:t>（款）</w:t>
      </w:r>
      <w:r>
        <w:rPr>
          <w:rStyle w:val="18"/>
          <w:rFonts w:hint="eastAsia" w:ascii="仿宋" w:eastAsia="仿宋"/>
          <w:b/>
          <w:bCs/>
          <w:color w:val="auto"/>
          <w:sz w:val="32"/>
          <w:szCs w:val="32"/>
          <w:highlight w:val="none"/>
          <w:lang w:eastAsia="zh-CN"/>
        </w:rPr>
        <w:t>其他中医药支出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6.62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32.</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计划生育事务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计划生育机构</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20.2</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lang w:eastAsia="zh-CN"/>
        </w:rPr>
      </w:pPr>
      <w:r>
        <w:rPr>
          <w:rFonts w:hint="eastAsia" w:ascii="仿宋" w:eastAsia="仿宋"/>
          <w:b/>
          <w:bCs/>
          <w:color w:val="auto"/>
          <w:sz w:val="32"/>
          <w:szCs w:val="32"/>
          <w:highlight w:val="none"/>
          <w:lang w:val="en-US" w:eastAsia="zh-CN"/>
        </w:rPr>
        <w:t>33.</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计划生育事务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其他计划生育事务支出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343.56</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97.76</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市计生协会</w:t>
      </w:r>
      <w:r>
        <w:rPr>
          <w:rStyle w:val="18"/>
          <w:rFonts w:hint="eastAsia" w:ascii="仿宋" w:eastAsia="仿宋"/>
          <w:b w:val="0"/>
          <w:bCs/>
          <w:color w:val="auto"/>
          <w:sz w:val="32"/>
          <w:szCs w:val="32"/>
          <w:highlight w:val="none"/>
          <w:lang w:val="en-US" w:eastAsia="zh-CN"/>
        </w:rPr>
        <w:t>2022年基础绩效养老保险单位部分于年底下达</w:t>
      </w:r>
      <w:r>
        <w:rPr>
          <w:rStyle w:val="18"/>
          <w:rFonts w:hint="eastAsia" w:ascii="仿宋" w:eastAsia="仿宋"/>
          <w:b w:val="0"/>
          <w:bCs/>
          <w:color w:val="auto"/>
          <w:sz w:val="32"/>
          <w:szCs w:val="32"/>
          <w:highlight w:val="none"/>
          <w:lang w:eastAsia="zh-CN"/>
        </w:rPr>
        <w:t>，待</w:t>
      </w:r>
      <w:r>
        <w:rPr>
          <w:rStyle w:val="18"/>
          <w:rFonts w:hint="eastAsia" w:ascii="仿宋" w:eastAsia="仿宋"/>
          <w:b w:val="0"/>
          <w:bCs/>
          <w:color w:val="auto"/>
          <w:sz w:val="32"/>
          <w:szCs w:val="32"/>
          <w:highlight w:val="none"/>
          <w:lang w:val="en-US" w:eastAsia="zh-CN"/>
        </w:rPr>
        <w:t>2023年</w:t>
      </w:r>
      <w:r>
        <w:rPr>
          <w:rStyle w:val="18"/>
          <w:rFonts w:hint="eastAsia" w:ascii="仿宋" w:eastAsia="仿宋"/>
          <w:b w:val="0"/>
          <w:bCs w:val="0"/>
          <w:color w:val="auto"/>
          <w:sz w:val="32"/>
          <w:szCs w:val="32"/>
          <w:highlight w:val="none"/>
        </w:rPr>
        <w:t>完成支付</w:t>
      </w:r>
      <w:r>
        <w:rPr>
          <w:rStyle w:val="18"/>
          <w:rFonts w:hint="eastAsia" w:ascii="仿宋" w:eastAsia="仿宋"/>
          <w:b w:val="0"/>
          <w:bCs/>
          <w:color w:val="auto"/>
          <w:sz w:val="32"/>
          <w:szCs w:val="32"/>
          <w:highlight w:val="none"/>
          <w:lang w:eastAsia="zh-CN"/>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34.</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行政事业单位医疗</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行政单位医疗</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50.19</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35.</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行政事业单位医疗</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事业单位医疗</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263.54</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36.</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医疗保障管理事务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其他医疗保障管理事务支出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54.53</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54.53</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市精卫中心疫情封控，社区康养项目无法实施，待</w:t>
      </w:r>
      <w:r>
        <w:rPr>
          <w:rStyle w:val="18"/>
          <w:rFonts w:hint="eastAsia" w:ascii="仿宋" w:eastAsia="仿宋"/>
          <w:b w:val="0"/>
          <w:bCs/>
          <w:color w:val="auto"/>
          <w:sz w:val="32"/>
          <w:szCs w:val="32"/>
          <w:highlight w:val="none"/>
          <w:lang w:val="en-US" w:eastAsia="zh-CN"/>
        </w:rPr>
        <w:t>2023年支付</w:t>
      </w:r>
      <w:r>
        <w:rPr>
          <w:rStyle w:val="18"/>
          <w:rFonts w:hint="eastAsia" w:ascii="仿宋" w:eastAsia="仿宋"/>
          <w:b w:val="0"/>
          <w:bCs/>
          <w:color w:val="auto"/>
          <w:sz w:val="32"/>
          <w:szCs w:val="32"/>
          <w:highlight w:val="none"/>
        </w:rPr>
        <w:t>。</w:t>
      </w:r>
    </w:p>
    <w:p>
      <w:pPr>
        <w:shd w:val="clear"/>
        <w:spacing w:line="240" w:lineRule="auto"/>
        <w:ind w:firstLine="640" w:firstLineChars="200"/>
        <w:rPr>
          <w:rStyle w:val="18"/>
          <w:rFonts w:hint="eastAsia" w:ascii="仿宋" w:eastAsia="仿宋"/>
          <w:b w:val="0"/>
          <w:bCs/>
          <w:color w:val="auto"/>
          <w:sz w:val="32"/>
          <w:szCs w:val="32"/>
          <w:highlight w:val="none"/>
          <w:lang w:val="en-US" w:eastAsia="zh-CN"/>
        </w:rPr>
      </w:pPr>
      <w:r>
        <w:rPr>
          <w:rFonts w:hint="eastAsia" w:ascii="仿宋" w:eastAsia="仿宋"/>
          <w:b/>
          <w:bCs/>
          <w:color w:val="auto"/>
          <w:sz w:val="32"/>
          <w:szCs w:val="32"/>
          <w:highlight w:val="none"/>
          <w:lang w:val="en-US" w:eastAsia="zh-CN"/>
        </w:rPr>
        <w:t>37.</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老龄卫生健康事务</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老龄卫生健康事务</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101.98</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98.31</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决算数小于预算数的主要原因是</w:t>
      </w:r>
      <w:r>
        <w:rPr>
          <w:rStyle w:val="18"/>
          <w:rFonts w:hint="eastAsia" w:ascii="仿宋" w:eastAsia="仿宋"/>
          <w:b w:val="0"/>
          <w:bCs/>
          <w:color w:val="auto"/>
          <w:sz w:val="32"/>
          <w:szCs w:val="32"/>
          <w:highlight w:val="none"/>
          <w:lang w:eastAsia="zh-CN"/>
        </w:rPr>
        <w:t>疫情封控，未完善报账资料手续，待</w:t>
      </w:r>
      <w:r>
        <w:rPr>
          <w:rStyle w:val="18"/>
          <w:rFonts w:hint="eastAsia" w:ascii="仿宋" w:eastAsia="仿宋"/>
          <w:b w:val="0"/>
          <w:bCs/>
          <w:color w:val="auto"/>
          <w:sz w:val="32"/>
          <w:szCs w:val="32"/>
          <w:highlight w:val="none"/>
          <w:lang w:val="en-US" w:eastAsia="zh-CN"/>
        </w:rPr>
        <w:t>2023年支付。</w:t>
      </w:r>
    </w:p>
    <w:p>
      <w:pPr>
        <w:shd w:val="clear"/>
        <w:spacing w:line="240" w:lineRule="auto"/>
        <w:ind w:firstLine="640" w:firstLineChars="200"/>
        <w:rPr>
          <w:rStyle w:val="18"/>
          <w:rFonts w:hint="eastAsia" w:ascii="仿宋" w:eastAsia="仿宋"/>
          <w:b w:val="0"/>
          <w:bCs w:val="0"/>
          <w:color w:val="auto"/>
          <w:sz w:val="32"/>
          <w:szCs w:val="32"/>
          <w:highlight w:val="none"/>
          <w:lang w:eastAsia="zh-CN"/>
        </w:rPr>
      </w:pPr>
      <w:r>
        <w:rPr>
          <w:rFonts w:hint="eastAsia" w:ascii="仿宋" w:eastAsia="仿宋"/>
          <w:b/>
          <w:bCs/>
          <w:color w:val="auto"/>
          <w:sz w:val="32"/>
          <w:szCs w:val="32"/>
          <w:highlight w:val="none"/>
          <w:lang w:val="en-US" w:eastAsia="zh-CN"/>
        </w:rPr>
        <w:t>38.</w:t>
      </w:r>
      <w:r>
        <w:rPr>
          <w:rFonts w:hint="eastAsia" w:ascii="仿宋" w:eastAsia="仿宋"/>
          <w:b/>
          <w:bCs/>
          <w:color w:val="auto"/>
          <w:sz w:val="32"/>
          <w:szCs w:val="32"/>
          <w:highlight w:val="none"/>
        </w:rPr>
        <w:t>卫生健康</w:t>
      </w:r>
      <w:r>
        <w:rPr>
          <w:rFonts w:hint="eastAsia" w:ascii="仿宋" w:eastAsia="仿宋"/>
          <w:b/>
          <w:bCs/>
          <w:color w:val="auto"/>
          <w:sz w:val="32"/>
          <w:szCs w:val="32"/>
          <w:highlight w:val="none"/>
          <w:lang w:eastAsia="zh-CN"/>
        </w:rPr>
        <w:t>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其他卫生健康支出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其他卫生健康支出</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2685.86</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62.9</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rPr>
        <w:t>决算数小于预算数的主要原因</w:t>
      </w:r>
      <w:r>
        <w:rPr>
          <w:rStyle w:val="18"/>
          <w:rFonts w:hint="eastAsia" w:ascii="仿宋" w:eastAsia="仿宋"/>
          <w:b w:val="0"/>
          <w:bCs w:val="0"/>
          <w:color w:val="auto"/>
          <w:sz w:val="32"/>
          <w:szCs w:val="32"/>
          <w:highlight w:val="none"/>
        </w:rPr>
        <w:t>规培、全科医生转岗培训资金，规培资金是跨年使用的，正常的使用周期是当年8月至第二年7月，所以当年的拨款会结转60%以上（资金支付因需要考核一般会延后于时间进度），全科医生转岗培训这两年</w:t>
      </w:r>
      <w:r>
        <w:rPr>
          <w:rStyle w:val="18"/>
          <w:rFonts w:hint="eastAsia" w:ascii="仿宋" w:eastAsia="仿宋"/>
          <w:b w:val="0"/>
          <w:bCs w:val="0"/>
          <w:color w:val="auto"/>
          <w:sz w:val="32"/>
          <w:szCs w:val="32"/>
          <w:highlight w:val="none"/>
          <w:lang w:eastAsia="zh-CN"/>
        </w:rPr>
        <w:t>因</w:t>
      </w:r>
      <w:r>
        <w:rPr>
          <w:rStyle w:val="18"/>
          <w:rFonts w:hint="eastAsia" w:ascii="仿宋" w:eastAsia="仿宋"/>
          <w:b w:val="0"/>
          <w:bCs w:val="0"/>
          <w:color w:val="auto"/>
          <w:sz w:val="32"/>
          <w:szCs w:val="32"/>
          <w:highlight w:val="none"/>
        </w:rPr>
        <w:t>疫情原因一直没能举办</w:t>
      </w:r>
      <w:r>
        <w:rPr>
          <w:rStyle w:val="18"/>
          <w:rFonts w:hint="eastAsia" w:ascii="仿宋" w:eastAsia="仿宋"/>
          <w:b w:val="0"/>
          <w:bCs w:val="0"/>
          <w:color w:val="auto"/>
          <w:sz w:val="32"/>
          <w:szCs w:val="32"/>
          <w:highlight w:val="none"/>
          <w:lang w:eastAsia="zh-CN"/>
        </w:rPr>
        <w:t>，待</w:t>
      </w:r>
      <w:r>
        <w:rPr>
          <w:rStyle w:val="18"/>
          <w:rFonts w:hint="eastAsia" w:ascii="仿宋" w:eastAsia="仿宋"/>
          <w:b w:val="0"/>
          <w:bCs w:val="0"/>
          <w:color w:val="auto"/>
          <w:sz w:val="32"/>
          <w:szCs w:val="32"/>
          <w:highlight w:val="none"/>
          <w:lang w:val="en-US" w:eastAsia="zh-CN"/>
        </w:rPr>
        <w:t>2023年支付</w:t>
      </w:r>
      <w:r>
        <w:rPr>
          <w:rStyle w:val="18"/>
          <w:rFonts w:hint="eastAsia" w:ascii="仿宋" w:eastAsia="仿宋"/>
          <w:b w:val="0"/>
          <w:bCs w:val="0"/>
          <w:color w:val="auto"/>
          <w:sz w:val="32"/>
          <w:szCs w:val="32"/>
          <w:highlight w:val="none"/>
          <w:lang w:eastAsia="zh-CN"/>
        </w:rPr>
        <w:t>。</w:t>
      </w:r>
    </w:p>
    <w:p>
      <w:pPr>
        <w:shd w:val="clear"/>
        <w:spacing w:line="240" w:lineRule="auto"/>
        <w:ind w:firstLine="640" w:firstLineChars="200"/>
        <w:rPr>
          <w:rStyle w:val="18"/>
          <w:rFonts w:hint="eastAsia" w:ascii="仿宋" w:eastAsia="仿宋"/>
          <w:b w:val="0"/>
          <w:bCs/>
          <w:color w:val="auto"/>
          <w:sz w:val="32"/>
          <w:szCs w:val="32"/>
          <w:highlight w:val="none"/>
        </w:rPr>
      </w:pPr>
      <w:r>
        <w:rPr>
          <w:rFonts w:hint="eastAsia" w:ascii="仿宋" w:eastAsia="仿宋"/>
          <w:b/>
          <w:bCs/>
          <w:color w:val="auto"/>
          <w:sz w:val="32"/>
          <w:szCs w:val="32"/>
          <w:highlight w:val="none"/>
          <w:lang w:val="en-US" w:eastAsia="zh-CN"/>
        </w:rPr>
        <w:t>39.</w:t>
      </w:r>
      <w:r>
        <w:rPr>
          <w:rFonts w:hint="eastAsia" w:ascii="仿宋" w:eastAsia="仿宋"/>
          <w:b/>
          <w:bCs/>
          <w:color w:val="auto"/>
          <w:sz w:val="32"/>
          <w:szCs w:val="32"/>
          <w:highlight w:val="none"/>
          <w:lang w:eastAsia="zh-CN"/>
        </w:rPr>
        <w:t>住房保障支出</w:t>
      </w:r>
      <w:r>
        <w:rPr>
          <w:rStyle w:val="18"/>
          <w:rFonts w:hint="eastAsia" w:ascii="仿宋" w:eastAsia="仿宋"/>
          <w:bCs/>
          <w:color w:val="auto"/>
          <w:sz w:val="32"/>
          <w:szCs w:val="32"/>
          <w:highlight w:val="none"/>
        </w:rPr>
        <w:t>（类）</w:t>
      </w:r>
      <w:r>
        <w:rPr>
          <w:rStyle w:val="18"/>
          <w:rFonts w:hint="eastAsia" w:ascii="仿宋" w:eastAsia="仿宋"/>
          <w:bCs/>
          <w:color w:val="auto"/>
          <w:sz w:val="32"/>
          <w:szCs w:val="32"/>
          <w:highlight w:val="none"/>
          <w:lang w:eastAsia="zh-CN"/>
        </w:rPr>
        <w:t>住房改革支出</w:t>
      </w:r>
      <w:r>
        <w:rPr>
          <w:rStyle w:val="18"/>
          <w:rFonts w:hint="eastAsia" w:ascii="仿宋" w:eastAsia="仿宋"/>
          <w:bCs/>
          <w:color w:val="auto"/>
          <w:sz w:val="32"/>
          <w:szCs w:val="32"/>
          <w:highlight w:val="none"/>
        </w:rPr>
        <w:t>（款）</w:t>
      </w:r>
      <w:r>
        <w:rPr>
          <w:rStyle w:val="18"/>
          <w:rFonts w:hint="eastAsia" w:ascii="仿宋" w:eastAsia="仿宋"/>
          <w:bCs/>
          <w:color w:val="auto"/>
          <w:sz w:val="32"/>
          <w:szCs w:val="32"/>
          <w:highlight w:val="none"/>
          <w:lang w:eastAsia="zh-CN"/>
        </w:rPr>
        <w:t>住房公积金</w:t>
      </w:r>
      <w:r>
        <w:rPr>
          <w:rStyle w:val="18"/>
          <w:rFonts w:hint="eastAsia" w:ascii="仿宋" w:eastAsia="仿宋"/>
          <w:bCs/>
          <w:color w:val="auto"/>
          <w:sz w:val="32"/>
          <w:szCs w:val="32"/>
          <w:highlight w:val="none"/>
        </w:rPr>
        <w:t>（项）</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rPr>
        <w:t>支出决算为</w:t>
      </w:r>
      <w:r>
        <w:rPr>
          <w:rStyle w:val="18"/>
          <w:rFonts w:hint="eastAsia" w:ascii="仿宋" w:eastAsia="仿宋"/>
          <w:b w:val="0"/>
          <w:bCs/>
          <w:color w:val="auto"/>
          <w:sz w:val="32"/>
          <w:szCs w:val="32"/>
          <w:highlight w:val="none"/>
          <w:lang w:val="en-US" w:eastAsia="zh-CN"/>
        </w:rPr>
        <w:t>735.46</w:t>
      </w:r>
      <w:r>
        <w:rPr>
          <w:rStyle w:val="18"/>
          <w:rFonts w:hint="eastAsia" w:ascii="仿宋" w:eastAsia="仿宋"/>
          <w:b w:val="0"/>
          <w:bCs/>
          <w:color w:val="auto"/>
          <w:sz w:val="32"/>
          <w:szCs w:val="32"/>
          <w:highlight w:val="none"/>
        </w:rPr>
        <w:t>万元，完成预算</w:t>
      </w:r>
      <w:r>
        <w:rPr>
          <w:rStyle w:val="18"/>
          <w:rFonts w:hint="eastAsia" w:ascii="仿宋"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pPr>
        <w:shd w:val="clear"/>
        <w:spacing w:line="240" w:lineRule="auto"/>
        <w:ind w:firstLine="640" w:firstLineChars="200"/>
        <w:rPr>
          <w:rFonts w:ascii="仿宋" w:hAnsi="仿宋" w:eastAsia="仿宋"/>
          <w:b/>
          <w:color w:val="auto"/>
          <w:sz w:val="32"/>
          <w:szCs w:val="32"/>
          <w:highlight w:val="none"/>
        </w:rPr>
      </w:pPr>
      <w:r>
        <w:rPr>
          <w:rFonts w:hint="eastAsia" w:ascii="仿宋" w:eastAsia="仿宋"/>
          <w:b/>
          <w:bCs/>
          <w:color w:val="auto"/>
          <w:sz w:val="32"/>
          <w:szCs w:val="32"/>
          <w:highlight w:val="none"/>
          <w:u w:val="none"/>
          <w:lang w:val="en-US" w:eastAsia="zh-CN"/>
        </w:rPr>
        <w:t>40.</w:t>
      </w:r>
      <w:r>
        <w:rPr>
          <w:rFonts w:hint="eastAsia" w:ascii="仿宋" w:eastAsia="仿宋"/>
          <w:b/>
          <w:bCs/>
          <w:color w:val="auto"/>
          <w:sz w:val="32"/>
          <w:szCs w:val="32"/>
          <w:highlight w:val="none"/>
          <w:u w:val="none"/>
          <w:lang w:eastAsia="zh-CN"/>
        </w:rPr>
        <w:t>住房保障支出</w:t>
      </w:r>
      <w:r>
        <w:rPr>
          <w:rStyle w:val="18"/>
          <w:rFonts w:hint="eastAsia" w:ascii="仿宋" w:eastAsia="仿宋"/>
          <w:bCs/>
          <w:color w:val="auto"/>
          <w:sz w:val="32"/>
          <w:szCs w:val="32"/>
          <w:highlight w:val="none"/>
          <w:u w:val="none"/>
        </w:rPr>
        <w:t>（类）</w:t>
      </w:r>
      <w:r>
        <w:rPr>
          <w:rStyle w:val="18"/>
          <w:rFonts w:hint="eastAsia" w:ascii="仿宋" w:eastAsia="仿宋"/>
          <w:bCs/>
          <w:color w:val="auto"/>
          <w:sz w:val="32"/>
          <w:szCs w:val="32"/>
          <w:highlight w:val="none"/>
          <w:u w:val="none"/>
          <w:lang w:eastAsia="zh-CN"/>
        </w:rPr>
        <w:t>住房改革支出</w:t>
      </w:r>
      <w:r>
        <w:rPr>
          <w:rStyle w:val="18"/>
          <w:rFonts w:hint="eastAsia" w:ascii="仿宋" w:eastAsia="仿宋"/>
          <w:bCs/>
          <w:color w:val="auto"/>
          <w:sz w:val="32"/>
          <w:szCs w:val="32"/>
          <w:highlight w:val="none"/>
          <w:u w:val="none"/>
        </w:rPr>
        <w:t>（款）</w:t>
      </w:r>
      <w:r>
        <w:rPr>
          <w:rStyle w:val="18"/>
          <w:rFonts w:hint="eastAsia" w:ascii="仿宋" w:eastAsia="仿宋"/>
          <w:bCs/>
          <w:color w:val="auto"/>
          <w:sz w:val="32"/>
          <w:szCs w:val="32"/>
          <w:highlight w:val="none"/>
          <w:u w:val="none"/>
          <w:lang w:eastAsia="zh-CN"/>
        </w:rPr>
        <w:t>购房补贴</w:t>
      </w:r>
      <w:r>
        <w:rPr>
          <w:rStyle w:val="18"/>
          <w:rFonts w:hint="eastAsia" w:ascii="仿宋" w:eastAsia="仿宋"/>
          <w:bCs/>
          <w:color w:val="auto"/>
          <w:sz w:val="32"/>
          <w:szCs w:val="32"/>
          <w:highlight w:val="none"/>
          <w:u w:val="none"/>
        </w:rPr>
        <w:t>（项）</w:t>
      </w:r>
      <w:r>
        <w:rPr>
          <w:rStyle w:val="18"/>
          <w:rFonts w:hint="eastAsia" w:ascii="仿宋" w:eastAsia="仿宋"/>
          <w:bCs/>
          <w:color w:val="auto"/>
          <w:sz w:val="32"/>
          <w:szCs w:val="32"/>
          <w:highlight w:val="none"/>
          <w:u w:val="none"/>
          <w:lang w:eastAsia="zh-CN"/>
        </w:rPr>
        <w:t>：</w:t>
      </w:r>
      <w:r>
        <w:rPr>
          <w:rStyle w:val="18"/>
          <w:rFonts w:hint="eastAsia" w:ascii="仿宋" w:eastAsia="仿宋"/>
          <w:b w:val="0"/>
          <w:bCs/>
          <w:color w:val="auto"/>
          <w:sz w:val="32"/>
          <w:szCs w:val="32"/>
          <w:highlight w:val="none"/>
          <w:u w:val="none"/>
        </w:rPr>
        <w:t>支出决算为</w:t>
      </w:r>
      <w:r>
        <w:rPr>
          <w:rStyle w:val="18"/>
          <w:rFonts w:hint="eastAsia" w:ascii="仿宋" w:eastAsia="仿宋"/>
          <w:b w:val="0"/>
          <w:bCs/>
          <w:color w:val="auto"/>
          <w:sz w:val="32"/>
          <w:szCs w:val="32"/>
          <w:highlight w:val="none"/>
          <w:u w:val="none"/>
          <w:lang w:val="en-US" w:eastAsia="zh-CN"/>
        </w:rPr>
        <w:t>3</w:t>
      </w:r>
      <w:r>
        <w:rPr>
          <w:rStyle w:val="18"/>
          <w:rFonts w:hint="eastAsia" w:ascii="仿宋" w:eastAsia="仿宋"/>
          <w:b w:val="0"/>
          <w:bCs/>
          <w:color w:val="auto"/>
          <w:sz w:val="32"/>
          <w:szCs w:val="32"/>
          <w:highlight w:val="none"/>
          <w:u w:val="none"/>
        </w:rPr>
        <w:t>万元，完成预算</w:t>
      </w:r>
      <w:r>
        <w:rPr>
          <w:rStyle w:val="18"/>
          <w:rFonts w:hint="eastAsia" w:ascii="仿宋" w:eastAsia="仿宋"/>
          <w:b w:val="0"/>
          <w:bCs/>
          <w:color w:val="auto"/>
          <w:sz w:val="32"/>
          <w:szCs w:val="32"/>
          <w:highlight w:val="none"/>
          <w:u w:val="none"/>
          <w:lang w:val="en-US" w:eastAsia="zh-CN"/>
        </w:rPr>
        <w:t>100</w:t>
      </w:r>
      <w:r>
        <w:rPr>
          <w:rStyle w:val="18"/>
          <w:rFonts w:hint="eastAsia" w:ascii="仿宋" w:eastAsia="仿宋"/>
          <w:b w:val="0"/>
          <w:bCs/>
          <w:color w:val="auto"/>
          <w:sz w:val="32"/>
          <w:szCs w:val="32"/>
          <w:highlight w:val="none"/>
          <w:u w:val="none"/>
        </w:rPr>
        <w:t>%</w:t>
      </w:r>
      <w:r>
        <w:rPr>
          <w:rStyle w:val="18"/>
          <w:rFonts w:hint="eastAsia" w:ascii="仿宋" w:eastAsia="仿宋"/>
          <w:b w:val="0"/>
          <w:bCs/>
          <w:color w:val="auto"/>
          <w:sz w:val="32"/>
          <w:szCs w:val="32"/>
          <w:highlight w:val="none"/>
          <w:u w:val="none"/>
          <w:lang w:eastAsia="zh-CN"/>
        </w:rPr>
        <w:t>。</w:t>
      </w:r>
    </w:p>
    <w:p>
      <w:pPr>
        <w:shd w:val="clear"/>
        <w:tabs>
          <w:tab w:val="right" w:pos="8306"/>
        </w:tabs>
        <w:spacing w:line="600" w:lineRule="exact"/>
        <w:ind w:firstLine="640"/>
        <w:outlineLvl w:val="1"/>
        <w:rPr>
          <w:rStyle w:val="22"/>
          <w:color w:val="auto"/>
          <w:highlight w:val="none"/>
        </w:rPr>
      </w:pPr>
      <w:bookmarkStart w:id="47" w:name="_Toc15377214"/>
      <w:bookmarkStart w:id="48" w:name="_Toc15396608"/>
      <w:bookmarkStart w:id="49" w:name="_Toc1634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47"/>
      <w:bookmarkEnd w:id="48"/>
      <w:bookmarkEnd w:id="49"/>
      <w:r>
        <w:rPr>
          <w:rStyle w:val="22"/>
          <w:rFonts w:ascii="黑体" w:hAnsi="黑体" w:eastAsia="黑体"/>
          <w:b w:val="0"/>
          <w:color w:val="auto"/>
          <w:highlight w:val="none"/>
        </w:rPr>
        <w:tab/>
      </w:r>
    </w:p>
    <w:p>
      <w:pPr>
        <w:shd w:val="clea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33237.21</w:t>
      </w:r>
      <w:r>
        <w:rPr>
          <w:rFonts w:hint="eastAsia" w:ascii="仿宋" w:hAnsi="仿宋" w:eastAsia="仿宋"/>
          <w:color w:val="auto"/>
          <w:sz w:val="32"/>
          <w:szCs w:val="32"/>
          <w:highlight w:val="none"/>
        </w:rPr>
        <w:t>万元，其中：</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11416.86</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其他工资福利支出、抚恤金、生活补助、其他对个人和家庭的补助支出等。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729.12</w:t>
      </w:r>
      <w:r>
        <w:rPr>
          <w:rFonts w:hint="eastAsia" w:ascii="仿宋" w:hAnsi="仿宋" w:eastAsia="仿宋"/>
          <w:color w:val="auto"/>
          <w:sz w:val="32"/>
          <w:szCs w:val="32"/>
          <w:highlight w:val="none"/>
        </w:rPr>
        <w:t>万元，主要包括：办公费、印刷费、咨询费、手续费、水费、电费、邮电费、物业管理费、差旅费、维修（护）费、租赁费、会议费、培训费、公务接待费、</w:t>
      </w:r>
      <w:r>
        <w:rPr>
          <w:rFonts w:hint="eastAsia" w:ascii="仿宋" w:hAnsi="仿宋" w:eastAsia="仿宋"/>
          <w:color w:val="auto"/>
          <w:sz w:val="32"/>
          <w:szCs w:val="32"/>
          <w:highlight w:val="none"/>
          <w:lang w:eastAsia="zh-CN"/>
        </w:rPr>
        <w:t>专用材料费、</w:t>
      </w:r>
      <w:r>
        <w:rPr>
          <w:rFonts w:hint="eastAsia" w:ascii="仿宋" w:hAnsi="仿宋" w:eastAsia="仿宋"/>
          <w:color w:val="auto"/>
          <w:sz w:val="32"/>
          <w:szCs w:val="32"/>
          <w:highlight w:val="none"/>
        </w:rPr>
        <w:t>劳务费、委托业务费、工会经费、福利费、公务用车运行维护费、其他交通费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、其他商品和服务支出、办公设备购置、信息网络及软件购置更新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w:t>
      </w:r>
    </w:p>
    <w:p>
      <w:pPr>
        <w:shd w:val="clear"/>
        <w:spacing w:line="600" w:lineRule="exact"/>
        <w:ind w:firstLine="640"/>
        <w:outlineLvl w:val="1"/>
        <w:rPr>
          <w:rStyle w:val="22"/>
          <w:rFonts w:ascii="黑体" w:hAnsi="黑体" w:eastAsia="黑体"/>
          <w:b w:val="0"/>
          <w:color w:val="auto"/>
          <w:highlight w:val="none"/>
        </w:rPr>
      </w:pPr>
      <w:bookmarkStart w:id="50" w:name="_Toc15377215"/>
      <w:bookmarkStart w:id="51" w:name="_Toc17456"/>
      <w:bookmarkStart w:id="52" w:name="_Toc15396609"/>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50"/>
      <w:bookmarkEnd w:id="51"/>
      <w:bookmarkEnd w:id="52"/>
    </w:p>
    <w:p>
      <w:pPr>
        <w:shd w:val="clea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49.63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63.44万元的78.23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66.83万元减少17.2万元，下降25.74%。</w:t>
      </w:r>
      <w:r>
        <w:rPr>
          <w:rFonts w:hint="eastAsia" w:ascii="仿宋" w:hAnsi="仿宋" w:eastAsia="仿宋"/>
          <w:color w:val="auto"/>
          <w:sz w:val="32"/>
          <w:szCs w:val="32"/>
          <w:highlight w:val="none"/>
        </w:rPr>
        <w:t>决算数小于预算数的主要原因是</w:t>
      </w:r>
      <w:r>
        <w:rPr>
          <w:rStyle w:val="18"/>
          <w:rFonts w:hint="eastAsia" w:ascii="仿宋" w:hAnsi="仿宋" w:eastAsia="仿宋" w:cstheme="minorBidi"/>
          <w:b w:val="0"/>
          <w:bCs/>
          <w:color w:val="auto"/>
          <w:sz w:val="32"/>
          <w:szCs w:val="32"/>
          <w:highlight w:val="none"/>
          <w:lang w:val="en-US" w:eastAsia="zh-CN"/>
        </w:rPr>
        <w:t>落实党政机关过“紧日子”要求，压缩“三公”经费支出。</w:t>
      </w:r>
    </w:p>
    <w:p>
      <w:pPr>
        <w:shd w:val="clea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hd w:val="clea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43.08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6.55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shd w:val="clear"/>
        <w:rPr>
          <w:rFonts w:hint="eastAsia" w:ascii="仿宋" w:hAnsi="仿宋" w:eastAsia="仿宋"/>
          <w:color w:val="auto"/>
          <w:sz w:val="32"/>
          <w:szCs w:val="32"/>
          <w:highlight w:val="none"/>
        </w:rPr>
      </w:pPr>
      <w:r>
        <w:rPr>
          <w:color w:val="auto"/>
          <w:highlight w:val="none"/>
        </w:rPr>
        <w:drawing>
          <wp:anchor distT="0" distB="0" distL="114300" distR="114300" simplePos="0" relativeHeight="251665408" behindDoc="0" locked="0" layoutInCell="1" allowOverlap="1">
            <wp:simplePos x="0" y="0"/>
            <wp:positionH relativeFrom="column">
              <wp:posOffset>42545</wp:posOffset>
            </wp:positionH>
            <wp:positionV relativeFrom="paragraph">
              <wp:posOffset>33655</wp:posOffset>
            </wp:positionV>
            <wp:extent cx="5153025" cy="2838450"/>
            <wp:effectExtent l="4445" t="4445" r="5080" b="14605"/>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hd w:val="clea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hd w:val="clear"/>
        <w:spacing w:line="600" w:lineRule="exact"/>
        <w:ind w:firstLine="640"/>
        <w:rPr>
          <w:rStyle w:val="18"/>
          <w:rFonts w:hint="eastAsia" w:ascii="仿宋" w:hAnsi="仿宋" w:eastAsia="仿宋" w:cstheme="minorBidi"/>
          <w:b w:val="0"/>
          <w:bCs/>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Style w:val="18"/>
          <w:rFonts w:hint="eastAsia" w:ascii="仿宋" w:hAnsi="仿宋" w:eastAsia="仿宋" w:cstheme="minorBidi"/>
          <w:b w:val="0"/>
          <w:bCs/>
          <w:color w:val="auto"/>
          <w:sz w:val="32"/>
          <w:szCs w:val="32"/>
          <w:highlight w:val="none"/>
          <w:lang w:val="en-US" w:eastAsia="zh-CN"/>
        </w:rPr>
        <w:t>0万元，年初未安排预算。全年安排因公出国（境）团组0次，出国（境）0人。因公出国（境）支出决算较2021年无变化。主要原因是疫情影响因公出国费用未发生。</w:t>
      </w:r>
    </w:p>
    <w:p>
      <w:pPr>
        <w:shd w:val="clear"/>
        <w:spacing w:line="600" w:lineRule="exact"/>
        <w:ind w:firstLine="640"/>
        <w:rPr>
          <w:rStyle w:val="18"/>
          <w:rFonts w:hint="eastAsia" w:ascii="仿宋" w:hAnsi="仿宋" w:eastAsia="仿宋" w:cstheme="minorBidi"/>
          <w:b w:val="0"/>
          <w:bCs/>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Style w:val="18"/>
          <w:rFonts w:hint="eastAsia" w:ascii="仿宋" w:hAnsi="仿宋" w:eastAsia="仿宋" w:cstheme="minorBidi"/>
          <w:b w:val="0"/>
          <w:bCs/>
          <w:color w:val="auto"/>
          <w:sz w:val="32"/>
          <w:szCs w:val="32"/>
          <w:highlight w:val="none"/>
          <w:lang w:val="en-US" w:eastAsia="zh-CN"/>
        </w:rPr>
        <w:t>43.08</w:t>
      </w:r>
      <w:r>
        <w:rPr>
          <w:rStyle w:val="18"/>
          <w:rFonts w:hint="eastAsia" w:ascii="仿宋" w:hAnsi="仿宋" w:eastAsia="仿宋" w:cstheme="minorBidi"/>
          <w:b w:val="0"/>
          <w:bCs/>
          <w:color w:val="auto"/>
          <w:sz w:val="32"/>
          <w:szCs w:val="32"/>
          <w:highlight w:val="none"/>
        </w:rPr>
        <w:t>万元</w:t>
      </w:r>
      <w:r>
        <w:rPr>
          <w:rStyle w:val="18"/>
          <w:rFonts w:hint="eastAsia" w:ascii="仿宋" w:hAnsi="仿宋" w:eastAsia="仿宋" w:cstheme="minorBidi"/>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w:t>
      </w:r>
      <w:r>
        <w:rPr>
          <w:rStyle w:val="18"/>
          <w:rFonts w:hint="eastAsia" w:ascii="仿宋" w:hAnsi="仿宋" w:eastAsia="仿宋" w:cstheme="minorBidi"/>
          <w:b w:val="0"/>
          <w:bCs/>
          <w:color w:val="auto"/>
          <w:sz w:val="32"/>
          <w:szCs w:val="32"/>
          <w:highlight w:val="none"/>
          <w:lang w:val="en-US" w:eastAsia="zh-CN"/>
        </w:rPr>
        <w:t>算45.2万元的95.31%。公务用车购置及运行维护费支出决算比2021年50.94万元减少7.86万元，下降15.43%。主要原因是根据市委、市政府出台的过紧日子相关文件要求，各单位严格执行，压减支出。</w:t>
      </w:r>
    </w:p>
    <w:p>
      <w:pPr>
        <w:shd w:val="clear"/>
        <w:spacing w:line="600" w:lineRule="exact"/>
        <w:ind w:firstLine="640" w:firstLineChars="200"/>
        <w:rPr>
          <w:color w:val="auto"/>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Style w:val="18"/>
          <w:rFonts w:hint="eastAsia" w:ascii="仿宋" w:hAnsi="仿宋" w:eastAsia="仿宋" w:cstheme="minorBidi"/>
          <w:b w:val="0"/>
          <w:bCs/>
          <w:color w:val="auto"/>
          <w:sz w:val="32"/>
          <w:szCs w:val="32"/>
          <w:highlight w:val="none"/>
          <w:lang w:val="en-US" w:eastAsia="zh-CN"/>
        </w:rPr>
        <w:t>0万元。全年按规定更新购置公务用车0辆。截至2022年12月底，部门共有公务用车94辆，其中：</w:t>
      </w:r>
      <w:r>
        <w:rPr>
          <w:rFonts w:hint="eastAsia" w:ascii="仿宋" w:eastAsia="仿宋"/>
          <w:color w:val="auto"/>
          <w:sz w:val="32"/>
          <w:szCs w:val="32"/>
          <w:highlight w:val="none"/>
          <w:lang w:eastAsia="zh-CN"/>
        </w:rPr>
        <w:t>轿车</w:t>
      </w:r>
      <w:r>
        <w:rPr>
          <w:rFonts w:hint="eastAsia" w:ascii="仿宋" w:eastAsia="仿宋"/>
          <w:color w:val="auto"/>
          <w:sz w:val="32"/>
          <w:szCs w:val="32"/>
          <w:highlight w:val="none"/>
          <w:lang w:val="en-US" w:eastAsia="zh-CN"/>
        </w:rPr>
        <w:t>8辆、越野车4辆、小型载客汽车6辆、大中型载客汽车3辆、其他车型73辆</w:t>
      </w:r>
      <w:r>
        <w:rPr>
          <w:rFonts w:hint="eastAsia" w:ascii="仿宋" w:eastAsia="仿宋"/>
          <w:color w:val="auto"/>
          <w:sz w:val="32"/>
          <w:szCs w:val="32"/>
          <w:highlight w:val="none"/>
        </w:rPr>
        <w:t>。</w:t>
      </w:r>
    </w:p>
    <w:p>
      <w:pPr>
        <w:shd w:val="clear"/>
        <w:spacing w:line="600" w:lineRule="exact"/>
        <w:ind w:firstLine="640"/>
        <w:rPr>
          <w:rStyle w:val="18"/>
          <w:rFonts w:hint="eastAsia" w:ascii="仿宋" w:hAnsi="仿宋" w:eastAsia="仿宋" w:cstheme="minorBidi"/>
          <w:b w:val="0"/>
          <w:bCs/>
          <w:color w:val="auto"/>
          <w:sz w:val="32"/>
          <w:szCs w:val="32"/>
          <w:highlight w:val="none"/>
          <w:lang w:val="en-US" w:eastAsia="zh-CN"/>
        </w:rPr>
      </w:pPr>
      <w:r>
        <w:rPr>
          <w:rFonts w:hint="eastAsia" w:ascii="仿宋_GB2312" w:eastAsia="仿宋_GB2312"/>
          <w:b/>
          <w:color w:val="auto"/>
          <w:sz w:val="32"/>
          <w:szCs w:val="32"/>
          <w:highlight w:val="none"/>
        </w:rPr>
        <w:t>公务用车运行维护费支出</w:t>
      </w:r>
      <w:r>
        <w:rPr>
          <w:rStyle w:val="18"/>
          <w:rFonts w:hint="eastAsia" w:ascii="仿宋" w:hAnsi="仿宋" w:eastAsia="仿宋" w:cstheme="minorBidi"/>
          <w:b w:val="0"/>
          <w:bCs/>
          <w:color w:val="auto"/>
          <w:sz w:val="32"/>
          <w:szCs w:val="32"/>
          <w:highlight w:val="none"/>
          <w:lang w:val="en-US" w:eastAsia="zh-CN"/>
        </w:rPr>
        <w:t>43.08万元。主要用于重大疾病预防与控制、医疗卫生体制改革、医疗卫生服务体系建设、公共卫生服务均等化检查与督导、社区卫生督导与检查、健康教育宣传、突发公共卫生应急、基本公共卫生服务重大公共卫生服务、医疗卫生信息统计与发布、医疗质量监管、中医药事业发展、康养产业发展、卫生计生执法监督、项目工作、妇幼健康计划生育服务、计划生育基层指导、卫生计生宣传教育、流动人口计划生育管理和服务、计划生育家庭发展、计生“三结合”、卫生健康扶贫等项目和医疗机构、疾病预防控制机构、卫生监督机构、妇幼保健机构、应急救治机构、采供血机构等开展工作等所需的公务用车燃料费、维修费、过路过桥费、保险费等支出。</w:t>
      </w:r>
    </w:p>
    <w:p>
      <w:pPr>
        <w:shd w:val="clear"/>
        <w:spacing w:line="600" w:lineRule="exact"/>
        <w:ind w:firstLine="640"/>
        <w:rPr>
          <w:rStyle w:val="18"/>
          <w:rFonts w:hint="eastAsia" w:ascii="仿宋" w:hAnsi="仿宋" w:eastAsia="仿宋" w:cstheme="minorBidi"/>
          <w:b w:val="0"/>
          <w:bCs/>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Style w:val="18"/>
          <w:rFonts w:hint="eastAsia" w:ascii="仿宋" w:hAnsi="仿宋" w:eastAsia="仿宋" w:cstheme="minorBidi"/>
          <w:b w:val="0"/>
          <w:bCs/>
          <w:color w:val="auto"/>
          <w:sz w:val="32"/>
          <w:szCs w:val="32"/>
          <w:highlight w:val="none"/>
          <w:lang w:val="en-US" w:eastAsia="zh-CN"/>
        </w:rPr>
        <w:t>6.55万元，完成预算18.24万元的35.91%。公务接待费支出决算比2021年15.89万元减少9.34万元，下降58.78%。主要原因是落实党政机关过“紧日子”要求，压缩接待费支出。其中：</w:t>
      </w:r>
    </w:p>
    <w:p>
      <w:pPr>
        <w:shd w:val="clea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6.55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上级机关</w:t>
      </w:r>
      <w:r>
        <w:rPr>
          <w:rFonts w:hint="eastAsia" w:ascii="仿宋_GB2312" w:eastAsia="仿宋_GB2312"/>
          <w:color w:val="auto"/>
          <w:sz w:val="32"/>
          <w:szCs w:val="32"/>
          <w:highlight w:val="none"/>
        </w:rPr>
        <w:t>执行</w:t>
      </w:r>
      <w:r>
        <w:rPr>
          <w:rFonts w:hint="eastAsia" w:ascii="仿宋" w:hAnsi="仿宋" w:eastAsia="仿宋"/>
          <w:color w:val="auto"/>
          <w:sz w:val="32"/>
          <w:szCs w:val="32"/>
          <w:highlight w:val="none"/>
          <w:lang w:val="en-US" w:eastAsia="zh-CN"/>
        </w:rPr>
        <w:t>公务、开展业务活动开支的交通费、住宿费、用餐费等。国内公务接待54批次，572人次（不包括陪同人员），共计支出6.55万元，具体内容包括：卫生计生行政执法及执法监督、医疗卫生服务体系建设、基本公共卫生及重大公共卫生服务、健康养生产业发展、医疗卫生体制改革、中医事业发展、计划生育服务工作、卫生应急工作、医疗卫生健康扶贫工作、疾病预防控制工作、采供血及血液安全保障工作等重点工作以及有单位来广调研、指导、考核、督查督办、学习交流所发生的接待支出。</w:t>
      </w:r>
    </w:p>
    <w:p>
      <w:pPr>
        <w:shd w:val="clear"/>
        <w:spacing w:line="600" w:lineRule="exact"/>
        <w:ind w:firstLine="640"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55" w:name="_Toc15377218"/>
      <w:bookmarkStart w:id="56" w:name="_Toc15396610"/>
    </w:p>
    <w:p>
      <w:pPr>
        <w:shd w:val="clear"/>
        <w:spacing w:line="600" w:lineRule="exact"/>
        <w:ind w:firstLine="640"/>
        <w:outlineLvl w:val="1"/>
        <w:rPr>
          <w:rStyle w:val="22"/>
          <w:rFonts w:ascii="黑体" w:hAnsi="黑体" w:eastAsia="黑体"/>
          <w:color w:val="auto"/>
          <w:highlight w:val="none"/>
        </w:rPr>
      </w:pPr>
      <w:bookmarkStart w:id="57" w:name="_Toc6842"/>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55"/>
      <w:bookmarkEnd w:id="56"/>
      <w:bookmarkEnd w:id="57"/>
    </w:p>
    <w:p>
      <w:pPr>
        <w:shd w:val="clear"/>
        <w:spacing w:line="600" w:lineRule="exact"/>
        <w:ind w:firstLine="640" w:firstLineChars="200"/>
        <w:rPr>
          <w:rFonts w:hint="eastAsia" w:ascii="仿宋" w:hAnsi="Times New Roman" w:eastAsia="仿宋" w:cs="Times New Roman"/>
          <w:color w:val="auto"/>
          <w:sz w:val="32"/>
          <w:szCs w:val="32"/>
          <w:highlight w:val="none"/>
        </w:rPr>
      </w:pPr>
      <w:r>
        <w:rPr>
          <w:rFonts w:hint="eastAsia" w:ascii="仿宋" w:hAnsi="Times New Roman" w:eastAsia="仿宋" w:cs="Times New Roman"/>
          <w:color w:val="auto"/>
          <w:sz w:val="32"/>
          <w:szCs w:val="32"/>
          <w:highlight w:val="none"/>
        </w:rPr>
        <w:t>20</w:t>
      </w:r>
      <w:r>
        <w:rPr>
          <w:rFonts w:hint="eastAsia" w:ascii="仿宋" w:hAnsi="Times New Roman" w:eastAsia="仿宋" w:cs="Times New Roman"/>
          <w:color w:val="auto"/>
          <w:sz w:val="32"/>
          <w:szCs w:val="32"/>
          <w:highlight w:val="none"/>
          <w:lang w:val="en-US" w:eastAsia="zh-CN"/>
        </w:rPr>
        <w:t>22</w:t>
      </w:r>
      <w:r>
        <w:rPr>
          <w:rFonts w:hint="eastAsia" w:ascii="仿宋" w:hAnsi="Times New Roman" w:eastAsia="仿宋" w:cs="Times New Roman"/>
          <w:color w:val="auto"/>
          <w:sz w:val="32"/>
          <w:szCs w:val="32"/>
          <w:highlight w:val="none"/>
        </w:rPr>
        <w:t>年政府性基金预算</w:t>
      </w:r>
      <w:r>
        <w:rPr>
          <w:rFonts w:hint="eastAsia" w:ascii="仿宋" w:hAnsi="Times New Roman" w:eastAsia="仿宋" w:cs="Times New Roman"/>
          <w:color w:val="auto"/>
          <w:sz w:val="32"/>
          <w:szCs w:val="32"/>
          <w:highlight w:val="none"/>
          <w:lang w:eastAsia="zh-CN"/>
        </w:rPr>
        <w:t>财政</w:t>
      </w:r>
      <w:r>
        <w:rPr>
          <w:rFonts w:hint="eastAsia" w:ascii="仿宋" w:hAnsi="Times New Roman" w:eastAsia="仿宋" w:cs="Times New Roman"/>
          <w:color w:val="auto"/>
          <w:sz w:val="32"/>
          <w:szCs w:val="32"/>
          <w:highlight w:val="none"/>
        </w:rPr>
        <w:t>拨款支出</w:t>
      </w:r>
      <w:r>
        <w:rPr>
          <w:rFonts w:hint="eastAsia" w:ascii="仿宋" w:hAnsi="Times New Roman" w:eastAsia="仿宋" w:cs="Times New Roman"/>
          <w:color w:val="auto"/>
          <w:sz w:val="32"/>
          <w:szCs w:val="32"/>
          <w:highlight w:val="none"/>
          <w:lang w:val="en-US" w:eastAsia="zh-CN"/>
        </w:rPr>
        <w:t>0</w:t>
      </w:r>
      <w:r>
        <w:rPr>
          <w:rFonts w:hint="eastAsia" w:ascii="仿宋" w:hAnsi="Times New Roman" w:eastAsia="仿宋" w:cs="Times New Roman"/>
          <w:color w:val="auto"/>
          <w:sz w:val="32"/>
          <w:szCs w:val="32"/>
          <w:highlight w:val="none"/>
        </w:rPr>
        <w:t>万元。</w:t>
      </w:r>
    </w:p>
    <w:p>
      <w:pPr>
        <w:shd w:val="clear"/>
        <w:spacing w:line="600" w:lineRule="exact"/>
        <w:ind w:firstLine="640" w:firstLineChars="200"/>
        <w:rPr>
          <w:rFonts w:ascii="仿宋_GB2312" w:eastAsia="仿宋_GB2312"/>
          <w:color w:val="auto"/>
          <w:sz w:val="32"/>
          <w:szCs w:val="32"/>
          <w:highlight w:val="none"/>
        </w:rPr>
      </w:pPr>
      <w:r>
        <w:rPr>
          <w:rFonts w:hint="eastAsia" w:ascii="仿宋" w:hAnsi="Times New Roman" w:eastAsia="仿宋" w:cs="Times New Roman"/>
          <w:color w:val="auto"/>
          <w:sz w:val="32"/>
          <w:szCs w:val="32"/>
          <w:highlight w:val="none"/>
        </w:rPr>
        <w:t>202</w:t>
      </w:r>
      <w:r>
        <w:rPr>
          <w:rFonts w:hint="eastAsia" w:ascii="仿宋" w:eastAsia="仿宋" w:cs="Times New Roman"/>
          <w:color w:val="auto"/>
          <w:sz w:val="32"/>
          <w:szCs w:val="32"/>
          <w:highlight w:val="none"/>
          <w:lang w:val="en-US" w:eastAsia="zh-CN"/>
        </w:rPr>
        <w:t>2</w:t>
      </w:r>
      <w:r>
        <w:rPr>
          <w:rFonts w:hint="eastAsia" w:ascii="仿宋" w:hAnsi="Times New Roman" w:eastAsia="仿宋" w:cs="Times New Roman"/>
          <w:color w:val="auto"/>
          <w:sz w:val="32"/>
          <w:szCs w:val="32"/>
          <w:highlight w:val="none"/>
        </w:rPr>
        <w:t>年</w:t>
      </w:r>
      <w:r>
        <w:rPr>
          <w:rFonts w:hint="eastAsia" w:ascii="仿宋" w:hAnsi="Times New Roman" w:eastAsia="仿宋" w:cs="Times New Roman"/>
          <w:color w:val="auto"/>
          <w:sz w:val="32"/>
          <w:szCs w:val="32"/>
          <w:highlight w:val="none"/>
          <w:lang w:eastAsia="zh-CN"/>
        </w:rPr>
        <w:t>本部门</w:t>
      </w:r>
      <w:r>
        <w:rPr>
          <w:rFonts w:hint="eastAsia" w:ascii="仿宋" w:hAnsi="Times New Roman" w:eastAsia="仿宋" w:cs="Times New Roman"/>
          <w:color w:val="auto"/>
          <w:sz w:val="32"/>
          <w:szCs w:val="32"/>
          <w:highlight w:val="none"/>
        </w:rPr>
        <w:t>未在政府性基金预算拨款安排“三公经</w:t>
      </w:r>
      <w:r>
        <w:rPr>
          <w:rFonts w:hint="eastAsia" w:ascii="仿宋" w:eastAsia="仿宋"/>
          <w:color w:val="auto"/>
          <w:sz w:val="32"/>
          <w:szCs w:val="32"/>
          <w:highlight w:val="none"/>
        </w:rPr>
        <w:t>费”支出。</w:t>
      </w:r>
    </w:p>
    <w:p>
      <w:pPr>
        <w:numPr>
          <w:ilvl w:val="0"/>
          <w:numId w:val="3"/>
        </w:numPr>
        <w:shd w:val="clear"/>
        <w:spacing w:line="600" w:lineRule="exact"/>
        <w:ind w:firstLine="640"/>
        <w:outlineLvl w:val="1"/>
        <w:rPr>
          <w:rStyle w:val="22"/>
          <w:rFonts w:ascii="黑体" w:hAnsi="黑体" w:eastAsia="黑体"/>
          <w:b w:val="0"/>
          <w:color w:val="auto"/>
          <w:highlight w:val="none"/>
        </w:rPr>
      </w:pPr>
      <w:bookmarkStart w:id="58" w:name="_Toc18555"/>
      <w:bookmarkStart w:id="59" w:name="_Toc15377219"/>
      <w:bookmarkStart w:id="60" w:name="_Toc15396611"/>
      <w:r>
        <w:rPr>
          <w:rStyle w:val="22"/>
          <w:rFonts w:hint="eastAsia" w:ascii="黑体" w:hAnsi="黑体" w:eastAsia="黑体"/>
          <w:b w:val="0"/>
          <w:color w:val="auto"/>
          <w:highlight w:val="none"/>
        </w:rPr>
        <w:t>国有资本经营预算支出决算情况说明</w:t>
      </w:r>
      <w:bookmarkEnd w:id="58"/>
      <w:bookmarkEnd w:id="59"/>
      <w:bookmarkEnd w:id="60"/>
    </w:p>
    <w:p>
      <w:pPr>
        <w:shd w:val="clear"/>
        <w:spacing w:line="600" w:lineRule="exact"/>
        <w:ind w:firstLine="640" w:firstLineChars="200"/>
        <w:rPr>
          <w:rFonts w:ascii="方正小标宋简体" w:hAnsi="方正小标宋简体" w:eastAsia="方正小标宋简体" w:cs="方正小标宋简体"/>
          <w:color w:val="auto"/>
          <w:sz w:val="44"/>
          <w:szCs w:val="44"/>
          <w:highlight w:val="none"/>
        </w:rPr>
      </w:pPr>
      <w:r>
        <w:rPr>
          <w:rFonts w:hint="eastAsia" w:ascii="仿宋" w:hAnsi="Times New Roman" w:eastAsia="仿宋" w:cs="Times New Roman"/>
          <w:color w:val="auto"/>
          <w:sz w:val="32"/>
          <w:szCs w:val="32"/>
          <w:highlight w:val="none"/>
        </w:rPr>
        <w:t>20</w:t>
      </w:r>
      <w:r>
        <w:rPr>
          <w:rFonts w:hint="eastAsia" w:ascii="仿宋" w:hAnsi="Times New Roman" w:eastAsia="仿宋" w:cs="Times New Roman"/>
          <w:color w:val="auto"/>
          <w:sz w:val="32"/>
          <w:szCs w:val="32"/>
          <w:highlight w:val="none"/>
          <w:lang w:val="en-US" w:eastAsia="zh-CN"/>
        </w:rPr>
        <w:t>22</w:t>
      </w:r>
      <w:r>
        <w:rPr>
          <w:rFonts w:hint="eastAsia" w:ascii="仿宋" w:hAnsi="Times New Roman" w:eastAsia="仿宋" w:cs="Times New Roman"/>
          <w:color w:val="auto"/>
          <w:sz w:val="32"/>
          <w:szCs w:val="32"/>
          <w:highlight w:val="none"/>
        </w:rPr>
        <w:t>年国有资本经营预算</w:t>
      </w:r>
      <w:r>
        <w:rPr>
          <w:rFonts w:hint="eastAsia" w:ascii="仿宋" w:hAnsi="Times New Roman" w:eastAsia="仿宋" w:cs="Times New Roman"/>
          <w:color w:val="auto"/>
          <w:sz w:val="32"/>
          <w:szCs w:val="32"/>
          <w:highlight w:val="none"/>
          <w:lang w:eastAsia="zh-CN"/>
        </w:rPr>
        <w:t>财政</w:t>
      </w:r>
      <w:r>
        <w:rPr>
          <w:rFonts w:hint="eastAsia" w:ascii="仿宋" w:hAnsi="Times New Roman" w:eastAsia="仿宋" w:cs="Times New Roman"/>
          <w:color w:val="auto"/>
          <w:sz w:val="32"/>
          <w:szCs w:val="32"/>
          <w:highlight w:val="none"/>
        </w:rPr>
        <w:t>拨款支出</w:t>
      </w:r>
      <w:r>
        <w:rPr>
          <w:rFonts w:hint="eastAsia" w:ascii="仿宋" w:hAnsi="Times New Roman" w:eastAsia="仿宋" w:cs="Times New Roman"/>
          <w:color w:val="auto"/>
          <w:sz w:val="32"/>
          <w:szCs w:val="32"/>
          <w:highlight w:val="none"/>
          <w:lang w:val="en-US" w:eastAsia="zh-CN"/>
        </w:rPr>
        <w:t>0</w:t>
      </w:r>
      <w:r>
        <w:rPr>
          <w:rFonts w:hint="eastAsia" w:ascii="仿宋" w:hAnsi="Times New Roman" w:eastAsia="仿宋" w:cs="Times New Roman"/>
          <w:color w:val="auto"/>
          <w:sz w:val="32"/>
          <w:szCs w:val="32"/>
          <w:highlight w:val="none"/>
        </w:rPr>
        <w:t>万元。</w:t>
      </w:r>
    </w:p>
    <w:p>
      <w:pPr>
        <w:numPr>
          <w:ilvl w:val="0"/>
          <w:numId w:val="3"/>
        </w:numPr>
        <w:shd w:val="clear"/>
        <w:spacing w:line="600" w:lineRule="exact"/>
        <w:ind w:firstLine="640"/>
        <w:outlineLvl w:val="1"/>
        <w:rPr>
          <w:rStyle w:val="22"/>
          <w:rFonts w:hint="eastAsia" w:ascii="黑体" w:hAnsi="黑体" w:eastAsia="黑体"/>
          <w:b w:val="0"/>
          <w:color w:val="auto"/>
          <w:highlight w:val="none"/>
        </w:rPr>
      </w:pPr>
      <w:bookmarkStart w:id="61" w:name="_Toc15396612"/>
      <w:bookmarkStart w:id="62" w:name="_Toc15377221"/>
      <w:bookmarkStart w:id="63" w:name="_Toc22351"/>
      <w:r>
        <w:rPr>
          <w:rStyle w:val="22"/>
          <w:rFonts w:hint="eastAsia" w:ascii="黑体" w:hAnsi="黑体" w:eastAsia="黑体"/>
          <w:b w:val="0"/>
          <w:color w:val="auto"/>
          <w:highlight w:val="none"/>
        </w:rPr>
        <w:t>其他重要事项的情况说明</w:t>
      </w:r>
      <w:bookmarkEnd w:id="61"/>
      <w:bookmarkEnd w:id="62"/>
      <w:bookmarkEnd w:id="63"/>
    </w:p>
    <w:p>
      <w:pPr>
        <w:shd w:val="clear"/>
        <w:spacing w:line="600" w:lineRule="exact"/>
        <w:ind w:firstLine="640" w:firstLineChars="200"/>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hd w:val="clear"/>
        <w:spacing w:line="600" w:lineRule="exact"/>
        <w:ind w:firstLine="640" w:firstLineChars="200"/>
        <w:rPr>
          <w:rFonts w:hint="eastAsia" w:ascii="仿宋" w:hAnsi="Times New Roman" w:eastAsia="仿宋" w:cs="Times New Roman"/>
          <w:color w:val="auto"/>
          <w:sz w:val="32"/>
          <w:szCs w:val="32"/>
          <w:highlight w:val="none"/>
          <w:lang w:eastAsia="zh-CN"/>
        </w:rPr>
      </w:pPr>
      <w:r>
        <w:rPr>
          <w:rFonts w:hint="eastAsia" w:ascii="仿宋" w:hAnsi="Times New Roman" w:eastAsia="仿宋" w:cs="Times New Roman"/>
          <w:color w:val="auto"/>
          <w:sz w:val="32"/>
          <w:szCs w:val="32"/>
          <w:highlight w:val="none"/>
        </w:rPr>
        <w:t>20</w:t>
      </w:r>
      <w:r>
        <w:rPr>
          <w:rFonts w:hint="eastAsia" w:ascii="仿宋" w:hAnsi="Times New Roman" w:eastAsia="仿宋" w:cs="Times New Roman"/>
          <w:color w:val="auto"/>
          <w:sz w:val="32"/>
          <w:szCs w:val="32"/>
          <w:highlight w:val="none"/>
          <w:lang w:val="en-US" w:eastAsia="zh-CN"/>
        </w:rPr>
        <w:t>22</w:t>
      </w:r>
      <w:r>
        <w:rPr>
          <w:rFonts w:hint="eastAsia" w:ascii="仿宋" w:hAnsi="Times New Roman" w:eastAsia="仿宋" w:cs="Times New Roman"/>
          <w:color w:val="auto"/>
          <w:sz w:val="32"/>
          <w:szCs w:val="32"/>
          <w:highlight w:val="none"/>
        </w:rPr>
        <w:t>年，</w:t>
      </w:r>
      <w:r>
        <w:rPr>
          <w:rFonts w:hint="eastAsia" w:ascii="仿宋" w:hAnsi="Times New Roman" w:eastAsia="仿宋" w:cs="Times New Roman"/>
          <w:color w:val="auto"/>
          <w:sz w:val="32"/>
          <w:szCs w:val="32"/>
          <w:highlight w:val="none"/>
          <w:lang w:eastAsia="zh-CN"/>
        </w:rPr>
        <w:t>广元市卫生健康委员会</w:t>
      </w:r>
      <w:r>
        <w:rPr>
          <w:rFonts w:hint="eastAsia" w:ascii="仿宋" w:hAnsi="Times New Roman" w:eastAsia="仿宋" w:cs="Times New Roman"/>
          <w:color w:val="auto"/>
          <w:sz w:val="32"/>
          <w:szCs w:val="32"/>
          <w:highlight w:val="none"/>
        </w:rPr>
        <w:t>机关运行经费支出</w:t>
      </w:r>
      <w:r>
        <w:rPr>
          <w:rFonts w:hint="eastAsia" w:ascii="仿宋" w:eastAsia="仿宋" w:cs="Times New Roman"/>
          <w:color w:val="auto"/>
          <w:sz w:val="32"/>
          <w:szCs w:val="32"/>
          <w:highlight w:val="none"/>
          <w:lang w:val="en-US" w:eastAsia="zh-CN"/>
        </w:rPr>
        <w:t>224.51</w:t>
      </w:r>
      <w:r>
        <w:rPr>
          <w:rFonts w:hint="eastAsia" w:ascii="仿宋" w:hAnsi="Times New Roman" w:eastAsia="仿宋" w:cs="Times New Roman"/>
          <w:color w:val="auto"/>
          <w:sz w:val="32"/>
          <w:szCs w:val="32"/>
          <w:highlight w:val="none"/>
        </w:rPr>
        <w:t>万元，比20</w:t>
      </w:r>
      <w:r>
        <w:rPr>
          <w:rFonts w:hint="eastAsia" w:ascii="仿宋" w:hAnsi="Times New Roman" w:eastAsia="仿宋" w:cs="Times New Roman"/>
          <w:color w:val="auto"/>
          <w:sz w:val="32"/>
          <w:szCs w:val="32"/>
          <w:highlight w:val="none"/>
          <w:lang w:val="en-US" w:eastAsia="zh-CN"/>
        </w:rPr>
        <w:t>21</w:t>
      </w:r>
      <w:r>
        <w:rPr>
          <w:rFonts w:hint="eastAsia" w:ascii="仿宋" w:hAnsi="Times New Roman" w:eastAsia="仿宋" w:cs="Times New Roman"/>
          <w:color w:val="auto"/>
          <w:sz w:val="32"/>
          <w:szCs w:val="32"/>
          <w:highlight w:val="none"/>
        </w:rPr>
        <w:t>年</w:t>
      </w:r>
      <w:r>
        <w:rPr>
          <w:rFonts w:hint="eastAsia" w:ascii="仿宋" w:eastAsia="仿宋" w:cs="Times New Roman"/>
          <w:color w:val="auto"/>
          <w:sz w:val="32"/>
          <w:szCs w:val="32"/>
          <w:highlight w:val="none"/>
          <w:lang w:val="en-US" w:eastAsia="zh-CN"/>
        </w:rPr>
        <w:t>155.89万元</w:t>
      </w:r>
      <w:r>
        <w:rPr>
          <w:rFonts w:hint="eastAsia" w:ascii="仿宋" w:hAnsi="Times New Roman" w:eastAsia="仿宋" w:cs="Times New Roman"/>
          <w:color w:val="auto"/>
          <w:sz w:val="32"/>
          <w:szCs w:val="32"/>
          <w:highlight w:val="none"/>
        </w:rPr>
        <w:t>增加</w:t>
      </w:r>
      <w:r>
        <w:rPr>
          <w:rFonts w:hint="eastAsia" w:ascii="仿宋" w:eastAsia="仿宋" w:cs="Times New Roman"/>
          <w:color w:val="auto"/>
          <w:sz w:val="32"/>
          <w:szCs w:val="32"/>
          <w:highlight w:val="none"/>
          <w:lang w:val="en-US" w:eastAsia="zh-CN"/>
        </w:rPr>
        <w:t>68.62</w:t>
      </w:r>
      <w:r>
        <w:rPr>
          <w:rFonts w:hint="eastAsia" w:ascii="仿宋" w:hAnsi="Times New Roman" w:eastAsia="仿宋" w:cs="Times New Roman"/>
          <w:color w:val="auto"/>
          <w:sz w:val="32"/>
          <w:szCs w:val="32"/>
          <w:highlight w:val="none"/>
        </w:rPr>
        <w:t>万元，增长</w:t>
      </w:r>
      <w:r>
        <w:rPr>
          <w:rFonts w:hint="eastAsia" w:ascii="仿宋" w:eastAsia="仿宋" w:cs="Times New Roman"/>
          <w:color w:val="auto"/>
          <w:sz w:val="32"/>
          <w:szCs w:val="32"/>
          <w:highlight w:val="none"/>
          <w:lang w:val="en-US" w:eastAsia="zh-CN"/>
        </w:rPr>
        <w:t>44.02</w:t>
      </w:r>
      <w:r>
        <w:rPr>
          <w:rFonts w:hint="eastAsia" w:ascii="仿宋" w:hAnsi="Times New Roman" w:eastAsia="仿宋" w:cs="Times New Roman"/>
          <w:color w:val="auto"/>
          <w:sz w:val="32"/>
          <w:szCs w:val="32"/>
          <w:highlight w:val="none"/>
        </w:rPr>
        <w:t>%。主要原因是</w:t>
      </w:r>
      <w:r>
        <w:rPr>
          <w:rFonts w:hint="eastAsia" w:ascii="仿宋" w:eastAsia="仿宋" w:cs="Times New Roman"/>
          <w:color w:val="auto"/>
          <w:sz w:val="32"/>
          <w:szCs w:val="32"/>
          <w:highlight w:val="none"/>
          <w:lang w:eastAsia="zh-CN"/>
        </w:rPr>
        <w:t>卫监执法支队与卫生健康委合并、新进人员的增加，导致机关运行经费增加。</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shd w:val="clear"/>
        <w:spacing w:line="600" w:lineRule="exact"/>
        <w:ind w:firstLine="640" w:firstLineChars="200"/>
        <w:rPr>
          <w:rFonts w:hint="eastAsia" w:ascii="仿宋" w:hAnsi="Times New Roman" w:eastAsia="仿宋" w:cs="Times New Roman"/>
          <w:color w:val="auto"/>
          <w:sz w:val="32"/>
          <w:szCs w:val="32"/>
          <w:highlight w:val="none"/>
        </w:rPr>
      </w:pPr>
      <w:r>
        <w:rPr>
          <w:rFonts w:hint="eastAsia" w:ascii="仿宋" w:hAnsi="Times New Roman" w:eastAsia="仿宋" w:cs="Times New Roman"/>
          <w:color w:val="auto"/>
          <w:sz w:val="32"/>
          <w:szCs w:val="32"/>
          <w:highlight w:val="none"/>
        </w:rPr>
        <w:t>20</w:t>
      </w:r>
      <w:r>
        <w:rPr>
          <w:rFonts w:hint="eastAsia" w:ascii="仿宋" w:hAnsi="Times New Roman" w:eastAsia="仿宋" w:cs="Times New Roman"/>
          <w:color w:val="auto"/>
          <w:sz w:val="32"/>
          <w:szCs w:val="32"/>
          <w:highlight w:val="none"/>
          <w:lang w:val="en-US" w:eastAsia="zh-CN"/>
        </w:rPr>
        <w:t>22</w:t>
      </w:r>
      <w:r>
        <w:rPr>
          <w:rFonts w:hint="eastAsia" w:ascii="仿宋" w:hAnsi="Times New Roman" w:eastAsia="仿宋" w:cs="Times New Roman"/>
          <w:color w:val="auto"/>
          <w:sz w:val="32"/>
          <w:szCs w:val="32"/>
          <w:highlight w:val="none"/>
        </w:rPr>
        <w:t>年，</w:t>
      </w:r>
      <w:r>
        <w:rPr>
          <w:rFonts w:hint="eastAsia" w:ascii="仿宋" w:hAnsi="Times New Roman" w:eastAsia="仿宋" w:cs="Times New Roman"/>
          <w:color w:val="auto"/>
          <w:sz w:val="32"/>
          <w:szCs w:val="32"/>
          <w:highlight w:val="none"/>
          <w:lang w:eastAsia="zh-CN"/>
        </w:rPr>
        <w:t>广元市卫生健康委员会</w:t>
      </w:r>
      <w:r>
        <w:rPr>
          <w:rFonts w:hint="eastAsia" w:ascii="仿宋" w:hAnsi="Times New Roman" w:eastAsia="仿宋" w:cs="Times New Roman"/>
          <w:color w:val="auto"/>
          <w:sz w:val="32"/>
          <w:szCs w:val="32"/>
          <w:highlight w:val="none"/>
        </w:rPr>
        <w:t>政府采购支出总额</w:t>
      </w:r>
      <w:r>
        <w:rPr>
          <w:rFonts w:hint="eastAsia" w:ascii="仿宋" w:eastAsia="仿宋" w:cs="Times New Roman"/>
          <w:color w:val="auto"/>
          <w:sz w:val="32"/>
          <w:szCs w:val="32"/>
          <w:highlight w:val="none"/>
          <w:lang w:val="en-US" w:eastAsia="zh-CN"/>
        </w:rPr>
        <w:t>17829.64</w:t>
      </w:r>
      <w:r>
        <w:rPr>
          <w:rFonts w:hint="eastAsia" w:ascii="仿宋" w:hAnsi="Times New Roman" w:eastAsia="仿宋" w:cs="Times New Roman"/>
          <w:color w:val="auto"/>
          <w:sz w:val="32"/>
          <w:szCs w:val="32"/>
          <w:highlight w:val="none"/>
        </w:rPr>
        <w:t>万元，其中：政府采购货物支出</w:t>
      </w:r>
      <w:r>
        <w:rPr>
          <w:rFonts w:hint="eastAsia" w:ascii="仿宋" w:eastAsia="仿宋" w:cs="Times New Roman"/>
          <w:color w:val="auto"/>
          <w:sz w:val="32"/>
          <w:szCs w:val="32"/>
          <w:highlight w:val="none"/>
          <w:lang w:val="en-US" w:eastAsia="zh-CN"/>
        </w:rPr>
        <w:t>14088.82</w:t>
      </w:r>
      <w:r>
        <w:rPr>
          <w:rFonts w:hint="eastAsia" w:ascii="仿宋" w:hAnsi="Times New Roman" w:eastAsia="仿宋" w:cs="Times New Roman"/>
          <w:color w:val="auto"/>
          <w:sz w:val="32"/>
          <w:szCs w:val="32"/>
          <w:highlight w:val="none"/>
        </w:rPr>
        <w:t>万元、政府采购工程支出</w:t>
      </w:r>
      <w:r>
        <w:rPr>
          <w:rFonts w:hint="eastAsia" w:ascii="仿宋" w:eastAsia="仿宋" w:cs="Times New Roman"/>
          <w:color w:val="auto"/>
          <w:sz w:val="32"/>
          <w:szCs w:val="32"/>
          <w:highlight w:val="none"/>
          <w:lang w:val="en-US" w:eastAsia="zh-CN"/>
        </w:rPr>
        <w:t>882.52</w:t>
      </w:r>
      <w:r>
        <w:rPr>
          <w:rFonts w:hint="eastAsia" w:ascii="仿宋" w:hAnsi="Times New Roman" w:eastAsia="仿宋" w:cs="Times New Roman"/>
          <w:color w:val="auto"/>
          <w:sz w:val="32"/>
          <w:szCs w:val="32"/>
          <w:highlight w:val="none"/>
        </w:rPr>
        <w:t>万元、政府采购服务支出</w:t>
      </w:r>
      <w:r>
        <w:rPr>
          <w:rFonts w:hint="eastAsia" w:ascii="仿宋" w:eastAsia="仿宋" w:cs="Times New Roman"/>
          <w:color w:val="auto"/>
          <w:sz w:val="32"/>
          <w:szCs w:val="32"/>
          <w:highlight w:val="none"/>
          <w:lang w:val="en-US" w:eastAsia="zh-CN"/>
        </w:rPr>
        <w:t>2858.3</w:t>
      </w:r>
      <w:r>
        <w:rPr>
          <w:rFonts w:hint="eastAsia" w:ascii="仿宋" w:hAnsi="Times New Roman" w:eastAsia="仿宋" w:cs="Times New Roman"/>
          <w:color w:val="auto"/>
          <w:sz w:val="32"/>
          <w:szCs w:val="32"/>
          <w:highlight w:val="none"/>
        </w:rPr>
        <w:t>万元。</w:t>
      </w:r>
      <w:r>
        <w:rPr>
          <w:rFonts w:hint="eastAsia" w:ascii="仿宋" w:eastAsia="仿宋" w:cs="Times New Roman"/>
          <w:color w:val="auto"/>
          <w:sz w:val="32"/>
          <w:szCs w:val="32"/>
          <w:highlight w:val="none"/>
          <w:lang w:eastAsia="zh-CN"/>
        </w:rPr>
        <w:t>主要用于</w:t>
      </w:r>
      <w:r>
        <w:rPr>
          <w:rFonts w:hint="eastAsia" w:ascii="仿宋" w:eastAsia="仿宋"/>
          <w:color w:val="auto"/>
          <w:sz w:val="32"/>
          <w:szCs w:val="32"/>
          <w:highlight w:val="none"/>
        </w:rPr>
        <w:t>医院采购医疗设备、信息化建设、办公设备以及医疗卫生和社会服务采购</w:t>
      </w:r>
      <w:r>
        <w:rPr>
          <w:rFonts w:hint="eastAsia" w:ascii="仿宋" w:hAnsi="Times New Roman" w:eastAsia="仿宋" w:cs="Times New Roman"/>
          <w:color w:val="auto"/>
          <w:sz w:val="32"/>
          <w:szCs w:val="32"/>
          <w:highlight w:val="none"/>
        </w:rPr>
        <w:t>。授予中小企业合同金额</w:t>
      </w:r>
      <w:r>
        <w:rPr>
          <w:rFonts w:hint="eastAsia" w:ascii="仿宋" w:eastAsia="仿宋" w:cs="Times New Roman"/>
          <w:color w:val="auto"/>
          <w:sz w:val="32"/>
          <w:szCs w:val="32"/>
          <w:highlight w:val="none"/>
          <w:lang w:val="en-US" w:eastAsia="zh-CN"/>
        </w:rPr>
        <w:t>13295.49</w:t>
      </w:r>
      <w:r>
        <w:rPr>
          <w:rFonts w:hint="eastAsia" w:ascii="仿宋" w:hAnsi="Times New Roman" w:eastAsia="仿宋" w:cs="Times New Roman"/>
          <w:color w:val="auto"/>
          <w:sz w:val="32"/>
          <w:szCs w:val="32"/>
          <w:highlight w:val="none"/>
        </w:rPr>
        <w:t>万元，占政府采购支出总额的</w:t>
      </w:r>
      <w:r>
        <w:rPr>
          <w:rFonts w:hint="eastAsia" w:ascii="仿宋" w:eastAsia="仿宋" w:cs="Times New Roman"/>
          <w:color w:val="auto"/>
          <w:sz w:val="32"/>
          <w:szCs w:val="32"/>
          <w:highlight w:val="none"/>
          <w:lang w:val="en-US" w:eastAsia="zh-CN"/>
        </w:rPr>
        <w:t>74.57</w:t>
      </w:r>
      <w:r>
        <w:rPr>
          <w:rFonts w:hint="eastAsia" w:ascii="仿宋" w:hAnsi="Times New Roman" w:eastAsia="仿宋" w:cs="Times New Roman"/>
          <w:color w:val="auto"/>
          <w:sz w:val="32"/>
          <w:szCs w:val="32"/>
          <w:highlight w:val="none"/>
        </w:rPr>
        <w:t>%，其中：授予小微企业合同金额</w:t>
      </w:r>
      <w:r>
        <w:rPr>
          <w:rFonts w:hint="eastAsia" w:ascii="仿宋" w:eastAsia="仿宋" w:cs="Times New Roman"/>
          <w:color w:val="auto"/>
          <w:sz w:val="32"/>
          <w:szCs w:val="32"/>
          <w:highlight w:val="none"/>
          <w:lang w:val="en-US" w:eastAsia="zh-CN"/>
        </w:rPr>
        <w:t>10082.87</w:t>
      </w:r>
      <w:r>
        <w:rPr>
          <w:rFonts w:hint="eastAsia" w:ascii="仿宋" w:hAnsi="Times New Roman" w:eastAsia="仿宋" w:cs="Times New Roman"/>
          <w:color w:val="auto"/>
          <w:sz w:val="32"/>
          <w:szCs w:val="32"/>
          <w:highlight w:val="none"/>
        </w:rPr>
        <w:t>万元，占政府采购支出总额的</w:t>
      </w:r>
      <w:r>
        <w:rPr>
          <w:rFonts w:hint="eastAsia" w:ascii="仿宋" w:eastAsia="仿宋" w:cs="Times New Roman"/>
          <w:color w:val="auto"/>
          <w:sz w:val="32"/>
          <w:szCs w:val="32"/>
          <w:highlight w:val="none"/>
          <w:lang w:val="en-US" w:eastAsia="zh-CN"/>
        </w:rPr>
        <w:t>56.55</w:t>
      </w:r>
      <w:r>
        <w:rPr>
          <w:rFonts w:hint="eastAsia" w:ascii="仿宋" w:hAnsi="Times New Roman" w:eastAsia="仿宋" w:cs="Times New Roman"/>
          <w:color w:val="auto"/>
          <w:sz w:val="32"/>
          <w:szCs w:val="32"/>
          <w:highlight w:val="none"/>
        </w:rPr>
        <w:t>%。</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4"/>
      <w:r>
        <w:rPr>
          <w:rFonts w:hint="eastAsia" w:ascii="仿宋" w:hAnsi="仿宋" w:eastAsia="仿宋"/>
          <w:b/>
          <w:color w:val="auto"/>
          <w:sz w:val="32"/>
          <w:szCs w:val="32"/>
          <w:highlight w:val="none"/>
        </w:rPr>
        <w:t>（三）国有资产占有使用情况</w:t>
      </w:r>
      <w:bookmarkEnd w:id="66"/>
    </w:p>
    <w:p>
      <w:pPr>
        <w:shd w:val="clear"/>
        <w:spacing w:line="600" w:lineRule="exact"/>
        <w:ind w:firstLine="640" w:firstLineChars="200"/>
        <w:rPr>
          <w:rFonts w:hint="eastAsia" w:ascii="仿宋" w:hAnsi="Times New Roman" w:eastAsia="仿宋" w:cs="Times New Roman"/>
          <w:color w:val="auto"/>
          <w:sz w:val="32"/>
          <w:szCs w:val="32"/>
          <w:highlight w:val="none"/>
        </w:rPr>
      </w:pPr>
      <w:r>
        <w:rPr>
          <w:rFonts w:hint="eastAsia" w:ascii="仿宋" w:hAnsi="Times New Roman" w:eastAsia="仿宋" w:cs="Times New Roman"/>
          <w:color w:val="auto"/>
          <w:sz w:val="32"/>
          <w:szCs w:val="32"/>
          <w:highlight w:val="none"/>
        </w:rPr>
        <w:t>截至20</w:t>
      </w:r>
      <w:r>
        <w:rPr>
          <w:rFonts w:hint="eastAsia" w:ascii="仿宋" w:hAnsi="Times New Roman" w:eastAsia="仿宋" w:cs="Times New Roman"/>
          <w:color w:val="auto"/>
          <w:sz w:val="32"/>
          <w:szCs w:val="32"/>
          <w:highlight w:val="none"/>
          <w:lang w:val="en-US" w:eastAsia="zh-CN"/>
        </w:rPr>
        <w:t>22</w:t>
      </w:r>
      <w:r>
        <w:rPr>
          <w:rFonts w:hint="eastAsia" w:ascii="仿宋" w:hAnsi="Times New Roman" w:eastAsia="仿宋" w:cs="Times New Roman"/>
          <w:color w:val="auto"/>
          <w:sz w:val="32"/>
          <w:szCs w:val="32"/>
          <w:highlight w:val="none"/>
        </w:rPr>
        <w:t>年12月31日，</w:t>
      </w:r>
      <w:r>
        <w:rPr>
          <w:rFonts w:hint="eastAsia" w:ascii="仿宋" w:hAnsi="Times New Roman" w:eastAsia="仿宋" w:cs="Times New Roman"/>
          <w:color w:val="auto"/>
          <w:sz w:val="32"/>
          <w:szCs w:val="32"/>
          <w:highlight w:val="none"/>
          <w:lang w:eastAsia="zh-CN"/>
        </w:rPr>
        <w:t>广元市卫生健康委员会</w:t>
      </w:r>
      <w:r>
        <w:rPr>
          <w:rFonts w:hint="eastAsia" w:ascii="仿宋" w:hAnsi="Times New Roman" w:eastAsia="仿宋" w:cs="Times New Roman"/>
          <w:color w:val="auto"/>
          <w:sz w:val="32"/>
          <w:szCs w:val="32"/>
          <w:highlight w:val="none"/>
        </w:rPr>
        <w:t>共有车辆</w:t>
      </w:r>
      <w:r>
        <w:rPr>
          <w:rFonts w:hint="eastAsia" w:ascii="仿宋" w:eastAsia="仿宋" w:cs="Times New Roman"/>
          <w:color w:val="auto"/>
          <w:sz w:val="32"/>
          <w:szCs w:val="32"/>
          <w:highlight w:val="none"/>
          <w:lang w:val="en-US" w:eastAsia="zh-CN"/>
        </w:rPr>
        <w:t>94</w:t>
      </w:r>
      <w:r>
        <w:rPr>
          <w:rFonts w:hint="eastAsia" w:ascii="仿宋" w:hAnsi="Times New Roman" w:eastAsia="仿宋" w:cs="Times New Roman"/>
          <w:color w:val="auto"/>
          <w:sz w:val="32"/>
          <w:szCs w:val="32"/>
          <w:highlight w:val="none"/>
        </w:rPr>
        <w:t>辆，其中：应急保障用车</w:t>
      </w:r>
      <w:r>
        <w:rPr>
          <w:rFonts w:hint="eastAsia" w:ascii="仿宋" w:eastAsia="仿宋" w:cs="Times New Roman"/>
          <w:color w:val="auto"/>
          <w:sz w:val="32"/>
          <w:szCs w:val="32"/>
          <w:highlight w:val="none"/>
          <w:lang w:val="en-US" w:eastAsia="zh-CN"/>
        </w:rPr>
        <w:t>3</w:t>
      </w:r>
      <w:r>
        <w:rPr>
          <w:rFonts w:hint="eastAsia" w:ascii="仿宋" w:hAnsi="Times New Roman" w:eastAsia="仿宋" w:cs="Times New Roman"/>
          <w:color w:val="auto"/>
          <w:sz w:val="32"/>
          <w:szCs w:val="32"/>
          <w:highlight w:val="none"/>
        </w:rPr>
        <w:t>辆、</w:t>
      </w:r>
      <w:r>
        <w:rPr>
          <w:rFonts w:hint="eastAsia" w:ascii="仿宋" w:eastAsia="仿宋"/>
          <w:color w:val="auto"/>
          <w:sz w:val="32"/>
          <w:szCs w:val="32"/>
          <w:highlight w:val="none"/>
          <w:lang w:val="en-US" w:eastAsia="zh-CN"/>
        </w:rPr>
        <w:t>特种专业技术用车39辆、</w:t>
      </w:r>
      <w:r>
        <w:rPr>
          <w:rFonts w:hint="eastAsia" w:ascii="仿宋" w:hAnsi="Times New Roman" w:eastAsia="仿宋" w:cs="Times New Roman"/>
          <w:color w:val="auto"/>
          <w:sz w:val="32"/>
          <w:szCs w:val="32"/>
          <w:highlight w:val="none"/>
        </w:rPr>
        <w:t>其他用车</w:t>
      </w:r>
      <w:r>
        <w:rPr>
          <w:rFonts w:hint="eastAsia" w:ascii="仿宋" w:eastAsia="仿宋" w:cs="Times New Roman"/>
          <w:color w:val="auto"/>
          <w:sz w:val="32"/>
          <w:szCs w:val="32"/>
          <w:highlight w:val="none"/>
          <w:lang w:val="en-US" w:eastAsia="zh-CN"/>
        </w:rPr>
        <w:t>52</w:t>
      </w:r>
      <w:r>
        <w:rPr>
          <w:rFonts w:hint="eastAsia" w:ascii="仿宋" w:hAnsi="Times New Roman" w:eastAsia="仿宋" w:cs="Times New Roman"/>
          <w:color w:val="auto"/>
          <w:sz w:val="32"/>
          <w:szCs w:val="32"/>
          <w:highlight w:val="none"/>
        </w:rPr>
        <w:t>辆</w:t>
      </w:r>
      <w:r>
        <w:rPr>
          <w:rFonts w:hint="eastAsia" w:ascii="仿宋" w:hAnsi="Times New Roman" w:eastAsia="仿宋" w:cs="Times New Roman"/>
          <w:color w:val="auto"/>
          <w:sz w:val="32"/>
          <w:szCs w:val="32"/>
          <w:highlight w:val="none"/>
          <w:lang w:eastAsia="zh-CN"/>
        </w:rPr>
        <w:t>，</w:t>
      </w:r>
      <w:r>
        <w:rPr>
          <w:rFonts w:hint="eastAsia" w:ascii="仿宋" w:eastAsia="仿宋"/>
          <w:color w:val="auto"/>
          <w:sz w:val="32"/>
          <w:szCs w:val="32"/>
          <w:highlight w:val="none"/>
        </w:rPr>
        <w:t>其他用车主要是用于</w:t>
      </w:r>
      <w:r>
        <w:rPr>
          <w:rFonts w:hint="eastAsia" w:ascii="仿宋_GB2312" w:eastAsia="仿宋_GB2312"/>
          <w:color w:val="auto"/>
          <w:sz w:val="32"/>
          <w:szCs w:val="32"/>
          <w:highlight w:val="none"/>
        </w:rPr>
        <w:t>市疾控中心、市血站、市中心医院、市中医院</w:t>
      </w:r>
      <w:r>
        <w:rPr>
          <w:rFonts w:hint="eastAsia" w:ascii="仿宋_GB2312" w:eastAsia="仿宋_GB2312"/>
          <w:color w:val="auto"/>
          <w:sz w:val="32"/>
          <w:szCs w:val="32"/>
          <w:highlight w:val="none"/>
          <w:lang w:eastAsia="zh-CN"/>
        </w:rPr>
        <w:t>等医疗机构</w:t>
      </w:r>
      <w:r>
        <w:rPr>
          <w:rFonts w:hint="eastAsia" w:ascii="仿宋_GB2312" w:eastAsia="仿宋_GB2312"/>
          <w:color w:val="auto"/>
          <w:sz w:val="32"/>
          <w:szCs w:val="32"/>
          <w:highlight w:val="none"/>
        </w:rPr>
        <w:t>开展配送医用材料、检验标本、护送及抢救病人等业务用车使用</w:t>
      </w:r>
      <w:r>
        <w:rPr>
          <w:rFonts w:hint="eastAsia" w:ascii="仿宋" w:hAnsi="Times New Roman" w:eastAsia="仿宋" w:cs="Times New Roman"/>
          <w:color w:val="auto"/>
          <w:sz w:val="32"/>
          <w:szCs w:val="32"/>
          <w:highlight w:val="none"/>
          <w:lang w:eastAsia="zh-CN"/>
        </w:rPr>
        <w:t>。</w:t>
      </w:r>
      <w:r>
        <w:rPr>
          <w:rFonts w:hint="eastAsia" w:ascii="仿宋" w:hAnsi="Times New Roman" w:eastAsia="仿宋" w:cs="Times New Roman"/>
          <w:color w:val="auto"/>
          <w:sz w:val="32"/>
          <w:szCs w:val="32"/>
          <w:highlight w:val="none"/>
        </w:rPr>
        <w:t>单价100万元以上专用设备</w:t>
      </w:r>
      <w:r>
        <w:rPr>
          <w:rFonts w:hint="eastAsia" w:ascii="仿宋" w:eastAsia="仿宋" w:cs="Times New Roman"/>
          <w:color w:val="auto"/>
          <w:sz w:val="32"/>
          <w:szCs w:val="32"/>
          <w:highlight w:val="none"/>
          <w:lang w:val="en-US" w:eastAsia="zh-CN"/>
        </w:rPr>
        <w:t>272</w:t>
      </w:r>
      <w:r>
        <w:rPr>
          <w:rFonts w:hint="eastAsia" w:ascii="仿宋" w:hAnsi="Times New Roman" w:eastAsia="仿宋" w:cs="Times New Roman"/>
          <w:color w:val="auto"/>
          <w:sz w:val="32"/>
          <w:szCs w:val="32"/>
          <w:highlight w:val="none"/>
        </w:rPr>
        <w:t>台（套）。</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hd w:val="clear"/>
        <w:spacing w:line="600" w:lineRule="exact"/>
        <w:ind w:firstLine="640" w:firstLineChars="200"/>
        <w:rPr>
          <w:rFonts w:hint="eastAsia" w:ascii="仿宋" w:eastAsia="仿宋"/>
          <w:color w:val="auto"/>
          <w:sz w:val="32"/>
          <w:szCs w:val="32"/>
          <w:highlight w:val="none"/>
          <w:lang w:val="en-US" w:eastAsia="zh-CN"/>
        </w:rPr>
      </w:pPr>
      <w:r>
        <w:rPr>
          <w:rFonts w:hint="eastAsia" w:ascii="仿宋" w:eastAsia="仿宋"/>
          <w:color w:val="auto"/>
          <w:sz w:val="32"/>
          <w:szCs w:val="32"/>
          <w:highlight w:val="none"/>
          <w:lang w:val="en-US" w:eastAsia="zh-CN"/>
        </w:rPr>
        <w:t>根据预算绩效管理要求，本部门在2022年度预算编制阶段，组织对卫生健康人才队伍建设项目工作经费等项目开展了预算事前绩效评估，对项目编制了绩效目标，预算执行过程中，项目全覆盖开展绩效监控。</w:t>
      </w:r>
    </w:p>
    <w:p>
      <w:pPr>
        <w:widowControl/>
        <w:shd w:val="clear"/>
        <w:adjustRightInd w:val="0"/>
        <w:snapToGrid w:val="0"/>
        <w:spacing w:line="576" w:lineRule="exact"/>
        <w:ind w:firstLine="640" w:firstLineChars="200"/>
        <w:jc w:val="left"/>
        <w:rPr>
          <w:rFonts w:hint="eastAsia" w:ascii="仿宋" w:eastAsia="仿宋"/>
          <w:color w:val="auto"/>
          <w:sz w:val="32"/>
          <w:szCs w:val="32"/>
          <w:highlight w:val="none"/>
          <w:lang w:val="en-US" w:eastAsia="zh-CN"/>
        </w:rPr>
      </w:pPr>
      <w:r>
        <w:rPr>
          <w:rFonts w:hint="eastAsia" w:ascii="仿宋" w:eastAsia="仿宋"/>
          <w:color w:val="auto"/>
          <w:sz w:val="32"/>
          <w:szCs w:val="32"/>
          <w:highlight w:val="none"/>
          <w:lang w:val="en-US" w:eastAsia="zh-CN"/>
        </w:rPr>
        <w:t>组织对2022年度一般公共预算资本资产、债券资金等全面开展绩效自评，形成广元市卫生健康委员会部门整体（含部门预算项目）绩效自评报告、广元市卫生健康委员会专项预算项目绩效自评报告，其中，广元市卫生健康委员会部门整体（含部门预算项目）绩效自评得分为98分，绩效自评综述：部门整体支出评价自评较为准确。广元市卫生健康委员会专项预算项目绩效自评得分为98分，绩效自评综述：专项预算项目绩效评价自评较为准确。绩效自评报告详见附件。</w:t>
      </w:r>
      <w:r>
        <w:rPr>
          <w:rFonts w:hint="eastAsia" w:ascii="仿宋" w:eastAsia="仿宋"/>
          <w:color w:val="auto"/>
          <w:sz w:val="32"/>
          <w:szCs w:val="32"/>
          <w:highlight w:val="none"/>
          <w:lang w:val="en-US" w:eastAsia="zh-CN"/>
        </w:rPr>
        <w:br w:type="page"/>
      </w:r>
    </w:p>
    <w:p>
      <w:pPr>
        <w:numPr>
          <w:ilvl w:val="0"/>
          <w:numId w:val="4"/>
        </w:numPr>
        <w:shd w:val="clear"/>
        <w:spacing w:line="600" w:lineRule="exact"/>
        <w:ind w:firstLine="660" w:firstLineChars="150"/>
        <w:jc w:val="center"/>
        <w:outlineLvl w:val="0"/>
        <w:rPr>
          <w:rStyle w:val="21"/>
          <w:rFonts w:ascii="黑体" w:hAnsi="黑体" w:eastAsia="黑体"/>
          <w:b w:val="0"/>
          <w:color w:val="auto"/>
          <w:highlight w:val="none"/>
        </w:rPr>
      </w:pPr>
      <w:bookmarkStart w:id="67" w:name="_Toc15396613"/>
      <w:bookmarkStart w:id="68" w:name="_Toc15377225"/>
      <w:bookmarkStart w:id="69" w:name="_Toc7676"/>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67"/>
      <w:bookmarkEnd w:id="68"/>
      <w:bookmarkEnd w:id="69"/>
    </w:p>
    <w:p>
      <w:pPr>
        <w:shd w:val="clear"/>
        <w:spacing w:line="600" w:lineRule="exact"/>
        <w:jc w:val="left"/>
        <w:rPr>
          <w:rFonts w:ascii="宋体"/>
          <w:b/>
          <w:color w:val="auto"/>
          <w:sz w:val="44"/>
          <w:szCs w:val="44"/>
          <w:highlight w:val="none"/>
        </w:rPr>
      </w:pPr>
    </w:p>
    <w:p>
      <w:pPr>
        <w:pStyle w:val="31"/>
        <w:shd w:val="clear"/>
        <w:spacing w:line="560" w:lineRule="exact"/>
        <w:ind w:firstLine="640" w:firstLineChars="200"/>
        <w:rPr>
          <w:rFonts w:hint="eastAsia" w:ascii="仿宋" w:hAnsi="仿宋" w:eastAsia="仿宋" w:cs="仿宋"/>
          <w:color w:val="auto"/>
          <w:kern w:val="2"/>
          <w:sz w:val="32"/>
          <w:szCs w:val="32"/>
          <w:highlight w:val="none"/>
          <w:lang w:bidi="ar-SA"/>
        </w:rPr>
      </w:pPr>
      <w:bookmarkStart w:id="70" w:name="_Toc15396614"/>
      <w:bookmarkStart w:id="71" w:name="_Toc15377226"/>
      <w:r>
        <w:rPr>
          <w:rFonts w:hint="eastAsia" w:ascii="仿宋" w:hAnsi="仿宋" w:eastAsia="仿宋" w:cs="仿宋"/>
          <w:color w:val="auto"/>
          <w:kern w:val="2"/>
          <w:sz w:val="32"/>
          <w:szCs w:val="32"/>
          <w:highlight w:val="none"/>
          <w:lang w:bidi="ar-SA"/>
        </w:rPr>
        <w:t>1.财政拨款收入：指单位从同级财政部门取得的财政预算资金。</w:t>
      </w:r>
    </w:p>
    <w:p>
      <w:pPr>
        <w:pStyle w:val="31"/>
        <w:shd w:val="clear"/>
        <w:spacing w:line="560" w:lineRule="exact"/>
        <w:ind w:firstLine="640" w:firstLineChars="200"/>
        <w:rPr>
          <w:rFonts w:hint="eastAsia" w:ascii="仿宋" w:hAnsi="仿宋" w:eastAsia="仿宋" w:cs="仿宋"/>
          <w:color w:val="auto"/>
          <w:kern w:val="2"/>
          <w:sz w:val="32"/>
          <w:szCs w:val="32"/>
          <w:highlight w:val="none"/>
          <w:lang w:bidi="ar-SA"/>
        </w:rPr>
      </w:pPr>
      <w:r>
        <w:rPr>
          <w:rFonts w:hint="eastAsia" w:ascii="仿宋" w:hAnsi="仿宋" w:eastAsia="仿宋" w:cs="仿宋"/>
          <w:color w:val="auto"/>
          <w:kern w:val="2"/>
          <w:sz w:val="32"/>
          <w:szCs w:val="32"/>
          <w:highlight w:val="none"/>
          <w:lang w:bidi="ar-SA"/>
        </w:rPr>
        <w:t>2.事业收入：指事业单位开展专业业务活动及辅助活动取得的收入。如医疗机构医疗收入等。</w:t>
      </w:r>
    </w:p>
    <w:p>
      <w:pPr>
        <w:pStyle w:val="31"/>
        <w:shd w:val="clear"/>
        <w:spacing w:line="560" w:lineRule="exact"/>
        <w:ind w:firstLine="640" w:firstLineChars="200"/>
        <w:rPr>
          <w:rFonts w:hint="eastAsia" w:ascii="仿宋" w:hAnsi="仿宋" w:eastAsia="仿宋" w:cs="仿宋"/>
          <w:color w:val="auto"/>
          <w:kern w:val="2"/>
          <w:sz w:val="32"/>
          <w:szCs w:val="32"/>
          <w:highlight w:val="none"/>
          <w:lang w:bidi="ar-SA"/>
        </w:rPr>
      </w:pP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bidi="ar-SA"/>
        </w:rPr>
        <w:t>.其他收入：指单位取得的除上述收入以外的各项收入。主要是银行利息收入</w:t>
      </w:r>
      <w:r>
        <w:rPr>
          <w:rFonts w:hint="eastAsia" w:ascii="仿宋" w:hAnsi="仿宋" w:eastAsia="仿宋" w:cs="仿宋"/>
          <w:color w:val="auto"/>
          <w:kern w:val="2"/>
          <w:sz w:val="32"/>
          <w:szCs w:val="32"/>
          <w:highlight w:val="none"/>
          <w:lang w:eastAsia="zh-CN" w:bidi="ar-SA"/>
        </w:rPr>
        <w:t>、非同级财政拨款收入</w:t>
      </w:r>
      <w:r>
        <w:rPr>
          <w:rFonts w:hint="eastAsia" w:ascii="仿宋" w:hAnsi="仿宋" w:eastAsia="仿宋" w:cs="仿宋"/>
          <w:color w:val="auto"/>
          <w:kern w:val="2"/>
          <w:sz w:val="32"/>
          <w:szCs w:val="32"/>
          <w:highlight w:val="none"/>
          <w:lang w:bidi="ar-SA"/>
        </w:rPr>
        <w:t>等。</w:t>
      </w:r>
    </w:p>
    <w:p>
      <w:pPr>
        <w:pStyle w:val="31"/>
        <w:shd w:val="clea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使用非财政拨款结余</w:t>
      </w:r>
      <w:r>
        <w:rPr>
          <w:rFonts w:hint="eastAsia" w:ascii="仿宋" w:hAnsi="仿宋" w:eastAsia="仿宋" w:cs="仿宋"/>
          <w:color w:val="auto"/>
          <w:sz w:val="32"/>
          <w:szCs w:val="32"/>
          <w:highlight w:val="none"/>
        </w:rPr>
        <w:t>：指事业单位</w:t>
      </w:r>
      <w:r>
        <w:rPr>
          <w:rFonts w:hint="eastAsia" w:ascii="仿宋" w:hAnsi="仿宋" w:eastAsia="仿宋" w:cs="仿宋"/>
          <w:color w:val="auto"/>
          <w:sz w:val="32"/>
          <w:szCs w:val="32"/>
          <w:highlight w:val="none"/>
          <w:lang w:eastAsia="zh-CN"/>
        </w:rPr>
        <w:t>使用以前年度积累的非财政拨款结余弥补当年收支差额的金额。</w:t>
      </w:r>
      <w:r>
        <w:rPr>
          <w:rFonts w:hint="eastAsia" w:ascii="仿宋" w:hAnsi="仿宋" w:eastAsia="仿宋" w:cs="仿宋"/>
          <w:color w:val="auto"/>
          <w:sz w:val="32"/>
          <w:szCs w:val="32"/>
          <w:highlight w:val="none"/>
        </w:rPr>
        <w:t xml:space="preserve"> </w:t>
      </w:r>
    </w:p>
    <w:p>
      <w:pPr>
        <w:pStyle w:val="31"/>
        <w:shd w:val="clea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.年初结转和结余：指以前年度尚未完成、结转到本年按有关规定继续使用的资金。 </w:t>
      </w:r>
    </w:p>
    <w:p>
      <w:pPr>
        <w:pStyle w:val="31"/>
        <w:shd w:val="clea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.结余分配：指事业单位按照会计制度规定</w:t>
      </w:r>
      <w:r>
        <w:rPr>
          <w:rFonts w:hint="eastAsia" w:ascii="仿宋" w:hAnsi="仿宋" w:eastAsia="仿宋" w:cs="仿宋"/>
          <w:color w:val="auto"/>
          <w:sz w:val="32"/>
          <w:szCs w:val="32"/>
          <w:highlight w:val="none"/>
          <w:lang w:eastAsia="zh-CN"/>
        </w:rPr>
        <w:t>缴纳的所得税、提取的专用结余以及转入非财政拨款结余的金额</w:t>
      </w:r>
      <w:r>
        <w:rPr>
          <w:rFonts w:hint="eastAsia" w:ascii="仿宋" w:hAnsi="仿宋" w:eastAsia="仿宋" w:cs="仿宋"/>
          <w:color w:val="auto"/>
          <w:sz w:val="32"/>
          <w:szCs w:val="32"/>
          <w:highlight w:val="none"/>
        </w:rPr>
        <w:t>等。</w:t>
      </w:r>
    </w:p>
    <w:p>
      <w:pPr>
        <w:pStyle w:val="31"/>
        <w:shd w:val="clea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hAnsi="仿宋" w:cs="仿宋"/>
          <w:color w:val="auto"/>
          <w:sz w:val="32"/>
          <w:szCs w:val="32"/>
          <w:highlight w:val="none"/>
          <w:lang w:val="en-US" w:eastAsia="zh-CN"/>
        </w:rPr>
        <w:t>.</w:t>
      </w:r>
      <w:r>
        <w:rPr>
          <w:rFonts w:hint="eastAsia" w:ascii="仿宋" w:hAnsi="仿宋" w:eastAsia="仿宋" w:cs="仿宋"/>
          <w:color w:val="auto"/>
          <w:sz w:val="32"/>
          <w:szCs w:val="32"/>
          <w:highlight w:val="none"/>
        </w:rPr>
        <w:t>年末结转和结余：指单位按有关规定结转到下年或以后年度继续使用的资金。</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8</w:t>
      </w:r>
      <w:r>
        <w:rPr>
          <w:rFonts w:hint="eastAsia" w:ascii="仿宋" w:hAnsi="仿宋" w:eastAsia="仿宋" w:cs="仿宋"/>
          <w:color w:val="auto"/>
          <w:sz w:val="32"/>
          <w:szCs w:val="32"/>
          <w:highlight w:val="none"/>
          <w:lang w:bidi="ar-SA"/>
        </w:rPr>
        <w:t>.一般公共服务支出（类）</w:t>
      </w:r>
      <w:r>
        <w:rPr>
          <w:rFonts w:hint="eastAsia" w:ascii="仿宋" w:hAnsi="仿宋" w:eastAsia="仿宋" w:cs="仿宋"/>
          <w:color w:val="auto"/>
          <w:sz w:val="32"/>
          <w:szCs w:val="32"/>
          <w:highlight w:val="none"/>
          <w:lang w:eastAsia="zh-CN" w:bidi="ar-SA"/>
        </w:rPr>
        <w:t>商贸事务</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招商引资</w:t>
      </w:r>
      <w:r>
        <w:rPr>
          <w:rFonts w:hint="eastAsia" w:ascii="仿宋" w:hAnsi="仿宋" w:eastAsia="仿宋" w:cs="仿宋"/>
          <w:color w:val="auto"/>
          <w:sz w:val="32"/>
          <w:szCs w:val="32"/>
          <w:highlight w:val="none"/>
          <w:lang w:bidi="ar-SA"/>
        </w:rPr>
        <w:t>（项）</w:t>
      </w:r>
      <w:r>
        <w:rPr>
          <w:rFonts w:hint="eastAsia" w:ascii="仿宋" w:hAnsi="仿宋" w:eastAsia="仿宋" w:cs="仿宋"/>
          <w:color w:val="auto"/>
          <w:sz w:val="32"/>
          <w:szCs w:val="32"/>
          <w:highlight w:val="none"/>
          <w:lang w:val="en-US" w:eastAsia="zh-CN" w:bidi="ar-SA"/>
        </w:rPr>
        <w:t>2011308</w:t>
      </w:r>
      <w:r>
        <w:rPr>
          <w:rFonts w:hint="eastAsia" w:ascii="仿宋" w:hAnsi="仿宋" w:eastAsia="仿宋" w:cs="仿宋"/>
          <w:color w:val="auto"/>
          <w:sz w:val="32"/>
          <w:szCs w:val="32"/>
          <w:highlight w:val="none"/>
          <w:lang w:bidi="ar-SA"/>
        </w:rPr>
        <w:t>：指</w:t>
      </w:r>
      <w:r>
        <w:rPr>
          <w:rFonts w:hint="eastAsia" w:ascii="仿宋" w:hAnsi="仿宋" w:eastAsia="仿宋" w:cs="仿宋"/>
          <w:color w:val="auto"/>
          <w:sz w:val="32"/>
          <w:szCs w:val="32"/>
          <w:highlight w:val="none"/>
          <w:lang w:eastAsia="zh-CN" w:bidi="ar-SA"/>
        </w:rPr>
        <w:t>用于招商引资、优化经济环境等方面的支出</w:t>
      </w:r>
      <w:r>
        <w:rPr>
          <w:rFonts w:hint="eastAsia" w:ascii="仿宋" w:hAnsi="仿宋" w:eastAsia="仿宋" w:cs="仿宋"/>
          <w:color w:val="auto"/>
          <w:sz w:val="32"/>
          <w:szCs w:val="32"/>
          <w:highlight w:val="none"/>
          <w:lang w:bidi="ar-SA"/>
        </w:rPr>
        <w:t>。</w:t>
      </w:r>
    </w:p>
    <w:p>
      <w:pPr>
        <w:shd w:val="clear"/>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bidi="ar-SA"/>
        </w:rPr>
        <w:t>9</w:t>
      </w:r>
      <w:r>
        <w:rPr>
          <w:rFonts w:hint="eastAsia" w:ascii="仿宋" w:hAnsi="仿宋" w:eastAsia="仿宋" w:cs="仿宋"/>
          <w:color w:val="auto"/>
          <w:sz w:val="32"/>
          <w:szCs w:val="32"/>
          <w:highlight w:val="none"/>
          <w:lang w:bidi="ar-SA"/>
        </w:rPr>
        <w:t>.</w:t>
      </w:r>
      <w:r>
        <w:rPr>
          <w:rFonts w:hint="eastAsia" w:ascii="仿宋" w:hAnsi="仿宋" w:eastAsia="仿宋" w:cs="仿宋"/>
          <w:color w:val="auto"/>
          <w:sz w:val="32"/>
          <w:szCs w:val="32"/>
          <w:highlight w:val="none"/>
          <w:lang w:eastAsia="zh-CN" w:bidi="ar-SA"/>
        </w:rPr>
        <w:t>一般公共服务支出</w:t>
      </w:r>
      <w:r>
        <w:rPr>
          <w:rFonts w:hint="eastAsia" w:ascii="仿宋" w:hAnsi="仿宋" w:eastAsia="仿宋" w:cs="仿宋"/>
          <w:color w:val="auto"/>
          <w:sz w:val="32"/>
          <w:szCs w:val="32"/>
          <w:highlight w:val="none"/>
          <w:lang w:bidi="ar-SA"/>
        </w:rPr>
        <w:t>（类）</w:t>
      </w:r>
      <w:r>
        <w:rPr>
          <w:rFonts w:hint="eastAsia" w:ascii="仿宋" w:hAnsi="仿宋" w:eastAsia="仿宋" w:cs="仿宋"/>
          <w:color w:val="auto"/>
          <w:sz w:val="32"/>
          <w:szCs w:val="32"/>
          <w:highlight w:val="none"/>
          <w:lang w:eastAsia="zh-CN" w:bidi="ar-SA"/>
        </w:rPr>
        <w:t>其他一般公共服务支出</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其他一般公共服务支出</w:t>
      </w:r>
      <w:r>
        <w:rPr>
          <w:rFonts w:hint="eastAsia" w:ascii="仿宋" w:hAnsi="仿宋" w:eastAsia="仿宋" w:cs="仿宋"/>
          <w:color w:val="auto"/>
          <w:sz w:val="32"/>
          <w:szCs w:val="32"/>
          <w:highlight w:val="none"/>
          <w:lang w:bidi="ar-SA"/>
        </w:rPr>
        <w:t>（项）20</w:t>
      </w:r>
      <w:r>
        <w:rPr>
          <w:rFonts w:hint="eastAsia" w:ascii="仿宋" w:hAnsi="仿宋" w:eastAsia="仿宋" w:cs="仿宋"/>
          <w:color w:val="auto"/>
          <w:sz w:val="32"/>
          <w:szCs w:val="32"/>
          <w:highlight w:val="none"/>
          <w:lang w:val="en-US" w:eastAsia="zh-CN" w:bidi="ar-SA"/>
        </w:rPr>
        <w:t>19999</w:t>
      </w:r>
      <w:r>
        <w:rPr>
          <w:rFonts w:hint="eastAsia" w:ascii="仿宋" w:hAnsi="仿宋" w:eastAsia="仿宋" w:cs="仿宋"/>
          <w:color w:val="auto"/>
          <w:sz w:val="32"/>
          <w:szCs w:val="32"/>
          <w:highlight w:val="none"/>
          <w:lang w:bidi="ar-SA"/>
        </w:rPr>
        <w:t>：</w:t>
      </w:r>
      <w:r>
        <w:rPr>
          <w:rFonts w:hint="eastAsia" w:ascii="仿宋" w:hAnsi="仿宋" w:eastAsia="仿宋" w:cs="仿宋"/>
          <w:color w:val="auto"/>
          <w:sz w:val="32"/>
          <w:szCs w:val="32"/>
          <w:highlight w:val="none"/>
          <w:lang w:eastAsia="zh-CN" w:bidi="ar-SA"/>
        </w:rPr>
        <w:t>指反映除上述项目以外的其他一般公共服务支出。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0</w:t>
      </w:r>
      <w:r>
        <w:rPr>
          <w:rFonts w:hint="eastAsia" w:ascii="仿宋" w:hAnsi="仿宋" w:eastAsia="仿宋" w:cs="仿宋"/>
          <w:color w:val="auto"/>
          <w:sz w:val="32"/>
          <w:szCs w:val="32"/>
          <w:highlight w:val="none"/>
          <w:lang w:bidi="ar-SA"/>
        </w:rPr>
        <w:t>.科学技术支出（类）</w:t>
      </w:r>
      <w:r>
        <w:rPr>
          <w:rFonts w:hint="eastAsia" w:ascii="仿宋" w:hAnsi="仿宋" w:eastAsia="仿宋" w:cs="仿宋"/>
          <w:color w:val="auto"/>
          <w:sz w:val="32"/>
          <w:szCs w:val="32"/>
          <w:highlight w:val="none"/>
          <w:lang w:eastAsia="zh-CN" w:bidi="ar-SA"/>
        </w:rPr>
        <w:t>科技重大项目</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重点研发计划</w:t>
      </w:r>
      <w:r>
        <w:rPr>
          <w:rFonts w:hint="eastAsia" w:ascii="仿宋" w:hAnsi="仿宋" w:eastAsia="仿宋" w:cs="仿宋"/>
          <w:color w:val="auto"/>
          <w:sz w:val="32"/>
          <w:szCs w:val="32"/>
          <w:highlight w:val="none"/>
          <w:lang w:bidi="ar-SA"/>
        </w:rPr>
        <w:t>（项）2060</w:t>
      </w:r>
      <w:r>
        <w:rPr>
          <w:rFonts w:hint="eastAsia" w:ascii="仿宋" w:hAnsi="仿宋" w:eastAsia="仿宋" w:cs="仿宋"/>
          <w:color w:val="auto"/>
          <w:sz w:val="32"/>
          <w:szCs w:val="32"/>
          <w:highlight w:val="none"/>
          <w:lang w:val="en-US" w:eastAsia="zh-CN" w:bidi="ar-SA"/>
        </w:rPr>
        <w:t>902</w:t>
      </w:r>
      <w:r>
        <w:rPr>
          <w:rFonts w:hint="eastAsia" w:ascii="仿宋" w:hAnsi="仿宋" w:eastAsia="仿宋" w:cs="仿宋"/>
          <w:color w:val="auto"/>
          <w:sz w:val="32"/>
          <w:szCs w:val="32"/>
          <w:highlight w:val="none"/>
          <w:lang w:bidi="ar-SA"/>
        </w:rPr>
        <w:t>：</w:t>
      </w:r>
      <w:r>
        <w:rPr>
          <w:rFonts w:hint="eastAsia" w:ascii="仿宋" w:hAnsi="仿宋" w:eastAsia="仿宋" w:cs="仿宋"/>
          <w:color w:val="auto"/>
          <w:sz w:val="32"/>
          <w:szCs w:val="32"/>
          <w:highlight w:val="none"/>
          <w:lang w:eastAsia="zh-CN" w:bidi="ar-SA"/>
        </w:rPr>
        <w:t>指</w:t>
      </w:r>
      <w:r>
        <w:rPr>
          <w:rFonts w:hint="eastAsia" w:ascii="仿宋" w:hAnsi="仿宋" w:eastAsia="仿宋" w:cs="仿宋"/>
          <w:color w:val="auto"/>
          <w:sz w:val="32"/>
          <w:szCs w:val="32"/>
          <w:highlight w:val="none"/>
          <w:lang w:bidi="ar-SA"/>
        </w:rPr>
        <w:t>反映</w:t>
      </w:r>
      <w:r>
        <w:rPr>
          <w:rFonts w:hint="eastAsia" w:ascii="仿宋" w:hAnsi="仿宋" w:eastAsia="仿宋" w:cs="仿宋"/>
          <w:color w:val="auto"/>
          <w:sz w:val="32"/>
          <w:szCs w:val="32"/>
          <w:highlight w:val="none"/>
          <w:lang w:eastAsia="zh-CN" w:bidi="ar-SA"/>
        </w:rPr>
        <w:t>用于重点研发计划的有关经费</w:t>
      </w:r>
      <w:r>
        <w:rPr>
          <w:rFonts w:hint="eastAsia" w:ascii="仿宋" w:hAnsi="仿宋" w:eastAsia="仿宋" w:cs="仿宋"/>
          <w:color w:val="auto"/>
          <w:sz w:val="32"/>
          <w:szCs w:val="32"/>
          <w:highlight w:val="none"/>
          <w:lang w:bidi="ar-SA"/>
        </w:rPr>
        <w:t>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1</w:t>
      </w:r>
      <w:r>
        <w:rPr>
          <w:rFonts w:hint="eastAsia" w:ascii="仿宋" w:hAnsi="仿宋" w:eastAsia="仿宋" w:cs="仿宋"/>
          <w:color w:val="auto"/>
          <w:sz w:val="32"/>
          <w:szCs w:val="32"/>
          <w:highlight w:val="none"/>
          <w:lang w:bidi="ar-SA"/>
        </w:rPr>
        <w:t>.科学技术支出（类）</w:t>
      </w:r>
      <w:r>
        <w:rPr>
          <w:rFonts w:hint="eastAsia" w:ascii="仿宋" w:hAnsi="仿宋" w:eastAsia="仿宋" w:cs="仿宋"/>
          <w:color w:val="auto"/>
          <w:sz w:val="32"/>
          <w:szCs w:val="32"/>
          <w:highlight w:val="none"/>
          <w:lang w:eastAsia="zh-CN" w:bidi="ar-SA"/>
        </w:rPr>
        <w:t>其他科学技术支出</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其他科学技术支出</w:t>
      </w:r>
      <w:r>
        <w:rPr>
          <w:rFonts w:hint="eastAsia" w:ascii="仿宋" w:hAnsi="仿宋" w:eastAsia="仿宋" w:cs="仿宋"/>
          <w:color w:val="auto"/>
          <w:sz w:val="32"/>
          <w:szCs w:val="32"/>
          <w:highlight w:val="none"/>
          <w:lang w:bidi="ar-SA"/>
        </w:rPr>
        <w:t>（项）206</w:t>
      </w:r>
      <w:r>
        <w:rPr>
          <w:rFonts w:hint="eastAsia" w:ascii="仿宋" w:hAnsi="仿宋" w:eastAsia="仿宋" w:cs="仿宋"/>
          <w:color w:val="auto"/>
          <w:sz w:val="32"/>
          <w:szCs w:val="32"/>
          <w:highlight w:val="none"/>
          <w:lang w:val="en-US" w:eastAsia="zh-CN" w:bidi="ar-SA"/>
        </w:rPr>
        <w:t>9999</w:t>
      </w:r>
      <w:r>
        <w:rPr>
          <w:rFonts w:hint="eastAsia" w:ascii="仿宋" w:hAnsi="仿宋" w:eastAsia="仿宋" w:cs="仿宋"/>
          <w:color w:val="auto"/>
          <w:sz w:val="32"/>
          <w:szCs w:val="32"/>
          <w:highlight w:val="none"/>
          <w:lang w:bidi="ar-SA"/>
        </w:rPr>
        <w:t>：</w:t>
      </w:r>
      <w:r>
        <w:rPr>
          <w:rFonts w:hint="eastAsia" w:ascii="仿宋" w:hAnsi="仿宋" w:eastAsia="仿宋" w:cs="仿宋"/>
          <w:color w:val="auto"/>
          <w:sz w:val="32"/>
          <w:szCs w:val="32"/>
          <w:highlight w:val="none"/>
          <w:lang w:eastAsia="zh-CN" w:bidi="ar-SA"/>
        </w:rPr>
        <w:t>指</w:t>
      </w:r>
      <w:r>
        <w:rPr>
          <w:rFonts w:hint="eastAsia" w:ascii="仿宋" w:hAnsi="仿宋" w:eastAsia="仿宋" w:cs="仿宋"/>
          <w:color w:val="auto"/>
          <w:sz w:val="32"/>
          <w:szCs w:val="32"/>
          <w:highlight w:val="none"/>
          <w:lang w:bidi="ar-SA"/>
        </w:rPr>
        <w:t>反映</w:t>
      </w:r>
      <w:r>
        <w:rPr>
          <w:rFonts w:hint="eastAsia" w:ascii="仿宋" w:hAnsi="仿宋" w:eastAsia="仿宋" w:cs="仿宋"/>
          <w:color w:val="auto"/>
          <w:sz w:val="32"/>
          <w:szCs w:val="32"/>
          <w:highlight w:val="none"/>
          <w:lang w:eastAsia="zh-CN" w:bidi="ar-SA"/>
        </w:rPr>
        <w:t>其他科学技术支出中除以上各项外用于科技方面的支出</w:t>
      </w:r>
      <w:r>
        <w:rPr>
          <w:rFonts w:hint="eastAsia" w:ascii="仿宋" w:hAnsi="仿宋" w:eastAsia="仿宋" w:cs="仿宋"/>
          <w:color w:val="auto"/>
          <w:sz w:val="32"/>
          <w:szCs w:val="32"/>
          <w:highlight w:val="none"/>
          <w:lang w:bidi="ar-SA"/>
        </w:rPr>
        <w:t>。</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2</w:t>
      </w:r>
      <w:r>
        <w:rPr>
          <w:rFonts w:hint="eastAsia" w:ascii="仿宋" w:hAnsi="仿宋" w:eastAsia="仿宋" w:cs="仿宋"/>
          <w:color w:val="auto"/>
          <w:sz w:val="32"/>
          <w:szCs w:val="32"/>
          <w:highlight w:val="none"/>
          <w:lang w:bidi="ar-SA"/>
        </w:rPr>
        <w:t>.社会保障和就业支出（类）</w:t>
      </w:r>
      <w:r>
        <w:rPr>
          <w:rFonts w:hint="eastAsia" w:ascii="仿宋" w:hAnsi="仿宋" w:eastAsia="仿宋" w:cs="仿宋"/>
          <w:color w:val="auto"/>
          <w:sz w:val="32"/>
          <w:szCs w:val="32"/>
          <w:highlight w:val="none"/>
          <w:lang w:eastAsia="zh-CN" w:bidi="ar-SA"/>
        </w:rPr>
        <w:t>人力资源和社会保障管理事务</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引进人才费用</w:t>
      </w:r>
      <w:r>
        <w:rPr>
          <w:rFonts w:hint="eastAsia" w:ascii="仿宋" w:hAnsi="仿宋" w:eastAsia="仿宋" w:cs="仿宋"/>
          <w:color w:val="auto"/>
          <w:sz w:val="32"/>
          <w:szCs w:val="32"/>
          <w:highlight w:val="none"/>
          <w:lang w:bidi="ar-SA"/>
        </w:rPr>
        <w:t>（项）</w:t>
      </w:r>
      <w:r>
        <w:rPr>
          <w:rFonts w:hint="eastAsia" w:ascii="仿宋" w:hAnsi="仿宋" w:eastAsia="仿宋" w:cs="仿宋"/>
          <w:color w:val="auto"/>
          <w:sz w:val="32"/>
          <w:szCs w:val="32"/>
          <w:highlight w:val="none"/>
          <w:lang w:val="en-US" w:eastAsia="zh-CN" w:bidi="ar-SA"/>
        </w:rPr>
        <w:t>2080116</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用于引进外国专家补助、引智成果推广等方面的</w:t>
      </w:r>
      <w:r>
        <w:rPr>
          <w:rFonts w:hint="eastAsia" w:ascii="仿宋" w:hAnsi="仿宋" w:eastAsia="仿宋" w:cs="仿宋"/>
          <w:color w:val="auto"/>
          <w:sz w:val="32"/>
          <w:szCs w:val="32"/>
          <w:highlight w:val="none"/>
          <w:lang w:bidi="ar-SA"/>
        </w:rPr>
        <w:t>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3</w:t>
      </w:r>
      <w:r>
        <w:rPr>
          <w:rFonts w:hint="eastAsia" w:ascii="仿宋" w:hAnsi="仿宋" w:eastAsia="仿宋" w:cs="仿宋"/>
          <w:color w:val="auto"/>
          <w:sz w:val="32"/>
          <w:szCs w:val="32"/>
          <w:highlight w:val="none"/>
          <w:lang w:bidi="ar-SA"/>
        </w:rPr>
        <w:t>.社会保障和就业支出（类）</w:t>
      </w:r>
      <w:r>
        <w:rPr>
          <w:rFonts w:hint="eastAsia" w:ascii="仿宋" w:hAnsi="仿宋" w:eastAsia="仿宋" w:cs="仿宋"/>
          <w:color w:val="auto"/>
          <w:sz w:val="32"/>
          <w:szCs w:val="32"/>
          <w:highlight w:val="none"/>
          <w:lang w:eastAsia="zh-CN" w:bidi="ar-SA"/>
        </w:rPr>
        <w:t>人力资源和社会保障管理事务</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其他人力资源和社会保障管理事务</w:t>
      </w:r>
      <w:r>
        <w:rPr>
          <w:rFonts w:hint="eastAsia" w:ascii="仿宋" w:hAnsi="仿宋" w:eastAsia="仿宋" w:cs="仿宋"/>
          <w:color w:val="auto"/>
          <w:sz w:val="32"/>
          <w:szCs w:val="32"/>
          <w:highlight w:val="none"/>
          <w:lang w:bidi="ar-SA"/>
        </w:rPr>
        <w:t>支出（项）2080</w:t>
      </w:r>
      <w:r>
        <w:rPr>
          <w:rFonts w:hint="eastAsia" w:ascii="仿宋" w:hAnsi="仿宋" w:eastAsia="仿宋" w:cs="仿宋"/>
          <w:color w:val="auto"/>
          <w:sz w:val="32"/>
          <w:szCs w:val="32"/>
          <w:highlight w:val="none"/>
          <w:lang w:val="en-US" w:eastAsia="zh-CN" w:bidi="ar-SA"/>
        </w:rPr>
        <w:t>199</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除上述项目以外其他用于人力资源和社会保障管理事务方面的</w:t>
      </w:r>
      <w:r>
        <w:rPr>
          <w:rFonts w:hint="eastAsia" w:ascii="仿宋" w:hAnsi="仿宋" w:eastAsia="仿宋" w:cs="仿宋"/>
          <w:color w:val="auto"/>
          <w:sz w:val="32"/>
          <w:szCs w:val="32"/>
          <w:highlight w:val="none"/>
          <w:lang w:bidi="ar-SA"/>
        </w:rPr>
        <w:t>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4</w:t>
      </w:r>
      <w:r>
        <w:rPr>
          <w:rFonts w:hint="eastAsia" w:ascii="仿宋" w:hAnsi="仿宋" w:eastAsia="仿宋" w:cs="仿宋"/>
          <w:color w:val="auto"/>
          <w:sz w:val="32"/>
          <w:szCs w:val="32"/>
          <w:highlight w:val="none"/>
          <w:lang w:bidi="ar-SA"/>
        </w:rPr>
        <w:t>.社会保障和就业支出（类）行政事业单位</w:t>
      </w:r>
      <w:r>
        <w:rPr>
          <w:rFonts w:hint="eastAsia" w:ascii="仿宋" w:hAnsi="仿宋" w:eastAsia="仿宋" w:cs="仿宋"/>
          <w:color w:val="auto"/>
          <w:sz w:val="32"/>
          <w:szCs w:val="32"/>
          <w:highlight w:val="none"/>
          <w:lang w:eastAsia="zh-CN" w:bidi="ar-SA"/>
        </w:rPr>
        <w:t>养老支出</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事业单位离退休</w:t>
      </w:r>
      <w:r>
        <w:rPr>
          <w:rFonts w:hint="eastAsia" w:ascii="仿宋" w:hAnsi="仿宋" w:eastAsia="仿宋" w:cs="仿宋"/>
          <w:color w:val="auto"/>
          <w:sz w:val="32"/>
          <w:szCs w:val="32"/>
          <w:highlight w:val="none"/>
          <w:lang w:bidi="ar-SA"/>
        </w:rPr>
        <w:t>（项）208050</w:t>
      </w:r>
      <w:r>
        <w:rPr>
          <w:rFonts w:hint="eastAsia" w:ascii="仿宋" w:hAnsi="仿宋" w:eastAsia="仿宋" w:cs="仿宋"/>
          <w:color w:val="auto"/>
          <w:sz w:val="32"/>
          <w:szCs w:val="32"/>
          <w:highlight w:val="none"/>
          <w:lang w:val="en-US" w:eastAsia="zh-CN" w:bidi="ar-SA"/>
        </w:rPr>
        <w:t>2</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事业单位开支的离退休经费。</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5</w:t>
      </w:r>
      <w:r>
        <w:rPr>
          <w:rFonts w:hint="eastAsia" w:ascii="仿宋" w:hAnsi="仿宋" w:eastAsia="仿宋" w:cs="仿宋"/>
          <w:color w:val="auto"/>
          <w:sz w:val="32"/>
          <w:szCs w:val="32"/>
          <w:highlight w:val="none"/>
          <w:lang w:bidi="ar-SA"/>
        </w:rPr>
        <w:t>.社会保障和就业支出（类）行政事业单位</w:t>
      </w:r>
      <w:r>
        <w:rPr>
          <w:rFonts w:hint="eastAsia" w:ascii="仿宋" w:hAnsi="仿宋" w:eastAsia="仿宋" w:cs="仿宋"/>
          <w:color w:val="auto"/>
          <w:sz w:val="32"/>
          <w:szCs w:val="32"/>
          <w:highlight w:val="none"/>
          <w:lang w:eastAsia="zh-CN" w:bidi="ar-SA"/>
        </w:rPr>
        <w:t>养老支出</w:t>
      </w:r>
      <w:r>
        <w:rPr>
          <w:rFonts w:hint="eastAsia" w:ascii="仿宋" w:hAnsi="仿宋" w:eastAsia="仿宋" w:cs="仿宋"/>
          <w:color w:val="auto"/>
          <w:sz w:val="32"/>
          <w:szCs w:val="32"/>
          <w:highlight w:val="none"/>
          <w:lang w:bidi="ar-SA"/>
        </w:rPr>
        <w:t>（款）机关事业单位基本养老保险缴费支出（项）2080505：指反映机关事业单位实施养老保险制度由单位缴纳的基本养老保险费支出。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6</w:t>
      </w:r>
      <w:r>
        <w:rPr>
          <w:rFonts w:hint="eastAsia" w:ascii="仿宋" w:hAnsi="仿宋" w:eastAsia="仿宋" w:cs="仿宋"/>
          <w:color w:val="auto"/>
          <w:sz w:val="32"/>
          <w:szCs w:val="32"/>
          <w:highlight w:val="none"/>
          <w:lang w:bidi="ar-SA"/>
        </w:rPr>
        <w:t>.社会保障和就业支出（类）行政事业单位</w:t>
      </w:r>
      <w:r>
        <w:rPr>
          <w:rFonts w:hint="eastAsia" w:ascii="仿宋" w:hAnsi="仿宋" w:eastAsia="仿宋" w:cs="仿宋"/>
          <w:color w:val="auto"/>
          <w:sz w:val="32"/>
          <w:szCs w:val="32"/>
          <w:highlight w:val="none"/>
          <w:lang w:eastAsia="zh-CN" w:bidi="ar-SA"/>
        </w:rPr>
        <w:t>养老支出</w:t>
      </w:r>
      <w:r>
        <w:rPr>
          <w:rFonts w:hint="eastAsia" w:ascii="仿宋" w:hAnsi="仿宋" w:eastAsia="仿宋" w:cs="仿宋"/>
          <w:color w:val="auto"/>
          <w:sz w:val="32"/>
          <w:szCs w:val="32"/>
          <w:highlight w:val="none"/>
          <w:lang w:bidi="ar-SA"/>
        </w:rPr>
        <w:t>（款）机关事业单位职业年金缴费支出（项）2080506：指反映机关事业单位实施养老保险制度由单位实际缴纳的职业年金支出。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1</w:t>
      </w:r>
      <w:r>
        <w:rPr>
          <w:rFonts w:hint="eastAsia" w:ascii="仿宋" w:hAnsi="仿宋" w:eastAsia="仿宋" w:cs="仿宋"/>
          <w:color w:val="auto"/>
          <w:sz w:val="32"/>
          <w:szCs w:val="32"/>
          <w:highlight w:val="none"/>
          <w:lang w:val="en-US" w:eastAsia="zh-CN" w:bidi="ar-SA"/>
        </w:rPr>
        <w:t>7</w:t>
      </w:r>
      <w:r>
        <w:rPr>
          <w:rFonts w:hint="eastAsia" w:ascii="仿宋" w:hAnsi="仿宋" w:eastAsia="仿宋" w:cs="仿宋"/>
          <w:color w:val="auto"/>
          <w:sz w:val="32"/>
          <w:szCs w:val="32"/>
          <w:highlight w:val="none"/>
          <w:lang w:bidi="ar-SA"/>
        </w:rPr>
        <w:t>.社会保障和就业支出（类）抚恤（款）死亡抚恤（项）2080801：指反映按规定用于烈士和牺牲、病故人员家属的一次性和定期抚恤金</w:t>
      </w:r>
      <w:r>
        <w:rPr>
          <w:rFonts w:hint="eastAsia" w:ascii="仿宋" w:hAnsi="仿宋" w:eastAsia="仿宋" w:cs="仿宋"/>
          <w:color w:val="auto"/>
          <w:sz w:val="32"/>
          <w:szCs w:val="32"/>
          <w:highlight w:val="none"/>
          <w:lang w:eastAsia="zh-CN" w:bidi="ar-SA"/>
        </w:rPr>
        <w:t>、</w:t>
      </w:r>
      <w:r>
        <w:rPr>
          <w:rFonts w:hint="eastAsia" w:ascii="仿宋" w:hAnsi="仿宋" w:eastAsia="仿宋" w:cs="仿宋"/>
          <w:color w:val="auto"/>
          <w:sz w:val="32"/>
          <w:szCs w:val="32"/>
          <w:highlight w:val="none"/>
          <w:lang w:bidi="ar-SA"/>
        </w:rPr>
        <w:t>丧葬补助费</w:t>
      </w:r>
      <w:r>
        <w:rPr>
          <w:rFonts w:hint="eastAsia" w:ascii="仿宋" w:hAnsi="仿宋" w:eastAsia="仿宋" w:cs="仿宋"/>
          <w:color w:val="auto"/>
          <w:sz w:val="32"/>
          <w:szCs w:val="32"/>
          <w:highlight w:val="none"/>
          <w:lang w:eastAsia="zh-CN" w:bidi="ar-SA"/>
        </w:rPr>
        <w:t>以及烈士褒扬金</w:t>
      </w:r>
      <w:r>
        <w:rPr>
          <w:rFonts w:hint="eastAsia" w:ascii="仿宋" w:hAnsi="仿宋" w:eastAsia="仿宋" w:cs="仿宋"/>
          <w:color w:val="auto"/>
          <w:sz w:val="32"/>
          <w:szCs w:val="32"/>
          <w:highlight w:val="none"/>
          <w:lang w:bidi="ar-SA"/>
        </w:rPr>
        <w:t>。</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18</w:t>
      </w:r>
      <w:r>
        <w:rPr>
          <w:rFonts w:hint="eastAsia" w:ascii="仿宋" w:hAnsi="仿宋" w:eastAsia="仿宋" w:cs="仿宋"/>
          <w:color w:val="auto"/>
          <w:sz w:val="32"/>
          <w:szCs w:val="32"/>
          <w:highlight w:val="none"/>
          <w:lang w:bidi="ar-SA"/>
        </w:rPr>
        <w:t>.社会保障和就业支出（类）</w:t>
      </w:r>
      <w:r>
        <w:rPr>
          <w:rFonts w:hint="eastAsia" w:ascii="仿宋" w:hAnsi="仿宋" w:eastAsia="仿宋" w:cs="仿宋"/>
          <w:color w:val="auto"/>
          <w:sz w:val="32"/>
          <w:szCs w:val="32"/>
          <w:highlight w:val="none"/>
          <w:lang w:eastAsia="zh-CN" w:bidi="ar-SA"/>
        </w:rPr>
        <w:t>其他</w:t>
      </w:r>
      <w:r>
        <w:rPr>
          <w:rFonts w:hint="eastAsia" w:ascii="仿宋" w:hAnsi="仿宋" w:eastAsia="仿宋" w:cs="仿宋"/>
          <w:color w:val="auto"/>
          <w:sz w:val="32"/>
          <w:szCs w:val="32"/>
          <w:highlight w:val="none"/>
          <w:lang w:bidi="ar-SA"/>
        </w:rPr>
        <w:t>社会保障和就业支出（款）</w:t>
      </w:r>
      <w:r>
        <w:rPr>
          <w:rFonts w:hint="eastAsia" w:ascii="仿宋" w:hAnsi="仿宋" w:eastAsia="仿宋" w:cs="仿宋"/>
          <w:color w:val="auto"/>
          <w:sz w:val="32"/>
          <w:szCs w:val="32"/>
          <w:highlight w:val="none"/>
          <w:lang w:eastAsia="zh-CN" w:bidi="ar-SA"/>
        </w:rPr>
        <w:t>其他</w:t>
      </w:r>
      <w:r>
        <w:rPr>
          <w:rFonts w:hint="eastAsia" w:ascii="仿宋" w:hAnsi="仿宋" w:eastAsia="仿宋" w:cs="仿宋"/>
          <w:color w:val="auto"/>
          <w:sz w:val="32"/>
          <w:szCs w:val="32"/>
          <w:highlight w:val="none"/>
          <w:lang w:bidi="ar-SA"/>
        </w:rPr>
        <w:t>社会保障和就业支出（项）208</w:t>
      </w:r>
      <w:r>
        <w:rPr>
          <w:rFonts w:hint="eastAsia" w:ascii="仿宋" w:hAnsi="仿宋" w:eastAsia="仿宋" w:cs="仿宋"/>
          <w:color w:val="auto"/>
          <w:sz w:val="32"/>
          <w:szCs w:val="32"/>
          <w:highlight w:val="none"/>
          <w:lang w:val="en-US" w:eastAsia="zh-CN" w:bidi="ar-SA"/>
        </w:rPr>
        <w:t>99</w:t>
      </w:r>
      <w:r>
        <w:rPr>
          <w:rFonts w:hint="eastAsia" w:ascii="仿宋" w:hAnsi="仿宋" w:eastAsia="仿宋" w:cs="仿宋"/>
          <w:color w:val="auto"/>
          <w:sz w:val="32"/>
          <w:szCs w:val="32"/>
          <w:highlight w:val="none"/>
          <w:lang w:bidi="ar-SA"/>
        </w:rPr>
        <w:t>99：指反映除上述项目以外其他用于社会保障和就业</w:t>
      </w:r>
      <w:r>
        <w:rPr>
          <w:rFonts w:hint="eastAsia" w:ascii="仿宋" w:hAnsi="仿宋" w:eastAsia="仿宋" w:cs="仿宋"/>
          <w:color w:val="auto"/>
          <w:sz w:val="32"/>
          <w:szCs w:val="32"/>
          <w:highlight w:val="none"/>
          <w:lang w:eastAsia="zh-CN" w:bidi="ar-SA"/>
        </w:rPr>
        <w:t>方面</w:t>
      </w:r>
      <w:r>
        <w:rPr>
          <w:rFonts w:hint="eastAsia" w:ascii="仿宋" w:hAnsi="仿宋" w:eastAsia="仿宋" w:cs="仿宋"/>
          <w:color w:val="auto"/>
          <w:sz w:val="32"/>
          <w:szCs w:val="32"/>
          <w:highlight w:val="none"/>
          <w:lang w:bidi="ar-SA"/>
        </w:rPr>
        <w:t>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19</w:t>
      </w:r>
      <w:r>
        <w:rPr>
          <w:rFonts w:hint="eastAsia" w:ascii="仿宋" w:hAnsi="仿宋" w:eastAsia="仿宋" w:cs="仿宋"/>
          <w:color w:val="auto"/>
          <w:sz w:val="32"/>
          <w:szCs w:val="32"/>
          <w:highlight w:val="none"/>
          <w:lang w:bidi="ar-SA"/>
        </w:rPr>
        <w:t>.卫生健康支出（类）卫生健康管理事务（款）行政运行（项）2100101：指反映行政单位（包括实行公务员管理的事业单位）的基本支出。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20</w:t>
      </w:r>
      <w:r>
        <w:rPr>
          <w:rFonts w:hint="eastAsia" w:ascii="仿宋" w:hAnsi="仿宋" w:eastAsia="仿宋" w:cs="仿宋"/>
          <w:color w:val="auto"/>
          <w:sz w:val="32"/>
          <w:szCs w:val="32"/>
          <w:highlight w:val="none"/>
          <w:lang w:bidi="ar-SA"/>
        </w:rPr>
        <w:t>.卫生健康支出（类）卫生健康管理事务（款）一般行政管理事务（项）2100102：指反映行政单位（包括实行公务员管理的事业单位）未单独设置项级科目的其他项目支出。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21</w:t>
      </w:r>
      <w:r>
        <w:rPr>
          <w:rFonts w:hint="eastAsia" w:ascii="仿宋" w:hAnsi="仿宋" w:eastAsia="仿宋" w:cs="仿宋"/>
          <w:color w:val="auto"/>
          <w:sz w:val="32"/>
          <w:szCs w:val="32"/>
          <w:highlight w:val="none"/>
          <w:lang w:bidi="ar-SA"/>
        </w:rPr>
        <w:t>.卫生健康支出（类）卫生健康管理事务（款）其他卫生健康管理事务支出（项）2100199：指反映除上述项目以外其他用于卫生健康管理事务方面的支出。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22</w:t>
      </w:r>
      <w:r>
        <w:rPr>
          <w:rFonts w:hint="eastAsia" w:ascii="仿宋" w:hAnsi="仿宋" w:eastAsia="仿宋" w:cs="仿宋"/>
          <w:color w:val="auto"/>
          <w:sz w:val="32"/>
          <w:szCs w:val="32"/>
          <w:highlight w:val="none"/>
          <w:lang w:bidi="ar-SA"/>
        </w:rPr>
        <w:t>.卫生健康支出（类）公立医院（款）综合医院（项）2100201：指反映卫生健康、中医部门所属的城市综合性医院、独立门诊、教学医院、疗养院和县医院的支出。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3</w:t>
      </w:r>
      <w:r>
        <w:rPr>
          <w:rFonts w:hint="eastAsia" w:ascii="仿宋" w:hAnsi="仿宋" w:eastAsia="仿宋" w:cs="仿宋"/>
          <w:color w:val="auto"/>
          <w:sz w:val="32"/>
          <w:szCs w:val="32"/>
          <w:highlight w:val="none"/>
          <w:lang w:bidi="ar-SA"/>
        </w:rPr>
        <w:t>.卫生健康支出（类）公立医院（款）中医（民族）医院（项）2100202：指反映卫生健康、中医部门所属的中医院、中西医结合医院、民族医院的支出。</w:t>
      </w:r>
    </w:p>
    <w:p>
      <w:pPr>
        <w:shd w:val="clear"/>
        <w:ind w:firstLine="640" w:firstLineChars="200"/>
        <w:rPr>
          <w:rFonts w:hint="eastAsia" w:ascii="仿宋" w:hAnsi="仿宋" w:eastAsia="仿宋" w:cs="仿宋"/>
          <w:color w:val="auto"/>
          <w:sz w:val="32"/>
          <w:szCs w:val="32"/>
          <w:highlight w:val="none"/>
          <w:lang w:eastAsia="zh-CN" w:bidi="ar-SA"/>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4</w:t>
      </w:r>
      <w:r>
        <w:rPr>
          <w:rFonts w:hint="eastAsia" w:ascii="仿宋" w:hAnsi="仿宋" w:eastAsia="仿宋" w:cs="仿宋"/>
          <w:color w:val="auto"/>
          <w:sz w:val="32"/>
          <w:szCs w:val="32"/>
          <w:highlight w:val="none"/>
          <w:lang w:bidi="ar-SA"/>
        </w:rPr>
        <w:t>.卫生健康支出（类）公立医院（款）</w:t>
      </w:r>
      <w:r>
        <w:rPr>
          <w:rFonts w:hint="eastAsia" w:ascii="仿宋" w:hAnsi="仿宋" w:eastAsia="仿宋" w:cs="仿宋"/>
          <w:color w:val="auto"/>
          <w:sz w:val="32"/>
          <w:szCs w:val="32"/>
          <w:highlight w:val="none"/>
          <w:lang w:eastAsia="zh-CN" w:bidi="ar-SA"/>
        </w:rPr>
        <w:t>传染病医院</w:t>
      </w:r>
      <w:r>
        <w:rPr>
          <w:rFonts w:hint="eastAsia" w:ascii="仿宋" w:hAnsi="仿宋" w:eastAsia="仿宋" w:cs="仿宋"/>
          <w:color w:val="auto"/>
          <w:sz w:val="32"/>
          <w:szCs w:val="32"/>
          <w:highlight w:val="none"/>
          <w:lang w:bidi="ar-SA"/>
        </w:rPr>
        <w:t>（项）210020</w:t>
      </w:r>
      <w:r>
        <w:rPr>
          <w:rFonts w:hint="eastAsia" w:ascii="仿宋" w:hAnsi="仿宋" w:eastAsia="仿宋" w:cs="仿宋"/>
          <w:color w:val="auto"/>
          <w:sz w:val="32"/>
          <w:szCs w:val="32"/>
          <w:highlight w:val="none"/>
          <w:lang w:val="en-US" w:eastAsia="zh-CN" w:bidi="ar-SA"/>
        </w:rPr>
        <w:t>3</w:t>
      </w:r>
      <w:r>
        <w:rPr>
          <w:rFonts w:hint="eastAsia" w:ascii="仿宋" w:hAnsi="仿宋" w:eastAsia="仿宋" w:cs="仿宋"/>
          <w:color w:val="auto"/>
          <w:sz w:val="32"/>
          <w:szCs w:val="32"/>
          <w:highlight w:val="none"/>
          <w:lang w:bidi="ar-SA"/>
        </w:rPr>
        <w:t>：指反映卫生健康、中医</w:t>
      </w:r>
      <w:r>
        <w:rPr>
          <w:rFonts w:hint="eastAsia" w:ascii="仿宋" w:hAnsi="仿宋" w:eastAsia="仿宋" w:cs="仿宋"/>
          <w:color w:val="auto"/>
          <w:sz w:val="32"/>
          <w:szCs w:val="32"/>
          <w:highlight w:val="none"/>
          <w:lang w:eastAsia="zh-CN" w:bidi="ar-SA"/>
        </w:rPr>
        <w:t>、疾病预防控制部门所属的专门收治各类传染病人医院的支出。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5</w:t>
      </w:r>
      <w:r>
        <w:rPr>
          <w:rFonts w:hint="eastAsia" w:ascii="仿宋" w:hAnsi="仿宋" w:eastAsia="仿宋" w:cs="仿宋"/>
          <w:color w:val="auto"/>
          <w:sz w:val="32"/>
          <w:szCs w:val="32"/>
          <w:highlight w:val="none"/>
          <w:lang w:bidi="ar-SA"/>
        </w:rPr>
        <w:t>.卫生健康支出（类）公立医院（款）</w:t>
      </w:r>
      <w:r>
        <w:rPr>
          <w:rFonts w:hint="eastAsia" w:ascii="仿宋" w:hAnsi="仿宋" w:eastAsia="仿宋" w:cs="仿宋"/>
          <w:color w:val="auto"/>
          <w:sz w:val="32"/>
          <w:szCs w:val="32"/>
          <w:highlight w:val="none"/>
          <w:lang w:eastAsia="zh-CN" w:bidi="ar-SA"/>
        </w:rPr>
        <w:t>精神病</w:t>
      </w:r>
      <w:r>
        <w:rPr>
          <w:rFonts w:hint="eastAsia" w:ascii="仿宋" w:hAnsi="仿宋" w:eastAsia="仿宋" w:cs="仿宋"/>
          <w:color w:val="auto"/>
          <w:sz w:val="32"/>
          <w:szCs w:val="32"/>
          <w:highlight w:val="none"/>
          <w:lang w:bidi="ar-SA"/>
        </w:rPr>
        <w:t>医院（项）210020</w:t>
      </w:r>
      <w:r>
        <w:rPr>
          <w:rFonts w:hint="eastAsia" w:ascii="仿宋" w:hAnsi="仿宋" w:eastAsia="仿宋" w:cs="仿宋"/>
          <w:color w:val="auto"/>
          <w:sz w:val="32"/>
          <w:szCs w:val="32"/>
          <w:highlight w:val="none"/>
          <w:lang w:val="en-US" w:eastAsia="zh-CN" w:bidi="ar-SA"/>
        </w:rPr>
        <w:t>5</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专门收治精神病人</w:t>
      </w:r>
      <w:r>
        <w:rPr>
          <w:rFonts w:hint="eastAsia" w:ascii="仿宋" w:hAnsi="仿宋" w:eastAsia="仿宋" w:cs="仿宋"/>
          <w:color w:val="auto"/>
          <w:sz w:val="32"/>
          <w:szCs w:val="32"/>
          <w:highlight w:val="none"/>
          <w:lang w:bidi="ar-SA"/>
        </w:rPr>
        <w:t>医院的支出。</w:t>
      </w:r>
    </w:p>
    <w:p>
      <w:pPr>
        <w:shd w:val="clea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6</w:t>
      </w:r>
      <w:r>
        <w:rPr>
          <w:rFonts w:hint="eastAsia" w:ascii="仿宋" w:hAnsi="仿宋" w:eastAsia="仿宋" w:cs="仿宋"/>
          <w:color w:val="auto"/>
          <w:sz w:val="32"/>
          <w:szCs w:val="32"/>
          <w:highlight w:val="none"/>
          <w:lang w:bidi="ar-SA"/>
        </w:rPr>
        <w:t>.卫生健康支出（类）公立医院（款）</w:t>
      </w:r>
      <w:r>
        <w:rPr>
          <w:rFonts w:hint="eastAsia" w:ascii="仿宋" w:hAnsi="仿宋" w:eastAsia="仿宋" w:cs="仿宋"/>
          <w:color w:val="auto"/>
          <w:sz w:val="32"/>
          <w:szCs w:val="32"/>
          <w:highlight w:val="none"/>
          <w:lang w:eastAsia="zh-CN" w:bidi="ar-SA"/>
        </w:rPr>
        <w:t>妇幼保健医院</w:t>
      </w:r>
      <w:r>
        <w:rPr>
          <w:rFonts w:hint="eastAsia" w:ascii="仿宋" w:hAnsi="仿宋" w:eastAsia="仿宋" w:cs="仿宋"/>
          <w:color w:val="auto"/>
          <w:sz w:val="32"/>
          <w:szCs w:val="32"/>
          <w:highlight w:val="none"/>
          <w:lang w:bidi="ar-SA"/>
        </w:rPr>
        <w:t>（项）210020</w:t>
      </w:r>
      <w:r>
        <w:rPr>
          <w:rFonts w:hint="eastAsia" w:ascii="仿宋" w:hAnsi="仿宋" w:eastAsia="仿宋" w:cs="仿宋"/>
          <w:color w:val="auto"/>
          <w:sz w:val="32"/>
          <w:szCs w:val="32"/>
          <w:highlight w:val="none"/>
          <w:lang w:val="en-US" w:eastAsia="zh-CN" w:bidi="ar-SA"/>
        </w:rPr>
        <w:t>6</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卫生健康、中医部门所属的专门从事妇产、妇幼保健医院</w:t>
      </w:r>
      <w:r>
        <w:rPr>
          <w:rFonts w:hint="eastAsia" w:ascii="仿宋" w:hAnsi="仿宋" w:eastAsia="仿宋" w:cs="仿宋"/>
          <w:color w:val="auto"/>
          <w:sz w:val="32"/>
          <w:szCs w:val="32"/>
          <w:highlight w:val="none"/>
          <w:lang w:bidi="ar-SA"/>
        </w:rPr>
        <w:t>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7</w:t>
      </w:r>
      <w:r>
        <w:rPr>
          <w:rFonts w:hint="eastAsia" w:ascii="仿宋" w:hAnsi="仿宋" w:eastAsia="仿宋" w:cs="仿宋"/>
          <w:color w:val="auto"/>
          <w:sz w:val="32"/>
          <w:szCs w:val="32"/>
          <w:highlight w:val="none"/>
          <w:lang w:bidi="ar-SA"/>
        </w:rPr>
        <w:t>.卫生健康支出（类）公立医院（款）其他公立医院支出（项）2100299：指反映除上述项目以外的其他用于公立医院方面的支出。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8</w:t>
      </w:r>
      <w:r>
        <w:rPr>
          <w:rFonts w:hint="eastAsia" w:ascii="仿宋" w:hAnsi="仿宋" w:eastAsia="仿宋" w:cs="仿宋"/>
          <w:color w:val="auto"/>
          <w:sz w:val="32"/>
          <w:szCs w:val="32"/>
          <w:highlight w:val="none"/>
          <w:lang w:bidi="ar-SA"/>
        </w:rPr>
        <w:t>.卫生健康支出（类）公共卫生（款）疾病预防控制机构（项）2100401：指反映卫生健康部门所属疾病预防控制机构的支出。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2</w:t>
      </w:r>
      <w:r>
        <w:rPr>
          <w:rFonts w:hint="eastAsia" w:ascii="仿宋" w:hAnsi="仿宋" w:eastAsia="仿宋" w:cs="仿宋"/>
          <w:color w:val="auto"/>
          <w:sz w:val="32"/>
          <w:szCs w:val="32"/>
          <w:highlight w:val="none"/>
          <w:lang w:val="en-US" w:eastAsia="zh-CN" w:bidi="ar-SA"/>
        </w:rPr>
        <w:t>9</w:t>
      </w:r>
      <w:r>
        <w:rPr>
          <w:rFonts w:hint="eastAsia" w:ascii="仿宋" w:hAnsi="仿宋" w:eastAsia="仿宋" w:cs="仿宋"/>
          <w:color w:val="auto"/>
          <w:sz w:val="32"/>
          <w:szCs w:val="32"/>
          <w:highlight w:val="none"/>
          <w:lang w:bidi="ar-SA"/>
        </w:rPr>
        <w:t>.卫生健康支出（类）公共卫生（款）卫生监督机构（项）2100402：指反映卫生健康部门所属卫生监督机构的支出。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30</w:t>
      </w:r>
      <w:r>
        <w:rPr>
          <w:rFonts w:hint="eastAsia" w:ascii="仿宋" w:hAnsi="仿宋" w:eastAsia="仿宋" w:cs="仿宋"/>
          <w:color w:val="auto"/>
          <w:sz w:val="32"/>
          <w:szCs w:val="32"/>
          <w:highlight w:val="none"/>
          <w:lang w:bidi="ar-SA"/>
        </w:rPr>
        <w:t>.卫生健康支出（类）公共卫生（款）妇幼保健机构（项）2100403：指反映卫生健康部门所属妇幼保健机构的支出。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31</w:t>
      </w:r>
      <w:r>
        <w:rPr>
          <w:rFonts w:hint="eastAsia" w:ascii="仿宋" w:hAnsi="仿宋" w:eastAsia="仿宋" w:cs="仿宋"/>
          <w:color w:val="auto"/>
          <w:sz w:val="32"/>
          <w:szCs w:val="32"/>
          <w:highlight w:val="none"/>
          <w:lang w:bidi="ar-SA"/>
        </w:rPr>
        <w:t>.卫生健康支出（类）公共卫生（款）应急救治机构（项）2100405：指反映卫生健康部门所属应急救治机构的支出。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32</w:t>
      </w:r>
      <w:r>
        <w:rPr>
          <w:rFonts w:hint="eastAsia" w:ascii="仿宋" w:hAnsi="仿宋" w:eastAsia="仿宋" w:cs="仿宋"/>
          <w:color w:val="auto"/>
          <w:sz w:val="32"/>
          <w:szCs w:val="32"/>
          <w:highlight w:val="none"/>
          <w:lang w:bidi="ar-SA"/>
        </w:rPr>
        <w:t>.卫生健康支出（类）公共卫生（款）采供血机构（项）2100406：指反映卫生健康部门所属采供血机构的支出。</w:t>
      </w:r>
    </w:p>
    <w:p>
      <w:pPr>
        <w:shd w:val="clea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bidi="ar-SA"/>
        </w:rPr>
        <w:t>33</w:t>
      </w:r>
      <w:r>
        <w:rPr>
          <w:rFonts w:hint="eastAsia" w:ascii="仿宋" w:hAnsi="仿宋" w:eastAsia="仿宋" w:cs="仿宋"/>
          <w:color w:val="auto"/>
          <w:sz w:val="32"/>
          <w:szCs w:val="32"/>
          <w:highlight w:val="none"/>
          <w:lang w:bidi="ar-SA"/>
        </w:rPr>
        <w:t>.卫生健康支出（类）公共卫生（款）</w:t>
      </w:r>
      <w:r>
        <w:rPr>
          <w:rFonts w:hint="eastAsia" w:ascii="仿宋" w:hAnsi="仿宋" w:eastAsia="仿宋" w:cs="仿宋"/>
          <w:color w:val="auto"/>
          <w:sz w:val="32"/>
          <w:szCs w:val="32"/>
          <w:highlight w:val="none"/>
          <w:lang w:eastAsia="zh-CN" w:bidi="ar-SA"/>
        </w:rPr>
        <w:t>其他专业公共卫生机构</w:t>
      </w:r>
      <w:r>
        <w:rPr>
          <w:rFonts w:hint="eastAsia" w:ascii="仿宋" w:hAnsi="仿宋" w:eastAsia="仿宋" w:cs="仿宋"/>
          <w:color w:val="auto"/>
          <w:sz w:val="32"/>
          <w:szCs w:val="32"/>
          <w:highlight w:val="none"/>
          <w:lang w:bidi="ar-SA"/>
        </w:rPr>
        <w:t>（项）210040</w:t>
      </w:r>
      <w:r>
        <w:rPr>
          <w:rFonts w:hint="eastAsia" w:ascii="仿宋" w:hAnsi="仿宋" w:eastAsia="仿宋" w:cs="仿宋"/>
          <w:color w:val="auto"/>
          <w:sz w:val="32"/>
          <w:szCs w:val="32"/>
          <w:highlight w:val="none"/>
          <w:lang w:val="en-US" w:eastAsia="zh-CN" w:bidi="ar-SA"/>
        </w:rPr>
        <w:t>7</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上述专业公共卫生机构以外的其他专业公共卫生机构</w:t>
      </w:r>
      <w:r>
        <w:rPr>
          <w:rFonts w:hint="eastAsia" w:ascii="仿宋" w:hAnsi="仿宋" w:eastAsia="仿宋" w:cs="仿宋"/>
          <w:color w:val="auto"/>
          <w:sz w:val="32"/>
          <w:szCs w:val="32"/>
          <w:highlight w:val="none"/>
          <w:lang w:bidi="ar-SA"/>
        </w:rPr>
        <w:t>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34</w:t>
      </w:r>
      <w:r>
        <w:rPr>
          <w:rFonts w:hint="eastAsia" w:ascii="仿宋" w:hAnsi="仿宋" w:eastAsia="仿宋" w:cs="仿宋"/>
          <w:color w:val="auto"/>
          <w:sz w:val="32"/>
          <w:szCs w:val="32"/>
          <w:highlight w:val="none"/>
          <w:lang w:bidi="ar-SA"/>
        </w:rPr>
        <w:t>.卫生健康支出（类）公共卫生（款）基本公共卫生服务（项）2100408：指反映基本公共卫生服务支出。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35</w:t>
      </w:r>
      <w:r>
        <w:rPr>
          <w:rFonts w:hint="eastAsia" w:ascii="仿宋" w:hAnsi="仿宋" w:eastAsia="仿宋" w:cs="仿宋"/>
          <w:color w:val="auto"/>
          <w:sz w:val="32"/>
          <w:szCs w:val="32"/>
          <w:highlight w:val="none"/>
          <w:lang w:bidi="ar-SA"/>
        </w:rPr>
        <w:t>.卫生健康支出（类）公共卫生（款）重大公共卫生</w:t>
      </w:r>
      <w:r>
        <w:rPr>
          <w:rFonts w:hint="default" w:ascii="仿宋" w:hAnsi="仿宋" w:eastAsia="仿宋" w:cs="仿宋"/>
          <w:color w:val="auto"/>
          <w:sz w:val="32"/>
          <w:szCs w:val="32"/>
          <w:highlight w:val="none"/>
          <w:lang w:bidi="ar-SA"/>
          <w:woUserID w:val="2"/>
        </w:rPr>
        <w:t>服务</w:t>
      </w:r>
      <w:r>
        <w:rPr>
          <w:rFonts w:hint="eastAsia" w:ascii="仿宋" w:hAnsi="仿宋" w:eastAsia="仿宋" w:cs="仿宋"/>
          <w:color w:val="auto"/>
          <w:sz w:val="32"/>
          <w:szCs w:val="32"/>
          <w:highlight w:val="none"/>
          <w:lang w:bidi="ar-SA"/>
        </w:rPr>
        <w:t>（项）2100409：指反映重大疾病</w:t>
      </w:r>
      <w:r>
        <w:rPr>
          <w:rFonts w:hint="eastAsia" w:ascii="仿宋" w:hAnsi="仿宋" w:eastAsia="仿宋" w:cs="仿宋"/>
          <w:color w:val="auto"/>
          <w:sz w:val="32"/>
          <w:szCs w:val="32"/>
          <w:highlight w:val="none"/>
          <w:lang w:eastAsia="zh-CN" w:bidi="ar-SA"/>
        </w:rPr>
        <w:t>、重大传染病</w:t>
      </w:r>
      <w:r>
        <w:rPr>
          <w:rFonts w:hint="eastAsia" w:ascii="仿宋" w:hAnsi="仿宋" w:eastAsia="仿宋" w:cs="仿宋"/>
          <w:color w:val="auto"/>
          <w:sz w:val="32"/>
          <w:szCs w:val="32"/>
          <w:highlight w:val="none"/>
          <w:lang w:bidi="ar-SA"/>
        </w:rPr>
        <w:t>预防控制等重大公共卫生服务项目支出。</w:t>
      </w:r>
    </w:p>
    <w:p>
      <w:pPr>
        <w:shd w:val="clea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bidi="ar-SA"/>
        </w:rPr>
        <w:t>36</w:t>
      </w:r>
      <w:r>
        <w:rPr>
          <w:rFonts w:hint="eastAsia" w:ascii="仿宋" w:hAnsi="仿宋" w:eastAsia="仿宋" w:cs="仿宋"/>
          <w:color w:val="auto"/>
          <w:sz w:val="32"/>
          <w:szCs w:val="32"/>
          <w:highlight w:val="none"/>
          <w:lang w:bidi="ar-SA"/>
        </w:rPr>
        <w:t>.卫生健康支出（类）公共卫生（款）</w:t>
      </w:r>
      <w:r>
        <w:rPr>
          <w:rFonts w:hint="default" w:ascii="仿宋" w:hAnsi="仿宋" w:eastAsia="仿宋" w:cs="仿宋"/>
          <w:color w:val="auto"/>
          <w:sz w:val="32"/>
          <w:szCs w:val="32"/>
          <w:highlight w:val="none"/>
          <w:lang w:bidi="ar-SA"/>
          <w:woUserID w:val="2"/>
        </w:rPr>
        <w:t>突发公共卫生事件应急处理</w:t>
      </w:r>
      <w:r>
        <w:rPr>
          <w:rFonts w:hint="eastAsia" w:ascii="仿宋" w:hAnsi="仿宋" w:eastAsia="仿宋" w:cs="仿宋"/>
          <w:color w:val="auto"/>
          <w:sz w:val="32"/>
          <w:szCs w:val="32"/>
          <w:highlight w:val="none"/>
          <w:lang w:bidi="ar-SA"/>
        </w:rPr>
        <w:t>（项）21004</w:t>
      </w:r>
      <w:r>
        <w:rPr>
          <w:rFonts w:hint="eastAsia" w:ascii="仿宋" w:hAnsi="仿宋" w:eastAsia="仿宋" w:cs="仿宋"/>
          <w:color w:val="auto"/>
          <w:sz w:val="32"/>
          <w:szCs w:val="32"/>
          <w:highlight w:val="none"/>
          <w:lang w:val="en-US" w:eastAsia="zh-CN" w:bidi="ar-SA"/>
        </w:rPr>
        <w:t>10</w:t>
      </w:r>
      <w:r>
        <w:rPr>
          <w:rFonts w:hint="eastAsia" w:ascii="仿宋" w:hAnsi="仿宋" w:eastAsia="仿宋" w:cs="仿宋"/>
          <w:color w:val="auto"/>
          <w:sz w:val="32"/>
          <w:szCs w:val="32"/>
          <w:highlight w:val="none"/>
          <w:lang w:bidi="ar-SA"/>
        </w:rPr>
        <w:t>：</w:t>
      </w:r>
      <w:r>
        <w:rPr>
          <w:rFonts w:hint="eastAsia" w:ascii="仿宋" w:hAnsi="仿宋" w:eastAsia="仿宋" w:cs="仿宋"/>
          <w:color w:val="auto"/>
          <w:sz w:val="32"/>
          <w:szCs w:val="32"/>
          <w:highlight w:val="none"/>
          <w:lang w:bidi="ar-SA"/>
          <w:woUserID w:val="2"/>
        </w:rPr>
        <w:t>指反映</w:t>
      </w:r>
      <w:r>
        <w:rPr>
          <w:rFonts w:hint="eastAsia" w:ascii="仿宋" w:hAnsi="仿宋" w:eastAsia="仿宋" w:cs="仿宋"/>
          <w:color w:val="auto"/>
          <w:sz w:val="32"/>
          <w:szCs w:val="32"/>
          <w:highlight w:val="none"/>
          <w:lang w:eastAsia="zh-CN" w:bidi="ar-SA"/>
          <w:woUserID w:val="2"/>
        </w:rPr>
        <w:t>用于突发公共卫生事件应急处理的支出。</w:t>
      </w:r>
    </w:p>
    <w:p>
      <w:pPr>
        <w:keepNext w:val="0"/>
        <w:keepLines w:val="0"/>
        <w:widowControl w:val="0"/>
        <w:suppressLineNumbers w:val="0"/>
        <w:shd w:val="clear"/>
        <w:spacing w:before="0" w:beforeAutospacing="0" w:after="0" w:afterAutospacing="0"/>
        <w:ind w:left="0" w:right="0" w:firstLine="640" w:firstLineChars="200"/>
        <w:jc w:val="both"/>
        <w:rPr>
          <w:rFonts w:hint="eastAsia" w:ascii="仿宋" w:hAnsi="仿宋" w:eastAsia="仿宋" w:cs="仿宋"/>
          <w:color w:val="auto"/>
          <w:sz w:val="32"/>
          <w:szCs w:val="32"/>
          <w:highlight w:val="none"/>
          <w:lang w:eastAsia="zh-CN" w:bidi="ar-SA"/>
        </w:rPr>
      </w:pPr>
      <w:r>
        <w:rPr>
          <w:rFonts w:hint="eastAsia" w:ascii="仿宋" w:hAnsi="仿宋" w:eastAsia="仿宋" w:cs="仿宋"/>
          <w:color w:val="auto"/>
          <w:sz w:val="32"/>
          <w:szCs w:val="32"/>
          <w:highlight w:val="none"/>
          <w:lang w:bidi="ar-SA"/>
        </w:rPr>
        <w:t>3</w:t>
      </w:r>
      <w:r>
        <w:rPr>
          <w:rFonts w:hint="eastAsia" w:ascii="仿宋" w:hAnsi="仿宋" w:eastAsia="仿宋" w:cs="仿宋"/>
          <w:color w:val="auto"/>
          <w:sz w:val="32"/>
          <w:szCs w:val="32"/>
          <w:highlight w:val="none"/>
          <w:lang w:val="en-US" w:eastAsia="zh-CN" w:bidi="ar-SA"/>
        </w:rPr>
        <w:t>7</w:t>
      </w:r>
      <w:r>
        <w:rPr>
          <w:rFonts w:hint="eastAsia" w:ascii="仿宋" w:hAnsi="仿宋" w:eastAsia="仿宋" w:cs="仿宋"/>
          <w:color w:val="auto"/>
          <w:sz w:val="32"/>
          <w:szCs w:val="32"/>
          <w:highlight w:val="none"/>
          <w:lang w:bidi="ar-SA"/>
        </w:rPr>
        <w:t>.卫生健康支出（类）公共卫生（款）</w:t>
      </w:r>
      <w:r>
        <w:rPr>
          <w:rFonts w:hint="default" w:ascii="仿宋" w:hAnsi="仿宋" w:eastAsia="仿宋" w:cs="仿宋"/>
          <w:color w:val="auto"/>
          <w:sz w:val="32"/>
          <w:szCs w:val="32"/>
          <w:highlight w:val="none"/>
          <w:lang w:eastAsia="zh-CN" w:bidi="ar-SA"/>
          <w:woUserID w:val="2"/>
        </w:rPr>
        <w:t>其他公共卫生支出</w:t>
      </w:r>
      <w:r>
        <w:rPr>
          <w:rFonts w:hint="eastAsia" w:ascii="仿宋" w:hAnsi="仿宋" w:eastAsia="仿宋" w:cs="仿宋"/>
          <w:color w:val="auto"/>
          <w:sz w:val="32"/>
          <w:szCs w:val="32"/>
          <w:highlight w:val="none"/>
          <w:lang w:bidi="ar-SA"/>
        </w:rPr>
        <w:t>（项）2100499：</w:t>
      </w:r>
      <w:r>
        <w:rPr>
          <w:rFonts w:hint="default" w:ascii="仿宋_GB2312" w:hAnsi="Times New Roman" w:eastAsia="仿宋_GB2312" w:cs="仿宋_GB2312"/>
          <w:kern w:val="2"/>
          <w:sz w:val="32"/>
          <w:szCs w:val="32"/>
          <w:highlight w:val="none"/>
          <w:lang w:val="en-US" w:eastAsia="zh-CN" w:bidi="ar"/>
          <w:woUserID w:val="2"/>
        </w:rPr>
        <w:t>反映其他用于公共卫生方面的支出</w:t>
      </w:r>
      <w:r>
        <w:rPr>
          <w:rFonts w:hint="eastAsia" w:ascii="仿宋" w:hAnsi="仿宋" w:eastAsia="仿宋" w:cs="仿宋"/>
          <w:color w:val="auto"/>
          <w:sz w:val="32"/>
          <w:szCs w:val="32"/>
          <w:highlight w:val="none"/>
          <w:lang w:eastAsia="zh-CN" w:bidi="ar-SA"/>
        </w:rPr>
        <w:t>。</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3</w:t>
      </w:r>
      <w:r>
        <w:rPr>
          <w:rFonts w:hint="eastAsia" w:ascii="仿宋" w:hAnsi="仿宋" w:eastAsia="仿宋" w:cs="仿宋"/>
          <w:color w:val="auto"/>
          <w:sz w:val="32"/>
          <w:szCs w:val="32"/>
          <w:highlight w:val="none"/>
          <w:lang w:val="en-US" w:eastAsia="zh-CN" w:bidi="ar-SA"/>
        </w:rPr>
        <w:t>8</w:t>
      </w:r>
      <w:r>
        <w:rPr>
          <w:rFonts w:hint="eastAsia" w:ascii="仿宋" w:hAnsi="仿宋" w:eastAsia="仿宋" w:cs="仿宋"/>
          <w:color w:val="auto"/>
          <w:sz w:val="32"/>
          <w:szCs w:val="32"/>
          <w:highlight w:val="none"/>
          <w:lang w:bidi="ar-SA"/>
        </w:rPr>
        <w:t>.卫生健康支出（类）中医药（款）中医（民族医）药专项（项）2100601：指反映中医（民族医）药方面的专项支出。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bidi="ar-SA"/>
        </w:rPr>
        <w:t>3</w:t>
      </w:r>
      <w:r>
        <w:rPr>
          <w:rFonts w:hint="eastAsia" w:ascii="仿宋" w:hAnsi="仿宋" w:eastAsia="仿宋" w:cs="仿宋"/>
          <w:color w:val="auto"/>
          <w:sz w:val="32"/>
          <w:szCs w:val="32"/>
          <w:highlight w:val="none"/>
          <w:lang w:val="en-US" w:eastAsia="zh-CN" w:bidi="ar-SA"/>
        </w:rPr>
        <w:t>9</w:t>
      </w:r>
      <w:r>
        <w:rPr>
          <w:rFonts w:hint="eastAsia" w:ascii="仿宋" w:hAnsi="仿宋" w:eastAsia="仿宋" w:cs="仿宋"/>
          <w:color w:val="auto"/>
          <w:sz w:val="32"/>
          <w:szCs w:val="32"/>
          <w:highlight w:val="none"/>
          <w:lang w:bidi="ar-SA"/>
        </w:rPr>
        <w:t>.卫生健康支出（类）中医药（款）其他中医药支出（项）2100699：指反映除中医（民族医）药专项支出以外的其他中医药支出。</w:t>
      </w:r>
    </w:p>
    <w:p>
      <w:pPr>
        <w:pStyle w:val="2"/>
        <w:shd w:val="clea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bidi="ar-SA"/>
        </w:rPr>
        <w:t>40</w:t>
      </w:r>
      <w:r>
        <w:rPr>
          <w:rFonts w:hint="eastAsia" w:ascii="仿宋" w:hAnsi="仿宋" w:eastAsia="仿宋" w:cs="仿宋"/>
          <w:color w:val="auto"/>
          <w:sz w:val="32"/>
          <w:szCs w:val="32"/>
          <w:highlight w:val="none"/>
          <w:lang w:bidi="ar-SA"/>
        </w:rPr>
        <w:t>.卫生健康支出（类）计划生育事务（款）</w:t>
      </w:r>
      <w:r>
        <w:rPr>
          <w:rFonts w:hint="eastAsia" w:ascii="仿宋" w:hAnsi="仿宋" w:eastAsia="仿宋" w:cs="仿宋"/>
          <w:color w:val="auto"/>
          <w:sz w:val="32"/>
          <w:szCs w:val="32"/>
          <w:highlight w:val="none"/>
          <w:lang w:eastAsia="zh-CN" w:bidi="ar-SA"/>
        </w:rPr>
        <w:t>计划生育机构</w:t>
      </w:r>
      <w:r>
        <w:rPr>
          <w:rFonts w:hint="eastAsia" w:ascii="仿宋" w:hAnsi="仿宋" w:eastAsia="仿宋" w:cs="仿宋"/>
          <w:color w:val="auto"/>
          <w:sz w:val="32"/>
          <w:szCs w:val="32"/>
          <w:highlight w:val="none"/>
          <w:lang w:bidi="ar-SA"/>
        </w:rPr>
        <w:t>（项）21007</w:t>
      </w:r>
      <w:r>
        <w:rPr>
          <w:rFonts w:hint="eastAsia" w:ascii="仿宋" w:hAnsi="仿宋" w:eastAsia="仿宋" w:cs="仿宋"/>
          <w:color w:val="auto"/>
          <w:sz w:val="32"/>
          <w:szCs w:val="32"/>
          <w:highlight w:val="none"/>
          <w:lang w:val="en-US" w:eastAsia="zh-CN" w:bidi="ar-SA"/>
        </w:rPr>
        <w:t>16</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卫生健康部门所属计划生育机构</w:t>
      </w:r>
      <w:r>
        <w:rPr>
          <w:rFonts w:hint="eastAsia" w:ascii="仿宋" w:hAnsi="仿宋" w:eastAsia="仿宋" w:cs="仿宋"/>
          <w:color w:val="auto"/>
          <w:sz w:val="32"/>
          <w:szCs w:val="32"/>
          <w:highlight w:val="none"/>
          <w:lang w:bidi="ar-SA"/>
        </w:rPr>
        <w:t>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41</w:t>
      </w:r>
      <w:r>
        <w:rPr>
          <w:rFonts w:hint="eastAsia" w:ascii="仿宋" w:hAnsi="仿宋" w:eastAsia="仿宋" w:cs="仿宋"/>
          <w:color w:val="auto"/>
          <w:sz w:val="32"/>
          <w:szCs w:val="32"/>
          <w:highlight w:val="none"/>
          <w:lang w:bidi="ar-SA"/>
        </w:rPr>
        <w:t>.卫生健康支出（类）计划生育事务（款）其他计划生育事务支出（项）2100799：指反映除上述项目以外其他用于计划生育管理事务方面的支出。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42</w:t>
      </w:r>
      <w:r>
        <w:rPr>
          <w:rFonts w:hint="eastAsia" w:ascii="仿宋" w:hAnsi="仿宋" w:eastAsia="仿宋" w:cs="仿宋"/>
          <w:color w:val="auto"/>
          <w:sz w:val="32"/>
          <w:szCs w:val="32"/>
          <w:highlight w:val="none"/>
          <w:lang w:bidi="ar-SA"/>
        </w:rPr>
        <w:t>.卫生健康支出（类）行政事业单位医疗（款）行政单位医疗（项）2101101：指反映财政部门安排的行政单位（包括实行公务员管理的事业单位）基本医疗保险缴费经费，未参加医疗保险的行政单位的公费医疗经费，按国家规定享受离休人员、红军老战士待遇人员的医疗经费。</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43</w:t>
      </w:r>
      <w:r>
        <w:rPr>
          <w:rFonts w:hint="eastAsia" w:ascii="仿宋" w:hAnsi="仿宋" w:eastAsia="仿宋" w:cs="仿宋"/>
          <w:color w:val="auto"/>
          <w:sz w:val="32"/>
          <w:szCs w:val="32"/>
          <w:highlight w:val="none"/>
          <w:lang w:bidi="ar-SA"/>
        </w:rPr>
        <w:t>.卫生健康支出（类）行政事业单位医疗（款）事业单位医疗（项）2101102：指反映财政部门安排的事业单位基本医疗保险缴费经费，未参加医疗保险的事业单位的公费医疗经费，按国家规定享受离休人员待遇的医疗经费。</w:t>
      </w:r>
    </w:p>
    <w:p>
      <w:pPr>
        <w:shd w:val="clea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bidi="ar-SA"/>
        </w:rPr>
        <w:t>44</w:t>
      </w:r>
      <w:r>
        <w:rPr>
          <w:rFonts w:hint="eastAsia" w:ascii="仿宋" w:hAnsi="仿宋" w:eastAsia="仿宋" w:cs="仿宋"/>
          <w:color w:val="auto"/>
          <w:sz w:val="32"/>
          <w:szCs w:val="32"/>
          <w:highlight w:val="none"/>
          <w:lang w:bidi="ar-SA"/>
        </w:rPr>
        <w:t>.卫生健康支出（类）</w:t>
      </w:r>
      <w:r>
        <w:rPr>
          <w:rFonts w:hint="eastAsia" w:ascii="仿宋" w:hAnsi="仿宋" w:eastAsia="仿宋" w:cs="仿宋"/>
          <w:color w:val="auto"/>
          <w:sz w:val="32"/>
          <w:szCs w:val="32"/>
          <w:highlight w:val="none"/>
          <w:lang w:eastAsia="zh-CN" w:bidi="ar-SA"/>
        </w:rPr>
        <w:t>医疗保障管理事务</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其他医疗保障管理事务支出</w:t>
      </w:r>
      <w:r>
        <w:rPr>
          <w:rFonts w:hint="eastAsia" w:ascii="仿宋" w:hAnsi="仿宋" w:eastAsia="仿宋" w:cs="仿宋"/>
          <w:color w:val="auto"/>
          <w:sz w:val="32"/>
          <w:szCs w:val="32"/>
          <w:highlight w:val="none"/>
          <w:lang w:bidi="ar-SA"/>
        </w:rPr>
        <w:t>（项）</w:t>
      </w:r>
      <w:r>
        <w:rPr>
          <w:rFonts w:hint="eastAsia" w:ascii="仿宋" w:hAnsi="仿宋" w:eastAsia="仿宋" w:cs="仿宋"/>
          <w:color w:val="auto"/>
          <w:sz w:val="32"/>
          <w:szCs w:val="32"/>
          <w:highlight w:val="none"/>
          <w:lang w:val="en-US" w:eastAsia="zh-CN" w:bidi="ar-SA"/>
        </w:rPr>
        <w:t>2101599</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除上述项目以外的其他用于医疗保障管理事务方面</w:t>
      </w:r>
      <w:r>
        <w:rPr>
          <w:rFonts w:hint="eastAsia" w:ascii="仿宋" w:hAnsi="仿宋" w:eastAsia="仿宋" w:cs="仿宋"/>
          <w:color w:val="auto"/>
          <w:sz w:val="32"/>
          <w:szCs w:val="32"/>
          <w:highlight w:val="none"/>
          <w:lang w:bidi="ar-SA"/>
        </w:rPr>
        <w:t>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45</w:t>
      </w:r>
      <w:r>
        <w:rPr>
          <w:rFonts w:hint="eastAsia" w:ascii="仿宋" w:hAnsi="仿宋" w:eastAsia="仿宋" w:cs="仿宋"/>
          <w:color w:val="auto"/>
          <w:sz w:val="32"/>
          <w:szCs w:val="32"/>
          <w:highlight w:val="none"/>
          <w:lang w:bidi="ar-SA"/>
        </w:rPr>
        <w:t>.卫生健康支出（类）</w:t>
      </w:r>
      <w:r>
        <w:rPr>
          <w:rFonts w:hint="eastAsia" w:ascii="仿宋" w:hAnsi="仿宋" w:eastAsia="仿宋" w:cs="仿宋"/>
          <w:color w:val="auto"/>
          <w:sz w:val="32"/>
          <w:szCs w:val="32"/>
          <w:highlight w:val="none"/>
          <w:lang w:eastAsia="zh-CN" w:bidi="ar-SA"/>
        </w:rPr>
        <w:t>老龄卫生健康事务</w:t>
      </w:r>
      <w:r>
        <w:rPr>
          <w:rFonts w:hint="eastAsia" w:ascii="仿宋" w:hAnsi="仿宋" w:eastAsia="仿宋" w:cs="仿宋"/>
          <w:color w:val="auto"/>
          <w:sz w:val="32"/>
          <w:szCs w:val="32"/>
          <w:highlight w:val="none"/>
          <w:lang w:bidi="ar-SA"/>
        </w:rPr>
        <w:t>（款）</w:t>
      </w:r>
      <w:r>
        <w:rPr>
          <w:rFonts w:hint="eastAsia" w:ascii="仿宋" w:hAnsi="仿宋" w:eastAsia="仿宋" w:cs="仿宋"/>
          <w:color w:val="auto"/>
          <w:sz w:val="32"/>
          <w:szCs w:val="32"/>
          <w:highlight w:val="none"/>
          <w:lang w:eastAsia="zh-CN" w:bidi="ar-SA"/>
        </w:rPr>
        <w:t>老龄卫生健康事务</w:t>
      </w:r>
      <w:r>
        <w:rPr>
          <w:rFonts w:hint="eastAsia" w:ascii="仿宋" w:hAnsi="仿宋" w:eastAsia="仿宋" w:cs="仿宋"/>
          <w:color w:val="auto"/>
          <w:sz w:val="32"/>
          <w:szCs w:val="32"/>
          <w:highlight w:val="none"/>
          <w:lang w:bidi="ar-SA"/>
        </w:rPr>
        <w:t>（项）</w:t>
      </w:r>
      <w:r>
        <w:rPr>
          <w:rFonts w:hint="eastAsia" w:ascii="仿宋" w:hAnsi="仿宋" w:eastAsia="仿宋" w:cs="仿宋"/>
          <w:color w:val="auto"/>
          <w:sz w:val="32"/>
          <w:szCs w:val="32"/>
          <w:highlight w:val="none"/>
          <w:lang w:val="en-US" w:eastAsia="zh-CN" w:bidi="ar-SA"/>
        </w:rPr>
        <w:t>2101601</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老龄卫生健康事务</w:t>
      </w:r>
      <w:r>
        <w:rPr>
          <w:rFonts w:hint="eastAsia" w:ascii="仿宋" w:hAnsi="仿宋" w:eastAsia="仿宋" w:cs="仿宋"/>
          <w:color w:val="auto"/>
          <w:sz w:val="32"/>
          <w:szCs w:val="32"/>
          <w:highlight w:val="none"/>
          <w:lang w:bidi="ar-SA"/>
        </w:rPr>
        <w:t>方面的支出。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46</w:t>
      </w:r>
      <w:r>
        <w:rPr>
          <w:rFonts w:hint="eastAsia" w:ascii="仿宋" w:hAnsi="仿宋" w:eastAsia="仿宋" w:cs="仿宋"/>
          <w:color w:val="auto"/>
          <w:sz w:val="32"/>
          <w:szCs w:val="32"/>
          <w:highlight w:val="none"/>
          <w:lang w:bidi="ar-SA"/>
        </w:rPr>
        <w:t>.卫生健康支出（类）其他卫生健康支出（款）其他卫生健康支出（项）21099</w:t>
      </w:r>
      <w:r>
        <w:rPr>
          <w:rFonts w:hint="eastAsia" w:ascii="仿宋" w:hAnsi="仿宋" w:eastAsia="仿宋" w:cs="仿宋"/>
          <w:color w:val="auto"/>
          <w:sz w:val="32"/>
          <w:szCs w:val="32"/>
          <w:highlight w:val="none"/>
          <w:lang w:val="en-US" w:eastAsia="zh-CN" w:bidi="ar-SA"/>
        </w:rPr>
        <w:t>99</w:t>
      </w:r>
      <w:r>
        <w:rPr>
          <w:rFonts w:hint="eastAsia" w:ascii="仿宋" w:hAnsi="仿宋" w:eastAsia="仿宋" w:cs="仿宋"/>
          <w:color w:val="auto"/>
          <w:sz w:val="32"/>
          <w:szCs w:val="32"/>
          <w:highlight w:val="none"/>
          <w:lang w:bidi="ar-SA"/>
        </w:rPr>
        <w:t>：指反映除上述项目以外其他用于卫生健康方面的支出。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47</w:t>
      </w:r>
      <w:r>
        <w:rPr>
          <w:rFonts w:hint="eastAsia" w:ascii="仿宋" w:hAnsi="仿宋" w:eastAsia="仿宋" w:cs="仿宋"/>
          <w:color w:val="auto"/>
          <w:sz w:val="32"/>
          <w:szCs w:val="32"/>
          <w:highlight w:val="none"/>
          <w:lang w:bidi="ar-SA"/>
        </w:rPr>
        <w:t>.住房保障支出（类）住房改革支出（款）住房公积金（项）2210201：指反映行政事业单位按人力资源和社会保障部、财政部规定的基本工资和津贴补贴以及规定比例为职工缴纳的住房公积金。</w:t>
      </w:r>
    </w:p>
    <w:p>
      <w:pPr>
        <w:shd w:val="clea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bidi="ar-SA"/>
        </w:rPr>
        <w:t>48</w:t>
      </w:r>
      <w:r>
        <w:rPr>
          <w:rFonts w:hint="eastAsia" w:ascii="仿宋" w:hAnsi="仿宋" w:eastAsia="仿宋" w:cs="仿宋"/>
          <w:color w:val="auto"/>
          <w:sz w:val="32"/>
          <w:szCs w:val="32"/>
          <w:highlight w:val="none"/>
          <w:lang w:bidi="ar-SA"/>
        </w:rPr>
        <w:t>.住房保障支出（类）住房改革支出（款）</w:t>
      </w:r>
      <w:r>
        <w:rPr>
          <w:rFonts w:hint="eastAsia" w:ascii="仿宋" w:hAnsi="仿宋" w:eastAsia="仿宋" w:cs="仿宋"/>
          <w:color w:val="auto"/>
          <w:sz w:val="32"/>
          <w:szCs w:val="32"/>
          <w:highlight w:val="none"/>
          <w:lang w:eastAsia="zh-CN" w:bidi="ar-SA"/>
        </w:rPr>
        <w:t>购房补贴</w:t>
      </w:r>
      <w:r>
        <w:rPr>
          <w:rFonts w:hint="eastAsia" w:ascii="仿宋" w:hAnsi="仿宋" w:eastAsia="仿宋" w:cs="仿宋"/>
          <w:color w:val="auto"/>
          <w:sz w:val="32"/>
          <w:szCs w:val="32"/>
          <w:highlight w:val="none"/>
          <w:lang w:bidi="ar-SA"/>
        </w:rPr>
        <w:t>（项）221020</w:t>
      </w:r>
      <w:r>
        <w:rPr>
          <w:rFonts w:hint="eastAsia" w:ascii="仿宋" w:hAnsi="仿宋" w:eastAsia="仿宋" w:cs="仿宋"/>
          <w:color w:val="auto"/>
          <w:sz w:val="32"/>
          <w:szCs w:val="32"/>
          <w:highlight w:val="none"/>
          <w:lang w:val="en-US" w:eastAsia="zh-CN" w:bidi="ar-SA"/>
        </w:rPr>
        <w:t>3</w:t>
      </w:r>
      <w:r>
        <w:rPr>
          <w:rFonts w:hint="eastAsia" w:ascii="仿宋" w:hAnsi="仿宋" w:eastAsia="仿宋" w:cs="仿宋"/>
          <w:color w:val="auto"/>
          <w:sz w:val="32"/>
          <w:szCs w:val="32"/>
          <w:highlight w:val="none"/>
          <w:lang w:bidi="ar-SA"/>
        </w:rPr>
        <w:t>：指反映</w:t>
      </w:r>
      <w:r>
        <w:rPr>
          <w:rFonts w:hint="eastAsia" w:ascii="仿宋" w:hAnsi="仿宋" w:eastAsia="仿宋" w:cs="仿宋"/>
          <w:color w:val="auto"/>
          <w:sz w:val="32"/>
          <w:szCs w:val="32"/>
          <w:highlight w:val="none"/>
          <w:lang w:eastAsia="zh-CN" w:bidi="ar-SA"/>
        </w:rPr>
        <w:t>按房改政策规定，行政事业单位向符合条件职工（含离退休人员）、军队（含武警）向转役复员离退休人员发放的用于购买住房的补贴</w:t>
      </w:r>
      <w:r>
        <w:rPr>
          <w:rFonts w:hint="eastAsia" w:ascii="仿宋" w:hAnsi="仿宋" w:eastAsia="仿宋" w:cs="仿宋"/>
          <w:color w:val="auto"/>
          <w:sz w:val="32"/>
          <w:szCs w:val="32"/>
          <w:highlight w:val="none"/>
          <w:lang w:bidi="ar-SA"/>
        </w:rPr>
        <w:t>。</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49</w:t>
      </w:r>
      <w:r>
        <w:rPr>
          <w:rFonts w:hint="eastAsia" w:ascii="仿宋" w:hAnsi="仿宋" w:eastAsia="仿宋" w:cs="仿宋"/>
          <w:color w:val="auto"/>
          <w:sz w:val="32"/>
          <w:szCs w:val="32"/>
          <w:highlight w:val="none"/>
          <w:lang w:bidi="ar-SA"/>
        </w:rPr>
        <w:t>.基本支出：指为保障机构正常运转、完成日常工作任务而发生的人员支出和公用支出。</w:t>
      </w:r>
    </w:p>
    <w:p>
      <w:pPr>
        <w:shd w:val="clear"/>
        <w:ind w:firstLine="640" w:firstLineChars="200"/>
        <w:rPr>
          <w:rFonts w:hint="eastAsia" w:ascii="仿宋" w:hAnsi="仿宋" w:eastAsia="仿宋" w:cs="仿宋"/>
          <w:color w:val="auto"/>
          <w:sz w:val="32"/>
          <w:szCs w:val="32"/>
          <w:highlight w:val="none"/>
          <w:lang w:bidi="ar-SA"/>
        </w:rPr>
      </w:pPr>
      <w:r>
        <w:rPr>
          <w:rFonts w:hint="eastAsia" w:ascii="仿宋" w:hAnsi="仿宋" w:eastAsia="仿宋" w:cs="仿宋"/>
          <w:color w:val="auto"/>
          <w:sz w:val="32"/>
          <w:szCs w:val="32"/>
          <w:highlight w:val="none"/>
          <w:lang w:val="en-US" w:eastAsia="zh-CN" w:bidi="ar-SA"/>
        </w:rPr>
        <w:t>50</w:t>
      </w:r>
      <w:r>
        <w:rPr>
          <w:rFonts w:hint="eastAsia" w:ascii="仿宋" w:hAnsi="仿宋" w:eastAsia="仿宋" w:cs="仿宋"/>
          <w:color w:val="auto"/>
          <w:sz w:val="32"/>
          <w:szCs w:val="32"/>
          <w:highlight w:val="none"/>
          <w:lang w:bidi="ar-SA"/>
        </w:rPr>
        <w:t>.项目支出：指在基本支出之外为完成特定行政任务和事业发展目标所发生的支出。</w:t>
      </w:r>
    </w:p>
    <w:p>
      <w:pPr>
        <w:pStyle w:val="31"/>
        <w:shd w:val="clear"/>
        <w:spacing w:line="560" w:lineRule="exact"/>
        <w:ind w:firstLine="640" w:firstLineChars="200"/>
        <w:rPr>
          <w:rFonts w:hint="eastAsia" w:ascii="仿宋" w:hAnsi="仿宋" w:eastAsia="仿宋" w:cs="仿宋"/>
          <w:color w:val="auto"/>
          <w:kern w:val="2"/>
          <w:sz w:val="32"/>
          <w:szCs w:val="32"/>
          <w:highlight w:val="none"/>
          <w:lang w:bidi="ar-SA"/>
        </w:rPr>
      </w:pPr>
      <w:r>
        <w:rPr>
          <w:rFonts w:hint="eastAsia" w:ascii="仿宋" w:hAnsi="仿宋" w:eastAsia="仿宋" w:cs="仿宋"/>
          <w:color w:val="auto"/>
          <w:kern w:val="2"/>
          <w:sz w:val="32"/>
          <w:szCs w:val="32"/>
          <w:highlight w:val="none"/>
          <w:lang w:val="en-US" w:eastAsia="zh-CN" w:bidi="ar-SA"/>
        </w:rPr>
        <w:t>51</w:t>
      </w:r>
      <w:r>
        <w:rPr>
          <w:rFonts w:hint="eastAsia" w:ascii="仿宋" w:hAnsi="仿宋" w:eastAsia="仿宋" w:cs="仿宋"/>
          <w:color w:val="auto"/>
          <w:kern w:val="2"/>
          <w:sz w:val="32"/>
          <w:szCs w:val="32"/>
          <w:highlight w:val="none"/>
          <w:lang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hd w:val="clear"/>
        <w:ind w:firstLine="640" w:firstLineChars="200"/>
        <w:rPr>
          <w:rFonts w:hint="eastAsia" w:ascii="仿宋" w:hAnsi="仿宋" w:eastAsia="仿宋" w:cs="仿宋"/>
          <w:color w:val="auto"/>
          <w:kern w:val="2"/>
          <w:sz w:val="32"/>
          <w:szCs w:val="32"/>
          <w:highlight w:val="none"/>
          <w:lang w:val="en-US" w:bidi="ar-SA"/>
        </w:rPr>
      </w:pPr>
      <w:r>
        <w:rPr>
          <w:rFonts w:hint="eastAsia" w:ascii="仿宋" w:hAnsi="仿宋" w:eastAsia="仿宋" w:cs="仿宋"/>
          <w:color w:val="auto"/>
          <w:kern w:val="2"/>
          <w:sz w:val="32"/>
          <w:szCs w:val="32"/>
          <w:highlight w:val="none"/>
          <w:lang w:val="en-US" w:eastAsia="zh-CN" w:bidi="ar-SA"/>
        </w:rPr>
        <w:t xml:space="preserve">52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hd w:val="clear"/>
        <w:spacing w:line="600" w:lineRule="exact"/>
        <w:jc w:val="both"/>
        <w:outlineLvl w:val="0"/>
        <w:rPr>
          <w:rFonts w:hint="eastAsia" w:ascii="仿宋" w:hAnsi="仿宋" w:eastAsia="仿宋" w:cs="仿宋"/>
          <w:color w:val="auto"/>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pPr>
        <w:shd w:val="clear"/>
        <w:spacing w:line="600" w:lineRule="exact"/>
        <w:jc w:val="center"/>
        <w:outlineLvl w:val="0"/>
        <w:rPr>
          <w:rStyle w:val="21"/>
          <w:rFonts w:hint="eastAsia" w:ascii="黑体" w:hAnsi="黑体" w:eastAsia="黑体"/>
          <w:b w:val="0"/>
          <w:color w:val="auto"/>
          <w:highlight w:val="none"/>
          <w:lang w:eastAsia="zh-CN"/>
        </w:rPr>
      </w:pPr>
      <w:bookmarkStart w:id="72" w:name="_Toc32301"/>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70"/>
      <w:bookmarkEnd w:id="72"/>
    </w:p>
    <w:p>
      <w:pPr>
        <w:keepNext w:val="0"/>
        <w:keepLines w:val="0"/>
        <w:pageBreakBefore w:val="0"/>
        <w:shd w:val="clear"/>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p>
    <w:p>
      <w:pPr>
        <w:pStyle w:val="2"/>
        <w:shd w:val="clear"/>
        <w:rPr>
          <w:rFonts w:hint="eastAsia" w:ascii="黑体" w:hAnsi="黑体" w:eastAsia="黑体" w:cs="黑体"/>
          <w:color w:val="auto"/>
          <w:sz w:val="32"/>
          <w:szCs w:val="32"/>
          <w:highlight w:val="none"/>
        </w:rPr>
      </w:pPr>
    </w:p>
    <w:p>
      <w:pPr>
        <w:widowControl/>
        <w:shd w:val="clear"/>
        <w:spacing w:line="580" w:lineRule="exact"/>
        <w:contextualSpacing/>
        <w:jc w:val="cente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广元市卫生健康委员会</w:t>
      </w:r>
    </w:p>
    <w:p>
      <w:pPr>
        <w:widowControl/>
        <w:shd w:val="clear"/>
        <w:spacing w:line="580" w:lineRule="exact"/>
        <w:contextualSpacing/>
        <w:jc w:val="cente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2023年部门整体支出绩效评价报告</w:t>
      </w:r>
    </w:p>
    <w:p>
      <w:pPr>
        <w:widowControl/>
        <w:shd w:val="clear"/>
        <w:spacing w:line="580" w:lineRule="exact"/>
        <w:contextualSpacing/>
        <w:jc w:val="center"/>
        <w:rPr>
          <w:rFonts w:hint="eastAsia" w:ascii="楷体_GB2312" w:hAnsi="楷体_GB2312" w:eastAsia="楷体_GB2312" w:cs="楷体_GB2312"/>
          <w:color w:val="auto"/>
          <w:sz w:val="32"/>
          <w:szCs w:val="32"/>
          <w:highlight w:val="none"/>
          <w:shd w:val="clear" w:color="auto" w:fill="FFFFFF"/>
          <w:lang w:val="en-US" w:eastAsia="zh-CN"/>
        </w:rPr>
      </w:pPr>
      <w:r>
        <w:rPr>
          <w:rFonts w:hint="eastAsia" w:ascii="楷体_GB2312" w:hAnsi="楷体_GB2312" w:eastAsia="楷体_GB2312" w:cs="楷体_GB2312"/>
          <w:color w:val="auto"/>
          <w:sz w:val="32"/>
          <w:szCs w:val="32"/>
          <w:highlight w:val="none"/>
          <w:shd w:val="clear" w:color="auto" w:fill="FFFFFF"/>
          <w:lang w:val="en-US" w:eastAsia="zh-CN"/>
        </w:rPr>
        <w:t>（报告范围包括机关和下属单位）</w:t>
      </w:r>
    </w:p>
    <w:p>
      <w:pPr>
        <w:widowControl/>
        <w:shd w:val="clear"/>
        <w:adjustRightInd w:val="0"/>
        <w:snapToGrid w:val="0"/>
        <w:spacing w:line="580" w:lineRule="exact"/>
        <w:ind w:firstLine="480" w:firstLineChars="200"/>
        <w:contextualSpacing/>
        <w:jc w:val="left"/>
        <w:rPr>
          <w:rFonts w:ascii="黑体" w:hAnsi="宋体" w:eastAsia="黑体" w:cs="宋体"/>
          <w:color w:val="auto"/>
          <w:kern w:val="0"/>
          <w:sz w:val="24"/>
          <w:szCs w:val="32"/>
          <w:highlight w:val="none"/>
          <w:shd w:val="clear" w:color="auto" w:fill="FFFFFF"/>
        </w:rPr>
      </w:pPr>
    </w:p>
    <w:p>
      <w:pPr>
        <w:keepNext w:val="0"/>
        <w:keepLines w:val="0"/>
        <w:pageBreakBefore w:val="0"/>
        <w:widowControl/>
        <w:numPr>
          <w:ilvl w:val="0"/>
          <w:numId w:val="5"/>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（一）机构组成。</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广元市卫生健康委员会属于一级预算单位，共有直属二级预算单位</w:t>
      </w:r>
      <w:r>
        <w:rPr>
          <w:rFonts w:hint="eastAsia" w:ascii="仿宋" w:hAnsi="仿宋" w:eastAsia="仿宋" w:cs="仿宋"/>
          <w:color w:val="auto"/>
          <w:kern w:val="0"/>
          <w:sz w:val="32"/>
          <w:szCs w:val="32"/>
          <w:highlight w:val="none"/>
          <w:shd w:val="clear" w:color="auto" w:fill="FFFFFF"/>
          <w:lang w:val="en-US" w:eastAsia="zh-CN"/>
        </w:rPr>
        <w:t>13个</w:t>
      </w:r>
      <w:r>
        <w:rPr>
          <w:rFonts w:hint="eastAsia" w:ascii="仿宋" w:hAnsi="仿宋" w:eastAsia="仿宋" w:cs="仿宋"/>
          <w:color w:val="auto"/>
          <w:kern w:val="0"/>
          <w:sz w:val="32"/>
          <w:szCs w:val="32"/>
          <w:highlight w:val="none"/>
          <w:shd w:val="clear" w:color="auto" w:fill="FFFFFF"/>
          <w:lang w:val="zh-CN"/>
        </w:rPr>
        <w:t>：其中，广元市卫生健康委员会本级预算单位1个、直属参公事业预算单位</w:t>
      </w:r>
      <w:r>
        <w:rPr>
          <w:rFonts w:hint="eastAsia" w:ascii="仿宋" w:hAnsi="仿宋" w:eastAsia="仿宋" w:cs="仿宋"/>
          <w:color w:val="auto"/>
          <w:kern w:val="0"/>
          <w:sz w:val="32"/>
          <w:szCs w:val="32"/>
          <w:highlight w:val="none"/>
          <w:shd w:val="clear" w:color="auto" w:fill="FFFFFF"/>
          <w:lang w:val="en-US" w:eastAsia="zh-CN"/>
        </w:rPr>
        <w:t>2</w:t>
      </w:r>
      <w:r>
        <w:rPr>
          <w:rFonts w:hint="eastAsia" w:ascii="仿宋" w:hAnsi="仿宋" w:eastAsia="仿宋" w:cs="仿宋"/>
          <w:color w:val="auto"/>
          <w:kern w:val="0"/>
          <w:sz w:val="32"/>
          <w:szCs w:val="32"/>
          <w:highlight w:val="none"/>
          <w:shd w:val="clear" w:color="auto" w:fill="FFFFFF"/>
          <w:lang w:val="zh-CN"/>
        </w:rPr>
        <w:t>个、直属事业预算单位10个。分别为：1.广元市卫生健康委员会本级，2.市妇幼保健计划生育服务中心，3.市疾病预防控制中心，4.市中心医院，5.市中医医院，6.市第一人民医院，7.市中心血站，</w:t>
      </w:r>
      <w:r>
        <w:rPr>
          <w:rFonts w:hint="eastAsia" w:ascii="仿宋" w:hAnsi="仿宋" w:eastAsia="仿宋" w:cs="仿宋"/>
          <w:color w:val="auto"/>
          <w:kern w:val="0"/>
          <w:sz w:val="32"/>
          <w:szCs w:val="32"/>
          <w:highlight w:val="none"/>
          <w:shd w:val="clear" w:color="auto" w:fill="FFFFFF"/>
          <w:lang w:val="en-US" w:eastAsia="zh-CN"/>
        </w:rPr>
        <w:t>8</w:t>
      </w:r>
      <w:r>
        <w:rPr>
          <w:rFonts w:hint="eastAsia" w:ascii="仿宋" w:hAnsi="仿宋" w:eastAsia="仿宋" w:cs="仿宋"/>
          <w:color w:val="auto"/>
          <w:kern w:val="0"/>
          <w:sz w:val="32"/>
          <w:szCs w:val="32"/>
          <w:highlight w:val="none"/>
          <w:shd w:val="clear" w:color="auto" w:fill="FFFFFF"/>
          <w:lang w:val="zh-CN"/>
        </w:rPr>
        <w:t>.市</w:t>
      </w:r>
      <w:r>
        <w:rPr>
          <w:rFonts w:hint="eastAsia" w:ascii="仿宋" w:hAnsi="仿宋" w:eastAsia="仿宋" w:cs="仿宋"/>
          <w:color w:val="auto"/>
          <w:kern w:val="0"/>
          <w:sz w:val="32"/>
          <w:szCs w:val="32"/>
          <w:highlight w:val="none"/>
          <w:shd w:val="clear" w:color="auto" w:fill="FFFFFF"/>
          <w:lang w:val="zh-CN" w:eastAsia="zh-CN"/>
        </w:rPr>
        <w:t>精神卫生中心，</w:t>
      </w:r>
      <w:r>
        <w:rPr>
          <w:rFonts w:hint="eastAsia" w:ascii="仿宋" w:hAnsi="仿宋" w:eastAsia="仿宋" w:cs="仿宋"/>
          <w:color w:val="auto"/>
          <w:kern w:val="0"/>
          <w:sz w:val="32"/>
          <w:szCs w:val="32"/>
          <w:highlight w:val="none"/>
          <w:shd w:val="clear" w:color="auto" w:fill="FFFFFF"/>
          <w:lang w:val="en-US" w:eastAsia="zh-CN"/>
        </w:rPr>
        <w:t>9</w:t>
      </w:r>
      <w:r>
        <w:rPr>
          <w:rFonts w:hint="eastAsia" w:ascii="仿宋" w:hAnsi="仿宋" w:eastAsia="仿宋" w:cs="仿宋"/>
          <w:color w:val="auto"/>
          <w:kern w:val="0"/>
          <w:sz w:val="32"/>
          <w:szCs w:val="32"/>
          <w:highlight w:val="none"/>
          <w:shd w:val="clear" w:color="auto" w:fill="FFFFFF"/>
          <w:lang w:val="zh-CN"/>
        </w:rPr>
        <w:t>.市紧急救援中心，1</w:t>
      </w:r>
      <w:r>
        <w:rPr>
          <w:rFonts w:hint="eastAsia" w:ascii="仿宋" w:hAnsi="仿宋" w:eastAsia="仿宋" w:cs="仿宋"/>
          <w:color w:val="auto"/>
          <w:kern w:val="0"/>
          <w:sz w:val="32"/>
          <w:szCs w:val="32"/>
          <w:highlight w:val="none"/>
          <w:shd w:val="clear" w:color="auto" w:fill="FFFFFF"/>
          <w:lang w:val="en-US" w:eastAsia="zh-CN"/>
        </w:rPr>
        <w:t>0</w:t>
      </w:r>
      <w:r>
        <w:rPr>
          <w:rFonts w:hint="eastAsia" w:ascii="仿宋" w:hAnsi="仿宋" w:eastAsia="仿宋" w:cs="仿宋"/>
          <w:color w:val="auto"/>
          <w:kern w:val="0"/>
          <w:sz w:val="32"/>
          <w:szCs w:val="32"/>
          <w:highlight w:val="none"/>
          <w:shd w:val="clear" w:color="auto" w:fill="FFFFFF"/>
          <w:lang w:val="zh-CN"/>
        </w:rPr>
        <w:t>.市计划生育协会，1</w:t>
      </w:r>
      <w:r>
        <w:rPr>
          <w:rFonts w:hint="eastAsia" w:ascii="仿宋" w:hAnsi="仿宋" w:eastAsia="仿宋" w:cs="仿宋"/>
          <w:color w:val="auto"/>
          <w:kern w:val="0"/>
          <w:sz w:val="32"/>
          <w:szCs w:val="32"/>
          <w:highlight w:val="none"/>
          <w:shd w:val="clear" w:color="auto" w:fill="FFFFFF"/>
          <w:lang w:val="en-US" w:eastAsia="zh-CN"/>
        </w:rPr>
        <w:t>1</w:t>
      </w:r>
      <w:r>
        <w:rPr>
          <w:rFonts w:hint="eastAsia" w:ascii="仿宋" w:hAnsi="仿宋" w:eastAsia="仿宋" w:cs="仿宋"/>
          <w:color w:val="auto"/>
          <w:kern w:val="0"/>
          <w:sz w:val="32"/>
          <w:szCs w:val="32"/>
          <w:highlight w:val="none"/>
          <w:shd w:val="clear" w:color="auto" w:fill="FFFFFF"/>
          <w:lang w:val="zh-CN"/>
        </w:rPr>
        <w:t>.市计划生育药品器械管理站，1</w:t>
      </w:r>
      <w:r>
        <w:rPr>
          <w:rFonts w:hint="eastAsia" w:ascii="仿宋" w:hAnsi="仿宋" w:eastAsia="仿宋" w:cs="仿宋"/>
          <w:color w:val="auto"/>
          <w:kern w:val="0"/>
          <w:sz w:val="32"/>
          <w:szCs w:val="32"/>
          <w:highlight w:val="none"/>
          <w:shd w:val="clear" w:color="auto" w:fill="FFFFFF"/>
          <w:lang w:val="en-US" w:eastAsia="zh-CN"/>
        </w:rPr>
        <w:t>2</w:t>
      </w:r>
      <w:r>
        <w:rPr>
          <w:rFonts w:hint="eastAsia" w:ascii="仿宋" w:hAnsi="仿宋" w:eastAsia="仿宋" w:cs="仿宋"/>
          <w:color w:val="auto"/>
          <w:kern w:val="0"/>
          <w:sz w:val="32"/>
          <w:szCs w:val="32"/>
          <w:highlight w:val="none"/>
          <w:shd w:val="clear" w:color="auto" w:fill="FFFFFF"/>
          <w:lang w:val="zh-CN"/>
        </w:rPr>
        <w:t>.市医学技术服务管理中心，1</w:t>
      </w:r>
      <w:r>
        <w:rPr>
          <w:rFonts w:hint="eastAsia" w:ascii="仿宋" w:hAnsi="仿宋" w:eastAsia="仿宋" w:cs="仿宋"/>
          <w:color w:val="auto"/>
          <w:kern w:val="0"/>
          <w:sz w:val="32"/>
          <w:szCs w:val="32"/>
          <w:highlight w:val="none"/>
          <w:shd w:val="clear" w:color="auto" w:fill="FFFFFF"/>
          <w:lang w:val="en-US" w:eastAsia="zh-CN"/>
        </w:rPr>
        <w:t>3.</w:t>
      </w:r>
      <w:r>
        <w:rPr>
          <w:rFonts w:hint="eastAsia" w:ascii="仿宋" w:hAnsi="仿宋" w:eastAsia="仿宋" w:cs="仿宋"/>
          <w:color w:val="auto"/>
          <w:kern w:val="0"/>
          <w:sz w:val="32"/>
          <w:szCs w:val="32"/>
          <w:highlight w:val="none"/>
          <w:shd w:val="clear" w:color="auto" w:fill="FFFFFF"/>
          <w:lang w:val="zh-CN"/>
        </w:rPr>
        <w:t>市老龄工作委员会办公室。</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（二）机构职能。</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组织拟订全市卫生健康政策。负责起草卫生健康事业发展规章草案、政策措施、规划，组织实施卫生健康政策标准与技术规范。统筹规划全市卫生健康资源配置。制定并组织实施推进卫生健康基本公共服务均等化、普惠化、便捷化和公共资源向基层延伸等政策措施。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2.牵头推进全市深化医药卫生体制改革。研究提出深化改革重大政策、措施的建议。牵头组织全市分级诊疗、现代医院管理、全民医保、药品供应保障、综合监管5项基本医疗卫生制度建设。制定并组织实施推动卫生健康公共服务提供主体多元化、方式多样化的政策措施。 </w:t>
      </w:r>
    </w:p>
    <w:p>
      <w:pPr>
        <w:keepNext w:val="0"/>
        <w:keepLines w:val="0"/>
        <w:pageBreakBefore w:val="0"/>
        <w:widowControl/>
        <w:shd w:val="clear"/>
        <w:kinsoku/>
        <w:wordWrap/>
        <w:overflowPunct/>
        <w:topLinePunct w:val="0"/>
        <w:autoSpaceDE/>
        <w:autoSpaceDN/>
        <w:bidi w:val="0"/>
        <w:adjustRightInd w:val="0"/>
        <w:snapToGrid w:val="0"/>
        <w:spacing w:line="576" w:lineRule="exact"/>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 </w:t>
      </w:r>
      <w:r>
        <w:rPr>
          <w:rFonts w:hint="eastAsia" w:ascii="仿宋" w:hAnsi="仿宋" w:eastAsia="仿宋" w:cs="仿宋"/>
          <w:color w:val="auto"/>
          <w:kern w:val="0"/>
          <w:sz w:val="32"/>
          <w:szCs w:val="32"/>
          <w:highlight w:val="none"/>
          <w:shd w:val="clear" w:color="auto" w:fill="FFFFFF"/>
          <w:lang w:val="en-US" w:eastAsia="zh-CN"/>
        </w:rPr>
        <w:t xml:space="preserve">   </w:t>
      </w:r>
      <w:r>
        <w:rPr>
          <w:rFonts w:hint="eastAsia" w:ascii="仿宋" w:hAnsi="仿宋" w:eastAsia="仿宋" w:cs="仿宋"/>
          <w:color w:val="auto"/>
          <w:kern w:val="0"/>
          <w:sz w:val="32"/>
          <w:szCs w:val="32"/>
          <w:highlight w:val="none"/>
          <w:shd w:val="clear" w:color="auto" w:fill="FFFFFF"/>
          <w:lang w:val="zh-CN"/>
        </w:rPr>
        <w:t xml:space="preserve">3.制定并组织落实全市疾病预防控制规划、免疫规划以及严重危害人民健康的艾滋病等重大传染病、寄生虫病、地方病等公共卫生问题的干预措施。负责全市卫生应急工作，组织和指导全市突发公共卫生事件预防控制和各类突发公共事件的医疗卫生救援。发布法定报告传染病疫情信息、突发公共卫生事件应急处置信息。依照国家检疫传染病和监测传染病目录，参与开展检疫监测工作。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4.贯彻落实国家应对人口老龄化政策措施。负责推进老年健康服务体系建设和医养结合工作。承担市老龄工作委员会日常工作。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5.贯彻落实国家药物政策和国家基本药物制度。开展药械使用监测、临床综合评价和短缺药品预警，组织执行国家药典和国家基本药物目录、省药品增补目录和基本药物使用的政策措施。组织实施食品安全风险监测。开展食品安全企业标准备案。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6.负责职责范围内的职业卫生、放射卫生、环境卫生、学校卫生、公共场所卫生、饮用水卫生等公共卫生的监督管理。负责传染病防治监督，健全卫生健康综合监管体系，规范卫生健康行政执法行为，监督检查有关法律法规和政策措施的落实，组织查处重大违法行为。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7.制定全市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8.负责全市计划生育管理和服务工作。开展人口监测预警，研究提出人口与家庭发展相关政策建议，依法实施计划生育政策。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9.指导县（区）卫生健康工作。指导基层医疗卫生、妇幼健康服务体系和基层卫生队伍建设。推进卫生健康科技创新发展。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10.贯彻执行国家、省促进中医药（含中西医结合和民族医药）事业发展的法律法规，拟订全市中医药中长期发展规划并组织实施，促进中药资源的保护、开发和合理利用，拟订全市中药产业发展规划、产业政策和中药的扶持政策并组织实施，监督指导全市中医药工作。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11.负责市确定的保健对象的医疗保健工作。负责市本级离休干部医疗管理工作。负责重要会议与重大活动的医疗卫生保障工作。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12.指导市计划生育协会的业务工作。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13.依法依规履行卫生健康行业安全生产监管职责。负责职责范围内的生态环境保护、审批服务便民化等工作。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14.完成市委、市政府交办的其他任务。 </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 xml:space="preserve">15.职能转变。牢固树立大卫生、大健康理念，推动实施健康中国、健康四川和健康广元战略，助推中国生态康养旅游名市建设，以改革创新为动力，以促健康、转模式、强基层、重保障为着力点，把以治病为中心转变到以人民健康为中心，为人民群众提供全方位全周期卫生健康服务。一是更加注重预防为主和健康促进，提高健康意识，加强预防控制重大疾病工作，积极应对人口老龄化，健全卫生健康服务体系。二是更加注重卫生健康服务公平性和可及性，推动工作重心下移和资源下沉，推进卫生健康公共资源向基层延伸、向农村覆盖、向边远地区和生活困难群众倾斜。三是更加注重提高服务质量和水平，推动建设高质量健康服务基地和中医药强市。四是更加注重深化医药卫生体制改革的科学性和持续性，加快分级诊疗制度建设，加强医疗、医保、医药的联动改革，加大公立医院改革力度。 </w:t>
      </w:r>
    </w:p>
    <w:p>
      <w:pPr>
        <w:keepNext w:val="0"/>
        <w:keepLines w:val="0"/>
        <w:pageBreakBefore w:val="0"/>
        <w:widowControl/>
        <w:numPr>
          <w:ilvl w:val="0"/>
          <w:numId w:val="6"/>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人员概况。</w:t>
      </w:r>
    </w:p>
    <w:p>
      <w:pPr>
        <w:shd w:val="clear"/>
        <w:snapToGrid w:val="0"/>
        <w:spacing w:line="520" w:lineRule="exact"/>
        <w:ind w:firstLine="640" w:firstLineChars="200"/>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截止2022年12月31日，各单位人员情况如下：</w:t>
      </w:r>
    </w:p>
    <w:p>
      <w:pPr>
        <w:widowControl w:val="0"/>
        <w:numPr>
          <w:ilvl w:val="0"/>
          <w:numId w:val="0"/>
        </w:numPr>
        <w:shd w:val="clear"/>
        <w:adjustRightInd/>
        <w:spacing w:after="0" w:line="576" w:lineRule="exact"/>
        <w:ind w:firstLine="640" w:firstLineChars="200"/>
        <w:jc w:val="both"/>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1.卫健委机关</w:t>
      </w:r>
      <w:r>
        <w:rPr>
          <w:rFonts w:hint="eastAsia" w:ascii="仿宋" w:hAnsi="仿宋" w:eastAsia="仿宋" w:cs="仿宋"/>
          <w:color w:val="auto"/>
          <w:kern w:val="0"/>
          <w:sz w:val="32"/>
          <w:szCs w:val="32"/>
          <w:highlight w:val="none"/>
          <w:shd w:val="clear" w:color="auto" w:fill="FFFFFF"/>
          <w:lang w:val="zh-CN"/>
        </w:rPr>
        <w:t>年末编制人数</w:t>
      </w:r>
      <w:r>
        <w:rPr>
          <w:rFonts w:hint="eastAsia" w:ascii="仿宋" w:hAnsi="仿宋" w:eastAsia="仿宋" w:cs="仿宋"/>
          <w:color w:val="auto"/>
          <w:kern w:val="0"/>
          <w:sz w:val="32"/>
          <w:szCs w:val="32"/>
          <w:highlight w:val="none"/>
          <w:shd w:val="clear" w:color="auto" w:fill="FFFFFF"/>
          <w:lang w:val="en-US" w:eastAsia="zh-CN"/>
        </w:rPr>
        <w:t>83</w:t>
      </w:r>
      <w:r>
        <w:rPr>
          <w:rFonts w:hint="eastAsia" w:ascii="仿宋" w:hAnsi="仿宋" w:eastAsia="仿宋" w:cs="仿宋"/>
          <w:color w:val="auto"/>
          <w:kern w:val="0"/>
          <w:sz w:val="32"/>
          <w:szCs w:val="32"/>
          <w:highlight w:val="none"/>
          <w:shd w:val="clear" w:color="auto" w:fill="FFFFFF"/>
          <w:lang w:val="zh-CN"/>
        </w:rPr>
        <w:t>人，与上年相比增加</w:t>
      </w:r>
      <w:r>
        <w:rPr>
          <w:rFonts w:hint="eastAsia" w:ascii="仿宋" w:hAnsi="仿宋" w:eastAsia="仿宋" w:cs="仿宋"/>
          <w:color w:val="auto"/>
          <w:kern w:val="0"/>
          <w:sz w:val="32"/>
          <w:szCs w:val="32"/>
          <w:highlight w:val="none"/>
          <w:shd w:val="clear" w:color="auto" w:fill="FFFFFF"/>
          <w:lang w:val="en-US" w:eastAsia="zh-CN"/>
        </w:rPr>
        <w:t>21人，原因为执法支队合并</w:t>
      </w:r>
      <w:r>
        <w:rPr>
          <w:rFonts w:hint="eastAsia" w:ascii="仿宋" w:hAnsi="仿宋" w:eastAsia="仿宋" w:cs="仿宋"/>
          <w:color w:val="auto"/>
          <w:kern w:val="0"/>
          <w:sz w:val="32"/>
          <w:szCs w:val="32"/>
          <w:highlight w:val="none"/>
          <w:shd w:val="clear" w:color="auto" w:fill="FFFFFF"/>
          <w:lang w:val="zh-CN"/>
        </w:rPr>
        <w:t>；单位实有人数</w:t>
      </w:r>
      <w:r>
        <w:rPr>
          <w:rFonts w:hint="eastAsia" w:ascii="仿宋" w:hAnsi="仿宋" w:eastAsia="仿宋" w:cs="仿宋"/>
          <w:color w:val="auto"/>
          <w:kern w:val="0"/>
          <w:sz w:val="32"/>
          <w:szCs w:val="32"/>
          <w:highlight w:val="none"/>
          <w:shd w:val="clear" w:color="auto" w:fill="FFFFFF"/>
          <w:lang w:val="en-US" w:eastAsia="zh-CN"/>
        </w:rPr>
        <w:t>80</w:t>
      </w:r>
      <w:r>
        <w:rPr>
          <w:rFonts w:hint="eastAsia" w:ascii="仿宋" w:hAnsi="仿宋" w:eastAsia="仿宋" w:cs="仿宋"/>
          <w:color w:val="auto"/>
          <w:kern w:val="0"/>
          <w:sz w:val="32"/>
          <w:szCs w:val="32"/>
          <w:highlight w:val="none"/>
          <w:shd w:val="clear" w:color="auto" w:fill="FFFFFF"/>
          <w:lang w:val="zh-CN"/>
        </w:rPr>
        <w:t>人，其中在编人员</w:t>
      </w:r>
      <w:r>
        <w:rPr>
          <w:rFonts w:hint="eastAsia" w:ascii="仿宋" w:hAnsi="仿宋" w:eastAsia="仿宋" w:cs="仿宋"/>
          <w:color w:val="auto"/>
          <w:kern w:val="0"/>
          <w:sz w:val="32"/>
          <w:szCs w:val="32"/>
          <w:highlight w:val="none"/>
          <w:shd w:val="clear" w:color="auto" w:fill="FFFFFF"/>
          <w:lang w:val="en-US" w:eastAsia="zh-CN"/>
        </w:rPr>
        <w:t>80人</w:t>
      </w:r>
      <w:r>
        <w:rPr>
          <w:rFonts w:hint="eastAsia" w:ascii="仿宋" w:hAnsi="仿宋" w:eastAsia="仿宋" w:cs="仿宋"/>
          <w:color w:val="auto"/>
          <w:kern w:val="0"/>
          <w:sz w:val="32"/>
          <w:szCs w:val="32"/>
          <w:highlight w:val="none"/>
          <w:shd w:val="clear" w:color="auto" w:fill="FFFFFF"/>
          <w:lang w:val="zh-CN"/>
        </w:rPr>
        <w:t>。</w:t>
      </w:r>
    </w:p>
    <w:p>
      <w:pPr>
        <w:shd w:val="clear"/>
        <w:snapToGrid w:val="0"/>
        <w:spacing w:line="576" w:lineRule="exact"/>
        <w:ind w:firstLine="640" w:firstLineChars="200"/>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en-US" w:eastAsia="zh-CN"/>
        </w:rPr>
        <w:t>2.</w:t>
      </w:r>
      <w:r>
        <w:rPr>
          <w:rFonts w:hint="eastAsia" w:ascii="仿宋" w:hAnsi="仿宋" w:eastAsia="仿宋" w:cs="仿宋"/>
          <w:color w:val="auto"/>
          <w:kern w:val="0"/>
          <w:sz w:val="32"/>
          <w:szCs w:val="32"/>
          <w:highlight w:val="none"/>
          <w:shd w:val="clear" w:color="auto" w:fill="FFFFFF"/>
          <w:lang w:val="zh-CN"/>
        </w:rPr>
        <w:t>市保健院年末编制人数160人，与上年相比无变化；单位实有人数327人，其中在编人员131人，长期聘用人员196人。</w:t>
      </w:r>
    </w:p>
    <w:p>
      <w:pPr>
        <w:pStyle w:val="2"/>
        <w:shd w:val="clear"/>
        <w:ind w:firstLine="640" w:firstLineChars="200"/>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3.市疾控中心年末编制人数130人，与上年相比无变化；单位实有人数132人，其中在编人员118人，长期聘用人员14人。</w:t>
      </w:r>
    </w:p>
    <w:p>
      <w:pPr>
        <w:pStyle w:val="2"/>
        <w:shd w:val="clear"/>
        <w:ind w:firstLine="640" w:firstLineChars="200"/>
        <w:rPr>
          <w:rFonts w:hint="eastAsia"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en-US" w:eastAsia="zh-CN"/>
        </w:rPr>
        <w:t>4.市中心医院年末编制人数896人，与上年相比无变化；单位实有人数2279人，其中在编人员764人，长期聘用人员1515人。</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en-US" w:eastAsia="zh-CN"/>
        </w:rPr>
        <w:t>5.市中医院年末编制人数470人，与上年相比无变化；单位实有人数956人，其中在编人员426人，长期聘用人员530人。</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6.市第一人民医院年末编制人数863人，与上年相比无变化；单位实有人数1278人，其中在编人员596人，长期聘用人员682人。</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7.市血站年末编制人数50人，与上年相比无变化；单位实有人数48人，其中在编人员48人。</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en-US" w:eastAsia="zh-CN"/>
        </w:rPr>
        <w:t>8.市精神卫生中心年末编制人数726人，与上年相比无变化；单位实有人数1509人，其中在编人员622人，长期聘用人员887人。</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en-US" w:eastAsia="zh-CN"/>
        </w:rPr>
        <w:t>9.</w:t>
      </w:r>
      <w:r>
        <w:rPr>
          <w:rFonts w:hint="eastAsia" w:ascii="仿宋" w:hAnsi="仿宋" w:eastAsia="仿宋" w:cs="仿宋"/>
          <w:color w:val="auto"/>
          <w:kern w:val="0"/>
          <w:sz w:val="32"/>
          <w:szCs w:val="32"/>
          <w:highlight w:val="none"/>
          <w:shd w:val="clear" w:color="auto" w:fill="FFFFFF"/>
          <w:lang w:val="zh-CN" w:eastAsia="zh-CN"/>
        </w:rPr>
        <w:t>市紧急救援中心</w:t>
      </w:r>
      <w:r>
        <w:rPr>
          <w:rFonts w:hint="eastAsia" w:ascii="仿宋" w:hAnsi="仿宋" w:eastAsia="仿宋" w:cs="仿宋"/>
          <w:color w:val="auto"/>
          <w:kern w:val="0"/>
          <w:sz w:val="32"/>
          <w:szCs w:val="32"/>
          <w:highlight w:val="none"/>
          <w:shd w:val="clear" w:color="auto" w:fill="FFFFFF"/>
          <w:lang w:val="en-US" w:eastAsia="zh-CN"/>
        </w:rPr>
        <w:t>年末编制人数14人，与上年相比无变化；单位实有人数24人，其中在编人员13人，长期聘用人员1人，借用人员10人。</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en-US" w:eastAsia="zh-CN"/>
        </w:rPr>
        <w:t>10.</w:t>
      </w:r>
      <w:r>
        <w:rPr>
          <w:rFonts w:hint="eastAsia" w:ascii="仿宋" w:hAnsi="仿宋" w:eastAsia="仿宋" w:cs="仿宋"/>
          <w:color w:val="auto"/>
          <w:kern w:val="0"/>
          <w:sz w:val="32"/>
          <w:szCs w:val="32"/>
          <w:highlight w:val="none"/>
          <w:shd w:val="clear" w:color="auto" w:fill="FFFFFF"/>
          <w:lang w:val="zh-CN" w:eastAsia="zh-CN"/>
        </w:rPr>
        <w:t>市计划生育协会</w:t>
      </w:r>
      <w:r>
        <w:rPr>
          <w:rFonts w:hint="eastAsia" w:ascii="仿宋" w:hAnsi="仿宋" w:eastAsia="仿宋" w:cs="仿宋"/>
          <w:color w:val="auto"/>
          <w:kern w:val="0"/>
          <w:sz w:val="32"/>
          <w:szCs w:val="32"/>
          <w:highlight w:val="none"/>
          <w:shd w:val="clear" w:color="auto" w:fill="FFFFFF"/>
          <w:lang w:val="zh-CN"/>
        </w:rPr>
        <w:t>年末编制人数10人，与上年相比无变化；单位实有人数9人，其中在编人员9人。</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11.市药管站年末编制人数6人，与上年相比无变化；单位实有人数6人，其中在编人员6人。</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12.市医学中心年末编制人数6人，与上年相比无变化；单位实有人数5人，其中在编人员5人。</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13.市老龄办年末编制人数6人，与上年相比无变化；单位实有人数6人，其中在编人员6人。</w:t>
      </w:r>
    </w:p>
    <w:p>
      <w:pPr>
        <w:pStyle w:val="10"/>
        <w:shd w:val="clear"/>
        <w:rPr>
          <w:rFonts w:hint="default"/>
          <w:color w:val="auto"/>
          <w:highlight w:val="none"/>
          <w:lang w:val="en-US" w:eastAsia="zh-CN"/>
        </w:rPr>
      </w:pP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zh-CN" w:eastAsia="zh-CN"/>
        </w:rPr>
        <w:t>（一）部门财政资金收入情况。</w:t>
      </w:r>
      <w:r>
        <w:rPr>
          <w:rFonts w:hint="eastAsia" w:ascii="仿宋" w:hAnsi="仿宋" w:eastAsia="仿宋" w:cs="仿宋"/>
          <w:color w:val="auto"/>
          <w:kern w:val="0"/>
          <w:sz w:val="32"/>
          <w:szCs w:val="32"/>
          <w:highlight w:val="none"/>
          <w:shd w:val="clear" w:color="auto" w:fill="FFFFFF"/>
          <w:lang w:val="en-US" w:eastAsia="zh-CN"/>
        </w:rPr>
        <w:t>2022年卫健系统财政拨款收入33237.2万元，其中，基本支出12145.97万元，项目支出21091.23万元。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zh-CN" w:eastAsia="zh-CN"/>
        </w:rPr>
        <w:t>（二）部门财政资金支出情况。</w:t>
      </w:r>
    </w:p>
    <w:p>
      <w:pPr>
        <w:pStyle w:val="14"/>
        <w:keepNext w:val="0"/>
        <w:keepLines w:val="0"/>
        <w:widowControl/>
        <w:suppressLineNumbers w:val="0"/>
        <w:shd w:val="clear"/>
        <w:spacing w:before="60" w:beforeAutospacing="0" w:after="150" w:afterAutospacing="0" w:line="600" w:lineRule="atLeast"/>
        <w:ind w:left="0" w:right="0" w:firstLine="642"/>
        <w:jc w:val="both"/>
        <w:rPr>
          <w:rFonts w:ascii="Calibri" w:hAnsi="Calibri" w:cs="Calibri"/>
          <w:i w:val="0"/>
          <w:iCs w:val="0"/>
          <w:caps w:val="0"/>
          <w:color w:val="auto"/>
          <w:spacing w:val="0"/>
          <w:sz w:val="24"/>
          <w:szCs w:val="24"/>
          <w:highlight w:val="none"/>
        </w:rPr>
      </w:pPr>
      <w:r>
        <w:rPr>
          <w:rFonts w:hint="eastAsia" w:ascii="楷体_GB2312" w:hAnsi="Calibri" w:eastAsia="楷体_GB2312" w:cs="楷体_GB2312"/>
          <w:b/>
          <w:bCs/>
          <w:i w:val="0"/>
          <w:iCs w:val="0"/>
          <w:caps w:val="0"/>
          <w:color w:val="auto"/>
          <w:spacing w:val="0"/>
          <w:sz w:val="32"/>
          <w:szCs w:val="32"/>
          <w:highlight w:val="none"/>
          <w:shd w:val="clear" w:fill="FFFFFF"/>
          <w:lang w:val="en-US" w:eastAsia="zh-CN"/>
        </w:rPr>
        <w:t>1.</w:t>
      </w:r>
      <w:r>
        <w:rPr>
          <w:rFonts w:ascii="楷体_GB2312" w:hAnsi="Calibri" w:eastAsia="楷体_GB2312" w:cs="楷体_GB2312"/>
          <w:b/>
          <w:bCs/>
          <w:i w:val="0"/>
          <w:iCs w:val="0"/>
          <w:caps w:val="0"/>
          <w:color w:val="auto"/>
          <w:spacing w:val="0"/>
          <w:sz w:val="32"/>
          <w:szCs w:val="32"/>
          <w:highlight w:val="none"/>
          <w:shd w:val="clear" w:fill="FFFFFF"/>
        </w:rPr>
        <w:t>基本支出情况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color w:val="auto"/>
          <w:kern w:val="0"/>
          <w:sz w:val="32"/>
          <w:szCs w:val="32"/>
          <w:highlight w:val="none"/>
          <w:shd w:val="clear" w:color="auto" w:fill="FFFFFF"/>
          <w:lang w:val="zh-CN" w:eastAsia="zh-CN"/>
        </w:rPr>
      </w:pPr>
      <w:r>
        <w:rPr>
          <w:rFonts w:hint="eastAsia" w:ascii="仿宋" w:hAnsi="仿宋" w:eastAsia="仿宋" w:cs="仿宋"/>
          <w:color w:val="auto"/>
          <w:kern w:val="0"/>
          <w:sz w:val="32"/>
          <w:szCs w:val="32"/>
          <w:highlight w:val="none"/>
          <w:shd w:val="clear" w:color="auto" w:fill="FFFFFF"/>
          <w:lang w:val="zh-CN" w:eastAsia="zh-CN"/>
        </w:rPr>
        <w:t>基本支出用于为保障机构正常运转、完成日常工作任务而发生的支出，包括人员经费和日常公用经费。</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color w:val="auto"/>
          <w:kern w:val="0"/>
          <w:sz w:val="32"/>
          <w:szCs w:val="32"/>
          <w:highlight w:val="none"/>
          <w:shd w:val="clear" w:color="auto" w:fill="FFFFFF"/>
          <w:lang w:val="en-US" w:eastAsia="zh-CN"/>
        </w:rPr>
      </w:pPr>
      <w:r>
        <w:rPr>
          <w:rFonts w:hint="default" w:ascii="仿宋" w:hAnsi="仿宋" w:eastAsia="仿宋" w:cs="仿宋"/>
          <w:color w:val="auto"/>
          <w:kern w:val="0"/>
          <w:sz w:val="32"/>
          <w:szCs w:val="32"/>
          <w:highlight w:val="none"/>
          <w:shd w:val="clear" w:color="auto" w:fill="FFFFFF"/>
          <w:lang w:val="en-US" w:eastAsia="zh-CN"/>
        </w:rPr>
        <w:t>202</w:t>
      </w:r>
      <w:r>
        <w:rPr>
          <w:rFonts w:hint="eastAsia" w:ascii="仿宋" w:hAnsi="仿宋" w:eastAsia="仿宋" w:cs="仿宋"/>
          <w:color w:val="auto"/>
          <w:kern w:val="0"/>
          <w:sz w:val="32"/>
          <w:szCs w:val="32"/>
          <w:highlight w:val="none"/>
          <w:shd w:val="clear" w:color="auto" w:fill="FFFFFF"/>
          <w:lang w:val="en-US" w:eastAsia="zh-CN"/>
        </w:rPr>
        <w:t>2年，部门一般公共预算收入基本支出决算数12145.97万元。按经济科目划分，基本支出中各项支出金额分别为：工资福利支出10763.88万元，主要用于基本工资3926.44万元，津贴补贴513.66万元，奖金736.87万元，绩效工资2693.73万元，机关事业单位基本养老缴费608.09万元，职业年金71.07万元，职工基本医疗保险缴费313.73万元，其他社会保障缴费50.51万元，住房公积金735.46万元，其他工资福利支出1114.32万元；商品和服务支出725.1万元，主要用于办公费43.62万元，印刷费42.5万元，咨询费3万元，手续费0.52万元，水费5.2万元，电费22.6万元，邮电费25.35万元，物业管理费11.9万元，差旅费22.33万元，维护费45.11万元，租赁费0.68万元，会议费0.99万元，培训费7.62万元，公务接待费3.23万元，专用材料费15.81万元，劳务费57.56万元，委托业务费13.35万元，工会经费68万元，福利费131.86万元，公务用车运行维护费21.42万元，其他交通费94.97万元，其他商品和服务支出87.48万元；对个人和家庭的补助652.97万元，主要用于抚恤金33.47万元，生活补助607.75万元，其他对个人和家庭的补助支出11.75万元；资本性支出4.02万元，主要办公设备购置1.04万元，信息网络及软件购置更新2.98万元。</w:t>
      </w:r>
    </w:p>
    <w:p>
      <w:pPr>
        <w:pStyle w:val="14"/>
        <w:keepNext w:val="0"/>
        <w:keepLines w:val="0"/>
        <w:widowControl/>
        <w:suppressLineNumbers w:val="0"/>
        <w:shd w:val="clear"/>
        <w:spacing w:before="60" w:beforeAutospacing="0" w:after="150" w:afterAutospacing="0" w:line="600" w:lineRule="atLeast"/>
        <w:ind w:left="0" w:right="0" w:firstLine="642"/>
        <w:jc w:val="both"/>
        <w:rPr>
          <w:rFonts w:hint="default" w:ascii="Calibri" w:hAnsi="Calibri" w:cs="Calibri"/>
          <w:i w:val="0"/>
          <w:iCs w:val="0"/>
          <w:caps w:val="0"/>
          <w:color w:val="auto"/>
          <w:spacing w:val="0"/>
          <w:sz w:val="24"/>
          <w:szCs w:val="24"/>
          <w:highlight w:val="none"/>
        </w:rPr>
      </w:pPr>
      <w:r>
        <w:rPr>
          <w:rFonts w:hint="eastAsia" w:ascii="楷体_GB2312" w:hAnsi="Calibri" w:eastAsia="楷体_GB2312" w:cs="楷体_GB2312"/>
          <w:b/>
          <w:bCs/>
          <w:i w:val="0"/>
          <w:iCs w:val="0"/>
          <w:caps w:val="0"/>
          <w:color w:val="auto"/>
          <w:spacing w:val="0"/>
          <w:sz w:val="32"/>
          <w:szCs w:val="32"/>
          <w:highlight w:val="none"/>
          <w:shd w:val="clear" w:fill="FFFFFF"/>
          <w:lang w:val="en-US" w:eastAsia="zh-CN"/>
        </w:rPr>
        <w:t>2</w:t>
      </w:r>
      <w:r>
        <w:rPr>
          <w:rFonts w:hint="eastAsia" w:ascii="楷体_GB2312" w:hAnsi="Calibri" w:eastAsia="楷体_GB2312" w:cs="楷体_GB2312"/>
          <w:b/>
          <w:bCs/>
          <w:i w:val="0"/>
          <w:iCs w:val="0"/>
          <w:caps w:val="0"/>
          <w:color w:val="auto"/>
          <w:spacing w:val="0"/>
          <w:sz w:val="32"/>
          <w:szCs w:val="32"/>
          <w:highlight w:val="none"/>
          <w:shd w:val="clear" w:fill="FFFFFF"/>
        </w:rPr>
        <w:t>项目支出情况</w:t>
      </w:r>
    </w:p>
    <w:p>
      <w:pPr>
        <w:pStyle w:val="14"/>
        <w:keepNext w:val="0"/>
        <w:keepLines w:val="0"/>
        <w:widowControl/>
        <w:suppressLineNumbers w:val="0"/>
        <w:shd w:val="clear"/>
        <w:spacing w:before="60" w:beforeAutospacing="0" w:after="150" w:afterAutospacing="0" w:line="600" w:lineRule="atLeast"/>
        <w:ind w:left="0" w:right="0" w:firstLine="640"/>
        <w:jc w:val="both"/>
        <w:rPr>
          <w:rFonts w:hint="default"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项目支出是在基本支出之外为完成其特定的行政工作任务而发生的支出，主要用于医疗卫生管理专项、公共卫生专项、计划生育服务专项、中医药事业发展专项及其他医疗卫生和计划生育事务支出专项等。</w:t>
      </w:r>
    </w:p>
    <w:p>
      <w:pPr>
        <w:pStyle w:val="14"/>
        <w:keepNext w:val="0"/>
        <w:keepLines w:val="0"/>
        <w:widowControl/>
        <w:suppressLineNumbers w:val="0"/>
        <w:shd w:val="clear"/>
        <w:spacing w:before="60" w:beforeAutospacing="0" w:after="150" w:afterAutospacing="0" w:line="600" w:lineRule="atLeast"/>
        <w:ind w:left="0" w:right="0" w:firstLine="640" w:firstLineChars="200"/>
        <w:jc w:val="both"/>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2022年，部门预算中项目支出决算数为21091.23万元。</w:t>
      </w:r>
    </w:p>
    <w:p>
      <w:pPr>
        <w:pStyle w:val="14"/>
        <w:keepNext w:val="0"/>
        <w:keepLines w:val="0"/>
        <w:widowControl/>
        <w:suppressLineNumbers w:val="0"/>
        <w:shd w:val="clear"/>
        <w:spacing w:before="60" w:beforeAutospacing="0" w:after="150" w:afterAutospacing="0" w:line="600" w:lineRule="atLeast"/>
        <w:ind w:left="0" w:right="0" w:firstLine="640"/>
        <w:jc w:val="both"/>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en-US" w:eastAsia="zh-CN" w:bidi="ar-SA"/>
        </w:rPr>
        <w:t>按经济科目划分，各项支出金额分别为：工资福利支出1096.96万元，主要用于基本工资565.86万元，津贴补贴126.01万元，绩效工资363.95万元，其他社会保障缴费1.53万元，其他工资福利支出39.61万元；商品和服务支出12616.13万元，主要用于办公费62.15万元，印刷费122.66万元，咨询费22.35万元，手续费0.1万元，水费55.46万元，电费306.14万元，邮电费59.16万元，物业管理费360.79万元，差旅费240.28万元，维护费395.06万元，租赁费19.07万元，会议费20.15万元，培训费249.07万元，公务接待费3.32万元，专用材料费4101.7万元，劳务费4645.78万元，委托业务费1008.14万元，工会经费74.97万元，福利费25.27万元，公务用车运行维护费21.66万元，其他交通费148.18万元，其他商品和服务支出674.67万元；对个人和家庭的补助297.7万元，主要用于抚恤金7.2万元，生活补助265.01万元，奖励金0.6万元，其他对个人和家庭的补助支出1.68万元；资本性支出（基本建设）3651.94万元，主要用于房屋建筑物购建3651.94万元；资本性支出3428.5万元，主要用于办公设备购置89.25万元，专用设备购置3067.65万元，大型修缮34.92万元，信息网络及软件购置更新208.17万元，无形资产购置28.4万元，其他资本性支出0.11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en-US" w:eastAsia="zh-CN"/>
        </w:rPr>
      </w:pPr>
      <w:r>
        <w:rPr>
          <w:rFonts w:hint="eastAsia" w:ascii="黑体" w:hAnsi="宋体" w:eastAsia="黑体" w:cs="宋体"/>
          <w:color w:val="auto"/>
          <w:kern w:val="0"/>
          <w:sz w:val="32"/>
          <w:szCs w:val="32"/>
          <w:highlight w:val="none"/>
          <w:shd w:val="clear" w:color="auto" w:fill="FFFFFF"/>
          <w:lang w:val="en-US" w:eastAsia="zh-CN"/>
        </w:rPr>
        <w:t>三、部门整体预算绩效管理情况</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zh-CN" w:eastAsia="zh-CN" w:bidi="ar-SA"/>
        </w:rPr>
        <w:t>（一）部门预算项目绩效管理。</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en-US" w:eastAsia="zh-CN" w:bidi="ar-SA"/>
        </w:rPr>
        <w:t>广元市卫生健康部门本年年初严格按照财政部门对部门预算编制的相关要求，合理制定绩效目标并及时报送部门预算，预算编制完整无漏项，基础信息和科目使用准确，项目名称、绩效指标、项目内容说明等符合规范。全面掌握支出情况及时预算动态调整，年度预算执行收支平衡，全面完成本部门经济和社会事业发展职能职责。本年度结束后严格按照财政部门相关要求，积极开展部门绩效评价工作。</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zh-CN" w:eastAsia="zh-CN" w:bidi="ar-SA"/>
        </w:rPr>
        <w:t>（二）结果应用情况。</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en-US" w:eastAsia="zh-CN" w:bidi="ar-SA"/>
        </w:rPr>
        <w:t>广元市卫生健康部门积极开展部门绩效自评，深入到计划生育转移支付、基本公共卫生转移支付、医疗服务能力提升转移支付、重大公卫转移支付、基本药物制度转移支付等项目，对绩效中发现的问题及时整改，资金执行进度良好，后期将进一步加强资金的有效监管，实现资金的高投入率。</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zh-CN" w:eastAsia="zh-CN" w:bidi="ar-SA"/>
        </w:rPr>
        <w:t>自评质量</w:t>
      </w:r>
    </w:p>
    <w:p>
      <w:pPr>
        <w:shd w:val="clear"/>
        <w:spacing w:line="560" w:lineRule="exact"/>
        <w:ind w:firstLine="640" w:firstLineChars="200"/>
        <w:rPr>
          <w:rFonts w:hint="default"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通过自评，更加清楚了解情况，部门整体支出评价自评较为准确。</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四、评价结论及建议</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zh-CN" w:eastAsia="zh-CN" w:bidi="ar-SA"/>
        </w:rPr>
        <w:t>（一）评价结论</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广元市卫生健康部门按照国家政策法规规定，结合本部门工作实际，健全了财务管理制度和约束机制，依法、有效、合理地使用财政资金，完成了年初设定的绩效目标，实现了较高的工作效率和财政资金支出绩效。</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zh-CN" w:eastAsia="zh-CN" w:bidi="ar-SA"/>
        </w:rPr>
        <w:t>（二）存在问题</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1.基本公用经费及项目工作经费不足。随着人民群众日益增长的卫生健康服务需求和医药卫生体制改革的不断深化，卫生健康部门项目多、任务重，且各项工作精细化管理程度不断加强，工作量大幅增加，中央、省下达的项目资金，大多只有项目实施专项资金，无项目工作经费，仅靠市、县区财政基本公用经费支撑工作开展，不利于项目任务的推进落实。</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2.部分预算指标需调整。部分专项项目预算资金实际管理使用和项目执行单位为委直属独立预算的二级单位，但预算指标却下达至委机关，导致不能全面、准确地反映单位收支结转情况，存在一级、二级预算单位财政收支核算口径不清的问题。</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3.部分项目没有完成年度预算指标，资金执行率有待加强，部分项目资金跨年度使用。</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zh-CN" w:eastAsia="zh-CN" w:bidi="ar-SA"/>
        </w:rPr>
      </w:pPr>
      <w:r>
        <w:rPr>
          <w:rFonts w:hint="eastAsia" w:ascii="仿宋" w:hAnsi="仿宋" w:eastAsia="仿宋" w:cs="仿宋"/>
          <w:color w:val="auto"/>
          <w:kern w:val="0"/>
          <w:sz w:val="32"/>
          <w:szCs w:val="32"/>
          <w:highlight w:val="none"/>
          <w:shd w:val="clear" w:color="auto" w:fill="FFFFFF"/>
          <w:lang w:val="zh-CN" w:eastAsia="zh-CN" w:bidi="ar-SA"/>
        </w:rPr>
        <w:t>（三）改进建议</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1.提高人均基本公用经费标准，配套、提高疫情防控、公共卫生服务、康养工作等重点工作、重点项目工作经费，尤其是要加大对疾控防治工作的市级财政投入力度。</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2.将资金使用、项目实施对象为独立预算二级单位的预算指标直接下达至项目单位，同时细化跨年度实施项目在“预算执行进度”指标上的考核方式，预算执行进行表格化编制管理。</w:t>
      </w:r>
    </w:p>
    <w:p>
      <w:pPr>
        <w:shd w:val="clear"/>
        <w:spacing w:line="560" w:lineRule="exact"/>
        <w:ind w:firstLine="640" w:firstLineChars="200"/>
        <w:rPr>
          <w:rFonts w:hint="default"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3.转变项目资金监督评价方式，从传统的合规性监督向绩效监督转变，除对财政收支活动真实性、合法性进行监督之外，更加注重对卫生健康项目资金分配使用的绩效进行评价，健全绩效评价体系，加强资金分配、拨付、使用、效果全程监管，完善财务管理制度、加强审计监督及内控建设，定期或不定期对资金进行全面梳理。</w:t>
      </w:r>
    </w:p>
    <w:p>
      <w:pPr>
        <w:shd w:val="clear"/>
        <w:spacing w:line="560" w:lineRule="exact"/>
        <w:ind w:firstLine="640" w:firstLineChars="200"/>
        <w:rPr>
          <w:rFonts w:hint="eastAsia" w:ascii="仿宋" w:hAnsi="仿宋" w:eastAsia="仿宋" w:cs="仿宋"/>
          <w:color w:val="auto"/>
          <w:kern w:val="0"/>
          <w:sz w:val="32"/>
          <w:szCs w:val="32"/>
          <w:highlight w:val="none"/>
          <w:shd w:val="clear" w:color="auto" w:fill="FFFFFF"/>
          <w:lang w:val="en-US" w:eastAsia="zh-CN" w:bidi="ar-SA"/>
        </w:rPr>
      </w:pPr>
    </w:p>
    <w:p>
      <w:pPr>
        <w:keepNext w:val="0"/>
        <w:keepLines w:val="0"/>
        <w:pageBreakBefore w:val="0"/>
        <w:shd w:val="clear"/>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p>
    <w:p>
      <w:pPr>
        <w:pStyle w:val="15"/>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因我委部门项目和专项项目数量太多，涉及直属单位范围广，故只在正文公开整体支出绩效评价报告，其他相关资料详见其他附件。</w:t>
      </w:r>
    </w:p>
    <w:p>
      <w:pPr>
        <w:pStyle w:val="36"/>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shd w:val="clear"/>
        <w:spacing w:line="600" w:lineRule="exact"/>
        <w:jc w:val="center"/>
        <w:outlineLvl w:val="0"/>
        <w:rPr>
          <w:rFonts w:hint="eastAsia" w:ascii="黑体" w:hAnsi="黑体" w:eastAsia="黑体"/>
          <w:color w:val="auto"/>
          <w:sz w:val="44"/>
          <w:szCs w:val="44"/>
          <w:highlight w:val="none"/>
        </w:rPr>
      </w:pPr>
      <w:bookmarkStart w:id="73" w:name="_Toc15396618"/>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黑体" w:hAnsi="黑体" w:eastAsia="黑体"/>
          <w:color w:val="auto"/>
          <w:sz w:val="44"/>
          <w:szCs w:val="44"/>
          <w:highlight w:val="none"/>
        </w:rPr>
      </w:pPr>
    </w:p>
    <w:p>
      <w:pPr>
        <w:shd w:val="clear"/>
        <w:spacing w:line="600" w:lineRule="exact"/>
        <w:jc w:val="center"/>
        <w:outlineLvl w:val="0"/>
        <w:rPr>
          <w:rFonts w:hint="eastAsia" w:ascii="仿宋" w:hAnsi="仿宋" w:eastAsia="仿宋"/>
          <w:b w:val="0"/>
          <w:color w:val="auto"/>
          <w:highlight w:val="none"/>
        </w:rPr>
      </w:pPr>
      <w:bookmarkStart w:id="74" w:name="_Toc22495"/>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71"/>
      <w:bookmarkEnd w:id="73"/>
      <w:bookmarkEnd w:id="74"/>
      <w:bookmarkStart w:id="75" w:name="_Toc15396619"/>
    </w:p>
    <w:p>
      <w:pPr>
        <w:pStyle w:val="4"/>
        <w:shd w:val="clear"/>
        <w:rPr>
          <w:rFonts w:ascii="仿宋" w:hAnsi="仿宋" w:eastAsia="仿宋"/>
          <w:color w:val="auto"/>
          <w:highlight w:val="none"/>
        </w:rPr>
      </w:pPr>
      <w:bookmarkStart w:id="76" w:name="_Toc22313"/>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75"/>
      <w:bookmarkEnd w:id="76"/>
    </w:p>
    <w:p>
      <w:pPr>
        <w:pStyle w:val="4"/>
        <w:shd w:val="clear"/>
        <w:rPr>
          <w:rFonts w:ascii="仿宋" w:hAnsi="仿宋" w:eastAsia="仿宋"/>
          <w:color w:val="auto"/>
          <w:highlight w:val="none"/>
        </w:rPr>
      </w:pPr>
      <w:bookmarkStart w:id="77" w:name="_Toc15396620"/>
      <w:bookmarkStart w:id="78" w:name="_Toc666"/>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77"/>
      <w:bookmarkEnd w:id="78"/>
    </w:p>
    <w:p>
      <w:pPr>
        <w:pStyle w:val="4"/>
        <w:shd w:val="clear"/>
        <w:rPr>
          <w:rFonts w:ascii="仿宋" w:hAnsi="仿宋" w:eastAsia="仿宋"/>
          <w:color w:val="auto"/>
          <w:highlight w:val="none"/>
        </w:rPr>
      </w:pPr>
      <w:bookmarkStart w:id="79" w:name="_Toc22797"/>
      <w:bookmarkStart w:id="80" w:name="_Toc15396621"/>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79"/>
      <w:bookmarkEnd w:id="80"/>
    </w:p>
    <w:p>
      <w:pPr>
        <w:pStyle w:val="4"/>
        <w:shd w:val="clear"/>
        <w:rPr>
          <w:rFonts w:ascii="仿宋" w:hAnsi="仿宋" w:eastAsia="仿宋"/>
          <w:b w:val="0"/>
          <w:color w:val="auto"/>
          <w:highlight w:val="none"/>
        </w:rPr>
      </w:pPr>
      <w:bookmarkStart w:id="81" w:name="_Toc15396622"/>
      <w:bookmarkStart w:id="82" w:name="_Toc3406"/>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81"/>
      <w:bookmarkEnd w:id="82"/>
    </w:p>
    <w:p>
      <w:pPr>
        <w:pStyle w:val="4"/>
        <w:shd w:val="clear"/>
        <w:rPr>
          <w:rStyle w:val="22"/>
          <w:rFonts w:ascii="仿宋" w:hAnsi="仿宋" w:eastAsia="仿宋"/>
          <w:b w:val="0"/>
          <w:bCs w:val="0"/>
          <w:color w:val="auto"/>
          <w:highlight w:val="none"/>
        </w:rPr>
      </w:pPr>
      <w:bookmarkStart w:id="83" w:name="_Toc17392"/>
      <w:bookmarkStart w:id="84" w:name="_Toc15396623"/>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83"/>
      <w:bookmarkEnd w:id="84"/>
      <w:bookmarkStart w:id="85" w:name="_Toc15396624"/>
    </w:p>
    <w:p>
      <w:pPr>
        <w:pStyle w:val="4"/>
        <w:shd w:val="clear"/>
        <w:rPr>
          <w:rFonts w:ascii="仿宋" w:hAnsi="仿宋" w:eastAsia="仿宋"/>
          <w:color w:val="auto"/>
          <w:highlight w:val="none"/>
        </w:rPr>
      </w:pPr>
      <w:bookmarkStart w:id="86" w:name="_Toc30536"/>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85"/>
      <w:bookmarkEnd w:id="86"/>
    </w:p>
    <w:p>
      <w:pPr>
        <w:pStyle w:val="4"/>
        <w:shd w:val="clear"/>
        <w:rPr>
          <w:rFonts w:ascii="仿宋" w:hAnsi="仿宋" w:eastAsia="仿宋"/>
          <w:color w:val="auto"/>
          <w:highlight w:val="none"/>
        </w:rPr>
      </w:pPr>
      <w:bookmarkStart w:id="87" w:name="_Toc9012"/>
      <w:bookmarkStart w:id="88" w:name="_Toc15396625"/>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87"/>
      <w:bookmarkEnd w:id="88"/>
    </w:p>
    <w:p>
      <w:pPr>
        <w:pStyle w:val="4"/>
        <w:shd w:val="clear"/>
        <w:rPr>
          <w:rFonts w:ascii="仿宋" w:hAnsi="仿宋" w:eastAsia="仿宋"/>
          <w:color w:val="auto"/>
          <w:highlight w:val="none"/>
        </w:rPr>
      </w:pPr>
      <w:bookmarkStart w:id="89" w:name="_Toc15396626"/>
      <w:bookmarkStart w:id="90" w:name="_Toc10889"/>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89"/>
      <w:bookmarkEnd w:id="90"/>
    </w:p>
    <w:p>
      <w:pPr>
        <w:pStyle w:val="4"/>
        <w:shd w:val="clear"/>
        <w:rPr>
          <w:rFonts w:ascii="仿宋" w:hAnsi="仿宋" w:eastAsia="仿宋"/>
          <w:color w:val="auto"/>
          <w:highlight w:val="none"/>
        </w:rPr>
      </w:pPr>
      <w:bookmarkStart w:id="91" w:name="_Toc15396627"/>
      <w:bookmarkStart w:id="92" w:name="_Toc7281"/>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91"/>
      <w:bookmarkEnd w:id="92"/>
    </w:p>
    <w:p>
      <w:pPr>
        <w:pStyle w:val="4"/>
        <w:shd w:val="clear"/>
        <w:rPr>
          <w:rFonts w:ascii="仿宋" w:hAnsi="仿宋" w:eastAsia="仿宋"/>
          <w:color w:val="auto"/>
          <w:highlight w:val="none"/>
        </w:rPr>
      </w:pPr>
      <w:bookmarkStart w:id="93" w:name="_Toc15396628"/>
      <w:bookmarkStart w:id="94" w:name="_Toc29557"/>
      <w:r>
        <w:rPr>
          <w:rStyle w:val="22"/>
          <w:rFonts w:hint="eastAsia" w:ascii="仿宋" w:hAnsi="仿宋" w:eastAsia="仿宋"/>
          <w:b w:val="0"/>
          <w:bCs w:val="0"/>
          <w:color w:val="auto"/>
          <w:highlight w:val="none"/>
        </w:rPr>
        <w:t>十、</w:t>
      </w:r>
      <w:bookmarkEnd w:id="93"/>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94"/>
    </w:p>
    <w:p>
      <w:pPr>
        <w:pStyle w:val="4"/>
        <w:shd w:val="clear"/>
        <w:rPr>
          <w:rFonts w:ascii="仿宋" w:hAnsi="仿宋" w:eastAsia="仿宋"/>
          <w:color w:val="auto"/>
          <w:highlight w:val="none"/>
        </w:rPr>
      </w:pPr>
      <w:bookmarkStart w:id="95" w:name="_Toc15396629"/>
      <w:bookmarkStart w:id="96" w:name="_Toc23266"/>
      <w:r>
        <w:rPr>
          <w:rStyle w:val="22"/>
          <w:rFonts w:hint="eastAsia" w:ascii="仿宋" w:hAnsi="仿宋" w:eastAsia="仿宋"/>
          <w:b w:val="0"/>
          <w:bCs w:val="0"/>
          <w:color w:val="auto"/>
          <w:highlight w:val="none"/>
        </w:rPr>
        <w:t>十一、</w:t>
      </w:r>
      <w:bookmarkEnd w:id="95"/>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96"/>
    </w:p>
    <w:p>
      <w:pPr>
        <w:pStyle w:val="4"/>
        <w:shd w:val="clear"/>
        <w:rPr>
          <w:rFonts w:ascii="仿宋" w:hAnsi="仿宋" w:eastAsia="仿宋"/>
          <w:color w:val="auto"/>
          <w:highlight w:val="none"/>
        </w:rPr>
      </w:pPr>
      <w:bookmarkStart w:id="97" w:name="_Toc15396630"/>
      <w:bookmarkStart w:id="98" w:name="_Toc18206"/>
      <w:r>
        <w:rPr>
          <w:rStyle w:val="22"/>
          <w:rFonts w:hint="eastAsia" w:ascii="仿宋" w:hAnsi="仿宋" w:eastAsia="仿宋"/>
          <w:b w:val="0"/>
          <w:bCs w:val="0"/>
          <w:color w:val="auto"/>
          <w:highlight w:val="none"/>
        </w:rPr>
        <w:t>十二、</w:t>
      </w:r>
      <w:bookmarkEnd w:id="97"/>
      <w:r>
        <w:rPr>
          <w:rStyle w:val="22"/>
          <w:rFonts w:hint="eastAsia" w:ascii="仿宋" w:hAnsi="仿宋" w:eastAsia="仿宋"/>
          <w:b w:val="0"/>
          <w:bCs w:val="0"/>
          <w:color w:val="auto"/>
          <w:highlight w:val="none"/>
          <w:lang w:eastAsia="zh-CN"/>
        </w:rPr>
        <w:t>国有资本经营预算财政拨款支出决算表</w:t>
      </w:r>
      <w:bookmarkEnd w:id="98"/>
    </w:p>
    <w:p>
      <w:pPr>
        <w:pStyle w:val="4"/>
        <w:shd w:val="clear"/>
        <w:rPr>
          <w:rFonts w:hint="eastAsia" w:eastAsia="仿宋"/>
          <w:color w:val="auto"/>
          <w:highlight w:val="none"/>
          <w:lang w:eastAsia="zh-CN"/>
        </w:rPr>
      </w:pPr>
      <w:bookmarkStart w:id="99" w:name="_Toc15396631"/>
      <w:bookmarkStart w:id="100" w:name="_Toc8973"/>
      <w:r>
        <w:rPr>
          <w:rStyle w:val="22"/>
          <w:rFonts w:hint="eastAsia" w:ascii="仿宋" w:hAnsi="仿宋" w:eastAsia="仿宋"/>
          <w:b w:val="0"/>
          <w:bCs w:val="0"/>
          <w:color w:val="auto"/>
          <w:highlight w:val="none"/>
        </w:rPr>
        <w:t>十三、</w:t>
      </w:r>
      <w:bookmarkEnd w:id="99"/>
      <w:r>
        <w:rPr>
          <w:rStyle w:val="22"/>
          <w:rFonts w:hint="eastAsia" w:ascii="仿宋" w:hAnsi="仿宋" w:eastAsia="仿宋"/>
          <w:b w:val="0"/>
          <w:bCs w:val="0"/>
          <w:color w:val="auto"/>
          <w:highlight w:val="none"/>
          <w:lang w:eastAsia="zh-CN"/>
        </w:rPr>
        <w:t>财政拨款“三公”经费支出决算表</w:t>
      </w:r>
      <w:bookmarkEnd w:id="100"/>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MingLiU">
    <w:altName w:val="汉仪书宋二KW"/>
    <w:panose1 w:val="02020509000000000000"/>
    <w:charset w:val="88"/>
    <w:family w:val="modern"/>
    <w:pitch w:val="default"/>
    <w:sig w:usb0="00000000" w:usb1="00000000" w:usb2="00000016" w:usb3="00000000" w:csb0="00100001" w:csb1="00000000"/>
  </w:font>
  <w:font w:name="方正小标宋简体">
    <w:altName w:val="Times New Roman"/>
    <w:panose1 w:val="02000000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Times New Roman"/>
    <w:panose1 w:val="00000000000000000000"/>
    <w:charset w:val="00"/>
    <w:family w:val="auto"/>
    <w:pitch w:val="default"/>
    <w:sig w:usb0="00000000" w:usb1="00000000" w:usb2="00000000" w:usb3="00000000" w:csb0="00000000" w:csb1="00000000"/>
  </w:font>
  <w:font w:name="仿宋">
    <w:altName w:val="Times New Roman"/>
    <w:panose1 w:val="00000000000000000000"/>
    <w:charset w:val="00"/>
    <w:family w:val="auto"/>
    <w:pitch w:val="default"/>
    <w:sig w:usb0="00000000" w:usb1="00000000" w:usb2="00000000" w:usb3="00000000" w:csb0="00000000" w:csb1="00000000"/>
  </w:font>
  <w:font w:name="微软雅黑">
    <w:altName w:val="汉仪旗黑KW 55S"/>
    <w:panose1 w:val="00000000000000000000"/>
    <w:charset w:val="00"/>
    <w:family w:val="auto"/>
    <w:pitch w:val="default"/>
    <w:sig w:usb0="00000000" w:usb1="00000000" w:usb2="00000000" w:usb3="00000000" w:csb0="0000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uVmZ+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zIiBuYW1lPSLmlofmnKzmoYYgMTM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8E76B02"/>
    <w:multiLevelType w:val="singleLevel"/>
    <w:tmpl w:val="28E76B02"/>
    <w:lvl w:ilvl="0" w:tentative="0">
      <w:start w:val="1"/>
      <w:numFmt w:val="chineseCounting"/>
      <w:suff w:val="nothing"/>
      <w:lvlText w:val="%1、"/>
      <w:lvlJc w:val="left"/>
      <w:rPr>
        <w:rFonts w:hint="eastAsia"/>
      </w:rPr>
    </w:lvl>
  </w:abstractNum>
  <w:abstractNum w:abstractNumId="4">
    <w:nsid w:val="5CCC4172"/>
    <w:multiLevelType w:val="singleLevel"/>
    <w:tmpl w:val="5CCC4172"/>
    <w:lvl w:ilvl="0" w:tentative="0">
      <w:start w:val="3"/>
      <w:numFmt w:val="chineseCounting"/>
      <w:suff w:val="nothing"/>
      <w:lvlText w:val="（%1）"/>
      <w:lvlJc w:val="left"/>
      <w:rPr>
        <w:rFonts w:hint="eastAsia"/>
      </w:rPr>
    </w:lvl>
  </w:abstractNum>
  <w:abstractNum w:abstractNumId="5">
    <w:nsid w:val="67085DFA"/>
    <w:multiLevelType w:val="singleLevel"/>
    <w:tmpl w:val="67085DF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314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32AF"/>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1E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C626C"/>
    <w:rsid w:val="011E3D92"/>
    <w:rsid w:val="012832B8"/>
    <w:rsid w:val="012A6BDB"/>
    <w:rsid w:val="013449D4"/>
    <w:rsid w:val="014001AC"/>
    <w:rsid w:val="015975B8"/>
    <w:rsid w:val="019B3634"/>
    <w:rsid w:val="01BE76EA"/>
    <w:rsid w:val="01EE7C08"/>
    <w:rsid w:val="02143E91"/>
    <w:rsid w:val="02667DBC"/>
    <w:rsid w:val="02CB7221"/>
    <w:rsid w:val="02EB239A"/>
    <w:rsid w:val="03261624"/>
    <w:rsid w:val="036A59B4"/>
    <w:rsid w:val="036D293D"/>
    <w:rsid w:val="036F2FCB"/>
    <w:rsid w:val="038B1487"/>
    <w:rsid w:val="03AD764F"/>
    <w:rsid w:val="03D66BA6"/>
    <w:rsid w:val="03F2191F"/>
    <w:rsid w:val="03FF434E"/>
    <w:rsid w:val="040000C7"/>
    <w:rsid w:val="043F474B"/>
    <w:rsid w:val="04732647"/>
    <w:rsid w:val="048D1DB8"/>
    <w:rsid w:val="04A15406"/>
    <w:rsid w:val="04D74983"/>
    <w:rsid w:val="04E1656E"/>
    <w:rsid w:val="050209E3"/>
    <w:rsid w:val="0506170D"/>
    <w:rsid w:val="05257DE5"/>
    <w:rsid w:val="052851DF"/>
    <w:rsid w:val="0633208D"/>
    <w:rsid w:val="063F4ED6"/>
    <w:rsid w:val="06491C97"/>
    <w:rsid w:val="066E0107"/>
    <w:rsid w:val="06710766"/>
    <w:rsid w:val="069A3EBB"/>
    <w:rsid w:val="06F21F49"/>
    <w:rsid w:val="070E4E53"/>
    <w:rsid w:val="072B7208"/>
    <w:rsid w:val="073A569E"/>
    <w:rsid w:val="074327A4"/>
    <w:rsid w:val="074A3B33"/>
    <w:rsid w:val="07996F6E"/>
    <w:rsid w:val="07A807FE"/>
    <w:rsid w:val="07B611C8"/>
    <w:rsid w:val="08674270"/>
    <w:rsid w:val="08716E9D"/>
    <w:rsid w:val="08844E22"/>
    <w:rsid w:val="08874912"/>
    <w:rsid w:val="089D16D6"/>
    <w:rsid w:val="08CC02A2"/>
    <w:rsid w:val="08DC4C5E"/>
    <w:rsid w:val="09067F2D"/>
    <w:rsid w:val="091218F2"/>
    <w:rsid w:val="09302C62"/>
    <w:rsid w:val="0932487E"/>
    <w:rsid w:val="09A96E25"/>
    <w:rsid w:val="09AD03A9"/>
    <w:rsid w:val="09C120A6"/>
    <w:rsid w:val="09D73678"/>
    <w:rsid w:val="0A2032A3"/>
    <w:rsid w:val="0A21591F"/>
    <w:rsid w:val="0A430D0D"/>
    <w:rsid w:val="0A570314"/>
    <w:rsid w:val="0A5847B8"/>
    <w:rsid w:val="0A6D7B38"/>
    <w:rsid w:val="0AAE0E6D"/>
    <w:rsid w:val="0AB15C77"/>
    <w:rsid w:val="0AD16319"/>
    <w:rsid w:val="0ADA341F"/>
    <w:rsid w:val="0B061195"/>
    <w:rsid w:val="0B0A5387"/>
    <w:rsid w:val="0B1F52D6"/>
    <w:rsid w:val="0B642CE9"/>
    <w:rsid w:val="0B646ACD"/>
    <w:rsid w:val="0B770C6E"/>
    <w:rsid w:val="0B786794"/>
    <w:rsid w:val="0B8C1969"/>
    <w:rsid w:val="0B901D30"/>
    <w:rsid w:val="0BBA4FFF"/>
    <w:rsid w:val="0C436DA2"/>
    <w:rsid w:val="0C6A432F"/>
    <w:rsid w:val="0C8A2C23"/>
    <w:rsid w:val="0CA57A5D"/>
    <w:rsid w:val="0CB24430"/>
    <w:rsid w:val="0CBB5A5A"/>
    <w:rsid w:val="0CDA7707"/>
    <w:rsid w:val="0CE045F1"/>
    <w:rsid w:val="0CEC568C"/>
    <w:rsid w:val="0CFD33F5"/>
    <w:rsid w:val="0CFF53BF"/>
    <w:rsid w:val="0D374B59"/>
    <w:rsid w:val="0D3A01A5"/>
    <w:rsid w:val="0D75742F"/>
    <w:rsid w:val="0D774F56"/>
    <w:rsid w:val="0DAE649D"/>
    <w:rsid w:val="0DB241E0"/>
    <w:rsid w:val="0DBF06AB"/>
    <w:rsid w:val="0DD57ECE"/>
    <w:rsid w:val="0DE40111"/>
    <w:rsid w:val="0DE85E53"/>
    <w:rsid w:val="0E0D58BA"/>
    <w:rsid w:val="0E236E8B"/>
    <w:rsid w:val="0E2844A2"/>
    <w:rsid w:val="0E2F3A82"/>
    <w:rsid w:val="0E4B63E2"/>
    <w:rsid w:val="0E545297"/>
    <w:rsid w:val="0E63197E"/>
    <w:rsid w:val="0E906D5F"/>
    <w:rsid w:val="0E947D89"/>
    <w:rsid w:val="0E9E6512"/>
    <w:rsid w:val="0EA63619"/>
    <w:rsid w:val="0EBB70C4"/>
    <w:rsid w:val="0ED62150"/>
    <w:rsid w:val="0ED65CAC"/>
    <w:rsid w:val="0EE4486D"/>
    <w:rsid w:val="0EF94BFA"/>
    <w:rsid w:val="0F8B118C"/>
    <w:rsid w:val="0F98263C"/>
    <w:rsid w:val="0FCE16D6"/>
    <w:rsid w:val="10044A9B"/>
    <w:rsid w:val="101860EC"/>
    <w:rsid w:val="107734BE"/>
    <w:rsid w:val="107E484D"/>
    <w:rsid w:val="108F5D13"/>
    <w:rsid w:val="10BB33AB"/>
    <w:rsid w:val="10C055FF"/>
    <w:rsid w:val="10CD1330"/>
    <w:rsid w:val="10D10E21"/>
    <w:rsid w:val="10F90377"/>
    <w:rsid w:val="11366ED6"/>
    <w:rsid w:val="114A472F"/>
    <w:rsid w:val="117B2B3A"/>
    <w:rsid w:val="117E2064"/>
    <w:rsid w:val="118107EC"/>
    <w:rsid w:val="1182211B"/>
    <w:rsid w:val="119A7465"/>
    <w:rsid w:val="11B12A00"/>
    <w:rsid w:val="11E22BBA"/>
    <w:rsid w:val="11F528ED"/>
    <w:rsid w:val="11FC1ECD"/>
    <w:rsid w:val="12103BCB"/>
    <w:rsid w:val="122E5DFF"/>
    <w:rsid w:val="12597320"/>
    <w:rsid w:val="127C300E"/>
    <w:rsid w:val="129632EA"/>
    <w:rsid w:val="12DC3AAD"/>
    <w:rsid w:val="131E2317"/>
    <w:rsid w:val="136A730B"/>
    <w:rsid w:val="137141F5"/>
    <w:rsid w:val="13826402"/>
    <w:rsid w:val="138C102F"/>
    <w:rsid w:val="139F6FB4"/>
    <w:rsid w:val="13C1778D"/>
    <w:rsid w:val="13D50BC4"/>
    <w:rsid w:val="1404150D"/>
    <w:rsid w:val="140B63F8"/>
    <w:rsid w:val="14292D22"/>
    <w:rsid w:val="14333BA0"/>
    <w:rsid w:val="145C30F7"/>
    <w:rsid w:val="14636234"/>
    <w:rsid w:val="14773A8D"/>
    <w:rsid w:val="14CD7B51"/>
    <w:rsid w:val="14EA0703"/>
    <w:rsid w:val="14EF3F6B"/>
    <w:rsid w:val="14F275B8"/>
    <w:rsid w:val="14F4063A"/>
    <w:rsid w:val="150D619F"/>
    <w:rsid w:val="15170DCC"/>
    <w:rsid w:val="15227E9D"/>
    <w:rsid w:val="15311E8E"/>
    <w:rsid w:val="15325C06"/>
    <w:rsid w:val="15393438"/>
    <w:rsid w:val="153B4ABB"/>
    <w:rsid w:val="154C6CC8"/>
    <w:rsid w:val="15545B7C"/>
    <w:rsid w:val="15791A87"/>
    <w:rsid w:val="15DD5B72"/>
    <w:rsid w:val="15FA6724"/>
    <w:rsid w:val="162D4D4B"/>
    <w:rsid w:val="163836F0"/>
    <w:rsid w:val="1642631D"/>
    <w:rsid w:val="166C5148"/>
    <w:rsid w:val="16810BF3"/>
    <w:rsid w:val="16BB723D"/>
    <w:rsid w:val="16C60CFC"/>
    <w:rsid w:val="16C62AAA"/>
    <w:rsid w:val="16CD208A"/>
    <w:rsid w:val="16D01B7A"/>
    <w:rsid w:val="16D76A65"/>
    <w:rsid w:val="16DE6045"/>
    <w:rsid w:val="170D692B"/>
    <w:rsid w:val="17367C2F"/>
    <w:rsid w:val="176D5C4E"/>
    <w:rsid w:val="17935082"/>
    <w:rsid w:val="17966920"/>
    <w:rsid w:val="17DA4A5F"/>
    <w:rsid w:val="17F84EE5"/>
    <w:rsid w:val="180C0990"/>
    <w:rsid w:val="185A134B"/>
    <w:rsid w:val="187622AE"/>
    <w:rsid w:val="187A1D9E"/>
    <w:rsid w:val="188B5D59"/>
    <w:rsid w:val="189A41EE"/>
    <w:rsid w:val="18A96DD5"/>
    <w:rsid w:val="18DE057F"/>
    <w:rsid w:val="18E35B95"/>
    <w:rsid w:val="18FA4C8D"/>
    <w:rsid w:val="191A0E8B"/>
    <w:rsid w:val="19324427"/>
    <w:rsid w:val="19377C8F"/>
    <w:rsid w:val="19622F5E"/>
    <w:rsid w:val="198D78AF"/>
    <w:rsid w:val="19921369"/>
    <w:rsid w:val="19F32E99"/>
    <w:rsid w:val="1A622AE9"/>
    <w:rsid w:val="1A644AB4"/>
    <w:rsid w:val="1A6E5932"/>
    <w:rsid w:val="1A8C7B66"/>
    <w:rsid w:val="1A8E1B30"/>
    <w:rsid w:val="1AAB26E2"/>
    <w:rsid w:val="1ABF1CEA"/>
    <w:rsid w:val="1AC612CA"/>
    <w:rsid w:val="1AD87250"/>
    <w:rsid w:val="1AE15BD2"/>
    <w:rsid w:val="1AF63A1E"/>
    <w:rsid w:val="1B140A04"/>
    <w:rsid w:val="1B1C713C"/>
    <w:rsid w:val="1B6A434C"/>
    <w:rsid w:val="1B9C202B"/>
    <w:rsid w:val="1BE8440E"/>
    <w:rsid w:val="1BEC2FB3"/>
    <w:rsid w:val="1BF3232F"/>
    <w:rsid w:val="1C2C1601"/>
    <w:rsid w:val="1C324E6D"/>
    <w:rsid w:val="1C381D54"/>
    <w:rsid w:val="1C3D55BC"/>
    <w:rsid w:val="1C4E5A1B"/>
    <w:rsid w:val="1C5D17BA"/>
    <w:rsid w:val="1CC66009"/>
    <w:rsid w:val="1CD87093"/>
    <w:rsid w:val="1D155CEE"/>
    <w:rsid w:val="1D3F35B6"/>
    <w:rsid w:val="1D436C02"/>
    <w:rsid w:val="1D5E1C8E"/>
    <w:rsid w:val="1D6D0123"/>
    <w:rsid w:val="1D82616E"/>
    <w:rsid w:val="1DAA6C81"/>
    <w:rsid w:val="1DB418AE"/>
    <w:rsid w:val="1DBA49EB"/>
    <w:rsid w:val="1DBE272D"/>
    <w:rsid w:val="1DEA1774"/>
    <w:rsid w:val="1E0D7210"/>
    <w:rsid w:val="1E122A78"/>
    <w:rsid w:val="1E1E141D"/>
    <w:rsid w:val="1E220F0E"/>
    <w:rsid w:val="1E27716B"/>
    <w:rsid w:val="1E5B152D"/>
    <w:rsid w:val="1E965458"/>
    <w:rsid w:val="1E9F430C"/>
    <w:rsid w:val="1EA731C1"/>
    <w:rsid w:val="1EC75611"/>
    <w:rsid w:val="1EDC730E"/>
    <w:rsid w:val="1EFB52BB"/>
    <w:rsid w:val="1EFF4DAB"/>
    <w:rsid w:val="1F5E5F75"/>
    <w:rsid w:val="1F6368EB"/>
    <w:rsid w:val="1FB2006F"/>
    <w:rsid w:val="1FB42039"/>
    <w:rsid w:val="1FF35744"/>
    <w:rsid w:val="1FFB37C4"/>
    <w:rsid w:val="1FFB7C68"/>
    <w:rsid w:val="20032679"/>
    <w:rsid w:val="20036B1D"/>
    <w:rsid w:val="20062169"/>
    <w:rsid w:val="20523600"/>
    <w:rsid w:val="205A2A84"/>
    <w:rsid w:val="206D3F96"/>
    <w:rsid w:val="207E43F5"/>
    <w:rsid w:val="20931C4F"/>
    <w:rsid w:val="20DD2ECA"/>
    <w:rsid w:val="2107263D"/>
    <w:rsid w:val="214B42D7"/>
    <w:rsid w:val="215313DE"/>
    <w:rsid w:val="217010C5"/>
    <w:rsid w:val="217043DC"/>
    <w:rsid w:val="218D2B42"/>
    <w:rsid w:val="21935C7E"/>
    <w:rsid w:val="219865D1"/>
    <w:rsid w:val="21B7196D"/>
    <w:rsid w:val="21B75E11"/>
    <w:rsid w:val="21B85F4E"/>
    <w:rsid w:val="21BE719F"/>
    <w:rsid w:val="221B014E"/>
    <w:rsid w:val="22431452"/>
    <w:rsid w:val="22654504"/>
    <w:rsid w:val="226B012F"/>
    <w:rsid w:val="228850B7"/>
    <w:rsid w:val="22D34BE4"/>
    <w:rsid w:val="22FB3ADB"/>
    <w:rsid w:val="22FB7F7F"/>
    <w:rsid w:val="231F5A1C"/>
    <w:rsid w:val="233A4603"/>
    <w:rsid w:val="23860B96"/>
    <w:rsid w:val="23971A56"/>
    <w:rsid w:val="23A91789"/>
    <w:rsid w:val="23B51EDC"/>
    <w:rsid w:val="240371BF"/>
    <w:rsid w:val="2423778D"/>
    <w:rsid w:val="245D6B87"/>
    <w:rsid w:val="247022A7"/>
    <w:rsid w:val="24724271"/>
    <w:rsid w:val="24A05B13"/>
    <w:rsid w:val="24A26904"/>
    <w:rsid w:val="24E72569"/>
    <w:rsid w:val="24FD7FDE"/>
    <w:rsid w:val="258129BE"/>
    <w:rsid w:val="25BD32CA"/>
    <w:rsid w:val="25D074A1"/>
    <w:rsid w:val="26143832"/>
    <w:rsid w:val="261F5032"/>
    <w:rsid w:val="26541E80"/>
    <w:rsid w:val="265C2EBC"/>
    <w:rsid w:val="26A76454"/>
    <w:rsid w:val="26BD5C77"/>
    <w:rsid w:val="26C26CF7"/>
    <w:rsid w:val="26C37006"/>
    <w:rsid w:val="26CA2142"/>
    <w:rsid w:val="26FE3B9A"/>
    <w:rsid w:val="2729330D"/>
    <w:rsid w:val="27B150B0"/>
    <w:rsid w:val="27C32B0E"/>
    <w:rsid w:val="28094EEC"/>
    <w:rsid w:val="282D2989"/>
    <w:rsid w:val="282E6701"/>
    <w:rsid w:val="28327F9F"/>
    <w:rsid w:val="28333D17"/>
    <w:rsid w:val="284D6B87"/>
    <w:rsid w:val="28A80261"/>
    <w:rsid w:val="28EC39D0"/>
    <w:rsid w:val="2900009D"/>
    <w:rsid w:val="294C6E3F"/>
    <w:rsid w:val="295D729E"/>
    <w:rsid w:val="295E3016"/>
    <w:rsid w:val="29657F00"/>
    <w:rsid w:val="297939AC"/>
    <w:rsid w:val="29A547A1"/>
    <w:rsid w:val="29BD5F8E"/>
    <w:rsid w:val="29EC6874"/>
    <w:rsid w:val="29FD04D3"/>
    <w:rsid w:val="2A07545B"/>
    <w:rsid w:val="2A1C2CB5"/>
    <w:rsid w:val="2A337FFE"/>
    <w:rsid w:val="2A420242"/>
    <w:rsid w:val="2A4D10C0"/>
    <w:rsid w:val="2A500BB0"/>
    <w:rsid w:val="2A7228D5"/>
    <w:rsid w:val="2A9036A3"/>
    <w:rsid w:val="2A97233B"/>
    <w:rsid w:val="2AA64C74"/>
    <w:rsid w:val="2AE31A25"/>
    <w:rsid w:val="2AF94DA4"/>
    <w:rsid w:val="2B33475A"/>
    <w:rsid w:val="2B487ADA"/>
    <w:rsid w:val="2B65426D"/>
    <w:rsid w:val="2B774B23"/>
    <w:rsid w:val="2B97636B"/>
    <w:rsid w:val="2BDF043E"/>
    <w:rsid w:val="2C022EBC"/>
    <w:rsid w:val="2C3B6C3D"/>
    <w:rsid w:val="2C695F59"/>
    <w:rsid w:val="2C894183"/>
    <w:rsid w:val="2C8A61B5"/>
    <w:rsid w:val="2CAB0320"/>
    <w:rsid w:val="2CE33F5E"/>
    <w:rsid w:val="2CF241A1"/>
    <w:rsid w:val="2D314CC9"/>
    <w:rsid w:val="2D320A41"/>
    <w:rsid w:val="2D5805BF"/>
    <w:rsid w:val="2D6C5D01"/>
    <w:rsid w:val="2D7B7CF2"/>
    <w:rsid w:val="2D9E60D7"/>
    <w:rsid w:val="2DAA4A7C"/>
    <w:rsid w:val="2DAF5BEE"/>
    <w:rsid w:val="2DD83397"/>
    <w:rsid w:val="2DF04E50"/>
    <w:rsid w:val="2E0F2B31"/>
    <w:rsid w:val="2E262354"/>
    <w:rsid w:val="2E5642BC"/>
    <w:rsid w:val="2EA119DB"/>
    <w:rsid w:val="2EC15BD9"/>
    <w:rsid w:val="2EDD678B"/>
    <w:rsid w:val="2EF91817"/>
    <w:rsid w:val="2F040D46"/>
    <w:rsid w:val="2F0D6469"/>
    <w:rsid w:val="2F2F5238"/>
    <w:rsid w:val="2F320885"/>
    <w:rsid w:val="2F397E65"/>
    <w:rsid w:val="2F4F1437"/>
    <w:rsid w:val="2F5729E1"/>
    <w:rsid w:val="2F8B61E7"/>
    <w:rsid w:val="2F911A4F"/>
    <w:rsid w:val="2FA31782"/>
    <w:rsid w:val="2FB41BE1"/>
    <w:rsid w:val="2FC04877"/>
    <w:rsid w:val="2FC5794B"/>
    <w:rsid w:val="303E14AB"/>
    <w:rsid w:val="304E5B92"/>
    <w:rsid w:val="306D4B10"/>
    <w:rsid w:val="30915A7F"/>
    <w:rsid w:val="309317F7"/>
    <w:rsid w:val="309A0DD7"/>
    <w:rsid w:val="30A457B2"/>
    <w:rsid w:val="30E3452C"/>
    <w:rsid w:val="30FC739C"/>
    <w:rsid w:val="31264419"/>
    <w:rsid w:val="31921AAF"/>
    <w:rsid w:val="319F7F4E"/>
    <w:rsid w:val="31AC0DC2"/>
    <w:rsid w:val="31B23EFF"/>
    <w:rsid w:val="31B934DF"/>
    <w:rsid w:val="31D71BB7"/>
    <w:rsid w:val="31E367AE"/>
    <w:rsid w:val="322748ED"/>
    <w:rsid w:val="32494863"/>
    <w:rsid w:val="325B00F2"/>
    <w:rsid w:val="32785148"/>
    <w:rsid w:val="32A9493D"/>
    <w:rsid w:val="32C668D3"/>
    <w:rsid w:val="3304709D"/>
    <w:rsid w:val="333077D1"/>
    <w:rsid w:val="334211B0"/>
    <w:rsid w:val="33482D6D"/>
    <w:rsid w:val="33490893"/>
    <w:rsid w:val="33576B0C"/>
    <w:rsid w:val="3442156A"/>
    <w:rsid w:val="34452E08"/>
    <w:rsid w:val="344A041F"/>
    <w:rsid w:val="34AC1301"/>
    <w:rsid w:val="351C000D"/>
    <w:rsid w:val="35330875"/>
    <w:rsid w:val="353F1F4D"/>
    <w:rsid w:val="3575771D"/>
    <w:rsid w:val="359E4EC6"/>
    <w:rsid w:val="35A46254"/>
    <w:rsid w:val="35EF74CF"/>
    <w:rsid w:val="369B7657"/>
    <w:rsid w:val="36A52284"/>
    <w:rsid w:val="36AA5135"/>
    <w:rsid w:val="36C7044C"/>
    <w:rsid w:val="36E44B5A"/>
    <w:rsid w:val="36E77377"/>
    <w:rsid w:val="373158C6"/>
    <w:rsid w:val="37321D6A"/>
    <w:rsid w:val="375F2433"/>
    <w:rsid w:val="37621F23"/>
    <w:rsid w:val="376D39B2"/>
    <w:rsid w:val="37725225"/>
    <w:rsid w:val="37863E63"/>
    <w:rsid w:val="37A83DDA"/>
    <w:rsid w:val="37CB7AC8"/>
    <w:rsid w:val="37D921E5"/>
    <w:rsid w:val="37E16F03"/>
    <w:rsid w:val="37EA43F2"/>
    <w:rsid w:val="37F30DCD"/>
    <w:rsid w:val="37F76B0F"/>
    <w:rsid w:val="37FC4126"/>
    <w:rsid w:val="381476C1"/>
    <w:rsid w:val="384964DB"/>
    <w:rsid w:val="38514471"/>
    <w:rsid w:val="38AB7897"/>
    <w:rsid w:val="38D469F0"/>
    <w:rsid w:val="38F92413"/>
    <w:rsid w:val="390E2362"/>
    <w:rsid w:val="39311BAD"/>
    <w:rsid w:val="393B2EA4"/>
    <w:rsid w:val="39A47D18"/>
    <w:rsid w:val="39C42A21"/>
    <w:rsid w:val="39D30EB6"/>
    <w:rsid w:val="39E6508D"/>
    <w:rsid w:val="3A0379ED"/>
    <w:rsid w:val="3A0B0650"/>
    <w:rsid w:val="3A0D4272"/>
    <w:rsid w:val="3A59585F"/>
    <w:rsid w:val="3A881CA1"/>
    <w:rsid w:val="3A940645"/>
    <w:rsid w:val="3AA0348E"/>
    <w:rsid w:val="3AB24F6F"/>
    <w:rsid w:val="3AE53EB3"/>
    <w:rsid w:val="3B3D2A8B"/>
    <w:rsid w:val="3B5322AF"/>
    <w:rsid w:val="3B817D3C"/>
    <w:rsid w:val="3BDD6365"/>
    <w:rsid w:val="3BEB0739"/>
    <w:rsid w:val="3BF910A8"/>
    <w:rsid w:val="3C02288F"/>
    <w:rsid w:val="3C432323"/>
    <w:rsid w:val="3C5F6B62"/>
    <w:rsid w:val="3C700C3E"/>
    <w:rsid w:val="3CA8487C"/>
    <w:rsid w:val="3CAB143F"/>
    <w:rsid w:val="3CAF5C0A"/>
    <w:rsid w:val="3CB50CFF"/>
    <w:rsid w:val="3CB732CC"/>
    <w:rsid w:val="3CE33F56"/>
    <w:rsid w:val="3D2E2FD3"/>
    <w:rsid w:val="3D5440BC"/>
    <w:rsid w:val="3D98207C"/>
    <w:rsid w:val="3E2B306F"/>
    <w:rsid w:val="3E6A003B"/>
    <w:rsid w:val="3E774506"/>
    <w:rsid w:val="3E78745D"/>
    <w:rsid w:val="3E8409D1"/>
    <w:rsid w:val="3E946E66"/>
    <w:rsid w:val="3EE33949"/>
    <w:rsid w:val="3F3E6DD2"/>
    <w:rsid w:val="3F9D7F9C"/>
    <w:rsid w:val="3FAC6431"/>
    <w:rsid w:val="3FD61700"/>
    <w:rsid w:val="3FF83425"/>
    <w:rsid w:val="40161AFD"/>
    <w:rsid w:val="40477F08"/>
    <w:rsid w:val="404E573A"/>
    <w:rsid w:val="405010BD"/>
    <w:rsid w:val="40721429"/>
    <w:rsid w:val="409E221E"/>
    <w:rsid w:val="40BF3F42"/>
    <w:rsid w:val="40CB28E7"/>
    <w:rsid w:val="40E8793D"/>
    <w:rsid w:val="410D4CAE"/>
    <w:rsid w:val="412E3412"/>
    <w:rsid w:val="413E130B"/>
    <w:rsid w:val="414F3518"/>
    <w:rsid w:val="41652D3C"/>
    <w:rsid w:val="41BA3087"/>
    <w:rsid w:val="41C23CEA"/>
    <w:rsid w:val="41E40104"/>
    <w:rsid w:val="422C5607"/>
    <w:rsid w:val="42366486"/>
    <w:rsid w:val="42380450"/>
    <w:rsid w:val="4242307D"/>
    <w:rsid w:val="42707BEA"/>
    <w:rsid w:val="42813BA5"/>
    <w:rsid w:val="42B15B0D"/>
    <w:rsid w:val="42B45D29"/>
    <w:rsid w:val="42B71375"/>
    <w:rsid w:val="43081BD1"/>
    <w:rsid w:val="43252782"/>
    <w:rsid w:val="43326C4D"/>
    <w:rsid w:val="43370708"/>
    <w:rsid w:val="433A2023"/>
    <w:rsid w:val="434F5A51"/>
    <w:rsid w:val="436B215F"/>
    <w:rsid w:val="438D0328"/>
    <w:rsid w:val="439E0787"/>
    <w:rsid w:val="43D16466"/>
    <w:rsid w:val="43D917BF"/>
    <w:rsid w:val="43EC504E"/>
    <w:rsid w:val="44093E52"/>
    <w:rsid w:val="444430DC"/>
    <w:rsid w:val="445B21D4"/>
    <w:rsid w:val="44613C8E"/>
    <w:rsid w:val="44B32010"/>
    <w:rsid w:val="44C32ED5"/>
    <w:rsid w:val="44CE5A6E"/>
    <w:rsid w:val="44E268DA"/>
    <w:rsid w:val="451A0408"/>
    <w:rsid w:val="45216F7A"/>
    <w:rsid w:val="45235A92"/>
    <w:rsid w:val="452F5B3A"/>
    <w:rsid w:val="453E5D7D"/>
    <w:rsid w:val="45482758"/>
    <w:rsid w:val="45667082"/>
    <w:rsid w:val="458B1F69"/>
    <w:rsid w:val="459E4A6E"/>
    <w:rsid w:val="45EC3A2B"/>
    <w:rsid w:val="45F4643C"/>
    <w:rsid w:val="46024FFD"/>
    <w:rsid w:val="4613720A"/>
    <w:rsid w:val="4631143E"/>
    <w:rsid w:val="469F14E0"/>
    <w:rsid w:val="46A41C10"/>
    <w:rsid w:val="46D544C0"/>
    <w:rsid w:val="46F96400"/>
    <w:rsid w:val="47013507"/>
    <w:rsid w:val="470D1EAB"/>
    <w:rsid w:val="47134FE8"/>
    <w:rsid w:val="4792415F"/>
    <w:rsid w:val="47AD71EA"/>
    <w:rsid w:val="47AF4D11"/>
    <w:rsid w:val="47CF7161"/>
    <w:rsid w:val="47F00E85"/>
    <w:rsid w:val="481608EC"/>
    <w:rsid w:val="48435459"/>
    <w:rsid w:val="487B4155"/>
    <w:rsid w:val="489130C1"/>
    <w:rsid w:val="48A95C04"/>
    <w:rsid w:val="48D30AF1"/>
    <w:rsid w:val="48F0738F"/>
    <w:rsid w:val="49221512"/>
    <w:rsid w:val="496164DE"/>
    <w:rsid w:val="49714403"/>
    <w:rsid w:val="49956188"/>
    <w:rsid w:val="49971F00"/>
    <w:rsid w:val="49C650D6"/>
    <w:rsid w:val="49C820BA"/>
    <w:rsid w:val="49DE7B2F"/>
    <w:rsid w:val="4A527BD5"/>
    <w:rsid w:val="4A5676C5"/>
    <w:rsid w:val="4A627F82"/>
    <w:rsid w:val="4AC46D25"/>
    <w:rsid w:val="4B0E749A"/>
    <w:rsid w:val="4B1A06F3"/>
    <w:rsid w:val="4B1F3F5B"/>
    <w:rsid w:val="4B241572"/>
    <w:rsid w:val="4B257098"/>
    <w:rsid w:val="4B3F45FD"/>
    <w:rsid w:val="4B3F63AB"/>
    <w:rsid w:val="4B425E9C"/>
    <w:rsid w:val="4B4F25DA"/>
    <w:rsid w:val="4B505009"/>
    <w:rsid w:val="4B646826"/>
    <w:rsid w:val="4B842010"/>
    <w:rsid w:val="4B8464B4"/>
    <w:rsid w:val="4BE068DB"/>
    <w:rsid w:val="4BFFF7D4"/>
    <w:rsid w:val="4C0118B3"/>
    <w:rsid w:val="4C013661"/>
    <w:rsid w:val="4C2C2DD4"/>
    <w:rsid w:val="4C583BC9"/>
    <w:rsid w:val="4C800A2A"/>
    <w:rsid w:val="4C8348FA"/>
    <w:rsid w:val="4CC254E6"/>
    <w:rsid w:val="4CD64AED"/>
    <w:rsid w:val="4CE4545C"/>
    <w:rsid w:val="4D3A507C"/>
    <w:rsid w:val="4D453A21"/>
    <w:rsid w:val="4D577224"/>
    <w:rsid w:val="4D7F33D7"/>
    <w:rsid w:val="4D8617C8"/>
    <w:rsid w:val="4D981DA3"/>
    <w:rsid w:val="4D9C5D37"/>
    <w:rsid w:val="4DB869F4"/>
    <w:rsid w:val="4DDE1EAC"/>
    <w:rsid w:val="4DE1199C"/>
    <w:rsid w:val="4DE84AD8"/>
    <w:rsid w:val="4DEF40B9"/>
    <w:rsid w:val="4E3E294A"/>
    <w:rsid w:val="4E52289A"/>
    <w:rsid w:val="4EAB630A"/>
    <w:rsid w:val="4EAC01FC"/>
    <w:rsid w:val="4ECE2238"/>
    <w:rsid w:val="4EFB4CDF"/>
    <w:rsid w:val="4F11005F"/>
    <w:rsid w:val="4F391364"/>
    <w:rsid w:val="4F5D32A4"/>
    <w:rsid w:val="4FA233AD"/>
    <w:rsid w:val="4FF97471"/>
    <w:rsid w:val="50373AF5"/>
    <w:rsid w:val="50666188"/>
    <w:rsid w:val="50A06FDC"/>
    <w:rsid w:val="50DB6B76"/>
    <w:rsid w:val="50E377D9"/>
    <w:rsid w:val="512247A5"/>
    <w:rsid w:val="512A5408"/>
    <w:rsid w:val="512C73D2"/>
    <w:rsid w:val="51782617"/>
    <w:rsid w:val="51786173"/>
    <w:rsid w:val="518C0AF1"/>
    <w:rsid w:val="51915487"/>
    <w:rsid w:val="51AC22C1"/>
    <w:rsid w:val="51B7313F"/>
    <w:rsid w:val="51CC4711"/>
    <w:rsid w:val="51D5604D"/>
    <w:rsid w:val="51E23F34"/>
    <w:rsid w:val="523A5B1F"/>
    <w:rsid w:val="52623ABC"/>
    <w:rsid w:val="527C1C93"/>
    <w:rsid w:val="528154FB"/>
    <w:rsid w:val="52CA6EA2"/>
    <w:rsid w:val="534529CD"/>
    <w:rsid w:val="53476745"/>
    <w:rsid w:val="534A3B3F"/>
    <w:rsid w:val="536270DB"/>
    <w:rsid w:val="53794425"/>
    <w:rsid w:val="537B4521"/>
    <w:rsid w:val="537E6D0A"/>
    <w:rsid w:val="53963229"/>
    <w:rsid w:val="53A25729"/>
    <w:rsid w:val="53AF7E46"/>
    <w:rsid w:val="53D012CF"/>
    <w:rsid w:val="53DB0C3B"/>
    <w:rsid w:val="53F35F85"/>
    <w:rsid w:val="544F3B03"/>
    <w:rsid w:val="546038E7"/>
    <w:rsid w:val="547333AA"/>
    <w:rsid w:val="54770964"/>
    <w:rsid w:val="54D852E2"/>
    <w:rsid w:val="54DE4E87"/>
    <w:rsid w:val="54E3424B"/>
    <w:rsid w:val="55175CA3"/>
    <w:rsid w:val="55202DAA"/>
    <w:rsid w:val="55387103"/>
    <w:rsid w:val="55BD4A9D"/>
    <w:rsid w:val="55DA73FC"/>
    <w:rsid w:val="55F12998"/>
    <w:rsid w:val="55FD30EB"/>
    <w:rsid w:val="564725B8"/>
    <w:rsid w:val="565D1DDC"/>
    <w:rsid w:val="566273F2"/>
    <w:rsid w:val="567315FF"/>
    <w:rsid w:val="5697353F"/>
    <w:rsid w:val="569D042A"/>
    <w:rsid w:val="56CB31E9"/>
    <w:rsid w:val="56D007FF"/>
    <w:rsid w:val="56D55E16"/>
    <w:rsid w:val="56F91B04"/>
    <w:rsid w:val="570A5ABF"/>
    <w:rsid w:val="572A6162"/>
    <w:rsid w:val="57781EB6"/>
    <w:rsid w:val="57931F59"/>
    <w:rsid w:val="5798756F"/>
    <w:rsid w:val="57A06424"/>
    <w:rsid w:val="57DD31D4"/>
    <w:rsid w:val="57DE5369"/>
    <w:rsid w:val="57F34222"/>
    <w:rsid w:val="580E7831"/>
    <w:rsid w:val="586D09FC"/>
    <w:rsid w:val="589178F1"/>
    <w:rsid w:val="58A106A5"/>
    <w:rsid w:val="58B959EF"/>
    <w:rsid w:val="58D4254D"/>
    <w:rsid w:val="58EB1921"/>
    <w:rsid w:val="591744C4"/>
    <w:rsid w:val="592E180D"/>
    <w:rsid w:val="595C45CC"/>
    <w:rsid w:val="59701E26"/>
    <w:rsid w:val="59822285"/>
    <w:rsid w:val="5991071A"/>
    <w:rsid w:val="599504DA"/>
    <w:rsid w:val="59A3044D"/>
    <w:rsid w:val="59A71CEC"/>
    <w:rsid w:val="59AF294E"/>
    <w:rsid w:val="59FD7B5D"/>
    <w:rsid w:val="5A0E58C7"/>
    <w:rsid w:val="5A2A46CB"/>
    <w:rsid w:val="5A871B1D"/>
    <w:rsid w:val="5A971D60"/>
    <w:rsid w:val="5AEE394A"/>
    <w:rsid w:val="5AF92295"/>
    <w:rsid w:val="5AFD593B"/>
    <w:rsid w:val="5B060C94"/>
    <w:rsid w:val="5B092532"/>
    <w:rsid w:val="5B321A89"/>
    <w:rsid w:val="5B3255E5"/>
    <w:rsid w:val="5B5419FF"/>
    <w:rsid w:val="5B8322E4"/>
    <w:rsid w:val="5B977B3E"/>
    <w:rsid w:val="5BA858A7"/>
    <w:rsid w:val="5BD82630"/>
    <w:rsid w:val="5BD91F04"/>
    <w:rsid w:val="5C621EFA"/>
    <w:rsid w:val="5C98591B"/>
    <w:rsid w:val="5CB85FBE"/>
    <w:rsid w:val="5CD5091E"/>
    <w:rsid w:val="5CD71FC4"/>
    <w:rsid w:val="5CEB0141"/>
    <w:rsid w:val="5CEC5C67"/>
    <w:rsid w:val="5CFD1C22"/>
    <w:rsid w:val="5D177188"/>
    <w:rsid w:val="5D1D4073"/>
    <w:rsid w:val="5D2B343B"/>
    <w:rsid w:val="5D2B6790"/>
    <w:rsid w:val="5D3A2E77"/>
    <w:rsid w:val="5D487342"/>
    <w:rsid w:val="5D69550A"/>
    <w:rsid w:val="5D6B3030"/>
    <w:rsid w:val="5D6E48CE"/>
    <w:rsid w:val="5D9E51B4"/>
    <w:rsid w:val="5DBE5856"/>
    <w:rsid w:val="5DD230AF"/>
    <w:rsid w:val="5E070FAB"/>
    <w:rsid w:val="5E1611EE"/>
    <w:rsid w:val="5E761C8C"/>
    <w:rsid w:val="5E7B54F5"/>
    <w:rsid w:val="5E8425FB"/>
    <w:rsid w:val="5E8A3FBC"/>
    <w:rsid w:val="5E912F6A"/>
    <w:rsid w:val="5E9A1E1F"/>
    <w:rsid w:val="5E9D36BD"/>
    <w:rsid w:val="5EBF1885"/>
    <w:rsid w:val="5ECC7AFE"/>
    <w:rsid w:val="5ED54C05"/>
    <w:rsid w:val="5EFA28BD"/>
    <w:rsid w:val="5F230066"/>
    <w:rsid w:val="5F3F29C6"/>
    <w:rsid w:val="5F4973A1"/>
    <w:rsid w:val="5FA10F8B"/>
    <w:rsid w:val="5FA97E40"/>
    <w:rsid w:val="5FAC6B69"/>
    <w:rsid w:val="5FB40CBE"/>
    <w:rsid w:val="5FB76A00"/>
    <w:rsid w:val="60025ECE"/>
    <w:rsid w:val="600B4656"/>
    <w:rsid w:val="600D03CE"/>
    <w:rsid w:val="60497469"/>
    <w:rsid w:val="60563B24"/>
    <w:rsid w:val="606C3347"/>
    <w:rsid w:val="608F34D9"/>
    <w:rsid w:val="60911000"/>
    <w:rsid w:val="60B065B7"/>
    <w:rsid w:val="60CA62C0"/>
    <w:rsid w:val="60CC028A"/>
    <w:rsid w:val="60D40EEC"/>
    <w:rsid w:val="60D809DC"/>
    <w:rsid w:val="60DF7FBD"/>
    <w:rsid w:val="60EA6962"/>
    <w:rsid w:val="611F3151"/>
    <w:rsid w:val="61354081"/>
    <w:rsid w:val="6142054C"/>
    <w:rsid w:val="614B11AE"/>
    <w:rsid w:val="616B7AA3"/>
    <w:rsid w:val="619743F4"/>
    <w:rsid w:val="619C7C5C"/>
    <w:rsid w:val="619F6C92"/>
    <w:rsid w:val="61BC3E5A"/>
    <w:rsid w:val="61FA2BD4"/>
    <w:rsid w:val="620121B5"/>
    <w:rsid w:val="62261C1B"/>
    <w:rsid w:val="62AA0157"/>
    <w:rsid w:val="62B47227"/>
    <w:rsid w:val="62CD2097"/>
    <w:rsid w:val="62CF7BBD"/>
    <w:rsid w:val="62D33B51"/>
    <w:rsid w:val="62D41677"/>
    <w:rsid w:val="62D94C2E"/>
    <w:rsid w:val="62E53885"/>
    <w:rsid w:val="63065CD5"/>
    <w:rsid w:val="631D4DCC"/>
    <w:rsid w:val="63293771"/>
    <w:rsid w:val="636447A9"/>
    <w:rsid w:val="637013A0"/>
    <w:rsid w:val="638906B4"/>
    <w:rsid w:val="63A57045"/>
    <w:rsid w:val="63A64DC2"/>
    <w:rsid w:val="63AE011A"/>
    <w:rsid w:val="63B84AF5"/>
    <w:rsid w:val="63E000D7"/>
    <w:rsid w:val="64446389"/>
    <w:rsid w:val="64547F6B"/>
    <w:rsid w:val="64B35D5A"/>
    <w:rsid w:val="64BA6095"/>
    <w:rsid w:val="65102E3B"/>
    <w:rsid w:val="652B7B3A"/>
    <w:rsid w:val="6531690D"/>
    <w:rsid w:val="65383FAA"/>
    <w:rsid w:val="656E190F"/>
    <w:rsid w:val="658A0920"/>
    <w:rsid w:val="66081D64"/>
    <w:rsid w:val="663E7534"/>
    <w:rsid w:val="66551508"/>
    <w:rsid w:val="6659436D"/>
    <w:rsid w:val="6672542F"/>
    <w:rsid w:val="667271DD"/>
    <w:rsid w:val="667E2026"/>
    <w:rsid w:val="66996E60"/>
    <w:rsid w:val="66DB2FD4"/>
    <w:rsid w:val="66E71979"/>
    <w:rsid w:val="67204E8B"/>
    <w:rsid w:val="673E6826"/>
    <w:rsid w:val="677B6565"/>
    <w:rsid w:val="678C0773"/>
    <w:rsid w:val="679A69EC"/>
    <w:rsid w:val="679C6C08"/>
    <w:rsid w:val="67A23AF2"/>
    <w:rsid w:val="67B73942"/>
    <w:rsid w:val="67D804B8"/>
    <w:rsid w:val="67E265E5"/>
    <w:rsid w:val="67EC1211"/>
    <w:rsid w:val="67F02AB0"/>
    <w:rsid w:val="681D761D"/>
    <w:rsid w:val="682B1D3A"/>
    <w:rsid w:val="68337770"/>
    <w:rsid w:val="68886FC7"/>
    <w:rsid w:val="68A04359"/>
    <w:rsid w:val="68A33FC6"/>
    <w:rsid w:val="68A51AEC"/>
    <w:rsid w:val="68B7181F"/>
    <w:rsid w:val="68F55EA4"/>
    <w:rsid w:val="69006D22"/>
    <w:rsid w:val="690F51B7"/>
    <w:rsid w:val="692A0243"/>
    <w:rsid w:val="69586B5E"/>
    <w:rsid w:val="696077C1"/>
    <w:rsid w:val="697638C4"/>
    <w:rsid w:val="69787200"/>
    <w:rsid w:val="69B55AF0"/>
    <w:rsid w:val="69CC4E56"/>
    <w:rsid w:val="69D41F5D"/>
    <w:rsid w:val="69E06B54"/>
    <w:rsid w:val="69E71C90"/>
    <w:rsid w:val="69F0323B"/>
    <w:rsid w:val="69F051D4"/>
    <w:rsid w:val="69F525FF"/>
    <w:rsid w:val="69F83F56"/>
    <w:rsid w:val="6A002D52"/>
    <w:rsid w:val="6A350C4E"/>
    <w:rsid w:val="6A6652AB"/>
    <w:rsid w:val="6A9040D6"/>
    <w:rsid w:val="6A9C2801"/>
    <w:rsid w:val="6ACE5FB0"/>
    <w:rsid w:val="6AD466B8"/>
    <w:rsid w:val="6AED777A"/>
    <w:rsid w:val="6B15282D"/>
    <w:rsid w:val="6B453112"/>
    <w:rsid w:val="6BAA566B"/>
    <w:rsid w:val="6BE26BB3"/>
    <w:rsid w:val="6BE40B7D"/>
    <w:rsid w:val="6BF30DC0"/>
    <w:rsid w:val="6C07486C"/>
    <w:rsid w:val="6C4A05C8"/>
    <w:rsid w:val="6C5A3418"/>
    <w:rsid w:val="6C6121CE"/>
    <w:rsid w:val="6C64581A"/>
    <w:rsid w:val="6C760599"/>
    <w:rsid w:val="6C7A3290"/>
    <w:rsid w:val="6D1159A2"/>
    <w:rsid w:val="6D1F21EE"/>
    <w:rsid w:val="6D4713C4"/>
    <w:rsid w:val="6D5B4E6F"/>
    <w:rsid w:val="6D6830E8"/>
    <w:rsid w:val="6D7101EF"/>
    <w:rsid w:val="6D7221B9"/>
    <w:rsid w:val="6DA57E98"/>
    <w:rsid w:val="6DAB39A6"/>
    <w:rsid w:val="6DCA5B51"/>
    <w:rsid w:val="6E056B89"/>
    <w:rsid w:val="6E0C7F17"/>
    <w:rsid w:val="6E160D96"/>
    <w:rsid w:val="6E2551EB"/>
    <w:rsid w:val="6E3B25AB"/>
    <w:rsid w:val="6E4771A1"/>
    <w:rsid w:val="6E48584D"/>
    <w:rsid w:val="6E7E3605"/>
    <w:rsid w:val="6EB20ABF"/>
    <w:rsid w:val="6EBC193D"/>
    <w:rsid w:val="6EF72976"/>
    <w:rsid w:val="6F5D5C30"/>
    <w:rsid w:val="6FA50623"/>
    <w:rsid w:val="6FAC19B2"/>
    <w:rsid w:val="6FBB4455"/>
    <w:rsid w:val="6FEE1FCA"/>
    <w:rsid w:val="6FF5CC65"/>
    <w:rsid w:val="6FF9096F"/>
    <w:rsid w:val="6FFF1102"/>
    <w:rsid w:val="700446E7"/>
    <w:rsid w:val="70787AE6"/>
    <w:rsid w:val="70A71BC5"/>
    <w:rsid w:val="70B86135"/>
    <w:rsid w:val="70CB5E68"/>
    <w:rsid w:val="70E46F2A"/>
    <w:rsid w:val="71121CE9"/>
    <w:rsid w:val="71285813"/>
    <w:rsid w:val="715C0E4B"/>
    <w:rsid w:val="715D4161"/>
    <w:rsid w:val="71810C1C"/>
    <w:rsid w:val="719646C8"/>
    <w:rsid w:val="719A4CA2"/>
    <w:rsid w:val="71AF7537"/>
    <w:rsid w:val="71CA25C3"/>
    <w:rsid w:val="71DC40A5"/>
    <w:rsid w:val="7252731D"/>
    <w:rsid w:val="725E2D0C"/>
    <w:rsid w:val="72734D90"/>
    <w:rsid w:val="72AA012A"/>
    <w:rsid w:val="72BA2638"/>
    <w:rsid w:val="72BC63B0"/>
    <w:rsid w:val="72C15730"/>
    <w:rsid w:val="72C232B3"/>
    <w:rsid w:val="72E70F53"/>
    <w:rsid w:val="7321692F"/>
    <w:rsid w:val="73781BAB"/>
    <w:rsid w:val="737E3665"/>
    <w:rsid w:val="73993FFB"/>
    <w:rsid w:val="73AD73D5"/>
    <w:rsid w:val="73B6EB34"/>
    <w:rsid w:val="73DC4C50"/>
    <w:rsid w:val="73DE2356"/>
    <w:rsid w:val="744731E5"/>
    <w:rsid w:val="746E5488"/>
    <w:rsid w:val="74A7099A"/>
    <w:rsid w:val="74C7159E"/>
    <w:rsid w:val="7541494A"/>
    <w:rsid w:val="75530B22"/>
    <w:rsid w:val="75695C4F"/>
    <w:rsid w:val="75752846"/>
    <w:rsid w:val="75AA6994"/>
    <w:rsid w:val="764861AD"/>
    <w:rsid w:val="7667668A"/>
    <w:rsid w:val="76760624"/>
    <w:rsid w:val="76940ACD"/>
    <w:rsid w:val="76BB072D"/>
    <w:rsid w:val="76C45833"/>
    <w:rsid w:val="76D0242A"/>
    <w:rsid w:val="76D637B8"/>
    <w:rsid w:val="76DF266D"/>
    <w:rsid w:val="76E3355F"/>
    <w:rsid w:val="76E7339B"/>
    <w:rsid w:val="77024EAA"/>
    <w:rsid w:val="773724A9"/>
    <w:rsid w:val="773A78A3"/>
    <w:rsid w:val="778769C8"/>
    <w:rsid w:val="7798281C"/>
    <w:rsid w:val="77BD2282"/>
    <w:rsid w:val="77CE623E"/>
    <w:rsid w:val="77D32880"/>
    <w:rsid w:val="77D870BC"/>
    <w:rsid w:val="77E464C0"/>
    <w:rsid w:val="78212811"/>
    <w:rsid w:val="785B3F75"/>
    <w:rsid w:val="785E1CB7"/>
    <w:rsid w:val="786848E4"/>
    <w:rsid w:val="78B35AFC"/>
    <w:rsid w:val="78DD2BDC"/>
    <w:rsid w:val="78E977D3"/>
    <w:rsid w:val="78F60036"/>
    <w:rsid w:val="78FB12B4"/>
    <w:rsid w:val="79052133"/>
    <w:rsid w:val="79183C14"/>
    <w:rsid w:val="79206F6D"/>
    <w:rsid w:val="792720A9"/>
    <w:rsid w:val="79335490"/>
    <w:rsid w:val="79503EBF"/>
    <w:rsid w:val="796C1A43"/>
    <w:rsid w:val="79A27982"/>
    <w:rsid w:val="79CE0777"/>
    <w:rsid w:val="79EE5BA4"/>
    <w:rsid w:val="79F05D49"/>
    <w:rsid w:val="79F0693F"/>
    <w:rsid w:val="7A083C89"/>
    <w:rsid w:val="7A1C7734"/>
    <w:rsid w:val="7A2D1941"/>
    <w:rsid w:val="7A3C1B84"/>
    <w:rsid w:val="7A861051"/>
    <w:rsid w:val="7A894339"/>
    <w:rsid w:val="7A9814B1"/>
    <w:rsid w:val="7A9C2623"/>
    <w:rsid w:val="7AE75F94"/>
    <w:rsid w:val="7AE77D42"/>
    <w:rsid w:val="7AF81F4F"/>
    <w:rsid w:val="7B3F192C"/>
    <w:rsid w:val="7B4707E1"/>
    <w:rsid w:val="7B8E01BE"/>
    <w:rsid w:val="7BBA0FB3"/>
    <w:rsid w:val="7BBA7205"/>
    <w:rsid w:val="7BD83B2F"/>
    <w:rsid w:val="7C077F70"/>
    <w:rsid w:val="7C1423E9"/>
    <w:rsid w:val="7C1E3C37"/>
    <w:rsid w:val="7C2B1EB0"/>
    <w:rsid w:val="7C372603"/>
    <w:rsid w:val="7C43544C"/>
    <w:rsid w:val="7C444D20"/>
    <w:rsid w:val="7C484810"/>
    <w:rsid w:val="7C5C02BC"/>
    <w:rsid w:val="7C662EE9"/>
    <w:rsid w:val="7C9C4B5C"/>
    <w:rsid w:val="7CB65C1E"/>
    <w:rsid w:val="7CFE69ED"/>
    <w:rsid w:val="7D511DEB"/>
    <w:rsid w:val="7D5A0C9F"/>
    <w:rsid w:val="7D83320D"/>
    <w:rsid w:val="7D9A69BE"/>
    <w:rsid w:val="7D9A72EE"/>
    <w:rsid w:val="7DAE4B47"/>
    <w:rsid w:val="7DC205F3"/>
    <w:rsid w:val="7DE40569"/>
    <w:rsid w:val="7E0C7AC0"/>
    <w:rsid w:val="7E105802"/>
    <w:rsid w:val="7E4B5D72"/>
    <w:rsid w:val="7E503E50"/>
    <w:rsid w:val="7EBD9CC2"/>
    <w:rsid w:val="7EDE145C"/>
    <w:rsid w:val="7EEF11D3"/>
    <w:rsid w:val="7EEF71C5"/>
    <w:rsid w:val="7F21759B"/>
    <w:rsid w:val="7F2330D5"/>
    <w:rsid w:val="7F2E23E3"/>
    <w:rsid w:val="7F385010"/>
    <w:rsid w:val="7F4F235A"/>
    <w:rsid w:val="7F5F07EF"/>
    <w:rsid w:val="7F792F33"/>
    <w:rsid w:val="7F802513"/>
    <w:rsid w:val="7F8C0EB8"/>
    <w:rsid w:val="7F8F6BFA"/>
    <w:rsid w:val="7FA30C79"/>
    <w:rsid w:val="7FAB3A34"/>
    <w:rsid w:val="7FB7269E"/>
    <w:rsid w:val="7FC02E5E"/>
    <w:rsid w:val="7FC248DA"/>
    <w:rsid w:val="7FC96657"/>
    <w:rsid w:val="7FCB0ADE"/>
    <w:rsid w:val="7FF9365D"/>
    <w:rsid w:val="BDF7F08A"/>
    <w:rsid w:val="D8D6DB89"/>
    <w:rsid w:val="DB6F4CAB"/>
    <w:rsid w:val="DF6F9789"/>
    <w:rsid w:val="FB27BE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lang w:bidi="ar-SA"/>
    </w:rPr>
  </w:style>
  <w:style w:type="paragraph" w:styleId="6">
    <w:name w:val="Body Text"/>
    <w:basedOn w:val="1"/>
    <w:link w:val="30"/>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Emphasis"/>
    <w:basedOn w:val="17"/>
    <w:qFormat/>
    <w:uiPriority w:val="20"/>
    <w:rPr>
      <w:i/>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标题 1 Char"/>
    <w:basedOn w:val="17"/>
    <w:link w:val="3"/>
    <w:qFormat/>
    <w:uiPriority w:val="9"/>
    <w:rPr>
      <w:rFonts w:ascii="Times New Roman" w:hAnsi="Times New Roman"/>
      <w:b/>
      <w:bCs/>
      <w:kern w:val="44"/>
      <w:sz w:val="44"/>
      <w:szCs w:val="44"/>
    </w:rPr>
  </w:style>
  <w:style w:type="character" w:customStyle="1" w:styleId="22">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7"/>
    <w:link w:val="5"/>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7"/>
    <w:semiHidden/>
    <w:qFormat/>
    <w:uiPriority w:val="99"/>
    <w:rPr>
      <w:rFonts w:ascii="Times New Roman" w:hAnsi="Times New Roman"/>
      <w:sz w:val="18"/>
      <w:szCs w:val="18"/>
    </w:rPr>
  </w:style>
  <w:style w:type="character" w:customStyle="1" w:styleId="26">
    <w:name w:val="页眉 Char"/>
    <w:link w:val="11"/>
    <w:semiHidden/>
    <w:qFormat/>
    <w:locked/>
    <w:uiPriority w:val="99"/>
    <w:rPr>
      <w:sz w:val="18"/>
    </w:rPr>
  </w:style>
  <w:style w:type="character" w:customStyle="1" w:styleId="27">
    <w:name w:val="Footer Char"/>
    <w:basedOn w:val="17"/>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7"/>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9"/>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paragraph" w:customStyle="1" w:styleId="39">
    <w:name w:val="正文文本 (2)"/>
    <w:basedOn w:val="1"/>
    <w:qFormat/>
    <w:uiPriority w:val="0"/>
    <w:pPr>
      <w:shd w:val="clear" w:color="auto" w:fill="FFFFFF"/>
      <w:spacing w:before="960" w:after="1380" w:line="240" w:lineRule="atLeast"/>
      <w:jc w:val="center"/>
    </w:pPr>
    <w:rPr>
      <w:rFonts w:ascii="MingLiU" w:hAnsi="MingLiU" w:eastAsia="MingLiU"/>
      <w:kern w:val="0"/>
      <w:sz w:val="34"/>
      <w:szCs w:val="3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34920;&#2668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34920;&#2668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34920;&#2668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34920;&#2668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a:t>
            </a:r>
          </a:p>
        </c:rich>
      </c:tx>
      <c:layout/>
      <c:overlay val="0"/>
      <c:spPr>
        <a:noFill/>
        <a:ln>
          <a:noFill/>
        </a:ln>
        <a:effectLst/>
      </c:spPr>
    </c:title>
    <c:autoTitleDeleted val="0"/>
    <c:plotArea>
      <c:layout>
        <c:manualLayout>
          <c:layoutTarget val="inner"/>
          <c:xMode val="edge"/>
          <c:yMode val="edge"/>
          <c:x val="0.0923169556840077"/>
          <c:y val="0.258625373539799"/>
          <c:w val="0.875770712909441"/>
          <c:h val="0.66161369193154"/>
        </c:manualLayout>
      </c:layout>
      <c:barChart>
        <c:barDir val="col"/>
        <c:grouping val="clustered"/>
        <c:varyColors val="0"/>
        <c:ser>
          <c:idx val="0"/>
          <c:order val="0"/>
          <c:tx>
            <c:strRef>
              <c:f>[画图表格.xlsx]Sheet1!$B$2</c:f>
              <c:strCache>
                <c:ptCount val="1"/>
                <c:pt idx="0">
                  <c:v>收、支合计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[画图表格.xlsx]Sheet1!$A$3:$A$4</c:f>
              <c:strCache>
                <c:ptCount val="2"/>
                <c:pt idx="0">
                  <c:v>2021年</c:v>
                </c:pt>
                <c:pt idx="1">
                  <c:v>2022年</c:v>
                </c:pt>
              </c:strCache>
            </c:strRef>
          </c:cat>
          <c:val>
            <c:numRef>
              <c:f>[画图表格.xlsx]Sheet1!$B$3:$B$4</c:f>
              <c:numCache>
                <c:formatCode>General</c:formatCode>
                <c:ptCount val="2"/>
                <c:pt idx="0">
                  <c:v>350873.39</c:v>
                </c:pt>
                <c:pt idx="1">
                  <c:v>420627.79</c:v>
                </c:pt>
              </c:numCache>
            </c:numRef>
          </c:val>
        </c:ser>
        <c:dLbls>
          <c:showLegendKey val="0"/>
          <c:showVal val="1"/>
          <c:showCatName val="0"/>
          <c:showSerName val="0"/>
          <c:showPercent val="0"/>
          <c:showBubbleSize val="0"/>
        </c:dLbls>
        <c:gapWidth val="150"/>
        <c:overlap val="0"/>
        <c:axId val="864634156"/>
        <c:axId val="248170648"/>
      </c:barChart>
      <c:catAx>
        <c:axId val="864634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170648"/>
        <c:crosses val="autoZero"/>
        <c:auto val="1"/>
        <c:lblAlgn val="ctr"/>
        <c:lblOffset val="100"/>
        <c:noMultiLvlLbl val="0"/>
      </c:catAx>
      <c:valAx>
        <c:axId val="248170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6341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收入决算结构</a:t>
            </a:r>
            <a:endParaRPr altLang="en-US"/>
          </a:p>
        </c:rich>
      </c:tx>
      <c:layout/>
      <c:overlay val="0"/>
      <c:spPr>
        <a:noFill/>
        <a:ln>
          <a:noFill/>
        </a:ln>
        <a:effectLst/>
      </c:spPr>
    </c:title>
    <c:autoTitleDeleted val="0"/>
    <c:plotArea>
      <c:layout>
        <c:manualLayout>
          <c:layoutTarget val="inner"/>
          <c:xMode val="edge"/>
          <c:yMode val="edge"/>
          <c:x val="0.342444444444444"/>
          <c:y val="0.153958333333333"/>
          <c:w val="0.352611111111111"/>
          <c:h val="0.58768518518518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[画图表格.xlsx]Sheet1!$A$21:$A$24</c:f>
              <c:strCache>
                <c:ptCount val="4"/>
                <c:pt idx="0">
                  <c:v>一般公共预算财政拨款收入</c:v>
                </c:pt>
                <c:pt idx="2">
                  <c:v>事业收入</c:v>
                </c:pt>
                <c:pt idx="3">
                  <c:v>其他收入</c:v>
                </c:pt>
              </c:strCache>
            </c:strRef>
          </c:cat>
          <c:val>
            <c:numRef>
              <c:f>[画图表格.xlsx]Sheet1!$B$21:$B$24</c:f>
              <c:numCache>
                <c:formatCode>#,##0.00</c:formatCode>
                <c:ptCount val="4"/>
                <c:pt idx="0">
                  <c:v>39452.56</c:v>
                </c:pt>
                <c:pt idx="2">
                  <c:v>235687.15</c:v>
                </c:pt>
                <c:pt idx="3">
                  <c:v>133786.83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支出决算结构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[画图表格.xlsx]Sheet1!$A$35:$B$35</c:f>
              <c:strCache>
                <c:ptCount val="2"/>
                <c:pt idx="0">
                  <c:v>基本支出</c:v>
                </c:pt>
                <c:pt idx="1">
                  <c:v>项目支出</c:v>
                </c:pt>
              </c:strCache>
            </c:strRef>
          </c:cat>
          <c:val>
            <c:numRef>
              <c:f>[画图表格.xlsx]Sheet1!$A$36:$B$36</c:f>
              <c:numCache>
                <c:formatCode>#,##0.00</c:formatCode>
                <c:ptCount val="2"/>
                <c:pt idx="0">
                  <c:v>364591.81</c:v>
                </c:pt>
                <c:pt idx="1">
                  <c:v>47088.24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财政拨款收、支总计变动情况</a:t>
            </a:r>
          </a:p>
        </c:rich>
      </c:tx>
      <c:layout/>
      <c:overlay val="0"/>
      <c:spPr>
        <a:noFill/>
        <a:ln>
          <a:noFill/>
        </a:ln>
        <a:effectLst/>
      </c:spPr>
    </c:title>
    <c:autoTitleDeleted val="0"/>
    <c:plotArea>
      <c:layout/>
      <c:barChart>
        <c:barDir val="col"/>
        <c:grouping val="clustered"/>
        <c:varyColors val="0"/>
        <c:ser>
          <c:idx val="0"/>
          <c:order val="0"/>
          <c:tx>
            <c:strRef>
              <c:f>[画图表格.xlsx]Sheet1!$B$53</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[画图表格.xlsx]Sheet1!$A$54:$A$55</c:f>
              <c:strCache>
                <c:ptCount val="2"/>
                <c:pt idx="0">
                  <c:v>2021年</c:v>
                </c:pt>
                <c:pt idx="1">
                  <c:v>2022年</c:v>
                </c:pt>
              </c:strCache>
            </c:strRef>
          </c:cat>
          <c:val>
            <c:numRef>
              <c:f>[画图表格.xlsx]Sheet1!$B$54:$B$55</c:f>
              <c:numCache>
                <c:formatCode>#,##0.00</c:formatCode>
                <c:ptCount val="2"/>
                <c:pt idx="0">
                  <c:v>32894.18</c:v>
                </c:pt>
                <c:pt idx="1">
                  <c:v>41944.02</c:v>
                </c:pt>
              </c:numCache>
            </c:numRef>
          </c:val>
        </c:ser>
        <c:dLbls>
          <c:showLegendKey val="0"/>
          <c:showVal val="1"/>
          <c:showCatName val="0"/>
          <c:showSerName val="0"/>
          <c:showPercent val="0"/>
          <c:showBubbleSize val="0"/>
        </c:dLbls>
        <c:gapWidth val="150"/>
        <c:overlap val="0"/>
        <c:axId val="603104552"/>
        <c:axId val="427688555"/>
      </c:barChart>
      <c:catAx>
        <c:axId val="6031045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688555"/>
        <c:crosses val="autoZero"/>
        <c:auto val="1"/>
        <c:lblAlgn val="ctr"/>
        <c:lblOffset val="100"/>
        <c:noMultiLvlLbl val="0"/>
      </c:catAx>
      <c:valAx>
        <c:axId val="4276885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104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[画图表格.xlsx]Sheet1!$B$60</c:f>
              <c:strCache>
                <c:ptCount val="1"/>
                <c:pt idx="0">
                  <c:v>一般公共预算财政拨款支出决算变动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[画图表格.xlsx]Sheet1!$A$61:$A$62</c:f>
              <c:strCache>
                <c:ptCount val="2"/>
                <c:pt idx="0">
                  <c:v>2021年</c:v>
                </c:pt>
                <c:pt idx="1">
                  <c:v>2022年</c:v>
                </c:pt>
              </c:strCache>
            </c:strRef>
          </c:cat>
          <c:val>
            <c:numRef>
              <c:f>[画图表格.xlsx]Sheet1!$B$61:$B$62</c:f>
              <c:numCache>
                <c:formatCode>#,##0.00</c:formatCode>
                <c:ptCount val="2"/>
                <c:pt idx="0">
                  <c:v>27409.7</c:v>
                </c:pt>
                <c:pt idx="1">
                  <c:v>33237.21</c:v>
                </c:pt>
              </c:numCache>
            </c:numRef>
          </c:val>
        </c:ser>
        <c:dLbls>
          <c:showLegendKey val="0"/>
          <c:showVal val="1"/>
          <c:showCatName val="0"/>
          <c:showSerName val="0"/>
          <c:showPercent val="0"/>
          <c:showBubbleSize val="0"/>
        </c:dLbls>
        <c:gapWidth val="150"/>
        <c:overlap val="0"/>
        <c:axId val="295767290"/>
        <c:axId val="565858274"/>
      </c:barChart>
      <c:catAx>
        <c:axId val="2957672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858274"/>
        <c:crosses val="autoZero"/>
        <c:auto val="1"/>
        <c:lblAlgn val="ctr"/>
        <c:lblOffset val="100"/>
        <c:noMultiLvlLbl val="0"/>
      </c:catAx>
      <c:valAx>
        <c:axId val="56585827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7672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[画图表格.xlsx]Sheet1!$A$70</c:f>
              <c:strCache>
                <c:ptCount val="1"/>
                <c:pt idx="0">
                  <c:v>2022年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899516976593459"/>
                  <c:y val="0.02005265761533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160102660046"/>
                  <c:y val="0.01155162491217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2028172952583"/>
                  <c:y val="0.08132099689987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39526501654622"/>
                  <c:y val="0.07785253362990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[画图表格.xlsx]Sheet1!$B$68:$F$69</c:f>
              <c:multiLvlStrCache>
                <c:ptCount val="5"/>
                <c:lvl>
                  <c:pt idx="0">
                    <c:v>一般公共服务支出</c:v>
                  </c:pt>
                  <c:pt idx="1">
                    <c:v>科学技术支出</c:v>
                  </c:pt>
                  <c:pt idx="2">
                    <c:v>社会保障和就业支出</c:v>
                  </c:pt>
                  <c:pt idx="3">
                    <c:v>卫生健康支出</c:v>
                  </c:pt>
                  <c:pt idx="4">
                    <c:v>住房保障支出</c:v>
                  </c:pt>
                </c:lvl>
                <c:lvl/>
              </c:multiLvlStrCache>
            </c:multiLvlStrRef>
          </c:cat>
          <c:val>
            <c:numRef>
              <c:f>[画图表格.xlsx]Sheet1!$B$70:$F$70</c:f>
              <c:numCache>
                <c:formatCode>General</c:formatCode>
                <c:ptCount val="5"/>
                <c:pt idx="0">
                  <c:v>8.44</c:v>
                </c:pt>
                <c:pt idx="1">
                  <c:v>9.68</c:v>
                </c:pt>
                <c:pt idx="2">
                  <c:v>725.94</c:v>
                </c:pt>
                <c:pt idx="3" c:formatCode="#,##0.00">
                  <c:v>31754.69</c:v>
                </c:pt>
                <c:pt idx="4" c:formatCode="#,##0.00">
                  <c:v>738.46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[画图表格.xlsx]Sheet1!$A$81:$C$81</c:f>
              <c:strCache>
                <c:ptCount val="3"/>
                <c:pt idx="0">
                  <c:v>因公出国（境）费支出</c:v>
                </c:pt>
                <c:pt idx="1">
                  <c:v>公务用车购置及运行维护费支出</c:v>
                </c:pt>
                <c:pt idx="2">
                  <c:v>公务接待费支出</c:v>
                </c:pt>
              </c:strCache>
            </c:strRef>
          </c:cat>
          <c:val>
            <c:numRef>
              <c:f>[画图表格.xlsx]Sheet1!$A$82:$C$82</c:f>
              <c:numCache>
                <c:formatCode>General</c:formatCode>
                <c:ptCount val="3"/>
                <c:pt idx="0">
                  <c:v>0</c:v>
                </c:pt>
                <c:pt idx="1">
                  <c:v>43.08</c:v>
                </c:pt>
                <c:pt idx="2">
                  <c:v>6.55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Pages>
  <Words>14324</Words>
  <Characters>15743</Characters>
  <Lines>1</Lines>
  <Paragraphs>1</Paragraphs>
  <TotalTime>0</TotalTime>
  <ScaleCrop>false</ScaleCrop>
  <LinksUpToDate>false</LinksUpToDate>
  <CharactersWithSpaces>16384</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玖千余为春秋</cp:lastModifiedBy>
  <cp:lastPrinted>2023-08-01T02:35:00Z</cp:lastPrinted>
  <dcterms:modified xsi:type="dcterms:W3CDTF">2023-09-28T14:47:24Z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