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kinsoku/>
        <w:wordWrap/>
        <w:topLinePunct w:val="0"/>
        <w:bidi w:val="0"/>
        <w:spacing w:line="560" w:lineRule="exact"/>
        <w:jc w:val="center"/>
        <w:textAlignment w:val="auto"/>
        <w:outlineLvl w:val="9"/>
        <w:rPr>
          <w:rFonts w:ascii="方正小标宋简体" w:hAnsi="宋体" w:eastAsia="方正小标宋简体"/>
          <w:color w:val="auto"/>
          <w:sz w:val="72"/>
          <w:szCs w:val="72"/>
          <w:highlight w:val="none"/>
        </w:rPr>
      </w:pPr>
      <w:bookmarkStart w:id="0" w:name="_Toc15396475"/>
      <w:bookmarkStart w:id="1" w:name="_Toc15396597"/>
      <w:bookmarkStart w:id="2" w:name="_Toc15377425"/>
      <w:bookmarkStart w:id="3" w:name="_Toc15378441"/>
      <w:bookmarkStart w:id="4" w:name="_Toc15377193"/>
      <w:bookmarkStart w:id="5" w:name="_Toc15306267"/>
    </w:p>
    <w:p>
      <w:pPr>
        <w:keepNext w:val="0"/>
        <w:keepLines w:val="0"/>
        <w:pageBreakBefore w:val="0"/>
        <w:shd w:val="clear"/>
        <w:kinsoku/>
        <w:wordWrap/>
        <w:overflowPunct/>
        <w:topLinePunct w:val="0"/>
        <w:autoSpaceDE/>
        <w:autoSpaceDN/>
        <w:bidi w:val="0"/>
        <w:spacing w:line="640" w:lineRule="exact"/>
        <w:jc w:val="center"/>
        <w:textAlignment w:val="auto"/>
        <w:outlineLvl w:val="9"/>
        <w:rPr>
          <w:rFonts w:ascii="方正小标宋简体" w:hAnsi="宋体" w:eastAsia="方正小标宋简体"/>
          <w:color w:val="auto"/>
          <w:sz w:val="72"/>
          <w:szCs w:val="72"/>
          <w:highlight w:val="none"/>
        </w:rPr>
      </w:pPr>
    </w:p>
    <w:p>
      <w:pPr>
        <w:keepNext w:val="0"/>
        <w:keepLines w:val="0"/>
        <w:pageBreakBefore w:val="0"/>
        <w:shd w:val="clear"/>
        <w:kinsoku/>
        <w:wordWrap/>
        <w:overflowPunct/>
        <w:topLinePunct w:val="0"/>
        <w:autoSpaceDE/>
        <w:autoSpaceDN/>
        <w:bidi w:val="0"/>
        <w:spacing w:line="640" w:lineRule="exact"/>
        <w:jc w:val="center"/>
        <w:textAlignment w:val="auto"/>
        <w:outlineLvl w:val="9"/>
        <w:rPr>
          <w:rFonts w:ascii="方正小标宋简体" w:hAnsi="宋体" w:eastAsia="方正小标宋简体"/>
          <w:color w:val="auto"/>
          <w:sz w:val="72"/>
          <w:szCs w:val="72"/>
          <w:highlight w:val="none"/>
        </w:rPr>
      </w:pPr>
    </w:p>
    <w:p>
      <w:pPr>
        <w:keepNext w:val="0"/>
        <w:keepLines w:val="0"/>
        <w:pageBreakBefore w:val="0"/>
        <w:widowControl w:val="0"/>
        <w:shd w:val="clear"/>
        <w:kinsoku/>
        <w:wordWrap/>
        <w:overflowPunct/>
        <w:topLinePunct w:val="0"/>
        <w:autoSpaceDE/>
        <w:autoSpaceDN/>
        <w:bidi w:val="0"/>
        <w:adjustRightInd w:val="0"/>
        <w:snapToGrid w:val="0"/>
        <w:spacing w:before="625" w:beforeLines="200" w:after="625" w:afterLines="200" w:line="64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6" w:name="_Toc13290"/>
      <w:bookmarkStart w:id="7" w:name="_Toc12698"/>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p>
    <w:p>
      <w:pPr>
        <w:keepNext w:val="0"/>
        <w:keepLines w:val="0"/>
        <w:pageBreakBefore w:val="0"/>
        <w:widowControl w:val="0"/>
        <w:shd w:val="clear"/>
        <w:kinsoku/>
        <w:wordWrap/>
        <w:overflowPunct/>
        <w:topLinePunct w:val="0"/>
        <w:autoSpaceDE/>
        <w:autoSpaceDN/>
        <w:bidi w:val="0"/>
        <w:adjustRightInd w:val="0"/>
        <w:snapToGrid w:val="0"/>
        <w:spacing w:before="625" w:beforeLines="200" w:after="625" w:afterLines="200" w:line="480" w:lineRule="auto"/>
        <w:jc w:val="center"/>
        <w:textAlignment w:val="auto"/>
        <w:outlineLvl w:val="0"/>
        <w:rPr>
          <w:rFonts w:hint="eastAsia" w:ascii="方正小标宋简体" w:hAnsi="方正小标宋简体" w:eastAsia="方正小标宋简体" w:cs="方正小标宋简体"/>
          <w:color w:val="auto"/>
          <w:w w:val="90"/>
          <w:sz w:val="72"/>
          <w:szCs w:val="72"/>
          <w:highlight w:val="none"/>
        </w:rPr>
      </w:pPr>
      <w:bookmarkStart w:id="8" w:name="_Toc15377426"/>
      <w:bookmarkStart w:id="9" w:name="_Toc23395"/>
      <w:bookmarkStart w:id="10" w:name="_Toc14549"/>
      <w:bookmarkStart w:id="11" w:name="_Toc15378442"/>
      <w:bookmarkStart w:id="12" w:name="_Toc15377194"/>
      <w:bookmarkStart w:id="13" w:name="_Toc15396476"/>
      <w:bookmarkStart w:id="14" w:name="_Toc15396598"/>
      <w:r>
        <w:rPr>
          <w:rFonts w:hint="eastAsia" w:ascii="方正小标宋简体" w:hAnsi="方正小标宋简体" w:eastAsia="方正小标宋简体" w:cs="方正小标宋简体"/>
          <w:color w:val="auto"/>
          <w:w w:val="90"/>
          <w:sz w:val="72"/>
          <w:szCs w:val="72"/>
          <w:highlight w:val="none"/>
          <w:lang w:eastAsia="zh-CN"/>
        </w:rPr>
        <w:t>广元市</w:t>
      </w:r>
      <w:bookmarkEnd w:id="5"/>
      <w:bookmarkStart w:id="15" w:name="_Toc15306268"/>
      <w:r>
        <w:rPr>
          <w:rFonts w:hint="eastAsia" w:ascii="方正小标宋简体" w:hAnsi="方正小标宋简体" w:eastAsia="方正小标宋简体" w:cs="方正小标宋简体"/>
          <w:color w:val="auto"/>
          <w:w w:val="90"/>
          <w:sz w:val="72"/>
          <w:szCs w:val="72"/>
          <w:highlight w:val="none"/>
          <w:lang w:eastAsia="zh-CN"/>
        </w:rPr>
        <w:t>交通运输局</w:t>
      </w:r>
      <w:r>
        <w:rPr>
          <w:rFonts w:hint="eastAsia" w:ascii="方正小标宋简体" w:hAnsi="方正小标宋简体" w:eastAsia="方正小标宋简体" w:cs="方正小标宋简体"/>
          <w:color w:val="auto"/>
          <w:w w:val="90"/>
          <w:sz w:val="72"/>
          <w:szCs w:val="72"/>
          <w:highlight w:val="none"/>
        </w:rPr>
        <w:t>部门决算</w:t>
      </w:r>
      <w:bookmarkEnd w:id="8"/>
      <w:bookmarkEnd w:id="9"/>
      <w:bookmarkEnd w:id="10"/>
      <w:bookmarkEnd w:id="11"/>
      <w:bookmarkEnd w:id="12"/>
      <w:bookmarkEnd w:id="13"/>
      <w:bookmarkEnd w:id="14"/>
      <w:bookmarkEnd w:id="15"/>
    </w:p>
    <w:p>
      <w:pPr>
        <w:keepNext w:val="0"/>
        <w:keepLines w:val="0"/>
        <w:pageBreakBefore w:val="0"/>
        <w:widowControl/>
        <w:shd w:val="clear"/>
        <w:kinsoku/>
        <w:wordWrap/>
        <w:overflowPunct/>
        <w:topLinePunct w:val="0"/>
        <w:autoSpaceDE/>
        <w:autoSpaceDN/>
        <w:bidi w:val="0"/>
        <w:spacing w:line="640" w:lineRule="exact"/>
        <w:jc w:val="center"/>
        <w:textAlignment w:val="auto"/>
        <w:rPr>
          <w:rFonts w:ascii="黑体" w:hAnsi="黑体" w:eastAsia="仿宋_GB2312"/>
          <w:color w:val="auto"/>
          <w:sz w:val="32"/>
          <w:szCs w:val="48"/>
          <w:highlight w:val="none"/>
        </w:rPr>
      </w:pPr>
      <w:r>
        <w:rPr>
          <w:rFonts w:ascii="方正小标宋简体" w:hAnsi="宋体" w:eastAsia="方正小标宋简体"/>
          <w:color w:val="auto"/>
          <w:sz w:val="36"/>
          <w:szCs w:val="36"/>
          <w:highlight w:val="none"/>
        </w:rPr>
        <w:br w:type="page"/>
      </w:r>
    </w:p>
    <w:p>
      <w:pPr>
        <w:shd w:val="clear"/>
        <w:spacing w:before="0" w:beforeLines="0" w:after="0" w:afterLines="0" w:line="240" w:lineRule="auto"/>
        <w:ind w:left="0" w:leftChars="0" w:right="0" w:rightChars="0" w:firstLine="0" w:firstLineChars="0"/>
        <w:jc w:val="center"/>
        <w:rPr>
          <w:rFonts w:hint="eastAsia"/>
          <w:color w:val="auto"/>
          <w:sz w:val="36"/>
          <w:szCs w:val="36"/>
          <w:highlight w:val="none"/>
        </w:rPr>
      </w:pPr>
      <w:bookmarkStart w:id="16" w:name="_Toc2134252684_WPSOffice_Level1"/>
      <w:r>
        <w:rPr>
          <w:rFonts w:hint="eastAsia"/>
          <w:color w:val="auto"/>
          <w:sz w:val="36"/>
          <w:szCs w:val="36"/>
          <w:highlight w:val="none"/>
        </w:rPr>
        <w:t>目录</w:t>
      </w:r>
      <w:bookmarkStart w:id="663" w:name="_GoBack"/>
      <w:bookmarkEnd w:id="663"/>
    </w:p>
    <w:p>
      <w:pPr>
        <w:shd w:val="clear"/>
        <w:spacing w:before="0" w:beforeLines="0" w:after="0" w:afterLines="0" w:line="240" w:lineRule="auto"/>
        <w:ind w:left="0" w:leftChars="0" w:right="0" w:rightChars="0" w:firstLine="0" w:firstLineChars="0"/>
        <w:jc w:val="center"/>
        <w:rPr>
          <w:rFonts w:hint="eastAsia"/>
          <w:color w:val="auto"/>
          <w:highlight w:val="none"/>
        </w:rPr>
      </w:pPr>
      <w:r>
        <w:rPr>
          <w:rFonts w:hint="eastAsia"/>
          <w:color w:val="auto"/>
          <w:highlight w:val="none"/>
        </w:rPr>
        <w:t>公开时间：2023年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color w:val="auto"/>
          <w:kern w:val="2"/>
          <w:sz w:val="21"/>
          <w:szCs w:val="24"/>
          <w:highlight w:val="none"/>
          <w:lang w:val="en-US" w:eastAsia="zh-CN" w:bidi="ar-SA"/>
        </w:rPr>
        <w:id w:val="147456163"/>
        <w15:color w:val="DBDBDB"/>
        <w:docPartObj>
          <w:docPartGallery w:val="Table of Contents"/>
          <w:docPartUnique/>
        </w:docPartObj>
      </w:sdtPr>
      <w:sdtEndPr>
        <w:rPr>
          <w:rFonts w:ascii="仿宋_GB2312" w:hAnsi="Times New Roman" w:eastAsia="仿宋_GB2312" w:cs="Times New Roman"/>
          <w:b/>
          <w:color w:val="auto"/>
          <w:kern w:val="0"/>
          <w:sz w:val="30"/>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color w:val="auto"/>
              <w:highlight w:val="none"/>
            </w:rPr>
          </w:pPr>
        </w:p>
        <w:p>
          <w:pPr>
            <w:pStyle w:val="41"/>
            <w:shd w:val="clear"/>
            <w:tabs>
              <w:tab w:val="right" w:leader="dot" w:pos="8306"/>
            </w:tabs>
            <w:rPr>
              <w:b/>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b/>
              <w:color w:val="auto"/>
              <w:highlight w:val="none"/>
            </w:rPr>
            <w:fldChar w:fldCharType="begin"/>
          </w:r>
          <w:r>
            <w:rPr>
              <w:b/>
              <w:color w:val="auto"/>
              <w:highlight w:val="none"/>
            </w:rPr>
            <w:instrText xml:space="preserve"> HYPERLINK \l _Toc25680 </w:instrText>
          </w:r>
          <w:r>
            <w:rPr>
              <w:b/>
              <w:color w:val="auto"/>
              <w:highlight w:val="none"/>
            </w:rPr>
            <w:fldChar w:fldCharType="separate"/>
          </w:r>
          <w:r>
            <w:rPr>
              <w:rFonts w:hint="eastAsia" w:ascii="方正小标宋_GBK" w:hAnsi="方正小标宋_GBK" w:eastAsia="方正小标宋_GBK" w:cs="方正小标宋_GBK"/>
              <w:b/>
              <w:color w:val="auto"/>
              <w:highlight w:val="none"/>
            </w:rPr>
            <w:t>第一部分</w:t>
          </w:r>
          <w:r>
            <w:rPr>
              <w:rFonts w:hint="eastAsia" w:ascii="方正小标宋_GBK" w:hAnsi="方正小标宋_GBK" w:eastAsia="方正小标宋_GBK" w:cs="方正小标宋_GBK"/>
              <w:b/>
              <w:bCs w:val="0"/>
              <w:color w:val="auto"/>
              <w:highlight w:val="none"/>
            </w:rPr>
            <w:t>部门概况</w:t>
          </w:r>
          <w:r>
            <w:rPr>
              <w:b/>
              <w:color w:val="auto"/>
              <w:highlight w:val="none"/>
            </w:rPr>
            <w:tab/>
          </w:r>
          <w:r>
            <w:rPr>
              <w:b/>
              <w:color w:val="auto"/>
              <w:highlight w:val="none"/>
            </w:rPr>
            <w:fldChar w:fldCharType="begin"/>
          </w:r>
          <w:r>
            <w:rPr>
              <w:b/>
              <w:color w:val="auto"/>
              <w:highlight w:val="none"/>
            </w:rPr>
            <w:instrText xml:space="preserve"> PAGEREF _Toc25680 \h </w:instrText>
          </w:r>
          <w:r>
            <w:rPr>
              <w:b/>
              <w:color w:val="auto"/>
              <w:highlight w:val="none"/>
            </w:rPr>
            <w:fldChar w:fldCharType="separate"/>
          </w:r>
          <w:r>
            <w:rPr>
              <w:b/>
              <w:color w:val="auto"/>
              <w:highlight w:val="none"/>
            </w:rPr>
            <w:t>1</w:t>
          </w:r>
          <w:r>
            <w:rPr>
              <w:b/>
              <w:color w:val="auto"/>
              <w:highlight w:val="none"/>
            </w:rPr>
            <w:fldChar w:fldCharType="end"/>
          </w:r>
          <w:r>
            <w:rPr>
              <w:b/>
              <w:color w:val="auto"/>
              <w:highlight w:val="none"/>
            </w:rPr>
            <w:fldChar w:fldCharType="end"/>
          </w:r>
        </w:p>
        <w:p>
          <w:pPr>
            <w:pStyle w:val="4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_Toc26062 </w:instrText>
          </w:r>
          <w:r>
            <w:rPr>
              <w:color w:val="auto"/>
              <w:highlight w:val="none"/>
            </w:rPr>
            <w:fldChar w:fldCharType="separate"/>
          </w:r>
          <w:r>
            <w:rPr>
              <w:rFonts w:hint="eastAsia" w:ascii="黑体" w:hAnsi="黑体" w:eastAsia="黑体"/>
              <w:color w:val="auto"/>
              <w:highlight w:val="none"/>
              <w:lang w:eastAsia="zh-CN"/>
            </w:rPr>
            <w:t>一、部门职责</w:t>
          </w:r>
          <w:r>
            <w:rPr>
              <w:color w:val="auto"/>
              <w:highlight w:val="none"/>
            </w:rPr>
            <w:tab/>
          </w:r>
          <w:r>
            <w:rPr>
              <w:color w:val="auto"/>
              <w:highlight w:val="none"/>
            </w:rPr>
            <w:fldChar w:fldCharType="begin"/>
          </w:r>
          <w:r>
            <w:rPr>
              <w:color w:val="auto"/>
              <w:highlight w:val="none"/>
            </w:rPr>
            <w:instrText xml:space="preserve"> PAGEREF _Toc26062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4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_Toc16184 </w:instrText>
          </w:r>
          <w:r>
            <w:rPr>
              <w:color w:val="auto"/>
              <w:highlight w:val="none"/>
            </w:rPr>
            <w:fldChar w:fldCharType="separate"/>
          </w:r>
          <w:r>
            <w:rPr>
              <w:rFonts w:hint="eastAsia" w:ascii="方正黑体_GBK" w:hAnsi="方正黑体_GBK" w:eastAsia="方正黑体_GBK" w:cs="方正黑体_GBK"/>
              <w:color w:val="auto"/>
              <w:szCs w:val="32"/>
              <w:highlight w:val="none"/>
            </w:rPr>
            <w:t>二、机</w:t>
          </w:r>
          <w:r>
            <w:rPr>
              <w:rFonts w:hint="eastAsia" w:ascii="方正黑体_GBK" w:hAnsi="方正黑体_GBK" w:eastAsia="方正黑体_GBK" w:cs="方正黑体_GBK"/>
              <w:bCs w:val="0"/>
              <w:color w:val="auto"/>
              <w:szCs w:val="32"/>
              <w:highlight w:val="none"/>
            </w:rPr>
            <w:t>构设置</w:t>
          </w:r>
          <w:r>
            <w:rPr>
              <w:color w:val="auto"/>
              <w:highlight w:val="none"/>
            </w:rPr>
            <w:tab/>
          </w:r>
          <w:r>
            <w:rPr>
              <w:color w:val="auto"/>
              <w:highlight w:val="none"/>
            </w:rPr>
            <w:fldChar w:fldCharType="begin"/>
          </w:r>
          <w:r>
            <w:rPr>
              <w:color w:val="auto"/>
              <w:highlight w:val="none"/>
            </w:rPr>
            <w:instrText xml:space="preserve"> PAGEREF _Toc16184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41"/>
            <w:shd w:val="clear"/>
            <w:tabs>
              <w:tab w:val="right" w:leader="dot" w:pos="8306"/>
            </w:tabs>
            <w:rPr>
              <w:b/>
              <w:color w:val="auto"/>
              <w:highlight w:val="none"/>
            </w:rPr>
          </w:pPr>
          <w:r>
            <w:rPr>
              <w:b/>
              <w:color w:val="auto"/>
              <w:highlight w:val="none"/>
            </w:rPr>
            <w:fldChar w:fldCharType="begin"/>
          </w:r>
          <w:r>
            <w:rPr>
              <w:b/>
              <w:color w:val="auto"/>
              <w:highlight w:val="none"/>
            </w:rPr>
            <w:instrText xml:space="preserve"> HYPERLINK \l _Toc7229 </w:instrText>
          </w:r>
          <w:r>
            <w:rPr>
              <w:b/>
              <w:color w:val="auto"/>
              <w:highlight w:val="none"/>
            </w:rPr>
            <w:fldChar w:fldCharType="separate"/>
          </w:r>
          <w:r>
            <w:rPr>
              <w:rFonts w:hint="eastAsia" w:ascii="方正小标宋_GBK" w:hAnsi="方正小标宋_GBK" w:eastAsia="方正小标宋_GBK" w:cs="方正小标宋_GBK"/>
              <w:b/>
              <w:bCs/>
              <w:color w:val="auto"/>
              <w:highlight w:val="none"/>
            </w:rPr>
            <w:t>第二部分</w:t>
          </w:r>
          <w:r>
            <w:rPr>
              <w:rFonts w:hint="eastAsia" w:ascii="方正小标宋_GBK" w:hAnsi="方正小标宋_GBK" w:eastAsia="方正小标宋_GBK" w:cs="方正小标宋_GBK"/>
              <w:b/>
              <w:bCs/>
              <w:color w:val="auto"/>
              <w:highlight w:val="none"/>
              <w:lang w:val="en-US" w:eastAsia="zh-CN"/>
            </w:rPr>
            <w:t>2022年度</w:t>
          </w:r>
          <w:r>
            <w:rPr>
              <w:rFonts w:hint="eastAsia" w:ascii="方正小标宋_GBK" w:hAnsi="方正小标宋_GBK" w:eastAsia="方正小标宋_GBK" w:cs="方正小标宋_GBK"/>
              <w:b/>
              <w:bCs/>
              <w:color w:val="auto"/>
              <w:highlight w:val="none"/>
            </w:rPr>
            <w:t>部门决算情况说明</w:t>
          </w:r>
          <w:r>
            <w:rPr>
              <w:b/>
              <w:color w:val="auto"/>
              <w:highlight w:val="none"/>
            </w:rPr>
            <w:tab/>
          </w:r>
          <w:r>
            <w:rPr>
              <w:b/>
              <w:color w:val="auto"/>
              <w:highlight w:val="none"/>
            </w:rPr>
            <w:fldChar w:fldCharType="begin"/>
          </w:r>
          <w:r>
            <w:rPr>
              <w:b/>
              <w:color w:val="auto"/>
              <w:highlight w:val="none"/>
            </w:rPr>
            <w:instrText xml:space="preserve"> PAGEREF _Toc7229 \h </w:instrText>
          </w:r>
          <w:r>
            <w:rPr>
              <w:b/>
              <w:color w:val="auto"/>
              <w:highlight w:val="none"/>
            </w:rPr>
            <w:fldChar w:fldCharType="separate"/>
          </w:r>
          <w:r>
            <w:rPr>
              <w:b/>
              <w:color w:val="auto"/>
              <w:highlight w:val="none"/>
            </w:rPr>
            <w:t>4</w:t>
          </w:r>
          <w:r>
            <w:rPr>
              <w:b/>
              <w:color w:val="auto"/>
              <w:highlight w:val="none"/>
            </w:rPr>
            <w:fldChar w:fldCharType="end"/>
          </w:r>
          <w:r>
            <w:rPr>
              <w:b/>
              <w:color w:val="auto"/>
              <w:highlight w:val="none"/>
            </w:rPr>
            <w:fldChar w:fldCharType="end"/>
          </w:r>
        </w:p>
        <w:p>
          <w:pPr>
            <w:pStyle w:val="4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_Toc147 </w:instrText>
          </w:r>
          <w:r>
            <w:rPr>
              <w:color w:val="auto"/>
              <w:highlight w:val="none"/>
            </w:rPr>
            <w:fldChar w:fldCharType="separate"/>
          </w:r>
          <w:r>
            <w:rPr>
              <w:rFonts w:hint="default" w:ascii="黑体" w:hAnsi="黑体" w:eastAsia="黑体"/>
              <w:color w:val="auto"/>
              <w:highlight w:val="none"/>
            </w:rPr>
            <w:t>一、</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highlight w:val="none"/>
            </w:rPr>
            <w:tab/>
          </w:r>
          <w:r>
            <w:rPr>
              <w:color w:val="auto"/>
              <w:highlight w:val="none"/>
            </w:rPr>
            <w:fldChar w:fldCharType="begin"/>
          </w:r>
          <w:r>
            <w:rPr>
              <w:color w:val="auto"/>
              <w:highlight w:val="none"/>
            </w:rPr>
            <w:instrText xml:space="preserve"> PAGEREF _Toc147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4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_Toc31700 </w:instrText>
          </w:r>
          <w:r>
            <w:rPr>
              <w:color w:val="auto"/>
              <w:highlight w:val="none"/>
            </w:rPr>
            <w:fldChar w:fldCharType="separate"/>
          </w:r>
          <w:r>
            <w:rPr>
              <w:rFonts w:hint="default" w:ascii="方正黑体_GBK" w:hAnsi="方正黑体_GBK" w:eastAsia="方正黑体_GBK" w:cs="方正黑体_GBK"/>
              <w:color w:val="auto"/>
              <w:kern w:val="2"/>
              <w:szCs w:val="24"/>
              <w:highlight w:val="none"/>
              <w:lang w:val="zh-CN"/>
            </w:rPr>
            <w:t>二、</w:t>
          </w:r>
          <w:r>
            <w:rPr>
              <w:rFonts w:hint="eastAsia" w:ascii="方正黑体_GBK" w:hAnsi="方正黑体_GBK" w:eastAsia="方正黑体_GBK" w:cs="方正黑体_GBK"/>
              <w:color w:val="auto"/>
              <w:szCs w:val="32"/>
              <w:highlight w:val="none"/>
            </w:rPr>
            <w:t>收</w:t>
          </w:r>
          <w:r>
            <w:rPr>
              <w:rFonts w:hint="eastAsia" w:ascii="方正黑体_GBK" w:hAnsi="方正黑体_GBK" w:eastAsia="方正黑体_GBK" w:cs="方正黑体_GBK"/>
              <w:color w:val="auto"/>
              <w:highlight w:val="none"/>
            </w:rPr>
            <w:t>入决算情况说明</w:t>
          </w:r>
          <w:r>
            <w:rPr>
              <w:color w:val="auto"/>
              <w:highlight w:val="none"/>
            </w:rPr>
            <w:tab/>
          </w:r>
          <w:r>
            <w:rPr>
              <w:color w:val="auto"/>
              <w:highlight w:val="none"/>
            </w:rPr>
            <w:fldChar w:fldCharType="begin"/>
          </w:r>
          <w:r>
            <w:rPr>
              <w:color w:val="auto"/>
              <w:highlight w:val="none"/>
            </w:rPr>
            <w:instrText xml:space="preserve"> PAGEREF _Toc31700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4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_Toc30171 </w:instrText>
          </w:r>
          <w:r>
            <w:rPr>
              <w:color w:val="auto"/>
              <w:highlight w:val="none"/>
            </w:rPr>
            <w:fldChar w:fldCharType="separate"/>
          </w:r>
          <w:r>
            <w:rPr>
              <w:rFonts w:hint="default" w:ascii="黑体" w:hAnsi="黑体" w:eastAsia="黑体"/>
              <w:color w:val="auto"/>
              <w:highlight w:val="none"/>
            </w:rPr>
            <w:t>三、</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highlight w:val="none"/>
            </w:rPr>
            <w:tab/>
          </w:r>
          <w:r>
            <w:rPr>
              <w:color w:val="auto"/>
              <w:highlight w:val="none"/>
            </w:rPr>
            <w:fldChar w:fldCharType="begin"/>
          </w:r>
          <w:r>
            <w:rPr>
              <w:color w:val="auto"/>
              <w:highlight w:val="none"/>
            </w:rPr>
            <w:instrText xml:space="preserve"> PAGEREF _Toc30171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4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_Toc32128 </w:instrText>
          </w:r>
          <w:r>
            <w:rPr>
              <w:color w:val="auto"/>
              <w:highlight w:val="none"/>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highlight w:val="none"/>
            </w:rPr>
            <w:tab/>
          </w:r>
          <w:r>
            <w:rPr>
              <w:color w:val="auto"/>
              <w:highlight w:val="none"/>
            </w:rPr>
            <w:fldChar w:fldCharType="begin"/>
          </w:r>
          <w:r>
            <w:rPr>
              <w:color w:val="auto"/>
              <w:highlight w:val="none"/>
            </w:rPr>
            <w:instrText xml:space="preserve"> PAGEREF _Toc32128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4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_Toc6646 </w:instrText>
          </w:r>
          <w:r>
            <w:rPr>
              <w:color w:val="auto"/>
              <w:highlight w:val="none"/>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_Toc6646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4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_Toc21010 </w:instrText>
          </w:r>
          <w:r>
            <w:rPr>
              <w:color w:val="auto"/>
              <w:highlight w:val="none"/>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_Toc21010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4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_Toc18998 </w:instrText>
          </w:r>
          <w:r>
            <w:rPr>
              <w:color w:val="auto"/>
              <w:highlight w:val="none"/>
            </w:rPr>
            <w:fldChar w:fldCharType="separate"/>
          </w:r>
          <w:r>
            <w:rPr>
              <w:rFonts w:hint="eastAsia" w:ascii="黑体" w:eastAsia="黑体"/>
              <w:color w:val="auto"/>
              <w:szCs w:val="32"/>
              <w:highlight w:val="none"/>
            </w:rPr>
            <w:t>七、</w:t>
          </w:r>
          <w:r>
            <w:rPr>
              <w:rFonts w:hint="eastAsia" w:ascii="黑体" w:hAnsi="黑体" w:eastAsia="黑体"/>
              <w:color w:val="auto"/>
              <w:highlight w:val="none"/>
            </w:rPr>
            <w:t>财政拨款“三公”经费支出决算情况说明</w:t>
          </w:r>
          <w:r>
            <w:rPr>
              <w:color w:val="auto"/>
              <w:highlight w:val="none"/>
            </w:rPr>
            <w:tab/>
          </w:r>
          <w:r>
            <w:rPr>
              <w:color w:val="auto"/>
              <w:highlight w:val="none"/>
            </w:rPr>
            <w:fldChar w:fldCharType="begin"/>
          </w:r>
          <w:r>
            <w:rPr>
              <w:color w:val="auto"/>
              <w:highlight w:val="none"/>
            </w:rPr>
            <w:instrText xml:space="preserve"> PAGEREF _Toc18998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4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_Toc26003 </w:instrText>
          </w:r>
          <w:r>
            <w:rPr>
              <w:color w:val="auto"/>
              <w:highlight w:val="none"/>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highlight w:val="none"/>
            </w:rPr>
            <w:tab/>
          </w:r>
          <w:r>
            <w:rPr>
              <w:color w:val="auto"/>
              <w:highlight w:val="none"/>
            </w:rPr>
            <w:fldChar w:fldCharType="begin"/>
          </w:r>
          <w:r>
            <w:rPr>
              <w:color w:val="auto"/>
              <w:highlight w:val="none"/>
            </w:rPr>
            <w:instrText xml:space="preserve"> PAGEREF _Toc26003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4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_Toc6289 </w:instrText>
          </w:r>
          <w:r>
            <w:rPr>
              <w:color w:val="auto"/>
              <w:highlight w:val="none"/>
            </w:rPr>
            <w:fldChar w:fldCharType="separate"/>
          </w:r>
          <w:r>
            <w:rPr>
              <w:rFonts w:hint="eastAsia" w:ascii="黑体" w:hAnsi="黑体" w:eastAsia="黑体"/>
              <w:color w:val="auto"/>
              <w:highlight w:val="none"/>
            </w:rPr>
            <w:t>九、国有资本经营预算支出决算情况说明</w:t>
          </w:r>
          <w:r>
            <w:rPr>
              <w:color w:val="auto"/>
              <w:highlight w:val="none"/>
            </w:rPr>
            <w:tab/>
          </w:r>
          <w:r>
            <w:rPr>
              <w:color w:val="auto"/>
              <w:highlight w:val="none"/>
            </w:rPr>
            <w:fldChar w:fldCharType="begin"/>
          </w:r>
          <w:r>
            <w:rPr>
              <w:color w:val="auto"/>
              <w:highlight w:val="none"/>
            </w:rPr>
            <w:instrText xml:space="preserve"> PAGEREF _Toc6289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42"/>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_Toc32522 </w:instrText>
          </w:r>
          <w:r>
            <w:rPr>
              <w:color w:val="auto"/>
              <w:highlight w:val="none"/>
            </w:rPr>
            <w:fldChar w:fldCharType="separate"/>
          </w:r>
          <w:r>
            <w:rPr>
              <w:rFonts w:hint="eastAsia" w:ascii="黑体" w:hAnsi="黑体" w:eastAsia="黑体"/>
              <w:color w:val="auto"/>
              <w:highlight w:val="none"/>
            </w:rPr>
            <w:t>十、其他重要事项的情况说明</w:t>
          </w:r>
          <w:r>
            <w:rPr>
              <w:color w:val="auto"/>
              <w:highlight w:val="none"/>
            </w:rPr>
            <w:tab/>
          </w:r>
          <w:r>
            <w:rPr>
              <w:color w:val="auto"/>
              <w:highlight w:val="none"/>
            </w:rPr>
            <w:fldChar w:fldCharType="begin"/>
          </w:r>
          <w:r>
            <w:rPr>
              <w:color w:val="auto"/>
              <w:highlight w:val="none"/>
            </w:rPr>
            <w:instrText xml:space="preserve"> PAGEREF _Toc32522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41"/>
            <w:shd w:val="clear"/>
            <w:tabs>
              <w:tab w:val="right" w:leader="dot" w:pos="8306"/>
            </w:tabs>
            <w:rPr>
              <w:b/>
              <w:color w:val="auto"/>
              <w:highlight w:val="none"/>
            </w:rPr>
          </w:pPr>
          <w:r>
            <w:rPr>
              <w:b/>
              <w:color w:val="auto"/>
              <w:highlight w:val="none"/>
            </w:rPr>
            <w:fldChar w:fldCharType="begin"/>
          </w:r>
          <w:r>
            <w:rPr>
              <w:b/>
              <w:color w:val="auto"/>
              <w:highlight w:val="none"/>
            </w:rPr>
            <w:instrText xml:space="preserve"> HYPERLINK \l _Toc24883 </w:instrText>
          </w:r>
          <w:r>
            <w:rPr>
              <w:b/>
              <w:color w:val="auto"/>
              <w:highlight w:val="none"/>
            </w:rPr>
            <w:fldChar w:fldCharType="separate"/>
          </w:r>
          <w:r>
            <w:rPr>
              <w:rFonts w:hint="eastAsia" w:ascii="黑体" w:hAnsi="黑体" w:eastAsia="黑体"/>
              <w:b/>
              <w:color w:val="auto"/>
              <w:highlight w:val="none"/>
            </w:rPr>
            <w:t>第三部分</w:t>
          </w:r>
          <w:r>
            <w:rPr>
              <w:rFonts w:hint="eastAsia" w:ascii="黑体" w:hAnsi="黑体" w:eastAsia="黑体"/>
              <w:b/>
              <w:color w:val="auto"/>
              <w:szCs w:val="44"/>
              <w:highlight w:val="none"/>
            </w:rPr>
            <w:t>名</w:t>
          </w:r>
          <w:r>
            <w:rPr>
              <w:rFonts w:hint="eastAsia" w:ascii="黑体" w:hAnsi="黑体" w:eastAsia="黑体"/>
              <w:b/>
              <w:color w:val="auto"/>
              <w:highlight w:val="none"/>
            </w:rPr>
            <w:t>词解释</w:t>
          </w:r>
          <w:r>
            <w:rPr>
              <w:b/>
              <w:color w:val="auto"/>
              <w:highlight w:val="none"/>
            </w:rPr>
            <w:tab/>
          </w:r>
          <w:r>
            <w:rPr>
              <w:b/>
              <w:color w:val="auto"/>
              <w:highlight w:val="none"/>
            </w:rPr>
            <w:fldChar w:fldCharType="begin"/>
          </w:r>
          <w:r>
            <w:rPr>
              <w:b/>
              <w:color w:val="auto"/>
              <w:highlight w:val="none"/>
            </w:rPr>
            <w:instrText xml:space="preserve"> PAGEREF _Toc24883 \h </w:instrText>
          </w:r>
          <w:r>
            <w:rPr>
              <w:b/>
              <w:color w:val="auto"/>
              <w:highlight w:val="none"/>
            </w:rPr>
            <w:fldChar w:fldCharType="separate"/>
          </w:r>
          <w:r>
            <w:rPr>
              <w:b/>
              <w:color w:val="auto"/>
              <w:highlight w:val="none"/>
            </w:rPr>
            <w:t>15</w:t>
          </w:r>
          <w:r>
            <w:rPr>
              <w:b/>
              <w:color w:val="auto"/>
              <w:highlight w:val="none"/>
            </w:rPr>
            <w:fldChar w:fldCharType="end"/>
          </w:r>
          <w:r>
            <w:rPr>
              <w:b/>
              <w:color w:val="auto"/>
              <w:highlight w:val="none"/>
            </w:rPr>
            <w:fldChar w:fldCharType="end"/>
          </w:r>
        </w:p>
        <w:p>
          <w:pPr>
            <w:pStyle w:val="41"/>
            <w:shd w:val="clear"/>
            <w:tabs>
              <w:tab w:val="right" w:leader="dot" w:pos="8306"/>
            </w:tabs>
            <w:rPr>
              <w:b/>
              <w:color w:val="auto"/>
              <w:highlight w:val="none"/>
            </w:rPr>
          </w:pPr>
          <w:r>
            <w:rPr>
              <w:b/>
              <w:color w:val="auto"/>
              <w:highlight w:val="none"/>
            </w:rPr>
            <w:fldChar w:fldCharType="begin"/>
          </w:r>
          <w:r>
            <w:rPr>
              <w:b/>
              <w:color w:val="auto"/>
              <w:highlight w:val="none"/>
            </w:rPr>
            <w:instrText xml:space="preserve"> HYPERLINK \l _Toc4169 </w:instrText>
          </w:r>
          <w:r>
            <w:rPr>
              <w:b/>
              <w:color w:val="auto"/>
              <w:highlight w:val="none"/>
            </w:rPr>
            <w:fldChar w:fldCharType="separate"/>
          </w:r>
          <w:r>
            <w:rPr>
              <w:rFonts w:hint="eastAsia" w:ascii="黑体" w:hAnsi="黑体" w:eastAsia="黑体"/>
              <w:b/>
              <w:color w:val="auto"/>
              <w:szCs w:val="44"/>
              <w:highlight w:val="none"/>
            </w:rPr>
            <w:t>第四部分附件</w:t>
          </w:r>
          <w:r>
            <w:rPr>
              <w:b/>
              <w:color w:val="auto"/>
              <w:highlight w:val="none"/>
            </w:rPr>
            <w:tab/>
          </w:r>
          <w:r>
            <w:rPr>
              <w:b/>
              <w:color w:val="auto"/>
              <w:highlight w:val="none"/>
            </w:rPr>
            <w:fldChar w:fldCharType="begin"/>
          </w:r>
          <w:r>
            <w:rPr>
              <w:b/>
              <w:color w:val="auto"/>
              <w:highlight w:val="none"/>
            </w:rPr>
            <w:instrText xml:space="preserve"> PAGEREF _Toc4169 \h </w:instrText>
          </w:r>
          <w:r>
            <w:rPr>
              <w:b/>
              <w:color w:val="auto"/>
              <w:highlight w:val="none"/>
            </w:rPr>
            <w:fldChar w:fldCharType="separate"/>
          </w:r>
          <w:r>
            <w:rPr>
              <w:b/>
              <w:color w:val="auto"/>
              <w:highlight w:val="none"/>
            </w:rPr>
            <w:t>20</w:t>
          </w:r>
          <w:r>
            <w:rPr>
              <w:b/>
              <w:color w:val="auto"/>
              <w:highlight w:val="none"/>
            </w:rPr>
            <w:fldChar w:fldCharType="end"/>
          </w:r>
          <w:r>
            <w:rPr>
              <w:b/>
              <w:color w:val="auto"/>
              <w:highlight w:val="none"/>
            </w:rPr>
            <w:fldChar w:fldCharType="end"/>
          </w:r>
        </w:p>
        <w:p>
          <w:pPr>
            <w:pStyle w:val="41"/>
            <w:shd w:val="clear"/>
            <w:tabs>
              <w:tab w:val="right" w:leader="dot" w:pos="8306"/>
            </w:tabs>
            <w:rPr>
              <w:rFonts w:hint="default" w:eastAsia="宋体"/>
              <w:b/>
              <w:color w:val="auto"/>
              <w:highlight w:val="none"/>
              <w:lang w:val="en-US" w:eastAsia="zh-CN"/>
            </w:rPr>
          </w:pPr>
          <w:r>
            <w:rPr>
              <w:b/>
              <w:color w:val="auto"/>
              <w:highlight w:val="none"/>
            </w:rPr>
            <w:fldChar w:fldCharType="begin"/>
          </w:r>
          <w:r>
            <w:rPr>
              <w:b/>
              <w:color w:val="auto"/>
              <w:highlight w:val="none"/>
            </w:rPr>
            <w:instrText xml:space="preserve"> HYPERLINK \l _Toc12026 </w:instrText>
          </w:r>
          <w:r>
            <w:rPr>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五部分附表</w:t>
          </w:r>
          <w:r>
            <w:rPr>
              <w:b/>
              <w:color w:val="auto"/>
              <w:highlight w:val="none"/>
            </w:rPr>
            <w:tab/>
          </w:r>
          <w:r>
            <w:rPr>
              <w:rFonts w:hint="eastAsia"/>
              <w:b/>
              <w:color w:val="auto"/>
              <w:highlight w:val="none"/>
              <w:lang w:val="en-US" w:eastAsia="zh-CN"/>
            </w:rPr>
            <w:t>2</w:t>
          </w:r>
          <w:r>
            <w:rPr>
              <w:b/>
              <w:color w:val="auto"/>
              <w:highlight w:val="none"/>
            </w:rPr>
            <w:fldChar w:fldCharType="end"/>
          </w:r>
          <w:r>
            <w:rPr>
              <w:rFonts w:hint="eastAsia"/>
              <w:b/>
              <w:color w:val="auto"/>
              <w:highlight w:val="none"/>
              <w:lang w:val="en-US" w:eastAsia="zh-CN"/>
            </w:rPr>
            <w:t>57</w:t>
          </w:r>
        </w:p>
        <w:p>
          <w:pPr>
            <w:pStyle w:val="42"/>
            <w:shd w:val="clear"/>
            <w:tabs>
              <w:tab w:val="right" w:leader="dot" w:pos="8306"/>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_Toc23903 </w:instrText>
          </w:r>
          <w:r>
            <w:rPr>
              <w:color w:val="auto"/>
              <w:highlight w:val="none"/>
            </w:rPr>
            <w:fldChar w:fldCharType="separate"/>
          </w:r>
          <w:r>
            <w:rPr>
              <w:rFonts w:hint="eastAsia" w:ascii="仿宋" w:hAnsi="仿宋" w:eastAsia="仿宋"/>
              <w:color w:val="auto"/>
              <w:highlight w:val="none"/>
            </w:rPr>
            <w:t>一、收</w:t>
          </w:r>
          <w:r>
            <w:rPr>
              <w:rFonts w:hint="eastAsia" w:ascii="仿宋" w:hAnsi="仿宋" w:eastAsia="仿宋"/>
              <w:bCs w:val="0"/>
              <w:color w:val="auto"/>
              <w:highlight w:val="none"/>
            </w:rPr>
            <w:t>入支出决算总表</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57</w:t>
          </w:r>
        </w:p>
        <w:p>
          <w:pPr>
            <w:pStyle w:val="42"/>
            <w:shd w:val="clear"/>
            <w:tabs>
              <w:tab w:val="right" w:leader="dot" w:pos="8306"/>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_Toc19309 </w:instrText>
          </w:r>
          <w:r>
            <w:rPr>
              <w:color w:val="auto"/>
              <w:highlight w:val="none"/>
            </w:rPr>
            <w:fldChar w:fldCharType="separate"/>
          </w:r>
          <w:r>
            <w:rPr>
              <w:rFonts w:hint="eastAsia" w:ascii="仿宋" w:hAnsi="仿宋" w:eastAsia="仿宋"/>
              <w:color w:val="auto"/>
              <w:highlight w:val="none"/>
            </w:rPr>
            <w:t>二、收</w:t>
          </w:r>
          <w:r>
            <w:rPr>
              <w:rFonts w:hint="eastAsia" w:ascii="仿宋" w:hAnsi="仿宋" w:eastAsia="仿宋"/>
              <w:bCs w:val="0"/>
              <w:color w:val="auto"/>
              <w:highlight w:val="none"/>
            </w:rPr>
            <w:t>入决算表</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57</w:t>
          </w:r>
        </w:p>
        <w:p>
          <w:pPr>
            <w:pStyle w:val="42"/>
            <w:shd w:val="clear"/>
            <w:tabs>
              <w:tab w:val="right" w:leader="dot" w:pos="8306"/>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_Toc12800 </w:instrText>
          </w:r>
          <w:r>
            <w:rPr>
              <w:color w:val="auto"/>
              <w:highlight w:val="none"/>
            </w:rPr>
            <w:fldChar w:fldCharType="separate"/>
          </w:r>
          <w:r>
            <w:rPr>
              <w:rFonts w:hint="eastAsia" w:ascii="仿宋" w:hAnsi="仿宋" w:eastAsia="仿宋"/>
              <w:bCs w:val="0"/>
              <w:color w:val="auto"/>
              <w:highlight w:val="none"/>
            </w:rPr>
            <w:t>三、</w:t>
          </w:r>
          <w:r>
            <w:rPr>
              <w:rFonts w:hint="eastAsia" w:ascii="仿宋" w:hAnsi="仿宋" w:eastAsia="仿宋"/>
              <w:color w:val="auto"/>
              <w:highlight w:val="none"/>
            </w:rPr>
            <w:t>支</w:t>
          </w:r>
          <w:r>
            <w:rPr>
              <w:rFonts w:hint="eastAsia" w:ascii="仿宋" w:hAnsi="仿宋" w:eastAsia="仿宋"/>
              <w:bCs w:val="0"/>
              <w:color w:val="auto"/>
              <w:highlight w:val="none"/>
            </w:rPr>
            <w:t>出决算表</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57</w:t>
          </w:r>
        </w:p>
        <w:p>
          <w:pPr>
            <w:pStyle w:val="42"/>
            <w:shd w:val="clear"/>
            <w:tabs>
              <w:tab w:val="right" w:leader="dot" w:pos="8306"/>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_Toc22213 </w:instrText>
          </w:r>
          <w:r>
            <w:rPr>
              <w:color w:val="auto"/>
              <w:highlight w:val="none"/>
            </w:rPr>
            <w:fldChar w:fldCharType="separate"/>
          </w:r>
          <w:r>
            <w:rPr>
              <w:rFonts w:hint="eastAsia" w:ascii="仿宋" w:hAnsi="仿宋" w:eastAsia="仿宋"/>
              <w:bCs w:val="0"/>
              <w:color w:val="auto"/>
              <w:highlight w:val="none"/>
            </w:rPr>
            <w:t>四、</w:t>
          </w:r>
          <w:r>
            <w:rPr>
              <w:rFonts w:hint="eastAsia" w:ascii="仿宋" w:hAnsi="仿宋" w:eastAsia="仿宋"/>
              <w:color w:val="auto"/>
              <w:highlight w:val="none"/>
            </w:rPr>
            <w:t>财</w:t>
          </w:r>
          <w:r>
            <w:rPr>
              <w:rFonts w:hint="eastAsia" w:ascii="仿宋" w:hAnsi="仿宋" w:eastAsia="仿宋"/>
              <w:bCs w:val="0"/>
              <w:color w:val="auto"/>
              <w:highlight w:val="none"/>
            </w:rPr>
            <w:t>政拨款收入支出决算总表</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57</w:t>
          </w:r>
        </w:p>
        <w:p>
          <w:pPr>
            <w:pStyle w:val="42"/>
            <w:shd w:val="clear"/>
            <w:tabs>
              <w:tab w:val="right" w:leader="dot" w:pos="8306"/>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_Toc24295 </w:instrText>
          </w:r>
          <w:r>
            <w:rPr>
              <w:color w:val="auto"/>
              <w:highlight w:val="none"/>
            </w:rPr>
            <w:fldChar w:fldCharType="separate"/>
          </w:r>
          <w:r>
            <w:rPr>
              <w:rFonts w:hint="eastAsia" w:ascii="仿宋" w:hAnsi="仿宋" w:eastAsia="仿宋"/>
              <w:bCs w:val="0"/>
              <w:color w:val="auto"/>
              <w:highlight w:val="none"/>
            </w:rPr>
            <w:t>五、</w:t>
          </w:r>
          <w:r>
            <w:rPr>
              <w:rFonts w:hint="eastAsia" w:ascii="仿宋" w:hAnsi="仿宋" w:eastAsia="仿宋"/>
              <w:color w:val="auto"/>
              <w:highlight w:val="none"/>
            </w:rPr>
            <w:t>财</w:t>
          </w:r>
          <w:r>
            <w:rPr>
              <w:rFonts w:hint="eastAsia" w:ascii="仿宋" w:hAnsi="仿宋" w:eastAsia="仿宋"/>
              <w:bCs w:val="0"/>
              <w:color w:val="auto"/>
              <w:highlight w:val="none"/>
            </w:rPr>
            <w:t>政拨款支出决算明细表</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57</w:t>
          </w:r>
        </w:p>
        <w:p>
          <w:pPr>
            <w:pStyle w:val="42"/>
            <w:shd w:val="clear"/>
            <w:tabs>
              <w:tab w:val="right" w:leader="dot" w:pos="8306"/>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_Toc9051 </w:instrText>
          </w:r>
          <w:r>
            <w:rPr>
              <w:color w:val="auto"/>
              <w:highlight w:val="none"/>
            </w:rPr>
            <w:fldChar w:fldCharType="separate"/>
          </w:r>
          <w:r>
            <w:rPr>
              <w:rFonts w:hint="eastAsia" w:ascii="仿宋" w:hAnsi="仿宋" w:eastAsia="仿宋"/>
              <w:bCs w:val="0"/>
              <w:color w:val="auto"/>
              <w:highlight w:val="none"/>
            </w:rPr>
            <w:t>六、</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般公共预算财政拨款支出决算表</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57</w:t>
          </w:r>
        </w:p>
        <w:p>
          <w:pPr>
            <w:pStyle w:val="42"/>
            <w:shd w:val="clear"/>
            <w:tabs>
              <w:tab w:val="right" w:leader="dot" w:pos="8306"/>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_Toc16100 </w:instrText>
          </w:r>
          <w:r>
            <w:rPr>
              <w:color w:val="auto"/>
              <w:highlight w:val="none"/>
            </w:rPr>
            <w:fldChar w:fldCharType="separate"/>
          </w:r>
          <w:r>
            <w:rPr>
              <w:rFonts w:hint="eastAsia" w:ascii="仿宋" w:hAnsi="仿宋" w:eastAsia="仿宋"/>
              <w:bCs w:val="0"/>
              <w:color w:val="auto"/>
              <w:highlight w:val="none"/>
            </w:rPr>
            <w:t>七、</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般公共预算财政拨款支出决算明细表</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57</w:t>
          </w:r>
        </w:p>
        <w:p>
          <w:pPr>
            <w:pStyle w:val="42"/>
            <w:shd w:val="clear"/>
            <w:tabs>
              <w:tab w:val="right" w:leader="dot" w:pos="8306"/>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_Toc29514 </w:instrText>
          </w:r>
          <w:r>
            <w:rPr>
              <w:color w:val="auto"/>
              <w:highlight w:val="none"/>
            </w:rPr>
            <w:fldChar w:fldCharType="separate"/>
          </w:r>
          <w:r>
            <w:rPr>
              <w:rFonts w:hint="eastAsia" w:ascii="仿宋" w:hAnsi="仿宋" w:eastAsia="仿宋"/>
              <w:bCs w:val="0"/>
              <w:color w:val="auto"/>
              <w:highlight w:val="none"/>
            </w:rPr>
            <w:t>八、</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般公共预算财政拨款基本支出决算表</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57</w:t>
          </w:r>
        </w:p>
        <w:p>
          <w:pPr>
            <w:pStyle w:val="42"/>
            <w:shd w:val="clear"/>
            <w:tabs>
              <w:tab w:val="right" w:leader="dot" w:pos="8306"/>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_Toc15364 </w:instrText>
          </w:r>
          <w:r>
            <w:rPr>
              <w:color w:val="auto"/>
              <w:highlight w:val="none"/>
            </w:rPr>
            <w:fldChar w:fldCharType="separate"/>
          </w:r>
          <w:r>
            <w:rPr>
              <w:rFonts w:hint="eastAsia" w:ascii="仿宋" w:hAnsi="仿宋" w:eastAsia="仿宋"/>
              <w:bCs w:val="0"/>
              <w:color w:val="auto"/>
              <w:highlight w:val="none"/>
            </w:rPr>
            <w:t>九、</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般公共预算财政拨款项目支出决算表</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57</w:t>
          </w:r>
        </w:p>
        <w:p>
          <w:pPr>
            <w:pStyle w:val="42"/>
            <w:shd w:val="clear"/>
            <w:tabs>
              <w:tab w:val="right" w:leader="dot" w:pos="8306"/>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_Toc32585 </w:instrText>
          </w:r>
          <w:r>
            <w:rPr>
              <w:color w:val="auto"/>
              <w:highlight w:val="none"/>
            </w:rPr>
            <w:fldChar w:fldCharType="separate"/>
          </w:r>
          <w:r>
            <w:rPr>
              <w:rFonts w:hint="eastAsia" w:ascii="仿宋" w:hAnsi="仿宋" w:eastAsia="仿宋"/>
              <w:bCs w:val="0"/>
              <w:color w:val="auto"/>
              <w:highlight w:val="none"/>
            </w:rPr>
            <w:t>十、</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府性基金预算财政拨款收入支出决算表</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57</w:t>
          </w:r>
        </w:p>
        <w:p>
          <w:pPr>
            <w:pStyle w:val="42"/>
            <w:shd w:val="clear"/>
            <w:tabs>
              <w:tab w:val="right" w:leader="dot" w:pos="8306"/>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_Toc12180 </w:instrText>
          </w:r>
          <w:r>
            <w:rPr>
              <w:color w:val="auto"/>
              <w:highlight w:val="none"/>
            </w:rPr>
            <w:fldChar w:fldCharType="separate"/>
          </w:r>
          <w:r>
            <w:rPr>
              <w:rFonts w:hint="eastAsia" w:ascii="仿宋" w:hAnsi="仿宋" w:eastAsia="仿宋"/>
              <w:bCs w:val="0"/>
              <w:color w:val="auto"/>
              <w:highlight w:val="none"/>
            </w:rPr>
            <w:t>十一、</w:t>
          </w:r>
          <w:r>
            <w:rPr>
              <w:rFonts w:hint="eastAsia" w:ascii="仿宋" w:hAnsi="仿宋" w:eastAsia="仿宋"/>
              <w:color w:val="auto"/>
              <w:highlight w:val="none"/>
            </w:rPr>
            <w:t>国</w:t>
          </w:r>
          <w:r>
            <w:rPr>
              <w:rFonts w:hint="eastAsia" w:ascii="仿宋" w:hAnsi="仿宋" w:eastAsia="仿宋"/>
              <w:bCs w:val="0"/>
              <w:color w:val="auto"/>
              <w:highlight w:val="none"/>
            </w:rPr>
            <w:t>有资本经营预算</w:t>
          </w:r>
          <w:r>
            <w:rPr>
              <w:rFonts w:hint="eastAsia" w:ascii="仿宋" w:hAnsi="仿宋" w:eastAsia="仿宋"/>
              <w:bCs w:val="0"/>
              <w:color w:val="auto"/>
              <w:highlight w:val="none"/>
              <w:lang w:eastAsia="zh-CN"/>
            </w:rPr>
            <w:t>财政拨款收入</w:t>
          </w:r>
          <w:r>
            <w:rPr>
              <w:rFonts w:hint="eastAsia" w:ascii="仿宋" w:hAnsi="仿宋" w:eastAsia="仿宋"/>
              <w:bCs w:val="0"/>
              <w:color w:val="auto"/>
              <w:highlight w:val="none"/>
            </w:rPr>
            <w:t>支出决算表</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57</w:t>
          </w:r>
        </w:p>
        <w:p>
          <w:pPr>
            <w:pStyle w:val="42"/>
            <w:shd w:val="clear"/>
            <w:tabs>
              <w:tab w:val="right" w:leader="dot" w:pos="8306"/>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_Toc30995 </w:instrText>
          </w:r>
          <w:r>
            <w:rPr>
              <w:color w:val="auto"/>
              <w:highlight w:val="none"/>
            </w:rPr>
            <w:fldChar w:fldCharType="separate"/>
          </w:r>
          <w:r>
            <w:rPr>
              <w:rFonts w:hint="eastAsia" w:ascii="仿宋" w:hAnsi="仿宋" w:eastAsia="仿宋"/>
              <w:bCs w:val="0"/>
              <w:color w:val="auto"/>
              <w:highlight w:val="none"/>
            </w:rPr>
            <w:t>十二、</w:t>
          </w:r>
          <w:r>
            <w:rPr>
              <w:rFonts w:hint="eastAsia" w:ascii="仿宋" w:hAnsi="仿宋" w:eastAsia="仿宋"/>
              <w:bCs w:val="0"/>
              <w:color w:val="auto"/>
              <w:highlight w:val="none"/>
              <w:lang w:eastAsia="zh-CN"/>
            </w:rPr>
            <w:t>国有资本经营预算财政拨款支出决算表</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57</w:t>
          </w:r>
        </w:p>
        <w:p>
          <w:pPr>
            <w:pStyle w:val="42"/>
            <w:shd w:val="clear"/>
            <w:tabs>
              <w:tab w:val="right" w:leader="dot" w:pos="8306"/>
            </w:tabs>
            <w:rPr>
              <w:rFonts w:hint="default" w:eastAsia="宋体"/>
              <w:color w:val="auto"/>
              <w:highlight w:val="none"/>
              <w:lang w:val="en-US" w:eastAsia="zh-C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color w:val="auto"/>
              <w:highlight w:val="none"/>
            </w:rPr>
            <w:fldChar w:fldCharType="begin"/>
          </w:r>
          <w:r>
            <w:rPr>
              <w:color w:val="auto"/>
              <w:highlight w:val="none"/>
            </w:rPr>
            <w:instrText xml:space="preserve"> HYPERLINK \l _Toc29540 </w:instrText>
          </w:r>
          <w:r>
            <w:rPr>
              <w:color w:val="auto"/>
              <w:highlight w:val="none"/>
            </w:rPr>
            <w:fldChar w:fldCharType="separate"/>
          </w:r>
          <w:r>
            <w:rPr>
              <w:rFonts w:hint="eastAsia" w:ascii="仿宋" w:hAnsi="仿宋" w:eastAsia="仿宋"/>
              <w:bCs w:val="0"/>
              <w:color w:val="auto"/>
              <w:highlight w:val="none"/>
            </w:rPr>
            <w:t>十三、</w:t>
          </w:r>
          <w:r>
            <w:rPr>
              <w:rFonts w:hint="eastAsia" w:ascii="仿宋" w:hAnsi="仿宋" w:eastAsia="仿宋"/>
              <w:bCs w:val="0"/>
              <w:color w:val="auto"/>
              <w:highlight w:val="none"/>
              <w:lang w:eastAsia="zh-CN"/>
            </w:rPr>
            <w:t>财政拨款“三公”经费支出决算表</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57</w:t>
          </w:r>
        </w:p>
        <w:p>
          <w:pPr>
            <w:pStyle w:val="42"/>
            <w:shd w:val="clear"/>
            <w:tabs>
              <w:tab w:val="right" w:leader="dot" w:pos="8306"/>
            </w:tabs>
            <w:rPr>
              <w:color w:val="auto"/>
              <w:highlight w:val="none"/>
            </w:rPr>
          </w:pPr>
        </w:p>
        <w:p>
          <w:pPr>
            <w:pStyle w:val="2"/>
            <w:shd w:val="clear"/>
            <w:rPr>
              <w:color w:val="auto"/>
              <w:highlight w:val="none"/>
            </w:rPr>
          </w:pPr>
          <w:r>
            <w:rPr>
              <w:b/>
              <w:color w:val="auto"/>
              <w:highlight w:val="none"/>
            </w:rPr>
            <w:fldChar w:fldCharType="end"/>
          </w:r>
        </w:p>
      </w:sdtContent>
    </w:sdt>
    <w:bookmarkEnd w:id="16"/>
    <w:p>
      <w:pPr>
        <w:pStyle w:val="3"/>
        <w:pageBreakBefore w:val="0"/>
        <w:shd w:val="clear"/>
        <w:kinsoku/>
        <w:wordWrap/>
        <w:topLinePunct w:val="0"/>
        <w:bidi w:val="0"/>
        <w:spacing w:line="560" w:lineRule="exact"/>
        <w:jc w:val="center"/>
        <w:textAlignment w:val="auto"/>
        <w:rPr>
          <w:rStyle w:val="21"/>
          <w:rFonts w:hint="eastAsia" w:ascii="方正小标宋_GBK" w:hAnsi="方正小标宋_GBK" w:eastAsia="方正小标宋_GBK" w:cs="方正小标宋_GBK"/>
          <w:b/>
          <w:bCs w:val="0"/>
          <w:color w:val="auto"/>
          <w:highlight w:val="none"/>
        </w:rPr>
      </w:pPr>
      <w:bookmarkStart w:id="17" w:name="_Toc386215076_WPSOffice_Level1"/>
      <w:bookmarkStart w:id="18" w:name="_Toc25680"/>
      <w:bookmarkStart w:id="19" w:name="_Toc15396599"/>
      <w:bookmarkStart w:id="20" w:name="_Toc15377196"/>
      <w:bookmarkStart w:id="21" w:name="_Toc20745"/>
      <w:r>
        <w:rPr>
          <w:rFonts w:hint="eastAsia" w:ascii="方正小标宋_GBK" w:hAnsi="方正小标宋_GBK" w:eastAsia="方正小标宋_GBK" w:cs="方正小标宋_GBK"/>
          <w:b w:val="0"/>
          <w:color w:val="auto"/>
          <w:highlight w:val="none"/>
        </w:rPr>
        <w:t>第一部分</w:t>
      </w:r>
      <w:r>
        <w:rPr>
          <w:rStyle w:val="21"/>
          <w:rFonts w:hint="eastAsia" w:ascii="方正小标宋_GBK" w:hAnsi="方正小标宋_GBK" w:eastAsia="方正小标宋_GBK" w:cs="方正小标宋_GBK"/>
          <w:b w:val="0"/>
          <w:bCs w:val="0"/>
          <w:color w:val="auto"/>
          <w:highlight w:val="none"/>
        </w:rPr>
        <w:t>部门概况</w:t>
      </w:r>
      <w:bookmarkEnd w:id="17"/>
      <w:bookmarkEnd w:id="18"/>
      <w:bookmarkEnd w:id="19"/>
      <w:bookmarkEnd w:id="20"/>
      <w:bookmarkEnd w:id="21"/>
    </w:p>
    <w:p>
      <w:pPr>
        <w:pStyle w:val="4"/>
        <w:pageBreakBefore w:val="0"/>
        <w:numPr>
          <w:ilvl w:val="0"/>
          <w:numId w:val="1"/>
        </w:numPr>
        <w:shd w:val="clear"/>
        <w:kinsoku/>
        <w:wordWrap/>
        <w:topLinePunct w:val="0"/>
        <w:bidi w:val="0"/>
        <w:spacing w:line="560" w:lineRule="exact"/>
        <w:textAlignment w:val="auto"/>
        <w:rPr>
          <w:rFonts w:hint="eastAsia" w:ascii="黑体" w:hAnsi="黑体" w:eastAsia="黑体"/>
          <w:b w:val="0"/>
          <w:color w:val="auto"/>
          <w:highlight w:val="none"/>
          <w:lang w:eastAsia="zh-CN"/>
        </w:rPr>
      </w:pPr>
      <w:bookmarkStart w:id="22" w:name="_Toc26062"/>
      <w:bookmarkStart w:id="23" w:name="_Toc12248"/>
      <w:bookmarkStart w:id="24" w:name="_Toc906335532_WPSOffice_Level2"/>
      <w:r>
        <w:rPr>
          <w:rFonts w:hint="eastAsia" w:ascii="黑体" w:hAnsi="黑体" w:eastAsia="黑体"/>
          <w:b w:val="0"/>
          <w:color w:val="auto"/>
          <w:highlight w:val="none"/>
          <w:lang w:eastAsia="zh-CN"/>
        </w:rPr>
        <w:t>部门职责</w:t>
      </w:r>
      <w:bookmarkEnd w:id="22"/>
      <w:bookmarkEnd w:id="23"/>
      <w:bookmarkEnd w:id="24"/>
    </w:p>
    <w:p>
      <w:pPr>
        <w:pageBreakBefore w:val="0"/>
        <w:pBdr>
          <w:bottom w:val="single" w:color="FFFFFF" w:sz="8" w:space="31"/>
        </w:pBdr>
        <w:shd w:val="clear" w:color="auto"/>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bookmarkStart w:id="25" w:name="_Toc15396601"/>
      <w:bookmarkStart w:id="26" w:name="_Toc15377200"/>
      <w:r>
        <w:rPr>
          <w:rFonts w:hint="eastAsia" w:ascii="仿宋_GB2312" w:hAnsi="仿宋_GB2312" w:eastAsia="仿宋_GB2312" w:cs="仿宋_GB2312"/>
          <w:bCs/>
          <w:color w:val="auto"/>
          <w:kern w:val="0"/>
          <w:sz w:val="32"/>
          <w:szCs w:val="28"/>
          <w:highlight w:val="none"/>
          <w:shd w:val="clear" w:color="auto" w:fill="FFFFFF"/>
          <w:lang w:bidi="ar"/>
        </w:rPr>
        <w:t>1．负责贯彻执行国家有关交通运输行业的方针、政策和法律、法规。组织拟订并监督实施公路、水路等行业规划、政策和标准，会同相关部门组织编制综合运输体系规划，参与拟订物流业发展战略和规划。</w:t>
      </w:r>
    </w:p>
    <w:p>
      <w:pPr>
        <w:pageBreakBefore w:val="0"/>
        <w:pBdr>
          <w:bottom w:val="single" w:color="FFFFFF" w:sz="8" w:space="31"/>
        </w:pBdr>
        <w:shd w:val="clear" w:color="auto"/>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r>
        <w:rPr>
          <w:rFonts w:hint="eastAsia" w:ascii="仿宋_GB2312" w:hAnsi="仿宋_GB2312" w:eastAsia="仿宋_GB2312" w:cs="仿宋_GB2312"/>
          <w:bCs/>
          <w:color w:val="auto"/>
          <w:kern w:val="0"/>
          <w:sz w:val="32"/>
          <w:szCs w:val="28"/>
          <w:highlight w:val="none"/>
          <w:shd w:val="clear" w:color="auto" w:fill="FFFFFF"/>
          <w:lang w:bidi="ar"/>
        </w:rPr>
        <w:t>2．拟订全市交通运输政策规定，负责本系统、本部门依法行政工作，落实行政执法责任制。指导公路、水路行业有关体制改革工作。承担地方高速公路管理的有关工作。</w:t>
      </w:r>
    </w:p>
    <w:p>
      <w:pPr>
        <w:pageBreakBefore w:val="0"/>
        <w:pBdr>
          <w:bottom w:val="single" w:color="FFFFFF" w:sz="8" w:space="31"/>
        </w:pBdr>
        <w:shd w:val="clear" w:color="auto"/>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r>
        <w:rPr>
          <w:rFonts w:hint="eastAsia" w:ascii="仿宋_GB2312" w:hAnsi="仿宋_GB2312" w:eastAsia="仿宋_GB2312" w:cs="仿宋_GB2312"/>
          <w:bCs/>
          <w:color w:val="auto"/>
          <w:kern w:val="0"/>
          <w:sz w:val="32"/>
          <w:szCs w:val="28"/>
          <w:highlight w:val="none"/>
          <w:shd w:val="clear" w:color="auto" w:fill="FFFFFF"/>
          <w:lang w:bidi="ar"/>
        </w:rPr>
        <w:t>3．承担道路、水路交通运输市场监管责任，组织制订道路、水路运输有关政策并监督实施。指导城乡客运管理工作，指导出租汽车行业管理工作，会同相关部门制定运输价格。</w:t>
      </w:r>
    </w:p>
    <w:p>
      <w:pPr>
        <w:pageBreakBefore w:val="0"/>
        <w:pBdr>
          <w:bottom w:val="single" w:color="FFFFFF" w:sz="8" w:space="31"/>
        </w:pBdr>
        <w:shd w:val="clear" w:color="auto"/>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r>
        <w:rPr>
          <w:rFonts w:hint="eastAsia" w:ascii="仿宋_GB2312" w:hAnsi="仿宋_GB2312" w:eastAsia="仿宋_GB2312" w:cs="仿宋_GB2312"/>
          <w:bCs/>
          <w:color w:val="auto"/>
          <w:kern w:val="0"/>
          <w:sz w:val="32"/>
          <w:szCs w:val="28"/>
          <w:highlight w:val="none"/>
          <w:shd w:val="clear" w:color="auto" w:fill="FFFFFF"/>
          <w:lang w:bidi="ar"/>
        </w:rPr>
        <w:t>4．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pPr>
        <w:pageBreakBefore w:val="0"/>
        <w:pBdr>
          <w:bottom w:val="single" w:color="FFFFFF" w:sz="8" w:space="31"/>
        </w:pBdr>
        <w:shd w:val="clear" w:color="auto"/>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r>
        <w:rPr>
          <w:rFonts w:hint="eastAsia" w:ascii="仿宋_GB2312" w:hAnsi="仿宋_GB2312" w:eastAsia="仿宋_GB2312" w:cs="仿宋_GB2312"/>
          <w:bCs/>
          <w:color w:val="auto"/>
          <w:kern w:val="0"/>
          <w:sz w:val="32"/>
          <w:szCs w:val="28"/>
          <w:highlight w:val="none"/>
          <w:shd w:val="clear" w:color="auto" w:fill="FFFFFF"/>
          <w:lang w:bidi="ar"/>
        </w:rPr>
        <w:t>5．负责提出公路、水路固定资产投资规模和方向、市财政性资金安排建议，按照规定权限审批、核准国家、省、市规划内和年度计划规模内固定资产投资项目；会同相关部门拟订公路、水路有关规费政策并监督实施，提出有关财政、土地、价格等政策建议；指导交通运输行业审计工作。</w:t>
      </w:r>
    </w:p>
    <w:p>
      <w:pPr>
        <w:pageBreakBefore w:val="0"/>
        <w:pBdr>
          <w:bottom w:val="single" w:color="FFFFFF" w:sz="8" w:space="31"/>
        </w:pBdr>
        <w:shd w:val="clear" w:color="auto"/>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r>
        <w:rPr>
          <w:rFonts w:hint="eastAsia" w:ascii="仿宋_GB2312" w:hAnsi="仿宋_GB2312" w:eastAsia="仿宋_GB2312" w:cs="仿宋_GB2312"/>
          <w:bCs/>
          <w:color w:val="auto"/>
          <w:kern w:val="0"/>
          <w:sz w:val="32"/>
          <w:szCs w:val="28"/>
          <w:highlight w:val="none"/>
          <w:shd w:val="clear" w:color="auto" w:fill="FFFFFF"/>
          <w:lang w:bidi="ar"/>
        </w:rPr>
        <w:t>6．承担公路、水路建设市场监管责任。拟订公路、水路工程建设相关政策、制度、技术标准并监督实施，组织实施公路、水路有关重点工程建设和工程质量、安全生产监督管理工作；负责对交通行业和产业项目的招标投标活动的监督执法；指导交通运输基础设施管理和维护，承担有关重要设施的管理和维护；按规定负责港口规划和港口岸线使用管理工作；负责公路、桥梁、隧道收取通行费及站卡设置的协调和归口管理，指导交通运输行业特许经营管理；会同相关部门组织实施交通运输行业职业资格管理工作。</w:t>
      </w:r>
    </w:p>
    <w:p>
      <w:pPr>
        <w:pageBreakBefore w:val="0"/>
        <w:pBdr>
          <w:bottom w:val="single" w:color="FFFFFF" w:sz="8" w:space="31"/>
        </w:pBdr>
        <w:shd w:val="clear" w:color="auto"/>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r>
        <w:rPr>
          <w:rFonts w:hint="eastAsia" w:ascii="仿宋_GB2312" w:hAnsi="仿宋_GB2312" w:eastAsia="仿宋_GB2312" w:cs="仿宋_GB2312"/>
          <w:bCs/>
          <w:color w:val="auto"/>
          <w:kern w:val="0"/>
          <w:sz w:val="32"/>
          <w:szCs w:val="28"/>
          <w:highlight w:val="none"/>
          <w:shd w:val="clear" w:color="auto" w:fill="FFFFFF"/>
          <w:lang w:bidi="ar"/>
        </w:rPr>
        <w:t>7．指导公路、水路行业安全生产和应急管理工作。按规定组织协调国家及省市重点物资和紧急客货运输，负责重点干线路网运行监测和协调；组织协调地方交通战备工作，承担国防动员有关工作。</w:t>
      </w:r>
    </w:p>
    <w:p>
      <w:pPr>
        <w:pageBreakBefore w:val="0"/>
        <w:pBdr>
          <w:bottom w:val="single" w:color="FFFFFF" w:sz="8" w:space="31"/>
        </w:pBdr>
        <w:shd w:val="clear" w:color="auto"/>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r>
        <w:rPr>
          <w:rFonts w:hint="eastAsia" w:ascii="仿宋_GB2312" w:hAnsi="仿宋_GB2312" w:eastAsia="仿宋_GB2312" w:cs="仿宋_GB2312"/>
          <w:bCs/>
          <w:color w:val="auto"/>
          <w:kern w:val="0"/>
          <w:sz w:val="32"/>
          <w:szCs w:val="28"/>
          <w:highlight w:val="none"/>
          <w:shd w:val="clear" w:color="auto" w:fill="FFFFFF"/>
          <w:lang w:bidi="ar"/>
        </w:rPr>
        <w:t>8．贯彻实施交通运输科技政策，组织重大科技开发；指导交通运输信息化建设，监测分析运行情况，开展相关统计工作，发布有关信息。指导公路、水路行业环境保护和节能减排工作。</w:t>
      </w:r>
    </w:p>
    <w:p>
      <w:pPr>
        <w:pageBreakBefore w:val="0"/>
        <w:pBdr>
          <w:bottom w:val="single" w:color="FFFFFF" w:sz="8" w:space="31"/>
        </w:pBdr>
        <w:shd w:val="clear" w:color="auto"/>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r>
        <w:rPr>
          <w:rFonts w:hint="eastAsia" w:ascii="仿宋_GB2312" w:hAnsi="仿宋_GB2312" w:eastAsia="仿宋_GB2312" w:cs="仿宋_GB2312"/>
          <w:bCs/>
          <w:color w:val="auto"/>
          <w:kern w:val="0"/>
          <w:sz w:val="32"/>
          <w:szCs w:val="28"/>
          <w:highlight w:val="none"/>
          <w:shd w:val="clear" w:color="auto" w:fill="FFFFFF"/>
          <w:lang w:bidi="ar"/>
        </w:rPr>
        <w:t>9．负责公路、水路有关涉外工作，开展对外经济技术交流与合作，指导全市交通运输行业招商引资和利用外资工作。</w:t>
      </w:r>
    </w:p>
    <w:p>
      <w:pPr>
        <w:pageBreakBefore w:val="0"/>
        <w:pBdr>
          <w:bottom w:val="single" w:color="FFFFFF" w:sz="8" w:space="31"/>
        </w:pBdr>
        <w:shd w:val="clear" w:color="auto"/>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r>
        <w:rPr>
          <w:rFonts w:hint="eastAsia" w:ascii="仿宋_GB2312" w:hAnsi="仿宋_GB2312" w:eastAsia="仿宋_GB2312" w:cs="仿宋_GB2312"/>
          <w:bCs/>
          <w:color w:val="auto"/>
          <w:kern w:val="0"/>
          <w:sz w:val="32"/>
          <w:szCs w:val="28"/>
          <w:highlight w:val="none"/>
          <w:shd w:val="clear" w:color="auto" w:fill="FFFFFF"/>
          <w:lang w:bidi="ar"/>
        </w:rPr>
        <w:t>10．承担市政府公布的有关行政审批事项。</w:t>
      </w:r>
    </w:p>
    <w:p>
      <w:pPr>
        <w:pageBreakBefore w:val="0"/>
        <w:pBdr>
          <w:bottom w:val="single" w:color="FFFFFF" w:sz="8" w:space="31"/>
        </w:pBdr>
        <w:shd w:val="clear" w:color="auto"/>
        <w:kinsoku/>
        <w:wordWrap/>
        <w:overflowPunct w:val="0"/>
        <w:topLinePunct w:val="0"/>
        <w:bidi w:val="0"/>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eastAsia="zh-CN" w:bidi="ar"/>
        </w:rPr>
      </w:pPr>
      <w:r>
        <w:rPr>
          <w:rFonts w:hint="eastAsia" w:ascii="仿宋_GB2312" w:hAnsi="仿宋_GB2312" w:eastAsia="仿宋_GB2312" w:cs="仿宋_GB2312"/>
          <w:bCs/>
          <w:color w:val="auto"/>
          <w:kern w:val="0"/>
          <w:sz w:val="32"/>
          <w:szCs w:val="28"/>
          <w:highlight w:val="none"/>
          <w:shd w:val="clear" w:color="auto" w:fill="FFFFFF"/>
          <w:lang w:bidi="ar"/>
        </w:rPr>
        <w:t>11．承办市政府交办的其他事项。</w:t>
      </w:r>
    </w:p>
    <w:p>
      <w:pPr>
        <w:pageBreakBefore w:val="0"/>
        <w:pBdr>
          <w:bottom w:val="single" w:color="FFFFFF" w:sz="8" w:space="31"/>
        </w:pBdr>
        <w:shd w:val="clear" w:color="auto"/>
        <w:kinsoku/>
        <w:wordWrap/>
        <w:overflowPunct w:val="0"/>
        <w:topLinePunct w:val="0"/>
        <w:bidi w:val="0"/>
        <w:spacing w:line="560" w:lineRule="exact"/>
        <w:ind w:firstLine="640" w:firstLineChars="200"/>
        <w:textAlignment w:val="auto"/>
        <w:outlineLvl w:val="1"/>
        <w:rPr>
          <w:rStyle w:val="22"/>
          <w:rFonts w:hint="eastAsia" w:ascii="方正黑体_GBK" w:hAnsi="方正黑体_GBK" w:eastAsia="方正黑体_GBK" w:cs="方正黑体_GBK"/>
          <w:b w:val="0"/>
          <w:bCs w:val="0"/>
          <w:color w:val="auto"/>
          <w:sz w:val="32"/>
          <w:szCs w:val="32"/>
          <w:highlight w:val="none"/>
        </w:rPr>
      </w:pPr>
      <w:bookmarkStart w:id="27" w:name="_Toc16184"/>
      <w:bookmarkStart w:id="28" w:name="_Toc2141"/>
      <w:bookmarkStart w:id="29" w:name="_Toc937134759_WPSOffice_Level2"/>
      <w:r>
        <w:rPr>
          <w:rFonts w:hint="eastAsia" w:ascii="方正黑体_GBK" w:hAnsi="方正黑体_GBK" w:eastAsia="方正黑体_GBK" w:cs="方正黑体_GBK"/>
          <w:b w:val="0"/>
          <w:color w:val="auto"/>
          <w:sz w:val="32"/>
          <w:szCs w:val="32"/>
          <w:highlight w:val="none"/>
        </w:rPr>
        <w:t>二、机</w:t>
      </w:r>
      <w:r>
        <w:rPr>
          <w:rStyle w:val="22"/>
          <w:rFonts w:hint="eastAsia" w:ascii="方正黑体_GBK" w:hAnsi="方正黑体_GBK" w:eastAsia="方正黑体_GBK" w:cs="方正黑体_GBK"/>
          <w:b w:val="0"/>
          <w:bCs w:val="0"/>
          <w:color w:val="auto"/>
          <w:sz w:val="32"/>
          <w:szCs w:val="32"/>
          <w:highlight w:val="none"/>
        </w:rPr>
        <w:t>构设置</w:t>
      </w:r>
      <w:bookmarkEnd w:id="25"/>
      <w:bookmarkEnd w:id="26"/>
      <w:bookmarkEnd w:id="27"/>
      <w:bookmarkEnd w:id="28"/>
      <w:bookmarkEnd w:id="29"/>
    </w:p>
    <w:p>
      <w:pPr>
        <w:keepNext w:val="0"/>
        <w:keepLines w:val="0"/>
        <w:pageBreakBefore w:val="0"/>
        <w:widowControl w:val="0"/>
        <w:pBdr>
          <w:bottom w:val="single" w:color="FFFFFF" w:sz="8" w:space="31"/>
        </w:pBdr>
        <w:shd w:val="clear" w:color="auto"/>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r>
        <w:rPr>
          <w:rFonts w:hint="eastAsia" w:ascii="仿宋_GB2312" w:hAnsi="仿宋_GB2312" w:eastAsia="仿宋_GB2312" w:cs="仿宋_GB2312"/>
          <w:bCs/>
          <w:color w:val="auto"/>
          <w:kern w:val="0"/>
          <w:sz w:val="32"/>
          <w:szCs w:val="28"/>
          <w:highlight w:val="none"/>
          <w:shd w:val="clear" w:color="auto" w:fill="FFFFFF"/>
          <w:lang w:bidi="ar"/>
        </w:rPr>
        <w:t>市交通运输局</w:t>
      </w:r>
      <w:r>
        <w:rPr>
          <w:rFonts w:hint="eastAsia" w:ascii="仿宋_GB2312" w:hAnsi="仿宋_GB2312" w:eastAsia="仿宋_GB2312" w:cs="仿宋_GB2312"/>
          <w:bCs/>
          <w:color w:val="auto"/>
          <w:kern w:val="0"/>
          <w:sz w:val="32"/>
          <w:szCs w:val="28"/>
          <w:highlight w:val="none"/>
          <w:shd w:val="clear" w:color="auto" w:fill="FFFFFF"/>
          <w:lang w:eastAsia="zh-CN" w:bidi="ar"/>
        </w:rPr>
        <w:t>部门</w:t>
      </w:r>
      <w:r>
        <w:rPr>
          <w:rFonts w:hint="eastAsia" w:ascii="仿宋_GB2312" w:hAnsi="仿宋_GB2312" w:eastAsia="仿宋_GB2312" w:cs="仿宋_GB2312"/>
          <w:bCs/>
          <w:color w:val="auto"/>
          <w:kern w:val="0"/>
          <w:sz w:val="32"/>
          <w:szCs w:val="28"/>
          <w:highlight w:val="none"/>
          <w:shd w:val="clear" w:color="auto" w:fill="FFFFFF"/>
          <w:lang w:bidi="ar"/>
        </w:rPr>
        <w:t>下属二级预算单位5个，其中行政单位1个，参照公务员法管理的事业单位2个，其他事业单位2个。</w:t>
      </w:r>
    </w:p>
    <w:p>
      <w:pPr>
        <w:keepNext w:val="0"/>
        <w:keepLines w:val="0"/>
        <w:pageBreakBefore w:val="0"/>
        <w:widowControl w:val="0"/>
        <w:pBdr>
          <w:bottom w:val="single" w:color="FFFFFF" w:sz="8" w:space="31"/>
        </w:pBdr>
        <w:shd w:val="clear" w:color="auto"/>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纳入</w:t>
      </w:r>
      <w:r>
        <w:rPr>
          <w:rFonts w:hint="eastAsia" w:ascii="仿宋_GB2312" w:hAnsi="仿宋_GB2312" w:eastAsia="仿宋_GB2312" w:cs="仿宋_GB2312"/>
          <w:color w:val="auto"/>
          <w:sz w:val="32"/>
          <w:szCs w:val="32"/>
          <w:highlight w:val="none"/>
          <w:lang w:eastAsia="zh-CN"/>
        </w:rPr>
        <w:t>广元市交通运输局</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年度部门决算编制范围的二级预算单位包括：</w:t>
      </w:r>
      <w:bookmarkStart w:id="30" w:name="_Toc15306276"/>
      <w:bookmarkStart w:id="31" w:name="_Toc15377433"/>
      <w:bookmarkStart w:id="32" w:name="_Toc15377202"/>
      <w:bookmarkStart w:id="33" w:name="_Toc15378449"/>
    </w:p>
    <w:p>
      <w:pPr>
        <w:keepNext w:val="0"/>
        <w:keepLines w:val="0"/>
        <w:pageBreakBefore w:val="0"/>
        <w:widowControl w:val="0"/>
        <w:pBdr>
          <w:bottom w:val="single" w:color="FFFFFF" w:sz="8" w:space="31"/>
        </w:pBdr>
        <w:shd w:val="clear" w:color="auto"/>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eastAsia="zh-CN"/>
        </w:rPr>
        <w:t>市交通运输局（本级）</w:t>
      </w:r>
      <w:bookmarkEnd w:id="30"/>
      <w:bookmarkEnd w:id="31"/>
      <w:bookmarkEnd w:id="32"/>
      <w:bookmarkEnd w:id="33"/>
      <w:bookmarkStart w:id="34" w:name="_Toc15378450"/>
      <w:bookmarkStart w:id="35" w:name="_Toc15306277"/>
      <w:bookmarkStart w:id="36" w:name="_Toc15377203"/>
      <w:bookmarkStart w:id="37" w:name="_Toc15377434"/>
    </w:p>
    <w:p>
      <w:pPr>
        <w:keepNext w:val="0"/>
        <w:keepLines w:val="0"/>
        <w:pageBreakBefore w:val="0"/>
        <w:widowControl w:val="0"/>
        <w:pBdr>
          <w:bottom w:val="single" w:color="FFFFFF" w:sz="8" w:space="31"/>
        </w:pBdr>
        <w:shd w:val="clear" w:color="auto"/>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r>
        <w:rPr>
          <w:rFonts w:hint="eastAsia" w:ascii="仿宋_GB2312" w:hAnsi="仿宋_GB2312" w:eastAsia="仿宋_GB2312" w:cs="仿宋_GB2312"/>
          <w:bCs/>
          <w:color w:val="auto"/>
          <w:kern w:val="0"/>
          <w:sz w:val="32"/>
          <w:szCs w:val="28"/>
          <w:highlight w:val="none"/>
          <w:shd w:val="clear" w:color="auto" w:fill="FFFFFF"/>
          <w:lang w:val="en" w:bidi="ar"/>
        </w:rPr>
        <w:t>2.</w:t>
      </w:r>
      <w:r>
        <w:rPr>
          <w:rFonts w:hint="eastAsia" w:ascii="仿宋_GB2312" w:hAnsi="仿宋_GB2312" w:eastAsia="仿宋_GB2312" w:cs="仿宋_GB2312"/>
          <w:bCs/>
          <w:color w:val="auto"/>
          <w:kern w:val="0"/>
          <w:sz w:val="32"/>
          <w:szCs w:val="28"/>
          <w:highlight w:val="none"/>
          <w:shd w:val="clear" w:color="auto" w:fill="FFFFFF"/>
          <w:lang w:bidi="ar"/>
        </w:rPr>
        <w:t>市公路建设服务中心</w:t>
      </w:r>
      <w:bookmarkEnd w:id="34"/>
      <w:bookmarkEnd w:id="35"/>
      <w:bookmarkEnd w:id="36"/>
      <w:bookmarkEnd w:id="37"/>
    </w:p>
    <w:p>
      <w:pPr>
        <w:keepNext w:val="0"/>
        <w:keepLines w:val="0"/>
        <w:pageBreakBefore w:val="0"/>
        <w:widowControl w:val="0"/>
        <w:pBdr>
          <w:bottom w:val="single" w:color="FFFFFF" w:sz="8" w:space="31"/>
        </w:pBdr>
        <w:shd w:val="clear" w:color="auto"/>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r>
        <w:rPr>
          <w:rFonts w:hint="eastAsia" w:ascii="仿宋_GB2312" w:hAnsi="仿宋_GB2312" w:eastAsia="仿宋_GB2312" w:cs="仿宋_GB2312"/>
          <w:bCs/>
          <w:color w:val="auto"/>
          <w:kern w:val="0"/>
          <w:sz w:val="32"/>
          <w:szCs w:val="28"/>
          <w:highlight w:val="none"/>
          <w:shd w:val="clear" w:color="auto" w:fill="FFFFFF"/>
          <w:lang w:val="en" w:bidi="ar"/>
        </w:rPr>
        <w:t>3.</w:t>
      </w:r>
      <w:r>
        <w:rPr>
          <w:rFonts w:hint="eastAsia" w:ascii="仿宋_GB2312" w:hAnsi="仿宋_GB2312" w:eastAsia="仿宋_GB2312" w:cs="仿宋_GB2312"/>
          <w:bCs/>
          <w:color w:val="auto"/>
          <w:kern w:val="0"/>
          <w:sz w:val="32"/>
          <w:szCs w:val="28"/>
          <w:highlight w:val="none"/>
          <w:shd w:val="clear" w:color="auto" w:fill="FFFFFF"/>
          <w:lang w:bidi="ar"/>
        </w:rPr>
        <w:t>市交通建设工程造价管理站</w:t>
      </w:r>
    </w:p>
    <w:p>
      <w:pPr>
        <w:keepNext w:val="0"/>
        <w:keepLines w:val="0"/>
        <w:pageBreakBefore w:val="0"/>
        <w:widowControl w:val="0"/>
        <w:pBdr>
          <w:bottom w:val="single" w:color="FFFFFF" w:sz="8" w:space="31"/>
        </w:pBdr>
        <w:shd w:val="clear" w:color="auto"/>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28"/>
          <w:highlight w:val="none"/>
          <w:shd w:val="clear" w:color="auto" w:fill="FFFFFF"/>
          <w:lang w:bidi="ar"/>
        </w:rPr>
      </w:pPr>
      <w:r>
        <w:rPr>
          <w:rFonts w:hint="eastAsia" w:ascii="仿宋_GB2312" w:hAnsi="仿宋_GB2312" w:eastAsia="仿宋_GB2312" w:cs="仿宋_GB2312"/>
          <w:bCs/>
          <w:color w:val="auto"/>
          <w:kern w:val="0"/>
          <w:sz w:val="32"/>
          <w:szCs w:val="28"/>
          <w:highlight w:val="none"/>
          <w:shd w:val="clear" w:color="auto" w:fill="FFFFFF"/>
          <w:lang w:val="en" w:eastAsia="zh-CN" w:bidi="ar"/>
        </w:rPr>
        <w:t>4.</w:t>
      </w:r>
      <w:r>
        <w:rPr>
          <w:rFonts w:hint="eastAsia" w:ascii="仿宋_GB2312" w:hAnsi="仿宋_GB2312" w:eastAsia="仿宋_GB2312" w:cs="仿宋_GB2312"/>
          <w:bCs/>
          <w:color w:val="auto"/>
          <w:kern w:val="0"/>
          <w:sz w:val="32"/>
          <w:szCs w:val="28"/>
          <w:highlight w:val="none"/>
          <w:shd w:val="clear" w:color="auto" w:fill="FFFFFF"/>
          <w:lang w:bidi="ar"/>
        </w:rPr>
        <w:t>市交通运输综合行政执法支队</w:t>
      </w:r>
    </w:p>
    <w:p>
      <w:pPr>
        <w:keepNext w:val="0"/>
        <w:keepLines w:val="0"/>
        <w:pageBreakBefore w:val="0"/>
        <w:widowControl w:val="0"/>
        <w:pBdr>
          <w:bottom w:val="single" w:color="FFFFFF" w:sz="8" w:space="31"/>
        </w:pBdr>
        <w:shd w:val="clear" w:color="auto"/>
        <w:kinsoku/>
        <w:wordWrap/>
        <w:overflowPunct w:val="0"/>
        <w:topLinePunct w:val="0"/>
        <w:autoSpaceDE/>
        <w:autoSpaceDN/>
        <w:bidi w:val="0"/>
        <w:adjustRightInd/>
        <w:snapToGrid/>
        <w:spacing w:line="560" w:lineRule="exact"/>
        <w:ind w:firstLine="640" w:firstLineChars="200"/>
        <w:textAlignment w:val="auto"/>
        <w:rPr>
          <w:rFonts w:ascii="仿宋" w:hAnsi="仿宋" w:eastAsia="仿宋"/>
          <w:color w:val="auto"/>
          <w:kern w:val="0"/>
          <w:sz w:val="32"/>
          <w:szCs w:val="32"/>
          <w:highlight w:val="none"/>
        </w:rPr>
      </w:pPr>
      <w:r>
        <w:rPr>
          <w:rFonts w:hint="eastAsia" w:ascii="仿宋_GB2312" w:hAnsi="仿宋_GB2312" w:eastAsia="仿宋_GB2312" w:cs="仿宋_GB2312"/>
          <w:bCs/>
          <w:color w:val="auto"/>
          <w:kern w:val="0"/>
          <w:sz w:val="32"/>
          <w:szCs w:val="28"/>
          <w:highlight w:val="none"/>
          <w:shd w:val="clear" w:color="auto" w:fill="FFFFFF"/>
          <w:lang w:val="en" w:bidi="ar"/>
        </w:rPr>
        <w:t>5.</w:t>
      </w:r>
      <w:r>
        <w:rPr>
          <w:rFonts w:hint="eastAsia" w:ascii="仿宋_GB2312" w:hAnsi="仿宋_GB2312" w:eastAsia="仿宋_GB2312" w:cs="仿宋_GB2312"/>
          <w:bCs/>
          <w:color w:val="auto"/>
          <w:kern w:val="0"/>
          <w:sz w:val="32"/>
          <w:szCs w:val="28"/>
          <w:highlight w:val="none"/>
          <w:shd w:val="clear" w:color="auto" w:fill="FFFFFF"/>
          <w:lang w:bidi="ar"/>
        </w:rPr>
        <w:t>市交通运输</w:t>
      </w:r>
      <w:r>
        <w:rPr>
          <w:rFonts w:hint="eastAsia" w:ascii="仿宋_GB2312" w:hAnsi="仿宋_GB2312" w:eastAsia="仿宋_GB2312" w:cs="仿宋_GB2312"/>
          <w:bCs/>
          <w:color w:val="auto"/>
          <w:kern w:val="0"/>
          <w:sz w:val="32"/>
          <w:szCs w:val="28"/>
          <w:highlight w:val="none"/>
          <w:shd w:val="clear" w:color="auto" w:fill="FFFFFF"/>
          <w:lang w:eastAsia="zh-CN" w:bidi="ar"/>
        </w:rPr>
        <w:t>指挥</w:t>
      </w:r>
      <w:r>
        <w:rPr>
          <w:rFonts w:hint="eastAsia" w:ascii="仿宋_GB2312" w:hAnsi="仿宋_GB2312" w:eastAsia="仿宋_GB2312" w:cs="仿宋_GB2312"/>
          <w:bCs/>
          <w:color w:val="auto"/>
          <w:kern w:val="0"/>
          <w:sz w:val="32"/>
          <w:szCs w:val="28"/>
          <w:highlight w:val="none"/>
          <w:shd w:val="clear" w:color="auto" w:fill="FFFFFF"/>
          <w:lang w:bidi="ar"/>
        </w:rPr>
        <w:t>中心</w:t>
      </w:r>
      <w:r>
        <w:rPr>
          <w:rFonts w:ascii="仿宋" w:hAnsi="仿宋" w:eastAsia="仿宋"/>
          <w:color w:val="auto"/>
          <w:sz w:val="32"/>
          <w:szCs w:val="32"/>
          <w:highlight w:val="none"/>
        </w:rPr>
        <w:br w:type="page"/>
      </w:r>
    </w:p>
    <w:p>
      <w:pPr>
        <w:pStyle w:val="3"/>
        <w:pageBreakBefore w:val="0"/>
        <w:shd w:val="clear"/>
        <w:kinsoku/>
        <w:wordWrap/>
        <w:topLinePunct w:val="0"/>
        <w:bidi w:val="0"/>
        <w:spacing w:line="560" w:lineRule="exact"/>
        <w:ind w:right="440"/>
        <w:jc w:val="center"/>
        <w:textAlignment w:val="auto"/>
        <w:rPr>
          <w:rStyle w:val="21"/>
          <w:rFonts w:hint="eastAsia" w:ascii="方正小标宋_GBK" w:hAnsi="方正小标宋_GBK" w:eastAsia="方正小标宋_GBK" w:cs="方正小标宋_GBK"/>
          <w:b w:val="0"/>
          <w:bCs/>
          <w:color w:val="auto"/>
          <w:highlight w:val="none"/>
        </w:rPr>
      </w:pPr>
      <w:bookmarkStart w:id="38" w:name="_Toc17255"/>
      <w:bookmarkStart w:id="39" w:name="_Toc7229"/>
      <w:bookmarkStart w:id="40" w:name="_Toc110802243_WPSOffice_Level1"/>
      <w:bookmarkStart w:id="41" w:name="_Toc15377204"/>
      <w:bookmarkStart w:id="42" w:name="_Toc15396602"/>
      <w:r>
        <w:rPr>
          <w:rFonts w:hint="eastAsia" w:ascii="方正小标宋_GBK" w:hAnsi="方正小标宋_GBK" w:eastAsia="方正小标宋_GBK" w:cs="方正小标宋_GBK"/>
          <w:b w:val="0"/>
          <w:bCs/>
          <w:color w:val="auto"/>
          <w:highlight w:val="none"/>
        </w:rPr>
        <w:t>第二部分</w:t>
      </w:r>
      <w:r>
        <w:rPr>
          <w:rFonts w:hint="eastAsia" w:ascii="方正小标宋_GBK" w:hAnsi="方正小标宋_GBK" w:eastAsia="方正小标宋_GBK" w:cs="方正小标宋_GBK"/>
          <w:b w:val="0"/>
          <w:bCs/>
          <w:color w:val="auto"/>
          <w:highlight w:val="none"/>
          <w:lang w:val="en-US" w:eastAsia="zh-CN"/>
        </w:rPr>
        <w:t>2022年度</w:t>
      </w:r>
      <w:r>
        <w:rPr>
          <w:rStyle w:val="21"/>
          <w:rFonts w:hint="eastAsia" w:ascii="方正小标宋_GBK" w:hAnsi="方正小标宋_GBK" w:eastAsia="方正小标宋_GBK" w:cs="方正小标宋_GBK"/>
          <w:b w:val="0"/>
          <w:bCs/>
          <w:color w:val="auto"/>
          <w:highlight w:val="none"/>
        </w:rPr>
        <w:t>部门决算情况说明</w:t>
      </w:r>
      <w:bookmarkEnd w:id="38"/>
      <w:bookmarkEnd w:id="39"/>
      <w:bookmarkEnd w:id="40"/>
      <w:bookmarkEnd w:id="41"/>
      <w:bookmarkEnd w:id="42"/>
    </w:p>
    <w:p>
      <w:pPr>
        <w:pStyle w:val="34"/>
        <w:pageBreakBefore w:val="0"/>
        <w:numPr>
          <w:ilvl w:val="0"/>
          <w:numId w:val="2"/>
        </w:numPr>
        <w:shd w:val="clear"/>
        <w:kinsoku/>
        <w:wordWrap/>
        <w:topLinePunct w:val="0"/>
        <w:bidi w:val="0"/>
        <w:spacing w:line="560" w:lineRule="exact"/>
        <w:ind w:firstLineChars="0"/>
        <w:textAlignment w:val="auto"/>
        <w:outlineLvl w:val="1"/>
        <w:rPr>
          <w:rStyle w:val="22"/>
          <w:rFonts w:ascii="黑体" w:hAnsi="黑体" w:eastAsia="黑体"/>
          <w:b w:val="0"/>
          <w:color w:val="auto"/>
          <w:highlight w:val="none"/>
        </w:rPr>
      </w:pPr>
      <w:bookmarkStart w:id="43" w:name="_Toc15396603"/>
      <w:bookmarkStart w:id="44" w:name="_Toc810515873_WPSOffice_Level2"/>
      <w:bookmarkStart w:id="45" w:name="_Toc147"/>
      <w:bookmarkStart w:id="46" w:name="_Toc15377205"/>
      <w:bookmarkStart w:id="47" w:name="_Toc6699"/>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入支出决算总体情况说明</w:t>
      </w:r>
      <w:bookmarkEnd w:id="43"/>
      <w:bookmarkEnd w:id="44"/>
      <w:bookmarkEnd w:id="45"/>
      <w:bookmarkEnd w:id="46"/>
      <w:bookmarkEnd w:id="47"/>
    </w:p>
    <w:p>
      <w:pPr>
        <w:keepNext/>
        <w:keepLines/>
        <w:shd w:val="clear"/>
        <w:spacing w:beforeLines="0" w:afterLines="0" w:line="576" w:lineRule="exact"/>
        <w:ind w:firstLine="640"/>
        <w:jc w:val="both"/>
        <w:rPr>
          <w:rFonts w:hint="default" w:ascii="仿宋_GB2312" w:hAnsi="仿宋_GB2312" w:eastAsia="仿宋_GB2312"/>
          <w:color w:val="auto"/>
          <w:kern w:val="2"/>
          <w:sz w:val="32"/>
          <w:szCs w:val="24"/>
          <w:highlight w:val="none"/>
          <w:lang w:val="en-US" w:eastAsia="zh-CN"/>
        </w:rPr>
      </w:pPr>
      <w:r>
        <w:rPr>
          <w:rFonts w:hint="eastAsia" w:ascii="仿宋_GB2312" w:hAnsi="仿宋_GB2312" w:eastAsia="仿宋_GB2312"/>
          <w:color w:val="auto"/>
          <w:kern w:val="2"/>
          <w:sz w:val="32"/>
          <w:szCs w:val="24"/>
          <w:highlight w:val="none"/>
          <w:lang w:val="zh-CN"/>
        </w:rPr>
        <w:t>2022年度收、支总计48,839.21万元。与2021年相比，收、支总计各下降15,711.69万元，下降24.3%。主要变动原因有政府性基金预算财政拨款收入减少和年初结转和结余减少。</w:t>
      </w:r>
    </w:p>
    <w:p>
      <w:pPr>
        <w:pageBreakBefore w:val="0"/>
        <w:shd w:val="clear"/>
        <w:kinsoku/>
        <w:wordWrap/>
        <w:topLinePunct w:val="0"/>
        <w:bidi w:val="0"/>
        <w:spacing w:line="560" w:lineRule="exact"/>
        <w:jc w:val="left"/>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229870</wp:posOffset>
            </wp:positionH>
            <wp:positionV relativeFrom="paragraph">
              <wp:posOffset>279400</wp:posOffset>
            </wp:positionV>
            <wp:extent cx="5080000" cy="2781300"/>
            <wp:effectExtent l="4445" t="4445" r="20955" b="1460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34"/>
        <w:pageBreakBefore w:val="0"/>
        <w:numPr>
          <w:ilvl w:val="0"/>
          <w:numId w:val="2"/>
        </w:numPr>
        <w:shd w:val="clear"/>
        <w:kinsoku/>
        <w:wordWrap/>
        <w:topLinePunct w:val="0"/>
        <w:bidi w:val="0"/>
        <w:spacing w:line="560" w:lineRule="exact"/>
        <w:ind w:firstLineChars="0"/>
        <w:textAlignment w:val="auto"/>
        <w:outlineLvl w:val="1"/>
        <w:rPr>
          <w:rFonts w:hint="eastAsia" w:ascii="方正黑体_GBK" w:hAnsi="方正黑体_GBK" w:eastAsia="方正黑体_GBK" w:cs="方正黑体_GBK"/>
          <w:color w:val="auto"/>
          <w:kern w:val="2"/>
          <w:sz w:val="32"/>
          <w:szCs w:val="24"/>
          <w:highlight w:val="none"/>
          <w:lang w:val="zh-CN"/>
        </w:rPr>
      </w:pPr>
      <w:bookmarkStart w:id="48" w:name="_Toc31700"/>
      <w:bookmarkStart w:id="49" w:name="_Toc15377206"/>
      <w:bookmarkStart w:id="50" w:name="_Toc15396604"/>
      <w:bookmarkStart w:id="51" w:name="_Toc578929062_WPSOffice_Level2"/>
      <w:bookmarkStart w:id="52" w:name="_Toc15654"/>
      <w:r>
        <w:rPr>
          <w:rFonts w:hint="eastAsia" w:ascii="方正黑体_GBK" w:hAnsi="方正黑体_GBK" w:eastAsia="方正黑体_GBK" w:cs="方正黑体_GBK"/>
          <w:color w:val="auto"/>
          <w:sz w:val="32"/>
          <w:szCs w:val="32"/>
          <w:highlight w:val="none"/>
        </w:rPr>
        <w:t>收</w:t>
      </w:r>
      <w:r>
        <w:rPr>
          <w:rStyle w:val="22"/>
          <w:rFonts w:hint="eastAsia" w:ascii="方正黑体_GBK" w:hAnsi="方正黑体_GBK" w:eastAsia="方正黑体_GBK" w:cs="方正黑体_GBK"/>
          <w:b w:val="0"/>
          <w:color w:val="auto"/>
          <w:highlight w:val="none"/>
        </w:rPr>
        <w:t>入决算情况说明</w:t>
      </w:r>
      <w:bookmarkEnd w:id="48"/>
      <w:bookmarkEnd w:id="49"/>
      <w:bookmarkEnd w:id="50"/>
      <w:bookmarkEnd w:id="51"/>
      <w:bookmarkEnd w:id="52"/>
    </w:p>
    <w:p>
      <w:pPr>
        <w:pStyle w:val="34"/>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olor w:val="auto"/>
          <w:kern w:val="2"/>
          <w:sz w:val="32"/>
          <w:szCs w:val="24"/>
          <w:highlight w:val="none"/>
          <w:lang w:val="zh-CN"/>
        </w:rPr>
      </w:pPr>
      <w:bookmarkStart w:id="53" w:name="_Toc500"/>
      <w:bookmarkStart w:id="54" w:name="_Toc24977"/>
      <w:r>
        <w:rPr>
          <w:rFonts w:hint="eastAsia" w:ascii="仿宋_GB2312" w:hAnsi="仿宋_GB2312" w:eastAsia="仿宋_GB2312"/>
          <w:color w:val="auto"/>
          <w:kern w:val="2"/>
          <w:sz w:val="32"/>
          <w:szCs w:val="24"/>
          <w:highlight w:val="none"/>
          <w:lang w:val="zh-CN"/>
        </w:rPr>
        <w:t>2022年本年收入合计41,303.91万元，其中：一般公共预算财政拨款收入9,175.93万元，占22.2%；政府性基金预算财政拨款收入11,175.96万元，占27.1%；其他收入20,952.02万元，占50.7%。</w:t>
      </w:r>
      <w:bookmarkEnd w:id="53"/>
      <w:bookmarkEnd w:id="54"/>
    </w:p>
    <w:p>
      <w:pPr>
        <w:pageBreakBefore w:val="0"/>
        <w:shd w:val="clear"/>
        <w:kinsoku/>
        <w:wordWrap/>
        <w:topLinePunct w:val="0"/>
        <w:bidi w:val="0"/>
        <w:spacing w:line="560" w:lineRule="exact"/>
        <w:ind w:firstLine="640" w:firstLineChars="200"/>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w:t>
      </w: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58420</wp:posOffset>
            </wp:positionH>
            <wp:positionV relativeFrom="paragraph">
              <wp:posOffset>474345</wp:posOffset>
            </wp:positionV>
            <wp:extent cx="5080000" cy="2134870"/>
            <wp:effectExtent l="4445" t="4445" r="20955" b="1333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34"/>
        <w:pageBreakBefore w:val="0"/>
        <w:numPr>
          <w:ilvl w:val="0"/>
          <w:numId w:val="2"/>
        </w:numPr>
        <w:shd w:val="clear"/>
        <w:kinsoku/>
        <w:wordWrap/>
        <w:topLinePunct w:val="0"/>
        <w:bidi w:val="0"/>
        <w:spacing w:line="560" w:lineRule="exact"/>
        <w:ind w:firstLineChars="0"/>
        <w:textAlignment w:val="auto"/>
        <w:outlineLvl w:val="1"/>
        <w:rPr>
          <w:rStyle w:val="22"/>
          <w:rFonts w:ascii="黑体" w:hAnsi="黑体" w:eastAsia="黑体"/>
          <w:b w:val="0"/>
          <w:color w:val="auto"/>
          <w:highlight w:val="none"/>
        </w:rPr>
      </w:pPr>
      <w:bookmarkStart w:id="55" w:name="_Toc30171"/>
      <w:bookmarkStart w:id="56" w:name="_Toc15377207"/>
      <w:bookmarkStart w:id="57" w:name="_Toc686"/>
      <w:bookmarkStart w:id="58" w:name="_Toc416270069_WPSOffice_Level2"/>
      <w:bookmarkStart w:id="59" w:name="_Toc15396605"/>
      <w:r>
        <w:rPr>
          <w:rFonts w:hint="eastAsia" w:ascii="黑体" w:hAnsi="黑体" w:eastAsia="黑体"/>
          <w:color w:val="auto"/>
          <w:sz w:val="32"/>
          <w:szCs w:val="32"/>
          <w:highlight w:val="none"/>
        </w:rPr>
        <w:t>支</w:t>
      </w:r>
      <w:r>
        <w:rPr>
          <w:rStyle w:val="22"/>
          <w:rFonts w:hint="eastAsia" w:ascii="黑体" w:hAnsi="黑体" w:eastAsia="黑体"/>
          <w:b w:val="0"/>
          <w:color w:val="auto"/>
          <w:highlight w:val="none"/>
        </w:rPr>
        <w:t>出决算情况说明</w:t>
      </w:r>
      <w:bookmarkEnd w:id="55"/>
      <w:bookmarkEnd w:id="56"/>
      <w:bookmarkEnd w:id="57"/>
      <w:bookmarkEnd w:id="58"/>
      <w:bookmarkEnd w:id="59"/>
    </w:p>
    <w:p>
      <w:pPr>
        <w:pageBreakBefore w:val="0"/>
        <w:shd w:val="clear"/>
        <w:kinsoku/>
        <w:wordWrap/>
        <w:topLinePunct w:val="0"/>
        <w:bidi w:val="0"/>
        <w:spacing w:line="560" w:lineRule="exact"/>
        <w:ind w:firstLine="640" w:firstLineChars="200"/>
        <w:textAlignment w:val="auto"/>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2022年本年支出合计44,167.45万元，其中：基本支出5,046.64万元，占11.4%；项目支出39,120.81万元，占88.6%</w:t>
      </w:r>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185420</wp:posOffset>
            </wp:positionH>
            <wp:positionV relativeFrom="paragraph">
              <wp:posOffset>634365</wp:posOffset>
            </wp:positionV>
            <wp:extent cx="5080000" cy="2286000"/>
            <wp:effectExtent l="4445" t="4445" r="2095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rPr>
        <w:t>（图3：支出决算结构图）</w:t>
      </w:r>
    </w:p>
    <w:p>
      <w:pPr>
        <w:pageBreakBefore w:val="0"/>
        <w:shd w:val="clear"/>
        <w:kinsoku/>
        <w:wordWrap/>
        <w:topLinePunct w:val="0"/>
        <w:bidi w:val="0"/>
        <w:spacing w:line="560" w:lineRule="exact"/>
        <w:ind w:firstLine="640" w:firstLineChars="200"/>
        <w:textAlignment w:val="auto"/>
        <w:outlineLvl w:val="1"/>
        <w:rPr>
          <w:rStyle w:val="22"/>
          <w:rFonts w:ascii="黑体" w:hAnsi="黑体" w:eastAsia="黑体"/>
          <w:b w:val="0"/>
          <w:color w:val="auto"/>
          <w:highlight w:val="none"/>
        </w:rPr>
      </w:pPr>
      <w:bookmarkStart w:id="60" w:name="_Toc4328"/>
      <w:bookmarkStart w:id="61" w:name="_Toc15396606"/>
      <w:bookmarkStart w:id="62" w:name="_Toc32128"/>
      <w:bookmarkStart w:id="63" w:name="_Toc15377208"/>
      <w:bookmarkStart w:id="64" w:name="_Toc830213911_WPSOffice_Level2"/>
      <w:r>
        <w:rPr>
          <w:rFonts w:hint="eastAsia" w:ascii="黑体" w:hAnsi="黑体" w:eastAsia="黑体"/>
          <w:color w:val="auto"/>
          <w:sz w:val="32"/>
          <w:szCs w:val="32"/>
          <w:highlight w:val="none"/>
        </w:rPr>
        <w:t>四、财</w:t>
      </w:r>
      <w:r>
        <w:rPr>
          <w:rStyle w:val="22"/>
          <w:rFonts w:hint="eastAsia" w:ascii="黑体" w:hAnsi="黑体" w:eastAsia="黑体"/>
          <w:b w:val="0"/>
          <w:color w:val="auto"/>
          <w:highlight w:val="none"/>
        </w:rPr>
        <w:t>政拨款收入支出决算总体情况说明</w:t>
      </w:r>
      <w:bookmarkEnd w:id="60"/>
      <w:bookmarkEnd w:id="61"/>
      <w:bookmarkEnd w:id="62"/>
      <w:bookmarkEnd w:id="63"/>
      <w:bookmarkEnd w:id="64"/>
    </w:p>
    <w:p>
      <w:pPr>
        <w:shd w:val="clear"/>
        <w:spacing w:beforeLines="0" w:afterLines="0" w:line="576" w:lineRule="exact"/>
        <w:ind w:firstLine="640"/>
        <w:jc w:val="left"/>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2022年财政拨款收、支总计26,281.55万元。与2021年相比，财政拨款收、支总计各减少25,269.91万元，下降49%。主要变动原因有政府性基金预算财政拨款减少和一般公共预算财政拨款年初结转和结余减少。</w:t>
      </w:r>
    </w:p>
    <w:p>
      <w:pPr>
        <w:shd w:val="clear"/>
        <w:spacing w:line="600" w:lineRule="exact"/>
        <w:ind w:firstLine="1280" w:firstLineChars="4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pageBreakBefore w:val="0"/>
        <w:shd w:val="clear"/>
        <w:kinsoku/>
        <w:wordWrap/>
        <w:topLinePunct w:val="0"/>
        <w:bidi w:val="0"/>
        <w:spacing w:line="560" w:lineRule="exact"/>
        <w:ind w:firstLine="640"/>
        <w:textAlignment w:val="auto"/>
        <w:rPr>
          <w:rFonts w:hint="eastAsia" w:ascii="仿宋" w:hAnsi="仿宋" w:eastAsia="仿宋"/>
          <w:b/>
          <w:color w:val="auto"/>
          <w:sz w:val="32"/>
          <w:szCs w:val="32"/>
          <w:highlight w:val="none"/>
          <w:lang w:eastAsia="zh-CN"/>
        </w:rPr>
      </w:pPr>
    </w:p>
    <w:p>
      <w:pPr>
        <w:pageBreakBefore w:val="0"/>
        <w:shd w:val="clear"/>
        <w:kinsoku/>
        <w:wordWrap/>
        <w:topLinePunct w:val="0"/>
        <w:bidi w:val="0"/>
        <w:spacing w:line="560" w:lineRule="exact"/>
        <w:ind w:firstLine="640"/>
        <w:textAlignment w:val="auto"/>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344170</wp:posOffset>
            </wp:positionH>
            <wp:positionV relativeFrom="paragraph">
              <wp:posOffset>243205</wp:posOffset>
            </wp:positionV>
            <wp:extent cx="5080000" cy="2371725"/>
            <wp:effectExtent l="4445" t="4445" r="20955" b="508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ageBreakBefore w:val="0"/>
        <w:shd w:val="clear"/>
        <w:kinsoku/>
        <w:wordWrap/>
        <w:topLinePunct w:val="0"/>
        <w:bidi w:val="0"/>
        <w:spacing w:line="560" w:lineRule="exact"/>
        <w:ind w:firstLine="640" w:firstLineChars="200"/>
        <w:textAlignment w:val="auto"/>
        <w:outlineLvl w:val="1"/>
        <w:rPr>
          <w:rStyle w:val="22"/>
          <w:rFonts w:ascii="黑体" w:hAnsi="黑体" w:eastAsia="黑体"/>
          <w:b w:val="0"/>
          <w:color w:val="auto"/>
          <w:highlight w:val="none"/>
        </w:rPr>
      </w:pPr>
      <w:bookmarkStart w:id="65" w:name="_Toc6646"/>
      <w:bookmarkStart w:id="66" w:name="_Toc31606"/>
      <w:bookmarkStart w:id="67" w:name="_Toc15396607"/>
      <w:bookmarkStart w:id="68" w:name="_Toc15377209"/>
      <w:bookmarkStart w:id="69" w:name="_Toc46204239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般公共预算财政拨款支出决算情况说明</w:t>
      </w:r>
      <w:bookmarkEnd w:id="65"/>
      <w:bookmarkEnd w:id="66"/>
      <w:bookmarkEnd w:id="67"/>
      <w:bookmarkEnd w:id="68"/>
      <w:bookmarkEnd w:id="69"/>
    </w:p>
    <w:p>
      <w:pPr>
        <w:pageBreakBefore w:val="0"/>
        <w:shd w:val="clear"/>
        <w:kinsoku/>
        <w:wordWrap/>
        <w:topLinePunct w:val="0"/>
        <w:bidi w:val="0"/>
        <w:spacing w:line="560" w:lineRule="exact"/>
        <w:ind w:firstLine="640" w:firstLineChars="200"/>
        <w:textAlignment w:val="auto"/>
        <w:outlineLvl w:val="2"/>
        <w:rPr>
          <w:rFonts w:hint="eastAsia" w:ascii="方正楷体_GBK" w:hAnsi="方正楷体_GBK" w:eastAsia="方正楷体_GBK" w:cs="方正楷体_GBK"/>
          <w:b w:val="0"/>
          <w:bCs/>
          <w:color w:val="auto"/>
          <w:sz w:val="32"/>
          <w:szCs w:val="32"/>
          <w:highlight w:val="none"/>
        </w:rPr>
      </w:pPr>
      <w:bookmarkStart w:id="70" w:name="_Toc15377210"/>
      <w:r>
        <w:rPr>
          <w:rFonts w:hint="eastAsia" w:ascii="方正楷体_GBK" w:hAnsi="方正楷体_GBK" w:eastAsia="方正楷体_GBK" w:cs="方正楷体_GBK"/>
          <w:b w:val="0"/>
          <w:bCs/>
          <w:color w:val="auto"/>
          <w:sz w:val="32"/>
          <w:szCs w:val="32"/>
          <w:highlight w:val="none"/>
        </w:rPr>
        <w:t>（一）一般公共预算财政拨款支出决算总体情况</w:t>
      </w:r>
      <w:bookmarkEnd w:id="70"/>
    </w:p>
    <w:p>
      <w:pPr>
        <w:keepNext/>
        <w:keepLines/>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一般公共预算财政拨款支出15,103.49万元，占本年支出合计的34.2%。与2021年相比，一般公共预算财政拨款支出减少14,839.55万元，下降49.6%。主要变动原因是一般公共预算财政拨款减少，资本性支出（基本建设）减少。</w:t>
      </w:r>
    </w:p>
    <w:p>
      <w:pPr>
        <w:pageBreakBefore w:val="0"/>
        <w:shd w:val="clear"/>
        <w:kinsoku/>
        <w:wordWrap/>
        <w:topLinePunct w:val="0"/>
        <w:bidi w:val="0"/>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48895</wp:posOffset>
            </wp:positionH>
            <wp:positionV relativeFrom="paragraph">
              <wp:posOffset>842010</wp:posOffset>
            </wp:positionV>
            <wp:extent cx="5080000" cy="2275840"/>
            <wp:effectExtent l="4445" t="4445" r="20955" b="571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color w:val="auto"/>
          <w:sz w:val="32"/>
          <w:szCs w:val="32"/>
          <w:highlight w:val="none"/>
        </w:rPr>
        <w:t>（图5：一般公共预算财政拨款支出决算变动情况）</w:t>
      </w:r>
    </w:p>
    <w:p>
      <w:pPr>
        <w:pStyle w:val="2"/>
        <w:shd w:val="clear"/>
        <w:rPr>
          <w:rFonts w:hint="eastAsia"/>
          <w:color w:val="auto"/>
          <w:highlight w:val="none"/>
          <w:lang w:eastAsia="zh-CN"/>
        </w:rPr>
      </w:pPr>
    </w:p>
    <w:p>
      <w:pPr>
        <w:pageBreakBefore w:val="0"/>
        <w:shd w:val="clear"/>
        <w:kinsoku/>
        <w:wordWrap/>
        <w:topLinePunct w:val="0"/>
        <w:bidi w:val="0"/>
        <w:spacing w:line="560" w:lineRule="exact"/>
        <w:ind w:firstLine="640" w:firstLineChars="200"/>
        <w:textAlignment w:val="auto"/>
        <w:outlineLvl w:val="2"/>
        <w:rPr>
          <w:rFonts w:hint="eastAsia" w:ascii="方正楷体_GBK" w:hAnsi="方正楷体_GBK" w:eastAsia="方正楷体_GBK" w:cs="方正楷体_GBK"/>
          <w:b w:val="0"/>
          <w:bCs/>
          <w:color w:val="auto"/>
          <w:sz w:val="32"/>
          <w:szCs w:val="32"/>
          <w:highlight w:val="none"/>
        </w:rPr>
      </w:pPr>
      <w:bookmarkStart w:id="71" w:name="_Toc15377211"/>
      <w:r>
        <w:rPr>
          <w:rFonts w:hint="eastAsia" w:ascii="方正楷体_GBK" w:hAnsi="方正楷体_GBK" w:eastAsia="方正楷体_GBK" w:cs="方正楷体_GBK"/>
          <w:b w:val="0"/>
          <w:bCs/>
          <w:color w:val="auto"/>
          <w:sz w:val="32"/>
          <w:szCs w:val="32"/>
          <w:highlight w:val="none"/>
        </w:rPr>
        <w:t>（二）一般公共预算财政拨款支出决算结构情况</w:t>
      </w:r>
      <w:bookmarkEnd w:id="71"/>
    </w:p>
    <w:p>
      <w:pPr>
        <w:keepNext/>
        <w:keepLines/>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2022年一般公共预算财政拨款支出15,103.49万元，主要用于以下方面：文化体育与传媒支出5万元，占0</w:t>
      </w:r>
      <w:r>
        <w:rPr>
          <w:rFonts w:hint="eastAsia" w:ascii="仿宋_GB2312" w:hAnsi="仿宋_GB2312" w:eastAsia="仿宋_GB2312"/>
          <w:color w:val="auto"/>
          <w:kern w:val="2"/>
          <w:sz w:val="32"/>
          <w:szCs w:val="24"/>
          <w:highlight w:val="none"/>
          <w:lang w:val="en-US" w:eastAsia="zh-CN"/>
        </w:rPr>
        <w:t>.03</w:t>
      </w:r>
      <w:r>
        <w:rPr>
          <w:rFonts w:hint="eastAsia" w:ascii="仿宋_GB2312" w:hAnsi="仿宋_GB2312" w:eastAsia="仿宋_GB2312"/>
          <w:color w:val="auto"/>
          <w:kern w:val="2"/>
          <w:sz w:val="32"/>
          <w:szCs w:val="24"/>
          <w:highlight w:val="none"/>
          <w:lang w:val="zh-CN"/>
        </w:rPr>
        <w:t>%；社会保障和就业支出574.54万元，占3.8</w:t>
      </w:r>
      <w:r>
        <w:rPr>
          <w:rFonts w:hint="eastAsia" w:ascii="仿宋_GB2312" w:hAnsi="仿宋_GB2312" w:eastAsia="仿宋_GB2312"/>
          <w:color w:val="auto"/>
          <w:kern w:val="2"/>
          <w:sz w:val="32"/>
          <w:szCs w:val="24"/>
          <w:highlight w:val="none"/>
          <w:lang w:val="en-US" w:eastAsia="zh-CN"/>
        </w:rPr>
        <w:t>0</w:t>
      </w:r>
      <w:r>
        <w:rPr>
          <w:rFonts w:hint="eastAsia" w:ascii="仿宋_GB2312" w:hAnsi="仿宋_GB2312" w:eastAsia="仿宋_GB2312"/>
          <w:color w:val="auto"/>
          <w:kern w:val="2"/>
          <w:sz w:val="32"/>
          <w:szCs w:val="24"/>
          <w:highlight w:val="none"/>
          <w:lang w:val="zh-CN"/>
        </w:rPr>
        <w:t>%；卫生健康支出182.51万元，占1.2</w:t>
      </w:r>
      <w:r>
        <w:rPr>
          <w:rFonts w:hint="eastAsia" w:ascii="仿宋_GB2312" w:hAnsi="仿宋_GB2312" w:eastAsia="仿宋_GB2312"/>
          <w:color w:val="auto"/>
          <w:kern w:val="2"/>
          <w:sz w:val="32"/>
          <w:szCs w:val="24"/>
          <w:highlight w:val="none"/>
          <w:lang w:val="en-US" w:eastAsia="zh-CN"/>
        </w:rPr>
        <w:t>1</w:t>
      </w:r>
      <w:r>
        <w:rPr>
          <w:rFonts w:hint="eastAsia" w:ascii="仿宋_GB2312" w:hAnsi="仿宋_GB2312" w:eastAsia="仿宋_GB2312"/>
          <w:color w:val="auto"/>
          <w:kern w:val="2"/>
          <w:sz w:val="32"/>
          <w:szCs w:val="24"/>
          <w:highlight w:val="none"/>
          <w:lang w:val="zh-CN"/>
        </w:rPr>
        <w:t>%；农林水支出3.64万元，占0</w:t>
      </w:r>
      <w:r>
        <w:rPr>
          <w:rFonts w:hint="eastAsia" w:ascii="仿宋_GB2312" w:hAnsi="仿宋_GB2312" w:eastAsia="仿宋_GB2312"/>
          <w:color w:val="auto"/>
          <w:kern w:val="2"/>
          <w:sz w:val="32"/>
          <w:szCs w:val="24"/>
          <w:highlight w:val="none"/>
          <w:lang w:val="en-US" w:eastAsia="zh-CN"/>
        </w:rPr>
        <w:t>.02</w:t>
      </w:r>
      <w:r>
        <w:rPr>
          <w:rFonts w:hint="eastAsia" w:ascii="仿宋_GB2312" w:hAnsi="仿宋_GB2312" w:eastAsia="仿宋_GB2312"/>
          <w:color w:val="auto"/>
          <w:kern w:val="2"/>
          <w:sz w:val="32"/>
          <w:szCs w:val="24"/>
          <w:highlight w:val="none"/>
          <w:lang w:val="zh-CN"/>
        </w:rPr>
        <w:t>%；交通运输支出13,506.1万元，占89.4</w:t>
      </w:r>
      <w:r>
        <w:rPr>
          <w:rFonts w:hint="eastAsia" w:ascii="仿宋_GB2312" w:hAnsi="仿宋_GB2312" w:eastAsia="仿宋_GB2312"/>
          <w:color w:val="auto"/>
          <w:kern w:val="2"/>
          <w:sz w:val="32"/>
          <w:szCs w:val="24"/>
          <w:highlight w:val="none"/>
          <w:lang w:val="en-US" w:eastAsia="zh-CN"/>
        </w:rPr>
        <w:t>3</w:t>
      </w:r>
      <w:r>
        <w:rPr>
          <w:rFonts w:hint="eastAsia" w:ascii="仿宋_GB2312" w:hAnsi="仿宋_GB2312" w:eastAsia="仿宋_GB2312"/>
          <w:color w:val="auto"/>
          <w:kern w:val="2"/>
          <w:sz w:val="32"/>
          <w:szCs w:val="24"/>
          <w:highlight w:val="none"/>
          <w:lang w:val="zh-CN"/>
        </w:rPr>
        <w:t>%；住房保障支出413.75万元，占2.7</w:t>
      </w:r>
      <w:r>
        <w:rPr>
          <w:rFonts w:hint="eastAsia" w:ascii="仿宋_GB2312" w:hAnsi="仿宋_GB2312" w:eastAsia="仿宋_GB2312"/>
          <w:color w:val="auto"/>
          <w:kern w:val="2"/>
          <w:sz w:val="32"/>
          <w:szCs w:val="24"/>
          <w:highlight w:val="none"/>
          <w:lang w:val="en-US" w:eastAsia="zh-CN"/>
        </w:rPr>
        <w:t>4</w:t>
      </w:r>
      <w:r>
        <w:rPr>
          <w:rFonts w:hint="eastAsia" w:ascii="仿宋_GB2312" w:hAnsi="仿宋_GB2312" w:eastAsia="仿宋_GB2312"/>
          <w:color w:val="auto"/>
          <w:kern w:val="2"/>
          <w:sz w:val="32"/>
          <w:szCs w:val="24"/>
          <w:highlight w:val="none"/>
          <w:lang w:val="zh-CN"/>
        </w:rPr>
        <w:t>%；灾害防治及应急管理支出17.95万元，占0.1</w:t>
      </w:r>
      <w:r>
        <w:rPr>
          <w:rFonts w:hint="eastAsia" w:ascii="仿宋_GB2312" w:hAnsi="仿宋_GB2312" w:eastAsia="仿宋_GB2312"/>
          <w:color w:val="auto"/>
          <w:kern w:val="2"/>
          <w:sz w:val="32"/>
          <w:szCs w:val="24"/>
          <w:highlight w:val="none"/>
          <w:lang w:val="en-US" w:eastAsia="zh-CN"/>
        </w:rPr>
        <w:t>2</w:t>
      </w:r>
      <w:r>
        <w:rPr>
          <w:rFonts w:hint="eastAsia" w:ascii="仿宋_GB2312" w:hAnsi="仿宋_GB2312" w:eastAsia="仿宋_GB2312"/>
          <w:color w:val="auto"/>
          <w:kern w:val="2"/>
          <w:sz w:val="32"/>
          <w:szCs w:val="24"/>
          <w:highlight w:val="none"/>
          <w:lang w:val="zh-CN"/>
        </w:rPr>
        <w:t>%；其他支出400万元，占2.6</w:t>
      </w:r>
      <w:r>
        <w:rPr>
          <w:rFonts w:hint="eastAsia" w:ascii="仿宋_GB2312" w:hAnsi="仿宋_GB2312" w:eastAsia="仿宋_GB2312"/>
          <w:color w:val="auto"/>
          <w:kern w:val="2"/>
          <w:sz w:val="32"/>
          <w:szCs w:val="24"/>
          <w:highlight w:val="none"/>
          <w:lang w:val="en-US" w:eastAsia="zh-CN"/>
        </w:rPr>
        <w:t>5</w:t>
      </w:r>
      <w:r>
        <w:rPr>
          <w:rFonts w:hint="eastAsia" w:ascii="仿宋_GB2312" w:hAnsi="仿宋_GB2312" w:eastAsia="仿宋_GB2312"/>
          <w:color w:val="auto"/>
          <w:kern w:val="2"/>
          <w:sz w:val="32"/>
          <w:szCs w:val="24"/>
          <w:highlight w:val="none"/>
          <w:lang w:val="zh-CN"/>
        </w:rPr>
        <w:t>%。</w:t>
      </w:r>
    </w:p>
    <w:p>
      <w:pPr>
        <w:keepNext/>
        <w:keepLines/>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（图6：一般公共预算财政拨款支出决算结构）</w:t>
      </w:r>
    </w:p>
    <w:p>
      <w:pPr>
        <w:pageBreakBefore w:val="0"/>
        <w:shd w:val="clear"/>
        <w:kinsoku/>
        <w:wordWrap/>
        <w:topLinePunct w:val="0"/>
        <w:bidi w:val="0"/>
        <w:spacing w:line="560"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126365</wp:posOffset>
            </wp:positionH>
            <wp:positionV relativeFrom="paragraph">
              <wp:posOffset>118110</wp:posOffset>
            </wp:positionV>
            <wp:extent cx="5080000" cy="3237865"/>
            <wp:effectExtent l="4445" t="4445" r="20955" b="1524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ageBreakBefore w:val="0"/>
        <w:shd w:val="clear"/>
        <w:kinsoku/>
        <w:wordWrap/>
        <w:topLinePunct w:val="0"/>
        <w:bidi w:val="0"/>
        <w:spacing w:line="560" w:lineRule="exact"/>
        <w:ind w:firstLine="640" w:firstLineChars="200"/>
        <w:textAlignment w:val="auto"/>
        <w:outlineLvl w:val="2"/>
        <w:rPr>
          <w:rFonts w:hint="eastAsia" w:ascii="方正楷体_GBK" w:hAnsi="方正楷体_GBK" w:eastAsia="方正楷体_GBK" w:cs="方正楷体_GBK"/>
          <w:b w:val="0"/>
          <w:bCs/>
          <w:color w:val="auto"/>
          <w:sz w:val="32"/>
          <w:szCs w:val="32"/>
          <w:highlight w:val="none"/>
        </w:rPr>
      </w:pPr>
      <w:bookmarkStart w:id="72" w:name="_Toc15377212"/>
      <w:r>
        <w:rPr>
          <w:rFonts w:hint="eastAsia" w:ascii="方正楷体_GBK" w:hAnsi="方正楷体_GBK" w:eastAsia="方正楷体_GBK" w:cs="方正楷体_GBK"/>
          <w:b w:val="0"/>
          <w:bCs/>
          <w:color w:val="auto"/>
          <w:sz w:val="32"/>
          <w:szCs w:val="32"/>
          <w:highlight w:val="none"/>
        </w:rPr>
        <w:t>（三）一般公共预算财政拨款支出决算具体情况</w:t>
      </w:r>
      <w:bookmarkEnd w:id="72"/>
    </w:p>
    <w:p>
      <w:pPr>
        <w:keepNext/>
        <w:keepLines/>
        <w:pageBreakBefore w:val="0"/>
        <w:widowControl w:val="0"/>
        <w:shd w:val="clear"/>
        <w:kinsoku/>
        <w:wordWrap/>
        <w:overflowPunct/>
        <w:topLinePunct w:val="0"/>
        <w:autoSpaceDE/>
        <w:autoSpaceDN/>
        <w:bidi w:val="0"/>
        <w:adjustRightInd/>
        <w:snapToGrid/>
        <w:spacing w:beforeLines="0" w:afterLines="0" w:line="560" w:lineRule="exact"/>
        <w:ind w:firstLine="643"/>
        <w:jc w:val="both"/>
        <w:textAlignment w:val="auto"/>
        <w:rPr>
          <w:rFonts w:hint="eastAsia" w:ascii="仿宋_GB2312" w:hAnsi="仿宋_GB2312" w:eastAsia="仿宋_GB2312" w:cs="仿宋_GB2312"/>
          <w:b w:val="0"/>
          <w:bCs/>
          <w:color w:val="auto"/>
          <w:kern w:val="2"/>
          <w:sz w:val="32"/>
          <w:szCs w:val="32"/>
          <w:highlight w:val="none"/>
          <w:lang w:val="zh-CN"/>
        </w:rPr>
      </w:pPr>
      <w:r>
        <w:rPr>
          <w:rFonts w:hint="eastAsia" w:ascii="仿宋_GB2312" w:hAnsi="仿宋_GB2312" w:eastAsia="仿宋_GB2312" w:cs="仿宋_GB2312"/>
          <w:b w:val="0"/>
          <w:bCs/>
          <w:color w:val="auto"/>
          <w:kern w:val="2"/>
          <w:sz w:val="32"/>
          <w:szCs w:val="32"/>
          <w:highlight w:val="none"/>
          <w:lang w:val="zh-CN"/>
        </w:rPr>
        <w:t>2022年一般公共预算支出决算数为15,103.49万元，完成预算</w:t>
      </w:r>
      <w:r>
        <w:rPr>
          <w:rFonts w:hint="eastAsia" w:ascii="仿宋_GB2312" w:hAnsi="仿宋_GB2312" w:eastAsia="仿宋_GB2312" w:cs="仿宋_GB2312"/>
          <w:b w:val="0"/>
          <w:bCs/>
          <w:color w:val="auto"/>
          <w:kern w:val="2"/>
          <w:sz w:val="32"/>
          <w:szCs w:val="32"/>
          <w:highlight w:val="none"/>
          <w:lang w:val="en-US" w:eastAsia="zh-CN"/>
        </w:rPr>
        <w:t>99.99</w:t>
      </w:r>
      <w:r>
        <w:rPr>
          <w:rFonts w:hint="eastAsia" w:ascii="仿宋_GB2312" w:hAnsi="仿宋_GB2312" w:eastAsia="仿宋_GB2312" w:cs="仿宋_GB2312"/>
          <w:b w:val="0"/>
          <w:bCs/>
          <w:color w:val="auto"/>
          <w:kern w:val="2"/>
          <w:sz w:val="32"/>
          <w:szCs w:val="32"/>
          <w:highlight w:val="none"/>
          <w:lang w:val="zh-CN"/>
        </w:rPr>
        <w:t>%。其中：</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w:t>
      </w:r>
      <w:r>
        <w:rPr>
          <w:rStyle w:val="19"/>
          <w:rFonts w:hint="eastAsia" w:ascii="仿宋_GB2312" w:hAnsi="仿宋_GB2312" w:eastAsia="仿宋_GB2312" w:cs="仿宋_GB2312"/>
          <w:b w:val="0"/>
          <w:bCs/>
          <w:color w:val="auto"/>
          <w:sz w:val="32"/>
          <w:szCs w:val="32"/>
          <w:highlight w:val="none"/>
        </w:rPr>
        <w:t>.文化旅游体育与传媒（类）</w:t>
      </w:r>
      <w:r>
        <w:rPr>
          <w:rStyle w:val="19"/>
          <w:rFonts w:hint="eastAsia" w:ascii="仿宋_GB2312" w:hAnsi="仿宋_GB2312" w:eastAsia="仿宋_GB2312" w:cs="仿宋_GB2312"/>
          <w:b w:val="0"/>
          <w:bCs/>
          <w:color w:val="auto"/>
          <w:sz w:val="32"/>
          <w:szCs w:val="32"/>
          <w:highlight w:val="none"/>
          <w:lang w:eastAsia="zh-CN"/>
        </w:rPr>
        <w:t>文化和旅游</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文化活动</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5</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2</w:t>
      </w:r>
      <w:r>
        <w:rPr>
          <w:rStyle w:val="19"/>
          <w:rFonts w:hint="eastAsia" w:ascii="仿宋_GB2312" w:hAnsi="仿宋_GB2312" w:eastAsia="仿宋_GB2312" w:cs="仿宋_GB2312"/>
          <w:b w:val="0"/>
          <w:bCs/>
          <w:color w:val="auto"/>
          <w:sz w:val="32"/>
          <w:szCs w:val="32"/>
          <w:highlight w:val="none"/>
        </w:rPr>
        <w:t>.社会保障和就业（类）</w:t>
      </w:r>
      <w:r>
        <w:rPr>
          <w:rStyle w:val="19"/>
          <w:rFonts w:hint="eastAsia" w:ascii="仿宋_GB2312" w:hAnsi="仿宋_GB2312" w:eastAsia="仿宋_GB2312" w:cs="仿宋_GB2312"/>
          <w:b w:val="0"/>
          <w:bCs/>
          <w:color w:val="auto"/>
          <w:sz w:val="32"/>
          <w:szCs w:val="32"/>
          <w:highlight w:val="none"/>
          <w:lang w:eastAsia="zh-CN"/>
        </w:rPr>
        <w:t>人力资源和社会保障管理事务</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引进人才费用</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8.3</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3</w:t>
      </w:r>
      <w:r>
        <w:rPr>
          <w:rStyle w:val="19"/>
          <w:rFonts w:hint="eastAsia" w:ascii="仿宋_GB2312" w:hAnsi="仿宋_GB2312" w:eastAsia="仿宋_GB2312" w:cs="仿宋_GB2312"/>
          <w:b w:val="0"/>
          <w:bCs/>
          <w:color w:val="auto"/>
          <w:sz w:val="32"/>
          <w:szCs w:val="32"/>
          <w:highlight w:val="none"/>
        </w:rPr>
        <w:t>.社会保障和就业（类）</w:t>
      </w:r>
      <w:r>
        <w:rPr>
          <w:rStyle w:val="19"/>
          <w:rFonts w:hint="eastAsia" w:ascii="仿宋_GB2312" w:hAnsi="仿宋_GB2312" w:eastAsia="仿宋_GB2312" w:cs="仿宋_GB2312"/>
          <w:b w:val="0"/>
          <w:bCs/>
          <w:color w:val="auto"/>
          <w:sz w:val="32"/>
          <w:szCs w:val="32"/>
          <w:highlight w:val="none"/>
          <w:lang w:eastAsia="zh-CN"/>
        </w:rPr>
        <w:t>人力资源和社会保障管理事务</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其他人力资源和社会保障管理事务支出</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4.9</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4</w:t>
      </w:r>
      <w:r>
        <w:rPr>
          <w:rStyle w:val="19"/>
          <w:rFonts w:hint="eastAsia" w:ascii="仿宋_GB2312" w:hAnsi="仿宋_GB2312" w:eastAsia="仿宋_GB2312" w:cs="仿宋_GB2312"/>
          <w:b w:val="0"/>
          <w:bCs/>
          <w:color w:val="auto"/>
          <w:sz w:val="32"/>
          <w:szCs w:val="32"/>
          <w:highlight w:val="none"/>
        </w:rPr>
        <w:t>.社会保障和就业（类）</w:t>
      </w:r>
      <w:r>
        <w:rPr>
          <w:rStyle w:val="19"/>
          <w:rFonts w:hint="eastAsia" w:ascii="仿宋_GB2312" w:hAnsi="仿宋_GB2312" w:eastAsia="仿宋_GB2312" w:cs="仿宋_GB2312"/>
          <w:b w:val="0"/>
          <w:bCs/>
          <w:color w:val="auto"/>
          <w:sz w:val="32"/>
          <w:szCs w:val="32"/>
          <w:highlight w:val="none"/>
          <w:lang w:eastAsia="zh-CN"/>
        </w:rPr>
        <w:t>行政事业单位养老支出</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行政单位离退休</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193.04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5</w:t>
      </w:r>
      <w:r>
        <w:rPr>
          <w:rStyle w:val="19"/>
          <w:rFonts w:hint="eastAsia" w:ascii="仿宋_GB2312" w:hAnsi="仿宋_GB2312" w:eastAsia="仿宋_GB2312" w:cs="仿宋_GB2312"/>
          <w:b w:val="0"/>
          <w:bCs/>
          <w:color w:val="auto"/>
          <w:sz w:val="32"/>
          <w:szCs w:val="32"/>
          <w:highlight w:val="none"/>
        </w:rPr>
        <w:t>.社会保障和就业（类）</w:t>
      </w:r>
      <w:r>
        <w:rPr>
          <w:rStyle w:val="19"/>
          <w:rFonts w:hint="eastAsia" w:ascii="仿宋_GB2312" w:hAnsi="仿宋_GB2312" w:eastAsia="仿宋_GB2312" w:cs="仿宋_GB2312"/>
          <w:b w:val="0"/>
          <w:bCs/>
          <w:color w:val="auto"/>
          <w:sz w:val="32"/>
          <w:szCs w:val="32"/>
          <w:highlight w:val="none"/>
          <w:lang w:eastAsia="zh-CN"/>
        </w:rPr>
        <w:t>行政事业单位养老支出</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机关事业单位基本养老保险缴费支出</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280.47</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6</w:t>
      </w:r>
      <w:r>
        <w:rPr>
          <w:rStyle w:val="19"/>
          <w:rFonts w:hint="eastAsia" w:ascii="仿宋_GB2312" w:hAnsi="仿宋_GB2312" w:eastAsia="仿宋_GB2312" w:cs="仿宋_GB2312"/>
          <w:b w:val="0"/>
          <w:bCs/>
          <w:color w:val="auto"/>
          <w:sz w:val="32"/>
          <w:szCs w:val="32"/>
          <w:highlight w:val="none"/>
        </w:rPr>
        <w:t>.社会保障和就业（类）</w:t>
      </w:r>
      <w:r>
        <w:rPr>
          <w:rStyle w:val="19"/>
          <w:rFonts w:hint="eastAsia" w:ascii="仿宋_GB2312" w:hAnsi="仿宋_GB2312" w:eastAsia="仿宋_GB2312" w:cs="仿宋_GB2312"/>
          <w:b w:val="0"/>
          <w:bCs/>
          <w:color w:val="auto"/>
          <w:sz w:val="32"/>
          <w:szCs w:val="32"/>
          <w:highlight w:val="none"/>
          <w:lang w:eastAsia="zh-CN"/>
        </w:rPr>
        <w:t>行政事业单位养老支出</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机关事业单位职业年金缴费支出</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41.20</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7</w:t>
      </w:r>
      <w:r>
        <w:rPr>
          <w:rStyle w:val="19"/>
          <w:rFonts w:hint="eastAsia" w:ascii="仿宋_GB2312" w:hAnsi="仿宋_GB2312" w:eastAsia="仿宋_GB2312" w:cs="仿宋_GB2312"/>
          <w:b w:val="0"/>
          <w:bCs/>
          <w:color w:val="auto"/>
          <w:sz w:val="32"/>
          <w:szCs w:val="32"/>
          <w:highlight w:val="none"/>
        </w:rPr>
        <w:t>.社会保障和就业（类）</w:t>
      </w:r>
      <w:r>
        <w:rPr>
          <w:rStyle w:val="19"/>
          <w:rFonts w:hint="eastAsia" w:ascii="仿宋_GB2312" w:hAnsi="仿宋_GB2312" w:eastAsia="仿宋_GB2312" w:cs="仿宋_GB2312"/>
          <w:b w:val="0"/>
          <w:bCs/>
          <w:color w:val="auto"/>
          <w:sz w:val="32"/>
          <w:szCs w:val="32"/>
          <w:highlight w:val="none"/>
          <w:lang w:eastAsia="zh-CN"/>
        </w:rPr>
        <w:t>抚恤</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死亡抚恤</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23.58</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8</w:t>
      </w:r>
      <w:r>
        <w:rPr>
          <w:rStyle w:val="19"/>
          <w:rFonts w:hint="eastAsia" w:ascii="仿宋_GB2312" w:hAnsi="仿宋_GB2312" w:eastAsia="仿宋_GB2312" w:cs="仿宋_GB2312"/>
          <w:b w:val="0"/>
          <w:bCs/>
          <w:color w:val="auto"/>
          <w:sz w:val="32"/>
          <w:szCs w:val="32"/>
          <w:highlight w:val="none"/>
        </w:rPr>
        <w:t>.社会保障和就业（类）</w:t>
      </w:r>
      <w:r>
        <w:rPr>
          <w:rStyle w:val="19"/>
          <w:rFonts w:hint="eastAsia" w:ascii="仿宋_GB2312" w:hAnsi="仿宋_GB2312" w:eastAsia="仿宋_GB2312" w:cs="仿宋_GB2312"/>
          <w:b w:val="0"/>
          <w:bCs/>
          <w:color w:val="auto"/>
          <w:sz w:val="32"/>
          <w:szCs w:val="32"/>
          <w:highlight w:val="none"/>
          <w:lang w:eastAsia="zh-CN"/>
        </w:rPr>
        <w:t>其他社会保障和就业支出</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其他社会保障和就业支出</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23.05</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9</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行政事业单位医疗</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行政单位医疗</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168.94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10</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行政事业单位医疗</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事业单位医疗</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13.57</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11</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农林水支出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巩固脱贫衔接乡村振兴</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其他巩固脱贫衔接乡村振兴支出</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3.64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12</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交通运输支出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公路水路运输</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行政运行</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3525.83</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13</w:t>
      </w:r>
      <w:r>
        <w:rPr>
          <w:rFonts w:hint="eastAsia" w:ascii="仿宋_GB2312" w:hAnsi="仿宋_GB2312" w:eastAsia="仿宋_GB2312" w:cs="仿宋_GB2312"/>
          <w:b w:val="0"/>
          <w:bCs/>
          <w:color w:val="auto"/>
          <w:sz w:val="32"/>
          <w:szCs w:val="32"/>
          <w:highlight w:val="none"/>
          <w:lang w:eastAsia="zh-CN"/>
        </w:rPr>
        <w:t>交通运输支出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公路水路运输</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一般行政管理事务</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632.84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14</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交通运输支出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公路水路运输</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公路养护</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159.31</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15</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交通运输支出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公路水路运输</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交通运输信息化建设</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451.29</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99.99</w:t>
      </w:r>
      <w:r>
        <w:rPr>
          <w:rStyle w:val="19"/>
          <w:rFonts w:hint="eastAsia" w:ascii="仿宋_GB2312" w:hAnsi="仿宋_GB2312" w:eastAsia="仿宋_GB2312" w:cs="仿宋_GB2312"/>
          <w:b w:val="0"/>
          <w:bCs/>
          <w:color w:val="auto"/>
          <w:sz w:val="32"/>
          <w:szCs w:val="32"/>
          <w:highlight w:val="none"/>
        </w:rPr>
        <w:t>%，决算数小于预算数的主要原因是</w:t>
      </w:r>
      <w:r>
        <w:rPr>
          <w:rStyle w:val="19"/>
          <w:rFonts w:hint="eastAsia" w:ascii="仿宋_GB2312" w:hAnsi="仿宋_GB2312" w:eastAsia="仿宋_GB2312" w:cs="仿宋_GB2312"/>
          <w:b w:val="0"/>
          <w:bCs/>
          <w:color w:val="auto"/>
          <w:sz w:val="32"/>
          <w:szCs w:val="32"/>
          <w:highlight w:val="none"/>
          <w:lang w:eastAsia="zh-CN"/>
        </w:rPr>
        <w:t>银行</w:t>
      </w:r>
      <w:r>
        <w:rPr>
          <w:rStyle w:val="19"/>
          <w:rFonts w:hint="eastAsia" w:ascii="仿宋_GB2312" w:hAnsi="仿宋_GB2312" w:eastAsia="仿宋_GB2312" w:cs="仿宋_GB2312"/>
          <w:b w:val="0"/>
          <w:bCs/>
          <w:color w:val="auto"/>
          <w:sz w:val="32"/>
          <w:szCs w:val="32"/>
          <w:highlight w:val="none"/>
        </w:rPr>
        <w:t>手续费结转</w:t>
      </w:r>
      <w:r>
        <w:rPr>
          <w:rStyle w:val="19"/>
          <w:rFonts w:hint="eastAsia" w:ascii="仿宋_GB2312" w:hAnsi="仿宋_GB2312" w:eastAsia="仿宋_GB2312" w:cs="仿宋_GB2312"/>
          <w:b w:val="0"/>
          <w:bCs/>
          <w:color w:val="auto"/>
          <w:sz w:val="32"/>
          <w:szCs w:val="32"/>
          <w:highlight w:val="none"/>
          <w:lang w:val="en-US" w:eastAsia="zh-CN"/>
        </w:rPr>
        <w:t>0.0</w:t>
      </w:r>
      <w:r>
        <w:rPr>
          <w:rStyle w:val="19"/>
          <w:rFonts w:hint="eastAsia" w:ascii="仿宋_GB2312" w:hAnsi="仿宋_GB2312" w:eastAsia="仿宋_GB2312" w:cs="仿宋_GB2312"/>
          <w:b w:val="0"/>
          <w:bCs/>
          <w:color w:val="auto"/>
          <w:sz w:val="32"/>
          <w:szCs w:val="32"/>
          <w:highlight w:val="none"/>
        </w:rPr>
        <w:t>3</w:t>
      </w:r>
      <w:r>
        <w:rPr>
          <w:rStyle w:val="19"/>
          <w:rFonts w:hint="eastAsia" w:ascii="仿宋_GB2312" w:hAnsi="仿宋_GB2312" w:eastAsia="仿宋_GB2312" w:cs="仿宋_GB2312"/>
          <w:b w:val="0"/>
          <w:bCs/>
          <w:color w:val="auto"/>
          <w:sz w:val="32"/>
          <w:szCs w:val="32"/>
          <w:highlight w:val="none"/>
          <w:lang w:eastAsia="zh-CN"/>
        </w:rPr>
        <w:t>万</w:t>
      </w:r>
      <w:r>
        <w:rPr>
          <w:rStyle w:val="19"/>
          <w:rFonts w:hint="eastAsia" w:ascii="仿宋_GB2312" w:hAnsi="仿宋_GB2312" w:eastAsia="仿宋_GB2312" w:cs="仿宋_GB2312"/>
          <w:b w:val="0"/>
          <w:bCs/>
          <w:color w:val="auto"/>
          <w:sz w:val="32"/>
          <w:szCs w:val="32"/>
          <w:highlight w:val="none"/>
        </w:rPr>
        <w:t>元。</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16</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交通运输支出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公路水路运输</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公路运输管理</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143.94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17</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交通运输支出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公路水路运输</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其他公路水路运输支出</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1963.86</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99.89</w:t>
      </w:r>
      <w:r>
        <w:rPr>
          <w:rStyle w:val="19"/>
          <w:rFonts w:hint="eastAsia" w:ascii="仿宋_GB2312" w:hAnsi="仿宋_GB2312" w:eastAsia="仿宋_GB2312" w:cs="仿宋_GB2312"/>
          <w:b w:val="0"/>
          <w:bCs/>
          <w:color w:val="auto"/>
          <w:sz w:val="32"/>
          <w:szCs w:val="32"/>
          <w:highlight w:val="none"/>
        </w:rPr>
        <w:t>%，决算数小于预算数的主要原因是</w:t>
      </w:r>
      <w:r>
        <w:rPr>
          <w:rStyle w:val="19"/>
          <w:rFonts w:hint="eastAsia" w:ascii="仿宋_GB2312" w:hAnsi="仿宋_GB2312" w:eastAsia="仿宋_GB2312" w:cs="仿宋_GB2312"/>
          <w:b w:val="0"/>
          <w:bCs/>
          <w:color w:val="auto"/>
          <w:sz w:val="32"/>
          <w:szCs w:val="32"/>
          <w:highlight w:val="none"/>
          <w:lang w:eastAsia="zh-CN"/>
        </w:rPr>
        <w:t>省级结转交通专项资金</w:t>
      </w:r>
      <w:r>
        <w:rPr>
          <w:rStyle w:val="19"/>
          <w:rFonts w:hint="eastAsia" w:ascii="仿宋_GB2312" w:hAnsi="仿宋_GB2312" w:eastAsia="仿宋_GB2312" w:cs="仿宋_GB2312"/>
          <w:b w:val="0"/>
          <w:bCs/>
          <w:color w:val="auto"/>
          <w:sz w:val="32"/>
          <w:szCs w:val="32"/>
          <w:highlight w:val="none"/>
          <w:lang w:val="en-US" w:eastAsia="zh-CN"/>
        </w:rPr>
        <w:t>2.08万元。</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18</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交通运输支出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车辆购置税支出</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车辆购置税用于公路等基础设施建设支出</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5516</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19</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交通运输支出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其他交通运输支出</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其他交通运输支出</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1113.02</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20</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住房保障支出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住房保障支出</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住房公积金</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413.75</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21</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灾害防治及应急管理支出</w:t>
      </w:r>
      <w:r>
        <w:rPr>
          <w:rStyle w:val="19"/>
          <w:rFonts w:hint="eastAsia" w:ascii="仿宋_GB2312" w:hAnsi="仿宋_GB2312" w:eastAsia="仿宋_GB2312" w:cs="仿宋_GB2312"/>
          <w:b w:val="0"/>
          <w:bCs/>
          <w:color w:val="auto"/>
          <w:sz w:val="32"/>
          <w:szCs w:val="32"/>
          <w:highlight w:val="none"/>
        </w:rPr>
        <w:t>（类）</w:t>
      </w:r>
      <w:r>
        <w:rPr>
          <w:rStyle w:val="19"/>
          <w:rFonts w:hint="eastAsia" w:ascii="仿宋_GB2312" w:hAnsi="仿宋_GB2312" w:eastAsia="仿宋_GB2312" w:cs="仿宋_GB2312"/>
          <w:b w:val="0"/>
          <w:bCs/>
          <w:color w:val="auto"/>
          <w:sz w:val="32"/>
          <w:szCs w:val="32"/>
          <w:highlight w:val="none"/>
          <w:lang w:eastAsia="zh-CN"/>
        </w:rPr>
        <w:t>自然灾害救灾及恢复重建支出</w:t>
      </w:r>
      <w:r>
        <w:rPr>
          <w:rStyle w:val="19"/>
          <w:rFonts w:hint="eastAsia" w:ascii="仿宋_GB2312" w:hAnsi="仿宋_GB2312" w:eastAsia="仿宋_GB2312" w:cs="仿宋_GB2312"/>
          <w:b w:val="0"/>
          <w:bCs/>
          <w:color w:val="auto"/>
          <w:sz w:val="32"/>
          <w:szCs w:val="32"/>
          <w:highlight w:val="none"/>
        </w:rPr>
        <w:t>（款）</w:t>
      </w:r>
      <w:r>
        <w:rPr>
          <w:rStyle w:val="19"/>
          <w:rFonts w:hint="eastAsia" w:ascii="仿宋_GB2312" w:hAnsi="仿宋_GB2312" w:eastAsia="仿宋_GB2312" w:cs="仿宋_GB2312"/>
          <w:b w:val="0"/>
          <w:bCs/>
          <w:color w:val="auto"/>
          <w:sz w:val="32"/>
          <w:szCs w:val="32"/>
          <w:highlight w:val="none"/>
          <w:lang w:eastAsia="zh-CN"/>
        </w:rPr>
        <w:t>自然灾害灾后重建补助</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17.95</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lang w:val="en-US" w:eastAsia="zh-CN"/>
        </w:rPr>
        <w:t>22</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其他支出</w:t>
      </w:r>
      <w:r>
        <w:rPr>
          <w:rStyle w:val="19"/>
          <w:rFonts w:hint="eastAsia" w:ascii="仿宋_GB2312" w:hAnsi="仿宋_GB2312" w:eastAsia="仿宋_GB2312" w:cs="仿宋_GB2312"/>
          <w:b w:val="0"/>
          <w:bCs/>
          <w:color w:val="auto"/>
          <w:sz w:val="32"/>
          <w:szCs w:val="32"/>
          <w:highlight w:val="none"/>
        </w:rPr>
        <w:t>（类）</w:t>
      </w:r>
      <w:r>
        <w:rPr>
          <w:rFonts w:hint="eastAsia" w:ascii="仿宋_GB2312" w:hAnsi="仿宋_GB2312" w:eastAsia="仿宋_GB2312" w:cs="仿宋_GB2312"/>
          <w:b w:val="0"/>
          <w:bCs/>
          <w:color w:val="auto"/>
          <w:sz w:val="32"/>
          <w:szCs w:val="32"/>
          <w:highlight w:val="none"/>
          <w:lang w:eastAsia="zh-CN"/>
        </w:rPr>
        <w:t>其他支出</w:t>
      </w:r>
      <w:r>
        <w:rPr>
          <w:rStyle w:val="19"/>
          <w:rFonts w:hint="eastAsia" w:ascii="仿宋_GB2312" w:hAnsi="仿宋_GB2312" w:eastAsia="仿宋_GB2312" w:cs="仿宋_GB2312"/>
          <w:b w:val="0"/>
          <w:bCs/>
          <w:color w:val="auto"/>
          <w:sz w:val="32"/>
          <w:szCs w:val="32"/>
          <w:highlight w:val="none"/>
        </w:rPr>
        <w:t>（款）</w:t>
      </w:r>
      <w:r>
        <w:rPr>
          <w:rFonts w:hint="eastAsia" w:ascii="仿宋_GB2312" w:hAnsi="仿宋_GB2312" w:eastAsia="仿宋_GB2312" w:cs="仿宋_GB2312"/>
          <w:b w:val="0"/>
          <w:bCs/>
          <w:color w:val="auto"/>
          <w:sz w:val="32"/>
          <w:szCs w:val="32"/>
          <w:highlight w:val="none"/>
          <w:lang w:eastAsia="zh-CN"/>
        </w:rPr>
        <w:t>其他支出</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400</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p>
    <w:p>
      <w:pPr>
        <w:pageBreakBefore w:val="0"/>
        <w:shd w:val="clear"/>
        <w:tabs>
          <w:tab w:val="right" w:pos="8306"/>
        </w:tabs>
        <w:kinsoku/>
        <w:wordWrap/>
        <w:topLinePunct w:val="0"/>
        <w:bidi w:val="0"/>
        <w:spacing w:line="560" w:lineRule="exact"/>
        <w:ind w:firstLine="640"/>
        <w:textAlignment w:val="auto"/>
        <w:outlineLvl w:val="1"/>
        <w:rPr>
          <w:rStyle w:val="22"/>
          <w:color w:val="auto"/>
          <w:highlight w:val="none"/>
        </w:rPr>
      </w:pPr>
      <w:bookmarkStart w:id="73" w:name="_Toc21010"/>
      <w:bookmarkStart w:id="74" w:name="_Toc15396608"/>
      <w:bookmarkStart w:id="75" w:name="_Toc32332"/>
      <w:bookmarkStart w:id="76" w:name="_Toc1956200210_WPSOffice_Level2"/>
      <w:bookmarkStart w:id="77"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般公共预算财政拨款基本支出决算情况说明</w:t>
      </w:r>
      <w:bookmarkEnd w:id="73"/>
      <w:bookmarkEnd w:id="74"/>
      <w:bookmarkEnd w:id="75"/>
      <w:bookmarkEnd w:id="76"/>
      <w:bookmarkEnd w:id="77"/>
      <w:r>
        <w:rPr>
          <w:rStyle w:val="22"/>
          <w:rFonts w:ascii="黑体" w:hAnsi="黑体" w:eastAsia="黑体"/>
          <w:b w:val="0"/>
          <w:color w:val="auto"/>
          <w:highlight w:val="none"/>
        </w:rPr>
        <w:tab/>
      </w:r>
    </w:p>
    <w:p>
      <w:pPr>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2022年一般公共预算财政拨款基本支出5,044.62万元，其中：</w:t>
      </w:r>
    </w:p>
    <w:p>
      <w:pPr>
        <w:shd w:val="clear"/>
        <w:spacing w:beforeLines="0" w:afterLines="0" w:line="576" w:lineRule="exact"/>
        <w:ind w:firstLine="643"/>
        <w:jc w:val="both"/>
        <w:rPr>
          <w:rFonts w:hint="eastAsia" w:ascii="仿宋_GB2312" w:hAnsi="仿宋_GB2312" w:eastAsia="仿宋"/>
          <w:color w:val="auto"/>
          <w:kern w:val="2"/>
          <w:sz w:val="32"/>
          <w:szCs w:val="24"/>
          <w:highlight w:val="none"/>
          <w:lang w:val="zh-CN" w:eastAsia="zh-CN"/>
        </w:rPr>
      </w:pPr>
      <w:r>
        <w:rPr>
          <w:rFonts w:hint="eastAsia" w:ascii="仿宋_GB2312" w:hAnsi="仿宋_GB2312" w:eastAsia="仿宋_GB2312"/>
          <w:b/>
          <w:color w:val="auto"/>
          <w:kern w:val="2"/>
          <w:sz w:val="32"/>
          <w:szCs w:val="24"/>
          <w:highlight w:val="none"/>
          <w:lang w:val="zh-CN"/>
        </w:rPr>
        <w:t>人员经费</w:t>
      </w:r>
      <w:r>
        <w:rPr>
          <w:rFonts w:hint="eastAsia" w:ascii="仿宋_GB2312" w:hAnsi="仿宋_GB2312" w:eastAsia="仿宋_GB2312"/>
          <w:color w:val="auto"/>
          <w:kern w:val="2"/>
          <w:sz w:val="32"/>
          <w:szCs w:val="24"/>
          <w:highlight w:val="none"/>
          <w:lang w:val="zh-CN"/>
        </w:rPr>
        <w:t>4,451.47万元，主要包括：</w:t>
      </w:r>
      <w:r>
        <w:rPr>
          <w:rFonts w:hint="eastAsia" w:ascii="仿宋" w:hAnsi="仿宋" w:eastAsia="仿宋"/>
          <w:color w:val="auto"/>
          <w:kern w:val="2"/>
          <w:sz w:val="32"/>
          <w:szCs w:val="24"/>
          <w:highlight w:val="none"/>
          <w:lang w:val="en-US"/>
        </w:rPr>
        <w:t>基本工资、津贴补贴、奖金、伙食补助费、绩效工资、机关事业单位基本养老保险缴费、职业年金缴费、</w:t>
      </w:r>
      <w:r>
        <w:rPr>
          <w:rFonts w:hint="eastAsia" w:ascii="仿宋" w:hAnsi="仿宋" w:eastAsia="仿宋"/>
          <w:color w:val="auto"/>
          <w:kern w:val="2"/>
          <w:sz w:val="32"/>
          <w:szCs w:val="24"/>
          <w:highlight w:val="none"/>
          <w:lang w:val="en-US" w:eastAsia="zh-CN"/>
        </w:rPr>
        <w:t>职工基本医疗保险缴费、</w:t>
      </w:r>
      <w:r>
        <w:rPr>
          <w:rFonts w:hint="eastAsia" w:ascii="仿宋" w:hAnsi="仿宋" w:eastAsia="仿宋"/>
          <w:color w:val="auto"/>
          <w:kern w:val="2"/>
          <w:sz w:val="32"/>
          <w:szCs w:val="24"/>
          <w:highlight w:val="none"/>
          <w:lang w:val="en-US"/>
        </w:rPr>
        <w:t>其他社会保障缴费、住房公积金、其他工资福利支出、离休费、抚恤金、生活补助、奖励金、其他对个人和家庭的补助支出等</w:t>
      </w:r>
      <w:r>
        <w:rPr>
          <w:rFonts w:hint="eastAsia" w:ascii="仿宋" w:hAnsi="仿宋" w:eastAsia="仿宋"/>
          <w:color w:val="auto"/>
          <w:kern w:val="2"/>
          <w:sz w:val="32"/>
          <w:szCs w:val="24"/>
          <w:highlight w:val="none"/>
          <w:lang w:val="en-US" w:eastAsia="zh-CN"/>
        </w:rPr>
        <w:t>。</w:t>
      </w:r>
    </w:p>
    <w:p>
      <w:pPr>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公用经费</w:t>
      </w:r>
      <w:r>
        <w:rPr>
          <w:rFonts w:hint="eastAsia" w:ascii="仿宋_GB2312" w:hAnsi="仿宋_GB2312" w:eastAsia="仿宋_GB2312"/>
          <w:color w:val="auto"/>
          <w:kern w:val="2"/>
          <w:sz w:val="32"/>
          <w:szCs w:val="24"/>
          <w:highlight w:val="none"/>
          <w:lang w:val="zh-CN"/>
        </w:rPr>
        <w:t>593.15万元，主要包括：</w:t>
      </w:r>
      <w:r>
        <w:rPr>
          <w:rFonts w:hint="eastAsia" w:ascii="仿宋" w:hAnsi="仿宋" w:eastAsia="仿宋"/>
          <w:color w:val="auto"/>
          <w:kern w:val="2"/>
          <w:sz w:val="32"/>
          <w:szCs w:val="24"/>
          <w:highlight w:val="none"/>
          <w:lang w:val="en-US"/>
        </w:rPr>
        <w:t>办公费、印刷费、手续费、水费、电费、邮电费、物业管理费、差旅费、维修（护）费、会议费、培训费、公务接待费、劳务费、委托业务费、工会经费、福利费、公务用车运行维护费、其他交通费</w:t>
      </w:r>
      <w:r>
        <w:rPr>
          <w:rFonts w:hint="eastAsia" w:ascii="仿宋" w:hAnsi="仿宋" w:eastAsia="仿宋"/>
          <w:color w:val="auto"/>
          <w:kern w:val="2"/>
          <w:sz w:val="32"/>
          <w:szCs w:val="24"/>
          <w:highlight w:val="none"/>
          <w:lang w:val="en-US" w:eastAsia="zh-CN"/>
        </w:rPr>
        <w:t>用</w:t>
      </w:r>
      <w:r>
        <w:rPr>
          <w:rFonts w:hint="eastAsia" w:ascii="仿宋" w:hAnsi="仿宋" w:eastAsia="仿宋"/>
          <w:color w:val="auto"/>
          <w:kern w:val="2"/>
          <w:sz w:val="32"/>
          <w:szCs w:val="24"/>
          <w:highlight w:val="none"/>
          <w:lang w:val="en-US"/>
        </w:rPr>
        <w:t>、其他商品和服务支出等</w:t>
      </w:r>
      <w:r>
        <w:rPr>
          <w:rFonts w:hint="eastAsia" w:ascii="仿宋_GB2312" w:hAnsi="仿宋_GB2312" w:eastAsia="仿宋_GB2312"/>
          <w:color w:val="auto"/>
          <w:kern w:val="2"/>
          <w:sz w:val="32"/>
          <w:szCs w:val="24"/>
          <w:highlight w:val="none"/>
          <w:lang w:val="zh-CN"/>
        </w:rPr>
        <w:t>。</w:t>
      </w:r>
    </w:p>
    <w:p>
      <w:pPr>
        <w:pageBreakBefore w:val="0"/>
        <w:shd w:val="clear"/>
        <w:kinsoku/>
        <w:wordWrap/>
        <w:topLinePunct w:val="0"/>
        <w:bidi w:val="0"/>
        <w:spacing w:line="560" w:lineRule="exact"/>
        <w:ind w:firstLine="640"/>
        <w:textAlignment w:val="auto"/>
        <w:outlineLvl w:val="1"/>
        <w:rPr>
          <w:rStyle w:val="22"/>
          <w:rFonts w:ascii="黑体" w:hAnsi="黑体" w:eastAsia="黑体"/>
          <w:b w:val="0"/>
          <w:color w:val="auto"/>
          <w:highlight w:val="none"/>
        </w:rPr>
      </w:pPr>
      <w:bookmarkStart w:id="78" w:name="_Toc15377215"/>
      <w:bookmarkStart w:id="79" w:name="_Toc1401246552_WPSOffice_Level2"/>
      <w:bookmarkStart w:id="80" w:name="_Toc18998"/>
      <w:bookmarkStart w:id="81" w:name="_Toc15396609"/>
      <w:bookmarkStart w:id="82" w:name="_Toc26556"/>
      <w:r>
        <w:rPr>
          <w:rFonts w:hint="eastAsia" w:ascii="黑体" w:eastAsia="黑体"/>
          <w:color w:val="auto"/>
          <w:sz w:val="32"/>
          <w:szCs w:val="32"/>
          <w:highlight w:val="none"/>
        </w:rPr>
        <w:t>七、</w:t>
      </w:r>
      <w:r>
        <w:rPr>
          <w:rStyle w:val="22"/>
          <w:rFonts w:hint="eastAsia" w:ascii="黑体" w:hAnsi="黑体" w:eastAsia="黑体"/>
          <w:b w:val="0"/>
          <w:color w:val="auto"/>
          <w:highlight w:val="none"/>
        </w:rPr>
        <w:t>财政拨款</w:t>
      </w:r>
      <w:r>
        <w:rPr>
          <w:rStyle w:val="22"/>
          <w:rFonts w:hint="eastAsia" w:ascii="黑体" w:hAnsi="黑体" w:eastAsia="黑体"/>
          <w:color w:val="auto"/>
          <w:highlight w:val="none"/>
        </w:rPr>
        <w:t>“</w:t>
      </w:r>
      <w:r>
        <w:rPr>
          <w:rStyle w:val="22"/>
          <w:rFonts w:hint="eastAsia" w:ascii="黑体" w:hAnsi="黑体" w:eastAsia="黑体"/>
          <w:b w:val="0"/>
          <w:color w:val="auto"/>
          <w:highlight w:val="none"/>
        </w:rPr>
        <w:t>三公”经费支出决算情况说明</w:t>
      </w:r>
      <w:bookmarkEnd w:id="78"/>
      <w:bookmarkEnd w:id="79"/>
      <w:bookmarkEnd w:id="80"/>
      <w:bookmarkEnd w:id="81"/>
      <w:bookmarkEnd w:id="82"/>
    </w:p>
    <w:p>
      <w:pPr>
        <w:pageBreakBefore w:val="0"/>
        <w:shd w:val="clear"/>
        <w:kinsoku/>
        <w:wordWrap/>
        <w:topLinePunct w:val="0"/>
        <w:bidi w:val="0"/>
        <w:spacing w:line="560" w:lineRule="exact"/>
        <w:ind w:firstLine="640"/>
        <w:textAlignment w:val="auto"/>
        <w:outlineLvl w:val="2"/>
        <w:rPr>
          <w:rFonts w:hint="eastAsia" w:ascii="方正楷体_GBK" w:hAnsi="方正楷体_GBK" w:eastAsia="方正楷体_GBK" w:cs="方正楷体_GBK"/>
          <w:b w:val="0"/>
          <w:bCs/>
          <w:color w:val="auto"/>
          <w:sz w:val="32"/>
          <w:szCs w:val="32"/>
          <w:highlight w:val="none"/>
        </w:rPr>
      </w:pPr>
      <w:bookmarkStart w:id="83" w:name="_Toc15377216"/>
      <w:r>
        <w:rPr>
          <w:rFonts w:hint="eastAsia" w:ascii="方正楷体_GBK" w:hAnsi="方正楷体_GBK" w:eastAsia="方正楷体_GBK" w:cs="方正楷体_GBK"/>
          <w:b w:val="0"/>
          <w:bCs/>
          <w:color w:val="auto"/>
          <w:sz w:val="32"/>
          <w:szCs w:val="32"/>
          <w:highlight w:val="none"/>
        </w:rPr>
        <w:t>（一）“三公”经费财政拨款支出决算总体情况说明</w:t>
      </w:r>
      <w:bookmarkEnd w:id="83"/>
    </w:p>
    <w:p>
      <w:pPr>
        <w:pageBreakBefore w:val="0"/>
        <w:shd w:val="clear"/>
        <w:kinsoku/>
        <w:wordWrap/>
        <w:topLinePunct w:val="0"/>
        <w:bidi w:val="0"/>
        <w:spacing w:line="560" w:lineRule="exact"/>
        <w:ind w:firstLine="640"/>
        <w:textAlignment w:val="auto"/>
        <w:outlineLvl w:val="2"/>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w:t>
      </w:r>
      <w:r>
        <w:rPr>
          <w:rFonts w:hint="default" w:ascii="仿宋_GB2312" w:hAnsi="仿宋_GB2312" w:eastAsia="仿宋_GB2312"/>
          <w:color w:val="auto"/>
          <w:kern w:val="2"/>
          <w:sz w:val="32"/>
          <w:szCs w:val="24"/>
          <w:highlight w:val="none"/>
          <w:lang w:val="zh-CN"/>
        </w:rPr>
        <w:t>“</w:t>
      </w:r>
      <w:r>
        <w:rPr>
          <w:rFonts w:hint="eastAsia" w:ascii="仿宋_GB2312" w:hAnsi="仿宋_GB2312" w:eastAsia="仿宋_GB2312"/>
          <w:color w:val="auto"/>
          <w:kern w:val="2"/>
          <w:sz w:val="32"/>
          <w:szCs w:val="24"/>
          <w:highlight w:val="none"/>
          <w:lang w:val="zh-CN"/>
        </w:rPr>
        <w:t>三公</w:t>
      </w:r>
      <w:r>
        <w:rPr>
          <w:rFonts w:hint="default" w:ascii="仿宋_GB2312" w:hAnsi="仿宋_GB2312" w:eastAsia="仿宋_GB2312"/>
          <w:color w:val="auto"/>
          <w:kern w:val="2"/>
          <w:sz w:val="32"/>
          <w:szCs w:val="24"/>
          <w:highlight w:val="none"/>
          <w:lang w:val="zh-CN"/>
        </w:rPr>
        <w:t>”</w:t>
      </w:r>
      <w:r>
        <w:rPr>
          <w:rFonts w:hint="eastAsia" w:ascii="仿宋_GB2312" w:hAnsi="仿宋_GB2312" w:eastAsia="仿宋_GB2312"/>
          <w:color w:val="auto"/>
          <w:kern w:val="2"/>
          <w:sz w:val="32"/>
          <w:szCs w:val="24"/>
          <w:highlight w:val="none"/>
          <w:lang w:val="zh-CN"/>
        </w:rPr>
        <w:t>经费财政拨款支出决算为149.2万元，完成预算96%；较上年增加79.01万元，增长112.6%。预算增加的原因有</w:t>
      </w:r>
      <w:r>
        <w:rPr>
          <w:rFonts w:hint="eastAsia" w:ascii="仿宋_GB2312" w:eastAsia="仿宋_GB2312" w:cs="仿宋_GB2312"/>
          <w:color w:val="auto"/>
          <w:sz w:val="32"/>
          <w:szCs w:val="32"/>
          <w:highlight w:val="none"/>
        </w:rPr>
        <w:t>局机关公务车辆更新购置经费纳入2022年年初预算</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市交通运输综合行政执法支队于2021年执法体制改革</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单位职能职责</w:t>
      </w:r>
      <w:r>
        <w:rPr>
          <w:rFonts w:hint="eastAsia" w:ascii="仿宋_GB2312" w:eastAsia="仿宋_GB2312" w:cs="仿宋_GB2312"/>
          <w:color w:val="auto"/>
          <w:sz w:val="32"/>
          <w:szCs w:val="32"/>
          <w:highlight w:val="none"/>
          <w:lang w:eastAsia="zh-CN"/>
        </w:rPr>
        <w:t>、职工人数增加</w:t>
      </w:r>
      <w:r>
        <w:rPr>
          <w:rFonts w:hint="eastAsia" w:ascii="仿宋_GB2312" w:eastAsia="仿宋_GB2312" w:cs="仿宋_GB2312"/>
          <w:color w:val="auto"/>
          <w:sz w:val="32"/>
          <w:szCs w:val="32"/>
          <w:highlight w:val="none"/>
        </w:rPr>
        <w:t>。</w:t>
      </w:r>
      <w:r>
        <w:rPr>
          <w:rFonts w:hint="eastAsia" w:ascii="仿宋_GB2312" w:hAnsi="仿宋_GB2312" w:eastAsia="仿宋_GB2312"/>
          <w:color w:val="auto"/>
          <w:kern w:val="2"/>
          <w:sz w:val="32"/>
          <w:szCs w:val="24"/>
          <w:highlight w:val="none"/>
          <w:lang w:val="zh-CN"/>
        </w:rPr>
        <w:t>决算数小于预算数的主要原因有厉行节约，从严控制公务接待费支出；公务用车购置剩余指标调整。</w:t>
      </w:r>
    </w:p>
    <w:p>
      <w:pPr>
        <w:pageBreakBefore w:val="0"/>
        <w:shd w:val="clear"/>
        <w:kinsoku/>
        <w:wordWrap/>
        <w:topLinePunct w:val="0"/>
        <w:bidi w:val="0"/>
        <w:spacing w:line="560" w:lineRule="exact"/>
        <w:ind w:firstLine="640"/>
        <w:textAlignment w:val="auto"/>
        <w:outlineLvl w:val="2"/>
        <w:rPr>
          <w:rFonts w:hint="eastAsia" w:ascii="方正楷体_GBK" w:hAnsi="方正楷体_GBK" w:eastAsia="方正楷体_GBK" w:cs="方正楷体_GBK"/>
          <w:b w:val="0"/>
          <w:bCs/>
          <w:color w:val="auto"/>
          <w:sz w:val="32"/>
          <w:szCs w:val="32"/>
          <w:highlight w:val="none"/>
        </w:rPr>
      </w:pPr>
      <w:bookmarkStart w:id="84" w:name="_Toc15377217"/>
      <w:r>
        <w:rPr>
          <w:rFonts w:hint="eastAsia" w:ascii="方正楷体_GBK" w:hAnsi="方正楷体_GBK" w:eastAsia="方正楷体_GBK" w:cs="方正楷体_GBK"/>
          <w:b w:val="0"/>
          <w:bCs/>
          <w:color w:val="auto"/>
          <w:sz w:val="32"/>
          <w:szCs w:val="32"/>
          <w:highlight w:val="none"/>
        </w:rPr>
        <w:t>（二）“三公”经费财政拨款支出决算具体情况说明</w:t>
      </w:r>
      <w:bookmarkEnd w:id="84"/>
    </w:p>
    <w:p>
      <w:pPr>
        <w:keepNext/>
        <w:keepLines/>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w:t>
      </w:r>
      <w:r>
        <w:rPr>
          <w:rFonts w:hint="default" w:ascii="仿宋_GB2312" w:hAnsi="仿宋_GB2312" w:eastAsia="仿宋_GB2312"/>
          <w:color w:val="auto"/>
          <w:kern w:val="2"/>
          <w:sz w:val="32"/>
          <w:szCs w:val="24"/>
          <w:highlight w:val="none"/>
          <w:lang w:val="zh-CN"/>
        </w:rPr>
        <w:t>“</w:t>
      </w:r>
      <w:r>
        <w:rPr>
          <w:rFonts w:hint="eastAsia" w:ascii="仿宋_GB2312" w:hAnsi="仿宋_GB2312" w:eastAsia="仿宋_GB2312"/>
          <w:color w:val="auto"/>
          <w:kern w:val="2"/>
          <w:sz w:val="32"/>
          <w:szCs w:val="24"/>
          <w:highlight w:val="none"/>
          <w:lang w:val="zh-CN"/>
        </w:rPr>
        <w:t>三公</w:t>
      </w:r>
      <w:r>
        <w:rPr>
          <w:rFonts w:hint="default" w:ascii="仿宋_GB2312" w:hAnsi="仿宋_GB2312" w:eastAsia="仿宋_GB2312"/>
          <w:color w:val="auto"/>
          <w:kern w:val="2"/>
          <w:sz w:val="32"/>
          <w:szCs w:val="24"/>
          <w:highlight w:val="none"/>
          <w:lang w:val="zh-CN"/>
        </w:rPr>
        <w:t>”</w:t>
      </w:r>
      <w:r>
        <w:rPr>
          <w:rFonts w:hint="eastAsia" w:ascii="仿宋_GB2312" w:hAnsi="仿宋_GB2312" w:eastAsia="仿宋_GB2312"/>
          <w:color w:val="auto"/>
          <w:kern w:val="2"/>
          <w:sz w:val="32"/>
          <w:szCs w:val="24"/>
          <w:highlight w:val="none"/>
          <w:lang w:val="zh-CN"/>
        </w:rPr>
        <w:t>经费财政拨款支出决算中，公务用车购置及运行维护费支出决算147.78万元，占99%；公务接待费支出决算1.42万元，占1%。具体情况如下：</w:t>
      </w:r>
    </w:p>
    <w:p>
      <w:pPr>
        <w:pageBreakBefore w:val="0"/>
        <w:shd w:val="clear"/>
        <w:kinsoku/>
        <w:wordWrap/>
        <w:topLinePunct w:val="0"/>
        <w:bidi w:val="0"/>
        <w:spacing w:line="560" w:lineRule="exact"/>
        <w:ind w:firstLine="64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（图7：“三公”经费财政拨款支出结构）</w:t>
      </w:r>
    </w:p>
    <w:p>
      <w:pPr>
        <w:pageBreakBefore w:val="0"/>
        <w:shd w:val="clear"/>
        <w:kinsoku/>
        <w:wordWrap/>
        <w:topLinePunct w:val="0"/>
        <w:bidi w:val="0"/>
        <w:spacing w:line="560" w:lineRule="exact"/>
        <w:ind w:firstLine="640"/>
        <w:textAlignment w:val="auto"/>
        <w:rPr>
          <w:rFonts w:hint="eastAsia" w:ascii="仿宋_GB2312" w:eastAsia="仿宋_GB2312"/>
          <w:b/>
          <w:color w:val="auto"/>
          <w:sz w:val="32"/>
          <w:szCs w:val="32"/>
          <w:highlight w:val="none"/>
          <w:lang w:eastAsia="zh-CN"/>
        </w:rPr>
      </w:pPr>
      <w:r>
        <w:rPr>
          <w:rFonts w:hint="eastAsia" w:ascii="仿宋_GB2312" w:eastAsia="仿宋_GB2312"/>
          <w:b/>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58420</wp:posOffset>
            </wp:positionH>
            <wp:positionV relativeFrom="paragraph">
              <wp:posOffset>50800</wp:posOffset>
            </wp:positionV>
            <wp:extent cx="5080000" cy="2419350"/>
            <wp:effectExtent l="4445" t="4445" r="20955" b="1460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pageBreakBefore w:val="0"/>
        <w:shd w:val="clear"/>
        <w:kinsoku/>
        <w:wordWrap/>
        <w:topLinePunct w:val="0"/>
        <w:bidi w:val="0"/>
        <w:spacing w:line="560"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年初未安排预算。</w:t>
      </w:r>
      <w:r>
        <w:rPr>
          <w:rFonts w:hint="eastAsia" w:ascii="仿宋_GB2312" w:eastAsia="仿宋_GB2312"/>
          <w:color w:val="auto"/>
          <w:sz w:val="32"/>
          <w:szCs w:val="32"/>
          <w:highlight w:val="none"/>
        </w:rPr>
        <w:t>因公出国（境）支出决算较202</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年无变化。</w:t>
      </w:r>
    </w:p>
    <w:p>
      <w:pPr>
        <w:keepNext/>
        <w:keepLines/>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w:t>
      </w:r>
      <w:r>
        <w:rPr>
          <w:rFonts w:hint="eastAsia" w:ascii="仿宋_GB2312" w:eastAsia="仿宋_GB2312"/>
          <w:b/>
          <w:color w:val="auto"/>
          <w:sz w:val="32"/>
          <w:szCs w:val="32"/>
          <w:highlight w:val="none"/>
          <w:lang w:eastAsia="zh-CN"/>
        </w:rPr>
        <w:t>支出</w:t>
      </w:r>
      <w:r>
        <w:rPr>
          <w:rFonts w:hint="eastAsia" w:ascii="仿宋_GB2312" w:hAnsi="仿宋_GB2312" w:eastAsia="仿宋_GB2312"/>
          <w:color w:val="auto"/>
          <w:kern w:val="2"/>
          <w:sz w:val="32"/>
          <w:szCs w:val="24"/>
          <w:highlight w:val="none"/>
          <w:lang w:val="zh-CN"/>
        </w:rPr>
        <w:t>147.78万元，完成预算96.9%。公务用车购置及运行维护费支出决算比2021年增加79.41万元，增长116.1%。主要原因一是</w:t>
      </w:r>
      <w:r>
        <w:rPr>
          <w:rFonts w:hint="eastAsia" w:ascii="仿宋_GB2312" w:eastAsia="仿宋_GB2312" w:cs="仿宋_GB2312"/>
          <w:color w:val="auto"/>
          <w:sz w:val="32"/>
          <w:szCs w:val="32"/>
          <w:highlight w:val="none"/>
        </w:rPr>
        <w:t>局机关公务车辆更新购置经费纳入2022年年初预算</w:t>
      </w:r>
      <w:r>
        <w:rPr>
          <w:rFonts w:hint="eastAsia" w:ascii="仿宋_GB2312" w:eastAsia="仿宋_GB2312" w:cs="仿宋_GB2312"/>
          <w:color w:val="auto"/>
          <w:sz w:val="32"/>
          <w:szCs w:val="32"/>
          <w:highlight w:val="none"/>
          <w:lang w:eastAsia="zh-CN"/>
        </w:rPr>
        <w:t>，并在当年实现支出；二是</w:t>
      </w:r>
      <w:r>
        <w:rPr>
          <w:rFonts w:hint="eastAsia" w:ascii="仿宋_GB2312" w:eastAsia="仿宋_GB2312" w:cs="仿宋_GB2312"/>
          <w:color w:val="auto"/>
          <w:sz w:val="32"/>
          <w:szCs w:val="32"/>
          <w:highlight w:val="none"/>
        </w:rPr>
        <w:t>市交通运输综合行政执法支队于2021年执法体制改革</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单位职能职责</w:t>
      </w:r>
      <w:r>
        <w:rPr>
          <w:rFonts w:hint="eastAsia" w:ascii="仿宋_GB2312" w:eastAsia="仿宋_GB2312" w:cs="仿宋_GB2312"/>
          <w:color w:val="auto"/>
          <w:sz w:val="32"/>
          <w:szCs w:val="32"/>
          <w:highlight w:val="none"/>
          <w:lang w:eastAsia="zh-CN"/>
        </w:rPr>
        <w:t>、职工人数增加，公务用车运行维护费增加</w:t>
      </w:r>
      <w:r>
        <w:rPr>
          <w:rFonts w:hint="eastAsia" w:ascii="仿宋_GB2312" w:hAnsi="仿宋_GB2312" w:eastAsia="仿宋_GB2312"/>
          <w:color w:val="auto"/>
          <w:kern w:val="2"/>
          <w:sz w:val="32"/>
          <w:szCs w:val="24"/>
          <w:highlight w:val="none"/>
          <w:lang w:val="zh-CN"/>
        </w:rPr>
        <w:t>。</w:t>
      </w:r>
    </w:p>
    <w:p>
      <w:pPr>
        <w:keepNext/>
        <w:keepLines/>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其中：</w:t>
      </w:r>
      <w:r>
        <w:rPr>
          <w:rFonts w:hint="eastAsia" w:ascii="仿宋_GB2312" w:hAnsi="仿宋_GB2312" w:eastAsia="仿宋_GB2312"/>
          <w:b/>
          <w:color w:val="auto"/>
          <w:kern w:val="2"/>
          <w:sz w:val="32"/>
          <w:szCs w:val="24"/>
          <w:highlight w:val="none"/>
          <w:lang w:val="zh-CN"/>
        </w:rPr>
        <w:t>公务用车购置费</w:t>
      </w:r>
      <w:r>
        <w:rPr>
          <w:rFonts w:hint="eastAsia" w:ascii="仿宋_GB2312" w:hAnsi="仿宋_GB2312" w:eastAsia="仿宋_GB2312"/>
          <w:color w:val="auto"/>
          <w:kern w:val="2"/>
          <w:sz w:val="32"/>
          <w:szCs w:val="24"/>
          <w:highlight w:val="none"/>
          <w:lang w:val="zh-CN"/>
        </w:rPr>
        <w:t>支出50.32万元。全年按规定更新购置公务用车1辆，为越野车、金额</w:t>
      </w:r>
      <w:r>
        <w:rPr>
          <w:rFonts w:hint="eastAsia" w:ascii="仿宋_GB2312" w:hAnsi="仿宋_GB2312" w:eastAsia="仿宋_GB2312"/>
          <w:color w:val="auto"/>
          <w:kern w:val="2"/>
          <w:sz w:val="32"/>
          <w:szCs w:val="24"/>
          <w:highlight w:val="none"/>
          <w:lang w:val="en-US" w:eastAsia="zh-CN"/>
        </w:rPr>
        <w:t>50.32</w:t>
      </w:r>
      <w:r>
        <w:rPr>
          <w:rFonts w:hint="eastAsia" w:ascii="仿宋_GB2312" w:hAnsi="仿宋_GB2312" w:eastAsia="仿宋_GB2312"/>
          <w:color w:val="auto"/>
          <w:kern w:val="2"/>
          <w:sz w:val="32"/>
          <w:szCs w:val="24"/>
          <w:highlight w:val="none"/>
          <w:lang w:val="zh-CN"/>
        </w:rPr>
        <w:t>万元，主要用于局机关应急保障用车。截至2022年12月底，本部门共有公务用车20辆，其中：轿车</w:t>
      </w:r>
      <w:r>
        <w:rPr>
          <w:rFonts w:hint="eastAsia" w:ascii="仿宋_GB2312" w:hAnsi="仿宋_GB2312" w:eastAsia="仿宋_GB2312"/>
          <w:color w:val="auto"/>
          <w:kern w:val="2"/>
          <w:sz w:val="32"/>
          <w:szCs w:val="24"/>
          <w:highlight w:val="none"/>
          <w:lang w:val="en-US" w:eastAsia="zh-CN"/>
        </w:rPr>
        <w:t>2</w:t>
      </w:r>
      <w:r>
        <w:rPr>
          <w:rFonts w:hint="eastAsia" w:ascii="仿宋_GB2312" w:hAnsi="仿宋_GB2312" w:eastAsia="仿宋_GB2312"/>
          <w:color w:val="auto"/>
          <w:kern w:val="2"/>
          <w:sz w:val="32"/>
          <w:szCs w:val="24"/>
          <w:highlight w:val="none"/>
          <w:lang w:val="zh-CN"/>
        </w:rPr>
        <w:t>辆、越野车</w:t>
      </w:r>
      <w:r>
        <w:rPr>
          <w:rFonts w:hint="eastAsia" w:ascii="仿宋_GB2312" w:hAnsi="仿宋_GB2312" w:eastAsia="仿宋_GB2312"/>
          <w:color w:val="auto"/>
          <w:kern w:val="2"/>
          <w:sz w:val="32"/>
          <w:szCs w:val="24"/>
          <w:highlight w:val="none"/>
          <w:lang w:val="en-US" w:eastAsia="zh-CN"/>
        </w:rPr>
        <w:t>6</w:t>
      </w:r>
      <w:r>
        <w:rPr>
          <w:rFonts w:hint="eastAsia" w:ascii="仿宋_GB2312" w:hAnsi="仿宋_GB2312" w:eastAsia="仿宋_GB2312"/>
          <w:color w:val="auto"/>
          <w:kern w:val="2"/>
          <w:sz w:val="32"/>
          <w:szCs w:val="24"/>
          <w:highlight w:val="none"/>
          <w:lang w:val="zh-CN"/>
        </w:rPr>
        <w:t>辆、载货汽车</w:t>
      </w:r>
      <w:r>
        <w:rPr>
          <w:rFonts w:hint="eastAsia" w:ascii="仿宋_GB2312" w:hAnsi="仿宋_GB2312" w:eastAsia="仿宋_GB2312"/>
          <w:color w:val="auto"/>
          <w:kern w:val="2"/>
          <w:sz w:val="32"/>
          <w:szCs w:val="24"/>
          <w:highlight w:val="none"/>
          <w:lang w:val="en-US" w:eastAsia="zh-CN"/>
        </w:rPr>
        <w:t>2辆、通信专用车1辆、厢式专用汽车2辆、</w:t>
      </w:r>
      <w:r>
        <w:rPr>
          <w:rFonts w:hint="eastAsia" w:ascii="仿宋_GB2312" w:hAnsi="仿宋_GB2312" w:eastAsia="仿宋_GB2312"/>
          <w:color w:val="auto"/>
          <w:kern w:val="2"/>
          <w:sz w:val="32"/>
          <w:szCs w:val="24"/>
          <w:highlight w:val="none"/>
          <w:lang w:val="zh-CN"/>
        </w:rPr>
        <w:t>其他车型</w:t>
      </w:r>
      <w:r>
        <w:rPr>
          <w:rFonts w:hint="eastAsia" w:ascii="仿宋_GB2312" w:hAnsi="仿宋_GB2312" w:eastAsia="仿宋_GB2312"/>
          <w:color w:val="auto"/>
          <w:kern w:val="2"/>
          <w:sz w:val="32"/>
          <w:szCs w:val="24"/>
          <w:highlight w:val="none"/>
          <w:lang w:val="en-US" w:eastAsia="zh-CN"/>
        </w:rPr>
        <w:t>7</w:t>
      </w:r>
      <w:r>
        <w:rPr>
          <w:rFonts w:hint="eastAsia" w:ascii="仿宋_GB2312" w:hAnsi="仿宋_GB2312" w:eastAsia="仿宋_GB2312"/>
          <w:color w:val="auto"/>
          <w:kern w:val="2"/>
          <w:sz w:val="32"/>
          <w:szCs w:val="24"/>
          <w:highlight w:val="none"/>
          <w:lang w:val="zh-CN"/>
        </w:rPr>
        <w:t>辆。</w:t>
      </w:r>
    </w:p>
    <w:p>
      <w:pPr>
        <w:keepNext/>
        <w:keepLines/>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b/>
          <w:color w:val="auto"/>
          <w:kern w:val="2"/>
          <w:sz w:val="32"/>
          <w:szCs w:val="24"/>
          <w:highlight w:val="none"/>
          <w:lang w:val="zh-CN"/>
        </w:rPr>
        <w:t>公务用车运行维护费</w:t>
      </w:r>
      <w:r>
        <w:rPr>
          <w:rFonts w:hint="eastAsia" w:ascii="仿宋_GB2312" w:hAnsi="仿宋_GB2312" w:eastAsia="仿宋_GB2312"/>
          <w:color w:val="auto"/>
          <w:kern w:val="2"/>
          <w:sz w:val="32"/>
          <w:szCs w:val="24"/>
          <w:highlight w:val="none"/>
          <w:lang w:val="zh-CN"/>
        </w:rPr>
        <w:t>支出97.45万元。主要用于交通运输信息化建设、公路运输管理、</w:t>
      </w:r>
      <w:r>
        <w:rPr>
          <w:rFonts w:hint="eastAsia" w:ascii="仿宋_GB2312" w:hAnsi="Times New Roman" w:eastAsia="仿宋_GB2312" w:cs="Times New Roman"/>
          <w:color w:val="auto"/>
          <w:sz w:val="32"/>
          <w:szCs w:val="20"/>
          <w:highlight w:val="none"/>
          <w:lang w:eastAsia="zh-CN"/>
        </w:rPr>
        <w:t>交通项目建设、应急保障</w:t>
      </w:r>
      <w:r>
        <w:rPr>
          <w:rFonts w:hint="eastAsia" w:ascii="仿宋_GB2312" w:eastAsia="仿宋_GB2312" w:cs="Times New Roman"/>
          <w:color w:val="auto"/>
          <w:sz w:val="32"/>
          <w:szCs w:val="20"/>
          <w:highlight w:val="none"/>
          <w:lang w:eastAsia="zh-CN"/>
        </w:rPr>
        <w:t>出行</w:t>
      </w:r>
      <w:r>
        <w:rPr>
          <w:rFonts w:hint="eastAsia" w:ascii="仿宋_GB2312" w:hAnsi="Times New Roman" w:eastAsia="仿宋_GB2312" w:cs="Times New Roman"/>
          <w:color w:val="auto"/>
          <w:sz w:val="32"/>
          <w:szCs w:val="20"/>
          <w:highlight w:val="none"/>
        </w:rPr>
        <w:t>等</w:t>
      </w:r>
      <w:r>
        <w:rPr>
          <w:rFonts w:hint="eastAsia" w:ascii="仿宋_GB2312" w:hAnsi="仿宋_GB2312" w:eastAsia="仿宋_GB2312"/>
          <w:color w:val="auto"/>
          <w:kern w:val="2"/>
          <w:sz w:val="32"/>
          <w:szCs w:val="24"/>
          <w:highlight w:val="none"/>
          <w:lang w:val="zh-CN"/>
        </w:rPr>
        <w:t>所需的公务用车燃料费、维修费、过路过桥费、保险费等支出。</w:t>
      </w:r>
    </w:p>
    <w:p>
      <w:pPr>
        <w:pageBreakBefore w:val="0"/>
        <w:numPr>
          <w:ilvl w:val="0"/>
          <w:numId w:val="3"/>
        </w:numPr>
        <w:shd w:val="clear"/>
        <w:kinsoku/>
        <w:wordWrap/>
        <w:topLinePunct w:val="0"/>
        <w:bidi w:val="0"/>
        <w:spacing w:line="560" w:lineRule="exact"/>
        <w:ind w:firstLine="640"/>
        <w:textAlignment w:val="auto"/>
        <w:rPr>
          <w:rFonts w:hint="eastAsia" w:ascii="仿宋_GB2312" w:hAnsi="仿宋_GB2312" w:eastAsia="仿宋_GB2312"/>
          <w:color w:val="auto"/>
          <w:kern w:val="2"/>
          <w:sz w:val="32"/>
          <w:szCs w:val="24"/>
          <w:highlight w:val="none"/>
          <w:lang w:val="zh-CN"/>
        </w:rPr>
      </w:pPr>
      <w:r>
        <w:rPr>
          <w:rFonts w:hint="eastAsia" w:ascii="仿宋_GB2312" w:eastAsia="仿宋_GB2312"/>
          <w:b/>
          <w:color w:val="auto"/>
          <w:sz w:val="32"/>
          <w:szCs w:val="32"/>
          <w:highlight w:val="none"/>
        </w:rPr>
        <w:t>公务接待费</w:t>
      </w:r>
      <w:r>
        <w:rPr>
          <w:rFonts w:hint="eastAsia" w:ascii="仿宋_GB2312" w:hAnsi="仿宋_GB2312" w:eastAsia="仿宋_GB2312"/>
          <w:color w:val="auto"/>
          <w:kern w:val="2"/>
          <w:sz w:val="32"/>
          <w:szCs w:val="24"/>
          <w:highlight w:val="none"/>
          <w:lang w:val="zh-CN"/>
        </w:rPr>
        <w:t>支出1.42万元，完成预算49%。公务接待费支出决算比2021年减少0.41万元，下降22.4%。主要原因是厉行节约，压减一般性开支。其中：</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olor w:val="auto"/>
          <w:kern w:val="2"/>
          <w:sz w:val="32"/>
          <w:szCs w:val="24"/>
          <w:highlight w:val="none"/>
          <w:lang w:val="en-US"/>
        </w:rPr>
      </w:pPr>
      <w:r>
        <w:rPr>
          <w:rFonts w:hint="eastAsia" w:ascii="仿宋_GB2312" w:hAnsi="仿宋_GB2312" w:eastAsia="仿宋_GB2312"/>
          <w:b/>
          <w:color w:val="auto"/>
          <w:kern w:val="2"/>
          <w:sz w:val="32"/>
          <w:szCs w:val="24"/>
          <w:highlight w:val="none"/>
          <w:lang w:val="zh-CN"/>
        </w:rPr>
        <w:t>国内公务接待</w:t>
      </w:r>
      <w:r>
        <w:rPr>
          <w:rFonts w:hint="eastAsia" w:ascii="仿宋_GB2312" w:hAnsi="仿宋_GB2312" w:eastAsia="仿宋_GB2312"/>
          <w:color w:val="auto"/>
          <w:kern w:val="2"/>
          <w:sz w:val="32"/>
          <w:szCs w:val="24"/>
          <w:highlight w:val="none"/>
          <w:lang w:val="zh-CN"/>
        </w:rPr>
        <w:t>支出1.42万元。主要用于</w:t>
      </w:r>
      <w:r>
        <w:rPr>
          <w:rFonts w:hint="eastAsia" w:ascii="仿宋_GB2312" w:hAnsi="仿宋_GB2312" w:eastAsia="仿宋_GB2312"/>
          <w:color w:val="auto"/>
          <w:kern w:val="2"/>
          <w:sz w:val="32"/>
          <w:szCs w:val="24"/>
          <w:highlight w:val="none"/>
          <w:lang w:val="en-US"/>
        </w:rPr>
        <w:t>执行公务开支的用餐费。</w:t>
      </w:r>
      <w:r>
        <w:rPr>
          <w:rFonts w:hint="eastAsia" w:ascii="仿宋_GB2312" w:hAnsi="仿宋_GB2312" w:eastAsia="仿宋_GB2312"/>
          <w:color w:val="auto"/>
          <w:kern w:val="2"/>
          <w:sz w:val="32"/>
          <w:szCs w:val="24"/>
          <w:highlight w:val="none"/>
          <w:lang w:val="zh-CN"/>
        </w:rPr>
        <w:t>国内公务接待11批次，169人次，共计支出1.42万元，具体内容</w:t>
      </w:r>
      <w:r>
        <w:rPr>
          <w:rFonts w:hint="eastAsia" w:ascii="仿宋_GB2312" w:hAnsi="仿宋_GB2312" w:eastAsia="仿宋_GB2312"/>
          <w:color w:val="auto"/>
          <w:kern w:val="2"/>
          <w:sz w:val="32"/>
          <w:szCs w:val="24"/>
          <w:highlight w:val="none"/>
          <w:lang w:val="en-US" w:eastAsia="zh-CN"/>
        </w:rPr>
        <w:t>眉山市交通运输局来我单位考察交通运输信息化工作等</w:t>
      </w:r>
      <w:r>
        <w:rPr>
          <w:rFonts w:hint="eastAsia" w:ascii="仿宋_GB2312" w:hAnsi="仿宋_GB2312" w:eastAsia="仿宋_GB2312"/>
          <w:color w:val="auto"/>
          <w:kern w:val="2"/>
          <w:sz w:val="32"/>
          <w:szCs w:val="24"/>
          <w:highlight w:val="none"/>
          <w:lang w:val="en-US"/>
        </w:rPr>
        <w:t>。</w:t>
      </w:r>
    </w:p>
    <w:p>
      <w:pPr>
        <w:keepNext/>
        <w:keepLines/>
        <w:shd w:val="clear"/>
        <w:spacing w:beforeLines="0" w:afterLines="0" w:line="576" w:lineRule="exact"/>
        <w:ind w:firstLine="643"/>
        <w:jc w:val="both"/>
        <w:rPr>
          <w:rFonts w:hint="eastAsia" w:ascii="仿宋_GB2312" w:hAnsi="仿宋_GB2312" w:eastAsia="仿宋_GB2312"/>
          <w:color w:val="auto"/>
          <w:kern w:val="2"/>
          <w:sz w:val="32"/>
          <w:szCs w:val="24"/>
          <w:highlight w:val="none"/>
          <w:lang w:val="en-US"/>
        </w:rPr>
      </w:pPr>
      <w:r>
        <w:rPr>
          <w:rFonts w:hint="eastAsia" w:ascii="仿宋_GB2312" w:hAnsi="仿宋_GB2312" w:eastAsia="仿宋_GB2312"/>
          <w:b/>
          <w:color w:val="auto"/>
          <w:kern w:val="2"/>
          <w:sz w:val="32"/>
          <w:szCs w:val="24"/>
          <w:highlight w:val="none"/>
          <w:lang w:val="zh-CN"/>
        </w:rPr>
        <w:t>外事接待</w:t>
      </w:r>
      <w:r>
        <w:rPr>
          <w:rFonts w:hint="eastAsia" w:ascii="仿宋_GB2312" w:hAnsi="仿宋_GB2312" w:eastAsia="仿宋_GB2312"/>
          <w:color w:val="auto"/>
          <w:kern w:val="2"/>
          <w:sz w:val="32"/>
          <w:szCs w:val="24"/>
          <w:highlight w:val="none"/>
          <w:lang w:val="zh-CN"/>
        </w:rPr>
        <w:t>支出</w:t>
      </w:r>
      <w:r>
        <w:rPr>
          <w:rFonts w:hint="eastAsia" w:ascii="仿宋_GB2312" w:hAnsi="仿宋_GB2312" w:eastAsia="仿宋_GB2312"/>
          <w:color w:val="auto"/>
          <w:kern w:val="2"/>
          <w:sz w:val="32"/>
          <w:szCs w:val="24"/>
          <w:highlight w:val="none"/>
          <w:lang w:val="en-US" w:eastAsia="zh-CN"/>
        </w:rPr>
        <w:t>0</w:t>
      </w:r>
      <w:r>
        <w:rPr>
          <w:rFonts w:hint="eastAsia" w:ascii="仿宋_GB2312" w:hAnsi="仿宋_GB2312" w:eastAsia="仿宋_GB2312"/>
          <w:color w:val="auto"/>
          <w:kern w:val="2"/>
          <w:sz w:val="32"/>
          <w:szCs w:val="24"/>
          <w:highlight w:val="none"/>
          <w:lang w:val="zh-CN"/>
        </w:rPr>
        <w:t>万元。外事接待0批次，0人，共计支出0万元。</w:t>
      </w:r>
    </w:p>
    <w:p>
      <w:pPr>
        <w:pageBreakBefore w:val="0"/>
        <w:shd w:val="clear"/>
        <w:kinsoku/>
        <w:wordWrap/>
        <w:topLinePunct w:val="0"/>
        <w:bidi w:val="0"/>
        <w:spacing w:line="560" w:lineRule="exact"/>
        <w:ind w:firstLine="640"/>
        <w:textAlignment w:val="auto"/>
        <w:outlineLvl w:val="1"/>
        <w:rPr>
          <w:rStyle w:val="22"/>
          <w:rFonts w:ascii="黑体" w:hAnsi="黑体" w:eastAsia="黑体"/>
          <w:color w:val="auto"/>
          <w:highlight w:val="none"/>
        </w:rPr>
      </w:pPr>
      <w:bookmarkStart w:id="85" w:name="_Toc15377218"/>
      <w:bookmarkStart w:id="86" w:name="_Toc26951"/>
      <w:bookmarkStart w:id="87" w:name="_Toc26003"/>
      <w:bookmarkStart w:id="88" w:name="_Toc576252666_WPSOffice_Level2"/>
      <w:bookmarkStart w:id="89" w:name="_Toc15396610"/>
      <w:r>
        <w:rPr>
          <w:rFonts w:hint="eastAsia" w:ascii="黑体" w:eastAsia="黑体"/>
          <w:color w:val="auto"/>
          <w:sz w:val="32"/>
          <w:szCs w:val="32"/>
          <w:highlight w:val="none"/>
        </w:rPr>
        <w:t>八、</w:t>
      </w:r>
      <w:r>
        <w:rPr>
          <w:rStyle w:val="22"/>
          <w:rFonts w:hint="eastAsia" w:ascii="黑体" w:hAnsi="黑体" w:eastAsia="黑体"/>
          <w:b w:val="0"/>
          <w:color w:val="auto"/>
          <w:highlight w:val="none"/>
        </w:rPr>
        <w:t>政府性基金预算支出决算情况说明</w:t>
      </w:r>
      <w:bookmarkEnd w:id="85"/>
      <w:bookmarkEnd w:id="86"/>
      <w:bookmarkEnd w:id="87"/>
      <w:bookmarkEnd w:id="88"/>
      <w:bookmarkEnd w:id="89"/>
    </w:p>
    <w:p>
      <w:pPr>
        <w:pageBreakBefore w:val="0"/>
        <w:shd w:val="clear"/>
        <w:kinsoku/>
        <w:wordWrap/>
        <w:topLinePunct w:val="0"/>
        <w:bidi w:val="0"/>
        <w:spacing w:line="560"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11175.96</w:t>
      </w:r>
      <w:r>
        <w:rPr>
          <w:rFonts w:hint="eastAsia" w:ascii="仿宋_GB2312" w:eastAsia="仿宋_GB2312"/>
          <w:color w:val="auto"/>
          <w:sz w:val="32"/>
          <w:szCs w:val="32"/>
          <w:highlight w:val="none"/>
        </w:rPr>
        <w:t>万元。</w:t>
      </w:r>
    </w:p>
    <w:p>
      <w:pPr>
        <w:pageBreakBefore w:val="0"/>
        <w:numPr>
          <w:ilvl w:val="0"/>
          <w:numId w:val="4"/>
        </w:numPr>
        <w:shd w:val="clear"/>
        <w:kinsoku/>
        <w:wordWrap/>
        <w:topLinePunct w:val="0"/>
        <w:bidi w:val="0"/>
        <w:spacing w:line="560" w:lineRule="exact"/>
        <w:ind w:firstLine="640"/>
        <w:textAlignment w:val="auto"/>
        <w:outlineLvl w:val="1"/>
        <w:rPr>
          <w:rStyle w:val="22"/>
          <w:rFonts w:ascii="黑体" w:hAnsi="黑体" w:eastAsia="黑体"/>
          <w:b w:val="0"/>
          <w:color w:val="auto"/>
          <w:highlight w:val="none"/>
        </w:rPr>
      </w:pPr>
      <w:bookmarkStart w:id="90" w:name="_Toc6289"/>
      <w:bookmarkStart w:id="91" w:name="_Toc12288"/>
      <w:bookmarkStart w:id="92" w:name="_Toc15377219"/>
      <w:bookmarkStart w:id="93" w:name="_Toc368001923_WPSOffice_Level2"/>
      <w:bookmarkStart w:id="94" w:name="_Toc15396611"/>
      <w:r>
        <w:rPr>
          <w:rStyle w:val="22"/>
          <w:rFonts w:hint="eastAsia" w:ascii="黑体" w:hAnsi="黑体" w:eastAsia="黑体"/>
          <w:b w:val="0"/>
          <w:color w:val="auto"/>
          <w:highlight w:val="none"/>
        </w:rPr>
        <w:t>国有资本经营预算支出决算情况说明</w:t>
      </w:r>
      <w:bookmarkEnd w:id="90"/>
      <w:bookmarkEnd w:id="91"/>
      <w:bookmarkEnd w:id="92"/>
      <w:bookmarkEnd w:id="93"/>
      <w:bookmarkEnd w:id="94"/>
    </w:p>
    <w:p>
      <w:pPr>
        <w:pageBreakBefore w:val="0"/>
        <w:shd w:val="clear"/>
        <w:kinsoku/>
        <w:wordWrap/>
        <w:topLinePunct w:val="0"/>
        <w:bidi w:val="0"/>
        <w:spacing w:line="560"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4"/>
        </w:numPr>
        <w:shd w:val="clear"/>
        <w:kinsoku/>
        <w:wordWrap/>
        <w:topLinePunct w:val="0"/>
        <w:bidi w:val="0"/>
        <w:spacing w:line="560" w:lineRule="exact"/>
        <w:ind w:firstLine="640"/>
        <w:textAlignment w:val="auto"/>
        <w:outlineLvl w:val="1"/>
        <w:rPr>
          <w:rStyle w:val="22"/>
          <w:rFonts w:hint="eastAsia" w:ascii="黑体" w:hAnsi="黑体" w:eastAsia="黑体"/>
          <w:b w:val="0"/>
          <w:color w:val="auto"/>
          <w:highlight w:val="none"/>
        </w:rPr>
      </w:pPr>
      <w:bookmarkStart w:id="95" w:name="_Toc15377221"/>
      <w:bookmarkStart w:id="96" w:name="_Toc1787461629_WPSOffice_Level2"/>
      <w:bookmarkStart w:id="97" w:name="_Toc32522"/>
      <w:bookmarkStart w:id="98" w:name="_Toc10997"/>
      <w:bookmarkStart w:id="99" w:name="_Toc15396612"/>
      <w:r>
        <w:rPr>
          <w:rStyle w:val="22"/>
          <w:rFonts w:hint="eastAsia" w:ascii="黑体" w:hAnsi="黑体" w:eastAsia="黑体"/>
          <w:b w:val="0"/>
          <w:color w:val="auto"/>
          <w:highlight w:val="none"/>
        </w:rPr>
        <w:t>其他重要事项的情况说明</w:t>
      </w:r>
      <w:bookmarkEnd w:id="95"/>
      <w:bookmarkEnd w:id="96"/>
      <w:bookmarkEnd w:id="97"/>
      <w:bookmarkEnd w:id="98"/>
      <w:bookmarkEnd w:id="99"/>
    </w:p>
    <w:p>
      <w:pPr>
        <w:pageBreakBefore w:val="0"/>
        <w:shd w:val="clear"/>
        <w:kinsoku/>
        <w:wordWrap/>
        <w:topLinePunct w:val="0"/>
        <w:bidi w:val="0"/>
        <w:spacing w:line="560" w:lineRule="exact"/>
        <w:ind w:firstLine="640" w:firstLineChars="200"/>
        <w:textAlignment w:val="auto"/>
        <w:outlineLvl w:val="2"/>
        <w:rPr>
          <w:rFonts w:hint="eastAsia" w:ascii="方正楷体_GBK" w:hAnsi="方正楷体_GBK" w:eastAsia="方正楷体_GBK" w:cs="方正楷体_GBK"/>
          <w:b w:val="0"/>
          <w:bCs/>
          <w:color w:val="auto"/>
          <w:sz w:val="32"/>
          <w:szCs w:val="32"/>
          <w:highlight w:val="none"/>
        </w:rPr>
      </w:pPr>
      <w:bookmarkStart w:id="100" w:name="_Toc15377222"/>
      <w:r>
        <w:rPr>
          <w:rFonts w:hint="eastAsia" w:ascii="方正楷体_GBK" w:hAnsi="方正楷体_GBK" w:eastAsia="方正楷体_GBK" w:cs="方正楷体_GBK"/>
          <w:b w:val="0"/>
          <w:bCs/>
          <w:color w:val="auto"/>
          <w:sz w:val="32"/>
          <w:szCs w:val="32"/>
          <w:highlight w:val="none"/>
        </w:rPr>
        <w:t>（一）机关运行经费支出情况</w:t>
      </w:r>
      <w:bookmarkEnd w:id="100"/>
    </w:p>
    <w:p>
      <w:pPr>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bookmarkStart w:id="101" w:name="_Toc15377223"/>
      <w:r>
        <w:rPr>
          <w:rFonts w:hint="eastAsia" w:ascii="仿宋_GB2312" w:hAnsi="仿宋_GB2312" w:eastAsia="仿宋_GB2312"/>
          <w:color w:val="auto"/>
          <w:kern w:val="2"/>
          <w:sz w:val="32"/>
          <w:szCs w:val="24"/>
          <w:highlight w:val="none"/>
          <w:lang w:val="zh-CN"/>
        </w:rPr>
        <w:t>2022年，广元市交通运输局（部门）机关运行经费支出552.84万元，比2021年减少52.89万元，下降8.7%。主要原因是厉行节约，压减一般性开支。</w:t>
      </w:r>
    </w:p>
    <w:p>
      <w:pPr>
        <w:pageBreakBefore w:val="0"/>
        <w:shd w:val="clear"/>
        <w:kinsoku/>
        <w:wordWrap/>
        <w:topLinePunct w:val="0"/>
        <w:bidi w:val="0"/>
        <w:spacing w:line="560" w:lineRule="exact"/>
        <w:ind w:firstLine="640" w:firstLineChars="200"/>
        <w:textAlignment w:val="auto"/>
        <w:outlineLvl w:val="2"/>
        <w:rPr>
          <w:rFonts w:hint="eastAsia" w:ascii="方正楷体_GBK" w:hAnsi="方正楷体_GBK" w:eastAsia="方正楷体_GBK" w:cs="方正楷体_GBK"/>
          <w:b w:val="0"/>
          <w:bCs/>
          <w:color w:val="auto"/>
          <w:sz w:val="32"/>
          <w:szCs w:val="32"/>
          <w:highlight w:val="none"/>
        </w:rPr>
      </w:pPr>
      <w:r>
        <w:rPr>
          <w:rFonts w:hint="eastAsia" w:ascii="方正楷体_GBK" w:hAnsi="方正楷体_GBK" w:eastAsia="方正楷体_GBK" w:cs="方正楷体_GBK"/>
          <w:b w:val="0"/>
          <w:bCs/>
          <w:color w:val="auto"/>
          <w:sz w:val="32"/>
          <w:szCs w:val="32"/>
          <w:highlight w:val="none"/>
        </w:rPr>
        <w:t>（二）政府采购支出情况</w:t>
      </w:r>
      <w:bookmarkEnd w:id="101"/>
    </w:p>
    <w:p>
      <w:pPr>
        <w:shd w:val="clear"/>
        <w:spacing w:beforeLines="0" w:afterLines="0" w:line="576" w:lineRule="exact"/>
        <w:ind w:firstLine="640"/>
        <w:jc w:val="both"/>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2022年，广元市交通运输局政府采购支出总额536.68万元，其中：政府采购货物支出59.07万元、政府采购工程支出206.01万元、政府采购服务支出271.6万元。主要用于更新购置公务用车一辆、广元山区公路专项改善工程沿线养护站房提升改造工程政府采购项目、严家湾大桥江口大桥等3座桥梁集中排水工程政府采购项目、授予中小企业合同金额50.32万元，占政府采购支出总额的9.4%，其中：授予小微企业合同金额50.32万元，</w:t>
      </w:r>
      <w:r>
        <w:rPr>
          <w:rFonts w:hint="eastAsia" w:ascii="仿宋_GB2312" w:hAnsi="仿宋_GB2312" w:eastAsia="仿宋_GB2312"/>
          <w:color w:val="auto"/>
          <w:kern w:val="2"/>
          <w:sz w:val="32"/>
          <w:szCs w:val="24"/>
          <w:highlight w:val="none"/>
          <w:lang w:val="en-US"/>
        </w:rPr>
        <w:t>占政府采购支出总额的</w:t>
      </w:r>
      <w:r>
        <w:rPr>
          <w:rFonts w:hint="eastAsia" w:ascii="仿宋_GB2312" w:hAnsi="仿宋_GB2312" w:eastAsia="仿宋_GB2312"/>
          <w:color w:val="auto"/>
          <w:kern w:val="2"/>
          <w:sz w:val="32"/>
          <w:szCs w:val="24"/>
          <w:highlight w:val="none"/>
          <w:lang w:val="zh-CN"/>
        </w:rPr>
        <w:t>9.4%。</w:t>
      </w:r>
    </w:p>
    <w:p>
      <w:pPr>
        <w:pageBreakBefore w:val="0"/>
        <w:shd w:val="clear"/>
        <w:kinsoku/>
        <w:wordWrap/>
        <w:topLinePunct w:val="0"/>
        <w:bidi w:val="0"/>
        <w:spacing w:line="560" w:lineRule="exact"/>
        <w:ind w:firstLine="640" w:firstLineChars="200"/>
        <w:textAlignment w:val="auto"/>
        <w:outlineLvl w:val="2"/>
        <w:rPr>
          <w:rFonts w:hint="eastAsia" w:ascii="方正楷体_GBK" w:hAnsi="方正楷体_GBK" w:eastAsia="方正楷体_GBK" w:cs="方正楷体_GBK"/>
          <w:b w:val="0"/>
          <w:bCs/>
          <w:color w:val="auto"/>
          <w:sz w:val="32"/>
          <w:szCs w:val="32"/>
          <w:highlight w:val="none"/>
        </w:rPr>
      </w:pPr>
      <w:bookmarkStart w:id="102" w:name="_Toc15377224"/>
      <w:r>
        <w:rPr>
          <w:rFonts w:hint="eastAsia" w:ascii="方正楷体_GBK" w:hAnsi="方正楷体_GBK" w:eastAsia="方正楷体_GBK" w:cs="方正楷体_GBK"/>
          <w:b w:val="0"/>
          <w:bCs/>
          <w:color w:val="auto"/>
          <w:sz w:val="32"/>
          <w:szCs w:val="32"/>
          <w:highlight w:val="none"/>
        </w:rPr>
        <w:t>（三）国有资产占有使用情况</w:t>
      </w:r>
      <w:bookmarkEnd w:id="102"/>
    </w:p>
    <w:p>
      <w:pPr>
        <w:shd w:val="clear"/>
        <w:spacing w:beforeLines="0" w:afterLines="0" w:line="576" w:lineRule="exact"/>
        <w:ind w:firstLine="640"/>
        <w:rPr>
          <w:rFonts w:hint="eastAsia" w:ascii="仿宋_GB2312" w:hAnsi="仿宋_GB2312" w:eastAsia="仿宋_GB2312"/>
          <w:color w:val="auto"/>
          <w:kern w:val="2"/>
          <w:sz w:val="32"/>
          <w:szCs w:val="24"/>
          <w:highlight w:val="none"/>
          <w:lang w:val="zh-CN"/>
        </w:rPr>
      </w:pPr>
      <w:r>
        <w:rPr>
          <w:rFonts w:hint="eastAsia" w:ascii="仿宋_GB2312" w:hAnsi="仿宋_GB2312" w:eastAsia="仿宋_GB2312"/>
          <w:color w:val="auto"/>
          <w:kern w:val="2"/>
          <w:sz w:val="32"/>
          <w:szCs w:val="24"/>
          <w:highlight w:val="none"/>
          <w:lang w:val="zh-CN"/>
        </w:rPr>
        <w:t>截至2022年12月31日，广元市交通运输局共有车辆20辆，其中：应急保障用车1辆、执法执勤用车14辆、特种专业技术用车3辆、其他用车2辆。其中：</w:t>
      </w:r>
      <w:r>
        <w:rPr>
          <w:rFonts w:hint="eastAsia" w:ascii="仿宋_GB2312" w:eastAsia="仿宋_GB2312"/>
          <w:color w:val="auto"/>
          <w:sz w:val="32"/>
          <w:szCs w:val="32"/>
          <w:highlight w:val="none"/>
        </w:rPr>
        <w:t>其他用车</w:t>
      </w:r>
      <w:r>
        <w:rPr>
          <w:rFonts w:hint="eastAsia" w:ascii="仿宋" w:hAnsi="仿宋" w:eastAsia="仿宋"/>
          <w:color w:val="auto"/>
          <w:sz w:val="32"/>
          <w:szCs w:val="32"/>
          <w:highlight w:val="none"/>
        </w:rPr>
        <w:t>主要是用于开展公路检测、执法执勤等</w:t>
      </w:r>
      <w:r>
        <w:rPr>
          <w:rFonts w:hint="eastAsia" w:ascii="仿宋_GB2312" w:hAnsi="仿宋_GB2312" w:eastAsia="仿宋_GB2312"/>
          <w:color w:val="auto"/>
          <w:kern w:val="2"/>
          <w:sz w:val="32"/>
          <w:szCs w:val="24"/>
          <w:highlight w:val="none"/>
          <w:lang w:val="zh-CN"/>
        </w:rPr>
        <w:t>。单价100万元（含）以上设备1台（套）。</w:t>
      </w:r>
    </w:p>
    <w:p>
      <w:pPr>
        <w:pageBreakBefore w:val="0"/>
        <w:shd w:val="clear"/>
        <w:kinsoku/>
        <w:wordWrap/>
        <w:topLinePunct w:val="0"/>
        <w:bidi w:val="0"/>
        <w:spacing w:line="560" w:lineRule="exact"/>
        <w:ind w:firstLine="640" w:firstLineChars="200"/>
        <w:textAlignment w:val="auto"/>
        <w:outlineLvl w:val="2"/>
        <w:rPr>
          <w:rFonts w:hint="eastAsia" w:ascii="方正楷体_GBK" w:hAnsi="方正楷体_GBK" w:eastAsia="方正楷体_GBK" w:cs="方正楷体_GBK"/>
          <w:b w:val="0"/>
          <w:bCs/>
          <w:color w:val="auto"/>
          <w:sz w:val="32"/>
          <w:szCs w:val="32"/>
          <w:highlight w:val="none"/>
        </w:rPr>
      </w:pPr>
      <w:r>
        <w:rPr>
          <w:rFonts w:hint="eastAsia" w:ascii="方正楷体_GBK" w:hAnsi="方正楷体_GBK" w:eastAsia="方正楷体_GBK" w:cs="方正楷体_GBK"/>
          <w:b w:val="0"/>
          <w:bCs/>
          <w:color w:val="auto"/>
          <w:sz w:val="32"/>
          <w:szCs w:val="32"/>
          <w:highlight w:val="none"/>
        </w:rPr>
        <w:t>（四）预算绩效管理情况</w:t>
      </w:r>
    </w:p>
    <w:p>
      <w:pPr>
        <w:pageBreakBefore w:val="0"/>
        <w:widowControl/>
        <w:shd w:val="clear"/>
        <w:kinsoku/>
        <w:wordWrap/>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年度预算编制阶段，组织对黑石坡至曾家山公路工程项目等</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个项目开展绩效监控。</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组织对2022年度一般公共预算、政府性基金预算等全面开展绩效自评，形成</w:t>
      </w:r>
      <w:r>
        <w:rPr>
          <w:rFonts w:hint="eastAsia" w:ascii="仿宋_GB2312" w:hAnsi="仿宋_GB2312" w:eastAsia="仿宋_GB2312" w:cs="仿宋_GB2312"/>
          <w:color w:val="auto"/>
          <w:sz w:val="32"/>
          <w:szCs w:val="32"/>
          <w:highlight w:val="none"/>
          <w:lang w:eastAsia="zh-CN"/>
        </w:rPr>
        <w:t>广元市交通运输局</w:t>
      </w:r>
      <w:r>
        <w:rPr>
          <w:rFonts w:hint="default" w:ascii="仿宋_GB2312" w:hAnsi="仿宋_GB2312" w:eastAsia="仿宋_GB2312" w:cs="仿宋_GB2312"/>
          <w:color w:val="auto"/>
          <w:sz w:val="32"/>
          <w:szCs w:val="32"/>
          <w:highlight w:val="none"/>
          <w:lang w:val="en-US" w:eastAsia="zh-CN"/>
        </w:rPr>
        <w:t>2022年部门整体支出绩效评价</w:t>
      </w:r>
      <w:r>
        <w:rPr>
          <w:rFonts w:hint="eastAsia" w:ascii="仿宋_GB2312" w:hAnsi="仿宋_GB2312" w:eastAsia="仿宋_GB2312" w:cs="仿宋_GB2312"/>
          <w:color w:val="auto"/>
          <w:sz w:val="32"/>
          <w:szCs w:val="32"/>
          <w:highlight w:val="none"/>
          <w:lang w:val="en-US" w:eastAsia="zh-CN"/>
        </w:rPr>
        <w:t>自评报告一个整体自评报告</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黑石坡至曾家山公路工程</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2022年专项预算项目支出绩效自评报告</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24个</w:t>
      </w:r>
      <w:r>
        <w:rPr>
          <w:rFonts w:hint="eastAsia" w:ascii="仿宋_GB2312" w:hAnsi="仿宋_GB2312" w:eastAsia="仿宋_GB2312" w:cs="仿宋_GB2312"/>
          <w:color w:val="auto"/>
          <w:sz w:val="32"/>
          <w:szCs w:val="32"/>
          <w:highlight w:val="none"/>
        </w:rPr>
        <w:t>专项预算项目</w:t>
      </w:r>
      <w:r>
        <w:rPr>
          <w:rFonts w:hint="eastAsia" w:ascii="仿宋_GB2312" w:hAnsi="仿宋_GB2312" w:eastAsia="仿宋_GB2312" w:cs="仿宋_GB2312"/>
          <w:color w:val="auto"/>
          <w:sz w:val="32"/>
          <w:szCs w:val="32"/>
          <w:highlight w:val="none"/>
          <w:lang w:eastAsia="zh-CN"/>
        </w:rPr>
        <w:t>自评报告</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eastAsia="zh-CN"/>
        </w:rPr>
        <w:t>广元市交通运输局</w:t>
      </w:r>
      <w:r>
        <w:rPr>
          <w:rFonts w:hint="eastAsia" w:ascii="仿宋_GB2312" w:hAnsi="仿宋_GB2312" w:eastAsia="仿宋_GB2312" w:cs="仿宋_GB2312"/>
          <w:color w:val="auto"/>
          <w:sz w:val="32"/>
          <w:szCs w:val="32"/>
          <w:highlight w:val="none"/>
        </w:rPr>
        <w:t>部门整体绩效自评得分为</w:t>
      </w:r>
      <w:r>
        <w:rPr>
          <w:rFonts w:hint="eastAsia" w:ascii="仿宋_GB2312" w:hAnsi="仿宋_GB2312" w:eastAsia="仿宋_GB2312" w:cs="仿宋_GB2312"/>
          <w:color w:val="auto"/>
          <w:sz w:val="32"/>
          <w:szCs w:val="32"/>
          <w:highlight w:val="none"/>
          <w:lang w:val="en-US" w:eastAsia="zh-CN"/>
        </w:rPr>
        <w:t>99.92</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（详见附件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，绩效自评综述：</w:t>
      </w:r>
      <w:r>
        <w:rPr>
          <w:rFonts w:hint="eastAsia" w:ascii="仿宋_GB2312" w:eastAsia="仿宋_GB2312" w:cs="Times New Roman"/>
          <w:caps w:val="0"/>
          <w:color w:val="auto"/>
          <w:sz w:val="32"/>
          <w:szCs w:val="32"/>
          <w:highlight w:val="none"/>
          <w:vertAlign w:val="baseline"/>
          <w:lang w:bidi="ar"/>
        </w:rPr>
        <w:t>我局绩效目标设定程序严密、规划合理、制度完备，项目实施分配合理、使用合规、执行有效，绩效目标完成及时，履行了法定职能职责，无违规记录，较好地完成了绩效管理工作</w:t>
      </w:r>
      <w:r>
        <w:rPr>
          <w:rFonts w:hint="eastAsia" w:ascii="仿宋_GB2312" w:hAnsi="仿宋_GB2312" w:eastAsia="仿宋_GB2312" w:cs="仿宋_GB2312"/>
          <w:color w:val="auto"/>
          <w:sz w:val="32"/>
          <w:szCs w:val="32"/>
          <w:highlight w:val="none"/>
        </w:rPr>
        <w:t>；专项预算项目绩效自评详见附件。</w:t>
      </w:r>
    </w:p>
    <w:p>
      <w:pPr>
        <w:shd w:val="clea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pStyle w:val="2"/>
        <w:shd w:val="clear"/>
        <w:rPr>
          <w:rFonts w:hint="eastAsia"/>
          <w:color w:val="auto"/>
          <w:highlight w:val="none"/>
        </w:rPr>
      </w:pPr>
    </w:p>
    <w:p>
      <w:pPr>
        <w:pageBreakBefore w:val="0"/>
        <w:numPr>
          <w:ilvl w:val="0"/>
          <w:numId w:val="5"/>
        </w:numPr>
        <w:shd w:val="clear"/>
        <w:kinsoku/>
        <w:wordWrap/>
        <w:topLinePunct w:val="0"/>
        <w:bidi w:val="0"/>
        <w:spacing w:line="560" w:lineRule="exact"/>
        <w:ind w:firstLine="660" w:firstLineChars="150"/>
        <w:jc w:val="center"/>
        <w:textAlignment w:val="auto"/>
        <w:outlineLvl w:val="0"/>
        <w:rPr>
          <w:rStyle w:val="21"/>
          <w:rFonts w:ascii="黑体" w:hAnsi="黑体" w:eastAsia="黑体"/>
          <w:b w:val="0"/>
          <w:color w:val="auto"/>
          <w:highlight w:val="none"/>
        </w:rPr>
      </w:pPr>
      <w:bookmarkStart w:id="103" w:name="_Toc31014"/>
      <w:bookmarkStart w:id="104" w:name="_Toc15396613"/>
      <w:bookmarkStart w:id="105" w:name="_Toc24883"/>
      <w:bookmarkStart w:id="106" w:name="_Toc15377225"/>
      <w:bookmarkStart w:id="107" w:name="_Toc1641994104_WPSOffice_Level1"/>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103"/>
      <w:bookmarkEnd w:id="104"/>
      <w:bookmarkEnd w:id="105"/>
      <w:bookmarkEnd w:id="106"/>
      <w:bookmarkEnd w:id="107"/>
    </w:p>
    <w:p>
      <w:pPr>
        <w:pageBreakBefore w:val="0"/>
        <w:shd w:val="clear"/>
        <w:kinsoku/>
        <w:wordWrap/>
        <w:topLinePunct w:val="0"/>
        <w:bidi w:val="0"/>
        <w:spacing w:line="560" w:lineRule="exact"/>
        <w:jc w:val="left"/>
        <w:textAlignment w:val="auto"/>
        <w:rPr>
          <w:rFonts w:ascii="宋体"/>
          <w:b/>
          <w:color w:val="auto"/>
          <w:sz w:val="44"/>
          <w:szCs w:val="44"/>
          <w:highlight w:val="none"/>
        </w:rPr>
      </w:pP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outlineLvl w:val="1"/>
        <w:rPr>
          <w:rFonts w:hint="eastAsia" w:ascii="仿宋_GB2312" w:hAnsi="仿宋_GB2312" w:eastAsia="仿宋_GB2312" w:cs="仿宋_GB2312"/>
          <w:color w:val="auto"/>
          <w:sz w:val="32"/>
          <w:szCs w:val="32"/>
          <w:highlight w:val="none"/>
        </w:rPr>
      </w:pPr>
      <w:bookmarkStart w:id="108" w:name="_Toc3095"/>
      <w:bookmarkStart w:id="109" w:name="_Toc32302"/>
      <w:r>
        <w:rPr>
          <w:rFonts w:hint="eastAsia" w:ascii="仿宋_GB2312" w:hAnsi="仿宋_GB2312" w:eastAsia="仿宋_GB2312" w:cs="仿宋_GB2312"/>
          <w:color w:val="auto"/>
          <w:sz w:val="32"/>
          <w:szCs w:val="32"/>
          <w:highlight w:val="none"/>
        </w:rPr>
        <w:t>财政拨款收入：指单位从同级财政部门取得的财政预算资金。</w:t>
      </w:r>
      <w:bookmarkEnd w:id="108"/>
      <w:bookmarkEnd w:id="109"/>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其他收入：指单位取得的除上述收入以外的各项收入。主要是</w:t>
      </w:r>
      <w:r>
        <w:rPr>
          <w:rFonts w:hint="eastAsia" w:ascii="仿宋_GB2312" w:hAnsi="仿宋_GB2312" w:eastAsia="仿宋_GB2312" w:cs="仿宋_GB2312"/>
          <w:color w:val="auto"/>
          <w:sz w:val="32"/>
          <w:szCs w:val="32"/>
          <w:highlight w:val="none"/>
          <w:lang w:eastAsia="zh-CN"/>
        </w:rPr>
        <w:t>省级专项资金补助（财政代管资金</w:t>
      </w:r>
      <w:r>
        <w:rPr>
          <w:rFonts w:hint="eastAsia" w:ascii="仿宋_GB2312" w:hAnsi="仿宋_GB2312" w:eastAsia="仿宋_GB2312" w:cs="仿宋_GB2312"/>
          <w:color w:val="auto"/>
          <w:sz w:val="32"/>
          <w:szCs w:val="32"/>
          <w:highlight w:val="none"/>
        </w:rPr>
        <w:t>）等。</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使用非财政拨款结余</w:t>
      </w:r>
      <w:r>
        <w:rPr>
          <w:rFonts w:hint="eastAsia" w:ascii="仿宋_GB2312" w:hAnsi="仿宋_GB2312" w:eastAsia="仿宋_GB2312" w:cs="仿宋_GB2312"/>
          <w:color w:val="auto"/>
          <w:sz w:val="32"/>
          <w:szCs w:val="32"/>
          <w:highlight w:val="none"/>
        </w:rPr>
        <w:t>：指事业单位</w:t>
      </w:r>
      <w:r>
        <w:rPr>
          <w:rFonts w:hint="eastAsia" w:ascii="仿宋_GB2312" w:hAnsi="仿宋_GB2312" w:eastAsia="仿宋_GB2312" w:cs="仿宋_GB2312"/>
          <w:color w:val="auto"/>
          <w:sz w:val="32"/>
          <w:szCs w:val="32"/>
          <w:highlight w:val="none"/>
          <w:lang w:eastAsia="zh-CN"/>
        </w:rPr>
        <w:t>使用以前年度积累的非财政拨款结余弥补当年收支差额的金额。</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年初结转和结余：指以前年度尚未完成、结转到本年按有关规定继续使用的资金。</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年末结转和结余：指单位按有关规定结转到下年或以后年度继续使用的资金。</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文化旅游体育与传媒</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文化和旅游</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eastAsia="zh-CN"/>
        </w:rPr>
        <w:t>文化活动</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：反映举办大型文化艺术活动支出</w:t>
      </w:r>
      <w:r>
        <w:rPr>
          <w:rFonts w:hint="eastAsia" w:ascii="仿宋_GB2312" w:hAnsi="仿宋_GB2312" w:eastAsia="仿宋_GB2312" w:cs="仿宋_GB2312"/>
          <w:color w:val="auto"/>
          <w:sz w:val="32"/>
          <w:szCs w:val="32"/>
          <w:highlight w:val="none"/>
        </w:rPr>
        <w:t>。</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社会保障和就业（类）人力资源和社会保障管理事务（款）引进人才费用（项）：反映引进人才补助、引智成果推广等方面的支出。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社会保障和就业（类）人力资源和社会保障管理事务（款）其他人力资源和社会保障管理事务支出（项）：反映其他用于人力资源和社会保障管理事务方面的支出。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（类）行政事业单位养老支出（款）</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rPr>
        <w:t>单位离退休（项）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rPr>
        <w:t>单位开支的离退休经费。</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（类）行政事业单位养老支出（款）机关事业单位基本养老保险缴费支出（项）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指机关事业单位实施养老保险制度由单位缴纳的基本养老保险费支出。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社会保障和就业支出（类）行政事业单位养老支出（款）机关事业单位职业年金缴费支出（项）：</w:t>
      </w:r>
      <w:r>
        <w:rPr>
          <w:rFonts w:hint="eastAsia" w:ascii="仿宋_GB2312" w:hAnsi="仿宋_GB2312" w:eastAsia="仿宋_GB2312" w:cs="仿宋_GB2312"/>
          <w:color w:val="auto"/>
          <w:sz w:val="32"/>
          <w:szCs w:val="32"/>
          <w:highlight w:val="none"/>
        </w:rPr>
        <w:t>指机关事业单位实施养老保险制度由单位实际缴纳的职业年金支出</w:t>
      </w:r>
      <w:r>
        <w:rPr>
          <w:rFonts w:hint="eastAsia" w:ascii="仿宋_GB2312" w:hAnsi="仿宋_GB2312" w:eastAsia="仿宋_GB2312" w:cs="仿宋_GB2312"/>
          <w:color w:val="auto"/>
          <w:sz w:val="32"/>
          <w:szCs w:val="32"/>
          <w:highlight w:val="none"/>
          <w:lang w:eastAsia="zh-CN"/>
        </w:rPr>
        <w:t>。</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（类）抚恤（款）死亡抚恤（项）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指按规定用于烈士的牺牲、病故人员家属的一次性和定期抚恤金以及丧葬补助费。</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社会保障和就业支出（类）其他社会保障和就业支出（款）其他社会保障和就业支出（项）：</w:t>
      </w:r>
      <w:r>
        <w:rPr>
          <w:rFonts w:hint="eastAsia" w:ascii="仿宋_GB2312" w:hAnsi="仿宋_GB2312" w:eastAsia="仿宋_GB2312" w:cs="仿宋_GB2312"/>
          <w:color w:val="auto"/>
          <w:sz w:val="32"/>
          <w:szCs w:val="32"/>
          <w:highlight w:val="none"/>
        </w:rPr>
        <w:t>指其他用于社会保障和就业方面的支出。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卫生健康</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（类）行政事业单位医疗（款）行政单位医疗（项）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指财政部门安排的行政单位（包括实行公务员管理的事业单位）基本医疗保险经费，未参加医疗保险的行政单位公费医疗经费，按国家规定享受离休人员、红军老战士待遇人员的医疗费。</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卫生健康</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（类）行政事业单位医疗（款）</w:t>
      </w:r>
      <w:r>
        <w:rPr>
          <w:rFonts w:hint="eastAsia" w:ascii="仿宋_GB2312" w:hAnsi="仿宋_GB2312" w:eastAsia="仿宋_GB2312" w:cs="仿宋_GB2312"/>
          <w:color w:val="auto"/>
          <w:sz w:val="32"/>
          <w:szCs w:val="32"/>
          <w:highlight w:val="none"/>
          <w:lang w:eastAsia="zh-CN"/>
        </w:rPr>
        <w:t>事业</w:t>
      </w:r>
      <w:r>
        <w:rPr>
          <w:rFonts w:hint="eastAsia" w:ascii="仿宋_GB2312" w:hAnsi="仿宋_GB2312" w:eastAsia="仿宋_GB2312" w:cs="仿宋_GB2312"/>
          <w:color w:val="auto"/>
          <w:sz w:val="32"/>
          <w:szCs w:val="32"/>
          <w:highlight w:val="none"/>
        </w:rPr>
        <w:t>单位医疗（项）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指财政部门安排的事业单位基本医疗保险经费，未参加医疗保险的事业单位公费医疗经费，按国家规定享受离休人员待遇的医疗费。</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城乡社区支出（类）国有土地使用权出让收入安排的支出（款）征地和拆迁补偿支出（项）：反映地方政府在征地和收购土地过程中支付的土地补偿费、安置补助费、地上附着和青苗补偿费、拆迁补偿费支出。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城乡社区支出（类）国有土地使用权出让收入安排的支出（款）城市建设支出（项）：指土地出让收入用于完善国有土地使用功能的配套设施建设和城市基础设施建设支出。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城乡社区支出（类）国有土地使用权出让收入安排的支出（款）农村基础设施建设支出（项）：反映土地出让收入用于农村供水保障、村庄公共设施建设管护以及与农业农村直接相关的以工代赈等方面的支出。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农林水支出（类）巩固脱贫衔接乡村振兴（款）其他巩固脱贫衔接乡村振兴支出（项）：反映其他用于巩固拓展脱贫攻坚成果同乡村振兴有效衔接方面的支出。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交通运输支出（类）公路水路运输</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行政运行</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指行政单位（包括实行公务员管理的事业单位）的基本支出。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交通运输支出（类）公路水路运输（款）一般行政管理事务（项）：</w:t>
      </w:r>
      <w:r>
        <w:rPr>
          <w:rFonts w:hint="eastAsia" w:ascii="仿宋_GB2312" w:hAnsi="仿宋_GB2312" w:eastAsia="仿宋_GB2312" w:cs="仿宋_GB2312"/>
          <w:color w:val="auto"/>
          <w:sz w:val="32"/>
          <w:szCs w:val="32"/>
          <w:highlight w:val="none"/>
        </w:rPr>
        <w:t>指行政单位（包括实行公务员管理的事业单位）未单独设置项级科目的其他项目支出。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交通运输支出（类）公路水路运输（款）公路建设（项）：指新建公路支出，公路建设支出，特大型桥梁建设支出，公路客货运站（场）建设支出。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交通运输支出（类）公路水路运输</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公路养护</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指公路养护支出</w:t>
      </w:r>
      <w:r>
        <w:rPr>
          <w:rFonts w:hint="eastAsia" w:ascii="仿宋_GB2312" w:hAnsi="仿宋_GB2312" w:eastAsia="仿宋_GB2312" w:cs="仿宋_GB2312"/>
          <w:color w:val="auto"/>
          <w:sz w:val="32"/>
          <w:szCs w:val="32"/>
          <w:highlight w:val="none"/>
          <w:lang w:val="en-US" w:eastAsia="zh-CN"/>
        </w:rPr>
        <w:t>。</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交通运输支出（类）公路水路运输</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交通运输信息化建设</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指交通运输信息化建设支出。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交通运输支出（类）公路水路运输</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公路运输管理</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指公路运输管理支出和公路路政管理支出。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交通运输支出（类）公路水路运输</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其他公路水路运输支出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指其他用于公路水路运输方面的支出。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交通运输支出（类）车辆购置税支出（款）车辆购置税用于公路等基础设施建设支出（项）：反映车辆购置税收入安排用于公路等基础设施建设的支出 </w:t>
      </w:r>
      <w:r>
        <w:rPr>
          <w:rFonts w:hint="default" w:ascii="仿宋_GB2312" w:hAnsi="仿宋_GB2312" w:eastAsia="仿宋_GB2312" w:cs="仿宋_GB2312"/>
          <w:color w:val="auto"/>
          <w:sz w:val="32"/>
          <w:szCs w:val="32"/>
          <w:highlight w:val="none"/>
          <w:lang w:eastAsia="zh-CN"/>
        </w:rPr>
        <w:t>。</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交通运输支出（类）其他交通运输支出（款）其他交通运输支出（项）：</w:t>
      </w:r>
      <w:r>
        <w:rPr>
          <w:rFonts w:hint="eastAsia" w:ascii="仿宋_GB2312" w:hAnsi="仿宋_GB2312" w:eastAsia="仿宋_GB2312" w:cs="仿宋_GB2312"/>
          <w:color w:val="auto"/>
          <w:sz w:val="32"/>
          <w:szCs w:val="32"/>
          <w:highlight w:val="none"/>
        </w:rPr>
        <w:t>指其他交通运输支出中除对公共交通运营补助以外的其他支出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住房保障支出（类）住房改革支出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住房公积金</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指行政事业单位按人力资源和社会保障部、财政部规定的基本工资和津贴补贴以及规定比例为职工缴纳的住房公积金。</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灾害防治及应急管理支出（类）自然灾害救灾及恢复重建支出（款）自然灾害灾后重建补助（项）：反映政府预算安排用于自然灾害恢复重建的补助支出。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其他支出（类）其他支出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eastAsia="zh-CN"/>
        </w:rPr>
        <w:t>：反映其他不能划分到具体功能科目中的支出项目</w:t>
      </w:r>
      <w:r>
        <w:rPr>
          <w:rFonts w:hint="eastAsia" w:ascii="仿宋_GB2312" w:hAnsi="仿宋_GB2312" w:eastAsia="仿宋_GB2312" w:cs="仿宋_GB2312"/>
          <w:color w:val="auto"/>
          <w:sz w:val="32"/>
          <w:szCs w:val="32"/>
          <w:highlight w:val="none"/>
        </w:rPr>
        <w:t>。</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基本支出：指为保障机构正常运转、完成日常工作任务而发生的人员支出和公用支出。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项目支出：指在基本支出之外为完成特定行政任务和事业发展目标所发生的支出。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公”经费：指部门用财政拨款安排的公务用车购置及运行费和公务接待费。其中，公务用车购置及运行费反映单位公务用车车辆购置支出（含车辆购置税）及租用费、燃料费、维修费、过路过桥费、保险费等支出；公务接待费反映单位按规定开支的各类公务接待（含外宾接待）支出。</w:t>
      </w:r>
    </w:p>
    <w:p>
      <w:pPr>
        <w:pStyle w:val="33"/>
        <w:keepNext w:val="0"/>
        <w:keepLines w:val="0"/>
        <w:pageBreakBefore w:val="0"/>
        <w:widowControl w:val="0"/>
        <w:numPr>
          <w:ilvl w:val="0"/>
          <w:numId w:val="6"/>
        </w:numPr>
        <w:shd w:val="clear"/>
        <w:kinsoku/>
        <w:wordWrap/>
        <w:overflowPunct/>
        <w:topLinePunct w:val="0"/>
        <w:autoSpaceDE w:val="0"/>
        <w:autoSpaceDN w:val="0"/>
        <w:bidi w:val="0"/>
        <w:adjustRightInd w:val="0"/>
        <w:snapToGrid/>
        <w:spacing w:line="560" w:lineRule="exact"/>
        <w:ind w:left="0" w:leftChars="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机关运行经费：为保障行政单位（含参照公务员法管理的事业单位）运行用于购买货物和服务的各项资金，包括</w:t>
      </w:r>
      <w:r>
        <w:rPr>
          <w:rFonts w:hint="eastAsia" w:ascii="仿宋_GB2312" w:hAnsi="仿宋_GB2312" w:eastAsia="仿宋_GB2312" w:cs="仿宋_GB2312"/>
          <w:color w:val="auto"/>
          <w:sz w:val="32"/>
          <w:szCs w:val="32"/>
          <w:highlight w:val="none"/>
          <w:lang w:eastAsia="zh-CN"/>
        </w:rPr>
        <w:t>办公费、印刷费、手续费、水费、电费、</w:t>
      </w:r>
      <w:r>
        <w:rPr>
          <w:rFonts w:hint="eastAsia" w:ascii="仿宋_GB2312" w:hAnsi="仿宋_GB2312" w:eastAsia="仿宋_GB2312" w:cs="仿宋_GB2312"/>
          <w:color w:val="auto"/>
          <w:sz w:val="32"/>
          <w:szCs w:val="32"/>
          <w:highlight w:val="none"/>
        </w:rPr>
        <w:t>邮电费、</w:t>
      </w:r>
      <w:r>
        <w:rPr>
          <w:rFonts w:hint="eastAsia" w:ascii="仿宋_GB2312" w:hAnsi="仿宋_GB2312" w:eastAsia="仿宋_GB2312" w:cs="仿宋_GB2312"/>
          <w:color w:val="auto"/>
          <w:sz w:val="32"/>
          <w:szCs w:val="32"/>
          <w:highlight w:val="none"/>
          <w:lang w:eastAsia="zh-CN"/>
        </w:rPr>
        <w:t>物业管理费、</w:t>
      </w:r>
      <w:r>
        <w:rPr>
          <w:rFonts w:hint="eastAsia" w:ascii="仿宋_GB2312" w:hAnsi="仿宋_GB2312" w:eastAsia="仿宋_GB2312" w:cs="仿宋_GB2312"/>
          <w:color w:val="auto"/>
          <w:sz w:val="32"/>
          <w:szCs w:val="32"/>
          <w:highlight w:val="none"/>
        </w:rPr>
        <w:t>差旅费、</w:t>
      </w:r>
      <w:r>
        <w:rPr>
          <w:rFonts w:hint="eastAsia" w:ascii="仿宋_GB2312" w:hAnsi="仿宋_GB2312" w:eastAsia="仿宋_GB2312" w:cs="仿宋_GB2312"/>
          <w:color w:val="auto"/>
          <w:sz w:val="32"/>
          <w:szCs w:val="32"/>
          <w:highlight w:val="none"/>
          <w:lang w:eastAsia="zh-CN"/>
        </w:rPr>
        <w:t>维修（护）费、会议费、培训费、公务接待费、劳务费、委托业务费、工会经费、福利费、公务用车运行维护费、其他交通费用、其他商品和服务支出。</w:t>
      </w:r>
    </w:p>
    <w:p>
      <w:pPr>
        <w:keepNext w:val="0"/>
        <w:keepLines w:val="0"/>
        <w:pageBreakBefore w:val="0"/>
        <w:widowControl w:val="0"/>
        <w:shd w:val="clear"/>
        <w:kinsoku/>
        <w:wordWrap/>
        <w:topLinePunct w:val="0"/>
        <w:bidi w:val="0"/>
        <w:spacing w:line="560" w:lineRule="exact"/>
        <w:jc w:val="center"/>
        <w:textAlignment w:val="auto"/>
        <w:outlineLvl w:val="0"/>
        <w:rPr>
          <w:rFonts w:hint="eastAsia" w:ascii="黑体" w:hAnsi="黑体" w:eastAsia="黑体"/>
          <w:color w:val="auto"/>
          <w:sz w:val="44"/>
          <w:szCs w:val="44"/>
          <w:highlight w:val="none"/>
        </w:rPr>
      </w:pPr>
      <w:bookmarkStart w:id="110" w:name="_Toc15377226"/>
      <w:r>
        <w:rPr>
          <w:rFonts w:ascii="宋体"/>
          <w:b/>
          <w:color w:val="auto"/>
          <w:sz w:val="44"/>
          <w:szCs w:val="44"/>
          <w:highlight w:val="none"/>
        </w:rPr>
        <w:br w:type="page"/>
      </w:r>
      <w:bookmarkStart w:id="111" w:name="_Toc15396614"/>
      <w:bookmarkStart w:id="112" w:name="_Toc826076123_WPSOffice_Level1"/>
      <w:bookmarkStart w:id="113" w:name="_Toc4169"/>
      <w:bookmarkStart w:id="114" w:name="_Toc27306"/>
      <w:r>
        <w:rPr>
          <w:rFonts w:hint="eastAsia" w:ascii="黑体" w:hAnsi="黑体" w:eastAsia="黑体"/>
          <w:color w:val="auto"/>
          <w:sz w:val="44"/>
          <w:szCs w:val="44"/>
          <w:highlight w:val="none"/>
        </w:rPr>
        <w:t>第四部分附件</w:t>
      </w:r>
      <w:bookmarkEnd w:id="111"/>
      <w:bookmarkEnd w:id="112"/>
      <w:bookmarkEnd w:id="113"/>
      <w:bookmarkEnd w:id="114"/>
    </w:p>
    <w:bookmarkEnd w:id="110"/>
    <w:p>
      <w:pPr>
        <w:keepNext w:val="0"/>
        <w:keepLines w:val="0"/>
        <w:pageBreakBefore w:val="0"/>
        <w:shd w:val="clear"/>
        <w:kinsoku/>
        <w:wordWrap/>
        <w:overflowPunct/>
        <w:topLinePunct w:val="0"/>
        <w:autoSpaceDE/>
        <w:autoSpaceDN/>
        <w:bidi w:val="0"/>
        <w:spacing w:line="560"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115" w:name="_Toc17536"/>
      <w:bookmarkStart w:id="116" w:name="_Toc6383"/>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15"/>
      <w:bookmarkEnd w:id="116"/>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eastAsia" w:ascii="方正小标宋_GBK" w:hAnsi="方正小标宋_GBK" w:eastAsia="方正小标宋_GBK" w:cs="Droid Sans"/>
          <w:b w:val="0"/>
          <w:bCs w:val="0"/>
          <w:caps w:val="0"/>
          <w:color w:val="auto"/>
          <w:kern w:val="2"/>
          <w:sz w:val="44"/>
          <w:szCs w:val="44"/>
          <w:highlight w:val="none"/>
          <w:vertAlign w:val="baseline"/>
          <w:lang w:val="en-US" w:eastAsia="zh-CN" w:bidi="ar"/>
        </w:rPr>
        <w:t>关于2022年部门整体支出绩效评价</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color w:val="auto"/>
          <w:highlight w:val="none"/>
        </w:rPr>
      </w:pPr>
      <w:r>
        <w:rPr>
          <w:rFonts w:hint="eastAsia" w:ascii="方正小标宋_GBK" w:hAnsi="方正小标宋_GBK" w:eastAsia="方正小标宋_GBK" w:cs="Droid Sans"/>
          <w:b w:val="0"/>
          <w:bCs w:val="0"/>
          <w:caps w:val="0"/>
          <w:color w:val="auto"/>
          <w:kern w:val="2"/>
          <w:sz w:val="44"/>
          <w:szCs w:val="44"/>
          <w:highlight w:val="none"/>
          <w:vertAlign w:val="baseline"/>
          <w:lang w:val="en-US" w:eastAsia="zh-CN" w:bidi="ar"/>
        </w:rPr>
        <w:t>自评情况</w:t>
      </w:r>
    </w:p>
    <w:p>
      <w:pPr>
        <w:keepNext w:val="0"/>
        <w:keepLines w:val="0"/>
        <w:pageBreakBefore w:val="0"/>
        <w:widowControl/>
        <w:shd w:val="clear"/>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bookmarkStart w:id="117" w:name="_Toc911803675_WPSOffice_Level2"/>
      <w:bookmarkStart w:id="118" w:name="_Toc1232661351_WPSOffice_Level1"/>
      <w:r>
        <w:rPr>
          <w:rFonts w:hint="eastAsia" w:ascii="仿宋_GB2312" w:hAnsi="仿宋_GB2312" w:eastAsia="仿宋_GB2312" w:cs="仿宋_GB2312"/>
          <w:color w:val="auto"/>
          <w:sz w:val="32"/>
          <w:szCs w:val="32"/>
          <w:highlight w:val="none"/>
          <w:shd w:val="clear" w:color="auto" w:fill="FFFFFF"/>
        </w:rPr>
        <w:t>（报告范围包括机关和下属单位）</w:t>
      </w:r>
      <w:bookmarkEnd w:id="117"/>
      <w:bookmarkEnd w:id="118"/>
    </w:p>
    <w:p>
      <w:pPr>
        <w:keepNext w:val="0"/>
        <w:keepLines w:val="0"/>
        <w:pageBreakBefore w:val="0"/>
        <w:widowControl w:val="0"/>
        <w:numPr>
          <w:ilvl w:val="0"/>
          <w:numId w:val="0"/>
        </w:numPr>
        <w:suppressLineNumbers w:val="0"/>
        <w:shd w:val="clear"/>
        <w:tabs>
          <w:tab w:val="left" w:pos="0"/>
        </w:tabs>
        <w:suppressAutoHyphens w:val="0"/>
        <w:kinsoku/>
        <w:wordWrap/>
        <w:overflowPunct/>
        <w:topLinePunct w:val="0"/>
        <w:autoSpaceDE/>
        <w:autoSpaceDN w:val="0"/>
        <w:bidi w:val="0"/>
        <w:adjustRightInd w:val="0"/>
        <w:snapToGrid w:val="0"/>
        <w:spacing w:before="0" w:beforeAutospacing="0" w:after="0" w:afterAutospacing="0" w:line="560" w:lineRule="exact"/>
        <w:ind w:leftChars="200" w:right="0" w:rightChars="0"/>
        <w:jc w:val="left"/>
        <w:outlineLvl w:val="1"/>
        <w:rPr>
          <w:rFonts w:hint="default" w:ascii="黑体" w:hAnsi="宋体" w:eastAsia="黑体" w:cs="宋体"/>
          <w:caps w:val="0"/>
          <w:color w:val="auto"/>
          <w:kern w:val="0"/>
          <w:sz w:val="32"/>
          <w:szCs w:val="32"/>
          <w:highlight w:val="none"/>
          <w:shd w:val="clear" w:fill="FFFFFF"/>
          <w:vertAlign w:val="baseline"/>
          <w:lang w:bidi="ar"/>
        </w:rPr>
      </w:pPr>
      <w:bookmarkStart w:id="119" w:name="_Toc687054909_WPSOffice_Level2"/>
      <w:bookmarkStart w:id="120" w:name="_Toc16281"/>
      <w:bookmarkStart w:id="121" w:name="_Toc14134"/>
      <w:bookmarkStart w:id="122" w:name="_Toc1245626603_WPSOffice_Level2"/>
      <w:r>
        <w:rPr>
          <w:rFonts w:hint="eastAsia" w:ascii="黑体" w:hAnsi="宋体" w:eastAsia="黑体" w:cs="宋体"/>
          <w:b w:val="0"/>
          <w:bCs w:val="0"/>
          <w:caps w:val="0"/>
          <w:color w:val="auto"/>
          <w:kern w:val="0"/>
          <w:sz w:val="32"/>
          <w:szCs w:val="32"/>
          <w:highlight w:val="none"/>
          <w:shd w:val="clear" w:fill="FFFFFF"/>
          <w:vertAlign w:val="baseline"/>
          <w:lang w:val="en-US" w:eastAsia="zh-CN" w:bidi="ar"/>
        </w:rPr>
        <w:t>一、</w:t>
      </w:r>
      <w:r>
        <w:rPr>
          <w:rFonts w:hint="default" w:ascii="黑体" w:hAnsi="宋体" w:eastAsia="黑体" w:cs="宋体"/>
          <w:b w:val="0"/>
          <w:bCs w:val="0"/>
          <w:caps w:val="0"/>
          <w:color w:val="auto"/>
          <w:kern w:val="0"/>
          <w:sz w:val="32"/>
          <w:szCs w:val="32"/>
          <w:highlight w:val="none"/>
          <w:shd w:val="clear" w:fill="FFFFFF"/>
          <w:vertAlign w:val="baseline"/>
          <w:lang w:val="en-US" w:eastAsia="zh-CN" w:bidi="ar"/>
        </w:rPr>
        <w:t>部门基本情况</w:t>
      </w:r>
      <w:bookmarkEnd w:id="119"/>
      <w:bookmarkEnd w:id="120"/>
      <w:bookmarkEnd w:id="121"/>
      <w:bookmarkEnd w:id="122"/>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楷体_GB2312" w:eastAsia="楷体_GB2312" w:cs="楷体_GB2312"/>
          <w:caps w:val="0"/>
          <w:color w:val="auto"/>
          <w:kern w:val="0"/>
          <w:sz w:val="32"/>
          <w:szCs w:val="32"/>
          <w:highlight w:val="none"/>
          <w:shd w:val="clear" w:fill="FFFFFF"/>
          <w:vertAlign w:val="baseline"/>
        </w:rPr>
      </w:pPr>
      <w:r>
        <w:rPr>
          <w:rFonts w:hint="eastAsia" w:ascii="楷体_GB2312" w:eastAsia="楷体_GB2312" w:cs="楷体_GB2312"/>
          <w:b w:val="0"/>
          <w:bCs w:val="0"/>
          <w:caps w:val="0"/>
          <w:color w:val="auto"/>
          <w:kern w:val="0"/>
          <w:sz w:val="32"/>
          <w:szCs w:val="32"/>
          <w:highlight w:val="none"/>
          <w:shd w:val="clear" w:fill="FFFFFF"/>
          <w:vertAlign w:val="baseline"/>
          <w:lang w:val="en-US" w:eastAsia="zh-CN" w:bidi="ar"/>
        </w:rPr>
        <w:t>（</w:t>
      </w:r>
      <w:r>
        <w:rPr>
          <w:rFonts w:hint="default" w:ascii="楷体_GB2312" w:hAnsi="Times New Roman" w:eastAsia="楷体_GB2312" w:cs="楷体_GB2312"/>
          <w:b w:val="0"/>
          <w:bCs w:val="0"/>
          <w:caps w:val="0"/>
          <w:color w:val="auto"/>
          <w:kern w:val="0"/>
          <w:sz w:val="32"/>
          <w:szCs w:val="32"/>
          <w:highlight w:val="none"/>
          <w:shd w:val="clear" w:fill="FFFFFF"/>
          <w:vertAlign w:val="baseline"/>
          <w:lang w:val="en-US" w:eastAsia="zh-CN" w:bidi="ar"/>
        </w:rPr>
        <w:t>一)机构组成</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eastAsia="仿宋_GB2312" w:cs="Times New Roman"/>
          <w:caps w:val="0"/>
          <w:color w:val="auto"/>
          <w:sz w:val="32"/>
          <w:szCs w:val="32"/>
          <w:highlight w:val="none"/>
          <w:vertAlign w:val="baseline"/>
          <w:lang w:bidi="ar"/>
        </w:rPr>
        <w:t>市委、市政府《关于印发&lt;广元市人民政府机构改革方案&gt;和&lt;关于广元市人民政府机构改革方案的实施意见&gt;的通知》</w:t>
      </w:r>
      <w:r>
        <w:rPr>
          <w:rFonts w:hint="eastAsia" w:ascii="仿宋_GB2312" w:eastAsia="仿宋_GB2312" w:cs="Times New Roman"/>
          <w:caps w:val="0"/>
          <w:color w:val="auto"/>
          <w:sz w:val="32"/>
          <w:szCs w:val="32"/>
          <w:highlight w:val="none"/>
          <w:vertAlign w:val="baseline"/>
          <w:lang w:eastAsia="zh-CN" w:bidi="ar"/>
        </w:rPr>
        <w:t>（</w:t>
      </w:r>
      <w:r>
        <w:rPr>
          <w:rFonts w:hint="eastAsia" w:ascii="仿宋_GB2312" w:eastAsia="仿宋_GB2312" w:cs="Times New Roman"/>
          <w:caps w:val="0"/>
          <w:color w:val="auto"/>
          <w:sz w:val="32"/>
          <w:szCs w:val="32"/>
          <w:highlight w:val="none"/>
          <w:vertAlign w:val="baseline"/>
          <w:lang w:bidi="ar"/>
        </w:rPr>
        <w:t>广委〔2010〕70号）设立广元市交通运输局，为市政府工作部门。机关内设12个职能科室，下辖6个直属事业单位,其中</w:t>
      </w:r>
      <w:r>
        <w:rPr>
          <w:rFonts w:hint="eastAsia" w:ascii="仿宋_GB2312" w:eastAsia="仿宋_GB2312" w:cs="Times New Roman"/>
          <w:caps w:val="0"/>
          <w:color w:val="auto"/>
          <w:sz w:val="32"/>
          <w:szCs w:val="32"/>
          <w:highlight w:val="none"/>
          <w:vertAlign w:val="baseline"/>
          <w:lang w:eastAsia="zh-CN" w:bidi="ar"/>
        </w:rPr>
        <w:t>：</w:t>
      </w:r>
      <w:r>
        <w:rPr>
          <w:rFonts w:hint="eastAsia" w:ascii="仿宋_GB2312" w:eastAsia="仿宋_GB2312" w:cs="Times New Roman"/>
          <w:caps w:val="0"/>
          <w:color w:val="auto"/>
          <w:sz w:val="32"/>
          <w:szCs w:val="32"/>
          <w:highlight w:val="none"/>
          <w:vertAlign w:val="baseline"/>
          <w:lang w:bidi="ar"/>
        </w:rPr>
        <w:t>市港航发展中心（下属广元航道段和苍溪航道段）和市交通技工学校为一级预算单位，市公路建设服务中心、市交通运输综合行政执法支队、市交通运输指挥中心、市交通建设工程造价站为二级预算单位。</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楷体_GB2312" w:eastAsia="楷体_GB2312" w:cs="楷体_GB2312"/>
          <w:caps w:val="0"/>
          <w:color w:val="auto"/>
          <w:kern w:val="0"/>
          <w:sz w:val="32"/>
          <w:szCs w:val="32"/>
          <w:highlight w:val="none"/>
          <w:shd w:val="clear" w:fill="FFFFFF"/>
          <w:vertAlign w:val="baseline"/>
        </w:rPr>
      </w:pPr>
      <w:r>
        <w:rPr>
          <w:rFonts w:hint="eastAsia" w:ascii="楷体_GB2312" w:hAnsi="Times New Roman" w:eastAsia="楷体_GB2312" w:cs="楷体_GB2312"/>
          <w:b w:val="0"/>
          <w:bCs w:val="0"/>
          <w:caps w:val="0"/>
          <w:color w:val="auto"/>
          <w:kern w:val="0"/>
          <w:sz w:val="32"/>
          <w:szCs w:val="32"/>
          <w:highlight w:val="none"/>
          <w:shd w:val="clear" w:fill="FFFFFF"/>
          <w:vertAlign w:val="baseline"/>
          <w:lang w:val="en-US" w:eastAsia="zh-CN" w:bidi="ar"/>
        </w:rPr>
        <w:t>（二）机构职能</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1.负责贯彻执行国家有关交通运输行业的方针、政策和法律、法规。组织拟订并监督实施公路、水路等行业规划、政策和标准，会同相关部门组织编制综合运输体系规划，参与拟订物流业发展战略和规划。</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2.拟订全市交通运输政策规定，负责本系统、本部门依法行政工作，落实行政执法责任制。指导公路、水路行业有关体制改革工作。承担地方高速公路管理的有关工作。</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3.承担道路、水路交通运输市场监管责任，组织制订道路、水路运输有关政策并监督实施。指导城乡客运管理工作，指导出租汽车行业管理工作，会同相关部门制定运输价格。</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4.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5.负责提出公路、水路固定资产投资规模和方向、市财政性资金安排建议，按照规定权限审批、核准国家、省、市规划内和年度计划规模内固定资产投资项目；会同相关部门拟订公路、水路有关规费政策并监督实施，提出有关财政、土地、价格等政策建议；指导交通运输行业审计工作。</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6.承担公路、水路建设市场监管责任。拟订公路、水路工程建设相关政策、制度、技术标准并监督实施，组织实施公路、水路有关重点工程建设和工程质量、安全生产监督管理工作；负责对交通行业和产业项目的招标投标活动的监督执法；指导交通运输基础设施管理和维护，承担有关重要设施的管理和维护；按规定负责港口规划和港口岸线使用管理工作；负责公路、桥梁、隧道收取通行费及站卡设置的协调和归口管理，指导交通运输行业特许经营管理；会同相关部门组织实施交通运输行业职业资格管理工作。</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7.指导公路、水路行业安全生产和应急管理工作。按规定组织协调国家及省市重点物资和紧急客货运输，负责重点干线路网运行监测和协调；组织协调地方交通战备工作，承担国防动员有关工作。</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8.贯彻实施交通运输科技政策，组织重大科技开发；指导交通运输信息化建设，监测分析运行情况，开展相关统计工作，发布有关信息。指导公路、水路行业环境保护和节能减排工作。</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9.负责公路、水路有关涉外工作，开展对外经济技术交流与合作，指导全市交通运输行业招商引资和利用外资工作。</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10.承担市政府公布的有关行政审批事项。</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11.承办市政府交办的其他事项</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楷体_GB2312" w:eastAsia="楷体_GB2312" w:cs="Times New Roman"/>
          <w:caps w:val="0"/>
          <w:color w:val="auto"/>
          <w:sz w:val="32"/>
          <w:szCs w:val="32"/>
          <w:highlight w:val="none"/>
          <w:vertAlign w:val="baseline"/>
          <w:lang w:bidi="ar"/>
        </w:rPr>
      </w:pPr>
      <w:r>
        <w:rPr>
          <w:rFonts w:hint="eastAsia" w:ascii="楷体_GB2312" w:hAnsi="Times New Roman" w:eastAsia="楷体_GB2312" w:cs="Times New Roman"/>
          <w:b w:val="0"/>
          <w:bCs w:val="0"/>
          <w:caps w:val="0"/>
          <w:color w:val="auto"/>
          <w:kern w:val="2"/>
          <w:sz w:val="32"/>
          <w:szCs w:val="32"/>
          <w:highlight w:val="none"/>
          <w:vertAlign w:val="baseline"/>
          <w:lang w:val="en-US" w:eastAsia="zh-CN" w:bidi="ar"/>
        </w:rPr>
        <w:t>（三）人员概况</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截至2022年底我部门共有在职人员225人、离休人员2人、退休人员127人。</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420" w:leftChars="200" w:right="0" w:firstLine="0"/>
        <w:jc w:val="left"/>
        <w:outlineLvl w:val="9"/>
        <w:rPr>
          <w:rFonts w:hint="eastAsia" w:ascii="楷体_GB2312" w:eastAsia="楷体_GB2312" w:cs="楷体_GB2312"/>
          <w:caps w:val="0"/>
          <w:color w:val="auto"/>
          <w:kern w:val="0"/>
          <w:sz w:val="32"/>
          <w:szCs w:val="32"/>
          <w:highlight w:val="none"/>
          <w:shd w:val="clear" w:fill="FFFFFF"/>
          <w:vertAlign w:val="baseline"/>
        </w:rPr>
      </w:pPr>
      <w:r>
        <w:rPr>
          <w:rFonts w:hint="eastAsia" w:ascii="楷体_GB2312" w:hAnsi="Times New Roman" w:eastAsia="楷体_GB2312" w:cs="楷体_GB2312"/>
          <w:b w:val="0"/>
          <w:bCs w:val="0"/>
          <w:caps w:val="0"/>
          <w:color w:val="auto"/>
          <w:kern w:val="0"/>
          <w:sz w:val="32"/>
          <w:szCs w:val="32"/>
          <w:highlight w:val="none"/>
          <w:shd w:val="clear" w:fill="FFFFFF"/>
          <w:vertAlign w:val="baseline"/>
          <w:lang w:val="en-US" w:eastAsia="zh-CN" w:bidi="ar"/>
        </w:rPr>
        <w:t>（四）年度主要工作任务</w:t>
      </w:r>
    </w:p>
    <w:p>
      <w:pPr>
        <w:keepNext w:val="0"/>
        <w:keepLines w:val="0"/>
        <w:pageBreakBefore w:val="0"/>
        <w:widowControl w:val="0"/>
        <w:suppressLineNumbers w:val="0"/>
        <w:shd w:val="clear"/>
        <w:suppressAutoHyphens w:val="0"/>
        <w:kinsoku/>
        <w:wordWrap/>
        <w:overflowPunct w:val="0"/>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2022年，</w:t>
      </w:r>
      <w:r>
        <w:rPr>
          <w:rFonts w:hint="eastAsia" w:ascii="仿宋_GB2312" w:hAnsi="Times New Roman" w:eastAsia="仿宋_GB2312" w:cs="方正小标宋简体"/>
          <w:b w:val="0"/>
          <w:bCs w:val="0"/>
          <w:caps w:val="0"/>
          <w:color w:val="auto"/>
          <w:kern w:val="2"/>
          <w:sz w:val="32"/>
          <w:szCs w:val="32"/>
          <w:highlight w:val="none"/>
          <w:vertAlign w:val="baseline"/>
          <w:lang w:val="en-US" w:eastAsia="zh-CN" w:bidi="ar"/>
        </w:rPr>
        <w:t>全市交通运输工作在市委、市政府的坚强领导和省交通运输厅的大力支持下，</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紧紧围绕“打造全国性综合交通枢纽、建设国家物流枢纽承载城市”目标，坚决贯彻落实国家、省、市关于稳住经济大盘的决策部署，坚持以项目为王，抓项目促投资，强管理优服务，统筹推进疫情防控和交通运输发展，较好的完成全年各项目标任务</w:t>
      </w: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楷体_GB2312" w:eastAsia="楷体_GB2312" w:cs="楷体_GB2312"/>
          <w:caps w:val="0"/>
          <w:color w:val="auto"/>
          <w:kern w:val="0"/>
          <w:sz w:val="32"/>
          <w:szCs w:val="32"/>
          <w:highlight w:val="none"/>
          <w:shd w:val="clear" w:fill="FFFFFF"/>
          <w:vertAlign w:val="baseline"/>
        </w:rPr>
      </w:pPr>
      <w:r>
        <w:rPr>
          <w:rFonts w:hint="eastAsia" w:ascii="楷体_GB2312" w:hAnsi="Times New Roman" w:eastAsia="楷体_GB2312" w:cs="楷体_GB2312"/>
          <w:b w:val="0"/>
          <w:bCs w:val="0"/>
          <w:caps w:val="0"/>
          <w:color w:val="auto"/>
          <w:kern w:val="0"/>
          <w:sz w:val="32"/>
          <w:szCs w:val="32"/>
          <w:highlight w:val="none"/>
          <w:shd w:val="clear" w:fill="FFFFFF"/>
          <w:vertAlign w:val="baseline"/>
          <w:lang w:val="en-US" w:eastAsia="zh-CN" w:bidi="ar"/>
        </w:rPr>
        <w:t>（五）部门整体支出绩效目标</w:t>
      </w:r>
    </w:p>
    <w:p>
      <w:pPr>
        <w:keepNext w:val="0"/>
        <w:keepLines w:val="0"/>
        <w:pageBreakBefore w:val="0"/>
        <w:widowControl w:val="0"/>
        <w:suppressLineNumbers w:val="0"/>
        <w:shd w:val="clear"/>
        <w:suppressAutoHyphens w:val="0"/>
        <w:kinsoku/>
        <w:wordWrap/>
        <w:overflowPunct w:val="0"/>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sz w:val="32"/>
          <w:szCs w:val="32"/>
          <w:highlight w:val="none"/>
          <w:vertAlign w:val="baseline"/>
          <w:lang w:bidi="ar"/>
        </w:rPr>
      </w:pP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1.</w:t>
      </w:r>
      <w:r>
        <w:rPr>
          <w:rFonts w:hint="eastAsia" w:ascii="仿宋_GB2312" w:hAnsi="Times New Roman" w:eastAsia="仿宋_GB2312" w:cs="仿宋_GB2312"/>
          <w:b w:val="0"/>
          <w:bCs/>
          <w:caps w:val="0"/>
          <w:color w:val="auto"/>
          <w:kern w:val="2"/>
          <w:sz w:val="32"/>
          <w:szCs w:val="32"/>
          <w:highlight w:val="none"/>
          <w:vertAlign w:val="baseline"/>
          <w:lang w:val="en-US" w:eastAsia="zh-CN" w:bidi="ar"/>
        </w:rPr>
        <w:t>扛责任守底线，全面打赢疫情防控阻击战。常态化推进疫情防控，自去年4月22日开展“入川即检”工作以来，全市交通运输部门认真履行入川首站责任制，从严落实“入川即检”，在全市61个交通卡口实行点长负责制、成立临时党支部，24小时开展来（返）广人员健康查验和风险人员分类转运工作，确保不漏一车一人。</w:t>
      </w:r>
    </w:p>
    <w:p>
      <w:pPr>
        <w:keepNext w:val="0"/>
        <w:keepLines w:val="0"/>
        <w:pageBreakBefore w:val="0"/>
        <w:widowControl w:val="0"/>
        <w:suppressLineNumbers w:val="0"/>
        <w:shd w:val="clear"/>
        <w:suppressAutoHyphens w:val="0"/>
        <w:kinsoku/>
        <w:wordWrap/>
        <w:overflowPunct w:val="0"/>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sz w:val="32"/>
          <w:szCs w:val="32"/>
          <w:highlight w:val="none"/>
          <w:vertAlign w:val="baseline"/>
          <w:lang w:bidi="ar"/>
        </w:rPr>
      </w:pP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2.</w:t>
      </w:r>
      <w:r>
        <w:rPr>
          <w:rFonts w:hint="eastAsia" w:ascii="仿宋_GB2312" w:hAnsi="Times New Roman" w:eastAsia="仿宋_GB2312" w:cs="仿宋_GB2312"/>
          <w:b w:val="0"/>
          <w:bCs/>
          <w:caps w:val="0"/>
          <w:color w:val="auto"/>
          <w:kern w:val="2"/>
          <w:sz w:val="32"/>
          <w:szCs w:val="32"/>
          <w:highlight w:val="none"/>
          <w:vertAlign w:val="baseline"/>
          <w:lang w:val="en-US" w:eastAsia="zh-CN" w:bidi="ar"/>
        </w:rPr>
        <w:t>促投资稳增长，交通项目建设势头强劲。一是全市交通建设完成投资164.98亿元，同比增长21%，占年度目标的126.9%。二是全市向上争取到位交通项目补助资金19.3亿元（其中市本级13.58亿元），成功申请政府专项债券</w:t>
      </w:r>
      <w:r>
        <w:rPr>
          <w:rFonts w:hint="eastAsia" w:ascii="仿宋_GB2312" w:hAnsi="Times New Roman" w:eastAsia="仿宋_GB2312" w:cs="仿宋_GB2312"/>
          <w:b w:val="0"/>
          <w:bCs/>
          <w:caps w:val="0"/>
          <w:color w:val="auto"/>
          <w:spacing w:val="0"/>
          <w:kern w:val="2"/>
          <w:sz w:val="32"/>
          <w:szCs w:val="32"/>
          <w:highlight w:val="none"/>
          <w:vertAlign w:val="baseline"/>
          <w:lang w:val="en-US" w:eastAsia="zh-CN" w:bidi="ar"/>
        </w:rPr>
        <w:t>资金2.45亿元。三是重大项目建设扎实推进。</w:t>
      </w:r>
      <w:r>
        <w:rPr>
          <w:rFonts w:hint="eastAsia" w:ascii="仿宋_GB2312" w:hAnsi="Times New Roman" w:eastAsia="仿宋_GB2312" w:cs="仿宋_GB2312"/>
          <w:b w:val="0"/>
          <w:bCs/>
          <w:caps w:val="0"/>
          <w:color w:val="auto"/>
          <w:kern w:val="2"/>
          <w:sz w:val="32"/>
          <w:szCs w:val="32"/>
          <w:highlight w:val="none"/>
          <w:vertAlign w:val="baseline"/>
          <w:lang w:val="en-US" w:eastAsia="zh-CN" w:bidi="ar"/>
        </w:rPr>
        <w:t>全市交通项目投资工作，被省交通运输厅评为高速公路项目建设成效显著的市（州）、重点交通项目推进“红榜”第一名。</w:t>
      </w:r>
    </w:p>
    <w:p>
      <w:pPr>
        <w:keepNext w:val="0"/>
        <w:keepLines w:val="0"/>
        <w:pageBreakBefore w:val="0"/>
        <w:widowControl w:val="0"/>
        <w:suppressLineNumbers w:val="0"/>
        <w:shd w:val="clear"/>
        <w:suppressAutoHyphens w:val="0"/>
        <w:kinsoku/>
        <w:wordWrap/>
        <w:overflowPunct w:val="0"/>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sz w:val="32"/>
          <w:szCs w:val="32"/>
          <w:highlight w:val="none"/>
          <w:vertAlign w:val="baseline"/>
          <w:lang w:bidi="ar"/>
        </w:rPr>
      </w:pP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3.</w:t>
      </w:r>
      <w:r>
        <w:rPr>
          <w:rFonts w:hint="eastAsia" w:ascii="仿宋_GB2312" w:hAnsi="Times New Roman" w:eastAsia="仿宋_GB2312" w:cs="仿宋_GB2312"/>
          <w:b w:val="0"/>
          <w:bCs/>
          <w:caps w:val="0"/>
          <w:color w:val="auto"/>
          <w:kern w:val="2"/>
          <w:sz w:val="32"/>
          <w:szCs w:val="32"/>
          <w:highlight w:val="none"/>
          <w:vertAlign w:val="baseline"/>
          <w:lang w:val="en-US" w:eastAsia="zh-CN" w:bidi="ar"/>
        </w:rPr>
        <w:t>强化规划引领，交通专项规划取得初步成果。紧紧围绕打造全国性综合交通枢纽的总目标，推动出台《关于高质量打造全国性综合交通枢纽加快建设交通强市的实施意见》，完成《广元市综合交通枢纽总体规划》《广元市交通强省试点市实施方案》等规划编制，实现省道新增1000公里，新增总量排全省第3名。</w:t>
      </w:r>
    </w:p>
    <w:p>
      <w:pPr>
        <w:keepNext w:val="0"/>
        <w:keepLines w:val="0"/>
        <w:pageBreakBefore w:val="0"/>
        <w:widowControl w:val="0"/>
        <w:suppressLineNumbers w:val="0"/>
        <w:shd w:val="clear"/>
        <w:suppressAutoHyphens w:val="0"/>
        <w:kinsoku/>
        <w:wordWrap/>
        <w:overflowPunct w:val="0"/>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sz w:val="32"/>
          <w:szCs w:val="32"/>
          <w:highlight w:val="none"/>
          <w:vertAlign w:val="baseline"/>
          <w:lang w:bidi="ar"/>
        </w:rPr>
      </w:pP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4.</w:t>
      </w:r>
      <w:r>
        <w:rPr>
          <w:rFonts w:hint="eastAsia" w:ascii="仿宋_GB2312" w:hAnsi="Times New Roman" w:eastAsia="仿宋_GB2312" w:cs="仿宋_GB2312"/>
          <w:b w:val="0"/>
          <w:bCs/>
          <w:caps w:val="0"/>
          <w:color w:val="auto"/>
          <w:kern w:val="2"/>
          <w:sz w:val="32"/>
          <w:szCs w:val="32"/>
          <w:highlight w:val="none"/>
          <w:vertAlign w:val="baseline"/>
          <w:lang w:val="en-US" w:eastAsia="zh-CN" w:bidi="ar"/>
        </w:rPr>
        <w:t>聚力乡村振兴，“四好农村路”高质量发展。大力实施农村公路专项工程，推动青川县和旺苍县成功创建“四好农村路”省级示范县，朝天区成功创建“四好农村路”国家级示范县，全市所有县区均创建为省级示范县，为创建“四好农村路”省级示范市奠定了坚实基础。</w:t>
      </w:r>
    </w:p>
    <w:p>
      <w:pPr>
        <w:keepNext w:val="0"/>
        <w:keepLines w:val="0"/>
        <w:pageBreakBefore w:val="0"/>
        <w:widowControl w:val="0"/>
        <w:suppressLineNumbers w:val="0"/>
        <w:shd w:val="clear"/>
        <w:suppressAutoHyphens w:val="0"/>
        <w:kinsoku/>
        <w:wordWrap/>
        <w:overflowPunct w:val="0"/>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sz w:val="32"/>
          <w:szCs w:val="32"/>
          <w:highlight w:val="none"/>
          <w:vertAlign w:val="baseline"/>
          <w:lang w:bidi="ar"/>
        </w:rPr>
      </w:pP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5.</w:t>
      </w:r>
      <w:r>
        <w:rPr>
          <w:rFonts w:hint="eastAsia" w:ascii="仿宋_GB2312" w:hAnsi="Times New Roman" w:eastAsia="仿宋_GB2312" w:cs="仿宋_GB2312"/>
          <w:b w:val="0"/>
          <w:bCs/>
          <w:caps w:val="0"/>
          <w:color w:val="auto"/>
          <w:kern w:val="2"/>
          <w:sz w:val="32"/>
          <w:szCs w:val="32"/>
          <w:highlight w:val="none"/>
          <w:vertAlign w:val="baseline"/>
          <w:lang w:val="en-US" w:eastAsia="zh-CN" w:bidi="ar"/>
        </w:rPr>
        <w:t>强</w:t>
      </w:r>
      <w:r>
        <w:rPr>
          <w:rFonts w:hint="eastAsia" w:ascii="仿宋_GB2312" w:hAnsi="Times New Roman" w:eastAsia="仿宋_GB2312" w:cs="仿宋_GB2312"/>
          <w:b w:val="0"/>
          <w:bCs/>
          <w:caps w:val="0"/>
          <w:color w:val="auto"/>
          <w:spacing w:val="0"/>
          <w:kern w:val="2"/>
          <w:sz w:val="32"/>
          <w:szCs w:val="32"/>
          <w:highlight w:val="none"/>
          <w:vertAlign w:val="baseline"/>
          <w:lang w:val="en-US" w:eastAsia="zh-CN" w:bidi="ar"/>
        </w:rPr>
        <w:t>化管养并重，公路管养体系更加健全。将公路管养指标纳入对县区党委政府年度考评体系，建立完善公路养护管理办法，全面推进农村公路“路长制”，全市公路路况保持较高水平。</w:t>
      </w:r>
    </w:p>
    <w:p>
      <w:pPr>
        <w:keepNext w:val="0"/>
        <w:keepLines w:val="0"/>
        <w:pageBreakBefore w:val="0"/>
        <w:widowControl w:val="0"/>
        <w:suppressLineNumbers w:val="0"/>
        <w:shd w:val="clear"/>
        <w:suppressAutoHyphens w:val="0"/>
        <w:kinsoku/>
        <w:wordWrap/>
        <w:overflowPunct w:val="0"/>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eastAsia" w:ascii="仿宋_GB2312" w:eastAsia="仿宋_GB2312" w:cs="仿宋_GB2312"/>
          <w:b w:val="0"/>
          <w:bCs/>
          <w:caps w:val="0"/>
          <w:color w:val="auto"/>
          <w:sz w:val="32"/>
          <w:szCs w:val="32"/>
          <w:highlight w:val="none"/>
          <w:vertAlign w:val="baseline"/>
          <w:lang w:bidi="ar"/>
        </w:rPr>
      </w:pP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6.</w:t>
      </w:r>
      <w:r>
        <w:rPr>
          <w:rFonts w:hint="eastAsia" w:ascii="仿宋_GB2312" w:hAnsi="Times New Roman" w:eastAsia="仿宋_GB2312" w:cs="仿宋_GB2312"/>
          <w:b w:val="0"/>
          <w:bCs/>
          <w:caps w:val="0"/>
          <w:color w:val="auto"/>
          <w:kern w:val="2"/>
          <w:sz w:val="32"/>
          <w:szCs w:val="32"/>
          <w:highlight w:val="none"/>
          <w:vertAlign w:val="baseline"/>
          <w:lang w:val="en-US" w:eastAsia="zh-CN" w:bidi="ar"/>
        </w:rPr>
        <w:t>强转型谋发展，推进运输服务提质增效。推进道路运输转型发展。大力拓展乡村运输“金通工程”</w:t>
      </w: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w:t>
      </w:r>
      <w:r>
        <w:rPr>
          <w:rFonts w:hint="eastAsia" w:ascii="仿宋_GB2312" w:hAnsi="Times New Roman" w:eastAsia="仿宋_GB2312" w:cs="仿宋_GB2312"/>
          <w:b w:val="0"/>
          <w:bCs/>
          <w:caps w:val="0"/>
          <w:color w:val="auto"/>
          <w:kern w:val="2"/>
          <w:sz w:val="32"/>
          <w:szCs w:val="32"/>
          <w:highlight w:val="none"/>
          <w:vertAlign w:val="baseline"/>
          <w:lang w:val="en-US" w:eastAsia="zh-CN" w:bidi="ar"/>
        </w:rPr>
        <w:t>推进现代物流高质量发展，编制现代物流产业链图谱，建立物流产业发展智库，出台支持货运企业加快发展7条措施，新培育货运企业7家。全市完成公路客货运输周转量61.8亿吨公里，同比增长3.7%，排名全省第5位。推进水运发展取得攻坚突破。大力拓展水路运输市场，新购货运船舶10艘；实施嘉陵江高等级航道养护，全面完成平安渡运建设。</w:t>
      </w:r>
    </w:p>
    <w:p>
      <w:pPr>
        <w:keepNext w:val="0"/>
        <w:keepLines w:val="0"/>
        <w:pageBreakBefore w:val="0"/>
        <w:widowControl/>
        <w:suppressLineNumbers w:val="0"/>
        <w:shd w:val="clear"/>
        <w:suppressAutoHyphens/>
        <w:kinsoku/>
        <w:wordWrap/>
        <w:overflowPunct w:val="0"/>
        <w:topLinePunct w:val="0"/>
        <w:autoSpaceDE/>
        <w:autoSpaceDN w:val="0"/>
        <w:bidi w:val="0"/>
        <w:adjustRightInd w:val="0"/>
        <w:snapToGrid w:val="0"/>
        <w:spacing w:before="0" w:beforeAutospacing="0" w:after="0" w:afterAutospacing="0" w:line="560" w:lineRule="exact"/>
        <w:ind w:left="0" w:right="0" w:firstLine="640" w:firstLineChars="200"/>
        <w:jc w:val="left"/>
        <w:outlineLvl w:val="1"/>
        <w:rPr>
          <w:rFonts w:hint="default" w:ascii="黑体" w:hAnsi="宋体" w:eastAsia="黑体" w:cs="宋体"/>
          <w:caps w:val="0"/>
          <w:color w:val="auto"/>
          <w:kern w:val="0"/>
          <w:sz w:val="32"/>
          <w:szCs w:val="32"/>
          <w:highlight w:val="none"/>
          <w:shd w:val="clear" w:fill="FFFFFF"/>
          <w:vertAlign w:val="baseline"/>
          <w:lang w:bidi="ar"/>
        </w:rPr>
      </w:pPr>
      <w:bookmarkStart w:id="123" w:name="_Toc18656"/>
      <w:bookmarkStart w:id="124" w:name="_Toc991531076_WPSOffice_Level2"/>
      <w:bookmarkStart w:id="125" w:name="_Toc2009996028_WPSOffice_Level2"/>
      <w:bookmarkStart w:id="126" w:name="_Toc1076"/>
      <w:r>
        <w:rPr>
          <w:rFonts w:hint="default" w:ascii="黑体" w:hAnsi="宋体" w:eastAsia="黑体" w:cs="宋体"/>
          <w:b w:val="0"/>
          <w:bCs w:val="0"/>
          <w:caps w:val="0"/>
          <w:color w:val="auto"/>
          <w:kern w:val="0"/>
          <w:sz w:val="32"/>
          <w:szCs w:val="32"/>
          <w:highlight w:val="none"/>
          <w:shd w:val="clear" w:fill="FFFFFF"/>
          <w:vertAlign w:val="baseline"/>
          <w:lang w:val="en-US" w:eastAsia="zh-CN" w:bidi="ar"/>
        </w:rPr>
        <w:t>二、部门资金收支情况</w:t>
      </w:r>
      <w:bookmarkEnd w:id="123"/>
      <w:bookmarkEnd w:id="124"/>
      <w:bookmarkEnd w:id="125"/>
      <w:bookmarkEnd w:id="126"/>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楷体_GB2312" w:eastAsia="楷体_GB2312" w:cs="楷体_GB2312"/>
          <w:caps w:val="0"/>
          <w:color w:val="auto"/>
          <w:kern w:val="0"/>
          <w:sz w:val="32"/>
          <w:szCs w:val="32"/>
          <w:highlight w:val="none"/>
          <w:shd w:val="clear" w:fill="FFFFFF"/>
          <w:vertAlign w:val="baseline"/>
        </w:rPr>
      </w:pPr>
      <w:r>
        <w:rPr>
          <w:rFonts w:hint="eastAsia" w:ascii="楷体_GB2312" w:hAnsi="Times New Roman" w:eastAsia="楷体_GB2312" w:cs="楷体_GB2312"/>
          <w:b w:val="0"/>
          <w:bCs w:val="0"/>
          <w:caps w:val="0"/>
          <w:color w:val="auto"/>
          <w:kern w:val="0"/>
          <w:sz w:val="32"/>
          <w:szCs w:val="32"/>
          <w:highlight w:val="none"/>
          <w:shd w:val="clear" w:fill="FFFFFF"/>
          <w:vertAlign w:val="baseline"/>
          <w:lang w:val="en-US" w:eastAsia="zh-CN" w:bidi="ar"/>
        </w:rPr>
        <w:t>（一）部门总体收支情况</w:t>
      </w:r>
    </w:p>
    <w:p>
      <w:pPr>
        <w:keepNext w:val="0"/>
        <w:keepLines w:val="0"/>
        <w:pageBreakBefore w:val="0"/>
        <w:widowControl w:val="0"/>
        <w:suppressLineNumbers w:val="0"/>
        <w:shd w:val="clear"/>
        <w:suppressAutoHyphens w:val="0"/>
        <w:kinsoku/>
        <w:wordWrap/>
        <w:overflowPunct w:val="0"/>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1.部门总体收入情况。2022年，我局收入总计48839.22万元，其中：一般公共预算财政拨款收入9175.93万元，占比18.79%;政府性基金预算财政拨款收入11175.96万元,占比22.88%;其他收入20952.02万元，占比42.90%；上年结转结余7535.31万元，占比15.43%。</w:t>
      </w:r>
    </w:p>
    <w:p>
      <w:pPr>
        <w:keepNext w:val="0"/>
        <w:keepLines w:val="0"/>
        <w:pageBreakBefore w:val="0"/>
        <w:widowControl w:val="0"/>
        <w:suppressLineNumbers w:val="0"/>
        <w:shd w:val="clear"/>
        <w:suppressAutoHyphens w:val="0"/>
        <w:kinsoku/>
        <w:wordWrap/>
        <w:overflowPunct w:val="0"/>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2.部门总体支出情况。2022年支出总额44167.45万元，其中：基本支出5046.64万元，占比11.43%;项目支出39120.08万元,占比88.57%。</w:t>
      </w:r>
    </w:p>
    <w:p>
      <w:pPr>
        <w:keepNext w:val="0"/>
        <w:keepLines w:val="0"/>
        <w:pageBreakBefore w:val="0"/>
        <w:widowControl w:val="0"/>
        <w:suppressLineNumbers w:val="0"/>
        <w:shd w:val="clear"/>
        <w:suppressAutoHyphens w:val="0"/>
        <w:kinsoku/>
        <w:wordWrap/>
        <w:overflowPunct w:val="0"/>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3.部门总体结转结余情况。2022年年末结转总额4671.76万元，其中</w:t>
      </w:r>
      <w:r>
        <w:rPr>
          <w:rFonts w:hint="eastAsia" w:ascii="仿宋_GB2312" w:eastAsia="仿宋_GB2312" w:cs="Times New Roman"/>
          <w:b w:val="0"/>
          <w:bCs w:val="0"/>
          <w:caps w:val="0"/>
          <w:color w:val="auto"/>
          <w:kern w:val="2"/>
          <w:sz w:val="32"/>
          <w:szCs w:val="32"/>
          <w:highlight w:val="none"/>
          <w:vertAlign w:val="baseline"/>
          <w:lang w:val="en-US" w:eastAsia="zh-CN" w:bidi="ar"/>
        </w:rPr>
        <w:t>：</w:t>
      </w: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财政拨款结转2.11万元,占比0.05%。</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楷体_GB2312" w:eastAsia="楷体_GB2312" w:cs="楷体_GB2312"/>
          <w:caps w:val="0"/>
          <w:color w:val="auto"/>
          <w:kern w:val="0"/>
          <w:sz w:val="32"/>
          <w:szCs w:val="32"/>
          <w:highlight w:val="none"/>
          <w:shd w:val="clear" w:fill="FFFFFF"/>
          <w:vertAlign w:val="baseline"/>
        </w:rPr>
      </w:pPr>
      <w:r>
        <w:rPr>
          <w:rFonts w:hint="eastAsia" w:ascii="楷体_GB2312" w:hAnsi="Times New Roman" w:eastAsia="楷体_GB2312" w:cs="楷体_GB2312"/>
          <w:b w:val="0"/>
          <w:bCs w:val="0"/>
          <w:caps w:val="0"/>
          <w:color w:val="auto"/>
          <w:kern w:val="0"/>
          <w:sz w:val="32"/>
          <w:szCs w:val="32"/>
          <w:highlight w:val="none"/>
          <w:shd w:val="clear" w:fill="FFFFFF"/>
          <w:vertAlign w:val="baseline"/>
          <w:lang w:val="en-US" w:eastAsia="zh-CN" w:bidi="ar"/>
        </w:rPr>
        <w:t>（二）部门财政拨款收支情况</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仿宋_GB2312" w:eastAsia="仿宋_GB2312" w:cs="仿宋_GB2312"/>
          <w:caps w:val="0"/>
          <w:color w:val="auto"/>
          <w:kern w:val="0"/>
          <w:sz w:val="32"/>
          <w:szCs w:val="32"/>
          <w:highlight w:val="none"/>
          <w:shd w:val="clear" w:fill="FFFFFF"/>
          <w:vertAlign w:val="baseline"/>
        </w:rPr>
      </w:pPr>
      <w:r>
        <w:rPr>
          <w:rFonts w:hint="eastAsia" w:ascii="仿宋_GB2312" w:hAnsi="Times New Roman" w:eastAsia="仿宋_GB2312" w:cs="仿宋_GB2312"/>
          <w:b w:val="0"/>
          <w:bCs w:val="0"/>
          <w:caps w:val="0"/>
          <w:color w:val="auto"/>
          <w:kern w:val="0"/>
          <w:sz w:val="32"/>
          <w:szCs w:val="32"/>
          <w:highlight w:val="none"/>
          <w:shd w:val="clear" w:fill="FFFFFF"/>
          <w:vertAlign w:val="baseline"/>
          <w:lang w:val="en-US" w:eastAsia="zh-CN" w:bidi="ar"/>
        </w:rPr>
        <w:t>1.部门财政拨款收入情况。</w:t>
      </w: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2022年，我局</w:t>
      </w:r>
      <w:r>
        <w:rPr>
          <w:rFonts w:hint="eastAsia" w:ascii="仿宋_GB2312" w:hAnsi="Times New Roman" w:eastAsia="仿宋_GB2312" w:cs="仿宋_GB2312"/>
          <w:b w:val="0"/>
          <w:bCs w:val="0"/>
          <w:caps w:val="0"/>
          <w:color w:val="auto"/>
          <w:kern w:val="0"/>
          <w:sz w:val="32"/>
          <w:szCs w:val="32"/>
          <w:highlight w:val="none"/>
          <w:shd w:val="clear" w:fill="FFFFFF"/>
          <w:vertAlign w:val="baseline"/>
          <w:lang w:val="en-US" w:eastAsia="zh-CN" w:bidi="ar"/>
        </w:rPr>
        <w:t>财政拨款</w:t>
      </w: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收入总计26281.56万元，其中：一般公共预算财政拨款收入9175.93万元，占比34.91%;政府性基金预算财政拨款收入11175.96万元，一般公共预算财政拨款上年结转结余5929.67万元，占比65.09%。</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default" w:ascii="Times New Roman" w:hAnsi="Times New Roman" w:eastAsia="仿宋_GB2312" w:cs="Times New Roman"/>
          <w:caps w:val="0"/>
          <w:color w:val="auto"/>
          <w:sz w:val="32"/>
          <w:szCs w:val="32"/>
          <w:highlight w:val="none"/>
          <w:vertAlign w:val="baseline"/>
        </w:rPr>
      </w:pPr>
      <w:r>
        <w:rPr>
          <w:rFonts w:hint="eastAsia" w:ascii="仿宋_GB2312" w:hAnsi="Times New Roman" w:eastAsia="仿宋_GB2312" w:cs="仿宋_GB2312"/>
          <w:b w:val="0"/>
          <w:bCs w:val="0"/>
          <w:caps w:val="0"/>
          <w:color w:val="auto"/>
          <w:kern w:val="0"/>
          <w:sz w:val="32"/>
          <w:szCs w:val="32"/>
          <w:highlight w:val="none"/>
          <w:shd w:val="clear" w:fill="FFFFFF"/>
          <w:vertAlign w:val="baseline"/>
          <w:lang w:val="en-US" w:eastAsia="zh-CN" w:bidi="ar"/>
        </w:rPr>
        <w:t>2.部门财政拨款支出情况。</w:t>
      </w: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2022</w:t>
      </w:r>
      <w:r>
        <w:rPr>
          <w:rFonts w:hint="eastAsia" w:ascii="Times New Roman" w:hAnsi="Times New Roman" w:eastAsia="仿宋_GB2312" w:cs="Times New Roman"/>
          <w:b w:val="0"/>
          <w:bCs w:val="0"/>
          <w:caps w:val="0"/>
          <w:color w:val="auto"/>
          <w:kern w:val="2"/>
          <w:sz w:val="32"/>
          <w:szCs w:val="32"/>
          <w:highlight w:val="none"/>
          <w:vertAlign w:val="baseline"/>
          <w:lang w:val="en-US" w:eastAsia="zh-CN" w:bidi="ar"/>
        </w:rPr>
        <w:t>年，我局财政拨款支出总额</w:t>
      </w: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26279.45</w:t>
      </w:r>
      <w:r>
        <w:rPr>
          <w:rFonts w:hint="eastAsia" w:ascii="Times New Roman" w:hAnsi="Times New Roman" w:eastAsia="仿宋_GB2312" w:cs="Times New Roman"/>
          <w:b w:val="0"/>
          <w:bCs w:val="0"/>
          <w:caps w:val="0"/>
          <w:color w:val="auto"/>
          <w:kern w:val="2"/>
          <w:sz w:val="32"/>
          <w:szCs w:val="32"/>
          <w:highlight w:val="none"/>
          <w:vertAlign w:val="baseline"/>
          <w:lang w:val="en-US" w:eastAsia="zh-CN" w:bidi="ar"/>
        </w:rPr>
        <w:t>万元，其中</w:t>
      </w: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其中：基本支出5044.62万元，占比19.20%;项目支出21234.83万元，占比80.80%。</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仿宋_GB2312"/>
          <w:b w:val="0"/>
          <w:bCs w:val="0"/>
          <w:caps w:val="0"/>
          <w:color w:val="auto"/>
          <w:kern w:val="0"/>
          <w:sz w:val="32"/>
          <w:szCs w:val="32"/>
          <w:highlight w:val="none"/>
          <w:shd w:val="clear" w:fill="FFFFFF"/>
          <w:vertAlign w:val="baseline"/>
          <w:lang w:val="en-US" w:eastAsia="zh-CN" w:bidi="ar"/>
        </w:rPr>
        <w:t>３.部门财政拨款结转结余情况。</w:t>
      </w: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2022年年末财政拨款结转总额2.11万元。</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1"/>
        <w:rPr>
          <w:rFonts w:hint="default" w:ascii="黑体" w:hAnsi="宋体" w:eastAsia="黑体" w:cs="宋体"/>
          <w:caps w:val="0"/>
          <w:color w:val="auto"/>
          <w:kern w:val="0"/>
          <w:sz w:val="32"/>
          <w:szCs w:val="32"/>
          <w:highlight w:val="none"/>
          <w:shd w:val="clear" w:fill="FFFFFF"/>
          <w:vertAlign w:val="baseline"/>
          <w:lang w:bidi="ar"/>
        </w:rPr>
      </w:pPr>
      <w:bookmarkStart w:id="127" w:name="_Toc16424"/>
      <w:bookmarkStart w:id="128" w:name="_Toc29773"/>
      <w:bookmarkStart w:id="129" w:name="_Toc913071074_WPSOffice_Level2"/>
      <w:bookmarkStart w:id="130" w:name="_Toc466054104_WPSOffice_Level2"/>
      <w:r>
        <w:rPr>
          <w:rFonts w:hint="default" w:ascii="黑体" w:hAnsi="宋体" w:eastAsia="黑体" w:cs="宋体"/>
          <w:b w:val="0"/>
          <w:bCs w:val="0"/>
          <w:caps w:val="0"/>
          <w:color w:val="auto"/>
          <w:kern w:val="0"/>
          <w:sz w:val="32"/>
          <w:szCs w:val="32"/>
          <w:highlight w:val="none"/>
          <w:shd w:val="clear" w:fill="FFFFFF"/>
          <w:vertAlign w:val="baseline"/>
          <w:lang w:val="en-US" w:eastAsia="zh-CN" w:bidi="ar"/>
        </w:rPr>
        <w:t>三、部门整体绩效分析</w:t>
      </w:r>
      <w:bookmarkEnd w:id="127"/>
      <w:bookmarkEnd w:id="128"/>
      <w:bookmarkEnd w:id="129"/>
      <w:bookmarkEnd w:id="130"/>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仿宋_GB2312" w:eastAsia="仿宋_GB2312" w:cs="宋体"/>
          <w:caps w:val="0"/>
          <w:color w:val="auto"/>
          <w:kern w:val="0"/>
          <w:sz w:val="32"/>
          <w:szCs w:val="32"/>
          <w:highlight w:val="none"/>
          <w:shd w:val="clear" w:fill="FFFFFF"/>
          <w:vertAlign w:val="baseline"/>
          <w:lang w:bidi="ar"/>
        </w:rPr>
      </w:pPr>
      <w:r>
        <w:rPr>
          <w:rFonts w:hint="eastAsia" w:ascii="楷体_GB2312" w:hAnsi="Times New Roman" w:eastAsia="楷体_GB2312" w:cs="楷体_GB2312"/>
          <w:b w:val="0"/>
          <w:bCs w:val="0"/>
          <w:caps w:val="0"/>
          <w:color w:val="auto"/>
          <w:kern w:val="0"/>
          <w:sz w:val="32"/>
          <w:szCs w:val="32"/>
          <w:highlight w:val="none"/>
          <w:shd w:val="clear" w:fill="FFFFFF"/>
          <w:vertAlign w:val="baseline"/>
          <w:lang w:val="en-US" w:eastAsia="zh-CN" w:bidi="ar"/>
        </w:rPr>
        <w:t>（一）部门预算项目绩效分析</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仿宋_GB2312" w:eastAsia="仿宋_GB2312" w:cs="宋体"/>
          <w:caps w:val="0"/>
          <w:color w:val="auto"/>
          <w:kern w:val="0"/>
          <w:sz w:val="32"/>
          <w:szCs w:val="32"/>
          <w:highlight w:val="none"/>
          <w:shd w:val="clear" w:fill="FFFFFF"/>
          <w:vertAlign w:val="baseline"/>
          <w:lang w:bidi="ar"/>
        </w:rPr>
      </w:pPr>
      <w:r>
        <w:rPr>
          <w:rFonts w:hint="eastAsia" w:ascii="仿宋_GB2312" w:hAnsi="Times New Roman" w:eastAsia="仿宋_GB2312" w:cs="宋体"/>
          <w:b w:val="0"/>
          <w:bCs w:val="0"/>
          <w:caps w:val="0"/>
          <w:color w:val="auto"/>
          <w:kern w:val="0"/>
          <w:sz w:val="32"/>
          <w:szCs w:val="32"/>
          <w:highlight w:val="none"/>
          <w:shd w:val="clear" w:fill="FFFFFF"/>
          <w:vertAlign w:val="baseline"/>
          <w:lang w:val="en-US" w:eastAsia="zh-CN" w:bidi="ar"/>
        </w:rPr>
        <w:t>1.人员类项目绩效分析。</w:t>
      </w: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2022年，我局人员类项目绩效目标实现情况良好。人员经费均足额、及时发放，预算执行时序进度达到全市平均水平，预算完成情况优，无资金结余。</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宋体"/>
          <w:b w:val="0"/>
          <w:bCs w:val="0"/>
          <w:caps w:val="0"/>
          <w:color w:val="auto"/>
          <w:kern w:val="0"/>
          <w:sz w:val="32"/>
          <w:szCs w:val="32"/>
          <w:highlight w:val="none"/>
          <w:shd w:val="clear" w:fill="FFFFFF"/>
          <w:vertAlign w:val="baseline"/>
          <w:lang w:val="en-US" w:eastAsia="zh-CN" w:bidi="ar"/>
        </w:rPr>
        <w:t>2.运转类项目绩效分析。</w:t>
      </w: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2022年，我局运转类项目绩效目标实现情况良好。部门运转保障有力，三公经费等执行情况良好，预算执行时序进度达到全市平均水平，预算完成情况优，无资金结余。</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宋体"/>
          <w:b w:val="0"/>
          <w:bCs w:val="0"/>
          <w:caps w:val="0"/>
          <w:color w:val="auto"/>
          <w:kern w:val="0"/>
          <w:sz w:val="32"/>
          <w:szCs w:val="32"/>
          <w:highlight w:val="none"/>
          <w:shd w:val="clear" w:fill="FFFFFF"/>
          <w:vertAlign w:val="baseline"/>
          <w:lang w:val="en-US" w:eastAsia="zh-CN" w:bidi="ar"/>
        </w:rPr>
        <w:t>3.特定目标类项目绩效分析。</w:t>
      </w: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2022年，我局特定目标类项目绩效目标实现情况良好，各项目绩效目标均达到设定目标值，较好的完成了交通项目建设、疫情防控、安全监督、法制建设、禁毒工作、交战工作、战备仓库与机养中心日常运行维护及公路应急抢通保通、道路运输稽查和执法工作、交通运输秩序专项整治、扫黑除恶等工作，有力保障了我市交通运输行业平稳向好发展。预算执行时序进度达到全市平均水平，预算完成情况优，无资金结余。</w:t>
      </w:r>
    </w:p>
    <w:p>
      <w:pPr>
        <w:keepNext w:val="0"/>
        <w:keepLines w:val="0"/>
        <w:pageBreakBefore w:val="0"/>
        <w:widowControl/>
        <w:suppressLineNumbers w:val="0"/>
        <w:shd w:val="clear"/>
        <w:suppressAutoHyphens/>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楷体_GB2312" w:eastAsia="楷体_GB2312" w:cs="楷体_GB2312"/>
          <w:caps w:val="0"/>
          <w:color w:val="auto"/>
          <w:kern w:val="0"/>
          <w:sz w:val="32"/>
          <w:szCs w:val="32"/>
          <w:highlight w:val="none"/>
          <w:shd w:val="clear" w:fill="FFFFFF"/>
          <w:vertAlign w:val="baseline"/>
        </w:rPr>
      </w:pPr>
      <w:r>
        <w:rPr>
          <w:rFonts w:hint="eastAsia" w:ascii="楷体_GB2312" w:hAnsi="Times New Roman" w:eastAsia="楷体_GB2312" w:cs="楷体_GB2312"/>
          <w:b w:val="0"/>
          <w:bCs w:val="0"/>
          <w:caps w:val="0"/>
          <w:color w:val="auto"/>
          <w:kern w:val="0"/>
          <w:sz w:val="32"/>
          <w:szCs w:val="32"/>
          <w:highlight w:val="none"/>
          <w:shd w:val="clear" w:fill="FFFFFF"/>
          <w:vertAlign w:val="baseline"/>
          <w:lang w:val="en-US" w:eastAsia="zh-CN" w:bidi="ar"/>
        </w:rPr>
        <w:t>（二）部门整体履职绩效分析</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2022年，我在预算执行过程中能及时进行资金支付，较好的对支出进行了控制。预算执行过程中严格执行部门预算批复，强化预算执行刚性约束，没有随意改变财政预算资金的使用范围，严控预算执行进度和经费支出，控制日常不合理开支，减少资金浪费，确保预算执行平衡。2022年，部门预算基本执行完毕，除部分资金下达时间较晚或需按合同进度支付外，无其他资金结余，财经纪律执行较好，财政监控无违规记录。</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楷体_GB2312" w:eastAsia="楷体_GB2312" w:cs="楷体_GB2312"/>
          <w:caps w:val="0"/>
          <w:color w:val="auto"/>
          <w:kern w:val="0"/>
          <w:sz w:val="32"/>
          <w:szCs w:val="32"/>
          <w:highlight w:val="none"/>
          <w:shd w:val="clear" w:fill="FFFFFF"/>
          <w:vertAlign w:val="baseline"/>
        </w:rPr>
      </w:pPr>
      <w:r>
        <w:rPr>
          <w:rFonts w:hint="eastAsia" w:ascii="楷体_GB2312" w:hAnsi="Times New Roman" w:eastAsia="楷体_GB2312" w:cs="楷体_GB2312"/>
          <w:b w:val="0"/>
          <w:bCs w:val="0"/>
          <w:caps w:val="0"/>
          <w:color w:val="auto"/>
          <w:kern w:val="0"/>
          <w:sz w:val="32"/>
          <w:szCs w:val="32"/>
          <w:highlight w:val="none"/>
          <w:shd w:val="clear" w:fill="FFFFFF"/>
          <w:vertAlign w:val="baseline"/>
          <w:lang w:val="en-US" w:eastAsia="zh-CN" w:bidi="ar"/>
        </w:rPr>
        <w:t>（三）结果应用情况</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2022年，我局坚持把制度建设作为开展预算绩效管理的关键环节，制定并印发了《预算绩效管理办法》《信息化绩效考核管理办法（试行）》，建立规范透明、标准科学、约束有力的预算绩效制度，进一步增强了支出责任和效率意识，提高了财政资金使用效率和科学精细化管理水平。继续严把预算绩效事前评估关、绩效目标填报关、事中监控关、绩效评价质量关、绩效结果应用关“五个”关口，落实直属单位预算执行进度通报制、县区交通运输局中省补助资金使用进度提醒函等绩效管理措施。</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vertAlign w:val="baseline"/>
          <w:lang w:bidi="ar"/>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同时，我局向省交通运输厅、市财政局等部门报送了预算资金绩效自评表，并向市人大报送了中央对地方转移支付绩效自评结果，主动接受监督。及时向财政部门报送了预算绩效管理工作考核自查和部门整体支出绩效评价自评等报告，积极配合市财政局完成了对我局部门整体支出绩效评价、项目绩效评价等考核工作。印发了《关于开展2021年度项目支出绩效自评工作的通知》《关于开展2021年度预算绩效管理工作考核的通知》，组织直属单位、市交投集团开展预算绩效自评和考核等工作，对自评中发现的问题及时进行整改，将预算绩效管理工作纳入市局对县区交通运输局、直属各单位目标绩效考核。</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楷体_GB2312" w:eastAsia="楷体_GB2312" w:cs="楷体_GB2312"/>
          <w:caps w:val="0"/>
          <w:color w:val="auto"/>
          <w:kern w:val="0"/>
          <w:sz w:val="32"/>
          <w:szCs w:val="32"/>
          <w:highlight w:val="none"/>
          <w:shd w:val="clear" w:fill="FFFFFF"/>
          <w:vertAlign w:val="baseline"/>
        </w:rPr>
      </w:pPr>
      <w:r>
        <w:rPr>
          <w:rFonts w:hint="eastAsia" w:ascii="楷体_GB2312" w:hAnsi="Times New Roman" w:eastAsia="楷体_GB2312" w:cs="楷体_GB2312"/>
          <w:b w:val="0"/>
          <w:bCs w:val="0"/>
          <w:caps w:val="0"/>
          <w:color w:val="auto"/>
          <w:kern w:val="0"/>
          <w:sz w:val="32"/>
          <w:szCs w:val="32"/>
          <w:highlight w:val="none"/>
          <w:shd w:val="clear" w:fill="FFFFFF"/>
          <w:vertAlign w:val="baseline"/>
          <w:lang w:val="en-US" w:eastAsia="zh-CN" w:bidi="ar"/>
        </w:rPr>
        <w:t>（四）自评质量</w:t>
      </w:r>
    </w:p>
    <w:p>
      <w:pPr>
        <w:pStyle w:val="15"/>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default" w:ascii="Times New Roman" w:hAnsi="Times New Roman" w:eastAsia="仿宋_GB2312" w:cs="Times New Roman"/>
          <w:caps w:val="0"/>
          <w:color w:val="auto"/>
          <w:sz w:val="32"/>
          <w:szCs w:val="32"/>
          <w:highlight w:val="none"/>
          <w:vertAlign w:val="baseline"/>
        </w:rPr>
      </w:pPr>
      <w:r>
        <w:rPr>
          <w:rFonts w:hint="eastAsia" w:ascii="仿宋_GB2312" w:hAnsi="Times New Roman" w:eastAsia="仿宋_GB2312" w:cs="Times New Roman"/>
          <w:b w:val="0"/>
          <w:bCs w:val="0"/>
          <w:caps w:val="0"/>
          <w:color w:val="auto"/>
          <w:kern w:val="2"/>
          <w:sz w:val="32"/>
          <w:szCs w:val="32"/>
          <w:highlight w:val="none"/>
          <w:vertAlign w:val="baseline"/>
          <w:lang w:val="en-US" w:eastAsia="zh-CN" w:bidi="ar"/>
        </w:rPr>
        <w:t>我局绩效目标设定程序严密、规划合理、制度完备，项目实施分配合理、使用合规、执行有效，绩效目标完成及时，履行了法定职能职责，无违规记录，较好地完成了绩效管理工作。整体支出自评严格比对绩效目标，自评准确。</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1"/>
        <w:rPr>
          <w:rFonts w:hint="default" w:ascii="黑体" w:hAnsi="宋体" w:eastAsia="黑体" w:cs="宋体"/>
          <w:caps w:val="0"/>
          <w:color w:val="auto"/>
          <w:kern w:val="0"/>
          <w:sz w:val="32"/>
          <w:szCs w:val="32"/>
          <w:highlight w:val="none"/>
          <w:shd w:val="clear" w:fill="FFFFFF"/>
          <w:vertAlign w:val="baseline"/>
          <w:lang w:bidi="ar"/>
        </w:rPr>
      </w:pPr>
      <w:bookmarkStart w:id="131" w:name="_Toc16421"/>
      <w:bookmarkStart w:id="132" w:name="_Toc1919716260_WPSOffice_Level2"/>
      <w:bookmarkStart w:id="133" w:name="_Toc2934"/>
      <w:bookmarkStart w:id="134" w:name="_Toc317690905_WPSOffice_Level2"/>
      <w:r>
        <w:rPr>
          <w:rFonts w:hint="default" w:ascii="黑体" w:hAnsi="宋体" w:eastAsia="黑体" w:cs="宋体"/>
          <w:b w:val="0"/>
          <w:bCs w:val="0"/>
          <w:caps w:val="0"/>
          <w:color w:val="auto"/>
          <w:kern w:val="0"/>
          <w:sz w:val="32"/>
          <w:szCs w:val="32"/>
          <w:highlight w:val="none"/>
          <w:shd w:val="clear" w:fill="FFFFFF"/>
          <w:vertAlign w:val="baseline"/>
          <w:lang w:val="en-US" w:eastAsia="zh-CN" w:bidi="ar"/>
        </w:rPr>
        <w:t>四、评价结论及建议</w:t>
      </w:r>
      <w:bookmarkEnd w:id="131"/>
      <w:bookmarkEnd w:id="132"/>
      <w:bookmarkEnd w:id="133"/>
      <w:bookmarkEnd w:id="134"/>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楷体_GB2312" w:eastAsia="楷体_GB2312" w:cs="楷体_GB2312"/>
          <w:caps w:val="0"/>
          <w:color w:val="auto"/>
          <w:kern w:val="0"/>
          <w:sz w:val="32"/>
          <w:szCs w:val="32"/>
          <w:highlight w:val="none"/>
          <w:shd w:val="clear" w:fill="FFFFFF"/>
          <w:vertAlign w:val="baseline"/>
        </w:rPr>
      </w:pPr>
      <w:r>
        <w:rPr>
          <w:rFonts w:hint="eastAsia" w:ascii="楷体_GB2312" w:hAnsi="Times New Roman" w:eastAsia="楷体_GB2312" w:cs="楷体_GB2312"/>
          <w:b w:val="0"/>
          <w:bCs w:val="0"/>
          <w:caps w:val="0"/>
          <w:color w:val="auto"/>
          <w:kern w:val="0"/>
          <w:sz w:val="32"/>
          <w:szCs w:val="32"/>
          <w:highlight w:val="none"/>
          <w:shd w:val="clear" w:fill="FFFFFF"/>
          <w:vertAlign w:val="baseline"/>
          <w:lang w:val="en-US" w:eastAsia="zh-CN" w:bidi="ar"/>
        </w:rPr>
        <w:t>（一）评价结论</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仿宋_GB2312" w:eastAsia="仿宋_GB2312" w:cs="Times New Roman"/>
          <w:caps w:val="0"/>
          <w:color w:val="auto"/>
          <w:sz w:val="32"/>
          <w:szCs w:val="32"/>
          <w:highlight w:val="none"/>
          <w:u w:color="auto"/>
          <w:vertAlign w:val="baseline"/>
          <w:lang w:bidi="ar"/>
        </w:rPr>
      </w:pPr>
      <w:r>
        <w:rPr>
          <w:rFonts w:hint="eastAsia" w:ascii="仿宋_GB2312" w:hAnsi="Times New Roman" w:eastAsia="仿宋_GB2312" w:cs="Times New Roman"/>
          <w:b w:val="0"/>
          <w:bCs w:val="0"/>
          <w:caps w:val="0"/>
          <w:color w:val="auto"/>
          <w:kern w:val="2"/>
          <w:sz w:val="32"/>
          <w:szCs w:val="32"/>
          <w:highlight w:val="none"/>
          <w:u w:color="auto"/>
          <w:vertAlign w:val="baseline"/>
          <w:lang w:val="en-US" w:eastAsia="zh-CN" w:bidi="ar"/>
        </w:rPr>
        <w:t>经自评，我部门整体支出绩效评价自查得分为99.92分，专项资金预算项目绩效管理扣0.08分。</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楷体_GB2312" w:eastAsia="楷体_GB2312" w:cs="楷体_GB2312"/>
          <w:caps w:val="0"/>
          <w:color w:val="auto"/>
          <w:kern w:val="0"/>
          <w:sz w:val="32"/>
          <w:szCs w:val="32"/>
          <w:highlight w:val="none"/>
          <w:shd w:val="clear" w:fill="FFFFFF"/>
          <w:vertAlign w:val="baseline"/>
        </w:rPr>
      </w:pPr>
      <w:r>
        <w:rPr>
          <w:rFonts w:hint="eastAsia" w:ascii="楷体_GB2312" w:hAnsi="Times New Roman" w:eastAsia="楷体_GB2312" w:cs="楷体_GB2312"/>
          <w:b w:val="0"/>
          <w:bCs w:val="0"/>
          <w:caps w:val="0"/>
          <w:color w:val="auto"/>
          <w:kern w:val="0"/>
          <w:sz w:val="32"/>
          <w:szCs w:val="32"/>
          <w:highlight w:val="none"/>
          <w:shd w:val="clear" w:fill="FFFFFF"/>
          <w:vertAlign w:val="baseline"/>
          <w:lang w:val="en-US" w:eastAsia="zh-CN" w:bidi="ar"/>
        </w:rPr>
        <w:t>（二）存在问题</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sz w:val="32"/>
          <w:szCs w:val="32"/>
          <w:highlight w:val="none"/>
          <w:vertAlign w:val="baseline"/>
        </w:rPr>
      </w:pP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一是绩效管理意识有待提高。实际工作中仍存在对预算绩效管理工作重视不够、理解不透的情况，抓预算绩效管理工作缺乏主动性，全面实施预算绩效管理意识有待提高。二是绩效管理基础有待增强。交通行业绩效评价指标体系建设还不够完善,绩效评价方法相对单一。未建立预算绩效管理信息系统，预算绩效管理的数据分析、绩效信息等基础工作有待增强。三是工作人员素质有待提升。绩效工作人员的业务水平还能全面满足绩效管理工作要求，专业素质有待提升。</w:t>
      </w:r>
    </w:p>
    <w:p>
      <w:pPr>
        <w:keepNext w:val="0"/>
        <w:keepLines w:val="0"/>
        <w:pageBreakBefore w:val="0"/>
        <w:widowControl w:val="0"/>
        <w:suppressLineNumbers w:val="0"/>
        <w:shd w:val="clear"/>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outlineLvl w:val="9"/>
        <w:rPr>
          <w:rFonts w:hint="eastAsia" w:ascii="楷体_GB2312" w:eastAsia="楷体_GB2312" w:cs="楷体_GB2312"/>
          <w:caps w:val="0"/>
          <w:color w:val="auto"/>
          <w:kern w:val="0"/>
          <w:sz w:val="32"/>
          <w:szCs w:val="32"/>
          <w:highlight w:val="none"/>
          <w:shd w:val="clear" w:fill="FFFFFF"/>
          <w:vertAlign w:val="baseline"/>
        </w:rPr>
      </w:pPr>
      <w:r>
        <w:rPr>
          <w:rFonts w:hint="eastAsia" w:ascii="楷体_GB2312" w:hAnsi="Times New Roman" w:eastAsia="楷体_GB2312" w:cs="楷体_GB2312"/>
          <w:b w:val="0"/>
          <w:bCs w:val="0"/>
          <w:caps w:val="0"/>
          <w:color w:val="auto"/>
          <w:kern w:val="0"/>
          <w:sz w:val="32"/>
          <w:szCs w:val="32"/>
          <w:highlight w:val="none"/>
          <w:shd w:val="clear" w:fill="FFFFFF"/>
          <w:vertAlign w:val="baseline"/>
          <w:lang w:val="en-US" w:eastAsia="zh-CN" w:bidi="ar"/>
        </w:rPr>
        <w:t>（三）改进建议</w:t>
      </w:r>
    </w:p>
    <w:p>
      <w:pPr>
        <w:keepNext w:val="0"/>
        <w:keepLines w:val="0"/>
        <w:pageBreakBefore w:val="0"/>
        <w:widowControl/>
        <w:suppressLineNumbers w:val="0"/>
        <w:shd w:val="clear"/>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left"/>
        <w:outlineLvl w:val="9"/>
        <w:rPr>
          <w:rFonts w:hint="eastAsia" w:ascii="仿宋_GB2312" w:eastAsia="仿宋_GB2312" w:cs="仿宋_GB2312"/>
          <w:caps w:val="0"/>
          <w:color w:val="auto"/>
          <w:sz w:val="32"/>
          <w:szCs w:val="32"/>
          <w:highlight w:val="none"/>
          <w:vertAlign w:val="baseline"/>
        </w:rPr>
      </w:pP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一是进一步增强绩效管理意识，</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不断完善预算绩效管理制度，加强工作人员绩效管理水平，切实提高预算绩效管理业务素质和管理水平，营造“讲绩效、重绩效”的良好氛围。</w:t>
      </w:r>
      <w:r>
        <w:rPr>
          <w:rFonts w:hint="eastAsia" w:ascii="仿宋_GB2312" w:hAnsi="Times New Roman" w:eastAsia="仿宋_GB2312" w:cs="仿宋_GB2312"/>
          <w:b w:val="0"/>
          <w:bCs w:val="0"/>
          <w:caps w:val="0"/>
          <w:color w:val="auto"/>
          <w:kern w:val="2"/>
          <w:sz w:val="32"/>
          <w:szCs w:val="32"/>
          <w:highlight w:val="none"/>
          <w:vertAlign w:val="baseline"/>
          <w:lang w:val="en-US" w:eastAsia="zh-CN" w:bidi="ar"/>
        </w:rPr>
        <w:t>二是压实绩效管理责任，认真落实对所管理项目和使用资金预算绩效管理的直接责任，坚持“花钱必问效，无效必问责”的原则，结合各类审计监督、财务检查等活动，不断规范项目和资金管理流程，提高预算绩效管理水平。三是精准年初预算编报，进一步理顺明确预算绩效管理职责分工，加强协同配合，实现业务管理和预算绩效管理的深度融合，不断提升年初预算编报的全面性和精准性，强化预算执行的严肃性。</w:t>
      </w:r>
    </w:p>
    <w:p>
      <w:pPr>
        <w:keepNext w:val="0"/>
        <w:keepLines w:val="0"/>
        <w:pageBreakBefore w:val="0"/>
        <w:numPr>
          <w:ilvl w:val="0"/>
          <w:numId w:val="0"/>
        </w:numPr>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tbl>
      <w:tblPr>
        <w:tblStyle w:val="17"/>
        <w:tblpPr w:leftFromText="180" w:rightFromText="180" w:vertAnchor="text" w:horzAnchor="page" w:tblpX="1298" w:tblpY="63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1544"/>
        <w:gridCol w:w="3297"/>
        <w:gridCol w:w="2169"/>
        <w:gridCol w:w="1602"/>
        <w:gridCol w:w="1573"/>
        <w:gridCol w:w="1140"/>
        <w:gridCol w:w="1276"/>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5000" w:type="pct"/>
            <w:gridSpan w:val="9"/>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auto"/>
                <w:sz w:val="44"/>
                <w:szCs w:val="44"/>
                <w:highlight w:val="none"/>
                <w:u w:val="none"/>
              </w:rPr>
            </w:pPr>
            <w:r>
              <w:rPr>
                <w:rFonts w:hint="eastAsia" w:ascii="方正小标宋简体" w:hAnsi="方正小标宋简体" w:eastAsia="方正小标宋简体" w:cs="方正小标宋简体"/>
                <w:i w:val="0"/>
                <w:color w:val="auto"/>
                <w:kern w:val="0"/>
                <w:sz w:val="44"/>
                <w:szCs w:val="44"/>
                <w:highlight w:val="none"/>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部门名称</w:t>
            </w:r>
          </w:p>
        </w:tc>
        <w:tc>
          <w:tcPr>
            <w:tcW w:w="418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年度</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主要</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任务</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任务名称</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主要内容</w:t>
            </w:r>
          </w:p>
        </w:tc>
        <w:tc>
          <w:tcPr>
            <w:tcW w:w="18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预算金额（万元）</w:t>
            </w:r>
          </w:p>
        </w:tc>
        <w:tc>
          <w:tcPr>
            <w:tcW w:w="1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总额</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财政拨款</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其他资金</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总额</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财政拨款</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传化物流</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土地平整工作所需场平工作费用。及传化公路港物流项目奖励资金</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3659</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3659</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3659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3659</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黑石坡至曾家山公路工程</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完成康旅大道（黑石坡至曾家山公路工程）项目前期及立项批复、林地植被恢复和初步勘察设计批复</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1646</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1646</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1646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1646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省道205线广元至昭化镇段公路改建工程</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缴纳耕地开垦费597.4335万元，缴纳后可依法向省自然资源厅申请办理用地手续</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597.43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597.43</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597.43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597.43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S205利州区河西街道办事处（杨家岩）至下西街道办事处（塔山湾）段改建工程（下穿广元铁路集装箱运输组货中心段)</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S205利州区河西街道办事处（杨家岩）至下西街道办事处（塔山湾）段改建工程（下穿广元铁路集装箱运输组货中心段）项目建设，修建路线全长300米，采用一级公路标准兼市政功能，路基宽度30米，路线框架桥270米/1座。</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1019.09</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1019.09</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1019.09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1019.09</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“十四五”综合交通运输发展规划</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完成广元市“十四五”综合交通运输发展规划编制工作</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121</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广元至平武高速公路</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修建项目前50公里收费站2处、停车区2处、服务区2处、管理中心1处，</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国道108线严家湾及鸭纺路PPP项目</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申请4622.73万元用于政府付费，申请资金300.7888万元（其中严家湾项目2018-2020年度运营补贴124.7926万元；鸭纺路项目2018-2020年度运营补贴175.9962万元），用于拨付项目公司对该项目的日常养护，其中7公里日常养护、路面保洁、清洗、隧道桥面保洁、管涵清理、标线清洗、护栏清洗、水毁地段清理等日常性工作，</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4923.52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4923.52</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4923.52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4923.52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87"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嘉陵江四号桥维修加固工程</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完成嘉陵江四号桥维修加固工程工程尾款及招标代理服务费的支付。嘉陵江四号桥维修加固工程2019年3月开工，同年6月完工投入使用，2020年3月进行了竣</w:t>
            </w:r>
            <w:r>
              <w:rPr>
                <w:rFonts w:hint="eastAsia" w:ascii="宋体" w:hAnsi="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20"/>
                <w:szCs w:val="20"/>
                <w:highlight w:val="none"/>
                <w:u w:val="none"/>
                <w:lang w:val="en-US" w:eastAsia="zh-CN" w:bidi="ar"/>
              </w:rPr>
              <w:t>交)工验收。2020年8月，完成工程结算审计，建设单位送审金额292.11万元,其中</w:t>
            </w:r>
            <w:r>
              <w:rPr>
                <w:rFonts w:hint="eastAsia" w:ascii="宋体" w:hAnsi="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20"/>
                <w:szCs w:val="20"/>
                <w:highlight w:val="none"/>
                <w:u w:val="none"/>
                <w:lang w:val="en-US" w:eastAsia="zh-CN" w:bidi="ar"/>
              </w:rPr>
              <w:t>建安工程投资199.67万元，待摊投资92.44万元，审减6.19万元，审定项目实际完成投资285.91万元，其中</w:t>
            </w:r>
            <w:r>
              <w:rPr>
                <w:rFonts w:hint="eastAsia" w:ascii="宋体" w:hAnsi="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20"/>
                <w:szCs w:val="20"/>
                <w:highlight w:val="none"/>
                <w:u w:val="none"/>
                <w:lang w:val="en-US" w:eastAsia="zh-CN" w:bidi="ar"/>
              </w:rPr>
              <w:t>建安工程投资199.67万元，待摊投资86.24万元。现已累计拨付250万元，此次拨付35.913382万元。</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35.91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35.91</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35.91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35.91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交通卡点工作人员闭环管理食宿费用</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交通卡点工作人员闭环管理食宿费用</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171.79</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171.79</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171.79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171.79</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女儿节系列活动项目</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保障活动的正常开展，需采购龙舟赛赛道布置专用材料</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塔山湾至学工桥项目</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完成S205广元市利州区回龙河街道办事处至河西街道办事处（学工桥至塔山湾）段改建工程项目前期可行性研究报告。</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综合货运枢纽示范城市申报工作经费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综合货运枢纽示范城市申报工作</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61.42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61.42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“两新”组织党建经费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“两新”组织党建经费</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1.54</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乡村振兴工作经费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及时更换乡村横幅标语、公示栏、宣传栏、明白卡、制度牌及规范完善乡村振兴相关软件资料，按照省市乡村振兴相关要求，驻村人员脱产驻村、吃住在村</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5.46</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5.46</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交通项目资金争取工作经费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交通项目资金争取工作</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52"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交通运输管理（含安全监督、法制建设、禁毒工作等）工作经费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组织开展交通行业安全监督、法制建设、禁毒、交通战备、网络安全等工作</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交通项目工作经费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开展国道G542线利州区盘龙镇（陵江）至昭化区元坝镇（范家坪）改建工程、省道205线利州区（塔山弯）至朝天区云雾山镇（川陕界）新改建工程、剑阁县下寺至利州区月坝公路、嘉陵江水东坝航电综合枢纽工程的工可、设计等前期工作。</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交通造价监督管理和培训</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一、全市交通建设工程造价管理。二、对全市在建重点、重大交通项目进行造价监督检查。三、对全市送审的交通建设项目进行工程造价审查。四、对辖区内交通造价从业人员进行业务能力提升培训。</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交通工程材料价格信息调查及编制</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完成2022年度材料价格信息调查及编制发布工作</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6.81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6.81</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6.81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6.81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省级2021年结转交通专项资金</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乡村振兴工作经费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支付乡村振兴工作经费</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3.64</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执法车辆和海巡艇运行维护费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用于执法车辆和海巡艇的正常运行费用支付，确保交通运输综合行政执法工作执法正常开展</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广元界“广元人民欢迎你”广告牌的维护经费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支付广元界“广元人民欢迎你”广告牌的维护费用</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采购办公家具经费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用于购置2022年支队办公家具</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8.44</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交通运输综合行政执法工作经费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主要用于支付道路运政执法、公路路政、水上交通运输、交通工程建设执法工作经费</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执法装备、信息化运营维护费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用于执法装备、信息化运营维护费</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4.51</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购置执法服装和标志</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采购执法人员制式服装和标志。</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3.07</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3.07</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购置执法服装和标志</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采购执法人员制式服装和标志。</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25.72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25.72</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25.72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25.72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交通工程质量检测经费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主要用于支付2022年全市17个项目共计442.894公里监督检测经费（其中高速公路4个共计261.308公里，一级公路4个共计35.538公里，二级公里8个共计144.048公里。重点水运工程1个2.1公里）。</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交通运输信息建设</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完成交通执法支队信息系统升级并接入省交通运输综合执法信息系统；为一线交通执法人员配备交通执法信息终端确保信息畅通；购置服务器、安装防火墙等机房升级改造提高交通运输执法工作效率。2021年年底完成既定绩效目标，项目实施进度计划达到100%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执法装备购置、信息化建设经费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更新升级局域网服务器、网络安全软硬件设施设备，建设OA办公系统；安装办公楼监控系统；购置办公复印机、执法记录仪、执法服装。</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1.41</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1.41</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省级2021年结转交通专项资金</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用于支付公路灾毁应急保通及水路灾毁应急船舶保障费用。</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205.64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205.64</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203.56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203.56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应急管理及信息化运维服务</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一、组织开展参加省、市、县综合应急演练及专项应急演练，开展水域救援训练及无人机等专业设备训练，补充完善应急物资储备库应急物资，冰雪天气、汛期灾害天气及交通运输行业内等其它突发事件开展应急处置及隐患排查，进一步提升了行业应急处置水平。二、完成省厅、市12345政务服务热线对12328电话的各项考核，协助12345政务服务热线按照省大数据中心对交通运输行业要求，做好系统对接，强化广元12328运行管理工作，有效提升12328便民服务水平和质量。三、确保外场监控点位、视频会议系统等设备链路正常运行，出现突发事件能及时调取画面，租赁电信（外场监控点位、视频会议等）、移动（机关专线、MAS平台、超限站专线等）光纤电路。保障4G图传、对讲机、海事卫星电话、北斗卫星导航等设备在应急处置过程中能正常使用。四、保障应急通讯设备能正常使用，确保外场监控点位能随时调阅图像。中心机房、指挥大厅网络安全设备、服务器等设备安全正常运行，同时对故障设备及时进行维修。</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47.86</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47.86</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47.86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47.86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省级交通专项资金（中央财政政府还贷二级公路取消收费后补助资金）</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完成市级电子抓拍总平台建设，将全市普通公路固定治超站11处接入平台（含抓拍系统和站内磅秤监控资源整合），并与公安交警部门的公安交通管理集成指挥平台实行信息共享，分布实现科技治超工作。</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44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44</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44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44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省级2021年结转交通专项资金</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完成水上演练一次及水上培训2次；建成动中通卫星车车载会议系统，并保证正常使用；完成正版化操作系统安装，并保证正常使用；采购一批汛期应急物资，保障汛期应急工作的正常开展；完成12328宣传工作及软件升级；完成DLP大屏保养；保证应急管理工作正常开展。</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80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80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80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80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事业单位公开引进高层次人才工作补助</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事业单位公开引进高层次人才工作补助</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0.9</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0.9</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0.9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0.9</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四川省交通运行监测与应急指挥系统（二期）工程</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四川省交通运行监测与应急指挥系统（二期）工程</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27.17</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27.17</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27.17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27.17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2020年洪灾灾后恢复重建中央财力补助资金</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2020年洪灾灾后恢复重建中央财力补助资金</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2.24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2.24</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2.24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2.24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乡村振兴工作经费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保障完成朝天区云雾山镇石门村的乡村振兴帮扶工作，使得帮扶村环境生态宜居，村民生活便利。</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3.64</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7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国省干线保畅及安保设施维护经费、路产路权安全管理经费、道路保通保畅工作经费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做好监督管理、监督维护工作；保障国省道路保通保畅。</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2"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公路巡查经费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保障里程全长22800Km的国省县道公路巡查工作正常开展；保障国省县道公路运行通畅；维护广绵交界标牌安全性；保障群众出行通达。</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11.18</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11.18</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11.18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11.18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全市道路运输事务性（辅助性）工作经费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全市道路运输事务性（辅助性）工作</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9.72</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9.72</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9.72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9.72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市战备仓库与机养中心日常运行维护及公路应急抢通保通项目</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对全市普通国省干线桥隧开展定期检查抽查，保障市战备仓库和路网监控中心日常运行，做好普通国省干线养护管理业务学习培训等工作。</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44.74</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44.74</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44.74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44.74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9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国省干线公路路况检查及桥隧日常养护和安全监管经费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2022年完成对全市普通国省干线公路路况水平进行自动化检测，使PQI值在90以上，以及时掌握道路实际通行水平，有针对性的采取养护措施；同时对全市部分桥梁进行检测，建立危桥台账，以及时进行桥隧养护管理及危桥改造工作，来保障交通安全通达。</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机关运行经费</w:t>
            </w:r>
          </w:p>
        </w:tc>
        <w:tc>
          <w:tcPr>
            <w:tcW w:w="116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保障机关运行</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5099.43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5099.43</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5040.01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5040.01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708"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金额合计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20467.76</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20467.76</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20367.68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20367.68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26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总体</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目标</w:t>
            </w:r>
          </w:p>
        </w:tc>
        <w:tc>
          <w:tcPr>
            <w:tcW w:w="2473"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预期目标</w:t>
            </w:r>
          </w:p>
        </w:tc>
        <w:tc>
          <w:tcPr>
            <w:tcW w:w="22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0" w:hRule="atLeast"/>
        </w:trPr>
        <w:tc>
          <w:tcPr>
            <w:tcW w:w="269"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top"/>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土地平整工作所需场平工作费用。及传化公路港物流项目奖励资金，完成康旅大道（黑石坡至曾家山公路工程）项目前期及立项批复、林地植被恢复和初步勘察设计批复，缴纳耕地开垦费，完成S205利州区河西街道办事处（杨家岩）至下西街道办事处（塔山湾）段改建工程（下穿广元铁路集装箱运输组货中心段）项目建设，完成广元市“十四五”综合交通运输发展规划编制工作，完成嘉陵江四号桥维修加固工程工程尾款及招标代理服务费的支付，完成S205广元市利州区回龙河街道办事处至河西街道办事处（学工桥至塔山湾）段改建工程项目前期可行性研究报告</w:t>
            </w:r>
          </w:p>
        </w:tc>
        <w:tc>
          <w:tcPr>
            <w:tcW w:w="225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top"/>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了土地平整工作所需场平工作费用。及传化公路港物流项目奖励资金，完成康旅大道（黑石坡至曾家山公路工程）项目前期及立项批复、林地植被恢复和初步勘察设计批复，缴纳耕地开垦费，完成S205利州区河西街道办事处（杨家岩）至下西街道办事处（塔山湾）段改建工程（下穿广元铁路集装箱运输组货中心段）项目建设，完成广元市“十四五”综合交通运输发展规划编制工作，完成嘉陵江四号桥维修加固工程工程尾款及招标代理服务费的支付，完成S205广元市利州区回龙河街道办事处至河西街道办事处（学工桥至塔山湾）段改建工程项目前期可行性研究报告，完成了乡村振兴有关工作，完成向上争取资金13.58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度</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绩</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一级指标</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二级指标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三级指标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指标值（包含数字及文字描述）</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实际完成指标值（包含数字及文字描述）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部门自评得分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财政部门科室复评得分</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产出指标</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项目前期工作及土地平整挖方</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270000平方米</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270000平方米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项目前期及立项、林地植被恢复和初步勘察设计</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占用一般耕地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9.0357公顷</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9.0357公顷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占用基本农田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2.0385公顷</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2.0385公顷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占用可调整园地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0.0818公顷</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0.0818公顷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路基宽度</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30米</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路线全长</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300米</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路线框架桥</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1座</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1座</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完成广元市“十四五”综合交通运输发展规划编制工作</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1项</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前50公里建设2处收费站</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2处</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前50公里建设2处停车区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2处</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前50公里建设2处服务区</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2处</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前50公里建设1处管理中心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1处</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2"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路面保洁、清洗、桥面保洁、管涵清理、标线清洗、护栏清洗、行道树和分隔带浇水、修建、除虫、施肥</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7公里</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7公里</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现场清理水毁塌方清理</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10立方米</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10立方米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维修加固桥梁长度</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69米</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69米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6家单位闭环管理食宿费用</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6家</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完成S205广元市利州区回龙河街道办事处至河西街道办事处（学工桥至塔山湾）段改建工程项目前期可行性研究报告批复</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1个</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两新组织数量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3个</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更换横幅标语</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3个</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采购打印机数量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发放驻村人员生活补助</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1.37万元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1.37万元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向上争取资金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目标12亿元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13.58亿元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项目造价审查覆盖率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造价业务培训</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材料价格信息发布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12期</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12期</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审查水毁项目</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3个</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执法车辆和海巡艇的数量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＝19个（台、套、件、辆）</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＝19个（台、套、件、辆）</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道路运政执法涉及企业个数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≥8203家</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≥8203家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交通工程建设项目数量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≥30个（台、套、件、辆）</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≥30个（台、套、件、辆）</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公路路政执法涉及省、县、乡公里</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≥1.2万公里</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≥1.2万公里</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水上交通运输执法涉及通航里程</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≥568.6km</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≥568.6km</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执法装备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≥41个（台、套、件、辆）</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≥41个（台、套、件、辆）</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采购执法制式服装和标志人数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=67人</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=67人</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交通工程建设项目数量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=17个</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应急保通人员</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=124人</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=124人</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应急车辆</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=14辆</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=14辆</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应急抢险船舶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=3艘</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采购执法制式服装和标志人数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=8人</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=8人</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通讯链路及流量卡数量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等于85条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等于85条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需维修维护设备数量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大于等于202个</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维修维护设备202个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参与应急演练次数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等于3次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参与应急演练3次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12328交流学习次数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等于1次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12328交流学习1次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参与应急处置及隐患排查次数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大于等于10次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应急处置及隐患排查大于10次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完成11处普通公路超限检测站专线接入</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大于等于11处</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完成11处</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完成数据查询、视屏巡查、视屏运维、基础信息管理、广元超限、黑名单管理、卡口过车统计等7个模块建设</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大于等于7项</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完成7项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水上演练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完成水上演练一次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已完成1次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水上培训</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完成水上培训2次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已完成2次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DLP大屏保养</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完成DLP大屏保养一次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已完成1次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12328软件升级</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完成12328软件升级1次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已完成1次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12328宣传</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完成12328宣传1次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已完成1次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车载会议系统</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建成车载会议系统一套</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已建成，并完成投入使用</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应急物资采购</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完成应急物资采购一批</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已完成应急物资采购</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国省干线安保巡查次数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国道巡查数量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≤3600公里</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≤3600公里</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省道巡查数量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≤10000公里</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≤10000公里</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县道巡查数量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≤9200公里</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≤9200公里</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道路运输春运工作、安全管理及日常工作次数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≥24次/年</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≥24次/年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57"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道路危险货物运输企业和服务质量信誉考核初评等级为AA级及以上出租车企业的规范评估服务</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12家</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道路旅客运输企业的规范评估服务</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14家</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培训、演练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定期检查抽查桥隧数量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≥20座</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20座</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公路检测里程数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≥500公里</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500公里</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桥梁检测数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≥20座</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20座</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公路路面性能指数（PQI）</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质量指标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工程验收合格率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资金使用合规率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前期报告合格性</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女儿节圆满举办</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网络安全责任事故</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网站运行正常率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召开安全例会、开展安全督导、检查、调研、评估、安全资料印制、整理、归档等</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4次</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完成项目工可</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3个</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完成项目设计</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3个</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项目造价审查质量合格率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符合市场实际，反应价格变化趋势</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完成需要的服装及标志采购</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质量检测合格率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预算编制准确率（计算方法为：∣（执行数-预算数）/预算数∣）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完成乡村振兴工作经费支付</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完成执法车辆和海巡艇运行维护</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保障广告牌正常使用</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完成2022年需要的办公用品采购</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执法工作开展率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执法装备、信息化正常运营</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应急保通工作开展率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设备故障发生率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小于等于10%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设备故障发生率小于10%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通讯网络畅通率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大于等于90%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通讯网络畅通率大于90%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省厅指标考核完成率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等于100%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省厅指标考核完成率等于100%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完成时的验收情况</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达到合同约定的验收标准且系统能正常运行</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达到验收标准且系统能正常运行</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项目完成时，达到预期效果</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设备正常使用</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设备正常使用</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完成正版化操作系统安装</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完成18套</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完成18套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路产路权安全监督管理及国省公路安全维护工作完成程度</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时效指标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完成时间</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1年</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9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完成国省干线安保设施维护工作、路产路权安全管理工作、道路保通保畅工作时间</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365天</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365天</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成本指标</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成本指标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项目成本</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15368.33</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15327.67</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材价调查及编制工作经费</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6.81万元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6.81万元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项目造价管理工作经费</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工程质量检测经费</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支付应急抢险船舶费用</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支付应急保通人员产生的费用</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≤320万元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≤320万元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支付应急车辆保通产生费用</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采购执法制式服装和标志的金额</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=30704.6元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=30704.6元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执法车辆和海巡艇运行维护费</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广元界“广元人民欢迎你”广告牌的维护费用</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＝4万元</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＝4万元</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效益指标</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经济效益</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带动区域地区GDP总量的增长，促进区域产业结构的优化和调整</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03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土地开垦恢复后，将大幅度提改善周边环境；带动沿线地区GDP总量的增长，促进区域产业结构的优化和调整，提高沿线居民的生活水平和质量加快城乡一体化进程。</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“十四五”交通运输发展规划》是国民经济和社会发展五年总体规划在交通运输领域的具体细化和落实</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大幅度提高区域内通行能力、服务水平</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项目造价审减率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社会效益</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满足城乡物流需求，扩大内需</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加快建设广元城市北部新城、推动广元康养旅游发展；实现黑石坡森林公园与曾家山旅游经济一体化发展；完善区域路网结构，提高路网服务水平和通行能力，助力区域经济社会快速发展。</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2"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优。项目周边土地复垦将有利于促进区域经济发展，同时推动城乡统筹，区域资源整合，构建城乡一体化的需要。</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促进区域产业结构的优化和调整，提高沿线居民的生活水平和质量加快城乡一体化进程</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稳定营商环境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交通运输应急处置参与度</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设备正常使用度</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12328电话在群众中的知晓度</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4"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保护公路基础设施，保障人民生命财产安全</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项目完成时，达到预期效果</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完场预期目标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为我市交通运输系统安全度汛提供有力保障</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保障汛期应急工作</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完场预期目标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满意度</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指标</w:t>
            </w: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满意度指标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群众满意度</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服务对象满意度</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7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部门（单位）自评结论</w:t>
            </w:r>
          </w:p>
        </w:tc>
        <w:tc>
          <w:tcPr>
            <w:tcW w:w="473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我单位绩效目标设定程序科学、规划合理，项目实施分配合理、使用合规、执行有效，绩效目标完成及时，履行了单位职能职责，无违规记录，较好地完成了绩效管理工作经自评，我单位整体支出绩效评价自查得分为99.92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部门（单位）自评存在问题</w:t>
            </w:r>
          </w:p>
        </w:tc>
        <w:tc>
          <w:tcPr>
            <w:tcW w:w="473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绩效管理理论知识还需加强，个别职工对绩效管理工作不够重视；内控制度执行还需加强。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部门（单位）自评改进措施</w:t>
            </w:r>
          </w:p>
        </w:tc>
        <w:tc>
          <w:tcPr>
            <w:tcW w:w="473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进一步提升对绩效工作的认识，加强对干部职工绩效管理知识的培训学习；进一步加强绩效管理，严格执行事前评估、事中监管、事后自评的全过程绩效管理流程，提升单位项目资金使用绩效。</w:t>
            </w:r>
          </w:p>
        </w:tc>
      </w:tr>
    </w:tbl>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tbl>
      <w:tblPr>
        <w:tblStyle w:val="17"/>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4"/>
        <w:gridCol w:w="194"/>
        <w:gridCol w:w="1073"/>
        <w:gridCol w:w="398"/>
        <w:gridCol w:w="6"/>
        <w:gridCol w:w="637"/>
        <w:gridCol w:w="554"/>
        <w:gridCol w:w="12"/>
        <w:gridCol w:w="498"/>
        <w:gridCol w:w="396"/>
        <w:gridCol w:w="342"/>
        <w:gridCol w:w="4"/>
        <w:gridCol w:w="436"/>
        <w:gridCol w:w="140"/>
        <w:gridCol w:w="20"/>
        <w:gridCol w:w="488"/>
        <w:gridCol w:w="477"/>
        <w:gridCol w:w="63"/>
        <w:gridCol w:w="338"/>
        <w:gridCol w:w="40"/>
        <w:gridCol w:w="224"/>
        <w:gridCol w:w="308"/>
        <w:gridCol w:w="389"/>
        <w:gridCol w:w="69"/>
        <w:gridCol w:w="242"/>
        <w:gridCol w:w="347"/>
        <w:gridCol w:w="69"/>
        <w:gridCol w:w="437"/>
        <w:gridCol w:w="304"/>
        <w:gridCol w:w="63"/>
        <w:gridCol w:w="917"/>
        <w:gridCol w:w="62"/>
        <w:gridCol w:w="1416"/>
        <w:gridCol w:w="1713"/>
        <w:gridCol w:w="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3980" w:type="dxa"/>
            <w:gridSpan w:val="3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30"/>
                <w:szCs w:val="30"/>
                <w:u w:val="none"/>
                <w:lang w:val="en-US" w:eastAsia="zh-CN" w:bidi="ar"/>
              </w:rPr>
              <w:t>传化物流项目绩效目标自评表（2022年度）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2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085"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传化物流项目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66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6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4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4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66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41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66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传化公路港物流港项目位于市中心城北部（京昆高速广元北下线口），占地面积260.5亩，估算总投资约8.3亿元，其中由我市负责征拆及场平工程；传化集团负责投资6亿元建设“一中心两基地”。3000万主要用于支付该项目部分前期费用及挖方27万方的土地平整工作所需场平工作费用。及传化公路港物流项目奖励资金659万元。</w:t>
            </w:r>
          </w:p>
        </w:tc>
        <w:tc>
          <w:tcPr>
            <w:tcW w:w="641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传化公路港物流港项目位于市中心城北部（京昆高速广元北下线口），占地面积260.5亩，估算总投资约8.3亿元，其中由我市负责征拆及场平工程；传化集团负责投资6亿元建设“一中心两基地”。3000万主要用于支付该项目部分前期费用及挖方27万方的土地平整工作所需场平工作费用。及传化公路港物流项目奖励资金659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085"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3000万主要用于支付该项目部分前期费用及挖方27万方的土地平整工作所需场平工作费用。及传化公路港物流项目奖励资金659万元。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4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2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3,659.00</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3,659.00</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3,659.00</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3,659.00</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项目前期工作及土地平整挖方</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270000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270000</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工程验收合格率</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资金使用合规率</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满足城乡物流需求，扩大内需</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带动区域地区GDP总量的增长，促进区域产业结构的优化和调整</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项目成本</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奖励批次</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8330"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56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56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56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562"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591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806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1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部门项目负责人</w:t>
            </w:r>
            <w:r>
              <w:rPr>
                <w:rFonts w:hint="eastAsia" w:ascii="宋体" w:hAnsi="宋体" w:cs="宋体"/>
                <w:i w:val="0"/>
                <w:color w:val="000000"/>
                <w:kern w:val="0"/>
                <w:sz w:val="18"/>
                <w:szCs w:val="18"/>
                <w:u w:val="none"/>
                <w:lang w:val="en-US" w:eastAsia="zh-CN" w:bidi="ar"/>
              </w:rPr>
              <w:t>:</w:t>
            </w:r>
          </w:p>
        </w:tc>
        <w:tc>
          <w:tcPr>
            <w:tcW w:w="806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13980"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90" w:hRule="atLeast"/>
        </w:trPr>
        <w:tc>
          <w:tcPr>
            <w:tcW w:w="12187" w:type="dxa"/>
            <w:gridSpan w:val="33"/>
            <w:tcBorders>
              <w:top w:val="nil"/>
              <w:left w:val="nil"/>
              <w:bottom w:val="nil"/>
              <w:right w:val="nil"/>
            </w:tcBorders>
            <w:shd w:val="clear" w:color="auto" w:fill="auto"/>
            <w:vAlign w:val="center"/>
          </w:tcPr>
          <w:p>
            <w:pPr>
              <w:rPr>
                <w:rFonts w:hint="eastAsia" w:ascii="仿宋_GB2312" w:hAnsi="仿宋_GB2312" w:eastAsia="仿宋_GB2312" w:cs="仿宋_GB2312"/>
                <w:color w:val="auto"/>
                <w:sz w:val="32"/>
                <w:szCs w:val="3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93" w:type="dxa"/>
          <w:trHeight w:val="90" w:hRule="atLeast"/>
        </w:trPr>
        <w:tc>
          <w:tcPr>
            <w:tcW w:w="12187" w:type="dxa"/>
            <w:gridSpan w:val="33"/>
            <w:tcBorders>
              <w:top w:val="nil"/>
              <w:left w:val="nil"/>
              <w:bottom w:val="nil"/>
              <w:right w:val="nil"/>
            </w:tcBorders>
            <w:shd w:val="clear" w:color="auto" w:fill="auto"/>
            <w:vAlign w:val="center"/>
          </w:tcPr>
          <w:p>
            <w:pPr>
              <w:rPr>
                <w:rFonts w:ascii="方正小标宋简体" w:hAnsi="方正小标宋简体" w:eastAsia="方正小标宋简体" w:cs="方正小标宋简体"/>
                <w:i w:val="0"/>
                <w:color w:val="000000"/>
                <w:sz w:val="18"/>
                <w:szCs w:val="18"/>
                <w:u w:val="none"/>
              </w:rPr>
            </w:pPr>
            <w:r>
              <w:rPr>
                <w:rFonts w:hint="eastAsia" w:ascii="仿宋_GB2312" w:hAnsi="仿宋_GB2312" w:eastAsia="仿宋_GB2312" w:cs="仿宋_GB2312"/>
                <w:color w:val="auto"/>
                <w:sz w:val="32"/>
                <w:szCs w:val="32"/>
                <w:highlight w:val="none"/>
                <w:lang w:val="en-US" w:eastAsia="zh-CN"/>
              </w:rPr>
              <w:br w:type="page"/>
            </w:r>
            <w:r>
              <w:rPr>
                <w:rFonts w:hint="eastAsia" w:ascii="仿宋_GB2312" w:hAnsi="仿宋_GB2312" w:eastAsia="仿宋_GB2312" w:cs="仿宋_GB2312"/>
                <w:color w:val="auto"/>
                <w:sz w:val="32"/>
                <w:szCs w:val="32"/>
                <w:highlight w:val="none"/>
                <w:lang w:val="en-US" w:eastAsia="zh-CN"/>
              </w:rPr>
              <w:br w:type="page"/>
            </w:r>
            <w:r>
              <w:rPr>
                <w:rFonts w:hint="eastAsia" w:ascii="方正小标宋简体" w:hAnsi="方正小标宋简体" w:eastAsia="方正小标宋简体" w:cs="方正小标宋简体"/>
                <w:i w:val="0"/>
                <w:color w:val="000000"/>
                <w:kern w:val="0"/>
                <w:sz w:val="18"/>
                <w:szCs w:val="18"/>
                <w:u w:val="none"/>
                <w:lang w:val="en-US" w:eastAsia="zh-CN" w:bidi="ar"/>
              </w:rPr>
              <w:t>黑石坡至曾家山公路工程绩效目标自评表（2022年度）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93" w:type="dxa"/>
          <w:trHeight w:val="90" w:hRule="atLeast"/>
        </w:trPr>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96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黑石坡至曾家山公路工程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108" w:hRule="atLeast"/>
        </w:trPr>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39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88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90" w:hRule="atLeast"/>
        </w:trPr>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39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7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108"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9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完成康旅大道（黑石坡至曾家山公路工程）项目前期及立项批复、林地植被恢复和初步勘察设计批复。</w:t>
            </w:r>
          </w:p>
        </w:tc>
        <w:tc>
          <w:tcPr>
            <w:tcW w:w="57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康旅大道（黑石坡至曾家山公路工程）项目前期及立项批复、林地植被恢复和初步勘察设计批复已完成。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108"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969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康旅大道（黑石坡至曾家山公路工程）项目前期及立项批复、林地植被恢复和初步勘察设计批复已完成。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161" w:hRule="atLeast"/>
        </w:trPr>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90"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1,646.00</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1,646.00</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6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90"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1,646.00</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1,646.00</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6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108"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6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90"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6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90"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6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214" w:hRule="atLeast"/>
        </w:trPr>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214"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项目前期及立项、林地植被恢复和初步勘察设计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108"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前期报告合格性</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90"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161"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项目前期及立项、林地植被恢复资金</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1467.5</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1467.5</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108"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初步勘察设计预付费</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178.5</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178.5</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848"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加快建设广元城市北部新城、推动广元康养旅游发展；实现黑石坡森林公园与曾家山旅游经济一体化发展；完善区域路网结构，提高路网服务水平和通行能力，助力区域经济社会快速发展。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108"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90"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90" w:hRule="atLeast"/>
        </w:trPr>
        <w:tc>
          <w:tcPr>
            <w:tcW w:w="730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108"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096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108"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096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108"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096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161"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096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90" w:hRule="atLeast"/>
        </w:trPr>
        <w:tc>
          <w:tcPr>
            <w:tcW w:w="4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71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90" w:hRule="atLeast"/>
        </w:trPr>
        <w:tc>
          <w:tcPr>
            <w:tcW w:w="4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719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90" w:hRule="atLeast"/>
        </w:trPr>
        <w:tc>
          <w:tcPr>
            <w:tcW w:w="12187" w:type="dxa"/>
            <w:gridSpan w:val="33"/>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93" w:type="dxa"/>
          <w:trHeight w:val="90" w:hRule="atLeast"/>
        </w:trPr>
        <w:tc>
          <w:tcPr>
            <w:tcW w:w="12187" w:type="dxa"/>
            <w:gridSpan w:val="33"/>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lang w:val="en-US" w:eastAsia="zh-CN"/>
              </w:rPr>
            </w:pPr>
          </w:p>
          <w:p>
            <w:pPr>
              <w:pStyle w:val="2"/>
              <w:rPr>
                <w:rFonts w:hint="eastAsia" w:ascii="宋体" w:hAnsi="宋体" w:eastAsia="宋体" w:cs="宋体"/>
                <w:i w:val="0"/>
                <w:color w:val="000000"/>
                <w:kern w:val="0"/>
                <w:sz w:val="18"/>
                <w:szCs w:val="18"/>
                <w:u w:val="none"/>
                <w:lang w:val="en-US" w:eastAsia="zh-CN" w:bidi="ar"/>
              </w:rPr>
            </w:pPr>
          </w:p>
          <w:p>
            <w:pPr>
              <w:pStyle w:val="2"/>
              <w:rPr>
                <w:rFonts w:hint="eastAsia" w:ascii="宋体" w:hAnsi="宋体" w:eastAsia="宋体" w:cs="宋体"/>
                <w:i w:val="0"/>
                <w:color w:val="000000"/>
                <w:kern w:val="0"/>
                <w:sz w:val="18"/>
                <w:szCs w:val="18"/>
                <w:u w:val="none"/>
                <w:lang w:val="en-US" w:eastAsia="zh-CN" w:bidi="ar"/>
              </w:rPr>
            </w:pPr>
          </w:p>
          <w:p>
            <w:pPr>
              <w:pStyle w:val="2"/>
              <w:rPr>
                <w:rFonts w:hint="eastAsia" w:ascii="宋体" w:hAnsi="宋体" w:eastAsia="宋体" w:cs="宋体"/>
                <w:i w:val="0"/>
                <w:color w:val="000000"/>
                <w:kern w:val="0"/>
                <w:sz w:val="18"/>
                <w:szCs w:val="18"/>
                <w:u w:val="none"/>
                <w:lang w:val="en-US" w:eastAsia="zh-CN" w:bidi="ar"/>
              </w:rPr>
            </w:pPr>
          </w:p>
          <w:p>
            <w:pPr>
              <w:pStyle w:val="2"/>
              <w:rPr>
                <w:rFonts w:hint="eastAsia" w:ascii="宋体" w:hAnsi="宋体" w:eastAsia="宋体" w:cs="宋体"/>
                <w:i w:val="0"/>
                <w:color w:val="000000"/>
                <w:kern w:val="0"/>
                <w:sz w:val="18"/>
                <w:szCs w:val="18"/>
                <w:u w:val="none"/>
                <w:lang w:val="en-US" w:eastAsia="zh-CN" w:bidi="ar"/>
              </w:rPr>
            </w:pPr>
          </w:p>
          <w:p>
            <w:pPr>
              <w:pStyle w:val="2"/>
              <w:rPr>
                <w:rFonts w:hint="eastAsia" w:ascii="宋体" w:hAnsi="宋体" w:eastAsia="宋体" w:cs="宋体"/>
                <w:i w:val="0"/>
                <w:color w:val="000000"/>
                <w:kern w:val="0"/>
                <w:sz w:val="18"/>
                <w:szCs w:val="18"/>
                <w:u w:val="none"/>
                <w:lang w:val="en-US" w:eastAsia="zh-CN" w:bidi="ar"/>
              </w:rPr>
            </w:pPr>
          </w:p>
          <w:p>
            <w:pPr>
              <w:pStyle w:val="2"/>
              <w:rPr>
                <w:rFonts w:hint="eastAsia" w:ascii="宋体" w:hAnsi="宋体" w:eastAsia="宋体" w:cs="宋体"/>
                <w:i w:val="0"/>
                <w:color w:val="000000"/>
                <w:kern w:val="0"/>
                <w:sz w:val="18"/>
                <w:szCs w:val="18"/>
                <w:u w:val="none"/>
                <w:lang w:val="en-US" w:eastAsia="zh-CN" w:bidi="ar"/>
              </w:rPr>
            </w:pPr>
          </w:p>
          <w:p>
            <w:pPr>
              <w:pStyle w:val="2"/>
              <w:rPr>
                <w:rFonts w:hint="eastAsia" w:ascii="宋体" w:hAnsi="宋体" w:eastAsia="宋体" w:cs="宋体"/>
                <w:i w:val="0"/>
                <w:color w:val="000000"/>
                <w:kern w:val="0"/>
                <w:sz w:val="18"/>
                <w:szCs w:val="18"/>
                <w:u w:val="none"/>
                <w:lang w:val="en-US" w:eastAsia="zh-CN" w:bidi="ar"/>
              </w:rPr>
            </w:pPr>
          </w:p>
          <w:p>
            <w:pPr>
              <w:pStyle w:val="2"/>
              <w:rPr>
                <w:rFonts w:hint="eastAsia" w:ascii="宋体" w:hAnsi="宋体" w:eastAsia="宋体" w:cs="宋体"/>
                <w:i w:val="0"/>
                <w:color w:val="000000"/>
                <w:kern w:val="0"/>
                <w:sz w:val="18"/>
                <w:szCs w:val="18"/>
                <w:u w:val="none"/>
                <w:lang w:val="en-US" w:eastAsia="zh-CN" w:bidi="ar"/>
              </w:rPr>
            </w:pPr>
          </w:p>
          <w:p>
            <w:pPr>
              <w:pStyle w:val="2"/>
              <w:rPr>
                <w:rFonts w:hint="eastAsia" w:ascii="宋体" w:hAnsi="宋体" w:eastAsia="宋体" w:cs="宋体"/>
                <w:i w:val="0"/>
                <w:color w:val="000000"/>
                <w:kern w:val="0"/>
                <w:sz w:val="18"/>
                <w:szCs w:val="18"/>
                <w:u w:val="none"/>
                <w:lang w:val="en-US" w:eastAsia="zh-CN" w:bidi="ar"/>
              </w:rPr>
            </w:pPr>
          </w:p>
          <w:p>
            <w:pPr>
              <w:pStyle w:val="2"/>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43" w:hRule="atLeast"/>
        </w:trPr>
        <w:tc>
          <w:tcPr>
            <w:tcW w:w="13900" w:type="dxa"/>
            <w:gridSpan w:val="3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省道205线广元至昭化镇段公路改建工程绩效目标自评表（2022年度）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48" w:hRule="atLeast"/>
        </w:trPr>
        <w:tc>
          <w:tcPr>
            <w:tcW w:w="28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01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省道205线广元至昭化镇段公路改建工程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44" w:hRule="atLeast"/>
        </w:trPr>
        <w:tc>
          <w:tcPr>
            <w:tcW w:w="28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45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6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35" w:hRule="atLeast"/>
        </w:trPr>
        <w:tc>
          <w:tcPr>
            <w:tcW w:w="14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4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45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56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54"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45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属于已完工项目，目前正推进各标段审计和决算工作，为完善项目用地手续，依据《中华人民共和国土地管理法》、《四川省&lt;中华人民共和国土地管理法&gt;实施办法》等法律法规的规定，应缴纳耕地开垦费597.4335万元，缴纳后可依法向省自然资源厅申请办理用地手续。</w:t>
            </w:r>
          </w:p>
        </w:tc>
        <w:tc>
          <w:tcPr>
            <w:tcW w:w="656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属于已完工项目，目前正推进各标段审计和决算工作，为完善项目用地手续，依据《中华人民共和国土地管理法》、《四川省&lt;中华人民共和国土地管理法&gt;实施办法》等法律法规的规定，应缴纳耕地开垦费597.4335万元，缴纳后可依法向省自然资源厅申请办理用地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43"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011"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属于已完工项目，目前正推进各标段审计和决算工作，为完善项目用地手续，依据《中华人民共和国土地管理法》、《四川省&lt;中华人民共和国土地管理法&gt;实施办法》等法律法规的规定，应缴纳耕地开垦费597.4335万元，缴纳后可依法向省自然资源厅申请办理用地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210" w:hRule="atLeast"/>
        </w:trPr>
        <w:tc>
          <w:tcPr>
            <w:tcW w:w="14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0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08"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597.43</w:t>
            </w: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597.43</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08"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597.43</w:t>
            </w: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597.43</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08"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08"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08"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0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284" w:hRule="atLeast"/>
        </w:trPr>
        <w:tc>
          <w:tcPr>
            <w:tcW w:w="14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43"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占用一般耕地</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9.0357</w:t>
            </w:r>
          </w:p>
        </w:tc>
        <w:tc>
          <w:tcPr>
            <w:tcW w:w="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公顷</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9.0357</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43"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占用基本农田</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2.0385</w:t>
            </w:r>
          </w:p>
        </w:tc>
        <w:tc>
          <w:tcPr>
            <w:tcW w:w="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公顷</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2.0385</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43"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占用可调整园地</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0.0818</w:t>
            </w:r>
          </w:p>
        </w:tc>
        <w:tc>
          <w:tcPr>
            <w:tcW w:w="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公顷</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0.0818</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43"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资金使用合规率</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90"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635"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缴纳后效益</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优。项目周边土地复垦将有利于促进区域经济发展，同时推动城乡统筹，区域资源整合，构建城乡一体化的需要。</w:t>
            </w:r>
          </w:p>
        </w:tc>
        <w:tc>
          <w:tcPr>
            <w:tcW w:w="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986"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带动地方经济发展</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优。土地开垦恢复后，将大幅度提改善周边环境；带动沿线地区GDP总量的增长，促进区域产业结构的优化和调整，提高沿线居民的生活水平和质量加快城乡一体化进程。</w:t>
            </w:r>
          </w:p>
        </w:tc>
        <w:tc>
          <w:tcPr>
            <w:tcW w:w="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43"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43" w:hRule="atLeast"/>
        </w:trPr>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项目成本</w:t>
            </w:r>
          </w:p>
        </w:tc>
        <w:tc>
          <w:tcPr>
            <w:tcW w:w="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597.4335</w:t>
            </w:r>
          </w:p>
        </w:tc>
        <w:tc>
          <w:tcPr>
            <w:tcW w:w="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597.4335</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90" w:hRule="atLeast"/>
        </w:trPr>
        <w:tc>
          <w:tcPr>
            <w:tcW w:w="826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92"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48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92"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48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92"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48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213" w:hRule="atLeast"/>
        </w:trPr>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48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90" w:hRule="atLeast"/>
        </w:trPr>
        <w:tc>
          <w:tcPr>
            <w:tcW w:w="57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812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90" w:hRule="atLeast"/>
        </w:trPr>
        <w:tc>
          <w:tcPr>
            <w:tcW w:w="577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12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90" w:hRule="atLeast"/>
        </w:trPr>
        <w:tc>
          <w:tcPr>
            <w:tcW w:w="13900"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pStyle w:val="2"/>
        <w:rPr>
          <w:rFonts w:hint="eastAsia"/>
          <w:lang w:val="en-US" w:eastAsia="zh-CN"/>
        </w:rPr>
      </w:pPr>
    </w:p>
    <w:tbl>
      <w:tblPr>
        <w:tblStyle w:val="17"/>
        <w:tblW w:w="14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5"/>
        <w:gridCol w:w="1497"/>
        <w:gridCol w:w="1229"/>
        <w:gridCol w:w="1251"/>
        <w:gridCol w:w="576"/>
        <w:gridCol w:w="1075"/>
        <w:gridCol w:w="576"/>
        <w:gridCol w:w="946"/>
        <w:gridCol w:w="673"/>
        <w:gridCol w:w="823"/>
        <w:gridCol w:w="998"/>
        <w:gridCol w:w="3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34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3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S205利州区河西街道办事处（杨家岩）至下西街道办事处（塔山湾）段改建工程（下穿广元铁路集装箱运输组货中心段)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7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S205利州区河西街道办事处（杨家岩）至下西街道办事处（塔山湾）段改建工程（下穿广元铁路集装箱运输组货中心段）项目建设，修建路线全长300米，采用一级公路标准兼市政功能，路基宽度30米，路线框架桥270米/1座。</w:t>
            </w:r>
          </w:p>
        </w:tc>
        <w:tc>
          <w:tcPr>
            <w:tcW w:w="67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S205利州区河西街道办事处（杨家岩）至下西街道办事处（塔山湾）段改建工程（下穿广元铁路集装箱运输组货中心段）项目建设，修建路线全长300米，采用一级公路标准兼市政功能，路基宽度30米，路线框架桥270米/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3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修建完成S205利州区河西街道办事处（杨家岩）至下西街道办事处（塔山湾）段改建工程（下穿广元铁路集装箱运输组货中心段）项目建设，修建路线全长300米，采用一级公路标准兼市政功能，路基宽度30米，路线框架桥270米/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1,019.09</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1,019.09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1,019.09</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1,019.09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路基宽度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路线全长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路线框架桥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满足城乡日益增长的运输需求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总投金额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8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83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9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3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3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8"/>
        <w:gridCol w:w="1523"/>
        <w:gridCol w:w="1239"/>
        <w:gridCol w:w="1277"/>
        <w:gridCol w:w="454"/>
        <w:gridCol w:w="1081"/>
        <w:gridCol w:w="576"/>
        <w:gridCol w:w="954"/>
        <w:gridCol w:w="681"/>
        <w:gridCol w:w="834"/>
        <w:gridCol w:w="1015"/>
        <w:gridCol w:w="3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2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“十四五”综合交通运输发展规划绩效目标自评表（2022年度）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“十四五”综合交通运输发展规划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8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完成广元市“十四五”综合交通运输发展规划编制工作</w:t>
            </w:r>
          </w:p>
        </w:tc>
        <w:tc>
          <w:tcPr>
            <w:tcW w:w="6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完成广元市“十四五”综合交通运输发展规划编制工作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以局分管领导为项目总负责人，业务科室负责人为项目具体负责人，编制单位为项目实施单位。实施流程以政府采购公开招标的方式确定编制单位、签订编制合同、开展调研编制工作、编制成果通过市政府常务会议审议并经市政府审定印发、完成编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121.00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121.00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规划成果通过审核</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完成广元市“十四五”综合交通运输发展规划编制工作</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完成时限</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《广元市“十四五”综合交通运输发展规划》是国民经济和社会发展五年总体规划在交通运输领域的具体细化和落实</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“十四五”交通运输发展规划》是国民经济和社会发展五年总体规划在交通运输领域的具体细化和落实</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预算资金</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9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9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9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9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84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4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7"/>
        <w:gridCol w:w="1447"/>
        <w:gridCol w:w="1182"/>
        <w:gridCol w:w="1213"/>
        <w:gridCol w:w="433"/>
        <w:gridCol w:w="1029"/>
        <w:gridCol w:w="576"/>
        <w:gridCol w:w="909"/>
        <w:gridCol w:w="648"/>
        <w:gridCol w:w="795"/>
        <w:gridCol w:w="964"/>
        <w:gridCol w:w="3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4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b w:val="0"/>
                <w:bCs w:val="0"/>
                <w:i w:val="0"/>
                <w:color w:val="000000"/>
                <w:sz w:val="44"/>
                <w:szCs w:val="44"/>
                <w:u w:val="none"/>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项目名称</w:t>
            </w:r>
          </w:p>
        </w:tc>
        <w:tc>
          <w:tcPr>
            <w:tcW w:w="108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广元至平武高速公路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主管部门（盖章）</w:t>
            </w:r>
          </w:p>
        </w:tc>
        <w:tc>
          <w:tcPr>
            <w:tcW w:w="4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广元市交通运输局</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实施单位 （盖章）</w:t>
            </w:r>
          </w:p>
        </w:tc>
        <w:tc>
          <w:tcPr>
            <w:tcW w:w="56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项目基本情况</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1.项目年度目标完成情况</w:t>
            </w:r>
          </w:p>
        </w:tc>
        <w:tc>
          <w:tcPr>
            <w:tcW w:w="4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项目年度目标</w:t>
            </w:r>
          </w:p>
        </w:tc>
        <w:tc>
          <w:tcPr>
            <w:tcW w:w="65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4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该项目为延续性项目，分为建设期与运营期，本次申请资金2000万元，用于修建项目前50公里收费站2处、停车区2处、服务区2处、管理中心1处，大幅度提高区域内通行能力、服务水平及行车安全，并大大缩短行车时间，充分发挥路网整体致益；带动沿线地区GDP总量的增长，促进区域产业结构的优化和调整，提高沿线居民的生活水平和质量，增加就业岗位，减少贫困，促进当地文化、教育、卫生事业的发展，加快城乡一体化进程</w:t>
            </w:r>
          </w:p>
        </w:tc>
        <w:tc>
          <w:tcPr>
            <w:tcW w:w="65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该项目为延续性项目，分为建设期与运营期，本次资金2000万元，用于修建项目前50公里收费站2处、停车区2处、服务区2处、管理中心1处，大幅度提高区域内通行能力、服务水平及行车安全，并大大缩短行车时间，充分发挥路网整体致益；带动沿线地区GDP总量的增长，促进区域产业结构的优化和调整，提高沿线居民的生活水平和质量，增加就业岗位，减少贫困，促进当地文化、教育、卫生事业的发展，加快城乡一体化进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2.项目实施内容及过程概述</w:t>
            </w:r>
          </w:p>
        </w:tc>
        <w:tc>
          <w:tcPr>
            <w:tcW w:w="108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修建项目前50公里收费站2处、停车区2处、服务区2处、管理中心1处，大幅度提高区域内通行能力、服务水平及行车安全，并大大缩短行车时间，充分发挥路网整体致益；带动沿线地区GDP总量的增长，促进区域产业结构的优化和调整，提高沿线居民的生活水平和质量，增加就业岗位，减少贫困，促进当地文化、教育、卫生事业的发展，加快城乡一体化进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预算执行情况（10分）</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年度预算数（万元）</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年初预算</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调整后预算数</w:t>
            </w: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预算执行数</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预算执行率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权重%</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部门自评得分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财政部门科室复评得分</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总额</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2,000.00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2,000.00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其中：财政资金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2,000.00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2,000.00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财政专户管理资金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单位资金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其他资金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c>
          <w:tcPr>
            <w:tcW w:w="19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绩效指标（90分）</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一级指标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二级指标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三级指标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指标性质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指标值</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度量单位</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完成值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权重</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部门自评得分</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财政部门科室复评得分</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数量指标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前50公里建设2处收费站</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数量指标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前50公里建设2处停车区</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数量指标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前50公里建设2处服务区</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数量指标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前50公里建设1处管理中心</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质量指标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资金使用合规率</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时效指标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完成时间</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社会效益指标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建成后效益</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经济效益指标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带动地方经济发展</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服务对象满意度指标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服务对象满意度</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成本指标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经济成本指标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前50公里收费站、停车区、服务区、管理中心等房建施工建设成本</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合计</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b w:val="0"/>
                <w:bCs w:val="0"/>
                <w:i w:val="0"/>
                <w:color w:val="000000"/>
                <w:sz w:val="18"/>
                <w:szCs w:val="18"/>
                <w:u w:val="none"/>
                <w:lang w:val="en-US" w:eastAsia="zh-CN"/>
              </w:rPr>
            </w:pPr>
            <w:r>
              <w:rPr>
                <w:rFonts w:hint="eastAsia" w:ascii="宋体" w:hAnsi="宋体" w:eastAsia="宋体" w:cs="宋体"/>
                <w:b w:val="0"/>
                <w:bCs w:val="0"/>
                <w:i w:val="0"/>
                <w:color w:val="000000"/>
                <w:sz w:val="18"/>
                <w:szCs w:val="18"/>
                <w:u w:val="none"/>
                <w:lang w:val="en-US" w:eastAsia="zh-CN"/>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b w:val="0"/>
                <w:bCs w:val="0"/>
                <w:i w:val="0"/>
                <w:color w:val="000000"/>
                <w:sz w:val="18"/>
                <w:szCs w:val="18"/>
                <w:u w:val="none"/>
                <w:lang w:val="en-US" w:eastAsia="zh-CN"/>
              </w:rPr>
            </w:pPr>
            <w:r>
              <w:rPr>
                <w:rFonts w:hint="eastAsia" w:ascii="宋体" w:hAnsi="宋体" w:eastAsia="宋体" w:cs="宋体"/>
                <w:b w:val="0"/>
                <w:bCs w:val="0"/>
                <w:i w:val="0"/>
                <w:color w:val="000000"/>
                <w:sz w:val="18"/>
                <w:szCs w:val="18"/>
                <w:u w:val="none"/>
                <w:lang w:val="en-US" w:eastAsia="zh-CN"/>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部门（单位）自评结论</w:t>
            </w:r>
          </w:p>
        </w:tc>
        <w:tc>
          <w:tcPr>
            <w:tcW w:w="123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部门（单位）自评存在问题</w:t>
            </w:r>
          </w:p>
        </w:tc>
        <w:tc>
          <w:tcPr>
            <w:tcW w:w="123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部门（单位）自评改进措施</w:t>
            </w:r>
          </w:p>
        </w:tc>
        <w:tc>
          <w:tcPr>
            <w:tcW w:w="123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财政部门对口科室复评结论及整改要求</w:t>
            </w:r>
          </w:p>
        </w:tc>
        <w:tc>
          <w:tcPr>
            <w:tcW w:w="123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单位项目负责人：</w:t>
            </w:r>
          </w:p>
        </w:tc>
        <w:tc>
          <w:tcPr>
            <w:tcW w:w="80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部门项目负责人：</w:t>
            </w:r>
          </w:p>
        </w:tc>
        <w:tc>
          <w:tcPr>
            <w:tcW w:w="80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9"/>
        <w:gridCol w:w="1478"/>
        <w:gridCol w:w="1214"/>
        <w:gridCol w:w="1241"/>
        <w:gridCol w:w="576"/>
        <w:gridCol w:w="1068"/>
        <w:gridCol w:w="449"/>
        <w:gridCol w:w="1026"/>
        <w:gridCol w:w="664"/>
        <w:gridCol w:w="813"/>
        <w:gridCol w:w="987"/>
        <w:gridCol w:w="3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6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2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国道108线严家湾及鸭纺路PPP项目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4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道108线严家湾及鸭纺路项目，该项目为延续性项目，分为建设期与运营期，用于拨付项目公司对该项目的日常养护，其中日常养护、路面保洁、清洗、桥面保洁、管涵清理、标线清洗、护栏清洗、水毁地段清理等日常性工作，该养护工作大幅度提高区域内通行能力、服务水平及行车安全；带动沿线地区GDP总量的增长，促进区域产业结构的优化和调整，提高沿线居民的生活水平和质量加快城乡一体化进程。</w:t>
            </w:r>
          </w:p>
        </w:tc>
        <w:tc>
          <w:tcPr>
            <w:tcW w:w="6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道108线严家湾及鸭纺路项目，该项目为延续性项目，分为建设期与运营期，用于拨付项目公司对该项目的日常养护，其中日常养护、路面保洁、清洗、桥面保洁、管涵清理、标线清洗、护栏清洗、水毁地段清理等日常性工作，该养护工作大幅度提高区域内通行能力、服务水平及行车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2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4622.73万元用于政府付费，申请资金300.7888万元（其中严家湾项目2018-2020年度运营补贴124.7926万元；鸭纺路项目2018-2020年度运营补贴175.9962万元），用于拨付项目公司对该项目的日常养护，其中7公里日常养护、路面保洁、清洗、隧道桥面保洁、管涵清理、标线清洗、护栏清洗、水毁地段清理等日常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4,923.52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4,923.52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4,923.52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4,923.52</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路面保洁、清洗、桥面保洁、管涵清理、标线清洗、护栏清洗、行道树和分隔带浇水、修建、除虫、施肥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现场清理水毁塌方清理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立方米</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大幅度提高区域内通行能力、服务水平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促进区域产业结构的优化和调整，提高沿线居民的生活水平和质量加快城乡一体化进程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4923.5188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4923.5188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7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7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7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7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8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4"/>
        <w:gridCol w:w="1558"/>
        <w:gridCol w:w="1267"/>
        <w:gridCol w:w="1305"/>
        <w:gridCol w:w="464"/>
        <w:gridCol w:w="1109"/>
        <w:gridCol w:w="466"/>
        <w:gridCol w:w="1026"/>
        <w:gridCol w:w="694"/>
        <w:gridCol w:w="853"/>
        <w:gridCol w:w="1038"/>
        <w:gridCol w:w="3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68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嘉陵江四号桥维修加固工程绩效目标自评表（2022年度）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嘉陵江四号桥维修加固工程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6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完成嘉陵江四号桥维修加固工程工程尾款及招标代理服务费的支付。嘉陵江四号桥维修加固工程2019 年3月开工，同年6月完工投入使用，2020年3月进行了竣(交)工验收。2020年8月，完成工程结算审计，建设单位送审金额292. 11万元,其中:建安工程投资199.67万元，待摊投资92.44万元，审减6.19万元，审定项目实际完成投资285.91万元，其中:建安工程投资199.67万元，待摊投资86.24万元。现已累计拨付250万元，此次拨付35.913382万元。</w:t>
            </w:r>
          </w:p>
        </w:tc>
        <w:tc>
          <w:tcPr>
            <w:tcW w:w="6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完成嘉陵江四号桥维修加固工程工程尾款及招标代理服务费的支付。嘉陵江四号桥维修加固工程2019 年3月开工，同年6月完工投入使用，2020年3月进行了竣(交)工验收。2020年8月，完成工程结算审计，建设单位送审金额292. 11万元,其中:建安工程投资199.67万元，待摊投资92.44万元，审减6.19万元，审定项目实际完成投资285.91万元，其中:建安工程投资199.67万元，待摊投资86.24万元。现已累计拨付250万元，此次拨付35.913382万元。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嘉陵江四号桥维修加固工程2019 年3月开工，同年6月完工投入使用，2020年3月进行了竣(交)工验收。2020年8月，完成工程结算审计，建设单位送审金额292. 11万元,其中:建安工程投资199.67万元，待摊投资92.44万元，审减6.19万元，审定项目实际完成投资285.91万元，其中:建安工程投资199.67万元，待摊投资86.24万元。现已累计拨付250万元，此次拨付35.913382万元。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35.91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35.91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35.91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35.91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工程验收合格率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资金使用合规率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维修加固桥梁长度</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改善基本公共通行水平</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改造项目适应交通发展需求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336882.82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336882.82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招标代理服务费</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31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31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31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316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85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5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6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r>
        <w:rPr>
          <w:rFonts w:hint="eastAsia"/>
          <w:lang w:val="en-US" w:eastAsia="zh-CN"/>
        </w:rPr>
        <w:br w:type="page"/>
      </w:r>
    </w:p>
    <w:tbl>
      <w:tblPr>
        <w:tblStyle w:val="17"/>
        <w:tblW w:w="14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7"/>
        <w:gridCol w:w="1499"/>
        <w:gridCol w:w="1228"/>
        <w:gridCol w:w="1604"/>
        <w:gridCol w:w="629"/>
        <w:gridCol w:w="1076"/>
        <w:gridCol w:w="631"/>
        <w:gridCol w:w="955"/>
        <w:gridCol w:w="678"/>
        <w:gridCol w:w="824"/>
        <w:gridCol w:w="998"/>
        <w:gridCol w:w="3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82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交通卡点工作人员闭环管理食宿费用绩效目标自评表（2022年度）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8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交通卡点工作人员闭环管理食宿费用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51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7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51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7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51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常态化疫情防控“入川即检”交通卡点及应急期间由市交通运输局及二级单位直接负责的中圈层交通卡点闭环管理食宿费用</w:t>
            </w:r>
          </w:p>
        </w:tc>
        <w:tc>
          <w:tcPr>
            <w:tcW w:w="67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常态化疫情防控“入川即检”交通卡点及应急期间由市交通运输局及二级单位直接负责的中圈层交通卡点闭环管理食宿费用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8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常态化疫情防控“入川即检”交通卡点及应急期间由市交通运输局及二级单位直接负责的中圈层交通卡点闭环管理食宿费用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171.79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171.79</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171.79</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171.79</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资金全额拨付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6家单位闭环管理食宿费用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稳定营商环境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0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33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33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33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337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84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4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8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p>
    <w:p>
      <w:pPr>
        <w:pStyle w:val="2"/>
        <w:rPr>
          <w:rFonts w:hint="eastAsia"/>
          <w:lang w:val="en-US" w:eastAsia="zh-CN"/>
        </w:rPr>
      </w:pPr>
    </w:p>
    <w:p>
      <w:pPr>
        <w:rPr>
          <w:rFonts w:hint="eastAsia"/>
          <w:lang w:val="en-US" w:eastAsia="zh-CN"/>
        </w:rPr>
      </w:pPr>
      <w:r>
        <w:rPr>
          <w:rFonts w:hint="eastAsia"/>
          <w:lang w:val="en-US" w:eastAsia="zh-CN"/>
        </w:rPr>
        <w:br w:type="page"/>
      </w:r>
    </w:p>
    <w:tbl>
      <w:tblPr>
        <w:tblStyle w:val="17"/>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5"/>
        <w:gridCol w:w="1528"/>
        <w:gridCol w:w="1241"/>
        <w:gridCol w:w="1278"/>
        <w:gridCol w:w="455"/>
        <w:gridCol w:w="1086"/>
        <w:gridCol w:w="576"/>
        <w:gridCol w:w="956"/>
        <w:gridCol w:w="682"/>
        <w:gridCol w:w="837"/>
        <w:gridCol w:w="1018"/>
        <w:gridCol w:w="3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446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color w:val="000000"/>
                <w:kern w:val="0"/>
                <w:sz w:val="24"/>
                <w:szCs w:val="24"/>
                <w:u w:val="none"/>
                <w:lang w:val="en-US" w:eastAsia="zh-CN" w:bidi="ar"/>
              </w:rPr>
              <w:t>女儿节系列活动项目绩效目标自评表（2022年度）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3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4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女儿节系列活动项目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8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5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2022中国（广元）女儿节凤舟赛水上安全保障方案》要求，2022年女儿节期间，我局直属单位广元航道段具体负责女儿节凤舟赛的赛道设置和水上安全保障工作。该项目是2022年中国（广元）女儿节系列活动内容之一。为保障活动的正常开展，需采购龙舟赛赛道布置专用材料。</w:t>
            </w:r>
          </w:p>
        </w:tc>
        <w:tc>
          <w:tcPr>
            <w:tcW w:w="68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2022中国（广元）女儿节凤舟赛水上安全保障方案》要求，2022年女儿节期间，我局直属单位广元航道段具体负责女儿节凤舟赛的赛道设置和水上安全保障工作。该项目是2022年中国（广元）女儿节系列活动内容之一。为保障活动的正常开展，需采购龙舟赛赛道布置专用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4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2022中国（广元）女儿节凤舟赛水上安全保障方案》要求，2022年女儿节期间，我局直属单位广元航道段具体负责女儿节凤舟赛的赛道设置和水上安全保障工作。该项目是2022年中国（广元）女儿节系列活动内容之一。为保障活动的正常开展，需采购龙舟赛赛道布置专用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开展女儿节活动</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资金使用合规率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完成时间</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女儿节活动圆满完成</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等线" w:hAnsi="等线" w:eastAsia="等线" w:cs="等线"/>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服务对象满意度指标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群众满意度</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经济成本指标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项目成本</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85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9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9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9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9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6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84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60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4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144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3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5"/>
        <w:gridCol w:w="1445"/>
        <w:gridCol w:w="1176"/>
        <w:gridCol w:w="1212"/>
        <w:gridCol w:w="433"/>
        <w:gridCol w:w="1026"/>
        <w:gridCol w:w="576"/>
        <w:gridCol w:w="907"/>
        <w:gridCol w:w="647"/>
        <w:gridCol w:w="793"/>
        <w:gridCol w:w="963"/>
        <w:gridCol w:w="3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2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b w:val="0"/>
                <w:bCs w:val="0"/>
                <w:i w:val="0"/>
                <w:color w:val="000000"/>
                <w:sz w:val="44"/>
                <w:szCs w:val="44"/>
                <w:u w:val="none"/>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塔山湾至学工桥项目绩效目标自评表（2022年度）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项目名称</w:t>
            </w:r>
          </w:p>
        </w:tc>
        <w:tc>
          <w:tcPr>
            <w:tcW w:w="108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塔山湾至学工桥项目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主管部门（盖章）</w:t>
            </w:r>
          </w:p>
        </w:tc>
        <w:tc>
          <w:tcPr>
            <w:tcW w:w="43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广元市交通运输局</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实施单位 （盖章）</w:t>
            </w:r>
          </w:p>
        </w:tc>
        <w:tc>
          <w:tcPr>
            <w:tcW w:w="5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项目基本情况</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1.项目年度目标完成情况</w:t>
            </w:r>
          </w:p>
        </w:tc>
        <w:tc>
          <w:tcPr>
            <w:tcW w:w="43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项目年度目标</w:t>
            </w:r>
          </w:p>
        </w:tc>
        <w:tc>
          <w:tcPr>
            <w:tcW w:w="65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43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完成S205广元市利州区回龙河街道办事处至河西街道办事处（学工桥至塔山湾）段改建工程项目前期可行性研究报告。</w:t>
            </w:r>
          </w:p>
        </w:tc>
        <w:tc>
          <w:tcPr>
            <w:tcW w:w="65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完成S205广元市利州区回龙河街道办事处至河西街道办事处（学工桥至塔山湾）段改建工程项目前期可行性研究报告。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2.项目实施内容及过程概述</w:t>
            </w:r>
          </w:p>
        </w:tc>
        <w:tc>
          <w:tcPr>
            <w:tcW w:w="108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目前该项目已取得可研批复，正在开展前期要件、初步勘察设计文件编制工作，计划于2023年12月开工建设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预算执行情况（10分）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年度预算数（万元）</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年初预算</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调整后预算数</w:t>
            </w:r>
          </w:p>
        </w:tc>
        <w:tc>
          <w:tcPr>
            <w:tcW w:w="1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预算执行数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预算执行率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权重%</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部门自评得分</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财政部门科室复评得分</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总额</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30.00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其中：财政资金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30.00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财政专户管理资金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单位资金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其他资金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c>
          <w:tcPr>
            <w:tcW w:w="19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绩效指标（90分）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一级指标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二级指标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三级指标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指标性质</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指标值</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度量单位</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完成值</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权重</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部门自评得分</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财政部门科室复评得分</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数量指标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完成S205广元市利州区回龙河街道办事处至河西街道办事处（学工桥至塔山湾）段改建工程项目前期可行性研究报告批复</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时效指标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完成时间</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质量指标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可研报告完成度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效益指标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社会效益指标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促进广元旅游、经济及交通运输发展</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优</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满意度指标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服务对象满意度指标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群众满意度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95</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成本指标</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经济成本指标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项目成本</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30</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合计</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b w:val="0"/>
                <w:bCs w:val="0"/>
                <w:i w:val="0"/>
                <w:color w:val="000000"/>
                <w:sz w:val="18"/>
                <w:szCs w:val="18"/>
                <w:u w:val="none"/>
                <w:lang w:val="en-US" w:eastAsia="zh-CN"/>
              </w:rPr>
            </w:pPr>
            <w:r>
              <w:rPr>
                <w:rFonts w:hint="eastAsia" w:ascii="宋体" w:hAnsi="宋体" w:eastAsia="宋体" w:cs="宋体"/>
                <w:b w:val="0"/>
                <w:bCs w:val="0"/>
                <w:i w:val="0"/>
                <w:color w:val="000000"/>
                <w:sz w:val="18"/>
                <w:szCs w:val="18"/>
                <w:u w:val="none"/>
                <w:lang w:val="en-US" w:eastAsia="zh-CN"/>
              </w:rPr>
              <w:t>100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b w:val="0"/>
                <w:bCs w:val="0"/>
                <w:i w:val="0"/>
                <w:color w:val="000000"/>
                <w:sz w:val="18"/>
                <w:szCs w:val="18"/>
                <w:u w:val="none"/>
                <w:lang w:val="en-US" w:eastAsia="zh-CN"/>
              </w:rPr>
            </w:pPr>
            <w:r>
              <w:rPr>
                <w:rFonts w:hint="eastAsia" w:ascii="宋体" w:hAnsi="宋体" w:eastAsia="宋体" w:cs="宋体"/>
                <w:b w:val="0"/>
                <w:bCs w:val="0"/>
                <w:i w:val="0"/>
                <w:color w:val="000000"/>
                <w:sz w:val="18"/>
                <w:szCs w:val="18"/>
                <w:u w:val="none"/>
                <w:lang w:val="en-US" w:eastAsia="zh-CN"/>
              </w:rPr>
              <w:t>100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部门（单位）自评结论</w:t>
            </w:r>
          </w:p>
        </w:tc>
        <w:tc>
          <w:tcPr>
            <w:tcW w:w="12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部门（单位）自评存在问题</w:t>
            </w:r>
          </w:p>
        </w:tc>
        <w:tc>
          <w:tcPr>
            <w:tcW w:w="12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部门（单位）自评改进措施</w:t>
            </w:r>
          </w:p>
        </w:tc>
        <w:tc>
          <w:tcPr>
            <w:tcW w:w="12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财政部门对口科室复评结论及整改要求</w:t>
            </w:r>
          </w:p>
        </w:tc>
        <w:tc>
          <w:tcPr>
            <w:tcW w:w="123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单位项目负责人：</w:t>
            </w:r>
          </w:p>
        </w:tc>
        <w:tc>
          <w:tcPr>
            <w:tcW w:w="80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部门项目负责人：</w:t>
            </w:r>
          </w:p>
        </w:tc>
        <w:tc>
          <w:tcPr>
            <w:tcW w:w="80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8"/>
        <w:gridCol w:w="1553"/>
        <w:gridCol w:w="1263"/>
        <w:gridCol w:w="1301"/>
        <w:gridCol w:w="463"/>
        <w:gridCol w:w="1102"/>
        <w:gridCol w:w="576"/>
        <w:gridCol w:w="969"/>
        <w:gridCol w:w="692"/>
        <w:gridCol w:w="850"/>
        <w:gridCol w:w="1034"/>
        <w:gridCol w:w="3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68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综合货运枢纽示范城市申报工作经费绩效目标自评表（2022年度）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综合货运枢纽示范城市申报工作经费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9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完成综合货运枢纽示范城市申报工作</w:t>
            </w:r>
          </w:p>
        </w:tc>
        <w:tc>
          <w:tcPr>
            <w:tcW w:w="6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第二批综合货运枢纽示范城市申报通过省厅评审，资料已报交通运输部评审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第二批综合货运枢纽示范城市申报通过省厅评审，资料已报交通运输部评审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61.42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第一批申报未能通过交通运输部评审，我局正在积极申报第二批综合货运枢纽示范城市，申报资料通过省厅评审，并报交通运输部评审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61.42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推进综合货运枢纽示范城市申报工作</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完成综合货运枢纽示范城市申报工作</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充分依托“全国性综合交通枢纽城市”地位，积极申报综合货运枢纽示范城市，说明在国家综合立体交通网主骨架的交通区位，综合货运枢纽支持国家重点产业集群等情况</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测算综合货运枢纽设施新增和改造面积，集疏运体系新增及改扩建里程，主要枢纽港站货物吞吐量年均增长率等指标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预算资金</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第一批申报未能通过交通运输部评审，我局正在积极申报第二批综合货运枢纽示范城市，申报资料通过省厅评审，并报交通运输部评审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31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31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31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31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85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5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46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8"/>
        <w:gridCol w:w="1553"/>
        <w:gridCol w:w="1261"/>
        <w:gridCol w:w="1299"/>
        <w:gridCol w:w="462"/>
        <w:gridCol w:w="1103"/>
        <w:gridCol w:w="576"/>
        <w:gridCol w:w="971"/>
        <w:gridCol w:w="692"/>
        <w:gridCol w:w="850"/>
        <w:gridCol w:w="1034"/>
        <w:gridCol w:w="3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468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“两新”组织党建经费绩效目标自评表（2022年度）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“两新”组织党建经费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6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9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6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9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6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“两新”组织党建经费补助资金</w:t>
            </w:r>
          </w:p>
        </w:tc>
        <w:tc>
          <w:tcPr>
            <w:tcW w:w="69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拨付三家单位“两新”组织党建经费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6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拨付三家单位“两新”组织党建经费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两新组织数量</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全额拨付</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两新组织党建工作顺利开展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两新组织满意度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项目成本</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31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31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31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31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8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146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p>
      <w:pPr>
        <w:rPr>
          <w:rFonts w:hint="eastAsia"/>
          <w:lang w:val="en-US" w:eastAsia="zh-CN"/>
        </w:rPr>
      </w:pPr>
      <w:r>
        <w:rPr>
          <w:rFonts w:hint="eastAsia"/>
          <w:lang w:val="en-US" w:eastAsia="zh-CN"/>
        </w:rPr>
        <w:br w:type="page"/>
      </w:r>
    </w:p>
    <w:tbl>
      <w:tblPr>
        <w:tblStyle w:val="17"/>
        <w:tblW w:w="14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2"/>
        <w:gridCol w:w="1504"/>
        <w:gridCol w:w="1223"/>
        <w:gridCol w:w="1262"/>
        <w:gridCol w:w="449"/>
        <w:gridCol w:w="1072"/>
        <w:gridCol w:w="576"/>
        <w:gridCol w:w="943"/>
        <w:gridCol w:w="673"/>
        <w:gridCol w:w="825"/>
        <w:gridCol w:w="1003"/>
        <w:gridCol w:w="3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426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乡村振兴工作经费绩效目标自评表（2022年度）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2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2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5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5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7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5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及时更换乡村横幅标语、公示栏、宣传栏、明白卡、制度牌及规范完善乡村振兴相关软件资料，按照省市乡村振兴相关要求，驻村人员脱产驻村、吃住在村</w:t>
            </w:r>
          </w:p>
        </w:tc>
        <w:tc>
          <w:tcPr>
            <w:tcW w:w="67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及时更换乡村横幅标语、公示栏、宣传栏、明白卡、制度牌及规范完善乡村振兴相关软件资料，按照省市乡村振兴相关要求，驻村人员脱产驻村、吃住在村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2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及时更换乡村横幅标语、公示栏、宣传栏、明白卡、制度牌及规范完善乡村振兴相关软件资料，按照省市乡村振兴相关要求，驻村人员脱产驻村、吃住在村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更换横幅标语</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更换宣传栏</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发放驻村人员生活补助</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全部更换横幅标语、宣传栏</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项目成本</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完成时限</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及时发放驻村补助</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按照省市相关要求，驻村人员脱产驻村、吃住在村</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84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7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7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7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7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59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59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 w:hRule="atLeast"/>
        </w:trPr>
        <w:tc>
          <w:tcPr>
            <w:tcW w:w="142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p>
    <w:p>
      <w:pPr>
        <w:rPr>
          <w:rFonts w:hint="eastAsia"/>
          <w:lang w:val="en-US" w:eastAsia="zh-CN"/>
        </w:rPr>
      </w:pPr>
      <w:r>
        <w:rPr>
          <w:rFonts w:hint="eastAsia"/>
          <w:lang w:val="en-US" w:eastAsia="zh-CN"/>
        </w:rPr>
        <w:br w:type="page"/>
      </w:r>
    </w:p>
    <w:tbl>
      <w:tblPr>
        <w:tblStyle w:val="17"/>
        <w:tblW w:w="14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2"/>
        <w:gridCol w:w="1509"/>
        <w:gridCol w:w="1226"/>
        <w:gridCol w:w="1260"/>
        <w:gridCol w:w="450"/>
        <w:gridCol w:w="1074"/>
        <w:gridCol w:w="576"/>
        <w:gridCol w:w="944"/>
        <w:gridCol w:w="673"/>
        <w:gridCol w:w="826"/>
        <w:gridCol w:w="1004"/>
        <w:gridCol w:w="32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428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3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交通项目资金争取工作经费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8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向上争取交通项目资金工作经费</w:t>
            </w:r>
          </w:p>
        </w:tc>
        <w:tc>
          <w:tcPr>
            <w:tcW w:w="6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向上争取交通项目资金工作经费13.58亿元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3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向上争取交通项目资金工作经费13.58亿元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向上争取资金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完成向上争取资金任务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争取交通建设项目部省补助资金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4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8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8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8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8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9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83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59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3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0"/>
        <w:gridCol w:w="1533"/>
        <w:gridCol w:w="1245"/>
        <w:gridCol w:w="1284"/>
        <w:gridCol w:w="455"/>
        <w:gridCol w:w="1088"/>
        <w:gridCol w:w="456"/>
        <w:gridCol w:w="953"/>
        <w:gridCol w:w="681"/>
        <w:gridCol w:w="838"/>
        <w:gridCol w:w="1022"/>
        <w:gridCol w:w="3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438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交通运输管理（含安全监督、法制建设、禁毒工作等）工作经费绩效目标自评表（2022年度）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3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交通运输管理（含安全监督、法制建设、禁毒工作等）工作经费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8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8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组织开展交通行业安全监督、法制建设、禁毒、交通战备、网络安全等工作</w:t>
            </w:r>
          </w:p>
        </w:tc>
        <w:tc>
          <w:tcPr>
            <w:tcW w:w="68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2022年组织开展了交通行业安全监督、法制建设、禁毒、交通战备、网络安全等工作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3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2022年组织开展了交通行业安全监督、法制建设、禁毒、交通战备、网络安全等工作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交通运输行政执法人员培训</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项目成本</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网络安全责任事故</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网站运行正常率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局网站维护</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开展国防交通潜力调查，完成数据统计更新，开展国防交通专业保障队伍教育或训（演）练，保障国防交通运行</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召开安全例会、开展安全督导、检查、调研、评估、安全资料印制、整理、归档等</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交通运输局干部职工知晓网络安全相关法律和参加网络安全培训。</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网络安全宣传和培训</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完成时限</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确保网站安全正常运行</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交通运输行政执法队伍投诉率在2021年基础上下降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84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5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83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59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3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143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3"/>
        <w:gridCol w:w="1516"/>
        <w:gridCol w:w="1231"/>
        <w:gridCol w:w="1270"/>
        <w:gridCol w:w="450"/>
        <w:gridCol w:w="1075"/>
        <w:gridCol w:w="452"/>
        <w:gridCol w:w="942"/>
        <w:gridCol w:w="674"/>
        <w:gridCol w:w="829"/>
        <w:gridCol w:w="1011"/>
        <w:gridCol w:w="3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422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小标宋简体" w:hAnsi="方正小标宋简体" w:eastAsia="方正小标宋简体" w:cs="方正小标宋简体"/>
                <w:b w:val="0"/>
                <w:bCs w:val="0"/>
                <w:i w:val="0"/>
                <w:color w:val="000000"/>
                <w:sz w:val="32"/>
                <w:szCs w:val="32"/>
                <w:u w:val="none"/>
              </w:rPr>
            </w:pPr>
            <w:r>
              <w:rPr>
                <w:rFonts w:hint="eastAsia" w:ascii="方正小标宋简体" w:hAnsi="方正小标宋简体" w:eastAsia="方正小标宋简体" w:cs="方正小标宋简体"/>
                <w:b w:val="0"/>
                <w:bCs w:val="0"/>
                <w:i w:val="0"/>
                <w:color w:val="000000"/>
                <w:kern w:val="0"/>
                <w:sz w:val="32"/>
                <w:szCs w:val="32"/>
                <w:u w:val="none"/>
                <w:lang w:val="en-US" w:eastAsia="zh-CN" w:bidi="ar"/>
              </w:rPr>
              <w:t>交通项目工作经费绩效目标自评表（2022年度）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项目名称</w:t>
            </w:r>
          </w:p>
        </w:tc>
        <w:tc>
          <w:tcPr>
            <w:tcW w:w="1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交通项目工作经费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主管部门（盖章）</w:t>
            </w:r>
          </w:p>
        </w:tc>
        <w:tc>
          <w:tcPr>
            <w:tcW w:w="44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广元市交通运输局</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实施单位 （盖章）</w:t>
            </w:r>
          </w:p>
        </w:tc>
        <w:tc>
          <w:tcPr>
            <w:tcW w:w="58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项目基本情况</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1.项目年度目标完成情况</w:t>
            </w:r>
          </w:p>
        </w:tc>
        <w:tc>
          <w:tcPr>
            <w:tcW w:w="44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项目年度目标</w:t>
            </w:r>
          </w:p>
        </w:tc>
        <w:tc>
          <w:tcPr>
            <w:tcW w:w="6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44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开展国道G542线利州区盘龙镇（陵江）至昭化区元坝镇（范家坪）改建工程、省道205线利州区（塔山弯）至朝天区云雾山镇（川陕界）新改建工程、剑阁县下寺至利州区月坝公路、嘉陵江水东坝航电综合枢纽工程的工可、设计等前期工作。</w:t>
            </w:r>
          </w:p>
        </w:tc>
        <w:tc>
          <w:tcPr>
            <w:tcW w:w="6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完成国道G542线利州区盘龙镇（陵江）至昭化区元坝镇（范家坪）改建工程、省道205线利州区（塔山弯）至朝天区云雾山镇（川陕界）新改建工程、剑阁县下寺至利州区月坝公路、嘉陵江水东坝航电综合枢纽工程的工可、设计等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2.项目实施内容及过程概述</w:t>
            </w:r>
          </w:p>
        </w:tc>
        <w:tc>
          <w:tcPr>
            <w:tcW w:w="112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完成了国道G542线利州区盘龙镇（陵江）至昭化区元坝镇（范家坪）改建工程、省道205线利州区（塔山弯）至朝天区云雾山镇（川陕界）新改建工程、剑阁县下寺至利州区月坝公路、嘉陵江水东坝航电综合枢纽工程的工可、设计等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预算执行情况（10分）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年度预算数（万元）</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年初预算</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调整后预算数</w:t>
            </w:r>
          </w:p>
        </w:tc>
        <w:tc>
          <w:tcPr>
            <w:tcW w:w="1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预算执行数</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预算执行率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部门自评得分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财政部门科室复评得分</w:t>
            </w: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总额</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其中：财政资金</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财政专户管理资金</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单位资金</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其他资金</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c>
          <w:tcPr>
            <w:tcW w:w="1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绩效指标（90分）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一级指标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二级指标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三级指标</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指标性质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指标值</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度量单位</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完成值</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部门自评得分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财政部门科室复评得分</w:t>
            </w: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数量指标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完成项目工可</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数量指标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完成项目设计</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成本指标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经济成本指标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项目成本</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时效指标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取得项目工可</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时效指标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取得项目设计</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质量指标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取得项目工可取得批复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质量指标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设计文件取得行业审批</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效益指标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社会效益指标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提升道路通行能力，改善群众出行条件。</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满意度指标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服务对象满意度指标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群众满意度</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83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合计</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b w:val="0"/>
                <w:bCs w:val="0"/>
                <w:i w:val="0"/>
                <w:color w:val="000000"/>
                <w:sz w:val="18"/>
                <w:szCs w:val="18"/>
                <w:u w:val="none"/>
                <w:lang w:val="en-US" w:eastAsia="zh-CN"/>
              </w:rPr>
            </w:pPr>
            <w:r>
              <w:rPr>
                <w:rFonts w:hint="eastAsia" w:ascii="宋体" w:hAnsi="宋体" w:eastAsia="宋体" w:cs="宋体"/>
                <w:b w:val="0"/>
                <w:bCs w:val="0"/>
                <w:i w:val="0"/>
                <w:color w:val="000000"/>
                <w:sz w:val="18"/>
                <w:szCs w:val="18"/>
                <w:u w:val="none"/>
                <w:lang w:val="en-US" w:eastAsia="zh-CN"/>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b w:val="0"/>
                <w:bCs w:val="0"/>
                <w:i w:val="0"/>
                <w:color w:val="000000"/>
                <w:sz w:val="18"/>
                <w:szCs w:val="18"/>
                <w:u w:val="none"/>
                <w:lang w:val="en-US" w:eastAsia="zh-CN"/>
              </w:rPr>
            </w:pPr>
            <w:r>
              <w:rPr>
                <w:rFonts w:hint="eastAsia" w:ascii="宋体" w:hAnsi="宋体" w:eastAsia="宋体" w:cs="宋体"/>
                <w:b w:val="0"/>
                <w:bCs w:val="0"/>
                <w:i w:val="0"/>
                <w:color w:val="000000"/>
                <w:sz w:val="18"/>
                <w:szCs w:val="18"/>
                <w:u w:val="none"/>
                <w:lang w:val="en-US" w:eastAsia="zh-CN"/>
              </w:rPr>
              <w:t>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3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部门（单位）自评结论</w:t>
            </w:r>
          </w:p>
        </w:tc>
        <w:tc>
          <w:tcPr>
            <w:tcW w:w="127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部门（单位）自评存在问题</w:t>
            </w:r>
          </w:p>
        </w:tc>
        <w:tc>
          <w:tcPr>
            <w:tcW w:w="127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部门（单位）自评改进措施</w:t>
            </w:r>
          </w:p>
        </w:tc>
        <w:tc>
          <w:tcPr>
            <w:tcW w:w="127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财政部门对口科室复评结论及整改要求</w:t>
            </w:r>
          </w:p>
        </w:tc>
        <w:tc>
          <w:tcPr>
            <w:tcW w:w="127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5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单位项目负责人：</w:t>
            </w:r>
          </w:p>
        </w:tc>
        <w:tc>
          <w:tcPr>
            <w:tcW w:w="82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5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部门项目负责人：</w:t>
            </w:r>
          </w:p>
        </w:tc>
        <w:tc>
          <w:tcPr>
            <w:tcW w:w="82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14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5"/>
        <w:gridCol w:w="885"/>
        <w:gridCol w:w="1256"/>
        <w:gridCol w:w="2574"/>
        <w:gridCol w:w="677"/>
        <w:gridCol w:w="907"/>
        <w:gridCol w:w="820"/>
        <w:gridCol w:w="846"/>
        <w:gridCol w:w="569"/>
        <w:gridCol w:w="700"/>
        <w:gridCol w:w="851"/>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76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乡村振兴工作经费绩效目标自评表（2022年度）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23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6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广元市公路建设服务中心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6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6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保障完成朝天区云雾山镇石门村的乡村振兴帮扶工作，使得帮扶村环境生态宜居，村民生活便利。</w:t>
            </w:r>
          </w:p>
        </w:tc>
        <w:tc>
          <w:tcPr>
            <w:tcW w:w="61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2022年完成了对朝天区云雾山镇石门村的乡村振兴帮扶工作，使得帮扶村环境生态宜居，村民生活便利。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23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项目主要由我中心驻村队开展日常业务管理，重要工作通过中心领导小组和党委会研究决定后，再按程序推动。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帮扶村个数</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1个</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走访贫困户次数</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182次</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宣讲乡村振兴相关政策次数</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592</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592次</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乡村振兴工作完成程度</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完成上级交付的帮扶村乡村振兴工作时间</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365天</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帮扶村环境生态、宜居</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优良中差低</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帮扶村居住出行便利程度</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优良中差低</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帮扶对象满意度指标</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帮扶村群众生活满意度</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优良中差低</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完成乡村振兴工作资金使用额</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3.64万元</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4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3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该项目自评得分100分。乡村振兴工作经费项目的顺利开展，通过鼓励和支持村特色产业发展，完善排水设施、完善村路况等措施，使得帮扶村村民生活便利、环境生态宜居。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3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3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加强项目绩效运行监控力度，对支付进度慢的项目进行监管和跟踪。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3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单位项目负责人：李林耘</w:t>
            </w:r>
          </w:p>
        </w:tc>
        <w:tc>
          <w:tcPr>
            <w:tcW w:w="78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单位财务负责人：肖力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78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7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0"/>
        <w:gridCol w:w="1251"/>
        <w:gridCol w:w="1200"/>
        <w:gridCol w:w="3361"/>
        <w:gridCol w:w="758"/>
        <w:gridCol w:w="759"/>
        <w:gridCol w:w="760"/>
        <w:gridCol w:w="846"/>
        <w:gridCol w:w="658"/>
        <w:gridCol w:w="809"/>
        <w:gridCol w:w="984"/>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422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国省干线保畅及安保设施维护经费、路产路权安全管理经费、道路保通保畅工作经费绩效目标自评表（2022年度）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5" w:hRule="atLeast"/>
        </w:trPr>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3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国省干线保畅及安保设施维护经费、路产路权安全管理经费、道路保通保畅工作经费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6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36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广元市公路建设服务中心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1" w:hRule="atLeast"/>
        </w:trPr>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6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4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68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做好监督管理、监督维护工作；保障国省道路保通保畅。</w:t>
            </w:r>
          </w:p>
        </w:tc>
        <w:tc>
          <w:tcPr>
            <w:tcW w:w="4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项目2022年完成了对国省干线的监督管理、安保设施监督维护工作。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8"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3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项目主要由我中心路产路权科及安全应急科组织开展日常业务管理，重要工作通过中心领导小组和党委会研究决定后，再按程序推动。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5"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2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2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9"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2"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8"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国省干线安保巡查次数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路产路权安全监督管理及国省公路安全维护工作完成程度</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9"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完成国省干线安保设施维护工作、路产路权安全管理工作、道路保通保畅工作时间</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道路安全畅通率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9"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国省县道畅通满意</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项目全年资金使用数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8"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5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项目2022年完成了对国省干线的监督管理、安保设施监督维护工作，通过对国省县道公路的监督管理以及安保设施的监督维护，及时清理路面通行障碍、保障通行的基础设施的正常使用，提升了道路的畅通率。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9" w:hRule="atLeast"/>
        </w:trPr>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5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5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加强项目绩效运行监控力度，对支付进度慢的项目进行监管和跟踪。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2" w:hRule="atLeast"/>
        </w:trPr>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5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8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单位项目负责人：徐长平</w:t>
            </w:r>
          </w:p>
        </w:tc>
        <w:tc>
          <w:tcPr>
            <w:tcW w:w="5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单位财务负责人：肖力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8" w:hRule="atLeast"/>
        </w:trPr>
        <w:tc>
          <w:tcPr>
            <w:tcW w:w="82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5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14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3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9"/>
        <w:gridCol w:w="1242"/>
        <w:gridCol w:w="1010"/>
        <w:gridCol w:w="1834"/>
        <w:gridCol w:w="637"/>
        <w:gridCol w:w="884"/>
        <w:gridCol w:w="1000"/>
        <w:gridCol w:w="846"/>
        <w:gridCol w:w="554"/>
        <w:gridCol w:w="681"/>
        <w:gridCol w:w="827"/>
        <w:gridCol w:w="2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360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公路巡查经费绩效目标自评表（2022年度）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09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公路巡查经费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 w:hRule="atLeast"/>
        </w:trPr>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5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广元市公路建设服务中心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5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5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53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保障里程全长22800Km的国省县道公路巡查工作正常开展；保障国省县道公路运行通畅；维护广绵交界标牌安全性；保障群众出行通达。</w:t>
            </w:r>
          </w:p>
        </w:tc>
        <w:tc>
          <w:tcPr>
            <w:tcW w:w="55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项目2022年完成对总里程不低于22800.00Km的国、省、县道公路巡查工作，保障国省县道公路运行通畅，维护了广绵交界标牌安全性，保障了群众出行通达。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09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项目主要由我中心路产路权科及安全应急科组织开展日常业务管理，重要工作通过中心领导小组和党委会研究决定后，再按程序推动。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11.18</w:t>
            </w:r>
          </w:p>
        </w:tc>
        <w:tc>
          <w:tcPr>
            <w:tcW w:w="2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11.18</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11.18</w:t>
            </w:r>
          </w:p>
        </w:tc>
        <w:tc>
          <w:tcPr>
            <w:tcW w:w="2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11.18</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国道巡查数量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省道巡查数量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县道巡查数量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9200公里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公路巡查工作完成程度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完成公路巡查工作时限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国省县道畅通率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道路畅通满意度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完成公路巡查工作资金使用额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2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自评得分100分。项目2022年完成了对总里程不低于22800.00Km的国、省、县道公路巡查工作，通过对国省县道公路的巡查和监督管理，将道路隐患提前消除，保障通行的基础设施的正常使用，提升了道路的畅通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2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2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加强项目绩效运行监控力度，对支付进度慢的项目进行监管和跟踪。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2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61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单位项目负责人：徐长平</w:t>
            </w:r>
          </w:p>
        </w:tc>
        <w:tc>
          <w:tcPr>
            <w:tcW w:w="7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单位财务负责人：肖力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 w:hRule="atLeast"/>
        </w:trPr>
        <w:tc>
          <w:tcPr>
            <w:tcW w:w="61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746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 w:hRule="atLeast"/>
        </w:trPr>
        <w:tc>
          <w:tcPr>
            <w:tcW w:w="136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7"/>
        <w:gridCol w:w="1185"/>
        <w:gridCol w:w="964"/>
        <w:gridCol w:w="2866"/>
        <w:gridCol w:w="719"/>
        <w:gridCol w:w="843"/>
        <w:gridCol w:w="927"/>
        <w:gridCol w:w="846"/>
        <w:gridCol w:w="529"/>
        <w:gridCol w:w="651"/>
        <w:gridCol w:w="790"/>
        <w:gridCol w:w="2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422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全市道路运输事务性（辅助性）工作经费绩效目标自评表（2022年度）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6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全市道路运输事务性（辅助性）工作经费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6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广元市公路建设服务中心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6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3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6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按质按量完成全年道路运输事务性、辅助性工作。</w:t>
            </w:r>
          </w:p>
        </w:tc>
        <w:tc>
          <w:tcPr>
            <w:tcW w:w="53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项目完成了2022年全年道路运输事务性、辅助性工作。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6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项目主要由我中心运输服务科、车辆技术服务科、从业资格服务科开展日常业务管理，重要工作通过中心领导小组和党委会研究决定后，再按程序推动。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9.72</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9.72</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9.72</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9.72</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5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道路运输春运工作、安全管理及日常工作次数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次/年</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24次/年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道路危险货物运输企业和服务质量信誉考核初评等级为AA级及以上出租车企业的规范评估服务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道路旅客运输企业的规范评估服务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道路运输春运工作、安全管理及日常工作完成程度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道路运输事务性、辅助性工作时限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指导各单位安全生产及其它工作，确保道路运输安全程度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及时公布企业规范评估服务情况的群众知晓范围度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企业对单位规范评估考核情况满意度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群众对道路运输安全管理情况满意度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完成道路运输事务性、辅助性工作资金使用额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9.72万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96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8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自评得分100分。项目完成了2022年全年道路运输事务性、辅助性工作。通过对道路运输企业的监督管理、评估企业规范性服务等事务性、辅助性工作等相关工作，保障了道路运输的安全性、维护了道路运输行业的秩序，促进运输行业的良性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8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8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加强项目绩效运行监控力度，对支付进度慢的项目进行监管和跟踪。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8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1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单位项目负责人：刘新</w:t>
            </w:r>
          </w:p>
        </w:tc>
        <w:tc>
          <w:tcPr>
            <w:tcW w:w="71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单位财务负责人：肖力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1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71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4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3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0"/>
        <w:gridCol w:w="1181"/>
        <w:gridCol w:w="1183"/>
        <w:gridCol w:w="1183"/>
        <w:gridCol w:w="1181"/>
        <w:gridCol w:w="1191"/>
        <w:gridCol w:w="962"/>
        <w:gridCol w:w="1071"/>
        <w:gridCol w:w="961"/>
        <w:gridCol w:w="961"/>
        <w:gridCol w:w="1178"/>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6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市战备仓库与机养中心日常运行维护及公路应急抢通保通项目绩效目标自评表（2022年度）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3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市战备仓库与机养中心日常运行维护及公路应急抢通保通项目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57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广元市公路建设服务中心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57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6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57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对全市普通国省干线桥隧开展定期检查抽查，保障市战备仓库和路网监控中心日常运行，做好普通国省干线养护管理业务学习培训等工作。</w:t>
            </w:r>
          </w:p>
        </w:tc>
        <w:tc>
          <w:tcPr>
            <w:tcW w:w="56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项目完成了2022年对全市普通国省干线桥隧开展定期检查抽查，保障市战备仓库和路网监控中心日常运行，做好普通国省干线养护管理业务学习培训等工作。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3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项目主要由我中心养护科组织开展日常业务管理，重要工作通过中心工程领导小组和党委会研究决定后，再按程序推动。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44.74</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44.74</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44.74</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培训、演练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定期检查抽查桥隧数量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战备钢桥保养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桥隧定期检查报告、评定结论规范性程度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桥隧定期检查抽查工期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桥隧定期检查抽查完成时间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桥隧通行噪音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桥隧日常养护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战备仓库运行情况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公路桥隧通行情况全年畅通率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国省干线桥隧运行社会公众满意度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社会投诉次数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完成上级交付的市战备仓库和机养中心日常运行维护及公路应急抢通保通项目工作资金使用额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0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5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该项目自评得分100分。项目完成了2022年对全市普通国省干线桥隧开展定期检查抽查，保障市战备仓库和路网监控中心日常运行，做好普通国省干线养护管理业务学习培训等工作. 通过保障市战备仓库和机械化养护中心的正常运行，做好公路日常养护和应急抢通保通工作，及时解决公路安全隐患，恢复道路运输功能，保障了群众的出行安全。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5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5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加强项目绩效运行监控力度，对支付进度慢的项目进行监管和跟踪。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56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单位项目负责人：郭飞飞</w:t>
            </w:r>
          </w:p>
        </w:tc>
        <w:tc>
          <w:tcPr>
            <w:tcW w:w="78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单位财务负责人：肖力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78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6"/>
        <w:gridCol w:w="1171"/>
        <w:gridCol w:w="1476"/>
        <w:gridCol w:w="4176"/>
        <w:gridCol w:w="653"/>
        <w:gridCol w:w="1116"/>
        <w:gridCol w:w="613"/>
        <w:gridCol w:w="891"/>
        <w:gridCol w:w="515"/>
        <w:gridCol w:w="576"/>
        <w:gridCol w:w="600"/>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446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国省干线公路路况检查及桥隧日常养护和安全监管经费绩效目标自评表（2022年度）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 w:hRule="atLeast"/>
        </w:trPr>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8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国省干线公路路况检查及桥隧日常养护和安全监管经费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6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广元市公路建设服务中心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6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4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6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完成对全市普通国省干线公路路况水平进行自动化检测，使PQI值在90以上，以及时掌握道路实际通行水平，有针对性的采取养护措施；同时对全市部分桥梁进行检测，建立危桥台账，以及时进行桥隧养护管理及危桥改造工作，来保障交通安全通达。</w:t>
            </w:r>
          </w:p>
        </w:tc>
        <w:tc>
          <w:tcPr>
            <w:tcW w:w="54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了2022年完成对全市普通国省干线公路路况水平进行自动化检测，使PQI值在90以上，以及时掌握道路实际通行水平，有针对性的采取养护措施；同时对全市部分桥梁进行检测，建立危桥台账，以及时进行桥隧养护管理及危桥改造工作，来保障交通安全通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8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项目主要由我中心养护科组织开展日常业务管理，重要工作通过中心工程领导小组和党委会研究决定后，再按程序推动。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3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公路检测里程数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桥梁检测数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公路路面性能指数（PQI）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桥隧定期检查评定结论达标率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桥隧定期检查抽查完成时间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公路路况检测时间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带动周边地区经济发展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等线" w:hAnsi="等线" w:eastAsia="等线" w:cs="等线"/>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公路通行全年畅通率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桥梁通行全年畅通率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公路日常养护符合国家生态环保要求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等线" w:hAnsi="等线" w:eastAsia="等线" w:cs="等线"/>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桥梁通行噪音符合国家规定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等线" w:hAnsi="等线" w:eastAsia="等线" w:cs="等线"/>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满足一定时期内对国省干线公路路况PQI值的要求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社会公众投诉次数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等线" w:hAnsi="等线" w:eastAsia="等线" w:cs="等线"/>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出行群众满意度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经济成本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项目全年资金使用额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等线" w:hAnsi="等线" w:eastAsia="等线" w:cs="等线"/>
                <w:i w:val="0"/>
                <w:color w:val="000000"/>
                <w:sz w:val="18"/>
                <w:szCs w:val="18"/>
                <w:u w:val="none"/>
              </w:rPr>
            </w:pPr>
            <w:r>
              <w:rPr>
                <w:rFonts w:hint="default" w:ascii="等线" w:hAnsi="等线" w:eastAsia="等线" w:cs="等线"/>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97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3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自评得分100分。项目完成了2022年完成对全市普通国省干线公路路况水平进行自动化检测，使PQI值在90以上，以及时掌握道路实际通行水平，有针对性的采取养护措施；同时对全市部分桥梁进行检测，建立危桥台账，以及时进行桥隧养护管理及危桥改造工作，来保障交通安全通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3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3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加强项目绩效运行监控力度，对支付进度慢的项目进行监管和跟踪。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30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7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单位项目负责人：李路希</w:t>
            </w:r>
          </w:p>
        </w:tc>
        <w:tc>
          <w:tcPr>
            <w:tcW w:w="69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单位财务负责人：肖力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7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69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144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3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3"/>
        <w:gridCol w:w="1306"/>
        <w:gridCol w:w="1836"/>
        <w:gridCol w:w="2196"/>
        <w:gridCol w:w="406"/>
        <w:gridCol w:w="848"/>
        <w:gridCol w:w="576"/>
        <w:gridCol w:w="853"/>
        <w:gridCol w:w="579"/>
        <w:gridCol w:w="683"/>
        <w:gridCol w:w="781"/>
        <w:gridCol w:w="2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364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2022年交通造价监督管理和培训绩效目标自评表（2022年度）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09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2022年交通造价监督管理和培训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5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1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广元市交通建设工程造价管理站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5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50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对全市交通建设项目工程造价管理与监督、人员培训等</w:t>
            </w:r>
          </w:p>
        </w:tc>
        <w:tc>
          <w:tcPr>
            <w:tcW w:w="59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顺利完成2022年度对全市交通建设项目工程造价管理与监督、人员培训等工作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099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2022年，我单位通过财政审批后设立交通造价监督管理和培训项目，由造价科对交通造价监督管理和培训费的支出提出意见，经领导审核或集体决策后由财务室支付款项，确保了全年交通造价管理工作运行正常。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6"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6"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项目造价管理工作经费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项目造价审查覆盖率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9"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项目造价审查质量合格率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造价业务培训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项目造价审减率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9" w:hRule="atLeast"/>
        </w:trPr>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85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项目造价审查覆盖率和项目造价审查质量合格率达到100%，开展一次造价业务培训，项目造价审减率大于等于1.2%，服务对象满意度极高。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省交通厅造价站和市交通运输局的要求及实际工作需要，我单位近两年来工作内容不断增加，为强化全过程造价监督管理、加强交通计价依据研究，需要与专业人员合作进行大量现场调研，现有经费难以保证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7"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积极争取资金，提高我站交通造价监督管理和培训费预算金额。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3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62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单位项目负责人：侯亚</w:t>
            </w:r>
          </w:p>
        </w:tc>
        <w:tc>
          <w:tcPr>
            <w:tcW w:w="73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单位财务负责人：侯亚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62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73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5" w:hRule="atLeast"/>
        </w:trPr>
        <w:tc>
          <w:tcPr>
            <w:tcW w:w="136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9"/>
        <w:gridCol w:w="1429"/>
        <w:gridCol w:w="1161"/>
        <w:gridCol w:w="1780"/>
        <w:gridCol w:w="432"/>
        <w:gridCol w:w="1017"/>
        <w:gridCol w:w="616"/>
        <w:gridCol w:w="901"/>
        <w:gridCol w:w="640"/>
        <w:gridCol w:w="785"/>
        <w:gridCol w:w="952"/>
        <w:gridCol w:w="3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420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交通工程材料价格信息调查及编制绩效目标自评表（2022年度）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3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交通工程材料价格信息调查及编制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5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广元市交通建设工程造价管理站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4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完成全市2022年度材料价格信息调查及编制发布工作</w:t>
            </w:r>
          </w:p>
        </w:tc>
        <w:tc>
          <w:tcPr>
            <w:tcW w:w="64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圆满完成全市2022年度材料价格信息调查及编制发布工作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3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我单位通过财政审批后设立交通工程材料价格信息调查及编制费项目，由造价科对交通工程材料价格信息调查及编制费的支出提出意见，经领导审核或集体决策后由财务室支付款项，确保了全年交通造价管理工作运行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6.81</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6.81</w:t>
            </w:r>
          </w:p>
        </w:tc>
        <w:tc>
          <w:tcPr>
            <w:tcW w:w="1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6.81</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6.81</w:t>
            </w:r>
          </w:p>
        </w:tc>
        <w:tc>
          <w:tcPr>
            <w:tcW w:w="1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符合市场实际，反应价格变化趋势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材料价格信息发布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材价调查发布工作经费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明确材料价格市场变化趋势，服务项目参建单位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86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8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全年材料价格信息发布12条，符合市场实际，反应价格变化趋势，服务项目参建单位。服务对象满意度极高。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8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省交通厅造价站和市交通运输局的要求及实际工作需要，我单位近两年来工作内容不断增加，为强化全过程造价监督管理、加强交通计价依据研究，需要与专业人员合作进行大量现场调研，现有经费难以保证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8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建议提高我站交通工程材料价格信息调查及编制费预算金额。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8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6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单位项目负责人：侯亚</w:t>
            </w:r>
          </w:p>
        </w:tc>
        <w:tc>
          <w:tcPr>
            <w:tcW w:w="79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单位财务负责人：侯亚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6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79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 w:hRule="atLeast"/>
        </w:trPr>
        <w:tc>
          <w:tcPr>
            <w:tcW w:w="142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7"/>
        <w:gridCol w:w="1332"/>
        <w:gridCol w:w="1296"/>
        <w:gridCol w:w="3276"/>
        <w:gridCol w:w="418"/>
        <w:gridCol w:w="813"/>
        <w:gridCol w:w="576"/>
        <w:gridCol w:w="882"/>
        <w:gridCol w:w="598"/>
        <w:gridCol w:w="657"/>
        <w:gridCol w:w="772"/>
        <w:gridCol w:w="2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410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省级2021年结转交通专项资金绩效目标自评表（2022年度）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5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省级2021年结转交通专项资金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2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5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w:t>
            </w:r>
            <w:r>
              <w:rPr>
                <w:rFonts w:hint="eastAsia" w:ascii="宋体" w:hAnsi="宋体" w:cs="宋体"/>
                <w:i w:val="0"/>
                <w:color w:val="000000"/>
                <w:kern w:val="0"/>
                <w:sz w:val="18"/>
                <w:szCs w:val="18"/>
                <w:u w:val="none"/>
                <w:lang w:val="en-US" w:eastAsia="zh-CN" w:bidi="ar"/>
              </w:rPr>
              <w:t>运输局</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8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广元市交通建设工程造价管理站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5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7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5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完成全市水毁项目的审查，提高应急项目造价编制效率，加强造价过程监督。</w:t>
            </w:r>
          </w:p>
        </w:tc>
        <w:tc>
          <w:tcPr>
            <w:tcW w:w="57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完成审查水毁项目共3个，审减率3.64%，审查时限均小于10天，准确高效完成造价审核任务。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5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2022年度，我单位委托第三方公司审查水毁项目共3个，送审金额18370.06万元，审减金额668.4万元，审减率3.64%，审查时限均小于10天，准确高效完成造价审核任务，极大节约了政府财政资金。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2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2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2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8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审查水毁项目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审查水毁项目及新增水毁项目的审减率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审减水毁项目金额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完成质量、行业评价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公路水路灾毁项目造价核查三方服务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2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该项目规划科学，决策依据充分，程序合法合规、资金到位及时拨付规范。项目支出绩效自评得分100分。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省交通厅造价站和市交通运输局的要求及实际工作需要，我单位近两年来工作内容不断增加，为强化全过程造价监督管理、加强交通计价依据研究，需要与专业人员合作进行大量现场调研，现有经费难以保证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建议将水毁项目审查资金作为单位常规项目给予资金支持。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单位项目负责人：侯亚</w:t>
            </w:r>
          </w:p>
        </w:tc>
        <w:tc>
          <w:tcPr>
            <w:tcW w:w="70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单位财务负责人：侯亚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7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70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4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9"/>
        <w:gridCol w:w="1444"/>
        <w:gridCol w:w="1296"/>
        <w:gridCol w:w="1535"/>
        <w:gridCol w:w="431"/>
        <w:gridCol w:w="1012"/>
        <w:gridCol w:w="666"/>
        <w:gridCol w:w="905"/>
        <w:gridCol w:w="641"/>
        <w:gridCol w:w="783"/>
        <w:gridCol w:w="947"/>
        <w:gridCol w:w="3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0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省级交通专项资金（中央财政政府还贷二级公路取消收费后补助资金）绩效目标自评表（2022年度）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2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省级交通专项资金（中央财政政府还贷二级公路取消收费后补助资金）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广元市交通运输指挥中心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普通公路超限监测站电子抓拍系统建设以及普通公路超限检测站地磅入站数据接入</w:t>
            </w:r>
          </w:p>
        </w:tc>
        <w:tc>
          <w:tcPr>
            <w:tcW w:w="6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交通专项资金（中央财政政府还贷二级公路取消收费后补助资金）项目完成了市级电子抓拍总平台建设，完成数据查询、视屏巡查、视屏运维、基础信息管理、广元超限、黑名单管理、卡口过车统计等7个模块建设。将全市普通公路固定治超站11处全部接入了平台（含抓拍系统和站内磅秤监控资源整合），并与公安交警部门的公安交通管理集成指挥平台实现了信息共享，分布实现了科技治超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w:t>
            </w:r>
            <w:r>
              <w:rPr>
                <w:rStyle w:val="43"/>
                <w:lang w:val="en-US" w:eastAsia="zh-CN" w:bidi="ar"/>
              </w:rPr>
              <w:t>过程概述</w:t>
            </w:r>
          </w:p>
        </w:tc>
        <w:tc>
          <w:tcPr>
            <w:tcW w:w="112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1.项目主要内容:普通公路超限监测站电子抓拍系统建设以及普通公路超限检测站地磅入站数据接入和通讯链路费用 2.过程概述:2022年，我中心通过财政审批后设立省级交通专项资金（中央财政政府还贷二级公路取消收费后补助资金）项目。由信息技术科负责对该项目的支出提出意见，经领导审核或集体决策后由财务室支付款项，确保了普通公路超限监测站电子抓拍系统平台的建设完成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9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9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9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完成市级电子抓拍总平台建设，并与公安交警部门的公安交通管理集成指挥平台实行信息共享，分布实现科技治超工作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完成11处普通公路超限检测站专线接入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通讯链路费用完成时效2022年7月底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期/年</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系统建设完成时效为2021年12月正式启用，2022年3月完成终验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期/年</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完成数据查询、视屏巡查、视屏运维、基础信息管理、广元超限、黑名单管理、卡口过车统计等7个模块建设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完成时，达到合同约定的验收标准且系统能正常运行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保护公路基础设施，保障人民生命财产安全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满足全市普通公路超限检测站交通运输综合执法人员工作要求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市级电子抓拍总平台系统建设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通讯链路费用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6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该项目规划科学，决策依据充分，程序合法合规、资金到位及时拨付规范。项目自评得分100分。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6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主要表现在预算资金不足，比如，相关运维服务期满后，没有运维费用保障。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6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建议将普通公路超限监测站电子抓拍系统维护经费、通讯链路费用纳入财政预算。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6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单位项目负责人：王豪、王继平</w:t>
            </w:r>
          </w:p>
        </w:tc>
        <w:tc>
          <w:tcPr>
            <w:tcW w:w="80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单位财务负责人：任亚玲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0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8"/>
        <w:gridCol w:w="1116"/>
        <w:gridCol w:w="1836"/>
        <w:gridCol w:w="1419"/>
        <w:gridCol w:w="576"/>
        <w:gridCol w:w="983"/>
        <w:gridCol w:w="1026"/>
        <w:gridCol w:w="895"/>
        <w:gridCol w:w="621"/>
        <w:gridCol w:w="741"/>
        <w:gridCol w:w="869"/>
        <w:gridCol w:w="2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10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b w:val="0"/>
                <w:bCs w:val="0"/>
                <w:i w:val="0"/>
                <w:color w:val="000000"/>
                <w:sz w:val="32"/>
                <w:szCs w:val="32"/>
                <w:u w:val="none"/>
              </w:rPr>
            </w:pPr>
            <w:r>
              <w:rPr>
                <w:rFonts w:hint="eastAsia" w:ascii="方正小标宋简体" w:hAnsi="方正小标宋简体" w:eastAsia="方正小标宋简体" w:cs="方正小标宋简体"/>
                <w:b w:val="0"/>
                <w:bCs w:val="0"/>
                <w:i w:val="0"/>
                <w:color w:val="000000"/>
                <w:kern w:val="0"/>
                <w:sz w:val="32"/>
                <w:szCs w:val="32"/>
                <w:u w:val="none"/>
                <w:lang w:val="en-US" w:eastAsia="zh-CN" w:bidi="ar"/>
              </w:rPr>
              <w:t>应急管理及信息化运维服务绩效目标自评表（2022年度）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项目名称</w:t>
            </w:r>
          </w:p>
        </w:tc>
        <w:tc>
          <w:tcPr>
            <w:tcW w:w="116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应急管理及信息化运维服务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主管部门（盖章）</w:t>
            </w:r>
          </w:p>
        </w:tc>
        <w:tc>
          <w:tcPr>
            <w:tcW w:w="53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广元市交通运输局</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实施单位 （盖章）</w:t>
            </w:r>
          </w:p>
        </w:tc>
        <w:tc>
          <w:tcPr>
            <w:tcW w:w="5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广元市交通运输指挥中心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项目基本情况</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1.项目年度目标完成情况</w:t>
            </w:r>
          </w:p>
        </w:tc>
        <w:tc>
          <w:tcPr>
            <w:tcW w:w="53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项目年度目标</w:t>
            </w:r>
          </w:p>
        </w:tc>
        <w:tc>
          <w:tcPr>
            <w:tcW w:w="6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8"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53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br w:type="textWrapping"/>
            </w:r>
            <w:r>
              <w:rPr>
                <w:rFonts w:hint="eastAsia" w:ascii="宋体" w:hAnsi="宋体" w:eastAsia="宋体" w:cs="宋体"/>
                <w:b w:val="0"/>
                <w:bCs w:val="0"/>
                <w:i w:val="0"/>
                <w:color w:val="000000"/>
                <w:kern w:val="0"/>
                <w:sz w:val="18"/>
                <w:szCs w:val="18"/>
                <w:u w:val="none"/>
                <w:lang w:val="en-US" w:eastAsia="zh-CN" w:bidi="ar"/>
              </w:rPr>
              <w:t>组织开展通讯链路（网络）保障、设备维护、应急处置及演（训）练、12328年度任务。</w:t>
            </w:r>
          </w:p>
        </w:tc>
        <w:tc>
          <w:tcPr>
            <w:tcW w:w="6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组织开展参加省、市综合应急演练及专项应急演练4次，补充完善应急物资储备库应急物资，冰雪天气、汛期灾害天气及交通运输行业内等其它突发事件开展应急处置及隐患排查20余次，进一步提升了行业应急处置水平。完成省厅、市12345政务服务热线对12328电话的各项考核，协助12345政务服务热线按照省大数据中心对交通运输行业要求，做好系统对接，强化广元12328运行管理工作，有效提升12328便民服务水平和质量，2022年，我市12328运行管理工作排名全省第二名。确保外场监控点位、视频会议系统等设备链路正常运行，出现突发事件能及时调取画面，租赁电信（外场监控点位、视频会议等）、移动（机关专线、MAS平台、超限站专线等）光纤电路。保障4G图传、对讲机、海事卫星电话、北斗卫星导航等设备在应急处置过程中能正常使用。保障应急通讯设备能正常使用，确保外场监控点位能随时调阅图像。中心机房、指挥大厅网络安全设备、服务器等设备安全正常运行，同时对故障设备及时进行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2.项目实施内容及过程概述</w:t>
            </w:r>
          </w:p>
        </w:tc>
        <w:tc>
          <w:tcPr>
            <w:tcW w:w="116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项目主要内容。一是组织开展参加省、市、县综合应急演练及专项应急演练，开展水域救援训练及无人机等专业设备训练，补充完善应急物资储备库应急物资，冰雪天气、汛期灾害天气及交通运输行业内等其它突发事件开展应急处置及隐患排查，进一步提升了行业应急处置水平。二是完成省厅、市12345政务服务热线对12328电话的各项考核，协助12345政务服务热线按照省大数据中心对交通运输行业要求，做好系统对接，强化广元12328运行管理工作，有效提升12328便民服务水平和质量。三是确保外场监控点位、视频会议系统等设备链路正常运行，出现突发事件能及时调取画面，租赁电信（外场监控点位、视频会议等）、移动（机关专线、MAS平台、超限站专线等）光纤电路。保障4G图传、对讲机、海事卫星电话、北斗卫星导航等设备在应急处置过程中能正常使用。四是保障应急通讯设备能正常使用，确保外场监控点位能随时调阅图像。中心机房、指挥大厅网络安全设备、服务器等设备安全正常运行，同时对故障设备及时进行维修。2.过程概述：2022年，我中心通过财政审批后应急管理及信息化运维服务项目。由具体业务科室负责对该项目的支出提出意见，经领导审核或集体决策后由财务室支付款项，确保了应急管理及信息化运维服务项目资金严格按照申报内容建设完成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预算执行情况（10分）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年度预算数（万元）</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年初预算</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调整后预算数</w:t>
            </w:r>
          </w:p>
        </w:tc>
        <w:tc>
          <w:tcPr>
            <w:tcW w:w="2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预算执行数</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预算执行率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权重%</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部门自评得分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财政部门科室复评得分</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总额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47.86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2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47.86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其中：财政资金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47.86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2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47.86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财政专户管理资金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0.00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2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单位资金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0.00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2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其他资金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w:t>
            </w:r>
          </w:p>
        </w:tc>
        <w:tc>
          <w:tcPr>
            <w:tcW w:w="2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绩效指标（90分）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一级指标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二级指标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三级指标</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指标性质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指标值</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度量单位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完成值</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权重</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部门自评得分</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财政部门科室复评得分</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数量指标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通讯链路及流量卡数量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质量指标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省厅指标考核完成率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数量指标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需要维护设备数量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质量指标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通讯网络畅通率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质量指标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设备故障发生率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成本指标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12328交流学习差旅费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元/人·次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数量指标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参加应急演练次数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数量指标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12328交流学习次数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数量指标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参与应急处置及隐患排查次数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时效指标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服务期限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成本指标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光纤链路租赁及应急设备通讯费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210310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成本指标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MAS平台使用费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成本指标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外场监控点位及设备运维费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156966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成本指标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微信平台运维费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成本指标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应急处置及隐患排查差旅费补助标准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元/人·次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社会效益指标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12328在群众中的知晓度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社会效益指标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设备正常使用度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社会效益指标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交通运输应急处置参与度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服务对象满意度指标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12328即时答复满意率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87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合计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100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部门（单位）自评结论</w:t>
            </w:r>
          </w:p>
        </w:tc>
        <w:tc>
          <w:tcPr>
            <w:tcW w:w="127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该项目规划科学，决策依据充分，程序合法合规、资金到位及时拨付规范。项目自评得分100分。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部门（单位）自评存在问题</w:t>
            </w:r>
          </w:p>
        </w:tc>
        <w:tc>
          <w:tcPr>
            <w:tcW w:w="127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主要表现是运算经费不足，比如：光纤链路租赁经费不足，系统建设完成后，无预算资金保障。应急培训管理资金无预算。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部门（单位）自评改进措施</w:t>
            </w:r>
          </w:p>
        </w:tc>
        <w:tc>
          <w:tcPr>
            <w:tcW w:w="127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建议将应急管理培训经费用纳入财政预算,增加光纤链路租赁经费。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财政部门对口科室复评结论及整改要求</w:t>
            </w:r>
          </w:p>
        </w:tc>
        <w:tc>
          <w:tcPr>
            <w:tcW w:w="127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5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单位项目负责人：王豪、王继平、王红英</w:t>
            </w:r>
          </w:p>
        </w:tc>
        <w:tc>
          <w:tcPr>
            <w:tcW w:w="81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单位财务负责人：任亚玲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5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部门项目负责人：</w:t>
            </w:r>
          </w:p>
        </w:tc>
        <w:tc>
          <w:tcPr>
            <w:tcW w:w="81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trPr>
        <w:tc>
          <w:tcPr>
            <w:tcW w:w="141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7"/>
        <w:gridCol w:w="1422"/>
        <w:gridCol w:w="1296"/>
        <w:gridCol w:w="1506"/>
        <w:gridCol w:w="576"/>
        <w:gridCol w:w="1296"/>
        <w:gridCol w:w="576"/>
        <w:gridCol w:w="1296"/>
        <w:gridCol w:w="644"/>
        <w:gridCol w:w="773"/>
        <w:gridCol w:w="915"/>
        <w:gridCol w:w="2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1456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省级2021年结转交通专项资金绩效目标自评表（2022年度）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2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6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省级2021年结转交通专项资金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2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6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广元市交通运输指挥中心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 w:hRule="atLeast"/>
        </w:trPr>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水上演练一次及水上培训2次；建成动中通卫星车车载会议系统，并保证正常使用；完成正版化操作系统安装，并保证正常使用；采购一批汛期应急物资，保障汛期应急工作的正常开展；完成12328宣传工作及软件升级；完成DLP大屏保养；保证应急管理工作正常开展。</w:t>
            </w:r>
          </w:p>
        </w:tc>
        <w:tc>
          <w:tcPr>
            <w:tcW w:w="6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水上交通安全演练1次和水上安全培训3批次，提升了我市水上交通安全和应急救援能力。完成中心机房物理安全改造项目，提高了中心机房消防安全水平。完成了动中通车载（4G）视频会议系统建设，实现了车载设备通过4G传输与指挥大厅进行视频会商、指挥调度的功能。完成12328宣传2次，有效提升市民12328知晓度，系统升级1次，完善了12328与12345数据接口，提高数据规范和及时报送。完成应急物资采购2批次，通过及时补充完善应急物资采购，提升应急处置能力。完成正版化操作系统采购1批次，进一步提升了网络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66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主要内容。完成水上交通安全演（训）练、中心机房物理安全改造、动中通卫星车车载会议系统建设、正版化操作系统、12328宣传及系统升级和应急物资采购等项目建设。2.2022年，我中心通过财政审批后设立省级2021年结转交通专项资金项目。由具体业务科负责对该项目的支出提出意见，经领导审核或集体决策后由财务室支付款项，确保了省级2021年结转交通专项资金严格按照申报内容使用和建设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 w:hRule="atLeast"/>
        </w:trPr>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项目完成时，达到预期效果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设备正常使用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设备正常使用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完成水上演练一次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2022年12月底前，完成所有项目实施并投入使用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完成正版化操作系统安装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完成水上培训2次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完成DLP大屏保养一次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完成12328软件升级1次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完成12328宣传1次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建成车载会议系统一套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完成应急物资采购一批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为我市交通运输系统安全度汛提供有力保障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汛期应急工作保障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批次</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汛期应急工作保障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12328宣传及软件升级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DLP大屏维护保养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中心机房物理安全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动中通卫星车车载会议系统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汛期应急物资采购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水上交通安全演（训）练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正版化操作系统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31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该项目规划科学，决策依据充分，程序合法合规、资金到位及时拨付规范。项目自评得分100分。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31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主要表现在预算资金不足，比如，相关运维服务期满后，没有运维费用保障。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31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建议将普通公路超限监测站电子抓拍系统维护经费、通讯链路费用纳入财政预算。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31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单位项目负责人：王继平、王豪</w:t>
            </w:r>
          </w:p>
        </w:tc>
        <w:tc>
          <w:tcPr>
            <w:tcW w:w="83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单位财务负责人：任亚玲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3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5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4"/>
        <w:gridCol w:w="1487"/>
        <w:gridCol w:w="1999"/>
        <w:gridCol w:w="1197"/>
        <w:gridCol w:w="448"/>
        <w:gridCol w:w="1039"/>
        <w:gridCol w:w="452"/>
        <w:gridCol w:w="944"/>
        <w:gridCol w:w="666"/>
        <w:gridCol w:w="797"/>
        <w:gridCol w:w="948"/>
        <w:gridCol w:w="3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440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乡村振兴工作经费绩效目标自评表（2022年度）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5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5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5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4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51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支付乡村振兴工作经费</w:t>
            </w:r>
          </w:p>
        </w:tc>
        <w:tc>
          <w:tcPr>
            <w:tcW w:w="64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截至2022年年底完成乡村振兴工作经费支付，完成年初既定绩效目标。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5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按相关政策要求，支付驻村人员产生的费用及补贴。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1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1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3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驻村队员人数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驻村队员工作经费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完成乡村振兴工作经费支付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对口乡村群众受益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7" w:hRule="atLeast"/>
        </w:trPr>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帮扶对象满意度指标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帮扶乡村群众满意度达到良好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302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队根据2022年乡村振兴工作经费项目使用情况，结合预算开展了自评，资金使用严格执行相关政策，严格按照预算执行，项目既定绩效目标截至年底全部完成，乡村振兴工作经费项目自评总分100分，巩固了脱贫攻坚工作成果，衔接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302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302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302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单位项目负责人：何清玲</w:t>
            </w:r>
          </w:p>
        </w:tc>
        <w:tc>
          <w:tcPr>
            <w:tcW w:w="78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单位财务负责人：何清玲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78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144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8"/>
        <w:gridCol w:w="1359"/>
        <w:gridCol w:w="1836"/>
        <w:gridCol w:w="1035"/>
        <w:gridCol w:w="422"/>
        <w:gridCol w:w="901"/>
        <w:gridCol w:w="2016"/>
        <w:gridCol w:w="891"/>
        <w:gridCol w:w="611"/>
        <w:gridCol w:w="682"/>
        <w:gridCol w:w="805"/>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422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采购办公家具经费绩效目标自评表（2022年度）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2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5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采购办公家具经费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2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5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9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1" w:hRule="atLeast"/>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5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7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5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用于购置2022年支队办公家具。</w:t>
            </w:r>
          </w:p>
        </w:tc>
        <w:tc>
          <w:tcPr>
            <w:tcW w:w="57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完成2022年支队办公家具购置，办公家具采购数量与预算不符，项目资金控制在预算范围内。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5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根据支队资产现存量及采购政策，对支队年初预算采购数做出调整，报采购科进行审核后完成办公家具采购。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3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8.44</w:t>
            </w:r>
          </w:p>
        </w:tc>
        <w:tc>
          <w:tcPr>
            <w:tcW w:w="3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8.44</w:t>
            </w:r>
          </w:p>
        </w:tc>
        <w:tc>
          <w:tcPr>
            <w:tcW w:w="3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1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完成2022年需要的办公用品采购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7"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采购办公桌成本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采购资金预算统计时与时间使用时采购金额有偏差。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采购沙发成本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采购椅子成本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采购打印机数量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对采购政策、流程不熟悉，导致采购资金使用速度慢、绩效目标未全部完成。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7"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采购办公桌数量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采购沙发数量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个（台、套、件、辆）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采购椅子数量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个（台、套、件、辆）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保障职工工作正常开展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7"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满意度达到良好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采购打印机成本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93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9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队根据2022年采购办公家具经费项目使用情况，结合预算开展了自评，资金使用严格执行相关政策，严格按照预算执行，项目既定绩效目标截至年底基本完成，采购办公家具经费项目自评总分95分，完成办公家具的采购完善了职工办公环境，为行政执法工作开展提供了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6"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9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对采购政策、流程不熟悉，导致采购资金使用速度慢、绩效目标未全部完成。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9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针对政府采购资金使用流程进一步熟悉，根据相关政策设定绩效目标，保障资金使用进程，提高绩效目标设定的科学性、准确性及绩效目标的完成率。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9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5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单位项目负责人：何清玲</w:t>
            </w:r>
          </w:p>
        </w:tc>
        <w:tc>
          <w:tcPr>
            <w:tcW w:w="84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单位财务负责人：何清玲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2" w:hRule="atLeast"/>
        </w:trPr>
        <w:tc>
          <w:tcPr>
            <w:tcW w:w="57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4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14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3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1"/>
        <w:gridCol w:w="1284"/>
        <w:gridCol w:w="1836"/>
        <w:gridCol w:w="948"/>
        <w:gridCol w:w="576"/>
        <w:gridCol w:w="834"/>
        <w:gridCol w:w="2016"/>
        <w:gridCol w:w="853"/>
        <w:gridCol w:w="576"/>
        <w:gridCol w:w="658"/>
        <w:gridCol w:w="732"/>
        <w:gridCol w:w="2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0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广元界“广元人民欢迎你”广告牌的维护经费绩效目标自评表（2022年度）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1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广元界“广元人民欢迎你”广告牌的维护经费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5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6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5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5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5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支付广元界“广元人民欢迎你”广告牌的维护费用。</w:t>
            </w:r>
          </w:p>
        </w:tc>
        <w:tc>
          <w:tcPr>
            <w:tcW w:w="55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完成2022年广元界“广元人民欢迎你”广告牌的维护费用支付，完成年初既定绩效目标。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1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资金转青川县交通运输局进行广元界“广元人民欢迎你”广告牌维护费支付。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3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3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3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0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广告牌个数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个（台、套、件、辆）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保障广告牌正常使用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广元界“广元人民欢迎你”广告牌的维护费用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宣传广元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满意度达到良好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4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队根据2022年广元界“广元人民欢迎你”广告牌的维护经费项目使用情况，结合预算开展了自评，资金使用严格执行相关政策，严格按照预算执行，项目既定绩效目标截至年底全部完成，广元界“广元人民欢迎你”广告牌的维护经费项目自评总分100分，保障了广元界“广元人民欢迎你”广告牌的正常使用，保障广告牌对宣传广元起到良好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4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4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4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单位项目负责人：何清玲</w:t>
            </w:r>
          </w:p>
        </w:tc>
        <w:tc>
          <w:tcPr>
            <w:tcW w:w="80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单位财务负责人：何清玲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0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6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1213"/>
        <w:gridCol w:w="1836"/>
        <w:gridCol w:w="2916"/>
        <w:gridCol w:w="396"/>
        <w:gridCol w:w="791"/>
        <w:gridCol w:w="2016"/>
        <w:gridCol w:w="846"/>
        <w:gridCol w:w="541"/>
        <w:gridCol w:w="600"/>
        <w:gridCol w:w="633"/>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454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21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交通运输综合行政执法工作经费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6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6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2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6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主要用于支付道路运政执法、公路路政、水上交通运输、交通工程建设执法工作经费。</w:t>
            </w:r>
          </w:p>
        </w:tc>
        <w:tc>
          <w:tcPr>
            <w:tcW w:w="52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截至2022年年底完成道路运政执法、公路路政、水上交通运输、交通工程建设执法工作经费支付，完成年初既定绩效目标。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21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支队严格执行相关政策，按照预算执行道路运政执法、公路路政、水上交通运输、交通工程建设执法工作经费支付。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w:t>
            </w:r>
          </w:p>
        </w:tc>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w:t>
            </w:r>
          </w:p>
        </w:tc>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水上交通运输执法涉及通航里程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交通工程建设项目数量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个（台、套、件、辆）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公路路政执法涉及省、县、乡公里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道路运政执法涉及企业个数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执法工作开展率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交通工程建设执法工作经费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道路运政执法工作经费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公路路政执法工作经费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水上交通运输执法工作经费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行政执法工作正常开展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满意度达到良好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00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34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队根据2022年交通运输综合行政执法工作经费项目使用情况，结合预算开展了自评，资金使用严格执行相关政策，严格按照预算执行，项目既定绩效目标截至年底全部完成，交通运输综合行政执法工作经费项目自评总分100分，维护了道路运输行业、重点公路、水运建设项目的安全，保障了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34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34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34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67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单位项目负责人：何清玲</w:t>
            </w:r>
          </w:p>
        </w:tc>
        <w:tc>
          <w:tcPr>
            <w:tcW w:w="77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单位财务负责人：何清玲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67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77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 w:hRule="atLeast"/>
        </w:trPr>
        <w:tc>
          <w:tcPr>
            <w:tcW w:w="145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3"/>
        <w:gridCol w:w="1376"/>
        <w:gridCol w:w="1836"/>
        <w:gridCol w:w="1067"/>
        <w:gridCol w:w="426"/>
        <w:gridCol w:w="913"/>
        <w:gridCol w:w="2016"/>
        <w:gridCol w:w="901"/>
        <w:gridCol w:w="619"/>
        <w:gridCol w:w="716"/>
        <w:gridCol w:w="816"/>
        <w:gridCol w:w="2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440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执法车辆和海巡艇运行维护费目标自评表（2022年度）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2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7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执法车辆和海巡艇运行维护费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2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5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5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8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5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用于执法车辆和海巡艇的正常运行费用支付，确保交通运输综合行政执法工作执法正常开展。</w:t>
            </w:r>
          </w:p>
        </w:tc>
        <w:tc>
          <w:tcPr>
            <w:tcW w:w="58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截至2022年年底完成执法车辆和海巡艇的正常运行费用支付，完成年初既定绩效目标。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7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支队严格执行相关政策，按照预算执行执法车辆和海巡艇的正常运行费用支付。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3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3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3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1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 w:hRule="atLeast"/>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执法车辆和海巡艇的数量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个（台、套、件、辆）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完成执法车辆和海巡艇运行维护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执法车辆和海巡艇运行维护费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行政执法工作正常开展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满意度达到良好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94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31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队根据2022年执法车辆和海巡艇运行维护费项目使用情况，结合预算开展了自评，资金使用严格执行相关政策，严格按照预算执行，项目既定绩效目标截至年底全部完成，执法车辆和海巡艇运行维护费项目自评总分100分，确保了交通运输综合行政执法工作执法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31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31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314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58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单位项目负责人：何清玲</w:t>
            </w:r>
          </w:p>
        </w:tc>
        <w:tc>
          <w:tcPr>
            <w:tcW w:w="85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单位财务负责人：何清玲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58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5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144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8"/>
        <w:gridCol w:w="1362"/>
        <w:gridCol w:w="1836"/>
        <w:gridCol w:w="1036"/>
        <w:gridCol w:w="423"/>
        <w:gridCol w:w="903"/>
        <w:gridCol w:w="2016"/>
        <w:gridCol w:w="893"/>
        <w:gridCol w:w="613"/>
        <w:gridCol w:w="708"/>
        <w:gridCol w:w="806"/>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1426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执法装备、信息化运营维护费绩效目标自评表（2022年度）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6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执法装备、信息化运营维护费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5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0" w:hRule="atLeast"/>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5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8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58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用于执法装备、信息化运营维护费。</w:t>
            </w:r>
          </w:p>
        </w:tc>
        <w:tc>
          <w:tcPr>
            <w:tcW w:w="58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截至2022年年底完成执法装备、信息化运营维护费用支付，完成年初既定绩效目标。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6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支队严格执行相关政策，按照预算执行执执法装备、信息化运营维护费用支付。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3"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w:t>
            </w: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3"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 w:hRule="atLeast"/>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执法装备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个（台、套、件、辆）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执法装备、信息化正常运营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执法装备、信息化运营维护费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行政执法工作正常开展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满意度达到良好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93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30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队根据2022年执法装备、信息化运营维护费项目使用情况，结合预算开展了自评，资金使用严格执行相关政策，严格按照预算执行，项目既定绩效目标截至年底全部完成，执法装备、信息化运营维护费项目自评总分100分，确保了交通运输综合行政执法工作执法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30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30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2"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30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单位项目负责人：何清玲</w:t>
            </w:r>
          </w:p>
        </w:tc>
        <w:tc>
          <w:tcPr>
            <w:tcW w:w="85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单位财务负责人：何清玲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5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1"/>
        <w:gridCol w:w="1358"/>
        <w:gridCol w:w="2016"/>
        <w:gridCol w:w="1005"/>
        <w:gridCol w:w="422"/>
        <w:gridCol w:w="808"/>
        <w:gridCol w:w="2216"/>
        <w:gridCol w:w="878"/>
        <w:gridCol w:w="597"/>
        <w:gridCol w:w="680"/>
        <w:gridCol w:w="761"/>
        <w:gridCol w:w="2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1416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交通工程质量检测经费绩效目标自评表（2022年度）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交通工程质量检测经费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5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7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5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5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5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主要用于支付2022年全市17个项目共计442.894公里监督检测经费（其中高速公路4个共计261.308公里，一级公路4个共计35.538公里，二级公路8个共计144.048公里，重点水运工程1个2.1公里）。</w:t>
            </w:r>
          </w:p>
        </w:tc>
        <w:tc>
          <w:tcPr>
            <w:tcW w:w="55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截至2022年年底完成全市17个项目共计442.894公里监督检测经费支付，完成年初既定绩效目标。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支队严格执行相关政策，按照预算执行全市17个项目共计442.894公里监督检测经费支付。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w:t>
            </w: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交通工程建设项目数量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个（台、套、件、辆）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质量检测合格率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保障项目工程质量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满意度达到良好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经济成本指标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工程质量检测经费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94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9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队根据2022年交通工程质量检测经费项目使用情况，结合预算开展了自评，资金使用严格执行相关政策，严格按照预算执行，项目既定绩效目标截至年底全部完成，交通工程质量检测经费项目自评总分100分，确保了全市17个项目质量检测覆盖率和合格率，维护了交通工程建设的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9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9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9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57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单位项目负责人：何清玲</w:t>
            </w:r>
          </w:p>
        </w:tc>
        <w:tc>
          <w:tcPr>
            <w:tcW w:w="83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单位财务负责人：何清玲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57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3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141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3"/>
        <w:gridCol w:w="1386"/>
        <w:gridCol w:w="2016"/>
        <w:gridCol w:w="1060"/>
        <w:gridCol w:w="430"/>
        <w:gridCol w:w="899"/>
        <w:gridCol w:w="2216"/>
        <w:gridCol w:w="864"/>
        <w:gridCol w:w="610"/>
        <w:gridCol w:w="696"/>
        <w:gridCol w:w="782"/>
        <w:gridCol w:w="2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8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省级2021年结转交通专项资金绩效目标自评表（2022年度）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省级2021年结转交通专项资金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6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6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6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6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用于支付公路灾毁应急保通及水路灾毁应急船舶保障费用。</w:t>
            </w:r>
          </w:p>
        </w:tc>
        <w:tc>
          <w:tcPr>
            <w:tcW w:w="56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截至2022年年底完成公路灾毁应急保通及水路灾毁应急船舶保障费用支付，完成2022年绩效目标。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支队严格执行相关政策，按照预算执行公路灾毁应急保通及水路灾毁应急船舶保障费用支付。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3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205.64</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205.64</w:t>
            </w:r>
          </w:p>
        </w:tc>
        <w:tc>
          <w:tcPr>
            <w:tcW w:w="3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203.56</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98.99%</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205.64</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205.64</w:t>
            </w:r>
          </w:p>
        </w:tc>
        <w:tc>
          <w:tcPr>
            <w:tcW w:w="3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203.56</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98.99%</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应急保通人员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个（台、套、件、辆）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应急抢险船舶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应急保通工作开展率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保障公路水路灾毁应急通畅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经济成本指标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支付应急抢险船舶费用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经济成本指标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支付应急保通人员产生的费用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经济成本指标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支付应急车辆保通产生费用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96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3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队根据2022年省级2021年结转交通专项资金项目使用情况，结合预算开展了自评，资金使用严格执行相关政策，严格按照预算执行，有序完成项目既定绩效目标，省级2021年结转交通专项资金项目自评总分100分，确保了应急保通工作开展，保障公路水路灾毁应急通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3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3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32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5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单位项目负责人：何清玲</w:t>
            </w:r>
          </w:p>
        </w:tc>
        <w:tc>
          <w:tcPr>
            <w:tcW w:w="85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单位财务负责人：何清玲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59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85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144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4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2"/>
        <w:gridCol w:w="1470"/>
        <w:gridCol w:w="2016"/>
        <w:gridCol w:w="1189"/>
        <w:gridCol w:w="442"/>
        <w:gridCol w:w="1015"/>
        <w:gridCol w:w="443"/>
        <w:gridCol w:w="924"/>
        <w:gridCol w:w="650"/>
        <w:gridCol w:w="783"/>
        <w:gridCol w:w="933"/>
        <w:gridCol w:w="3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22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购置执法服装和标志绩效目标自评表（2022年度）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购置执法服装和标志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48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5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8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64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48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采购执法人员制式服装和标志。</w:t>
            </w:r>
          </w:p>
        </w:tc>
        <w:tc>
          <w:tcPr>
            <w:tcW w:w="64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截至2022年年底完成采购执法人员制式服装和标志费用支付，完成既定绩效目标。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3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支队严格执行相关政策，按照预算执行采购执法人员制式服装和标志费用支付。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采购执法制式服装和标志的人数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完成需要的服装及标志采购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保障职工工作正常开展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职工满意度达到良好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6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82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队根据2022年购置执法服装和标志项目使用情况，结合预算开展了自评，资金使用严格执行相关政策，严格按照预算执行，项目既定绩效目标截至年底全部完成，购置执法服装和标志项目自评总分100分，确保了交通运输综合行政执法工作执法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82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82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 w:hRule="atLeast"/>
        </w:trPr>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82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单位项目负责人：何清玲</w:t>
            </w:r>
          </w:p>
        </w:tc>
        <w:tc>
          <w:tcPr>
            <w:tcW w:w="79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单位财务负责人：何清玲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79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2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lang w:val="en-US" w:eastAsia="zh-CN"/>
        </w:rPr>
      </w:pPr>
      <w:r>
        <w:rPr>
          <w:rFonts w:hint="eastAsia"/>
          <w:lang w:val="en-US" w:eastAsia="zh-CN"/>
        </w:rPr>
        <w:br w:type="page"/>
      </w:r>
    </w:p>
    <w:tbl>
      <w:tblPr>
        <w:tblStyle w:val="17"/>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1270"/>
        <w:gridCol w:w="2016"/>
        <w:gridCol w:w="3416"/>
        <w:gridCol w:w="416"/>
        <w:gridCol w:w="922"/>
        <w:gridCol w:w="416"/>
        <w:gridCol w:w="916"/>
        <w:gridCol w:w="544"/>
        <w:gridCol w:w="593"/>
        <w:gridCol w:w="612"/>
        <w:gridCol w:w="1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4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购置执法服装和标志绩效目标自评表（2022年度）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3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购置执法服装和标志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主管部门（盖章）</w:t>
            </w:r>
          </w:p>
        </w:tc>
        <w:tc>
          <w:tcPr>
            <w:tcW w:w="62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广元市交通运输局</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 （盖章）</w:t>
            </w:r>
          </w:p>
        </w:tc>
        <w:tc>
          <w:tcPr>
            <w:tcW w:w="42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广元市交通运输综合行政执法支队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62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5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62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采购执法人员制式服装和标志。</w:t>
            </w:r>
          </w:p>
        </w:tc>
        <w:tc>
          <w:tcPr>
            <w:tcW w:w="5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截至2022年年底完成采购执法人员制式服装和标志费用支付，完成既定绩效目标。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113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支队严格执行相关政策，按照预算执行采购执法人员制式服装和标志费用支付。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部门自评得分</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财政部门科室复评得分</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采购执法制式服装和标志的人数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完成需要的服装及标志采购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保障职工工作正常开展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采购执法人员制式服装和标志的金额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职工满意度达到良好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4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部门（单位）自评结论</w:t>
            </w:r>
          </w:p>
        </w:tc>
        <w:tc>
          <w:tcPr>
            <w:tcW w:w="126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队根据2022年购置执法服装和标志项目使用情况，结合预算开展了自评，资金使用严格执行相关政策，严格按照预算执行，项目既定绩效目标截至年底全部完成，购置执法服装和标志项目自评总分100分，确保了交通运输综合行政执法工作执法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部门（单位）自评存在问题</w:t>
            </w:r>
          </w:p>
        </w:tc>
        <w:tc>
          <w:tcPr>
            <w:tcW w:w="126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部门（单位）自评改进措施</w:t>
            </w:r>
          </w:p>
        </w:tc>
        <w:tc>
          <w:tcPr>
            <w:tcW w:w="126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财政部门对口科室复评结论及整改要求</w:t>
            </w:r>
          </w:p>
        </w:tc>
        <w:tc>
          <w:tcPr>
            <w:tcW w:w="126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64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64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pStyle w:val="2"/>
        <w:rPr>
          <w:rFonts w:hint="eastAsia"/>
          <w:lang w:val="en-US" w:eastAsia="zh-CN"/>
        </w:rPr>
        <w:sectPr>
          <w:footerReference r:id="rId9" w:type="first"/>
          <w:footerReference r:id="rId8" w:type="default"/>
          <w:pgSz w:w="16838" w:h="11906" w:orient="landscape"/>
          <w:pgMar w:top="1803" w:right="1440" w:bottom="1803" w:left="1440" w:header="851" w:footer="992" w:gutter="0"/>
          <w:pgNumType w:fmt="decimal"/>
          <w:cols w:space="0" w:num="1"/>
          <w:titlePg/>
          <w:rtlGutter w:val="0"/>
          <w:docGrid w:type="lines" w:linePitch="319" w:charSpace="0"/>
        </w:sectPr>
      </w:pPr>
    </w:p>
    <w:p>
      <w:pPr>
        <w:keepNext w:val="0"/>
        <w:keepLines w:val="0"/>
        <w:pageBreakBefore w:val="0"/>
        <w:shd w:val="clear"/>
        <w:kinsoku/>
        <w:wordWrap/>
        <w:overflowPunct/>
        <w:topLinePunct w:val="0"/>
        <w:autoSpaceDE/>
        <w:bidi w:val="0"/>
        <w:adjustRightInd/>
        <w:snapToGrid/>
        <w:spacing w:line="440" w:lineRule="exact"/>
        <w:rPr>
          <w:rFonts w:hint="eastAsia"/>
          <w:color w:val="auto"/>
          <w:highlight w:val="none"/>
          <w:lang w:val="en-US" w:eastAsia="zh-CN"/>
        </w:rPr>
      </w:pP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440" w:lineRule="exact"/>
        <w:ind w:left="0" w:right="0" w:firstLine="0"/>
        <w:jc w:val="left"/>
        <w:outlineLvl w:val="1"/>
        <w:rPr>
          <w:rFonts w:hint="eastAsia" w:hAnsi="宋体" w:cs="宋体"/>
          <w:color w:val="auto"/>
          <w:kern w:val="0"/>
          <w:sz w:val="32"/>
          <w:szCs w:val="32"/>
          <w:highlight w:val="none"/>
          <w:shd w:val="clear" w:color="auto" w:fill="FFFFFF"/>
          <w:lang w:val="en-US" w:eastAsia="zh-CN"/>
        </w:rPr>
      </w:pPr>
      <w:bookmarkStart w:id="135" w:name="_Toc28957"/>
      <w:bookmarkStart w:id="136" w:name="_Toc2442"/>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135"/>
      <w:bookmarkEnd w:id="136"/>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shd w:val="clear"/>
        <w:adjustRightInd w:val="0"/>
        <w:snapToGrid w:val="0"/>
        <w:spacing w:line="576" w:lineRule="exact"/>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关于2022年女儿节活动项目预算</w:t>
      </w:r>
    </w:p>
    <w:p>
      <w:pPr>
        <w:shd w:val="clear"/>
        <w:adjustRightInd w:val="0"/>
        <w:snapToGrid w:val="0"/>
        <w:spacing w:line="576" w:lineRule="exact"/>
        <w:jc w:val="center"/>
        <w:rPr>
          <w:rFonts w:hint="eastAsia" w:ascii="黑体" w:eastAsia="黑体" w:cs="Times New Roman"/>
          <w:color w:val="auto"/>
          <w:highlight w:val="none"/>
          <w:lang w:bidi="ar-SA"/>
        </w:rPr>
      </w:pPr>
      <w:r>
        <w:rPr>
          <w:rFonts w:hint="eastAsia" w:ascii="方正小标宋简体" w:eastAsia="方正小标宋简体"/>
          <w:color w:val="auto"/>
          <w:sz w:val="44"/>
          <w:szCs w:val="44"/>
          <w:highlight w:val="none"/>
        </w:rPr>
        <w:t>支出绩效的自评报告</w:t>
      </w:r>
    </w:p>
    <w:p>
      <w:pPr>
        <w:pStyle w:val="40"/>
        <w:shd w:val="clear"/>
        <w:spacing w:line="576" w:lineRule="exact"/>
        <w:ind w:firstLine="640" w:firstLineChars="200"/>
        <w:rPr>
          <w:rFonts w:hint="eastAsia" w:ascii="黑体" w:eastAsia="黑体"/>
          <w:color w:val="auto"/>
          <w:sz w:val="32"/>
          <w:szCs w:val="32"/>
          <w:highlight w:val="none"/>
        </w:rPr>
      </w:pPr>
    </w:p>
    <w:p>
      <w:pPr>
        <w:pStyle w:val="40"/>
        <w:shd w:val="clear"/>
        <w:spacing w:line="576" w:lineRule="exact"/>
        <w:ind w:firstLine="640" w:firstLineChars="200"/>
        <w:outlineLvl w:val="1"/>
        <w:rPr>
          <w:rFonts w:hint="eastAsia" w:ascii="黑体" w:eastAsia="黑体"/>
          <w:color w:val="auto"/>
          <w:sz w:val="32"/>
          <w:szCs w:val="32"/>
          <w:highlight w:val="none"/>
        </w:rPr>
      </w:pPr>
      <w:bookmarkStart w:id="137" w:name="_Toc5843"/>
      <w:bookmarkStart w:id="138" w:name="_Toc25625"/>
      <w:bookmarkStart w:id="139" w:name="_Toc550663482_WPSOffice_Level2"/>
      <w:bookmarkStart w:id="140" w:name="_Toc1405803210_WPSOffice_Level2"/>
      <w:r>
        <w:rPr>
          <w:rFonts w:hint="eastAsia" w:ascii="黑体" w:eastAsia="黑体" w:cs="黑体"/>
          <w:color w:val="auto"/>
          <w:sz w:val="32"/>
          <w:szCs w:val="32"/>
          <w:highlight w:val="none"/>
          <w:lang w:val="en-US" w:eastAsia="zh-CN" w:bidi="ar-SA"/>
        </w:rPr>
        <w:t>一</w:t>
      </w:r>
      <w:r>
        <w:rPr>
          <w:rFonts w:hint="eastAsia" w:ascii="黑体" w:eastAsia="黑体" w:cs="黑体"/>
          <w:color w:val="auto"/>
          <w:sz w:val="32"/>
          <w:szCs w:val="32"/>
          <w:highlight w:val="none"/>
          <w:lang w:bidi="ar-SA"/>
        </w:rPr>
        <w:t>、</w:t>
      </w:r>
      <w:r>
        <w:rPr>
          <w:rFonts w:hint="eastAsia" w:ascii="黑体" w:eastAsia="黑体"/>
          <w:color w:val="auto"/>
          <w:sz w:val="32"/>
          <w:szCs w:val="32"/>
          <w:highlight w:val="none"/>
        </w:rPr>
        <w:t>项目概况</w:t>
      </w:r>
      <w:bookmarkEnd w:id="137"/>
      <w:bookmarkEnd w:id="138"/>
      <w:bookmarkEnd w:id="139"/>
      <w:bookmarkEnd w:id="140"/>
    </w:p>
    <w:p>
      <w:pPr>
        <w:pStyle w:val="40"/>
        <w:shd w:val="clear"/>
        <w:spacing w:line="576" w:lineRule="exact"/>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（一）项目基本情况</w:t>
      </w:r>
    </w:p>
    <w:p>
      <w:pPr>
        <w:pStyle w:val="40"/>
        <w:shd w:val="clear"/>
        <w:spacing w:line="576"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主管部门在该项目管理中的职能。2022年，我局财务科、安监科和广元航道段对女儿节系列活动工作项目开展了绩效申报和绩效运行监控及财务管理等进行全程监管，确保了项目管理规范、按期保质保量完成了任务。同时，我局根据绩效目标，开展了项目全程绩效管理，资金使用规范，高质量发挥了社会效益和经济效益。</w:t>
      </w:r>
    </w:p>
    <w:p>
      <w:pPr>
        <w:pStyle w:val="40"/>
        <w:shd w:val="clear"/>
        <w:spacing w:line="576"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项目立项、资金申报的依据。2022年12月22日，市财政局《关于下达2022年市本级中国（广元）女儿节系列活动工作经费的通知》（广财行（2022）62号），同意该项目实施,下达资金计划5万元，资金来源为财政资金。</w:t>
      </w:r>
    </w:p>
    <w:p>
      <w:pPr>
        <w:pStyle w:val="40"/>
        <w:shd w:val="clear"/>
        <w:spacing w:line="576"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3.资金管理办法制定情况，资金支持具体项目的条件、范围与支持方式概况。</w:t>
      </w:r>
      <w:r>
        <w:rPr>
          <w:rFonts w:hint="eastAsia" w:ascii="仿宋_GB2312" w:eastAsia="仿宋_GB2312" w:cs="仿宋"/>
          <w:color w:val="auto"/>
          <w:kern w:val="0"/>
          <w:sz w:val="32"/>
          <w:szCs w:val="32"/>
          <w:highlight w:val="none"/>
          <w:lang w:bidi="ar-SA"/>
        </w:rPr>
        <w:t>我局严格执行国家财经法规、央省市有关专项资金管理办法规定，制定了财务管理等内部控制制度，财务制度健全，会计核算规范。</w:t>
      </w:r>
      <w:r>
        <w:rPr>
          <w:rFonts w:hint="eastAsia" w:ascii="仿宋_GB2312" w:eastAsia="仿宋_GB2312"/>
          <w:color w:val="auto"/>
          <w:sz w:val="32"/>
          <w:szCs w:val="32"/>
          <w:highlight w:val="none"/>
        </w:rPr>
        <w:t>项目资金支持方式：市财政局下达我局中国（广元）女儿节系列活动经费，</w:t>
      </w:r>
      <w:r>
        <w:rPr>
          <w:rFonts w:hint="eastAsia" w:ascii="仿宋_GB2312" w:eastAsia="仿宋_GB2312" w:cs="仿宋"/>
          <w:color w:val="auto"/>
          <w:sz w:val="32"/>
          <w:szCs w:val="32"/>
          <w:highlight w:val="none"/>
          <w:lang w:bidi="ar-SA"/>
        </w:rPr>
        <w:t>广元航道段具体负责女儿节凤舟赛的赛道设置和水上安全保障工作</w:t>
      </w:r>
      <w:r>
        <w:rPr>
          <w:rFonts w:hint="eastAsia" w:ascii="仿宋_GB2312" w:eastAsia="仿宋_GB2312"/>
          <w:color w:val="auto"/>
          <w:sz w:val="32"/>
          <w:szCs w:val="32"/>
          <w:highlight w:val="none"/>
        </w:rPr>
        <w:t>。</w:t>
      </w:r>
    </w:p>
    <w:p>
      <w:pPr>
        <w:pStyle w:val="40"/>
        <w:shd w:val="clear"/>
        <w:adjustRightInd w:val="0"/>
        <w:snapToGrid w:val="0"/>
        <w:spacing w:line="576" w:lineRule="exact"/>
        <w:ind w:firstLine="640" w:firstLineChars="200"/>
        <w:rPr>
          <w:rFonts w:hint="eastAsia" w:ascii="仿宋_GB2312" w:eastAsia="仿宋_GB2312" w:cs="仿宋"/>
          <w:color w:val="auto"/>
          <w:sz w:val="32"/>
          <w:szCs w:val="32"/>
          <w:highlight w:val="none"/>
          <w:lang w:bidi="ar-SA"/>
        </w:rPr>
      </w:pPr>
      <w:r>
        <w:rPr>
          <w:rFonts w:hint="eastAsia" w:ascii="仿宋_GB2312" w:eastAsia="仿宋_GB2312"/>
          <w:color w:val="auto"/>
          <w:sz w:val="32"/>
          <w:szCs w:val="32"/>
          <w:highlight w:val="none"/>
        </w:rPr>
        <w:t>4.资金分配的原则。资金分配坚持“专款专用”原则，</w:t>
      </w:r>
      <w:r>
        <w:rPr>
          <w:rFonts w:hint="eastAsia" w:ascii="仿宋_GB2312" w:eastAsia="仿宋_GB2312" w:cs="仿宋"/>
          <w:color w:val="auto"/>
          <w:sz w:val="32"/>
          <w:szCs w:val="32"/>
          <w:highlight w:val="none"/>
          <w:lang w:bidi="ar-SA"/>
        </w:rPr>
        <w:t>该专项资金采用了项目法。我局收到资金计划后，按照“三重一大”的要求，由业务科室根据工作开展情况按照计划文件和项目法分配原则提出分配方案报局党组会议审定，再向市财政局报送拨付函。专项资金指标下达我局预算一体化平台后，在规定时间内按程序及时拨付给相关单位。</w:t>
      </w:r>
    </w:p>
    <w:p>
      <w:pPr>
        <w:pStyle w:val="40"/>
        <w:shd w:val="clear"/>
        <w:spacing w:line="576" w:lineRule="exact"/>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（二）项目绩效目标</w:t>
      </w:r>
    </w:p>
    <w:p>
      <w:pPr>
        <w:pStyle w:val="40"/>
        <w:shd w:val="clear"/>
        <w:adjustRightInd w:val="0"/>
        <w:spacing w:line="576"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1.项目主要内容。</w:t>
      </w:r>
      <w:r>
        <w:rPr>
          <w:rFonts w:hint="eastAsia" w:ascii="仿宋_GB2312" w:eastAsia="仿宋_GB2312" w:cs="仿宋"/>
          <w:color w:val="auto"/>
          <w:sz w:val="32"/>
          <w:szCs w:val="32"/>
          <w:highlight w:val="none"/>
          <w:lang w:bidi="ar-SA"/>
        </w:rPr>
        <w:t>根据《2022中国（广元）女儿节凤舟赛水上安全保障方案》要求，女儿节期间，我局直属单位广元航道段具体负责女儿节凤舟赛的赛道设置和水上安全保障工作。</w:t>
      </w:r>
    </w:p>
    <w:p>
      <w:pPr>
        <w:pStyle w:val="40"/>
        <w:shd w:val="clear"/>
        <w:spacing w:line="576" w:lineRule="exact"/>
        <w:ind w:firstLine="640" w:firstLineChars="200"/>
        <w:rPr>
          <w:rFonts w:hint="eastAsia" w:ascii="仿宋_GB2312" w:eastAsia="仿宋_GB2312"/>
          <w:color w:val="auto"/>
          <w:spacing w:val="-4"/>
          <w:sz w:val="32"/>
          <w:szCs w:val="32"/>
          <w:highlight w:val="none"/>
        </w:rPr>
      </w:pPr>
      <w:r>
        <w:rPr>
          <w:rFonts w:hint="eastAsia" w:ascii="仿宋_GB2312" w:eastAsia="仿宋_GB2312"/>
          <w:color w:val="auto"/>
          <w:sz w:val="32"/>
          <w:szCs w:val="32"/>
          <w:highlight w:val="none"/>
        </w:rPr>
        <w:t>2.项目应实现的具体绩效目标，包括目标的量化、细化情况以及项目实施进度计划等。该项目是2022年中国（广元）女儿节系列活动内容之一。为保障活动的正常开展，需采购龙舟赛赛道布置专用材料。</w:t>
      </w:r>
      <w:r>
        <w:rPr>
          <w:rFonts w:hint="eastAsia" w:ascii="仿宋_GB2312" w:eastAsia="仿宋_GB2312" w:cs="宋体"/>
          <w:color w:val="auto"/>
          <w:spacing w:val="-4"/>
          <w:kern w:val="0"/>
          <w:sz w:val="32"/>
          <w:szCs w:val="32"/>
          <w:highlight w:val="none"/>
          <w:lang w:bidi="ar-SA"/>
        </w:rPr>
        <w:t>2022年7月组织筹备，8月材料采购、赛道布置，11月22日正式比赛。</w:t>
      </w:r>
    </w:p>
    <w:p>
      <w:pPr>
        <w:pStyle w:val="40"/>
        <w:shd w:val="clear"/>
        <w:spacing w:line="576"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分析评价申报内容是否与实际相符，申报目标是否合理可行。该项目申报内容符合女儿节系列活动工作安排，符合女儿节整体系列活动范畴，申报目标是合理可行的。</w:t>
      </w:r>
    </w:p>
    <w:p>
      <w:pPr>
        <w:pStyle w:val="40"/>
        <w:shd w:val="clear"/>
        <w:spacing w:line="576" w:lineRule="exact"/>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（三）项目自评步骤及方法</w:t>
      </w:r>
    </w:p>
    <w:p>
      <w:pPr>
        <w:pStyle w:val="40"/>
        <w:shd w:val="clear"/>
        <w:spacing w:line="576" w:lineRule="exact"/>
        <w:ind w:firstLine="640" w:firstLineChars="200"/>
        <w:rPr>
          <w:rFonts w:hint="eastAsia" w:ascii="仿宋_GB2312" w:eastAsia="仿宋_GB2312"/>
          <w:color w:val="auto"/>
          <w:kern w:val="0"/>
          <w:sz w:val="32"/>
          <w:szCs w:val="32"/>
          <w:highlight w:val="none"/>
        </w:rPr>
      </w:pPr>
      <w:r>
        <w:rPr>
          <w:rFonts w:hint="eastAsia" w:ascii="仿宋_GB2312" w:eastAsia="仿宋_GB2312"/>
          <w:color w:val="auto"/>
          <w:sz w:val="32"/>
          <w:szCs w:val="32"/>
          <w:highlight w:val="none"/>
        </w:rPr>
        <w:t>根据预算绩效管理要求，由局财务科牵头，安监科和广元航道段紧密配合，</w:t>
      </w:r>
      <w:r>
        <w:rPr>
          <w:rFonts w:hint="eastAsia" w:ascii="仿宋_GB2312" w:eastAsia="仿宋_GB2312" w:cs="仿宋"/>
          <w:color w:val="auto"/>
          <w:kern w:val="0"/>
          <w:sz w:val="32"/>
          <w:szCs w:val="32"/>
          <w:highlight w:val="none"/>
          <w:lang w:bidi="ar-SA"/>
        </w:rPr>
        <w:t>比照《</w:t>
      </w:r>
      <w:r>
        <w:rPr>
          <w:rFonts w:hint="eastAsia" w:ascii="仿宋_GB2312" w:eastAsia="仿宋_GB2312" w:cs="Times New Roman"/>
          <w:color w:val="auto"/>
          <w:sz w:val="32"/>
          <w:szCs w:val="32"/>
          <w:highlight w:val="none"/>
          <w:lang w:bidi="ar-SA"/>
        </w:rPr>
        <w:t>2023年市级专项资金预算项目支出绩效评价指标体系》</w:t>
      </w:r>
      <w:r>
        <w:rPr>
          <w:rFonts w:hint="eastAsia" w:ascii="仿宋_GB2312" w:eastAsia="仿宋_GB2312" w:cs="仿宋"/>
          <w:color w:val="auto"/>
          <w:kern w:val="0"/>
          <w:sz w:val="32"/>
          <w:szCs w:val="32"/>
          <w:highlight w:val="none"/>
          <w:lang w:bidi="ar-SA"/>
        </w:rPr>
        <w:t>和年初绩效目标申报，严格执行《广元市市级预算绩效目标管理办法》规定，</w:t>
      </w:r>
      <w:r>
        <w:rPr>
          <w:rFonts w:hint="eastAsia" w:ascii="仿宋_GB2312" w:eastAsia="仿宋_GB2312"/>
          <w:color w:val="auto"/>
          <w:sz w:val="32"/>
          <w:szCs w:val="32"/>
          <w:highlight w:val="none"/>
        </w:rPr>
        <w:t>依据“谁申报、谁自评、谁绩效”的原则，采用成本效益分析法，对该项目产出完成、项目效益、财务管理、满意度等方面进行了认真全面的绩效自评。</w:t>
      </w:r>
      <w:r>
        <w:rPr>
          <w:rFonts w:hint="eastAsia" w:ascii="仿宋_GB2312" w:eastAsia="仿宋_GB2312"/>
          <w:color w:val="auto"/>
          <w:kern w:val="0"/>
          <w:sz w:val="32"/>
          <w:szCs w:val="32"/>
          <w:highlight w:val="none"/>
        </w:rPr>
        <w:t>经自评，项目支出绩效情况良好。</w:t>
      </w:r>
    </w:p>
    <w:p>
      <w:pPr>
        <w:pStyle w:val="40"/>
        <w:shd w:val="clear"/>
        <w:spacing w:line="576" w:lineRule="exact"/>
        <w:ind w:firstLine="640" w:firstLineChars="200"/>
        <w:outlineLvl w:val="1"/>
        <w:rPr>
          <w:rFonts w:hint="eastAsia" w:ascii="黑体" w:eastAsia="黑体"/>
          <w:color w:val="auto"/>
          <w:sz w:val="32"/>
          <w:szCs w:val="32"/>
          <w:highlight w:val="none"/>
        </w:rPr>
      </w:pPr>
      <w:bookmarkStart w:id="141" w:name="_Toc8668"/>
      <w:bookmarkStart w:id="142" w:name="_Toc1300384730_WPSOffice_Level2"/>
      <w:bookmarkStart w:id="143" w:name="_Toc28520"/>
      <w:bookmarkStart w:id="144" w:name="_Toc639406247_WPSOffice_Level2"/>
      <w:r>
        <w:rPr>
          <w:rFonts w:hint="eastAsia" w:ascii="黑体" w:eastAsia="黑体"/>
          <w:color w:val="auto"/>
          <w:sz w:val="32"/>
          <w:szCs w:val="32"/>
          <w:highlight w:val="none"/>
        </w:rPr>
        <w:t>二、项目资金申报及使用情况</w:t>
      </w:r>
      <w:bookmarkEnd w:id="141"/>
      <w:bookmarkEnd w:id="142"/>
      <w:bookmarkEnd w:id="143"/>
      <w:bookmarkEnd w:id="144"/>
    </w:p>
    <w:p>
      <w:pPr>
        <w:pStyle w:val="40"/>
        <w:shd w:val="clear"/>
        <w:spacing w:line="576" w:lineRule="exact"/>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（一）项目资金申报及批复情况</w:t>
      </w:r>
    </w:p>
    <w:p>
      <w:pPr>
        <w:pStyle w:val="40"/>
        <w:shd w:val="clear"/>
        <w:spacing w:line="576"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该项目资金申报与实际内容相符，符合预算项目绩效管理的相关要求，取得市财政局文件批复，资金来源合法合规。</w:t>
      </w:r>
    </w:p>
    <w:p>
      <w:pPr>
        <w:pStyle w:val="40"/>
        <w:shd w:val="clear"/>
        <w:spacing w:line="576" w:lineRule="exact"/>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（二）资金计划、到位及使用情况</w:t>
      </w:r>
    </w:p>
    <w:p>
      <w:pPr>
        <w:shd w:val="clear"/>
        <w:adjustRightInd w:val="0"/>
        <w:snapToGrid w:val="0"/>
        <w:spacing w:line="576"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1.资金到位。</w:t>
      </w:r>
      <w:r>
        <w:rPr>
          <w:rFonts w:hint="eastAsia" w:ascii="仿宋_GB2312" w:eastAsia="仿宋_GB2312"/>
          <w:color w:val="auto"/>
          <w:kern w:val="0"/>
          <w:sz w:val="32"/>
          <w:szCs w:val="32"/>
          <w:highlight w:val="none"/>
        </w:rPr>
        <w:t>2022年12月，市财政局下达我局</w:t>
      </w:r>
      <w:r>
        <w:rPr>
          <w:rFonts w:hint="eastAsia" w:ascii="仿宋_GB2312" w:eastAsia="仿宋_GB2312"/>
          <w:color w:val="auto"/>
          <w:sz w:val="32"/>
          <w:szCs w:val="32"/>
          <w:highlight w:val="none"/>
        </w:rPr>
        <w:t>2022年中国（广元）女儿节系列活动经费</w:t>
      </w:r>
      <w:r>
        <w:rPr>
          <w:rFonts w:hint="eastAsia" w:ascii="仿宋_GB2312" w:eastAsia="仿宋_GB2312"/>
          <w:color w:val="auto"/>
          <w:kern w:val="0"/>
          <w:sz w:val="32"/>
          <w:szCs w:val="32"/>
          <w:highlight w:val="none"/>
        </w:rPr>
        <w:t>预算批复</w:t>
      </w:r>
      <w:r>
        <w:rPr>
          <w:rFonts w:hint="eastAsia" w:ascii="仿宋_GB2312" w:eastAsia="仿宋_GB2312"/>
          <w:color w:val="auto"/>
          <w:sz w:val="32"/>
          <w:szCs w:val="32"/>
          <w:highlight w:val="none"/>
        </w:rPr>
        <w:t>5万元（广财行</w:t>
      </w:r>
      <w:r>
        <w:rPr>
          <w:rFonts w:hint="eastAsia" w:ascii="微软雅黑" w:eastAsia="微软雅黑"/>
          <w:color w:val="auto"/>
          <w:sz w:val="32"/>
          <w:szCs w:val="32"/>
          <w:highlight w:val="none"/>
        </w:rPr>
        <w:t>〔</w:t>
      </w:r>
      <w:r>
        <w:rPr>
          <w:rFonts w:hint="eastAsia" w:ascii="仿宋_GB2312" w:eastAsia="仿宋_GB2312"/>
          <w:color w:val="auto"/>
          <w:sz w:val="32"/>
          <w:szCs w:val="32"/>
          <w:highlight w:val="none"/>
        </w:rPr>
        <w:t>2022</w:t>
      </w:r>
      <w:r>
        <w:rPr>
          <w:rFonts w:hint="eastAsia" w:ascii="微软雅黑" w:eastAsia="微软雅黑"/>
          <w:color w:val="auto"/>
          <w:sz w:val="32"/>
          <w:szCs w:val="32"/>
          <w:highlight w:val="none"/>
        </w:rPr>
        <w:t>〕</w:t>
      </w:r>
      <w:r>
        <w:rPr>
          <w:rFonts w:hint="eastAsia" w:ascii="仿宋_GB2312" w:eastAsia="仿宋_GB2312"/>
          <w:color w:val="auto"/>
          <w:sz w:val="32"/>
          <w:szCs w:val="32"/>
          <w:highlight w:val="none"/>
        </w:rPr>
        <w:t>62号）</w:t>
      </w:r>
      <w:r>
        <w:rPr>
          <w:rFonts w:hint="eastAsia" w:ascii="仿宋_GB2312" w:eastAsia="仿宋_GB2312"/>
          <w:color w:val="auto"/>
          <w:kern w:val="0"/>
          <w:sz w:val="32"/>
          <w:szCs w:val="32"/>
          <w:highlight w:val="none"/>
        </w:rPr>
        <w:t>，资金已全额到位。</w:t>
      </w:r>
    </w:p>
    <w:p>
      <w:pPr>
        <w:shd w:val="clear"/>
        <w:spacing w:line="58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olor w:val="auto"/>
          <w:sz w:val="32"/>
          <w:szCs w:val="32"/>
          <w:highlight w:val="none"/>
        </w:rPr>
        <w:t>2.资金使用。</w:t>
      </w:r>
      <w:r>
        <w:rPr>
          <w:rFonts w:hint="eastAsia" w:ascii="仿宋_GB2312" w:eastAsia="仿宋_GB2312"/>
          <w:color w:val="auto"/>
          <w:kern w:val="0"/>
          <w:sz w:val="32"/>
          <w:szCs w:val="32"/>
          <w:highlight w:val="none"/>
        </w:rPr>
        <w:t>2022年12月，该费用已全部执行完毕，</w:t>
      </w:r>
      <w:r>
        <w:rPr>
          <w:rFonts w:hint="eastAsia" w:ascii="仿宋_GB2312" w:eastAsia="仿宋_GB2312" w:cs="Times New Roman"/>
          <w:color w:val="auto"/>
          <w:sz w:val="32"/>
          <w:szCs w:val="32"/>
          <w:highlight w:val="none"/>
          <w:lang w:bidi="ar-SA"/>
        </w:rPr>
        <w:t>主要用于保障项目实施所需支出。</w:t>
      </w:r>
    </w:p>
    <w:p>
      <w:pPr>
        <w:pStyle w:val="40"/>
        <w:shd w:val="clear"/>
        <w:spacing w:line="576" w:lineRule="exact"/>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（三）项目财务管理情况</w:t>
      </w:r>
    </w:p>
    <w:p>
      <w:pPr>
        <w:pStyle w:val="40"/>
        <w:shd w:val="clear"/>
        <w:spacing w:line="576" w:lineRule="exact"/>
        <w:ind w:firstLine="640" w:firstLineChars="200"/>
        <w:rPr>
          <w:rFonts w:hint="eastAsia" w:ascii="仿宋_GB2312" w:eastAsia="仿宋_GB2312" w:cs="宋体"/>
          <w:color w:val="auto"/>
          <w:sz w:val="32"/>
          <w:szCs w:val="32"/>
          <w:highlight w:val="none"/>
          <w:lang w:bidi="ar-SA"/>
        </w:rPr>
      </w:pPr>
      <w:r>
        <w:rPr>
          <w:rFonts w:hint="eastAsia" w:ascii="仿宋_GB2312" w:eastAsia="仿宋_GB2312" w:cs="宋体"/>
          <w:color w:val="auto"/>
          <w:sz w:val="32"/>
          <w:szCs w:val="32"/>
          <w:highlight w:val="none"/>
          <w:lang w:bidi="ar-SA"/>
        </w:rPr>
        <w:t>我局严格执行中、省、市相关政策规定，财务制度健全，制定了绩效管理、财务管理办法等内部控制制度，资金管理和使用符合</w:t>
      </w:r>
      <w:r>
        <w:rPr>
          <w:rFonts w:hint="eastAsia" w:ascii="仿宋_GB2312" w:eastAsia="仿宋_GB2312" w:cs="仿宋"/>
          <w:color w:val="auto"/>
          <w:kern w:val="0"/>
          <w:sz w:val="32"/>
          <w:szCs w:val="32"/>
          <w:highlight w:val="none"/>
          <w:lang w:bidi="ar-SA"/>
        </w:rPr>
        <w:t>国家财经法规、中省市有关专项资金管理办法规定</w:t>
      </w:r>
      <w:r>
        <w:rPr>
          <w:rFonts w:hint="eastAsia" w:ascii="仿宋_GB2312" w:eastAsia="仿宋_GB2312" w:cs="宋体"/>
          <w:color w:val="auto"/>
          <w:sz w:val="32"/>
          <w:szCs w:val="32"/>
          <w:highlight w:val="none"/>
          <w:lang w:bidi="ar-SA"/>
        </w:rPr>
        <w:t>。</w:t>
      </w:r>
    </w:p>
    <w:p>
      <w:pPr>
        <w:pStyle w:val="40"/>
        <w:shd w:val="clear"/>
        <w:spacing w:line="576" w:lineRule="exact"/>
        <w:ind w:firstLine="640" w:firstLineChars="200"/>
        <w:outlineLvl w:val="1"/>
        <w:rPr>
          <w:rFonts w:hint="eastAsia" w:ascii="黑体" w:eastAsia="黑体"/>
          <w:color w:val="auto"/>
          <w:sz w:val="32"/>
          <w:szCs w:val="32"/>
          <w:highlight w:val="none"/>
        </w:rPr>
      </w:pPr>
      <w:bookmarkStart w:id="145" w:name="_Toc19393"/>
      <w:bookmarkStart w:id="146" w:name="_Toc32486"/>
      <w:bookmarkStart w:id="147" w:name="_Toc1773145859_WPSOffice_Level2"/>
      <w:bookmarkStart w:id="148" w:name="_Toc152018870_WPSOffice_Level2"/>
      <w:r>
        <w:rPr>
          <w:rFonts w:hint="eastAsia" w:ascii="黑体" w:eastAsia="黑体"/>
          <w:color w:val="auto"/>
          <w:sz w:val="32"/>
          <w:szCs w:val="32"/>
          <w:highlight w:val="none"/>
        </w:rPr>
        <w:t>三、项目实施及管理情况</w:t>
      </w:r>
      <w:bookmarkEnd w:id="145"/>
      <w:bookmarkEnd w:id="146"/>
      <w:bookmarkEnd w:id="147"/>
      <w:bookmarkEnd w:id="148"/>
    </w:p>
    <w:p>
      <w:pPr>
        <w:pStyle w:val="40"/>
        <w:shd w:val="clear"/>
        <w:spacing w:line="576" w:lineRule="exact"/>
        <w:ind w:firstLine="640" w:firstLineChars="200"/>
        <w:rPr>
          <w:rFonts w:hint="eastAsia" w:ascii="仿宋_GB2312" w:eastAsia="仿宋_GB2312"/>
          <w:color w:val="auto"/>
          <w:sz w:val="32"/>
          <w:szCs w:val="32"/>
          <w:highlight w:val="none"/>
        </w:rPr>
      </w:pPr>
      <w:r>
        <w:rPr>
          <w:rFonts w:hint="eastAsia" w:ascii="楷体_GB2312" w:eastAsia="楷体_GB2312"/>
          <w:color w:val="auto"/>
          <w:sz w:val="32"/>
          <w:szCs w:val="32"/>
          <w:highlight w:val="none"/>
        </w:rPr>
        <w:t>（一）项目组织架构及实施流程</w:t>
      </w:r>
      <w:r>
        <w:rPr>
          <w:rFonts w:hint="eastAsia" w:ascii="仿宋_GB2312" w:eastAsia="仿宋_GB2312"/>
          <w:color w:val="auto"/>
          <w:sz w:val="32"/>
          <w:szCs w:val="32"/>
          <w:highlight w:val="none"/>
        </w:rPr>
        <w:t>。我局作为主管部门，严格执行资金拨付、绩效管理等方面工作；广元航道段作为资金使用的主体单位，具体负责材料采购、资金支付等具体实施工作。</w:t>
      </w:r>
    </w:p>
    <w:p>
      <w:pPr>
        <w:pStyle w:val="40"/>
        <w:shd w:val="clear"/>
        <w:spacing w:line="576" w:lineRule="exact"/>
        <w:ind w:firstLine="640" w:firstLineChars="200"/>
        <w:rPr>
          <w:rFonts w:hint="eastAsia" w:ascii="仿宋_GB2312" w:eastAsia="仿宋_GB2312"/>
          <w:color w:val="auto"/>
          <w:sz w:val="32"/>
          <w:szCs w:val="32"/>
          <w:highlight w:val="none"/>
        </w:rPr>
      </w:pPr>
      <w:r>
        <w:rPr>
          <w:rFonts w:hint="eastAsia" w:ascii="楷体_GB2312" w:eastAsia="楷体_GB2312"/>
          <w:color w:val="auto"/>
          <w:sz w:val="32"/>
          <w:szCs w:val="32"/>
          <w:highlight w:val="none"/>
        </w:rPr>
        <w:t>（二）项目管理情况</w:t>
      </w:r>
      <w:r>
        <w:rPr>
          <w:rFonts w:hint="eastAsia" w:ascii="仿宋_GB2312" w:eastAsia="仿宋_GB2312"/>
          <w:color w:val="auto"/>
          <w:sz w:val="32"/>
          <w:szCs w:val="32"/>
          <w:highlight w:val="none"/>
        </w:rPr>
        <w:t>。该项目</w:t>
      </w:r>
      <w:r>
        <w:rPr>
          <w:rFonts w:hint="eastAsia" w:ascii="仿宋_GB2312" w:eastAsia="仿宋_GB2312" w:cs="宋体"/>
          <w:color w:val="auto"/>
          <w:kern w:val="0"/>
          <w:sz w:val="32"/>
          <w:szCs w:val="32"/>
          <w:highlight w:val="none"/>
          <w:lang w:bidi="ar-SA"/>
        </w:rPr>
        <w:t>目标与实际需求完全一致，满足女儿节系列活动的实际需要，决策依据充分有效，规划合理，组织实施有序，制度管理完善，资金使用规范，安全风险可控。</w:t>
      </w:r>
    </w:p>
    <w:p>
      <w:pPr>
        <w:pStyle w:val="40"/>
        <w:shd w:val="clear"/>
        <w:spacing w:line="576" w:lineRule="exact"/>
        <w:ind w:firstLine="640" w:firstLineChars="200"/>
        <w:rPr>
          <w:rFonts w:hint="eastAsia" w:ascii="仿宋_GB2312" w:eastAsia="仿宋_GB2312"/>
          <w:color w:val="auto"/>
          <w:sz w:val="32"/>
          <w:szCs w:val="32"/>
          <w:highlight w:val="none"/>
        </w:rPr>
      </w:pPr>
      <w:r>
        <w:rPr>
          <w:rFonts w:hint="eastAsia" w:ascii="楷体_GB2312" w:eastAsia="楷体_GB2312"/>
          <w:color w:val="auto"/>
          <w:sz w:val="32"/>
          <w:szCs w:val="32"/>
          <w:highlight w:val="none"/>
        </w:rPr>
        <w:t>（三）项目监管情况</w:t>
      </w:r>
      <w:r>
        <w:rPr>
          <w:rFonts w:hint="eastAsia" w:ascii="仿宋_GB2312" w:eastAsia="仿宋_GB2312"/>
          <w:color w:val="auto"/>
          <w:sz w:val="32"/>
          <w:szCs w:val="32"/>
          <w:highlight w:val="none"/>
        </w:rPr>
        <w:t>。广元航道段作为执行主体，局机关作为监督主体，负责资金使用、安全实施等方面监督管理。该项目无监管失误。</w:t>
      </w:r>
    </w:p>
    <w:p>
      <w:pPr>
        <w:pStyle w:val="40"/>
        <w:shd w:val="clear"/>
        <w:spacing w:line="576" w:lineRule="exact"/>
        <w:ind w:firstLine="640" w:firstLineChars="200"/>
        <w:outlineLvl w:val="1"/>
        <w:rPr>
          <w:rFonts w:hint="eastAsia" w:ascii="黑体" w:eastAsia="黑体"/>
          <w:color w:val="auto"/>
          <w:sz w:val="32"/>
          <w:szCs w:val="32"/>
          <w:highlight w:val="none"/>
        </w:rPr>
      </w:pPr>
      <w:bookmarkStart w:id="149" w:name="_Toc2133307411_WPSOffice_Level2"/>
      <w:bookmarkStart w:id="150" w:name="_Toc24987"/>
      <w:bookmarkStart w:id="151" w:name="_Toc2134161340_WPSOffice_Level2"/>
      <w:bookmarkStart w:id="152" w:name="_Toc515"/>
      <w:r>
        <w:rPr>
          <w:rFonts w:hint="eastAsia" w:ascii="黑体" w:eastAsia="黑体"/>
          <w:color w:val="auto"/>
          <w:sz w:val="32"/>
          <w:szCs w:val="32"/>
          <w:highlight w:val="none"/>
        </w:rPr>
        <w:t>四、项目绩效情况</w:t>
      </w:r>
      <w:bookmarkEnd w:id="149"/>
      <w:bookmarkEnd w:id="150"/>
      <w:bookmarkEnd w:id="151"/>
      <w:bookmarkEnd w:id="152"/>
    </w:p>
    <w:p>
      <w:pPr>
        <w:pStyle w:val="40"/>
        <w:shd w:val="clear"/>
        <w:spacing w:line="576" w:lineRule="exact"/>
        <w:ind w:firstLine="640" w:firstLineChars="200"/>
        <w:rPr>
          <w:rFonts w:hint="eastAsia" w:ascii="仿宋_GB2312" w:eastAsia="仿宋_GB2312"/>
          <w:color w:val="auto"/>
          <w:sz w:val="32"/>
          <w:szCs w:val="32"/>
          <w:highlight w:val="none"/>
        </w:rPr>
      </w:pPr>
      <w:r>
        <w:rPr>
          <w:rFonts w:hint="eastAsia" w:ascii="楷体_GB2312" w:eastAsia="楷体_GB2312"/>
          <w:color w:val="auto"/>
          <w:sz w:val="32"/>
          <w:szCs w:val="32"/>
          <w:highlight w:val="none"/>
        </w:rPr>
        <w:t>（一）项目完成情况</w:t>
      </w:r>
      <w:r>
        <w:rPr>
          <w:rFonts w:hint="eastAsia" w:ascii="仿宋_GB2312" w:eastAsia="仿宋_GB2312"/>
          <w:color w:val="auto"/>
          <w:sz w:val="32"/>
          <w:szCs w:val="32"/>
          <w:highlight w:val="none"/>
        </w:rPr>
        <w:t>。2022年，</w:t>
      </w:r>
      <w:r>
        <w:rPr>
          <w:rFonts w:hint="eastAsia" w:ascii="仿宋_GB2312" w:eastAsia="仿宋_GB2312"/>
          <w:color w:val="auto"/>
          <w:spacing w:val="-4"/>
          <w:sz w:val="32"/>
          <w:szCs w:val="32"/>
          <w:highlight w:val="none"/>
        </w:rPr>
        <w:t>中国（广元）女儿节凤舟赛取得圆满成功。支付保障经费</w:t>
      </w:r>
      <w:r>
        <w:rPr>
          <w:rFonts w:hint="eastAsia" w:ascii="仿宋_GB2312" w:eastAsia="仿宋_GB2312"/>
          <w:color w:val="auto"/>
          <w:sz w:val="32"/>
          <w:szCs w:val="32"/>
          <w:highlight w:val="none"/>
        </w:rPr>
        <w:t>5万元，完成预期绩效目标。</w:t>
      </w:r>
    </w:p>
    <w:p>
      <w:pPr>
        <w:pStyle w:val="40"/>
        <w:shd w:val="clear"/>
        <w:spacing w:line="576" w:lineRule="exact"/>
        <w:ind w:firstLine="640" w:firstLineChars="200"/>
        <w:rPr>
          <w:rFonts w:hint="eastAsia" w:ascii="仿宋_GB2312" w:eastAsia="仿宋_GB2312"/>
          <w:color w:val="auto"/>
          <w:sz w:val="32"/>
          <w:szCs w:val="32"/>
          <w:highlight w:val="none"/>
        </w:rPr>
      </w:pPr>
      <w:r>
        <w:rPr>
          <w:rFonts w:hint="eastAsia" w:ascii="楷体_GB2312" w:eastAsia="楷体_GB2312"/>
          <w:color w:val="auto"/>
          <w:sz w:val="32"/>
          <w:szCs w:val="32"/>
          <w:highlight w:val="none"/>
        </w:rPr>
        <w:t>（二）项目效益情况</w:t>
      </w:r>
      <w:r>
        <w:rPr>
          <w:rFonts w:hint="eastAsia" w:ascii="仿宋_GB2312" w:eastAsia="仿宋_GB2312"/>
          <w:color w:val="auto"/>
          <w:sz w:val="32"/>
          <w:szCs w:val="32"/>
          <w:highlight w:val="none"/>
        </w:rPr>
        <w:t>。依托我市文化旅游底蕴，</w:t>
      </w:r>
      <w:r>
        <w:rPr>
          <w:rFonts w:hint="eastAsia" w:ascii="仿宋_GB2312" w:eastAsia="仿宋_GB2312"/>
          <w:color w:val="auto"/>
          <w:spacing w:val="-4"/>
          <w:sz w:val="32"/>
          <w:szCs w:val="32"/>
          <w:highlight w:val="none"/>
        </w:rPr>
        <w:t>中国（广元）女儿节系列活动</w:t>
      </w:r>
      <w:r>
        <w:rPr>
          <w:rFonts w:hint="eastAsia" w:ascii="仿宋_GB2312" w:eastAsia="仿宋_GB2312"/>
          <w:color w:val="auto"/>
          <w:sz w:val="32"/>
          <w:szCs w:val="32"/>
          <w:highlight w:val="none"/>
        </w:rPr>
        <w:t>坚持“政府引导、市场主体、文旅融合”原则，充分展示“剑门蜀道、女皇故里”城市形象，宣传城市名片、加强文化交流、促进经济发展，助推中国生态康养旅游名市建设，群众满意度大大提高。</w:t>
      </w:r>
    </w:p>
    <w:p>
      <w:pPr>
        <w:pStyle w:val="40"/>
        <w:shd w:val="clear"/>
        <w:spacing w:line="576" w:lineRule="exact"/>
        <w:ind w:firstLine="640" w:firstLineChars="200"/>
        <w:outlineLvl w:val="1"/>
        <w:rPr>
          <w:rFonts w:hint="eastAsia" w:ascii="黑体" w:eastAsia="黑体"/>
          <w:color w:val="auto"/>
          <w:sz w:val="32"/>
          <w:szCs w:val="32"/>
          <w:highlight w:val="none"/>
        </w:rPr>
      </w:pPr>
      <w:bookmarkStart w:id="153" w:name="_Toc1281295346_WPSOffice_Level2"/>
      <w:bookmarkStart w:id="154" w:name="_Toc21915"/>
      <w:bookmarkStart w:id="155" w:name="_Toc257226493_WPSOffice_Level2"/>
      <w:bookmarkStart w:id="156" w:name="_Toc17569"/>
      <w:r>
        <w:rPr>
          <w:rFonts w:hint="eastAsia" w:ascii="黑体" w:eastAsia="黑体"/>
          <w:color w:val="auto"/>
          <w:sz w:val="32"/>
          <w:szCs w:val="32"/>
          <w:highlight w:val="none"/>
        </w:rPr>
        <w:t>五、评价结论</w:t>
      </w:r>
      <w:bookmarkEnd w:id="153"/>
      <w:bookmarkEnd w:id="154"/>
      <w:bookmarkEnd w:id="155"/>
      <w:bookmarkEnd w:id="156"/>
    </w:p>
    <w:p>
      <w:pPr>
        <w:pStyle w:val="40"/>
        <w:shd w:val="clear"/>
        <w:spacing w:line="576" w:lineRule="exact"/>
        <w:ind w:firstLine="640" w:firstLineChars="200"/>
        <w:rPr>
          <w:rFonts w:hint="eastAsia" w:ascii="仿宋_GB2312" w:eastAsia="仿宋_GB2312"/>
          <w:color w:val="auto"/>
          <w:kern w:val="0"/>
          <w:sz w:val="32"/>
          <w:szCs w:val="32"/>
          <w:highlight w:val="none"/>
        </w:rPr>
      </w:pPr>
      <w:r>
        <w:rPr>
          <w:rFonts w:hint="eastAsia" w:ascii="仿宋_GB2312" w:eastAsia="仿宋_GB2312"/>
          <w:color w:val="auto"/>
          <w:sz w:val="32"/>
          <w:szCs w:val="32"/>
          <w:highlight w:val="none"/>
        </w:rPr>
        <w:t>该项目规划科学，决策依据充分，程序合法合规、资金到位及时拨付规范。项目</w:t>
      </w:r>
      <w:r>
        <w:rPr>
          <w:rFonts w:hint="eastAsia" w:ascii="仿宋_GB2312" w:eastAsia="仿宋_GB2312"/>
          <w:color w:val="auto"/>
          <w:kern w:val="0"/>
          <w:sz w:val="32"/>
          <w:szCs w:val="32"/>
          <w:highlight w:val="none"/>
        </w:rPr>
        <w:t>支出绩效自评得分100分，其中项目决策25分、项目管理15分、项目绩效（特性指标）60分。</w:t>
      </w:r>
    </w:p>
    <w:p>
      <w:pPr>
        <w:shd w:val="clea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br w:type="page"/>
      </w:r>
    </w:p>
    <w:p>
      <w:pPr>
        <w:pStyle w:val="2"/>
        <w:pageBreakBefore w:val="0"/>
        <w:shd w:val="clear"/>
        <w:kinsoku/>
        <w:wordWrap/>
        <w:topLinePunct w:val="0"/>
        <w:bidi w:val="0"/>
        <w:spacing w:line="560" w:lineRule="exact"/>
        <w:textAlignment w:val="auto"/>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附件3：</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pStyle w:val="38"/>
        <w:shd w:val="clear"/>
        <w:spacing w:line="576" w:lineRule="exact"/>
        <w:jc w:val="center"/>
        <w:rPr>
          <w:rFonts w:hint="eastAsia" w:ascii="方正小标宋_GBK" w:eastAsia="方正小标宋_GBK" w:cs="黑体"/>
          <w:color w:val="auto"/>
          <w:sz w:val="44"/>
          <w:szCs w:val="44"/>
          <w:highlight w:val="none"/>
          <w:lang w:bidi="ar-SA"/>
        </w:rPr>
      </w:pPr>
      <w:r>
        <w:rPr>
          <w:rFonts w:hint="eastAsia" w:ascii="方正小标宋_GBK" w:eastAsia="方正小标宋_GBK" w:cs="黑体"/>
          <w:color w:val="auto"/>
          <w:kern w:val="2"/>
          <w:sz w:val="44"/>
          <w:szCs w:val="44"/>
          <w:highlight w:val="none"/>
          <w:lang w:bidi="ar-SA"/>
        </w:rPr>
        <w:t>关于</w:t>
      </w:r>
      <w:r>
        <w:rPr>
          <w:rFonts w:hint="eastAsia" w:ascii="方正小标宋_GBK" w:eastAsia="方正小标宋_GBK" w:cs="黑体"/>
          <w:color w:val="auto"/>
          <w:sz w:val="44"/>
          <w:szCs w:val="44"/>
          <w:highlight w:val="none"/>
          <w:lang w:bidi="ar-SA"/>
        </w:rPr>
        <w:t>2022年“两新”组织党建经费项目预算支出绩效的自评报告</w:t>
      </w:r>
    </w:p>
    <w:p>
      <w:pPr>
        <w:shd w:val="clear"/>
        <w:overflowPunct w:val="0"/>
        <w:autoSpaceDE w:val="0"/>
        <w:autoSpaceDN w:val="0"/>
        <w:adjustRightInd w:val="0"/>
        <w:snapToGrid w:val="0"/>
        <w:spacing w:line="440" w:lineRule="exact"/>
        <w:ind w:firstLine="640" w:firstLineChars="200"/>
        <w:rPr>
          <w:rFonts w:hint="eastAsia" w:ascii="仿宋_GB2312" w:eastAsia="仿宋_GB2312" w:cs="Times New Roman"/>
          <w:color w:val="auto"/>
          <w:sz w:val="32"/>
          <w:szCs w:val="32"/>
          <w:highlight w:val="none"/>
          <w:lang w:bidi="ar-SA"/>
        </w:rPr>
      </w:pP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157" w:name="_Toc18623956_WPSOffice_Level2"/>
      <w:bookmarkStart w:id="158" w:name="_Toc1499097451_WPSOffice_Level2"/>
      <w:bookmarkStart w:id="159" w:name="_Toc30253"/>
      <w:bookmarkStart w:id="160" w:name="_Toc2313"/>
      <w:r>
        <w:rPr>
          <w:rFonts w:hint="eastAsia" w:ascii="黑体" w:eastAsia="黑体" w:cs="Times New Roman"/>
          <w:color w:val="auto"/>
          <w:sz w:val="32"/>
          <w:szCs w:val="32"/>
          <w:highlight w:val="none"/>
          <w:lang w:bidi="ar-SA"/>
        </w:rPr>
        <w:t>一、项目概况</w:t>
      </w:r>
      <w:bookmarkEnd w:id="157"/>
      <w:bookmarkEnd w:id="158"/>
      <w:bookmarkEnd w:id="159"/>
      <w:bookmarkEnd w:id="160"/>
    </w:p>
    <w:p>
      <w:pPr>
        <w:shd w:val="clear"/>
        <w:overflowPunct w:val="0"/>
        <w:autoSpaceDE w:val="0"/>
        <w:autoSpaceDN w:val="0"/>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（一）项目基本情况</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1．主管部门在管理中的职能。资金到位后，我局及时拨付补助资金给两新党支部。通过对两新支部的补助，加强对两新支部的统一管理，使党的基层组织更加深入。</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2．项目立项、资金申报的依据。2022年，市财政局下达我局2022年“两新”组织党建工作经费1.54万元，资金已全额到位。</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3．资金管理办法制定情况，资金支持具体项目的条件、范围与支持方式概况。</w:t>
      </w:r>
      <w:r>
        <w:rPr>
          <w:rFonts w:hint="eastAsia" w:ascii="仿宋_GB2312" w:eastAsia="仿宋_GB2312" w:cs="仿宋"/>
          <w:color w:val="auto"/>
          <w:kern w:val="0"/>
          <w:sz w:val="32"/>
          <w:szCs w:val="32"/>
          <w:highlight w:val="none"/>
          <w:lang w:bidi="ar-SA"/>
        </w:rPr>
        <w:t>我局严格执行国家财经法规、央省市有关专项资金管理办法规定，制定了财务管理等内部控制制度，财务制度健全，会计核算规范。</w:t>
      </w:r>
      <w:r>
        <w:rPr>
          <w:rFonts w:hint="eastAsia" w:ascii="仿宋_GB2312" w:eastAsia="仿宋_GB2312" w:cs="Times New Roman"/>
          <w:color w:val="auto"/>
          <w:sz w:val="32"/>
          <w:szCs w:val="32"/>
          <w:highlight w:val="none"/>
          <w:lang w:bidi="ar-SA"/>
        </w:rPr>
        <w:t>资金到位后，经局党组研究，根据相关支付程序，我局按要求立即转拨给市交通运输行业党委0.5万元、四川川北公路规划勘察设计有限责任公司0.42万元、广元市轮船公司0.62万元。</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4．资金分配的原则及考虑因素。</w:t>
      </w:r>
      <w:r>
        <w:rPr>
          <w:rFonts w:hint="eastAsia" w:ascii="仿宋_GB2312" w:eastAsia="仿宋_GB2312"/>
          <w:color w:val="auto"/>
          <w:sz w:val="32"/>
          <w:szCs w:val="32"/>
          <w:highlight w:val="none"/>
        </w:rPr>
        <w:t>资金分配坚持“专款专用”原则，</w:t>
      </w:r>
      <w:r>
        <w:rPr>
          <w:rFonts w:hint="eastAsia" w:ascii="仿宋_GB2312" w:eastAsia="仿宋_GB2312" w:cs="仿宋"/>
          <w:color w:val="auto"/>
          <w:sz w:val="32"/>
          <w:szCs w:val="32"/>
          <w:highlight w:val="none"/>
          <w:lang w:bidi="ar-SA"/>
        </w:rPr>
        <w:t>该专项资金采用了项目法。</w:t>
      </w:r>
      <w:r>
        <w:rPr>
          <w:rFonts w:hint="eastAsia" w:ascii="仿宋_GB2312" w:eastAsia="仿宋_GB2312" w:cs="Times New Roman"/>
          <w:color w:val="auto"/>
          <w:sz w:val="32"/>
          <w:szCs w:val="32"/>
          <w:highlight w:val="none"/>
          <w:lang w:bidi="ar-SA"/>
        </w:rPr>
        <w:t>我局收到资金计划后，按照“三重一大”的要求，由局机关党委根据实际情况按照计划文件和项目法分配原则提出分配方案报局党组会议审定，再向市财政局报送拨付函，及时将项目资金拨付给相关单位。</w:t>
      </w:r>
    </w:p>
    <w:p>
      <w:pPr>
        <w:shd w:val="clear"/>
        <w:overflowPunct w:val="0"/>
        <w:autoSpaceDE w:val="0"/>
        <w:autoSpaceDN w:val="0"/>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（二）项目绩效目标</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1．项目主要内容。对市交通运输行业党委、四川川北公路规划勘察设计有限责任公司、广元市轮船公司两新党组织进行补助，加强对两新支部的统一管理。</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2．项目应实现的具体绩效目标。项目补助两新党组织3个，项目实施进度为100%，预算执行率为100%，受益群体满意度高。</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3．项目资金申报相符性和可行性。项目申报内容与实际相符，申报目标合理可行。</w:t>
      </w:r>
    </w:p>
    <w:p>
      <w:pPr>
        <w:shd w:val="clear"/>
        <w:overflowPunct w:val="0"/>
        <w:autoSpaceDE w:val="0"/>
        <w:autoSpaceDN w:val="0"/>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（三）项目自评步骤及方法</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根据预算绩效管理要求，我局由财务科牵头，局党办紧密配合，比照《2023年市级专项资金预算项目支出绩效评价指标体系》和年初绩效目标申报，严格执行《广元市市级预算绩效目标管理办法》规定，依据“谁申报、谁自评、谁绩效”的原则，采用成本效益分析法，对该项目产出完成、项目效益、财务管理、满意度等方面进行了认真全面的绩效自评。经自评，项目支出绩效情况良好。</w:t>
      </w: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161" w:name="_Toc2051196505_WPSOffice_Level2"/>
      <w:bookmarkStart w:id="162" w:name="_Toc2143179919_WPSOffice_Level2"/>
      <w:bookmarkStart w:id="163" w:name="_Toc27636"/>
      <w:bookmarkStart w:id="164" w:name="_Toc8633"/>
      <w:r>
        <w:rPr>
          <w:rFonts w:hint="eastAsia" w:ascii="黑体" w:eastAsia="黑体" w:cs="Times New Roman"/>
          <w:color w:val="auto"/>
          <w:sz w:val="32"/>
          <w:szCs w:val="32"/>
          <w:highlight w:val="none"/>
          <w:lang w:bidi="ar-SA"/>
        </w:rPr>
        <w:t>二、项目资金申报及使用情况</w:t>
      </w:r>
      <w:bookmarkEnd w:id="161"/>
      <w:bookmarkEnd w:id="162"/>
      <w:bookmarkEnd w:id="163"/>
      <w:bookmarkEnd w:id="164"/>
    </w:p>
    <w:p>
      <w:pPr>
        <w:shd w:val="clear"/>
        <w:overflowPunct w:val="0"/>
        <w:autoSpaceDE w:val="0"/>
        <w:autoSpaceDN w:val="0"/>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（一）项目资金申报及批复情况</w:t>
      </w:r>
    </w:p>
    <w:p>
      <w:pPr>
        <w:pStyle w:val="40"/>
        <w:shd w:val="clea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s="Times New Roman"/>
          <w:color w:val="auto"/>
          <w:sz w:val="32"/>
          <w:szCs w:val="32"/>
          <w:highlight w:val="none"/>
          <w:lang w:bidi="ar-SA"/>
        </w:rPr>
        <w:t>市财政局下达了2022年全“两新”组织党建经费预算资金1.54万元，我局</w:t>
      </w:r>
      <w:r>
        <w:rPr>
          <w:rFonts w:hint="eastAsia" w:ascii="仿宋_GB2312" w:eastAsia="仿宋_GB2312"/>
          <w:color w:val="auto"/>
          <w:sz w:val="32"/>
          <w:szCs w:val="32"/>
          <w:highlight w:val="none"/>
        </w:rPr>
        <w:t>取得市财政局文件批复，资金来源合法合规。</w:t>
      </w:r>
    </w:p>
    <w:p>
      <w:pPr>
        <w:shd w:val="clear"/>
        <w:overflowPunct w:val="0"/>
        <w:autoSpaceDE w:val="0"/>
        <w:autoSpaceDN w:val="0"/>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（二）资金计划、到位及使用情况</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1．资金计划。“两新”组织党建经费预算金额为1.54万元，资金来源为市级财政一般公共预算安排。</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2．资金到位。“两新”组织党建经费为年中预算调整，2022年12月由市财政局下达两新组织党建经费资金1.54万元（广财行</w:t>
      </w:r>
      <w:r>
        <w:rPr>
          <w:rFonts w:ascii="仿宋_GB2312" w:hAnsi="仿宋_GB2312" w:cs="Times New Roman"/>
          <w:color w:val="auto"/>
          <w:sz w:val="32"/>
          <w:szCs w:val="32"/>
          <w:highlight w:val="none"/>
          <w:lang w:bidi="ar-SA"/>
        </w:rPr>
        <w:t>〔2022〕</w:t>
      </w:r>
      <w:r>
        <w:rPr>
          <w:rFonts w:hint="eastAsia" w:ascii="仿宋_GB2312" w:eastAsia="仿宋_GB2312" w:cs="Times New Roman"/>
          <w:color w:val="auto"/>
          <w:sz w:val="32"/>
          <w:szCs w:val="32"/>
          <w:highlight w:val="none"/>
          <w:lang w:bidi="ar-SA"/>
        </w:rPr>
        <w:t>69号），我局当月拨付资金，资金到位使用及时高效。</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3．资金使用。截至2022年12月，使用金额为1.54万元，剩余资金0元，支付进度100%。资金支付严格遵循财政资金支付规定，支付依据合规合法，预算执行率100%。</w:t>
      </w:r>
    </w:p>
    <w:p>
      <w:pPr>
        <w:shd w:val="clear"/>
        <w:overflowPunct w:val="0"/>
        <w:autoSpaceDE w:val="0"/>
        <w:autoSpaceDN w:val="0"/>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（三）项目财务管理情况</w:t>
      </w:r>
    </w:p>
    <w:p>
      <w:pPr>
        <w:pStyle w:val="40"/>
        <w:shd w:val="clear"/>
        <w:spacing w:line="540" w:lineRule="exact"/>
        <w:ind w:firstLine="640" w:firstLineChars="200"/>
        <w:rPr>
          <w:rFonts w:hint="eastAsia" w:ascii="仿宋_GB2312" w:eastAsia="仿宋_GB2312" w:cs="宋体"/>
          <w:color w:val="auto"/>
          <w:sz w:val="32"/>
          <w:szCs w:val="32"/>
          <w:highlight w:val="none"/>
          <w:lang w:bidi="ar-SA"/>
        </w:rPr>
      </w:pPr>
      <w:r>
        <w:rPr>
          <w:rFonts w:hint="eastAsia" w:ascii="仿宋_GB2312" w:eastAsia="仿宋_GB2312" w:cs="宋体"/>
          <w:color w:val="auto"/>
          <w:sz w:val="32"/>
          <w:szCs w:val="32"/>
          <w:highlight w:val="none"/>
          <w:lang w:bidi="ar-SA"/>
        </w:rPr>
        <w:t>我局严格执行中、省、市相关政策规定，财务制度健全，制定了绩效管理、财务管理办法等内部控制制度，资金管理和使用符合</w:t>
      </w:r>
      <w:r>
        <w:rPr>
          <w:rFonts w:hint="eastAsia" w:ascii="仿宋_GB2312" w:eastAsia="仿宋_GB2312" w:cs="仿宋"/>
          <w:color w:val="auto"/>
          <w:kern w:val="0"/>
          <w:sz w:val="32"/>
          <w:szCs w:val="32"/>
          <w:highlight w:val="none"/>
          <w:lang w:bidi="ar-SA"/>
        </w:rPr>
        <w:t>国家财经法规、中省市有关专项资金管理办法规定</w:t>
      </w:r>
      <w:r>
        <w:rPr>
          <w:rFonts w:hint="eastAsia" w:ascii="仿宋_GB2312" w:eastAsia="仿宋_GB2312" w:cs="宋体"/>
          <w:color w:val="auto"/>
          <w:sz w:val="32"/>
          <w:szCs w:val="32"/>
          <w:highlight w:val="none"/>
          <w:lang w:bidi="ar-SA"/>
        </w:rPr>
        <w:t>。</w:t>
      </w: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165" w:name="_Toc17889"/>
      <w:bookmarkStart w:id="166" w:name="_Toc602447667_WPSOffice_Level2"/>
      <w:bookmarkStart w:id="167" w:name="_Toc23709"/>
      <w:bookmarkStart w:id="168" w:name="_Toc519379614_WPSOffice_Level2"/>
      <w:r>
        <w:rPr>
          <w:rFonts w:hint="eastAsia" w:ascii="黑体" w:eastAsia="黑体" w:cs="Times New Roman"/>
          <w:color w:val="auto"/>
          <w:sz w:val="32"/>
          <w:szCs w:val="32"/>
          <w:highlight w:val="none"/>
          <w:lang w:bidi="ar-SA"/>
        </w:rPr>
        <w:t>三、项目实施及管理情况</w:t>
      </w:r>
      <w:bookmarkEnd w:id="165"/>
      <w:bookmarkEnd w:id="166"/>
      <w:bookmarkEnd w:id="167"/>
      <w:bookmarkEnd w:id="168"/>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（一）项目组织架构及实施流程。</w:t>
      </w:r>
      <w:r>
        <w:rPr>
          <w:rFonts w:hint="eastAsia" w:ascii="仿宋_GB2312" w:eastAsia="仿宋_GB2312" w:cs="Times New Roman"/>
          <w:color w:val="auto"/>
          <w:sz w:val="32"/>
          <w:szCs w:val="32"/>
          <w:highlight w:val="none"/>
          <w:lang w:bidi="ar-SA"/>
        </w:rPr>
        <w:t>按照补助标准，对“两新”党组织进行补助，强化政治引领，抓实“两新”党组织思想政治建设，深入宣传、贯彻习近平新时代中国特色社会主义思想，教育引领党员职工用习近平新时代中国特色社会主义思想武装头脑，充分发挥党支部主体作用，扩大党的基层组织覆盖面，提升企业的活动和竞争力。</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（二）项目管理情况。</w:t>
      </w:r>
      <w:r>
        <w:rPr>
          <w:rFonts w:hint="eastAsia" w:ascii="仿宋_GB2312" w:eastAsia="仿宋_GB2312" w:cs="Times New Roman"/>
          <w:color w:val="auto"/>
          <w:sz w:val="32"/>
          <w:szCs w:val="32"/>
          <w:highlight w:val="none"/>
          <w:lang w:bidi="ar-SA"/>
        </w:rPr>
        <w:t>对市交通运输行业党委、四川川北公路规划勘察设计有限责任公司、广元市轮船公司两新党组织及时进行了补助，加强了对两新支部的统一管理。</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（三）项目监管情况。</w:t>
      </w:r>
      <w:r>
        <w:rPr>
          <w:rFonts w:hint="eastAsia" w:ascii="仿宋_GB2312" w:eastAsia="仿宋_GB2312" w:cs="Times New Roman"/>
          <w:color w:val="auto"/>
          <w:sz w:val="32"/>
          <w:szCs w:val="32"/>
          <w:highlight w:val="none"/>
          <w:lang w:bidi="ar-SA"/>
        </w:rPr>
        <w:t>严格按照相关法律法规和程序，局机关党办对项目进行全过程、全方位的监督管理，强化主体责任，确保资金安全，对项目实施全过程进行目标绩效管理。</w:t>
      </w: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169" w:name="_Toc233690660_WPSOffice_Level2"/>
      <w:bookmarkStart w:id="170" w:name="_Toc1466913679_WPSOffice_Level2"/>
      <w:bookmarkStart w:id="171" w:name="_Toc28395"/>
      <w:bookmarkStart w:id="172" w:name="_Toc19286"/>
      <w:r>
        <w:rPr>
          <w:rFonts w:hint="eastAsia" w:ascii="黑体" w:eastAsia="黑体" w:cs="Times New Roman"/>
          <w:color w:val="auto"/>
          <w:sz w:val="32"/>
          <w:szCs w:val="32"/>
          <w:highlight w:val="none"/>
          <w:lang w:bidi="ar-SA"/>
        </w:rPr>
        <w:t>四、项目绩效情况</w:t>
      </w:r>
      <w:bookmarkEnd w:id="169"/>
      <w:bookmarkEnd w:id="170"/>
      <w:bookmarkEnd w:id="171"/>
      <w:bookmarkEnd w:id="172"/>
      <w:r>
        <w:rPr>
          <w:rFonts w:hint="eastAsia" w:ascii="黑体" w:eastAsia="黑体" w:cs="Times New Roman"/>
          <w:color w:val="auto"/>
          <w:sz w:val="32"/>
          <w:szCs w:val="32"/>
          <w:highlight w:val="none"/>
          <w:lang w:bidi="ar-SA"/>
        </w:rPr>
        <w:tab/>
      </w:r>
    </w:p>
    <w:p>
      <w:pPr>
        <w:shd w:val="clear"/>
        <w:overflowPunct w:val="0"/>
        <w:autoSpaceDE w:val="0"/>
        <w:autoSpaceDN w:val="0"/>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（一）项目完成情况。</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我局及时转拨了预算资金，对市交通运输行业党委、四川川北公路规划勘察设计有限责任公司、广元市轮船公司三个“两新”党组织进行补助，绩效目标完成率100%，项目成本控制在预算资金范围内，无结余资金。</w:t>
      </w:r>
    </w:p>
    <w:p>
      <w:pPr>
        <w:shd w:val="clear"/>
        <w:overflowPunct w:val="0"/>
        <w:autoSpaceDE w:val="0"/>
        <w:autoSpaceDN w:val="0"/>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（二）项目效益情况</w:t>
      </w:r>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通过对两新支部的补助，加强了对“两新”党组织的统一管理，使党的基层组织更加深入，企业的活动和竞争力得到提升，服务对象满意度100%。</w:t>
      </w: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173" w:name="_Toc1103685801_WPSOffice_Level2"/>
      <w:bookmarkStart w:id="174" w:name="_Toc21179"/>
      <w:bookmarkStart w:id="175" w:name="_Toc22778"/>
      <w:bookmarkStart w:id="176" w:name="_Toc1736885081_WPSOffice_Level2"/>
      <w:r>
        <w:rPr>
          <w:rFonts w:hint="eastAsia" w:ascii="黑体" w:eastAsia="黑体" w:cs="Times New Roman"/>
          <w:color w:val="auto"/>
          <w:sz w:val="32"/>
          <w:szCs w:val="32"/>
          <w:highlight w:val="none"/>
          <w:lang w:bidi="ar-SA"/>
        </w:rPr>
        <w:t>五、评价结论</w:t>
      </w:r>
      <w:bookmarkEnd w:id="173"/>
      <w:bookmarkEnd w:id="174"/>
      <w:bookmarkEnd w:id="175"/>
      <w:bookmarkEnd w:id="176"/>
    </w:p>
    <w:p>
      <w:pPr>
        <w:shd w:val="clear"/>
        <w:overflowPunct w:val="0"/>
        <w:autoSpaceDE w:val="0"/>
        <w:autoSpaceDN w:val="0"/>
        <w:adjustRightInd w:val="0"/>
        <w:snapToGrid w:val="0"/>
        <w:spacing w:line="54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“两新”组织党建经费项目管理、使用合法，支出及时，受益对象满意，项目支出绩效自评得分100分，其中项目决策25分、项目管理15分、项目绩效（特性指标）60分。</w:t>
      </w: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shd w:val="clea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附件4：</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pStyle w:val="38"/>
        <w:shd w:val="clear"/>
        <w:spacing w:line="578" w:lineRule="exact"/>
        <w:jc w:val="center"/>
        <w:rPr>
          <w:rFonts w:hint="eastAsia" w:ascii="方正小标宋简体" w:eastAsia="方正小标宋简体"/>
          <w:color w:val="auto"/>
          <w:kern w:val="2"/>
          <w:sz w:val="44"/>
          <w:szCs w:val="44"/>
          <w:highlight w:val="none"/>
        </w:rPr>
      </w:pPr>
      <w:r>
        <w:rPr>
          <w:rFonts w:hint="eastAsia" w:ascii="方正小标宋_GBK" w:eastAsia="方正小标宋_GBK" w:cs="黑体"/>
          <w:color w:val="auto"/>
          <w:sz w:val="44"/>
          <w:szCs w:val="44"/>
          <w:highlight w:val="none"/>
          <w:lang w:bidi="ar-SA"/>
        </w:rPr>
        <w:t>关于</w:t>
      </w:r>
      <w:r>
        <w:rPr>
          <w:rFonts w:hint="eastAsia" w:ascii="方正小标宋_GBK" w:eastAsia="方正小标宋_GBK" w:cs="方正小标宋简体"/>
          <w:color w:val="auto"/>
          <w:kern w:val="2"/>
          <w:sz w:val="44"/>
          <w:szCs w:val="44"/>
          <w:highlight w:val="none"/>
          <w:lang w:bidi="ar-SA"/>
        </w:rPr>
        <w:t>2022年</w:t>
      </w:r>
      <w:r>
        <w:rPr>
          <w:rFonts w:hint="eastAsia" w:ascii="方正小标宋_GBK" w:eastAsia="方正小标宋_GBK" w:cs="黑体"/>
          <w:color w:val="auto"/>
          <w:sz w:val="44"/>
          <w:szCs w:val="44"/>
          <w:highlight w:val="none"/>
          <w:lang w:bidi="ar-SA"/>
        </w:rPr>
        <w:t>“十四五”综合交通运输发展规划</w:t>
      </w:r>
      <w:r>
        <w:rPr>
          <w:rFonts w:hint="eastAsia" w:ascii="方正小标宋_GBK" w:eastAsia="方正小标宋_GBK" w:cs="方正小标宋简体"/>
          <w:color w:val="auto"/>
          <w:kern w:val="2"/>
          <w:sz w:val="44"/>
          <w:szCs w:val="44"/>
          <w:highlight w:val="none"/>
          <w:lang w:bidi="ar-SA"/>
        </w:rPr>
        <w:t>项目预算支出绩效的自评报告</w:t>
      </w:r>
    </w:p>
    <w:p>
      <w:pPr>
        <w:pStyle w:val="38"/>
        <w:shd w:val="clear"/>
        <w:spacing w:line="578" w:lineRule="exact"/>
        <w:ind w:firstLine="640"/>
        <w:jc w:val="center"/>
        <w:rPr>
          <w:rFonts w:hint="eastAsia" w:ascii="宋体"/>
          <w:color w:val="auto"/>
          <w:kern w:val="2"/>
          <w:sz w:val="32"/>
          <w:szCs w:val="32"/>
          <w:highlight w:val="none"/>
        </w:rPr>
      </w:pPr>
    </w:p>
    <w:p>
      <w:pPr>
        <w:shd w:val="clear"/>
        <w:adjustRightInd w:val="0"/>
        <w:snapToGrid w:val="0"/>
        <w:spacing w:line="578" w:lineRule="exact"/>
        <w:ind w:firstLine="640" w:firstLineChars="200"/>
        <w:outlineLvl w:val="1"/>
        <w:rPr>
          <w:rFonts w:hint="eastAsia" w:ascii="黑体" w:hAnsi="Times New Roman" w:eastAsia="黑体" w:cs="Times New Roman"/>
          <w:color w:val="auto"/>
          <w:sz w:val="32"/>
          <w:szCs w:val="32"/>
          <w:highlight w:val="none"/>
          <w:lang w:bidi="ar-SA"/>
        </w:rPr>
      </w:pPr>
      <w:bookmarkStart w:id="177" w:name="_Toc1243538178_WPSOffice_Level2"/>
      <w:bookmarkStart w:id="178" w:name="_Toc1878919204_WPSOffice_Level2"/>
      <w:bookmarkStart w:id="179" w:name="_Toc27701"/>
      <w:bookmarkStart w:id="180" w:name="_Toc3799"/>
      <w:r>
        <w:rPr>
          <w:rFonts w:hint="eastAsia" w:ascii="黑体" w:hAnsi="Times New Roman" w:eastAsia="黑体" w:cs="Times New Roman"/>
          <w:color w:val="auto"/>
          <w:sz w:val="32"/>
          <w:szCs w:val="32"/>
          <w:highlight w:val="none"/>
          <w:lang w:bidi="ar-SA"/>
        </w:rPr>
        <w:t>一、项目概况</w:t>
      </w:r>
      <w:bookmarkEnd w:id="177"/>
      <w:bookmarkEnd w:id="178"/>
      <w:bookmarkEnd w:id="179"/>
      <w:bookmarkEnd w:id="180"/>
    </w:p>
    <w:p>
      <w:pPr>
        <w:shd w:val="clear"/>
        <w:adjustRightInd w:val="0"/>
        <w:snapToGrid w:val="0"/>
        <w:spacing w:line="578"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（一）项目基本情况</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1．主管部门在管理中的职能。2022年，我局规划科、财务科等相关科室对“十四五”综合交通运输发展规划开展了资金预算、绩效申报和绩效运行监控、资金使用等全过程监管，确保项目管理规范、按期保质保量完成运营管理任务。</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2．项目立项、资金申报的依据。广元市“十四五”综合交通运输发展规划是《中共广元市委办公室广元市人民政府办公室关于切实做好“十四五”发展规划研究编制工作的通知》（广委办函〔2020〕2号）明确要求编制的“十四五”市级重点专项规划之一，编制费用纳入市本级一般公共预算。</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3．资金管理办法制定情况。我局财务制度健全，专门建立了《广元市交通运输局预算管理》《广元市交通运输局收支管理》等内控制度，会计核算规范，账务处理及时，资金管理和使用符合国家财经法规、各级专项资金管理办法规定和内部财务管理制度。为进一步加强主管部门在交通建设项目中的资金监管，2021年，我局和市财政局联合转发了《四川省省级财政交通专项资金管理办法》。</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4．资金分配的原则。资金分配坚持“专款专用”原则，该专项资金采用了项目分配法。我局收到资金计划后，按照“三重一大”的要求，由规划科提出使用方案报局党组会议审定，再向市财政局报送拨付函，及时将项目资金拨付给编制单位。</w:t>
      </w:r>
    </w:p>
    <w:p>
      <w:pPr>
        <w:shd w:val="clear"/>
        <w:adjustRightInd w:val="0"/>
        <w:snapToGrid w:val="0"/>
        <w:spacing w:line="578"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（二）项目绩效目标。</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1．项目主要内容。广元市“十四五”综合交通运输发展规划以全市综合交通运输系统为研究对象，包括铁路、公路、水运、航空等多种运输方式，总结“十三五”交通运输发展成就，找出交通发展中存在的问题，分析“十四五”期间面临的形势变化，研判行业发展要求和经济社会发展趋势，研究提出广元“十四五”综合交通运输发展思路、发展目标、主要任务、重大项目和保障举措。</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2．项目应实现的具体绩效目标。项目要求“十四五”综合交通运输发展规划编制完成，项目实施进度为100%，预算执行率为100%，受益群体满意度高。</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3．项目资金申报相符性和可行性。项目申报内容与实际相符，申报目标合理可行。</w:t>
      </w:r>
    </w:p>
    <w:p>
      <w:pPr>
        <w:shd w:val="clear"/>
        <w:adjustRightInd w:val="0"/>
        <w:snapToGrid w:val="0"/>
        <w:spacing w:line="578"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（三）项目自评步骤及方法。</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根据预算绩效管理要求，我局由财务科牵头，局规划科紧密配合，比照《2023年市级专项资金预算项目支出绩效评价指标体系》和年初绩效目标申报，严格执行《广元市市级预算绩效目标管理办法》规定，依据“谁申报、谁自评、谁绩效”的原则，采用成本效益分析法，对该项目产出完成、项目效益、财务管理、满意度等方面进行了认真全面的绩效自评。经自评，项目支出绩效情况良好。</w:t>
      </w: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181" w:name="_Toc27640"/>
      <w:bookmarkStart w:id="182" w:name="_Toc810421366_WPSOffice_Level2"/>
      <w:bookmarkStart w:id="183" w:name="_Toc1279607878_WPSOffice_Level2"/>
      <w:bookmarkStart w:id="184" w:name="_Toc19542"/>
      <w:r>
        <w:rPr>
          <w:rFonts w:hint="eastAsia" w:ascii="黑体" w:eastAsia="黑体" w:cs="Times New Roman"/>
          <w:color w:val="auto"/>
          <w:sz w:val="32"/>
          <w:szCs w:val="32"/>
          <w:highlight w:val="none"/>
          <w:lang w:bidi="ar-SA"/>
        </w:rPr>
        <w:t>二、项目资金申报及使用情况</w:t>
      </w:r>
      <w:bookmarkEnd w:id="181"/>
      <w:bookmarkEnd w:id="182"/>
      <w:bookmarkEnd w:id="183"/>
      <w:bookmarkEnd w:id="184"/>
    </w:p>
    <w:p>
      <w:pPr>
        <w:shd w:val="clear"/>
        <w:adjustRightInd w:val="0"/>
        <w:snapToGrid w:val="0"/>
        <w:spacing w:line="578"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（一）项目资金申报及批复情况。</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2022年8月，市财政局下达2022年“十四五”综合交通运输发展规划编制经费调整预算资金121万元。</w:t>
      </w:r>
    </w:p>
    <w:p>
      <w:pPr>
        <w:shd w:val="clear"/>
        <w:adjustRightInd w:val="0"/>
        <w:snapToGrid w:val="0"/>
        <w:spacing w:line="578"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（二）资金计划、到位及使用情况。</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1．资金计划。“十四五”综合交通运输发展规划编制经费预算金额为121万元，资金来源为市级财政一般公共预算安排。</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2．资金到位。2022年8月，市财政局下达我局“十四五”综合交通运输发展规划编制经费121万元（广财建〔2022〕74号），资金已全额到位，资金到位率为100%。</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3．资金使用。项目已达到合同约定目标，截至2022年8月，使用金额为121万元，剩余资金0元，支付进度100%。资金支付严格执行财政资金支付规定，支付依据合规合法，预算执行率100%。</w:t>
      </w:r>
    </w:p>
    <w:p>
      <w:pPr>
        <w:shd w:val="clear"/>
        <w:adjustRightInd w:val="0"/>
        <w:snapToGrid w:val="0"/>
        <w:spacing w:line="578"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（三）项目财务管理情况</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我局严格执行中、省、市相关政策规定，财务制度健全，制定了绩效管理、财务管理办法等内部控制制度，资金管理和使用符合国家财经法规、中省市有关专项资金管理办法规定。</w:t>
      </w: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185" w:name="_Toc1992314465_WPSOffice_Level2"/>
      <w:bookmarkStart w:id="186" w:name="_Toc1097616174_WPSOffice_Level2"/>
      <w:bookmarkStart w:id="187" w:name="_Toc30537"/>
      <w:bookmarkStart w:id="188" w:name="_Toc17475"/>
      <w:r>
        <w:rPr>
          <w:rFonts w:hint="eastAsia" w:ascii="黑体" w:eastAsia="黑体" w:cs="Times New Roman"/>
          <w:color w:val="auto"/>
          <w:sz w:val="32"/>
          <w:szCs w:val="32"/>
          <w:highlight w:val="none"/>
          <w:lang w:bidi="ar-SA"/>
        </w:rPr>
        <w:t>三、项目实施及管理情况</w:t>
      </w:r>
      <w:bookmarkEnd w:id="185"/>
      <w:bookmarkEnd w:id="186"/>
      <w:bookmarkEnd w:id="187"/>
      <w:bookmarkEnd w:id="188"/>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（一）项目组织架构及实施流程。</w:t>
      </w:r>
      <w:r>
        <w:rPr>
          <w:rFonts w:hint="eastAsia" w:ascii="仿宋_GB2312" w:hAnsi="Times New Roman" w:eastAsia="仿宋_GB2312" w:cs="Times New Roman"/>
          <w:color w:val="auto"/>
          <w:sz w:val="32"/>
          <w:szCs w:val="32"/>
          <w:highlight w:val="none"/>
          <w:lang w:bidi="ar-SA"/>
        </w:rPr>
        <w:t>项目组织架构为局分管领导为项目总负责人，业务科室负责人为项目具体负责人，编制单位为项目实施单位。实施流程以政府采购公开招标的方式确定编制单位、签订编制合同、开展调研编制工作、编制成果通过市政府常务会议审议并经市政府审定印发完成编制工作。</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（二）项目管理情况。</w:t>
      </w:r>
      <w:r>
        <w:rPr>
          <w:rFonts w:hint="eastAsia" w:ascii="仿宋_GB2312" w:hAnsi="Times New Roman" w:eastAsia="仿宋_GB2312" w:cs="Times New Roman"/>
          <w:color w:val="auto"/>
          <w:sz w:val="32"/>
          <w:szCs w:val="32"/>
          <w:highlight w:val="none"/>
          <w:lang w:bidi="ar-SA"/>
        </w:rPr>
        <w:t>项目严格按照政府采购有关要求，通过公开招标方式采购编制单位。项目严格按照合同约定和全市“十四五”规划编制工作总体要求，按时按质完成编制工作，并经市政府常务会议审议通过印发实施。</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（三）项目监管情况。</w:t>
      </w:r>
      <w:r>
        <w:rPr>
          <w:rFonts w:hint="eastAsia" w:ascii="仿宋_GB2312" w:hAnsi="Times New Roman" w:eastAsia="仿宋_GB2312" w:cs="Times New Roman"/>
          <w:color w:val="auto"/>
          <w:sz w:val="32"/>
          <w:szCs w:val="32"/>
          <w:highlight w:val="none"/>
          <w:lang w:bidi="ar-SA"/>
        </w:rPr>
        <w:t>严格按照相关法律法规和程序，对项目进行全过程、全方位的监督管理，努力化解风险，提高工作效率，明确规范管理，强化主体责任，严格执行合同约定，对项目实施全过程进行了目标绩效管理。</w:t>
      </w: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189" w:name="_Toc10231"/>
      <w:bookmarkStart w:id="190" w:name="_Toc8753"/>
      <w:bookmarkStart w:id="191" w:name="_Toc710470572_WPSOffice_Level2"/>
      <w:bookmarkStart w:id="192" w:name="_Toc63572484_WPSOffice_Level2"/>
      <w:r>
        <w:rPr>
          <w:rFonts w:hint="eastAsia" w:ascii="黑体" w:eastAsia="黑体" w:cs="Times New Roman"/>
          <w:color w:val="auto"/>
          <w:sz w:val="32"/>
          <w:szCs w:val="32"/>
          <w:highlight w:val="none"/>
          <w:lang w:bidi="ar-SA"/>
        </w:rPr>
        <w:t>四、项目绩效情况</w:t>
      </w:r>
      <w:bookmarkEnd w:id="189"/>
      <w:bookmarkEnd w:id="190"/>
      <w:bookmarkEnd w:id="191"/>
      <w:bookmarkEnd w:id="192"/>
      <w:r>
        <w:rPr>
          <w:rFonts w:hint="eastAsia" w:ascii="黑体" w:eastAsia="黑体" w:cs="Times New Roman"/>
          <w:color w:val="auto"/>
          <w:sz w:val="32"/>
          <w:szCs w:val="32"/>
          <w:highlight w:val="none"/>
          <w:lang w:bidi="ar-SA"/>
        </w:rPr>
        <w:tab/>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（一）项目完成情况。</w:t>
      </w:r>
      <w:r>
        <w:rPr>
          <w:rFonts w:hint="eastAsia" w:ascii="仿宋_GB2312" w:hAnsi="Times New Roman" w:eastAsia="仿宋_GB2312" w:cs="Times New Roman"/>
          <w:color w:val="auto"/>
          <w:sz w:val="32"/>
          <w:szCs w:val="32"/>
          <w:highlight w:val="none"/>
          <w:lang w:bidi="ar-SA"/>
        </w:rPr>
        <w:t>《广元市“十四五”综合交通运输发展规划》已编制完成并经市政府常务会议审议通过，以广府发〔2021〕13号文件印发实施，编制进度、质量等均符合合同约定。</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（二）项目效益情况。</w:t>
      </w:r>
      <w:r>
        <w:rPr>
          <w:rFonts w:hint="eastAsia" w:ascii="仿宋_GB2312" w:hAnsi="Times New Roman" w:eastAsia="仿宋_GB2312" w:cs="Times New Roman"/>
          <w:color w:val="auto"/>
          <w:sz w:val="32"/>
          <w:szCs w:val="32"/>
          <w:highlight w:val="none"/>
          <w:lang w:bidi="ar-SA"/>
        </w:rPr>
        <w:t>《广元市“十四五”综合交通运输发展规划》是国民经济和社会发展五年总体规划在综合交通运输领域的具体细化和落实，是统筹指导全市“十四五”时期综合交通运输高质量发展的纲领性文件。《广元市“十四五”综合交通运输发展规划》明确提出建设全国性综合交通枢纽和成渝地区北向重要门户枢纽，枢纽全面建成后将助推川陕革命老区振兴发展、乡村振兴发展，为加快川陕甘结合部现代化中心城市，加速推进通道优势向经济优势转变提供交通运输支撑，为推动交通运输绿色发展、低碳发展，对国家实现“碳达峰、碳中和”目标具有重大贡献。</w:t>
      </w: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193" w:name="_Toc1719"/>
      <w:bookmarkStart w:id="194" w:name="_Toc1947090851_WPSOffice_Level2"/>
      <w:bookmarkStart w:id="195" w:name="_Toc193628808_WPSOffice_Level2"/>
      <w:bookmarkStart w:id="196" w:name="_Toc29303"/>
      <w:r>
        <w:rPr>
          <w:rFonts w:hint="eastAsia" w:ascii="黑体" w:eastAsia="黑体" w:cs="Times New Roman"/>
          <w:color w:val="auto"/>
          <w:sz w:val="32"/>
          <w:szCs w:val="32"/>
          <w:highlight w:val="none"/>
          <w:lang w:bidi="ar-SA"/>
        </w:rPr>
        <w:t>五、评价结论及建议</w:t>
      </w:r>
      <w:bookmarkEnd w:id="193"/>
      <w:bookmarkEnd w:id="194"/>
      <w:bookmarkEnd w:id="195"/>
      <w:bookmarkEnd w:id="196"/>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该项目规划科学，决策依据充分，程序合法合规、资金到位及时拨付规范。项目支出绩效自评得分100分，其中项目决策25分、项目管理15分、项目绩效（特性指标）60分。</w:t>
      </w:r>
    </w:p>
    <w:p>
      <w:pPr>
        <w:shd w:val="clear"/>
        <w:rPr>
          <w:rFonts w:hint="default" w:hAnsi="宋体" w:cs="宋体"/>
          <w:color w:val="auto"/>
          <w:kern w:val="0"/>
          <w:sz w:val="32"/>
          <w:szCs w:val="32"/>
          <w:highlight w:val="none"/>
          <w:shd w:val="clear" w:color="auto" w:fill="FFFFFF"/>
          <w:lang w:val="en-US" w:eastAsia="zh-CN"/>
        </w:rPr>
      </w:pPr>
    </w:p>
    <w:p>
      <w:pPr>
        <w:shd w:val="clear"/>
        <w:rPr>
          <w:rFonts w:hint="default" w:hAnsi="宋体" w:cs="宋体"/>
          <w:color w:val="auto"/>
          <w:kern w:val="0"/>
          <w:sz w:val="32"/>
          <w:szCs w:val="32"/>
          <w:highlight w:val="none"/>
          <w:shd w:val="clear" w:color="auto" w:fill="FFFFFF"/>
          <w:lang w:val="en-US" w:eastAsia="zh-CN"/>
        </w:rPr>
      </w:pP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shd w:val="clea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附件5：</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shd w:val="clear"/>
        <w:adjustRightInd w:val="0"/>
        <w:spacing w:line="660" w:lineRule="exact"/>
        <w:jc w:val="center"/>
        <w:rPr>
          <w:rFonts w:hint="eastAsia" w:ascii="方正小标宋_GBK" w:eastAsia="方正小标宋_GBK" w:cs="方正小标宋简体"/>
          <w:color w:val="auto"/>
          <w:sz w:val="44"/>
          <w:szCs w:val="44"/>
          <w:highlight w:val="none"/>
          <w:lang w:bidi="ar-SA"/>
        </w:rPr>
      </w:pPr>
      <w:r>
        <w:rPr>
          <w:rFonts w:hint="eastAsia" w:ascii="方正小标宋_GBK" w:eastAsia="方正小标宋_GBK"/>
          <w:color w:val="auto"/>
          <w:kern w:val="0"/>
          <w:sz w:val="44"/>
          <w:szCs w:val="44"/>
          <w:highlight w:val="none"/>
        </w:rPr>
        <w:t>关于</w:t>
      </w:r>
      <w:r>
        <w:rPr>
          <w:rFonts w:hint="eastAsia" w:ascii="方正小标宋_GBK" w:eastAsia="方正小标宋_GBK" w:cs="方正小标宋简体"/>
          <w:color w:val="auto"/>
          <w:sz w:val="44"/>
          <w:szCs w:val="44"/>
          <w:highlight w:val="none"/>
          <w:lang w:bidi="ar-SA"/>
        </w:rPr>
        <w:t>2022年</w:t>
      </w:r>
      <w:r>
        <w:rPr>
          <w:rFonts w:hint="eastAsia" w:ascii="方正小标宋_GBK" w:eastAsia="方正小标宋_GBK"/>
          <w:color w:val="auto"/>
          <w:kern w:val="0"/>
          <w:sz w:val="44"/>
          <w:szCs w:val="44"/>
          <w:highlight w:val="none"/>
        </w:rPr>
        <w:t>传化物流项目</w:t>
      </w:r>
      <w:r>
        <w:rPr>
          <w:rFonts w:hint="eastAsia" w:ascii="方正小标宋_GBK" w:eastAsia="方正小标宋_GBK" w:cs="方正小标宋简体"/>
          <w:color w:val="auto"/>
          <w:sz w:val="44"/>
          <w:szCs w:val="44"/>
          <w:highlight w:val="none"/>
          <w:lang w:bidi="ar-SA"/>
        </w:rPr>
        <w:t>预算支出</w:t>
      </w:r>
    </w:p>
    <w:p>
      <w:pPr>
        <w:shd w:val="clear"/>
        <w:adjustRightInd w:val="0"/>
        <w:spacing w:line="660" w:lineRule="exact"/>
        <w:jc w:val="center"/>
        <w:rPr>
          <w:rFonts w:hint="eastAsia" w:ascii="方正小标宋_GBK" w:eastAsia="方正小标宋_GBK"/>
          <w:color w:val="auto"/>
          <w:kern w:val="0"/>
          <w:sz w:val="44"/>
          <w:szCs w:val="44"/>
          <w:highlight w:val="none"/>
        </w:rPr>
      </w:pPr>
      <w:r>
        <w:rPr>
          <w:rFonts w:hint="eastAsia" w:ascii="方正小标宋_GBK" w:eastAsia="方正小标宋_GBK" w:cs="方正小标宋简体"/>
          <w:color w:val="auto"/>
          <w:sz w:val="44"/>
          <w:szCs w:val="44"/>
          <w:highlight w:val="none"/>
          <w:lang w:bidi="ar-SA"/>
        </w:rPr>
        <w:t>绩效的自评报告</w:t>
      </w:r>
    </w:p>
    <w:p>
      <w:pPr>
        <w:shd w:val="clear"/>
        <w:rPr>
          <w:color w:val="auto"/>
          <w:highlight w:val="none"/>
        </w:rPr>
      </w:pP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197" w:name="_Toc2003951706_WPSOffice_Level2"/>
      <w:bookmarkStart w:id="198" w:name="_Toc7694"/>
      <w:bookmarkStart w:id="199" w:name="_Toc20962"/>
      <w:bookmarkStart w:id="200" w:name="_Toc250612691_WPSOffice_Level2"/>
      <w:r>
        <w:rPr>
          <w:rFonts w:hint="eastAsia" w:ascii="黑体" w:eastAsia="黑体" w:cs="Times New Roman"/>
          <w:color w:val="auto"/>
          <w:sz w:val="32"/>
          <w:szCs w:val="32"/>
          <w:highlight w:val="none"/>
          <w:lang w:eastAsia="zh-CN" w:bidi="ar-SA"/>
        </w:rPr>
        <w:t>一、</w:t>
      </w:r>
      <w:r>
        <w:rPr>
          <w:rFonts w:hint="eastAsia" w:ascii="黑体" w:eastAsia="黑体" w:cs="Times New Roman"/>
          <w:color w:val="auto"/>
          <w:sz w:val="32"/>
          <w:szCs w:val="32"/>
          <w:highlight w:val="none"/>
          <w:lang w:bidi="ar-SA"/>
        </w:rPr>
        <w:t>项目概况</w:t>
      </w:r>
      <w:bookmarkEnd w:id="197"/>
      <w:bookmarkEnd w:id="198"/>
      <w:bookmarkEnd w:id="199"/>
      <w:bookmarkEnd w:id="200"/>
    </w:p>
    <w:p>
      <w:pPr>
        <w:pStyle w:val="40"/>
        <w:shd w:val="clear"/>
        <w:spacing w:line="560" w:lineRule="exact"/>
        <w:ind w:left="0" w:firstLine="640" w:firstLineChars="200"/>
        <w:rPr>
          <w:rFonts w:hint="eastAsia" w:ascii="宋体" w:eastAsia="宋体"/>
          <w:color w:val="auto"/>
          <w:highlight w:val="none"/>
        </w:rPr>
      </w:pPr>
      <w:r>
        <w:rPr>
          <w:rFonts w:hint="eastAsia" w:ascii="楷体_GB2312" w:eastAsia="楷体_GB2312" w:cs="Times New Roman"/>
          <w:color w:val="auto"/>
          <w:sz w:val="32"/>
          <w:szCs w:val="32"/>
          <w:highlight w:val="none"/>
          <w:lang w:bidi="ar-SA"/>
        </w:rPr>
        <w:t>（一）项目基本情况</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val="en-US" w:eastAsia="zh-CN" w:bidi="ar-SA"/>
        </w:rPr>
        <w:t>1.</w:t>
      </w:r>
      <w:r>
        <w:rPr>
          <w:rFonts w:hint="eastAsia" w:ascii="仿宋_GB2312" w:hAnsi="Times New Roman" w:eastAsia="仿宋_GB2312" w:cs="Times New Roman"/>
          <w:color w:val="auto"/>
          <w:sz w:val="32"/>
          <w:szCs w:val="32"/>
          <w:highlight w:val="none"/>
          <w:lang w:bidi="ar-SA"/>
        </w:rPr>
        <w:t>主管部门在管理中的职能。2022年，我局规划科、运输科、财务科对传化物流项目开展了资金预算、绩效申报和绩效运行监控、资金使用等全过程监管，确保项目管理规范、按期保质保量完成运营管理任务。同时，我局作为项目主管部门，根据绩效目标，开展了项目全面绩效管理，规范资金使用、严守财经纪律，高质量发挥社会效益和经济效益。</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2．项目立项、资金申报的依据。该项目于2021年9月17日经广元市发展改革委员会广发改〔202</w:t>
      </w:r>
      <w:r>
        <w:rPr>
          <w:rFonts w:hint="eastAsia" w:ascii="仿宋_GB2312" w:hAnsi="Times New Roman" w:eastAsia="仿宋_GB2312" w:cs="Times New Roman"/>
          <w:color w:val="auto"/>
          <w:sz w:val="32"/>
          <w:szCs w:val="32"/>
          <w:highlight w:val="none"/>
          <w:lang w:val="en-US" w:eastAsia="zh-CN" w:bidi="ar-SA"/>
        </w:rPr>
        <w:t>2</w:t>
      </w:r>
      <w:r>
        <w:rPr>
          <w:rFonts w:hint="eastAsia" w:ascii="仿宋_GB2312" w:hAnsi="Times New Roman" w:eastAsia="仿宋_GB2312" w:cs="Times New Roman"/>
          <w:color w:val="auto"/>
          <w:sz w:val="32"/>
          <w:szCs w:val="32"/>
          <w:highlight w:val="none"/>
          <w:lang w:bidi="ar-SA"/>
        </w:rPr>
        <w:t>〕</w:t>
      </w:r>
      <w:r>
        <w:rPr>
          <w:rFonts w:hint="eastAsia" w:ascii="仿宋_GB2312" w:hAnsi="Times New Roman" w:eastAsia="仿宋_GB2312" w:cs="Times New Roman"/>
          <w:color w:val="auto"/>
          <w:sz w:val="32"/>
          <w:szCs w:val="32"/>
          <w:highlight w:val="none"/>
          <w:lang w:val="en-US" w:eastAsia="zh-CN" w:bidi="ar-SA"/>
        </w:rPr>
        <w:t>74</w:t>
      </w:r>
      <w:r>
        <w:rPr>
          <w:rFonts w:hint="eastAsia" w:ascii="仿宋_GB2312" w:hAnsi="Times New Roman" w:eastAsia="仿宋_GB2312" w:cs="Times New Roman"/>
          <w:color w:val="auto"/>
          <w:sz w:val="32"/>
          <w:szCs w:val="32"/>
          <w:highlight w:val="none"/>
          <w:lang w:bidi="ar-SA"/>
        </w:rPr>
        <w:t>号批复立项建设，批复估算金额98000万元，项目经费纳入市本级一般公共预算。</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3．资金管理办法制定情况。我局财务制度健全，专门建立了《广元市交通运输局预算管理》《广元市交通运输局收支管理》等内控制度，会计核算规范，账务处理及时，资金管理和使用符合国家财经法规、各级专项资金管理办法规定和内部财务管理制度。为进一步加强主管部门在交通建设项目中的资金监管，2021年，我局和市财政局联合转发了《四川省省级财政交通专项资金管理办法》。</w:t>
      </w:r>
    </w:p>
    <w:p>
      <w:pPr>
        <w:shd w:val="clear"/>
        <w:adjustRightInd w:val="0"/>
        <w:snapToGrid w:val="0"/>
        <w:spacing w:line="58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4．资金分配的原则及考虑因素。交通建设项目专项资金使用范围内除交通应急保通保畅资金，以及特定法以外的专项资金安排均采用项目法分配。我局收到资金计划后，严格按照“三重一大”内控要求，由业务科室根据实际情况按照项目法分配原则提出分配方案报局党组会议审定，再向市财政局报送拨付函，及时将项目资金拨付给市交投集团。</w:t>
      </w:r>
    </w:p>
    <w:p>
      <w:pPr>
        <w:pStyle w:val="40"/>
        <w:shd w:val="clear"/>
        <w:spacing w:line="560" w:lineRule="exact"/>
        <w:ind w:left="0"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（二）项目绩效目标</w:t>
      </w:r>
    </w:p>
    <w:p>
      <w:pPr>
        <w:shd w:val="clear"/>
        <w:adjustRightInd w:val="0"/>
        <w:snapToGrid w:val="0"/>
        <w:spacing w:line="580" w:lineRule="exact"/>
        <w:ind w:firstLine="640" w:firstLineChars="200"/>
        <w:rPr>
          <w:rFonts w:hint="eastAsia" w:ascii="仿宋_GB2312" w:eastAsia="仿宋_GB2312" w:cs="Times New Roman"/>
          <w:color w:val="auto"/>
          <w:sz w:val="32"/>
          <w:szCs w:val="32"/>
          <w:highlight w:val="none"/>
          <w:lang w:val="en-US" w:eastAsia="zh-CN" w:bidi="ar-SA"/>
        </w:rPr>
      </w:pPr>
      <w:r>
        <w:rPr>
          <w:rFonts w:hint="eastAsia" w:ascii="仿宋_GB2312" w:eastAsia="仿宋_GB2312" w:cs="Times New Roman"/>
          <w:color w:val="auto"/>
          <w:sz w:val="32"/>
          <w:szCs w:val="32"/>
          <w:highlight w:val="none"/>
          <w:lang w:val="en-US" w:eastAsia="zh-CN" w:bidi="ar-SA"/>
        </w:rPr>
        <w:t>1．项目主要内容。本项目位于广元市中心城北部（广元市京昆高速广元北下线口），传化集团负责投资60000万元建设“一中心两基地”，市交投集团负责场平工程约23600万元，其中，项目征地拆迁费6800万元，场平建安费16800万元。按照市政府与传化物流集团有限公司签订的《广元传化公路港物流枢纽项目投资合作协议》，我市负责该项目主体功能区地块“六通一平”基础设施配套，总投资约2.34亿元（其中：场平工程约1.43亿元、边坡防护工程约0.23亿元、征地拆迁约0.68亿元）,该项目由市交投集团负责组织实施。</w:t>
      </w:r>
    </w:p>
    <w:p>
      <w:pPr>
        <w:shd w:val="clear"/>
        <w:adjustRightInd w:val="0"/>
        <w:snapToGrid w:val="0"/>
        <w:spacing w:line="580" w:lineRule="exact"/>
        <w:ind w:firstLine="640" w:firstLineChars="200"/>
        <w:rPr>
          <w:rFonts w:hint="eastAsia" w:ascii="仿宋_GB2312" w:eastAsia="仿宋_GB2312" w:cs="Times New Roman"/>
          <w:color w:val="auto"/>
          <w:sz w:val="32"/>
          <w:szCs w:val="32"/>
          <w:highlight w:val="none"/>
          <w:lang w:val="en-US" w:eastAsia="zh-CN" w:bidi="ar-SA"/>
        </w:rPr>
      </w:pPr>
      <w:r>
        <w:rPr>
          <w:rFonts w:hint="eastAsia" w:ascii="仿宋_GB2312" w:eastAsia="仿宋_GB2312" w:cs="Times New Roman"/>
          <w:color w:val="auto"/>
          <w:sz w:val="32"/>
          <w:szCs w:val="32"/>
          <w:highlight w:val="none"/>
          <w:lang w:val="en-US" w:eastAsia="zh-CN" w:bidi="ar-SA"/>
        </w:rPr>
        <w:t>2．项目应实现的具体绩效目标。2022年完成项目场平工程。根据合同约定，向传化集团履行支付659万元财政奖励资金。</w:t>
      </w:r>
    </w:p>
    <w:p>
      <w:pPr>
        <w:shd w:val="clear"/>
        <w:adjustRightInd w:val="0"/>
        <w:snapToGrid w:val="0"/>
        <w:spacing w:line="580" w:lineRule="exact"/>
        <w:ind w:firstLine="640" w:firstLineChars="200"/>
        <w:rPr>
          <w:rFonts w:hint="eastAsia" w:ascii="仿宋_GB2312" w:eastAsia="仿宋_GB2312" w:cs="Times New Roman"/>
          <w:color w:val="auto"/>
          <w:sz w:val="32"/>
          <w:szCs w:val="32"/>
          <w:highlight w:val="none"/>
          <w:lang w:val="en-US" w:eastAsia="zh-CN" w:bidi="ar-SA"/>
        </w:rPr>
      </w:pPr>
      <w:r>
        <w:rPr>
          <w:rFonts w:hint="eastAsia" w:ascii="仿宋_GB2312" w:eastAsia="仿宋_GB2312" w:cs="Times New Roman"/>
          <w:color w:val="auto"/>
          <w:sz w:val="32"/>
          <w:szCs w:val="32"/>
          <w:highlight w:val="none"/>
          <w:lang w:val="en-US" w:eastAsia="zh-CN" w:bidi="ar-SA"/>
        </w:rPr>
        <w:t>3．项目资金申报相符性和可行性。项目申报内容与实际相符，申报目标合理可行。</w:t>
      </w:r>
    </w:p>
    <w:p>
      <w:pPr>
        <w:pStyle w:val="40"/>
        <w:shd w:val="clear"/>
        <w:spacing w:line="560" w:lineRule="exact"/>
        <w:ind w:left="0"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（三）项目自评步骤及方法。</w:t>
      </w:r>
    </w:p>
    <w:p>
      <w:pPr>
        <w:shd w:val="clear"/>
        <w:adjustRightInd w:val="0"/>
        <w:snapToGrid w:val="0"/>
        <w:spacing w:line="580" w:lineRule="exact"/>
        <w:ind w:firstLine="640" w:firstLineChars="200"/>
        <w:rPr>
          <w:rFonts w:hint="eastAsia" w:ascii="仿宋_GB2312" w:eastAsia="仿宋_GB2312" w:cs="Times New Roman"/>
          <w:color w:val="auto"/>
          <w:sz w:val="32"/>
          <w:szCs w:val="32"/>
          <w:highlight w:val="none"/>
          <w:lang w:val="en-US" w:eastAsia="zh-CN" w:bidi="ar-SA"/>
        </w:rPr>
      </w:pPr>
      <w:r>
        <w:rPr>
          <w:rFonts w:hint="eastAsia" w:ascii="仿宋_GB2312" w:eastAsia="仿宋_GB2312" w:cs="Times New Roman"/>
          <w:color w:val="auto"/>
          <w:sz w:val="32"/>
          <w:szCs w:val="32"/>
          <w:highlight w:val="none"/>
          <w:lang w:val="en-US" w:eastAsia="zh-CN" w:bidi="ar-SA"/>
        </w:rPr>
        <w:t>根据预算绩效管理要求，我局由财务科牵头，运输科、规划科配合，比照《2023年市级专项资金预算项目支出绩效评价指标体系》和年初绩效目标申报，严格执行《广元市市级预算绩效目标管理办法》规定，依据“谁申报、谁自评、谁绩效”的原则，采用成本效益分析法，对该项目产出完成、项目效益、财务管理、满意度等方面进行了认真全面的绩效自评。经自评，项目支出绩效情况良好。</w:t>
      </w: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201" w:name="_Toc1000707243_WPSOffice_Level2"/>
      <w:bookmarkStart w:id="202" w:name="_Toc22425"/>
      <w:bookmarkStart w:id="203" w:name="_Toc88534329_WPSOffice_Level2"/>
      <w:bookmarkStart w:id="204" w:name="_Toc27510"/>
      <w:r>
        <w:rPr>
          <w:rFonts w:hint="eastAsia" w:ascii="黑体" w:eastAsia="黑体" w:cs="Times New Roman"/>
          <w:color w:val="auto"/>
          <w:sz w:val="32"/>
          <w:szCs w:val="32"/>
          <w:highlight w:val="none"/>
          <w:lang w:bidi="ar-SA"/>
        </w:rPr>
        <w:t>二、项目资金申报及使用情况</w:t>
      </w:r>
      <w:bookmarkEnd w:id="201"/>
      <w:bookmarkEnd w:id="202"/>
      <w:bookmarkEnd w:id="203"/>
      <w:bookmarkEnd w:id="204"/>
    </w:p>
    <w:p>
      <w:pPr>
        <w:pStyle w:val="40"/>
        <w:shd w:val="clear"/>
        <w:spacing w:line="560" w:lineRule="exact"/>
        <w:ind w:left="0"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（一）项目资金申报及批复情况</w:t>
      </w:r>
    </w:p>
    <w:p>
      <w:pPr>
        <w:shd w:val="clear"/>
        <w:adjustRightInd w:val="0"/>
        <w:snapToGrid w:val="0"/>
        <w:spacing w:line="580" w:lineRule="exact"/>
        <w:ind w:firstLine="640" w:firstLineChars="200"/>
        <w:rPr>
          <w:rFonts w:hint="eastAsia" w:ascii="仿宋_GB2312" w:eastAsia="仿宋_GB2312" w:cs="Times New Roman"/>
          <w:color w:val="auto"/>
          <w:sz w:val="32"/>
          <w:szCs w:val="32"/>
          <w:highlight w:val="none"/>
          <w:lang w:val="en-US" w:eastAsia="zh-CN" w:bidi="ar-SA"/>
        </w:rPr>
      </w:pPr>
      <w:r>
        <w:rPr>
          <w:rFonts w:hint="eastAsia" w:ascii="仿宋_GB2312" w:eastAsia="仿宋_GB2312" w:cs="Times New Roman"/>
          <w:color w:val="auto"/>
          <w:sz w:val="32"/>
          <w:szCs w:val="32"/>
          <w:highlight w:val="none"/>
          <w:lang w:val="en-US" w:eastAsia="zh-CN" w:bidi="ar-SA"/>
        </w:rPr>
        <w:t>由市财政局下达传化物流场平资金调整预算资金3000万元,传化公路港物流项目奖励资金659万元。</w:t>
      </w:r>
    </w:p>
    <w:p>
      <w:pPr>
        <w:pStyle w:val="40"/>
        <w:shd w:val="clear"/>
        <w:spacing w:line="560" w:lineRule="exact"/>
        <w:ind w:left="0"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（二）资金计划、到位及使用情况。</w:t>
      </w:r>
    </w:p>
    <w:p>
      <w:pPr>
        <w:shd w:val="clear"/>
        <w:adjustRightInd w:val="0"/>
        <w:snapToGrid w:val="0"/>
        <w:spacing w:line="580" w:lineRule="exact"/>
        <w:ind w:firstLine="640" w:firstLineChars="200"/>
        <w:rPr>
          <w:rFonts w:hint="eastAsia" w:ascii="仿宋_GB2312" w:eastAsia="仿宋_GB2312" w:cs="Times New Roman"/>
          <w:color w:val="auto"/>
          <w:sz w:val="32"/>
          <w:szCs w:val="32"/>
          <w:highlight w:val="none"/>
          <w:lang w:val="en-US" w:eastAsia="zh-CN" w:bidi="ar-SA"/>
        </w:rPr>
      </w:pPr>
      <w:r>
        <w:rPr>
          <w:rFonts w:hint="eastAsia" w:ascii="仿宋_GB2312" w:eastAsia="仿宋_GB2312" w:cs="Times New Roman"/>
          <w:color w:val="auto"/>
          <w:sz w:val="32"/>
          <w:szCs w:val="32"/>
          <w:highlight w:val="none"/>
          <w:lang w:val="en-US" w:eastAsia="zh-CN" w:bidi="ar-SA"/>
        </w:rPr>
        <w:t>1．资金计划。2022年4月，市财政局下达我局传化物流场平资金1000万元（广财投〔2022〕29号）；2022年6月，市财政局下达我局传化物流奖励资金659万元（广财建〔2022〕59号）；2022年7月,市财政局下达我局传化物流场平资金1000万元（广财投〔2022〕56号）；2022年9月，市财政局下达我局传化物流场平资金1000万元（广财投〔2022〕108号），下达传化奖励及场平建设资金共3659万元，资金来源为市级财政一般公共预算安排659万元，政府性基金预算3000万元。</w:t>
      </w:r>
    </w:p>
    <w:p>
      <w:pPr>
        <w:shd w:val="clear"/>
        <w:adjustRightInd w:val="0"/>
        <w:snapToGrid w:val="0"/>
        <w:spacing w:line="580" w:lineRule="exact"/>
        <w:ind w:firstLine="640" w:firstLineChars="200"/>
        <w:rPr>
          <w:rFonts w:hint="eastAsia" w:ascii="仿宋_GB2312" w:eastAsia="仿宋_GB2312" w:cs="Times New Roman"/>
          <w:color w:val="auto"/>
          <w:sz w:val="32"/>
          <w:szCs w:val="32"/>
          <w:highlight w:val="none"/>
          <w:lang w:val="en-US" w:eastAsia="zh-CN" w:bidi="ar-SA"/>
        </w:rPr>
      </w:pPr>
      <w:r>
        <w:rPr>
          <w:rFonts w:hint="eastAsia" w:ascii="仿宋_GB2312" w:eastAsia="仿宋_GB2312" w:cs="Times New Roman"/>
          <w:color w:val="auto"/>
          <w:sz w:val="32"/>
          <w:szCs w:val="32"/>
          <w:highlight w:val="none"/>
          <w:lang w:val="en-US" w:eastAsia="zh-CN" w:bidi="ar-SA"/>
        </w:rPr>
        <w:t>2．资金到位。传化物流场平资金预算金额为3000万元，项目奖励资金659万元,共3659万元。资金已全额到位，资金到位率为100%。</w:t>
      </w:r>
    </w:p>
    <w:p>
      <w:pPr>
        <w:shd w:val="clear"/>
        <w:adjustRightInd w:val="0"/>
        <w:snapToGrid w:val="0"/>
        <w:spacing w:line="580" w:lineRule="exact"/>
        <w:ind w:firstLine="640" w:firstLineChars="200"/>
        <w:rPr>
          <w:rFonts w:hint="eastAsia" w:ascii="仿宋_GB2312" w:eastAsia="仿宋_GB2312" w:cs="Times New Roman"/>
          <w:color w:val="auto"/>
          <w:sz w:val="32"/>
          <w:szCs w:val="32"/>
          <w:highlight w:val="none"/>
          <w:lang w:val="en-US" w:eastAsia="zh-CN" w:bidi="ar-SA"/>
        </w:rPr>
      </w:pPr>
      <w:r>
        <w:rPr>
          <w:rFonts w:hint="eastAsia" w:ascii="仿宋_GB2312" w:eastAsia="仿宋_GB2312" w:cs="Times New Roman"/>
          <w:color w:val="auto"/>
          <w:sz w:val="32"/>
          <w:szCs w:val="32"/>
          <w:highlight w:val="none"/>
          <w:lang w:val="en-US" w:eastAsia="zh-CN" w:bidi="ar-SA"/>
        </w:rPr>
        <w:t>3．资金使用。截至2022年12月，使用金额为3659万元，剩余资金0元，支付进度100%。资金支付严格遵循财政资金支付规定，支付依据合规合法，预算执行率100%。</w:t>
      </w:r>
    </w:p>
    <w:p>
      <w:pPr>
        <w:pStyle w:val="40"/>
        <w:shd w:val="clear"/>
        <w:spacing w:line="560" w:lineRule="exact"/>
        <w:ind w:left="0"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（三）项目财务管理情况。</w:t>
      </w:r>
    </w:p>
    <w:p>
      <w:pPr>
        <w:shd w:val="clear"/>
        <w:adjustRightInd w:val="0"/>
        <w:snapToGrid w:val="0"/>
        <w:spacing w:line="580" w:lineRule="exact"/>
        <w:ind w:firstLine="640" w:firstLineChars="200"/>
        <w:rPr>
          <w:rFonts w:hint="eastAsia" w:ascii="仿宋_GB2312" w:eastAsia="仿宋_GB2312" w:cs="Times New Roman"/>
          <w:color w:val="auto"/>
          <w:sz w:val="32"/>
          <w:szCs w:val="32"/>
          <w:highlight w:val="none"/>
          <w:lang w:val="en-US" w:eastAsia="zh-CN" w:bidi="ar-SA"/>
        </w:rPr>
      </w:pPr>
      <w:r>
        <w:rPr>
          <w:rFonts w:hint="eastAsia" w:ascii="仿宋_GB2312" w:eastAsia="仿宋_GB2312" w:cs="Times New Roman"/>
          <w:color w:val="auto"/>
          <w:sz w:val="32"/>
          <w:szCs w:val="32"/>
          <w:highlight w:val="none"/>
          <w:lang w:val="en-US" w:eastAsia="zh-CN" w:bidi="ar-SA"/>
        </w:rPr>
        <w:t>我局严格执行中、省、市相关政策规定，财务制度健全，制定了绩效管理、财务管理办法等内部控制制度，资金管理和使用符合国家财经法规、中省市有关专项资金管理办法规定。</w:t>
      </w: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205" w:name="_Toc2024359844_WPSOffice_Level2"/>
      <w:bookmarkStart w:id="206" w:name="_Toc23676"/>
      <w:bookmarkStart w:id="207" w:name="_Toc32354"/>
      <w:bookmarkStart w:id="208" w:name="_Toc610123077_WPSOffice_Level2"/>
      <w:r>
        <w:rPr>
          <w:rFonts w:hint="eastAsia" w:ascii="黑体" w:eastAsia="黑体" w:cs="Times New Roman"/>
          <w:color w:val="auto"/>
          <w:sz w:val="32"/>
          <w:szCs w:val="32"/>
          <w:highlight w:val="none"/>
          <w:lang w:bidi="ar-SA"/>
        </w:rPr>
        <w:t>三、项目实施及管理情况</w:t>
      </w:r>
      <w:bookmarkEnd w:id="205"/>
      <w:bookmarkEnd w:id="206"/>
      <w:bookmarkEnd w:id="207"/>
      <w:bookmarkEnd w:id="208"/>
    </w:p>
    <w:p>
      <w:pPr>
        <w:shd w:val="clear"/>
        <w:adjustRightInd w:val="0"/>
        <w:snapToGrid w:val="0"/>
        <w:spacing w:line="580" w:lineRule="exact"/>
        <w:ind w:firstLine="640" w:firstLineChars="200"/>
        <w:rPr>
          <w:rFonts w:hint="eastAsia" w:ascii="仿宋_GB2312" w:eastAsia="仿宋_GB2312" w:cs="Times New Roman"/>
          <w:color w:val="auto"/>
          <w:sz w:val="32"/>
          <w:szCs w:val="32"/>
          <w:highlight w:val="none"/>
          <w:lang w:val="en-US" w:eastAsia="zh-CN" w:bidi="ar-SA"/>
        </w:rPr>
      </w:pPr>
      <w:r>
        <w:rPr>
          <w:rFonts w:hint="eastAsia" w:ascii="仿宋_GB2312" w:eastAsia="仿宋_GB2312" w:cs="Times New Roman"/>
          <w:color w:val="auto"/>
          <w:sz w:val="32"/>
          <w:szCs w:val="32"/>
          <w:highlight w:val="none"/>
          <w:lang w:val="en-US" w:eastAsia="zh-CN" w:bidi="ar-SA"/>
        </w:rPr>
        <w:t>广元传化物流项目场平工程由市交投集团组织实施，由交投集团成立项目指挥部具体负责现场管理。广元传化物流项目“一中心两基地”主体工程由传化集团组织实施，由传化集团成立项目指挥部具体负责现场管理。我局严格按照相关法律法规和程序，对项目进行全过程、全方位的监督管理，努力化解风险，提高工作效率，对项目实施全过程进行目标绩效管理。</w:t>
      </w: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209" w:name="_Toc435397120_WPSOffice_Level2"/>
      <w:bookmarkStart w:id="210" w:name="_Toc29667"/>
      <w:bookmarkStart w:id="211" w:name="_Toc860992420_WPSOffice_Level2"/>
      <w:bookmarkStart w:id="212" w:name="_Toc17898"/>
      <w:r>
        <w:rPr>
          <w:rFonts w:hint="eastAsia" w:ascii="黑体" w:eastAsia="黑体" w:cs="Times New Roman"/>
          <w:color w:val="auto"/>
          <w:sz w:val="32"/>
          <w:szCs w:val="32"/>
          <w:highlight w:val="none"/>
          <w:lang w:bidi="ar-SA"/>
        </w:rPr>
        <w:t>四、项目绩效情况</w:t>
      </w:r>
      <w:bookmarkEnd w:id="209"/>
      <w:bookmarkEnd w:id="210"/>
      <w:bookmarkEnd w:id="211"/>
      <w:bookmarkEnd w:id="212"/>
      <w:r>
        <w:rPr>
          <w:rFonts w:hint="eastAsia" w:ascii="黑体" w:eastAsia="黑体" w:cs="Times New Roman"/>
          <w:color w:val="auto"/>
          <w:sz w:val="32"/>
          <w:szCs w:val="32"/>
          <w:highlight w:val="none"/>
          <w:lang w:bidi="ar-SA"/>
        </w:rPr>
        <w:tab/>
      </w:r>
    </w:p>
    <w:p>
      <w:pPr>
        <w:pStyle w:val="40"/>
        <w:shd w:val="clear"/>
        <w:spacing w:line="560" w:lineRule="exact"/>
        <w:ind w:left="0"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（一）项目完成情况。</w:t>
      </w:r>
    </w:p>
    <w:p>
      <w:pPr>
        <w:shd w:val="clear"/>
        <w:adjustRightInd w:val="0"/>
        <w:snapToGrid w:val="0"/>
        <w:spacing w:line="580" w:lineRule="exact"/>
        <w:ind w:firstLine="640" w:firstLineChars="200"/>
        <w:rPr>
          <w:rFonts w:hint="eastAsia" w:ascii="仿宋_GB2312" w:eastAsia="仿宋_GB2312" w:cs="Times New Roman"/>
          <w:color w:val="auto"/>
          <w:sz w:val="32"/>
          <w:szCs w:val="32"/>
          <w:highlight w:val="none"/>
          <w:lang w:val="en-US" w:eastAsia="zh-CN" w:bidi="ar-SA"/>
        </w:rPr>
      </w:pPr>
      <w:r>
        <w:rPr>
          <w:rFonts w:hint="eastAsia" w:ascii="仿宋_GB2312" w:eastAsia="仿宋_GB2312" w:cs="Times New Roman"/>
          <w:color w:val="auto"/>
          <w:sz w:val="32"/>
          <w:szCs w:val="32"/>
          <w:highlight w:val="none"/>
          <w:lang w:val="en-US" w:eastAsia="zh-CN" w:bidi="ar-SA"/>
        </w:rPr>
        <w:t>截至2022年12月，传化场平工程累计完成投资1.947亿元，其中建安投资1.267亿元，于2022年9月22日完成交工初步验收。</w:t>
      </w:r>
    </w:p>
    <w:p>
      <w:pPr>
        <w:pStyle w:val="40"/>
        <w:shd w:val="clear"/>
        <w:spacing w:line="560" w:lineRule="exact"/>
        <w:ind w:left="0"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（二）项目效益情况。</w:t>
      </w:r>
    </w:p>
    <w:p>
      <w:pPr>
        <w:shd w:val="clear"/>
        <w:adjustRightInd w:val="0"/>
        <w:snapToGrid w:val="0"/>
        <w:spacing w:line="580" w:lineRule="exact"/>
        <w:ind w:firstLine="640" w:firstLineChars="200"/>
        <w:rPr>
          <w:rFonts w:hint="eastAsia" w:ascii="仿宋_GB2312" w:eastAsia="仿宋_GB2312" w:cs="Times New Roman"/>
          <w:color w:val="auto"/>
          <w:sz w:val="32"/>
          <w:szCs w:val="32"/>
          <w:highlight w:val="none"/>
          <w:lang w:val="en-US" w:eastAsia="zh-CN" w:bidi="ar-SA"/>
        </w:rPr>
      </w:pPr>
      <w:r>
        <w:rPr>
          <w:rFonts w:hint="eastAsia" w:ascii="仿宋_GB2312" w:eastAsia="仿宋_GB2312" w:cs="Times New Roman"/>
          <w:color w:val="auto"/>
          <w:sz w:val="32"/>
          <w:szCs w:val="32"/>
          <w:highlight w:val="none"/>
          <w:lang w:val="en-US" w:eastAsia="zh-CN" w:bidi="ar-SA"/>
        </w:rPr>
        <w:t>本项目适应交通发展需求，项目达产后将改善区域环境及周边经济发展，预计创造就业岗位3000个以上，有助于改善本地区的就业形势，有利于本地区人才回流。</w:t>
      </w:r>
    </w:p>
    <w:p>
      <w:pPr>
        <w:shd w:val="clear"/>
        <w:overflowPunct w:val="0"/>
        <w:autoSpaceDE w:val="0"/>
        <w:autoSpaceDN w:val="0"/>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213" w:name="_Toc27013"/>
      <w:bookmarkStart w:id="214" w:name="_Toc13007"/>
      <w:bookmarkStart w:id="215" w:name="_Toc1371064350_WPSOffice_Level2"/>
      <w:bookmarkStart w:id="216" w:name="_Toc1416977312_WPSOffice_Level2"/>
      <w:r>
        <w:rPr>
          <w:rFonts w:hint="eastAsia" w:ascii="黑体" w:eastAsia="黑体" w:cs="Times New Roman"/>
          <w:color w:val="auto"/>
          <w:sz w:val="32"/>
          <w:szCs w:val="32"/>
          <w:highlight w:val="none"/>
          <w:lang w:bidi="ar-SA"/>
        </w:rPr>
        <w:t>五、评价结论及建议</w:t>
      </w:r>
      <w:bookmarkEnd w:id="213"/>
      <w:bookmarkEnd w:id="214"/>
      <w:bookmarkEnd w:id="215"/>
      <w:bookmarkEnd w:id="216"/>
    </w:p>
    <w:p>
      <w:pPr>
        <w:shd w:val="clear"/>
        <w:adjustRightInd w:val="0"/>
        <w:snapToGrid w:val="0"/>
        <w:spacing w:line="580" w:lineRule="exact"/>
        <w:ind w:firstLine="640" w:firstLineChars="200"/>
        <w:rPr>
          <w:rFonts w:hint="eastAsia" w:ascii="仿宋_GB2312" w:eastAsia="仿宋_GB2312" w:cs="Times New Roman"/>
          <w:color w:val="auto"/>
          <w:sz w:val="32"/>
          <w:szCs w:val="32"/>
          <w:highlight w:val="none"/>
          <w:lang w:val="en-US" w:eastAsia="zh-CN" w:bidi="ar-SA"/>
        </w:rPr>
      </w:pPr>
      <w:r>
        <w:rPr>
          <w:rFonts w:hint="eastAsia" w:ascii="仿宋_GB2312" w:eastAsia="仿宋_GB2312" w:cs="Times New Roman"/>
          <w:color w:val="auto"/>
          <w:sz w:val="32"/>
          <w:szCs w:val="32"/>
          <w:highlight w:val="none"/>
          <w:lang w:val="en-US" w:eastAsia="zh-CN" w:bidi="ar-SA"/>
        </w:rPr>
        <w:t>该项目规划科学，决策依据充分，程序合法合规、资金到位及时拨付规范。项目支出绩效自评得分100分，其中项目决策25分、项目管理15分、项目绩效（特性指标）60分。</w:t>
      </w:r>
    </w:p>
    <w:p>
      <w:pPr>
        <w:shd w:val="clear"/>
        <w:adjustRightInd w:val="0"/>
        <w:snapToGrid w:val="0"/>
        <w:spacing w:line="580" w:lineRule="exact"/>
        <w:rPr>
          <w:rFonts w:hint="default" w:ascii="仿宋_GB2312" w:eastAsia="仿宋_GB2312" w:cs="Times New Roman"/>
          <w:color w:val="auto"/>
          <w:sz w:val="32"/>
          <w:szCs w:val="32"/>
          <w:highlight w:val="none"/>
          <w:lang w:val="en-US" w:eastAsia="zh-CN" w:bidi="ar-SA"/>
        </w:rPr>
      </w:pPr>
      <w:r>
        <w:rPr>
          <w:rFonts w:hint="default" w:ascii="仿宋_GB2312" w:eastAsia="仿宋_GB2312" w:cs="Times New Roman"/>
          <w:color w:val="auto"/>
          <w:sz w:val="32"/>
          <w:szCs w:val="32"/>
          <w:highlight w:val="none"/>
          <w:lang w:val="en-US" w:eastAsia="zh-CN" w:bidi="ar-SA"/>
        </w:rPr>
        <w:br w:type="page"/>
      </w:r>
    </w:p>
    <w:p>
      <w:pPr>
        <w:widowControl w:val="0"/>
        <w:shd w:val="clear"/>
        <w:spacing w:line="576" w:lineRule="exact"/>
        <w:jc w:val="left"/>
        <w:rPr>
          <w:rFonts w:hint="default"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附件6：</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widowControl w:val="0"/>
        <w:shd w:val="clear"/>
        <w:spacing w:line="576" w:lineRule="exact"/>
        <w:jc w:val="center"/>
        <w:rPr>
          <w:rFonts w:hint="eastAsia" w:ascii="楷体_GB2312" w:hAnsi="??" w:eastAsia="楷体_GB2312" w:cs="Times New Roman"/>
          <w:color w:val="auto"/>
          <w:kern w:val="2"/>
          <w:sz w:val="32"/>
          <w:szCs w:val="32"/>
          <w:highlight w:val="none"/>
          <w:lang w:val="en-US" w:eastAsia="zh-CN" w:bidi="ar-SA"/>
        </w:rPr>
      </w:pPr>
      <w:r>
        <w:rPr>
          <w:rFonts w:hint="eastAsia" w:ascii="方正小标宋简体" w:hAnsi="??" w:eastAsia="方正小标宋简体" w:cs="Times New Roman"/>
          <w:color w:val="auto"/>
          <w:kern w:val="2"/>
          <w:sz w:val="44"/>
          <w:szCs w:val="44"/>
          <w:highlight w:val="none"/>
          <w:lang w:val="en-US" w:eastAsia="zh-CN" w:bidi="ar-SA"/>
        </w:rPr>
        <w:t>关于2022年广元至平武高速公路项目预算支出绩效的自评报告</w:t>
      </w:r>
    </w:p>
    <w:p>
      <w:pPr>
        <w:shd w:val="clear"/>
        <w:adjustRightInd w:val="0"/>
        <w:snapToGrid w:val="0"/>
        <w:spacing w:line="576" w:lineRule="exact"/>
        <w:ind w:firstLine="640" w:firstLineChars="200"/>
        <w:rPr>
          <w:rFonts w:hint="eastAsia" w:ascii="黑体" w:eastAsia="黑体" w:cs="Times New Roman"/>
          <w:color w:val="auto"/>
          <w:sz w:val="32"/>
          <w:szCs w:val="32"/>
          <w:highlight w:val="none"/>
          <w:lang w:bidi="ar-SA"/>
        </w:rPr>
      </w:pPr>
    </w:p>
    <w:p>
      <w:pPr>
        <w:shd w:val="clear"/>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217" w:name="_Toc1103887339_WPSOffice_Level2"/>
      <w:bookmarkStart w:id="218" w:name="_Toc9055"/>
      <w:bookmarkStart w:id="219" w:name="_Toc1440336988_WPSOffice_Level2"/>
      <w:bookmarkStart w:id="220" w:name="_Toc31812"/>
      <w:r>
        <w:rPr>
          <w:rFonts w:hint="eastAsia" w:ascii="黑体" w:eastAsia="黑体" w:cs="Times New Roman"/>
          <w:color w:val="auto"/>
          <w:sz w:val="32"/>
          <w:szCs w:val="32"/>
          <w:highlight w:val="none"/>
          <w:lang w:bidi="ar-SA"/>
        </w:rPr>
        <w:t>一、项目概况</w:t>
      </w:r>
      <w:bookmarkEnd w:id="217"/>
      <w:bookmarkEnd w:id="218"/>
      <w:bookmarkEnd w:id="219"/>
      <w:bookmarkEnd w:id="220"/>
    </w:p>
    <w:p>
      <w:pPr>
        <w:shd w:val="clear"/>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（一）项目基本情况</w:t>
      </w:r>
    </w:p>
    <w:p>
      <w:pPr>
        <w:shd w:val="clear"/>
        <w:adjustRightInd w:val="0"/>
        <w:snapToGrid w:val="0"/>
        <w:spacing w:line="540" w:lineRule="exact"/>
        <w:ind w:firstLine="640" w:firstLineChars="200"/>
        <w:rPr>
          <w:rFonts w:hint="eastAsia" w:ascii="仿宋_GB2312" w:eastAsia="仿宋_GB2312" w:cs="仿宋"/>
          <w:color w:val="auto"/>
          <w:sz w:val="32"/>
          <w:szCs w:val="32"/>
          <w:highlight w:val="none"/>
          <w:lang w:bidi="ar-SA"/>
        </w:rPr>
      </w:pPr>
      <w:r>
        <w:rPr>
          <w:rFonts w:hint="eastAsia" w:ascii="仿宋_GB2312" w:eastAsia="仿宋_GB2312" w:cs="仿宋"/>
          <w:color w:val="auto"/>
          <w:sz w:val="32"/>
          <w:szCs w:val="32"/>
          <w:highlight w:val="none"/>
          <w:lang w:bidi="ar-SA"/>
        </w:rPr>
        <w:t>1．主管部门管理职能。我局作为广元至平武高速公路项目行业主管部门，根据绩效目标要求，局规划科、建管科、财务科对该项目预算编制、建设程序、实施进度、项目质量、资金使用及财务管理等进行了全程监管，确保项目管理规范、建设顺利实施，按期完成建设任务，高质量完成年初设定的绩效目标。</w:t>
      </w:r>
    </w:p>
    <w:p>
      <w:pPr>
        <w:shd w:val="clear"/>
        <w:spacing w:line="540" w:lineRule="exact"/>
        <w:ind w:firstLine="640" w:firstLineChars="200"/>
        <w:rPr>
          <w:rFonts w:hint="eastAsia" w:ascii="仿宋_GB2312" w:eastAsia="仿宋_GB2312" w:cs="AR PL UKai CN"/>
          <w:color w:val="auto"/>
          <w:kern w:val="0"/>
          <w:sz w:val="32"/>
          <w:szCs w:val="32"/>
          <w:highlight w:val="none"/>
        </w:rPr>
      </w:pPr>
      <w:r>
        <w:rPr>
          <w:rFonts w:hint="eastAsia" w:ascii="仿宋_GB2312" w:eastAsia="仿宋_GB2312" w:cs="仿宋"/>
          <w:color w:val="auto"/>
          <w:sz w:val="32"/>
          <w:szCs w:val="32"/>
          <w:highlight w:val="none"/>
          <w:lang w:bidi="ar-SA"/>
        </w:rPr>
        <w:t>2．项目立项、资金申报的依据。2017年4月，省</w:t>
      </w:r>
      <w:r>
        <w:rPr>
          <w:rFonts w:hint="eastAsia" w:ascii="仿宋_GB2312" w:eastAsia="仿宋_GB2312" w:cs="AR PL UKai CN"/>
          <w:color w:val="auto"/>
          <w:kern w:val="0"/>
          <w:sz w:val="32"/>
          <w:szCs w:val="32"/>
          <w:highlight w:val="none"/>
        </w:rPr>
        <w:t>发展和改革委员会《关于广元至平武高速公路工程可行性研究报告的批复》（川发改基础〔2017〕147号）批准</w:t>
      </w:r>
      <w:r>
        <w:rPr>
          <w:rFonts w:hint="eastAsia" w:ascii="仿宋_GB2312" w:hAnsi="仿宋_GB2312" w:eastAsia="宋体" w:cs="仿宋_GB2312"/>
          <w:color w:val="auto"/>
          <w:kern w:val="0"/>
          <w:sz w:val="32"/>
          <w:szCs w:val="32"/>
          <w:highlight w:val="none"/>
          <w:lang w:bidi="ar-SA"/>
        </w:rPr>
        <w:t>该项目</w:t>
      </w:r>
      <w:r>
        <w:rPr>
          <w:rFonts w:hint="eastAsia" w:ascii="仿宋_GB2312" w:eastAsia="仿宋_GB2312" w:cs="AR PL UKai CN"/>
          <w:color w:val="auto"/>
          <w:kern w:val="0"/>
          <w:sz w:val="32"/>
          <w:szCs w:val="32"/>
          <w:highlight w:val="none"/>
        </w:rPr>
        <w:t>建设，批复总投资131.74亿元。2019年7月</w:t>
      </w:r>
      <w:r>
        <w:rPr>
          <w:rFonts w:hint="eastAsia" w:ascii="仿宋_GB2312" w:hAnsi="仿宋_GB2312" w:eastAsia="宋体" w:cs="仿宋_GB2312"/>
          <w:color w:val="auto"/>
          <w:kern w:val="0"/>
          <w:sz w:val="32"/>
          <w:szCs w:val="32"/>
          <w:highlight w:val="none"/>
          <w:lang w:bidi="ar-SA"/>
        </w:rPr>
        <w:t>，</w:t>
      </w:r>
      <w:r>
        <w:rPr>
          <w:rFonts w:hint="eastAsia" w:ascii="仿宋_GB2312" w:eastAsia="仿宋_GB2312" w:cs="AR PL UKai CN"/>
          <w:color w:val="auto"/>
          <w:kern w:val="0"/>
          <w:sz w:val="32"/>
          <w:szCs w:val="32"/>
          <w:highlight w:val="none"/>
        </w:rPr>
        <w:t>省交通运输厅《关于广元至平武高速公路两阶段施工图设计的批复》（川交函〔2019〕433号）批复施工图设计，预算总投资140.29亿元，其中</w:t>
      </w:r>
      <w:r>
        <w:rPr>
          <w:rFonts w:hint="eastAsia" w:ascii="仿宋_GB2312" w:hAnsi="仿宋_GB2312" w:eastAsia="宋体" w:cs="仿宋_GB2312"/>
          <w:color w:val="auto"/>
          <w:kern w:val="0"/>
          <w:sz w:val="32"/>
          <w:szCs w:val="32"/>
          <w:highlight w:val="none"/>
          <w:lang w:bidi="ar-SA"/>
        </w:rPr>
        <w:t>，</w:t>
      </w:r>
      <w:r>
        <w:rPr>
          <w:rFonts w:hint="eastAsia" w:ascii="仿宋_GB2312" w:eastAsia="仿宋_GB2312" w:cs="AR PL UKai CN"/>
          <w:color w:val="auto"/>
          <w:kern w:val="0"/>
          <w:sz w:val="32"/>
          <w:szCs w:val="32"/>
          <w:highlight w:val="none"/>
        </w:rPr>
        <w:t>建安费108.37亿元。</w:t>
      </w:r>
    </w:p>
    <w:p>
      <w:pPr>
        <w:shd w:val="clear"/>
        <w:overflowPunct w:val="0"/>
        <w:adjustRightInd w:val="0"/>
        <w:snapToGrid w:val="0"/>
        <w:spacing w:line="540" w:lineRule="exact"/>
        <w:ind w:firstLine="640" w:firstLineChars="200"/>
        <w:rPr>
          <w:rFonts w:hint="eastAsia" w:ascii="仿宋_GB2312" w:eastAsia="仿宋_GB2312" w:cs="仿宋"/>
          <w:color w:val="auto"/>
          <w:kern w:val="0"/>
          <w:sz w:val="32"/>
          <w:szCs w:val="32"/>
          <w:highlight w:val="none"/>
          <w:lang w:bidi="ar-SA"/>
        </w:rPr>
      </w:pPr>
      <w:r>
        <w:rPr>
          <w:rFonts w:hint="eastAsia" w:ascii="仿宋_GB2312" w:eastAsia="仿宋_GB2312" w:cs="AR PL UKai CN"/>
          <w:color w:val="auto"/>
          <w:kern w:val="0"/>
          <w:sz w:val="32"/>
          <w:szCs w:val="32"/>
          <w:highlight w:val="none"/>
        </w:rPr>
        <w:t>3．资金管理办法制定情况。</w:t>
      </w:r>
      <w:r>
        <w:rPr>
          <w:rFonts w:hint="eastAsia" w:ascii="仿宋_GB2312" w:eastAsia="仿宋_GB2312" w:cs="仿宋"/>
          <w:color w:val="auto"/>
          <w:kern w:val="0"/>
          <w:sz w:val="32"/>
          <w:szCs w:val="32"/>
          <w:highlight w:val="none"/>
          <w:lang w:bidi="ar-SA"/>
        </w:rPr>
        <w:t>我局财务制度健全，专门建立了《广元市交通运输局预算管理》《广元市交通运输局收支管理》等内控制度，会计核算规范，账务处理及时，资金管理和使用符合国家财经法规、各级专项资金管理办法规定和内部财务管理制度。为进一步加强主管部门在交通建设项目中的资金监管，2021年，我局和市财政局联合转发了《四川省省级财政交通专项资金管理办法》。</w:t>
      </w:r>
    </w:p>
    <w:p>
      <w:pPr>
        <w:shd w:val="clear"/>
        <w:adjustRightInd w:val="0"/>
        <w:snapToGrid w:val="0"/>
        <w:spacing w:line="540" w:lineRule="exact"/>
        <w:ind w:firstLine="640" w:firstLineChars="200"/>
        <w:rPr>
          <w:rFonts w:hint="eastAsia" w:ascii="仿宋_GB2312" w:eastAsia="仿宋_GB2312" w:cs="仿宋"/>
          <w:color w:val="auto"/>
          <w:sz w:val="32"/>
          <w:szCs w:val="32"/>
          <w:highlight w:val="none"/>
          <w:lang w:bidi="ar-SA"/>
        </w:rPr>
      </w:pPr>
      <w:r>
        <w:rPr>
          <w:rFonts w:hint="eastAsia" w:ascii="仿宋_GB2312" w:eastAsia="仿宋_GB2312" w:cs="仿宋"/>
          <w:color w:val="auto"/>
          <w:sz w:val="32"/>
          <w:szCs w:val="32"/>
          <w:highlight w:val="none"/>
          <w:lang w:bidi="ar-SA"/>
        </w:rPr>
        <w:t>4．资金分配的原则及考虑因素。</w:t>
      </w:r>
      <w:r>
        <w:rPr>
          <w:rFonts w:hint="eastAsia" w:ascii="仿宋_GB2312" w:eastAsia="仿宋_GB2312" w:cs="AR PL UKai CN"/>
          <w:color w:val="auto"/>
          <w:sz w:val="32"/>
          <w:szCs w:val="32"/>
          <w:highlight w:val="none"/>
        </w:rPr>
        <w:t>资金分配坚持“专款专用”原则，</w:t>
      </w:r>
      <w:r>
        <w:rPr>
          <w:rFonts w:hint="eastAsia" w:ascii="仿宋_GB2312" w:eastAsia="仿宋_GB2312" w:cs="仿宋"/>
          <w:color w:val="auto"/>
          <w:sz w:val="32"/>
          <w:szCs w:val="32"/>
          <w:highlight w:val="none"/>
          <w:lang w:bidi="ar-SA"/>
        </w:rPr>
        <w:t>该专项资金采用了项目分配法。我局收到资金计划后，严格按照“三重一大”内控要求，由规划科、建管科根据项目形象进度和投资完成情况提出分配方案报局党组会议审定，再向市财政局报送拨付函，及时将项目资金拨付给相关单位。</w:t>
      </w:r>
    </w:p>
    <w:p>
      <w:pPr>
        <w:shd w:val="clear"/>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（二）项目绩效目标</w:t>
      </w:r>
    </w:p>
    <w:p>
      <w:pPr>
        <w:shd w:val="clear"/>
        <w:spacing w:line="540" w:lineRule="exact"/>
        <w:ind w:firstLine="640" w:firstLineChars="200"/>
        <w:rPr>
          <w:rFonts w:hint="eastAsia" w:ascii="仿宋_GB2312" w:eastAsia="仿宋_GB2312" w:cs="AR PL UKai CN"/>
          <w:color w:val="auto"/>
          <w:kern w:val="0"/>
          <w:sz w:val="32"/>
          <w:szCs w:val="32"/>
          <w:highlight w:val="none"/>
        </w:rPr>
      </w:pPr>
      <w:r>
        <w:rPr>
          <w:rFonts w:hint="eastAsia" w:ascii="仿宋_GB2312" w:eastAsia="仿宋_GB2312" w:cs="AR PL UKai CN"/>
          <w:color w:val="auto"/>
          <w:kern w:val="0"/>
          <w:sz w:val="32"/>
          <w:szCs w:val="32"/>
          <w:highlight w:val="none"/>
        </w:rPr>
        <w:t>1．项目主要内容。项目起于青川县骑马乡，与广甘高速相交。路线全长89.776公里，全线共设置互通式立交8处、桥梁25697.32米/115座（包含互通区主线桥）、涵洞及通道64道、隧道18座。停车区1处、服务区1处、养护工区2处、匝道收费站6处。全线占用土地6170.75亩。采用设计速度80公里/小时、双向四车道高速公路技术标准建设。</w:t>
      </w:r>
    </w:p>
    <w:p>
      <w:pPr>
        <w:shd w:val="clear"/>
        <w:spacing w:line="540" w:lineRule="exact"/>
        <w:ind w:firstLine="640" w:firstLineChars="200"/>
        <w:rPr>
          <w:rFonts w:hint="eastAsia" w:ascii="仿宋_GB2312" w:eastAsia="仿宋_GB2312" w:cs="AR PL UKai CN"/>
          <w:color w:val="auto"/>
          <w:kern w:val="0"/>
          <w:sz w:val="32"/>
          <w:szCs w:val="32"/>
          <w:highlight w:val="none"/>
        </w:rPr>
      </w:pPr>
      <w:r>
        <w:rPr>
          <w:rFonts w:hint="eastAsia" w:ascii="仿宋_GB2312" w:eastAsia="仿宋_GB2312" w:cs="AR PL UKai CN"/>
          <w:color w:val="auto"/>
          <w:kern w:val="0"/>
          <w:sz w:val="32"/>
          <w:szCs w:val="32"/>
          <w:highlight w:val="none"/>
        </w:rPr>
        <w:t>2．项目绩效目标。按省交通运输厅下达的2022年度投资目标任务，广平高速公路项目本年度完成投资16.08亿元，占年度任务目标16亿元的100.50%。</w:t>
      </w:r>
    </w:p>
    <w:p>
      <w:pPr>
        <w:shd w:val="clear"/>
        <w:spacing w:line="540" w:lineRule="exact"/>
        <w:ind w:firstLine="640" w:firstLineChars="200"/>
        <w:rPr>
          <w:rFonts w:hint="eastAsia" w:ascii="仿宋_GB2312" w:eastAsia="仿宋_GB2312" w:cs="AR PL UKai CN"/>
          <w:color w:val="auto"/>
          <w:sz w:val="32"/>
          <w:szCs w:val="32"/>
          <w:highlight w:val="none"/>
        </w:rPr>
      </w:pPr>
      <w:r>
        <w:rPr>
          <w:rFonts w:hint="eastAsia" w:ascii="仿宋_GB2312" w:eastAsia="仿宋_GB2312" w:cs="AR PL UKai CN"/>
          <w:color w:val="auto"/>
          <w:sz w:val="32"/>
          <w:szCs w:val="32"/>
          <w:highlight w:val="none"/>
        </w:rPr>
        <w:t>3．</w:t>
      </w:r>
      <w:r>
        <w:rPr>
          <w:rFonts w:hint="eastAsia" w:ascii="仿宋_GB2312" w:eastAsia="仿宋_GB2312" w:cs="AR PL UKai CN"/>
          <w:color w:val="auto"/>
          <w:kern w:val="0"/>
          <w:sz w:val="32"/>
          <w:szCs w:val="32"/>
          <w:highlight w:val="none"/>
        </w:rPr>
        <w:t>截至2022年底，项目路基段工程完成100%；桥梁工程完成100%，所有桥梁全部架设完毕实现全幅贯通；隧道工程完成100%，地质灾害点治理工作已基本完成。项目青川段和平武段已建成并向社会开放交通。绩效申报内容与实际相符，申报目标合理可行。</w:t>
      </w:r>
    </w:p>
    <w:p>
      <w:pPr>
        <w:shd w:val="clear"/>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（三）项目自评步骤及方法</w:t>
      </w:r>
    </w:p>
    <w:p>
      <w:pPr>
        <w:shd w:val="clear"/>
        <w:overflowPunct w:val="0"/>
        <w:adjustRightInd w:val="0"/>
        <w:snapToGrid w:val="0"/>
        <w:spacing w:line="540" w:lineRule="exact"/>
        <w:ind w:firstLine="640" w:firstLineChars="200"/>
        <w:rPr>
          <w:rFonts w:hint="eastAsia" w:ascii="仿宋_GB2312" w:eastAsia="仿宋_GB2312" w:cs="仿宋"/>
          <w:color w:val="auto"/>
          <w:kern w:val="0"/>
          <w:sz w:val="32"/>
          <w:szCs w:val="32"/>
          <w:highlight w:val="none"/>
          <w:lang w:bidi="ar-SA"/>
        </w:rPr>
      </w:pPr>
      <w:r>
        <w:rPr>
          <w:rFonts w:hint="eastAsia" w:ascii="仿宋_GB2312" w:eastAsia="仿宋_GB2312" w:cs="仿宋"/>
          <w:color w:val="auto"/>
          <w:kern w:val="0"/>
          <w:sz w:val="32"/>
          <w:szCs w:val="32"/>
          <w:highlight w:val="none"/>
          <w:lang w:bidi="ar-SA"/>
        </w:rPr>
        <w:t>根据工作要求，由我局财务科牵头，局建管科、规划科、市交投集团和交通建设协调办配合，比照</w:t>
      </w:r>
      <w:r>
        <w:rPr>
          <w:rFonts w:hint="eastAsia" w:ascii="仿宋_GB2312" w:eastAsia="仿宋_GB2312" w:cs="Times New Roman"/>
          <w:color w:val="auto"/>
          <w:sz w:val="32"/>
          <w:szCs w:val="32"/>
          <w:highlight w:val="none"/>
          <w:lang w:bidi="ar-SA"/>
        </w:rPr>
        <w:t>《2023年市级专项资金预算项目支出绩效评价指标体系》</w:t>
      </w:r>
      <w:r>
        <w:rPr>
          <w:rFonts w:hint="eastAsia" w:ascii="仿宋_GB2312" w:eastAsia="仿宋_GB2312" w:cs="仿宋"/>
          <w:color w:val="auto"/>
          <w:kern w:val="0"/>
          <w:sz w:val="32"/>
          <w:szCs w:val="32"/>
          <w:highlight w:val="none"/>
          <w:lang w:bidi="ar-SA"/>
        </w:rPr>
        <w:t>和年初绩效目标申报，严格执行《广元市市级预算绩效目标管理办法》规定，对该项目支出情况进行了认真全面的绩效自评。经自评，该项目整体支出绩效情况良好。</w:t>
      </w:r>
    </w:p>
    <w:p>
      <w:pPr>
        <w:shd w:val="clear"/>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221" w:name="_Toc3585"/>
      <w:bookmarkStart w:id="222" w:name="_Toc481601359_WPSOffice_Level2"/>
      <w:bookmarkStart w:id="223" w:name="_Toc1854831818_WPSOffice_Level2"/>
      <w:bookmarkStart w:id="224" w:name="_Toc3180"/>
      <w:r>
        <w:rPr>
          <w:rFonts w:hint="eastAsia" w:ascii="黑体" w:eastAsia="黑体" w:cs="Times New Roman"/>
          <w:color w:val="auto"/>
          <w:sz w:val="32"/>
          <w:szCs w:val="32"/>
          <w:highlight w:val="none"/>
          <w:lang w:bidi="ar-SA"/>
        </w:rPr>
        <w:t>二、项目资金申报及使用情况</w:t>
      </w:r>
      <w:bookmarkEnd w:id="221"/>
      <w:bookmarkEnd w:id="222"/>
      <w:bookmarkEnd w:id="223"/>
      <w:bookmarkEnd w:id="224"/>
    </w:p>
    <w:p>
      <w:pPr>
        <w:shd w:val="clear"/>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（一）项目资金申报及批复情况</w:t>
      </w:r>
    </w:p>
    <w:p>
      <w:pPr>
        <w:shd w:val="clear"/>
        <w:spacing w:line="540" w:lineRule="exact"/>
        <w:ind w:firstLine="640" w:firstLineChars="200"/>
        <w:rPr>
          <w:rFonts w:hint="eastAsia" w:ascii="仿宋_GB2312" w:eastAsia="仿宋_GB2312" w:cs="仿宋"/>
          <w:color w:val="auto"/>
          <w:kern w:val="0"/>
          <w:sz w:val="32"/>
          <w:szCs w:val="32"/>
          <w:highlight w:val="none"/>
          <w:lang w:bidi="ar-SA"/>
        </w:rPr>
      </w:pPr>
      <w:r>
        <w:rPr>
          <w:rFonts w:hint="eastAsia" w:ascii="仿宋_GB2312" w:eastAsia="仿宋_GB2312" w:cs="仿宋"/>
          <w:color w:val="auto"/>
          <w:kern w:val="0"/>
          <w:sz w:val="32"/>
          <w:szCs w:val="32"/>
          <w:highlight w:val="none"/>
          <w:lang w:bidi="ar-SA"/>
        </w:rPr>
        <w:t>2022年，该项目申报建设期补贴财政资金0.2亿元。截止2022年12月，共申报财政资金6.7亿元，其中：资本金5亿元、建设期补贴资金1.7亿元。</w:t>
      </w:r>
    </w:p>
    <w:p>
      <w:pPr>
        <w:shd w:val="clear"/>
        <w:tabs>
          <w:tab w:val="left" w:pos="0"/>
        </w:tabs>
        <w:adjustRightInd/>
        <w:snapToGrid/>
        <w:spacing w:line="540" w:lineRule="exact"/>
        <w:ind w:left="0" w:firstLine="604" w:firstLineChars="189"/>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（二）资金计划、到位及使用情况</w:t>
      </w:r>
    </w:p>
    <w:p>
      <w:pPr>
        <w:shd w:val="clear"/>
        <w:spacing w:line="540" w:lineRule="exact"/>
        <w:ind w:firstLine="640" w:firstLineChars="200"/>
        <w:rPr>
          <w:rFonts w:hint="eastAsia" w:ascii="仿宋_GB2312" w:eastAsia="仿宋_GB2312" w:cs="AR PL UKai CN"/>
          <w:color w:val="auto"/>
          <w:sz w:val="32"/>
          <w:szCs w:val="32"/>
          <w:highlight w:val="none"/>
        </w:rPr>
      </w:pPr>
      <w:r>
        <w:rPr>
          <w:rFonts w:hint="eastAsia" w:ascii="仿宋_GB2312" w:eastAsia="仿宋_GB2312" w:cs="AR PL UKai CN"/>
          <w:color w:val="auto"/>
          <w:kern w:val="0"/>
          <w:sz w:val="32"/>
          <w:szCs w:val="32"/>
          <w:highlight w:val="none"/>
        </w:rPr>
        <w:t>1．资金计划及到位情况。根据市人民政府与新疆北新路桥集团股份有限公司签的《广元至平武高速公路项目特许权协议》《广元至平武高速公路项目补充协议》《广元至平武高速公路项目股东出资协议》约定，</w:t>
      </w:r>
      <w:r>
        <w:rPr>
          <w:rFonts w:hint="eastAsia" w:ascii="仿宋_GB2312" w:eastAsia="仿宋_GB2312" w:cs="AR PL UKai CN"/>
          <w:color w:val="auto"/>
          <w:sz w:val="32"/>
          <w:szCs w:val="32"/>
          <w:highlight w:val="none"/>
        </w:rPr>
        <w:t>2022年9月，市财政下达广平高速公路财政建设期补贴资金0.2亿元（广财投</w:t>
      </w:r>
      <w:r>
        <w:rPr>
          <w:rFonts w:ascii="仿宋_GB2312" w:hAnsi="仿宋_GB2312" w:eastAsia="宋体" w:cs="AR PL UKai CN"/>
          <w:color w:val="auto"/>
          <w:sz w:val="32"/>
          <w:szCs w:val="32"/>
          <w:highlight w:val="none"/>
        </w:rPr>
        <w:t>〔2022〕</w:t>
      </w:r>
      <w:r>
        <w:rPr>
          <w:rFonts w:hint="eastAsia" w:ascii="仿宋_GB2312" w:eastAsia="仿宋_GB2312" w:cs="AR PL UKai CN"/>
          <w:color w:val="auto"/>
          <w:sz w:val="32"/>
          <w:szCs w:val="32"/>
          <w:highlight w:val="none"/>
        </w:rPr>
        <w:t>94号）。</w:t>
      </w:r>
    </w:p>
    <w:p>
      <w:pPr>
        <w:shd w:val="clear"/>
        <w:spacing w:line="540" w:lineRule="exact"/>
        <w:ind w:firstLine="640" w:firstLineChars="200"/>
        <w:rPr>
          <w:rFonts w:hint="eastAsia" w:ascii="仿宋_GB2312" w:eastAsia="仿宋_GB2312" w:cs="AR PL UKai CN"/>
          <w:color w:val="auto"/>
          <w:sz w:val="32"/>
          <w:szCs w:val="32"/>
          <w:highlight w:val="none"/>
        </w:rPr>
      </w:pPr>
      <w:r>
        <w:rPr>
          <w:rFonts w:hint="eastAsia" w:ascii="仿宋_GB2312" w:eastAsia="仿宋_GB2312" w:cs="AR PL UKai CN"/>
          <w:color w:val="auto"/>
          <w:sz w:val="32"/>
          <w:szCs w:val="32"/>
          <w:highlight w:val="none"/>
        </w:rPr>
        <w:t>2．资金使用。2022年9月，我局拨付广平高速公路财政建设期补贴资金0.2亿元给市交投集团。</w:t>
      </w:r>
      <w:r>
        <w:rPr>
          <w:rFonts w:hint="eastAsia" w:ascii="仿宋_GB2312" w:eastAsia="仿宋_GB2312" w:cs="AR PL UKai CN"/>
          <w:color w:val="auto"/>
          <w:kern w:val="0"/>
          <w:sz w:val="32"/>
          <w:szCs w:val="32"/>
          <w:highlight w:val="none"/>
        </w:rPr>
        <w:t>截至2022年12月底，由四川北新天曌投资发展有限公司实施的广平高速公路项目</w:t>
      </w:r>
      <w:r>
        <w:rPr>
          <w:rFonts w:hint="eastAsia" w:ascii="仿宋_GB2312" w:eastAsia="仿宋_GB2312" w:cs="AR PL UKai CN"/>
          <w:color w:val="auto"/>
          <w:sz w:val="32"/>
          <w:szCs w:val="32"/>
          <w:highlight w:val="none"/>
        </w:rPr>
        <w:t>支付</w:t>
      </w:r>
      <w:r>
        <w:rPr>
          <w:rFonts w:hint="eastAsia" w:ascii="仿宋_GB2312" w:eastAsia="仿宋_GB2312" w:cs="AR PL UKai CN"/>
          <w:color w:val="auto"/>
          <w:kern w:val="0"/>
          <w:sz w:val="32"/>
          <w:szCs w:val="32"/>
          <w:highlight w:val="none"/>
        </w:rPr>
        <w:t>资金共计108.39亿元</w:t>
      </w:r>
      <w:r>
        <w:rPr>
          <w:rFonts w:hint="eastAsia" w:ascii="仿宋_GB2312" w:eastAsia="仿宋_GB2312" w:cs="AR PL UKai CN"/>
          <w:color w:val="auto"/>
          <w:sz w:val="32"/>
          <w:szCs w:val="32"/>
          <w:highlight w:val="none"/>
        </w:rPr>
        <w:t>，其中：</w:t>
      </w:r>
      <w:r>
        <w:rPr>
          <w:rFonts w:hint="eastAsia" w:ascii="仿宋_GB2312" w:eastAsia="仿宋_GB2312" w:cs="AR PL UKai CN"/>
          <w:color w:val="auto"/>
          <w:kern w:val="0"/>
          <w:sz w:val="32"/>
          <w:szCs w:val="32"/>
          <w:highlight w:val="none"/>
        </w:rPr>
        <w:t>建安费用90.49亿元</w:t>
      </w:r>
      <w:r>
        <w:rPr>
          <w:rFonts w:hint="eastAsia" w:ascii="仿宋_GB2312" w:eastAsia="仿宋_GB2312" w:cs="AR PL UKai CN"/>
          <w:color w:val="auto"/>
          <w:sz w:val="32"/>
          <w:szCs w:val="32"/>
          <w:highlight w:val="none"/>
        </w:rPr>
        <w:t>、</w:t>
      </w:r>
      <w:r>
        <w:rPr>
          <w:rFonts w:hint="eastAsia" w:ascii="仿宋_GB2312" w:eastAsia="仿宋_GB2312" w:cs="AR PL UKai CN"/>
          <w:color w:val="auto"/>
          <w:kern w:val="0"/>
          <w:sz w:val="32"/>
          <w:szCs w:val="32"/>
          <w:highlight w:val="none"/>
        </w:rPr>
        <w:t>土地征拆费用9.1亿元</w:t>
      </w:r>
      <w:r>
        <w:rPr>
          <w:rFonts w:hint="eastAsia" w:ascii="仿宋_GB2312" w:eastAsia="仿宋_GB2312" w:cs="AR PL UKai CN"/>
          <w:color w:val="auto"/>
          <w:sz w:val="32"/>
          <w:szCs w:val="32"/>
          <w:highlight w:val="none"/>
        </w:rPr>
        <w:t>、</w:t>
      </w:r>
      <w:r>
        <w:rPr>
          <w:rFonts w:hint="eastAsia" w:ascii="仿宋_GB2312" w:eastAsia="仿宋_GB2312" w:cs="AR PL UKai CN"/>
          <w:color w:val="auto"/>
          <w:kern w:val="0"/>
          <w:sz w:val="32"/>
          <w:szCs w:val="32"/>
          <w:highlight w:val="none"/>
        </w:rPr>
        <w:t>项目前期</w:t>
      </w:r>
      <w:r>
        <w:rPr>
          <w:rFonts w:hint="eastAsia" w:ascii="仿宋_GB2312" w:eastAsia="仿宋_GB2312" w:cs="AR PL UKai CN"/>
          <w:color w:val="auto"/>
          <w:sz w:val="32"/>
          <w:szCs w:val="32"/>
          <w:highlight w:val="none"/>
        </w:rPr>
        <w:t>和</w:t>
      </w:r>
      <w:r>
        <w:rPr>
          <w:rFonts w:hint="eastAsia" w:ascii="仿宋_GB2312" w:eastAsia="仿宋_GB2312" w:cs="AR PL UKai CN"/>
          <w:color w:val="auto"/>
          <w:kern w:val="0"/>
          <w:sz w:val="32"/>
          <w:szCs w:val="32"/>
          <w:highlight w:val="none"/>
        </w:rPr>
        <w:t>贷款利息及管理费8.8亿元。</w:t>
      </w:r>
    </w:p>
    <w:p>
      <w:pPr>
        <w:shd w:val="clear"/>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（三）项目财务管理情况。</w:t>
      </w:r>
    </w:p>
    <w:p>
      <w:pPr>
        <w:shd w:val="clear"/>
        <w:spacing w:line="540" w:lineRule="exact"/>
        <w:ind w:firstLine="640" w:firstLineChars="200"/>
        <w:rPr>
          <w:rFonts w:hint="eastAsia" w:ascii="仿宋_GB2312" w:eastAsia="仿宋_GB2312" w:cs="AR PL UKai CN"/>
          <w:color w:val="auto"/>
          <w:kern w:val="0"/>
          <w:sz w:val="32"/>
          <w:szCs w:val="32"/>
          <w:highlight w:val="none"/>
        </w:rPr>
      </w:pPr>
      <w:r>
        <w:rPr>
          <w:rFonts w:hint="eastAsia" w:ascii="仿宋_GB2312" w:eastAsia="仿宋_GB2312" w:cs="AR PL UKai CN"/>
          <w:color w:val="auto"/>
          <w:kern w:val="0"/>
          <w:sz w:val="32"/>
          <w:szCs w:val="32"/>
          <w:highlight w:val="none"/>
        </w:rPr>
        <w:t>2022年，我局建管科、财务科对该项目的建设管理、目标实施、资金使用等进行全程监管，确保预算绩效目标全面完成。同时，严格执行“三重一大”关于重大资金拨付规定和程序，为项目顺利建设提供了坚强保障。项目建设中，四川北新天曌投资发展有限公司严格执行企业财务管理制度，设立账套独立核算，严格执行财务管理制度，账务处理及时、会计核算规范。</w:t>
      </w:r>
    </w:p>
    <w:p>
      <w:pPr>
        <w:shd w:val="clear"/>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225" w:name="_Toc1225693874_WPSOffice_Level2"/>
      <w:bookmarkStart w:id="226" w:name="_Toc3126"/>
      <w:bookmarkStart w:id="227" w:name="_Toc32651"/>
      <w:bookmarkStart w:id="228" w:name="_Toc418354476_WPSOffice_Level2"/>
      <w:r>
        <w:rPr>
          <w:rFonts w:hint="eastAsia" w:ascii="黑体" w:eastAsia="黑体" w:cs="Times New Roman"/>
          <w:color w:val="auto"/>
          <w:sz w:val="32"/>
          <w:szCs w:val="32"/>
          <w:highlight w:val="none"/>
          <w:lang w:bidi="ar-SA"/>
        </w:rPr>
        <w:t>三、项目实施及管理情况</w:t>
      </w:r>
      <w:bookmarkEnd w:id="225"/>
      <w:bookmarkEnd w:id="226"/>
      <w:bookmarkEnd w:id="227"/>
      <w:bookmarkEnd w:id="228"/>
    </w:p>
    <w:p>
      <w:pPr>
        <w:shd w:val="clear"/>
        <w:spacing w:line="540" w:lineRule="exact"/>
        <w:ind w:firstLine="640" w:firstLineChars="200"/>
        <w:rPr>
          <w:rFonts w:hint="eastAsia" w:ascii="仿宋_GB2312" w:eastAsia="仿宋_GB2312" w:cs="AR PL UKai CN"/>
          <w:color w:val="auto"/>
          <w:kern w:val="0"/>
          <w:sz w:val="32"/>
          <w:szCs w:val="32"/>
          <w:highlight w:val="none"/>
        </w:rPr>
      </w:pPr>
      <w:r>
        <w:rPr>
          <w:rFonts w:hint="eastAsia" w:ascii="仿宋_GB2312" w:eastAsia="仿宋_GB2312" w:cs="AR PL UKai CN"/>
          <w:color w:val="auto"/>
          <w:kern w:val="0"/>
          <w:sz w:val="32"/>
          <w:szCs w:val="32"/>
          <w:highlight w:val="none"/>
        </w:rPr>
        <w:t>（一）项目组织架构及实施流程</w:t>
      </w:r>
    </w:p>
    <w:p>
      <w:pPr>
        <w:shd w:val="clear"/>
        <w:spacing w:line="540" w:lineRule="exact"/>
        <w:ind w:firstLine="640" w:firstLineChars="200"/>
        <w:rPr>
          <w:rFonts w:hint="eastAsia" w:ascii="仿宋_GB2312" w:eastAsia="仿宋_GB2312" w:cs="AR PL UKai CN"/>
          <w:color w:val="auto"/>
          <w:kern w:val="0"/>
          <w:sz w:val="32"/>
          <w:szCs w:val="32"/>
          <w:highlight w:val="none"/>
        </w:rPr>
      </w:pPr>
      <w:r>
        <w:rPr>
          <w:rFonts w:hint="eastAsia" w:ascii="仿宋_GB2312" w:eastAsia="仿宋_GB2312" w:cs="AR PL UKai CN"/>
          <w:color w:val="auto"/>
          <w:kern w:val="0"/>
          <w:sz w:val="32"/>
          <w:szCs w:val="32"/>
          <w:highlight w:val="none"/>
        </w:rPr>
        <w:t>该项目前期由市交投集团负责组织实施，完成立项、PPP项目实施方案、财评、物评、投资人招标等工作。项目出资人为新疆北新路桥集团股份有限公司和市交投集团，实施建设业主变更为四川北新天曌投资发展有限公司，由新疆北新路桥集团股份有限公司成立了项目总承包部具体负责现场管理。</w:t>
      </w:r>
    </w:p>
    <w:p>
      <w:pPr>
        <w:shd w:val="clear"/>
        <w:spacing w:line="540" w:lineRule="exact"/>
        <w:ind w:left="0" w:firstLine="640" w:firstLineChars="200"/>
        <w:rPr>
          <w:rFonts w:hint="eastAsia" w:ascii="仿宋_GB2312" w:eastAsia="仿宋_GB2312" w:cs="AR PL UKai CN"/>
          <w:color w:val="auto"/>
          <w:kern w:val="0"/>
          <w:sz w:val="32"/>
          <w:szCs w:val="32"/>
          <w:highlight w:val="none"/>
        </w:rPr>
      </w:pPr>
      <w:r>
        <w:rPr>
          <w:rFonts w:hint="eastAsia" w:ascii="仿宋_GB2312" w:eastAsia="仿宋_GB2312" w:cs="AR PL UKai CN"/>
          <w:color w:val="auto"/>
          <w:kern w:val="0"/>
          <w:sz w:val="32"/>
          <w:szCs w:val="32"/>
          <w:highlight w:val="none"/>
        </w:rPr>
        <w:t>（二）项目管理情况</w:t>
      </w:r>
    </w:p>
    <w:p>
      <w:pPr>
        <w:shd w:val="clear"/>
        <w:spacing w:line="540" w:lineRule="exact"/>
        <w:ind w:left="0" w:firstLine="640" w:firstLineChars="200"/>
        <w:rPr>
          <w:rFonts w:hint="eastAsia" w:ascii="仿宋_GB2312" w:eastAsia="仿宋_GB2312" w:cs="AR PL UKai CN"/>
          <w:color w:val="auto"/>
          <w:kern w:val="0"/>
          <w:sz w:val="32"/>
          <w:szCs w:val="32"/>
          <w:highlight w:val="none"/>
          <w:shd w:val="clear" w:color="auto" w:fill="auto"/>
        </w:rPr>
      </w:pPr>
      <w:r>
        <w:rPr>
          <w:rFonts w:hint="eastAsia" w:ascii="仿宋_GB2312" w:eastAsia="仿宋_GB2312" w:cs="AR PL UKai CN"/>
          <w:color w:val="auto"/>
          <w:kern w:val="0"/>
          <w:sz w:val="32"/>
          <w:szCs w:val="32"/>
          <w:highlight w:val="none"/>
        </w:rPr>
        <w:t>该项目严格执行相关法律法规，项目管理制度完善，招投标、政府采购、项目公示制等均符合相关规定。</w:t>
      </w:r>
    </w:p>
    <w:p>
      <w:pPr>
        <w:shd w:val="clear"/>
        <w:spacing w:line="540" w:lineRule="exact"/>
        <w:ind w:firstLine="640" w:firstLineChars="200"/>
        <w:rPr>
          <w:rFonts w:hint="eastAsia" w:ascii="仿宋_GB2312" w:eastAsia="仿宋_GB2312" w:cs="AR PL UKai CN"/>
          <w:color w:val="auto"/>
          <w:kern w:val="0"/>
          <w:sz w:val="32"/>
          <w:szCs w:val="32"/>
          <w:highlight w:val="none"/>
        </w:rPr>
      </w:pPr>
      <w:r>
        <w:rPr>
          <w:rFonts w:hint="eastAsia" w:ascii="仿宋_GB2312" w:eastAsia="仿宋_GB2312" w:cs="AR PL UKai CN"/>
          <w:color w:val="auto"/>
          <w:kern w:val="0"/>
          <w:sz w:val="32"/>
          <w:szCs w:val="32"/>
          <w:highlight w:val="none"/>
        </w:rPr>
        <w:t>（三）项目监管情况</w:t>
      </w:r>
    </w:p>
    <w:p>
      <w:pPr>
        <w:shd w:val="clear"/>
        <w:spacing w:line="540" w:lineRule="exact"/>
        <w:ind w:firstLine="640" w:firstLineChars="200"/>
        <w:rPr>
          <w:rFonts w:hint="eastAsia" w:ascii="仿宋_GB2312" w:eastAsia="仿宋_GB2312" w:cs="AR PL UKai CN"/>
          <w:color w:val="auto"/>
          <w:kern w:val="0"/>
          <w:sz w:val="32"/>
          <w:szCs w:val="32"/>
          <w:highlight w:val="none"/>
        </w:rPr>
      </w:pPr>
      <w:r>
        <w:rPr>
          <w:rFonts w:hint="eastAsia" w:ascii="仿宋_GB2312" w:eastAsia="仿宋_GB2312" w:cs="AR PL UKai CN"/>
          <w:color w:val="auto"/>
          <w:kern w:val="0"/>
          <w:sz w:val="32"/>
          <w:szCs w:val="32"/>
          <w:highlight w:val="none"/>
        </w:rPr>
        <w:t>我局作为该项目行业主管部门依法对招标文件及中标信息进行了备案，并对招标过程进行现场监督，监理、施工单位进场施工后，并联合市交通综合行政执法支队对项目质量、安全、环保、民工工资发放进行不定期检查，确保该项目按照相关规定顺利推进。</w:t>
      </w:r>
    </w:p>
    <w:p>
      <w:pPr>
        <w:shd w:val="clear"/>
        <w:adjustRightInd w:val="0"/>
        <w:snapToGrid w:val="0"/>
        <w:spacing w:line="540" w:lineRule="exact"/>
        <w:ind w:firstLine="640" w:firstLineChars="200"/>
        <w:outlineLvl w:val="1"/>
        <w:rPr>
          <w:rFonts w:hint="eastAsia" w:ascii="仿宋_GB2312" w:hAnsi="仿宋_GB2312" w:eastAsia="宋体" w:cs="Times New Roman"/>
          <w:color w:val="auto"/>
          <w:sz w:val="32"/>
          <w:szCs w:val="32"/>
          <w:highlight w:val="none"/>
          <w:lang w:bidi="ar-SA"/>
        </w:rPr>
      </w:pPr>
      <w:bookmarkStart w:id="229" w:name="_Toc694099892_WPSOffice_Level2"/>
      <w:bookmarkStart w:id="230" w:name="_Toc826"/>
      <w:bookmarkStart w:id="231" w:name="_Toc16347"/>
      <w:bookmarkStart w:id="232" w:name="_Toc10544483_WPSOffice_Level2"/>
      <w:r>
        <w:rPr>
          <w:rFonts w:hint="eastAsia" w:ascii="黑体" w:eastAsia="黑体" w:cs="Times New Roman"/>
          <w:color w:val="auto"/>
          <w:sz w:val="32"/>
          <w:szCs w:val="32"/>
          <w:highlight w:val="none"/>
          <w:lang w:bidi="ar-SA"/>
        </w:rPr>
        <w:t>四、项目绩效情况</w:t>
      </w:r>
      <w:bookmarkEnd w:id="229"/>
      <w:bookmarkEnd w:id="230"/>
      <w:bookmarkEnd w:id="231"/>
      <w:bookmarkEnd w:id="232"/>
      <w:r>
        <w:rPr>
          <w:rFonts w:hint="eastAsia" w:ascii="仿宋_GB2312" w:hAnsi="仿宋_GB2312" w:eastAsia="宋体" w:cs="Times New Roman"/>
          <w:color w:val="auto"/>
          <w:sz w:val="32"/>
          <w:szCs w:val="32"/>
          <w:highlight w:val="none"/>
          <w:lang w:bidi="ar-SA"/>
        </w:rPr>
        <w:tab/>
      </w:r>
    </w:p>
    <w:p>
      <w:pPr>
        <w:shd w:val="clear"/>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（一）项目完成情况</w:t>
      </w:r>
    </w:p>
    <w:p>
      <w:pPr>
        <w:shd w:val="clear"/>
        <w:snapToGrid w:val="0"/>
        <w:spacing w:line="540" w:lineRule="exact"/>
        <w:ind w:firstLine="640" w:firstLineChars="200"/>
        <w:rPr>
          <w:rFonts w:hint="eastAsia" w:ascii="仿宋_GB2312" w:eastAsia="仿宋_GB2312" w:cs="AR PL UKai CN"/>
          <w:color w:val="auto"/>
          <w:sz w:val="32"/>
          <w:szCs w:val="32"/>
          <w:highlight w:val="none"/>
        </w:rPr>
      </w:pPr>
      <w:r>
        <w:rPr>
          <w:rFonts w:hint="eastAsia" w:ascii="仿宋_GB2312" w:eastAsia="仿宋_GB2312" w:cs="AR PL UKai CN"/>
          <w:color w:val="auto"/>
          <w:sz w:val="32"/>
          <w:szCs w:val="32"/>
          <w:highlight w:val="none"/>
        </w:rPr>
        <w:t>截至2022年底，项目路基段工程完成100%；桥梁工程完成100%，所有桥梁全部架设完毕实现全幅贯通；隧道工程完成100%，地质灾害点治理工作已基本完成。项目青川段和平武段已建成并向社会开放交通。</w:t>
      </w:r>
    </w:p>
    <w:p>
      <w:pPr>
        <w:shd w:val="clear"/>
        <w:adjustRightInd w:val="0"/>
        <w:snapToGrid w:val="0"/>
        <w:spacing w:line="54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（二）项目效益情况</w:t>
      </w:r>
    </w:p>
    <w:p>
      <w:pPr>
        <w:widowControl/>
        <w:shd w:val="clear"/>
        <w:spacing w:line="540" w:lineRule="exact"/>
        <w:ind w:firstLine="640" w:firstLineChars="200"/>
        <w:rPr>
          <w:rFonts w:hint="eastAsia" w:ascii="仿宋_GB2312" w:eastAsia="仿宋_GB2312" w:cs="AR PL UKai CN"/>
          <w:color w:val="auto"/>
          <w:kern w:val="0"/>
          <w:sz w:val="32"/>
          <w:szCs w:val="32"/>
          <w:highlight w:val="none"/>
        </w:rPr>
      </w:pPr>
      <w:r>
        <w:rPr>
          <w:rFonts w:hint="eastAsia" w:ascii="仿宋_GB2312" w:eastAsia="仿宋_GB2312" w:cs="AR PL UKai CN"/>
          <w:color w:val="auto"/>
          <w:kern w:val="0"/>
          <w:sz w:val="32"/>
          <w:szCs w:val="32"/>
          <w:highlight w:val="none"/>
        </w:rPr>
        <w:t>项目建成后，国家高速公路网北京至昆明、兰州至海口、绵阳至九寨沟和广元至恩施等高速公路将联为一体，是川陕甘次级交通枢纽的又一骨干性支撑工程，是西北地区进出九寨沟最便捷的通道，也是助推秦巴山区整体连片贫困向全面小康跨越的一条康庄大道，对于推动决战脱贫攻坚、建设美丽繁荣和谐四川，具有重大的现实意义和深远的历史意义。</w:t>
      </w:r>
    </w:p>
    <w:p>
      <w:pPr>
        <w:shd w:val="clear"/>
        <w:adjustRightInd w:val="0"/>
        <w:snapToGrid w:val="0"/>
        <w:spacing w:line="540" w:lineRule="exact"/>
        <w:ind w:firstLine="640" w:firstLineChars="200"/>
        <w:outlineLvl w:val="1"/>
        <w:rPr>
          <w:rFonts w:hint="eastAsia" w:ascii="黑体" w:eastAsia="黑体" w:cs="Times New Roman"/>
          <w:color w:val="auto"/>
          <w:sz w:val="32"/>
          <w:szCs w:val="32"/>
          <w:highlight w:val="none"/>
          <w:lang w:bidi="ar-SA"/>
        </w:rPr>
      </w:pPr>
      <w:bookmarkStart w:id="233" w:name="_Toc1057854025_WPSOffice_Level2"/>
      <w:bookmarkStart w:id="234" w:name="_Toc262004319_WPSOffice_Level2"/>
      <w:bookmarkStart w:id="235" w:name="_Toc1402"/>
      <w:bookmarkStart w:id="236" w:name="_Toc25747"/>
      <w:r>
        <w:rPr>
          <w:rFonts w:hint="eastAsia" w:ascii="黑体" w:eastAsia="黑体" w:cs="Times New Roman"/>
          <w:color w:val="auto"/>
          <w:sz w:val="32"/>
          <w:szCs w:val="32"/>
          <w:highlight w:val="none"/>
          <w:lang w:bidi="ar-SA"/>
        </w:rPr>
        <w:t>五、评价结论及建议</w:t>
      </w:r>
      <w:bookmarkEnd w:id="233"/>
      <w:bookmarkEnd w:id="234"/>
      <w:bookmarkEnd w:id="235"/>
      <w:bookmarkEnd w:id="236"/>
    </w:p>
    <w:p>
      <w:pPr>
        <w:shd w:val="clear"/>
        <w:rPr>
          <w:rFonts w:hint="eastAsia" w:ascii="仿宋_GB2312" w:eastAsia="仿宋_GB2312" w:cs="AR PL UKai CN"/>
          <w:color w:val="auto"/>
          <w:kern w:val="0"/>
          <w:sz w:val="32"/>
          <w:szCs w:val="32"/>
          <w:highlight w:val="none"/>
        </w:rPr>
      </w:pPr>
      <w:r>
        <w:rPr>
          <w:rFonts w:hint="eastAsia" w:ascii="仿宋_GB2312" w:eastAsia="仿宋_GB2312" w:cs="AR PL UKai CN"/>
          <w:color w:val="auto"/>
          <w:kern w:val="0"/>
          <w:sz w:val="32"/>
          <w:szCs w:val="32"/>
          <w:highlight w:val="none"/>
        </w:rPr>
        <w:t>根据工程前期制度工期计划目标要求，工程进度、质量、安全均在可控范围内。项目自评得分100分，其中项目决策25分、项目管理15分、项目绩效（特性指标）60分。</w:t>
      </w:r>
    </w:p>
    <w:p>
      <w:pPr>
        <w:shd w:val="clear"/>
        <w:rPr>
          <w:rFonts w:hint="eastAsia" w:ascii="仿宋_GB2312" w:eastAsia="仿宋_GB2312" w:cs="AR PL UKai CN"/>
          <w:color w:val="auto"/>
          <w:kern w:val="0"/>
          <w:sz w:val="32"/>
          <w:szCs w:val="32"/>
          <w:highlight w:val="none"/>
        </w:rPr>
      </w:pPr>
      <w:r>
        <w:rPr>
          <w:rFonts w:hint="eastAsia" w:ascii="仿宋_GB2312" w:eastAsia="仿宋_GB2312" w:cs="AR PL UKai CN"/>
          <w:color w:val="auto"/>
          <w:kern w:val="0"/>
          <w:sz w:val="32"/>
          <w:szCs w:val="32"/>
          <w:highlight w:val="none"/>
        </w:rPr>
        <w:br w:type="page"/>
      </w:r>
    </w:p>
    <w:p>
      <w:pPr>
        <w:shd w:val="clea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附件7：</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widowControl w:val="0"/>
        <w:shd w:val="clear"/>
        <w:spacing w:line="576" w:lineRule="exact"/>
        <w:jc w:val="center"/>
        <w:rPr>
          <w:rFonts w:hint="eastAsia" w:ascii="方正小标宋_GBK" w:hAnsi="??" w:eastAsia="方正小标宋_GBK" w:cs="方正小标宋简体"/>
          <w:color w:val="auto"/>
          <w:kern w:val="2"/>
          <w:sz w:val="44"/>
          <w:szCs w:val="44"/>
          <w:highlight w:val="none"/>
          <w:lang w:val="en-US" w:eastAsia="zh-CN" w:bidi="ar-SA"/>
        </w:rPr>
      </w:pPr>
      <w:r>
        <w:rPr>
          <w:rFonts w:hint="eastAsia" w:ascii="方正小标宋_GBK" w:hAnsi="??" w:eastAsia="方正小标宋_GBK" w:cs="黑体"/>
          <w:color w:val="auto"/>
          <w:sz w:val="44"/>
          <w:szCs w:val="44"/>
          <w:highlight w:val="none"/>
          <w:lang w:val="en-US" w:eastAsia="zh-CN" w:bidi="ar-SA"/>
        </w:rPr>
        <w:t>关于</w:t>
      </w:r>
      <w:r>
        <w:rPr>
          <w:rFonts w:hint="eastAsia" w:ascii="方正小标宋_GBK" w:hAnsi="??" w:eastAsia="方正小标宋_GBK" w:cs="方正小标宋简体"/>
          <w:color w:val="auto"/>
          <w:kern w:val="2"/>
          <w:sz w:val="44"/>
          <w:szCs w:val="44"/>
          <w:highlight w:val="none"/>
          <w:lang w:val="en-US" w:eastAsia="zh-CN" w:bidi="ar-SA"/>
        </w:rPr>
        <w:t>2022年</w:t>
      </w:r>
      <w:r>
        <w:rPr>
          <w:rFonts w:hint="eastAsia" w:ascii="方正小标宋_GBK" w:hAnsi="??" w:eastAsia="方正小标宋_GBK" w:cs="黑体"/>
          <w:color w:val="auto"/>
          <w:sz w:val="44"/>
          <w:szCs w:val="44"/>
          <w:highlight w:val="none"/>
          <w:lang w:val="en-US" w:eastAsia="zh-CN" w:bidi="ar-SA"/>
        </w:rPr>
        <w:t>国道108线严家湾及鸭纺路PPP项目</w:t>
      </w:r>
      <w:r>
        <w:rPr>
          <w:rFonts w:hint="eastAsia" w:ascii="方正小标宋_GBK" w:hAnsi="??" w:eastAsia="方正小标宋_GBK" w:cs="方正小标宋简体"/>
          <w:color w:val="auto"/>
          <w:kern w:val="2"/>
          <w:sz w:val="44"/>
          <w:szCs w:val="44"/>
          <w:highlight w:val="none"/>
          <w:lang w:val="en-US" w:eastAsia="zh-CN" w:bidi="ar-SA"/>
        </w:rPr>
        <w:t>预算支出绩效的自评报告</w:t>
      </w:r>
    </w:p>
    <w:p>
      <w:pPr>
        <w:widowControl w:val="0"/>
        <w:shd w:val="clear"/>
        <w:spacing w:line="500" w:lineRule="exact"/>
        <w:jc w:val="center"/>
        <w:rPr>
          <w:rFonts w:hint="eastAsia" w:ascii="方正小标宋_GBK" w:hAnsi="??" w:eastAsia="方正小标宋_GBK" w:cs="Times New Roman"/>
          <w:color w:val="auto"/>
          <w:sz w:val="44"/>
          <w:szCs w:val="44"/>
          <w:highlight w:val="none"/>
          <w:lang w:val="en-US" w:eastAsia="zh-CN" w:bidi="ar-SA"/>
        </w:rPr>
      </w:pPr>
    </w:p>
    <w:p>
      <w:pPr>
        <w:shd w:val="clear"/>
        <w:adjustRightInd w:val="0"/>
        <w:snapToGrid w:val="0"/>
        <w:spacing w:line="560" w:lineRule="exact"/>
        <w:ind w:firstLine="640" w:firstLineChars="200"/>
        <w:outlineLvl w:val="1"/>
        <w:rPr>
          <w:rFonts w:hint="eastAsia" w:ascii="黑体" w:hAnsi="Times New Roman" w:eastAsia="黑体" w:cs="Times New Roman"/>
          <w:color w:val="auto"/>
          <w:sz w:val="32"/>
          <w:szCs w:val="32"/>
          <w:highlight w:val="none"/>
          <w:lang w:bidi="ar-SA"/>
        </w:rPr>
      </w:pPr>
      <w:bookmarkStart w:id="237" w:name="_Toc28000"/>
      <w:bookmarkStart w:id="238" w:name="_Toc13908479_WPSOffice_Level2"/>
      <w:bookmarkStart w:id="239" w:name="_Toc1593695798_WPSOffice_Level2"/>
      <w:bookmarkStart w:id="240" w:name="_Toc21572"/>
      <w:r>
        <w:rPr>
          <w:rFonts w:hint="eastAsia" w:ascii="黑体" w:hAnsi="Times New Roman" w:eastAsia="黑体" w:cs="Times New Roman"/>
          <w:color w:val="auto"/>
          <w:sz w:val="32"/>
          <w:szCs w:val="32"/>
          <w:highlight w:val="none"/>
          <w:lang w:bidi="ar-SA"/>
        </w:rPr>
        <w:t>一、项目概况</w:t>
      </w:r>
      <w:bookmarkEnd w:id="237"/>
      <w:bookmarkEnd w:id="238"/>
      <w:bookmarkEnd w:id="239"/>
      <w:bookmarkEnd w:id="240"/>
    </w:p>
    <w:p>
      <w:pPr>
        <w:shd w:val="clear"/>
        <w:adjustRightInd w:val="0"/>
        <w:snapToGrid w:val="0"/>
        <w:spacing w:line="560"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（一）项目基本情况</w:t>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1．主管部门在管理中的职能。2022年，我局规划科、公路科、财务科等相关科室对国道108线严家湾及鸭纺路PPP项目开展了运营补助资金预算、绩效申报和绩效运行监控、运营考核、资金使用等全过程监管，确保项目管理规范、保质保量完成运营管理任务。同时，我局作为两个PPP项目运营主管部门，根据绩效目标，开展了项目全面绩效管理，规范资金使用、严守财经纪律，高质量发挥社会效益和经济效益。</w:t>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2．项目立项、资金申报的依据。国道108线严家湾桥隧工程项目于2012年9月经市发展改革委员会（广发改委交通〔2012〕16号）批复立项建设，批复估算金额25.293亿元。</w:t>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国道108线鸭浮岩至纺织大道段公路改建工程于2013年8月经市发展改革委员会（广发改函〔2013〕189号）批复立项建设，批复估算金额24.98亿元。</w:t>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3．资金管理办法制定情况。</w:t>
      </w:r>
      <w:r>
        <w:rPr>
          <w:rFonts w:hint="eastAsia" w:ascii="仿宋_GB2312" w:hAnsi="Times New Roman" w:eastAsia="仿宋_GB2312" w:cs="仿宋"/>
          <w:color w:val="auto"/>
          <w:kern w:val="0"/>
          <w:sz w:val="32"/>
          <w:szCs w:val="32"/>
          <w:highlight w:val="none"/>
          <w:lang w:bidi="ar-SA"/>
        </w:rPr>
        <w:t>我局严格执行国家财经法规、央省市有关专项资金管理办法规定，制定了</w:t>
      </w:r>
      <w:r>
        <w:rPr>
          <w:rFonts w:hint="eastAsia" w:ascii="仿宋_GB2312" w:hAnsi="Times New Roman" w:eastAsia="仿宋_GB2312" w:cs="Times New Roman"/>
          <w:color w:val="auto"/>
          <w:sz w:val="32"/>
          <w:szCs w:val="32"/>
          <w:highlight w:val="none"/>
          <w:lang w:bidi="ar-SA"/>
        </w:rPr>
        <w:t>《广元市交通运输局预算管理》《广元市交通运输局收支管理》</w:t>
      </w:r>
      <w:r>
        <w:rPr>
          <w:rFonts w:hint="eastAsia" w:ascii="仿宋_GB2312" w:hAnsi="Times New Roman" w:eastAsia="仿宋_GB2312" w:cs="仿宋"/>
          <w:color w:val="auto"/>
          <w:kern w:val="0"/>
          <w:sz w:val="32"/>
          <w:szCs w:val="32"/>
          <w:highlight w:val="none"/>
          <w:lang w:bidi="ar-SA"/>
        </w:rPr>
        <w:t>等财务管理内部控制制度，财务制度健全，会计核算规范。</w:t>
      </w:r>
      <w:r>
        <w:rPr>
          <w:rFonts w:hint="eastAsia" w:ascii="仿宋_GB2312" w:hAnsi="Times New Roman" w:eastAsia="仿宋_GB2312" w:cs="Times New Roman"/>
          <w:color w:val="auto"/>
          <w:sz w:val="32"/>
          <w:szCs w:val="32"/>
          <w:highlight w:val="none"/>
          <w:lang w:bidi="ar-SA"/>
        </w:rPr>
        <w:t>为进一步加强主管部门在交通建设项目中的资金监管，2021年，我局和市财政局联合转发了《四川省省级财政交通专项资金管理办法》。</w:t>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4．资金分配的原则。国道108线严家湾隧道工程项目于2018年6月1日进入运营期，根据《国道108线严家湾隧道工程项目PPP模式项目补充协议书》约定：2022年应支付第四年运营补贴2653.18万元、第五年运营补贴2435.57万元。</w:t>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国道108线鸭浮岩至纺织大道项目于2018年6月1日进入运营期，根据《国道108线鸭浮岩至纺织大道项目PPP模式项目补充协议书》约定：2022年应支付第四年运营补贴4966.55万元、第五年运营补贴4559.43万元。</w:t>
      </w:r>
    </w:p>
    <w:p>
      <w:pPr>
        <w:shd w:val="clear"/>
        <w:adjustRightInd w:val="0"/>
        <w:snapToGrid w:val="0"/>
        <w:spacing w:line="560"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（二）项目绩效目标</w:t>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eastAsia="zh-CN" w:bidi="ar-SA"/>
        </w:rPr>
      </w:pPr>
      <w:r>
        <w:rPr>
          <w:rFonts w:hint="eastAsia" w:ascii="仿宋_GB2312" w:hAnsi="Times New Roman" w:eastAsia="仿宋_GB2312" w:cs="Times New Roman"/>
          <w:color w:val="auto"/>
          <w:sz w:val="32"/>
          <w:szCs w:val="32"/>
          <w:highlight w:val="none"/>
          <w:lang w:bidi="ar-SA"/>
        </w:rPr>
        <w:t>1.项目的主要内容。国道108线严家湾隧道工程项目位于利州区东屏社区，路线起点顺接电子路北延线二段，终点顺接严家湾大桥。</w:t>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国道108线鸭浮岩至纺织大道段公路改建工程属于国道108线瓷窑铺至沙溪坝公路改建工程其中一段，起点位于广元市昭化区昭化镇鸭浮村，与国道108陵江至鸭浮岩段相接，沿白龙江和清江河右岸通过利州区刘家河安置房区，经红星村横跨清江河大桥接广元市利州区宝轮镇纺织大道，一级公路标准。</w:t>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2.项目的绩效目标。根据《国道108线严家湾隧道工程项目PPP模式项目补充协议书》《国道108线鸭浮岩至纺织大道项目PPP模式项目补充协议书》约定，2022年绩效目标：支付社会资本PPP项目公司第四期剩余和第五期营运补贴。绩效申报内容与实际相符，申报目标合理可行。</w:t>
      </w:r>
    </w:p>
    <w:p>
      <w:pPr>
        <w:shd w:val="clear"/>
        <w:adjustRightInd w:val="0"/>
        <w:snapToGrid w:val="0"/>
        <w:spacing w:line="560"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（三）项目自评步骤及方法</w:t>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根据工作要求，我局由财务科牵头，局相关业务科室和市交投集团配合，比照《2023年市级专项资金预算项目支出绩效评价指标体系》和年初绩效目标申报，严格执行《广元市市级预算绩效目标管理办法》规定，对两个PPP项目2022年项目支出情况进行了认真全面的绩效自评。</w:t>
      </w:r>
    </w:p>
    <w:p>
      <w:pPr>
        <w:shd w:val="clear"/>
        <w:adjustRightInd w:val="0"/>
        <w:snapToGrid w:val="0"/>
        <w:spacing w:line="560" w:lineRule="exact"/>
        <w:ind w:firstLine="640" w:firstLineChars="200"/>
        <w:outlineLvl w:val="1"/>
        <w:rPr>
          <w:rFonts w:hint="eastAsia" w:ascii="黑体" w:hAnsi="Times New Roman" w:eastAsia="黑体" w:cs="Times New Roman"/>
          <w:color w:val="auto"/>
          <w:sz w:val="32"/>
          <w:szCs w:val="32"/>
          <w:highlight w:val="none"/>
          <w:lang w:bidi="ar-SA"/>
        </w:rPr>
      </w:pPr>
      <w:bookmarkStart w:id="241" w:name="_Toc922348158_WPSOffice_Level2"/>
      <w:bookmarkStart w:id="242" w:name="_Toc1268"/>
      <w:bookmarkStart w:id="243" w:name="_Toc13900"/>
      <w:bookmarkStart w:id="244" w:name="_Toc334077873_WPSOffice_Level2"/>
      <w:r>
        <w:rPr>
          <w:rFonts w:hint="eastAsia" w:ascii="黑体" w:hAnsi="Times New Roman" w:eastAsia="黑体" w:cs="Times New Roman"/>
          <w:color w:val="auto"/>
          <w:sz w:val="32"/>
          <w:szCs w:val="32"/>
          <w:highlight w:val="none"/>
          <w:lang w:bidi="ar-SA"/>
        </w:rPr>
        <w:t>二、项目资金申报及使用情况</w:t>
      </w:r>
      <w:bookmarkEnd w:id="241"/>
      <w:bookmarkEnd w:id="242"/>
      <w:bookmarkEnd w:id="243"/>
      <w:bookmarkEnd w:id="244"/>
    </w:p>
    <w:p>
      <w:pPr>
        <w:shd w:val="clear"/>
        <w:adjustRightInd w:val="0"/>
        <w:snapToGrid w:val="0"/>
        <w:spacing w:line="560"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（一）项目资金申报及批复情况</w:t>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2022年，两个PPP项目共申请财政资金4923.5188万元，其中：第四期营运补贴4222.73万元，第五期营运补贴400万元,运营维护费300.7888万元。市财政批复资金4923.5188万元。</w:t>
      </w:r>
    </w:p>
    <w:p>
      <w:pPr>
        <w:shd w:val="clear"/>
        <w:adjustRightInd w:val="0"/>
        <w:snapToGrid w:val="0"/>
        <w:spacing w:line="560"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（二）资金计划、到位及使用情况</w:t>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2022年，3月到位第四期营运补贴2000万元，按时拨付鸭浮岩至纺织大道项目1000万元、严家湾隧道工程1000万元；9月到位第四期营运补贴2222.73万元，按时拨付鸭浮岩至纺织大道项目2066.55万元、严家湾隧道工程156.18万元；11月到位第五期营运补贴400万元，拨付鸭浮岩至纺织大道项目300万元、严家湾隧道工程100万元；12月到位该项目2018-2020年两年运营维护费300.7888万元，按时拨付鸭浮岩至纺织大道项目175.9962万元、严家湾隧道工程124.7926万元。</w:t>
      </w:r>
    </w:p>
    <w:p>
      <w:pPr>
        <w:shd w:val="clear"/>
        <w:adjustRightInd w:val="0"/>
        <w:snapToGrid w:val="0"/>
        <w:spacing w:line="560"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（三）项目财务管理情况</w:t>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宋体"/>
          <w:color w:val="auto"/>
          <w:sz w:val="32"/>
          <w:szCs w:val="32"/>
          <w:highlight w:val="none"/>
          <w:lang w:bidi="ar-SA"/>
        </w:rPr>
        <w:t>我局严格执行中、省、市相关政策规定，财务制度健全，制定了绩效管理、财务管理办法等内部控制制度，资金管理和使用符合</w:t>
      </w:r>
      <w:r>
        <w:rPr>
          <w:rFonts w:hint="eastAsia" w:ascii="仿宋_GB2312" w:hAnsi="Times New Roman" w:eastAsia="仿宋_GB2312" w:cs="仿宋"/>
          <w:color w:val="auto"/>
          <w:kern w:val="0"/>
          <w:sz w:val="32"/>
          <w:szCs w:val="32"/>
          <w:highlight w:val="none"/>
          <w:lang w:bidi="ar-SA"/>
        </w:rPr>
        <w:t>国家财经法规、中省市有关专项资金管理办法规定</w:t>
      </w:r>
      <w:r>
        <w:rPr>
          <w:rFonts w:hint="eastAsia" w:ascii="仿宋_GB2312" w:hAnsi="Times New Roman" w:eastAsia="仿宋_GB2312" w:cs="宋体"/>
          <w:color w:val="auto"/>
          <w:sz w:val="32"/>
          <w:szCs w:val="32"/>
          <w:highlight w:val="none"/>
          <w:lang w:bidi="ar-SA"/>
        </w:rPr>
        <w:t>。</w:t>
      </w:r>
      <w:r>
        <w:rPr>
          <w:rFonts w:hint="eastAsia" w:ascii="仿宋_GB2312" w:hAnsi="Times New Roman" w:eastAsia="仿宋_GB2312" w:cs="Times New Roman"/>
          <w:color w:val="auto"/>
          <w:sz w:val="32"/>
          <w:szCs w:val="32"/>
          <w:highlight w:val="none"/>
          <w:lang w:bidi="ar-SA"/>
        </w:rPr>
        <w:t>同时，严格执行了“三重一大”关于重大资金拨付规定和程序。我局国道108线严家湾及鸭纺路PPP项目在市财政局组织的2022年部门、项目（政策）支出绩效自评抽查工作中得分100分。</w:t>
      </w:r>
    </w:p>
    <w:p>
      <w:pPr>
        <w:shd w:val="clear"/>
        <w:adjustRightInd w:val="0"/>
        <w:snapToGrid w:val="0"/>
        <w:spacing w:line="560" w:lineRule="exact"/>
        <w:ind w:firstLine="640" w:firstLineChars="200"/>
        <w:outlineLvl w:val="1"/>
        <w:rPr>
          <w:rFonts w:hint="eastAsia" w:ascii="黑体" w:hAnsi="Times New Roman" w:eastAsia="黑体" w:cs="Times New Roman"/>
          <w:color w:val="auto"/>
          <w:sz w:val="32"/>
          <w:szCs w:val="32"/>
          <w:highlight w:val="none"/>
          <w:lang w:bidi="ar-SA"/>
        </w:rPr>
      </w:pPr>
      <w:bookmarkStart w:id="245" w:name="_Toc684"/>
      <w:bookmarkStart w:id="246" w:name="_Toc6399"/>
      <w:bookmarkStart w:id="247" w:name="_Toc1507630922_WPSOffice_Level2"/>
      <w:bookmarkStart w:id="248" w:name="_Toc1744908934_WPSOffice_Level2"/>
      <w:r>
        <w:rPr>
          <w:rFonts w:hint="eastAsia" w:ascii="黑体" w:hAnsi="Times New Roman" w:eastAsia="黑体" w:cs="Times New Roman"/>
          <w:color w:val="auto"/>
          <w:sz w:val="32"/>
          <w:szCs w:val="32"/>
          <w:highlight w:val="none"/>
          <w:lang w:bidi="ar-SA"/>
        </w:rPr>
        <w:t>三、项目实施及管理情况</w:t>
      </w:r>
      <w:bookmarkEnd w:id="245"/>
      <w:bookmarkEnd w:id="246"/>
      <w:bookmarkEnd w:id="247"/>
      <w:bookmarkEnd w:id="248"/>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2022年，我局公路科、财务科对两个PPP项目的运营管理、目标实施、资金使用等进行全程监管，确保预算绩效目标全面完成。</w:t>
      </w:r>
    </w:p>
    <w:p>
      <w:pPr>
        <w:shd w:val="clear"/>
        <w:adjustRightInd w:val="0"/>
        <w:snapToGrid w:val="0"/>
        <w:spacing w:line="560" w:lineRule="exact"/>
        <w:ind w:firstLine="640" w:firstLineChars="200"/>
        <w:outlineLvl w:val="1"/>
        <w:rPr>
          <w:rFonts w:hint="eastAsia" w:ascii="黑体" w:hAnsi="Times New Roman" w:eastAsia="黑体" w:cs="Times New Roman"/>
          <w:color w:val="auto"/>
          <w:sz w:val="32"/>
          <w:szCs w:val="32"/>
          <w:highlight w:val="none"/>
          <w:lang w:bidi="ar-SA"/>
        </w:rPr>
      </w:pPr>
      <w:bookmarkStart w:id="249" w:name="_Toc1456208178_WPSOffice_Level2"/>
      <w:bookmarkStart w:id="250" w:name="_Toc1005439555_WPSOffice_Level2"/>
      <w:bookmarkStart w:id="251" w:name="_Toc25945"/>
      <w:bookmarkStart w:id="252" w:name="_Toc16945"/>
      <w:r>
        <w:rPr>
          <w:rFonts w:hint="eastAsia" w:ascii="黑体" w:hAnsi="Times New Roman" w:eastAsia="黑体" w:cs="Times New Roman"/>
          <w:color w:val="auto"/>
          <w:sz w:val="32"/>
          <w:szCs w:val="32"/>
          <w:highlight w:val="none"/>
          <w:lang w:bidi="ar-SA"/>
        </w:rPr>
        <w:t>四、项目绩效情况</w:t>
      </w:r>
      <w:bookmarkEnd w:id="249"/>
      <w:bookmarkEnd w:id="250"/>
      <w:bookmarkEnd w:id="251"/>
      <w:bookmarkEnd w:id="252"/>
      <w:r>
        <w:rPr>
          <w:rFonts w:hint="eastAsia" w:ascii="黑体" w:hAnsi="Times New Roman" w:eastAsia="黑体" w:cs="Times New Roman"/>
          <w:color w:val="auto"/>
          <w:sz w:val="32"/>
          <w:szCs w:val="32"/>
          <w:highlight w:val="none"/>
          <w:lang w:bidi="ar-SA"/>
        </w:rPr>
        <w:tab/>
      </w:r>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2022年，我局严格执行市财政绩效预算安排，按合同约定，按时支付两个PPP项目第四期剩余和第五期运营补贴4923.5188万元，有力维护了我市诚信政府形象。</w:t>
      </w:r>
    </w:p>
    <w:p>
      <w:pPr>
        <w:shd w:val="clear"/>
        <w:adjustRightInd w:val="0"/>
        <w:snapToGrid w:val="0"/>
        <w:spacing w:line="560" w:lineRule="exact"/>
        <w:ind w:firstLine="640" w:firstLineChars="200"/>
        <w:outlineLvl w:val="1"/>
        <w:rPr>
          <w:rFonts w:hint="eastAsia" w:ascii="黑体" w:hAnsi="Times New Roman" w:eastAsia="黑体" w:cs="Times New Roman"/>
          <w:color w:val="auto"/>
          <w:sz w:val="32"/>
          <w:szCs w:val="32"/>
          <w:highlight w:val="none"/>
          <w:lang w:bidi="ar-SA"/>
        </w:rPr>
      </w:pPr>
      <w:bookmarkStart w:id="253" w:name="_Toc1835419233_WPSOffice_Level2"/>
      <w:bookmarkStart w:id="254" w:name="_Toc800131978_WPSOffice_Level2"/>
      <w:bookmarkStart w:id="255" w:name="_Toc18499"/>
      <w:bookmarkStart w:id="256" w:name="_Toc30121"/>
      <w:r>
        <w:rPr>
          <w:rFonts w:hint="eastAsia" w:ascii="黑体" w:hAnsi="Times New Roman" w:eastAsia="黑体" w:cs="Times New Roman"/>
          <w:color w:val="auto"/>
          <w:sz w:val="32"/>
          <w:szCs w:val="32"/>
          <w:highlight w:val="none"/>
          <w:lang w:bidi="ar-SA"/>
        </w:rPr>
        <w:t>五、评价结论及建议</w:t>
      </w:r>
      <w:bookmarkEnd w:id="253"/>
      <w:bookmarkEnd w:id="254"/>
      <w:bookmarkEnd w:id="255"/>
      <w:bookmarkEnd w:id="256"/>
    </w:p>
    <w:p>
      <w:pPr>
        <w:shd w:val="clear"/>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根据合同约定，2022年6月，由我局牵头组织，市财政局PPP中心、市公路建设服务中心、市交通运输综合服务中心参加，成立了两个PPP项目运营期绩效考核工作组，开展了定期绩效考评并严格打分，考核均为合格工程，达到付款条件。</w:t>
      </w:r>
    </w:p>
    <w:p>
      <w:pPr>
        <w:shd w:val="clear"/>
        <w:rPr>
          <w:rFonts w:hint="default" w:hAnsi="宋体" w:cs="宋体"/>
          <w:color w:val="auto"/>
          <w:kern w:val="0"/>
          <w:sz w:val="32"/>
          <w:szCs w:val="32"/>
          <w:highlight w:val="none"/>
          <w:shd w:val="clear" w:color="auto" w:fill="FFFFFF"/>
          <w:lang w:val="en-US" w:eastAsia="zh-CN"/>
        </w:rPr>
      </w:pPr>
      <w:r>
        <w:rPr>
          <w:rFonts w:hint="eastAsia" w:ascii="仿宋_GB2312" w:hAnsi="Times New Roman" w:eastAsia="仿宋_GB2312" w:cs="Times New Roman"/>
          <w:color w:val="auto"/>
          <w:sz w:val="32"/>
          <w:szCs w:val="32"/>
          <w:highlight w:val="none"/>
          <w:lang w:bidi="ar-SA"/>
        </w:rPr>
        <w:t>自评情况：2022年应付两个PPP项目公司营运补贴4923.5188万元，实付4923.5188万元，自评得分100分。</w:t>
      </w:r>
      <w:r>
        <w:rPr>
          <w:rFonts w:hint="default" w:hAnsi="宋体" w:cs="宋体"/>
          <w:color w:val="auto"/>
          <w:kern w:val="0"/>
          <w:sz w:val="32"/>
          <w:szCs w:val="32"/>
          <w:highlight w:val="none"/>
          <w:shd w:val="clear" w:color="auto" w:fill="FFFFFF"/>
          <w:lang w:val="en-US" w:eastAsia="zh-CN"/>
        </w:rPr>
        <w:br w:type="page"/>
      </w:r>
    </w:p>
    <w:p>
      <w:pPr>
        <w:shd w:val="clear"/>
        <w:adjustRightInd w:val="0"/>
        <w:snapToGrid/>
        <w:spacing w:line="576" w:lineRule="exact"/>
        <w:jc w:val="left"/>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附件8：</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shd w:val="clear"/>
        <w:adjustRightInd w:val="0"/>
        <w:snapToGrid/>
        <w:spacing w:line="576" w:lineRule="exact"/>
        <w:jc w:val="center"/>
        <w:rPr>
          <w:rFonts w:hint="eastAsia" w:ascii="方正小标宋_GBK" w:eastAsia="方正小标宋_GBK"/>
          <w:color w:val="auto"/>
          <w:kern w:val="0"/>
          <w:sz w:val="44"/>
          <w:szCs w:val="44"/>
          <w:highlight w:val="none"/>
        </w:rPr>
      </w:pPr>
      <w:r>
        <w:rPr>
          <w:rFonts w:hint="eastAsia" w:ascii="方正小标宋_GBK" w:eastAsia="方正小标宋_GBK"/>
          <w:color w:val="auto"/>
          <w:kern w:val="0"/>
          <w:sz w:val="44"/>
          <w:szCs w:val="44"/>
          <w:highlight w:val="none"/>
        </w:rPr>
        <w:t>关于黑石坡至曾家山公路工程</w:t>
      </w:r>
      <w:r>
        <w:rPr>
          <w:rFonts w:hint="eastAsia" w:ascii="方正小标宋_GBK" w:eastAsia="方正小标宋_GBK" w:cs="方正小标宋简体"/>
          <w:color w:val="auto"/>
          <w:kern w:val="2"/>
          <w:sz w:val="44"/>
          <w:szCs w:val="44"/>
          <w:highlight w:val="none"/>
          <w:lang w:bidi="ar-SA"/>
        </w:rPr>
        <w:t>2022年专项预算项目支出绩效自评报告</w:t>
      </w:r>
    </w:p>
    <w:p>
      <w:pPr>
        <w:pStyle w:val="13"/>
        <w:shd w:val="clear"/>
        <w:spacing w:before="0" w:beforeAutospacing="0" w:after="0" w:afterAutospacing="0" w:line="576" w:lineRule="exact"/>
        <w:ind w:left="0" w:leftChars="0" w:firstLine="0" w:firstLineChars="0"/>
        <w:rPr>
          <w:rFonts w:ascii="Times New Roman" w:hAnsi="Times New Roman" w:eastAsia="宋体" w:cs="Times New Roman"/>
          <w:color w:val="auto"/>
          <w:kern w:val="2"/>
          <w:sz w:val="32"/>
          <w:szCs w:val="32"/>
          <w:highlight w:val="none"/>
          <w:lang w:bidi="ar-SA"/>
        </w:rPr>
      </w:pPr>
    </w:p>
    <w:p>
      <w:pPr>
        <w:pStyle w:val="13"/>
        <w:shd w:val="clear"/>
        <w:tabs>
          <w:tab w:val="left" w:pos="0"/>
        </w:tabs>
        <w:spacing w:before="0" w:beforeAutospacing="0" w:after="0" w:afterAutospacing="0" w:line="576" w:lineRule="exact"/>
        <w:ind w:left="420" w:leftChars="200" w:firstLine="0" w:firstLineChars="0"/>
        <w:outlineLvl w:val="1"/>
        <w:rPr>
          <w:rFonts w:hint="eastAsia" w:ascii="黑体" w:eastAsia="黑体"/>
          <w:color w:val="auto"/>
          <w:kern w:val="2"/>
          <w:sz w:val="32"/>
          <w:szCs w:val="32"/>
          <w:highlight w:val="none"/>
        </w:rPr>
      </w:pPr>
      <w:bookmarkStart w:id="257" w:name="_Toc1517141546_WPSOffice_Level2"/>
      <w:bookmarkStart w:id="258" w:name="_Toc25442"/>
      <w:bookmarkStart w:id="259" w:name="_Toc9549"/>
      <w:bookmarkStart w:id="260" w:name="_Toc1825321827_WPSOffice_Level2"/>
      <w:r>
        <w:rPr>
          <w:rFonts w:hint="eastAsia" w:ascii="黑体" w:eastAsia="黑体"/>
          <w:color w:val="auto"/>
          <w:kern w:val="2"/>
          <w:sz w:val="32"/>
          <w:szCs w:val="32"/>
          <w:highlight w:val="none"/>
          <w:lang w:eastAsia="zh-CN"/>
        </w:rPr>
        <w:t>一、</w:t>
      </w:r>
      <w:r>
        <w:rPr>
          <w:rFonts w:hint="eastAsia" w:ascii="黑体" w:eastAsia="黑体"/>
          <w:color w:val="auto"/>
          <w:kern w:val="2"/>
          <w:sz w:val="32"/>
          <w:szCs w:val="32"/>
          <w:highlight w:val="none"/>
        </w:rPr>
        <w:t>项目概况</w:t>
      </w:r>
      <w:bookmarkEnd w:id="257"/>
      <w:bookmarkEnd w:id="258"/>
      <w:bookmarkEnd w:id="259"/>
      <w:bookmarkEnd w:id="260"/>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（一）项目基本情况。</w:t>
      </w:r>
    </w:p>
    <w:p>
      <w:pPr>
        <w:shd w:val="clear"/>
        <w:adjustRightInd w:val="0"/>
        <w:snapToGrid w:val="0"/>
        <w:spacing w:line="576" w:lineRule="exact"/>
        <w:ind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1．主管部门在管理中的职能。2022年，我局规划科</w:t>
      </w:r>
      <w:r>
        <w:rPr>
          <w:rFonts w:hint="eastAsia" w:ascii="仿宋_GB2312" w:eastAsia="仿宋_GB2312" w:cs="Times New Roman"/>
          <w:color w:val="auto"/>
          <w:kern w:val="2"/>
          <w:sz w:val="32"/>
          <w:szCs w:val="32"/>
          <w:highlight w:val="none"/>
          <w:lang w:eastAsia="zh-CN" w:bidi="ar-SA"/>
        </w:rPr>
        <w:t>、财务科</w:t>
      </w:r>
      <w:r>
        <w:rPr>
          <w:rFonts w:hint="eastAsia" w:ascii="仿宋_GB2312" w:eastAsia="仿宋_GB2312" w:cs="Times New Roman"/>
          <w:color w:val="auto"/>
          <w:kern w:val="2"/>
          <w:sz w:val="32"/>
          <w:szCs w:val="32"/>
          <w:highlight w:val="none"/>
          <w:lang w:bidi="ar-SA"/>
        </w:rPr>
        <w:t>对黑石坡至曾家山公路工程开展了资金预算、绩效申报和绩效运行监控、资金使用等全过程监管，确保项目管理规范、按期保质保量完成运营管理任务。同时，我局作为项目主管部门，根据绩效目标，开展了项目全面绩效管理，规范资金使用、严守财经纪律，充分发挥社会效益和经济效益。</w:t>
      </w:r>
    </w:p>
    <w:p>
      <w:pPr>
        <w:pStyle w:val="13"/>
        <w:shd w:val="clear"/>
        <w:spacing w:before="0" w:beforeAutospacing="0" w:after="0" w:afterAutospacing="0" w:line="576" w:lineRule="exact"/>
        <w:ind w:left="0" w:leftChars="0"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s="仿宋"/>
          <w:color w:val="auto"/>
          <w:kern w:val="0"/>
          <w:sz w:val="32"/>
          <w:szCs w:val="32"/>
          <w:highlight w:val="none"/>
          <w:lang w:bidi="ar-SA"/>
        </w:rPr>
        <w:t>2．项目立项、资金申报的依据。</w:t>
      </w:r>
      <w:r>
        <w:rPr>
          <w:rFonts w:hint="eastAsia" w:ascii="仿宋_GB2312" w:eastAsia="仿宋_GB2312"/>
          <w:color w:val="auto"/>
          <w:kern w:val="0"/>
          <w:sz w:val="32"/>
          <w:szCs w:val="32"/>
          <w:highlight w:val="none"/>
        </w:rPr>
        <w:t>该项目于2022年1月和2022年4月经广元市发展改革委员会广发改函</w:t>
      </w:r>
      <w:r>
        <w:rPr>
          <w:rFonts w:hint="eastAsia" w:ascii="微软雅黑" w:eastAsia="微软雅黑" w:cs="微软雅黑"/>
          <w:color w:val="auto"/>
          <w:kern w:val="0"/>
          <w:sz w:val="32"/>
          <w:szCs w:val="32"/>
          <w:highlight w:val="none"/>
          <w:lang w:bidi="ar-SA"/>
        </w:rPr>
        <w:t>〔</w:t>
      </w:r>
      <w:r>
        <w:rPr>
          <w:rFonts w:hint="eastAsia" w:ascii="仿宋_GB2312" w:eastAsia="仿宋_GB2312"/>
          <w:color w:val="auto"/>
          <w:kern w:val="0"/>
          <w:sz w:val="32"/>
          <w:szCs w:val="32"/>
          <w:highlight w:val="none"/>
        </w:rPr>
        <w:t>2022</w:t>
      </w:r>
      <w:r>
        <w:rPr>
          <w:rFonts w:hint="eastAsia" w:ascii="微软雅黑" w:eastAsia="微软雅黑" w:cs="微软雅黑"/>
          <w:color w:val="auto"/>
          <w:kern w:val="0"/>
          <w:sz w:val="32"/>
          <w:szCs w:val="32"/>
          <w:highlight w:val="none"/>
          <w:lang w:bidi="ar-SA"/>
        </w:rPr>
        <w:t>〕</w:t>
      </w:r>
      <w:r>
        <w:rPr>
          <w:rFonts w:hint="eastAsia" w:ascii="仿宋_GB2312" w:eastAsia="仿宋_GB2312"/>
          <w:color w:val="auto"/>
          <w:kern w:val="0"/>
          <w:sz w:val="32"/>
          <w:szCs w:val="32"/>
          <w:highlight w:val="none"/>
        </w:rPr>
        <w:t>32号和广发改函</w:t>
      </w:r>
      <w:r>
        <w:rPr>
          <w:rFonts w:hint="eastAsia" w:ascii="微软雅黑" w:eastAsia="微软雅黑" w:cs="微软雅黑"/>
          <w:color w:val="auto"/>
          <w:kern w:val="0"/>
          <w:sz w:val="32"/>
          <w:szCs w:val="32"/>
          <w:highlight w:val="none"/>
          <w:lang w:bidi="ar-SA"/>
        </w:rPr>
        <w:t>〔</w:t>
      </w:r>
      <w:r>
        <w:rPr>
          <w:rFonts w:hint="eastAsia" w:ascii="仿宋_GB2312" w:eastAsia="仿宋_GB2312"/>
          <w:color w:val="auto"/>
          <w:kern w:val="0"/>
          <w:sz w:val="32"/>
          <w:szCs w:val="32"/>
          <w:highlight w:val="none"/>
        </w:rPr>
        <w:t>2022</w:t>
      </w:r>
      <w:r>
        <w:rPr>
          <w:rFonts w:hint="eastAsia" w:ascii="微软雅黑" w:eastAsia="微软雅黑" w:cs="微软雅黑"/>
          <w:color w:val="auto"/>
          <w:kern w:val="0"/>
          <w:sz w:val="32"/>
          <w:szCs w:val="32"/>
          <w:highlight w:val="none"/>
          <w:lang w:bidi="ar-SA"/>
        </w:rPr>
        <w:t>〕</w:t>
      </w:r>
      <w:r>
        <w:rPr>
          <w:rFonts w:hint="eastAsia" w:ascii="仿宋_GB2312" w:eastAsia="仿宋_GB2312"/>
          <w:color w:val="auto"/>
          <w:kern w:val="0"/>
          <w:sz w:val="32"/>
          <w:szCs w:val="32"/>
          <w:highlight w:val="none"/>
        </w:rPr>
        <w:t>34号批复立项。</w:t>
      </w:r>
    </w:p>
    <w:p>
      <w:pPr>
        <w:shd w:val="clear"/>
        <w:adjustRightInd w:val="0"/>
        <w:snapToGrid w:val="0"/>
        <w:spacing w:line="576" w:lineRule="exact"/>
        <w:ind w:firstLine="640" w:firstLineChars="200"/>
        <w:rPr>
          <w:rFonts w:hint="eastAsia" w:ascii="仿宋_GB2312" w:eastAsia="仿宋_GB2312"/>
          <w:color w:val="auto"/>
          <w:kern w:val="0"/>
          <w:sz w:val="32"/>
          <w:szCs w:val="32"/>
          <w:highlight w:val="none"/>
          <w:shd w:val="clear" w:color="auto" w:fill="FFFFFF"/>
        </w:rPr>
      </w:pPr>
      <w:r>
        <w:rPr>
          <w:rFonts w:hint="eastAsia" w:ascii="仿宋_GB2312" w:eastAsia="仿宋_GB2312" w:cs="Times New Roman"/>
          <w:color w:val="auto"/>
          <w:kern w:val="2"/>
          <w:sz w:val="32"/>
          <w:szCs w:val="32"/>
          <w:highlight w:val="none"/>
          <w:lang w:bidi="ar-SA"/>
        </w:rPr>
        <w:t>3．资金管理办法制定情况。</w:t>
      </w:r>
      <w:r>
        <w:rPr>
          <w:rFonts w:hint="eastAsia" w:ascii="仿宋_GB2312" w:eastAsia="仿宋_GB2312" w:cs="仿宋"/>
          <w:color w:val="auto"/>
          <w:kern w:val="0"/>
          <w:sz w:val="32"/>
          <w:szCs w:val="32"/>
          <w:highlight w:val="none"/>
          <w:lang w:bidi="ar-SA"/>
        </w:rPr>
        <w:t>我局财务制度健全，专门建立了《广元市交通运输局预算管理》《广元市交通运输局收支管理》等内控制度，会计核算规范，账务处理及时，资金管理和使用符合国家财经法规</w:t>
      </w:r>
      <w:r>
        <w:rPr>
          <w:rFonts w:hint="eastAsia" w:ascii="仿宋_GB2312" w:eastAsia="仿宋_GB2312" w:cs="仿宋"/>
          <w:color w:val="auto"/>
          <w:kern w:val="0"/>
          <w:sz w:val="32"/>
          <w:szCs w:val="32"/>
          <w:highlight w:val="none"/>
          <w:lang w:eastAsia="zh-CN" w:bidi="ar-SA"/>
        </w:rPr>
        <w:t>、各级</w:t>
      </w:r>
      <w:r>
        <w:rPr>
          <w:rFonts w:hint="eastAsia" w:ascii="仿宋_GB2312" w:eastAsia="仿宋_GB2312" w:cs="仿宋"/>
          <w:color w:val="auto"/>
          <w:kern w:val="0"/>
          <w:sz w:val="32"/>
          <w:szCs w:val="32"/>
          <w:highlight w:val="none"/>
          <w:lang w:bidi="ar-SA"/>
        </w:rPr>
        <w:t>专项资金管理办法规定</w:t>
      </w:r>
      <w:r>
        <w:rPr>
          <w:rFonts w:hint="eastAsia" w:ascii="仿宋_GB2312" w:eastAsia="仿宋_GB2312" w:cs="仿宋"/>
          <w:color w:val="auto"/>
          <w:kern w:val="0"/>
          <w:sz w:val="32"/>
          <w:szCs w:val="32"/>
          <w:highlight w:val="none"/>
          <w:lang w:eastAsia="zh-CN" w:bidi="ar-SA"/>
        </w:rPr>
        <w:t>和内部</w:t>
      </w:r>
      <w:r>
        <w:rPr>
          <w:rFonts w:hint="eastAsia" w:ascii="仿宋_GB2312" w:eastAsia="仿宋_GB2312" w:cs="仿宋"/>
          <w:color w:val="auto"/>
          <w:kern w:val="0"/>
          <w:sz w:val="32"/>
          <w:szCs w:val="32"/>
          <w:highlight w:val="none"/>
          <w:lang w:bidi="ar-SA"/>
        </w:rPr>
        <w:t>财务管理制度。为进一步加强主管部门在交通建设项目中的资金监管，2021年，我局和市财政局联合转发了《四川省省级财政交通专项资金管理办法》。</w:t>
      </w:r>
    </w:p>
    <w:p>
      <w:pPr>
        <w:pStyle w:val="13"/>
        <w:shd w:val="clear"/>
        <w:spacing w:before="0" w:beforeAutospacing="0" w:after="0" w:afterAutospacing="0" w:line="576" w:lineRule="exact"/>
        <w:ind w:left="0" w:leftChars="0" w:firstLine="640" w:firstLineChars="200"/>
        <w:rPr>
          <w:rFonts w:hint="eastAsia" w:ascii="黑体" w:eastAsia="黑体"/>
          <w:color w:val="auto"/>
          <w:kern w:val="2"/>
          <w:sz w:val="32"/>
          <w:szCs w:val="32"/>
          <w:highlight w:val="none"/>
        </w:rPr>
      </w:pPr>
      <w:r>
        <w:rPr>
          <w:rFonts w:hint="eastAsia" w:ascii="仿宋_GB2312" w:eastAsia="仿宋_GB2312" w:cs="Times New Roman"/>
          <w:color w:val="auto"/>
          <w:kern w:val="2"/>
          <w:sz w:val="32"/>
          <w:szCs w:val="32"/>
          <w:highlight w:val="none"/>
          <w:lang w:bidi="ar-SA"/>
        </w:rPr>
        <w:t>4．资金分配的原则。我局资金分配坚持“专款专用”原则。交通建设项目专项资金使用范围内除交通应急保通保畅资金，以及特定法以外的专项资金安排均采用项目法分配。我局收到资金计划后，按照“三重一大”的要求，由业务科室根据实际情况按照计划文件和项目法分配原则提出分配方案报局党组会议审定，再向市财政局报送拨付函，及时将项目资金拨付给</w:t>
      </w:r>
      <w:r>
        <w:rPr>
          <w:rFonts w:hint="eastAsia" w:ascii="仿宋_GB2312" w:eastAsia="仿宋_GB2312" w:cs="Times New Roman"/>
          <w:color w:val="auto"/>
          <w:kern w:val="2"/>
          <w:sz w:val="32"/>
          <w:szCs w:val="32"/>
          <w:highlight w:val="none"/>
          <w:lang w:eastAsia="zh-CN" w:bidi="ar-SA"/>
        </w:rPr>
        <w:t>市交投集团</w:t>
      </w:r>
      <w:r>
        <w:rPr>
          <w:rFonts w:hint="eastAsia" w:ascii="仿宋_GB2312" w:eastAsia="仿宋_GB2312" w:cs="Times New Roman"/>
          <w:color w:val="auto"/>
          <w:kern w:val="2"/>
          <w:sz w:val="32"/>
          <w:szCs w:val="32"/>
          <w:highlight w:val="none"/>
          <w:lang w:bidi="ar-SA"/>
        </w:rPr>
        <w:t>。</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（二）项目绩效目标。</w:t>
      </w:r>
    </w:p>
    <w:p>
      <w:pPr>
        <w:shd w:val="clear"/>
        <w:spacing w:line="576" w:lineRule="exact"/>
        <w:ind w:firstLine="640" w:firstLineChars="200"/>
        <w:rPr>
          <w:rFonts w:hint="eastAsia" w:ascii="仿宋_GB2312" w:eastAsia="仿宋_GB2312"/>
          <w:color w:val="auto"/>
          <w:kern w:val="0"/>
          <w:sz w:val="32"/>
          <w:szCs w:val="32"/>
          <w:highlight w:val="none"/>
        </w:rPr>
      </w:pPr>
      <w:r>
        <w:rPr>
          <w:rFonts w:hint="eastAsia" w:ascii="仿宋_GB2312" w:eastAsia="仿宋_GB2312"/>
          <w:color w:val="auto"/>
          <w:kern w:val="0"/>
          <w:sz w:val="32"/>
          <w:szCs w:val="32"/>
          <w:highlight w:val="none"/>
          <w:shd w:val="clear" w:color="auto" w:fill="FFFFFF"/>
        </w:rPr>
        <w:t>1．</w:t>
      </w:r>
      <w:r>
        <w:rPr>
          <w:rFonts w:hint="eastAsia" w:ascii="仿宋_GB2312" w:eastAsia="仿宋_GB2312" w:cs="Times New Roman"/>
          <w:color w:val="auto"/>
          <w:kern w:val="2"/>
          <w:sz w:val="32"/>
          <w:szCs w:val="32"/>
          <w:highlight w:val="none"/>
          <w:lang w:bidi="ar-SA"/>
        </w:rPr>
        <w:t>项目主要内容。该项目主要用于</w:t>
      </w:r>
      <w:r>
        <w:rPr>
          <w:rFonts w:hint="eastAsia" w:ascii="仿宋_GB2312" w:eastAsia="仿宋_GB2312"/>
          <w:color w:val="auto"/>
          <w:kern w:val="2"/>
          <w:sz w:val="32"/>
          <w:szCs w:val="32"/>
          <w:highlight w:val="none"/>
        </w:rPr>
        <w:t>黑石坡至曾家山公路</w:t>
      </w:r>
      <w:r>
        <w:rPr>
          <w:rFonts w:hint="eastAsia" w:ascii="仿宋_GB2312" w:eastAsia="仿宋_GB2312"/>
          <w:color w:val="auto"/>
          <w:kern w:val="0"/>
          <w:sz w:val="32"/>
          <w:szCs w:val="32"/>
          <w:highlight w:val="none"/>
        </w:rPr>
        <w:t>工程项目前期及立项批复、林地植被恢复和初步勘察设计批复。</w:t>
      </w:r>
    </w:p>
    <w:p>
      <w:pPr>
        <w:keepNext w:val="0"/>
        <w:keepLines w:val="0"/>
        <w:pageBreakBefore w:val="0"/>
        <w:widowControl w:val="0"/>
        <w:suppressLineNumbers w:val="0"/>
        <w:shd w:val="clear"/>
        <w:suppressAutoHyphens w:val="0"/>
        <w:kinsoku/>
        <w:wordWrap/>
        <w:overflowPunct/>
        <w:topLinePunct w:val="0"/>
        <w:autoSpaceDE/>
        <w:autoSpaceDN/>
        <w:spacing w:line="576" w:lineRule="exact"/>
        <w:ind w:firstLine="640" w:firstLineChars="200"/>
        <w:rPr>
          <w:rFonts w:hint="eastAsia" w:ascii="仿宋_GB2312" w:eastAsia="仿宋_GB2312"/>
          <w:color w:val="auto"/>
          <w:kern w:val="0"/>
          <w:sz w:val="32"/>
          <w:szCs w:val="32"/>
          <w:highlight w:val="none"/>
        </w:rPr>
      </w:pPr>
      <w:r>
        <w:rPr>
          <w:rFonts w:hint="eastAsia" w:ascii="仿宋_GB2312" w:eastAsia="仿宋_GB2312"/>
          <w:color w:val="auto"/>
          <w:kern w:val="0"/>
          <w:sz w:val="32"/>
          <w:szCs w:val="32"/>
          <w:highlight w:val="none"/>
          <w:shd w:val="clear" w:color="auto" w:fill="FFFFFF"/>
        </w:rPr>
        <w:t>2．项目应实现的具体绩效目标</w:t>
      </w:r>
      <w:r>
        <w:rPr>
          <w:rFonts w:hint="eastAsia" w:ascii="仿宋_GB2312" w:hAnsi="仿宋_GB2312" w:eastAsia="宋体" w:cs="仿宋_GB2312"/>
          <w:color w:val="auto"/>
          <w:kern w:val="0"/>
          <w:sz w:val="32"/>
          <w:szCs w:val="32"/>
          <w:highlight w:val="none"/>
          <w:shd w:val="clear" w:color="auto" w:fill="FFFFFF"/>
          <w:lang w:bidi="ar-SA"/>
        </w:rPr>
        <w:t>。</w:t>
      </w:r>
      <w:r>
        <w:rPr>
          <w:rFonts w:hint="eastAsia" w:ascii="仿宋_GB2312" w:eastAsia="仿宋_GB2312"/>
          <w:color w:val="auto"/>
          <w:kern w:val="0"/>
          <w:sz w:val="32"/>
          <w:szCs w:val="32"/>
          <w:highlight w:val="none"/>
        </w:rPr>
        <w:t>2022年内完成黑石坡至曾家山公路工程项目前期及立项批复、林地植被恢复和初步勘察设计批复。</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3．项目资金申报相符性和可行性。项目申报内容与实际相符，申报目标合理可行。</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（三）项目自评步骤及方法。</w:t>
      </w:r>
    </w:p>
    <w:p>
      <w:pPr>
        <w:pStyle w:val="13"/>
        <w:shd w:val="clear"/>
        <w:spacing w:before="0" w:beforeAutospacing="0" w:after="0" w:afterAutospacing="0" w:line="576" w:lineRule="exact"/>
        <w:ind w:left="0" w:leftChars="0"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根据预算绩效管理要求，我局由财务科牵头，局规划科紧密配合，比照《2023年市级专项资金预算项目支出绩效评价指标体系》和年初绩效目标申报，严格执行《广元市市级预算绩效目标管理办法》规定，依据“谁申报、谁自评、谁绩效”的原则，采用成本效益分析法，对该项目产出完成、项目效益、财务管理、满意度等方面进行了认真全面的绩效自评。经自评，项目支出绩效情况良好。</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outlineLvl w:val="1"/>
        <w:rPr>
          <w:rFonts w:hint="eastAsia" w:ascii="黑体" w:eastAsia="黑体" w:cs="Times New Roman"/>
          <w:color w:val="auto"/>
          <w:kern w:val="2"/>
          <w:sz w:val="32"/>
          <w:szCs w:val="32"/>
          <w:highlight w:val="none"/>
          <w:lang w:bidi="ar-SA"/>
        </w:rPr>
      </w:pPr>
      <w:bookmarkStart w:id="261" w:name="_Toc22625"/>
      <w:bookmarkStart w:id="262" w:name="_Toc263759117_WPSOffice_Level2"/>
      <w:bookmarkStart w:id="263" w:name="_Toc29357"/>
      <w:bookmarkStart w:id="264" w:name="_Toc2006871660_WPSOffice_Level2"/>
      <w:r>
        <w:rPr>
          <w:rFonts w:hint="eastAsia" w:ascii="黑体" w:eastAsia="黑体" w:cs="Times New Roman"/>
          <w:color w:val="auto"/>
          <w:kern w:val="2"/>
          <w:sz w:val="32"/>
          <w:szCs w:val="32"/>
          <w:highlight w:val="none"/>
          <w:lang w:bidi="ar-SA"/>
        </w:rPr>
        <w:t>二、项目资金申报及使用情况</w:t>
      </w:r>
      <w:bookmarkEnd w:id="261"/>
      <w:bookmarkEnd w:id="262"/>
      <w:bookmarkEnd w:id="263"/>
      <w:bookmarkEnd w:id="264"/>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（一）项目资金申报及批复情况。</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2022年6月，市财政局下达我局黑石坡至曾家山公路工程经费1646万元（广财建〔2022〕47号）。</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仿宋_GB2312" w:hAnsi="仿宋_GB2312" w:eastAsia="宋体"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（二）资金计划、到位及使用情况。</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contextualSpacing/>
        <w:jc w:val="both"/>
        <w:rPr>
          <w:rFonts w:hint="eastAsia" w:ascii="仿宋_GB2312" w:eastAsia="仿宋_GB2312"/>
          <w:color w:val="auto"/>
          <w:kern w:val="0"/>
          <w:sz w:val="32"/>
          <w:szCs w:val="32"/>
          <w:highlight w:val="none"/>
          <w:shd w:val="clear" w:color="auto" w:fill="FFFFFF"/>
        </w:rPr>
      </w:pPr>
      <w:r>
        <w:rPr>
          <w:rFonts w:hint="eastAsia" w:ascii="仿宋_GB2312" w:eastAsia="仿宋_GB2312"/>
          <w:color w:val="auto"/>
          <w:kern w:val="0"/>
          <w:sz w:val="32"/>
          <w:szCs w:val="32"/>
          <w:highlight w:val="none"/>
          <w:shd w:val="clear" w:color="auto" w:fill="FFFFFF"/>
        </w:rPr>
        <w:t>1．资金计划。</w:t>
      </w:r>
      <w:r>
        <w:rPr>
          <w:rFonts w:hint="eastAsia" w:ascii="仿宋_GB2312" w:eastAsia="仿宋_GB2312" w:cs="Times New Roman"/>
          <w:color w:val="auto"/>
          <w:kern w:val="2"/>
          <w:sz w:val="32"/>
          <w:szCs w:val="32"/>
          <w:highlight w:val="none"/>
          <w:lang w:bidi="ar-SA"/>
        </w:rPr>
        <w:t>黑石坡至曾家山公路工程预算金额为1646万元，资金来源为市级财政一般公共预算安排。</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contextualSpacing/>
        <w:jc w:val="both"/>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2．资金到位。2022年6月，由市财政局下达黑石坡至曾家山公路工程调整预算资金1646万元（广财建</w:t>
      </w:r>
      <w:r>
        <w:rPr>
          <w:rFonts w:hint="default" w:ascii="仿宋_GB2312" w:hAnsi="仿宋_GB2312" w:eastAsia="宋体" w:cs="Times New Roman"/>
          <w:color w:val="auto"/>
          <w:kern w:val="2"/>
          <w:sz w:val="32"/>
          <w:szCs w:val="32"/>
          <w:highlight w:val="none"/>
          <w:lang w:bidi="ar-SA"/>
        </w:rPr>
        <w:t>〔</w:t>
      </w:r>
      <w:r>
        <w:rPr>
          <w:rFonts w:ascii="仿宋_GB2312" w:hAnsi="仿宋_GB2312" w:eastAsia="宋体" w:cs="Times New Roman"/>
          <w:color w:val="auto"/>
          <w:kern w:val="2"/>
          <w:sz w:val="32"/>
          <w:szCs w:val="32"/>
          <w:highlight w:val="none"/>
          <w:lang w:bidi="ar-SA"/>
        </w:rPr>
        <w:t>2022</w:t>
      </w:r>
      <w:r>
        <w:rPr>
          <w:rFonts w:hint="default" w:ascii="仿宋_GB2312" w:hAnsi="仿宋_GB2312" w:eastAsia="宋体" w:cs="Times New Roman"/>
          <w:color w:val="auto"/>
          <w:kern w:val="2"/>
          <w:sz w:val="32"/>
          <w:szCs w:val="32"/>
          <w:highlight w:val="none"/>
          <w:lang w:bidi="ar-SA"/>
        </w:rPr>
        <w:t>〕</w:t>
      </w:r>
      <w:r>
        <w:rPr>
          <w:rFonts w:hint="eastAsia" w:ascii="仿宋_GB2312" w:eastAsia="仿宋_GB2312" w:cs="Times New Roman"/>
          <w:color w:val="auto"/>
          <w:kern w:val="2"/>
          <w:sz w:val="32"/>
          <w:szCs w:val="32"/>
          <w:highlight w:val="none"/>
          <w:lang w:bidi="ar-SA"/>
        </w:rPr>
        <w:t>47号），资金已全额到位，资金到位率为100%。</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contextualSpacing/>
        <w:jc w:val="both"/>
        <w:rPr>
          <w:rFonts w:hint="eastAsia" w:ascii="仿宋_GB2312" w:eastAsia="仿宋_GB2312"/>
          <w:color w:val="auto"/>
          <w:kern w:val="0"/>
          <w:sz w:val="32"/>
          <w:szCs w:val="32"/>
          <w:highlight w:val="none"/>
          <w:shd w:val="clear" w:color="auto" w:fill="FFFFFF"/>
        </w:rPr>
      </w:pPr>
      <w:r>
        <w:rPr>
          <w:rFonts w:hint="eastAsia" w:ascii="仿宋_GB2312" w:eastAsia="仿宋_GB2312" w:cs="Times New Roman"/>
          <w:color w:val="auto"/>
          <w:kern w:val="2"/>
          <w:sz w:val="32"/>
          <w:szCs w:val="32"/>
          <w:highlight w:val="none"/>
          <w:lang w:bidi="ar-SA"/>
        </w:rPr>
        <w:t>3．资金使用。截至2022年12月，使用金额为1646万元，剩余资金0元，支付进度100%。资金支付严格遵循财政资金支付规定，支付依据合规合法，预算执行率100%。</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（三）项目财务管理情况。</w:t>
      </w:r>
    </w:p>
    <w:p>
      <w:pPr>
        <w:pStyle w:val="40"/>
        <w:shd w:val="clear"/>
        <w:spacing w:line="576" w:lineRule="exact"/>
        <w:ind w:firstLine="640" w:firstLineChars="200"/>
        <w:rPr>
          <w:rFonts w:hint="eastAsia" w:ascii="仿宋_GB2312" w:eastAsia="仿宋_GB2312" w:cs="宋体"/>
          <w:color w:val="auto"/>
          <w:kern w:val="2"/>
          <w:sz w:val="32"/>
          <w:szCs w:val="32"/>
          <w:highlight w:val="none"/>
          <w:lang w:bidi="ar-SA"/>
        </w:rPr>
      </w:pPr>
      <w:r>
        <w:rPr>
          <w:rFonts w:hint="eastAsia" w:ascii="仿宋_GB2312" w:eastAsia="仿宋_GB2312" w:cs="宋体"/>
          <w:color w:val="auto"/>
          <w:kern w:val="2"/>
          <w:sz w:val="32"/>
          <w:szCs w:val="32"/>
          <w:highlight w:val="none"/>
          <w:lang w:bidi="ar-SA"/>
        </w:rPr>
        <w:t>我局严格执行</w:t>
      </w:r>
      <w:r>
        <w:rPr>
          <w:rFonts w:hint="eastAsia" w:ascii="仿宋_GB2312" w:eastAsia="仿宋_GB2312" w:cs="宋体"/>
          <w:color w:val="auto"/>
          <w:kern w:val="2"/>
          <w:sz w:val="32"/>
          <w:szCs w:val="32"/>
          <w:highlight w:val="none"/>
          <w:lang w:eastAsia="zh-CN" w:bidi="ar-SA"/>
        </w:rPr>
        <w:t>中、省、市</w:t>
      </w:r>
      <w:r>
        <w:rPr>
          <w:rFonts w:hint="eastAsia" w:ascii="仿宋_GB2312" w:eastAsia="仿宋_GB2312" w:cs="宋体"/>
          <w:color w:val="auto"/>
          <w:kern w:val="2"/>
          <w:sz w:val="32"/>
          <w:szCs w:val="32"/>
          <w:highlight w:val="none"/>
          <w:lang w:bidi="ar-SA"/>
        </w:rPr>
        <w:t>相关</w:t>
      </w:r>
      <w:r>
        <w:rPr>
          <w:rFonts w:hint="eastAsia" w:ascii="仿宋_GB2312" w:eastAsia="仿宋_GB2312" w:cs="宋体"/>
          <w:color w:val="auto"/>
          <w:kern w:val="2"/>
          <w:sz w:val="32"/>
          <w:szCs w:val="32"/>
          <w:highlight w:val="none"/>
          <w:lang w:eastAsia="zh-CN" w:bidi="ar-SA"/>
        </w:rPr>
        <w:t>政策规定</w:t>
      </w:r>
      <w:r>
        <w:rPr>
          <w:rFonts w:hint="eastAsia" w:ascii="仿宋_GB2312" w:eastAsia="仿宋_GB2312" w:cs="宋体"/>
          <w:color w:val="auto"/>
          <w:kern w:val="2"/>
          <w:sz w:val="32"/>
          <w:szCs w:val="32"/>
          <w:highlight w:val="none"/>
          <w:lang w:bidi="ar-SA"/>
        </w:rPr>
        <w:t>，财务制度健全，制定了绩效管理、财务管理办法等内部控制制度，资金管理和使用符合</w:t>
      </w:r>
      <w:r>
        <w:rPr>
          <w:rFonts w:hint="eastAsia" w:ascii="仿宋_GB2312" w:eastAsia="仿宋_GB2312" w:cs="仿宋"/>
          <w:color w:val="auto"/>
          <w:kern w:val="0"/>
          <w:sz w:val="32"/>
          <w:szCs w:val="32"/>
          <w:highlight w:val="none"/>
          <w:lang w:bidi="ar-SA"/>
        </w:rPr>
        <w:t>国家财经法规</w:t>
      </w:r>
      <w:r>
        <w:rPr>
          <w:rFonts w:hint="eastAsia" w:ascii="仿宋_GB2312" w:eastAsia="仿宋_GB2312" w:cs="仿宋"/>
          <w:color w:val="auto"/>
          <w:kern w:val="0"/>
          <w:sz w:val="32"/>
          <w:szCs w:val="32"/>
          <w:highlight w:val="none"/>
          <w:lang w:val="en-US" w:eastAsia="zh-CN" w:bidi="ar-SA"/>
        </w:rPr>
        <w:t>、中省市</w:t>
      </w:r>
      <w:r>
        <w:rPr>
          <w:rFonts w:hint="eastAsia" w:ascii="仿宋_GB2312" w:eastAsia="仿宋_GB2312" w:cs="仿宋"/>
          <w:color w:val="auto"/>
          <w:kern w:val="0"/>
          <w:sz w:val="32"/>
          <w:szCs w:val="32"/>
          <w:highlight w:val="none"/>
          <w:lang w:bidi="ar-SA"/>
        </w:rPr>
        <w:t>有关专项资金管理办法规定</w:t>
      </w:r>
      <w:r>
        <w:rPr>
          <w:rFonts w:hint="eastAsia" w:ascii="仿宋_GB2312" w:eastAsia="仿宋_GB2312" w:cs="宋体"/>
          <w:color w:val="auto"/>
          <w:kern w:val="2"/>
          <w:sz w:val="32"/>
          <w:szCs w:val="32"/>
          <w:highlight w:val="none"/>
          <w:lang w:bidi="ar-SA"/>
        </w:rPr>
        <w:t>。</w:t>
      </w:r>
    </w:p>
    <w:p>
      <w:pPr>
        <w:pStyle w:val="13"/>
        <w:shd w:val="clear"/>
        <w:spacing w:before="0" w:beforeAutospacing="0" w:after="0" w:afterAutospacing="0" w:line="576" w:lineRule="exact"/>
        <w:outlineLvl w:val="1"/>
        <w:rPr>
          <w:rFonts w:hint="eastAsia" w:ascii="Times New Roman" w:hAnsi="Times New Roman" w:eastAsia="宋体" w:cs="Times New Roman"/>
          <w:color w:val="auto"/>
          <w:kern w:val="2"/>
          <w:sz w:val="32"/>
          <w:szCs w:val="32"/>
          <w:highlight w:val="none"/>
          <w:lang w:bidi="ar-SA"/>
        </w:rPr>
      </w:pPr>
      <w:bookmarkStart w:id="265" w:name="_Toc988320315_WPSOffice_Level2"/>
      <w:bookmarkStart w:id="266" w:name="_Toc1439538225_WPSOffice_Level2"/>
      <w:bookmarkStart w:id="267" w:name="_Toc1622"/>
      <w:bookmarkStart w:id="268" w:name="_Toc12415"/>
      <w:r>
        <w:rPr>
          <w:rFonts w:hint="eastAsia" w:ascii="黑体" w:eastAsia="黑体" w:cs="Times New Roman"/>
          <w:color w:val="auto"/>
          <w:kern w:val="2"/>
          <w:sz w:val="32"/>
          <w:szCs w:val="32"/>
          <w:highlight w:val="none"/>
          <w:lang w:bidi="ar-SA"/>
        </w:rPr>
        <w:t>三、项目实施及管理情况</w:t>
      </w:r>
      <w:bookmarkEnd w:id="265"/>
      <w:bookmarkEnd w:id="266"/>
      <w:bookmarkEnd w:id="267"/>
      <w:bookmarkEnd w:id="268"/>
    </w:p>
    <w:p>
      <w:pPr>
        <w:pStyle w:val="16"/>
        <w:keepNext w:val="0"/>
        <w:keepLines w:val="0"/>
        <w:pageBreakBefore w:val="0"/>
        <w:widowControl w:val="0"/>
        <w:suppressLineNumbers w:val="0"/>
        <w:shd w:val="clear"/>
        <w:suppressAutoHyphens w:val="0"/>
        <w:kinsoku/>
        <w:wordWrap/>
        <w:overflowPunct/>
        <w:topLinePunct w:val="0"/>
        <w:autoSpaceDE/>
        <w:autoSpaceDN/>
        <w:spacing w:before="0" w:beforeAutospacing="0" w:after="0" w:afterAutospacing="0" w:line="576" w:lineRule="exact"/>
        <w:ind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0"/>
          <w:sz w:val="32"/>
          <w:szCs w:val="32"/>
          <w:highlight w:val="none"/>
          <w:lang w:bidi="ar-SA"/>
        </w:rPr>
        <w:t>该项目由市交通投资集团有限公司组织实施，该项目已取得立项、初设批复，完成既定目标，在此基础上顺利完成项目招商工作。我局</w:t>
      </w:r>
      <w:r>
        <w:rPr>
          <w:rFonts w:hint="eastAsia" w:ascii="仿宋_GB2312" w:eastAsia="仿宋_GB2312" w:cs="Times New Roman"/>
          <w:color w:val="auto"/>
          <w:kern w:val="2"/>
          <w:sz w:val="32"/>
          <w:szCs w:val="32"/>
          <w:highlight w:val="none"/>
          <w:lang w:bidi="ar-SA"/>
        </w:rPr>
        <w:t>严格按照相关法律法规和程序，对项目进行全过程、全方位的监督管理，努力化解风险，对项目实施全过程进行目标绩效管理。</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outlineLvl w:val="1"/>
        <w:rPr>
          <w:rFonts w:hint="eastAsia" w:ascii="仿宋_GB2312" w:hAnsi="仿宋_GB2312" w:eastAsia="宋体" w:cs="Times New Roman"/>
          <w:color w:val="auto"/>
          <w:kern w:val="2"/>
          <w:sz w:val="32"/>
          <w:szCs w:val="32"/>
          <w:highlight w:val="none"/>
          <w:lang w:bidi="ar-SA"/>
        </w:rPr>
      </w:pPr>
      <w:bookmarkStart w:id="269" w:name="_Toc1669160417_WPSOffice_Level2"/>
      <w:bookmarkStart w:id="270" w:name="_Toc1450984039_WPSOffice_Level2"/>
      <w:bookmarkStart w:id="271" w:name="_Toc9287"/>
      <w:bookmarkStart w:id="272" w:name="_Toc26091"/>
      <w:r>
        <w:rPr>
          <w:rFonts w:hint="eastAsia" w:ascii="黑体" w:eastAsia="黑体" w:cs="Times New Roman"/>
          <w:color w:val="auto"/>
          <w:kern w:val="2"/>
          <w:sz w:val="32"/>
          <w:szCs w:val="32"/>
          <w:highlight w:val="none"/>
          <w:lang w:bidi="ar-SA"/>
        </w:rPr>
        <w:t>四、项目绩效情况</w:t>
      </w:r>
      <w:bookmarkEnd w:id="269"/>
      <w:bookmarkEnd w:id="270"/>
      <w:bookmarkEnd w:id="271"/>
      <w:bookmarkEnd w:id="272"/>
      <w:r>
        <w:rPr>
          <w:rFonts w:hint="eastAsia" w:ascii="仿宋_GB2312" w:hAnsi="仿宋_GB2312" w:eastAsia="宋体" w:cs="Times New Roman"/>
          <w:color w:val="auto"/>
          <w:kern w:val="2"/>
          <w:sz w:val="32"/>
          <w:szCs w:val="32"/>
          <w:highlight w:val="none"/>
          <w:lang w:bidi="ar-SA"/>
        </w:rPr>
        <w:tab/>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（一）项目完成情况。</w:t>
      </w:r>
    </w:p>
    <w:p>
      <w:pPr>
        <w:shd w:val="clear"/>
        <w:spacing w:line="576" w:lineRule="exact"/>
        <w:ind w:firstLine="640" w:firstLineChars="200"/>
        <w:rPr>
          <w:rFonts w:hint="eastAsia" w:ascii="Times New Roman" w:hAnsi="Times New Roman" w:eastAsia="宋体" w:cs="Times New Roman"/>
          <w:color w:val="auto"/>
          <w:kern w:val="2"/>
          <w:sz w:val="32"/>
          <w:szCs w:val="32"/>
          <w:highlight w:val="none"/>
          <w:lang w:bidi="ar-SA"/>
        </w:rPr>
      </w:pPr>
      <w:r>
        <w:rPr>
          <w:rFonts w:hint="eastAsia" w:ascii="仿宋_GB2312" w:eastAsia="仿宋_GB2312" w:cs="Times New Roman"/>
          <w:color w:val="auto"/>
          <w:kern w:val="0"/>
          <w:sz w:val="32"/>
          <w:szCs w:val="32"/>
          <w:highlight w:val="none"/>
          <w:lang w:bidi="ar-SA"/>
        </w:rPr>
        <w:t>2022年，市交投集团积极</w:t>
      </w:r>
      <w:r>
        <w:rPr>
          <w:rFonts w:hint="eastAsia" w:ascii="仿宋_GB2312" w:eastAsia="仿宋_GB2312"/>
          <w:color w:val="auto"/>
          <w:kern w:val="0"/>
          <w:sz w:val="32"/>
          <w:szCs w:val="32"/>
          <w:highlight w:val="none"/>
        </w:rPr>
        <w:t>完成了黑石坡至曾家山公路工程项目前期及立项批复、林地植被恢复和初步勘察设计批复</w:t>
      </w:r>
      <w:r>
        <w:rPr>
          <w:rFonts w:hint="eastAsia" w:ascii="仿宋_GB2312" w:eastAsia="仿宋_GB2312" w:cs="Times New Roman"/>
          <w:color w:val="auto"/>
          <w:kern w:val="0"/>
          <w:sz w:val="32"/>
          <w:szCs w:val="32"/>
          <w:highlight w:val="none"/>
          <w:lang w:bidi="ar-SA"/>
        </w:rPr>
        <w:t>。</w:t>
      </w:r>
    </w:p>
    <w:p>
      <w:pPr>
        <w:keepNext w:val="0"/>
        <w:keepLines w:val="0"/>
        <w:pageBreakBefore w:val="0"/>
        <w:widowControl w:val="0"/>
        <w:suppressLineNumbers w:val="0"/>
        <w:shd w:val="clear"/>
        <w:suppressAutoHyphens w:val="0"/>
        <w:kinsoku/>
        <w:wordWrap/>
        <w:overflowPunct/>
        <w:topLinePunct w:val="0"/>
        <w:autoSpaceDE/>
        <w:autoSpaceDN/>
        <w:spacing w:line="576" w:lineRule="exact"/>
        <w:ind w:firstLine="640" w:firstLineChars="200"/>
        <w:rPr>
          <w:rFonts w:hint="eastAsia" w:ascii="黑体" w:eastAsia="黑体"/>
          <w:color w:val="auto"/>
          <w:kern w:val="2"/>
          <w:sz w:val="32"/>
          <w:szCs w:val="32"/>
          <w:highlight w:val="none"/>
        </w:rPr>
      </w:pPr>
      <w:r>
        <w:rPr>
          <w:rFonts w:hint="eastAsia" w:ascii="楷体_GB2312" w:eastAsia="楷体_GB2312" w:cs="Times New Roman"/>
          <w:color w:val="auto"/>
          <w:kern w:val="2"/>
          <w:sz w:val="32"/>
          <w:szCs w:val="32"/>
          <w:highlight w:val="none"/>
          <w:lang w:bidi="ar-SA"/>
        </w:rPr>
        <w:t>（二）项目效益情况。</w:t>
      </w:r>
      <w:r>
        <w:rPr>
          <w:rFonts w:hint="eastAsia" w:ascii="仿宋_GB2312" w:eastAsia="仿宋_GB2312"/>
          <w:color w:val="auto"/>
          <w:kern w:val="2"/>
          <w:sz w:val="32"/>
          <w:szCs w:val="32"/>
          <w:highlight w:val="none"/>
        </w:rPr>
        <w:t>该项目在取得立项和初涉等前期批复后，对后续招商工作起到了重要推动作用，2022年12月中旬成功与社会资本方山东公路桥梁集团有限公司签订项目PPP合同。项目建成后，预期将加快推动曾家山旅游业发展、完善区域交通网有十分重要的意义。</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outlineLvl w:val="1"/>
        <w:rPr>
          <w:rFonts w:hint="eastAsia" w:ascii="黑体" w:eastAsia="黑体" w:cs="Times New Roman"/>
          <w:color w:val="auto"/>
          <w:kern w:val="2"/>
          <w:sz w:val="32"/>
          <w:szCs w:val="32"/>
          <w:highlight w:val="none"/>
          <w:lang w:bidi="ar-SA"/>
        </w:rPr>
      </w:pPr>
      <w:bookmarkStart w:id="273" w:name="_Toc249582881_WPSOffice_Level2"/>
      <w:bookmarkStart w:id="274" w:name="_Toc1993549353_WPSOffice_Level2"/>
      <w:bookmarkStart w:id="275" w:name="_Toc12342"/>
      <w:bookmarkStart w:id="276" w:name="_Toc3501"/>
      <w:r>
        <w:rPr>
          <w:rFonts w:hint="eastAsia" w:ascii="黑体" w:eastAsia="黑体" w:cs="Times New Roman"/>
          <w:color w:val="auto"/>
          <w:kern w:val="2"/>
          <w:sz w:val="32"/>
          <w:szCs w:val="32"/>
          <w:highlight w:val="none"/>
          <w:lang w:bidi="ar-SA"/>
        </w:rPr>
        <w:t>五、评价结论及建议</w:t>
      </w:r>
      <w:bookmarkEnd w:id="273"/>
      <w:bookmarkEnd w:id="274"/>
      <w:bookmarkEnd w:id="275"/>
      <w:bookmarkEnd w:id="276"/>
    </w:p>
    <w:p>
      <w:pPr>
        <w:pStyle w:val="40"/>
        <w:shd w:val="clear"/>
        <w:spacing w:line="576" w:lineRule="exact"/>
        <w:ind w:firstLine="640" w:firstLineChars="200"/>
        <w:rPr>
          <w:rFonts w:hint="eastAsia" w:ascii="仿宋_GB2312" w:eastAsia="仿宋_GB2312"/>
          <w:color w:val="auto"/>
          <w:kern w:val="0"/>
          <w:sz w:val="32"/>
          <w:szCs w:val="32"/>
          <w:highlight w:val="none"/>
        </w:rPr>
      </w:pPr>
      <w:r>
        <w:rPr>
          <w:rFonts w:hint="eastAsia" w:ascii="仿宋_GB2312" w:eastAsia="仿宋_GB2312"/>
          <w:color w:val="auto"/>
          <w:kern w:val="2"/>
          <w:sz w:val="32"/>
          <w:szCs w:val="32"/>
          <w:highlight w:val="none"/>
        </w:rPr>
        <w:t>该项目规划科学，决策依据充分，程序合法合规、资金到位及时拨付规范。项目</w:t>
      </w:r>
      <w:r>
        <w:rPr>
          <w:rFonts w:hint="eastAsia" w:ascii="仿宋_GB2312" w:eastAsia="仿宋_GB2312"/>
          <w:color w:val="auto"/>
          <w:kern w:val="0"/>
          <w:sz w:val="32"/>
          <w:szCs w:val="32"/>
          <w:highlight w:val="none"/>
        </w:rPr>
        <w:t>支出绩效自评得分100分，其中项目决策25分、项目管理15分、项目绩效（特性指标）60分。</w:t>
      </w: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pStyle w:val="38"/>
        <w:shd w:val="clear"/>
        <w:spacing w:line="576" w:lineRule="exact"/>
        <w:jc w:val="left"/>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附件9：</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shd w:val="clear"/>
        <w:adjustRightInd w:val="0"/>
        <w:snapToGrid w:val="0"/>
        <w:spacing w:line="576" w:lineRule="exact"/>
        <w:jc w:val="center"/>
        <w:rPr>
          <w:rFonts w:hint="eastAsia" w:ascii="方正小标宋_GBK" w:eastAsia="方正小标宋_GBK" w:cs="方正小标宋_GBK"/>
          <w:color w:val="auto"/>
          <w:sz w:val="44"/>
          <w:szCs w:val="44"/>
          <w:highlight w:val="none"/>
          <w:lang w:bidi="ar-SA"/>
        </w:rPr>
      </w:pPr>
      <w:r>
        <w:rPr>
          <w:rFonts w:hint="eastAsia" w:ascii="方正小标宋_GBK" w:eastAsia="方正小标宋_GBK" w:cs="方正小标宋_GBK"/>
          <w:color w:val="auto"/>
          <w:sz w:val="44"/>
          <w:szCs w:val="44"/>
          <w:highlight w:val="none"/>
          <w:lang w:bidi="ar-SA"/>
        </w:rPr>
        <w:t>关于2022年嘉陵江四号桥维修加固工程项目预算支出绩效的自评报告</w:t>
      </w:r>
    </w:p>
    <w:p>
      <w:pPr>
        <w:pStyle w:val="40"/>
        <w:shd w:val="clear"/>
        <w:adjustRightInd w:val="0"/>
        <w:snapToGrid w:val="0"/>
        <w:spacing w:line="560" w:lineRule="exact"/>
        <w:ind w:firstLine="640" w:firstLineChars="200"/>
        <w:rPr>
          <w:rFonts w:hint="eastAsia" w:ascii="仿宋_GB2312" w:eastAsia="仿宋_GB2312"/>
          <w:color w:val="auto"/>
          <w:sz w:val="32"/>
          <w:szCs w:val="32"/>
          <w:highlight w:val="none"/>
        </w:rPr>
      </w:pPr>
    </w:p>
    <w:p>
      <w:pPr>
        <w:shd w:val="clear"/>
        <w:adjustRightInd w:val="0"/>
        <w:snapToGrid w:val="0"/>
        <w:spacing w:line="560" w:lineRule="exact"/>
        <w:ind w:firstLine="640" w:firstLineChars="200"/>
        <w:outlineLvl w:val="1"/>
        <w:rPr>
          <w:rFonts w:hint="eastAsia" w:ascii="黑体" w:eastAsia="黑体" w:cs="Times New Roman"/>
          <w:color w:val="auto"/>
          <w:sz w:val="32"/>
          <w:szCs w:val="32"/>
          <w:highlight w:val="none"/>
          <w:lang w:bidi="ar-SA"/>
        </w:rPr>
      </w:pPr>
      <w:bookmarkStart w:id="277" w:name="_Toc1245546809_WPSOffice_Level2"/>
      <w:bookmarkStart w:id="278" w:name="_Toc573349923_WPSOffice_Level2"/>
      <w:bookmarkStart w:id="279" w:name="_Toc901"/>
      <w:bookmarkStart w:id="280" w:name="_Toc16471"/>
      <w:r>
        <w:rPr>
          <w:rFonts w:hint="eastAsia" w:ascii="黑体" w:eastAsia="黑体" w:cs="Times New Roman"/>
          <w:color w:val="auto"/>
          <w:sz w:val="32"/>
          <w:szCs w:val="32"/>
          <w:highlight w:val="none"/>
          <w:lang w:val="en-US" w:eastAsia="zh-CN" w:bidi="ar-SA"/>
        </w:rPr>
        <w:t>一</w:t>
      </w:r>
      <w:r>
        <w:rPr>
          <w:rFonts w:hint="eastAsia" w:ascii="黑体" w:eastAsia="黑体" w:cs="Times New Roman"/>
          <w:color w:val="auto"/>
          <w:sz w:val="32"/>
          <w:szCs w:val="32"/>
          <w:highlight w:val="none"/>
          <w:lang w:bidi="ar-SA"/>
        </w:rPr>
        <w:t>、项目概况</w:t>
      </w:r>
      <w:bookmarkEnd w:id="277"/>
      <w:bookmarkEnd w:id="278"/>
      <w:bookmarkEnd w:id="279"/>
      <w:bookmarkEnd w:id="280"/>
    </w:p>
    <w:p>
      <w:pPr>
        <w:shd w:val="clear"/>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（一）项目基本情况</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1．主管部门在管理中的职能。我局作为嘉陵江四号桥维修加固工程行业主管部门，根据绩效目标要求，局建管科、财务科等业务科室对该项目绩效申报、建设程序、实施进度、项目质量、资金使用、结算办理等进行了全过程指导监督，确保项目管理规范、建设顺利实施，按期完成建设任务，高质量完成年初设定的绩效目标。</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2.项目立项、资金申报的依据。2016年7月，广元宏明交通投资有限公司《关于审核广元市嘉陵江四号桥维修工程建设项目可行性研究报告的请示》（广宏交投</w:t>
      </w:r>
      <w:r>
        <w:rPr>
          <w:rFonts w:hint="eastAsia" w:ascii="微软雅黑" w:eastAsia="微软雅黑" w:cs="微软雅黑"/>
          <w:color w:val="auto"/>
          <w:sz w:val="32"/>
          <w:szCs w:val="32"/>
          <w:highlight w:val="none"/>
          <w:lang w:bidi="ar-SA"/>
        </w:rPr>
        <w:t>〔</w:t>
      </w:r>
      <w:r>
        <w:rPr>
          <w:rFonts w:hint="eastAsia" w:ascii="仿宋_GB2312" w:eastAsia="仿宋_GB2312" w:cs="Times New Roman"/>
          <w:color w:val="auto"/>
          <w:sz w:val="32"/>
          <w:szCs w:val="32"/>
          <w:highlight w:val="none"/>
          <w:lang w:bidi="ar-SA"/>
        </w:rPr>
        <w:t>2016</w:t>
      </w:r>
      <w:r>
        <w:rPr>
          <w:rFonts w:hint="eastAsia" w:ascii="微软雅黑" w:eastAsia="微软雅黑" w:cs="微软雅黑"/>
          <w:color w:val="auto"/>
          <w:sz w:val="32"/>
          <w:szCs w:val="32"/>
          <w:highlight w:val="none"/>
          <w:lang w:bidi="ar-SA"/>
        </w:rPr>
        <w:t>〕</w:t>
      </w:r>
      <w:r>
        <w:rPr>
          <w:rFonts w:hint="eastAsia" w:ascii="仿宋_GB2312" w:eastAsia="仿宋_GB2312" w:cs="Times New Roman"/>
          <w:color w:val="auto"/>
          <w:sz w:val="32"/>
          <w:szCs w:val="32"/>
          <w:highlight w:val="none"/>
          <w:lang w:bidi="ar-SA"/>
        </w:rPr>
        <w:t>2号），申请对广元嘉陵江四桥开展维修加固工作。2016年8月，市经济技术开发区经济商务发展局《广元经济技术开发区经济商务发展局关于广元市嘉陵江四号桥维修加固工程建设项目可行性研究报告的批复》（广开经商发函〔2016〕35号），同意该项目实施，核定总投资785.8021万元，其中：建安工程费635.8277万元。</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3.资金管理办法制定情况。</w:t>
      </w:r>
      <w:r>
        <w:rPr>
          <w:rFonts w:hint="eastAsia" w:ascii="仿宋_GB2312" w:eastAsia="仿宋_GB2312" w:cs="仿宋"/>
          <w:color w:val="auto"/>
          <w:kern w:val="0"/>
          <w:sz w:val="32"/>
          <w:szCs w:val="32"/>
          <w:highlight w:val="none"/>
          <w:lang w:bidi="ar-SA"/>
        </w:rPr>
        <w:t>我局严格执行国家财经法规、央省市有关专项资金管理办法规定，制定了</w:t>
      </w:r>
      <w:r>
        <w:rPr>
          <w:rFonts w:hint="eastAsia" w:ascii="仿宋_GB2312" w:eastAsia="仿宋_GB2312" w:cs="Times New Roman"/>
          <w:color w:val="auto"/>
          <w:sz w:val="32"/>
          <w:szCs w:val="32"/>
          <w:highlight w:val="none"/>
          <w:lang w:bidi="ar-SA"/>
        </w:rPr>
        <w:t>《广元市交通运输局预算管理》《广元市交通运输局收支管理》</w:t>
      </w:r>
      <w:r>
        <w:rPr>
          <w:rFonts w:hint="eastAsia" w:ascii="仿宋_GB2312" w:eastAsia="仿宋_GB2312" w:cs="仿宋"/>
          <w:color w:val="auto"/>
          <w:kern w:val="0"/>
          <w:sz w:val="32"/>
          <w:szCs w:val="32"/>
          <w:highlight w:val="none"/>
          <w:lang w:bidi="ar-SA"/>
        </w:rPr>
        <w:t>等财务管理内部控制制度，财务制度健全，会计核算规范。</w:t>
      </w:r>
      <w:r>
        <w:rPr>
          <w:rFonts w:hint="eastAsia" w:ascii="仿宋_GB2312" w:eastAsia="仿宋_GB2312" w:cs="Times New Roman"/>
          <w:color w:val="auto"/>
          <w:sz w:val="32"/>
          <w:szCs w:val="32"/>
          <w:highlight w:val="none"/>
          <w:lang w:bidi="ar-SA"/>
        </w:rPr>
        <w:t>为进一步加强主管部门在交通建设项目中的资金监管，2021年，我局和市财政局联合转发了《四川省省级财政交通专项资金管理办法》。</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4.资金分配的原则及考虑因素。</w:t>
      </w:r>
      <w:r>
        <w:rPr>
          <w:rFonts w:hint="eastAsia" w:ascii="仿宋_GB2312" w:eastAsia="仿宋_GB2312"/>
          <w:color w:val="auto"/>
          <w:sz w:val="32"/>
          <w:szCs w:val="32"/>
          <w:highlight w:val="none"/>
        </w:rPr>
        <w:t>资金分配坚持“专款专用”原则，</w:t>
      </w:r>
      <w:r>
        <w:rPr>
          <w:rFonts w:hint="eastAsia" w:ascii="仿宋_GB2312" w:eastAsia="仿宋_GB2312" w:cs="仿宋"/>
          <w:color w:val="auto"/>
          <w:sz w:val="32"/>
          <w:szCs w:val="32"/>
          <w:highlight w:val="none"/>
          <w:lang w:bidi="ar-SA"/>
        </w:rPr>
        <w:t>该专项资金采用了项目分配法。</w:t>
      </w:r>
      <w:r>
        <w:rPr>
          <w:rFonts w:hint="eastAsia" w:ascii="仿宋_GB2312" w:eastAsia="仿宋_GB2312" w:cs="Times New Roman"/>
          <w:color w:val="auto"/>
          <w:sz w:val="32"/>
          <w:szCs w:val="32"/>
          <w:highlight w:val="none"/>
          <w:lang w:bidi="ar-SA"/>
        </w:rPr>
        <w:t>我局收到资金计划后，严格按照“三重一大”内控要求，由建管科根据工程实施情况提出分配方案报局党组会议审定，再向市财政局报送拨付函，及时将项目资金拨付给建设单位。</w:t>
      </w:r>
    </w:p>
    <w:p>
      <w:pPr>
        <w:shd w:val="clear"/>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（二）项目绩效目标</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1.项目主要内容。嘉陵江四号桥全长544.5米，桥宽25.5米。桥梁上部结构为8跨预应力混凝土简支空心板+4预应力混凝土简支T梁+7跨预应力混凝土简支空心板，孔跨布置为8×22.5米+4×50米+7×22.5米。简支空心跨横向布置17片空心板，简支T梁跨横向布置11片梁。该桥下部结构为双柱或三柱式墩、和桥台为肋板式桥台，桥梁墩台为钻孔灌注桩基础。</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2.项目应实现的具体绩效目标。该项目主要绩效目标完成桥梁的维修加固，延长桥梁使用年限，2019年3月开工建设，2019年6月完工，2020年4月进行竣工验收。</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2020年8月，完成工程结算审计。2021年3月，我局党组审核确认了项目财务决算审计结果：实际完成投资285.91万元，其中：建安工程投资199.67万元，待摊投资86.24万元。</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3.分析评价申报内容是否与实际相符，申报目标是否合理可行。2022年申报内容与实际相符合，申报目标合理可行。</w:t>
      </w:r>
    </w:p>
    <w:p>
      <w:pPr>
        <w:shd w:val="clear"/>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（三）项目自评步骤及方法</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根据预算绩效管理要求，我局由财务科牵头，建管科和市交投集团配合，比照《2023年市级专项资金预算项目支出绩效评价指标体系》和年初绩效目标申报，严格执行《广元市市级预算绩效目标管理办法》规定，依据“谁申报、谁自评、局综合评判”的原则，采用成本效益分析法，对该项目支出情况进行了认真全面的绩效自评。经自评，项目支出绩效情况良好。</w:t>
      </w:r>
    </w:p>
    <w:p>
      <w:pPr>
        <w:shd w:val="clear"/>
        <w:adjustRightInd w:val="0"/>
        <w:snapToGrid w:val="0"/>
        <w:spacing w:line="560" w:lineRule="exact"/>
        <w:ind w:firstLine="640" w:firstLineChars="200"/>
        <w:outlineLvl w:val="1"/>
        <w:rPr>
          <w:rFonts w:hint="eastAsia" w:ascii="黑体" w:eastAsia="黑体" w:cs="Times New Roman"/>
          <w:color w:val="auto"/>
          <w:sz w:val="32"/>
          <w:szCs w:val="32"/>
          <w:highlight w:val="none"/>
          <w:lang w:bidi="ar-SA"/>
        </w:rPr>
      </w:pPr>
      <w:bookmarkStart w:id="281" w:name="_Toc29246"/>
      <w:bookmarkStart w:id="282" w:name="_Toc1687784373_WPSOffice_Level2"/>
      <w:bookmarkStart w:id="283" w:name="_Toc23922"/>
      <w:bookmarkStart w:id="284" w:name="_Toc802597842_WPSOffice_Level2"/>
      <w:r>
        <w:rPr>
          <w:rFonts w:hint="eastAsia" w:ascii="黑体" w:eastAsia="黑体" w:cs="Times New Roman"/>
          <w:color w:val="auto"/>
          <w:sz w:val="32"/>
          <w:szCs w:val="32"/>
          <w:highlight w:val="none"/>
          <w:lang w:bidi="ar-SA"/>
        </w:rPr>
        <w:t>二、项目资金申报及使用情况</w:t>
      </w:r>
      <w:bookmarkEnd w:id="281"/>
      <w:bookmarkEnd w:id="282"/>
      <w:bookmarkEnd w:id="283"/>
      <w:bookmarkEnd w:id="284"/>
    </w:p>
    <w:p>
      <w:pPr>
        <w:shd w:val="clear"/>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（一）项目资金申报及批复情况</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该项目资金申报与实际内容相符，符合预算项目绩效管理相关要求，资金申报程序合规，用途合法合规。</w:t>
      </w:r>
    </w:p>
    <w:p>
      <w:pPr>
        <w:shd w:val="clear"/>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（二）资金计划、到位及使用情况</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1.资金到位。2022年，市财政局下达我局嘉陵江四号桥维修加固工程预算批复35.913382万元（广财投（2022）65号），资金全额到位。</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2.资金使用。该费用2022年全部执行完毕，主要用于支付项目工程款。</w:t>
      </w:r>
    </w:p>
    <w:p>
      <w:pPr>
        <w:shd w:val="clear"/>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（三）项目财务管理情况</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2022年，我局财务（内审）科对该项目的结算审计、绩效申报、资金拨付、及财务管理等进行全过程监管，并严格执行“三重一大”关于重大资金拨付规定和程序，确保预算绩效目标全面完成。我局嘉陵江四号桥维修加固工程在市财政局组织的2022年部门、项目（政策）支出绩效自评抽查工作中得分96分。</w:t>
      </w:r>
    </w:p>
    <w:p>
      <w:pPr>
        <w:shd w:val="clear"/>
        <w:adjustRightInd w:val="0"/>
        <w:snapToGrid w:val="0"/>
        <w:spacing w:line="560" w:lineRule="exact"/>
        <w:ind w:firstLine="640" w:firstLineChars="200"/>
        <w:outlineLvl w:val="1"/>
        <w:rPr>
          <w:rFonts w:hint="eastAsia" w:ascii="黑体" w:eastAsia="黑体" w:cs="Times New Roman"/>
          <w:color w:val="auto"/>
          <w:sz w:val="32"/>
          <w:szCs w:val="32"/>
          <w:highlight w:val="none"/>
          <w:lang w:bidi="ar-SA"/>
        </w:rPr>
      </w:pPr>
      <w:bookmarkStart w:id="285" w:name="_Toc26764"/>
      <w:bookmarkStart w:id="286" w:name="_Toc1989245624_WPSOffice_Level2"/>
      <w:bookmarkStart w:id="287" w:name="_Toc26566"/>
      <w:bookmarkStart w:id="288" w:name="_Toc153295738_WPSOffice_Level2"/>
      <w:r>
        <w:rPr>
          <w:rFonts w:hint="eastAsia" w:ascii="黑体" w:eastAsia="黑体" w:cs="Times New Roman"/>
          <w:color w:val="auto"/>
          <w:sz w:val="32"/>
          <w:szCs w:val="32"/>
          <w:highlight w:val="none"/>
          <w:lang w:bidi="ar-SA"/>
        </w:rPr>
        <w:t>三、项目实施及管理情况</w:t>
      </w:r>
      <w:bookmarkEnd w:id="285"/>
      <w:bookmarkEnd w:id="286"/>
      <w:bookmarkEnd w:id="287"/>
      <w:bookmarkEnd w:id="288"/>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（一）项目组织架构及实施流程。</w:t>
      </w:r>
      <w:r>
        <w:rPr>
          <w:rFonts w:hint="eastAsia" w:ascii="仿宋_GB2312" w:eastAsia="仿宋_GB2312" w:cs="Times New Roman"/>
          <w:color w:val="auto"/>
          <w:sz w:val="32"/>
          <w:szCs w:val="32"/>
          <w:highlight w:val="none"/>
          <w:lang w:bidi="ar-SA"/>
        </w:rPr>
        <w:t>我局为该项目行业主管部门。市交投集团为业主单位，负责建设方式、质量安全、施工进度进行监督管理。项目建设单位为市宏明交通投资有限公司。</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（二）项目管理情况。</w:t>
      </w:r>
      <w:r>
        <w:rPr>
          <w:rFonts w:hint="eastAsia" w:ascii="仿宋_GB2312" w:eastAsia="仿宋_GB2312" w:cs="Times New Roman"/>
          <w:color w:val="auto"/>
          <w:sz w:val="32"/>
          <w:szCs w:val="32"/>
          <w:highlight w:val="none"/>
          <w:lang w:bidi="ar-SA"/>
        </w:rPr>
        <w:t>该项目严格按照《中华人民共和国招标投标法》的规定执行招投标程序，确定施工单位，履行合同约定。工程会计核算遵照基本建设单位会计制度核算要求，做到专人负责，档案齐全。</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（三）项目监管情况</w:t>
      </w:r>
      <w:r>
        <w:rPr>
          <w:rFonts w:hint="eastAsia" w:ascii="仿宋_GB2312" w:eastAsia="仿宋_GB2312" w:cs="Times New Roman"/>
          <w:color w:val="auto"/>
          <w:sz w:val="32"/>
          <w:szCs w:val="32"/>
          <w:highlight w:val="none"/>
          <w:lang w:bidi="ar-SA"/>
        </w:rPr>
        <w:t>。我局负责行业监管，市交投集团为监督主体，负责该项目质量、安全、进度进行监督管理。</w:t>
      </w:r>
    </w:p>
    <w:p>
      <w:pPr>
        <w:shd w:val="clear"/>
        <w:adjustRightInd w:val="0"/>
        <w:snapToGrid w:val="0"/>
        <w:spacing w:line="560" w:lineRule="exact"/>
        <w:ind w:firstLine="640" w:firstLineChars="200"/>
        <w:outlineLvl w:val="1"/>
        <w:rPr>
          <w:rFonts w:hint="eastAsia" w:ascii="黑体" w:eastAsia="黑体" w:cs="Times New Roman"/>
          <w:color w:val="auto"/>
          <w:sz w:val="32"/>
          <w:szCs w:val="32"/>
          <w:highlight w:val="none"/>
          <w:lang w:bidi="ar-SA"/>
        </w:rPr>
      </w:pPr>
      <w:bookmarkStart w:id="289" w:name="_Toc32588"/>
      <w:bookmarkStart w:id="290" w:name="_Toc1764926423_WPSOffice_Level2"/>
      <w:bookmarkStart w:id="291" w:name="_Toc27296"/>
      <w:bookmarkStart w:id="292" w:name="_Toc1175797590_WPSOffice_Level2"/>
      <w:r>
        <w:rPr>
          <w:rFonts w:hint="eastAsia" w:ascii="黑体" w:eastAsia="黑体" w:cs="Times New Roman"/>
          <w:color w:val="auto"/>
          <w:sz w:val="32"/>
          <w:szCs w:val="32"/>
          <w:highlight w:val="none"/>
          <w:lang w:bidi="ar-SA"/>
        </w:rPr>
        <w:t>四、项目绩效情况</w:t>
      </w:r>
      <w:bookmarkEnd w:id="289"/>
      <w:bookmarkEnd w:id="290"/>
      <w:bookmarkEnd w:id="291"/>
      <w:bookmarkEnd w:id="292"/>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（一）项目完成情况。</w:t>
      </w:r>
      <w:r>
        <w:rPr>
          <w:rFonts w:hint="eastAsia" w:ascii="仿宋_GB2312" w:eastAsia="仿宋_GB2312" w:cs="Times New Roman"/>
          <w:color w:val="auto"/>
          <w:sz w:val="32"/>
          <w:szCs w:val="32"/>
          <w:highlight w:val="none"/>
          <w:lang w:bidi="ar-SA"/>
        </w:rPr>
        <w:t>截至2022年底，嘉陵江四号桥维修加固工程已完成建设内容，符合国家标准，并办理完成结决算审计，支付工程尾款费用35.913382万元，完成预期绩效目标。</w:t>
      </w:r>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（二）项目效益情况</w:t>
      </w:r>
      <w:r>
        <w:rPr>
          <w:rFonts w:hint="eastAsia" w:ascii="仿宋_GB2312" w:eastAsia="仿宋_GB2312" w:cs="Times New Roman"/>
          <w:color w:val="auto"/>
          <w:sz w:val="32"/>
          <w:szCs w:val="32"/>
          <w:highlight w:val="none"/>
          <w:lang w:bidi="ar-SA"/>
        </w:rPr>
        <w:t>。项目实施后，延长了桥梁使用年限，保障道路畅通，增强了城市通达度，提升了城市形象，促进广元经济发展，群众满意度大大提高。</w:t>
      </w:r>
    </w:p>
    <w:p>
      <w:pPr>
        <w:shd w:val="clear"/>
        <w:adjustRightInd w:val="0"/>
        <w:snapToGrid w:val="0"/>
        <w:spacing w:line="560" w:lineRule="exact"/>
        <w:ind w:firstLine="640" w:firstLineChars="200"/>
        <w:outlineLvl w:val="1"/>
        <w:rPr>
          <w:rFonts w:hint="eastAsia" w:ascii="黑体" w:eastAsia="黑体" w:cs="Times New Roman"/>
          <w:color w:val="auto"/>
          <w:sz w:val="32"/>
          <w:szCs w:val="32"/>
          <w:highlight w:val="none"/>
          <w:lang w:bidi="ar-SA"/>
        </w:rPr>
      </w:pPr>
      <w:bookmarkStart w:id="293" w:name="_Toc19157"/>
      <w:bookmarkStart w:id="294" w:name="_Toc1036288503_WPSOffice_Level2"/>
      <w:bookmarkStart w:id="295" w:name="_Toc26672"/>
      <w:bookmarkStart w:id="296" w:name="_Toc1007214404_WPSOffice_Level2"/>
      <w:r>
        <w:rPr>
          <w:rFonts w:hint="eastAsia" w:ascii="黑体" w:eastAsia="黑体" w:cs="Times New Roman"/>
          <w:color w:val="auto"/>
          <w:sz w:val="32"/>
          <w:szCs w:val="32"/>
          <w:highlight w:val="none"/>
          <w:lang w:bidi="ar-SA"/>
        </w:rPr>
        <w:t>五、评价结论及建议</w:t>
      </w:r>
      <w:bookmarkEnd w:id="293"/>
      <w:bookmarkEnd w:id="294"/>
      <w:bookmarkEnd w:id="295"/>
      <w:bookmarkEnd w:id="296"/>
    </w:p>
    <w:p>
      <w:pPr>
        <w:shd w:val="clear"/>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该项目规划科学，决策依据充分，程序合法合规、资金到位及时拨付规范。项目支出绩效自评得分100分，其中项目决策25分、项目管理15分、项目绩效（特性指标）60分。</w:t>
      </w: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pStyle w:val="38"/>
        <w:shd w:val="clear"/>
        <w:spacing w:line="576" w:lineRule="exact"/>
        <w:jc w:val="left"/>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附件10：</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pStyle w:val="38"/>
        <w:shd w:val="clear"/>
        <w:spacing w:line="576" w:lineRule="exact"/>
        <w:jc w:val="center"/>
        <w:rPr>
          <w:rFonts w:hint="eastAsia" w:ascii="方正小标宋_GBK" w:eastAsia="方正小标宋_GBK" w:cs="黑体"/>
          <w:color w:val="auto"/>
          <w:sz w:val="44"/>
          <w:szCs w:val="44"/>
          <w:highlight w:val="none"/>
          <w:lang w:bidi="ar-SA"/>
        </w:rPr>
      </w:pPr>
      <w:r>
        <w:rPr>
          <w:rFonts w:hint="eastAsia" w:ascii="方正小标宋_GBK" w:eastAsia="方正小标宋_GBK" w:cs="黑体"/>
          <w:color w:val="auto"/>
          <w:kern w:val="2"/>
          <w:sz w:val="44"/>
          <w:szCs w:val="44"/>
          <w:highlight w:val="none"/>
          <w:lang w:bidi="ar-SA"/>
        </w:rPr>
        <w:t>关于</w:t>
      </w:r>
      <w:r>
        <w:rPr>
          <w:rFonts w:hint="eastAsia" w:ascii="方正小标宋_GBK" w:eastAsia="方正小标宋_GBK" w:cs="黑体"/>
          <w:color w:val="auto"/>
          <w:sz w:val="44"/>
          <w:szCs w:val="44"/>
          <w:highlight w:val="none"/>
          <w:lang w:bidi="ar-SA"/>
        </w:rPr>
        <w:t>2022年交通卡点工作人员闭环管理食宿费用项目预算支出绩效的自评报告</w:t>
      </w:r>
    </w:p>
    <w:p>
      <w:pPr>
        <w:shd w:val="clear"/>
        <w:overflowPunct w:val="0"/>
        <w:autoSpaceDE w:val="0"/>
        <w:autoSpaceDN w:val="0"/>
        <w:adjustRightInd w:val="0"/>
        <w:snapToGrid w:val="0"/>
        <w:spacing w:line="440" w:lineRule="exact"/>
        <w:ind w:firstLine="640" w:firstLineChars="200"/>
        <w:rPr>
          <w:rFonts w:hint="eastAsia" w:ascii="仿宋_GB2312" w:eastAsia="仿宋_GB2312" w:cs="Times New Roman"/>
          <w:color w:val="auto"/>
          <w:sz w:val="32"/>
          <w:szCs w:val="32"/>
          <w:highlight w:val="none"/>
          <w:lang w:bidi="ar-SA"/>
        </w:rPr>
      </w:pPr>
    </w:p>
    <w:p>
      <w:pPr>
        <w:shd w:val="clear"/>
        <w:overflowPunct w:val="0"/>
        <w:autoSpaceDE w:val="0"/>
        <w:autoSpaceDN w:val="0"/>
        <w:adjustRightInd w:val="0"/>
        <w:snapToGrid w:val="0"/>
        <w:spacing w:line="560" w:lineRule="exact"/>
        <w:ind w:firstLine="640" w:firstLineChars="200"/>
        <w:outlineLvl w:val="1"/>
        <w:rPr>
          <w:rFonts w:hint="eastAsia" w:ascii="黑体" w:eastAsia="黑体" w:cs="Times New Roman"/>
          <w:color w:val="auto"/>
          <w:sz w:val="32"/>
          <w:szCs w:val="32"/>
          <w:highlight w:val="none"/>
          <w:lang w:bidi="ar-SA"/>
        </w:rPr>
      </w:pPr>
      <w:bookmarkStart w:id="297" w:name="_Toc3035"/>
      <w:bookmarkStart w:id="298" w:name="_Toc20754"/>
      <w:bookmarkStart w:id="299" w:name="_Toc1256981539_WPSOffice_Level2"/>
      <w:bookmarkStart w:id="300" w:name="_Toc1578647058_WPSOffice_Level2"/>
      <w:r>
        <w:rPr>
          <w:rFonts w:hint="eastAsia" w:ascii="黑体" w:eastAsia="黑体" w:cs="Times New Roman"/>
          <w:color w:val="auto"/>
          <w:sz w:val="32"/>
          <w:szCs w:val="32"/>
          <w:highlight w:val="none"/>
          <w:lang w:bidi="ar-SA"/>
        </w:rPr>
        <w:t>一、项目概况</w:t>
      </w:r>
      <w:bookmarkEnd w:id="297"/>
      <w:bookmarkEnd w:id="298"/>
      <w:bookmarkEnd w:id="299"/>
      <w:bookmarkEnd w:id="300"/>
    </w:p>
    <w:p>
      <w:pPr>
        <w:shd w:val="clear"/>
        <w:overflowPunct w:val="0"/>
        <w:autoSpaceDE w:val="0"/>
        <w:autoSpaceDN w:val="0"/>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（一）项目基本情况</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1．主管部门在管理中的职能。2022年疫情防控期间，我局在市委市政府的坚强领导下，服从安排，配合市财政等部门完成了主城区疫情防控交通卡点工作人员食宿酒店闭环管理工作。</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2．项目立项、资金申报的依据。2022年，市财政局下达我局交通卡点工作人员闭环管理食宿费用预算资金171.79万元，资金已全额到位。</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3．资金管理办法制定情况，资金支持具体项目的条件、范围与支持方式概况。</w:t>
      </w:r>
      <w:r>
        <w:rPr>
          <w:rFonts w:hint="eastAsia" w:ascii="仿宋_GB2312" w:eastAsia="仿宋_GB2312" w:cs="仿宋"/>
          <w:color w:val="auto"/>
          <w:kern w:val="0"/>
          <w:sz w:val="32"/>
          <w:szCs w:val="32"/>
          <w:highlight w:val="none"/>
          <w:lang w:bidi="ar-SA"/>
        </w:rPr>
        <w:t>我局严格执行国家财经法规、央省市有关专项资金管理办法规定，制定了</w:t>
      </w:r>
      <w:r>
        <w:rPr>
          <w:rFonts w:hint="eastAsia" w:ascii="仿宋_GB2312" w:eastAsia="仿宋_GB2312" w:cs="Times New Roman"/>
          <w:color w:val="auto"/>
          <w:sz w:val="32"/>
          <w:szCs w:val="32"/>
          <w:highlight w:val="none"/>
          <w:lang w:bidi="ar-SA"/>
        </w:rPr>
        <w:t>《广元市交通运输局预算管理》《广元市交通运输局收支管理》</w:t>
      </w:r>
      <w:r>
        <w:rPr>
          <w:rFonts w:hint="eastAsia" w:ascii="仿宋_GB2312" w:eastAsia="仿宋_GB2312" w:cs="仿宋"/>
          <w:color w:val="auto"/>
          <w:kern w:val="0"/>
          <w:sz w:val="32"/>
          <w:szCs w:val="32"/>
          <w:highlight w:val="none"/>
          <w:lang w:bidi="ar-SA"/>
        </w:rPr>
        <w:t>等财务管理内部控制制度，财务制度健全，会计核算规范。</w:t>
      </w:r>
      <w:r>
        <w:rPr>
          <w:rFonts w:hint="eastAsia" w:ascii="仿宋_GB2312" w:eastAsia="仿宋_GB2312" w:cs="Times New Roman"/>
          <w:color w:val="auto"/>
          <w:sz w:val="32"/>
          <w:szCs w:val="32"/>
          <w:highlight w:val="none"/>
          <w:lang w:bidi="ar-SA"/>
        </w:rPr>
        <w:t>资金到位后，我局根据相关支付程序，通过预算一体化平台转拨给相关闭环管理酒店。</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4．资金分配的原则及考虑因素。</w:t>
      </w:r>
      <w:r>
        <w:rPr>
          <w:rFonts w:hint="eastAsia" w:ascii="仿宋_GB2312" w:eastAsia="仿宋_GB2312"/>
          <w:color w:val="auto"/>
          <w:sz w:val="32"/>
          <w:szCs w:val="32"/>
          <w:highlight w:val="none"/>
        </w:rPr>
        <w:t>资金分配坚持“专款专用”原则，</w:t>
      </w:r>
      <w:r>
        <w:rPr>
          <w:rFonts w:hint="eastAsia" w:ascii="仿宋_GB2312" w:eastAsia="仿宋_GB2312" w:cs="仿宋"/>
          <w:color w:val="auto"/>
          <w:sz w:val="32"/>
          <w:szCs w:val="32"/>
          <w:highlight w:val="none"/>
          <w:lang w:bidi="ar-SA"/>
        </w:rPr>
        <w:t>该专项资金采用了项目分配法。</w:t>
      </w:r>
      <w:r>
        <w:rPr>
          <w:rFonts w:hint="eastAsia" w:ascii="仿宋_GB2312" w:eastAsia="仿宋_GB2312" w:cs="Times New Roman"/>
          <w:color w:val="auto"/>
          <w:sz w:val="32"/>
          <w:szCs w:val="32"/>
          <w:highlight w:val="none"/>
          <w:lang w:bidi="ar-SA"/>
        </w:rPr>
        <w:t>我局收到资金计划后，按照“三重一大”的要求，由局安监科根据卡点工作人员闭环酒店住宿情况，提出分配方案报局党组会议审定，再向市财政局报送拨付函，及时将项目资金拨付给相关单位。</w:t>
      </w:r>
    </w:p>
    <w:p>
      <w:pPr>
        <w:shd w:val="clear"/>
        <w:overflowPunct w:val="0"/>
        <w:autoSpaceDE w:val="0"/>
        <w:autoSpaceDN w:val="0"/>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（二）项目绩效目标</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1．项目主要内容。按要求支付2022年疫情管控期间交通卡点工作人员闭环管理酒店食宿费用。</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2．项目应实现的具体绩效目标。拨付闭环管理酒店6家食宿费用，项目实施进度为100%，预算执行率为100%，受益群体满意度高。</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3．项目资金申报相符性和可行性。项目申报内容与实际相符，申报目标合理可行。</w:t>
      </w:r>
    </w:p>
    <w:p>
      <w:pPr>
        <w:shd w:val="clear"/>
        <w:overflowPunct w:val="0"/>
        <w:autoSpaceDE w:val="0"/>
        <w:autoSpaceDN w:val="0"/>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（三）项目自评步骤及方法</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根据预算绩效管理要求，我局由财务科牵头，局安监科紧密配合，比照《2023年市级专项资金预算项目支出绩效评价指标体系》和年初绩效目标申报，严格执行《广元市市级预算绩效目标管理办法》规定，依据“谁申报、谁自评、谁绩效”的原则，采用成本效益分析法，对该项目产出完成、项目效益、财务管理、满意度等方面进行了认真全面的绩效自评。经自评，项目支出绩效情况良好。</w:t>
      </w:r>
    </w:p>
    <w:p>
      <w:pPr>
        <w:shd w:val="clear"/>
        <w:overflowPunct w:val="0"/>
        <w:autoSpaceDE w:val="0"/>
        <w:autoSpaceDN w:val="0"/>
        <w:adjustRightInd w:val="0"/>
        <w:snapToGrid w:val="0"/>
        <w:spacing w:line="560" w:lineRule="exact"/>
        <w:ind w:firstLine="640" w:firstLineChars="200"/>
        <w:outlineLvl w:val="1"/>
        <w:rPr>
          <w:rFonts w:hint="eastAsia" w:ascii="黑体" w:eastAsia="黑体" w:cs="Times New Roman"/>
          <w:color w:val="auto"/>
          <w:sz w:val="32"/>
          <w:szCs w:val="32"/>
          <w:highlight w:val="none"/>
          <w:lang w:bidi="ar-SA"/>
        </w:rPr>
      </w:pPr>
      <w:bookmarkStart w:id="301" w:name="_Toc31557"/>
      <w:bookmarkStart w:id="302" w:name="_Toc32694"/>
      <w:bookmarkStart w:id="303" w:name="_Toc860980953_WPSOffice_Level2"/>
      <w:bookmarkStart w:id="304" w:name="_Toc907233146_WPSOffice_Level2"/>
      <w:r>
        <w:rPr>
          <w:rFonts w:hint="eastAsia" w:ascii="黑体" w:eastAsia="黑体" w:cs="Times New Roman"/>
          <w:color w:val="auto"/>
          <w:sz w:val="32"/>
          <w:szCs w:val="32"/>
          <w:highlight w:val="none"/>
          <w:lang w:bidi="ar-SA"/>
        </w:rPr>
        <w:t>二、项目资金申报及使用情况</w:t>
      </w:r>
      <w:bookmarkEnd w:id="301"/>
      <w:bookmarkEnd w:id="302"/>
      <w:bookmarkEnd w:id="303"/>
      <w:bookmarkEnd w:id="304"/>
    </w:p>
    <w:p>
      <w:pPr>
        <w:shd w:val="clear"/>
        <w:overflowPunct w:val="0"/>
        <w:autoSpaceDE w:val="0"/>
        <w:autoSpaceDN w:val="0"/>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（一）项目资金申报及批复情况</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市财政局下达交通卡点工作人员闭环管理食宿费用调整预算资金171.79万元。</w:t>
      </w:r>
    </w:p>
    <w:p>
      <w:pPr>
        <w:shd w:val="clear"/>
        <w:overflowPunct w:val="0"/>
        <w:autoSpaceDE w:val="0"/>
        <w:autoSpaceDN w:val="0"/>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（二）资金计划、到位及使用情况</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1．资金计划。交通卡点工作人员闭环管理食宿费用预算金额为171.79万元，资金来源为市级财政一般公共预算安排。</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2．资金到位。交通卡点工作人员闭环管理食宿费用为年中预算调整，2022年12月由市财政局下达我局交通卡点工作人员闭环管理食宿费用171.79万元（广财社</w:t>
      </w:r>
      <w:r>
        <w:rPr>
          <w:rFonts w:ascii="仿宋_GB2312" w:hAnsi="仿宋_GB2312" w:cs="Times New Roman"/>
          <w:color w:val="auto"/>
          <w:sz w:val="32"/>
          <w:szCs w:val="32"/>
          <w:highlight w:val="none"/>
          <w:lang w:bidi="ar-SA"/>
        </w:rPr>
        <w:t>〔2022〕</w:t>
      </w:r>
      <w:r>
        <w:rPr>
          <w:rFonts w:hint="eastAsia" w:ascii="仿宋_GB2312" w:eastAsia="仿宋_GB2312" w:cs="Times New Roman"/>
          <w:color w:val="auto"/>
          <w:sz w:val="32"/>
          <w:szCs w:val="32"/>
          <w:highlight w:val="none"/>
          <w:lang w:bidi="ar-SA"/>
        </w:rPr>
        <w:t>177号），资金到位率为100%。</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3．资金使用。截至2022年12月使用金额为171.79万元，剩余资金0元，支付进度100%。资金支付严格执行财政资金支付规定，支付依据合规合法，预算执行率100%。</w:t>
      </w:r>
    </w:p>
    <w:p>
      <w:pPr>
        <w:shd w:val="clear"/>
        <w:overflowPunct w:val="0"/>
        <w:autoSpaceDE w:val="0"/>
        <w:autoSpaceDN w:val="0"/>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（三）项目财务管理情况</w:t>
      </w:r>
    </w:p>
    <w:p>
      <w:pPr>
        <w:pStyle w:val="40"/>
        <w:shd w:val="clear"/>
        <w:spacing w:line="576" w:lineRule="exact"/>
        <w:ind w:firstLine="640" w:firstLineChars="200"/>
        <w:rPr>
          <w:rFonts w:hint="eastAsia" w:ascii="仿宋_GB2312" w:eastAsia="仿宋_GB2312" w:cs="宋体"/>
          <w:color w:val="auto"/>
          <w:sz w:val="32"/>
          <w:szCs w:val="32"/>
          <w:highlight w:val="none"/>
          <w:lang w:bidi="ar-SA"/>
        </w:rPr>
      </w:pPr>
      <w:r>
        <w:rPr>
          <w:rFonts w:hint="eastAsia" w:ascii="仿宋_GB2312" w:eastAsia="仿宋_GB2312" w:cs="宋体"/>
          <w:color w:val="auto"/>
          <w:sz w:val="32"/>
          <w:szCs w:val="32"/>
          <w:highlight w:val="none"/>
          <w:lang w:bidi="ar-SA"/>
        </w:rPr>
        <w:t>我局严格执行中、省、市相关政策规定，财务制度健全，制定了绩效管理、财务管理办法等内部控制制度，资金管理和使用符合</w:t>
      </w:r>
      <w:r>
        <w:rPr>
          <w:rFonts w:hint="eastAsia" w:ascii="仿宋_GB2312" w:eastAsia="仿宋_GB2312" w:cs="仿宋"/>
          <w:color w:val="auto"/>
          <w:kern w:val="0"/>
          <w:sz w:val="32"/>
          <w:szCs w:val="32"/>
          <w:highlight w:val="none"/>
          <w:lang w:bidi="ar-SA"/>
        </w:rPr>
        <w:t>国家财经法规、中省市有关专项资金管理办法规定</w:t>
      </w:r>
      <w:r>
        <w:rPr>
          <w:rFonts w:hint="eastAsia" w:ascii="仿宋_GB2312" w:eastAsia="仿宋_GB2312" w:cs="宋体"/>
          <w:color w:val="auto"/>
          <w:sz w:val="32"/>
          <w:szCs w:val="32"/>
          <w:highlight w:val="none"/>
          <w:lang w:bidi="ar-SA"/>
        </w:rPr>
        <w:t>。</w:t>
      </w:r>
    </w:p>
    <w:p>
      <w:pPr>
        <w:shd w:val="clear"/>
        <w:overflowPunct w:val="0"/>
        <w:autoSpaceDE w:val="0"/>
        <w:autoSpaceDN w:val="0"/>
        <w:adjustRightInd w:val="0"/>
        <w:snapToGrid w:val="0"/>
        <w:spacing w:line="560" w:lineRule="exact"/>
        <w:ind w:firstLine="640" w:firstLineChars="200"/>
        <w:outlineLvl w:val="1"/>
        <w:rPr>
          <w:rFonts w:hint="eastAsia" w:ascii="黑体" w:eastAsia="黑体" w:cs="Times New Roman"/>
          <w:color w:val="auto"/>
          <w:sz w:val="32"/>
          <w:szCs w:val="32"/>
          <w:highlight w:val="none"/>
          <w:lang w:bidi="ar-SA"/>
        </w:rPr>
      </w:pPr>
      <w:bookmarkStart w:id="305" w:name="_Toc168412733_WPSOffice_Level2"/>
      <w:bookmarkStart w:id="306" w:name="_Toc11201"/>
      <w:bookmarkStart w:id="307" w:name="_Toc1817635770_WPSOffice_Level2"/>
      <w:bookmarkStart w:id="308" w:name="_Toc8090"/>
      <w:r>
        <w:rPr>
          <w:rFonts w:hint="eastAsia" w:ascii="黑体" w:eastAsia="黑体" w:cs="Times New Roman"/>
          <w:color w:val="auto"/>
          <w:sz w:val="32"/>
          <w:szCs w:val="32"/>
          <w:highlight w:val="none"/>
          <w:lang w:bidi="ar-SA"/>
        </w:rPr>
        <w:t>三、项目实施及管理情况</w:t>
      </w:r>
      <w:bookmarkEnd w:id="305"/>
      <w:bookmarkEnd w:id="306"/>
      <w:bookmarkEnd w:id="307"/>
      <w:bookmarkEnd w:id="308"/>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根据《关于&lt;印发交通卡点风险人员转运管理机制&gt;等四项机制的通知》《关于加强交通卡口工作人员工作期间闭环管理的建议函》要求，疫情管控期间，交通卡点工作人员实行闭环管理。2022年，我局严格执行市委市政府管控要求，在疫情防控期间对闭环管理人员实行全方位的监督管理，努力化解风险，圆满完成了疫情防控各项工作。</w:t>
      </w:r>
    </w:p>
    <w:p>
      <w:pPr>
        <w:shd w:val="clear"/>
        <w:overflowPunct w:val="0"/>
        <w:autoSpaceDE w:val="0"/>
        <w:autoSpaceDN w:val="0"/>
        <w:adjustRightInd w:val="0"/>
        <w:snapToGrid w:val="0"/>
        <w:spacing w:line="560" w:lineRule="exact"/>
        <w:ind w:firstLine="640" w:firstLineChars="200"/>
        <w:outlineLvl w:val="1"/>
        <w:rPr>
          <w:rFonts w:hint="eastAsia" w:ascii="黑体" w:eastAsia="黑体" w:cs="Times New Roman"/>
          <w:color w:val="auto"/>
          <w:sz w:val="32"/>
          <w:szCs w:val="32"/>
          <w:highlight w:val="none"/>
          <w:lang w:bidi="ar-SA"/>
        </w:rPr>
      </w:pPr>
      <w:bookmarkStart w:id="309" w:name="_Toc1101812356_WPSOffice_Level2"/>
      <w:bookmarkStart w:id="310" w:name="_Toc528779584_WPSOffice_Level2"/>
      <w:bookmarkStart w:id="311" w:name="_Toc31931"/>
      <w:bookmarkStart w:id="312" w:name="_Toc25654"/>
      <w:r>
        <w:rPr>
          <w:rFonts w:hint="eastAsia" w:ascii="黑体" w:eastAsia="黑体" w:cs="Times New Roman"/>
          <w:color w:val="auto"/>
          <w:sz w:val="32"/>
          <w:szCs w:val="32"/>
          <w:highlight w:val="none"/>
          <w:lang w:bidi="ar-SA"/>
        </w:rPr>
        <w:t>四、项目绩效情况</w:t>
      </w:r>
      <w:bookmarkEnd w:id="309"/>
      <w:bookmarkEnd w:id="310"/>
      <w:bookmarkEnd w:id="311"/>
      <w:bookmarkEnd w:id="312"/>
      <w:r>
        <w:rPr>
          <w:rFonts w:hint="eastAsia" w:ascii="黑体" w:eastAsia="黑体" w:cs="Times New Roman"/>
          <w:color w:val="auto"/>
          <w:sz w:val="32"/>
          <w:szCs w:val="32"/>
          <w:highlight w:val="none"/>
          <w:lang w:bidi="ar-SA"/>
        </w:rPr>
        <w:tab/>
      </w:r>
    </w:p>
    <w:p>
      <w:pPr>
        <w:shd w:val="clear"/>
        <w:overflowPunct w:val="0"/>
        <w:autoSpaceDE w:val="0"/>
        <w:autoSpaceDN w:val="0"/>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（一）项目完成情况。</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疫情期间，我局交通卡点工作人员全部实行闭环管理，绩效目标完成率100%，项目成本控制在预算资金范围内，无结余资金。</w:t>
      </w:r>
    </w:p>
    <w:p>
      <w:pPr>
        <w:shd w:val="clear"/>
        <w:overflowPunct w:val="0"/>
        <w:autoSpaceDE w:val="0"/>
        <w:autoSpaceDN w:val="0"/>
        <w:adjustRightInd w:val="0"/>
        <w:snapToGrid w:val="0"/>
        <w:spacing w:line="560" w:lineRule="exact"/>
        <w:ind w:firstLine="640" w:firstLineChars="200"/>
        <w:rPr>
          <w:rFonts w:hint="eastAsia" w:ascii="楷体_GB2312" w:eastAsia="楷体_GB2312" w:cs="Times New Roman"/>
          <w:color w:val="auto"/>
          <w:sz w:val="32"/>
          <w:szCs w:val="32"/>
          <w:highlight w:val="none"/>
          <w:lang w:bidi="ar-SA"/>
        </w:rPr>
      </w:pPr>
      <w:r>
        <w:rPr>
          <w:rFonts w:hint="eastAsia" w:ascii="楷体_GB2312" w:eastAsia="楷体_GB2312" w:cs="Times New Roman"/>
          <w:color w:val="auto"/>
          <w:sz w:val="32"/>
          <w:szCs w:val="32"/>
          <w:highlight w:val="none"/>
          <w:lang w:bidi="ar-SA"/>
        </w:rPr>
        <w:t>（二）项目效益情况</w:t>
      </w:r>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通过闭环管理，加强了对交通卡点工作人员的统一管理，使疫情得到有效控制。</w:t>
      </w:r>
    </w:p>
    <w:p>
      <w:pPr>
        <w:shd w:val="clear"/>
        <w:overflowPunct w:val="0"/>
        <w:autoSpaceDE w:val="0"/>
        <w:autoSpaceDN w:val="0"/>
        <w:adjustRightInd w:val="0"/>
        <w:snapToGrid w:val="0"/>
        <w:spacing w:line="560" w:lineRule="exact"/>
        <w:ind w:firstLine="640" w:firstLineChars="200"/>
        <w:outlineLvl w:val="1"/>
        <w:rPr>
          <w:rFonts w:hint="eastAsia" w:ascii="黑体" w:eastAsia="黑体" w:cs="Times New Roman"/>
          <w:color w:val="auto"/>
          <w:sz w:val="32"/>
          <w:szCs w:val="32"/>
          <w:highlight w:val="none"/>
          <w:lang w:bidi="ar-SA"/>
        </w:rPr>
      </w:pPr>
      <w:bookmarkStart w:id="313" w:name="_Toc19143"/>
      <w:bookmarkStart w:id="314" w:name="_Toc970805630_WPSOffice_Level2"/>
      <w:bookmarkStart w:id="315" w:name="_Toc1571451526_WPSOffice_Level2"/>
      <w:bookmarkStart w:id="316" w:name="_Toc11816"/>
      <w:r>
        <w:rPr>
          <w:rFonts w:hint="eastAsia" w:ascii="黑体" w:eastAsia="黑体" w:cs="Times New Roman"/>
          <w:color w:val="auto"/>
          <w:sz w:val="32"/>
          <w:szCs w:val="32"/>
          <w:highlight w:val="none"/>
          <w:lang w:bidi="ar-SA"/>
        </w:rPr>
        <w:t>五、评价结论</w:t>
      </w:r>
      <w:bookmarkEnd w:id="313"/>
      <w:bookmarkEnd w:id="314"/>
      <w:bookmarkEnd w:id="315"/>
      <w:bookmarkEnd w:id="316"/>
    </w:p>
    <w:p>
      <w:pPr>
        <w:shd w:val="clear"/>
        <w:overflowPunct w:val="0"/>
        <w:autoSpaceDE w:val="0"/>
        <w:autoSpaceDN w:val="0"/>
        <w:adjustRightInd w:val="0"/>
        <w:snapToGrid w:val="0"/>
        <w:spacing w:line="560" w:lineRule="exact"/>
        <w:ind w:firstLine="640" w:firstLineChars="200"/>
        <w:rPr>
          <w:rFonts w:hint="eastAsia" w:ascii="仿宋_GB2312" w:eastAsia="仿宋_GB2312" w:cs="Times New Roman"/>
          <w:color w:val="auto"/>
          <w:sz w:val="32"/>
          <w:szCs w:val="32"/>
          <w:highlight w:val="none"/>
          <w:lang w:bidi="ar-SA"/>
        </w:rPr>
      </w:pPr>
      <w:r>
        <w:rPr>
          <w:rFonts w:hint="eastAsia" w:ascii="仿宋_GB2312" w:eastAsia="仿宋_GB2312" w:cs="Times New Roman"/>
          <w:color w:val="auto"/>
          <w:sz w:val="32"/>
          <w:szCs w:val="32"/>
          <w:highlight w:val="none"/>
          <w:lang w:bidi="ar-SA"/>
        </w:rPr>
        <w:t>交通卡点工作人员闭环管理食宿费用项目管理、使用合法，支出及时，受益对象满意，项目支出绩效自评得分100分，其中项目决策25分、项目管理15分、项目绩效（特性指标）60分。</w:t>
      </w: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shd w:val="clear"/>
        <w:adjustRightInd w:val="0"/>
        <w:snapToGrid/>
        <w:spacing w:line="660" w:lineRule="exact"/>
        <w:jc w:val="left"/>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附件11：</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shd w:val="clear"/>
        <w:adjustRightInd w:val="0"/>
        <w:snapToGrid/>
        <w:spacing w:line="576" w:lineRule="exact"/>
        <w:jc w:val="center"/>
        <w:rPr>
          <w:rFonts w:hint="eastAsia" w:ascii="方正小标宋_GBK" w:eastAsia="方正小标宋_GBK"/>
          <w:color w:val="auto"/>
          <w:kern w:val="0"/>
          <w:sz w:val="44"/>
          <w:szCs w:val="44"/>
          <w:highlight w:val="none"/>
        </w:rPr>
      </w:pPr>
      <w:r>
        <w:rPr>
          <w:rFonts w:hint="eastAsia" w:ascii="方正小标宋_GBK" w:eastAsia="方正小标宋_GBK"/>
          <w:color w:val="auto"/>
          <w:kern w:val="0"/>
          <w:sz w:val="44"/>
          <w:szCs w:val="44"/>
          <w:highlight w:val="none"/>
        </w:rPr>
        <w:t>关于</w:t>
      </w:r>
      <w:r>
        <w:rPr>
          <w:rFonts w:hint="eastAsia" w:ascii="方正小标宋_GBK" w:eastAsia="方正小标宋_GBK" w:cs="方正小标宋简体"/>
          <w:color w:val="auto"/>
          <w:kern w:val="2"/>
          <w:sz w:val="44"/>
          <w:szCs w:val="44"/>
          <w:highlight w:val="none"/>
          <w:lang w:bidi="ar-SA"/>
        </w:rPr>
        <w:t>2022年</w:t>
      </w:r>
      <w:r>
        <w:rPr>
          <w:rFonts w:hint="eastAsia" w:ascii="方正小标宋_GBK" w:eastAsia="方正小标宋_GBK"/>
          <w:color w:val="auto"/>
          <w:kern w:val="0"/>
          <w:sz w:val="44"/>
          <w:szCs w:val="44"/>
          <w:highlight w:val="none"/>
        </w:rPr>
        <w:t>省道205线广元至昭化镇段公路改建工程</w:t>
      </w:r>
      <w:r>
        <w:rPr>
          <w:rFonts w:hint="eastAsia" w:ascii="方正小标宋_GBK" w:eastAsia="方正小标宋_GBK" w:cs="方正小标宋简体"/>
          <w:color w:val="auto"/>
          <w:kern w:val="2"/>
          <w:sz w:val="44"/>
          <w:szCs w:val="44"/>
          <w:highlight w:val="none"/>
          <w:lang w:bidi="ar-SA"/>
        </w:rPr>
        <w:t>项目预算支出绩效</w:t>
      </w:r>
      <w:r>
        <w:rPr>
          <w:rFonts w:hint="eastAsia" w:ascii="方正小标宋_GBK" w:eastAsia="方正小标宋_GBK" w:cs="方正小标宋简体"/>
          <w:color w:val="auto"/>
          <w:kern w:val="2"/>
          <w:sz w:val="44"/>
          <w:szCs w:val="44"/>
          <w:highlight w:val="none"/>
          <w:lang w:eastAsia="zh-CN" w:bidi="ar-SA"/>
        </w:rPr>
        <w:t>的</w:t>
      </w:r>
      <w:r>
        <w:rPr>
          <w:rFonts w:hint="eastAsia" w:ascii="方正小标宋_GBK" w:eastAsia="方正小标宋_GBK" w:cs="方正小标宋简体"/>
          <w:color w:val="auto"/>
          <w:kern w:val="2"/>
          <w:sz w:val="44"/>
          <w:szCs w:val="44"/>
          <w:highlight w:val="none"/>
          <w:lang w:bidi="ar-SA"/>
        </w:rPr>
        <w:t>自评报告</w:t>
      </w:r>
    </w:p>
    <w:p>
      <w:pPr>
        <w:pStyle w:val="13"/>
        <w:shd w:val="clear"/>
        <w:spacing w:before="0" w:beforeAutospacing="0" w:after="0" w:afterAutospacing="0" w:line="576" w:lineRule="exact"/>
        <w:rPr>
          <w:rFonts w:hint="eastAsia" w:ascii="Times New Roman" w:hAnsi="Times New Roman" w:eastAsia="宋体" w:cs="Times New Roman"/>
          <w:color w:val="auto"/>
          <w:kern w:val="2"/>
          <w:sz w:val="32"/>
          <w:szCs w:val="32"/>
          <w:highlight w:val="none"/>
          <w:lang w:bidi="ar-SA"/>
        </w:rPr>
      </w:pPr>
    </w:p>
    <w:p>
      <w:pPr>
        <w:keepNext w:val="0"/>
        <w:keepLines w:val="0"/>
        <w:pageBreakBefore w:val="0"/>
        <w:widowControl w:val="0"/>
        <w:suppressLineNumbers w:val="0"/>
        <w:shd w:val="clear"/>
        <w:tabs>
          <w:tab w:val="left" w:pos="0"/>
        </w:tabs>
        <w:suppressAutoHyphens w:val="0"/>
        <w:kinsoku/>
        <w:wordWrap/>
        <w:overflowPunct/>
        <w:topLinePunct w:val="0"/>
        <w:autoSpaceDE/>
        <w:autoSpaceDN/>
        <w:spacing w:line="576" w:lineRule="exact"/>
        <w:ind w:left="420" w:leftChars="200" w:firstLine="0"/>
        <w:outlineLvl w:val="1"/>
        <w:rPr>
          <w:rFonts w:hint="eastAsia" w:ascii="黑体" w:eastAsia="黑体"/>
          <w:color w:val="auto"/>
          <w:kern w:val="2"/>
          <w:sz w:val="32"/>
          <w:szCs w:val="32"/>
          <w:highlight w:val="none"/>
        </w:rPr>
      </w:pPr>
      <w:bookmarkStart w:id="317" w:name="_Toc362041541_WPSOffice_Level2"/>
      <w:bookmarkStart w:id="318" w:name="_Toc2529"/>
      <w:bookmarkStart w:id="319" w:name="_Toc22072"/>
      <w:bookmarkStart w:id="320" w:name="_Toc1617242973_WPSOffice_Level2"/>
      <w:r>
        <w:rPr>
          <w:rFonts w:hint="eastAsia" w:ascii="黑体" w:eastAsia="黑体"/>
          <w:color w:val="auto"/>
          <w:kern w:val="2"/>
          <w:sz w:val="32"/>
          <w:szCs w:val="32"/>
          <w:highlight w:val="none"/>
          <w:lang w:eastAsia="zh-CN"/>
        </w:rPr>
        <w:t>一、</w:t>
      </w:r>
      <w:r>
        <w:rPr>
          <w:rFonts w:hint="eastAsia" w:ascii="黑体" w:eastAsia="黑体"/>
          <w:color w:val="auto"/>
          <w:kern w:val="2"/>
          <w:sz w:val="32"/>
          <w:szCs w:val="32"/>
          <w:highlight w:val="none"/>
        </w:rPr>
        <w:t>项目概况</w:t>
      </w:r>
      <w:bookmarkEnd w:id="317"/>
      <w:bookmarkEnd w:id="318"/>
      <w:bookmarkEnd w:id="319"/>
      <w:bookmarkEnd w:id="320"/>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（一）项目基本情况</w:t>
      </w:r>
    </w:p>
    <w:p>
      <w:pPr>
        <w:shd w:val="clear"/>
        <w:adjustRightInd w:val="0"/>
        <w:snapToGrid w:val="0"/>
        <w:spacing w:line="576" w:lineRule="exact"/>
        <w:ind w:firstLine="640" w:firstLineChars="200"/>
        <w:rPr>
          <w:rFonts w:hint="eastAsia" w:ascii="Times New Roman" w:hAnsi="Times New Roman" w:eastAsia="宋体"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1．主管部门在管理中的职能。2022年，我局规划科、</w:t>
      </w:r>
      <w:r>
        <w:rPr>
          <w:rFonts w:hint="eastAsia" w:ascii="仿宋_GB2312" w:eastAsia="仿宋_GB2312" w:cs="Times New Roman"/>
          <w:color w:val="auto"/>
          <w:kern w:val="2"/>
          <w:sz w:val="32"/>
          <w:szCs w:val="32"/>
          <w:highlight w:val="none"/>
          <w:lang w:eastAsia="zh-CN" w:bidi="ar-SA"/>
        </w:rPr>
        <w:t>建管科、</w:t>
      </w:r>
      <w:r>
        <w:rPr>
          <w:rFonts w:hint="eastAsia" w:ascii="仿宋_GB2312" w:eastAsia="仿宋_GB2312" w:cs="Times New Roman"/>
          <w:color w:val="auto"/>
          <w:kern w:val="2"/>
          <w:sz w:val="32"/>
          <w:szCs w:val="32"/>
          <w:highlight w:val="none"/>
          <w:lang w:bidi="ar-SA"/>
        </w:rPr>
        <w:t>财务科等相关科室对省道205线广元至昭化镇段公路改建工程开展了资金预算、绩效申报和绩效运行监控、资金使用等全过程监管，确保项目管理规范、按期保质保量完成运营管理任务。同时，我局作为项目主管部门，根据绩效目标，全面开展了项目绩效管理、规范资金使用、严守财经纪律，充分发挥了社会效益和经济效益。</w:t>
      </w:r>
    </w:p>
    <w:p>
      <w:pPr>
        <w:pStyle w:val="13"/>
        <w:shd w:val="clear"/>
        <w:spacing w:before="0" w:beforeAutospacing="0" w:after="0" w:afterAutospacing="0" w:line="576" w:lineRule="exact"/>
        <w:ind w:left="0" w:leftChars="0" w:firstLine="640" w:firstLineChars="200"/>
        <w:rPr>
          <w:rFonts w:hint="eastAsia" w:ascii="仿宋_GB2312" w:eastAsia="仿宋_GB2312"/>
          <w:color w:val="auto"/>
          <w:kern w:val="0"/>
          <w:sz w:val="32"/>
          <w:szCs w:val="32"/>
          <w:highlight w:val="none"/>
        </w:rPr>
      </w:pPr>
      <w:r>
        <w:rPr>
          <w:rFonts w:hint="eastAsia" w:ascii="仿宋_GB2312" w:eastAsia="仿宋_GB2312" w:cs="仿宋"/>
          <w:color w:val="auto"/>
          <w:kern w:val="0"/>
          <w:sz w:val="32"/>
          <w:szCs w:val="32"/>
          <w:highlight w:val="none"/>
          <w:lang w:bidi="ar-SA"/>
        </w:rPr>
        <w:t>2．项目立项、资金申报的依据。2014年12月</w:t>
      </w:r>
      <w:r>
        <w:rPr>
          <w:rFonts w:hint="eastAsia" w:ascii="仿宋_GB2312" w:eastAsia="仿宋_GB2312" w:cs="仿宋"/>
          <w:color w:val="auto"/>
          <w:kern w:val="0"/>
          <w:sz w:val="32"/>
          <w:szCs w:val="32"/>
          <w:highlight w:val="none"/>
          <w:lang w:eastAsia="zh-CN" w:bidi="ar-SA"/>
        </w:rPr>
        <w:t>，</w:t>
      </w:r>
      <w:r>
        <w:rPr>
          <w:rFonts w:hint="eastAsia" w:ascii="仿宋_GB2312" w:eastAsia="仿宋_GB2312" w:cs="仿宋"/>
          <w:color w:val="auto"/>
          <w:kern w:val="0"/>
          <w:sz w:val="32"/>
          <w:szCs w:val="32"/>
          <w:highlight w:val="none"/>
          <w:lang w:bidi="ar-SA"/>
        </w:rPr>
        <w:t>该项目经市发展改革委员会广发改函</w:t>
      </w:r>
      <w:r>
        <w:rPr>
          <w:rFonts w:hint="eastAsia" w:ascii="微软雅黑" w:eastAsia="微软雅黑" w:cs="微软雅黑"/>
          <w:color w:val="auto"/>
          <w:kern w:val="0"/>
          <w:sz w:val="32"/>
          <w:szCs w:val="32"/>
          <w:highlight w:val="none"/>
          <w:lang w:bidi="ar-SA"/>
        </w:rPr>
        <w:t>〔</w:t>
      </w:r>
      <w:r>
        <w:rPr>
          <w:rFonts w:hint="eastAsia" w:ascii="仿宋_GB2312" w:eastAsia="仿宋_GB2312" w:cs="仿宋"/>
          <w:color w:val="auto"/>
          <w:kern w:val="0"/>
          <w:sz w:val="32"/>
          <w:szCs w:val="32"/>
          <w:highlight w:val="none"/>
          <w:lang w:bidi="ar-SA"/>
        </w:rPr>
        <w:t>2014</w:t>
      </w:r>
      <w:r>
        <w:rPr>
          <w:rFonts w:hint="eastAsia" w:ascii="微软雅黑" w:eastAsia="微软雅黑" w:cs="微软雅黑"/>
          <w:color w:val="auto"/>
          <w:kern w:val="0"/>
          <w:sz w:val="32"/>
          <w:szCs w:val="32"/>
          <w:highlight w:val="none"/>
          <w:lang w:bidi="ar-SA"/>
        </w:rPr>
        <w:t>〕</w:t>
      </w:r>
      <w:r>
        <w:rPr>
          <w:rFonts w:hint="eastAsia" w:ascii="仿宋_GB2312" w:eastAsia="仿宋_GB2312" w:cs="仿宋"/>
          <w:color w:val="auto"/>
          <w:kern w:val="0"/>
          <w:sz w:val="32"/>
          <w:szCs w:val="32"/>
          <w:highlight w:val="none"/>
          <w:lang w:bidi="ar-SA"/>
        </w:rPr>
        <w:t>253号文件批复立项建设，批复估算</w:t>
      </w:r>
      <w:r>
        <w:rPr>
          <w:rFonts w:hint="eastAsia" w:ascii="仿宋_GB2312" w:eastAsia="仿宋_GB2312" w:cs="仿宋"/>
          <w:color w:val="auto"/>
          <w:kern w:val="0"/>
          <w:sz w:val="32"/>
          <w:szCs w:val="32"/>
          <w:highlight w:val="none"/>
          <w:lang w:val="en-US" w:eastAsia="zh-CN" w:bidi="ar-SA"/>
        </w:rPr>
        <w:t>总投资</w:t>
      </w:r>
      <w:r>
        <w:rPr>
          <w:rFonts w:hint="eastAsia" w:ascii="仿宋_GB2312" w:eastAsia="仿宋_GB2312" w:cs="仿宋"/>
          <w:color w:val="auto"/>
          <w:kern w:val="0"/>
          <w:sz w:val="32"/>
          <w:szCs w:val="32"/>
          <w:highlight w:val="none"/>
          <w:lang w:bidi="ar-SA"/>
        </w:rPr>
        <w:t>59749万元。</w:t>
      </w:r>
    </w:p>
    <w:p>
      <w:pPr>
        <w:shd w:val="clear"/>
        <w:adjustRightInd w:val="0"/>
        <w:snapToGrid w:val="0"/>
        <w:spacing w:line="576" w:lineRule="exact"/>
        <w:ind w:firstLine="640" w:firstLineChars="200"/>
        <w:rPr>
          <w:rFonts w:hint="eastAsia" w:ascii="仿宋_GB2312" w:eastAsia="仿宋_GB2312"/>
          <w:color w:val="auto"/>
          <w:kern w:val="0"/>
          <w:sz w:val="32"/>
          <w:szCs w:val="32"/>
          <w:highlight w:val="none"/>
          <w:shd w:val="clear" w:color="auto" w:fill="FFFFFF"/>
        </w:rPr>
      </w:pPr>
      <w:r>
        <w:rPr>
          <w:rFonts w:hint="eastAsia" w:ascii="仿宋_GB2312" w:eastAsia="仿宋_GB2312" w:cs="Times New Roman"/>
          <w:color w:val="auto"/>
          <w:kern w:val="2"/>
          <w:sz w:val="32"/>
          <w:szCs w:val="32"/>
          <w:highlight w:val="none"/>
          <w:lang w:bidi="ar-SA"/>
        </w:rPr>
        <w:t>3．资金管理办法制定情况。</w:t>
      </w:r>
      <w:r>
        <w:rPr>
          <w:rFonts w:hint="eastAsia" w:ascii="仿宋_GB2312" w:eastAsia="仿宋_GB2312" w:cs="仿宋"/>
          <w:color w:val="auto"/>
          <w:kern w:val="0"/>
          <w:sz w:val="32"/>
          <w:szCs w:val="32"/>
          <w:highlight w:val="none"/>
          <w:lang w:bidi="ar-SA"/>
        </w:rPr>
        <w:t>我局财务制度健全，专门建立了《广元市交通运输局预算管理》《广元市交通运输局收支管理》等内控制度，会计核算规范，账务处理及时，资金管理和使用符合国家财经法规</w:t>
      </w:r>
      <w:r>
        <w:rPr>
          <w:rFonts w:hint="eastAsia" w:ascii="仿宋_GB2312" w:eastAsia="仿宋_GB2312" w:cs="仿宋"/>
          <w:color w:val="auto"/>
          <w:kern w:val="0"/>
          <w:sz w:val="32"/>
          <w:szCs w:val="32"/>
          <w:highlight w:val="none"/>
          <w:lang w:eastAsia="zh-CN" w:bidi="ar-SA"/>
        </w:rPr>
        <w:t>、各级</w:t>
      </w:r>
      <w:r>
        <w:rPr>
          <w:rFonts w:hint="eastAsia" w:ascii="仿宋_GB2312" w:eastAsia="仿宋_GB2312" w:cs="仿宋"/>
          <w:color w:val="auto"/>
          <w:kern w:val="0"/>
          <w:sz w:val="32"/>
          <w:szCs w:val="32"/>
          <w:highlight w:val="none"/>
          <w:lang w:bidi="ar-SA"/>
        </w:rPr>
        <w:t>专项资金管理办法规定</w:t>
      </w:r>
      <w:r>
        <w:rPr>
          <w:rFonts w:hint="eastAsia" w:ascii="仿宋_GB2312" w:eastAsia="仿宋_GB2312" w:cs="仿宋"/>
          <w:color w:val="auto"/>
          <w:kern w:val="0"/>
          <w:sz w:val="32"/>
          <w:szCs w:val="32"/>
          <w:highlight w:val="none"/>
          <w:lang w:eastAsia="zh-CN" w:bidi="ar-SA"/>
        </w:rPr>
        <w:t>和内部</w:t>
      </w:r>
      <w:r>
        <w:rPr>
          <w:rFonts w:hint="eastAsia" w:ascii="仿宋_GB2312" w:eastAsia="仿宋_GB2312" w:cs="仿宋"/>
          <w:color w:val="auto"/>
          <w:kern w:val="0"/>
          <w:sz w:val="32"/>
          <w:szCs w:val="32"/>
          <w:highlight w:val="none"/>
          <w:lang w:bidi="ar-SA"/>
        </w:rPr>
        <w:t>财务管理制度。为进一步加强主管部门在交通建设项目中的资金监管，2021年，我局和市财政局联合转发了《四川省省级财政交通专项资金管理办法》。</w:t>
      </w:r>
    </w:p>
    <w:p>
      <w:pPr>
        <w:pStyle w:val="13"/>
        <w:shd w:val="clear"/>
        <w:spacing w:before="0" w:beforeAutospacing="0" w:after="0" w:afterAutospacing="0" w:line="576" w:lineRule="exact"/>
        <w:ind w:left="0" w:leftChars="0" w:firstLine="640" w:firstLineChars="200"/>
        <w:rPr>
          <w:rFonts w:hint="eastAsia" w:ascii="黑体" w:eastAsia="黑体"/>
          <w:color w:val="auto"/>
          <w:spacing w:val="-6"/>
          <w:kern w:val="2"/>
          <w:sz w:val="32"/>
          <w:szCs w:val="32"/>
          <w:highlight w:val="none"/>
        </w:rPr>
      </w:pPr>
      <w:r>
        <w:rPr>
          <w:rFonts w:hint="eastAsia" w:ascii="仿宋_GB2312" w:eastAsia="仿宋_GB2312" w:cs="Times New Roman"/>
          <w:color w:val="auto"/>
          <w:kern w:val="2"/>
          <w:sz w:val="32"/>
          <w:szCs w:val="32"/>
          <w:highlight w:val="none"/>
          <w:lang w:bidi="ar-SA"/>
        </w:rPr>
        <w:t>4．资金分配的原则。我局资金分配坚持“专款专用”原则。交通建设项目专项资金使用范围内除交通应急保通保畅资金，以及特定法以外的专项资金安排均采用项目法分配。我局收到资金计划后，按照“三重一大”相关要求，</w:t>
      </w:r>
      <w:r>
        <w:rPr>
          <w:rFonts w:hint="eastAsia" w:ascii="仿宋_GB2312" w:eastAsia="仿宋_GB2312" w:cs="Times New Roman"/>
          <w:color w:val="auto"/>
          <w:spacing w:val="-6"/>
          <w:kern w:val="2"/>
          <w:sz w:val="32"/>
          <w:szCs w:val="32"/>
          <w:highlight w:val="none"/>
          <w:lang w:bidi="ar-SA"/>
        </w:rPr>
        <w:t>由业务科室根据实际情况按照计划文件和项目法分配原则提出分配方案报局党组会议审定，再向市财政局报送拨付函，及时将项目资金拨付给</w:t>
      </w:r>
      <w:r>
        <w:rPr>
          <w:rFonts w:hint="eastAsia" w:ascii="仿宋_GB2312" w:eastAsia="仿宋_GB2312" w:cs="Times New Roman"/>
          <w:color w:val="auto"/>
          <w:spacing w:val="-6"/>
          <w:kern w:val="2"/>
          <w:sz w:val="32"/>
          <w:szCs w:val="32"/>
          <w:highlight w:val="none"/>
          <w:lang w:eastAsia="zh-CN" w:bidi="ar-SA"/>
        </w:rPr>
        <w:t>市交投集团</w:t>
      </w:r>
      <w:r>
        <w:rPr>
          <w:rFonts w:hint="eastAsia" w:ascii="仿宋_GB2312" w:eastAsia="仿宋_GB2312" w:cs="Times New Roman"/>
          <w:color w:val="auto"/>
          <w:spacing w:val="-6"/>
          <w:kern w:val="2"/>
          <w:sz w:val="32"/>
          <w:szCs w:val="32"/>
          <w:highlight w:val="none"/>
          <w:lang w:bidi="ar-SA"/>
        </w:rPr>
        <w:t>。</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（二）项目绩效目标</w:t>
      </w:r>
    </w:p>
    <w:p>
      <w:pPr>
        <w:keepNext w:val="0"/>
        <w:keepLines w:val="0"/>
        <w:pageBreakBefore w:val="0"/>
        <w:widowControl w:val="0"/>
        <w:suppressLineNumbers w:val="0"/>
        <w:shd w:val="clear"/>
        <w:suppressAutoHyphens w:val="0"/>
        <w:kinsoku/>
        <w:wordWrap/>
        <w:overflowPunct/>
        <w:topLinePunct w:val="0"/>
        <w:autoSpaceDE/>
        <w:autoSpaceDN/>
        <w:spacing w:line="576" w:lineRule="exact"/>
        <w:ind w:firstLine="640" w:firstLineChars="200"/>
        <w:rPr>
          <w:rFonts w:hint="eastAsia" w:ascii="仿宋_GB2312" w:eastAsia="仿宋_GB2312"/>
          <w:color w:val="auto"/>
          <w:kern w:val="0"/>
          <w:sz w:val="32"/>
          <w:szCs w:val="32"/>
          <w:highlight w:val="none"/>
        </w:rPr>
      </w:pPr>
      <w:r>
        <w:rPr>
          <w:rFonts w:hint="eastAsia" w:ascii="仿宋_GB2312" w:eastAsia="仿宋_GB2312"/>
          <w:color w:val="auto"/>
          <w:kern w:val="0"/>
          <w:sz w:val="32"/>
          <w:szCs w:val="32"/>
          <w:highlight w:val="none"/>
          <w:shd w:val="clear" w:color="auto" w:fill="FFFFFF"/>
        </w:rPr>
        <w:t>1．</w:t>
      </w:r>
      <w:r>
        <w:rPr>
          <w:rFonts w:hint="eastAsia" w:ascii="仿宋_GB2312" w:eastAsia="仿宋_GB2312" w:cs="Times New Roman"/>
          <w:color w:val="auto"/>
          <w:kern w:val="2"/>
          <w:sz w:val="32"/>
          <w:szCs w:val="32"/>
          <w:highlight w:val="none"/>
          <w:lang w:bidi="ar-SA"/>
        </w:rPr>
        <w:t>项目主要内容。</w:t>
      </w:r>
      <w:r>
        <w:rPr>
          <w:rFonts w:hint="eastAsia" w:ascii="仿宋_GB2312" w:eastAsia="仿宋_GB2312"/>
          <w:color w:val="auto"/>
          <w:kern w:val="0"/>
          <w:sz w:val="32"/>
          <w:szCs w:val="32"/>
          <w:highlight w:val="none"/>
        </w:rPr>
        <w:t>省道205线广元至昭化镇段公路改建工程起于南河污水处理厂，止于昭化镇王家店子，路线全长18.772km，二级公路，设计时速60km/h，路基宽12m，沥青</w:t>
      </w:r>
      <w:r>
        <w:rPr>
          <w:rFonts w:hint="eastAsia" w:ascii="仿宋_GB2312" w:eastAsia="仿宋_GB2312"/>
          <w:color w:val="auto"/>
          <w:kern w:val="0"/>
          <w:sz w:val="32"/>
          <w:szCs w:val="32"/>
          <w:highlight w:val="none"/>
          <w:lang w:val="en-US" w:eastAsia="zh-CN"/>
        </w:rPr>
        <w:t>混凝土</w:t>
      </w:r>
      <w:r>
        <w:rPr>
          <w:rFonts w:hint="eastAsia" w:ascii="仿宋_GB2312" w:eastAsia="仿宋_GB2312"/>
          <w:color w:val="auto"/>
          <w:kern w:val="0"/>
          <w:sz w:val="32"/>
          <w:szCs w:val="32"/>
          <w:highlight w:val="none"/>
        </w:rPr>
        <w:t>路面。项目总投资59749.36万元。2015年7月动工，2019年1月主体工程完工，总工期为42个月。</w:t>
      </w:r>
    </w:p>
    <w:p>
      <w:pPr>
        <w:keepNext w:val="0"/>
        <w:keepLines w:val="0"/>
        <w:pageBreakBefore w:val="0"/>
        <w:widowControl w:val="0"/>
        <w:suppressLineNumbers w:val="0"/>
        <w:shd w:val="clear"/>
        <w:suppressAutoHyphens w:val="0"/>
        <w:kinsoku/>
        <w:wordWrap/>
        <w:overflowPunct/>
        <w:topLinePunct w:val="0"/>
        <w:autoSpaceDE/>
        <w:autoSpaceDN/>
        <w:spacing w:line="576" w:lineRule="exact"/>
        <w:ind w:firstLine="640" w:firstLineChars="200"/>
        <w:rPr>
          <w:rFonts w:hint="eastAsia" w:ascii="仿宋_GB2312" w:eastAsia="仿宋_GB2312"/>
          <w:color w:val="auto"/>
          <w:kern w:val="0"/>
          <w:sz w:val="32"/>
          <w:szCs w:val="32"/>
          <w:highlight w:val="none"/>
        </w:rPr>
      </w:pPr>
      <w:r>
        <w:rPr>
          <w:rFonts w:hint="eastAsia" w:ascii="仿宋_GB2312" w:eastAsia="仿宋_GB2312"/>
          <w:color w:val="auto"/>
          <w:kern w:val="0"/>
          <w:sz w:val="32"/>
          <w:szCs w:val="32"/>
          <w:highlight w:val="none"/>
          <w:shd w:val="clear" w:color="auto" w:fill="FFFFFF"/>
        </w:rPr>
        <w:t>2．项目应实现的具体绩效目标</w:t>
      </w:r>
      <w:r>
        <w:rPr>
          <w:rFonts w:hint="eastAsia" w:ascii="仿宋_GB2312" w:hAnsi="仿宋_GB2312" w:eastAsia="宋体" w:cs="仿宋_GB2312"/>
          <w:color w:val="auto"/>
          <w:kern w:val="0"/>
          <w:sz w:val="32"/>
          <w:szCs w:val="32"/>
          <w:highlight w:val="none"/>
          <w:shd w:val="clear" w:color="auto" w:fill="FFFFFF"/>
          <w:lang w:bidi="ar-SA"/>
        </w:rPr>
        <w:t>。</w:t>
      </w:r>
      <w:r>
        <w:rPr>
          <w:rFonts w:hint="eastAsia" w:ascii="仿宋_GB2312" w:eastAsia="仿宋_GB2312"/>
          <w:color w:val="auto"/>
          <w:kern w:val="0"/>
          <w:sz w:val="32"/>
          <w:szCs w:val="32"/>
          <w:highlight w:val="none"/>
        </w:rPr>
        <w:t>依据《中华人民共和国土地管理法》《四川省&lt;中华人民共和国土地管理法&gt;实施办法》等法律法规的规定，缴纳耕地开垦费597.4335万元。</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3．项目资金申报相符性和可行性。项目申报内容与实际相符，申报目标合理可行。</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（三）项目自评步骤及方法。</w:t>
      </w:r>
    </w:p>
    <w:p>
      <w:pPr>
        <w:pStyle w:val="13"/>
        <w:shd w:val="clear"/>
        <w:spacing w:before="0" w:beforeAutospacing="0" w:after="0" w:afterAutospacing="0" w:line="576" w:lineRule="exact"/>
        <w:ind w:left="0" w:leftChars="0"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根据预算绩效管理要求，我局由财务科牵头，局规划科配合，比照《2023年市级专项资金预算项目支出绩效评价指标体系》和年初绩效目标申报，严格执行《广元市市级预算绩效目标管理办法》规定，依据“谁申报、谁自评、谁绩效”的原则，采用成本效益分析法，对该项目产出完成、项目效益、财务管理、满意度等方面全面进行了绩效自评。经自评，项目支出绩效情况良好。</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outlineLvl w:val="1"/>
        <w:rPr>
          <w:rFonts w:hint="eastAsia" w:ascii="黑体" w:eastAsia="黑体" w:cs="Times New Roman"/>
          <w:color w:val="auto"/>
          <w:kern w:val="2"/>
          <w:sz w:val="32"/>
          <w:szCs w:val="32"/>
          <w:highlight w:val="none"/>
          <w:lang w:bidi="ar-SA"/>
        </w:rPr>
      </w:pPr>
      <w:bookmarkStart w:id="321" w:name="_Toc385247642_WPSOffice_Level2"/>
      <w:bookmarkStart w:id="322" w:name="_Toc1894"/>
      <w:bookmarkStart w:id="323" w:name="_Toc1352425047_WPSOffice_Level2"/>
      <w:bookmarkStart w:id="324" w:name="_Toc27050"/>
      <w:r>
        <w:rPr>
          <w:rFonts w:hint="eastAsia" w:ascii="黑体" w:eastAsia="黑体" w:cs="Times New Roman"/>
          <w:color w:val="auto"/>
          <w:kern w:val="2"/>
          <w:sz w:val="32"/>
          <w:szCs w:val="32"/>
          <w:highlight w:val="none"/>
          <w:lang w:bidi="ar-SA"/>
        </w:rPr>
        <w:t>二、项目资金申报及使用情况</w:t>
      </w:r>
      <w:bookmarkEnd w:id="321"/>
      <w:bookmarkEnd w:id="322"/>
      <w:bookmarkEnd w:id="323"/>
      <w:bookmarkEnd w:id="324"/>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（一）项目资金申报及批复情况。</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2022年11月，市财政局下达我局省道205线广元至昭化镇段公路改建工程经费597.4335万元（广财投〔2022〕122号）。</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仿宋_GB2312" w:hAnsi="仿宋_GB2312" w:eastAsia="宋体"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（二）资金计划、到位及使用情况。</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contextualSpacing/>
        <w:jc w:val="both"/>
        <w:rPr>
          <w:rFonts w:hint="eastAsia" w:ascii="仿宋_GB2312" w:eastAsia="仿宋_GB2312"/>
          <w:color w:val="auto"/>
          <w:kern w:val="0"/>
          <w:sz w:val="32"/>
          <w:szCs w:val="32"/>
          <w:highlight w:val="none"/>
          <w:shd w:val="clear" w:color="auto" w:fill="FFFFFF"/>
        </w:rPr>
      </w:pPr>
      <w:r>
        <w:rPr>
          <w:rFonts w:hint="eastAsia" w:ascii="仿宋_GB2312" w:eastAsia="仿宋_GB2312"/>
          <w:color w:val="auto"/>
          <w:kern w:val="0"/>
          <w:sz w:val="32"/>
          <w:szCs w:val="32"/>
          <w:highlight w:val="none"/>
          <w:shd w:val="clear" w:color="auto" w:fill="FFFFFF"/>
        </w:rPr>
        <w:t>1．资金计划。</w:t>
      </w:r>
      <w:r>
        <w:rPr>
          <w:rFonts w:hint="eastAsia" w:ascii="仿宋_GB2312" w:eastAsia="仿宋_GB2312" w:cs="Times New Roman"/>
          <w:color w:val="auto"/>
          <w:kern w:val="2"/>
          <w:sz w:val="32"/>
          <w:szCs w:val="32"/>
          <w:highlight w:val="none"/>
          <w:lang w:bidi="ar-SA"/>
        </w:rPr>
        <w:t>省道205线广元至昭化镇段公路改建工程预算金额为597.4335万元，资金来源为市级财政政府性基金预算。</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contextualSpacing/>
        <w:jc w:val="both"/>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2．资金到位。2022年11月，市财政局下达省道205线广元至昭化镇段公路改建工程调整预算资金597.4335万元（广财投</w:t>
      </w:r>
      <w:r>
        <w:rPr>
          <w:rFonts w:hint="default" w:ascii="仿宋_GB2312" w:hAnsi="仿宋_GB2312" w:eastAsia="宋体" w:cs="Times New Roman"/>
          <w:color w:val="auto"/>
          <w:kern w:val="2"/>
          <w:sz w:val="32"/>
          <w:szCs w:val="32"/>
          <w:highlight w:val="none"/>
          <w:lang w:bidi="ar-SA"/>
        </w:rPr>
        <w:t>〔</w:t>
      </w:r>
      <w:r>
        <w:rPr>
          <w:rFonts w:ascii="仿宋_GB2312" w:hAnsi="仿宋_GB2312" w:eastAsia="宋体" w:cs="Times New Roman"/>
          <w:color w:val="auto"/>
          <w:kern w:val="2"/>
          <w:sz w:val="32"/>
          <w:szCs w:val="32"/>
          <w:highlight w:val="none"/>
          <w:lang w:bidi="ar-SA"/>
        </w:rPr>
        <w:t>2022</w:t>
      </w:r>
      <w:r>
        <w:rPr>
          <w:rFonts w:hint="default" w:ascii="仿宋_GB2312" w:hAnsi="仿宋_GB2312" w:eastAsia="宋体" w:cs="Times New Roman"/>
          <w:color w:val="auto"/>
          <w:kern w:val="2"/>
          <w:sz w:val="32"/>
          <w:szCs w:val="32"/>
          <w:highlight w:val="none"/>
          <w:lang w:bidi="ar-SA"/>
        </w:rPr>
        <w:t>〕</w:t>
      </w:r>
      <w:r>
        <w:rPr>
          <w:rFonts w:hint="eastAsia" w:ascii="仿宋_GB2312" w:eastAsia="仿宋_GB2312" w:cs="Times New Roman"/>
          <w:color w:val="auto"/>
          <w:kern w:val="2"/>
          <w:sz w:val="32"/>
          <w:szCs w:val="32"/>
          <w:highlight w:val="none"/>
          <w:lang w:bidi="ar-SA"/>
        </w:rPr>
        <w:t>122号），资金已全额到位，资金到位率为100%。</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contextualSpacing/>
        <w:jc w:val="both"/>
        <w:rPr>
          <w:rFonts w:hint="eastAsia" w:ascii="仿宋_GB2312" w:eastAsia="仿宋_GB2312"/>
          <w:color w:val="auto"/>
          <w:kern w:val="0"/>
          <w:sz w:val="32"/>
          <w:szCs w:val="32"/>
          <w:highlight w:val="none"/>
          <w:shd w:val="clear" w:color="auto" w:fill="FFFFFF"/>
        </w:rPr>
      </w:pPr>
      <w:r>
        <w:rPr>
          <w:rFonts w:hint="eastAsia" w:ascii="仿宋_GB2312" w:eastAsia="仿宋_GB2312" w:cs="Times New Roman"/>
          <w:color w:val="auto"/>
          <w:kern w:val="2"/>
          <w:sz w:val="32"/>
          <w:szCs w:val="32"/>
          <w:highlight w:val="none"/>
          <w:lang w:bidi="ar-SA"/>
        </w:rPr>
        <w:t>3．资金使用。项目已达到合同约定目标，截至2022年12月，使用金额为597.4335万元，剩余资金0元，支付进度100%。资金支付严格遵循财政资金支付规定，支付依据合规合法，预算执行率100%。</w:t>
      </w:r>
    </w:p>
    <w:p>
      <w:pPr>
        <w:shd w:val="clear"/>
        <w:adjustRightInd w:val="0"/>
        <w:snapToGrid w:val="0"/>
        <w:spacing w:line="576" w:lineRule="exact"/>
        <w:ind w:firstLine="640" w:firstLineChars="200"/>
        <w:rPr>
          <w:rFonts w:hint="eastAsia" w:ascii="仿宋_GB2312" w:eastAsia="仿宋_GB2312" w:cs="宋体"/>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（三）项目财务管理情况。</w:t>
      </w:r>
      <w:r>
        <w:rPr>
          <w:rFonts w:hint="eastAsia" w:ascii="仿宋_GB2312" w:eastAsia="仿宋_GB2312" w:cs="宋体"/>
          <w:color w:val="auto"/>
          <w:kern w:val="2"/>
          <w:sz w:val="32"/>
          <w:szCs w:val="32"/>
          <w:highlight w:val="none"/>
          <w:lang w:bidi="ar-SA"/>
        </w:rPr>
        <w:t>我局严格执行</w:t>
      </w:r>
      <w:r>
        <w:rPr>
          <w:rFonts w:hint="eastAsia" w:ascii="仿宋_GB2312" w:eastAsia="仿宋_GB2312" w:cs="宋体"/>
          <w:color w:val="auto"/>
          <w:kern w:val="2"/>
          <w:sz w:val="32"/>
          <w:szCs w:val="32"/>
          <w:highlight w:val="none"/>
          <w:lang w:eastAsia="zh-CN" w:bidi="ar-SA"/>
        </w:rPr>
        <w:t>中、省、市</w:t>
      </w:r>
      <w:r>
        <w:rPr>
          <w:rFonts w:hint="eastAsia" w:ascii="仿宋_GB2312" w:eastAsia="仿宋_GB2312" w:cs="宋体"/>
          <w:color w:val="auto"/>
          <w:kern w:val="2"/>
          <w:sz w:val="32"/>
          <w:szCs w:val="32"/>
          <w:highlight w:val="none"/>
          <w:lang w:bidi="ar-SA"/>
        </w:rPr>
        <w:t>相关</w:t>
      </w:r>
      <w:r>
        <w:rPr>
          <w:rFonts w:hint="eastAsia" w:ascii="仿宋_GB2312" w:eastAsia="仿宋_GB2312" w:cs="宋体"/>
          <w:color w:val="auto"/>
          <w:kern w:val="2"/>
          <w:sz w:val="32"/>
          <w:szCs w:val="32"/>
          <w:highlight w:val="none"/>
          <w:lang w:eastAsia="zh-CN" w:bidi="ar-SA"/>
        </w:rPr>
        <w:t>政策规定</w:t>
      </w:r>
      <w:r>
        <w:rPr>
          <w:rFonts w:hint="eastAsia" w:ascii="仿宋_GB2312" w:eastAsia="仿宋_GB2312" w:cs="宋体"/>
          <w:color w:val="auto"/>
          <w:kern w:val="2"/>
          <w:sz w:val="32"/>
          <w:szCs w:val="32"/>
          <w:highlight w:val="none"/>
          <w:lang w:bidi="ar-SA"/>
        </w:rPr>
        <w:t>，财务制度健全，制定了绩效管理、财务管理办法等内部控制制度，资金管理和使用符合</w:t>
      </w:r>
      <w:r>
        <w:rPr>
          <w:rFonts w:hint="eastAsia" w:ascii="仿宋_GB2312" w:eastAsia="仿宋_GB2312" w:cs="仿宋"/>
          <w:color w:val="auto"/>
          <w:kern w:val="0"/>
          <w:sz w:val="32"/>
          <w:szCs w:val="32"/>
          <w:highlight w:val="none"/>
          <w:lang w:bidi="ar-SA"/>
        </w:rPr>
        <w:t>国家财经法规</w:t>
      </w:r>
      <w:r>
        <w:rPr>
          <w:rFonts w:hint="eastAsia" w:ascii="仿宋_GB2312" w:eastAsia="仿宋_GB2312" w:cs="仿宋"/>
          <w:color w:val="auto"/>
          <w:kern w:val="0"/>
          <w:sz w:val="32"/>
          <w:szCs w:val="32"/>
          <w:highlight w:val="none"/>
          <w:lang w:val="en-US" w:eastAsia="zh-CN" w:bidi="ar-SA"/>
        </w:rPr>
        <w:t>、中省市</w:t>
      </w:r>
      <w:r>
        <w:rPr>
          <w:rFonts w:hint="eastAsia" w:ascii="仿宋_GB2312" w:eastAsia="仿宋_GB2312" w:cs="仿宋"/>
          <w:color w:val="auto"/>
          <w:kern w:val="0"/>
          <w:sz w:val="32"/>
          <w:szCs w:val="32"/>
          <w:highlight w:val="none"/>
          <w:lang w:bidi="ar-SA"/>
        </w:rPr>
        <w:t>有关专项资金管理办法规定</w:t>
      </w:r>
      <w:r>
        <w:rPr>
          <w:rFonts w:hint="eastAsia" w:ascii="仿宋_GB2312" w:eastAsia="仿宋_GB2312" w:cs="宋体"/>
          <w:color w:val="auto"/>
          <w:kern w:val="2"/>
          <w:sz w:val="32"/>
          <w:szCs w:val="32"/>
          <w:highlight w:val="none"/>
          <w:lang w:bidi="ar-SA"/>
        </w:rPr>
        <w:t>。</w:t>
      </w:r>
    </w:p>
    <w:p>
      <w:pPr>
        <w:shd w:val="clear"/>
        <w:adjustRightInd w:val="0"/>
        <w:snapToGrid w:val="0"/>
        <w:spacing w:line="576" w:lineRule="exact"/>
        <w:ind w:firstLine="640" w:firstLineChars="200"/>
        <w:outlineLvl w:val="1"/>
        <w:rPr>
          <w:rFonts w:hint="eastAsia" w:ascii="Times New Roman" w:hAnsi="Times New Roman" w:eastAsia="宋体" w:cs="Times New Roman"/>
          <w:color w:val="auto"/>
          <w:kern w:val="2"/>
          <w:sz w:val="32"/>
          <w:szCs w:val="32"/>
          <w:highlight w:val="none"/>
          <w:lang w:bidi="ar-SA"/>
        </w:rPr>
      </w:pPr>
      <w:bookmarkStart w:id="325" w:name="_Toc29808"/>
      <w:bookmarkStart w:id="326" w:name="_Toc1971512873_WPSOffice_Level2"/>
      <w:bookmarkStart w:id="327" w:name="_Toc31418"/>
      <w:bookmarkStart w:id="328" w:name="_Toc1659985855_WPSOffice_Level2"/>
      <w:r>
        <w:rPr>
          <w:rFonts w:hint="eastAsia" w:ascii="黑体" w:eastAsia="黑体" w:cs="Times New Roman"/>
          <w:color w:val="auto"/>
          <w:kern w:val="2"/>
          <w:sz w:val="32"/>
          <w:szCs w:val="32"/>
          <w:highlight w:val="none"/>
          <w:lang w:bidi="ar-SA"/>
        </w:rPr>
        <w:t>三、项目实施及管理情况</w:t>
      </w:r>
      <w:bookmarkEnd w:id="325"/>
      <w:bookmarkEnd w:id="326"/>
      <w:bookmarkEnd w:id="327"/>
      <w:bookmarkEnd w:id="328"/>
    </w:p>
    <w:p>
      <w:pPr>
        <w:keepNext w:val="0"/>
        <w:keepLines w:val="0"/>
        <w:pageBreakBefore w:val="0"/>
        <w:widowControl w:val="0"/>
        <w:suppressLineNumbers w:val="0"/>
        <w:shd w:val="clear"/>
        <w:suppressAutoHyphens w:val="0"/>
        <w:kinsoku/>
        <w:wordWrap/>
        <w:overflowPunct/>
        <w:topLinePunct w:val="0"/>
        <w:autoSpaceDE/>
        <w:autoSpaceDN/>
        <w:spacing w:line="576" w:lineRule="exact"/>
        <w:ind w:firstLine="640" w:firstLineChars="200"/>
        <w:rPr>
          <w:rFonts w:hint="eastAsia" w:ascii="楷体_GB2312" w:eastAsia="楷体_GB2312"/>
          <w:color w:val="auto"/>
          <w:spacing w:val="-6"/>
          <w:kern w:val="2"/>
          <w:sz w:val="32"/>
          <w:szCs w:val="32"/>
          <w:highlight w:val="none"/>
        </w:rPr>
      </w:pPr>
      <w:r>
        <w:rPr>
          <w:rFonts w:hint="eastAsia" w:ascii="仿宋_GB2312" w:eastAsia="仿宋_GB2312" w:cs="Times New Roman"/>
          <w:color w:val="auto"/>
          <w:kern w:val="0"/>
          <w:sz w:val="32"/>
          <w:szCs w:val="32"/>
          <w:highlight w:val="none"/>
          <w:lang w:bidi="ar-SA"/>
        </w:rPr>
        <w:t>该</w:t>
      </w:r>
      <w:r>
        <w:rPr>
          <w:rFonts w:hint="eastAsia" w:ascii="仿宋_GB2312" w:eastAsia="仿宋_GB2312" w:cs="Times New Roman"/>
          <w:color w:val="auto"/>
          <w:spacing w:val="-6"/>
          <w:kern w:val="0"/>
          <w:sz w:val="32"/>
          <w:szCs w:val="32"/>
          <w:highlight w:val="none"/>
          <w:lang w:bidi="ar-SA"/>
        </w:rPr>
        <w:t>项目由广元市交通投资集团有限公司组织实施，并成立了项目指挥部具体负责现场管理。我局</w:t>
      </w:r>
      <w:r>
        <w:rPr>
          <w:rFonts w:hint="eastAsia" w:ascii="仿宋_GB2312" w:eastAsia="仿宋_GB2312" w:cs="Times New Roman"/>
          <w:color w:val="auto"/>
          <w:spacing w:val="-6"/>
          <w:kern w:val="2"/>
          <w:sz w:val="32"/>
          <w:szCs w:val="32"/>
          <w:highlight w:val="none"/>
          <w:lang w:bidi="ar-SA"/>
        </w:rPr>
        <w:t>严格按照相关法律法规和程序，对项目进行全过程、全方位的监督管理，努力化解风险，提高</w:t>
      </w:r>
      <w:r>
        <w:rPr>
          <w:rFonts w:hint="eastAsia" w:ascii="仿宋_GB2312" w:eastAsia="仿宋_GB2312" w:cs="Times New Roman"/>
          <w:color w:val="auto"/>
          <w:spacing w:val="-6"/>
          <w:kern w:val="2"/>
          <w:sz w:val="32"/>
          <w:szCs w:val="32"/>
          <w:highlight w:val="none"/>
          <w:lang w:eastAsia="zh-CN" w:bidi="ar-SA"/>
        </w:rPr>
        <w:t>建设</w:t>
      </w:r>
      <w:r>
        <w:rPr>
          <w:rFonts w:hint="eastAsia" w:ascii="仿宋_GB2312" w:eastAsia="仿宋_GB2312" w:cs="Times New Roman"/>
          <w:color w:val="auto"/>
          <w:spacing w:val="-6"/>
          <w:kern w:val="2"/>
          <w:sz w:val="32"/>
          <w:szCs w:val="32"/>
          <w:highlight w:val="none"/>
          <w:lang w:bidi="ar-SA"/>
        </w:rPr>
        <w:t>效率，明确规范管理，对项目实施全过程进行目标绩效管理。</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outlineLvl w:val="1"/>
        <w:rPr>
          <w:rFonts w:hint="eastAsia" w:ascii="仿宋_GB2312" w:hAnsi="仿宋_GB2312" w:eastAsia="宋体" w:cs="Times New Roman"/>
          <w:color w:val="auto"/>
          <w:kern w:val="2"/>
          <w:sz w:val="32"/>
          <w:szCs w:val="32"/>
          <w:highlight w:val="none"/>
          <w:lang w:bidi="ar-SA"/>
        </w:rPr>
      </w:pPr>
      <w:bookmarkStart w:id="329" w:name="_Toc238917737_WPSOffice_Level2"/>
      <w:bookmarkStart w:id="330" w:name="_Toc79882402_WPSOffice_Level2"/>
      <w:bookmarkStart w:id="331" w:name="_Toc17218"/>
      <w:bookmarkStart w:id="332" w:name="_Toc4476"/>
      <w:r>
        <w:rPr>
          <w:rFonts w:hint="eastAsia" w:ascii="黑体" w:eastAsia="黑体" w:cs="Times New Roman"/>
          <w:color w:val="auto"/>
          <w:kern w:val="2"/>
          <w:sz w:val="32"/>
          <w:szCs w:val="32"/>
          <w:highlight w:val="none"/>
          <w:lang w:bidi="ar-SA"/>
        </w:rPr>
        <w:t>四、项目绩效情况</w:t>
      </w:r>
      <w:bookmarkEnd w:id="329"/>
      <w:bookmarkEnd w:id="330"/>
      <w:bookmarkEnd w:id="331"/>
      <w:bookmarkEnd w:id="332"/>
      <w:r>
        <w:rPr>
          <w:rFonts w:hint="eastAsia" w:ascii="仿宋_GB2312" w:hAnsi="仿宋_GB2312" w:eastAsia="宋体" w:cs="Times New Roman"/>
          <w:color w:val="auto"/>
          <w:kern w:val="2"/>
          <w:sz w:val="32"/>
          <w:szCs w:val="32"/>
          <w:highlight w:val="none"/>
          <w:lang w:bidi="ar-SA"/>
        </w:rPr>
        <w:tab/>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（一）项目完成情况。</w:t>
      </w:r>
    </w:p>
    <w:p>
      <w:pPr>
        <w:pStyle w:val="13"/>
        <w:shd w:val="clear"/>
        <w:spacing w:before="0" w:beforeAutospacing="0" w:after="0" w:afterAutospacing="0" w:line="576" w:lineRule="exact"/>
        <w:ind w:left="0" w:leftChars="0" w:firstLine="640" w:firstLineChars="200"/>
        <w:rPr>
          <w:rFonts w:hint="eastAsia" w:ascii="仿宋_GB2312" w:eastAsia="仿宋_GB2312" w:cs="Times New Roman"/>
          <w:color w:val="auto"/>
          <w:kern w:val="0"/>
          <w:sz w:val="32"/>
          <w:szCs w:val="32"/>
          <w:highlight w:val="none"/>
          <w:lang w:bidi="ar-SA"/>
        </w:rPr>
      </w:pPr>
      <w:r>
        <w:rPr>
          <w:rFonts w:hint="eastAsia" w:ascii="仿宋_GB2312" w:eastAsia="仿宋_GB2312"/>
          <w:color w:val="auto"/>
          <w:kern w:val="0"/>
          <w:sz w:val="32"/>
          <w:szCs w:val="32"/>
          <w:highlight w:val="none"/>
        </w:rPr>
        <w:t>项目属于已完工项目，为完善项目用地手续，依据《中华人民共和国土地管理法》《四川省&lt;中华人民共和国土地管理法&gt;实施办法》等法律法规的规定，应缴纳耕地开垦费597.4335万元万元，缴纳后可依法向省自然资源厅申请办理用地手续。</w:t>
      </w:r>
      <w:r>
        <w:rPr>
          <w:rFonts w:hint="eastAsia" w:ascii="仿宋_GB2312" w:eastAsia="仿宋_GB2312" w:cs="Times New Roman"/>
          <w:color w:val="auto"/>
          <w:kern w:val="0"/>
          <w:sz w:val="32"/>
          <w:szCs w:val="32"/>
          <w:highlight w:val="none"/>
          <w:lang w:bidi="ar-SA"/>
        </w:rPr>
        <w:t>项目实际于2015年7月正式动工，2019年1月主体工程完工，总工期为42个月。</w:t>
      </w:r>
    </w:p>
    <w:p>
      <w:pPr>
        <w:keepNext w:val="0"/>
        <w:keepLines w:val="0"/>
        <w:pageBreakBefore w:val="0"/>
        <w:widowControl w:val="0"/>
        <w:suppressLineNumbers w:val="0"/>
        <w:shd w:val="clear"/>
        <w:suppressAutoHyphens w:val="0"/>
        <w:kinsoku/>
        <w:wordWrap/>
        <w:overflowPunct/>
        <w:topLinePunct w:val="0"/>
        <w:autoSpaceDE/>
        <w:autoSpaceDN/>
        <w:spacing w:line="576" w:lineRule="exact"/>
        <w:ind w:firstLine="640" w:firstLineChars="200"/>
        <w:rPr>
          <w:rFonts w:hint="eastAsia" w:ascii="仿宋_GB2312" w:eastAsia="仿宋_GB2312"/>
          <w:color w:val="auto"/>
          <w:kern w:val="0"/>
          <w:sz w:val="32"/>
          <w:szCs w:val="32"/>
          <w:highlight w:val="none"/>
        </w:rPr>
      </w:pPr>
      <w:r>
        <w:rPr>
          <w:rFonts w:hint="eastAsia" w:ascii="楷体_GB2312" w:eastAsia="楷体_GB2312" w:cs="Times New Roman"/>
          <w:color w:val="auto"/>
          <w:kern w:val="2"/>
          <w:sz w:val="32"/>
          <w:szCs w:val="32"/>
          <w:highlight w:val="none"/>
          <w:lang w:bidi="ar-SA"/>
        </w:rPr>
        <w:t>（二）项目效益情况。</w:t>
      </w:r>
    </w:p>
    <w:p>
      <w:pPr>
        <w:shd w:val="clear"/>
        <w:spacing w:line="576" w:lineRule="exact"/>
        <w:ind w:firstLine="640" w:firstLineChars="200"/>
        <w:rPr>
          <w:rFonts w:hint="eastAsia" w:ascii="Times New Roman" w:hAnsi="Times New Roman" w:eastAsia="宋体" w:cs="Times New Roman"/>
          <w:color w:val="auto"/>
          <w:kern w:val="2"/>
          <w:sz w:val="32"/>
          <w:szCs w:val="32"/>
          <w:highlight w:val="none"/>
          <w:lang w:bidi="ar-SA"/>
        </w:rPr>
      </w:pPr>
      <w:r>
        <w:rPr>
          <w:rFonts w:hint="eastAsia" w:ascii="仿宋_GB2312" w:eastAsia="仿宋_GB2312"/>
          <w:color w:val="auto"/>
          <w:kern w:val="2"/>
          <w:sz w:val="32"/>
          <w:szCs w:val="32"/>
          <w:highlight w:val="none"/>
        </w:rPr>
        <w:t>土地复垦费用缴纳后，可依法向省自然资源厅申请办理用地手续。土地复垦恢复后，将大幅度提改善周边环境，带动沿线地区GDP增长，促进区域产业结构的优化和调整，提高沿线居民的生活水平和生活质量，加快城乡一体化进程。</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outlineLvl w:val="1"/>
        <w:rPr>
          <w:rFonts w:hint="eastAsia" w:ascii="黑体" w:eastAsia="黑体" w:cs="Times New Roman"/>
          <w:color w:val="auto"/>
          <w:kern w:val="2"/>
          <w:sz w:val="32"/>
          <w:szCs w:val="32"/>
          <w:highlight w:val="none"/>
          <w:lang w:bidi="ar-SA"/>
        </w:rPr>
      </w:pPr>
      <w:bookmarkStart w:id="333" w:name="_Toc820644763_WPSOffice_Level2"/>
      <w:bookmarkStart w:id="334" w:name="_Toc7215"/>
      <w:bookmarkStart w:id="335" w:name="_Toc3981"/>
      <w:bookmarkStart w:id="336" w:name="_Toc65933819_WPSOffice_Level2"/>
      <w:r>
        <w:rPr>
          <w:rFonts w:hint="eastAsia" w:ascii="黑体" w:eastAsia="黑体" w:cs="Times New Roman"/>
          <w:color w:val="auto"/>
          <w:kern w:val="2"/>
          <w:sz w:val="32"/>
          <w:szCs w:val="32"/>
          <w:highlight w:val="none"/>
          <w:lang w:bidi="ar-SA"/>
        </w:rPr>
        <w:t>五、评价结论及建议</w:t>
      </w:r>
      <w:bookmarkEnd w:id="333"/>
      <w:bookmarkEnd w:id="334"/>
      <w:bookmarkEnd w:id="335"/>
      <w:bookmarkEnd w:id="336"/>
    </w:p>
    <w:p>
      <w:pPr>
        <w:pStyle w:val="40"/>
        <w:shd w:val="clear"/>
        <w:spacing w:line="576" w:lineRule="exact"/>
        <w:ind w:firstLine="640" w:firstLineChars="200"/>
        <w:rPr>
          <w:rFonts w:hint="eastAsia" w:ascii="仿宋_GB2312" w:eastAsia="仿宋_GB2312"/>
          <w:color w:val="auto"/>
          <w:kern w:val="0"/>
          <w:sz w:val="32"/>
          <w:szCs w:val="32"/>
          <w:highlight w:val="none"/>
        </w:rPr>
      </w:pPr>
      <w:r>
        <w:rPr>
          <w:rFonts w:hint="eastAsia" w:ascii="仿宋_GB2312" w:eastAsia="仿宋_GB2312"/>
          <w:color w:val="auto"/>
          <w:kern w:val="2"/>
          <w:sz w:val="32"/>
          <w:szCs w:val="32"/>
          <w:highlight w:val="none"/>
        </w:rPr>
        <w:t>该项目规划科学，决策依据充分，程序合法合规、资金到位及时拨付规范。项目</w:t>
      </w:r>
      <w:r>
        <w:rPr>
          <w:rFonts w:hint="eastAsia" w:ascii="仿宋_GB2312" w:eastAsia="仿宋_GB2312"/>
          <w:color w:val="auto"/>
          <w:kern w:val="0"/>
          <w:sz w:val="32"/>
          <w:szCs w:val="32"/>
          <w:highlight w:val="none"/>
        </w:rPr>
        <w:t>支出绩效自评得分100分，其中项目决策25分、项目管理15分、项目绩效（特性指标）60分。</w:t>
      </w: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pStyle w:val="38"/>
        <w:shd w:val="clear"/>
        <w:spacing w:line="576" w:lineRule="exact"/>
        <w:jc w:val="left"/>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附件12：</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shd w:val="clear"/>
        <w:adjustRightInd w:val="0"/>
        <w:snapToGrid w:val="0"/>
        <w:spacing w:line="576" w:lineRule="exact"/>
        <w:ind w:firstLine="0"/>
        <w:jc w:val="center"/>
        <w:rPr>
          <w:rFonts w:hint="eastAsia" w:ascii="黑体" w:eastAsia="黑体" w:cs="Times New Roman"/>
          <w:color w:val="auto"/>
          <w:kern w:val="2"/>
          <w:sz w:val="32"/>
          <w:szCs w:val="32"/>
          <w:highlight w:val="none"/>
          <w:lang w:bidi="ar-SA"/>
        </w:rPr>
      </w:pPr>
      <w:r>
        <w:rPr>
          <w:rFonts w:hint="eastAsia" w:ascii="方正小标宋简体" w:eastAsia="方正小标宋简体"/>
          <w:color w:val="auto"/>
          <w:kern w:val="2"/>
          <w:sz w:val="44"/>
          <w:szCs w:val="44"/>
          <w:highlight w:val="none"/>
        </w:rPr>
        <w:t>关于2022年塔山湾至学工桥项目前期经费项目预算支出绩效</w:t>
      </w:r>
      <w:r>
        <w:rPr>
          <w:rFonts w:hint="eastAsia" w:ascii="方正小标宋简体" w:eastAsia="方正小标宋简体"/>
          <w:color w:val="auto"/>
          <w:kern w:val="2"/>
          <w:sz w:val="44"/>
          <w:szCs w:val="44"/>
          <w:highlight w:val="none"/>
          <w:lang w:eastAsia="zh-CN"/>
        </w:rPr>
        <w:t>的</w:t>
      </w:r>
      <w:r>
        <w:rPr>
          <w:rFonts w:hint="eastAsia" w:ascii="方正小标宋简体" w:eastAsia="方正小标宋简体"/>
          <w:color w:val="auto"/>
          <w:kern w:val="2"/>
          <w:sz w:val="44"/>
          <w:szCs w:val="44"/>
          <w:highlight w:val="none"/>
        </w:rPr>
        <w:t>自评报告</w:t>
      </w:r>
    </w:p>
    <w:p>
      <w:pPr>
        <w:pStyle w:val="38"/>
        <w:keepNext w:val="0"/>
        <w:keepLines w:val="0"/>
        <w:pageBreakBefore w:val="0"/>
        <w:widowControl w:val="0"/>
        <w:suppressLineNumbers w:val="0"/>
        <w:shd w:val="clear"/>
        <w:suppressAutoHyphens w:val="0"/>
        <w:kinsoku/>
        <w:wordWrap/>
        <w:overflowPunct/>
        <w:topLinePunct w:val="0"/>
        <w:autoSpaceDE/>
        <w:autoSpaceDN/>
        <w:spacing w:line="576" w:lineRule="exact"/>
        <w:jc w:val="center"/>
        <w:rPr>
          <w:rFonts w:hint="default" w:ascii="Times New Roman" w:hAnsi="Times New Roman" w:eastAsia="方正小标宋简体"/>
          <w:color w:val="auto"/>
          <w:kern w:val="2"/>
          <w:sz w:val="44"/>
          <w:szCs w:val="44"/>
          <w:highlight w:val="none"/>
        </w:rPr>
      </w:pP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720"/>
        <w:outlineLvl w:val="1"/>
        <w:rPr>
          <w:rFonts w:hint="default" w:ascii="Times New Roman" w:hAnsi="Times New Roman" w:eastAsia="黑体"/>
          <w:color w:val="auto"/>
          <w:kern w:val="2"/>
          <w:sz w:val="32"/>
          <w:szCs w:val="32"/>
          <w:highlight w:val="none"/>
        </w:rPr>
      </w:pPr>
      <w:bookmarkStart w:id="337" w:name="_Toc18626"/>
      <w:bookmarkStart w:id="338" w:name="_Toc1241006537_WPSOffice_Level2"/>
      <w:bookmarkStart w:id="339" w:name="_Toc883566557_WPSOffice_Level2"/>
      <w:bookmarkStart w:id="340" w:name="_Toc20662"/>
      <w:r>
        <w:rPr>
          <w:rFonts w:hint="eastAsia" w:ascii="黑体" w:eastAsia="黑体"/>
          <w:color w:val="auto"/>
          <w:kern w:val="2"/>
          <w:sz w:val="32"/>
          <w:szCs w:val="32"/>
          <w:highlight w:val="none"/>
        </w:rPr>
        <w:t>一、项目概况</w:t>
      </w:r>
      <w:bookmarkEnd w:id="337"/>
      <w:bookmarkEnd w:id="338"/>
      <w:bookmarkEnd w:id="339"/>
      <w:bookmarkEnd w:id="340"/>
    </w:p>
    <w:p>
      <w:pPr>
        <w:shd w:val="clear"/>
        <w:adjustRightInd w:val="0"/>
        <w:snapToGrid w:val="0"/>
        <w:spacing w:line="576" w:lineRule="exact"/>
        <w:ind w:firstLine="640" w:firstLineChars="200"/>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（一）项目基本情况</w:t>
      </w:r>
    </w:p>
    <w:p>
      <w:pPr>
        <w:shd w:val="clear"/>
        <w:adjustRightInd w:val="0"/>
        <w:snapToGrid w:val="0"/>
        <w:spacing w:line="576" w:lineRule="exact"/>
        <w:ind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1．主管部门在管理中的职能。我局作为塔山湾至学工桥项目行业主管部门，根据绩效目标要求，局规划科、财务科等业务科室对该项目绩效申报、建设程序、实施进度、项目质量、资金使用、结算办理等进行了全过程指导监督，确保项目管理规范、建设顺利实施，按期完成建设任务，高质量完成年初设定的绩效目标。</w:t>
      </w:r>
    </w:p>
    <w:p>
      <w:pPr>
        <w:shd w:val="clear"/>
        <w:adjustRightInd w:val="0"/>
        <w:snapToGrid w:val="0"/>
        <w:spacing w:line="576" w:lineRule="exact"/>
        <w:ind w:firstLine="640" w:firstLineChars="200"/>
        <w:rPr>
          <w:rFonts w:hint="eastAsia" w:ascii="仿宋_GB2312" w:eastAsia="仿宋_GB2312"/>
          <w:color w:val="auto"/>
          <w:kern w:val="2"/>
          <w:sz w:val="32"/>
          <w:szCs w:val="32"/>
          <w:highlight w:val="none"/>
        </w:rPr>
      </w:pPr>
      <w:r>
        <w:rPr>
          <w:rFonts w:hint="eastAsia" w:ascii="仿宋_GB2312" w:eastAsia="仿宋_GB2312" w:cs="Times New Roman"/>
          <w:color w:val="auto"/>
          <w:kern w:val="2"/>
          <w:sz w:val="32"/>
          <w:szCs w:val="32"/>
          <w:highlight w:val="none"/>
          <w:lang w:bidi="ar-SA"/>
        </w:rPr>
        <w:t>2.项目立项、资金申报的依据。</w:t>
      </w:r>
      <w:r>
        <w:rPr>
          <w:rFonts w:hint="eastAsia" w:ascii="仿宋_GB2312" w:eastAsia="仿宋_GB2312"/>
          <w:color w:val="auto"/>
          <w:kern w:val="2"/>
          <w:sz w:val="32"/>
          <w:szCs w:val="32"/>
          <w:highlight w:val="none"/>
        </w:rPr>
        <w:t>2022年8月</w:t>
      </w:r>
      <w:r>
        <w:rPr>
          <w:rFonts w:hint="eastAsia" w:ascii="仿宋_GB2312"/>
          <w:color w:val="auto"/>
          <w:kern w:val="2"/>
          <w:sz w:val="32"/>
          <w:szCs w:val="32"/>
          <w:highlight w:val="none"/>
          <w:lang w:eastAsia="zh-CN"/>
        </w:rPr>
        <w:t>，</w:t>
      </w:r>
      <w:r>
        <w:rPr>
          <w:rFonts w:hint="eastAsia" w:ascii="仿宋_GB2312" w:eastAsia="仿宋_GB2312"/>
          <w:color w:val="auto"/>
          <w:kern w:val="2"/>
          <w:sz w:val="32"/>
          <w:szCs w:val="32"/>
          <w:highlight w:val="none"/>
        </w:rPr>
        <w:t>市发展和改革委员会《关于S205广元市利州区回龙河街道办事处至河西街道办事处（学工桥至塔山湾）段改建工程可行性研究报告的批复》（广发改〔2022〕368号）批准立项。</w:t>
      </w:r>
    </w:p>
    <w:p>
      <w:pPr>
        <w:shd w:val="clear"/>
        <w:adjustRightInd w:val="0"/>
        <w:snapToGrid w:val="0"/>
        <w:spacing w:line="576" w:lineRule="exact"/>
        <w:ind w:firstLine="640" w:firstLineChars="200"/>
        <w:rPr>
          <w:rFonts w:hint="eastAsia" w:ascii="仿宋_GB2312" w:eastAsia="仿宋_GB2312"/>
          <w:color w:val="auto"/>
          <w:kern w:val="0"/>
          <w:sz w:val="32"/>
          <w:szCs w:val="32"/>
          <w:highlight w:val="none"/>
          <w:shd w:val="clear" w:color="auto" w:fill="FFFFFF"/>
        </w:rPr>
      </w:pPr>
      <w:r>
        <w:rPr>
          <w:rFonts w:hint="eastAsia" w:ascii="仿宋_GB2312" w:eastAsia="仿宋_GB2312" w:cs="Times New Roman"/>
          <w:color w:val="auto"/>
          <w:kern w:val="2"/>
          <w:sz w:val="32"/>
          <w:szCs w:val="32"/>
          <w:highlight w:val="none"/>
          <w:lang w:bidi="ar-SA"/>
        </w:rPr>
        <w:t>3．资金管理办法制定情况。</w:t>
      </w:r>
      <w:r>
        <w:rPr>
          <w:rFonts w:hint="eastAsia" w:ascii="仿宋_GB2312" w:eastAsia="仿宋_GB2312" w:cs="仿宋"/>
          <w:color w:val="auto"/>
          <w:kern w:val="0"/>
          <w:sz w:val="32"/>
          <w:szCs w:val="32"/>
          <w:highlight w:val="none"/>
          <w:lang w:bidi="ar-SA"/>
        </w:rPr>
        <w:t>我局</w:t>
      </w:r>
      <w:r>
        <w:rPr>
          <w:rFonts w:hint="eastAsia" w:ascii="仿宋_GB2312" w:eastAsia="仿宋_GB2312" w:cs="仿宋"/>
          <w:color w:val="auto"/>
          <w:kern w:val="0"/>
          <w:sz w:val="32"/>
          <w:szCs w:val="32"/>
          <w:highlight w:val="none"/>
          <w:lang w:eastAsia="zh-CN" w:bidi="ar-SA"/>
        </w:rPr>
        <w:t>严格执行</w:t>
      </w:r>
      <w:r>
        <w:rPr>
          <w:rFonts w:hint="eastAsia" w:ascii="仿宋_GB2312" w:eastAsia="仿宋_GB2312" w:cs="仿宋"/>
          <w:color w:val="auto"/>
          <w:kern w:val="0"/>
          <w:sz w:val="32"/>
          <w:szCs w:val="32"/>
          <w:highlight w:val="none"/>
          <w:lang w:bidi="ar-SA"/>
        </w:rPr>
        <w:t>国家财经法规</w:t>
      </w:r>
      <w:r>
        <w:rPr>
          <w:rFonts w:hint="eastAsia" w:ascii="仿宋_GB2312" w:eastAsia="仿宋_GB2312" w:cs="仿宋"/>
          <w:color w:val="auto"/>
          <w:kern w:val="0"/>
          <w:sz w:val="32"/>
          <w:szCs w:val="32"/>
          <w:highlight w:val="none"/>
          <w:lang w:val="en-US" w:eastAsia="zh-CN" w:bidi="ar-SA"/>
        </w:rPr>
        <w:t>、央省市</w:t>
      </w:r>
      <w:r>
        <w:rPr>
          <w:rFonts w:hint="eastAsia" w:ascii="仿宋_GB2312" w:eastAsia="仿宋_GB2312" w:cs="仿宋"/>
          <w:color w:val="auto"/>
          <w:kern w:val="0"/>
          <w:sz w:val="32"/>
          <w:szCs w:val="32"/>
          <w:highlight w:val="none"/>
          <w:lang w:bidi="ar-SA"/>
        </w:rPr>
        <w:t>有关专项资金管理办法规定，制定了</w:t>
      </w:r>
      <w:r>
        <w:rPr>
          <w:rFonts w:hint="eastAsia" w:ascii="仿宋_GB2312" w:eastAsia="仿宋_GB2312" w:cs="Times New Roman"/>
          <w:color w:val="auto"/>
          <w:kern w:val="2"/>
          <w:sz w:val="32"/>
          <w:szCs w:val="32"/>
          <w:highlight w:val="none"/>
          <w:lang w:bidi="ar-SA"/>
        </w:rPr>
        <w:t>《广元市交通运输局预算管理》《广元市交通运输局收支管理》</w:t>
      </w:r>
      <w:r>
        <w:rPr>
          <w:rFonts w:hint="eastAsia" w:ascii="仿宋_GB2312" w:eastAsia="仿宋_GB2312" w:cs="仿宋"/>
          <w:color w:val="auto"/>
          <w:kern w:val="0"/>
          <w:sz w:val="32"/>
          <w:szCs w:val="32"/>
          <w:highlight w:val="none"/>
          <w:lang w:eastAsia="zh-CN" w:bidi="ar-SA"/>
        </w:rPr>
        <w:t>等</w:t>
      </w:r>
      <w:r>
        <w:rPr>
          <w:rFonts w:hint="eastAsia" w:ascii="仿宋_GB2312" w:eastAsia="仿宋_GB2312" w:cs="仿宋"/>
          <w:color w:val="auto"/>
          <w:kern w:val="0"/>
          <w:sz w:val="32"/>
          <w:szCs w:val="32"/>
          <w:highlight w:val="none"/>
          <w:lang w:bidi="ar-SA"/>
        </w:rPr>
        <w:t>财务管理内部控制制度</w:t>
      </w:r>
      <w:r>
        <w:rPr>
          <w:rFonts w:hint="eastAsia" w:ascii="仿宋_GB2312" w:eastAsia="仿宋_GB2312" w:cs="仿宋"/>
          <w:color w:val="auto"/>
          <w:kern w:val="0"/>
          <w:sz w:val="32"/>
          <w:szCs w:val="32"/>
          <w:highlight w:val="none"/>
          <w:lang w:eastAsia="zh-CN" w:bidi="ar-SA"/>
        </w:rPr>
        <w:t>，</w:t>
      </w:r>
      <w:r>
        <w:rPr>
          <w:rFonts w:hint="eastAsia" w:ascii="仿宋_GB2312" w:eastAsia="仿宋_GB2312" w:cs="仿宋"/>
          <w:color w:val="auto"/>
          <w:kern w:val="0"/>
          <w:sz w:val="32"/>
          <w:szCs w:val="32"/>
          <w:highlight w:val="none"/>
          <w:lang w:bidi="ar-SA"/>
        </w:rPr>
        <w:t>财务制度健全，会计核算规范。</w:t>
      </w:r>
    </w:p>
    <w:p>
      <w:pPr>
        <w:shd w:val="clear"/>
        <w:adjustRightInd w:val="0"/>
        <w:snapToGrid w:val="0"/>
        <w:spacing w:line="576" w:lineRule="exact"/>
        <w:ind w:left="0" w:firstLine="640" w:firstLineChars="200"/>
        <w:rPr>
          <w:rFonts w:hint="eastAsia" w:ascii="Calibri" w:hAnsi="Calibri" w:eastAsia="宋体" w:cs="Times New Roman"/>
          <w:color w:val="auto"/>
          <w:kern w:val="2"/>
          <w:sz w:val="21"/>
          <w:szCs w:val="21"/>
          <w:highlight w:val="none"/>
          <w:lang w:bidi="ar-SA"/>
        </w:rPr>
      </w:pPr>
      <w:r>
        <w:rPr>
          <w:rFonts w:hint="eastAsia" w:ascii="仿宋_GB2312" w:eastAsia="仿宋_GB2312" w:cs="Times New Roman"/>
          <w:color w:val="auto"/>
          <w:kern w:val="2"/>
          <w:sz w:val="32"/>
          <w:szCs w:val="32"/>
          <w:highlight w:val="none"/>
          <w:lang w:bidi="ar-SA"/>
        </w:rPr>
        <w:t>4.资金分配的原则及考虑因素。</w:t>
      </w:r>
      <w:r>
        <w:rPr>
          <w:rFonts w:hint="eastAsia" w:ascii="仿宋_GB2312" w:eastAsia="仿宋_GB2312"/>
          <w:color w:val="auto"/>
          <w:kern w:val="2"/>
          <w:sz w:val="32"/>
          <w:szCs w:val="32"/>
          <w:highlight w:val="none"/>
        </w:rPr>
        <w:t>资金分配坚持“专款专用”原则</w:t>
      </w:r>
      <w:r>
        <w:rPr>
          <w:rFonts w:hint="eastAsia" w:ascii="仿宋_GB2312" w:eastAsia="仿宋_GB2312"/>
          <w:color w:val="auto"/>
          <w:kern w:val="2"/>
          <w:sz w:val="32"/>
          <w:szCs w:val="32"/>
          <w:highlight w:val="none"/>
          <w:lang w:eastAsia="zh-CN"/>
        </w:rPr>
        <w:t>，</w:t>
      </w:r>
      <w:r>
        <w:rPr>
          <w:rFonts w:hint="eastAsia" w:ascii="仿宋_GB2312" w:eastAsia="仿宋_GB2312" w:cs="仿宋"/>
          <w:color w:val="auto"/>
          <w:kern w:val="2"/>
          <w:sz w:val="32"/>
          <w:szCs w:val="32"/>
          <w:highlight w:val="none"/>
          <w:lang w:eastAsia="zh-CN" w:bidi="ar-SA"/>
        </w:rPr>
        <w:t>该</w:t>
      </w:r>
      <w:r>
        <w:rPr>
          <w:rFonts w:hint="eastAsia" w:ascii="仿宋_GB2312" w:eastAsia="仿宋_GB2312" w:cs="仿宋"/>
          <w:color w:val="auto"/>
          <w:kern w:val="2"/>
          <w:sz w:val="32"/>
          <w:szCs w:val="32"/>
          <w:highlight w:val="none"/>
          <w:lang w:bidi="ar-SA"/>
        </w:rPr>
        <w:t>专项资金采用</w:t>
      </w:r>
      <w:r>
        <w:rPr>
          <w:rFonts w:hint="eastAsia" w:ascii="仿宋_GB2312" w:eastAsia="仿宋_GB2312" w:cs="仿宋"/>
          <w:color w:val="auto"/>
          <w:kern w:val="2"/>
          <w:sz w:val="32"/>
          <w:szCs w:val="32"/>
          <w:highlight w:val="none"/>
          <w:lang w:eastAsia="zh-CN" w:bidi="ar-SA"/>
        </w:rPr>
        <w:t>了</w:t>
      </w:r>
      <w:r>
        <w:rPr>
          <w:rFonts w:hint="eastAsia" w:ascii="仿宋_GB2312" w:eastAsia="仿宋_GB2312" w:cs="仿宋"/>
          <w:color w:val="auto"/>
          <w:kern w:val="2"/>
          <w:sz w:val="32"/>
          <w:szCs w:val="32"/>
          <w:highlight w:val="none"/>
          <w:lang w:bidi="ar-SA"/>
        </w:rPr>
        <w:t>项目</w:t>
      </w:r>
      <w:r>
        <w:rPr>
          <w:rFonts w:hint="eastAsia" w:ascii="仿宋_GB2312" w:cs="仿宋"/>
          <w:color w:val="auto"/>
          <w:kern w:val="2"/>
          <w:sz w:val="32"/>
          <w:szCs w:val="32"/>
          <w:highlight w:val="none"/>
          <w:lang w:eastAsia="zh-CN" w:bidi="ar-SA"/>
        </w:rPr>
        <w:t>分配</w:t>
      </w:r>
      <w:r>
        <w:rPr>
          <w:rFonts w:hint="eastAsia" w:ascii="仿宋_GB2312" w:eastAsia="仿宋_GB2312" w:cs="仿宋"/>
          <w:color w:val="auto"/>
          <w:kern w:val="2"/>
          <w:sz w:val="32"/>
          <w:szCs w:val="32"/>
          <w:highlight w:val="none"/>
          <w:lang w:bidi="ar-SA"/>
        </w:rPr>
        <w:t>法。</w:t>
      </w:r>
      <w:r>
        <w:rPr>
          <w:rFonts w:hint="eastAsia" w:ascii="仿宋_GB2312" w:eastAsia="仿宋_GB2312" w:cs="Times New Roman"/>
          <w:color w:val="auto"/>
          <w:kern w:val="2"/>
          <w:sz w:val="32"/>
          <w:szCs w:val="32"/>
          <w:highlight w:val="none"/>
          <w:lang w:bidi="ar-SA"/>
        </w:rPr>
        <w:t>我局收到资金计划后，严格按照“三重一大”内控要求，由</w:t>
      </w:r>
      <w:r>
        <w:rPr>
          <w:rFonts w:hint="eastAsia" w:ascii="仿宋_GB2312" w:cs="Times New Roman"/>
          <w:color w:val="auto"/>
          <w:kern w:val="2"/>
          <w:sz w:val="32"/>
          <w:szCs w:val="32"/>
          <w:highlight w:val="none"/>
          <w:lang w:eastAsia="zh-CN" w:bidi="ar-SA"/>
        </w:rPr>
        <w:t>局规划科</w:t>
      </w:r>
      <w:r>
        <w:rPr>
          <w:rFonts w:hint="eastAsia" w:ascii="仿宋_GB2312" w:eastAsia="仿宋_GB2312" w:cs="Times New Roman"/>
          <w:color w:val="auto"/>
          <w:kern w:val="2"/>
          <w:sz w:val="32"/>
          <w:szCs w:val="32"/>
          <w:highlight w:val="none"/>
          <w:lang w:bidi="ar-SA"/>
        </w:rPr>
        <w:t>根据实际情况按照项目法分配原则提出分配方案报局党组会议审定，再向市财政局报送拨付函，及时将项目资金拨付给</w:t>
      </w:r>
      <w:r>
        <w:rPr>
          <w:rFonts w:hint="eastAsia" w:ascii="仿宋_GB2312" w:cs="Times New Roman"/>
          <w:color w:val="auto"/>
          <w:kern w:val="2"/>
          <w:sz w:val="32"/>
          <w:szCs w:val="32"/>
          <w:highlight w:val="none"/>
          <w:lang w:eastAsia="zh-CN" w:bidi="ar-SA"/>
        </w:rPr>
        <w:t>相关</w:t>
      </w:r>
      <w:r>
        <w:rPr>
          <w:rFonts w:hint="eastAsia" w:ascii="仿宋_GB2312" w:eastAsia="仿宋_GB2312" w:cs="Times New Roman"/>
          <w:color w:val="auto"/>
          <w:kern w:val="2"/>
          <w:sz w:val="32"/>
          <w:szCs w:val="32"/>
          <w:highlight w:val="none"/>
          <w:lang w:bidi="ar-SA"/>
        </w:rPr>
        <w:t>单位。</w:t>
      </w:r>
    </w:p>
    <w:p>
      <w:pPr>
        <w:shd w:val="clear"/>
        <w:adjustRightInd w:val="0"/>
        <w:snapToGrid w:val="0"/>
        <w:spacing w:line="576" w:lineRule="exact"/>
        <w:ind w:firstLine="640" w:firstLineChars="200"/>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（二）项目绩效目标</w:t>
      </w:r>
    </w:p>
    <w:p>
      <w:pPr>
        <w:shd w:val="clear"/>
        <w:adjustRightInd w:val="0"/>
        <w:snapToGrid w:val="0"/>
        <w:spacing w:line="576" w:lineRule="exact"/>
        <w:ind w:left="0"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1.项目主要内容。省道205线已纳入《四川省“十四五”综合交通运输发展规划重点项目清单》，是《广元市“十四五”综合交通运输发展规划》中“八纵、七横、五线”普通国省道网中的八纵线之一，该项目属于省道205线的一段。项目起点位于利州区回龙河街道学工桥，止</w:t>
      </w:r>
      <w:r>
        <w:rPr>
          <w:rFonts w:hint="eastAsia" w:ascii="仿宋_GB2312" w:eastAsia="仿宋_GB2312" w:cs="Times New Roman"/>
          <w:color w:val="auto"/>
          <w:kern w:val="2"/>
          <w:sz w:val="32"/>
          <w:szCs w:val="32"/>
          <w:highlight w:val="none"/>
          <w:lang w:eastAsia="zh-CN" w:bidi="ar-SA"/>
        </w:rPr>
        <w:t>于</w:t>
      </w:r>
      <w:r>
        <w:rPr>
          <w:rFonts w:hint="eastAsia" w:ascii="仿宋_GB2312" w:eastAsia="仿宋_GB2312" w:cs="Times New Roman"/>
          <w:color w:val="auto"/>
          <w:kern w:val="2"/>
          <w:sz w:val="32"/>
          <w:szCs w:val="32"/>
          <w:highlight w:val="none"/>
          <w:lang w:bidi="ar-SA"/>
        </w:rPr>
        <w:t>河西街道塔山湾附近，与既有S205线采用平面交叉相接，路线全长10.562km，采用一级公路兼城市干路技术标准，总投资估算为10.53亿元，该项目已列为2023年重点开工项目之一。</w:t>
      </w:r>
    </w:p>
    <w:p>
      <w:pPr>
        <w:shd w:val="clear"/>
        <w:adjustRightInd w:val="0"/>
        <w:snapToGrid w:val="0"/>
        <w:spacing w:line="576" w:lineRule="exact"/>
        <w:ind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shd w:val="clear" w:color="auto" w:fill="FFFFFF"/>
          <w:lang w:bidi="ar-SA"/>
        </w:rPr>
        <w:t>2．项目应实现的具体绩效目标。项目资金主要用于</w:t>
      </w:r>
      <w:r>
        <w:rPr>
          <w:rFonts w:hint="eastAsia" w:ascii="仿宋_GB2312" w:eastAsia="仿宋_GB2312" w:cs="Times New Roman"/>
          <w:color w:val="auto"/>
          <w:kern w:val="2"/>
          <w:sz w:val="32"/>
          <w:szCs w:val="32"/>
          <w:highlight w:val="none"/>
          <w:lang w:bidi="ar-SA"/>
        </w:rPr>
        <w:t>塔山湾至学工桥项目前期工作，项目实施进度为100%，预算执行率为100%，受益群体满意度高。</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3．项目资金申报相符性和可行性。项目申报内容与实际相符，申报目标合理可行。</w:t>
      </w:r>
    </w:p>
    <w:p>
      <w:pPr>
        <w:shd w:val="clear"/>
        <w:adjustRightInd w:val="0"/>
        <w:snapToGrid w:val="0"/>
        <w:spacing w:line="576" w:lineRule="exact"/>
        <w:ind w:firstLine="640" w:firstLineChars="200"/>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（三）项目自评步骤及方法</w:t>
      </w:r>
    </w:p>
    <w:p>
      <w:pPr>
        <w:shd w:val="clear"/>
        <w:adjustRightInd w:val="0"/>
        <w:snapToGrid w:val="0"/>
        <w:spacing w:line="576" w:lineRule="exact"/>
        <w:ind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根据预算绩效管理要求，我局由财务科牵头，规划科和市交投集团配合，比照《2023年市级专项资金预算项目支出绩效评价指标体系》和年初绩效目标申报，严格执行《广元市市级预算绩效目标管理办法》规定，依据“谁申报、谁自评、局综合评判”的原则，采用成本效益分析法，对该项目支出情况进行了认真全面的绩效自评。经自评，项目支出绩效情况良好。</w:t>
      </w:r>
    </w:p>
    <w:p>
      <w:pPr>
        <w:shd w:val="clear"/>
        <w:adjustRightInd w:val="0"/>
        <w:snapToGrid w:val="0"/>
        <w:spacing w:line="576" w:lineRule="exact"/>
        <w:ind w:firstLine="640" w:firstLineChars="200"/>
        <w:outlineLvl w:val="1"/>
        <w:rPr>
          <w:rFonts w:hint="eastAsia" w:ascii="黑体" w:eastAsia="黑体" w:cs="Times New Roman"/>
          <w:color w:val="auto"/>
          <w:kern w:val="2"/>
          <w:sz w:val="32"/>
          <w:szCs w:val="32"/>
          <w:highlight w:val="none"/>
          <w:lang w:bidi="ar-SA"/>
        </w:rPr>
      </w:pPr>
      <w:bookmarkStart w:id="341" w:name="_Toc1520219390_WPSOffice_Level2"/>
      <w:bookmarkStart w:id="342" w:name="_Toc18036"/>
      <w:bookmarkStart w:id="343" w:name="_Toc5133"/>
      <w:bookmarkStart w:id="344" w:name="_Toc1342805077_WPSOffice_Level2"/>
      <w:r>
        <w:rPr>
          <w:rFonts w:hint="eastAsia" w:ascii="黑体" w:eastAsia="黑体" w:cs="Times New Roman"/>
          <w:color w:val="auto"/>
          <w:kern w:val="2"/>
          <w:sz w:val="32"/>
          <w:szCs w:val="32"/>
          <w:highlight w:val="none"/>
          <w:lang w:bidi="ar-SA"/>
        </w:rPr>
        <w:t>二、项目资金申报及使用情况</w:t>
      </w:r>
      <w:bookmarkEnd w:id="341"/>
      <w:bookmarkEnd w:id="342"/>
      <w:bookmarkEnd w:id="343"/>
      <w:bookmarkEnd w:id="344"/>
    </w:p>
    <w:p>
      <w:pPr>
        <w:pStyle w:val="13"/>
        <w:shd w:val="clear"/>
        <w:spacing w:before="0" w:beforeAutospacing="0" w:after="0" w:afterAutospacing="0" w:line="576" w:lineRule="exact"/>
        <w:rPr>
          <w:rFonts w:hint="default" w:ascii="Calibri" w:hAnsi="Calibri" w:eastAsia="宋体" w:cs="Times New Roman"/>
          <w:color w:val="auto"/>
          <w:kern w:val="2"/>
          <w:sz w:val="21"/>
          <w:szCs w:val="21"/>
          <w:highlight w:val="none"/>
          <w:lang w:bidi="ar-SA"/>
        </w:rPr>
      </w:pPr>
      <w:r>
        <w:rPr>
          <w:rFonts w:hint="eastAsia" w:ascii="楷体_GB2312" w:eastAsia="楷体_GB2312" w:cs="Times New Roman"/>
          <w:color w:val="auto"/>
          <w:kern w:val="2"/>
          <w:sz w:val="32"/>
          <w:szCs w:val="32"/>
          <w:highlight w:val="none"/>
          <w:lang w:bidi="ar-SA"/>
        </w:rPr>
        <w:t>（一）项目资金申报及批复情况</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仿宋_GB2312" w:eastAsia="仿宋_GB2312" w:cs="Times New Roman"/>
          <w:color w:val="auto"/>
          <w:kern w:val="2"/>
          <w:sz w:val="32"/>
          <w:szCs w:val="32"/>
          <w:highlight w:val="none"/>
          <w:lang w:bidi="ar-SA"/>
        </w:rPr>
      </w:pPr>
      <w:r>
        <w:rPr>
          <w:rFonts w:hint="eastAsia" w:ascii="仿宋_GB2312" w:cs="Times New Roman"/>
          <w:color w:val="auto"/>
          <w:kern w:val="2"/>
          <w:sz w:val="32"/>
          <w:szCs w:val="32"/>
          <w:highlight w:val="none"/>
          <w:lang w:val="en-US" w:eastAsia="zh-CN" w:bidi="ar-SA"/>
        </w:rPr>
        <w:t>2022年12月，</w:t>
      </w:r>
      <w:r>
        <w:rPr>
          <w:rFonts w:hint="eastAsia" w:ascii="仿宋_GB2312" w:eastAsia="仿宋_GB2312" w:cs="Times New Roman"/>
          <w:color w:val="auto"/>
          <w:kern w:val="2"/>
          <w:sz w:val="32"/>
          <w:szCs w:val="32"/>
          <w:highlight w:val="none"/>
          <w:lang w:bidi="ar-SA"/>
        </w:rPr>
        <w:t>市财政局下达塔山湾至学工桥项目前期经费调整预算资金30万元。</w:t>
      </w:r>
    </w:p>
    <w:p>
      <w:pPr>
        <w:shd w:val="clear"/>
        <w:adjustRightInd w:val="0"/>
        <w:snapToGrid w:val="0"/>
        <w:spacing w:line="576" w:lineRule="exact"/>
        <w:ind w:firstLine="640" w:firstLineChars="200"/>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（二）资金计划、到位及使用情况</w:t>
      </w:r>
    </w:p>
    <w:p>
      <w:pPr>
        <w:shd w:val="clear"/>
        <w:adjustRightInd w:val="0"/>
        <w:snapToGrid w:val="0"/>
        <w:spacing w:line="576" w:lineRule="exact"/>
        <w:ind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olor w:val="auto"/>
          <w:kern w:val="0"/>
          <w:sz w:val="32"/>
          <w:szCs w:val="32"/>
          <w:highlight w:val="none"/>
          <w:shd w:val="clear" w:color="auto" w:fill="FFFFFF"/>
        </w:rPr>
        <w:t>1．资金计划。</w:t>
      </w:r>
      <w:r>
        <w:rPr>
          <w:rFonts w:hint="eastAsia" w:ascii="仿宋_GB2312" w:eastAsia="仿宋_GB2312" w:cs="Times New Roman"/>
          <w:color w:val="auto"/>
          <w:kern w:val="2"/>
          <w:sz w:val="32"/>
          <w:szCs w:val="32"/>
          <w:highlight w:val="none"/>
          <w:lang w:bidi="ar-SA"/>
        </w:rPr>
        <w:t>塔山湾至学工桥项目前期经费预算金额为30万元，资金来源为市级财政一般公共预算安排。</w:t>
      </w:r>
    </w:p>
    <w:p>
      <w:pPr>
        <w:shd w:val="clear"/>
        <w:adjustRightInd w:val="0"/>
        <w:snapToGrid w:val="0"/>
        <w:spacing w:line="576" w:lineRule="exact"/>
        <w:ind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2.资金到位。2022年</w:t>
      </w:r>
      <w:r>
        <w:rPr>
          <w:rFonts w:hint="eastAsia" w:ascii="仿宋_GB2312" w:cs="Times New Roman"/>
          <w:color w:val="auto"/>
          <w:kern w:val="2"/>
          <w:sz w:val="32"/>
          <w:szCs w:val="32"/>
          <w:highlight w:val="none"/>
          <w:lang w:val="en-US" w:eastAsia="zh-CN" w:bidi="ar-SA"/>
        </w:rPr>
        <w:t>12月</w:t>
      </w:r>
      <w:r>
        <w:rPr>
          <w:rFonts w:hint="eastAsia" w:ascii="仿宋_GB2312" w:eastAsia="仿宋_GB2312" w:cs="Times New Roman"/>
          <w:color w:val="auto"/>
          <w:kern w:val="2"/>
          <w:sz w:val="32"/>
          <w:szCs w:val="32"/>
          <w:highlight w:val="none"/>
          <w:lang w:bidi="ar-SA"/>
        </w:rPr>
        <w:t>，市财政局下达我局塔山湾至学工桥项目前期经费预算批复30万元（广财投（2022）116号），资金全额到位。</w:t>
      </w:r>
    </w:p>
    <w:p>
      <w:pPr>
        <w:shd w:val="clear"/>
        <w:spacing w:line="576" w:lineRule="exact"/>
        <w:ind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olor w:val="auto"/>
          <w:kern w:val="0"/>
          <w:sz w:val="32"/>
          <w:szCs w:val="32"/>
          <w:highlight w:val="none"/>
          <w:shd w:val="clear" w:color="auto" w:fill="FFFFFF"/>
        </w:rPr>
        <w:t>3．资金使用。</w:t>
      </w:r>
      <w:r>
        <w:rPr>
          <w:rFonts w:hint="eastAsia" w:ascii="仿宋_GB2312" w:eastAsia="仿宋_GB2312" w:cs="Times New Roman"/>
          <w:color w:val="auto"/>
          <w:kern w:val="2"/>
          <w:sz w:val="32"/>
          <w:szCs w:val="32"/>
          <w:highlight w:val="none"/>
          <w:lang w:bidi="ar-SA"/>
        </w:rPr>
        <w:t>2022年12月，</w:t>
      </w:r>
      <w:r>
        <w:rPr>
          <w:rFonts w:hint="eastAsia" w:ascii="仿宋_GB2312" w:cs="Times New Roman"/>
          <w:color w:val="auto"/>
          <w:kern w:val="2"/>
          <w:sz w:val="32"/>
          <w:szCs w:val="32"/>
          <w:highlight w:val="none"/>
          <w:lang w:eastAsia="zh-CN" w:bidi="ar-SA"/>
        </w:rPr>
        <w:t>我局拨付</w:t>
      </w:r>
      <w:r>
        <w:rPr>
          <w:rFonts w:hint="eastAsia" w:ascii="仿宋_GB2312" w:eastAsia="仿宋_GB2312" w:cs="Times New Roman"/>
          <w:color w:val="auto"/>
          <w:kern w:val="2"/>
          <w:sz w:val="32"/>
          <w:szCs w:val="32"/>
          <w:highlight w:val="none"/>
          <w:lang w:bidi="ar-SA"/>
        </w:rPr>
        <w:t>金额为30万元，剩余资金0元，支付进度100%。资金支付严格</w:t>
      </w:r>
      <w:r>
        <w:rPr>
          <w:rFonts w:hint="eastAsia" w:ascii="仿宋_GB2312" w:cs="Times New Roman"/>
          <w:color w:val="auto"/>
          <w:kern w:val="2"/>
          <w:sz w:val="32"/>
          <w:szCs w:val="32"/>
          <w:highlight w:val="none"/>
          <w:lang w:eastAsia="zh-CN" w:bidi="ar-SA"/>
        </w:rPr>
        <w:t>执行</w:t>
      </w:r>
      <w:r>
        <w:rPr>
          <w:rFonts w:hint="eastAsia" w:ascii="仿宋_GB2312" w:eastAsia="仿宋_GB2312" w:cs="Times New Roman"/>
          <w:color w:val="auto"/>
          <w:kern w:val="2"/>
          <w:sz w:val="32"/>
          <w:szCs w:val="32"/>
          <w:highlight w:val="none"/>
          <w:lang w:bidi="ar-SA"/>
        </w:rPr>
        <w:t>财政资金支付规定，支付依据合规合法，预算执行率100%。</w:t>
      </w:r>
    </w:p>
    <w:p>
      <w:pPr>
        <w:keepNext w:val="0"/>
        <w:keepLines w:val="0"/>
        <w:pageBreakBefore w:val="0"/>
        <w:widowControl w:val="0"/>
        <w:suppressLineNumbers w:val="0"/>
        <w:shd w:val="clear"/>
        <w:suppressAutoHyphens w:val="0"/>
        <w:kinsoku/>
        <w:wordWrap/>
        <w:overflowPunct/>
        <w:topLinePunct w:val="0"/>
        <w:autoSpaceDE/>
        <w:autoSpaceDN/>
        <w:adjustRightInd w:val="0"/>
        <w:snapToGrid w:val="0"/>
        <w:spacing w:line="576" w:lineRule="exact"/>
        <w:ind w:firstLine="640" w:firstLineChars="200"/>
        <w:jc w:val="both"/>
        <w:rPr>
          <w:rFonts w:hint="eastAsia" w:ascii="楷体_GB2312" w:eastAsia="楷体_GB2312" w:cs="Times New Roman"/>
          <w:color w:val="auto"/>
          <w:kern w:val="2"/>
          <w:sz w:val="32"/>
          <w:szCs w:val="32"/>
          <w:highlight w:val="none"/>
          <w:lang w:bidi="ar-SA"/>
        </w:rPr>
      </w:pPr>
      <w:r>
        <w:rPr>
          <w:rFonts w:hint="eastAsia" w:ascii="楷体_GB2312" w:eastAsia="楷体_GB2312" w:cs="Times New Roman"/>
          <w:color w:val="auto"/>
          <w:kern w:val="2"/>
          <w:sz w:val="32"/>
          <w:szCs w:val="32"/>
          <w:highlight w:val="none"/>
          <w:lang w:bidi="ar-SA"/>
        </w:rPr>
        <w:t>（三）项目财务管理情况。</w:t>
      </w:r>
    </w:p>
    <w:p>
      <w:pPr>
        <w:shd w:val="clear"/>
        <w:adjustRightInd w:val="0"/>
        <w:snapToGrid w:val="0"/>
        <w:spacing w:line="576" w:lineRule="exact"/>
        <w:ind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s="宋体"/>
          <w:color w:val="auto"/>
          <w:kern w:val="2"/>
          <w:sz w:val="32"/>
          <w:szCs w:val="32"/>
          <w:highlight w:val="none"/>
          <w:lang w:bidi="ar-SA"/>
        </w:rPr>
        <w:t>我局严格执行</w:t>
      </w:r>
      <w:r>
        <w:rPr>
          <w:rFonts w:hint="eastAsia" w:ascii="仿宋_GB2312" w:eastAsia="仿宋_GB2312" w:cs="宋体"/>
          <w:color w:val="auto"/>
          <w:kern w:val="2"/>
          <w:sz w:val="32"/>
          <w:szCs w:val="32"/>
          <w:highlight w:val="none"/>
          <w:lang w:eastAsia="zh-CN" w:bidi="ar-SA"/>
        </w:rPr>
        <w:t>中、省、市</w:t>
      </w:r>
      <w:r>
        <w:rPr>
          <w:rFonts w:hint="eastAsia" w:ascii="仿宋_GB2312" w:eastAsia="仿宋_GB2312" w:cs="宋体"/>
          <w:color w:val="auto"/>
          <w:kern w:val="2"/>
          <w:sz w:val="32"/>
          <w:szCs w:val="32"/>
          <w:highlight w:val="none"/>
          <w:lang w:bidi="ar-SA"/>
        </w:rPr>
        <w:t>相关</w:t>
      </w:r>
      <w:r>
        <w:rPr>
          <w:rFonts w:hint="eastAsia" w:ascii="仿宋_GB2312" w:eastAsia="仿宋_GB2312" w:cs="宋体"/>
          <w:color w:val="auto"/>
          <w:kern w:val="2"/>
          <w:sz w:val="32"/>
          <w:szCs w:val="32"/>
          <w:highlight w:val="none"/>
          <w:lang w:eastAsia="zh-CN" w:bidi="ar-SA"/>
        </w:rPr>
        <w:t>政策规定</w:t>
      </w:r>
      <w:r>
        <w:rPr>
          <w:rFonts w:hint="eastAsia" w:ascii="仿宋_GB2312" w:eastAsia="仿宋_GB2312" w:cs="宋体"/>
          <w:color w:val="auto"/>
          <w:kern w:val="2"/>
          <w:sz w:val="32"/>
          <w:szCs w:val="32"/>
          <w:highlight w:val="none"/>
          <w:lang w:bidi="ar-SA"/>
        </w:rPr>
        <w:t>，财务制度健全，制定了绩效管理、财务管理办法等内部控制制度，资金管理和使用符合</w:t>
      </w:r>
      <w:r>
        <w:rPr>
          <w:rFonts w:hint="eastAsia" w:ascii="仿宋_GB2312" w:eastAsia="仿宋_GB2312" w:cs="仿宋"/>
          <w:color w:val="auto"/>
          <w:kern w:val="0"/>
          <w:sz w:val="32"/>
          <w:szCs w:val="32"/>
          <w:highlight w:val="none"/>
          <w:lang w:bidi="ar-SA"/>
        </w:rPr>
        <w:t>国家财经法规</w:t>
      </w:r>
      <w:r>
        <w:rPr>
          <w:rFonts w:hint="eastAsia" w:ascii="仿宋_GB2312" w:eastAsia="仿宋_GB2312" w:cs="仿宋"/>
          <w:color w:val="auto"/>
          <w:kern w:val="0"/>
          <w:sz w:val="32"/>
          <w:szCs w:val="32"/>
          <w:highlight w:val="none"/>
          <w:lang w:val="en-US" w:eastAsia="zh-CN" w:bidi="ar-SA"/>
        </w:rPr>
        <w:t>、中省市</w:t>
      </w:r>
      <w:r>
        <w:rPr>
          <w:rFonts w:hint="eastAsia" w:ascii="仿宋_GB2312" w:eastAsia="仿宋_GB2312" w:cs="仿宋"/>
          <w:color w:val="auto"/>
          <w:kern w:val="0"/>
          <w:sz w:val="32"/>
          <w:szCs w:val="32"/>
          <w:highlight w:val="none"/>
          <w:lang w:bidi="ar-SA"/>
        </w:rPr>
        <w:t>有关专项资金管理办法规定</w:t>
      </w:r>
      <w:r>
        <w:rPr>
          <w:rFonts w:hint="eastAsia" w:ascii="仿宋_GB2312" w:eastAsia="仿宋_GB2312" w:cs="宋体"/>
          <w:color w:val="auto"/>
          <w:kern w:val="2"/>
          <w:sz w:val="32"/>
          <w:szCs w:val="32"/>
          <w:highlight w:val="none"/>
          <w:lang w:bidi="ar-SA"/>
        </w:rPr>
        <w:t>。</w:t>
      </w:r>
      <w:r>
        <w:rPr>
          <w:rFonts w:hint="eastAsia" w:ascii="仿宋_GB2312" w:eastAsia="仿宋_GB2312" w:cs="Times New Roman"/>
          <w:color w:val="auto"/>
          <w:kern w:val="2"/>
          <w:sz w:val="32"/>
          <w:szCs w:val="32"/>
          <w:highlight w:val="none"/>
          <w:lang w:bidi="ar-SA"/>
        </w:rPr>
        <w:t>市交投集团协助</w:t>
      </w:r>
      <w:r>
        <w:rPr>
          <w:rFonts w:hint="eastAsia" w:ascii="Times New Roman" w:hAnsi="Times New Roman" w:eastAsia="仿宋_GB2312" w:cs="Times New Roman"/>
          <w:color w:val="auto"/>
          <w:kern w:val="0"/>
          <w:sz w:val="32"/>
          <w:szCs w:val="32"/>
          <w:highlight w:val="none"/>
          <w:shd w:val="clear" w:color="auto" w:fill="FFFFFF"/>
          <w:lang w:bidi="ar-SA"/>
        </w:rPr>
        <w:t>项目业主</w:t>
      </w:r>
      <w:r>
        <w:rPr>
          <w:rFonts w:ascii="Times New Roman" w:hAnsi="Times New Roman" w:eastAsia="仿宋_GB2312" w:cs="Times New Roman"/>
          <w:color w:val="auto"/>
          <w:kern w:val="0"/>
          <w:sz w:val="32"/>
          <w:szCs w:val="32"/>
          <w:highlight w:val="none"/>
          <w:shd w:val="clear" w:color="auto" w:fill="FFFFFF"/>
          <w:lang w:bidi="ar-SA"/>
        </w:rPr>
        <w:t>，即其</w:t>
      </w:r>
      <w:r>
        <w:rPr>
          <w:rFonts w:hint="eastAsia" w:ascii="Times New Roman" w:hAnsi="Times New Roman" w:eastAsia="仿宋_GB2312" w:cs="Times New Roman"/>
          <w:color w:val="auto"/>
          <w:kern w:val="0"/>
          <w:sz w:val="32"/>
          <w:szCs w:val="32"/>
          <w:highlight w:val="none"/>
          <w:shd w:val="clear" w:color="auto" w:fill="FFFFFF"/>
          <w:lang w:bidi="ar-SA"/>
        </w:rPr>
        <w:t>全资子公司广元交投公路工程咨询有限公司</w:t>
      </w:r>
      <w:r>
        <w:rPr>
          <w:rFonts w:hint="eastAsia" w:ascii="仿宋_GB2312" w:eastAsia="仿宋_GB2312" w:cs="Times New Roman"/>
          <w:color w:val="auto"/>
          <w:kern w:val="2"/>
          <w:sz w:val="32"/>
          <w:szCs w:val="32"/>
          <w:highlight w:val="none"/>
          <w:lang w:bidi="ar-SA"/>
        </w:rPr>
        <w:t>建立“专账专户”机制，独立核算，严格管控资金流向，确保专款专用。</w:t>
      </w:r>
    </w:p>
    <w:p>
      <w:pPr>
        <w:shd w:val="clear"/>
        <w:spacing w:line="576" w:lineRule="exact"/>
        <w:ind w:firstLine="640" w:firstLineChars="200"/>
        <w:outlineLvl w:val="1"/>
        <w:rPr>
          <w:rFonts w:hint="default" w:ascii="Times New Roman" w:hAnsi="Times New Roman" w:eastAsia="仿宋_GB2312"/>
          <w:color w:val="auto"/>
          <w:kern w:val="2"/>
          <w:sz w:val="32"/>
          <w:szCs w:val="32"/>
          <w:highlight w:val="none"/>
        </w:rPr>
      </w:pPr>
      <w:bookmarkStart w:id="345" w:name="_Toc18119"/>
      <w:bookmarkStart w:id="346" w:name="_Toc1920765637_WPSOffice_Level2"/>
      <w:bookmarkStart w:id="347" w:name="_Toc1302246122_WPSOffice_Level2"/>
      <w:bookmarkStart w:id="348" w:name="_Toc2751"/>
      <w:r>
        <w:rPr>
          <w:rFonts w:hint="eastAsia" w:ascii="黑体" w:eastAsia="黑体" w:cs="Times New Roman"/>
          <w:color w:val="auto"/>
          <w:kern w:val="2"/>
          <w:sz w:val="32"/>
          <w:szCs w:val="32"/>
          <w:highlight w:val="none"/>
          <w:lang w:bidi="ar-SA"/>
        </w:rPr>
        <w:t>三、项目实施及管理情况</w:t>
      </w:r>
      <w:bookmarkEnd w:id="345"/>
      <w:bookmarkEnd w:id="346"/>
      <w:bookmarkEnd w:id="347"/>
      <w:bookmarkEnd w:id="348"/>
    </w:p>
    <w:p>
      <w:pPr>
        <w:pStyle w:val="13"/>
        <w:shd w:val="clear"/>
        <w:spacing w:before="0" w:beforeAutospacing="0" w:after="0" w:afterAutospacing="0" w:line="576" w:lineRule="exact"/>
        <w:ind w:left="0" w:leftChars="0" w:firstLine="640" w:firstLineChars="200"/>
        <w:rPr>
          <w:rFonts w:hint="eastAsia" w:ascii="仿宋_GB2312" w:eastAsia="仿宋_GB2312" w:cs="Times New Roman"/>
          <w:color w:val="auto"/>
          <w:kern w:val="2"/>
          <w:sz w:val="32"/>
          <w:szCs w:val="32"/>
          <w:highlight w:val="none"/>
          <w:lang w:bidi="ar-SA"/>
        </w:rPr>
      </w:pPr>
      <w:r>
        <w:rPr>
          <w:rFonts w:hint="eastAsia" w:ascii="仿宋_GB2312" w:eastAsia="仿宋_GB2312" w:cs="Times New Roman"/>
          <w:color w:val="auto"/>
          <w:kern w:val="2"/>
          <w:sz w:val="32"/>
          <w:szCs w:val="32"/>
          <w:highlight w:val="none"/>
          <w:lang w:bidi="ar-SA"/>
        </w:rPr>
        <w:t>我局作为该项目的行业主管部门，具有核查建设方案，</w:t>
      </w:r>
      <w:r>
        <w:rPr>
          <w:rFonts w:hint="eastAsia" w:ascii="仿宋_GB2312" w:eastAsia="仿宋_GB2312" w:cs="Times New Roman"/>
          <w:color w:val="auto"/>
          <w:kern w:val="2"/>
          <w:sz w:val="32"/>
          <w:szCs w:val="32"/>
          <w:highlight w:val="none"/>
          <w:lang w:eastAsia="zh-CN" w:bidi="ar-SA"/>
        </w:rPr>
        <w:t>监督</w:t>
      </w:r>
      <w:r>
        <w:rPr>
          <w:rFonts w:hint="eastAsia" w:ascii="仿宋_GB2312" w:eastAsia="仿宋_GB2312" w:cs="Times New Roman"/>
          <w:color w:val="auto"/>
          <w:kern w:val="2"/>
          <w:sz w:val="32"/>
          <w:szCs w:val="32"/>
          <w:highlight w:val="none"/>
          <w:lang w:bidi="ar-SA"/>
        </w:rPr>
        <w:t>建设实施，督</w:t>
      </w:r>
      <w:r>
        <w:rPr>
          <w:rFonts w:hint="eastAsia" w:ascii="仿宋_GB2312" w:eastAsia="仿宋_GB2312" w:cs="Times New Roman"/>
          <w:color w:val="auto"/>
          <w:kern w:val="2"/>
          <w:sz w:val="32"/>
          <w:szCs w:val="32"/>
          <w:highlight w:val="none"/>
          <w:lang w:eastAsia="zh-CN" w:bidi="ar-SA"/>
        </w:rPr>
        <w:t>促</w:t>
      </w:r>
      <w:r>
        <w:rPr>
          <w:rFonts w:hint="eastAsia" w:ascii="仿宋_GB2312" w:eastAsia="仿宋_GB2312" w:cs="Times New Roman"/>
          <w:color w:val="auto"/>
          <w:kern w:val="2"/>
          <w:sz w:val="32"/>
          <w:szCs w:val="32"/>
          <w:highlight w:val="none"/>
          <w:lang w:bidi="ar-SA"/>
        </w:rPr>
        <w:t>建设进度的职能职责。受托业主方及施工方应严格按照主管部门的</w:t>
      </w:r>
      <w:r>
        <w:rPr>
          <w:rFonts w:hint="eastAsia" w:ascii="仿宋_GB2312" w:eastAsia="仿宋_GB2312" w:cs="Times New Roman"/>
          <w:color w:val="auto"/>
          <w:kern w:val="2"/>
          <w:sz w:val="32"/>
          <w:szCs w:val="32"/>
          <w:highlight w:val="none"/>
          <w:lang w:eastAsia="zh-CN" w:bidi="ar-SA"/>
        </w:rPr>
        <w:t>要求和</w:t>
      </w:r>
      <w:r>
        <w:rPr>
          <w:rFonts w:hint="eastAsia" w:ascii="仿宋_GB2312" w:eastAsia="仿宋_GB2312" w:cs="Times New Roman"/>
          <w:color w:val="auto"/>
          <w:kern w:val="2"/>
          <w:sz w:val="32"/>
          <w:szCs w:val="32"/>
          <w:highlight w:val="none"/>
          <w:lang w:bidi="ar-SA"/>
        </w:rPr>
        <w:t>安排推动项目建设。</w:t>
      </w:r>
    </w:p>
    <w:p>
      <w:pPr>
        <w:shd w:val="clear"/>
        <w:adjustRightInd w:val="0"/>
        <w:snapToGrid w:val="0"/>
        <w:spacing w:line="576" w:lineRule="exact"/>
        <w:ind w:firstLine="640" w:firstLineChars="200"/>
        <w:outlineLvl w:val="1"/>
        <w:rPr>
          <w:rFonts w:hint="eastAsia" w:ascii="黑体" w:eastAsia="黑体" w:cs="Times New Roman"/>
          <w:color w:val="auto"/>
          <w:kern w:val="2"/>
          <w:sz w:val="32"/>
          <w:szCs w:val="32"/>
          <w:highlight w:val="none"/>
          <w:lang w:bidi="ar-SA"/>
        </w:rPr>
      </w:pPr>
      <w:bookmarkStart w:id="349" w:name="_Toc9466"/>
      <w:bookmarkStart w:id="350" w:name="_Toc3717"/>
      <w:bookmarkStart w:id="351" w:name="_Toc319216764_WPSOffice_Level2"/>
      <w:bookmarkStart w:id="352" w:name="_Toc1301921033_WPSOffice_Level2"/>
      <w:r>
        <w:rPr>
          <w:rFonts w:hint="eastAsia" w:ascii="黑体" w:eastAsia="黑体" w:cs="Times New Roman"/>
          <w:color w:val="auto"/>
          <w:kern w:val="2"/>
          <w:sz w:val="32"/>
          <w:szCs w:val="32"/>
          <w:highlight w:val="none"/>
          <w:lang w:bidi="ar-SA"/>
        </w:rPr>
        <w:t>四、项目绩效情况</w:t>
      </w:r>
      <w:bookmarkEnd w:id="349"/>
      <w:bookmarkEnd w:id="350"/>
      <w:bookmarkEnd w:id="351"/>
      <w:bookmarkEnd w:id="352"/>
    </w:p>
    <w:p>
      <w:pPr>
        <w:keepNext w:val="0"/>
        <w:keepLines w:val="0"/>
        <w:pageBreakBefore w:val="0"/>
        <w:widowControl/>
        <w:suppressLineNumbers w:val="0"/>
        <w:shd w:val="clear"/>
        <w:suppressAutoHyphens/>
        <w:kinsoku/>
        <w:wordWrap/>
        <w:overflowPunct/>
        <w:topLinePunct w:val="0"/>
        <w:autoSpaceDE/>
        <w:autoSpaceDN/>
        <w:adjustRightInd/>
        <w:snapToGrid/>
        <w:spacing w:line="576" w:lineRule="exact"/>
        <w:ind w:firstLine="640" w:firstLineChars="200"/>
        <w:contextualSpacing/>
        <w:jc w:val="left"/>
        <w:rPr>
          <w:rFonts w:hint="default" w:ascii="Times New Roman" w:hAnsi="Times New Roman" w:eastAsia="仿宋_GB2312"/>
          <w:color w:val="auto"/>
          <w:kern w:val="2"/>
          <w:sz w:val="32"/>
          <w:szCs w:val="32"/>
          <w:highlight w:val="none"/>
        </w:rPr>
      </w:pPr>
      <w:r>
        <w:rPr>
          <w:rFonts w:hint="eastAsia" w:ascii="楷体_GB2312" w:eastAsia="楷体_GB2312" w:cs="Times New Roman"/>
          <w:color w:val="auto"/>
          <w:kern w:val="2"/>
          <w:sz w:val="32"/>
          <w:szCs w:val="32"/>
          <w:highlight w:val="none"/>
          <w:lang w:bidi="ar-SA"/>
        </w:rPr>
        <w:t>（一）项目完成情况。</w:t>
      </w:r>
      <w:r>
        <w:rPr>
          <w:rFonts w:hint="eastAsia" w:ascii="仿宋_GB2312" w:eastAsia="仿宋_GB2312" w:cs="Times New Roman"/>
          <w:color w:val="auto"/>
          <w:kern w:val="2"/>
          <w:sz w:val="32"/>
          <w:szCs w:val="32"/>
          <w:highlight w:val="none"/>
          <w:lang w:bidi="ar-SA"/>
        </w:rPr>
        <w:t>目前</w:t>
      </w:r>
      <w:r>
        <w:rPr>
          <w:rFonts w:hint="eastAsia" w:ascii="仿宋_GB2312" w:cs="Times New Roman"/>
          <w:color w:val="auto"/>
          <w:kern w:val="2"/>
          <w:sz w:val="32"/>
          <w:szCs w:val="32"/>
          <w:highlight w:val="none"/>
          <w:lang w:eastAsia="zh-CN" w:bidi="ar-SA"/>
        </w:rPr>
        <w:t>，</w:t>
      </w:r>
      <w:r>
        <w:rPr>
          <w:rFonts w:hint="eastAsia" w:ascii="仿宋_GB2312" w:eastAsia="仿宋_GB2312" w:cs="Times New Roman"/>
          <w:color w:val="auto"/>
          <w:kern w:val="2"/>
          <w:sz w:val="32"/>
          <w:szCs w:val="32"/>
          <w:highlight w:val="none"/>
          <w:lang w:bidi="ar-SA"/>
        </w:rPr>
        <w:t>该项目已取得可研批复，正在开展前期要件、初步勘察设计文件编制工作，计划于2023年12月开工建设，项目开工后将严格按照相关</w:t>
      </w:r>
      <w:r>
        <w:rPr>
          <w:rFonts w:hint="eastAsia" w:ascii="仿宋_GB2312" w:cs="Times New Roman"/>
          <w:color w:val="auto"/>
          <w:kern w:val="2"/>
          <w:sz w:val="32"/>
          <w:szCs w:val="32"/>
          <w:highlight w:val="none"/>
          <w:lang w:eastAsia="zh-CN" w:bidi="ar-SA"/>
        </w:rPr>
        <w:t>规定和程序</w:t>
      </w:r>
      <w:r>
        <w:rPr>
          <w:rFonts w:hint="eastAsia" w:ascii="仿宋_GB2312" w:eastAsia="仿宋_GB2312" w:cs="Times New Roman"/>
          <w:color w:val="auto"/>
          <w:kern w:val="2"/>
          <w:sz w:val="32"/>
          <w:szCs w:val="32"/>
          <w:highlight w:val="none"/>
          <w:lang w:bidi="ar-SA"/>
        </w:rPr>
        <w:t>实施。</w:t>
      </w:r>
    </w:p>
    <w:p>
      <w:pPr>
        <w:shd w:val="clear"/>
        <w:spacing w:line="576" w:lineRule="exact"/>
        <w:ind w:firstLine="640" w:firstLineChars="200"/>
        <w:rPr>
          <w:rFonts w:hint="default" w:ascii="Times New Roman" w:hAnsi="Times New Roman" w:eastAsia="楷体_GB2312"/>
          <w:b/>
          <w:bCs/>
          <w:color w:val="auto"/>
          <w:kern w:val="2"/>
          <w:sz w:val="32"/>
          <w:szCs w:val="32"/>
          <w:highlight w:val="none"/>
        </w:rPr>
      </w:pPr>
      <w:r>
        <w:rPr>
          <w:rFonts w:hint="eastAsia" w:ascii="楷体_GB2312" w:eastAsia="楷体_GB2312" w:cs="Times New Roman"/>
          <w:color w:val="auto"/>
          <w:kern w:val="2"/>
          <w:sz w:val="32"/>
          <w:szCs w:val="32"/>
          <w:highlight w:val="none"/>
          <w:lang w:bidi="ar-SA"/>
        </w:rPr>
        <w:t>（二）项目效益情况</w:t>
      </w:r>
      <w:r>
        <w:rPr>
          <w:rFonts w:hint="eastAsia" w:ascii="仿宋_GB2312" w:eastAsia="仿宋_GB2312" w:cs="Times New Roman"/>
          <w:color w:val="auto"/>
          <w:kern w:val="2"/>
          <w:sz w:val="32"/>
          <w:szCs w:val="32"/>
          <w:highlight w:val="none"/>
          <w:lang w:bidi="ar-SA"/>
        </w:rPr>
        <w:t>。</w:t>
      </w:r>
    </w:p>
    <w:p>
      <w:pPr>
        <w:pStyle w:val="13"/>
        <w:shd w:val="clear"/>
        <w:spacing w:before="0" w:beforeAutospacing="0" w:after="0" w:afterAutospacing="0" w:line="576" w:lineRule="exact"/>
        <w:ind w:left="0" w:leftChars="0" w:firstLine="640" w:firstLineChars="200"/>
        <w:rPr>
          <w:rFonts w:hint="default" w:ascii="Times New Roman" w:hAnsi="Times New Roman" w:eastAsia="楷体_GB2312"/>
          <w:b/>
          <w:bCs/>
          <w:color w:val="auto"/>
          <w:kern w:val="2"/>
          <w:sz w:val="32"/>
          <w:szCs w:val="32"/>
          <w:highlight w:val="none"/>
        </w:rPr>
      </w:pPr>
      <w:r>
        <w:rPr>
          <w:rFonts w:hint="eastAsia" w:ascii="仿宋_GB2312" w:eastAsia="仿宋_GB2312" w:cs="Times New Roman"/>
          <w:color w:val="auto"/>
          <w:kern w:val="2"/>
          <w:sz w:val="32"/>
          <w:szCs w:val="32"/>
          <w:highlight w:val="none"/>
          <w:lang w:bidi="ar-SA"/>
        </w:rPr>
        <w:t>该项目</w:t>
      </w:r>
      <w:r>
        <w:rPr>
          <w:rFonts w:hint="eastAsia" w:ascii="仿宋_GB2312" w:eastAsia="仿宋_GB2312" w:cs="Times New Roman"/>
          <w:color w:val="auto"/>
          <w:kern w:val="2"/>
          <w:sz w:val="32"/>
          <w:szCs w:val="32"/>
          <w:highlight w:val="none"/>
          <w:lang w:eastAsia="zh-CN" w:bidi="ar-SA"/>
        </w:rPr>
        <w:t>的</w:t>
      </w:r>
      <w:r>
        <w:rPr>
          <w:rFonts w:hint="eastAsia" w:ascii="仿宋_GB2312" w:eastAsia="仿宋_GB2312" w:cs="Times New Roman"/>
          <w:color w:val="auto"/>
          <w:kern w:val="2"/>
          <w:sz w:val="32"/>
          <w:szCs w:val="32"/>
          <w:highlight w:val="none"/>
          <w:lang w:bidi="ar-SA"/>
        </w:rPr>
        <w:t>实施对完善城区路网结构、提升区域路网通行能力具有积极作用。</w:t>
      </w:r>
    </w:p>
    <w:p>
      <w:pPr>
        <w:shd w:val="clear"/>
        <w:adjustRightInd w:val="0"/>
        <w:snapToGrid w:val="0"/>
        <w:spacing w:line="576" w:lineRule="exact"/>
        <w:ind w:firstLine="640" w:firstLineChars="200"/>
        <w:outlineLvl w:val="1"/>
        <w:rPr>
          <w:rFonts w:hint="eastAsia" w:ascii="黑体" w:eastAsia="黑体" w:cs="Times New Roman"/>
          <w:color w:val="auto"/>
          <w:kern w:val="2"/>
          <w:sz w:val="32"/>
          <w:szCs w:val="32"/>
          <w:highlight w:val="none"/>
          <w:lang w:bidi="ar-SA"/>
        </w:rPr>
      </w:pPr>
      <w:bookmarkStart w:id="353" w:name="_Toc66835635_WPSOffice_Level2"/>
      <w:bookmarkStart w:id="354" w:name="_Toc1353349560_WPSOffice_Level2"/>
      <w:bookmarkStart w:id="355" w:name="_Toc23049"/>
      <w:bookmarkStart w:id="356" w:name="_Toc32343"/>
      <w:r>
        <w:rPr>
          <w:rFonts w:hint="eastAsia" w:ascii="黑体" w:eastAsia="黑体" w:cs="Times New Roman"/>
          <w:color w:val="auto"/>
          <w:kern w:val="2"/>
          <w:sz w:val="32"/>
          <w:szCs w:val="32"/>
          <w:highlight w:val="none"/>
          <w:lang w:bidi="ar-SA"/>
        </w:rPr>
        <w:t>五、评价结论及建议</w:t>
      </w:r>
      <w:bookmarkEnd w:id="353"/>
      <w:bookmarkEnd w:id="354"/>
      <w:bookmarkEnd w:id="355"/>
      <w:bookmarkEnd w:id="356"/>
    </w:p>
    <w:p>
      <w:pPr>
        <w:shd w:val="clear"/>
        <w:rPr>
          <w:rFonts w:hint="default" w:hAnsi="宋体" w:cs="宋体"/>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bidi="ar-SA"/>
        </w:rPr>
        <w:t>该</w:t>
      </w:r>
      <w:r>
        <w:rPr>
          <w:rFonts w:hint="eastAsia" w:ascii="仿宋_GB2312" w:eastAsia="仿宋_GB2312"/>
          <w:color w:val="auto"/>
          <w:kern w:val="0"/>
          <w:sz w:val="32"/>
          <w:szCs w:val="32"/>
          <w:highlight w:val="none"/>
          <w:shd w:val="clear" w:color="auto" w:fill="FFFFFF"/>
        </w:rPr>
        <w:t>项目具备实施条件，具有详细实施方案或计划，组织机构健全，职责分工明确，有具体的实施时间，有明确的工作程序，基础设施条件有效保障，资金能足额保证，具有相应的质量检查、验收等必要的控制措施或手段有针对突发事件或未知风险的应急措施等</w:t>
      </w:r>
      <w:r>
        <w:rPr>
          <w:rFonts w:hint="eastAsia" w:ascii="Times New Roman" w:hAnsi="Times New Roman" w:eastAsia="仿宋_GB2312" w:cs="Times New Roman"/>
          <w:color w:val="auto"/>
          <w:kern w:val="0"/>
          <w:sz w:val="32"/>
          <w:szCs w:val="32"/>
          <w:highlight w:val="none"/>
          <w:shd w:val="clear" w:color="auto" w:fill="FFFFFF"/>
          <w:lang w:bidi="ar-SA"/>
        </w:rPr>
        <w:t>，预期产出和效果能满足需求</w:t>
      </w:r>
      <w:r>
        <w:rPr>
          <w:rFonts w:hint="eastAsia" w:ascii="仿宋_GB2312" w:eastAsia="仿宋_GB2312"/>
          <w:color w:val="auto"/>
          <w:kern w:val="0"/>
          <w:sz w:val="32"/>
          <w:szCs w:val="32"/>
          <w:highlight w:val="none"/>
          <w:shd w:val="clear" w:color="auto" w:fill="FFFFFF"/>
        </w:rPr>
        <w:t>。</w:t>
      </w:r>
      <w:r>
        <w:rPr>
          <w:rFonts w:hint="eastAsia" w:ascii="仿宋_GB2312" w:eastAsia="仿宋_GB2312" w:cs="Times New Roman"/>
          <w:color w:val="auto"/>
          <w:kern w:val="2"/>
          <w:sz w:val="32"/>
          <w:szCs w:val="32"/>
          <w:highlight w:val="none"/>
          <w:lang w:bidi="ar-SA"/>
        </w:rPr>
        <w:t>该项目规划科学，决策依据充分，程序合法合规、资金到位及时拨付规范。项目支出绩效自评得分100分，其中项目决策25分、项目管理15分、项目绩效（特性指标）60分。</w:t>
      </w:r>
      <w:r>
        <w:rPr>
          <w:rFonts w:hint="default" w:hAnsi="宋体" w:cs="宋体"/>
          <w:color w:val="auto"/>
          <w:kern w:val="0"/>
          <w:sz w:val="32"/>
          <w:szCs w:val="32"/>
          <w:highlight w:val="none"/>
          <w:shd w:val="clear" w:color="auto" w:fill="FFFFFF"/>
          <w:lang w:val="en-US" w:eastAsia="zh-CN"/>
        </w:rPr>
        <w:br w:type="page"/>
      </w:r>
    </w:p>
    <w:p>
      <w:pPr>
        <w:pStyle w:val="38"/>
        <w:widowControl w:val="0"/>
        <w:shd w:val="clear"/>
        <w:spacing w:line="576" w:lineRule="exact"/>
        <w:jc w:val="left"/>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附件13：</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widowControl w:val="0"/>
        <w:shd w:val="clear"/>
        <w:spacing w:line="578" w:lineRule="exact"/>
        <w:jc w:val="center"/>
        <w:rPr>
          <w:rFonts w:hint="eastAsia" w:ascii="方正小标宋简体" w:hAnsi="??" w:eastAsia="方正小标宋简体" w:cs="Times New Roman"/>
          <w:color w:val="auto"/>
          <w:kern w:val="2"/>
          <w:sz w:val="44"/>
          <w:szCs w:val="44"/>
          <w:highlight w:val="none"/>
          <w:lang w:val="en-US" w:eastAsia="zh-CN" w:bidi="ar-SA"/>
        </w:rPr>
      </w:pPr>
      <w:r>
        <w:rPr>
          <w:rFonts w:hint="eastAsia" w:ascii="方正小标宋_GBK" w:hAnsi="??" w:eastAsia="方正小标宋_GBK" w:cs="黑体"/>
          <w:color w:val="auto"/>
          <w:sz w:val="44"/>
          <w:szCs w:val="44"/>
          <w:highlight w:val="none"/>
          <w:lang w:val="en-US" w:eastAsia="zh-CN" w:bidi="ar-SA"/>
        </w:rPr>
        <w:t>关于</w:t>
      </w:r>
      <w:r>
        <w:rPr>
          <w:rFonts w:hint="eastAsia" w:ascii="方正小标宋_GBK" w:hAnsi="??" w:eastAsia="方正小标宋_GBK" w:cs="方正小标宋简体"/>
          <w:color w:val="auto"/>
          <w:kern w:val="2"/>
          <w:sz w:val="44"/>
          <w:szCs w:val="44"/>
          <w:highlight w:val="none"/>
          <w:lang w:val="en-US" w:eastAsia="zh-CN" w:bidi="ar-SA"/>
        </w:rPr>
        <w:t>2022年综合货运枢纽示范城市申报工作经费项目预算支出绩效的自评报告</w:t>
      </w:r>
    </w:p>
    <w:p>
      <w:pPr>
        <w:widowControl w:val="0"/>
        <w:shd w:val="clear"/>
        <w:spacing w:line="578" w:lineRule="exact"/>
        <w:ind w:firstLine="640"/>
        <w:jc w:val="center"/>
        <w:rPr>
          <w:rFonts w:hint="eastAsia" w:ascii="宋体" w:hAnsi="??" w:eastAsia="宋体" w:cs="Times New Roman"/>
          <w:color w:val="auto"/>
          <w:kern w:val="2"/>
          <w:sz w:val="32"/>
          <w:szCs w:val="32"/>
          <w:highlight w:val="none"/>
          <w:lang w:val="en-US" w:eastAsia="zh-CN" w:bidi="ar-SA"/>
        </w:rPr>
      </w:pPr>
    </w:p>
    <w:p>
      <w:pPr>
        <w:shd w:val="clear"/>
        <w:adjustRightInd w:val="0"/>
        <w:snapToGrid w:val="0"/>
        <w:spacing w:line="578" w:lineRule="exact"/>
        <w:ind w:firstLine="640" w:firstLineChars="200"/>
        <w:outlineLvl w:val="1"/>
        <w:rPr>
          <w:rFonts w:hint="eastAsia" w:ascii="黑体" w:hAnsi="Times New Roman" w:eastAsia="黑体" w:cs="Times New Roman"/>
          <w:color w:val="auto"/>
          <w:sz w:val="32"/>
          <w:szCs w:val="32"/>
          <w:highlight w:val="none"/>
          <w:lang w:bidi="ar-SA"/>
        </w:rPr>
      </w:pPr>
      <w:bookmarkStart w:id="357" w:name="_Toc212616500_WPSOffice_Level2"/>
      <w:bookmarkStart w:id="358" w:name="_Toc13869"/>
      <w:bookmarkStart w:id="359" w:name="_Toc29579"/>
      <w:bookmarkStart w:id="360" w:name="_Toc35286308_WPSOffice_Level2"/>
      <w:r>
        <w:rPr>
          <w:rFonts w:hint="eastAsia" w:ascii="黑体" w:hAnsi="Times New Roman" w:eastAsia="黑体" w:cs="Times New Roman"/>
          <w:color w:val="auto"/>
          <w:sz w:val="32"/>
          <w:szCs w:val="32"/>
          <w:highlight w:val="none"/>
          <w:lang w:bidi="ar-SA"/>
        </w:rPr>
        <w:t>一、项目概况</w:t>
      </w:r>
      <w:bookmarkEnd w:id="357"/>
      <w:bookmarkEnd w:id="358"/>
      <w:bookmarkEnd w:id="359"/>
      <w:bookmarkEnd w:id="360"/>
    </w:p>
    <w:p>
      <w:pPr>
        <w:shd w:val="clear"/>
        <w:adjustRightInd w:val="0"/>
        <w:snapToGrid w:val="0"/>
        <w:spacing w:line="578"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（一）项目基本情况。</w:t>
      </w:r>
    </w:p>
    <w:p>
      <w:pPr>
        <w:widowControl w:val="0"/>
        <w:shd w:val="clear"/>
        <w:spacing w:line="576" w:lineRule="exact"/>
        <w:ind w:firstLine="640" w:firstLineChars="200"/>
        <w:jc w:val="both"/>
        <w:rPr>
          <w:rFonts w:hint="eastAsia" w:ascii="仿宋_GB2312" w:hAnsi="AR PL UKai CN" w:eastAsia="仿宋_GB2312" w:cs="Times New Roman"/>
          <w:color w:val="auto"/>
          <w:kern w:val="2"/>
          <w:sz w:val="32"/>
          <w:szCs w:val="32"/>
          <w:highlight w:val="none"/>
          <w:lang w:val="en-US" w:eastAsia="zh-CN" w:bidi="ar-SA"/>
        </w:rPr>
      </w:pPr>
      <w:r>
        <w:rPr>
          <w:rFonts w:hint="eastAsia" w:ascii="仿宋_GB2312" w:hAnsi="AR PL UKai CN" w:eastAsia="仿宋_GB2312" w:cs="Times New Roman"/>
          <w:color w:val="auto"/>
          <w:kern w:val="2"/>
          <w:sz w:val="32"/>
          <w:szCs w:val="32"/>
          <w:highlight w:val="none"/>
          <w:lang w:val="en-US" w:eastAsia="zh-CN" w:bidi="ar-SA"/>
        </w:rPr>
        <w:t>1．主管部门在管理中的职能。2022年，我局规划科、财务科等相关科室综合货运枢纽示范城市申报工作经费开展了资金预算、绩效申报和绩效运行监控、资金使用等全过程监管，确保</w:t>
      </w:r>
      <w:r>
        <w:rPr>
          <w:rFonts w:hint="eastAsia" w:ascii="仿宋_GB2312" w:hAnsi="仿宋_GB2312" w:eastAsia="宋体" w:cs="Times New Roman"/>
          <w:color w:val="auto"/>
          <w:kern w:val="2"/>
          <w:sz w:val="32"/>
          <w:szCs w:val="32"/>
          <w:highlight w:val="none"/>
          <w:lang w:val="en-US" w:eastAsia="zh-CN" w:bidi="ar-SA"/>
        </w:rPr>
        <w:t>了</w:t>
      </w:r>
      <w:r>
        <w:rPr>
          <w:rFonts w:hint="eastAsia" w:ascii="仿宋_GB2312" w:hAnsi="AR PL UKai CN" w:eastAsia="仿宋_GB2312" w:cs="Times New Roman"/>
          <w:color w:val="auto"/>
          <w:kern w:val="2"/>
          <w:sz w:val="32"/>
          <w:szCs w:val="32"/>
          <w:highlight w:val="none"/>
          <w:lang w:val="en-US" w:eastAsia="zh-CN" w:bidi="ar-SA"/>
        </w:rPr>
        <w:t>项目管理规范、按期保质保量完成绩效目标任务。同时，我局作为项目实施单位，根据绩效目标，开展了项目全程绩效管理，资金使用规范，高质量发挥了社会效益和经济效益。</w:t>
      </w:r>
    </w:p>
    <w:p>
      <w:pPr>
        <w:widowControl/>
        <w:shd w:val="clear"/>
        <w:suppressAutoHyphens/>
        <w:adjustRightInd w:val="0"/>
        <w:snapToGrid w:val="0"/>
        <w:spacing w:line="580" w:lineRule="exact"/>
        <w:ind w:firstLine="640" w:firstLineChars="200"/>
        <w:contextualSpacing/>
        <w:jc w:val="left"/>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AR PL UKai CN"/>
          <w:color w:val="auto"/>
          <w:kern w:val="0"/>
          <w:sz w:val="32"/>
          <w:szCs w:val="32"/>
          <w:highlight w:val="none"/>
          <w:shd w:val="clear" w:color="auto" w:fill="FFFFFF"/>
        </w:rPr>
        <w:t>2．项目立项、资金申报的依据。市委、市政府主要领导均批示开展国家综合货运枢纽补链强链示范城市申报工作，并同意将</w:t>
      </w:r>
      <w:r>
        <w:rPr>
          <w:rFonts w:hint="eastAsia" w:ascii="仿宋_GB2312" w:hAnsi="Times New Roman" w:eastAsia="仿宋_GB2312" w:cs="Times New Roman"/>
          <w:color w:val="auto"/>
          <w:sz w:val="32"/>
          <w:szCs w:val="32"/>
          <w:highlight w:val="none"/>
          <w:lang w:bidi="ar-SA"/>
        </w:rPr>
        <w:t>申报工作经费纳入市本级一般公共预算。</w:t>
      </w:r>
    </w:p>
    <w:p>
      <w:pPr>
        <w:shd w:val="clear"/>
        <w:adjustRightInd w:val="0"/>
        <w:snapToGrid w:val="0"/>
        <w:spacing w:line="580" w:lineRule="exact"/>
        <w:ind w:firstLine="640" w:firstLineChars="200"/>
        <w:rPr>
          <w:rFonts w:hint="eastAsia" w:ascii="仿宋_GB2312" w:hAnsi="Times New Roman" w:eastAsia="仿宋_GB2312" w:cs="AR PL UKai CN"/>
          <w:color w:val="auto"/>
          <w:kern w:val="0"/>
          <w:sz w:val="32"/>
          <w:szCs w:val="32"/>
          <w:highlight w:val="none"/>
          <w:shd w:val="clear" w:color="auto" w:fill="FFFFFF"/>
        </w:rPr>
      </w:pPr>
      <w:r>
        <w:rPr>
          <w:rFonts w:hint="eastAsia" w:ascii="仿宋_GB2312" w:hAnsi="Times New Roman" w:eastAsia="仿宋_GB2312" w:cs="Times New Roman"/>
          <w:color w:val="auto"/>
          <w:sz w:val="32"/>
          <w:szCs w:val="32"/>
          <w:highlight w:val="none"/>
          <w:lang w:bidi="ar-SA"/>
        </w:rPr>
        <w:t>3．资金管理办法制定情况。</w:t>
      </w:r>
      <w:r>
        <w:rPr>
          <w:rFonts w:hint="eastAsia" w:ascii="仿宋_GB2312" w:hAnsi="Times New Roman" w:eastAsia="仿宋_GB2312" w:cs="仿宋"/>
          <w:color w:val="auto"/>
          <w:kern w:val="0"/>
          <w:sz w:val="32"/>
          <w:szCs w:val="32"/>
          <w:highlight w:val="none"/>
          <w:lang w:bidi="ar-SA"/>
        </w:rPr>
        <w:t>我局严格执行国家财经法规、央省市有关专项资金管理办法规定，制定了</w:t>
      </w:r>
      <w:r>
        <w:rPr>
          <w:rFonts w:hint="eastAsia" w:ascii="仿宋_GB2312" w:hAnsi="Times New Roman" w:eastAsia="仿宋_GB2312" w:cs="Times New Roman"/>
          <w:color w:val="auto"/>
          <w:sz w:val="32"/>
          <w:szCs w:val="32"/>
          <w:highlight w:val="none"/>
          <w:lang w:bidi="ar-SA"/>
        </w:rPr>
        <w:t>《广元市交通运输局预算管理》《广元市交通运输局收支管理》</w:t>
      </w:r>
      <w:r>
        <w:rPr>
          <w:rFonts w:hint="eastAsia" w:ascii="仿宋_GB2312" w:hAnsi="Times New Roman" w:eastAsia="仿宋_GB2312" w:cs="仿宋"/>
          <w:color w:val="auto"/>
          <w:kern w:val="0"/>
          <w:sz w:val="32"/>
          <w:szCs w:val="32"/>
          <w:highlight w:val="none"/>
          <w:lang w:bidi="ar-SA"/>
        </w:rPr>
        <w:t>等内部控制制度，财务制度健全，会计核算规范。</w:t>
      </w:r>
    </w:p>
    <w:p>
      <w:pPr>
        <w:shd w:val="clear"/>
        <w:overflowPunct w:val="0"/>
        <w:autoSpaceDE w:val="0"/>
        <w:autoSpaceDN w:val="0"/>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4．资金分配的原则。</w:t>
      </w:r>
      <w:r>
        <w:rPr>
          <w:rFonts w:hint="eastAsia" w:ascii="仿宋_GB2312" w:hAnsi="Times New Roman" w:eastAsia="仿宋_GB2312" w:cs="AR PL UKai CN"/>
          <w:color w:val="auto"/>
          <w:sz w:val="32"/>
          <w:szCs w:val="32"/>
          <w:highlight w:val="none"/>
        </w:rPr>
        <w:t>资金坚持“专款专用”原则，合法合规使用资金</w:t>
      </w:r>
      <w:r>
        <w:rPr>
          <w:rFonts w:hint="eastAsia" w:ascii="仿宋_GB2312" w:hAnsi="Times New Roman" w:eastAsia="仿宋_GB2312" w:cs="Times New Roman"/>
          <w:color w:val="auto"/>
          <w:sz w:val="32"/>
          <w:szCs w:val="32"/>
          <w:highlight w:val="none"/>
          <w:lang w:bidi="ar-SA"/>
        </w:rPr>
        <w:t>。</w:t>
      </w:r>
    </w:p>
    <w:p>
      <w:pPr>
        <w:shd w:val="clear"/>
        <w:adjustRightInd w:val="0"/>
        <w:snapToGrid w:val="0"/>
        <w:spacing w:line="578"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（二）项目绩效目标。</w:t>
      </w:r>
    </w:p>
    <w:p>
      <w:pPr>
        <w:shd w:val="clear"/>
        <w:overflowPunct w:val="0"/>
        <w:autoSpaceDE w:val="0"/>
        <w:autoSpaceDN w:val="0"/>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1．项目主要内容。综合交通枢纽示范城市申报工作经费主要用于支付申报过程中所产生的费用。</w:t>
      </w:r>
    </w:p>
    <w:p>
      <w:pPr>
        <w:shd w:val="clear"/>
        <w:adjustRightInd w:val="0"/>
        <w:snapToGrid w:val="0"/>
        <w:spacing w:line="578" w:lineRule="exact"/>
        <w:ind w:firstLine="640" w:firstLineChars="200"/>
        <w:contextualSpacing/>
        <w:rPr>
          <w:rFonts w:hint="eastAsia" w:ascii="仿宋_GB2312" w:hAnsi="Times New Roman" w:eastAsia="仿宋_GB2312" w:cs="AR PL UKai CN"/>
          <w:color w:val="auto"/>
          <w:kern w:val="0"/>
          <w:sz w:val="32"/>
          <w:szCs w:val="32"/>
          <w:highlight w:val="none"/>
          <w:shd w:val="clear" w:color="auto" w:fill="FFFFFF"/>
        </w:rPr>
      </w:pPr>
      <w:r>
        <w:rPr>
          <w:rFonts w:hint="eastAsia" w:ascii="仿宋_GB2312" w:hAnsi="Times New Roman" w:eastAsia="仿宋_GB2312" w:cs="AR PL UKai CN"/>
          <w:color w:val="auto"/>
          <w:kern w:val="0"/>
          <w:sz w:val="32"/>
          <w:szCs w:val="32"/>
          <w:highlight w:val="none"/>
          <w:shd w:val="clear" w:color="auto" w:fill="FFFFFF"/>
        </w:rPr>
        <w:t>2．项目应实现的具体绩效目标。</w:t>
      </w:r>
      <w:r>
        <w:rPr>
          <w:rFonts w:hint="eastAsia" w:ascii="仿宋_GB2312" w:hAnsi="Times New Roman" w:eastAsia="仿宋_GB2312" w:cs="Times New Roman"/>
          <w:color w:val="auto"/>
          <w:sz w:val="32"/>
          <w:szCs w:val="32"/>
          <w:highlight w:val="none"/>
          <w:lang w:bidi="ar-SA"/>
        </w:rPr>
        <w:t>项目要求开展一系列申报前期准备工作，力争成功申报广元市全国综合货运枢纽示范城市。</w:t>
      </w:r>
    </w:p>
    <w:p>
      <w:pPr>
        <w:shd w:val="clear"/>
        <w:adjustRightInd w:val="0"/>
        <w:snapToGrid w:val="0"/>
        <w:spacing w:line="578" w:lineRule="exact"/>
        <w:ind w:firstLine="640" w:firstLineChars="200"/>
        <w:rPr>
          <w:rFonts w:hint="eastAsia" w:ascii="仿宋_GB2312" w:hAnsi="Times New Roman" w:eastAsia="仿宋_GB2312" w:cs="AR PL UKai CN"/>
          <w:color w:val="auto"/>
          <w:kern w:val="0"/>
          <w:sz w:val="32"/>
          <w:szCs w:val="32"/>
          <w:highlight w:val="none"/>
          <w:shd w:val="clear" w:color="auto" w:fill="FFFFFF"/>
        </w:rPr>
      </w:pPr>
      <w:r>
        <w:rPr>
          <w:rFonts w:hint="eastAsia" w:ascii="仿宋_GB2312" w:hAnsi="Times New Roman" w:eastAsia="仿宋_GB2312" w:cs="Times New Roman"/>
          <w:color w:val="auto"/>
          <w:sz w:val="32"/>
          <w:szCs w:val="32"/>
          <w:highlight w:val="none"/>
          <w:lang w:bidi="ar-SA"/>
        </w:rPr>
        <w:t>3．项目资金申报相符性和可行性。项目申报内容与实际相符，申报目标合理可行。</w:t>
      </w:r>
    </w:p>
    <w:p>
      <w:pPr>
        <w:shd w:val="clear"/>
        <w:adjustRightInd w:val="0"/>
        <w:snapToGrid w:val="0"/>
        <w:spacing w:line="578"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（三）项目自评步骤及方法。</w:t>
      </w:r>
    </w:p>
    <w:p>
      <w:pPr>
        <w:shd w:val="clear"/>
        <w:overflowPunct w:val="0"/>
        <w:autoSpaceDE w:val="0"/>
        <w:autoSpaceDN w:val="0"/>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根据预算绩效管理要求，我局由财务科牵头，局规划科紧密配合，比照《2023年市级专项资金预算项目支出绩效评价指标体系》和年初绩效目标申报，严格执行《广元市市级预算绩效目标管理办法》规定，依据“谁申报、谁自评、谁绩效”的原则，采用成本效益分析法，对该项目产出完成、项目效益、财务管理、满意度等方面进行了认真全面的绩效自评。经自评，项目支出绩效情况良好。</w:t>
      </w:r>
    </w:p>
    <w:p>
      <w:pPr>
        <w:shd w:val="clear"/>
        <w:adjustRightInd w:val="0"/>
        <w:snapToGrid w:val="0"/>
        <w:spacing w:line="578" w:lineRule="exact"/>
        <w:ind w:firstLine="640" w:firstLineChars="200"/>
        <w:outlineLvl w:val="1"/>
        <w:rPr>
          <w:rFonts w:hint="eastAsia" w:ascii="黑体" w:hAnsi="Times New Roman" w:eastAsia="黑体" w:cs="Times New Roman"/>
          <w:color w:val="auto"/>
          <w:sz w:val="32"/>
          <w:szCs w:val="32"/>
          <w:highlight w:val="none"/>
          <w:lang w:bidi="ar-SA"/>
        </w:rPr>
      </w:pPr>
      <w:bookmarkStart w:id="361" w:name="_Toc9082"/>
      <w:bookmarkStart w:id="362" w:name="_Toc1912912562_WPSOffice_Level2"/>
      <w:bookmarkStart w:id="363" w:name="_Toc28966"/>
      <w:bookmarkStart w:id="364" w:name="_Toc1315829512_WPSOffice_Level2"/>
      <w:r>
        <w:rPr>
          <w:rFonts w:hint="eastAsia" w:ascii="黑体" w:hAnsi="Times New Roman" w:eastAsia="黑体" w:cs="Times New Roman"/>
          <w:color w:val="auto"/>
          <w:sz w:val="32"/>
          <w:szCs w:val="32"/>
          <w:highlight w:val="none"/>
          <w:lang w:bidi="ar-SA"/>
        </w:rPr>
        <w:t>二、项目资金申报及使用情况</w:t>
      </w:r>
      <w:bookmarkEnd w:id="361"/>
      <w:bookmarkEnd w:id="362"/>
      <w:bookmarkEnd w:id="363"/>
      <w:bookmarkEnd w:id="364"/>
    </w:p>
    <w:p>
      <w:pPr>
        <w:shd w:val="clear"/>
        <w:adjustRightInd w:val="0"/>
        <w:snapToGrid w:val="0"/>
        <w:spacing w:line="578"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（一）项目资金申报及批复情况。</w:t>
      </w:r>
    </w:p>
    <w:p>
      <w:pPr>
        <w:shd w:val="clear"/>
        <w:adjustRightInd w:val="0"/>
        <w:snapToGrid w:val="0"/>
        <w:spacing w:line="578"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仿宋_GB2312" w:hAnsi="Times New Roman" w:eastAsia="仿宋_GB2312" w:cs="Times New Roman"/>
          <w:color w:val="auto"/>
          <w:sz w:val="32"/>
          <w:szCs w:val="32"/>
          <w:highlight w:val="none"/>
          <w:lang w:bidi="ar-SA"/>
        </w:rPr>
        <w:t>2022年7月，市财政局下达综合货运枢纽示范城市申报工作经费预算资金100万元。</w:t>
      </w:r>
    </w:p>
    <w:p>
      <w:pPr>
        <w:shd w:val="clear"/>
        <w:adjustRightInd w:val="0"/>
        <w:snapToGrid w:val="0"/>
        <w:spacing w:line="578"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（二）资金计划、到位及使用情况。</w:t>
      </w:r>
    </w:p>
    <w:p>
      <w:pPr>
        <w:shd w:val="clear"/>
        <w:adjustRightInd w:val="0"/>
        <w:snapToGrid w:val="0"/>
        <w:spacing w:line="578" w:lineRule="exact"/>
        <w:ind w:firstLine="640" w:firstLineChars="200"/>
        <w:contextualSpacing/>
        <w:rPr>
          <w:rFonts w:hint="eastAsia" w:ascii="仿宋_GB2312" w:hAnsi="Times New Roman" w:eastAsia="仿宋_GB2312" w:cs="AR PL UKai CN"/>
          <w:color w:val="auto"/>
          <w:kern w:val="0"/>
          <w:sz w:val="32"/>
          <w:szCs w:val="32"/>
          <w:highlight w:val="none"/>
          <w:shd w:val="clear" w:color="auto" w:fill="FFFFFF"/>
        </w:rPr>
      </w:pPr>
      <w:r>
        <w:rPr>
          <w:rFonts w:hint="eastAsia" w:ascii="仿宋_GB2312" w:hAnsi="Times New Roman" w:eastAsia="仿宋_GB2312" w:cs="AR PL UKai CN"/>
          <w:color w:val="auto"/>
          <w:kern w:val="0"/>
          <w:sz w:val="32"/>
          <w:szCs w:val="32"/>
          <w:highlight w:val="none"/>
          <w:shd w:val="clear" w:color="auto" w:fill="FFFFFF"/>
        </w:rPr>
        <w:t>1．资金计划。</w:t>
      </w:r>
      <w:r>
        <w:rPr>
          <w:rFonts w:hint="eastAsia" w:ascii="仿宋_GB2312" w:hAnsi="Times New Roman" w:eastAsia="仿宋_GB2312" w:cs="Times New Roman"/>
          <w:color w:val="auto"/>
          <w:sz w:val="32"/>
          <w:szCs w:val="32"/>
          <w:highlight w:val="none"/>
          <w:lang w:bidi="ar-SA"/>
        </w:rPr>
        <w:t>综合货运枢纽示范城市申报工作经费预算金额为100万元，资金来源为市级财政一般公共预算安排。</w:t>
      </w:r>
    </w:p>
    <w:p>
      <w:pPr>
        <w:shd w:val="clear"/>
        <w:adjustRightInd w:val="0"/>
        <w:snapToGrid w:val="0"/>
        <w:spacing w:line="578" w:lineRule="exact"/>
        <w:ind w:firstLine="640" w:firstLineChars="200"/>
        <w:contextualSpacing/>
        <w:rPr>
          <w:rFonts w:hint="eastAsia" w:ascii="仿宋_GB2312" w:hAnsi="Times New Roman" w:eastAsia="仿宋_GB2312" w:cs="AR PL UKai CN"/>
          <w:color w:val="auto"/>
          <w:kern w:val="0"/>
          <w:sz w:val="32"/>
          <w:szCs w:val="32"/>
          <w:highlight w:val="none"/>
          <w:shd w:val="clear" w:color="auto" w:fill="FFFFFF"/>
        </w:rPr>
      </w:pPr>
      <w:r>
        <w:rPr>
          <w:rFonts w:hint="eastAsia" w:ascii="仿宋_GB2312" w:hAnsi="Times New Roman" w:eastAsia="仿宋_GB2312" w:cs="AR PL UKai CN"/>
          <w:color w:val="auto"/>
          <w:kern w:val="0"/>
          <w:sz w:val="32"/>
          <w:szCs w:val="32"/>
          <w:highlight w:val="none"/>
          <w:shd w:val="clear" w:color="auto" w:fill="FFFFFF"/>
        </w:rPr>
        <w:t>2．资金到位。</w:t>
      </w:r>
      <w:r>
        <w:rPr>
          <w:rFonts w:hint="eastAsia" w:ascii="仿宋_GB2312" w:hAnsi="Times New Roman" w:eastAsia="仿宋_GB2312" w:cs="AR PL UKai CN"/>
          <w:color w:val="auto"/>
          <w:kern w:val="0"/>
          <w:sz w:val="32"/>
          <w:szCs w:val="32"/>
          <w:highlight w:val="none"/>
        </w:rPr>
        <w:t>2022年7月，市财政局下达我局</w:t>
      </w:r>
      <w:r>
        <w:rPr>
          <w:rFonts w:hint="eastAsia" w:ascii="仿宋_GB2312" w:hAnsi="Times New Roman" w:eastAsia="仿宋_GB2312" w:cs="Times New Roman"/>
          <w:color w:val="auto"/>
          <w:sz w:val="32"/>
          <w:szCs w:val="32"/>
          <w:highlight w:val="none"/>
          <w:lang w:bidi="ar-SA"/>
        </w:rPr>
        <w:t>综合货运枢纽示范城市申报工作经费</w:t>
      </w:r>
      <w:r>
        <w:rPr>
          <w:rFonts w:hint="eastAsia" w:ascii="仿宋_GB2312" w:hAnsi="Times New Roman" w:eastAsia="仿宋_GB2312" w:cs="AR PL UKai CN"/>
          <w:color w:val="auto"/>
          <w:sz w:val="32"/>
          <w:szCs w:val="32"/>
          <w:highlight w:val="none"/>
        </w:rPr>
        <w:t>100万元（广财建</w:t>
      </w:r>
      <w:r>
        <w:rPr>
          <w:rFonts w:hint="eastAsia" w:ascii="微软雅黑" w:hAnsi="Times New Roman" w:eastAsia="微软雅黑" w:cs="AR PL UKai CN"/>
          <w:color w:val="auto"/>
          <w:sz w:val="32"/>
          <w:szCs w:val="32"/>
          <w:highlight w:val="none"/>
        </w:rPr>
        <w:t>〔</w:t>
      </w:r>
      <w:r>
        <w:rPr>
          <w:rFonts w:hint="eastAsia" w:ascii="仿宋_GB2312" w:hAnsi="Times New Roman" w:eastAsia="仿宋_GB2312" w:cs="AR PL UKai CN"/>
          <w:color w:val="auto"/>
          <w:sz w:val="32"/>
          <w:szCs w:val="32"/>
          <w:highlight w:val="none"/>
        </w:rPr>
        <w:t>2022</w:t>
      </w:r>
      <w:r>
        <w:rPr>
          <w:rFonts w:hint="eastAsia" w:ascii="微软雅黑" w:hAnsi="Times New Roman" w:eastAsia="微软雅黑" w:cs="AR PL UKai CN"/>
          <w:color w:val="auto"/>
          <w:sz w:val="32"/>
          <w:szCs w:val="32"/>
          <w:highlight w:val="none"/>
        </w:rPr>
        <w:t>〕</w:t>
      </w:r>
      <w:r>
        <w:rPr>
          <w:rFonts w:hint="eastAsia" w:ascii="仿宋_GB2312" w:hAnsi="Times New Roman" w:eastAsia="仿宋_GB2312" w:cs="AR PL UKai CN"/>
          <w:color w:val="auto"/>
          <w:sz w:val="32"/>
          <w:szCs w:val="32"/>
          <w:highlight w:val="none"/>
        </w:rPr>
        <w:t>73号）</w:t>
      </w:r>
      <w:r>
        <w:rPr>
          <w:rFonts w:hint="eastAsia" w:ascii="仿宋_GB2312" w:hAnsi="Times New Roman" w:eastAsia="仿宋_GB2312" w:cs="AR PL UKai CN"/>
          <w:color w:val="auto"/>
          <w:kern w:val="0"/>
          <w:sz w:val="32"/>
          <w:szCs w:val="32"/>
          <w:highlight w:val="none"/>
        </w:rPr>
        <w:t>，资金已全额到位，</w:t>
      </w:r>
      <w:r>
        <w:rPr>
          <w:rFonts w:hint="eastAsia" w:ascii="仿宋_GB2312" w:hAnsi="Times New Roman" w:eastAsia="仿宋_GB2312" w:cs="Times New Roman"/>
          <w:color w:val="auto"/>
          <w:sz w:val="32"/>
          <w:szCs w:val="32"/>
          <w:highlight w:val="none"/>
          <w:lang w:bidi="ar-SA"/>
        </w:rPr>
        <w:t>资金到位率为100%。</w:t>
      </w:r>
    </w:p>
    <w:p>
      <w:pPr>
        <w:shd w:val="clear"/>
        <w:adjustRightInd w:val="0"/>
        <w:snapToGrid w:val="0"/>
        <w:spacing w:line="578" w:lineRule="exact"/>
        <w:ind w:firstLine="640" w:firstLineChars="200"/>
        <w:contextualSpacing/>
        <w:rPr>
          <w:rFonts w:hint="eastAsia" w:ascii="仿宋_GB2312" w:hAnsi="Times New Roman" w:eastAsia="仿宋_GB2312" w:cs="AR PL UKai CN"/>
          <w:color w:val="auto"/>
          <w:kern w:val="0"/>
          <w:sz w:val="32"/>
          <w:szCs w:val="32"/>
          <w:highlight w:val="none"/>
          <w:shd w:val="clear" w:color="auto" w:fill="FFFFFF"/>
        </w:rPr>
      </w:pPr>
      <w:r>
        <w:rPr>
          <w:rFonts w:hint="eastAsia" w:ascii="仿宋_GB2312" w:hAnsi="Times New Roman" w:eastAsia="仿宋_GB2312" w:cs="AR PL UKai CN"/>
          <w:color w:val="auto"/>
          <w:kern w:val="0"/>
          <w:sz w:val="32"/>
          <w:szCs w:val="32"/>
          <w:highlight w:val="none"/>
          <w:shd w:val="clear" w:color="auto" w:fill="FFFFFF"/>
        </w:rPr>
        <w:t>3．资金使用。</w:t>
      </w:r>
      <w:r>
        <w:rPr>
          <w:rFonts w:hint="eastAsia" w:ascii="仿宋_GB2312" w:hAnsi="Times New Roman" w:eastAsia="仿宋_GB2312" w:cs="Times New Roman"/>
          <w:color w:val="auto"/>
          <w:sz w:val="32"/>
          <w:szCs w:val="32"/>
          <w:highlight w:val="none"/>
          <w:lang w:bidi="ar-SA"/>
        </w:rPr>
        <w:t>综合货运枢纽示范城市申报工作正在进行中，截至2022年12月，使用金额为61.42万元，剩余资金38.58万元，资金支付严格执行相关规定，支付依据合规合法，预算执行率61.42%%。</w:t>
      </w:r>
    </w:p>
    <w:p>
      <w:pPr>
        <w:shd w:val="clear"/>
        <w:adjustRightInd w:val="0"/>
        <w:snapToGrid w:val="0"/>
        <w:spacing w:line="578" w:lineRule="exact"/>
        <w:ind w:firstLine="640" w:firstLineChars="200"/>
        <w:rPr>
          <w:rFonts w:hint="eastAsia" w:ascii="楷体_GB2312" w:hAnsi="Times New Roman" w:eastAsia="楷体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（三）项目财务管理情况。</w:t>
      </w:r>
    </w:p>
    <w:p>
      <w:pPr>
        <w:widowControl w:val="0"/>
        <w:shd w:val="clear"/>
        <w:spacing w:line="576" w:lineRule="exact"/>
        <w:ind w:firstLine="640" w:firstLineChars="200"/>
        <w:jc w:val="both"/>
        <w:rPr>
          <w:rFonts w:hint="eastAsia" w:ascii="仿宋_GB2312" w:hAnsi="AR PL UKai CN" w:eastAsia="仿宋_GB2312" w:cs="宋体"/>
          <w:color w:val="auto"/>
          <w:kern w:val="2"/>
          <w:sz w:val="32"/>
          <w:szCs w:val="32"/>
          <w:highlight w:val="none"/>
          <w:lang w:val="en-US" w:eastAsia="zh-CN" w:bidi="ar-SA"/>
        </w:rPr>
      </w:pPr>
      <w:r>
        <w:rPr>
          <w:rFonts w:hint="eastAsia" w:ascii="仿宋_GB2312" w:hAnsi="AR PL UKai CN" w:eastAsia="仿宋_GB2312" w:cs="宋体"/>
          <w:color w:val="auto"/>
          <w:kern w:val="2"/>
          <w:sz w:val="32"/>
          <w:szCs w:val="32"/>
          <w:highlight w:val="none"/>
          <w:lang w:val="en-US" w:eastAsia="zh-CN" w:bidi="ar-SA"/>
        </w:rPr>
        <w:t>我局严格执行中、省、市相关政策规定，财务制度健全，制定了绩效管理、财务管理办法等内部控制制度，资金管理和使用符合</w:t>
      </w:r>
      <w:r>
        <w:rPr>
          <w:rFonts w:hint="eastAsia" w:ascii="仿宋_GB2312" w:hAnsi="AR PL UKai CN" w:eastAsia="仿宋_GB2312" w:cs="仿宋"/>
          <w:color w:val="auto"/>
          <w:kern w:val="0"/>
          <w:sz w:val="32"/>
          <w:szCs w:val="32"/>
          <w:highlight w:val="none"/>
          <w:lang w:val="en-US" w:eastAsia="zh-CN" w:bidi="ar-SA"/>
        </w:rPr>
        <w:t>国家财经法规、中省市有关专项资金管理办法规定</w:t>
      </w:r>
      <w:r>
        <w:rPr>
          <w:rFonts w:hint="eastAsia" w:ascii="仿宋_GB2312" w:hAnsi="AR PL UKai CN" w:eastAsia="仿宋_GB2312" w:cs="宋体"/>
          <w:color w:val="auto"/>
          <w:kern w:val="2"/>
          <w:sz w:val="32"/>
          <w:szCs w:val="32"/>
          <w:highlight w:val="none"/>
          <w:lang w:val="en-US" w:eastAsia="zh-CN" w:bidi="ar-SA"/>
        </w:rPr>
        <w:t>。</w:t>
      </w:r>
    </w:p>
    <w:p>
      <w:pPr>
        <w:shd w:val="clear"/>
        <w:adjustRightInd w:val="0"/>
        <w:snapToGrid w:val="0"/>
        <w:spacing w:line="578" w:lineRule="exact"/>
        <w:ind w:firstLine="640" w:firstLineChars="200"/>
        <w:outlineLvl w:val="1"/>
        <w:rPr>
          <w:rFonts w:hint="eastAsia" w:ascii="黑体" w:hAnsi="Times New Roman" w:eastAsia="黑体" w:cs="Times New Roman"/>
          <w:color w:val="auto"/>
          <w:sz w:val="32"/>
          <w:szCs w:val="32"/>
          <w:highlight w:val="none"/>
          <w:lang w:bidi="ar-SA"/>
        </w:rPr>
      </w:pPr>
      <w:bookmarkStart w:id="365" w:name="_Toc32096"/>
      <w:bookmarkStart w:id="366" w:name="_Toc128214070_WPSOffice_Level2"/>
      <w:bookmarkStart w:id="367" w:name="_Toc23829"/>
      <w:bookmarkStart w:id="368" w:name="_Toc400913508_WPSOffice_Level2"/>
      <w:r>
        <w:rPr>
          <w:rFonts w:hint="eastAsia" w:ascii="黑体" w:hAnsi="Times New Roman" w:eastAsia="黑体" w:cs="Times New Roman"/>
          <w:color w:val="auto"/>
          <w:sz w:val="32"/>
          <w:szCs w:val="32"/>
          <w:highlight w:val="none"/>
          <w:lang w:bidi="ar-SA"/>
        </w:rPr>
        <w:t>三、项目实施及管理情况</w:t>
      </w:r>
      <w:bookmarkEnd w:id="365"/>
      <w:bookmarkEnd w:id="366"/>
      <w:bookmarkEnd w:id="367"/>
      <w:bookmarkEnd w:id="368"/>
    </w:p>
    <w:p>
      <w:pPr>
        <w:shd w:val="clear"/>
        <w:adjustRightInd w:val="0"/>
        <w:snapToGrid w:val="0"/>
        <w:spacing w:line="578" w:lineRule="exact"/>
        <w:ind w:firstLine="640" w:firstLineChars="200"/>
        <w:rPr>
          <w:rFonts w:hint="eastAsia" w:ascii="仿宋_GB2312" w:hAnsi="Times New Roman" w:eastAsia="仿宋_GB2312" w:cs="仿宋"/>
          <w:color w:val="auto"/>
          <w:kern w:val="0"/>
          <w:sz w:val="32"/>
          <w:szCs w:val="32"/>
          <w:highlight w:val="none"/>
          <w:lang w:bidi="ar-SA"/>
        </w:rPr>
      </w:pPr>
      <w:r>
        <w:rPr>
          <w:rFonts w:hint="eastAsia" w:ascii="仿宋_GB2312" w:hAnsi="Times New Roman" w:eastAsia="仿宋_GB2312" w:cs="Times New Roman"/>
          <w:color w:val="auto"/>
          <w:sz w:val="32"/>
          <w:szCs w:val="32"/>
          <w:highlight w:val="none"/>
          <w:lang w:bidi="ar-SA"/>
        </w:rPr>
        <w:t>（一）项目组织架构及实施流程。组织架构：</w:t>
      </w:r>
      <w:r>
        <w:rPr>
          <w:rFonts w:hint="eastAsia" w:ascii="仿宋_GB2312" w:hAnsi="Times New Roman" w:eastAsia="仿宋_GB2312" w:cs="仿宋"/>
          <w:color w:val="auto"/>
          <w:kern w:val="0"/>
          <w:sz w:val="32"/>
          <w:szCs w:val="32"/>
          <w:highlight w:val="none"/>
          <w:lang w:bidi="ar-SA"/>
        </w:rPr>
        <w:t>市委、市政府分管领导为项目总负责人，市交通运输局、市财政局主要领导为具体负责人，市交通运输局、市财政局相关科室负责项目实施。实施流程：2022年—2024年，每年组织编写《广元市国家综合货运枢纽补链强链三年实施方案》，编制完成后报省交通运输厅和省财政厅；收到市州实施方案后，省交通运输厅、省财政厅组织开展竞争性评审，分别推1名联合枢纽、1名单列枢纽参加国家评审；收到各省推荐方案后，交通运输部和财政部组织开展竞争性评审，排名前10的实施方案纳入示范城市名单。</w:t>
      </w:r>
    </w:p>
    <w:p>
      <w:pPr>
        <w:shd w:val="clear"/>
        <w:adjustRightInd w:val="0"/>
        <w:snapToGrid w:val="0"/>
        <w:spacing w:line="578" w:lineRule="exact"/>
        <w:ind w:firstLine="640" w:firstLineChars="200"/>
        <w:rPr>
          <w:rFonts w:hint="eastAsia" w:ascii="仿宋_GB2312" w:hAnsi="仿宋_GB2312" w:eastAsia="楷体_GB2312" w:cs="AR PL UKai CN"/>
          <w:color w:val="auto"/>
          <w:kern w:val="0"/>
          <w:sz w:val="32"/>
          <w:szCs w:val="32"/>
          <w:highlight w:val="none"/>
          <w:shd w:val="clear" w:color="auto" w:fill="FFFFFF"/>
        </w:rPr>
      </w:pPr>
      <w:r>
        <w:rPr>
          <w:rFonts w:hint="eastAsia" w:ascii="仿宋_GB2312" w:hAnsi="Times New Roman" w:eastAsia="仿宋_GB2312" w:cs="Times New Roman"/>
          <w:color w:val="auto"/>
          <w:sz w:val="32"/>
          <w:szCs w:val="32"/>
          <w:highlight w:val="none"/>
          <w:lang w:bidi="ar-SA"/>
        </w:rPr>
        <w:t>（二）项目管理情况。该项</w:t>
      </w:r>
      <w:r>
        <w:rPr>
          <w:rFonts w:hint="eastAsia" w:ascii="仿宋_GB2312" w:hAnsi="Times New Roman" w:eastAsia="仿宋_GB2312" w:cs="AR PL UKai CN"/>
          <w:color w:val="auto"/>
          <w:sz w:val="32"/>
          <w:szCs w:val="32"/>
          <w:highlight w:val="none"/>
        </w:rPr>
        <w:t>目</w:t>
      </w:r>
      <w:r>
        <w:rPr>
          <w:rFonts w:hint="eastAsia" w:ascii="仿宋_GB2312" w:hAnsi="Times New Roman" w:eastAsia="仿宋_GB2312" w:cs="Times New Roman"/>
          <w:color w:val="auto"/>
          <w:kern w:val="0"/>
          <w:sz w:val="32"/>
          <w:szCs w:val="32"/>
          <w:highlight w:val="none"/>
          <w:lang w:bidi="ar-SA"/>
        </w:rPr>
        <w:t>目标与实际需求完全一致，符合</w:t>
      </w:r>
      <w:r>
        <w:rPr>
          <w:rFonts w:hint="eastAsia" w:ascii="仿宋_GB2312" w:hAnsi="Times New Roman" w:eastAsia="仿宋_GB2312" w:cs="Times New Roman"/>
          <w:color w:val="auto"/>
          <w:sz w:val="32"/>
          <w:szCs w:val="32"/>
          <w:highlight w:val="none"/>
          <w:lang w:bidi="ar-SA"/>
        </w:rPr>
        <w:t>综合货运枢纽示范城市申报工作</w:t>
      </w:r>
      <w:r>
        <w:rPr>
          <w:rFonts w:hint="eastAsia" w:ascii="仿宋_GB2312" w:hAnsi="Times New Roman" w:eastAsia="仿宋_GB2312" w:cs="Times New Roman"/>
          <w:color w:val="auto"/>
          <w:kern w:val="0"/>
          <w:sz w:val="32"/>
          <w:szCs w:val="32"/>
          <w:highlight w:val="none"/>
          <w:lang w:bidi="ar-SA"/>
        </w:rPr>
        <w:t>实际需要，决策依据充分有效，规划合理，组织实施有序，资金分配合规，各类制度管理规范、执行严格，资金使用范围明确，执行相关管理办法，安全风险可控。</w:t>
      </w:r>
    </w:p>
    <w:p>
      <w:pPr>
        <w:shd w:val="clear"/>
        <w:overflowPunct w:val="0"/>
        <w:autoSpaceDE w:val="0"/>
        <w:autoSpaceDN w:val="0"/>
        <w:adjustRightInd w:val="0"/>
        <w:snapToGrid w:val="0"/>
        <w:spacing w:line="560"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（三）项目监管情况。</w:t>
      </w:r>
      <w:r>
        <w:rPr>
          <w:rFonts w:hint="eastAsia" w:ascii="仿宋_GB2312" w:hAnsi="Times New Roman" w:eastAsia="仿宋_GB2312" w:cs="Times New Roman"/>
          <w:color w:val="auto"/>
          <w:sz w:val="32"/>
          <w:szCs w:val="32"/>
          <w:highlight w:val="none"/>
          <w:lang w:bidi="ar-SA"/>
        </w:rPr>
        <w:t>严格按照相关法律法规和程序，对项目进行全过程、全方位的监督管理，努力化解风险，强化主体责任，确保资金安全，对项目实施全过程进行目标绩效管理。</w:t>
      </w:r>
    </w:p>
    <w:p>
      <w:pPr>
        <w:shd w:val="clear"/>
        <w:adjustRightInd w:val="0"/>
        <w:snapToGrid w:val="0"/>
        <w:spacing w:line="578" w:lineRule="exact"/>
        <w:ind w:firstLine="640" w:firstLineChars="200"/>
        <w:outlineLvl w:val="1"/>
        <w:rPr>
          <w:rFonts w:hint="eastAsia" w:ascii="仿宋_GB2312" w:hAnsi="Times New Roman" w:eastAsia="仿宋_GB2312" w:cs="Times New Roman"/>
          <w:color w:val="auto"/>
          <w:sz w:val="32"/>
          <w:szCs w:val="32"/>
          <w:highlight w:val="none"/>
          <w:lang w:bidi="ar-SA"/>
        </w:rPr>
      </w:pPr>
      <w:bookmarkStart w:id="369" w:name="_Toc11245"/>
      <w:bookmarkStart w:id="370" w:name="_Toc1542917230_WPSOffice_Level2"/>
      <w:bookmarkStart w:id="371" w:name="_Toc1957525434_WPSOffice_Level2"/>
      <w:bookmarkStart w:id="372" w:name="_Toc24388"/>
      <w:r>
        <w:rPr>
          <w:rFonts w:hint="eastAsia" w:ascii="黑体" w:hAnsi="Times New Roman" w:eastAsia="黑体" w:cs="Times New Roman"/>
          <w:color w:val="auto"/>
          <w:sz w:val="32"/>
          <w:szCs w:val="32"/>
          <w:highlight w:val="none"/>
          <w:lang w:bidi="ar-SA"/>
        </w:rPr>
        <w:t>四、项目绩效情况</w:t>
      </w:r>
      <w:bookmarkEnd w:id="369"/>
      <w:bookmarkEnd w:id="370"/>
      <w:bookmarkEnd w:id="371"/>
      <w:bookmarkEnd w:id="372"/>
      <w:r>
        <w:rPr>
          <w:rFonts w:hint="eastAsia" w:ascii="仿宋_GB2312" w:hAnsi="Times New Roman" w:eastAsia="仿宋_GB2312" w:cs="Times New Roman"/>
          <w:color w:val="auto"/>
          <w:sz w:val="32"/>
          <w:szCs w:val="32"/>
          <w:highlight w:val="none"/>
          <w:lang w:bidi="ar-SA"/>
        </w:rPr>
        <w:tab/>
      </w:r>
    </w:p>
    <w:p>
      <w:pPr>
        <w:shd w:val="clear"/>
        <w:adjustRightInd w:val="0"/>
        <w:snapToGrid w:val="0"/>
        <w:spacing w:line="578" w:lineRule="exact"/>
        <w:ind w:firstLine="640" w:firstLineChars="200"/>
        <w:contextualSpacing/>
        <w:rPr>
          <w:rFonts w:hint="eastAsia" w:ascii="仿宋_GB2312" w:hAnsi="Times New Roman" w:eastAsia="仿宋_GB2312" w:cs="AR PL UKai CN"/>
          <w:color w:val="auto"/>
          <w:kern w:val="0"/>
          <w:sz w:val="32"/>
          <w:szCs w:val="32"/>
          <w:highlight w:val="none"/>
          <w:shd w:val="clear" w:color="auto" w:fill="FFFFFF"/>
        </w:rPr>
      </w:pPr>
      <w:r>
        <w:rPr>
          <w:rFonts w:hint="eastAsia" w:ascii="楷体_GB2312" w:hAnsi="Times New Roman" w:eastAsia="楷体_GB2312" w:cs="Times New Roman"/>
          <w:color w:val="auto"/>
          <w:sz w:val="32"/>
          <w:szCs w:val="32"/>
          <w:highlight w:val="none"/>
          <w:lang w:bidi="ar-SA"/>
        </w:rPr>
        <w:t>（一）项目完成情况。</w:t>
      </w:r>
      <w:r>
        <w:rPr>
          <w:rFonts w:hint="eastAsia" w:ascii="仿宋_GB2312" w:hAnsi="Times New Roman" w:eastAsia="仿宋_GB2312" w:cs="Times New Roman"/>
          <w:color w:val="auto"/>
          <w:sz w:val="32"/>
          <w:szCs w:val="32"/>
          <w:highlight w:val="none"/>
          <w:lang w:bidi="ar-SA"/>
        </w:rPr>
        <w:t>综合货运枢纽示范城市申报时间为2022年—2024年，每年可申报一次。目前，我市正在开展第二次申报工作。</w:t>
      </w:r>
    </w:p>
    <w:p>
      <w:pPr>
        <w:shd w:val="clear"/>
        <w:overflowPunct/>
        <w:autoSpaceDE/>
        <w:autoSpaceDN/>
        <w:adjustRightInd w:val="0"/>
        <w:snapToGrid w:val="0"/>
        <w:spacing w:line="578" w:lineRule="exact"/>
        <w:ind w:firstLine="640" w:firstLineChars="200"/>
        <w:rPr>
          <w:rFonts w:hint="eastAsia" w:ascii="仿宋_GB2312" w:hAnsi="Times New Roman" w:eastAsia="仿宋_GB2312" w:cs="Times New Roman"/>
          <w:color w:val="auto"/>
          <w:sz w:val="32"/>
          <w:szCs w:val="32"/>
          <w:highlight w:val="none"/>
          <w:lang w:bidi="ar-SA"/>
        </w:rPr>
      </w:pPr>
      <w:r>
        <w:rPr>
          <w:rFonts w:hint="eastAsia" w:ascii="楷体_GB2312" w:hAnsi="Times New Roman" w:eastAsia="楷体_GB2312" w:cs="Times New Roman"/>
          <w:color w:val="auto"/>
          <w:sz w:val="32"/>
          <w:szCs w:val="32"/>
          <w:highlight w:val="none"/>
          <w:lang w:bidi="ar-SA"/>
        </w:rPr>
        <w:t>（二）项目效益情况。</w:t>
      </w:r>
      <w:r>
        <w:rPr>
          <w:rFonts w:hint="eastAsia" w:ascii="仿宋_GB2312" w:hAnsi="Times New Roman" w:eastAsia="仿宋_GB2312" w:cs="Times New Roman"/>
          <w:color w:val="auto"/>
          <w:sz w:val="32"/>
          <w:szCs w:val="32"/>
          <w:highlight w:val="none"/>
          <w:lang w:bidi="ar-SA"/>
        </w:rPr>
        <w:t>综合交通枢纽示范城市申报成功后可有效推动我市重点枢纽项目建设，支撑我市现代物流产业发展，推动通道优势向经济发展优势转变，推动社会经济快速发展；发展物流产业可提供更多就业岗位，带动群众就业，增加收入。</w:t>
      </w:r>
    </w:p>
    <w:p>
      <w:pPr>
        <w:shd w:val="clear"/>
        <w:adjustRightInd w:val="0"/>
        <w:snapToGrid w:val="0"/>
        <w:spacing w:line="578" w:lineRule="exact"/>
        <w:ind w:firstLine="640" w:firstLineChars="200"/>
        <w:outlineLvl w:val="1"/>
        <w:rPr>
          <w:rFonts w:hint="eastAsia" w:ascii="黑体" w:hAnsi="Times New Roman" w:eastAsia="黑体" w:cs="Times New Roman"/>
          <w:color w:val="auto"/>
          <w:sz w:val="32"/>
          <w:szCs w:val="32"/>
          <w:highlight w:val="none"/>
          <w:lang w:bidi="ar-SA"/>
        </w:rPr>
      </w:pPr>
      <w:bookmarkStart w:id="373" w:name="_Toc173785419_WPSOffice_Level2"/>
      <w:bookmarkStart w:id="374" w:name="_Toc1221637092_WPSOffice_Level2"/>
      <w:bookmarkStart w:id="375" w:name="_Toc9422"/>
      <w:bookmarkStart w:id="376" w:name="_Toc2146"/>
      <w:r>
        <w:rPr>
          <w:rFonts w:hint="eastAsia" w:ascii="黑体" w:hAnsi="Times New Roman" w:eastAsia="黑体" w:cs="Times New Roman"/>
          <w:color w:val="auto"/>
          <w:sz w:val="32"/>
          <w:szCs w:val="32"/>
          <w:highlight w:val="none"/>
          <w:lang w:bidi="ar-SA"/>
        </w:rPr>
        <w:t>五、评价结论及建议</w:t>
      </w:r>
      <w:bookmarkEnd w:id="373"/>
      <w:bookmarkEnd w:id="374"/>
      <w:bookmarkEnd w:id="375"/>
      <w:bookmarkEnd w:id="376"/>
    </w:p>
    <w:p>
      <w:pPr>
        <w:widowControl w:val="0"/>
        <w:shd w:val="clear"/>
        <w:spacing w:line="576" w:lineRule="exact"/>
        <w:ind w:firstLine="640" w:firstLineChars="200"/>
        <w:jc w:val="both"/>
        <w:rPr>
          <w:rFonts w:hint="eastAsia" w:ascii="仿宋_GB2312" w:hAnsi="AR PL UKai CN" w:eastAsia="仿宋_GB2312" w:cs="AR PL UKai CN"/>
          <w:color w:val="auto"/>
          <w:kern w:val="0"/>
          <w:sz w:val="32"/>
          <w:szCs w:val="32"/>
          <w:highlight w:val="none"/>
          <w:lang w:val="en-US" w:eastAsia="zh-CN" w:bidi="ar-SA"/>
        </w:rPr>
      </w:pPr>
      <w:r>
        <w:rPr>
          <w:rFonts w:hint="eastAsia" w:ascii="仿宋_GB2312" w:hAnsi="AR PL UKai CN" w:eastAsia="仿宋_GB2312" w:cs="AR PL UKai CN"/>
          <w:color w:val="auto"/>
          <w:kern w:val="2"/>
          <w:sz w:val="32"/>
          <w:szCs w:val="32"/>
          <w:highlight w:val="none"/>
          <w:lang w:val="en-US" w:eastAsia="zh-CN" w:bidi="ar-SA"/>
        </w:rPr>
        <w:t>该项目规划科学，决策依据充分，程序合法合规、资金到位及时拨付规范。项目</w:t>
      </w:r>
      <w:r>
        <w:rPr>
          <w:rFonts w:hint="eastAsia" w:ascii="仿宋_GB2312" w:hAnsi="AR PL UKai CN" w:eastAsia="仿宋_GB2312" w:cs="AR PL UKai CN"/>
          <w:color w:val="auto"/>
          <w:kern w:val="0"/>
          <w:sz w:val="32"/>
          <w:szCs w:val="32"/>
          <w:highlight w:val="none"/>
          <w:lang w:val="en-US" w:eastAsia="zh-CN" w:bidi="ar-SA"/>
        </w:rPr>
        <w:t>支出绩效自评得分100分，其中项目决策25分、项目管理15分、项目绩效（特性指标）60分。</w:t>
      </w:r>
    </w:p>
    <w:p>
      <w:pPr>
        <w:shd w:val="clear"/>
        <w:rPr>
          <w:rFonts w:hint="eastAsia" w:hAnsi="宋体" w:cs="宋体"/>
          <w:color w:val="auto"/>
          <w:kern w:val="0"/>
          <w:sz w:val="32"/>
          <w:szCs w:val="32"/>
          <w:highlight w:val="none"/>
          <w:shd w:val="clear" w:color="auto" w:fill="FFFFFF"/>
          <w:lang w:val="en-US" w:eastAsia="zh-CN"/>
        </w:rPr>
      </w:pP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spacing w:before="0" w:beforeAutospacing="0" w:after="0" w:afterAutospacing="0" w:line="576" w:lineRule="exact"/>
        <w:ind w:left="0" w:right="0" w:firstLine="0"/>
        <w:jc w:val="left"/>
        <w:textAlignment w:val="auto"/>
        <w:outlineLvl w:val="9"/>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附件14：</w:t>
      </w:r>
    </w:p>
    <w:p>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center"/>
        <w:outlineLvl w:val="9"/>
        <w:rPr>
          <w:rFonts w:hint="eastAsia" w:ascii="方正小标宋_GBK" w:hAnsi="方正小标宋_GBK" w:eastAsia="方正小标宋_GBK" w:cs="Droid Sans"/>
          <w:caps w:val="0"/>
          <w:color w:val="auto"/>
          <w:sz w:val="44"/>
          <w:szCs w:val="44"/>
          <w:highlight w:val="none"/>
          <w:vertAlign w:val="baseline"/>
          <w:lang w:bidi="ar"/>
        </w:rPr>
      </w:pPr>
      <w:r>
        <w:rPr>
          <w:rFonts w:hint="default" w:ascii="方正小标宋_GBK" w:hAnsi="方正小标宋_GBK" w:eastAsia="方正小标宋_GBK" w:cs="Droid Sans"/>
          <w:b w:val="0"/>
          <w:bCs w:val="0"/>
          <w:caps w:val="0"/>
          <w:color w:val="auto"/>
          <w:kern w:val="2"/>
          <w:sz w:val="44"/>
          <w:szCs w:val="44"/>
          <w:highlight w:val="none"/>
          <w:vertAlign w:val="baseline"/>
          <w:lang w:val="en-US" w:eastAsia="zh-CN" w:bidi="ar"/>
        </w:rPr>
        <w:t>广元市交通运输局</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spacing w:before="0" w:beforeAutospacing="0" w:after="0" w:afterAutospacing="0" w:line="576" w:lineRule="exact"/>
        <w:ind w:left="0" w:right="0" w:firstLine="0"/>
        <w:jc w:val="center"/>
        <w:textAlignment w:val="auto"/>
        <w:outlineLvl w:val="9"/>
        <w:rPr>
          <w:rFonts w:hint="eastAsia" w:ascii="方正小标宋_GBK" w:hAnsi="Times New Roman" w:eastAsia="方正小标宋_GBK" w:cs="AR PL UKai CN"/>
          <w:snapToGrid/>
          <w:color w:val="auto"/>
          <w:spacing w:val="0"/>
          <w:w w:val="100"/>
          <w:kern w:val="0"/>
          <w:position w:val="0"/>
          <w:sz w:val="44"/>
          <w:szCs w:val="44"/>
          <w:highlight w:val="none"/>
          <w:u w:val="none" w:color="auto"/>
          <w:vertAlign w:val="baseline"/>
        </w:rPr>
      </w:pPr>
      <w:r>
        <w:rPr>
          <w:rFonts w:hint="eastAsia" w:ascii="方正小标宋_GBK" w:hAnsi="Times New Roman" w:eastAsia="方正小标宋_GBK" w:cs="AR PL UKai CN"/>
          <w:snapToGrid/>
          <w:color w:val="auto"/>
          <w:spacing w:val="0"/>
          <w:w w:val="100"/>
          <w:kern w:val="0"/>
          <w:position w:val="0"/>
          <w:sz w:val="44"/>
          <w:szCs w:val="44"/>
          <w:highlight w:val="none"/>
          <w:u w:val="none" w:color="auto"/>
          <w:vertAlign w:val="baseline"/>
        </w:rPr>
        <w:t>关于</w:t>
      </w:r>
      <w:r>
        <w:rPr>
          <w:rFonts w:hint="eastAsia" w:ascii="方正小标宋_GBK" w:hAnsi="Times New Roman" w:eastAsia="方正小标宋_GBK" w:cs="方正小标宋简体"/>
          <w:snapToGrid/>
          <w:color w:val="auto"/>
          <w:spacing w:val="0"/>
          <w:w w:val="100"/>
          <w:kern w:val="2"/>
          <w:position w:val="0"/>
          <w:sz w:val="44"/>
          <w:szCs w:val="44"/>
          <w:highlight w:val="none"/>
          <w:u w:val="none" w:color="auto"/>
          <w:vertAlign w:val="baseline"/>
          <w:lang w:bidi="ar-SA"/>
        </w:rPr>
        <w:t>2022年</w:t>
      </w:r>
      <w:r>
        <w:rPr>
          <w:rFonts w:hint="eastAsia" w:ascii="方正小标宋_GBK" w:hAnsi="Times New Roman" w:eastAsia="方正小标宋_GBK" w:cs="AR PL UKai CN"/>
          <w:snapToGrid/>
          <w:color w:val="auto"/>
          <w:spacing w:val="0"/>
          <w:w w:val="100"/>
          <w:kern w:val="0"/>
          <w:position w:val="0"/>
          <w:sz w:val="44"/>
          <w:szCs w:val="44"/>
          <w:highlight w:val="none"/>
          <w:u w:val="none" w:color="auto"/>
          <w:vertAlign w:val="baseline"/>
        </w:rPr>
        <w:t>S205利州区河西街道办事处（杨家岩）至下西街道办事处（塔山湾）段改建工程（下穿广元铁路集装箱运输组货中心段)</w:t>
      </w:r>
      <w:r>
        <w:rPr>
          <w:rFonts w:hint="eastAsia" w:ascii="方正小标宋_GBK" w:hAnsi="Times New Roman" w:eastAsia="方正小标宋_GBK" w:cs="方正小标宋简体"/>
          <w:snapToGrid/>
          <w:color w:val="auto"/>
          <w:spacing w:val="0"/>
          <w:w w:val="100"/>
          <w:kern w:val="2"/>
          <w:position w:val="0"/>
          <w:sz w:val="44"/>
          <w:szCs w:val="44"/>
          <w:highlight w:val="none"/>
          <w:u w:val="none" w:color="auto"/>
          <w:vertAlign w:val="baseline"/>
          <w:lang w:bidi="ar-SA"/>
        </w:rPr>
        <w:t>项目预算支出绩效</w:t>
      </w:r>
      <w:r>
        <w:rPr>
          <w:rFonts w:hint="eastAsia" w:ascii="方正小标宋_GBK" w:hAnsi="Times New Roman" w:eastAsia="方正小标宋_GBK" w:cs="方正小标宋简体"/>
          <w:snapToGrid/>
          <w:color w:val="auto"/>
          <w:spacing w:val="0"/>
          <w:w w:val="100"/>
          <w:kern w:val="2"/>
          <w:position w:val="0"/>
          <w:sz w:val="44"/>
          <w:szCs w:val="44"/>
          <w:highlight w:val="none"/>
          <w:u w:val="none" w:color="auto"/>
          <w:vertAlign w:val="baseline"/>
          <w:lang w:eastAsia="zh-CN" w:bidi="ar-SA"/>
        </w:rPr>
        <w:t>的</w:t>
      </w:r>
      <w:r>
        <w:rPr>
          <w:rFonts w:hint="eastAsia" w:ascii="方正小标宋_GBK" w:hAnsi="Times New Roman" w:eastAsia="方正小标宋_GBK" w:cs="方正小标宋简体"/>
          <w:snapToGrid/>
          <w:color w:val="auto"/>
          <w:spacing w:val="0"/>
          <w:w w:val="100"/>
          <w:kern w:val="2"/>
          <w:position w:val="0"/>
          <w:sz w:val="44"/>
          <w:szCs w:val="44"/>
          <w:highlight w:val="none"/>
          <w:u w:val="none" w:color="auto"/>
          <w:vertAlign w:val="baseline"/>
          <w:lang w:bidi="ar-SA"/>
        </w:rPr>
        <w:t>自评报告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outlineLvl w:val="9"/>
        <w:rPr>
          <w:rFonts w:hint="eastAsia" w:ascii="黑体" w:hAnsi="Times New Roman" w:eastAsia="黑体" w:cs="Times New Roman"/>
          <w:snapToGrid/>
          <w:color w:val="auto"/>
          <w:spacing w:val="0"/>
          <w:w w:val="100"/>
          <w:kern w:val="2"/>
          <w:position w:val="0"/>
          <w:sz w:val="32"/>
          <w:szCs w:val="32"/>
          <w:highlight w:val="none"/>
          <w:u w:val="none" w:color="auto"/>
          <w:vertAlign w:val="baseline"/>
          <w:lang w:bidi="ar-SA"/>
        </w:rPr>
      </w:pPr>
    </w:p>
    <w:p>
      <w:pPr>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spacing w:before="0" w:beforeAutospacing="0" w:after="0" w:afterAutospacing="0" w:line="540" w:lineRule="exact"/>
        <w:ind w:left="1280" w:right="0" w:hanging="640"/>
        <w:textAlignment w:val="auto"/>
        <w:outlineLvl w:val="1"/>
        <w:rPr>
          <w:rFonts w:hint="eastAsia" w:ascii="黑体" w:hAnsi="Times New Roman" w:eastAsia="黑体" w:cs="AR PL UKai CN"/>
          <w:snapToGrid/>
          <w:color w:val="auto"/>
          <w:spacing w:val="0"/>
          <w:w w:val="100"/>
          <w:kern w:val="2"/>
          <w:position w:val="0"/>
          <w:sz w:val="32"/>
          <w:szCs w:val="32"/>
          <w:highlight w:val="none"/>
          <w:u w:val="none" w:color="auto"/>
          <w:vertAlign w:val="baseline"/>
        </w:rPr>
      </w:pPr>
      <w:bookmarkStart w:id="377" w:name="_Toc30921"/>
      <w:bookmarkStart w:id="378" w:name="_Toc21948"/>
      <w:r>
        <w:rPr>
          <w:rFonts w:hint="eastAsia" w:ascii="黑体" w:hAnsi="Times New Roman" w:eastAsia="黑体" w:cs="AR PL UKai CN"/>
          <w:snapToGrid/>
          <w:color w:val="auto"/>
          <w:spacing w:val="0"/>
          <w:w w:val="100"/>
          <w:kern w:val="2"/>
          <w:position w:val="0"/>
          <w:sz w:val="32"/>
          <w:szCs w:val="32"/>
          <w:highlight w:val="none"/>
          <w:u w:val="none" w:color="auto"/>
          <w:vertAlign w:val="baseline"/>
        </w:rPr>
        <w:t>项目概况</w:t>
      </w:r>
      <w:bookmarkEnd w:id="377"/>
      <w:bookmarkEnd w:id="378"/>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宋体" w:hAnsi="AR PL UKai CN" w:eastAsia="宋体" w:cs="AR PL UKai CN"/>
          <w:snapToGrid/>
          <w:color w:val="auto"/>
          <w:spacing w:val="0"/>
          <w:w w:val="100"/>
          <w:kern w:val="2"/>
          <w:position w:val="0"/>
          <w:sz w:val="30"/>
          <w:szCs w:val="30"/>
          <w:highlight w:val="none"/>
          <w:u w:val="none" w:color="auto"/>
          <w:vertAlign w:val="baseline"/>
          <w:lang w:val="en-US" w:eastAsia="zh-CN" w:bidi="ar-SA"/>
        </w:rPr>
      </w:pPr>
      <w:r>
        <w:rPr>
          <w:rFonts w:hint="eastAsia" w:ascii="楷体_GB2312" w:hAnsi="AR PL UKai CN" w:eastAsia="楷体_GB2312" w:cs="Times New Roman"/>
          <w:snapToGrid/>
          <w:color w:val="auto"/>
          <w:spacing w:val="0"/>
          <w:w w:val="100"/>
          <w:kern w:val="2"/>
          <w:position w:val="0"/>
          <w:sz w:val="32"/>
          <w:szCs w:val="32"/>
          <w:highlight w:val="none"/>
          <w:u w:val="none" w:color="auto"/>
          <w:vertAlign w:val="baseline"/>
          <w:lang w:val="en-US" w:eastAsia="zh-CN" w:bidi="ar-SA"/>
        </w:rPr>
        <w:t>（一）项目基本情况</w:t>
      </w:r>
    </w:p>
    <w:p>
      <w:pPr>
        <w:keepNext w:val="0"/>
        <w:keepLines w:val="0"/>
        <w:pageBreakBefore w:val="0"/>
        <w:numPr>
          <w:ilvl w:val="0"/>
          <w:numId w:val="8"/>
        </w:numPr>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textAlignment w:val="auto"/>
        <w:outlineLvl w:val="9"/>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pP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t>主管部门在管理中的职能。2022年，我局相关科室对S205利州区河西街道办事处（杨家岩）至下西街道办事处（塔山湾）段改建工程（下穿广元铁路集装箱运输组货中心段）项目开展了资金预算、绩效申报和绩效运行监控、资金使用等全过程监管，确保项目管理规范、按期保质保量完成运营管理任务。同时，我局作为项目主管部门，根据绩效目标，开展了项目全面绩效管理，规范资金使用、严守财经纪律，</w:t>
      </w:r>
      <w:r>
        <w:rPr>
          <w:rFonts w:hint="eastAsia" w:ascii="仿宋_GB2312" w:hAnsi="Times New Roman" w:eastAsia="仿宋_GB2312" w:cs="Times New Roman"/>
          <w:snapToGrid/>
          <w:color w:val="auto"/>
          <w:spacing w:val="0"/>
          <w:w w:val="100"/>
          <w:position w:val="0"/>
          <w:sz w:val="32"/>
          <w:szCs w:val="32"/>
          <w:highlight w:val="none"/>
          <w:u w:val="none" w:color="auto"/>
          <w:vertAlign w:val="baseline"/>
          <w:lang w:bidi="ar-SA"/>
        </w:rPr>
        <w:t>充分</w:t>
      </w: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t>发挥社会效益和经济效益。</w:t>
      </w:r>
    </w:p>
    <w:p>
      <w:pPr>
        <w:keepNext w:val="0"/>
        <w:keepLines w:val="0"/>
        <w:pageBreakBefore w:val="0"/>
        <w:widowControl w:val="0"/>
        <w:numPr>
          <w:ilvl w:val="0"/>
          <w:numId w:val="8"/>
        </w:numPr>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pP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t>项目立项、资金申报的依据。</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t>该项目于2021年11月经市发展改革委员会广发改委交通〔2021〕517号批复，批复估算</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lang w:val="en-US" w:eastAsia="zh-CN"/>
        </w:rPr>
        <w:t>总投资</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t>14583.38万元。</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val="0"/>
        <w:topLinePunct w:val="0"/>
        <w:autoSpaceDE/>
        <w:autoSpaceDN/>
        <w:bidi w:val="0"/>
        <w:adjustRightInd w:val="0"/>
        <w:snapToGrid w:val="0"/>
        <w:spacing w:before="0" w:beforeAutospacing="0" w:after="0" w:afterAutospacing="0" w:line="540" w:lineRule="exact"/>
        <w:ind w:left="0" w:right="0" w:firstLine="640" w:firstLineChars="200"/>
        <w:textAlignment w:val="auto"/>
        <w:outlineLvl w:val="9"/>
        <w:rPr>
          <w:rFonts w:hint="eastAsia" w:ascii="仿宋_GB2312" w:hAnsi="Times New Roman" w:eastAsia="仿宋_GB2312" w:cs="仿宋"/>
          <w:snapToGrid/>
          <w:color w:val="auto"/>
          <w:spacing w:val="0"/>
          <w:w w:val="100"/>
          <w:kern w:val="0"/>
          <w:position w:val="0"/>
          <w:sz w:val="32"/>
          <w:szCs w:val="32"/>
          <w:highlight w:val="none"/>
          <w:u w:val="none" w:color="auto"/>
          <w:vertAlign w:val="baseline"/>
          <w:lang w:bidi="ar-SA"/>
        </w:rPr>
      </w:pP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t>3．资金管理办法制定情况。</w:t>
      </w:r>
      <w:r>
        <w:rPr>
          <w:rFonts w:hint="eastAsia" w:ascii="仿宋_GB2312" w:hAnsi="Times New Roman" w:eastAsia="仿宋_GB2312" w:cs="仿宋"/>
          <w:snapToGrid/>
          <w:color w:val="auto"/>
          <w:spacing w:val="0"/>
          <w:w w:val="100"/>
          <w:kern w:val="0"/>
          <w:position w:val="0"/>
          <w:sz w:val="32"/>
          <w:szCs w:val="32"/>
          <w:highlight w:val="none"/>
          <w:u w:val="none" w:color="auto"/>
          <w:vertAlign w:val="baseline"/>
          <w:lang w:bidi="ar-SA"/>
        </w:rPr>
        <w:t>我局财务制度健全，专门建立了《广元市交通运输局预算管理》《广元市交通运输局收支管理》等内控制度，会计核算规范，账务处理及时，资金管理和使用符合国家财经法规</w:t>
      </w:r>
      <w:r>
        <w:rPr>
          <w:rFonts w:hint="eastAsia" w:ascii="仿宋_GB2312" w:hAnsi="Times New Roman" w:eastAsia="仿宋_GB2312" w:cs="仿宋"/>
          <w:snapToGrid/>
          <w:color w:val="auto"/>
          <w:spacing w:val="0"/>
          <w:w w:val="100"/>
          <w:kern w:val="0"/>
          <w:position w:val="0"/>
          <w:sz w:val="32"/>
          <w:szCs w:val="32"/>
          <w:highlight w:val="none"/>
          <w:u w:val="none" w:color="auto"/>
          <w:vertAlign w:val="baseline"/>
          <w:lang w:eastAsia="zh-CN" w:bidi="ar-SA"/>
        </w:rPr>
        <w:t>、各级</w:t>
      </w:r>
      <w:r>
        <w:rPr>
          <w:rFonts w:hint="eastAsia" w:ascii="仿宋_GB2312" w:hAnsi="Times New Roman" w:eastAsia="仿宋_GB2312" w:cs="仿宋"/>
          <w:snapToGrid/>
          <w:color w:val="auto"/>
          <w:spacing w:val="0"/>
          <w:w w:val="100"/>
          <w:kern w:val="0"/>
          <w:position w:val="0"/>
          <w:sz w:val="32"/>
          <w:szCs w:val="32"/>
          <w:highlight w:val="none"/>
          <w:u w:val="none" w:color="auto"/>
          <w:vertAlign w:val="baseline"/>
          <w:lang w:bidi="ar-SA"/>
        </w:rPr>
        <w:t>专项资金管理办法规定</w:t>
      </w:r>
      <w:r>
        <w:rPr>
          <w:rFonts w:hint="eastAsia" w:ascii="仿宋_GB2312" w:hAnsi="Times New Roman" w:eastAsia="仿宋_GB2312" w:cs="仿宋"/>
          <w:snapToGrid/>
          <w:color w:val="auto"/>
          <w:spacing w:val="0"/>
          <w:w w:val="100"/>
          <w:kern w:val="0"/>
          <w:position w:val="0"/>
          <w:sz w:val="32"/>
          <w:szCs w:val="32"/>
          <w:highlight w:val="none"/>
          <w:u w:val="none" w:color="auto"/>
          <w:vertAlign w:val="baseline"/>
          <w:lang w:eastAsia="zh-CN" w:bidi="ar-SA"/>
        </w:rPr>
        <w:t>和内部</w:t>
      </w:r>
      <w:r>
        <w:rPr>
          <w:rFonts w:hint="eastAsia" w:ascii="仿宋_GB2312" w:hAnsi="Times New Roman" w:eastAsia="仿宋_GB2312" w:cs="仿宋"/>
          <w:snapToGrid/>
          <w:color w:val="auto"/>
          <w:spacing w:val="0"/>
          <w:w w:val="100"/>
          <w:kern w:val="0"/>
          <w:position w:val="0"/>
          <w:sz w:val="32"/>
          <w:szCs w:val="32"/>
          <w:highlight w:val="none"/>
          <w:u w:val="none" w:color="auto"/>
          <w:vertAlign w:val="baseline"/>
          <w:lang w:bidi="ar-SA"/>
        </w:rPr>
        <w:t>财务管理制度。为进一步加强主管部门在交通建设项目中的资金监管，2021年，我局和市财政局联合转发了《四川省省级财政交通专项资金管理办法》。</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textAlignment w:val="auto"/>
        <w:outlineLvl w:val="9"/>
        <w:rPr>
          <w:rFonts w:hint="eastAsia" w:ascii="仿宋_GB2312" w:hAnsi="Times New Roman" w:eastAsia="仿宋_GB2312" w:cs="仿宋"/>
          <w:snapToGrid/>
          <w:color w:val="auto"/>
          <w:spacing w:val="0"/>
          <w:w w:val="100"/>
          <w:kern w:val="2"/>
          <w:position w:val="0"/>
          <w:sz w:val="32"/>
          <w:szCs w:val="32"/>
          <w:highlight w:val="none"/>
          <w:u w:val="none" w:color="auto"/>
          <w:vertAlign w:val="baseline"/>
          <w:lang w:bidi="ar-SA"/>
        </w:rPr>
      </w:pPr>
      <w:r>
        <w:rPr>
          <w:rFonts w:hint="eastAsia" w:ascii="仿宋_GB2312" w:hAnsi="Times New Roman" w:eastAsia="仿宋_GB2312" w:cs="仿宋"/>
          <w:snapToGrid/>
          <w:color w:val="auto"/>
          <w:spacing w:val="0"/>
          <w:w w:val="100"/>
          <w:kern w:val="2"/>
          <w:position w:val="0"/>
          <w:sz w:val="32"/>
          <w:szCs w:val="32"/>
          <w:highlight w:val="none"/>
          <w:u w:val="none" w:color="auto"/>
          <w:vertAlign w:val="baseline"/>
          <w:lang w:bidi="ar-SA"/>
        </w:rPr>
        <w:t>4．资金分配的原则及考虑因素。交通建设项目专项资金使用范围内除交通应急保通保畅资金，以及特定法以外的专项资金安排均采用项目法分配。我局收到资金计划后，严格按照“三重一大”内控要求，由业务科室根据实际情况按照项目法分配原则提出分配方案报局党组会议审定，再向市财政局报送拨付函，及时将项目资金拨付给</w:t>
      </w:r>
      <w:r>
        <w:rPr>
          <w:rFonts w:hint="eastAsia" w:ascii="仿宋_GB2312" w:hAnsi="Times New Roman" w:eastAsia="仿宋_GB2312" w:cs="仿宋"/>
          <w:snapToGrid/>
          <w:color w:val="auto"/>
          <w:spacing w:val="0"/>
          <w:w w:val="100"/>
          <w:kern w:val="2"/>
          <w:position w:val="0"/>
          <w:sz w:val="32"/>
          <w:szCs w:val="32"/>
          <w:highlight w:val="none"/>
          <w:u w:val="none" w:color="auto"/>
          <w:vertAlign w:val="baseline"/>
          <w:lang w:eastAsia="zh-CN" w:bidi="ar-SA"/>
        </w:rPr>
        <w:t>市交投集团</w:t>
      </w:r>
      <w:r>
        <w:rPr>
          <w:rFonts w:hint="eastAsia" w:ascii="仿宋_GB2312" w:hAnsi="Times New Roman" w:eastAsia="仿宋_GB2312" w:cs="仿宋"/>
          <w:snapToGrid/>
          <w:color w:val="auto"/>
          <w:spacing w:val="0"/>
          <w:w w:val="100"/>
          <w:kern w:val="2"/>
          <w:position w:val="0"/>
          <w:sz w:val="32"/>
          <w:szCs w:val="32"/>
          <w:highlight w:val="none"/>
          <w:u w:val="none" w:color="auto"/>
          <w:vertAlign w:val="baseline"/>
          <w:lang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spacing w:before="0" w:beforeAutospacing="0" w:after="0" w:afterAutospacing="0" w:line="540" w:lineRule="exact"/>
        <w:ind w:left="1060" w:leftChars="200" w:right="0" w:hanging="640" w:hangingChars="200"/>
        <w:jc w:val="both"/>
        <w:textAlignment w:val="auto"/>
        <w:outlineLvl w:val="9"/>
        <w:rPr>
          <w:rFonts w:hint="eastAsia" w:ascii="Times New Roman" w:hAnsi="Times New Roman" w:eastAsia="仿宋_GB2312" w:cs="Times New Roman"/>
          <w:snapToGrid/>
          <w:color w:val="auto"/>
          <w:spacing w:val="0"/>
          <w:w w:val="100"/>
          <w:kern w:val="2"/>
          <w:position w:val="0"/>
          <w:sz w:val="32"/>
          <w:szCs w:val="32"/>
          <w:highlight w:val="none"/>
          <w:u w:val="none" w:color="auto"/>
          <w:vertAlign w:val="baseline"/>
          <w:lang w:val="en-US" w:eastAsia="zh-CN" w:bidi="ar-SA"/>
        </w:rPr>
      </w:pPr>
      <w:r>
        <w:rPr>
          <w:rFonts w:hint="eastAsia" w:ascii="楷体_GB2312" w:hAnsi="Times New Roman" w:eastAsia="楷体_GB2312" w:cs="Times New Roman"/>
          <w:snapToGrid/>
          <w:color w:val="auto"/>
          <w:spacing w:val="0"/>
          <w:w w:val="100"/>
          <w:kern w:val="2"/>
          <w:position w:val="0"/>
          <w:sz w:val="32"/>
          <w:szCs w:val="32"/>
          <w:highlight w:val="none"/>
          <w:u w:val="none" w:color="auto"/>
          <w:vertAlign w:val="baseline"/>
          <w:lang w:val="en-US" w:eastAsia="zh-CN" w:bidi="ar-SA"/>
        </w:rPr>
        <w:t>（二）项目绩效目标</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textAlignment w:val="auto"/>
        <w:outlineLvl w:val="9"/>
        <w:rPr>
          <w:rFonts w:hint="eastAsia" w:ascii="仿宋_GB2312" w:hAnsi="Times New Roman" w:eastAsia="仿宋_GB2312" w:cs="仿宋"/>
          <w:snapToGrid/>
          <w:color w:val="auto"/>
          <w:spacing w:val="0"/>
          <w:w w:val="100"/>
          <w:kern w:val="2"/>
          <w:position w:val="0"/>
          <w:sz w:val="32"/>
          <w:szCs w:val="32"/>
          <w:highlight w:val="none"/>
          <w:u w:val="none" w:color="auto"/>
          <w:vertAlign w:val="baseline"/>
          <w:lang w:bidi="ar-SA"/>
        </w:rPr>
      </w:pPr>
      <w:r>
        <w:rPr>
          <w:rFonts w:hint="eastAsia" w:ascii="仿宋_GB2312" w:hAnsi="Times New Roman" w:eastAsia="仿宋_GB2312" w:cs="仿宋"/>
          <w:snapToGrid/>
          <w:color w:val="auto"/>
          <w:spacing w:val="0"/>
          <w:w w:val="100"/>
          <w:kern w:val="2"/>
          <w:position w:val="0"/>
          <w:sz w:val="32"/>
          <w:szCs w:val="32"/>
          <w:highlight w:val="none"/>
          <w:u w:val="none" w:color="auto"/>
          <w:vertAlign w:val="baseline"/>
          <w:lang w:bidi="ar-SA"/>
        </w:rPr>
        <w:t>1．项目主要内容。本项目位于广元铁路集装箱运输组货中心（远期工程）范围内，道路起迄里程K0+700—K1+000,全长300m,</w:t>
      </w:r>
      <w:r>
        <w:rPr>
          <w:rFonts w:hint="eastAsia" w:ascii="仿宋_GB2312" w:hAnsi="Times New Roman" w:eastAsia="仿宋_GB2312" w:cs="仿宋"/>
          <w:snapToGrid/>
          <w:color w:val="auto"/>
          <w:spacing w:val="0"/>
          <w:w w:val="100"/>
          <w:kern w:val="2"/>
          <w:position w:val="0"/>
          <w:sz w:val="32"/>
          <w:szCs w:val="32"/>
          <w:highlight w:val="none"/>
          <w:u w:val="none" w:color="auto"/>
          <w:vertAlign w:val="baseline"/>
          <w:lang w:val="en-US" w:eastAsia="zh-CN" w:bidi="ar-SA"/>
        </w:rPr>
        <w:t>双向六车道</w:t>
      </w:r>
      <w:r>
        <w:rPr>
          <w:rFonts w:hint="eastAsia" w:ascii="仿宋_GB2312" w:hAnsi="Times New Roman" w:eastAsia="仿宋_GB2312" w:cs="仿宋"/>
          <w:snapToGrid/>
          <w:color w:val="auto"/>
          <w:spacing w:val="0"/>
          <w:w w:val="100"/>
          <w:kern w:val="2"/>
          <w:position w:val="0"/>
          <w:sz w:val="32"/>
          <w:szCs w:val="32"/>
          <w:highlight w:val="none"/>
          <w:u w:val="none" w:color="auto"/>
          <w:vertAlign w:val="baseline"/>
          <w:lang w:bidi="ar-SA"/>
        </w:rPr>
        <w:t>一级公路，路基面宽30m</w:t>
      </w:r>
      <w:r>
        <w:rPr>
          <w:rFonts w:hint="eastAsia" w:ascii="仿宋_GB2312" w:hAnsi="Times New Roman" w:eastAsia="仿宋_GB2312" w:cs="仿宋"/>
          <w:snapToGrid/>
          <w:color w:val="auto"/>
          <w:spacing w:val="0"/>
          <w:w w:val="100"/>
          <w:kern w:val="2"/>
          <w:position w:val="0"/>
          <w:sz w:val="32"/>
          <w:szCs w:val="32"/>
          <w:highlight w:val="none"/>
          <w:u w:val="none" w:color="auto"/>
          <w:vertAlign w:val="baseline"/>
          <w:lang w:eastAsia="zh-CN" w:bidi="ar-SA"/>
        </w:rPr>
        <w:t>，</w:t>
      </w:r>
      <w:r>
        <w:rPr>
          <w:rFonts w:hint="eastAsia" w:ascii="仿宋_GB2312" w:hAnsi="Times New Roman" w:eastAsia="仿宋_GB2312" w:cs="仿宋"/>
          <w:snapToGrid/>
          <w:color w:val="auto"/>
          <w:spacing w:val="0"/>
          <w:w w:val="100"/>
          <w:kern w:val="2"/>
          <w:position w:val="0"/>
          <w:sz w:val="32"/>
          <w:szCs w:val="32"/>
          <w:highlight w:val="none"/>
          <w:u w:val="none" w:color="auto"/>
          <w:vertAlign w:val="baseline"/>
          <w:lang w:bidi="ar-SA"/>
        </w:rPr>
        <w:t>设计速度60km/h。主要工程为1座长约230m的框架桥，框架桥起讫</w:t>
      </w:r>
      <w:r>
        <w:rPr>
          <w:rFonts w:hint="eastAsia" w:ascii="仿宋_GB2312" w:hAnsi="Times New Roman" w:eastAsia="仿宋_GB2312" w:cs="仿宋"/>
          <w:snapToGrid/>
          <w:color w:val="auto"/>
          <w:spacing w:val="0"/>
          <w:w w:val="100"/>
          <w:kern w:val="2"/>
          <w:position w:val="0"/>
          <w:sz w:val="32"/>
          <w:szCs w:val="32"/>
          <w:highlight w:val="none"/>
          <w:u w:val="none" w:color="auto"/>
          <w:vertAlign w:val="baseline"/>
          <w:lang w:val="en-US" w:eastAsia="zh-CN" w:bidi="ar-SA"/>
        </w:rPr>
        <w:t>桩号</w:t>
      </w:r>
      <w:r>
        <w:rPr>
          <w:rFonts w:hint="eastAsia" w:ascii="仿宋_GB2312" w:hAnsi="Times New Roman" w:eastAsia="仿宋_GB2312" w:cs="仿宋"/>
          <w:snapToGrid/>
          <w:color w:val="auto"/>
          <w:spacing w:val="0"/>
          <w:w w:val="100"/>
          <w:kern w:val="2"/>
          <w:position w:val="0"/>
          <w:sz w:val="32"/>
          <w:szCs w:val="32"/>
          <w:highlight w:val="none"/>
          <w:u w:val="none" w:color="auto"/>
          <w:vertAlign w:val="baseline"/>
          <w:lang w:bidi="ar-SA"/>
        </w:rPr>
        <w:t>别为K0+706.8和K0+936.8。</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t>本项目</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lang w:val="en-US" w:eastAsia="zh-CN"/>
        </w:rPr>
        <w:t>按</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t>EPC</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lang w:val="en-US" w:eastAsia="zh-CN"/>
        </w:rPr>
        <w:t>模式建设</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t>，施工图</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lang w:val="en-US" w:eastAsia="zh-CN"/>
        </w:rPr>
        <w:t>预算</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t>总投资为13939万元，合同金额为10609万元（其中勘察设计费418万元、建安费10191万元），开工时间为2022年10月。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pP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t>2．项目应实现的具体绩效目标。按照项目</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lang w:val="en-US" w:eastAsia="zh-CN"/>
        </w:rPr>
        <w:t>进度安排</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t>，计划完成D1K0+777.82～D1K0797.84段底板及侧墙钢筋绑扎完成及混凝土浇筑完成，温泉井通道钢筋绑扎及混凝土浇筑，申报资金1019.09万元全部用于项目建设。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outlineLvl w:val="9"/>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pP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t>3．项目资金申报相符性和可行性。项目申报内容与实际相符，申报目标合理可行。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outlineLvl w:val="9"/>
        <w:rPr>
          <w:rFonts w:hint="eastAsia" w:ascii="楷体_GB2312" w:hAnsi="Times New Roman" w:eastAsia="楷体_GB2312" w:cs="Times New Roman"/>
          <w:snapToGrid/>
          <w:color w:val="auto"/>
          <w:spacing w:val="0"/>
          <w:w w:val="100"/>
          <w:kern w:val="2"/>
          <w:position w:val="0"/>
          <w:sz w:val="32"/>
          <w:szCs w:val="32"/>
          <w:highlight w:val="none"/>
          <w:u w:val="none" w:color="auto"/>
          <w:vertAlign w:val="baseline"/>
          <w:lang w:bidi="ar-SA"/>
        </w:rPr>
      </w:pPr>
      <w:r>
        <w:rPr>
          <w:rFonts w:hint="eastAsia" w:ascii="楷体_GB2312" w:hAnsi="Times New Roman" w:eastAsia="楷体_GB2312" w:cs="Times New Roman"/>
          <w:snapToGrid/>
          <w:color w:val="auto"/>
          <w:spacing w:val="0"/>
          <w:w w:val="100"/>
          <w:kern w:val="2"/>
          <w:position w:val="0"/>
          <w:sz w:val="32"/>
          <w:szCs w:val="32"/>
          <w:highlight w:val="none"/>
          <w:u w:val="none" w:color="auto"/>
          <w:vertAlign w:val="baseline"/>
          <w:lang w:bidi="ar-SA"/>
        </w:rPr>
        <w:t>（三）项目自评步骤及方法。</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val="0"/>
        <w:topLinePunct w:val="0"/>
        <w:autoSpaceDE w:val="0"/>
        <w:autoSpaceDN w:val="0"/>
        <w:bidi w:val="0"/>
        <w:adjustRightInd w:val="0"/>
        <w:snapToGrid w:val="0"/>
        <w:spacing w:before="0" w:beforeAutospacing="0" w:after="0" w:afterAutospacing="0" w:line="540" w:lineRule="exact"/>
        <w:ind w:left="0" w:right="0" w:firstLine="640" w:firstLineChars="200"/>
        <w:textAlignment w:val="auto"/>
        <w:outlineLvl w:val="9"/>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pP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t>根据预算绩效管理要求，我局由财务科牵头，</w:t>
      </w: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eastAsia="zh-CN" w:bidi="ar-SA"/>
        </w:rPr>
        <w:t>建管科、规划科配合，</w:t>
      </w: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t>比照《2023年市级专项资金预算项目支出绩效评价指标体系》和年初绩效目标申报，严格执行《广元市市级预算绩效目标管理办法》规定，依据“谁申报、谁自评、谁绩效”的原则，采用成本效益分析法，对该项目产出完成、项目效益、财务管理、满意度等方面进行了认真全面的绩效自评。经自评，项目支出绩效情况良好。</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1"/>
        <w:rPr>
          <w:rFonts w:hint="eastAsia" w:ascii="楷体_GB2312" w:hAnsi="Times New Roman" w:eastAsia="楷体_GB2312" w:cs="Times New Roman"/>
          <w:snapToGrid/>
          <w:color w:val="auto"/>
          <w:spacing w:val="0"/>
          <w:w w:val="100"/>
          <w:kern w:val="2"/>
          <w:position w:val="0"/>
          <w:sz w:val="32"/>
          <w:szCs w:val="32"/>
          <w:highlight w:val="none"/>
          <w:u w:val="none" w:color="auto"/>
          <w:vertAlign w:val="baseline"/>
          <w:lang w:bidi="ar-SA"/>
        </w:rPr>
      </w:pPr>
      <w:bookmarkStart w:id="379" w:name="_Toc1237"/>
      <w:bookmarkStart w:id="380" w:name="_Toc13507"/>
      <w:r>
        <w:rPr>
          <w:rFonts w:hint="eastAsia" w:ascii="黑体" w:hAnsi="Times New Roman" w:eastAsia="黑体" w:cs="Times New Roman"/>
          <w:snapToGrid/>
          <w:color w:val="auto"/>
          <w:spacing w:val="0"/>
          <w:w w:val="100"/>
          <w:kern w:val="2"/>
          <w:position w:val="0"/>
          <w:sz w:val="32"/>
          <w:szCs w:val="32"/>
          <w:highlight w:val="none"/>
          <w:u w:val="none" w:color="auto"/>
          <w:vertAlign w:val="baseline"/>
          <w:lang w:bidi="ar-SA"/>
        </w:rPr>
        <w:t>二、项目资金申报及使用情况</w:t>
      </w:r>
      <w:bookmarkEnd w:id="379"/>
      <w:bookmarkEnd w:id="380"/>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outlineLvl w:val="9"/>
        <w:rPr>
          <w:rFonts w:hint="eastAsia" w:ascii="楷体_GB2312" w:hAnsi="Times New Roman" w:eastAsia="楷体_GB2312" w:cs="AR PL UKai CN"/>
          <w:snapToGrid/>
          <w:color w:val="auto"/>
          <w:spacing w:val="0"/>
          <w:w w:val="100"/>
          <w:kern w:val="2"/>
          <w:position w:val="0"/>
          <w:sz w:val="32"/>
          <w:szCs w:val="32"/>
          <w:highlight w:val="none"/>
          <w:u w:val="none" w:color="auto"/>
          <w:vertAlign w:val="baseline"/>
          <w:lang w:val="en-US" w:eastAsia="zh-CN" w:bidi="ar-SA"/>
        </w:rPr>
      </w:pPr>
      <w:r>
        <w:rPr>
          <w:rFonts w:hint="eastAsia" w:ascii="楷体_GB2312" w:hAnsi="Times New Roman" w:eastAsia="楷体_GB2312" w:cs="AR PL UKai CN"/>
          <w:snapToGrid/>
          <w:color w:val="auto"/>
          <w:spacing w:val="0"/>
          <w:w w:val="100"/>
          <w:kern w:val="2"/>
          <w:position w:val="0"/>
          <w:sz w:val="32"/>
          <w:szCs w:val="32"/>
          <w:highlight w:val="none"/>
          <w:u w:val="none" w:color="auto"/>
          <w:vertAlign w:val="baseline"/>
          <w:lang w:val="en-US" w:eastAsia="zh-CN" w:bidi="ar-SA"/>
        </w:rPr>
        <w:t>（一）项目资金申报及批复情况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outlineLvl w:val="9"/>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pP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t>2022年8月，市财政局下达S205利州区河西街道办事处（杨家岩）至下西街道办事处（塔山湾）段改建工程（下穿广元铁路集装箱运输组货中心段）项目资金1019.09万元。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outlineLvl w:val="9"/>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pPr>
      <w:r>
        <w:rPr>
          <w:rFonts w:hint="eastAsia" w:ascii="楷体_GB2312" w:hAnsi="Times New Roman" w:eastAsia="楷体_GB2312" w:cs="Times New Roman"/>
          <w:snapToGrid/>
          <w:color w:val="auto"/>
          <w:spacing w:val="0"/>
          <w:w w:val="100"/>
          <w:kern w:val="2"/>
          <w:position w:val="0"/>
          <w:sz w:val="32"/>
          <w:szCs w:val="32"/>
          <w:highlight w:val="none"/>
          <w:u w:val="none" w:color="auto"/>
          <w:vertAlign w:val="baseline"/>
          <w:lang w:bidi="ar-SA"/>
        </w:rPr>
        <w:t>（二）资金计划、到位及使用情况。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contextualSpacing/>
        <w:jc w:val="both"/>
        <w:textAlignment w:val="auto"/>
        <w:outlineLvl w:val="9"/>
        <w:rPr>
          <w:rFonts w:hint="eastAsia" w:ascii="仿宋_GB2312" w:hAnsi="Times New Roman" w:eastAsia="仿宋_GB2312" w:cs="AR PL UKai CN"/>
          <w:snapToGrid/>
          <w:color w:val="auto"/>
          <w:spacing w:val="0"/>
          <w:w w:val="100"/>
          <w:kern w:val="0"/>
          <w:position w:val="0"/>
          <w:sz w:val="32"/>
          <w:szCs w:val="32"/>
          <w:highlight w:val="none"/>
          <w:u w:val="none" w:color="auto"/>
          <w:shd w:val="clear" w:color="auto" w:fill="FFFFFF"/>
          <w:vertAlign w:val="baseline"/>
        </w:rPr>
      </w:pPr>
      <w:r>
        <w:rPr>
          <w:rFonts w:hint="eastAsia" w:ascii="仿宋_GB2312" w:hAnsi="Times New Roman" w:eastAsia="仿宋_GB2312" w:cs="AR PL UKai CN"/>
          <w:snapToGrid/>
          <w:color w:val="auto"/>
          <w:spacing w:val="0"/>
          <w:w w:val="100"/>
          <w:kern w:val="0"/>
          <w:position w:val="0"/>
          <w:sz w:val="32"/>
          <w:szCs w:val="32"/>
          <w:highlight w:val="none"/>
          <w:u w:val="none" w:color="auto"/>
          <w:shd w:val="clear" w:color="auto" w:fill="FFFFFF"/>
          <w:vertAlign w:val="baseline"/>
        </w:rPr>
        <w:t>1．资金计划。</w:t>
      </w: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t>S205利州区河西街道办事处（杨家岩）至下西街道办事处（塔山湾）段改建工程（下穿广元铁路集装箱运输组货中心段）项目预算金额为1019.09万元，资金来源为市级财政政府性基金预算。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outlineLvl w:val="9"/>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val="en-US" w:eastAsia="zh-CN" w:bidi="ar-SA"/>
        </w:rPr>
      </w:pPr>
      <w:r>
        <w:rPr>
          <w:rFonts w:hint="eastAsia" w:ascii="仿宋_GB2312" w:hAnsi="Times New Roman" w:eastAsia="仿宋_GB2312" w:cs="AR PL UKai CN"/>
          <w:snapToGrid/>
          <w:color w:val="auto"/>
          <w:spacing w:val="0"/>
          <w:w w:val="100"/>
          <w:kern w:val="0"/>
          <w:position w:val="0"/>
          <w:sz w:val="32"/>
          <w:szCs w:val="32"/>
          <w:highlight w:val="none"/>
          <w:u w:val="none" w:color="auto"/>
          <w:shd w:val="clear" w:color="auto" w:fill="FFFFFF"/>
          <w:vertAlign w:val="baseline"/>
          <w:lang w:val="en-US" w:eastAsia="zh-CN" w:bidi="ar-SA"/>
        </w:rPr>
        <w:t>2．</w:t>
      </w: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val="en-US" w:eastAsia="zh-CN" w:bidi="ar-SA"/>
        </w:rPr>
        <w:t>资金到位。2022年8月，市财政局下达我局S205利州区河西街道办事处（杨家岩）至下西街道办事处（塔山湾）段改建工程（下穿广元铁路集装箱运输组货中心段）项目资金1019.09万元（广财投〔2022〕71号）,资金已全额到位，资金到位率为100%。</w:t>
      </w:r>
    </w:p>
    <w:p>
      <w:pPr>
        <w:keepNext w:val="0"/>
        <w:keepLines w:val="0"/>
        <w:pageBreakBefore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outlineLvl w:val="9"/>
        <w:rPr>
          <w:rFonts w:hint="eastAsia" w:ascii="Times New Roman" w:hAnsi="Times New Roman" w:eastAsia="仿宋_GB2312" w:cs="Times New Roman"/>
          <w:snapToGrid/>
          <w:color w:val="auto"/>
          <w:spacing w:val="0"/>
          <w:w w:val="100"/>
          <w:kern w:val="2"/>
          <w:position w:val="0"/>
          <w:sz w:val="32"/>
          <w:szCs w:val="32"/>
          <w:highlight w:val="none"/>
          <w:u w:val="none" w:color="auto"/>
          <w:vertAlign w:val="baseline"/>
          <w:lang w:bidi="ar-SA"/>
        </w:rPr>
      </w:pP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t>3．资金使用。截至2022年12月，使用金额为1019.09万元，剩余资金0元，支付进度100%。资金支付严格</w:t>
      </w: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eastAsia="zh-CN" w:bidi="ar-SA"/>
        </w:rPr>
        <w:t>执行</w:t>
      </w: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t>财政资金支付规定，支付依据合规合法，预算执行率100%。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outlineLvl w:val="9"/>
        <w:rPr>
          <w:rFonts w:hint="eastAsia" w:ascii="楷体_GB2312" w:hAnsi="Times New Roman" w:eastAsia="楷体_GB2312" w:cs="Times New Roman"/>
          <w:snapToGrid/>
          <w:color w:val="auto"/>
          <w:spacing w:val="0"/>
          <w:w w:val="100"/>
          <w:kern w:val="2"/>
          <w:position w:val="0"/>
          <w:sz w:val="32"/>
          <w:szCs w:val="32"/>
          <w:highlight w:val="none"/>
          <w:u w:val="none" w:color="auto"/>
          <w:vertAlign w:val="baseline"/>
          <w:lang w:bidi="ar-SA"/>
        </w:rPr>
      </w:pPr>
      <w:r>
        <w:rPr>
          <w:rFonts w:hint="eastAsia" w:ascii="楷体_GB2312" w:hAnsi="Times New Roman" w:eastAsia="楷体_GB2312" w:cs="Times New Roman"/>
          <w:snapToGrid/>
          <w:color w:val="auto"/>
          <w:spacing w:val="0"/>
          <w:w w:val="100"/>
          <w:kern w:val="2"/>
          <w:position w:val="0"/>
          <w:sz w:val="32"/>
          <w:szCs w:val="32"/>
          <w:highlight w:val="none"/>
          <w:u w:val="none" w:color="auto"/>
          <w:vertAlign w:val="baseline"/>
          <w:lang w:bidi="ar-SA"/>
        </w:rPr>
        <w:t>（三）项目财务管理情况。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仿宋_GB2312" w:hAnsi="AR PL UKai CN" w:eastAsia="仿宋_GB2312" w:cs="宋体"/>
          <w:snapToGrid/>
          <w:color w:val="auto"/>
          <w:spacing w:val="0"/>
          <w:w w:val="100"/>
          <w:kern w:val="2"/>
          <w:position w:val="0"/>
          <w:sz w:val="32"/>
          <w:szCs w:val="32"/>
          <w:highlight w:val="none"/>
          <w:u w:val="none" w:color="auto"/>
          <w:vertAlign w:val="baseline"/>
          <w:lang w:val="en-US" w:eastAsia="zh-CN" w:bidi="ar-SA"/>
        </w:rPr>
      </w:pPr>
      <w:r>
        <w:rPr>
          <w:rFonts w:hint="eastAsia" w:ascii="仿宋_GB2312" w:hAnsi="AR PL UKai CN" w:eastAsia="仿宋_GB2312" w:cs="宋体"/>
          <w:snapToGrid/>
          <w:color w:val="auto"/>
          <w:spacing w:val="0"/>
          <w:w w:val="100"/>
          <w:kern w:val="2"/>
          <w:position w:val="0"/>
          <w:sz w:val="32"/>
          <w:szCs w:val="32"/>
          <w:highlight w:val="none"/>
          <w:u w:val="none" w:color="auto"/>
          <w:vertAlign w:val="baseline"/>
          <w:lang w:val="en-US" w:eastAsia="zh-CN" w:bidi="ar-SA"/>
        </w:rPr>
        <w:t>我局严格执行中、省、市相关政策规定，财务制度健全，制定了绩效管理、财务管理办法等内部控制制度，资金管理和使用符合</w:t>
      </w:r>
      <w:r>
        <w:rPr>
          <w:rFonts w:hint="eastAsia" w:ascii="仿宋_GB2312" w:hAnsi="AR PL UKai CN" w:eastAsia="仿宋_GB2312" w:cs="仿宋"/>
          <w:snapToGrid/>
          <w:color w:val="auto"/>
          <w:spacing w:val="0"/>
          <w:w w:val="100"/>
          <w:kern w:val="0"/>
          <w:position w:val="0"/>
          <w:sz w:val="32"/>
          <w:szCs w:val="32"/>
          <w:highlight w:val="none"/>
          <w:u w:val="none" w:color="auto"/>
          <w:vertAlign w:val="baseline"/>
          <w:lang w:val="en-US" w:eastAsia="zh-CN" w:bidi="ar-SA"/>
        </w:rPr>
        <w:t>国家财经法规、中省市有关专项资金管理办法规定</w:t>
      </w:r>
      <w:r>
        <w:rPr>
          <w:rFonts w:hint="eastAsia" w:ascii="仿宋_GB2312" w:hAnsi="AR PL UKai CN" w:eastAsia="仿宋_GB2312" w:cs="宋体"/>
          <w:snapToGrid/>
          <w:color w:val="auto"/>
          <w:spacing w:val="0"/>
          <w:w w:val="100"/>
          <w:kern w:val="2"/>
          <w:position w:val="0"/>
          <w:sz w:val="32"/>
          <w:szCs w:val="32"/>
          <w:highlight w:val="none"/>
          <w:u w:val="none" w:color="auto"/>
          <w:vertAlign w:val="baseli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outlineLvl w:val="1"/>
        <w:rPr>
          <w:rFonts w:hint="eastAsia" w:ascii="楷体_GB2312" w:hAnsi="Times New Roman" w:eastAsia="楷体_GB2312" w:cs="AR PL UKai CN"/>
          <w:snapToGrid/>
          <w:color w:val="auto"/>
          <w:spacing w:val="0"/>
          <w:w w:val="100"/>
          <w:kern w:val="2"/>
          <w:position w:val="0"/>
          <w:sz w:val="32"/>
          <w:szCs w:val="32"/>
          <w:highlight w:val="none"/>
          <w:u w:val="none" w:color="auto"/>
          <w:vertAlign w:val="baseline"/>
        </w:rPr>
      </w:pPr>
      <w:bookmarkStart w:id="381" w:name="_Toc7919"/>
      <w:bookmarkStart w:id="382" w:name="_Toc23387"/>
      <w:r>
        <w:rPr>
          <w:rFonts w:hint="eastAsia" w:ascii="黑体" w:hAnsi="Times New Roman" w:eastAsia="黑体" w:cs="Times New Roman"/>
          <w:snapToGrid/>
          <w:color w:val="auto"/>
          <w:spacing w:val="0"/>
          <w:w w:val="100"/>
          <w:kern w:val="2"/>
          <w:position w:val="0"/>
          <w:sz w:val="32"/>
          <w:szCs w:val="32"/>
          <w:highlight w:val="none"/>
          <w:u w:val="none" w:color="auto"/>
          <w:vertAlign w:val="baseline"/>
          <w:lang w:bidi="ar-SA"/>
        </w:rPr>
        <w:t>三、项目实施及管理情况</w:t>
      </w:r>
      <w:bookmarkEnd w:id="381"/>
      <w:bookmarkEnd w:id="382"/>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val="en-US" w:eastAsia="zh-CN" w:bidi="ar-SA"/>
        </w:rPr>
      </w:pP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val="en-US" w:eastAsia="zh-CN" w:bidi="ar-SA"/>
        </w:rPr>
        <w:t>本项目由市交投集团组织实施，由交投集团成立项目指挥部具体负责现场管理</w:t>
      </w:r>
      <w:r>
        <w:rPr>
          <w:rFonts w:hint="eastAsia" w:ascii="仿宋_GB2312" w:hAnsi="Times New Roman" w:eastAsia="仿宋_GB2312" w:cs="Times New Roman"/>
          <w:snapToGrid/>
          <w:color w:val="auto"/>
          <w:spacing w:val="0"/>
          <w:w w:val="100"/>
          <w:kern w:val="0"/>
          <w:position w:val="0"/>
          <w:sz w:val="32"/>
          <w:szCs w:val="32"/>
          <w:highlight w:val="none"/>
          <w:u w:val="none" w:color="auto"/>
          <w:vertAlign w:val="baseline"/>
          <w:lang w:val="en-US" w:eastAsia="zh-CN" w:bidi="ar-SA"/>
        </w:rPr>
        <w:t>，设立基建账套独立核算，严格执行财务管理制度，财务处理及时、会计核算规范。</w:t>
      </w:r>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val="en-US" w:eastAsia="zh-CN" w:bidi="ar-SA"/>
        </w:rPr>
        <w:t>我局严格按照相关法律法规和程序，对项目进行全过程、全方位的监督管理，努力化解风险，提高建设效率，对项目实施全过程进行目标绩效管理。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outlineLvl w:val="1"/>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pPr>
      <w:bookmarkStart w:id="383" w:name="_Toc28792"/>
      <w:bookmarkStart w:id="384" w:name="_Toc29844"/>
      <w:r>
        <w:rPr>
          <w:rFonts w:hint="eastAsia" w:ascii="黑体" w:hAnsi="Times New Roman" w:eastAsia="黑体" w:cs="Times New Roman"/>
          <w:snapToGrid/>
          <w:color w:val="auto"/>
          <w:spacing w:val="0"/>
          <w:w w:val="100"/>
          <w:kern w:val="2"/>
          <w:position w:val="0"/>
          <w:sz w:val="32"/>
          <w:szCs w:val="32"/>
          <w:highlight w:val="none"/>
          <w:u w:val="none" w:color="auto"/>
          <w:vertAlign w:val="baseline"/>
          <w:lang w:bidi="ar-SA"/>
        </w:rPr>
        <w:t>四、项目绩效情况</w:t>
      </w:r>
      <w:bookmarkEnd w:id="383"/>
      <w:bookmarkEnd w:id="384"/>
      <w:r>
        <w:rPr>
          <w:rFonts w:hint="eastAsia" w:ascii="仿宋_GB2312" w:hAnsi="Times New Roman" w:eastAsia="仿宋_GB2312" w:cs="Times New Roman"/>
          <w:snapToGrid/>
          <w:color w:val="auto"/>
          <w:spacing w:val="0"/>
          <w:w w:val="100"/>
          <w:kern w:val="2"/>
          <w:position w:val="0"/>
          <w:sz w:val="32"/>
          <w:szCs w:val="32"/>
          <w:highlight w:val="none"/>
          <w:u w:val="none" w:color="auto"/>
          <w:vertAlign w:val="baseline"/>
          <w:lang w:bidi="ar-SA"/>
        </w:rPr>
        <w:tab/>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textAlignment w:val="auto"/>
        <w:outlineLvl w:val="9"/>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pPr>
      <w:r>
        <w:rPr>
          <w:rFonts w:hint="eastAsia" w:ascii="楷体_GB2312" w:hAnsi="Times New Roman" w:eastAsia="楷体_GB2312" w:cs="Times New Roman"/>
          <w:snapToGrid/>
          <w:color w:val="auto"/>
          <w:spacing w:val="0"/>
          <w:w w:val="100"/>
          <w:kern w:val="2"/>
          <w:position w:val="0"/>
          <w:sz w:val="32"/>
          <w:szCs w:val="32"/>
          <w:highlight w:val="none"/>
          <w:u w:val="none" w:color="auto"/>
          <w:vertAlign w:val="baseline"/>
          <w:lang w:bidi="ar-SA"/>
        </w:rPr>
        <w:t>（一）项目完成情况。</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t>截至2022年12月，D1K0+777.82～D1K0797.84段底板及侧墙钢筋绑扎完成及混凝土浇筑完成，温泉井通道钢筋绑扎及混凝土浇筑全部完成。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textAlignment w:val="auto"/>
        <w:outlineLvl w:val="9"/>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lang w:bidi="ar-SA"/>
        </w:rPr>
      </w:pPr>
      <w:r>
        <w:rPr>
          <w:rFonts w:hint="eastAsia" w:ascii="楷体_GB2312" w:hAnsi="Times New Roman" w:eastAsia="楷体_GB2312" w:cs="Times New Roman"/>
          <w:snapToGrid/>
          <w:color w:val="auto"/>
          <w:spacing w:val="0"/>
          <w:w w:val="100"/>
          <w:kern w:val="2"/>
          <w:position w:val="0"/>
          <w:sz w:val="32"/>
          <w:szCs w:val="32"/>
          <w:highlight w:val="none"/>
          <w:u w:val="none" w:color="auto"/>
          <w:vertAlign w:val="baseline"/>
          <w:lang w:bidi="ar-SA"/>
        </w:rPr>
        <w:t>（二）项目效益情况</w:t>
      </w:r>
      <w:r>
        <w:rPr>
          <w:rFonts w:hint="eastAsia" w:ascii="楷体_GB2312" w:hAnsi="Times New Roman" w:eastAsia="楷体_GB2312" w:cs="Times New Roman"/>
          <w:snapToGrid/>
          <w:color w:val="auto"/>
          <w:spacing w:val="0"/>
          <w:w w:val="100"/>
          <w:kern w:val="2"/>
          <w:position w:val="0"/>
          <w:sz w:val="32"/>
          <w:szCs w:val="32"/>
          <w:highlight w:val="none"/>
          <w:u w:val="none" w:color="auto"/>
          <w:vertAlign w:val="baseline"/>
          <w:lang w:eastAsia="zh-CN" w:bidi="ar-SA"/>
        </w:rPr>
        <w:t>。</w:t>
      </w:r>
      <w:r>
        <w:rPr>
          <w:rFonts w:hint="eastAsia" w:ascii="仿宋_GB2312" w:hAnsi="Times New Roman" w:eastAsia="仿宋_GB2312" w:cs="AR PL UKai CN"/>
          <w:snapToGrid/>
          <w:color w:val="auto"/>
          <w:spacing w:val="0"/>
          <w:w w:val="100"/>
          <w:kern w:val="0"/>
          <w:position w:val="0"/>
          <w:sz w:val="32"/>
          <w:szCs w:val="32"/>
          <w:highlight w:val="none"/>
          <w:u w:val="none" w:color="auto"/>
          <w:vertAlign w:val="baseline"/>
        </w:rPr>
        <w:t>项目符合《四川省普通省道网规划（2022年-2035年）》，符合城市路网规划、完善城区路网结构、提升区域路网通行能力的客观要求。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suppressAutoHyphens w:val="0"/>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outlineLvl w:val="1"/>
        <w:rPr>
          <w:rFonts w:hint="eastAsia" w:ascii="黑体" w:hAnsi="Times New Roman" w:eastAsia="黑体" w:cs="Times New Roman"/>
          <w:snapToGrid/>
          <w:color w:val="auto"/>
          <w:spacing w:val="0"/>
          <w:w w:val="100"/>
          <w:kern w:val="2"/>
          <w:position w:val="0"/>
          <w:sz w:val="32"/>
          <w:szCs w:val="32"/>
          <w:highlight w:val="none"/>
          <w:u w:val="none" w:color="auto"/>
          <w:vertAlign w:val="baseline"/>
          <w:lang w:bidi="ar-SA"/>
        </w:rPr>
      </w:pPr>
      <w:bookmarkStart w:id="385" w:name="_Toc31061"/>
      <w:bookmarkStart w:id="386" w:name="_Toc3327"/>
      <w:r>
        <w:rPr>
          <w:rFonts w:hint="eastAsia" w:ascii="黑体" w:hAnsi="Times New Roman" w:eastAsia="黑体" w:cs="Times New Roman"/>
          <w:snapToGrid/>
          <w:color w:val="auto"/>
          <w:spacing w:val="0"/>
          <w:w w:val="100"/>
          <w:kern w:val="2"/>
          <w:position w:val="0"/>
          <w:sz w:val="32"/>
          <w:szCs w:val="32"/>
          <w:highlight w:val="none"/>
          <w:u w:val="none" w:color="auto"/>
          <w:vertAlign w:val="baseline"/>
          <w:lang w:bidi="ar-SA"/>
        </w:rPr>
        <w:t>五、评价结论及建议</w:t>
      </w:r>
      <w:bookmarkEnd w:id="385"/>
      <w:bookmarkEnd w:id="386"/>
    </w:p>
    <w:p>
      <w:pPr>
        <w:shd w:val="clear"/>
        <w:rPr>
          <w:rFonts w:hint="default" w:hAnsi="宋体" w:cs="宋体"/>
          <w:color w:val="auto"/>
          <w:kern w:val="0"/>
          <w:sz w:val="32"/>
          <w:szCs w:val="32"/>
          <w:highlight w:val="none"/>
          <w:shd w:val="clear" w:color="auto" w:fill="FFFFFF"/>
          <w:lang w:val="en-US" w:eastAsia="zh-CN"/>
        </w:rPr>
      </w:pPr>
      <w:r>
        <w:rPr>
          <w:rFonts w:hint="eastAsia" w:ascii="仿宋_GB2312" w:hAnsi="AR PL UKai CN" w:eastAsia="仿宋_GB2312" w:cs="AR PL UKai CN"/>
          <w:snapToGrid/>
          <w:color w:val="auto"/>
          <w:spacing w:val="0"/>
          <w:w w:val="100"/>
          <w:kern w:val="2"/>
          <w:position w:val="0"/>
          <w:sz w:val="32"/>
          <w:szCs w:val="32"/>
          <w:highlight w:val="none"/>
          <w:u w:val="none" w:color="auto"/>
          <w:vertAlign w:val="baseline"/>
          <w:lang w:val="en-US" w:eastAsia="zh-CN" w:bidi="ar-SA"/>
        </w:rPr>
        <w:t>该项目规划科学，决策依据充分，程序合法合规、资金到位及时拨付规范。项目</w:t>
      </w:r>
      <w:r>
        <w:rPr>
          <w:rFonts w:hint="eastAsia" w:ascii="仿宋_GB2312" w:hAnsi="AR PL UKai CN" w:eastAsia="仿宋_GB2312" w:cs="AR PL UKai CN"/>
          <w:snapToGrid/>
          <w:color w:val="auto"/>
          <w:spacing w:val="0"/>
          <w:w w:val="100"/>
          <w:kern w:val="0"/>
          <w:position w:val="0"/>
          <w:sz w:val="32"/>
          <w:szCs w:val="32"/>
          <w:highlight w:val="none"/>
          <w:u w:val="none" w:color="auto"/>
          <w:vertAlign w:val="baseline"/>
          <w:lang w:val="en-US" w:eastAsia="zh-CN" w:bidi="ar-SA"/>
        </w:rPr>
        <w:t>支出绩效自评得分100分，其中项目决策25分、项目管理15分、项目绩效（特性指标）60分。</w:t>
      </w:r>
      <w:r>
        <w:rPr>
          <w:rFonts w:hint="default" w:hAnsi="宋体" w:cs="宋体"/>
          <w:color w:val="auto"/>
          <w:kern w:val="0"/>
          <w:sz w:val="32"/>
          <w:szCs w:val="32"/>
          <w:highlight w:val="none"/>
          <w:shd w:val="clear" w:color="auto" w:fill="FFFFFF"/>
          <w:lang w:val="en-US" w:eastAsia="zh-CN"/>
        </w:rPr>
        <w:br w:type="page"/>
      </w:r>
    </w:p>
    <w:p>
      <w:pPr>
        <w:shd w:val="clea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附件15：</w:t>
      </w:r>
    </w:p>
    <w:p>
      <w:pPr>
        <w:pStyle w:val="38"/>
        <w:shd w:val="clear"/>
        <w:spacing w:line="576" w:lineRule="exact"/>
        <w:jc w:val="center"/>
        <w:rPr>
          <w:rFonts w:hint="eastAsia" w:ascii="方正小标宋_GBK" w:hAnsi="方正小标宋_GBK" w:eastAsia="方正小标宋_GBK" w:cs="方正小标宋_GBK"/>
          <w:color w:val="auto"/>
          <w:kern w:val="2"/>
          <w:sz w:val="44"/>
          <w:szCs w:val="44"/>
          <w:highlight w:val="none"/>
          <w:lang w:val="en-US"/>
        </w:rPr>
      </w:pPr>
      <w:r>
        <w:rPr>
          <w:rFonts w:hint="eastAsia" w:ascii="方正小标宋_GBK" w:hAnsi="方正小标宋_GBK" w:eastAsia="方正小标宋_GBK" w:cs="方正小标宋_GBK"/>
          <w:color w:val="auto"/>
          <w:kern w:val="2"/>
          <w:sz w:val="44"/>
          <w:szCs w:val="44"/>
          <w:highlight w:val="none"/>
          <w:lang w:val="en-US"/>
        </w:rPr>
        <w:t>广元市公路建设服务中心</w:t>
      </w:r>
    </w:p>
    <w:p>
      <w:pPr>
        <w:widowControl w:val="0"/>
        <w:shd w:val="clear"/>
        <w:spacing w:line="576" w:lineRule="exact"/>
        <w:jc w:val="center"/>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关于2022年国省干线公路路况检查及桥隧日常养护和安全监管经费项目支出绩效自评的报告</w:t>
      </w:r>
    </w:p>
    <w:p>
      <w:pPr>
        <w:shd w:val="clear"/>
        <w:adjustRightInd w:val="0"/>
        <w:snapToGrid w:val="0"/>
        <w:spacing w:line="578" w:lineRule="exact"/>
        <w:ind w:firstLine="640" w:firstLineChars="200"/>
        <w:outlineLvl w:val="1"/>
        <w:rPr>
          <w:rFonts w:ascii="黑体" w:hAnsi="宋体" w:eastAsia="黑体" w:cstheme="minorBidi"/>
          <w:color w:val="auto"/>
          <w:sz w:val="32"/>
          <w:szCs w:val="32"/>
          <w:highlight w:val="none"/>
          <w:lang w:val="zh-CN"/>
        </w:rPr>
      </w:pPr>
      <w:bookmarkStart w:id="387" w:name="_Toc29185"/>
      <w:bookmarkStart w:id="388" w:name="_Toc21365"/>
      <w:r>
        <w:rPr>
          <w:rFonts w:hint="eastAsia" w:ascii="黑体" w:hAnsi="宋体" w:eastAsia="黑体" w:cstheme="minorBidi"/>
          <w:color w:val="auto"/>
          <w:sz w:val="32"/>
          <w:szCs w:val="32"/>
          <w:highlight w:val="none"/>
        </w:rPr>
        <w:t>一、</w:t>
      </w:r>
      <w:r>
        <w:rPr>
          <w:rFonts w:hint="eastAsia" w:ascii="黑体" w:hAnsi="宋体" w:eastAsia="黑体" w:cstheme="minorBidi"/>
          <w:color w:val="auto"/>
          <w:sz w:val="32"/>
          <w:szCs w:val="32"/>
          <w:highlight w:val="none"/>
          <w:lang w:val="zh-CN"/>
        </w:rPr>
        <w:t>项目概况</w:t>
      </w:r>
      <w:bookmarkEnd w:id="387"/>
      <w:bookmarkEnd w:id="388"/>
    </w:p>
    <w:p>
      <w:pPr>
        <w:shd w:val="clear"/>
        <w:adjustRightInd w:val="0"/>
        <w:snapToGrid w:val="0"/>
        <w:spacing w:line="578" w:lineRule="exact"/>
        <w:ind w:firstLine="640" w:firstLineChars="200"/>
        <w:rPr>
          <w:rFonts w:ascii="楷体_GB2312" w:hAnsi="宋体" w:eastAsia="楷体_GB2312" w:cstheme="minorBidi"/>
          <w:color w:val="auto"/>
          <w:sz w:val="32"/>
          <w:szCs w:val="32"/>
          <w:highlight w:val="none"/>
          <w:lang w:val="zh-CN"/>
        </w:rPr>
      </w:pPr>
      <w:r>
        <w:rPr>
          <w:rFonts w:hint="eastAsia" w:ascii="楷体_GB2312" w:hAnsi="宋体" w:eastAsia="楷体_GB2312" w:cstheme="minorBidi"/>
          <w:color w:val="auto"/>
          <w:sz w:val="32"/>
          <w:szCs w:val="32"/>
          <w:highlight w:val="none"/>
          <w:lang w:val="zh-CN"/>
        </w:rPr>
        <w:t>（一）项目基本情况。</w:t>
      </w:r>
    </w:p>
    <w:p>
      <w:pPr>
        <w:shd w:val="clear"/>
        <w:adjustRightInd w:val="0"/>
        <w:snapToGrid w:val="0"/>
        <w:spacing w:line="578" w:lineRule="exact"/>
        <w:ind w:firstLine="640" w:firstLineChars="200"/>
        <w:rPr>
          <w:rFonts w:ascii="Times New Roman" w:hAnsi="Times New Roman" w:eastAsia="仿宋_GB2312" w:cstheme="minorBidi"/>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zh-CN"/>
        </w:rPr>
        <w:t>1．</w:t>
      </w:r>
      <w:r>
        <w:rPr>
          <w:rFonts w:hint="eastAsia" w:ascii="仿宋_GB2312" w:hAnsi="Times New Roman" w:eastAsia="仿宋_GB2312" w:cs="仿宋_GB2312"/>
          <w:color w:val="auto"/>
          <w:kern w:val="0"/>
          <w:sz w:val="32"/>
          <w:szCs w:val="32"/>
          <w:highlight w:val="none"/>
        </w:rPr>
        <w:t>主管单位的管理职能。我单位主要</w:t>
      </w:r>
      <w:r>
        <w:rPr>
          <w:rFonts w:ascii="Times New Roman" w:hAnsi="Times New Roman" w:eastAsia="仿宋_GB2312" w:cstheme="minorBidi"/>
          <w:color w:val="auto"/>
          <w:sz w:val="32"/>
          <w:szCs w:val="32"/>
          <w:highlight w:val="none"/>
        </w:rPr>
        <w:t>负责全市国省干线公路和农村公路养护管理的业务技术指导；参与国省干线公路养护工程咨询、设计初审，推广公路养护新技术新工艺；指导督促县区实施各类公路养护项目；协助做好国省干线公路养护工程验收</w:t>
      </w:r>
      <w:r>
        <w:rPr>
          <w:rFonts w:hint="eastAsia" w:ascii="Times New Roman" w:hAnsi="Times New Roman" w:eastAsia="仿宋_GB2312" w:cstheme="minorBidi"/>
          <w:color w:val="auto"/>
          <w:sz w:val="32"/>
          <w:szCs w:val="32"/>
          <w:highlight w:val="none"/>
        </w:rPr>
        <w:t>;</w:t>
      </w:r>
      <w:r>
        <w:rPr>
          <w:rFonts w:ascii="Times New Roman" w:hAnsi="Times New Roman" w:eastAsia="仿宋_GB2312" w:cstheme="minorBidi"/>
          <w:color w:val="auto"/>
          <w:sz w:val="32"/>
          <w:szCs w:val="32"/>
          <w:highlight w:val="none"/>
        </w:rPr>
        <w:t>协助做好全市国省</w:t>
      </w:r>
      <w:r>
        <w:rPr>
          <w:rFonts w:hint="eastAsia" w:ascii="Times New Roman" w:hAnsi="Times New Roman" w:eastAsia="仿宋_GB2312" w:cstheme="minorBidi"/>
          <w:color w:val="auto"/>
          <w:sz w:val="32"/>
          <w:szCs w:val="32"/>
          <w:highlight w:val="none"/>
        </w:rPr>
        <w:t>干</w:t>
      </w:r>
      <w:r>
        <w:rPr>
          <w:rFonts w:ascii="Times New Roman" w:hAnsi="Times New Roman" w:eastAsia="仿宋_GB2312" w:cstheme="minorBidi"/>
          <w:color w:val="auto"/>
          <w:sz w:val="32"/>
          <w:szCs w:val="32"/>
          <w:highlight w:val="none"/>
        </w:rPr>
        <w:t>线公路桥隧的相关评定、评估工作</w:t>
      </w:r>
      <w:r>
        <w:rPr>
          <w:rFonts w:hint="eastAsia" w:ascii="Times New Roman" w:hAnsi="Times New Roman" w:eastAsia="仿宋_GB2312" w:cstheme="minorBidi"/>
          <w:color w:val="auto"/>
          <w:sz w:val="32"/>
          <w:szCs w:val="32"/>
          <w:highlight w:val="none"/>
        </w:rPr>
        <w:t>;</w:t>
      </w:r>
      <w:r>
        <w:rPr>
          <w:rFonts w:ascii="Times New Roman" w:hAnsi="Times New Roman" w:eastAsia="仿宋_GB2312" w:cstheme="minorBidi"/>
          <w:color w:val="auto"/>
          <w:sz w:val="32"/>
          <w:szCs w:val="32"/>
          <w:highlight w:val="none"/>
        </w:rPr>
        <w:t>负责全市国省干线公路应急抢险、保通保畅的统筹协调工作</w:t>
      </w:r>
      <w:r>
        <w:rPr>
          <w:rFonts w:hint="eastAsia" w:ascii="Times New Roman" w:hAnsi="Times New Roman" w:eastAsia="仿宋_GB2312" w:cstheme="minorBidi"/>
          <w:color w:val="auto"/>
          <w:sz w:val="32"/>
          <w:szCs w:val="32"/>
          <w:highlight w:val="none"/>
        </w:rPr>
        <w:t>；</w:t>
      </w:r>
      <w:r>
        <w:rPr>
          <w:rFonts w:ascii="Times New Roman" w:hAnsi="Times New Roman" w:eastAsia="仿宋_GB2312" w:cstheme="minorBidi"/>
          <w:color w:val="auto"/>
          <w:sz w:val="32"/>
          <w:szCs w:val="32"/>
          <w:highlight w:val="none"/>
        </w:rPr>
        <w:t>承担全市公路行业安全、应急保障等工作。</w:t>
      </w:r>
    </w:p>
    <w:p>
      <w:pPr>
        <w:shd w:val="clear"/>
        <w:ind w:firstLine="640" w:firstLineChars="200"/>
        <w:rPr>
          <w:rFonts w:ascii="仿宋_GB2312" w:hAnsi="宋体" w:eastAsia="仿宋_GB2312" w:cstheme="minorBidi"/>
          <w:color w:val="auto"/>
          <w:sz w:val="32"/>
          <w:szCs w:val="32"/>
          <w:highlight w:val="none"/>
          <w:lang w:val="zh-CN"/>
        </w:rPr>
      </w:pPr>
      <w:r>
        <w:rPr>
          <w:rFonts w:hint="eastAsia" w:ascii="仿宋_GB2312" w:hAnsi="仿宋_GB2312" w:eastAsia="仿宋_GB2312" w:cs="仿宋_GB2312"/>
          <w:color w:val="auto"/>
          <w:kern w:val="0"/>
          <w:sz w:val="32"/>
          <w:szCs w:val="32"/>
          <w:highlight w:val="none"/>
          <w:shd w:val="clear" w:color="auto" w:fill="FFFFFF"/>
          <w:lang w:val="zh-CN"/>
        </w:rPr>
        <w:t>2．项目立项、资金申报的依据。</w:t>
      </w:r>
      <w:r>
        <w:rPr>
          <w:rFonts w:hint="eastAsia" w:ascii="宋体" w:hAnsi="宋体" w:eastAsia="仿宋_GB2312" w:cstheme="minorBidi"/>
          <w:color w:val="auto"/>
          <w:sz w:val="32"/>
          <w:szCs w:val="32"/>
          <w:highlight w:val="none"/>
          <w:lang w:val="zh-CN"/>
        </w:rPr>
        <w:t>按照国家及省市有关路况检测和桥隧日常养护及安全监管的相关政策</w:t>
      </w:r>
      <w:r>
        <w:rPr>
          <w:rFonts w:hint="eastAsia" w:ascii="仿宋_GB2312" w:hAnsi="宋体" w:eastAsia="仿宋_GB2312" w:cstheme="minorBidi"/>
          <w:color w:val="auto"/>
          <w:sz w:val="32"/>
          <w:szCs w:val="32"/>
          <w:highlight w:val="none"/>
          <w:lang w:val="zh-CN"/>
        </w:rPr>
        <w:t>。一是针对路况检测方面，</w:t>
      </w:r>
      <w:r>
        <w:rPr>
          <w:rFonts w:hint="eastAsia" w:ascii="Times New Roman" w:hAnsi="Times New Roman" w:eastAsia="仿宋_GB2312" w:cstheme="minorBidi"/>
          <w:color w:val="auto"/>
          <w:sz w:val="32"/>
          <w:szCs w:val="32"/>
          <w:highlight w:val="none"/>
        </w:rPr>
        <w:t>交通运输部每年对国家公路网进行技术状况监测，对路况水平进行抽检，省政府每年对全省国省干线公路进行全覆盖路况检测，并将检测结果纳入对各市州政府的年度绩效目标考核，不能完成目标任务的市州政府将被追责问责，并把对应县区和地市州纳入负面清单管理，影响项目计划安排，进一步体现了PQI目标导向作用和刚性约束。</w:t>
      </w:r>
    </w:p>
    <w:p>
      <w:pPr>
        <w:shd w:val="clear"/>
        <w:ind w:firstLine="640" w:firstLineChars="200"/>
        <w:rPr>
          <w:rFonts w:hint="eastAsia" w:ascii="宋体" w:hAnsi="宋体" w:eastAsia="仿宋_GB2312" w:cstheme="minorBidi"/>
          <w:color w:val="auto"/>
          <w:sz w:val="32"/>
          <w:szCs w:val="32"/>
          <w:highlight w:val="none"/>
          <w:lang w:val="zh-CN"/>
        </w:rPr>
      </w:pPr>
      <w:r>
        <w:rPr>
          <w:rFonts w:hint="eastAsia" w:ascii="Times New Roman" w:hAnsi="Times New Roman" w:eastAsia="仿宋_GB2312" w:cstheme="minorBidi"/>
          <w:color w:val="auto"/>
          <w:sz w:val="32"/>
          <w:szCs w:val="32"/>
          <w:highlight w:val="none"/>
        </w:rPr>
        <w:t>二是针对桥隧检测方面，按照交通运输部及省交通运输厅的要求以及相关管理办法规定：桥梁的定期检查周期一般不低于三年一次,对服役时间较长和重要的大型桥梁应加大定期检查频率，三类桥梁每半年应检查一次,特殊结构桥梁每年应检查一次,新建桥梁运营一年后必须检查一次；1类隧道不低于三年一次，2类隧道不低于两年一次，3类隧道不低于一年一次，4类隧道不低于半年一次，新建隧道交付使用满一年必须进行首次定期检查。</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val="zh-CN"/>
        </w:rPr>
        <w:t>3．</w:t>
      </w:r>
      <w:r>
        <w:rPr>
          <w:rFonts w:hint="eastAsia" w:ascii="仿宋_GB2312" w:hAnsi="仿宋_GB2312" w:eastAsia="仿宋_GB2312" w:cs="仿宋_GB2312"/>
          <w:color w:val="auto"/>
          <w:kern w:val="0"/>
          <w:sz w:val="32"/>
          <w:szCs w:val="32"/>
          <w:highlight w:val="none"/>
          <w:shd w:val="clear" w:color="auto" w:fill="FFFFFF"/>
        </w:rPr>
        <w:t>项目</w:t>
      </w:r>
      <w:r>
        <w:rPr>
          <w:rFonts w:hint="eastAsia" w:ascii="仿宋_GB2312" w:hAnsi="仿宋_GB2312" w:eastAsia="仿宋_GB2312" w:cs="仿宋_GB2312"/>
          <w:color w:val="auto"/>
          <w:kern w:val="0"/>
          <w:sz w:val="32"/>
          <w:szCs w:val="32"/>
          <w:highlight w:val="none"/>
          <w:shd w:val="clear" w:color="auto" w:fill="FFFFFF"/>
          <w:lang w:val="zh-CN"/>
        </w:rPr>
        <w:t>管理情况。</w:t>
      </w:r>
      <w:r>
        <w:rPr>
          <w:rFonts w:hint="eastAsia" w:ascii="仿宋_GB2312" w:hAnsi="宋体" w:eastAsia="仿宋_GB2312" w:cstheme="minorBidi"/>
          <w:color w:val="auto"/>
          <w:sz w:val="32"/>
          <w:szCs w:val="32"/>
          <w:highlight w:val="none"/>
        </w:rPr>
        <w:t>我中心执行项目时严格遵守相关要求，建立健全内控制度并严格执行，财务制度完备，会计核算规范，资金管理、使用符合国家财经法规和财务管理制度</w:t>
      </w:r>
      <w:r>
        <w:rPr>
          <w:rFonts w:hint="eastAsia" w:ascii="仿宋_GB2312" w:hAnsi="仿宋_GB2312" w:eastAsia="仿宋_GB2312" w:cs="仿宋_GB2312"/>
          <w:color w:val="auto"/>
          <w:kern w:val="0"/>
          <w:sz w:val="32"/>
          <w:szCs w:val="32"/>
          <w:highlight w:val="none"/>
          <w:shd w:val="clear" w:color="auto" w:fill="FFFFFF"/>
        </w:rPr>
        <w:t>。</w:t>
      </w:r>
    </w:p>
    <w:p>
      <w:pPr>
        <w:shd w:val="clear"/>
        <w:adjustRightInd w:val="0"/>
        <w:snapToGrid w:val="0"/>
        <w:spacing w:line="576" w:lineRule="exact"/>
        <w:ind w:firstLine="640" w:firstLineChars="200"/>
        <w:rPr>
          <w:rFonts w:hint="eastAsia" w:ascii="Times New Roman" w:hAnsi="Times New Roman" w:eastAsia="仿宋_GB2312" w:cstheme="minorBidi"/>
          <w:color w:val="auto"/>
          <w:sz w:val="32"/>
          <w:szCs w:val="32"/>
          <w:highlight w:val="none"/>
          <w:lang w:val="zh-CN"/>
        </w:rPr>
      </w:pPr>
      <w:r>
        <w:rPr>
          <w:rFonts w:hint="eastAsia" w:ascii="仿宋_GB2312" w:hAnsi="仿宋_GB2312" w:eastAsia="仿宋_GB2312" w:cs="仿宋_GB2312"/>
          <w:color w:val="auto"/>
          <w:kern w:val="0"/>
          <w:sz w:val="32"/>
          <w:szCs w:val="32"/>
          <w:highlight w:val="none"/>
          <w:shd w:val="clear" w:color="auto" w:fill="FFFFFF"/>
          <w:lang w:val="zh-CN"/>
        </w:rPr>
        <w:t>4．资金分配的原则及考虑因素。</w:t>
      </w:r>
      <w:r>
        <w:rPr>
          <w:rFonts w:hint="eastAsia" w:ascii="仿宋_GB2312" w:hAnsi="Times New Roman" w:eastAsia="仿宋_GB2312" w:cs="仿宋_GB2312"/>
          <w:color w:val="auto"/>
          <w:kern w:val="0"/>
          <w:sz w:val="32"/>
          <w:szCs w:val="32"/>
          <w:highlight w:val="none"/>
        </w:rPr>
        <w:t>我中心资金分配坚持“专款专用”原则，按照“三重一大”的要求，根据项目实际实施进度进行审批及拨付资金。</w:t>
      </w:r>
    </w:p>
    <w:p>
      <w:pPr>
        <w:shd w:val="clear"/>
        <w:adjustRightInd w:val="0"/>
        <w:snapToGrid w:val="0"/>
        <w:spacing w:line="578" w:lineRule="exact"/>
        <w:ind w:firstLine="640" w:firstLineChars="200"/>
        <w:rPr>
          <w:rFonts w:ascii="楷体_GB2312" w:hAnsi="宋体" w:eastAsia="楷体_GB2312" w:cstheme="minorBidi"/>
          <w:color w:val="auto"/>
          <w:sz w:val="32"/>
          <w:szCs w:val="32"/>
          <w:highlight w:val="none"/>
          <w:lang w:val="zh-CN"/>
        </w:rPr>
      </w:pPr>
      <w:r>
        <w:rPr>
          <w:rFonts w:hint="eastAsia" w:ascii="楷体_GB2312" w:hAnsi="宋体" w:eastAsia="楷体_GB2312" w:cstheme="minorBidi"/>
          <w:color w:val="auto"/>
          <w:sz w:val="32"/>
          <w:szCs w:val="32"/>
          <w:highlight w:val="none"/>
          <w:lang w:val="zh-CN"/>
        </w:rPr>
        <w:t>（二）项目绩效目标。</w:t>
      </w:r>
    </w:p>
    <w:p>
      <w:pPr>
        <w:shd w:val="clear"/>
        <w:adjustRightInd w:val="0"/>
        <w:snapToGrid w:val="0"/>
        <w:spacing w:line="578" w:lineRule="exact"/>
        <w:ind w:firstLine="640" w:firstLineChars="200"/>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1．项目主要内容。</w:t>
      </w:r>
      <w:r>
        <w:rPr>
          <w:rFonts w:hint="eastAsia" w:ascii="宋体" w:hAnsi="宋体" w:eastAsia="仿宋_GB2312" w:cstheme="minorBidi"/>
          <w:color w:val="auto"/>
          <w:sz w:val="32"/>
          <w:szCs w:val="32"/>
          <w:highlight w:val="none"/>
          <w:lang w:val="zh-CN"/>
        </w:rPr>
        <w:t>2022年对全市普通国省干线公路路况水平进行自动化检测，自动化检测公里数不少于500公里，根据公路路况水平值进行针对性养护；对全市桥梁进行检测，抽检桥梁数不少于20座，建立危桥台账，开展桥隧养护管理及危桥改造工作。</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2．项目应实现的具体绩效目标。</w:t>
      </w:r>
      <w:r>
        <w:rPr>
          <w:rFonts w:hint="eastAsia" w:ascii="宋体" w:hAnsi="宋体" w:eastAsia="仿宋_GB2312" w:cstheme="minorBidi"/>
          <w:color w:val="auto"/>
          <w:sz w:val="32"/>
          <w:szCs w:val="32"/>
          <w:highlight w:val="none"/>
          <w:lang w:val="zh-CN"/>
        </w:rPr>
        <w:t>2022年完成对全市普通国省干线公路路况水平自动化检测，PQI值在90以上，及时掌握道路实际通行水平，有针对性的采取养护措施；同时对全市部分桥梁进行检测，建立危桥台账，及时开展桥隧养护管理及危桥改造工作，保障交通安全通达。</w:t>
      </w:r>
    </w:p>
    <w:p>
      <w:pPr>
        <w:shd w:val="clear"/>
        <w:adjustRightInd w:val="0"/>
        <w:snapToGrid w:val="0"/>
        <w:spacing w:line="576" w:lineRule="exact"/>
        <w:ind w:firstLine="640" w:firstLineChars="200"/>
        <w:rPr>
          <w:rFonts w:hint="eastAsia" w:ascii="Times New Roman" w:hAnsi="Times New Roman" w:eastAsia="仿宋_GB2312" w:cstheme="minorBidi"/>
          <w:color w:val="auto"/>
          <w:sz w:val="32"/>
          <w:szCs w:val="32"/>
          <w:highlight w:val="none"/>
          <w:lang w:val="zh-CN"/>
        </w:rPr>
      </w:pPr>
      <w:r>
        <w:rPr>
          <w:rFonts w:hint="eastAsia" w:ascii="仿宋_GB2312" w:hAnsi="仿宋_GB2312" w:eastAsia="仿宋_GB2312" w:cs="仿宋_GB2312"/>
          <w:color w:val="auto"/>
          <w:kern w:val="0"/>
          <w:sz w:val="32"/>
          <w:szCs w:val="32"/>
          <w:highlight w:val="none"/>
          <w:shd w:val="clear" w:color="auto" w:fill="FFFFFF"/>
          <w:lang w:val="zh-CN"/>
        </w:rPr>
        <w:t>3.绩效申报内容与实际相符，申报目标合理可行。</w:t>
      </w:r>
    </w:p>
    <w:p>
      <w:pPr>
        <w:shd w:val="clear"/>
        <w:adjustRightInd w:val="0"/>
        <w:snapToGrid w:val="0"/>
        <w:spacing w:line="578" w:lineRule="exact"/>
        <w:ind w:firstLine="640" w:firstLineChars="200"/>
        <w:rPr>
          <w:rFonts w:ascii="楷体_GB2312" w:hAnsi="宋体" w:eastAsia="楷体_GB2312" w:cstheme="minorBidi"/>
          <w:color w:val="auto"/>
          <w:sz w:val="32"/>
          <w:szCs w:val="32"/>
          <w:highlight w:val="none"/>
          <w:lang w:val="zh-CN"/>
        </w:rPr>
      </w:pPr>
      <w:r>
        <w:rPr>
          <w:rFonts w:hint="eastAsia" w:ascii="楷体_GB2312" w:hAnsi="宋体" w:eastAsia="楷体_GB2312" w:cstheme="minorBidi"/>
          <w:color w:val="auto"/>
          <w:sz w:val="32"/>
          <w:szCs w:val="32"/>
          <w:highlight w:val="none"/>
          <w:lang w:val="zh-CN"/>
        </w:rPr>
        <w:t>（三）项目自评步骤及方法。</w:t>
      </w:r>
    </w:p>
    <w:p>
      <w:pPr>
        <w:shd w:val="clear"/>
        <w:autoSpaceDE w:val="0"/>
        <w:spacing w:line="576" w:lineRule="exact"/>
        <w:ind w:firstLine="640" w:firstLineChars="200"/>
        <w:rPr>
          <w:rFonts w:hint="eastAsia" w:ascii="仿宋_GB2312" w:hAnsi="Times New Roman" w:eastAsia="仿宋_GB2312" w:cs="仿宋_GB2312"/>
          <w:color w:val="auto"/>
          <w:kern w:val="0"/>
          <w:sz w:val="32"/>
          <w:szCs w:val="32"/>
          <w:highlight w:val="none"/>
        </w:rPr>
      </w:pPr>
      <w:r>
        <w:rPr>
          <w:rFonts w:hint="eastAsia" w:ascii="仿宋_GB2312" w:hAnsi="Times New Roman" w:eastAsia="仿宋_GB2312" w:cs="仿宋_GB2312"/>
          <w:color w:val="auto"/>
          <w:kern w:val="0"/>
          <w:sz w:val="32"/>
          <w:szCs w:val="32"/>
          <w:highlight w:val="none"/>
        </w:rPr>
        <w:t>根据预算绩效管理要求，我中心由财务审计牵头，相关科室紧密配合，依据“谁申报、谁自评、谁绩效”的原则，采用成本效益分析法，对该项目产出完成、项目效益、财务管理、满意度等方面进行了认真全面的绩效自评。经自评，项目支出绩效情况良好。</w:t>
      </w:r>
    </w:p>
    <w:p>
      <w:pPr>
        <w:shd w:val="clear"/>
        <w:adjustRightInd w:val="0"/>
        <w:snapToGrid w:val="0"/>
        <w:spacing w:line="578" w:lineRule="exact"/>
        <w:ind w:firstLine="640" w:firstLineChars="200"/>
        <w:outlineLvl w:val="1"/>
        <w:rPr>
          <w:rFonts w:ascii="黑体" w:hAnsi="宋体" w:eastAsia="黑体" w:cstheme="minorBidi"/>
          <w:color w:val="auto"/>
          <w:sz w:val="32"/>
          <w:szCs w:val="32"/>
          <w:highlight w:val="none"/>
        </w:rPr>
      </w:pPr>
      <w:bookmarkStart w:id="389" w:name="_Toc24481"/>
      <w:bookmarkStart w:id="390" w:name="_Toc26793"/>
      <w:r>
        <w:rPr>
          <w:rFonts w:hint="eastAsia" w:ascii="黑体" w:hAnsi="宋体" w:eastAsia="黑体" w:cstheme="minorBidi"/>
          <w:color w:val="auto"/>
          <w:sz w:val="32"/>
          <w:szCs w:val="32"/>
          <w:highlight w:val="none"/>
        </w:rPr>
        <w:t>二、项目资金申报及使用情况</w:t>
      </w:r>
      <w:bookmarkEnd w:id="389"/>
      <w:bookmarkEnd w:id="390"/>
    </w:p>
    <w:p>
      <w:pPr>
        <w:shd w:val="clear"/>
        <w:adjustRightInd w:val="0"/>
        <w:snapToGrid w:val="0"/>
        <w:spacing w:line="578" w:lineRule="exact"/>
        <w:ind w:firstLine="640" w:firstLineChars="200"/>
        <w:rPr>
          <w:rFonts w:ascii="楷体_GB2312" w:hAnsi="宋体" w:eastAsia="楷体_GB2312" w:cstheme="minorBidi"/>
          <w:color w:val="auto"/>
          <w:sz w:val="32"/>
          <w:szCs w:val="32"/>
          <w:highlight w:val="none"/>
          <w:lang w:val="zh-CN"/>
        </w:rPr>
      </w:pPr>
      <w:r>
        <w:rPr>
          <w:rFonts w:hint="eastAsia" w:ascii="楷体_GB2312" w:hAnsi="宋体" w:eastAsia="楷体_GB2312" w:cstheme="minorBidi"/>
          <w:color w:val="auto"/>
          <w:sz w:val="32"/>
          <w:szCs w:val="32"/>
          <w:highlight w:val="none"/>
          <w:lang w:val="zh-CN"/>
        </w:rPr>
        <w:t>（一）项目资金申报及批复情况。</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rPr>
        <w:t>2022年，我中心申报国省干线公路路况检查及桥隧日常养护和安全监管经费项目资金50万元，财政部门按申报金额进行了批复。</w:t>
      </w:r>
    </w:p>
    <w:p>
      <w:pPr>
        <w:shd w:val="clear"/>
        <w:adjustRightInd w:val="0"/>
        <w:snapToGrid w:val="0"/>
        <w:spacing w:line="578" w:lineRule="exact"/>
        <w:ind w:firstLine="640" w:firstLineChars="200"/>
        <w:rPr>
          <w:rFonts w:ascii="仿宋_GB2312" w:hAnsi="宋体" w:eastAsia="仿宋_GB2312" w:cstheme="minorBidi"/>
          <w:color w:val="auto"/>
          <w:sz w:val="32"/>
          <w:szCs w:val="32"/>
          <w:highlight w:val="none"/>
          <w:lang w:val="zh-CN"/>
        </w:rPr>
      </w:pPr>
      <w:r>
        <w:rPr>
          <w:rFonts w:hint="eastAsia" w:ascii="楷体_GB2312" w:hAnsi="宋体" w:eastAsia="楷体_GB2312" w:cstheme="minorBidi"/>
          <w:color w:val="auto"/>
          <w:sz w:val="32"/>
          <w:szCs w:val="32"/>
          <w:highlight w:val="none"/>
          <w:lang w:val="zh-CN"/>
        </w:rPr>
        <w:t>（二）资金计划、到位及使用情况（可用表格形式反映）。</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1.资金计划及到位情况。</w:t>
      </w:r>
      <w:r>
        <w:rPr>
          <w:rFonts w:hint="eastAsia" w:ascii="Times New Roman" w:hAnsi="Times New Roman" w:eastAsia="仿宋_GB2312" w:cstheme="minorBidi"/>
          <w:color w:val="auto"/>
          <w:sz w:val="32"/>
          <w:szCs w:val="32"/>
          <w:highlight w:val="none"/>
          <w:lang w:val="zh-CN"/>
        </w:rPr>
        <w:t>2022年及时到位市本级财政资金50万元。</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ascii="仿宋_GB2312" w:hAnsi="仿宋_GB2312" w:eastAsia="仿宋_GB2312" w:cs="仿宋_GB2312"/>
          <w:color w:val="auto"/>
          <w:kern w:val="0"/>
          <w:sz w:val="32"/>
          <w:szCs w:val="32"/>
          <w:highlight w:val="none"/>
          <w:shd w:val="clear" w:color="auto" w:fill="FFFFFF"/>
          <w:lang w:val="zh-CN"/>
        </w:rPr>
        <w:t>2</w:t>
      </w:r>
      <w:r>
        <w:rPr>
          <w:rFonts w:hint="eastAsia" w:ascii="仿宋_GB2312" w:hAnsi="仿宋_GB2312" w:eastAsia="仿宋_GB2312" w:cs="仿宋_GB2312"/>
          <w:color w:val="auto"/>
          <w:kern w:val="0"/>
          <w:sz w:val="32"/>
          <w:szCs w:val="32"/>
          <w:highlight w:val="none"/>
          <w:shd w:val="clear" w:color="auto" w:fill="FFFFFF"/>
          <w:lang w:val="zh-CN"/>
        </w:rPr>
        <w:t>．资金使用。截止评价时点项目资金的实际支出为</w:t>
      </w:r>
      <w:r>
        <w:rPr>
          <w:rFonts w:ascii="仿宋_GB2312" w:hAnsi="仿宋_GB2312" w:eastAsia="仿宋_GB2312" w:cs="仿宋_GB2312"/>
          <w:color w:val="auto"/>
          <w:kern w:val="0"/>
          <w:sz w:val="32"/>
          <w:szCs w:val="32"/>
          <w:highlight w:val="none"/>
          <w:shd w:val="clear" w:color="auto" w:fill="FFFFFF"/>
        </w:rPr>
        <w:t>50</w:t>
      </w:r>
      <w:r>
        <w:rPr>
          <w:rFonts w:hint="eastAsia" w:ascii="仿宋_GB2312" w:hAnsi="仿宋_GB2312" w:eastAsia="仿宋_GB2312" w:cs="仿宋_GB2312"/>
          <w:color w:val="auto"/>
          <w:kern w:val="0"/>
          <w:sz w:val="32"/>
          <w:szCs w:val="32"/>
          <w:highlight w:val="none"/>
          <w:shd w:val="clear" w:color="auto" w:fill="FFFFFF"/>
          <w:lang w:val="zh-CN"/>
        </w:rPr>
        <w:t>万元，支付进度为</w:t>
      </w:r>
      <w:r>
        <w:rPr>
          <w:rFonts w:ascii="仿宋_GB2312" w:hAnsi="仿宋_GB2312" w:eastAsia="仿宋_GB2312" w:cs="仿宋_GB2312"/>
          <w:color w:val="auto"/>
          <w:kern w:val="0"/>
          <w:sz w:val="32"/>
          <w:szCs w:val="32"/>
          <w:highlight w:val="none"/>
          <w:shd w:val="clear" w:color="auto" w:fill="FFFFFF"/>
        </w:rPr>
        <w:t>100</w:t>
      </w:r>
      <w:r>
        <w:rPr>
          <w:rFonts w:hint="eastAsia" w:ascii="仿宋_GB2312" w:hAnsi="仿宋_GB2312" w:eastAsia="仿宋_GB2312" w:cs="仿宋_GB2312"/>
          <w:color w:val="auto"/>
          <w:kern w:val="0"/>
          <w:sz w:val="32"/>
          <w:szCs w:val="32"/>
          <w:highlight w:val="none"/>
          <w:shd w:val="clear" w:color="auto" w:fill="FFFFFF"/>
          <w:lang w:val="zh-CN"/>
        </w:rPr>
        <w:t>%。我中心严格按照项目执行进度进行资金支付，资金开支范围只涉及本项目；严格按照合同条款，根据施工单位正常计量和完成计量工程款的拨付，支付依据合规合法。</w:t>
      </w:r>
    </w:p>
    <w:p>
      <w:pPr>
        <w:shd w:val="clear"/>
        <w:adjustRightInd w:val="0"/>
        <w:snapToGrid w:val="0"/>
        <w:spacing w:line="578" w:lineRule="exact"/>
        <w:ind w:firstLine="640" w:firstLineChars="200"/>
        <w:rPr>
          <w:rFonts w:ascii="楷体_GB2312" w:hAnsi="宋体" w:eastAsia="楷体_GB2312" w:cstheme="minorBidi"/>
          <w:color w:val="auto"/>
          <w:sz w:val="32"/>
          <w:szCs w:val="32"/>
          <w:highlight w:val="none"/>
          <w:lang w:val="zh-CN"/>
        </w:rPr>
      </w:pPr>
      <w:r>
        <w:rPr>
          <w:rFonts w:hint="eastAsia" w:ascii="楷体_GB2312" w:hAnsi="宋体" w:eastAsia="楷体_GB2312" w:cstheme="minorBidi"/>
          <w:color w:val="auto"/>
          <w:sz w:val="32"/>
          <w:szCs w:val="32"/>
          <w:highlight w:val="none"/>
          <w:lang w:val="zh-CN"/>
        </w:rPr>
        <w:t>（三）项目财务管理情况。</w:t>
      </w:r>
    </w:p>
    <w:p>
      <w:pPr>
        <w:shd w:val="clear"/>
        <w:adjustRightInd w:val="0"/>
        <w:snapToGrid w:val="0"/>
        <w:spacing w:line="576" w:lineRule="exact"/>
        <w:ind w:firstLine="720"/>
        <w:rPr>
          <w:rFonts w:hint="eastAsia" w:ascii="Times New Roman" w:hAnsi="Times New Roman" w:eastAsia="仿宋_GB2312" w:cstheme="minorBidi"/>
          <w:color w:val="auto"/>
          <w:sz w:val="32"/>
          <w:szCs w:val="32"/>
          <w:highlight w:val="none"/>
          <w:lang w:val="zh-CN"/>
        </w:rPr>
      </w:pPr>
      <w:r>
        <w:rPr>
          <w:rFonts w:hint="eastAsia" w:ascii="宋体" w:hAnsi="宋体" w:eastAsia="仿宋_GB2312" w:cstheme="minorBidi"/>
          <w:color w:val="auto"/>
          <w:sz w:val="32"/>
          <w:szCs w:val="32"/>
          <w:highlight w:val="none"/>
        </w:rPr>
        <w:t>我中心</w:t>
      </w:r>
      <w:r>
        <w:rPr>
          <w:rFonts w:hint="eastAsia" w:ascii="宋体" w:hAnsi="宋体" w:eastAsia="仿宋_GB2312" w:cstheme="minorBidi"/>
          <w:color w:val="auto"/>
          <w:sz w:val="32"/>
          <w:szCs w:val="32"/>
          <w:highlight w:val="none"/>
          <w:lang w:val="zh-CN"/>
        </w:rPr>
        <w:t>财务审计科负责项目资金管理工作，</w:t>
      </w:r>
      <w:r>
        <w:rPr>
          <w:rFonts w:hint="eastAsia" w:ascii="宋体" w:hAnsi="宋体" w:eastAsia="仿宋_GB2312" w:cstheme="minorBidi"/>
          <w:color w:val="auto"/>
          <w:sz w:val="32"/>
          <w:szCs w:val="32"/>
          <w:highlight w:val="none"/>
        </w:rPr>
        <w:t>严格按</w:t>
      </w:r>
      <w:r>
        <w:rPr>
          <w:rFonts w:hint="eastAsia" w:ascii="宋体" w:hAnsi="宋体" w:eastAsia="仿宋_GB2312" w:cstheme="minorBidi"/>
          <w:color w:val="auto"/>
          <w:sz w:val="32"/>
          <w:szCs w:val="32"/>
          <w:highlight w:val="none"/>
          <w:lang w:eastAsia="zh-CN"/>
        </w:rPr>
        <w:t>照项目实际</w:t>
      </w:r>
      <w:r>
        <w:rPr>
          <w:rFonts w:hint="eastAsia" w:ascii="宋体" w:hAnsi="宋体" w:eastAsia="仿宋_GB2312" w:cstheme="minorBidi"/>
          <w:color w:val="auto"/>
          <w:sz w:val="32"/>
          <w:szCs w:val="32"/>
          <w:highlight w:val="none"/>
        </w:rPr>
        <w:t>进度申请资金拨付</w:t>
      </w:r>
      <w:r>
        <w:rPr>
          <w:rFonts w:hint="eastAsia" w:ascii="宋体" w:hAnsi="宋体" w:eastAsia="仿宋_GB2312" w:cstheme="minorBidi"/>
          <w:color w:val="auto"/>
          <w:sz w:val="32"/>
          <w:szCs w:val="32"/>
          <w:highlight w:val="none"/>
          <w:lang w:val="zh-CN"/>
        </w:rPr>
        <w:t>，资金使用范围较规范，账务处理及时，会计核算及财务处理规范，符合财务管理要求。</w:t>
      </w:r>
    </w:p>
    <w:p>
      <w:pPr>
        <w:shd w:val="clear"/>
        <w:adjustRightInd w:val="0"/>
        <w:snapToGrid w:val="0"/>
        <w:spacing w:line="578" w:lineRule="exact"/>
        <w:ind w:firstLine="640" w:firstLineChars="200"/>
        <w:outlineLvl w:val="1"/>
        <w:rPr>
          <w:rFonts w:ascii="黑体" w:hAnsi="宋体" w:eastAsia="黑体" w:cstheme="minorBidi"/>
          <w:color w:val="auto"/>
          <w:sz w:val="32"/>
          <w:szCs w:val="32"/>
          <w:highlight w:val="none"/>
        </w:rPr>
      </w:pPr>
      <w:bookmarkStart w:id="391" w:name="_Toc21339"/>
      <w:bookmarkStart w:id="392" w:name="_Toc12389"/>
      <w:r>
        <w:rPr>
          <w:rFonts w:hint="eastAsia" w:ascii="黑体" w:hAnsi="宋体" w:eastAsia="黑体" w:cstheme="minorBidi"/>
          <w:color w:val="auto"/>
          <w:sz w:val="32"/>
          <w:szCs w:val="32"/>
          <w:highlight w:val="none"/>
        </w:rPr>
        <w:t>三、项目实施及管理情况</w:t>
      </w:r>
      <w:bookmarkEnd w:id="391"/>
      <w:bookmarkEnd w:id="392"/>
    </w:p>
    <w:p>
      <w:pPr>
        <w:pStyle w:val="24"/>
        <w:shd w:val="clear"/>
        <w:ind w:left="0" w:leftChars="0" w:firstLine="640"/>
        <w:rPr>
          <w:rFonts w:hint="eastAsia" w:ascii="Times New Roman" w:hAnsi="Times New Roman"/>
          <w:color w:val="auto"/>
          <w:highlight w:val="none"/>
        </w:rPr>
      </w:pPr>
      <w:r>
        <w:rPr>
          <w:rFonts w:hint="eastAsia" w:ascii="宋体" w:hAnsi="宋体"/>
          <w:color w:val="auto"/>
          <w:highlight w:val="none"/>
        </w:rPr>
        <w:t>项目主要由我中心养护科组织开展日常业务管理，重要工作通过中心工程领导小组和党委会研究决定后，再按程序推动。本项目严格按照招投标、政府采购、项目公示制等相关规定，通过购买服务，完成对项目实施需要的人员、技术单位等各项服务</w:t>
      </w:r>
      <w:r>
        <w:rPr>
          <w:rFonts w:hint="eastAsia" w:ascii="仿宋_GB2312" w:hAnsi="仿宋_GB2312" w:cs="仿宋_GB2312"/>
          <w:color w:val="auto"/>
          <w:kern w:val="0"/>
          <w:highlight w:val="none"/>
          <w:shd w:val="clear" w:color="auto" w:fill="FFFFFF"/>
          <w:lang w:val="zh-CN"/>
        </w:rPr>
        <w:t>。</w:t>
      </w:r>
    </w:p>
    <w:p>
      <w:pPr>
        <w:shd w:val="clear"/>
        <w:adjustRightInd w:val="0"/>
        <w:snapToGrid w:val="0"/>
        <w:spacing w:line="578" w:lineRule="exact"/>
        <w:ind w:firstLine="640" w:firstLineChars="200"/>
        <w:outlineLvl w:val="1"/>
        <w:rPr>
          <w:rFonts w:ascii="仿宋_GB2312" w:hAnsi="宋体" w:eastAsia="仿宋_GB2312" w:cstheme="minorBidi"/>
          <w:color w:val="auto"/>
          <w:sz w:val="32"/>
          <w:szCs w:val="32"/>
          <w:highlight w:val="none"/>
          <w:lang w:val="zh-CN"/>
        </w:rPr>
      </w:pPr>
      <w:bookmarkStart w:id="393" w:name="_Toc20330"/>
      <w:bookmarkStart w:id="394" w:name="_Toc10290"/>
      <w:r>
        <w:rPr>
          <w:rFonts w:hint="eastAsia" w:ascii="黑体" w:hAnsi="宋体" w:eastAsia="黑体" w:cstheme="minorBidi"/>
          <w:color w:val="auto"/>
          <w:sz w:val="32"/>
          <w:szCs w:val="32"/>
          <w:highlight w:val="none"/>
        </w:rPr>
        <w:t>四、项目绩效情况</w:t>
      </w:r>
      <w:bookmarkEnd w:id="393"/>
      <w:bookmarkEnd w:id="394"/>
      <w:r>
        <w:rPr>
          <w:rFonts w:hint="eastAsia" w:ascii="仿宋_GB2312" w:hAnsi="宋体" w:eastAsia="仿宋_GB2312" w:cstheme="minorBidi"/>
          <w:color w:val="auto"/>
          <w:sz w:val="32"/>
          <w:szCs w:val="32"/>
          <w:highlight w:val="none"/>
          <w:lang w:val="zh-CN"/>
        </w:rPr>
        <w:tab/>
      </w:r>
    </w:p>
    <w:p>
      <w:pPr>
        <w:shd w:val="clear"/>
        <w:adjustRightInd w:val="0"/>
        <w:snapToGrid w:val="0"/>
        <w:spacing w:line="578" w:lineRule="exact"/>
        <w:ind w:firstLine="640" w:firstLineChars="200"/>
        <w:rPr>
          <w:rFonts w:ascii="楷体_GB2312" w:hAnsi="宋体" w:eastAsia="楷体_GB2312" w:cstheme="minorBidi"/>
          <w:color w:val="auto"/>
          <w:sz w:val="32"/>
          <w:szCs w:val="32"/>
          <w:highlight w:val="none"/>
          <w:lang w:val="zh-CN"/>
        </w:rPr>
      </w:pPr>
      <w:r>
        <w:rPr>
          <w:rFonts w:hint="eastAsia" w:ascii="楷体_GB2312" w:hAnsi="宋体" w:eastAsia="楷体_GB2312" w:cstheme="minorBidi"/>
          <w:color w:val="auto"/>
          <w:sz w:val="32"/>
          <w:szCs w:val="32"/>
          <w:highlight w:val="none"/>
          <w:lang w:val="zh-CN"/>
        </w:rPr>
        <w:t>（一）项目完成情况。</w:t>
      </w:r>
    </w:p>
    <w:p>
      <w:pPr>
        <w:shd w:val="clear"/>
        <w:ind w:firstLine="640" w:firstLineChars="200"/>
        <w:jc w:val="left"/>
        <w:rPr>
          <w:rFonts w:hint="eastAsia" w:ascii="宋体" w:hAnsi="宋体" w:eastAsia="仿宋_GB2312" w:cstheme="minorBidi"/>
          <w:color w:val="auto"/>
          <w:sz w:val="32"/>
          <w:szCs w:val="32"/>
          <w:highlight w:val="none"/>
          <w:lang w:val="zh-CN"/>
        </w:rPr>
      </w:pPr>
      <w:r>
        <w:rPr>
          <w:rFonts w:hint="eastAsia" w:ascii="宋体" w:hAnsi="宋体" w:eastAsia="仿宋_GB2312" w:cstheme="minorBidi"/>
          <w:color w:val="auto"/>
          <w:sz w:val="32"/>
          <w:szCs w:val="32"/>
          <w:highlight w:val="none"/>
          <w:lang w:val="zh-CN"/>
        </w:rPr>
        <w:t>2022年完成对全市普通国省干线公路抽检路段路况水平自动化检测，PQI值在90以上；同时对全市部分桥梁进行检测，建立危桥台账。</w:t>
      </w:r>
      <w:r>
        <w:rPr>
          <w:rFonts w:hint="eastAsia" w:ascii="Times New Roman" w:hAnsi="Times New Roman" w:eastAsia="仿宋_GB2312" w:cstheme="minorBidi"/>
          <w:color w:val="auto"/>
          <w:sz w:val="32"/>
          <w:szCs w:val="32"/>
          <w:highlight w:val="none"/>
        </w:rPr>
        <w:t>项目全年保质保量完成绩效目标，按照实际施工进度进行资金拨付，较好的控制了项目成本。</w:t>
      </w:r>
    </w:p>
    <w:p>
      <w:pPr>
        <w:shd w:val="clear"/>
        <w:adjustRightInd w:val="0"/>
        <w:snapToGrid w:val="0"/>
        <w:spacing w:line="578" w:lineRule="exact"/>
        <w:ind w:firstLine="640" w:firstLineChars="200"/>
        <w:rPr>
          <w:rFonts w:ascii="楷体_GB2312" w:hAnsi="宋体" w:eastAsia="楷体_GB2312" w:cstheme="minorBidi"/>
          <w:color w:val="auto"/>
          <w:sz w:val="32"/>
          <w:szCs w:val="32"/>
          <w:highlight w:val="none"/>
          <w:lang w:val="zh-CN"/>
        </w:rPr>
      </w:pPr>
      <w:r>
        <w:rPr>
          <w:rFonts w:hint="eastAsia" w:ascii="楷体_GB2312" w:hAnsi="宋体" w:eastAsia="楷体_GB2312" w:cstheme="minorBidi"/>
          <w:color w:val="auto"/>
          <w:sz w:val="32"/>
          <w:szCs w:val="32"/>
          <w:highlight w:val="none"/>
          <w:lang w:val="zh-CN"/>
        </w:rPr>
        <w:t>（二）项目效益情况。</w:t>
      </w:r>
    </w:p>
    <w:p>
      <w:pPr>
        <w:shd w:val="clear"/>
        <w:ind w:firstLine="640" w:firstLineChars="200"/>
        <w:jc w:val="left"/>
        <w:rPr>
          <w:rFonts w:ascii="宋体" w:hAnsi="宋体" w:eastAsia="仿宋_GB2312" w:cstheme="minorBidi"/>
          <w:color w:val="auto"/>
          <w:sz w:val="32"/>
          <w:szCs w:val="32"/>
          <w:highlight w:val="none"/>
          <w:lang w:val="zh-CN"/>
        </w:rPr>
      </w:pPr>
      <w:r>
        <w:rPr>
          <w:rFonts w:hint="eastAsia" w:ascii="宋体" w:hAnsi="宋体" w:eastAsia="仿宋_GB2312" w:cstheme="minorBidi"/>
          <w:color w:val="auto"/>
          <w:sz w:val="32"/>
          <w:szCs w:val="32"/>
          <w:highlight w:val="none"/>
          <w:lang w:val="zh-CN"/>
        </w:rPr>
        <w:t>2022年国省干线公路路况检测及桥隧日常养护和安全监管工作的开展，一方面及时掌握了国省县道路实际通行水平，有针对性的采取养护措施，另一方面及时掌握了桥隧信息，开展了桥隧养护管理及危桥改造工作，保障道路安全、交通通达，为人民群众安全出行保驾护航。</w:t>
      </w:r>
    </w:p>
    <w:p>
      <w:pPr>
        <w:shd w:val="clear"/>
        <w:adjustRightInd w:val="0"/>
        <w:snapToGrid w:val="0"/>
        <w:spacing w:line="578" w:lineRule="exact"/>
        <w:ind w:firstLine="640" w:firstLineChars="200"/>
        <w:outlineLvl w:val="1"/>
        <w:rPr>
          <w:rFonts w:ascii="黑体" w:hAnsi="宋体" w:eastAsia="黑体" w:cstheme="minorBidi"/>
          <w:color w:val="auto"/>
          <w:sz w:val="32"/>
          <w:szCs w:val="32"/>
          <w:highlight w:val="none"/>
        </w:rPr>
      </w:pPr>
      <w:bookmarkStart w:id="395" w:name="_Toc10262"/>
      <w:bookmarkStart w:id="396" w:name="_Toc10972"/>
      <w:r>
        <w:rPr>
          <w:rFonts w:hint="eastAsia" w:ascii="黑体" w:hAnsi="宋体" w:eastAsia="黑体" w:cstheme="minorBidi"/>
          <w:color w:val="auto"/>
          <w:sz w:val="32"/>
          <w:szCs w:val="32"/>
          <w:highlight w:val="none"/>
        </w:rPr>
        <w:t>五、评价结论及建议</w:t>
      </w:r>
      <w:bookmarkEnd w:id="395"/>
      <w:bookmarkEnd w:id="396"/>
    </w:p>
    <w:p>
      <w:pPr>
        <w:shd w:val="clear"/>
        <w:adjustRightInd w:val="0"/>
        <w:snapToGrid w:val="0"/>
        <w:spacing w:line="578" w:lineRule="exact"/>
        <w:ind w:firstLine="640" w:firstLineChars="200"/>
        <w:rPr>
          <w:rFonts w:ascii="楷体_GB2312" w:hAnsi="宋体" w:eastAsia="楷体_GB2312" w:cstheme="minorBidi"/>
          <w:color w:val="auto"/>
          <w:sz w:val="32"/>
          <w:szCs w:val="32"/>
          <w:highlight w:val="none"/>
          <w:lang w:val="zh-CN"/>
        </w:rPr>
      </w:pPr>
      <w:r>
        <w:rPr>
          <w:rFonts w:hint="eastAsia" w:ascii="楷体_GB2312" w:hAnsi="宋体" w:eastAsia="楷体_GB2312" w:cstheme="minorBidi"/>
          <w:color w:val="auto"/>
          <w:sz w:val="32"/>
          <w:szCs w:val="32"/>
          <w:highlight w:val="none"/>
          <w:lang w:val="zh-CN"/>
        </w:rPr>
        <w:t>（一）评价结论。</w:t>
      </w:r>
    </w:p>
    <w:p>
      <w:pPr>
        <w:pStyle w:val="24"/>
        <w:shd w:val="clear"/>
        <w:ind w:left="0" w:leftChars="0" w:firstLine="640"/>
        <w:rPr>
          <w:rFonts w:hint="eastAsia" w:ascii="Times New Roman" w:hAnsi="Times New Roman"/>
          <w:color w:val="auto"/>
          <w:highlight w:val="none"/>
          <w:lang w:val="zh-CN"/>
        </w:rPr>
      </w:pPr>
      <w:r>
        <w:rPr>
          <w:rFonts w:hint="eastAsia" w:ascii="Times New Roman" w:hAnsi="Times New Roman"/>
          <w:color w:val="auto"/>
          <w:highlight w:val="none"/>
          <w:lang w:val="zh-CN"/>
        </w:rPr>
        <w:t>该项目立项必要、程序严密、规划科学、分配合理、制度完备、决策依据充分，实施程序合法合规、资金到位及时拨付规范。及时完成项目绩效目标，实施质量良好，项目自评得分100分。</w:t>
      </w:r>
    </w:p>
    <w:p>
      <w:pPr>
        <w:shd w:val="clear"/>
        <w:adjustRightInd w:val="0"/>
        <w:snapToGrid w:val="0"/>
        <w:spacing w:line="578" w:lineRule="exact"/>
        <w:ind w:firstLine="640" w:firstLineChars="200"/>
        <w:rPr>
          <w:rFonts w:ascii="楷体_GB2312" w:hAnsi="宋体" w:eastAsia="楷体_GB2312" w:cstheme="minorBidi"/>
          <w:color w:val="auto"/>
          <w:sz w:val="32"/>
          <w:szCs w:val="32"/>
          <w:highlight w:val="none"/>
          <w:lang w:val="zh-CN"/>
        </w:rPr>
      </w:pPr>
      <w:r>
        <w:rPr>
          <w:rFonts w:hint="eastAsia" w:ascii="楷体_GB2312" w:hAnsi="宋体" w:eastAsia="楷体_GB2312" w:cstheme="minorBidi"/>
          <w:color w:val="auto"/>
          <w:sz w:val="32"/>
          <w:szCs w:val="32"/>
          <w:highlight w:val="none"/>
          <w:lang w:val="zh-CN"/>
        </w:rPr>
        <w:t>（二）存在的问题。</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无</w:t>
      </w:r>
    </w:p>
    <w:p>
      <w:pPr>
        <w:shd w:val="clear"/>
        <w:adjustRightInd w:val="0"/>
        <w:snapToGrid w:val="0"/>
        <w:spacing w:line="578" w:lineRule="exact"/>
        <w:ind w:firstLine="640" w:firstLineChars="200"/>
        <w:rPr>
          <w:rFonts w:ascii="楷体_GB2312" w:hAnsi="宋体" w:eastAsia="楷体_GB2312" w:cstheme="minorBidi"/>
          <w:color w:val="auto"/>
          <w:sz w:val="32"/>
          <w:szCs w:val="32"/>
          <w:highlight w:val="none"/>
          <w:lang w:val="zh-CN"/>
        </w:rPr>
      </w:pPr>
      <w:r>
        <w:rPr>
          <w:rFonts w:hint="eastAsia" w:ascii="楷体_GB2312" w:hAnsi="宋体" w:eastAsia="楷体_GB2312" w:cstheme="minorBidi"/>
          <w:color w:val="auto"/>
          <w:sz w:val="32"/>
          <w:szCs w:val="32"/>
          <w:highlight w:val="none"/>
          <w:lang w:val="zh-CN"/>
        </w:rPr>
        <w:t>（三）相关建议。</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无</w:t>
      </w:r>
    </w:p>
    <w:p>
      <w:pPr>
        <w:shd w:val="clea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br w:type="page"/>
      </w:r>
    </w:p>
    <w:p>
      <w:pPr>
        <w:pStyle w:val="38"/>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附件16：</w:t>
      </w:r>
    </w:p>
    <w:p>
      <w:pPr>
        <w:pStyle w:val="38"/>
        <w:keepNext w:val="0"/>
        <w:keepLines w:val="0"/>
        <w:pageBreakBefore w:val="0"/>
        <w:widowControl w:val="0"/>
        <w:shd w:val="clear"/>
        <w:kinsoku/>
        <w:wordWrap/>
        <w:overflowPunct/>
        <w:topLinePunct w:val="0"/>
        <w:autoSpaceDE/>
        <w:autoSpaceDN/>
        <w:bidi w:val="0"/>
        <w:spacing w:line="578" w:lineRule="exact"/>
        <w:jc w:val="center"/>
        <w:textAlignment w:val="auto"/>
        <w:outlineLvl w:val="1"/>
        <w:rPr>
          <w:rFonts w:hint="default" w:ascii="方正小标宋简体" w:hAnsi="方正小标宋简体" w:eastAsia="方正小标宋简体" w:cs="方正小标宋简体"/>
          <w:b w:val="0"/>
          <w:bCs w:val="0"/>
          <w:color w:val="auto"/>
          <w:kern w:val="2"/>
          <w:sz w:val="44"/>
          <w:szCs w:val="44"/>
          <w:highlight w:val="none"/>
          <w:lang w:eastAsia="zh-CN"/>
        </w:rPr>
      </w:pPr>
      <w:bookmarkStart w:id="397" w:name="_Toc13731"/>
      <w:bookmarkStart w:id="398" w:name="_Toc27065"/>
      <w:r>
        <w:rPr>
          <w:rFonts w:hint="default" w:ascii="方正小标宋简体" w:hAnsi="方正小标宋简体" w:eastAsia="方正小标宋简体" w:cs="方正小标宋简体"/>
          <w:b w:val="0"/>
          <w:bCs w:val="0"/>
          <w:color w:val="auto"/>
          <w:kern w:val="2"/>
          <w:sz w:val="44"/>
          <w:szCs w:val="44"/>
          <w:highlight w:val="none"/>
          <w:lang w:eastAsia="zh-CN"/>
        </w:rPr>
        <w:t>广元市交通运输综合行政执法支队</w:t>
      </w:r>
      <w:bookmarkEnd w:id="397"/>
      <w:bookmarkEnd w:id="398"/>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w:t>
      </w:r>
      <w:r>
        <w:rPr>
          <w:rFonts w:hint="default" w:ascii="方正小标宋简体" w:hAnsi="方正小标宋简体" w:eastAsia="方正小标宋简体" w:cs="方正小标宋简体"/>
          <w:b w:val="0"/>
          <w:bCs w:val="0"/>
          <w:color w:val="auto"/>
          <w:kern w:val="2"/>
          <w:sz w:val="44"/>
          <w:szCs w:val="44"/>
          <w:highlight w:val="none"/>
          <w:lang w:val="zh-CN" w:eastAsia="zh-CN" w:bidi="ar-SA"/>
        </w:rPr>
        <w:t>购置执法服装和标志</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专项资金</w:t>
      </w:r>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预算项目支出绩效自评报告</w:t>
      </w:r>
    </w:p>
    <w:p>
      <w:pPr>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lang w:val="zh-CN"/>
        </w:rPr>
      </w:pPr>
      <w:bookmarkStart w:id="399" w:name="_Toc1201045486_WPSOffice_Level2"/>
      <w:bookmarkStart w:id="400" w:name="_Toc3070"/>
      <w:bookmarkStart w:id="401" w:name="_Toc2423"/>
      <w:bookmarkStart w:id="402" w:name="_Toc1963633303_WPSOffice_Level2"/>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bookmarkEnd w:id="399"/>
      <w:bookmarkEnd w:id="400"/>
      <w:bookmarkEnd w:id="401"/>
      <w:bookmarkEnd w:id="402"/>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widowControl/>
        <w:suppressLineNumbers w:val="0"/>
        <w:shd w:val="clear"/>
        <w:ind w:firstLine="640" w:firstLineChars="200"/>
        <w:jc w:val="left"/>
        <w:rPr>
          <w:rFonts w:hint="default" w:ascii="仿宋_GB2312" w:hAnsi="宋体" w:eastAsia="仿宋_GB2312" w:cs="Times New Roman"/>
          <w:color w:val="auto"/>
          <w:kern w:val="2"/>
          <w:sz w:val="32"/>
          <w:szCs w:val="32"/>
          <w:highlight w:val="none"/>
          <w:lang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w:t>
      </w:r>
      <w:r>
        <w:rPr>
          <w:rFonts w:hint="default" w:ascii="仿宋_GB2312" w:hAnsi="仿宋_GB2312" w:eastAsia="仿宋_GB2312" w:cs="仿宋_GB2312"/>
          <w:b w:val="0"/>
          <w:bCs w:val="0"/>
          <w:color w:val="auto"/>
          <w:kern w:val="0"/>
          <w:sz w:val="32"/>
          <w:szCs w:val="32"/>
          <w:highlight w:val="none"/>
          <w:u w:val="none"/>
          <w:shd w:val="clear" w:color="auto" w:fill="FFFFFF"/>
        </w:rPr>
        <w:t>支队</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在该</w:t>
      </w:r>
      <w:r>
        <w:rPr>
          <w:rFonts w:hint="eastAsia" w:ascii="仿宋_GB2312" w:hAnsi="宋体" w:eastAsia="仿宋_GB2312" w:cs="Times New Roman"/>
          <w:color w:val="auto"/>
          <w:kern w:val="2"/>
          <w:sz w:val="32"/>
          <w:szCs w:val="32"/>
          <w:highlight w:val="none"/>
          <w:lang w:val="zh-CN" w:eastAsia="zh-CN" w:bidi="ar-SA"/>
        </w:rPr>
        <w:t>项目管理中的职能</w:t>
      </w:r>
      <w:r>
        <w:rPr>
          <w:rFonts w:hint="eastAsia" w:ascii="仿宋_GB2312" w:hAnsi="宋体" w:eastAsia="仿宋_GB2312" w:cs="Times New Roman"/>
          <w:color w:val="auto"/>
          <w:kern w:val="2"/>
          <w:sz w:val="32"/>
          <w:szCs w:val="32"/>
          <w:highlight w:val="none"/>
          <w:lang w:val="en-US" w:eastAsia="zh-CN" w:bidi="ar-SA"/>
        </w:rPr>
        <w:t>。</w:t>
      </w:r>
      <w:r>
        <w:rPr>
          <w:rFonts w:hint="default" w:ascii="仿宋_GB2312" w:hAnsi="宋体" w:eastAsia="仿宋_GB2312" w:cs="Times New Roman"/>
          <w:color w:val="auto"/>
          <w:kern w:val="2"/>
          <w:sz w:val="32"/>
          <w:szCs w:val="32"/>
          <w:highlight w:val="none"/>
          <w:lang w:eastAsia="zh-CN" w:bidi="ar-SA"/>
        </w:rPr>
        <w:t>支队根据</w:t>
      </w:r>
      <w:r>
        <w:rPr>
          <w:rFonts w:hint="default" w:ascii="仿宋_GB2312" w:hAnsi="宋体" w:eastAsia="仿宋_GB2312" w:cs="Times New Roman"/>
          <w:color w:val="auto"/>
          <w:kern w:val="2"/>
          <w:sz w:val="32"/>
          <w:szCs w:val="32"/>
          <w:highlight w:val="none"/>
          <w:lang w:val="en-US" w:eastAsia="zh-CN" w:bidi="ar-SA"/>
        </w:rPr>
        <w:t>《四川省交通运输综合行政执法条例》</w:t>
      </w:r>
      <w:r>
        <w:rPr>
          <w:rFonts w:hint="default" w:ascii="仿宋_GB2312" w:hAnsi="宋体" w:eastAsia="仿宋_GB2312" w:cs="Times New Roman"/>
          <w:color w:val="auto"/>
          <w:kern w:val="2"/>
          <w:sz w:val="32"/>
          <w:szCs w:val="32"/>
          <w:highlight w:val="none"/>
          <w:lang w:eastAsia="zh-CN" w:bidi="ar-SA"/>
        </w:rPr>
        <w:t>要求</w:t>
      </w:r>
      <w:r>
        <w:rPr>
          <w:rFonts w:hint="default" w:ascii="仿宋_GB2312" w:hAnsi="宋体" w:eastAsia="仿宋_GB2312" w:cs="Times New Roman"/>
          <w:color w:val="auto"/>
          <w:kern w:val="2"/>
          <w:sz w:val="32"/>
          <w:szCs w:val="32"/>
          <w:highlight w:val="none"/>
          <w:lang w:val="en-US" w:eastAsia="zh-CN" w:bidi="ar-SA"/>
        </w:rPr>
        <w:t>交通运输综合行政执法人员在执法过程中按照规定统一着装、佩戴标志标识</w:t>
      </w:r>
      <w:r>
        <w:rPr>
          <w:rFonts w:hint="default" w:ascii="仿宋_GB2312" w:hAnsi="宋体" w:eastAsia="仿宋_GB2312" w:cs="Times New Roman"/>
          <w:color w:val="auto"/>
          <w:kern w:val="2"/>
          <w:sz w:val="32"/>
          <w:szCs w:val="32"/>
          <w:highlight w:val="none"/>
          <w:lang w:eastAsia="zh-CN" w:bidi="ar-SA"/>
        </w:rPr>
        <w:t>，对</w:t>
      </w:r>
      <w:r>
        <w:rPr>
          <w:rFonts w:hint="default" w:ascii="仿宋_GB2312" w:hAnsi="宋体" w:eastAsia="仿宋_GB2312" w:cs="Times New Roman"/>
          <w:color w:val="auto"/>
          <w:kern w:val="2"/>
          <w:sz w:val="32"/>
          <w:szCs w:val="32"/>
          <w:highlight w:val="none"/>
          <w:lang w:val="en-US" w:eastAsia="zh-CN" w:bidi="ar-SA"/>
        </w:rPr>
        <w:t>全市交通运输综合执法工作的组织协调和监督指导，协调组织全市跨区域案件、重大复杂疑难案件、转办交办案件的查处，负责市本级和利州区（含广元经开区）的交通运输综合执法工作。</w:t>
      </w:r>
    </w:p>
    <w:p>
      <w:pPr>
        <w:keepNext w:val="0"/>
        <w:keepLines w:val="0"/>
        <w:widowControl/>
        <w:suppressLineNumbers w:val="0"/>
        <w:shd w:val="clear"/>
        <w:spacing w:before="0" w:beforeAutospacing="0" w:after="0" w:afterAutospacing="0"/>
        <w:ind w:left="0" w:right="0" w:firstLine="640" w:firstLineChars="200"/>
        <w:jc w:val="left"/>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
        </w:rPr>
        <w:t>2．项目立项、资金申报的依</w:t>
      </w:r>
      <w:r>
        <w:rPr>
          <w:rFonts w:hint="eastAsia" w:ascii="仿宋_GB2312" w:hAnsi="宋体" w:eastAsia="仿宋_GB2312" w:cs="Times New Roman"/>
          <w:color w:val="auto"/>
          <w:kern w:val="2"/>
          <w:sz w:val="32"/>
          <w:szCs w:val="32"/>
          <w:highlight w:val="none"/>
          <w:lang w:val="zh-CN" w:eastAsia="zh-CN" w:bidi="ar-SA"/>
        </w:rPr>
        <w:t>据</w:t>
      </w:r>
      <w:r>
        <w:rPr>
          <w:rFonts w:hint="default" w:ascii="仿宋_GB2312" w:hAnsi="宋体" w:eastAsia="仿宋_GB2312" w:cs="Times New Roman"/>
          <w:color w:val="auto"/>
          <w:kern w:val="2"/>
          <w:sz w:val="32"/>
          <w:szCs w:val="32"/>
          <w:highlight w:val="none"/>
          <w:lang w:val="en-US" w:eastAsia="zh-CN" w:bidi="ar-SA"/>
        </w:rPr>
        <w:t>。该项目符合《交通运输部办公厅关于加强交通运输综合行政执法制式服装和及标志管理有关工作的通知》（交办法函〔2021〕453号）、《四川省综合行政执法制式服装和标志管理实施办法》、《关于做好全省交通运输系统综合行政执法制式服装和标志配发管理工作的通知》（川交法函〔2021〕244号），是开展在本级以及利州区、经开区交通工程建设等领域的行政处罚以及与行政处罚相关的行政检查、行政强制工作的重要前提，为运输市场的平稳发展提供了重要保障</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widowControl w:val="0"/>
        <w:shd w:val="clear"/>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w:t>
      </w:r>
      <w:r>
        <w:rPr>
          <w:rFonts w:hint="default" w:ascii="仿宋_GB2312" w:hAnsi="宋体" w:eastAsia="仿宋_GB2312"/>
          <w:color w:val="auto"/>
          <w:sz w:val="32"/>
          <w:szCs w:val="32"/>
          <w:highlight w:val="none"/>
        </w:rPr>
        <w:t>该项目实施制定了实施方案，组织机构健全，职责分工</w:t>
      </w:r>
      <w:r>
        <w:rPr>
          <w:rFonts w:hint="eastAsia" w:ascii="仿宋_GB2312" w:hAnsi="宋体" w:eastAsia="仿宋_GB2312"/>
          <w:color w:val="auto"/>
          <w:sz w:val="32"/>
          <w:szCs w:val="32"/>
          <w:highlight w:val="none"/>
          <w:lang w:eastAsia="zh-CN"/>
        </w:rPr>
        <w:t>明确</w:t>
      </w:r>
      <w:r>
        <w:rPr>
          <w:rFonts w:hint="default"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eastAsia="zh-CN"/>
        </w:rPr>
        <w:t>有具体的实施时间，有明确的工作程序，基础设施条件能够有效保障</w:t>
      </w:r>
      <w:r>
        <w:rPr>
          <w:rFonts w:hint="default" w:ascii="仿宋_GB2312" w:hAnsi="宋体" w:eastAsia="仿宋_GB2312"/>
          <w:color w:val="auto"/>
          <w:sz w:val="32"/>
          <w:szCs w:val="32"/>
          <w:highlight w:val="none"/>
          <w:lang w:eastAsia="zh-CN"/>
        </w:rPr>
        <w:t>。</w:t>
      </w:r>
      <w:r>
        <w:rPr>
          <w:rFonts w:hint="default" w:ascii="仿宋_GB2312" w:hAnsi="宋体" w:eastAsia="仿宋_GB2312"/>
          <w:color w:val="auto"/>
          <w:sz w:val="32"/>
          <w:szCs w:val="32"/>
          <w:highlight w:val="none"/>
          <w:u w:val="none"/>
        </w:rPr>
        <w:t>该项目</w:t>
      </w:r>
      <w:r>
        <w:rPr>
          <w:rFonts w:hint="default" w:ascii="仿宋_GB2312" w:hAnsi="宋体" w:eastAsia="仿宋_GB2312"/>
          <w:color w:val="auto"/>
          <w:sz w:val="32"/>
          <w:szCs w:val="32"/>
          <w:highlight w:val="none"/>
          <w:lang w:eastAsia="zh-CN"/>
        </w:rPr>
        <w:t>来源渠道</w:t>
      </w:r>
      <w:r>
        <w:rPr>
          <w:rFonts w:hint="eastAsia" w:ascii="仿宋_GB2312" w:hAnsi="宋体" w:eastAsia="仿宋_GB2312"/>
          <w:color w:val="auto"/>
          <w:sz w:val="32"/>
          <w:szCs w:val="32"/>
          <w:highlight w:val="none"/>
          <w:lang w:eastAsia="zh-CN"/>
        </w:rPr>
        <w:t>为市级财政资金</w:t>
      </w:r>
      <w:r>
        <w:rPr>
          <w:rFonts w:hint="default" w:ascii="仿宋_GB2312" w:hAnsi="宋体" w:eastAsia="仿宋_GB2312"/>
          <w:color w:val="auto"/>
          <w:sz w:val="32"/>
          <w:szCs w:val="32"/>
          <w:highlight w:val="none"/>
          <w:lang w:eastAsia="zh-CN"/>
        </w:rPr>
        <w:t>，项目具有公共性，属于公共财政支持范围，</w:t>
      </w:r>
      <w:r>
        <w:rPr>
          <w:rFonts w:hint="eastAsia" w:ascii="仿宋_GB2312" w:hAnsi="宋体" w:eastAsia="仿宋_GB2312"/>
          <w:color w:val="auto"/>
          <w:sz w:val="32"/>
          <w:szCs w:val="32"/>
          <w:highlight w:val="none"/>
          <w:lang w:eastAsia="zh-CN"/>
        </w:rPr>
        <w:t>筹资渠道符合法律法规规定</w:t>
      </w:r>
      <w:r>
        <w:rPr>
          <w:rFonts w:hint="default"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eastAsia="zh-CN"/>
        </w:rPr>
        <w:t>筹资结构</w:t>
      </w:r>
      <w:r>
        <w:rPr>
          <w:rFonts w:hint="default" w:ascii="仿宋_GB2312" w:hAnsi="宋体" w:eastAsia="仿宋_GB2312"/>
          <w:color w:val="auto"/>
          <w:sz w:val="32"/>
          <w:szCs w:val="32"/>
          <w:highlight w:val="none"/>
          <w:lang w:eastAsia="zh-CN"/>
        </w:rPr>
        <w:t>合理，</w:t>
      </w:r>
      <w:r>
        <w:rPr>
          <w:rFonts w:hint="eastAsia" w:ascii="仿宋_GB2312" w:hAnsi="宋体" w:eastAsia="仿宋_GB2312"/>
          <w:color w:val="auto"/>
          <w:sz w:val="32"/>
          <w:szCs w:val="32"/>
          <w:highlight w:val="none"/>
          <w:lang w:eastAsia="zh-CN"/>
        </w:rPr>
        <w:t>资金来源渠道</w:t>
      </w:r>
      <w:r>
        <w:rPr>
          <w:rFonts w:hint="default" w:ascii="仿宋_GB2312" w:hAnsi="宋体" w:eastAsia="仿宋_GB2312"/>
          <w:color w:val="auto"/>
          <w:sz w:val="32"/>
          <w:szCs w:val="32"/>
          <w:highlight w:val="none"/>
          <w:lang w:eastAsia="zh-CN"/>
        </w:rPr>
        <w:t>明确，</w:t>
      </w:r>
      <w:r>
        <w:rPr>
          <w:rFonts w:hint="eastAsia" w:ascii="仿宋_GB2312" w:hAnsi="宋体" w:eastAsia="仿宋_GB2312"/>
          <w:color w:val="auto"/>
          <w:sz w:val="32"/>
          <w:szCs w:val="32"/>
          <w:highlight w:val="none"/>
          <w:lang w:eastAsia="zh-CN"/>
        </w:rPr>
        <w:t>资金到位时间</w:t>
      </w:r>
      <w:r>
        <w:rPr>
          <w:rFonts w:hint="default" w:ascii="仿宋_GB2312" w:hAnsi="宋体" w:eastAsia="仿宋_GB2312"/>
          <w:color w:val="auto"/>
          <w:sz w:val="32"/>
          <w:szCs w:val="32"/>
          <w:highlight w:val="none"/>
          <w:lang w:eastAsia="zh-CN"/>
        </w:rPr>
        <w:t>以财政下拨时间为准，</w:t>
      </w:r>
      <w:r>
        <w:rPr>
          <w:rFonts w:hint="eastAsia" w:ascii="仿宋_GB2312" w:hAnsi="宋体" w:eastAsia="仿宋_GB2312"/>
          <w:color w:val="auto"/>
          <w:sz w:val="32"/>
          <w:szCs w:val="32"/>
          <w:highlight w:val="none"/>
          <w:lang w:eastAsia="zh-CN"/>
        </w:rPr>
        <w:t>条件能够落实</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r>
        <w:rPr>
          <w:rFonts w:hint="eastAsia" w:ascii="Times New Roman" w:hAnsi="Times New Roman" w:eastAsia="仿宋_GB2312"/>
          <w:color w:val="auto"/>
          <w:sz w:val="32"/>
          <w:szCs w:val="32"/>
          <w:highlight w:val="none"/>
        </w:rPr>
        <w:t>采购执法人员制式服装和标志。</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2．项目应实现的具体绩效目标</w:t>
      </w:r>
      <w:r>
        <w:rPr>
          <w:rFonts w:hint="default" w:ascii="仿宋_GB2312" w:hAnsi="仿宋_GB2312" w:eastAsia="仿宋_GB2312" w:cs="仿宋_GB2312"/>
          <w:b w:val="0"/>
          <w:bCs w:val="0"/>
          <w:color w:val="auto"/>
          <w:kern w:val="0"/>
          <w:sz w:val="32"/>
          <w:szCs w:val="32"/>
          <w:highlight w:val="none"/>
          <w:u w:val="none"/>
          <w:shd w:val="clear" w:color="auto" w:fill="FFFFFF"/>
        </w:rPr>
        <w:t>。2022年采购制式服装和标志人数8人，完成需要的服装及标志采购100%，购置执法服装和标志支付控制在预算数30704.6元范围内，支付率100%，保障执法工作开展率100%，职工满意度良好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3．评价申报内容与实际相符，申报目标合理可行。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default" w:ascii="仿宋_GB2312" w:hAnsi="仿宋_GB2312" w:eastAsia="仿宋_GB2312" w:cs="仿宋_GB2312"/>
          <w:b w:val="0"/>
          <w:bCs w:val="0"/>
          <w:color w:val="auto"/>
          <w:kern w:val="0"/>
          <w:sz w:val="32"/>
          <w:szCs w:val="32"/>
          <w:highlight w:val="none"/>
          <w:u w:val="none"/>
          <w:shd w:val="clear" w:color="auto" w:fill="FFFFFF"/>
        </w:rPr>
        <w:t>1.收集资料：为了准确、客观的开展项目支出绩效目标自评，支队收集关于该项目的有关资料，包括年初预算金额、项目事前评估报告、项目绩效目标、资金使用明细、项目实施情况等。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u w:val="none"/>
          <w:shd w:val="clear" w:color="auto" w:fill="FFFFFF"/>
        </w:rPr>
        <w:t>2.资料整合：将收集的项目资料进行整理，以便数据比较，直</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观的反映项目实施的进展情况和结果，利于开展项目自</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评。</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eastAsia="仿宋_GB2312"/>
          <w:color w:val="auto"/>
          <w:sz w:val="32"/>
          <w:szCs w:val="32"/>
          <w:highlight w:val="none"/>
        </w:rPr>
      </w:pP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3.评定结果：对比年初既定项目绩效目标检验项目实施是否完成绩效目标，再</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从项目</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产出指标、效益指标、成本指标、满意度指标</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等方面对项目效益进</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行全</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面</w:t>
      </w:r>
      <w:r>
        <w:rPr>
          <w:rFonts w:hint="default" w:ascii="仿宋_GB2312" w:hAnsi="仿宋_GB2312" w:eastAsia="仿宋_GB2312" w:cs="仿宋_GB2312"/>
          <w:b w:val="0"/>
          <w:bCs w:val="0"/>
          <w:color w:val="auto"/>
          <w:kern w:val="0"/>
          <w:sz w:val="32"/>
          <w:szCs w:val="32"/>
          <w:highlight w:val="none"/>
          <w:u w:val="none"/>
          <w:shd w:val="clear" w:color="auto" w:fill="FFFFFF"/>
        </w:rPr>
        <w:t>、细致地</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分析评价</w:t>
      </w:r>
      <w:r>
        <w:rPr>
          <w:rFonts w:hint="default" w:ascii="仿宋_GB2312" w:hAnsi="仿宋_GB2312" w:eastAsia="仿宋_GB2312" w:cs="仿宋_GB2312"/>
          <w:b w:val="0"/>
          <w:bCs w:val="0"/>
          <w:color w:val="auto"/>
          <w:kern w:val="0"/>
          <w:sz w:val="32"/>
          <w:szCs w:val="32"/>
          <w:highlight w:val="none"/>
          <w:u w:val="none"/>
          <w:shd w:val="clear" w:color="auto" w:fill="FFFFFF"/>
        </w:rPr>
        <w:t>，最后撰写项目支出绩效目标自评报告。</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403" w:name="_Toc22486"/>
      <w:bookmarkStart w:id="404" w:name="_Toc25964"/>
      <w:bookmarkStart w:id="405" w:name="_Toc1220755410_WPSOffice_Level2"/>
      <w:bookmarkStart w:id="406" w:name="_Toc1327183333_WPSOffice_Level2"/>
      <w:r>
        <w:rPr>
          <w:rFonts w:hint="eastAsia" w:ascii="黑体" w:hAnsi="宋体" w:eastAsia="黑体"/>
          <w:b w:val="0"/>
          <w:bCs w:val="0"/>
          <w:color w:val="auto"/>
          <w:sz w:val="32"/>
          <w:szCs w:val="32"/>
          <w:highlight w:val="none"/>
          <w:u w:val="none"/>
        </w:rPr>
        <w:t>二、项目资金申报及使用情况</w:t>
      </w:r>
      <w:bookmarkEnd w:id="403"/>
      <w:bookmarkEnd w:id="404"/>
      <w:bookmarkEnd w:id="405"/>
      <w:bookmarkEnd w:id="406"/>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default" w:ascii="仿宋_GB2312" w:hAnsi="仿宋_GB2312" w:eastAsia="仿宋_GB2312" w:cs="仿宋_GB2312"/>
          <w:b w:val="0"/>
          <w:bCs w:val="0"/>
          <w:color w:val="auto"/>
          <w:kern w:val="0"/>
          <w:sz w:val="32"/>
          <w:szCs w:val="32"/>
          <w:highlight w:val="none"/>
          <w:u w:val="none"/>
          <w:shd w:val="clear" w:color="auto" w:fill="FFFFFF"/>
        </w:rPr>
        <w:t>该</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项目资金申报</w:t>
      </w:r>
      <w:r>
        <w:rPr>
          <w:rFonts w:hint="default" w:ascii="仿宋_GB2312" w:hAnsi="仿宋_GB2312" w:eastAsia="仿宋_GB2312" w:cs="仿宋_GB2312"/>
          <w:b w:val="0"/>
          <w:bCs w:val="0"/>
          <w:color w:val="auto"/>
          <w:kern w:val="0"/>
          <w:sz w:val="32"/>
          <w:szCs w:val="32"/>
          <w:highlight w:val="none"/>
          <w:u w:val="none"/>
          <w:shd w:val="clear" w:color="auto" w:fill="FFFFFF"/>
        </w:rPr>
        <w:t>为3.07万元，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批复</w:t>
      </w:r>
      <w:r>
        <w:rPr>
          <w:rFonts w:hint="default" w:ascii="仿宋_GB2312" w:hAnsi="仿宋_GB2312" w:eastAsia="仿宋_GB2312" w:cs="仿宋_GB2312"/>
          <w:b w:val="0"/>
          <w:bCs w:val="0"/>
          <w:color w:val="auto"/>
          <w:kern w:val="0"/>
          <w:sz w:val="32"/>
          <w:szCs w:val="32"/>
          <w:highlight w:val="none"/>
          <w:u w:val="none"/>
          <w:shd w:val="clear" w:color="auto" w:fill="FFFFFF"/>
        </w:rPr>
        <w:t>金额3.07万元，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w:t>
      </w:r>
      <w:r>
        <w:rPr>
          <w:rFonts w:hint="default" w:ascii="仿宋_GB2312" w:hAnsi="仿宋_GB2312" w:eastAsia="仿宋_GB2312" w:cs="仿宋_GB2312"/>
          <w:b w:val="0"/>
          <w:bCs w:val="0"/>
          <w:color w:val="auto"/>
          <w:kern w:val="0"/>
          <w:sz w:val="32"/>
          <w:szCs w:val="32"/>
          <w:highlight w:val="none"/>
          <w:u w:val="none"/>
          <w:shd w:val="clear" w:color="auto" w:fill="FFFFFF"/>
        </w:rPr>
        <w:t>未进行</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调整。</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eastAsia="仿宋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default" w:ascii="仿宋_GB2312" w:hAnsi="宋体" w:eastAsia="仿宋_GB2312"/>
          <w:b w:val="0"/>
          <w:bCs w:val="0"/>
          <w:color w:val="auto"/>
          <w:sz w:val="32"/>
          <w:szCs w:val="32"/>
          <w:highlight w:val="none"/>
          <w:lang w:eastAsia="zh-CN"/>
        </w:rPr>
        <w:t>购置执法服装和标志</w:t>
      </w:r>
      <w:r>
        <w:rPr>
          <w:rFonts w:hint="default" w:ascii="仿宋_GB2312" w:hAnsi="宋体" w:eastAsia="仿宋_GB2312"/>
          <w:b w:val="0"/>
          <w:bCs w:val="0"/>
          <w:color w:val="auto"/>
          <w:sz w:val="32"/>
          <w:szCs w:val="32"/>
          <w:highlight w:val="none"/>
        </w:rPr>
        <w:t>项目资金预算金额为3.07万元，资金来源为市财政资金</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w:t>
      </w:r>
      <w:r>
        <w:rPr>
          <w:rFonts w:hint="default" w:ascii="仿宋_GB2312" w:hAnsi="宋体" w:eastAsia="仿宋_GB2312"/>
          <w:b w:val="0"/>
          <w:bCs w:val="0"/>
          <w:color w:val="auto"/>
          <w:sz w:val="32"/>
          <w:szCs w:val="32"/>
          <w:highlight w:val="none"/>
        </w:rPr>
        <w:t>资金到位及时，到位率为100%</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3．资金使用。</w:t>
      </w:r>
      <w:r>
        <w:rPr>
          <w:rFonts w:hint="default" w:ascii="仿宋_GB2312" w:hAnsi="宋体" w:eastAsia="仿宋_GB2312"/>
          <w:b w:val="0"/>
          <w:bCs w:val="0"/>
          <w:color w:val="auto"/>
          <w:sz w:val="32"/>
          <w:szCs w:val="32"/>
          <w:highlight w:val="none"/>
        </w:rPr>
        <w:t>购置执法服装和标志项目资金截止2022年12月底使用金额3.07万元，剩余资金0元，</w:t>
      </w:r>
      <w:r>
        <w:rPr>
          <w:rFonts w:hint="default" w:ascii="仿宋_GB2312" w:hAnsi="宋体" w:eastAsia="仿宋_GB2312"/>
          <w:b w:val="0"/>
          <w:bCs w:val="0"/>
          <w:color w:val="auto"/>
          <w:sz w:val="32"/>
          <w:szCs w:val="32"/>
          <w:highlight w:val="none"/>
          <w:lang w:eastAsia="zh-CN"/>
        </w:rPr>
        <w:t>支付进度100%</w:t>
      </w:r>
      <w:r>
        <w:rPr>
          <w:rFonts w:hint="default" w:ascii="仿宋_GB2312" w:hAnsi="宋体" w:eastAsia="仿宋_GB2312"/>
          <w:b w:val="0"/>
          <w:bCs w:val="0"/>
          <w:color w:val="auto"/>
          <w:sz w:val="32"/>
          <w:szCs w:val="32"/>
          <w:highlight w:val="none"/>
        </w:rPr>
        <w:t>。资金</w:t>
      </w:r>
      <w:r>
        <w:rPr>
          <w:rFonts w:hint="default" w:ascii="仿宋_GB2312" w:hAnsi="宋体" w:eastAsia="仿宋_GB2312"/>
          <w:b w:val="0"/>
          <w:bCs w:val="0"/>
          <w:color w:val="auto"/>
          <w:sz w:val="32"/>
          <w:szCs w:val="32"/>
          <w:highlight w:val="none"/>
          <w:lang w:eastAsia="zh-CN"/>
        </w:rPr>
        <w:t>主要用于采购执法人员制式服装和标志。资金支付严格遵循财政资金支付规定，</w:t>
      </w:r>
      <w:r>
        <w:rPr>
          <w:rFonts w:hint="eastAsia" w:ascii="仿宋_GB2312" w:hAnsi="宋体" w:eastAsia="仿宋_GB2312"/>
          <w:b w:val="0"/>
          <w:bCs w:val="0"/>
          <w:color w:val="auto"/>
          <w:sz w:val="32"/>
          <w:szCs w:val="32"/>
          <w:highlight w:val="none"/>
          <w:lang w:val="zh-CN"/>
        </w:rPr>
        <w:t>支付依据合规合法，资金支付与预算相符</w:t>
      </w:r>
      <w:r>
        <w:rPr>
          <w:rFonts w:hint="default" w:ascii="仿宋_GB2312" w:hAnsi="宋体" w:eastAsia="仿宋_GB2312"/>
          <w:b w:val="0"/>
          <w:bCs w:val="0"/>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default" w:ascii="仿宋_GB2312" w:hAnsi="宋体" w:eastAsia="仿宋_GB2312"/>
          <w:color w:val="auto"/>
          <w:kern w:val="2"/>
          <w:sz w:val="32"/>
          <w:szCs w:val="32"/>
          <w:highlight w:val="none"/>
          <w:lang w:val="en-US" w:eastAsia="zh-CN" w:bidi="ar-SA"/>
        </w:rPr>
        <w:t>我单位财务管理制度健全，严格执行了财务管理制度，账务处理及时，会计核算规范</w:t>
      </w:r>
      <w:r>
        <w:rPr>
          <w:rFonts w:hint="default" w:ascii="仿宋_GB2312" w:hAnsi="宋体" w:eastAsia="仿宋_GB2312"/>
          <w:color w:val="auto"/>
          <w:kern w:val="2"/>
          <w:sz w:val="32"/>
          <w:szCs w:val="32"/>
          <w:highlight w:val="none"/>
          <w:lang w:eastAsia="zh-CN" w:bidi="ar-SA"/>
        </w:rPr>
        <w:t>。</w:t>
      </w:r>
      <w:r>
        <w:rPr>
          <w:rFonts w:hint="eastAsia" w:ascii="仿宋_GB2312" w:hAnsi="宋体" w:eastAsia="仿宋_GB2312" w:cs="Times New Roman"/>
          <w:color w:val="auto"/>
          <w:kern w:val="2"/>
          <w:sz w:val="32"/>
          <w:szCs w:val="32"/>
          <w:highlight w:val="none"/>
          <w:lang w:val="en-US" w:eastAsia="zh-CN" w:bidi="ar-SA"/>
        </w:rPr>
        <w:t>支队严格执行各项财务管理制度，保证项目经费专款专用，进一步完善财务管理各项规章制度建设，加强内部机构设置。财务科全面负责项目资金的会计核算和账务处理工作，对照项目资金管理办法</w:t>
      </w:r>
      <w:r>
        <w:rPr>
          <w:rFonts w:hint="default" w:ascii="仿宋_GB2312" w:hAnsi="宋体" w:eastAsia="仿宋_GB2312" w:cs="Times New Roman"/>
          <w:color w:val="auto"/>
          <w:kern w:val="2"/>
          <w:sz w:val="32"/>
          <w:szCs w:val="32"/>
          <w:highlight w:val="none"/>
          <w:lang w:eastAsia="zh-CN" w:bidi="ar-SA"/>
        </w:rPr>
        <w:t>进行支出</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hint="eastAsia" w:ascii="仿宋_GB2312" w:hAnsi="仿宋_GB2312" w:eastAsia="仿宋_GB2312" w:cs="仿宋_GB2312"/>
          <w:b w:val="0"/>
          <w:bCs w:val="0"/>
          <w:color w:val="auto"/>
          <w:kern w:val="0"/>
          <w:sz w:val="32"/>
          <w:szCs w:val="32"/>
          <w:highlight w:val="none"/>
          <w:u w:val="none"/>
          <w:shd w:val="clear" w:color="auto" w:fill="FFFFFF"/>
          <w:lang w:val="zh-CN"/>
        </w:rPr>
      </w:pPr>
      <w:bookmarkStart w:id="407" w:name="_Toc25539"/>
      <w:bookmarkStart w:id="408" w:name="_Toc437544537_WPSOffice_Level2"/>
      <w:bookmarkStart w:id="409" w:name="_Toc1081025104_WPSOffice_Level2"/>
      <w:bookmarkStart w:id="410" w:name="_Toc28533"/>
      <w:r>
        <w:rPr>
          <w:rFonts w:hint="eastAsia" w:ascii="黑体" w:hAnsi="宋体" w:eastAsia="黑体"/>
          <w:b w:val="0"/>
          <w:bCs w:val="0"/>
          <w:color w:val="auto"/>
          <w:sz w:val="32"/>
          <w:szCs w:val="32"/>
          <w:highlight w:val="none"/>
          <w:u w:val="none"/>
        </w:rPr>
        <w:t>三、项目实施及管理情况</w:t>
      </w:r>
      <w:bookmarkEnd w:id="407"/>
      <w:bookmarkEnd w:id="408"/>
      <w:bookmarkEnd w:id="409"/>
      <w:bookmarkEnd w:id="410"/>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default" w:ascii="楷体_GB2312" w:hAnsi="宋体" w:eastAsia="楷体_GB2312"/>
          <w:b w:val="0"/>
          <w:bCs w:val="0"/>
          <w:color w:val="auto"/>
          <w:sz w:val="32"/>
          <w:szCs w:val="32"/>
          <w:highlight w:val="none"/>
          <w:u w:val="none"/>
        </w:rPr>
      </w:pPr>
      <w:r>
        <w:rPr>
          <w:rFonts w:hint="eastAsia" w:ascii="楷体_GB2312" w:hAnsi="宋体" w:eastAsia="楷体_GB2312"/>
          <w:b w:val="0"/>
          <w:bCs w:val="0"/>
          <w:color w:val="auto"/>
          <w:sz w:val="32"/>
          <w:szCs w:val="32"/>
          <w:highlight w:val="none"/>
          <w:u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广元市交通运输综合行政执法支队成立了项目绩效领导小组，对项目实施全过程进行管理和监督。项目领导小组由主要领导为组长，分管领导为副组长，各科室负责人为成员，并下设办公室到具体科室，由具体负责人办公室主任，具体负责项目的实施与管理工作。严格按照相关规定，明确责任，合理分工，密切协作，为项目顺利实施提供保障</w:t>
      </w:r>
      <w:r>
        <w:rPr>
          <w:rFonts w:hint="default" w:ascii="仿宋_GB2312" w:hAnsi="宋体" w:eastAsia="仿宋_GB2312" w:cs="Times New Roman"/>
          <w:color w:val="auto"/>
          <w:kern w:val="2"/>
          <w:sz w:val="32"/>
          <w:szCs w:val="32"/>
          <w:highlight w:val="none"/>
          <w:lang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_GB2312" w:hAnsi="宋体" w:eastAsia="仿宋_GB2312" w:cs="Times New Roman"/>
          <w:color w:val="auto"/>
          <w:kern w:val="2"/>
          <w:sz w:val="32"/>
          <w:szCs w:val="32"/>
          <w:highlight w:val="none"/>
          <w:lang w:val="en-US" w:eastAsia="zh-CN" w:bidi="ar-SA"/>
        </w:rPr>
        <w:t>为进一步规范绩效项目的管理行为，加强项目过程控制，提高项目管理水平，强化项目形象，创信誉、争效益，</w:t>
      </w:r>
      <w:r>
        <w:rPr>
          <w:rFonts w:hint="default" w:ascii="仿宋_GB2312" w:hAnsi="宋体" w:eastAsia="仿宋_GB2312" w:cs="Times New Roman"/>
          <w:color w:val="auto"/>
          <w:kern w:val="2"/>
          <w:sz w:val="32"/>
          <w:szCs w:val="32"/>
          <w:highlight w:val="none"/>
          <w:lang w:eastAsia="zh-CN" w:bidi="ar-SA"/>
        </w:rPr>
        <w:t>支队</w:t>
      </w:r>
      <w:r>
        <w:rPr>
          <w:rFonts w:hint="eastAsia" w:ascii="仿宋_GB2312" w:hAnsi="宋体" w:eastAsia="仿宋_GB2312" w:cs="Times New Roman"/>
          <w:color w:val="auto"/>
          <w:kern w:val="2"/>
          <w:sz w:val="32"/>
          <w:szCs w:val="32"/>
          <w:highlight w:val="none"/>
          <w:lang w:val="en-US" w:eastAsia="zh-CN" w:bidi="ar-SA"/>
        </w:rPr>
        <w:t>所有项目都先制定了制度和工作计划，严格按照相关规定流程实施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（三）项目监管情况。</w:t>
      </w:r>
      <w:r>
        <w:rPr>
          <w:rFonts w:hint="default" w:ascii="仿宋_GB2312" w:hAnsi="宋体" w:eastAsia="仿宋_GB2312" w:cs="Times New Roman"/>
          <w:color w:val="auto"/>
          <w:kern w:val="2"/>
          <w:sz w:val="32"/>
          <w:szCs w:val="32"/>
          <w:highlight w:val="none"/>
          <w:lang w:eastAsia="zh-CN" w:bidi="ar-SA"/>
        </w:rPr>
        <w:t>支队</w:t>
      </w:r>
      <w:r>
        <w:rPr>
          <w:rFonts w:hint="eastAsia" w:ascii="仿宋_GB2312" w:hAnsi="宋体" w:eastAsia="仿宋_GB2312" w:cs="Times New Roman"/>
          <w:color w:val="auto"/>
          <w:kern w:val="2"/>
          <w:sz w:val="32"/>
          <w:szCs w:val="32"/>
          <w:highlight w:val="none"/>
          <w:lang w:val="en-US" w:eastAsia="zh-CN" w:bidi="ar-SA"/>
        </w:rPr>
        <w:t>严格按照相关法律法规和程序，对质量、安全和项目进度进行全过程、全方位的监督管理，努力化解风险，提高工作效率，明确规范管理，强化责任，确保安全，保证质量的指导思想，思想观念不放松，严格把好绩效项目实施过程关口</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eastAsia="仿宋_GB2312"/>
          <w:b w:val="0"/>
          <w:bCs w:val="0"/>
          <w:color w:val="auto"/>
          <w:sz w:val="32"/>
          <w:szCs w:val="32"/>
          <w:highlight w:val="none"/>
          <w:u w:val="none"/>
          <w:lang w:val="zh-CN"/>
        </w:rPr>
      </w:pPr>
      <w:bookmarkStart w:id="411" w:name="_Toc804469971_WPSOffice_Level2"/>
      <w:bookmarkStart w:id="412" w:name="_Toc7440"/>
      <w:bookmarkStart w:id="413" w:name="_Toc493100064_WPSOffice_Level2"/>
      <w:bookmarkStart w:id="414" w:name="_Toc18767"/>
      <w:r>
        <w:rPr>
          <w:rFonts w:hint="eastAsia" w:ascii="黑体" w:hAnsi="宋体" w:eastAsia="黑体"/>
          <w:b w:val="0"/>
          <w:bCs w:val="0"/>
          <w:color w:val="auto"/>
          <w:sz w:val="32"/>
          <w:szCs w:val="32"/>
          <w:highlight w:val="none"/>
          <w:u w:val="none"/>
        </w:rPr>
        <w:t>四、项目绩效情况</w:t>
      </w:r>
      <w:bookmarkEnd w:id="411"/>
      <w:bookmarkEnd w:id="412"/>
      <w:bookmarkEnd w:id="413"/>
      <w:bookmarkEnd w:id="414"/>
      <w:r>
        <w:rPr>
          <w:rFonts w:hint="eastAsia" w:ascii="仿宋_GB2312" w:hAnsi="宋体" w:eastAsia="仿宋_GB2312"/>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eastAsia="仿宋_GB2312"/>
          <w:color w:val="auto"/>
          <w:sz w:val="32"/>
          <w:szCs w:val="32"/>
          <w:highlight w:val="none"/>
          <w:lang w:val="zh-CN"/>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截止评价时点</w:t>
      </w:r>
      <w:r>
        <w:rPr>
          <w:rFonts w:hint="default" w:ascii="仿宋_GB2312" w:hAnsi="仿宋_GB2312" w:eastAsia="仿宋_GB2312" w:cs="仿宋_GB2312"/>
          <w:b w:val="0"/>
          <w:bCs w:val="0"/>
          <w:color w:val="auto"/>
          <w:kern w:val="0"/>
          <w:sz w:val="32"/>
          <w:szCs w:val="32"/>
          <w:highlight w:val="none"/>
          <w:u w:val="none"/>
          <w:shd w:val="clear" w:color="auto" w:fill="FFFFFF"/>
        </w:rPr>
        <w:t>，</w:t>
      </w:r>
      <w:r>
        <w:rPr>
          <w:rFonts w:hint="default" w:ascii="仿宋_GB2312" w:hAnsi="宋体" w:eastAsia="仿宋_GB2312"/>
          <w:b w:val="0"/>
          <w:bCs w:val="0"/>
          <w:color w:val="auto"/>
          <w:sz w:val="32"/>
          <w:szCs w:val="32"/>
          <w:highlight w:val="none"/>
        </w:rPr>
        <w:t>支队</w:t>
      </w:r>
      <w:r>
        <w:rPr>
          <w:rFonts w:hint="eastAsia" w:ascii="仿宋_GB2312" w:hAnsi="宋体" w:eastAsia="仿宋_GB2312" w:cs="Times New Roman"/>
          <w:b w:val="0"/>
          <w:bCs w:val="0"/>
          <w:color w:val="auto"/>
          <w:sz w:val="32"/>
          <w:szCs w:val="32"/>
          <w:highlight w:val="none"/>
          <w:lang w:val="en-US" w:eastAsia="zh-CN"/>
        </w:rPr>
        <w:t>完</w:t>
      </w:r>
      <w:r>
        <w:rPr>
          <w:rFonts w:hint="eastAsia" w:ascii="仿宋_GB2312" w:hAnsi="宋体" w:eastAsia="仿宋_GB2312"/>
          <w:b w:val="0"/>
          <w:bCs w:val="0"/>
          <w:color w:val="auto"/>
          <w:sz w:val="32"/>
          <w:szCs w:val="32"/>
          <w:highlight w:val="none"/>
          <w:lang w:val="en-US" w:eastAsia="zh-CN"/>
        </w:rPr>
        <w:t>成</w:t>
      </w:r>
      <w:r>
        <w:rPr>
          <w:rFonts w:hint="default" w:ascii="仿宋_GB2312" w:hAnsi="宋体" w:eastAsia="仿宋_GB2312"/>
          <w:b w:val="0"/>
          <w:bCs w:val="0"/>
          <w:color w:val="auto"/>
          <w:sz w:val="32"/>
          <w:szCs w:val="32"/>
          <w:highlight w:val="none"/>
          <w:lang w:eastAsia="zh-CN"/>
        </w:rPr>
        <w:t>8名职工执法服装和标志的采购</w:t>
      </w:r>
      <w:r>
        <w:rPr>
          <w:rFonts w:hint="eastAsia" w:ascii="仿宋_GB2312" w:hAnsi="宋体" w:eastAsia="仿宋_GB2312"/>
          <w:b w:val="0"/>
          <w:bCs w:val="0"/>
          <w:color w:val="auto"/>
          <w:sz w:val="32"/>
          <w:szCs w:val="32"/>
          <w:highlight w:val="none"/>
          <w:lang w:val="en-US" w:eastAsia="zh-CN"/>
        </w:rPr>
        <w:t>，</w:t>
      </w:r>
      <w:r>
        <w:rPr>
          <w:rFonts w:hint="default" w:ascii="仿宋_GB2312" w:hAnsi="宋体" w:eastAsia="仿宋_GB2312"/>
          <w:b w:val="0"/>
          <w:bCs w:val="0"/>
          <w:color w:val="auto"/>
          <w:sz w:val="32"/>
          <w:szCs w:val="32"/>
          <w:highlight w:val="none"/>
          <w:lang w:eastAsia="zh-CN"/>
        </w:rPr>
        <w:t>购置执法服装和标志费用3.07万元，购置执法服装和标志采购完成率100%，</w:t>
      </w:r>
      <w:r>
        <w:rPr>
          <w:rFonts w:hint="default" w:ascii="仿宋_GB2312" w:hAnsi="仿宋_GB2312" w:eastAsia="仿宋_GB2312" w:cs="仿宋_GB2312"/>
          <w:b w:val="0"/>
          <w:bCs w:val="0"/>
          <w:color w:val="auto"/>
          <w:kern w:val="0"/>
          <w:sz w:val="32"/>
          <w:szCs w:val="32"/>
          <w:highlight w:val="none"/>
          <w:u w:val="none"/>
          <w:shd w:val="clear" w:color="auto" w:fill="FFFFFF"/>
        </w:rPr>
        <w:t>按质按量</w:t>
      </w:r>
      <w:r>
        <w:rPr>
          <w:rFonts w:hint="eastAsia" w:ascii="仿宋_GB2312" w:hAnsi="宋体" w:eastAsia="仿宋_GB2312"/>
          <w:b w:val="0"/>
          <w:bCs w:val="0"/>
          <w:color w:val="auto"/>
          <w:sz w:val="32"/>
          <w:szCs w:val="32"/>
          <w:highlight w:val="none"/>
          <w:lang w:val="en-US" w:eastAsia="zh-CN"/>
        </w:rPr>
        <w:t>完成年初既定</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数量、质量、时效、成本</w:t>
      </w:r>
      <w:r>
        <w:rPr>
          <w:rFonts w:hint="eastAsia" w:ascii="仿宋_GB2312" w:hAnsi="宋体" w:eastAsia="仿宋_GB2312"/>
          <w:b w:val="0"/>
          <w:bCs w:val="0"/>
          <w:color w:val="auto"/>
          <w:sz w:val="32"/>
          <w:szCs w:val="32"/>
          <w:highlight w:val="none"/>
          <w:lang w:val="en-US" w:eastAsia="zh-CN"/>
        </w:rPr>
        <w:t>绩效目标</w:t>
      </w:r>
      <w:r>
        <w:rPr>
          <w:rFonts w:hint="default" w:ascii="仿宋_GB2312" w:hAnsi="宋体" w:eastAsia="仿宋_GB2312" w:cs="Times New Roman"/>
          <w:b w:val="0"/>
          <w:bCs w:val="0"/>
          <w:color w:val="auto"/>
          <w:sz w:val="32"/>
          <w:szCs w:val="32"/>
          <w:highlight w:val="none"/>
          <w:lang w:eastAsia="zh-CN"/>
        </w:rPr>
        <w:t>，完成率达100%，年初编制任务量全部完成，执行进度100%，项目成本控制在预算资金范围内，无结余资金，无违规记录。</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default" w:ascii="仿宋_GB2312" w:hAnsi="仿宋_GB2312" w:eastAsia="仿宋_GB2312" w:cs="仿宋_GB2312"/>
          <w:b w:val="0"/>
          <w:bCs w:val="0"/>
          <w:color w:val="auto"/>
          <w:kern w:val="0"/>
          <w:sz w:val="32"/>
          <w:szCs w:val="32"/>
          <w:highlight w:val="none"/>
          <w:u w:val="none"/>
          <w:shd w:val="clear" w:color="auto" w:fill="FFFFFF"/>
          <w:lang w:eastAsia="zh-CN"/>
        </w:rPr>
        <w:t>购置执法服装和标志保障了执法工作的正常开展，职工</w:t>
      </w:r>
      <w:r>
        <w:rPr>
          <w:rFonts w:hint="default" w:ascii="仿宋_GB2312" w:hAnsi="宋体" w:eastAsia="仿宋_GB2312"/>
          <w:b w:val="0"/>
          <w:bCs w:val="0"/>
          <w:color w:val="auto"/>
          <w:sz w:val="32"/>
          <w:szCs w:val="32"/>
          <w:highlight w:val="none"/>
          <w:lang w:eastAsia="zh-CN"/>
        </w:rPr>
        <w:t>满意度达到良好。</w:t>
      </w:r>
      <w:r>
        <w:rPr>
          <w:rFonts w:hint="eastAsia" w:ascii="仿宋_GB2312" w:hAnsi="宋体" w:eastAsia="仿宋_GB2312"/>
          <w:b w:val="0"/>
          <w:bCs w:val="0"/>
          <w:color w:val="auto"/>
          <w:sz w:val="32"/>
          <w:szCs w:val="32"/>
          <w:highlight w:val="none"/>
          <w:lang w:val="en-US" w:eastAsia="zh-CN"/>
        </w:rPr>
        <w:t>年初既定</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社会效益、</w:t>
      </w:r>
      <w:r>
        <w:rPr>
          <w:rFonts w:hint="default" w:ascii="仿宋_GB2312" w:hAnsi="仿宋_GB2312" w:eastAsia="仿宋_GB2312" w:cs="仿宋_GB2312"/>
          <w:b w:val="0"/>
          <w:bCs w:val="0"/>
          <w:color w:val="auto"/>
          <w:kern w:val="0"/>
          <w:sz w:val="32"/>
          <w:szCs w:val="32"/>
          <w:highlight w:val="none"/>
          <w:u w:val="none"/>
          <w:shd w:val="clear" w:color="auto" w:fill="FFFFFF"/>
        </w:rPr>
        <w:t>群众</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满意度</w:t>
      </w:r>
      <w:r>
        <w:rPr>
          <w:rFonts w:hint="eastAsia" w:ascii="仿宋_GB2312" w:hAnsi="宋体" w:eastAsia="仿宋_GB2312"/>
          <w:b w:val="0"/>
          <w:bCs w:val="0"/>
          <w:color w:val="auto"/>
          <w:sz w:val="32"/>
          <w:szCs w:val="32"/>
          <w:highlight w:val="none"/>
          <w:lang w:val="en-US" w:eastAsia="zh-CN"/>
        </w:rPr>
        <w:t>绩效目标</w:t>
      </w:r>
      <w:r>
        <w:rPr>
          <w:rFonts w:hint="default" w:ascii="仿宋_GB2312" w:hAnsi="宋体" w:eastAsia="仿宋_GB2312" w:cs="Times New Roman"/>
          <w:b w:val="0"/>
          <w:bCs w:val="0"/>
          <w:color w:val="auto"/>
          <w:sz w:val="32"/>
          <w:szCs w:val="32"/>
          <w:highlight w:val="none"/>
          <w:lang w:eastAsia="zh-CN"/>
        </w:rPr>
        <w:t>完成率100%。</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415" w:name="_Toc848860102_WPSOffice_Level2"/>
      <w:bookmarkStart w:id="416" w:name="_Toc524255801_WPSOffice_Level2"/>
      <w:bookmarkStart w:id="417" w:name="_Toc6046"/>
      <w:bookmarkStart w:id="418" w:name="_Toc7886"/>
      <w:r>
        <w:rPr>
          <w:rFonts w:hint="eastAsia" w:ascii="黑体" w:hAnsi="宋体" w:eastAsia="黑体"/>
          <w:b w:val="0"/>
          <w:bCs w:val="0"/>
          <w:color w:val="auto"/>
          <w:sz w:val="32"/>
          <w:szCs w:val="32"/>
          <w:highlight w:val="none"/>
          <w:u w:val="none"/>
        </w:rPr>
        <w:t>五、评价结论及建议</w:t>
      </w:r>
      <w:bookmarkEnd w:id="415"/>
      <w:bookmarkEnd w:id="416"/>
      <w:bookmarkEnd w:id="417"/>
      <w:bookmarkEnd w:id="418"/>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default" w:ascii="仿宋_GB2312" w:hAnsi="仿宋_GB2312" w:eastAsia="仿宋_GB2312" w:cs="仿宋_GB2312"/>
          <w:b w:val="0"/>
          <w:bCs w:val="0"/>
          <w:color w:val="auto"/>
          <w:kern w:val="0"/>
          <w:sz w:val="32"/>
          <w:szCs w:val="32"/>
          <w:highlight w:val="none"/>
          <w:u w:val="none"/>
          <w:shd w:val="clear" w:color="auto" w:fill="FFFFFF"/>
        </w:rPr>
        <w:t>购置执法服装和标志专项项目资金使用严格执行相关政策，严格按照预算执行，完成支队8名职工制式服装和标志率的采购，确保了交通运输综合行政执法工作执法正常开展。</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u w:val="none"/>
          <w:shd w:val="clear" w:color="auto" w:fill="FFFFFF"/>
        </w:rPr>
        <w:t>无</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default" w:ascii="仿宋_GB2312" w:hAnsi="仿宋_GB2312" w:eastAsia="仿宋_GB2312" w:cs="仿宋_GB2312"/>
          <w:b w:val="0"/>
          <w:bCs w:val="0"/>
          <w:color w:val="auto"/>
          <w:kern w:val="0"/>
          <w:sz w:val="32"/>
          <w:szCs w:val="32"/>
          <w:highlight w:val="none"/>
          <w:u w:val="none"/>
          <w:shd w:val="clear" w:color="auto" w:fill="FFFFFF"/>
        </w:rPr>
        <w:t>无</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shd w:val="clear"/>
        <w:rPr>
          <w:rFonts w:hint="eastAsia" w:hAnsi="宋体" w:cs="宋体"/>
          <w:color w:val="auto"/>
          <w:kern w:val="0"/>
          <w:sz w:val="32"/>
          <w:szCs w:val="32"/>
          <w:highlight w:val="none"/>
          <w:shd w:val="clear" w:color="auto" w:fill="FFFFFF"/>
          <w:lang w:val="en-US" w:eastAsia="zh-CN"/>
        </w:rPr>
      </w:pP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pStyle w:val="38"/>
        <w:keepNext w:val="0"/>
        <w:keepLines w:val="0"/>
        <w:pageBreakBefore w:val="0"/>
        <w:widowControl w:val="0"/>
        <w:shd w:val="clear"/>
        <w:kinsoku/>
        <w:wordWrap/>
        <w:overflowPunct/>
        <w:topLinePunct w:val="0"/>
        <w:autoSpaceDE/>
        <w:autoSpaceDN/>
        <w:bidi w:val="0"/>
        <w:spacing w:line="578" w:lineRule="exact"/>
        <w:jc w:val="left"/>
        <w:textAlignment w:val="auto"/>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附件17：</w:t>
      </w:r>
    </w:p>
    <w:p>
      <w:pPr>
        <w:pStyle w:val="38"/>
        <w:keepNext w:val="0"/>
        <w:keepLines w:val="0"/>
        <w:pageBreakBefore w:val="0"/>
        <w:widowControl w:val="0"/>
        <w:shd w:val="clear"/>
        <w:kinsoku/>
        <w:wordWrap/>
        <w:overflowPunct/>
        <w:topLinePunct w:val="0"/>
        <w:autoSpaceDE/>
        <w:autoSpaceDN/>
        <w:bidi w:val="0"/>
        <w:spacing w:line="578" w:lineRule="exact"/>
        <w:jc w:val="center"/>
        <w:textAlignment w:val="auto"/>
        <w:outlineLvl w:val="1"/>
        <w:rPr>
          <w:rFonts w:hint="default" w:ascii="方正小标宋简体" w:hAnsi="方正小标宋简体" w:eastAsia="方正小标宋简体" w:cs="方正小标宋简体"/>
          <w:b w:val="0"/>
          <w:bCs w:val="0"/>
          <w:color w:val="auto"/>
          <w:kern w:val="2"/>
          <w:sz w:val="44"/>
          <w:szCs w:val="44"/>
          <w:highlight w:val="none"/>
          <w:lang w:eastAsia="zh-CN"/>
        </w:rPr>
      </w:pPr>
      <w:bookmarkStart w:id="419" w:name="_Toc15235"/>
      <w:bookmarkStart w:id="420" w:name="_Toc21592"/>
      <w:r>
        <w:rPr>
          <w:rFonts w:hint="default" w:ascii="方正小标宋简体" w:hAnsi="方正小标宋简体" w:eastAsia="方正小标宋简体" w:cs="方正小标宋简体"/>
          <w:b w:val="0"/>
          <w:bCs w:val="0"/>
          <w:color w:val="auto"/>
          <w:kern w:val="2"/>
          <w:sz w:val="44"/>
          <w:szCs w:val="44"/>
          <w:highlight w:val="none"/>
          <w:lang w:eastAsia="zh-CN"/>
        </w:rPr>
        <w:t>广元市交通运输综合行政执法支队</w:t>
      </w:r>
      <w:bookmarkEnd w:id="419"/>
      <w:bookmarkEnd w:id="420"/>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w:t>
      </w:r>
      <w:r>
        <w:rPr>
          <w:rFonts w:hint="default" w:ascii="方正小标宋简体" w:hAnsi="方正小标宋简体" w:eastAsia="方正小标宋简体" w:cs="方正小标宋简体"/>
          <w:b w:val="0"/>
          <w:bCs w:val="0"/>
          <w:color w:val="auto"/>
          <w:kern w:val="2"/>
          <w:sz w:val="44"/>
          <w:szCs w:val="44"/>
          <w:highlight w:val="none"/>
          <w:lang w:val="zh-CN" w:eastAsia="zh-CN" w:bidi="ar-SA"/>
        </w:rPr>
        <w:t>购置执法服装和标志</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专项资金</w:t>
      </w:r>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预算项目支出绩效自评报告</w:t>
      </w:r>
    </w:p>
    <w:p>
      <w:pPr>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lang w:val="zh-CN"/>
        </w:rPr>
      </w:pPr>
      <w:bookmarkStart w:id="421" w:name="_Toc16466"/>
      <w:bookmarkStart w:id="422" w:name="_Toc13337"/>
      <w:bookmarkStart w:id="423" w:name="_Toc687127418_WPSOffice_Level2"/>
      <w:bookmarkStart w:id="424" w:name="_Toc927090809_WPSOffice_Level2"/>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bookmarkEnd w:id="421"/>
      <w:bookmarkEnd w:id="422"/>
      <w:bookmarkEnd w:id="423"/>
      <w:bookmarkEnd w:id="424"/>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widowControl/>
        <w:suppressLineNumbers w:val="0"/>
        <w:shd w:val="clear"/>
        <w:ind w:firstLine="640" w:firstLineChars="200"/>
        <w:jc w:val="left"/>
        <w:rPr>
          <w:rFonts w:hint="default" w:ascii="仿宋_GB2312" w:hAnsi="宋体" w:eastAsia="仿宋_GB2312" w:cs="Times New Roman"/>
          <w:color w:val="auto"/>
          <w:kern w:val="2"/>
          <w:sz w:val="32"/>
          <w:szCs w:val="32"/>
          <w:highlight w:val="none"/>
          <w:lang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w:t>
      </w:r>
      <w:r>
        <w:rPr>
          <w:rFonts w:hint="default" w:ascii="仿宋_GB2312" w:hAnsi="仿宋_GB2312" w:eastAsia="仿宋_GB2312" w:cs="仿宋_GB2312"/>
          <w:b w:val="0"/>
          <w:bCs w:val="0"/>
          <w:color w:val="auto"/>
          <w:kern w:val="0"/>
          <w:sz w:val="32"/>
          <w:szCs w:val="32"/>
          <w:highlight w:val="none"/>
          <w:u w:val="none"/>
          <w:shd w:val="clear" w:color="auto" w:fill="FFFFFF"/>
        </w:rPr>
        <w:t>支队</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在该</w:t>
      </w:r>
      <w:r>
        <w:rPr>
          <w:rFonts w:hint="eastAsia" w:ascii="仿宋_GB2312" w:hAnsi="宋体" w:eastAsia="仿宋_GB2312" w:cs="Times New Roman"/>
          <w:color w:val="auto"/>
          <w:kern w:val="2"/>
          <w:sz w:val="32"/>
          <w:szCs w:val="32"/>
          <w:highlight w:val="none"/>
          <w:lang w:val="zh-CN" w:eastAsia="zh-CN" w:bidi="ar-SA"/>
        </w:rPr>
        <w:t>项目管理中的职能</w:t>
      </w:r>
      <w:r>
        <w:rPr>
          <w:rFonts w:hint="eastAsia" w:ascii="仿宋_GB2312" w:hAnsi="宋体" w:eastAsia="仿宋_GB2312" w:cs="Times New Roman"/>
          <w:color w:val="auto"/>
          <w:kern w:val="2"/>
          <w:sz w:val="32"/>
          <w:szCs w:val="32"/>
          <w:highlight w:val="none"/>
          <w:lang w:val="en-US" w:eastAsia="zh-CN" w:bidi="ar-SA"/>
        </w:rPr>
        <w:t>。</w:t>
      </w:r>
      <w:r>
        <w:rPr>
          <w:rFonts w:hint="default" w:ascii="仿宋_GB2312" w:hAnsi="宋体" w:eastAsia="仿宋_GB2312" w:cs="Times New Roman"/>
          <w:color w:val="auto"/>
          <w:kern w:val="2"/>
          <w:sz w:val="32"/>
          <w:szCs w:val="32"/>
          <w:highlight w:val="none"/>
          <w:lang w:eastAsia="zh-CN" w:bidi="ar-SA"/>
        </w:rPr>
        <w:t>支队根据</w:t>
      </w:r>
      <w:r>
        <w:rPr>
          <w:rFonts w:hint="default" w:ascii="仿宋_GB2312" w:hAnsi="宋体" w:eastAsia="仿宋_GB2312" w:cs="Times New Roman"/>
          <w:color w:val="auto"/>
          <w:kern w:val="2"/>
          <w:sz w:val="32"/>
          <w:szCs w:val="32"/>
          <w:highlight w:val="none"/>
          <w:lang w:val="en-US" w:eastAsia="zh-CN" w:bidi="ar-SA"/>
        </w:rPr>
        <w:t>《四川省交通运输综合行政执法条例》交通运输综合行政执法人员在执法过程中按照规定统一着装、佩戴标志标识</w:t>
      </w:r>
      <w:r>
        <w:rPr>
          <w:rFonts w:hint="default" w:ascii="仿宋_GB2312" w:hAnsi="宋体" w:eastAsia="仿宋_GB2312" w:cs="Times New Roman"/>
          <w:color w:val="auto"/>
          <w:kern w:val="2"/>
          <w:sz w:val="32"/>
          <w:szCs w:val="32"/>
          <w:highlight w:val="none"/>
          <w:lang w:eastAsia="zh-CN" w:bidi="ar-SA"/>
        </w:rPr>
        <w:t>，对</w:t>
      </w:r>
      <w:r>
        <w:rPr>
          <w:rFonts w:hint="default" w:ascii="仿宋_GB2312" w:hAnsi="宋体" w:eastAsia="仿宋_GB2312" w:cs="Times New Roman"/>
          <w:color w:val="auto"/>
          <w:kern w:val="2"/>
          <w:sz w:val="32"/>
          <w:szCs w:val="32"/>
          <w:highlight w:val="none"/>
          <w:lang w:val="en-US" w:eastAsia="zh-CN" w:bidi="ar-SA"/>
        </w:rPr>
        <w:t>全市交通运输综合执法工作的组织协调和监督指导，协调组织全市跨区域案件、重大复杂疑难案件、转办交办案件的查处，负责市本级和利州区（含广元经开区）的交通运输综合执法工作。</w:t>
      </w:r>
    </w:p>
    <w:p>
      <w:pPr>
        <w:keepNext w:val="0"/>
        <w:keepLines w:val="0"/>
        <w:widowControl/>
        <w:suppressLineNumbers w:val="0"/>
        <w:shd w:val="clear"/>
        <w:spacing w:before="0" w:beforeAutospacing="0" w:after="0" w:afterAutospacing="0"/>
        <w:ind w:left="0" w:right="0" w:firstLine="640" w:firstLineChars="200"/>
        <w:jc w:val="left"/>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
        </w:rPr>
        <w:t>2．项目立项、资金申报的依</w:t>
      </w:r>
      <w:r>
        <w:rPr>
          <w:rFonts w:hint="eastAsia" w:ascii="仿宋_GB2312" w:hAnsi="宋体" w:eastAsia="仿宋_GB2312" w:cs="Times New Roman"/>
          <w:color w:val="auto"/>
          <w:kern w:val="2"/>
          <w:sz w:val="32"/>
          <w:szCs w:val="32"/>
          <w:highlight w:val="none"/>
          <w:lang w:val="zh-CN" w:eastAsia="zh-CN" w:bidi="ar-SA"/>
        </w:rPr>
        <w:t>据</w:t>
      </w:r>
      <w:r>
        <w:rPr>
          <w:rFonts w:hint="default" w:ascii="仿宋_GB2312" w:hAnsi="宋体" w:eastAsia="仿宋_GB2312" w:cs="Times New Roman"/>
          <w:color w:val="auto"/>
          <w:kern w:val="2"/>
          <w:sz w:val="32"/>
          <w:szCs w:val="32"/>
          <w:highlight w:val="none"/>
          <w:lang w:val="en-US" w:eastAsia="zh-CN" w:bidi="ar-SA"/>
        </w:rPr>
        <w:t>。该项目符合《交通运输部办公厅关于加强交通运输综合行政执法制式服装和及标志管理有关工作的通知》（交办法函〔2021〕453号）、《关于印发《四川省综合行政执法制式服装和标志管理实施办法的通知》</w:t>
      </w:r>
      <w:r>
        <w:rPr>
          <w:rFonts w:hint="eastAsia" w:ascii="仿宋_GB2312" w:hAnsi="宋体" w:eastAsia="仿宋_GB2312" w:cs="Times New Roman"/>
          <w:color w:val="auto"/>
          <w:kern w:val="2"/>
          <w:sz w:val="32"/>
          <w:szCs w:val="32"/>
          <w:highlight w:val="none"/>
          <w:lang w:val="en-US" w:eastAsia="zh-CN" w:bidi="ar-SA"/>
        </w:rPr>
        <w:t>（</w:t>
      </w:r>
      <w:r>
        <w:rPr>
          <w:rFonts w:hint="default" w:ascii="仿宋_GB2312" w:hAnsi="宋体" w:eastAsia="仿宋_GB2312" w:cs="Times New Roman"/>
          <w:color w:val="auto"/>
          <w:kern w:val="2"/>
          <w:sz w:val="32"/>
          <w:szCs w:val="32"/>
          <w:highlight w:val="none"/>
          <w:lang w:val="en-US" w:eastAsia="zh-CN" w:bidi="ar-SA"/>
        </w:rPr>
        <w:t>川财行〔2021〕26号)、《关于做好全省交通运输系统综合行政执法制式服装和标志配发管理工作的通知》</w:t>
      </w:r>
      <w:r>
        <w:rPr>
          <w:rFonts w:hint="eastAsia" w:ascii="仿宋_GB2312" w:hAnsi="宋体" w:eastAsia="仿宋_GB2312" w:cs="Times New Roman"/>
          <w:color w:val="auto"/>
          <w:kern w:val="2"/>
          <w:sz w:val="32"/>
          <w:szCs w:val="32"/>
          <w:highlight w:val="none"/>
          <w:lang w:val="en-US" w:eastAsia="zh-CN" w:bidi="ar-SA"/>
        </w:rPr>
        <w:t>（</w:t>
      </w:r>
      <w:r>
        <w:rPr>
          <w:rFonts w:hint="default" w:ascii="仿宋_GB2312" w:hAnsi="宋体" w:eastAsia="仿宋_GB2312" w:cs="Times New Roman"/>
          <w:color w:val="auto"/>
          <w:kern w:val="2"/>
          <w:sz w:val="32"/>
          <w:szCs w:val="32"/>
          <w:highlight w:val="none"/>
          <w:lang w:val="en-US" w:eastAsia="zh-CN" w:bidi="ar-SA"/>
        </w:rPr>
        <w:t>川交法函〔2021〕244号)，是开展在本级以及利州区、经开区交通工程建设等领域的行政处罚以及与行政处罚相关的行政检查、行政强制工作的重要前提，为运输市场的平稳发展提供了重要保障</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widowControl w:val="0"/>
        <w:shd w:val="clear"/>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w:t>
      </w:r>
      <w:r>
        <w:rPr>
          <w:rFonts w:hint="default" w:ascii="仿宋_GB2312" w:hAnsi="宋体" w:eastAsia="仿宋_GB2312"/>
          <w:color w:val="auto"/>
          <w:sz w:val="32"/>
          <w:szCs w:val="32"/>
          <w:highlight w:val="none"/>
        </w:rPr>
        <w:t>该项目实施制定了实施方案，组织机构健全，职责分工</w:t>
      </w:r>
      <w:r>
        <w:rPr>
          <w:rFonts w:hint="eastAsia" w:ascii="仿宋_GB2312" w:hAnsi="宋体" w:eastAsia="仿宋_GB2312"/>
          <w:color w:val="auto"/>
          <w:sz w:val="32"/>
          <w:szCs w:val="32"/>
          <w:highlight w:val="none"/>
          <w:lang w:eastAsia="zh-CN"/>
        </w:rPr>
        <w:t>明确</w:t>
      </w:r>
      <w:r>
        <w:rPr>
          <w:rFonts w:hint="default"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eastAsia="zh-CN"/>
        </w:rPr>
        <w:t>有具体的实施时间，有明确的工作程序，基础设施条件能够有效保障</w:t>
      </w:r>
      <w:r>
        <w:rPr>
          <w:rFonts w:hint="default" w:ascii="仿宋_GB2312" w:hAnsi="宋体" w:eastAsia="仿宋_GB2312"/>
          <w:color w:val="auto"/>
          <w:sz w:val="32"/>
          <w:szCs w:val="32"/>
          <w:highlight w:val="none"/>
          <w:lang w:eastAsia="zh-CN"/>
        </w:rPr>
        <w:t>。</w:t>
      </w:r>
      <w:r>
        <w:rPr>
          <w:rFonts w:hint="default" w:ascii="仿宋_GB2312" w:hAnsi="宋体" w:eastAsia="仿宋_GB2312"/>
          <w:color w:val="auto"/>
          <w:sz w:val="32"/>
          <w:szCs w:val="32"/>
          <w:highlight w:val="none"/>
          <w:u w:val="none"/>
        </w:rPr>
        <w:t>该项目</w:t>
      </w:r>
      <w:r>
        <w:rPr>
          <w:rFonts w:hint="default" w:ascii="仿宋_GB2312" w:hAnsi="宋体" w:eastAsia="仿宋_GB2312"/>
          <w:color w:val="auto"/>
          <w:sz w:val="32"/>
          <w:szCs w:val="32"/>
          <w:highlight w:val="none"/>
          <w:lang w:eastAsia="zh-CN"/>
        </w:rPr>
        <w:t>来源渠道</w:t>
      </w:r>
      <w:r>
        <w:rPr>
          <w:rFonts w:hint="eastAsia" w:ascii="仿宋_GB2312" w:hAnsi="宋体" w:eastAsia="仿宋_GB2312"/>
          <w:color w:val="auto"/>
          <w:sz w:val="32"/>
          <w:szCs w:val="32"/>
          <w:highlight w:val="none"/>
          <w:lang w:eastAsia="zh-CN"/>
        </w:rPr>
        <w:t>为市级财政资金</w:t>
      </w:r>
      <w:r>
        <w:rPr>
          <w:rFonts w:hint="default" w:ascii="仿宋_GB2312" w:hAnsi="宋体" w:eastAsia="仿宋_GB2312"/>
          <w:color w:val="auto"/>
          <w:sz w:val="32"/>
          <w:szCs w:val="32"/>
          <w:highlight w:val="none"/>
          <w:lang w:eastAsia="zh-CN"/>
        </w:rPr>
        <w:t>，项目具有公共性，属于公共财政支持范围，</w:t>
      </w:r>
      <w:r>
        <w:rPr>
          <w:rFonts w:hint="eastAsia" w:ascii="仿宋_GB2312" w:hAnsi="宋体" w:eastAsia="仿宋_GB2312"/>
          <w:color w:val="auto"/>
          <w:sz w:val="32"/>
          <w:szCs w:val="32"/>
          <w:highlight w:val="none"/>
          <w:lang w:eastAsia="zh-CN"/>
        </w:rPr>
        <w:t>筹资渠道符合法律法规规定</w:t>
      </w:r>
      <w:r>
        <w:rPr>
          <w:rFonts w:hint="default"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eastAsia="zh-CN"/>
        </w:rPr>
        <w:t>筹资结构</w:t>
      </w:r>
      <w:r>
        <w:rPr>
          <w:rFonts w:hint="default" w:ascii="仿宋_GB2312" w:hAnsi="宋体" w:eastAsia="仿宋_GB2312"/>
          <w:color w:val="auto"/>
          <w:sz w:val="32"/>
          <w:szCs w:val="32"/>
          <w:highlight w:val="none"/>
          <w:lang w:eastAsia="zh-CN"/>
        </w:rPr>
        <w:t>合理，</w:t>
      </w:r>
      <w:r>
        <w:rPr>
          <w:rFonts w:hint="eastAsia" w:ascii="仿宋_GB2312" w:hAnsi="宋体" w:eastAsia="仿宋_GB2312"/>
          <w:color w:val="auto"/>
          <w:sz w:val="32"/>
          <w:szCs w:val="32"/>
          <w:highlight w:val="none"/>
          <w:lang w:eastAsia="zh-CN"/>
        </w:rPr>
        <w:t>资金来源渠道</w:t>
      </w:r>
      <w:r>
        <w:rPr>
          <w:rFonts w:hint="default" w:ascii="仿宋_GB2312" w:hAnsi="宋体" w:eastAsia="仿宋_GB2312"/>
          <w:color w:val="auto"/>
          <w:sz w:val="32"/>
          <w:szCs w:val="32"/>
          <w:highlight w:val="none"/>
          <w:lang w:eastAsia="zh-CN"/>
        </w:rPr>
        <w:t>明确，</w:t>
      </w:r>
      <w:r>
        <w:rPr>
          <w:rFonts w:hint="eastAsia" w:ascii="仿宋_GB2312" w:hAnsi="宋体" w:eastAsia="仿宋_GB2312"/>
          <w:color w:val="auto"/>
          <w:sz w:val="32"/>
          <w:szCs w:val="32"/>
          <w:highlight w:val="none"/>
          <w:lang w:eastAsia="zh-CN"/>
        </w:rPr>
        <w:t>资金到位时间</w:t>
      </w:r>
      <w:r>
        <w:rPr>
          <w:rFonts w:hint="default" w:ascii="仿宋_GB2312" w:hAnsi="宋体" w:eastAsia="仿宋_GB2312"/>
          <w:color w:val="auto"/>
          <w:sz w:val="32"/>
          <w:szCs w:val="32"/>
          <w:highlight w:val="none"/>
          <w:lang w:eastAsia="zh-CN"/>
        </w:rPr>
        <w:t>以财政下拨时间为准，</w:t>
      </w:r>
      <w:r>
        <w:rPr>
          <w:rFonts w:hint="eastAsia" w:ascii="仿宋_GB2312" w:hAnsi="宋体" w:eastAsia="仿宋_GB2312"/>
          <w:color w:val="auto"/>
          <w:sz w:val="32"/>
          <w:szCs w:val="32"/>
          <w:highlight w:val="none"/>
          <w:lang w:eastAsia="zh-CN"/>
        </w:rPr>
        <w:t>条件能够落实</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r>
        <w:rPr>
          <w:rFonts w:hint="eastAsia" w:ascii="Times New Roman" w:hAnsi="Times New Roman" w:eastAsia="仿宋_GB2312"/>
          <w:color w:val="auto"/>
          <w:sz w:val="32"/>
          <w:szCs w:val="32"/>
          <w:highlight w:val="none"/>
        </w:rPr>
        <w:t>采购执法人员制式服装和标志。</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2．项目应实现的具体绩效目标</w:t>
      </w:r>
      <w:r>
        <w:rPr>
          <w:rFonts w:hint="default" w:ascii="仿宋_GB2312" w:hAnsi="仿宋_GB2312" w:eastAsia="仿宋_GB2312" w:cs="仿宋_GB2312"/>
          <w:b w:val="0"/>
          <w:bCs w:val="0"/>
          <w:color w:val="auto"/>
          <w:kern w:val="0"/>
          <w:sz w:val="32"/>
          <w:szCs w:val="32"/>
          <w:highlight w:val="none"/>
          <w:u w:val="none"/>
          <w:shd w:val="clear" w:color="auto" w:fill="FFFFFF"/>
        </w:rPr>
        <w:t>。2022年采购制式服装和标志人数67人，完成需要的服装及标志采购100%，购置执法服装和标志支付控制在预算数257240.4元范围内，支付率100%，保障执法工作开展率100%，职工满意度良好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3．评价申报内容与实际相符，申报目标合理可行。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default" w:ascii="仿宋_GB2312" w:hAnsi="仿宋_GB2312" w:eastAsia="仿宋_GB2312" w:cs="仿宋_GB2312"/>
          <w:b w:val="0"/>
          <w:bCs w:val="0"/>
          <w:color w:val="auto"/>
          <w:kern w:val="0"/>
          <w:sz w:val="32"/>
          <w:szCs w:val="32"/>
          <w:highlight w:val="none"/>
          <w:u w:val="none"/>
          <w:shd w:val="clear" w:color="auto" w:fill="FFFFFF"/>
        </w:rPr>
        <w:t>1.收集资料：为了准确、客观的开展项目支出绩效目标自评，支队收集关于该项目的有关资料，包括年初预算金额、项目事前评估报告、项目绩效目标、资金使用明细、项目实施情况等。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u w:val="none"/>
          <w:shd w:val="clear" w:color="auto" w:fill="FFFFFF"/>
        </w:rPr>
        <w:t>2.资料整合：将收集的项目资料进行整理，以便数据比较，直</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观的反映项目实施的进展情况和结果，利于开展项目自</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评。</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eastAsia="仿宋_GB2312"/>
          <w:color w:val="auto"/>
          <w:sz w:val="32"/>
          <w:szCs w:val="32"/>
          <w:highlight w:val="none"/>
        </w:rPr>
      </w:pP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3.评定结果：对比年初既定项目绩效目标检验项目实施是否完成绩效目标，再</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从项目</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产出指标、效益指标、成本指标、满意度指标</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等方面对项目效益进</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行全</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面</w:t>
      </w:r>
      <w:r>
        <w:rPr>
          <w:rFonts w:hint="default" w:ascii="仿宋_GB2312" w:hAnsi="仿宋_GB2312" w:eastAsia="仿宋_GB2312" w:cs="仿宋_GB2312"/>
          <w:b w:val="0"/>
          <w:bCs w:val="0"/>
          <w:color w:val="auto"/>
          <w:kern w:val="0"/>
          <w:sz w:val="32"/>
          <w:szCs w:val="32"/>
          <w:highlight w:val="none"/>
          <w:u w:val="none"/>
          <w:shd w:val="clear" w:color="auto" w:fill="FFFFFF"/>
        </w:rPr>
        <w:t>、细致地</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分析评价</w:t>
      </w:r>
      <w:r>
        <w:rPr>
          <w:rFonts w:hint="default" w:ascii="仿宋_GB2312" w:hAnsi="仿宋_GB2312" w:eastAsia="仿宋_GB2312" w:cs="仿宋_GB2312"/>
          <w:b w:val="0"/>
          <w:bCs w:val="0"/>
          <w:color w:val="auto"/>
          <w:kern w:val="0"/>
          <w:sz w:val="32"/>
          <w:szCs w:val="32"/>
          <w:highlight w:val="none"/>
          <w:u w:val="none"/>
          <w:shd w:val="clear" w:color="auto" w:fill="FFFFFF"/>
        </w:rPr>
        <w:t>，最后撰写项目支出绩效目标自评报告。</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425" w:name="_Toc7904"/>
      <w:bookmarkStart w:id="426" w:name="_Toc1066449987_WPSOffice_Level2"/>
      <w:bookmarkStart w:id="427" w:name="_Toc2050016780_WPSOffice_Level2"/>
      <w:bookmarkStart w:id="428" w:name="_Toc27755"/>
      <w:r>
        <w:rPr>
          <w:rFonts w:hint="eastAsia" w:ascii="黑体" w:hAnsi="宋体" w:eastAsia="黑体"/>
          <w:b w:val="0"/>
          <w:bCs w:val="0"/>
          <w:color w:val="auto"/>
          <w:sz w:val="32"/>
          <w:szCs w:val="32"/>
          <w:highlight w:val="none"/>
          <w:u w:val="none"/>
        </w:rPr>
        <w:t>二、项目资金申报及使用情况</w:t>
      </w:r>
      <w:bookmarkEnd w:id="425"/>
      <w:bookmarkEnd w:id="426"/>
      <w:bookmarkEnd w:id="427"/>
      <w:bookmarkEnd w:id="428"/>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default" w:ascii="仿宋_GB2312" w:hAnsi="仿宋_GB2312" w:eastAsia="仿宋_GB2312" w:cs="仿宋_GB2312"/>
          <w:b w:val="0"/>
          <w:bCs w:val="0"/>
          <w:color w:val="auto"/>
          <w:kern w:val="0"/>
          <w:sz w:val="32"/>
          <w:szCs w:val="32"/>
          <w:highlight w:val="none"/>
          <w:u w:val="none"/>
          <w:shd w:val="clear" w:color="auto" w:fill="FFFFFF"/>
        </w:rPr>
        <w:t>该</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项目资金申报</w:t>
      </w:r>
      <w:r>
        <w:rPr>
          <w:rFonts w:hint="default" w:ascii="仿宋_GB2312" w:hAnsi="仿宋_GB2312" w:eastAsia="仿宋_GB2312" w:cs="仿宋_GB2312"/>
          <w:b w:val="0"/>
          <w:bCs w:val="0"/>
          <w:color w:val="auto"/>
          <w:kern w:val="0"/>
          <w:sz w:val="32"/>
          <w:szCs w:val="32"/>
          <w:highlight w:val="none"/>
          <w:u w:val="none"/>
          <w:shd w:val="clear" w:color="auto" w:fill="FFFFFF"/>
        </w:rPr>
        <w:t>为25.72万元，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批复</w:t>
      </w:r>
      <w:r>
        <w:rPr>
          <w:rFonts w:hint="default" w:ascii="仿宋_GB2312" w:hAnsi="仿宋_GB2312" w:eastAsia="仿宋_GB2312" w:cs="仿宋_GB2312"/>
          <w:b w:val="0"/>
          <w:bCs w:val="0"/>
          <w:color w:val="auto"/>
          <w:kern w:val="0"/>
          <w:sz w:val="32"/>
          <w:szCs w:val="32"/>
          <w:highlight w:val="none"/>
          <w:u w:val="none"/>
          <w:shd w:val="clear" w:color="auto" w:fill="FFFFFF"/>
        </w:rPr>
        <w:t>金额25.72万元，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w:t>
      </w:r>
      <w:r>
        <w:rPr>
          <w:rFonts w:hint="default" w:ascii="仿宋_GB2312" w:hAnsi="仿宋_GB2312" w:eastAsia="仿宋_GB2312" w:cs="仿宋_GB2312"/>
          <w:b w:val="0"/>
          <w:bCs w:val="0"/>
          <w:color w:val="auto"/>
          <w:kern w:val="0"/>
          <w:sz w:val="32"/>
          <w:szCs w:val="32"/>
          <w:highlight w:val="none"/>
          <w:u w:val="none"/>
          <w:shd w:val="clear" w:color="auto" w:fill="FFFFFF"/>
        </w:rPr>
        <w:t>未进行</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调整。</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eastAsia="仿宋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default" w:ascii="仿宋_GB2312" w:hAnsi="宋体" w:eastAsia="仿宋_GB2312"/>
          <w:b w:val="0"/>
          <w:bCs w:val="0"/>
          <w:color w:val="auto"/>
          <w:sz w:val="32"/>
          <w:szCs w:val="32"/>
          <w:highlight w:val="none"/>
          <w:lang w:eastAsia="zh-CN"/>
        </w:rPr>
        <w:t>购置执法服装和标志</w:t>
      </w:r>
      <w:r>
        <w:rPr>
          <w:rFonts w:hint="default" w:ascii="仿宋_GB2312" w:hAnsi="宋体" w:eastAsia="仿宋_GB2312"/>
          <w:b w:val="0"/>
          <w:bCs w:val="0"/>
          <w:color w:val="auto"/>
          <w:sz w:val="32"/>
          <w:szCs w:val="32"/>
          <w:highlight w:val="none"/>
        </w:rPr>
        <w:t>项目资金预算金额为25.72万元，资金来源为市财政资金</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w:t>
      </w:r>
      <w:r>
        <w:rPr>
          <w:rFonts w:hint="default" w:ascii="仿宋_GB2312" w:hAnsi="宋体" w:eastAsia="仿宋_GB2312"/>
          <w:b w:val="0"/>
          <w:bCs w:val="0"/>
          <w:color w:val="auto"/>
          <w:sz w:val="32"/>
          <w:szCs w:val="32"/>
          <w:highlight w:val="none"/>
        </w:rPr>
        <w:t>资金到位及时，到位率为100%</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3．资金使用。</w:t>
      </w:r>
      <w:r>
        <w:rPr>
          <w:rFonts w:hint="default" w:ascii="仿宋_GB2312" w:hAnsi="宋体" w:eastAsia="仿宋_GB2312"/>
          <w:b w:val="0"/>
          <w:bCs w:val="0"/>
          <w:color w:val="auto"/>
          <w:sz w:val="32"/>
          <w:szCs w:val="32"/>
          <w:highlight w:val="none"/>
        </w:rPr>
        <w:t>购置执法服装和标志项目资金截止2022年12月底使用金额25.72万元，剩余资金0元，</w:t>
      </w:r>
      <w:r>
        <w:rPr>
          <w:rFonts w:hint="default" w:ascii="仿宋_GB2312" w:hAnsi="宋体" w:eastAsia="仿宋_GB2312"/>
          <w:b w:val="0"/>
          <w:bCs w:val="0"/>
          <w:color w:val="auto"/>
          <w:sz w:val="32"/>
          <w:szCs w:val="32"/>
          <w:highlight w:val="none"/>
          <w:lang w:eastAsia="zh-CN"/>
        </w:rPr>
        <w:t>支付进度100%</w:t>
      </w:r>
      <w:r>
        <w:rPr>
          <w:rFonts w:hint="default" w:ascii="仿宋_GB2312" w:hAnsi="宋体" w:eastAsia="仿宋_GB2312"/>
          <w:b w:val="0"/>
          <w:bCs w:val="0"/>
          <w:color w:val="auto"/>
          <w:sz w:val="32"/>
          <w:szCs w:val="32"/>
          <w:highlight w:val="none"/>
        </w:rPr>
        <w:t>。资金</w:t>
      </w:r>
      <w:r>
        <w:rPr>
          <w:rFonts w:hint="default" w:ascii="仿宋_GB2312" w:hAnsi="宋体" w:eastAsia="仿宋_GB2312"/>
          <w:b w:val="0"/>
          <w:bCs w:val="0"/>
          <w:color w:val="auto"/>
          <w:sz w:val="32"/>
          <w:szCs w:val="32"/>
          <w:highlight w:val="none"/>
          <w:lang w:eastAsia="zh-CN"/>
        </w:rPr>
        <w:t>主要用于采购执法人员制式服装和标志。资金支付严格遵循财政资金支付规定，</w:t>
      </w:r>
      <w:r>
        <w:rPr>
          <w:rFonts w:hint="eastAsia" w:ascii="仿宋_GB2312" w:hAnsi="宋体" w:eastAsia="仿宋_GB2312"/>
          <w:b w:val="0"/>
          <w:bCs w:val="0"/>
          <w:color w:val="auto"/>
          <w:sz w:val="32"/>
          <w:szCs w:val="32"/>
          <w:highlight w:val="none"/>
          <w:lang w:val="zh-CN"/>
        </w:rPr>
        <w:t>支付依据合规合法，资金支付与预算相符</w:t>
      </w:r>
      <w:r>
        <w:rPr>
          <w:rFonts w:hint="default" w:ascii="仿宋_GB2312" w:hAnsi="宋体" w:eastAsia="仿宋_GB2312"/>
          <w:b w:val="0"/>
          <w:bCs w:val="0"/>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default" w:ascii="仿宋_GB2312" w:hAnsi="宋体" w:eastAsia="仿宋_GB2312"/>
          <w:color w:val="auto"/>
          <w:kern w:val="2"/>
          <w:sz w:val="32"/>
          <w:szCs w:val="32"/>
          <w:highlight w:val="none"/>
          <w:lang w:val="en-US" w:eastAsia="zh-CN" w:bidi="ar-SA"/>
        </w:rPr>
        <w:t>我单位财务管理制度健全，严格执行了财务管理制度，账务处理及时，会计核算规范</w:t>
      </w:r>
      <w:r>
        <w:rPr>
          <w:rFonts w:hint="default" w:ascii="仿宋_GB2312" w:hAnsi="宋体" w:eastAsia="仿宋_GB2312"/>
          <w:color w:val="auto"/>
          <w:kern w:val="2"/>
          <w:sz w:val="32"/>
          <w:szCs w:val="32"/>
          <w:highlight w:val="none"/>
          <w:lang w:eastAsia="zh-CN" w:bidi="ar-SA"/>
        </w:rPr>
        <w:t>。</w:t>
      </w:r>
      <w:r>
        <w:rPr>
          <w:rFonts w:hint="eastAsia" w:ascii="仿宋_GB2312" w:hAnsi="宋体" w:eastAsia="仿宋_GB2312" w:cs="Times New Roman"/>
          <w:color w:val="auto"/>
          <w:kern w:val="2"/>
          <w:sz w:val="32"/>
          <w:szCs w:val="32"/>
          <w:highlight w:val="none"/>
          <w:lang w:val="en-US" w:eastAsia="zh-CN" w:bidi="ar-SA"/>
        </w:rPr>
        <w:t>支队严格执行各项财务管理制度，保证项目经费专款专用，进一步完善财务管理各项规章制度建设，加强内部机构设置。财务科全面负责项目资金的会计核算和账务处理工作，对照项目资金管理办法</w:t>
      </w:r>
      <w:r>
        <w:rPr>
          <w:rFonts w:hint="default" w:ascii="仿宋_GB2312" w:hAnsi="宋体" w:eastAsia="仿宋_GB2312" w:cs="Times New Roman"/>
          <w:color w:val="auto"/>
          <w:kern w:val="2"/>
          <w:sz w:val="32"/>
          <w:szCs w:val="32"/>
          <w:highlight w:val="none"/>
          <w:lang w:eastAsia="zh-CN" w:bidi="ar-SA"/>
        </w:rPr>
        <w:t>进行支出</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hint="eastAsia" w:ascii="仿宋_GB2312" w:hAnsi="仿宋_GB2312" w:eastAsia="仿宋_GB2312" w:cs="仿宋_GB2312"/>
          <w:b w:val="0"/>
          <w:bCs w:val="0"/>
          <w:color w:val="auto"/>
          <w:kern w:val="0"/>
          <w:sz w:val="32"/>
          <w:szCs w:val="32"/>
          <w:highlight w:val="none"/>
          <w:u w:val="none"/>
          <w:shd w:val="clear" w:color="auto" w:fill="FFFFFF"/>
          <w:lang w:val="zh-CN"/>
        </w:rPr>
      </w:pPr>
      <w:bookmarkStart w:id="429" w:name="_Toc29351"/>
      <w:bookmarkStart w:id="430" w:name="_Toc16632"/>
      <w:bookmarkStart w:id="431" w:name="_Toc1326853643_WPSOffice_Level2"/>
      <w:bookmarkStart w:id="432" w:name="_Toc389160827_WPSOffice_Level2"/>
      <w:r>
        <w:rPr>
          <w:rFonts w:hint="eastAsia" w:ascii="黑体" w:hAnsi="宋体" w:eastAsia="黑体"/>
          <w:b w:val="0"/>
          <w:bCs w:val="0"/>
          <w:color w:val="auto"/>
          <w:sz w:val="32"/>
          <w:szCs w:val="32"/>
          <w:highlight w:val="none"/>
          <w:u w:val="none"/>
        </w:rPr>
        <w:t>三、项目实施及管理情况</w:t>
      </w:r>
      <w:bookmarkEnd w:id="429"/>
      <w:bookmarkEnd w:id="430"/>
      <w:bookmarkEnd w:id="431"/>
      <w:bookmarkEnd w:id="432"/>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default" w:ascii="楷体_GB2312" w:hAnsi="宋体" w:eastAsia="楷体_GB2312"/>
          <w:b w:val="0"/>
          <w:bCs w:val="0"/>
          <w:color w:val="auto"/>
          <w:sz w:val="32"/>
          <w:szCs w:val="32"/>
          <w:highlight w:val="none"/>
          <w:u w:val="none"/>
        </w:rPr>
      </w:pPr>
      <w:r>
        <w:rPr>
          <w:rFonts w:hint="eastAsia" w:ascii="楷体_GB2312" w:hAnsi="宋体" w:eastAsia="楷体_GB2312"/>
          <w:b w:val="0"/>
          <w:bCs w:val="0"/>
          <w:color w:val="auto"/>
          <w:sz w:val="32"/>
          <w:szCs w:val="32"/>
          <w:highlight w:val="none"/>
          <w:u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广元市交通运输综合行政执法支队成立了项目绩效领导小组，对项目实施全过程进行管理和监督。项目领导小组由主要领导为组长，分管领导为副组长，各科室负责人为成员，并下设办公室到具体科室，由具体负责人办公室主任，具体负责项目的实施与管理工作。严格按照相关规定，明确责任，合理分工，密切协作，为项目顺利实施提供保障</w:t>
      </w:r>
      <w:r>
        <w:rPr>
          <w:rFonts w:hint="default" w:ascii="仿宋_GB2312" w:hAnsi="宋体" w:eastAsia="仿宋_GB2312" w:cs="Times New Roman"/>
          <w:color w:val="auto"/>
          <w:kern w:val="2"/>
          <w:sz w:val="32"/>
          <w:szCs w:val="32"/>
          <w:highlight w:val="none"/>
          <w:lang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_GB2312" w:hAnsi="宋体" w:eastAsia="仿宋_GB2312" w:cs="Times New Roman"/>
          <w:color w:val="auto"/>
          <w:kern w:val="2"/>
          <w:sz w:val="32"/>
          <w:szCs w:val="32"/>
          <w:highlight w:val="none"/>
          <w:lang w:val="en-US" w:eastAsia="zh-CN" w:bidi="ar-SA"/>
        </w:rPr>
        <w:t>为进一步规范绩效项目的管理行为，加强项目过程控制，提高项目管理水平，强化项目形象，创信誉、争效益，</w:t>
      </w:r>
      <w:r>
        <w:rPr>
          <w:rFonts w:hint="default" w:ascii="仿宋_GB2312" w:hAnsi="宋体" w:eastAsia="仿宋_GB2312" w:cs="Times New Roman"/>
          <w:color w:val="auto"/>
          <w:kern w:val="2"/>
          <w:sz w:val="32"/>
          <w:szCs w:val="32"/>
          <w:highlight w:val="none"/>
          <w:lang w:eastAsia="zh-CN" w:bidi="ar-SA"/>
        </w:rPr>
        <w:t>支队</w:t>
      </w:r>
      <w:r>
        <w:rPr>
          <w:rFonts w:hint="eastAsia" w:ascii="仿宋_GB2312" w:hAnsi="宋体" w:eastAsia="仿宋_GB2312" w:cs="Times New Roman"/>
          <w:color w:val="auto"/>
          <w:kern w:val="2"/>
          <w:sz w:val="32"/>
          <w:szCs w:val="32"/>
          <w:highlight w:val="none"/>
          <w:lang w:val="en-US" w:eastAsia="zh-CN" w:bidi="ar-SA"/>
        </w:rPr>
        <w:t>所有项目都先制定了制度和工作计划，严格按照相关规定流程实施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（三）项目监管情况。</w:t>
      </w:r>
      <w:r>
        <w:rPr>
          <w:rFonts w:hint="default" w:ascii="仿宋_GB2312" w:hAnsi="宋体" w:eastAsia="仿宋_GB2312" w:cs="Times New Roman"/>
          <w:color w:val="auto"/>
          <w:kern w:val="2"/>
          <w:sz w:val="32"/>
          <w:szCs w:val="32"/>
          <w:highlight w:val="none"/>
          <w:lang w:eastAsia="zh-CN" w:bidi="ar-SA"/>
        </w:rPr>
        <w:t>支队</w:t>
      </w:r>
      <w:r>
        <w:rPr>
          <w:rFonts w:hint="eastAsia" w:ascii="仿宋_GB2312" w:hAnsi="宋体" w:eastAsia="仿宋_GB2312" w:cs="Times New Roman"/>
          <w:color w:val="auto"/>
          <w:kern w:val="2"/>
          <w:sz w:val="32"/>
          <w:szCs w:val="32"/>
          <w:highlight w:val="none"/>
          <w:lang w:val="en-US" w:eastAsia="zh-CN" w:bidi="ar-SA"/>
        </w:rPr>
        <w:t>严格按照相关法律法规和程序，对质量、安全和项目进度进行全过程、全方位的监督管理，努力化解风险，提高工作效率，明确规范管理，强化责任，确保安全，保证质量的指导思想，思想观念不放松，严格把好绩效项目实施过程关口</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eastAsia="仿宋_GB2312"/>
          <w:b w:val="0"/>
          <w:bCs w:val="0"/>
          <w:color w:val="auto"/>
          <w:sz w:val="32"/>
          <w:szCs w:val="32"/>
          <w:highlight w:val="none"/>
          <w:u w:val="none"/>
          <w:lang w:val="zh-CN"/>
        </w:rPr>
      </w:pPr>
      <w:bookmarkStart w:id="433" w:name="_Toc21334"/>
      <w:bookmarkStart w:id="434" w:name="_Toc28812"/>
      <w:bookmarkStart w:id="435" w:name="_Toc840423156_WPSOffice_Level2"/>
      <w:bookmarkStart w:id="436" w:name="_Toc768852786_WPSOffice_Level2"/>
      <w:r>
        <w:rPr>
          <w:rFonts w:hint="eastAsia" w:ascii="黑体" w:hAnsi="宋体" w:eastAsia="黑体"/>
          <w:b w:val="0"/>
          <w:bCs w:val="0"/>
          <w:color w:val="auto"/>
          <w:sz w:val="32"/>
          <w:szCs w:val="32"/>
          <w:highlight w:val="none"/>
          <w:u w:val="none"/>
        </w:rPr>
        <w:t>四、项目绩效情况</w:t>
      </w:r>
      <w:bookmarkEnd w:id="433"/>
      <w:bookmarkEnd w:id="434"/>
      <w:bookmarkEnd w:id="435"/>
      <w:bookmarkEnd w:id="436"/>
      <w:r>
        <w:rPr>
          <w:rFonts w:hint="eastAsia" w:ascii="仿宋_GB2312" w:hAnsi="宋体" w:eastAsia="仿宋_GB2312"/>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eastAsia="仿宋_GB2312"/>
          <w:color w:val="auto"/>
          <w:sz w:val="32"/>
          <w:szCs w:val="32"/>
          <w:highlight w:val="none"/>
          <w:lang w:val="zh-CN"/>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截止评价时点</w:t>
      </w:r>
      <w:r>
        <w:rPr>
          <w:rFonts w:hint="default" w:ascii="仿宋_GB2312" w:hAnsi="仿宋_GB2312" w:eastAsia="仿宋_GB2312" w:cs="仿宋_GB2312"/>
          <w:b w:val="0"/>
          <w:bCs w:val="0"/>
          <w:color w:val="auto"/>
          <w:kern w:val="0"/>
          <w:sz w:val="32"/>
          <w:szCs w:val="32"/>
          <w:highlight w:val="none"/>
          <w:u w:val="none"/>
          <w:shd w:val="clear" w:color="auto" w:fill="FFFFFF"/>
        </w:rPr>
        <w:t>，</w:t>
      </w:r>
      <w:r>
        <w:rPr>
          <w:rFonts w:hint="default" w:ascii="仿宋_GB2312" w:hAnsi="宋体" w:eastAsia="仿宋_GB2312"/>
          <w:b w:val="0"/>
          <w:bCs w:val="0"/>
          <w:color w:val="auto"/>
          <w:sz w:val="32"/>
          <w:szCs w:val="32"/>
          <w:highlight w:val="none"/>
        </w:rPr>
        <w:t>支队</w:t>
      </w:r>
      <w:r>
        <w:rPr>
          <w:rFonts w:hint="eastAsia" w:ascii="仿宋_GB2312" w:hAnsi="宋体" w:eastAsia="仿宋_GB2312" w:cs="Times New Roman"/>
          <w:b w:val="0"/>
          <w:bCs w:val="0"/>
          <w:color w:val="auto"/>
          <w:sz w:val="32"/>
          <w:szCs w:val="32"/>
          <w:highlight w:val="none"/>
          <w:lang w:val="en-US" w:eastAsia="zh-CN"/>
        </w:rPr>
        <w:t>完</w:t>
      </w:r>
      <w:r>
        <w:rPr>
          <w:rFonts w:hint="eastAsia" w:ascii="仿宋_GB2312" w:hAnsi="宋体" w:eastAsia="仿宋_GB2312"/>
          <w:b w:val="0"/>
          <w:bCs w:val="0"/>
          <w:color w:val="auto"/>
          <w:sz w:val="32"/>
          <w:szCs w:val="32"/>
          <w:highlight w:val="none"/>
          <w:lang w:val="en-US" w:eastAsia="zh-CN"/>
        </w:rPr>
        <w:t>成</w:t>
      </w:r>
      <w:r>
        <w:rPr>
          <w:rFonts w:hint="default" w:ascii="仿宋_GB2312" w:hAnsi="宋体" w:eastAsia="仿宋_GB2312"/>
          <w:b w:val="0"/>
          <w:bCs w:val="0"/>
          <w:color w:val="auto"/>
          <w:sz w:val="32"/>
          <w:szCs w:val="32"/>
          <w:highlight w:val="none"/>
          <w:lang w:eastAsia="zh-CN"/>
        </w:rPr>
        <w:t>67名职工执法服装和标志的采购</w:t>
      </w:r>
      <w:r>
        <w:rPr>
          <w:rFonts w:hint="eastAsia" w:ascii="仿宋_GB2312" w:hAnsi="宋体" w:eastAsia="仿宋_GB2312"/>
          <w:b w:val="0"/>
          <w:bCs w:val="0"/>
          <w:color w:val="auto"/>
          <w:sz w:val="32"/>
          <w:szCs w:val="32"/>
          <w:highlight w:val="none"/>
          <w:lang w:val="en-US" w:eastAsia="zh-CN"/>
        </w:rPr>
        <w:t>，</w:t>
      </w:r>
      <w:r>
        <w:rPr>
          <w:rFonts w:hint="default" w:ascii="仿宋_GB2312" w:hAnsi="宋体" w:eastAsia="仿宋_GB2312"/>
          <w:b w:val="0"/>
          <w:bCs w:val="0"/>
          <w:color w:val="auto"/>
          <w:sz w:val="32"/>
          <w:szCs w:val="32"/>
          <w:highlight w:val="none"/>
          <w:lang w:eastAsia="zh-CN"/>
        </w:rPr>
        <w:t>购置执法服装和标志费用25.72万元，购置执法服装和标志采购完成率100%，</w:t>
      </w:r>
      <w:r>
        <w:rPr>
          <w:rFonts w:hint="default" w:ascii="仿宋_GB2312" w:hAnsi="仿宋_GB2312" w:eastAsia="仿宋_GB2312" w:cs="仿宋_GB2312"/>
          <w:b w:val="0"/>
          <w:bCs w:val="0"/>
          <w:color w:val="auto"/>
          <w:kern w:val="0"/>
          <w:sz w:val="32"/>
          <w:szCs w:val="32"/>
          <w:highlight w:val="none"/>
          <w:u w:val="none"/>
          <w:shd w:val="clear" w:color="auto" w:fill="FFFFFF"/>
        </w:rPr>
        <w:t>按质按量</w:t>
      </w:r>
      <w:r>
        <w:rPr>
          <w:rFonts w:hint="eastAsia" w:ascii="仿宋_GB2312" w:hAnsi="宋体" w:eastAsia="仿宋_GB2312"/>
          <w:b w:val="0"/>
          <w:bCs w:val="0"/>
          <w:color w:val="auto"/>
          <w:sz w:val="32"/>
          <w:szCs w:val="32"/>
          <w:highlight w:val="none"/>
          <w:lang w:val="en-US" w:eastAsia="zh-CN"/>
        </w:rPr>
        <w:t>完成年初既定</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数量、质量、时效、成本</w:t>
      </w:r>
      <w:r>
        <w:rPr>
          <w:rFonts w:hint="eastAsia" w:ascii="仿宋_GB2312" w:hAnsi="宋体" w:eastAsia="仿宋_GB2312"/>
          <w:b w:val="0"/>
          <w:bCs w:val="0"/>
          <w:color w:val="auto"/>
          <w:sz w:val="32"/>
          <w:szCs w:val="32"/>
          <w:highlight w:val="none"/>
          <w:lang w:val="en-US" w:eastAsia="zh-CN"/>
        </w:rPr>
        <w:t>绩效目标</w:t>
      </w:r>
      <w:r>
        <w:rPr>
          <w:rFonts w:hint="default" w:ascii="仿宋_GB2312" w:hAnsi="宋体" w:eastAsia="仿宋_GB2312" w:cs="Times New Roman"/>
          <w:b w:val="0"/>
          <w:bCs w:val="0"/>
          <w:color w:val="auto"/>
          <w:sz w:val="32"/>
          <w:szCs w:val="32"/>
          <w:highlight w:val="none"/>
          <w:lang w:eastAsia="zh-CN"/>
        </w:rPr>
        <w:t>，完成率达100%，年初编制任务量全部完成，执行进度100%，项目成本控制在预算资金范围内，无结余资金，无违规记录。</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default" w:ascii="仿宋_GB2312" w:hAnsi="仿宋_GB2312" w:eastAsia="仿宋_GB2312" w:cs="仿宋_GB2312"/>
          <w:b w:val="0"/>
          <w:bCs w:val="0"/>
          <w:color w:val="auto"/>
          <w:kern w:val="0"/>
          <w:sz w:val="32"/>
          <w:szCs w:val="32"/>
          <w:highlight w:val="none"/>
          <w:u w:val="none"/>
          <w:shd w:val="clear" w:color="auto" w:fill="FFFFFF"/>
          <w:lang w:eastAsia="zh-CN"/>
        </w:rPr>
        <w:t>购置执法服装和标志保障了执法工作的正常开展，职工</w:t>
      </w:r>
      <w:r>
        <w:rPr>
          <w:rFonts w:hint="default" w:ascii="仿宋_GB2312" w:hAnsi="宋体" w:eastAsia="仿宋_GB2312"/>
          <w:b w:val="0"/>
          <w:bCs w:val="0"/>
          <w:color w:val="auto"/>
          <w:sz w:val="32"/>
          <w:szCs w:val="32"/>
          <w:highlight w:val="none"/>
          <w:lang w:eastAsia="zh-CN"/>
        </w:rPr>
        <w:t>满意度达到良好。</w:t>
      </w:r>
      <w:r>
        <w:rPr>
          <w:rFonts w:hint="eastAsia" w:ascii="仿宋_GB2312" w:hAnsi="宋体" w:eastAsia="仿宋_GB2312"/>
          <w:b w:val="0"/>
          <w:bCs w:val="0"/>
          <w:color w:val="auto"/>
          <w:sz w:val="32"/>
          <w:szCs w:val="32"/>
          <w:highlight w:val="none"/>
          <w:lang w:val="en-US" w:eastAsia="zh-CN"/>
        </w:rPr>
        <w:t>年初既定</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社会效益、</w:t>
      </w:r>
      <w:r>
        <w:rPr>
          <w:rFonts w:hint="default" w:ascii="仿宋_GB2312" w:hAnsi="仿宋_GB2312" w:eastAsia="仿宋_GB2312" w:cs="仿宋_GB2312"/>
          <w:b w:val="0"/>
          <w:bCs w:val="0"/>
          <w:color w:val="auto"/>
          <w:kern w:val="0"/>
          <w:sz w:val="32"/>
          <w:szCs w:val="32"/>
          <w:highlight w:val="none"/>
          <w:u w:val="none"/>
          <w:shd w:val="clear" w:color="auto" w:fill="FFFFFF"/>
        </w:rPr>
        <w:t>群众</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满意度</w:t>
      </w:r>
      <w:r>
        <w:rPr>
          <w:rFonts w:hint="eastAsia" w:ascii="仿宋_GB2312" w:hAnsi="宋体" w:eastAsia="仿宋_GB2312"/>
          <w:b w:val="0"/>
          <w:bCs w:val="0"/>
          <w:color w:val="auto"/>
          <w:sz w:val="32"/>
          <w:szCs w:val="32"/>
          <w:highlight w:val="none"/>
          <w:lang w:val="en-US" w:eastAsia="zh-CN"/>
        </w:rPr>
        <w:t>绩效目标</w:t>
      </w:r>
      <w:r>
        <w:rPr>
          <w:rFonts w:hint="default" w:ascii="仿宋_GB2312" w:hAnsi="宋体" w:eastAsia="仿宋_GB2312" w:cs="Times New Roman"/>
          <w:b w:val="0"/>
          <w:bCs w:val="0"/>
          <w:color w:val="auto"/>
          <w:sz w:val="32"/>
          <w:szCs w:val="32"/>
          <w:highlight w:val="none"/>
          <w:lang w:eastAsia="zh-CN"/>
        </w:rPr>
        <w:t>完成率100%。</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437" w:name="_Toc10879"/>
      <w:bookmarkStart w:id="438" w:name="_Toc1667459555_WPSOffice_Level2"/>
      <w:bookmarkStart w:id="439" w:name="_Toc16821"/>
      <w:bookmarkStart w:id="440" w:name="_Toc94763930_WPSOffice_Level2"/>
      <w:r>
        <w:rPr>
          <w:rFonts w:hint="eastAsia" w:ascii="黑体" w:hAnsi="宋体" w:eastAsia="黑体"/>
          <w:b w:val="0"/>
          <w:bCs w:val="0"/>
          <w:color w:val="auto"/>
          <w:sz w:val="32"/>
          <w:szCs w:val="32"/>
          <w:highlight w:val="none"/>
          <w:u w:val="none"/>
        </w:rPr>
        <w:t>五、评价结论及建议</w:t>
      </w:r>
      <w:bookmarkEnd w:id="437"/>
      <w:bookmarkEnd w:id="438"/>
      <w:bookmarkEnd w:id="439"/>
      <w:bookmarkEnd w:id="440"/>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default" w:ascii="仿宋_GB2312" w:hAnsi="仿宋_GB2312" w:eastAsia="仿宋_GB2312" w:cs="仿宋_GB2312"/>
          <w:b w:val="0"/>
          <w:bCs w:val="0"/>
          <w:color w:val="auto"/>
          <w:kern w:val="0"/>
          <w:sz w:val="32"/>
          <w:szCs w:val="32"/>
          <w:highlight w:val="none"/>
          <w:u w:val="none"/>
          <w:shd w:val="clear" w:color="auto" w:fill="FFFFFF"/>
        </w:rPr>
        <w:t>购置执法服装和标志专项项目资金使用严格执行相关政策，严格按照预算执行，确保了支队67名职工制式服装和标志率的采购率，确保了交通运输综合行政执法工作执法正常开展。</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u w:val="none"/>
          <w:shd w:val="clear" w:color="auto" w:fill="FFFFFF"/>
        </w:rPr>
        <w:t>无</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default" w:ascii="仿宋_GB2312" w:hAnsi="仿宋_GB2312" w:eastAsia="仿宋_GB2312" w:cs="仿宋_GB2312"/>
          <w:b w:val="0"/>
          <w:bCs w:val="0"/>
          <w:color w:val="auto"/>
          <w:kern w:val="0"/>
          <w:sz w:val="32"/>
          <w:szCs w:val="32"/>
          <w:highlight w:val="none"/>
          <w:u w:val="none"/>
          <w:shd w:val="clear" w:color="auto" w:fill="FFFFFF"/>
        </w:rPr>
        <w:t>无</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shd w:val="clear"/>
        <w:rPr>
          <w:rFonts w:hint="eastAsia" w:hAnsi="宋体" w:cs="宋体"/>
          <w:color w:val="auto"/>
          <w:kern w:val="0"/>
          <w:sz w:val="32"/>
          <w:szCs w:val="32"/>
          <w:highlight w:val="none"/>
          <w:shd w:val="clear" w:color="auto" w:fill="FFFFFF"/>
          <w:lang w:val="en-US" w:eastAsia="zh-CN"/>
        </w:rPr>
      </w:pP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pStyle w:val="38"/>
        <w:keepNext w:val="0"/>
        <w:keepLines w:val="0"/>
        <w:pageBreakBefore w:val="0"/>
        <w:widowControl w:val="0"/>
        <w:shd w:val="clear"/>
        <w:kinsoku/>
        <w:wordWrap/>
        <w:overflowPunct/>
        <w:topLinePunct w:val="0"/>
        <w:autoSpaceDE/>
        <w:autoSpaceDN/>
        <w:bidi w:val="0"/>
        <w:spacing w:line="578" w:lineRule="exact"/>
        <w:jc w:val="left"/>
        <w:textAlignment w:val="auto"/>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附件18：</w:t>
      </w:r>
    </w:p>
    <w:p>
      <w:pPr>
        <w:pStyle w:val="38"/>
        <w:keepNext w:val="0"/>
        <w:keepLines w:val="0"/>
        <w:pageBreakBefore w:val="0"/>
        <w:widowControl w:val="0"/>
        <w:shd w:val="clear"/>
        <w:kinsoku/>
        <w:wordWrap/>
        <w:overflowPunct/>
        <w:topLinePunct w:val="0"/>
        <w:autoSpaceDE/>
        <w:autoSpaceDN/>
        <w:bidi w:val="0"/>
        <w:spacing w:line="578" w:lineRule="exact"/>
        <w:jc w:val="center"/>
        <w:textAlignment w:val="auto"/>
        <w:outlineLvl w:val="1"/>
        <w:rPr>
          <w:rFonts w:hint="default" w:ascii="方正小标宋简体" w:hAnsi="方正小标宋简体" w:eastAsia="方正小标宋简体" w:cs="方正小标宋简体"/>
          <w:b w:val="0"/>
          <w:bCs w:val="0"/>
          <w:color w:val="auto"/>
          <w:kern w:val="2"/>
          <w:sz w:val="44"/>
          <w:szCs w:val="44"/>
          <w:highlight w:val="none"/>
          <w:lang w:eastAsia="zh-CN"/>
        </w:rPr>
      </w:pPr>
      <w:bookmarkStart w:id="441" w:name="_Toc3000"/>
      <w:bookmarkStart w:id="442" w:name="_Toc29044"/>
      <w:r>
        <w:rPr>
          <w:rFonts w:hint="default" w:ascii="方正小标宋简体" w:hAnsi="方正小标宋简体" w:eastAsia="方正小标宋简体" w:cs="方正小标宋简体"/>
          <w:b w:val="0"/>
          <w:bCs w:val="0"/>
          <w:color w:val="auto"/>
          <w:kern w:val="2"/>
          <w:sz w:val="44"/>
          <w:szCs w:val="44"/>
          <w:highlight w:val="none"/>
          <w:lang w:eastAsia="zh-CN"/>
        </w:rPr>
        <w:t>广元市交通运输综合行政执法支队</w:t>
      </w:r>
      <w:bookmarkEnd w:id="441"/>
      <w:bookmarkEnd w:id="442"/>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w:t>
      </w:r>
      <w:r>
        <w:rPr>
          <w:rFonts w:hint="default" w:ascii="方正小标宋简体" w:hAnsi="方正小标宋简体" w:eastAsia="方正小标宋简体" w:cs="方正小标宋简体"/>
          <w:b w:val="0"/>
          <w:bCs w:val="0"/>
          <w:color w:val="auto"/>
          <w:kern w:val="2"/>
          <w:sz w:val="44"/>
          <w:szCs w:val="44"/>
          <w:highlight w:val="none"/>
          <w:lang w:val="zh-CN" w:eastAsia="zh-CN" w:bidi="ar-SA"/>
        </w:rPr>
        <w:t>交通工程质量检测经费</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专项资金</w:t>
      </w:r>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预算项目支出绩效自评报告</w:t>
      </w:r>
    </w:p>
    <w:p>
      <w:pPr>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lang w:val="zh-CN"/>
        </w:rPr>
      </w:pPr>
      <w:bookmarkStart w:id="443" w:name="_Toc3477"/>
      <w:bookmarkStart w:id="444" w:name="_Toc20247"/>
      <w:bookmarkStart w:id="445" w:name="_Toc215658498_WPSOffice_Level2"/>
      <w:bookmarkStart w:id="446" w:name="_Toc1396375231_WPSOffice_Level2"/>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bookmarkEnd w:id="443"/>
      <w:bookmarkEnd w:id="444"/>
      <w:bookmarkEnd w:id="445"/>
      <w:bookmarkEnd w:id="446"/>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widowControl/>
        <w:suppressLineNumbers w:val="0"/>
        <w:shd w:val="clear"/>
        <w:ind w:firstLine="640" w:firstLineChars="20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w:t>
      </w:r>
      <w:r>
        <w:rPr>
          <w:rFonts w:hint="default" w:ascii="仿宋_GB2312" w:hAnsi="仿宋_GB2312" w:eastAsia="仿宋_GB2312" w:cs="仿宋_GB2312"/>
          <w:b w:val="0"/>
          <w:bCs w:val="0"/>
          <w:color w:val="auto"/>
          <w:kern w:val="0"/>
          <w:sz w:val="32"/>
          <w:szCs w:val="32"/>
          <w:highlight w:val="none"/>
          <w:u w:val="none"/>
          <w:shd w:val="clear" w:color="auto" w:fill="FFFFFF"/>
        </w:rPr>
        <w:t>支队</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在该项目管理中的</w:t>
      </w:r>
      <w:r>
        <w:rPr>
          <w:rFonts w:hint="eastAsia" w:ascii="仿宋_GB2312" w:hAnsi="仿宋_GB2312" w:eastAsia="仿宋_GB2312" w:cs="仿宋_GB2312"/>
          <w:color w:val="auto"/>
          <w:sz w:val="32"/>
          <w:szCs w:val="32"/>
          <w:highlight w:val="none"/>
          <w:lang w:val="zh-CN"/>
        </w:rPr>
        <w:t>职能。</w:t>
      </w:r>
      <w:r>
        <w:rPr>
          <w:rFonts w:hint="default" w:ascii="仿宋_GB2312" w:hAnsi="仿宋_GB2312" w:eastAsia="仿宋_GB2312" w:cs="仿宋_GB2312"/>
          <w:color w:val="auto"/>
          <w:sz w:val="32"/>
          <w:szCs w:val="32"/>
          <w:highlight w:val="none"/>
        </w:rPr>
        <w:t>支队</w:t>
      </w:r>
      <w:r>
        <w:rPr>
          <w:rFonts w:hint="eastAsia" w:ascii="仿宋_GB2312" w:hAnsi="仿宋_GB2312" w:eastAsia="仿宋_GB2312" w:cs="仿宋_GB2312"/>
          <w:color w:val="auto"/>
          <w:sz w:val="32"/>
          <w:szCs w:val="32"/>
          <w:highlight w:val="none"/>
          <w:lang w:val="en-US" w:eastAsia="zh-CN"/>
        </w:rPr>
        <w:t>承担全市职责范围内重点公路（含国省干线公路大中修及预防性养护工程）、水运建设项目安全生产和质量监督及项目竣（交）工验收工程质量鉴定（检测）工作。负责对职责范围内重点公路、水运工程质量和安全违法违规行为实施行政处罚、行政检查、行政强制。指导县区交通工程项目质量安全监督工作。</w:t>
      </w:r>
    </w:p>
    <w:p>
      <w:pPr>
        <w:keepNext w:val="0"/>
        <w:keepLines w:val="0"/>
        <w:widowControl/>
        <w:suppressLineNumbers w:val="0"/>
        <w:shd w:val="clear"/>
        <w:spacing w:before="0" w:beforeAutospacing="0" w:after="0" w:afterAutospacing="0"/>
        <w:ind w:left="0" w:right="0" w:firstLine="640" w:firstLineChars="200"/>
        <w:jc w:val="left"/>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
        </w:rPr>
        <w:t>2．项</w:t>
      </w:r>
      <w:r>
        <w:rPr>
          <w:rFonts w:hint="eastAsia" w:ascii="仿宋_GB2312" w:hAnsi="宋体" w:eastAsia="仿宋_GB2312" w:cs="Times New Roman"/>
          <w:color w:val="auto"/>
          <w:kern w:val="2"/>
          <w:sz w:val="32"/>
          <w:szCs w:val="32"/>
          <w:highlight w:val="none"/>
          <w:lang w:val="zh-CN" w:eastAsia="zh-CN" w:bidi="ar-SA"/>
        </w:rPr>
        <w:t>目立项、资金申报的依据</w:t>
      </w:r>
      <w:r>
        <w:rPr>
          <w:rFonts w:hint="default" w:ascii="仿宋_GB2312" w:hAnsi="宋体" w:eastAsia="仿宋_GB2312" w:cs="Times New Roman"/>
          <w:color w:val="auto"/>
          <w:kern w:val="2"/>
          <w:sz w:val="32"/>
          <w:szCs w:val="32"/>
          <w:highlight w:val="none"/>
          <w:lang w:val="en-US" w:eastAsia="zh-CN" w:bidi="ar-SA"/>
        </w:rPr>
        <w:t>。该项目符合</w:t>
      </w:r>
      <w:r>
        <w:rPr>
          <w:rFonts w:hint="eastAsia" w:ascii="仿宋_GB2312" w:hAnsi="宋体" w:eastAsia="仿宋_GB2312" w:cs="Times New Roman"/>
          <w:color w:val="auto"/>
          <w:kern w:val="2"/>
          <w:sz w:val="32"/>
          <w:szCs w:val="32"/>
          <w:highlight w:val="none"/>
          <w:lang w:val="en-US" w:eastAsia="zh-CN" w:bidi="ar-SA"/>
        </w:rPr>
        <w:t>《</w:t>
      </w:r>
      <w:r>
        <w:rPr>
          <w:rFonts w:hint="default" w:ascii="仿宋_GB2312" w:hAnsi="宋体" w:eastAsia="仿宋_GB2312" w:cs="Times New Roman"/>
          <w:color w:val="auto"/>
          <w:kern w:val="2"/>
          <w:sz w:val="32"/>
          <w:szCs w:val="32"/>
          <w:highlight w:val="none"/>
          <w:lang w:val="en-US" w:eastAsia="zh-CN" w:bidi="ar-SA"/>
        </w:rPr>
        <w:t>公路水运工程质量监督管理规定</w:t>
      </w:r>
      <w:r>
        <w:rPr>
          <w:rFonts w:hint="eastAsia" w:ascii="仿宋_GB2312" w:hAnsi="宋体" w:eastAsia="仿宋_GB2312" w:cs="Times New Roman"/>
          <w:color w:val="auto"/>
          <w:kern w:val="2"/>
          <w:sz w:val="32"/>
          <w:szCs w:val="32"/>
          <w:highlight w:val="none"/>
          <w:lang w:val="en-US" w:eastAsia="zh-CN" w:bidi="ar-SA"/>
        </w:rPr>
        <w:t>》</w:t>
      </w:r>
      <w:r>
        <w:rPr>
          <w:rFonts w:hint="default" w:ascii="仿宋_GB2312" w:hAnsi="宋体" w:eastAsia="仿宋_GB2312" w:cs="Times New Roman"/>
          <w:color w:val="auto"/>
          <w:kern w:val="2"/>
          <w:sz w:val="32"/>
          <w:szCs w:val="32"/>
          <w:highlight w:val="none"/>
          <w:lang w:val="en-US" w:eastAsia="zh-CN" w:bidi="ar-SA"/>
        </w:rPr>
        <w:t>、</w:t>
      </w:r>
      <w:r>
        <w:rPr>
          <w:rFonts w:hint="eastAsia" w:ascii="仿宋_GB2312" w:hAnsi="宋体" w:eastAsia="仿宋_GB2312" w:cs="Times New Roman"/>
          <w:color w:val="auto"/>
          <w:kern w:val="2"/>
          <w:sz w:val="32"/>
          <w:szCs w:val="32"/>
          <w:highlight w:val="none"/>
          <w:lang w:val="en-US" w:eastAsia="zh-CN" w:bidi="ar-SA"/>
        </w:rPr>
        <w:t>《</w:t>
      </w:r>
      <w:r>
        <w:rPr>
          <w:rFonts w:hint="default" w:ascii="仿宋_GB2312" w:hAnsi="宋体" w:eastAsia="仿宋_GB2312" w:cs="Times New Roman"/>
          <w:color w:val="auto"/>
          <w:kern w:val="2"/>
          <w:sz w:val="32"/>
          <w:szCs w:val="32"/>
          <w:highlight w:val="none"/>
          <w:lang w:val="en-US" w:eastAsia="zh-CN" w:bidi="ar-SA"/>
        </w:rPr>
        <w:t>关于2022年广元市在建公路水运重点工程项目质量安全环保监督检查工作计划的通知</w:t>
      </w:r>
      <w:r>
        <w:rPr>
          <w:rFonts w:hint="eastAsia" w:ascii="仿宋_GB2312" w:hAnsi="宋体" w:eastAsia="仿宋_GB2312" w:cs="Times New Roman"/>
          <w:color w:val="auto"/>
          <w:kern w:val="2"/>
          <w:sz w:val="32"/>
          <w:szCs w:val="32"/>
          <w:highlight w:val="none"/>
          <w:lang w:val="en-US" w:eastAsia="zh-CN" w:bidi="ar-SA"/>
        </w:rPr>
        <w:t>》</w:t>
      </w:r>
      <w:r>
        <w:rPr>
          <w:rFonts w:hint="default" w:ascii="仿宋_GB2312" w:hAnsi="宋体" w:eastAsia="仿宋_GB2312" w:cs="Times New Roman"/>
          <w:color w:val="auto"/>
          <w:kern w:val="2"/>
          <w:sz w:val="32"/>
          <w:szCs w:val="32"/>
          <w:highlight w:val="none"/>
          <w:lang w:val="en-US" w:eastAsia="zh-CN" w:bidi="ar-SA"/>
        </w:rPr>
        <w:t>、</w:t>
      </w:r>
      <w:r>
        <w:rPr>
          <w:rFonts w:hint="eastAsia" w:ascii="仿宋_GB2312" w:hAnsi="宋体" w:eastAsia="仿宋_GB2312" w:cs="Times New Roman"/>
          <w:color w:val="auto"/>
          <w:kern w:val="2"/>
          <w:sz w:val="32"/>
          <w:szCs w:val="32"/>
          <w:highlight w:val="none"/>
          <w:lang w:val="en-US" w:eastAsia="zh-CN" w:bidi="ar-SA"/>
        </w:rPr>
        <w:t>《</w:t>
      </w:r>
      <w:r>
        <w:rPr>
          <w:rFonts w:hint="default" w:ascii="仿宋_GB2312" w:hAnsi="宋体" w:eastAsia="仿宋_GB2312" w:cs="Times New Roman"/>
          <w:color w:val="auto"/>
          <w:kern w:val="2"/>
          <w:sz w:val="32"/>
          <w:szCs w:val="32"/>
          <w:highlight w:val="none"/>
          <w:lang w:val="en-US" w:eastAsia="zh-CN" w:bidi="ar-SA"/>
        </w:rPr>
        <w:t>四川省公路工程试验检测收费标准</w:t>
      </w:r>
      <w:r>
        <w:rPr>
          <w:rFonts w:hint="eastAsia" w:ascii="仿宋_GB2312" w:hAnsi="宋体" w:eastAsia="仿宋_GB2312" w:cs="Times New Roman"/>
          <w:color w:val="auto"/>
          <w:kern w:val="2"/>
          <w:sz w:val="32"/>
          <w:szCs w:val="32"/>
          <w:highlight w:val="none"/>
          <w:lang w:val="en-US" w:eastAsia="zh-CN" w:bidi="ar-SA"/>
        </w:rPr>
        <w:t>》</w:t>
      </w:r>
      <w:r>
        <w:rPr>
          <w:rFonts w:hint="default" w:ascii="仿宋_GB2312" w:hAnsi="宋体" w:eastAsia="仿宋_GB2312" w:cs="Times New Roman"/>
          <w:color w:val="auto"/>
          <w:kern w:val="2"/>
          <w:sz w:val="32"/>
          <w:szCs w:val="32"/>
          <w:highlight w:val="none"/>
          <w:lang w:val="en-US" w:eastAsia="zh-CN" w:bidi="ar-SA"/>
        </w:rPr>
        <w:t>，是开展在本级以及利州区、经开区交通工程建设等领域的行政处罚以及与行政处罚相关的行政检查、行政强制工作的重要前提，为运输市场的平稳发展提供了重要保障</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widowControl w:val="0"/>
        <w:shd w:val="clea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w:t>
      </w:r>
      <w:r>
        <w:rPr>
          <w:rFonts w:hint="default" w:ascii="仿宋_GB2312" w:hAnsi="宋体" w:eastAsia="仿宋_GB2312"/>
          <w:color w:val="auto"/>
          <w:sz w:val="32"/>
          <w:szCs w:val="32"/>
          <w:highlight w:val="none"/>
        </w:rPr>
        <w:t>该项目实施制定了实施方案，组织机构健全，职责分工</w:t>
      </w:r>
      <w:r>
        <w:rPr>
          <w:rFonts w:hint="eastAsia" w:ascii="仿宋_GB2312" w:hAnsi="宋体" w:eastAsia="仿宋_GB2312"/>
          <w:color w:val="auto"/>
          <w:sz w:val="32"/>
          <w:szCs w:val="32"/>
          <w:highlight w:val="none"/>
          <w:lang w:eastAsia="zh-CN"/>
        </w:rPr>
        <w:t>明确</w:t>
      </w:r>
      <w:r>
        <w:rPr>
          <w:rFonts w:hint="default"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eastAsia="zh-CN"/>
        </w:rPr>
        <w:t>有具体的实施时间，有明确的工作程序，基础设施条件能够有效保障</w:t>
      </w:r>
      <w:r>
        <w:rPr>
          <w:rFonts w:hint="default" w:ascii="仿宋_GB2312" w:hAnsi="宋体" w:eastAsia="仿宋_GB2312"/>
          <w:color w:val="auto"/>
          <w:sz w:val="32"/>
          <w:szCs w:val="32"/>
          <w:highlight w:val="none"/>
          <w:lang w:eastAsia="zh-CN"/>
        </w:rPr>
        <w:t>。</w:t>
      </w:r>
      <w:r>
        <w:rPr>
          <w:rFonts w:hint="default" w:ascii="仿宋_GB2312" w:hAnsi="宋体" w:eastAsia="仿宋_GB2312"/>
          <w:color w:val="auto"/>
          <w:sz w:val="32"/>
          <w:szCs w:val="32"/>
          <w:highlight w:val="none"/>
          <w:u w:val="none"/>
        </w:rPr>
        <w:t>该项目</w:t>
      </w:r>
      <w:r>
        <w:rPr>
          <w:rFonts w:hint="default" w:ascii="仿宋_GB2312" w:hAnsi="宋体" w:eastAsia="仿宋_GB2312"/>
          <w:color w:val="auto"/>
          <w:sz w:val="32"/>
          <w:szCs w:val="32"/>
          <w:highlight w:val="none"/>
          <w:lang w:eastAsia="zh-CN"/>
        </w:rPr>
        <w:t>来源渠道</w:t>
      </w:r>
      <w:r>
        <w:rPr>
          <w:rFonts w:hint="eastAsia" w:ascii="仿宋_GB2312" w:hAnsi="宋体" w:eastAsia="仿宋_GB2312"/>
          <w:color w:val="auto"/>
          <w:sz w:val="32"/>
          <w:szCs w:val="32"/>
          <w:highlight w:val="none"/>
          <w:lang w:eastAsia="zh-CN"/>
        </w:rPr>
        <w:t>为市级财政资金</w:t>
      </w:r>
      <w:r>
        <w:rPr>
          <w:rFonts w:hint="default" w:ascii="仿宋_GB2312" w:hAnsi="宋体" w:eastAsia="仿宋_GB2312"/>
          <w:color w:val="auto"/>
          <w:sz w:val="32"/>
          <w:szCs w:val="32"/>
          <w:highlight w:val="none"/>
          <w:lang w:eastAsia="zh-CN"/>
        </w:rPr>
        <w:t>，项目具有公共性，属于公共财政支持范围，</w:t>
      </w:r>
      <w:r>
        <w:rPr>
          <w:rFonts w:hint="eastAsia" w:ascii="仿宋_GB2312" w:hAnsi="宋体" w:eastAsia="仿宋_GB2312"/>
          <w:color w:val="auto"/>
          <w:sz w:val="32"/>
          <w:szCs w:val="32"/>
          <w:highlight w:val="none"/>
          <w:lang w:eastAsia="zh-CN"/>
        </w:rPr>
        <w:t>筹资渠道符合法律法规规定</w:t>
      </w:r>
      <w:r>
        <w:rPr>
          <w:rFonts w:hint="default"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eastAsia="zh-CN"/>
        </w:rPr>
        <w:t>筹资结构</w:t>
      </w:r>
      <w:r>
        <w:rPr>
          <w:rFonts w:hint="default" w:ascii="仿宋_GB2312" w:hAnsi="宋体" w:eastAsia="仿宋_GB2312"/>
          <w:color w:val="auto"/>
          <w:sz w:val="32"/>
          <w:szCs w:val="32"/>
          <w:highlight w:val="none"/>
          <w:lang w:eastAsia="zh-CN"/>
        </w:rPr>
        <w:t>合理，</w:t>
      </w:r>
      <w:r>
        <w:rPr>
          <w:rFonts w:hint="eastAsia" w:ascii="仿宋_GB2312" w:hAnsi="宋体" w:eastAsia="仿宋_GB2312"/>
          <w:color w:val="auto"/>
          <w:sz w:val="32"/>
          <w:szCs w:val="32"/>
          <w:highlight w:val="none"/>
          <w:lang w:eastAsia="zh-CN"/>
        </w:rPr>
        <w:t>资金来源渠道</w:t>
      </w:r>
      <w:r>
        <w:rPr>
          <w:rFonts w:hint="default" w:ascii="仿宋_GB2312" w:hAnsi="宋体" w:eastAsia="仿宋_GB2312"/>
          <w:color w:val="auto"/>
          <w:sz w:val="32"/>
          <w:szCs w:val="32"/>
          <w:highlight w:val="none"/>
          <w:lang w:eastAsia="zh-CN"/>
        </w:rPr>
        <w:t>明确，</w:t>
      </w:r>
      <w:r>
        <w:rPr>
          <w:rFonts w:hint="eastAsia" w:ascii="仿宋_GB2312" w:hAnsi="宋体" w:eastAsia="仿宋_GB2312"/>
          <w:color w:val="auto"/>
          <w:sz w:val="32"/>
          <w:szCs w:val="32"/>
          <w:highlight w:val="none"/>
          <w:lang w:eastAsia="zh-CN"/>
        </w:rPr>
        <w:t>资金到位时间</w:t>
      </w:r>
      <w:r>
        <w:rPr>
          <w:rFonts w:hint="default" w:ascii="仿宋_GB2312" w:hAnsi="宋体" w:eastAsia="仿宋_GB2312"/>
          <w:color w:val="auto"/>
          <w:sz w:val="32"/>
          <w:szCs w:val="32"/>
          <w:highlight w:val="none"/>
          <w:lang w:eastAsia="zh-CN"/>
        </w:rPr>
        <w:t>以财政下拨时间为准，</w:t>
      </w:r>
      <w:r>
        <w:rPr>
          <w:rFonts w:hint="eastAsia" w:ascii="仿宋_GB2312" w:hAnsi="宋体" w:eastAsia="仿宋_GB2312"/>
          <w:color w:val="auto"/>
          <w:sz w:val="32"/>
          <w:szCs w:val="32"/>
          <w:highlight w:val="none"/>
          <w:lang w:eastAsia="zh-CN"/>
        </w:rPr>
        <w:t>条件能够落实</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4．资金分配的原则及考虑因素。</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1．项目主要内容。主要用于支付2022年全市17个项目共计442.894公里监督检测经费（其中高速公路4个共计261.308公里，一级公路4个共计35.538公里，二级公路8个共计144.048公里，重点水运工程1个2.1公里）</w:t>
      </w:r>
      <w:r>
        <w:rPr>
          <w:rFonts w:hint="default" w:ascii="仿宋_GB2312" w:hAnsi="仿宋_GB2312" w:eastAsia="仿宋_GB2312" w:cs="仿宋_GB2312"/>
          <w:b w:val="0"/>
          <w:bCs w:val="0"/>
          <w:color w:val="auto"/>
          <w:kern w:val="0"/>
          <w:sz w:val="32"/>
          <w:szCs w:val="32"/>
          <w:highlight w:val="none"/>
          <w:u w:val="none"/>
          <w:shd w:val="clear" w:color="auto" w:fill="FFFFFF"/>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2．项目应实现的具体绩效目标</w:t>
      </w:r>
      <w:r>
        <w:rPr>
          <w:rFonts w:hint="default" w:ascii="仿宋_GB2312" w:hAnsi="仿宋_GB2312" w:eastAsia="仿宋_GB2312" w:cs="仿宋_GB2312"/>
          <w:b w:val="0"/>
          <w:bCs w:val="0"/>
          <w:color w:val="auto"/>
          <w:kern w:val="0"/>
          <w:sz w:val="32"/>
          <w:szCs w:val="32"/>
          <w:highlight w:val="none"/>
          <w:u w:val="none"/>
          <w:shd w:val="clear" w:color="auto" w:fill="FFFFFF"/>
        </w:rPr>
        <w:t>。2022年交通工程建设项目17个，质量检测合格率100%，交通工程质量检测经费支付控制在预算数95万元范围内，支付率100%，保障项目工程质量合格率大于等于90%，群众满意度良好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3．评价申报内容与实际相符，申报目标合理可行。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default" w:ascii="仿宋_GB2312" w:hAnsi="仿宋_GB2312" w:eastAsia="仿宋_GB2312" w:cs="仿宋_GB2312"/>
          <w:b w:val="0"/>
          <w:bCs w:val="0"/>
          <w:color w:val="auto"/>
          <w:kern w:val="0"/>
          <w:sz w:val="32"/>
          <w:szCs w:val="32"/>
          <w:highlight w:val="none"/>
          <w:u w:val="none"/>
          <w:shd w:val="clear" w:color="auto" w:fill="FFFFFF"/>
        </w:rPr>
        <w:t>1.收集资料：为了准确、客观的开展项目支出绩效目标自评，支队收集关于该项目的有关资料，包括年初预算金额、项目事前评估报告、项目绩效目标、资金使用明细、项目实施情况等。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u w:val="none"/>
          <w:shd w:val="clear" w:color="auto" w:fill="FFFFFF"/>
        </w:rPr>
        <w:t>2.资料整合：将收集的项目资料进行整理，以便数据比较，直</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观的反映项目实施的进展情况和结果，利于开展项目自</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评。</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eastAsia="仿宋_GB2312"/>
          <w:color w:val="auto"/>
          <w:sz w:val="32"/>
          <w:szCs w:val="32"/>
          <w:highlight w:val="none"/>
        </w:rPr>
      </w:pP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3.评定结果：对比年初既定项目绩效目标检验项目实施是否完成绩效目标，再</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从项目</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产出指标、效益指标、成本指标、满意度指标</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等方面对项目效益进</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行全</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面</w:t>
      </w:r>
      <w:r>
        <w:rPr>
          <w:rFonts w:hint="default" w:ascii="仿宋_GB2312" w:hAnsi="仿宋_GB2312" w:eastAsia="仿宋_GB2312" w:cs="仿宋_GB2312"/>
          <w:b w:val="0"/>
          <w:bCs w:val="0"/>
          <w:color w:val="auto"/>
          <w:kern w:val="0"/>
          <w:sz w:val="32"/>
          <w:szCs w:val="32"/>
          <w:highlight w:val="none"/>
          <w:u w:val="none"/>
          <w:shd w:val="clear" w:color="auto" w:fill="FFFFFF"/>
        </w:rPr>
        <w:t>、细致地</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分析评价</w:t>
      </w:r>
      <w:r>
        <w:rPr>
          <w:rFonts w:hint="default" w:ascii="仿宋_GB2312" w:hAnsi="仿宋_GB2312" w:eastAsia="仿宋_GB2312" w:cs="仿宋_GB2312"/>
          <w:b w:val="0"/>
          <w:bCs w:val="0"/>
          <w:color w:val="auto"/>
          <w:kern w:val="0"/>
          <w:sz w:val="32"/>
          <w:szCs w:val="32"/>
          <w:highlight w:val="none"/>
          <w:u w:val="none"/>
          <w:shd w:val="clear" w:color="auto" w:fill="FFFFFF"/>
        </w:rPr>
        <w:t>，最后撰写项目支出绩效目标自评报告。</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447" w:name="_Toc16770"/>
      <w:bookmarkStart w:id="448" w:name="_Toc11225"/>
      <w:bookmarkStart w:id="449" w:name="_Toc2097404695_WPSOffice_Level2"/>
      <w:bookmarkStart w:id="450" w:name="_Toc200016196_WPSOffice_Level2"/>
      <w:r>
        <w:rPr>
          <w:rFonts w:hint="eastAsia" w:ascii="黑体" w:hAnsi="宋体" w:eastAsia="黑体"/>
          <w:b w:val="0"/>
          <w:bCs w:val="0"/>
          <w:color w:val="auto"/>
          <w:sz w:val="32"/>
          <w:szCs w:val="32"/>
          <w:highlight w:val="none"/>
          <w:u w:val="none"/>
        </w:rPr>
        <w:t>二、项目资金申报及使用情况</w:t>
      </w:r>
      <w:bookmarkEnd w:id="447"/>
      <w:bookmarkEnd w:id="448"/>
      <w:bookmarkEnd w:id="449"/>
      <w:bookmarkEnd w:id="450"/>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default" w:ascii="仿宋_GB2312" w:hAnsi="仿宋_GB2312" w:eastAsia="仿宋_GB2312" w:cs="仿宋_GB2312"/>
          <w:b w:val="0"/>
          <w:bCs w:val="0"/>
          <w:color w:val="auto"/>
          <w:kern w:val="0"/>
          <w:sz w:val="32"/>
          <w:szCs w:val="32"/>
          <w:highlight w:val="none"/>
          <w:u w:val="none"/>
          <w:shd w:val="clear" w:color="auto" w:fill="FFFFFF"/>
        </w:rPr>
        <w:t>该</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项目资金申报</w:t>
      </w:r>
      <w:r>
        <w:rPr>
          <w:rFonts w:hint="default" w:ascii="仿宋_GB2312" w:hAnsi="仿宋_GB2312" w:eastAsia="仿宋_GB2312" w:cs="仿宋_GB2312"/>
          <w:b w:val="0"/>
          <w:bCs w:val="0"/>
          <w:color w:val="auto"/>
          <w:kern w:val="0"/>
          <w:sz w:val="32"/>
          <w:szCs w:val="32"/>
          <w:highlight w:val="none"/>
          <w:u w:val="none"/>
          <w:shd w:val="clear" w:color="auto" w:fill="FFFFFF"/>
        </w:rPr>
        <w:t>为110万元，根据第三方机构对项目的事前评估结果，</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批复</w:t>
      </w:r>
      <w:r>
        <w:rPr>
          <w:rFonts w:hint="default" w:ascii="仿宋_GB2312" w:hAnsi="仿宋_GB2312" w:eastAsia="仿宋_GB2312" w:cs="仿宋_GB2312"/>
          <w:b w:val="0"/>
          <w:bCs w:val="0"/>
          <w:color w:val="auto"/>
          <w:kern w:val="0"/>
          <w:sz w:val="32"/>
          <w:szCs w:val="32"/>
          <w:highlight w:val="none"/>
          <w:u w:val="none"/>
          <w:shd w:val="clear" w:color="auto" w:fill="FFFFFF"/>
        </w:rPr>
        <w:t>金额为95万元，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w:t>
      </w:r>
      <w:r>
        <w:rPr>
          <w:rFonts w:hint="default" w:ascii="仿宋_GB2312" w:hAnsi="仿宋_GB2312" w:eastAsia="仿宋_GB2312" w:cs="仿宋_GB2312"/>
          <w:b w:val="0"/>
          <w:bCs w:val="0"/>
          <w:color w:val="auto"/>
          <w:kern w:val="0"/>
          <w:sz w:val="32"/>
          <w:szCs w:val="32"/>
          <w:highlight w:val="none"/>
          <w:u w:val="none"/>
          <w:shd w:val="clear" w:color="auto" w:fill="FFFFFF"/>
        </w:rPr>
        <w:t>资金使用未进行</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调整。</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eastAsia="仿宋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default" w:ascii="仿宋_GB2312" w:hAnsi="宋体" w:eastAsia="仿宋_GB2312"/>
          <w:b w:val="0"/>
          <w:bCs w:val="0"/>
          <w:color w:val="auto"/>
          <w:sz w:val="32"/>
          <w:szCs w:val="32"/>
          <w:highlight w:val="none"/>
          <w:lang w:eastAsia="zh-CN"/>
        </w:rPr>
        <w:t>交通工程质量检测经费</w:t>
      </w:r>
      <w:r>
        <w:rPr>
          <w:rFonts w:hint="default" w:ascii="仿宋_GB2312" w:hAnsi="宋体" w:eastAsia="仿宋_GB2312"/>
          <w:b w:val="0"/>
          <w:bCs w:val="0"/>
          <w:color w:val="auto"/>
          <w:sz w:val="32"/>
          <w:szCs w:val="32"/>
          <w:highlight w:val="none"/>
        </w:rPr>
        <w:t>项目资金预算金额为95万元，资金来源为市财政资金</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w:t>
      </w:r>
      <w:r>
        <w:rPr>
          <w:rFonts w:hint="default" w:ascii="仿宋_GB2312" w:hAnsi="宋体" w:eastAsia="仿宋_GB2312"/>
          <w:b w:val="0"/>
          <w:bCs w:val="0"/>
          <w:color w:val="auto"/>
          <w:sz w:val="32"/>
          <w:szCs w:val="32"/>
          <w:highlight w:val="none"/>
        </w:rPr>
        <w:t>资金到位及时，到位率为100%</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3．资金使用。</w:t>
      </w:r>
      <w:r>
        <w:rPr>
          <w:rFonts w:hint="default" w:ascii="仿宋_GB2312" w:hAnsi="宋体" w:eastAsia="仿宋_GB2312"/>
          <w:b w:val="0"/>
          <w:bCs w:val="0"/>
          <w:color w:val="auto"/>
          <w:sz w:val="32"/>
          <w:szCs w:val="32"/>
          <w:highlight w:val="none"/>
        </w:rPr>
        <w:t>交通工程质量检测经费项目资金截止2022年12月底使用金额95万元，剩余资金0元，</w:t>
      </w:r>
      <w:r>
        <w:rPr>
          <w:rFonts w:hint="default" w:ascii="仿宋_GB2312" w:hAnsi="宋体" w:eastAsia="仿宋_GB2312"/>
          <w:b w:val="0"/>
          <w:bCs w:val="0"/>
          <w:color w:val="auto"/>
          <w:sz w:val="32"/>
          <w:szCs w:val="32"/>
          <w:highlight w:val="none"/>
          <w:lang w:eastAsia="zh-CN"/>
        </w:rPr>
        <w:t>支付进度100%</w:t>
      </w:r>
      <w:r>
        <w:rPr>
          <w:rFonts w:hint="default" w:ascii="仿宋_GB2312" w:hAnsi="宋体" w:eastAsia="仿宋_GB2312"/>
          <w:b w:val="0"/>
          <w:bCs w:val="0"/>
          <w:color w:val="auto"/>
          <w:sz w:val="32"/>
          <w:szCs w:val="32"/>
          <w:highlight w:val="none"/>
        </w:rPr>
        <w:t>。资金</w:t>
      </w:r>
      <w:r>
        <w:rPr>
          <w:rFonts w:hint="default" w:ascii="仿宋_GB2312" w:hAnsi="宋体" w:eastAsia="仿宋_GB2312"/>
          <w:b w:val="0"/>
          <w:bCs w:val="0"/>
          <w:color w:val="auto"/>
          <w:sz w:val="32"/>
          <w:szCs w:val="32"/>
          <w:highlight w:val="none"/>
          <w:lang w:eastAsia="zh-CN"/>
        </w:rPr>
        <w:t>主要用于支付2022年全市17个项目共计442.894公里监督检测经费。资金支付严格遵循财政资金支付规定，</w:t>
      </w:r>
      <w:r>
        <w:rPr>
          <w:rFonts w:hint="eastAsia" w:ascii="仿宋_GB2312" w:hAnsi="宋体" w:eastAsia="仿宋_GB2312"/>
          <w:b w:val="0"/>
          <w:bCs w:val="0"/>
          <w:color w:val="auto"/>
          <w:sz w:val="32"/>
          <w:szCs w:val="32"/>
          <w:highlight w:val="none"/>
          <w:lang w:val="zh-CN"/>
        </w:rPr>
        <w:t>支付依据合规合法，资金支付与预算相符</w:t>
      </w:r>
      <w:r>
        <w:rPr>
          <w:rFonts w:hint="default" w:ascii="仿宋_GB2312" w:hAnsi="宋体" w:eastAsia="仿宋_GB2312"/>
          <w:b w:val="0"/>
          <w:bCs w:val="0"/>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default" w:ascii="仿宋_GB2312" w:hAnsi="宋体" w:eastAsia="仿宋_GB2312"/>
          <w:color w:val="auto"/>
          <w:kern w:val="2"/>
          <w:sz w:val="32"/>
          <w:szCs w:val="32"/>
          <w:highlight w:val="none"/>
          <w:lang w:val="en-US" w:eastAsia="zh-CN" w:bidi="ar-SA"/>
        </w:rPr>
        <w:t>我单位财务管理制度健全，严格执行了财务管理制度，账务处理及时，会计核算规范</w:t>
      </w:r>
      <w:r>
        <w:rPr>
          <w:rFonts w:hint="default" w:ascii="仿宋_GB2312" w:hAnsi="宋体" w:eastAsia="仿宋_GB2312"/>
          <w:color w:val="auto"/>
          <w:kern w:val="2"/>
          <w:sz w:val="32"/>
          <w:szCs w:val="32"/>
          <w:highlight w:val="none"/>
          <w:lang w:eastAsia="zh-CN" w:bidi="ar-SA"/>
        </w:rPr>
        <w:t>。</w:t>
      </w:r>
      <w:r>
        <w:rPr>
          <w:rFonts w:hint="eastAsia" w:ascii="仿宋_GB2312" w:hAnsi="宋体" w:eastAsia="仿宋_GB2312" w:cs="Times New Roman"/>
          <w:color w:val="auto"/>
          <w:kern w:val="2"/>
          <w:sz w:val="32"/>
          <w:szCs w:val="32"/>
          <w:highlight w:val="none"/>
          <w:lang w:val="en-US" w:eastAsia="zh-CN" w:bidi="ar-SA"/>
        </w:rPr>
        <w:t>支队严格执行各项财务管理制度，保证项目经费专款专用，进一步完善财务管理各项规章制度建设，加强内部机构设置。财务科全面负责项目资金的会计核算和账务处理工作，对照项目资金管理办法</w:t>
      </w:r>
      <w:r>
        <w:rPr>
          <w:rFonts w:hint="default" w:ascii="仿宋_GB2312" w:hAnsi="宋体" w:eastAsia="仿宋_GB2312" w:cs="Times New Roman"/>
          <w:color w:val="auto"/>
          <w:kern w:val="2"/>
          <w:sz w:val="32"/>
          <w:szCs w:val="32"/>
          <w:highlight w:val="none"/>
          <w:lang w:eastAsia="zh-CN" w:bidi="ar-SA"/>
        </w:rPr>
        <w:t>进行支出</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hint="eastAsia" w:ascii="仿宋_GB2312" w:hAnsi="仿宋_GB2312" w:eastAsia="仿宋_GB2312" w:cs="仿宋_GB2312"/>
          <w:b w:val="0"/>
          <w:bCs w:val="0"/>
          <w:color w:val="auto"/>
          <w:kern w:val="0"/>
          <w:sz w:val="32"/>
          <w:szCs w:val="32"/>
          <w:highlight w:val="none"/>
          <w:u w:val="none"/>
          <w:shd w:val="clear" w:color="auto" w:fill="FFFFFF"/>
          <w:lang w:val="zh-CN"/>
        </w:rPr>
      </w:pPr>
      <w:bookmarkStart w:id="451" w:name="_Toc11683"/>
      <w:bookmarkStart w:id="452" w:name="_Toc19715"/>
      <w:bookmarkStart w:id="453" w:name="_Toc1001997076_WPSOffice_Level2"/>
      <w:bookmarkStart w:id="454" w:name="_Toc380956861_WPSOffice_Level2"/>
      <w:r>
        <w:rPr>
          <w:rFonts w:hint="eastAsia" w:ascii="黑体" w:hAnsi="宋体" w:eastAsia="黑体"/>
          <w:b w:val="0"/>
          <w:bCs w:val="0"/>
          <w:color w:val="auto"/>
          <w:sz w:val="32"/>
          <w:szCs w:val="32"/>
          <w:highlight w:val="none"/>
          <w:u w:val="none"/>
        </w:rPr>
        <w:t>三、项目实施及管理情况</w:t>
      </w:r>
      <w:bookmarkEnd w:id="451"/>
      <w:bookmarkEnd w:id="452"/>
      <w:bookmarkEnd w:id="453"/>
      <w:bookmarkEnd w:id="454"/>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default" w:ascii="楷体_GB2312" w:hAnsi="宋体" w:eastAsia="楷体_GB2312"/>
          <w:b w:val="0"/>
          <w:bCs w:val="0"/>
          <w:color w:val="auto"/>
          <w:sz w:val="32"/>
          <w:szCs w:val="32"/>
          <w:highlight w:val="none"/>
          <w:u w:val="none"/>
        </w:rPr>
      </w:pPr>
      <w:r>
        <w:rPr>
          <w:rFonts w:hint="eastAsia" w:ascii="楷体_GB2312" w:hAnsi="宋体" w:eastAsia="楷体_GB2312"/>
          <w:b w:val="0"/>
          <w:bCs w:val="0"/>
          <w:color w:val="auto"/>
          <w:sz w:val="32"/>
          <w:szCs w:val="32"/>
          <w:highlight w:val="none"/>
          <w:u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广元市交通运输综合行政执法支队成立了项目绩效领导小组，对项目实施全过程进行管理和监督。项目领导小组由主要领导为组长，分管领导为副组长，各科室负责人为成员，并下设办公室到具体科室，由具体负责人办公室主任，具体负责项目的实施与管理工作。严格按照相关规定，明确责任，合理分工，密切协作，为项目顺利实施提供保障</w:t>
      </w:r>
      <w:r>
        <w:rPr>
          <w:rFonts w:hint="default" w:ascii="仿宋_GB2312" w:hAnsi="宋体" w:eastAsia="仿宋_GB2312" w:cs="Times New Roman"/>
          <w:color w:val="auto"/>
          <w:kern w:val="2"/>
          <w:sz w:val="32"/>
          <w:szCs w:val="32"/>
          <w:highlight w:val="none"/>
          <w:lang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_GB2312" w:hAnsi="宋体" w:eastAsia="仿宋_GB2312" w:cs="Times New Roman"/>
          <w:color w:val="auto"/>
          <w:kern w:val="2"/>
          <w:sz w:val="32"/>
          <w:szCs w:val="32"/>
          <w:highlight w:val="none"/>
          <w:lang w:val="en-US" w:eastAsia="zh-CN" w:bidi="ar-SA"/>
        </w:rPr>
        <w:t>为进一步规范绩效项目的管理行为，加强项目过程控制，提高项目管理水平，强化项目形象，创信誉、争效益，</w:t>
      </w:r>
      <w:r>
        <w:rPr>
          <w:rFonts w:hint="default" w:ascii="仿宋_GB2312" w:hAnsi="宋体" w:eastAsia="仿宋_GB2312" w:cs="Times New Roman"/>
          <w:color w:val="auto"/>
          <w:kern w:val="2"/>
          <w:sz w:val="32"/>
          <w:szCs w:val="32"/>
          <w:highlight w:val="none"/>
          <w:lang w:eastAsia="zh-CN" w:bidi="ar-SA"/>
        </w:rPr>
        <w:t>支队</w:t>
      </w:r>
      <w:r>
        <w:rPr>
          <w:rFonts w:hint="eastAsia" w:ascii="仿宋_GB2312" w:hAnsi="宋体" w:eastAsia="仿宋_GB2312" w:cs="Times New Roman"/>
          <w:color w:val="auto"/>
          <w:kern w:val="2"/>
          <w:sz w:val="32"/>
          <w:szCs w:val="32"/>
          <w:highlight w:val="none"/>
          <w:lang w:val="en-US" w:eastAsia="zh-CN" w:bidi="ar-SA"/>
        </w:rPr>
        <w:t>所有项目都先制定了制度和工作计划，严格按照相关规定流程实施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（三）项目监管情况。</w:t>
      </w:r>
      <w:r>
        <w:rPr>
          <w:rFonts w:hint="default" w:ascii="仿宋_GB2312" w:hAnsi="宋体" w:eastAsia="仿宋_GB2312" w:cs="Times New Roman"/>
          <w:color w:val="auto"/>
          <w:kern w:val="2"/>
          <w:sz w:val="32"/>
          <w:szCs w:val="32"/>
          <w:highlight w:val="none"/>
          <w:lang w:eastAsia="zh-CN" w:bidi="ar-SA"/>
        </w:rPr>
        <w:t>支队</w:t>
      </w:r>
      <w:r>
        <w:rPr>
          <w:rFonts w:hint="eastAsia" w:ascii="仿宋_GB2312" w:hAnsi="宋体" w:eastAsia="仿宋_GB2312" w:cs="Times New Roman"/>
          <w:color w:val="auto"/>
          <w:kern w:val="2"/>
          <w:sz w:val="32"/>
          <w:szCs w:val="32"/>
          <w:highlight w:val="none"/>
          <w:lang w:val="en-US" w:eastAsia="zh-CN" w:bidi="ar-SA"/>
        </w:rPr>
        <w:t>严格按照相关法律法规和程序，对质量、安全和项目进度进行全过程、全方位的监督管理，努力化解风险，提高工作效率，明确规范管理，强化责任，确保安全，保证质量的指导思想，思想观念不放松，严格把好绩效项目实施过程关口</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eastAsia="仿宋_GB2312"/>
          <w:b w:val="0"/>
          <w:bCs w:val="0"/>
          <w:color w:val="auto"/>
          <w:sz w:val="32"/>
          <w:szCs w:val="32"/>
          <w:highlight w:val="none"/>
          <w:u w:val="none"/>
          <w:lang w:val="zh-CN"/>
        </w:rPr>
      </w:pPr>
      <w:bookmarkStart w:id="455" w:name="_Toc14827"/>
      <w:bookmarkStart w:id="456" w:name="_Toc29748"/>
      <w:bookmarkStart w:id="457" w:name="_Toc1066527353_WPSOffice_Level2"/>
      <w:bookmarkStart w:id="458" w:name="_Toc384071231_WPSOffice_Level2"/>
      <w:r>
        <w:rPr>
          <w:rFonts w:hint="eastAsia" w:ascii="黑体" w:hAnsi="宋体" w:eastAsia="黑体"/>
          <w:b w:val="0"/>
          <w:bCs w:val="0"/>
          <w:color w:val="auto"/>
          <w:sz w:val="32"/>
          <w:szCs w:val="32"/>
          <w:highlight w:val="none"/>
          <w:u w:val="none"/>
        </w:rPr>
        <w:t>四、项目绩效情况</w:t>
      </w:r>
      <w:bookmarkEnd w:id="455"/>
      <w:bookmarkEnd w:id="456"/>
      <w:bookmarkEnd w:id="457"/>
      <w:bookmarkEnd w:id="458"/>
      <w:r>
        <w:rPr>
          <w:rFonts w:hint="eastAsia" w:ascii="仿宋_GB2312" w:hAnsi="宋体" w:eastAsia="仿宋_GB2312"/>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eastAsia="仿宋_GB2312"/>
          <w:color w:val="auto"/>
          <w:sz w:val="32"/>
          <w:szCs w:val="32"/>
          <w:highlight w:val="none"/>
          <w:lang w:val="zh-CN"/>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截止评价时点</w:t>
      </w:r>
      <w:r>
        <w:rPr>
          <w:rFonts w:hint="default" w:ascii="仿宋_GB2312" w:hAnsi="仿宋_GB2312" w:eastAsia="仿宋_GB2312" w:cs="仿宋_GB2312"/>
          <w:b w:val="0"/>
          <w:bCs w:val="0"/>
          <w:color w:val="auto"/>
          <w:kern w:val="0"/>
          <w:sz w:val="32"/>
          <w:szCs w:val="32"/>
          <w:highlight w:val="none"/>
          <w:u w:val="none"/>
          <w:shd w:val="clear" w:color="auto" w:fill="FFFFFF"/>
        </w:rPr>
        <w:t>，</w:t>
      </w:r>
      <w:r>
        <w:rPr>
          <w:rFonts w:hint="default" w:ascii="仿宋_GB2312" w:hAnsi="宋体" w:eastAsia="仿宋_GB2312"/>
          <w:b w:val="0"/>
          <w:bCs w:val="0"/>
          <w:color w:val="auto"/>
          <w:sz w:val="32"/>
          <w:szCs w:val="32"/>
          <w:highlight w:val="none"/>
        </w:rPr>
        <w:t>支队</w:t>
      </w:r>
      <w:r>
        <w:rPr>
          <w:rFonts w:hint="eastAsia" w:ascii="仿宋_GB2312" w:hAnsi="宋体" w:eastAsia="仿宋_GB2312" w:cs="Times New Roman"/>
          <w:b w:val="0"/>
          <w:bCs w:val="0"/>
          <w:color w:val="auto"/>
          <w:sz w:val="32"/>
          <w:szCs w:val="32"/>
          <w:highlight w:val="none"/>
          <w:lang w:val="en-US" w:eastAsia="zh-CN"/>
        </w:rPr>
        <w:t>完</w:t>
      </w:r>
      <w:r>
        <w:rPr>
          <w:rFonts w:hint="eastAsia" w:ascii="仿宋_GB2312" w:hAnsi="宋体" w:eastAsia="仿宋_GB2312"/>
          <w:b w:val="0"/>
          <w:bCs w:val="0"/>
          <w:color w:val="auto"/>
          <w:sz w:val="32"/>
          <w:szCs w:val="32"/>
          <w:highlight w:val="none"/>
          <w:lang w:val="en-US" w:eastAsia="zh-CN"/>
        </w:rPr>
        <w:t>成完成</w:t>
      </w:r>
      <w:r>
        <w:rPr>
          <w:rFonts w:hint="default" w:ascii="仿宋_GB2312" w:hAnsi="宋体" w:eastAsia="仿宋_GB2312"/>
          <w:b w:val="0"/>
          <w:bCs w:val="0"/>
          <w:color w:val="auto"/>
          <w:sz w:val="32"/>
          <w:szCs w:val="32"/>
          <w:highlight w:val="none"/>
          <w:lang w:eastAsia="zh-CN"/>
        </w:rPr>
        <w:t>交通工程质量检测经费</w:t>
      </w:r>
      <w:r>
        <w:rPr>
          <w:rFonts w:hint="eastAsia" w:ascii="仿宋_GB2312" w:hAnsi="宋体" w:eastAsia="仿宋_GB2312"/>
          <w:b w:val="0"/>
          <w:bCs w:val="0"/>
          <w:color w:val="auto"/>
          <w:sz w:val="32"/>
          <w:szCs w:val="32"/>
          <w:highlight w:val="none"/>
          <w:lang w:val="en-US" w:eastAsia="zh-CN"/>
        </w:rPr>
        <w:t>支付，</w:t>
      </w:r>
      <w:r>
        <w:rPr>
          <w:rFonts w:hint="default" w:ascii="仿宋_GB2312" w:hAnsi="宋体" w:eastAsia="仿宋_GB2312"/>
          <w:b w:val="0"/>
          <w:bCs w:val="0"/>
          <w:color w:val="auto"/>
          <w:sz w:val="32"/>
          <w:szCs w:val="32"/>
          <w:highlight w:val="none"/>
          <w:lang w:eastAsia="zh-CN"/>
        </w:rPr>
        <w:t>交通工程建设项目17个，交通工程质量检测经费95万元，交通工程质量检测经费支付100%，交通工程质量检测合格率大于90%，</w:t>
      </w:r>
      <w:r>
        <w:rPr>
          <w:rFonts w:hint="default" w:ascii="仿宋_GB2312" w:hAnsi="仿宋_GB2312" w:eastAsia="仿宋_GB2312" w:cs="仿宋_GB2312"/>
          <w:b w:val="0"/>
          <w:bCs w:val="0"/>
          <w:color w:val="auto"/>
          <w:kern w:val="0"/>
          <w:sz w:val="32"/>
          <w:szCs w:val="32"/>
          <w:highlight w:val="none"/>
          <w:u w:val="none"/>
          <w:shd w:val="clear" w:color="auto" w:fill="FFFFFF"/>
        </w:rPr>
        <w:t>按质按量</w:t>
      </w:r>
      <w:r>
        <w:rPr>
          <w:rFonts w:hint="eastAsia" w:ascii="仿宋_GB2312" w:hAnsi="宋体" w:eastAsia="仿宋_GB2312"/>
          <w:b w:val="0"/>
          <w:bCs w:val="0"/>
          <w:color w:val="auto"/>
          <w:sz w:val="32"/>
          <w:szCs w:val="32"/>
          <w:highlight w:val="none"/>
          <w:lang w:val="en-US" w:eastAsia="zh-CN"/>
        </w:rPr>
        <w:t>完成年初既定</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数量、质量、时效、成本</w:t>
      </w:r>
      <w:r>
        <w:rPr>
          <w:rFonts w:hint="eastAsia" w:ascii="仿宋_GB2312" w:hAnsi="宋体" w:eastAsia="仿宋_GB2312"/>
          <w:b w:val="0"/>
          <w:bCs w:val="0"/>
          <w:color w:val="auto"/>
          <w:sz w:val="32"/>
          <w:szCs w:val="32"/>
          <w:highlight w:val="none"/>
          <w:lang w:val="en-US" w:eastAsia="zh-CN"/>
        </w:rPr>
        <w:t>绩效目标</w:t>
      </w:r>
      <w:r>
        <w:rPr>
          <w:rFonts w:hint="default" w:ascii="仿宋_GB2312" w:hAnsi="宋体" w:eastAsia="仿宋_GB2312" w:cs="Times New Roman"/>
          <w:b w:val="0"/>
          <w:bCs w:val="0"/>
          <w:color w:val="auto"/>
          <w:sz w:val="32"/>
          <w:szCs w:val="32"/>
          <w:highlight w:val="none"/>
          <w:lang w:eastAsia="zh-CN"/>
        </w:rPr>
        <w:t>，完成率达100%，年初编制任务量全部完成，执行进度100%，项目成本控制在预算资金范围内，无结余资金，无违规记录。</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default" w:ascii="仿宋_GB2312" w:hAnsi="仿宋_GB2312" w:eastAsia="仿宋_GB2312" w:cs="仿宋_GB2312"/>
          <w:b w:val="0"/>
          <w:bCs w:val="0"/>
          <w:color w:val="auto"/>
          <w:kern w:val="0"/>
          <w:sz w:val="32"/>
          <w:szCs w:val="32"/>
          <w:highlight w:val="none"/>
          <w:u w:val="none"/>
          <w:shd w:val="clear" w:color="auto" w:fill="FFFFFF"/>
          <w:lang w:eastAsia="zh-CN"/>
        </w:rPr>
        <w:t>交通工程质量检测经费保障了交通工程质量，群众</w:t>
      </w:r>
      <w:r>
        <w:rPr>
          <w:rFonts w:hint="default" w:ascii="仿宋_GB2312" w:hAnsi="宋体" w:eastAsia="仿宋_GB2312"/>
          <w:b w:val="0"/>
          <w:bCs w:val="0"/>
          <w:color w:val="auto"/>
          <w:sz w:val="32"/>
          <w:szCs w:val="32"/>
          <w:highlight w:val="none"/>
          <w:lang w:eastAsia="zh-CN"/>
        </w:rPr>
        <w:t>满意度达到良好。</w:t>
      </w:r>
      <w:r>
        <w:rPr>
          <w:rFonts w:hint="eastAsia" w:ascii="仿宋_GB2312" w:hAnsi="宋体" w:eastAsia="仿宋_GB2312"/>
          <w:b w:val="0"/>
          <w:bCs w:val="0"/>
          <w:color w:val="auto"/>
          <w:sz w:val="32"/>
          <w:szCs w:val="32"/>
          <w:highlight w:val="none"/>
          <w:lang w:val="en-US" w:eastAsia="zh-CN"/>
        </w:rPr>
        <w:t>年初既定</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社会效益、</w:t>
      </w:r>
      <w:r>
        <w:rPr>
          <w:rFonts w:hint="default" w:ascii="仿宋_GB2312" w:hAnsi="仿宋_GB2312" w:eastAsia="仿宋_GB2312" w:cs="仿宋_GB2312"/>
          <w:b w:val="0"/>
          <w:bCs w:val="0"/>
          <w:color w:val="auto"/>
          <w:kern w:val="0"/>
          <w:sz w:val="32"/>
          <w:szCs w:val="32"/>
          <w:highlight w:val="none"/>
          <w:u w:val="none"/>
          <w:shd w:val="clear" w:color="auto" w:fill="FFFFFF"/>
        </w:rPr>
        <w:t>群众</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满意度</w:t>
      </w:r>
      <w:r>
        <w:rPr>
          <w:rFonts w:hint="eastAsia" w:ascii="仿宋_GB2312" w:hAnsi="宋体" w:eastAsia="仿宋_GB2312"/>
          <w:b w:val="0"/>
          <w:bCs w:val="0"/>
          <w:color w:val="auto"/>
          <w:sz w:val="32"/>
          <w:szCs w:val="32"/>
          <w:highlight w:val="none"/>
          <w:lang w:val="en-US" w:eastAsia="zh-CN"/>
        </w:rPr>
        <w:t>绩效目标</w:t>
      </w:r>
      <w:r>
        <w:rPr>
          <w:rFonts w:hint="default" w:ascii="仿宋_GB2312" w:hAnsi="宋体" w:eastAsia="仿宋_GB2312" w:cs="Times New Roman"/>
          <w:b w:val="0"/>
          <w:bCs w:val="0"/>
          <w:color w:val="auto"/>
          <w:sz w:val="32"/>
          <w:szCs w:val="32"/>
          <w:highlight w:val="none"/>
          <w:lang w:eastAsia="zh-CN"/>
        </w:rPr>
        <w:t>完成率100%。</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459" w:name="_Toc1051733403_WPSOffice_Level2"/>
      <w:bookmarkStart w:id="460" w:name="_Toc24048"/>
      <w:bookmarkStart w:id="461" w:name="_Toc728795780_WPSOffice_Level2"/>
      <w:bookmarkStart w:id="462" w:name="_Toc22417"/>
      <w:r>
        <w:rPr>
          <w:rFonts w:hint="eastAsia" w:ascii="黑体" w:hAnsi="宋体" w:eastAsia="黑体"/>
          <w:b w:val="0"/>
          <w:bCs w:val="0"/>
          <w:color w:val="auto"/>
          <w:sz w:val="32"/>
          <w:szCs w:val="32"/>
          <w:highlight w:val="none"/>
          <w:u w:val="none"/>
        </w:rPr>
        <w:t>五、评价结论及建议</w:t>
      </w:r>
      <w:bookmarkEnd w:id="459"/>
      <w:bookmarkEnd w:id="460"/>
      <w:bookmarkEnd w:id="461"/>
      <w:bookmarkEnd w:id="462"/>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default" w:ascii="仿宋_GB2312" w:hAnsi="仿宋_GB2312" w:eastAsia="仿宋_GB2312" w:cs="仿宋_GB2312"/>
          <w:b w:val="0"/>
          <w:bCs w:val="0"/>
          <w:color w:val="auto"/>
          <w:kern w:val="0"/>
          <w:sz w:val="32"/>
          <w:szCs w:val="32"/>
          <w:highlight w:val="none"/>
          <w:u w:val="none"/>
          <w:shd w:val="clear" w:color="auto" w:fill="FFFFFF"/>
        </w:rPr>
        <w:t>交通工程质量检测经费专项项目资金使用严格执行相关政策，严格按照预算执行，确保了全市17个项目质量检测覆盖率和合格率，维护了交通工程建设的安全。</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u w:val="none"/>
          <w:shd w:val="clear" w:color="auto" w:fill="FFFFFF"/>
        </w:rPr>
        <w:t>无</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default" w:ascii="仿宋_GB2312" w:hAnsi="仿宋_GB2312" w:eastAsia="仿宋_GB2312" w:cs="仿宋_GB2312"/>
          <w:b w:val="0"/>
          <w:bCs w:val="0"/>
          <w:color w:val="auto"/>
          <w:kern w:val="0"/>
          <w:sz w:val="32"/>
          <w:szCs w:val="32"/>
          <w:highlight w:val="none"/>
          <w:u w:val="none"/>
          <w:shd w:val="clear" w:color="auto" w:fill="FFFFFF"/>
        </w:rPr>
        <w:t>无</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shd w:val="clear"/>
        <w:rPr>
          <w:rFonts w:hint="eastAsia" w:hAnsi="宋体" w:cs="宋体"/>
          <w:color w:val="auto"/>
          <w:kern w:val="0"/>
          <w:sz w:val="32"/>
          <w:szCs w:val="32"/>
          <w:highlight w:val="none"/>
          <w:shd w:val="clear" w:color="auto" w:fill="FFFFFF"/>
          <w:lang w:val="en-US" w:eastAsia="zh-CN"/>
        </w:rPr>
      </w:pP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pStyle w:val="38"/>
        <w:keepNext w:val="0"/>
        <w:keepLines w:val="0"/>
        <w:pageBreakBefore w:val="0"/>
        <w:widowControl w:val="0"/>
        <w:shd w:val="clear"/>
        <w:kinsoku/>
        <w:wordWrap/>
        <w:overflowPunct/>
        <w:topLinePunct w:val="0"/>
        <w:autoSpaceDE/>
        <w:autoSpaceDN/>
        <w:bidi w:val="0"/>
        <w:spacing w:line="578" w:lineRule="exact"/>
        <w:jc w:val="left"/>
        <w:textAlignment w:val="auto"/>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附件19：</w:t>
      </w:r>
    </w:p>
    <w:p>
      <w:pPr>
        <w:pStyle w:val="38"/>
        <w:keepNext w:val="0"/>
        <w:keepLines w:val="0"/>
        <w:pageBreakBefore w:val="0"/>
        <w:widowControl w:val="0"/>
        <w:shd w:val="clear"/>
        <w:kinsoku/>
        <w:wordWrap/>
        <w:overflowPunct/>
        <w:topLinePunct w:val="0"/>
        <w:autoSpaceDE/>
        <w:autoSpaceDN/>
        <w:bidi w:val="0"/>
        <w:spacing w:line="578" w:lineRule="exact"/>
        <w:jc w:val="center"/>
        <w:textAlignment w:val="auto"/>
        <w:outlineLvl w:val="1"/>
        <w:rPr>
          <w:rFonts w:hint="default" w:ascii="方正小标宋简体" w:hAnsi="方正小标宋简体" w:eastAsia="方正小标宋简体" w:cs="方正小标宋简体"/>
          <w:b w:val="0"/>
          <w:bCs w:val="0"/>
          <w:color w:val="auto"/>
          <w:kern w:val="2"/>
          <w:sz w:val="44"/>
          <w:szCs w:val="44"/>
          <w:highlight w:val="none"/>
          <w:lang w:eastAsia="zh-CN"/>
        </w:rPr>
      </w:pPr>
      <w:bookmarkStart w:id="463" w:name="_Toc16505"/>
      <w:bookmarkStart w:id="464" w:name="_Toc24025"/>
      <w:r>
        <w:rPr>
          <w:rFonts w:hint="default" w:ascii="方正小标宋简体" w:hAnsi="方正小标宋简体" w:eastAsia="方正小标宋简体" w:cs="方正小标宋简体"/>
          <w:b w:val="0"/>
          <w:bCs w:val="0"/>
          <w:color w:val="auto"/>
          <w:kern w:val="2"/>
          <w:sz w:val="44"/>
          <w:szCs w:val="44"/>
          <w:highlight w:val="none"/>
          <w:lang w:eastAsia="zh-CN"/>
        </w:rPr>
        <w:t>广元市交通运输综合行政执法支队</w:t>
      </w:r>
      <w:bookmarkEnd w:id="463"/>
      <w:bookmarkEnd w:id="464"/>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default" w:ascii="方正小标宋简体" w:hAnsi="方正小标宋简体" w:eastAsia="方正小标宋简体" w:cs="方正小标宋简体"/>
          <w:b w:val="0"/>
          <w:bCs w:val="0"/>
          <w:color w:val="auto"/>
          <w:kern w:val="2"/>
          <w:sz w:val="44"/>
          <w:szCs w:val="44"/>
          <w:highlight w:val="none"/>
          <w:lang w:val="zh-CN" w:eastAsia="zh-CN" w:bidi="ar-SA"/>
        </w:rPr>
        <w:t>省级2021年结转交通专项资金</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专项资金</w:t>
      </w:r>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预算项目支出绩效自评报告</w:t>
      </w:r>
    </w:p>
    <w:p>
      <w:pPr>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lang w:val="zh-CN"/>
        </w:rPr>
      </w:pPr>
      <w:bookmarkStart w:id="465" w:name="_Toc1952408387_WPSOffice_Level2"/>
      <w:bookmarkStart w:id="466" w:name="_Toc25652"/>
      <w:bookmarkStart w:id="467" w:name="_Toc21925"/>
      <w:bookmarkStart w:id="468" w:name="_Toc1972802707_WPSOffice_Level2"/>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bookmarkEnd w:id="465"/>
      <w:bookmarkEnd w:id="466"/>
      <w:bookmarkEnd w:id="467"/>
      <w:bookmarkEnd w:id="468"/>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739" w:firstLineChars="231"/>
        <w:jc w:val="left"/>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
        </w:rPr>
        <w:t>1．</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
        </w:rPr>
        <w:t>支队</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
        </w:rPr>
        <w:t>在该项目管</w:t>
      </w:r>
      <w:r>
        <w:rPr>
          <w:rFonts w:hint="eastAsia" w:ascii="仿宋_GB2312" w:hAnsi="仿宋_GB2312" w:eastAsia="仿宋_GB2312" w:cs="仿宋_GB2312"/>
          <w:color w:val="auto"/>
          <w:kern w:val="2"/>
          <w:sz w:val="32"/>
          <w:szCs w:val="32"/>
          <w:highlight w:val="none"/>
          <w:lang w:val="zh-CN" w:eastAsia="zh-CN" w:bidi="ar-SA"/>
        </w:rPr>
        <w:t>理中的职能。</w:t>
      </w:r>
      <w:r>
        <w:rPr>
          <w:rFonts w:hint="default" w:ascii="仿宋_GB2312" w:hAnsi="仿宋_GB2312" w:eastAsia="仿宋_GB2312" w:cs="仿宋_GB2312"/>
          <w:color w:val="auto"/>
          <w:kern w:val="2"/>
          <w:sz w:val="32"/>
          <w:szCs w:val="32"/>
          <w:highlight w:val="none"/>
          <w:lang w:val="en-US" w:eastAsia="zh-CN" w:bidi="ar-SA"/>
        </w:rPr>
        <w:t>承担全市交通运输综合执法工作的组织协调和监督指导，协调组织全市跨区域案件、重大复杂疑难案件、转办交办案件的查处，负责市本级和利州区（含广元经开区）的交通运输综合执法工作。以广元市交通运输局名义统一执法，在履行职责过程中，坚持和加强党对交通运输综合行政执法工作的全面领导。主要职责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一）承担市本级和利州区（含广元经开区）道路旅客运输、道路货物运输（物流）、出租汽车客运、城市公交客运、机动车维修、机动车驾驶员培训、机动车综合性能检测及道路运输相关业务经营秩序等执法门类的行政处罚、行政检查、行政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（二）承担市本级和利州区（含广元经开区）通航水域的水路交通安全、水路运输及辅助业、航道、港口、船舶设计及修造等执法门类的行政处罚、行政检查、行政强制。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（三）承担市本级和利州区（含广元经开区）国、省、县道公路路政执法，对各类违反公路路政管理法律、法规和规章等行为实施行政处罚、行政检查、行政强制。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四）承担全市职责范围内重点公路（含国省干线公路大中修及预防性养护工程）、水运建设项目安全生产和质量监督及项目竣（交）工验收工程质量鉴定（检测）工作。负责对职责范围内重点公路、水运工程质量和安全违法违规行为实施行政处罚、行政检查、行政强制。指导县区交通工程项目质量安全监督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（五）按规定负责通航水域的水上交通事故的调查处理；按规定组织或参与交通运输行业安全生产事故调查处理。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（六）指导、监督各县区交通运输综合行政执法工作。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（七）负责协调组织全市跨区域案件、重大复杂疑难案件、转办交办案件的查处。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（八）负责职责范围内交通运输行业安全生产执法监督及违法案件查处；负责运输服务质量投诉的调查处理工作。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（九）负责职责范围内交通运输行业生态环境保护的执法监督工作。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（十）负责行政执法科技信息化建设及科技治超工作。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420"/>
        <w:jc w:val="left"/>
        <w:rPr>
          <w:rFonts w:hint="eastAsia" w:ascii="仿宋_GB2312" w:hAnsi="仿宋_GB2312" w:eastAsia="仿宋_GB2312" w:cs="仿宋_GB2312"/>
          <w:color w:val="auto"/>
          <w:kern w:val="2"/>
          <w:sz w:val="32"/>
          <w:szCs w:val="32"/>
          <w:highlight w:val="none"/>
          <w:lang w:val="zh-CN" w:eastAsia="zh-CN" w:bidi="ar-SA"/>
        </w:rPr>
      </w:pPr>
      <w:r>
        <w:rPr>
          <w:rFonts w:hint="default" w:ascii="仿宋_GB2312" w:hAnsi="仿宋_GB2312" w:eastAsia="仿宋_GB2312" w:cs="仿宋_GB2312"/>
          <w:color w:val="auto"/>
          <w:kern w:val="2"/>
          <w:sz w:val="32"/>
          <w:szCs w:val="32"/>
          <w:highlight w:val="none"/>
          <w:lang w:val="en-US" w:eastAsia="zh-CN" w:bidi="ar-SA"/>
        </w:rPr>
        <w:t>（十一）完成市交通运输局交办的其他任务。</w:t>
      </w:r>
    </w:p>
    <w:p>
      <w:pPr>
        <w:shd w:val="clear"/>
        <w:snapToGrid w:val="0"/>
        <w:spacing w:line="576" w:lineRule="exact"/>
        <w:ind w:firstLine="640" w:firstLineChars="200"/>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2．项目立项、资金申报的依据。</w:t>
      </w:r>
      <w:r>
        <w:rPr>
          <w:rFonts w:hint="default" w:ascii="仿宋_GB2312" w:hAnsi="宋体" w:eastAsia="仿宋_GB2312"/>
          <w:color w:val="auto"/>
          <w:sz w:val="32"/>
          <w:szCs w:val="32"/>
          <w:highlight w:val="none"/>
        </w:rPr>
        <w:t>该项目符合</w:t>
      </w:r>
      <w:r>
        <w:rPr>
          <w:rFonts w:hint="eastAsia" w:ascii="仿宋_GB2312" w:hAnsi="仿宋_GB2312" w:eastAsia="仿宋_GB2312" w:cs="仿宋_GB2312"/>
          <w:color w:val="auto"/>
          <w:sz w:val="32"/>
          <w:szCs w:val="32"/>
          <w:highlight w:val="none"/>
        </w:rPr>
        <w:t>《</w:t>
      </w:r>
      <w:r>
        <w:rPr>
          <w:rFonts w:hint="default" w:ascii="仿宋_GB2312" w:hAnsi="宋体" w:eastAsia="仿宋_GB2312"/>
          <w:color w:val="auto"/>
          <w:sz w:val="32"/>
          <w:szCs w:val="32"/>
          <w:highlight w:val="none"/>
        </w:rPr>
        <w:t>中华人民共和国行政处罚法</w:t>
      </w:r>
      <w:r>
        <w:rPr>
          <w:rFonts w:hint="eastAsia" w:ascii="仿宋_GB2312" w:hAnsi="仿宋_GB2312" w:eastAsia="仿宋_GB2312" w:cs="仿宋_GB2312"/>
          <w:color w:val="auto"/>
          <w:sz w:val="32"/>
          <w:szCs w:val="32"/>
          <w:highlight w:val="none"/>
        </w:rPr>
        <w:t>》</w:t>
      </w:r>
      <w:r>
        <w:rPr>
          <w:rFonts w:hint="default" w:ascii="仿宋_GB2312" w:hAnsi="宋体" w:eastAsia="仿宋_GB2312"/>
          <w:color w:val="auto"/>
          <w:sz w:val="32"/>
          <w:szCs w:val="32"/>
          <w:highlight w:val="none"/>
        </w:rPr>
        <w:t>、</w:t>
      </w:r>
      <w:r>
        <w:rPr>
          <w:rFonts w:hint="eastAsia" w:ascii="仿宋_GB2312" w:hAnsi="仿宋_GB2312" w:eastAsia="仿宋_GB2312" w:cs="仿宋_GB2312"/>
          <w:color w:val="auto"/>
          <w:sz w:val="32"/>
          <w:szCs w:val="32"/>
          <w:highlight w:val="none"/>
        </w:rPr>
        <w:t>《</w:t>
      </w:r>
      <w:r>
        <w:rPr>
          <w:rFonts w:hint="default" w:ascii="仿宋_GB2312" w:hAnsi="宋体" w:eastAsia="仿宋_GB2312"/>
          <w:color w:val="auto"/>
          <w:sz w:val="32"/>
          <w:szCs w:val="32"/>
          <w:highlight w:val="none"/>
        </w:rPr>
        <w:t>中华人民共和国行政强制法</w:t>
      </w:r>
      <w:r>
        <w:rPr>
          <w:rFonts w:hint="eastAsia" w:ascii="仿宋_GB2312" w:hAnsi="仿宋_GB2312" w:eastAsia="仿宋_GB2312" w:cs="仿宋_GB2312"/>
          <w:color w:val="auto"/>
          <w:sz w:val="32"/>
          <w:szCs w:val="32"/>
          <w:highlight w:val="none"/>
        </w:rPr>
        <w:t>》</w:t>
      </w:r>
      <w:r>
        <w:rPr>
          <w:rFonts w:hint="default" w:ascii="仿宋_GB2312" w:hAnsi="宋体" w:eastAsia="仿宋_GB2312"/>
          <w:color w:val="auto"/>
          <w:sz w:val="32"/>
          <w:szCs w:val="32"/>
          <w:highlight w:val="none"/>
        </w:rPr>
        <w:t>、</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rPr>
        <w:t>四川省交通运输综合行政执法条例</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rPr>
        <w:t>，是开展在本级以及利州区、经开区道路运政、公路路政、地方海事行政、港口行政、航道行政、交通工程建设等领域的行政处罚以及与行政处罚相关的行政检查、行政强制工作的重要前提，</w:t>
      </w:r>
      <w:r>
        <w:rPr>
          <w:rFonts w:hint="default" w:ascii="仿宋_GB2312" w:hAnsi="仿宋_GB2312" w:eastAsia="仿宋_GB2312" w:cs="仿宋_GB2312"/>
          <w:b w:val="0"/>
          <w:bCs w:val="0"/>
          <w:color w:val="auto"/>
          <w:kern w:val="0"/>
          <w:sz w:val="32"/>
          <w:szCs w:val="32"/>
          <w:highlight w:val="none"/>
          <w:u w:val="none"/>
          <w:shd w:val="clear" w:color="auto" w:fill="FFFFFF"/>
        </w:rPr>
        <w:t>保障公路水路宰毁应急通畅</w:t>
      </w:r>
      <w:r>
        <w:rPr>
          <w:rFonts w:hint="default" w:ascii="仿宋_GB2312" w:hAnsi="仿宋_GB2312" w:eastAsia="仿宋_GB2312" w:cs="仿宋_GB2312"/>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w:t>
      </w:r>
      <w:r>
        <w:rPr>
          <w:rFonts w:hint="default" w:ascii="仿宋_GB2312" w:hAnsi="宋体" w:eastAsia="仿宋_GB2312"/>
          <w:color w:val="auto"/>
          <w:sz w:val="32"/>
          <w:szCs w:val="32"/>
          <w:highlight w:val="none"/>
        </w:rPr>
        <w:t>该项目实施制定了实施方案，组织机构健全，职责分工</w:t>
      </w:r>
      <w:r>
        <w:rPr>
          <w:rFonts w:hint="eastAsia" w:ascii="仿宋_GB2312" w:hAnsi="宋体" w:eastAsia="仿宋_GB2312"/>
          <w:color w:val="auto"/>
          <w:sz w:val="32"/>
          <w:szCs w:val="32"/>
          <w:highlight w:val="none"/>
          <w:lang w:eastAsia="zh-CN"/>
        </w:rPr>
        <w:t>明确</w:t>
      </w:r>
      <w:r>
        <w:rPr>
          <w:rFonts w:hint="default"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eastAsia="zh-CN"/>
        </w:rPr>
        <w:t>有具体的实施时间，有明确的工作程序，基础设施条件能够有效保障</w:t>
      </w:r>
      <w:r>
        <w:rPr>
          <w:rFonts w:hint="default" w:ascii="仿宋_GB2312" w:hAnsi="宋体" w:eastAsia="仿宋_GB2312"/>
          <w:color w:val="auto"/>
          <w:sz w:val="32"/>
          <w:szCs w:val="32"/>
          <w:highlight w:val="none"/>
          <w:lang w:eastAsia="zh-CN"/>
        </w:rPr>
        <w:t>。</w:t>
      </w:r>
      <w:r>
        <w:rPr>
          <w:rFonts w:hint="default" w:ascii="仿宋_GB2312" w:hAnsi="宋体" w:eastAsia="仿宋_GB2312"/>
          <w:color w:val="auto"/>
          <w:sz w:val="32"/>
          <w:szCs w:val="32"/>
          <w:highlight w:val="none"/>
          <w:u w:val="none"/>
        </w:rPr>
        <w:t>该项目</w:t>
      </w:r>
      <w:r>
        <w:rPr>
          <w:rFonts w:hint="default" w:ascii="仿宋_GB2312" w:hAnsi="宋体" w:eastAsia="仿宋_GB2312"/>
          <w:color w:val="auto"/>
          <w:sz w:val="32"/>
          <w:szCs w:val="32"/>
          <w:highlight w:val="none"/>
          <w:lang w:eastAsia="zh-CN"/>
        </w:rPr>
        <w:t>来源渠道</w:t>
      </w:r>
      <w:r>
        <w:rPr>
          <w:rFonts w:hint="eastAsia" w:ascii="仿宋_GB2312" w:hAnsi="宋体" w:eastAsia="仿宋_GB2312"/>
          <w:color w:val="auto"/>
          <w:sz w:val="32"/>
          <w:szCs w:val="32"/>
          <w:highlight w:val="none"/>
          <w:lang w:eastAsia="zh-CN"/>
        </w:rPr>
        <w:t>为市级财政资金</w:t>
      </w:r>
      <w:r>
        <w:rPr>
          <w:rFonts w:hint="default" w:ascii="仿宋_GB2312" w:hAnsi="宋体" w:eastAsia="仿宋_GB2312"/>
          <w:color w:val="auto"/>
          <w:sz w:val="32"/>
          <w:szCs w:val="32"/>
          <w:highlight w:val="none"/>
          <w:lang w:eastAsia="zh-CN"/>
        </w:rPr>
        <w:t>，项目具有公共性，属于公共财政支持范围，</w:t>
      </w:r>
      <w:r>
        <w:rPr>
          <w:rFonts w:hint="eastAsia" w:ascii="仿宋_GB2312" w:hAnsi="宋体" w:eastAsia="仿宋_GB2312"/>
          <w:color w:val="auto"/>
          <w:sz w:val="32"/>
          <w:szCs w:val="32"/>
          <w:highlight w:val="none"/>
          <w:lang w:eastAsia="zh-CN"/>
        </w:rPr>
        <w:t>筹资渠道符合法律法规规定</w:t>
      </w:r>
      <w:r>
        <w:rPr>
          <w:rFonts w:hint="default"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eastAsia="zh-CN"/>
        </w:rPr>
        <w:t>筹资结构</w:t>
      </w:r>
      <w:r>
        <w:rPr>
          <w:rFonts w:hint="default" w:ascii="仿宋_GB2312" w:hAnsi="宋体" w:eastAsia="仿宋_GB2312"/>
          <w:color w:val="auto"/>
          <w:sz w:val="32"/>
          <w:szCs w:val="32"/>
          <w:highlight w:val="none"/>
          <w:lang w:eastAsia="zh-CN"/>
        </w:rPr>
        <w:t>合理，</w:t>
      </w:r>
      <w:r>
        <w:rPr>
          <w:rFonts w:hint="eastAsia" w:ascii="仿宋_GB2312" w:hAnsi="宋体" w:eastAsia="仿宋_GB2312"/>
          <w:color w:val="auto"/>
          <w:sz w:val="32"/>
          <w:szCs w:val="32"/>
          <w:highlight w:val="none"/>
          <w:lang w:eastAsia="zh-CN"/>
        </w:rPr>
        <w:t>资金来源渠道</w:t>
      </w:r>
      <w:r>
        <w:rPr>
          <w:rFonts w:hint="default" w:ascii="仿宋_GB2312" w:hAnsi="宋体" w:eastAsia="仿宋_GB2312"/>
          <w:color w:val="auto"/>
          <w:sz w:val="32"/>
          <w:szCs w:val="32"/>
          <w:highlight w:val="none"/>
          <w:lang w:eastAsia="zh-CN"/>
        </w:rPr>
        <w:t>明确，</w:t>
      </w:r>
      <w:r>
        <w:rPr>
          <w:rFonts w:hint="eastAsia" w:ascii="仿宋_GB2312" w:hAnsi="宋体" w:eastAsia="仿宋_GB2312"/>
          <w:color w:val="auto"/>
          <w:sz w:val="32"/>
          <w:szCs w:val="32"/>
          <w:highlight w:val="none"/>
          <w:lang w:eastAsia="zh-CN"/>
        </w:rPr>
        <w:t>资金到位时间</w:t>
      </w:r>
      <w:r>
        <w:rPr>
          <w:rFonts w:hint="default" w:ascii="仿宋_GB2312" w:hAnsi="宋体" w:eastAsia="仿宋_GB2312"/>
          <w:color w:val="auto"/>
          <w:sz w:val="32"/>
          <w:szCs w:val="32"/>
          <w:highlight w:val="none"/>
          <w:lang w:eastAsia="zh-CN"/>
        </w:rPr>
        <w:t>以财政下拨时间为准，</w:t>
      </w:r>
      <w:r>
        <w:rPr>
          <w:rFonts w:hint="eastAsia" w:ascii="仿宋_GB2312" w:hAnsi="宋体" w:eastAsia="仿宋_GB2312"/>
          <w:color w:val="auto"/>
          <w:sz w:val="32"/>
          <w:szCs w:val="32"/>
          <w:highlight w:val="none"/>
          <w:lang w:eastAsia="zh-CN"/>
        </w:rPr>
        <w:t>条件能够落实</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1．项目主要内容。用于支付公路灾毁应急保通及水路灾毁应急船舶保障费用</w:t>
      </w:r>
      <w:r>
        <w:rPr>
          <w:rFonts w:hint="default" w:ascii="仿宋_GB2312" w:hAnsi="仿宋_GB2312" w:eastAsia="仿宋_GB2312" w:cs="仿宋_GB2312"/>
          <w:b w:val="0"/>
          <w:bCs w:val="0"/>
          <w:color w:val="auto"/>
          <w:kern w:val="0"/>
          <w:sz w:val="32"/>
          <w:szCs w:val="32"/>
          <w:highlight w:val="none"/>
          <w:u w:val="none"/>
          <w:shd w:val="clear" w:color="auto" w:fill="FFFFFF"/>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2．项目应实现的具体绩效目标</w:t>
      </w:r>
      <w:r>
        <w:rPr>
          <w:rFonts w:hint="default" w:ascii="仿宋_GB2312" w:hAnsi="仿宋_GB2312" w:eastAsia="仿宋_GB2312" w:cs="仿宋_GB2312"/>
          <w:b w:val="0"/>
          <w:bCs w:val="0"/>
          <w:color w:val="auto"/>
          <w:kern w:val="0"/>
          <w:sz w:val="32"/>
          <w:szCs w:val="32"/>
          <w:highlight w:val="none"/>
          <w:u w:val="none"/>
          <w:shd w:val="clear" w:color="auto" w:fill="FFFFFF"/>
        </w:rPr>
        <w:t>。2022年应急保通人员124人，应急车辆14辆，应急抢险船舶3艘，应急保通工作开展率应达到100%，应急抢险船舶费用小于等于10万元，应急保通人员产生的费用小于等于320万元，应急保通车辆产生的费用小于等于30万元，省级2021年结转交通专项资金支付控制在预算数205.64万元范围内，支付率100%，保障公路水路宰毁应急通畅，群众满意度良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3．评价申报内容与实际相符，申报目标合理可行。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default" w:ascii="仿宋_GB2312" w:hAnsi="仿宋_GB2312" w:eastAsia="仿宋_GB2312" w:cs="仿宋_GB2312"/>
          <w:b w:val="0"/>
          <w:bCs w:val="0"/>
          <w:color w:val="auto"/>
          <w:kern w:val="0"/>
          <w:sz w:val="32"/>
          <w:szCs w:val="32"/>
          <w:highlight w:val="none"/>
          <w:u w:val="none"/>
          <w:shd w:val="clear" w:color="auto" w:fill="FFFFFF"/>
        </w:rPr>
        <w:t>1.收集资料：为了准确、客观的开展项目支出绩效目标自评，支队收集关于该项目的有关资料，包括年初预算金额、项目事前评估报告、项目绩效目标、资金使用明细、项目实施情况等。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u w:val="none"/>
          <w:shd w:val="clear" w:color="auto" w:fill="FFFFFF"/>
        </w:rPr>
        <w:t>2.资料整合：将收集的项目资料进行整理，以便数据比较，直</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观的反映项目实施的进展情况和结果，利于开展项目自</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评。</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eastAsia="仿宋_GB2312"/>
          <w:color w:val="auto"/>
          <w:sz w:val="32"/>
          <w:szCs w:val="32"/>
          <w:highlight w:val="none"/>
        </w:rPr>
      </w:pP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3.评定结果：对比年初既定项目绩效目标检验项目实施是否完成绩效目标，再</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从项目</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t>产出指标、效益指标、成本指标、满意度指标</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等方面对项目效益进</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行全</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面</w:t>
      </w:r>
      <w:r>
        <w:rPr>
          <w:rFonts w:hint="default" w:ascii="仿宋_GB2312" w:hAnsi="仿宋_GB2312" w:eastAsia="仿宋_GB2312" w:cs="仿宋_GB2312"/>
          <w:b w:val="0"/>
          <w:bCs w:val="0"/>
          <w:color w:val="auto"/>
          <w:kern w:val="0"/>
          <w:sz w:val="32"/>
          <w:szCs w:val="32"/>
          <w:highlight w:val="none"/>
          <w:u w:val="none"/>
          <w:shd w:val="clear" w:color="auto" w:fill="FFFFFF"/>
        </w:rPr>
        <w:t>、细致地</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分析评价</w:t>
      </w:r>
      <w:r>
        <w:rPr>
          <w:rFonts w:hint="default" w:ascii="仿宋_GB2312" w:hAnsi="仿宋_GB2312" w:eastAsia="仿宋_GB2312" w:cs="仿宋_GB2312"/>
          <w:b w:val="0"/>
          <w:bCs w:val="0"/>
          <w:color w:val="auto"/>
          <w:kern w:val="0"/>
          <w:sz w:val="32"/>
          <w:szCs w:val="32"/>
          <w:highlight w:val="none"/>
          <w:u w:val="none"/>
          <w:shd w:val="clear" w:color="auto" w:fill="FFFFFF"/>
        </w:rPr>
        <w:t>，最后撰写项目支出绩效目标自评报告。</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469" w:name="_Toc5465"/>
      <w:bookmarkStart w:id="470" w:name="_Toc746112772_WPSOffice_Level2"/>
      <w:bookmarkStart w:id="471" w:name="_Toc536286678_WPSOffice_Level2"/>
      <w:bookmarkStart w:id="472" w:name="_Toc22362"/>
      <w:r>
        <w:rPr>
          <w:rFonts w:hint="eastAsia" w:ascii="黑体" w:hAnsi="宋体" w:eastAsia="黑体"/>
          <w:b w:val="0"/>
          <w:bCs w:val="0"/>
          <w:color w:val="auto"/>
          <w:sz w:val="32"/>
          <w:szCs w:val="32"/>
          <w:highlight w:val="none"/>
          <w:u w:val="none"/>
        </w:rPr>
        <w:t>二、项目资金申报及使用情况</w:t>
      </w:r>
      <w:bookmarkEnd w:id="469"/>
      <w:bookmarkEnd w:id="470"/>
      <w:bookmarkEnd w:id="471"/>
      <w:bookmarkEnd w:id="472"/>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default" w:ascii="仿宋_GB2312" w:hAnsi="仿宋_GB2312" w:eastAsia="仿宋_GB2312" w:cs="仿宋_GB2312"/>
          <w:b w:val="0"/>
          <w:bCs w:val="0"/>
          <w:color w:val="auto"/>
          <w:kern w:val="0"/>
          <w:sz w:val="32"/>
          <w:szCs w:val="32"/>
          <w:highlight w:val="none"/>
          <w:u w:val="none"/>
          <w:shd w:val="clear" w:color="auto" w:fill="FFFFFF"/>
        </w:rPr>
        <w:t>该</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项目资金申报</w:t>
      </w:r>
      <w:r>
        <w:rPr>
          <w:rFonts w:hint="default" w:ascii="仿宋_GB2312" w:hAnsi="仿宋_GB2312" w:eastAsia="仿宋_GB2312" w:cs="仿宋_GB2312"/>
          <w:b w:val="0"/>
          <w:bCs w:val="0"/>
          <w:color w:val="auto"/>
          <w:kern w:val="0"/>
          <w:sz w:val="32"/>
          <w:szCs w:val="32"/>
          <w:highlight w:val="none"/>
          <w:u w:val="none"/>
          <w:shd w:val="clear" w:color="auto" w:fill="FFFFFF"/>
        </w:rPr>
        <w:t>为205.64万元，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批复</w:t>
      </w:r>
      <w:r>
        <w:rPr>
          <w:rFonts w:hint="default" w:ascii="仿宋_GB2312" w:hAnsi="仿宋_GB2312" w:eastAsia="仿宋_GB2312" w:cs="仿宋_GB2312"/>
          <w:b w:val="0"/>
          <w:bCs w:val="0"/>
          <w:color w:val="auto"/>
          <w:kern w:val="0"/>
          <w:sz w:val="32"/>
          <w:szCs w:val="32"/>
          <w:highlight w:val="none"/>
          <w:u w:val="none"/>
          <w:shd w:val="clear" w:color="auto" w:fill="FFFFFF"/>
        </w:rPr>
        <w:t>金额205.64万元，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w:t>
      </w:r>
      <w:r>
        <w:rPr>
          <w:rFonts w:hint="default" w:ascii="仿宋_GB2312" w:hAnsi="仿宋_GB2312" w:eastAsia="仿宋_GB2312" w:cs="仿宋_GB2312"/>
          <w:b w:val="0"/>
          <w:bCs w:val="0"/>
          <w:color w:val="auto"/>
          <w:kern w:val="0"/>
          <w:sz w:val="32"/>
          <w:szCs w:val="32"/>
          <w:highlight w:val="none"/>
          <w:u w:val="none"/>
          <w:shd w:val="clear" w:color="auto" w:fill="FFFFFF"/>
        </w:rPr>
        <w:t>未进行</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调整。</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eastAsia="仿宋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default" w:ascii="仿宋_GB2312" w:hAnsi="宋体" w:eastAsia="仿宋_GB2312"/>
          <w:b w:val="0"/>
          <w:bCs w:val="0"/>
          <w:color w:val="auto"/>
          <w:sz w:val="32"/>
          <w:szCs w:val="32"/>
          <w:highlight w:val="none"/>
          <w:lang w:eastAsia="zh-CN"/>
        </w:rPr>
        <w:t>省级2021年结转交通专项资金</w:t>
      </w:r>
      <w:r>
        <w:rPr>
          <w:rFonts w:hint="default" w:ascii="仿宋_GB2312" w:hAnsi="宋体" w:eastAsia="仿宋_GB2312"/>
          <w:b w:val="0"/>
          <w:bCs w:val="0"/>
          <w:color w:val="auto"/>
          <w:sz w:val="32"/>
          <w:szCs w:val="32"/>
          <w:highlight w:val="none"/>
        </w:rPr>
        <w:t>项目资金预算金额为205.64万元，资金来源为市财政资金</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w:t>
      </w:r>
      <w:r>
        <w:rPr>
          <w:rFonts w:hint="default" w:ascii="仿宋_GB2312" w:hAnsi="宋体" w:eastAsia="仿宋_GB2312"/>
          <w:b w:val="0"/>
          <w:bCs w:val="0"/>
          <w:color w:val="auto"/>
          <w:sz w:val="32"/>
          <w:szCs w:val="32"/>
          <w:highlight w:val="none"/>
        </w:rPr>
        <w:t>资金到位及时，到位率为100%</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3．资金使用。</w:t>
      </w:r>
      <w:r>
        <w:rPr>
          <w:rFonts w:hint="default" w:ascii="仿宋_GB2312" w:hAnsi="宋体" w:eastAsia="仿宋_GB2312"/>
          <w:b w:val="0"/>
          <w:bCs w:val="0"/>
          <w:color w:val="auto"/>
          <w:sz w:val="32"/>
          <w:szCs w:val="32"/>
          <w:highlight w:val="none"/>
        </w:rPr>
        <w:t>省级2021年结转交通专项资金项目资金截止2022年12月底使用金额203.56万元，剩余资金2.08元，</w:t>
      </w:r>
      <w:r>
        <w:rPr>
          <w:rFonts w:hint="default" w:ascii="仿宋_GB2312" w:hAnsi="宋体" w:eastAsia="仿宋_GB2312"/>
          <w:b w:val="0"/>
          <w:bCs w:val="0"/>
          <w:color w:val="auto"/>
          <w:sz w:val="32"/>
          <w:szCs w:val="32"/>
          <w:highlight w:val="none"/>
          <w:lang w:eastAsia="zh-CN"/>
        </w:rPr>
        <w:t>支付进度98.99%</w:t>
      </w:r>
      <w:r>
        <w:rPr>
          <w:rFonts w:hint="default" w:ascii="仿宋_GB2312" w:hAnsi="宋体" w:eastAsia="仿宋_GB2312"/>
          <w:b w:val="0"/>
          <w:bCs w:val="0"/>
          <w:color w:val="auto"/>
          <w:sz w:val="32"/>
          <w:szCs w:val="32"/>
          <w:highlight w:val="none"/>
        </w:rPr>
        <w:t>。资金</w:t>
      </w:r>
      <w:r>
        <w:rPr>
          <w:rFonts w:hint="default" w:ascii="仿宋_GB2312" w:hAnsi="宋体" w:eastAsia="仿宋_GB2312"/>
          <w:b w:val="0"/>
          <w:bCs w:val="0"/>
          <w:color w:val="auto"/>
          <w:sz w:val="32"/>
          <w:szCs w:val="32"/>
          <w:highlight w:val="none"/>
          <w:lang w:eastAsia="zh-CN"/>
        </w:rPr>
        <w:t>用于省级2021年结转交通专项资金。资金支付严格遵循财政资金支付规定，</w:t>
      </w:r>
      <w:r>
        <w:rPr>
          <w:rFonts w:hint="eastAsia" w:ascii="仿宋_GB2312" w:hAnsi="宋体" w:eastAsia="仿宋_GB2312"/>
          <w:b w:val="0"/>
          <w:bCs w:val="0"/>
          <w:color w:val="auto"/>
          <w:sz w:val="32"/>
          <w:szCs w:val="32"/>
          <w:highlight w:val="none"/>
          <w:lang w:val="zh-CN"/>
        </w:rPr>
        <w:t>支付依据合规合法，资金支付与预算相符</w:t>
      </w:r>
      <w:r>
        <w:rPr>
          <w:rFonts w:hint="default" w:ascii="仿宋_GB2312" w:hAnsi="宋体" w:eastAsia="仿宋_GB2312"/>
          <w:b w:val="0"/>
          <w:bCs w:val="0"/>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default" w:ascii="仿宋_GB2312" w:hAnsi="宋体" w:eastAsia="仿宋_GB2312"/>
          <w:color w:val="auto"/>
          <w:kern w:val="2"/>
          <w:sz w:val="32"/>
          <w:szCs w:val="32"/>
          <w:highlight w:val="none"/>
          <w:lang w:val="en-US" w:eastAsia="zh-CN" w:bidi="ar-SA"/>
        </w:rPr>
        <w:t>我单位财务管理制度健全，严格执行了财务管理制度，账务处理及时，会计核算规范</w:t>
      </w:r>
      <w:r>
        <w:rPr>
          <w:rFonts w:hint="default" w:ascii="仿宋_GB2312" w:hAnsi="宋体" w:eastAsia="仿宋_GB2312"/>
          <w:color w:val="auto"/>
          <w:kern w:val="2"/>
          <w:sz w:val="32"/>
          <w:szCs w:val="32"/>
          <w:highlight w:val="none"/>
          <w:lang w:eastAsia="zh-CN" w:bidi="ar-SA"/>
        </w:rPr>
        <w:t>。</w:t>
      </w:r>
      <w:r>
        <w:rPr>
          <w:rFonts w:hint="eastAsia" w:ascii="仿宋_GB2312" w:hAnsi="宋体" w:eastAsia="仿宋_GB2312" w:cs="Times New Roman"/>
          <w:color w:val="auto"/>
          <w:kern w:val="2"/>
          <w:sz w:val="32"/>
          <w:szCs w:val="32"/>
          <w:highlight w:val="none"/>
          <w:lang w:val="en-US" w:eastAsia="zh-CN" w:bidi="ar-SA"/>
        </w:rPr>
        <w:t>支队严格执行各项财务管理制度，保证项目经费专款专用，进一步完善财务管理各项规章制度建设，加强内部机构设置。财务科全面负责项目资金的会计核算和账务处理工作，对照项目资金管理办法</w:t>
      </w:r>
      <w:r>
        <w:rPr>
          <w:rFonts w:hint="default" w:ascii="仿宋_GB2312" w:hAnsi="宋体" w:eastAsia="仿宋_GB2312" w:cs="Times New Roman"/>
          <w:color w:val="auto"/>
          <w:kern w:val="2"/>
          <w:sz w:val="32"/>
          <w:szCs w:val="32"/>
          <w:highlight w:val="none"/>
          <w:lang w:eastAsia="zh-CN" w:bidi="ar-SA"/>
        </w:rPr>
        <w:t>进行支出</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hint="eastAsia" w:ascii="仿宋_GB2312" w:hAnsi="仿宋_GB2312" w:eastAsia="仿宋_GB2312" w:cs="仿宋_GB2312"/>
          <w:b w:val="0"/>
          <w:bCs w:val="0"/>
          <w:color w:val="auto"/>
          <w:kern w:val="0"/>
          <w:sz w:val="32"/>
          <w:szCs w:val="32"/>
          <w:highlight w:val="none"/>
          <w:u w:val="none"/>
          <w:shd w:val="clear" w:color="auto" w:fill="FFFFFF"/>
          <w:lang w:val="zh-CN"/>
        </w:rPr>
      </w:pPr>
      <w:bookmarkStart w:id="473" w:name="_Toc256674802_WPSOffice_Level2"/>
      <w:bookmarkStart w:id="474" w:name="_Toc1114043422_WPSOffice_Level2"/>
      <w:bookmarkStart w:id="475" w:name="_Toc13777"/>
      <w:bookmarkStart w:id="476" w:name="_Toc30692"/>
      <w:r>
        <w:rPr>
          <w:rFonts w:hint="eastAsia" w:ascii="黑体" w:hAnsi="宋体" w:eastAsia="黑体"/>
          <w:b w:val="0"/>
          <w:bCs w:val="0"/>
          <w:color w:val="auto"/>
          <w:sz w:val="32"/>
          <w:szCs w:val="32"/>
          <w:highlight w:val="none"/>
          <w:u w:val="none"/>
        </w:rPr>
        <w:t>三、项目实施及管理情况</w:t>
      </w:r>
      <w:bookmarkEnd w:id="473"/>
      <w:bookmarkEnd w:id="474"/>
      <w:bookmarkEnd w:id="475"/>
      <w:bookmarkEnd w:id="476"/>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default" w:ascii="楷体_GB2312" w:hAnsi="宋体" w:eastAsia="楷体_GB2312"/>
          <w:b w:val="0"/>
          <w:bCs w:val="0"/>
          <w:color w:val="auto"/>
          <w:sz w:val="32"/>
          <w:szCs w:val="32"/>
          <w:highlight w:val="none"/>
          <w:u w:val="none"/>
        </w:rPr>
      </w:pPr>
      <w:r>
        <w:rPr>
          <w:rFonts w:hint="eastAsia" w:ascii="楷体_GB2312" w:hAnsi="宋体" w:eastAsia="楷体_GB2312"/>
          <w:b w:val="0"/>
          <w:bCs w:val="0"/>
          <w:color w:val="auto"/>
          <w:sz w:val="32"/>
          <w:szCs w:val="32"/>
          <w:highlight w:val="none"/>
          <w:u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广元市交通运输综合行政执法支队成立了项目绩效领导小组，对项目实施全过程进行管理和监督。项目领导小组由主要领导为组长，分管领导为副组长，各科室负责人为成员，并下设办公室到具体科室，由具体负责人办公室主任，具体负责项目的实施与管理工作。严格按照相关规定，明确责任，合理分工，密切协作，为项目顺利实施提供保障</w:t>
      </w:r>
      <w:r>
        <w:rPr>
          <w:rFonts w:hint="default" w:ascii="仿宋_GB2312" w:hAnsi="宋体" w:eastAsia="仿宋_GB2312" w:cs="Times New Roman"/>
          <w:color w:val="auto"/>
          <w:kern w:val="2"/>
          <w:sz w:val="32"/>
          <w:szCs w:val="32"/>
          <w:highlight w:val="none"/>
          <w:lang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_GB2312" w:hAnsi="宋体" w:eastAsia="仿宋_GB2312" w:cs="Times New Roman"/>
          <w:color w:val="auto"/>
          <w:kern w:val="2"/>
          <w:sz w:val="32"/>
          <w:szCs w:val="32"/>
          <w:highlight w:val="none"/>
          <w:lang w:val="en-US" w:eastAsia="zh-CN" w:bidi="ar-SA"/>
        </w:rPr>
        <w:t>为进一步规范绩效项目的管理行为，加强项目过程控制，提高项目管理水平，强化项目形象，创信誉、争效益，</w:t>
      </w:r>
      <w:r>
        <w:rPr>
          <w:rFonts w:hint="default" w:ascii="仿宋_GB2312" w:hAnsi="宋体" w:eastAsia="仿宋_GB2312" w:cs="Times New Roman"/>
          <w:color w:val="auto"/>
          <w:kern w:val="2"/>
          <w:sz w:val="32"/>
          <w:szCs w:val="32"/>
          <w:highlight w:val="none"/>
          <w:lang w:eastAsia="zh-CN" w:bidi="ar-SA"/>
        </w:rPr>
        <w:t>支队</w:t>
      </w:r>
      <w:r>
        <w:rPr>
          <w:rFonts w:hint="eastAsia" w:ascii="仿宋_GB2312" w:hAnsi="宋体" w:eastAsia="仿宋_GB2312" w:cs="Times New Roman"/>
          <w:color w:val="auto"/>
          <w:kern w:val="2"/>
          <w:sz w:val="32"/>
          <w:szCs w:val="32"/>
          <w:highlight w:val="none"/>
          <w:lang w:val="en-US" w:eastAsia="zh-CN" w:bidi="ar-SA"/>
        </w:rPr>
        <w:t>所有项目都先制定了制度和工作计划，严格按照相关规定流程实施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（三）项目监管情况。</w:t>
      </w:r>
      <w:r>
        <w:rPr>
          <w:rFonts w:hint="default" w:ascii="仿宋_GB2312" w:hAnsi="宋体" w:eastAsia="仿宋_GB2312" w:cs="Times New Roman"/>
          <w:color w:val="auto"/>
          <w:kern w:val="2"/>
          <w:sz w:val="32"/>
          <w:szCs w:val="32"/>
          <w:highlight w:val="none"/>
          <w:lang w:eastAsia="zh-CN" w:bidi="ar-SA"/>
        </w:rPr>
        <w:t>支队</w:t>
      </w:r>
      <w:r>
        <w:rPr>
          <w:rFonts w:hint="eastAsia" w:ascii="仿宋_GB2312" w:hAnsi="宋体" w:eastAsia="仿宋_GB2312" w:cs="Times New Roman"/>
          <w:color w:val="auto"/>
          <w:kern w:val="2"/>
          <w:sz w:val="32"/>
          <w:szCs w:val="32"/>
          <w:highlight w:val="none"/>
          <w:lang w:val="en-US" w:eastAsia="zh-CN" w:bidi="ar-SA"/>
        </w:rPr>
        <w:t>严格按照相关法律法规和程序，对质量、安全和项目进度进行全过程、全方位的监督管理，努力化解风险，提高工作效率，明确规范管理，强化责任，确保安全，保证质量的指导思想，思想观念不放松，严格把好绩效项目实施过程关口</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eastAsia="仿宋_GB2312"/>
          <w:b w:val="0"/>
          <w:bCs w:val="0"/>
          <w:color w:val="auto"/>
          <w:sz w:val="32"/>
          <w:szCs w:val="32"/>
          <w:highlight w:val="none"/>
          <w:u w:val="none"/>
          <w:lang w:val="zh-CN"/>
        </w:rPr>
      </w:pPr>
      <w:bookmarkStart w:id="477" w:name="_Toc14821"/>
      <w:bookmarkStart w:id="478" w:name="_Toc26242"/>
      <w:bookmarkStart w:id="479" w:name="_Toc1796831932_WPSOffice_Level2"/>
      <w:bookmarkStart w:id="480" w:name="_Toc1464910594_WPSOffice_Level2"/>
      <w:r>
        <w:rPr>
          <w:rFonts w:hint="eastAsia" w:ascii="黑体" w:hAnsi="宋体" w:eastAsia="黑体"/>
          <w:b w:val="0"/>
          <w:bCs w:val="0"/>
          <w:color w:val="auto"/>
          <w:sz w:val="32"/>
          <w:szCs w:val="32"/>
          <w:highlight w:val="none"/>
          <w:u w:val="none"/>
        </w:rPr>
        <w:t>四、项目绩效情况</w:t>
      </w:r>
      <w:bookmarkEnd w:id="477"/>
      <w:bookmarkEnd w:id="478"/>
      <w:bookmarkEnd w:id="479"/>
      <w:bookmarkEnd w:id="480"/>
      <w:r>
        <w:rPr>
          <w:rFonts w:hint="eastAsia" w:ascii="仿宋_GB2312" w:hAnsi="宋体" w:eastAsia="仿宋_GB2312"/>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eastAsia="仿宋_GB2312"/>
          <w:color w:val="auto"/>
          <w:sz w:val="32"/>
          <w:szCs w:val="32"/>
          <w:highlight w:val="none"/>
          <w:lang w:val="zh-CN"/>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截止评价时点</w:t>
      </w:r>
      <w:r>
        <w:rPr>
          <w:rFonts w:hint="default" w:ascii="仿宋_GB2312" w:hAnsi="仿宋_GB2312" w:eastAsia="仿宋_GB2312" w:cs="仿宋_GB2312"/>
          <w:b w:val="0"/>
          <w:bCs w:val="0"/>
          <w:color w:val="auto"/>
          <w:kern w:val="0"/>
          <w:sz w:val="32"/>
          <w:szCs w:val="32"/>
          <w:highlight w:val="none"/>
          <w:u w:val="none"/>
          <w:shd w:val="clear" w:color="auto" w:fill="FFFFFF"/>
        </w:rPr>
        <w:t>，</w:t>
      </w:r>
      <w:r>
        <w:rPr>
          <w:rFonts w:hint="default" w:ascii="仿宋_GB2312" w:hAnsi="宋体" w:eastAsia="仿宋_GB2312"/>
          <w:b w:val="0"/>
          <w:bCs w:val="0"/>
          <w:color w:val="auto"/>
          <w:sz w:val="32"/>
          <w:szCs w:val="32"/>
          <w:highlight w:val="none"/>
          <w:lang w:eastAsia="zh-CN"/>
        </w:rPr>
        <w:t>省级2021年结转交通专项资金支付203.56万元</w:t>
      </w:r>
      <w:r>
        <w:rPr>
          <w:rFonts w:hint="eastAsia" w:ascii="仿宋_GB2312" w:hAnsi="宋体" w:eastAsia="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kern w:val="0"/>
          <w:sz w:val="32"/>
          <w:szCs w:val="32"/>
          <w:highlight w:val="none"/>
          <w:u w:val="none"/>
          <w:shd w:val="clear" w:color="auto" w:fill="FFFFFF"/>
        </w:rPr>
        <w:t>2022年应急保通人员124人，应急车辆14辆，应急抢险船舶3艘，应急保通工作开展率应达到100%，应急抢险船舶费用小于10万元，应急保通人员产生的费用小于320万元，应急保通车辆产生的费用小于30万元，</w:t>
      </w:r>
      <w:r>
        <w:rPr>
          <w:rFonts w:hint="default" w:ascii="仿宋_GB2312" w:hAnsi="宋体" w:eastAsia="仿宋_GB2312"/>
          <w:b w:val="0"/>
          <w:bCs w:val="0"/>
          <w:color w:val="auto"/>
          <w:sz w:val="32"/>
          <w:szCs w:val="32"/>
          <w:highlight w:val="none"/>
          <w:lang w:eastAsia="zh-CN"/>
        </w:rPr>
        <w:t>省级2021年结转交通专项资金支付98.99%。</w:t>
      </w:r>
      <w:r>
        <w:rPr>
          <w:rFonts w:hint="default" w:ascii="仿宋_GB2312" w:hAnsi="仿宋_GB2312" w:eastAsia="仿宋_GB2312" w:cs="仿宋_GB2312"/>
          <w:b w:val="0"/>
          <w:bCs w:val="0"/>
          <w:color w:val="auto"/>
          <w:kern w:val="0"/>
          <w:sz w:val="32"/>
          <w:szCs w:val="32"/>
          <w:highlight w:val="none"/>
          <w:u w:val="none"/>
          <w:shd w:val="clear" w:color="auto" w:fill="FFFFFF"/>
        </w:rPr>
        <w:t>按质按量</w:t>
      </w:r>
      <w:r>
        <w:rPr>
          <w:rFonts w:hint="eastAsia" w:ascii="仿宋_GB2312" w:hAnsi="宋体" w:eastAsia="仿宋_GB2312"/>
          <w:b w:val="0"/>
          <w:bCs w:val="0"/>
          <w:color w:val="auto"/>
          <w:sz w:val="32"/>
          <w:szCs w:val="32"/>
          <w:highlight w:val="none"/>
          <w:lang w:val="en-US" w:eastAsia="zh-CN"/>
        </w:rPr>
        <w:t>完成年初既定</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数量、质量、时效、成本</w:t>
      </w:r>
      <w:r>
        <w:rPr>
          <w:rFonts w:hint="eastAsia" w:ascii="仿宋_GB2312" w:hAnsi="宋体" w:eastAsia="仿宋_GB2312"/>
          <w:b w:val="0"/>
          <w:bCs w:val="0"/>
          <w:color w:val="auto"/>
          <w:sz w:val="32"/>
          <w:szCs w:val="32"/>
          <w:highlight w:val="none"/>
          <w:lang w:val="en-US" w:eastAsia="zh-CN"/>
        </w:rPr>
        <w:t>绩效目标</w:t>
      </w:r>
      <w:r>
        <w:rPr>
          <w:rFonts w:hint="default" w:ascii="仿宋_GB2312" w:hAnsi="宋体" w:eastAsia="仿宋_GB2312" w:cs="Times New Roman"/>
          <w:b w:val="0"/>
          <w:bCs w:val="0"/>
          <w:color w:val="auto"/>
          <w:sz w:val="32"/>
          <w:szCs w:val="32"/>
          <w:highlight w:val="none"/>
          <w:lang w:eastAsia="zh-CN"/>
        </w:rPr>
        <w:t>，完成率达100%，年初编制任务量全部完成，执行进度100%，项目成本控制在预算资金范围内，结余资金2.08万元，无违规记录。</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default" w:ascii="仿宋_GB2312" w:hAnsi="仿宋_GB2312" w:eastAsia="仿宋_GB2312" w:cs="仿宋_GB2312"/>
          <w:b w:val="0"/>
          <w:bCs w:val="0"/>
          <w:color w:val="auto"/>
          <w:kern w:val="0"/>
          <w:sz w:val="32"/>
          <w:szCs w:val="32"/>
          <w:highlight w:val="none"/>
          <w:u w:val="none"/>
          <w:shd w:val="clear" w:color="auto" w:fill="FFFFFF"/>
          <w:lang w:eastAsia="zh-CN"/>
        </w:rPr>
        <w:t>省级2021年结转交通专项资金确保了应急保通工作开展，保障公路水路灾毁应急通畅率，</w:t>
      </w:r>
      <w:r>
        <w:rPr>
          <w:rFonts w:hint="default" w:ascii="仿宋_GB2312" w:hAnsi="宋体" w:eastAsia="仿宋_GB2312"/>
          <w:b w:val="0"/>
          <w:bCs w:val="0"/>
          <w:color w:val="auto"/>
          <w:sz w:val="32"/>
          <w:szCs w:val="32"/>
          <w:highlight w:val="none"/>
          <w:lang w:eastAsia="zh-CN"/>
        </w:rPr>
        <w:t>群众满意度达到良好。</w:t>
      </w:r>
      <w:r>
        <w:rPr>
          <w:rFonts w:hint="eastAsia" w:ascii="仿宋_GB2312" w:hAnsi="宋体" w:eastAsia="仿宋_GB2312"/>
          <w:b w:val="0"/>
          <w:bCs w:val="0"/>
          <w:color w:val="auto"/>
          <w:sz w:val="32"/>
          <w:szCs w:val="32"/>
          <w:highlight w:val="none"/>
          <w:lang w:val="en-US" w:eastAsia="zh-CN"/>
        </w:rPr>
        <w:t>年初既定</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社会效益、</w:t>
      </w:r>
      <w:r>
        <w:rPr>
          <w:rFonts w:hint="default" w:ascii="仿宋_GB2312" w:hAnsi="仿宋_GB2312" w:eastAsia="仿宋_GB2312" w:cs="仿宋_GB2312"/>
          <w:b w:val="0"/>
          <w:bCs w:val="0"/>
          <w:color w:val="auto"/>
          <w:kern w:val="0"/>
          <w:sz w:val="32"/>
          <w:szCs w:val="32"/>
          <w:highlight w:val="none"/>
          <w:u w:val="none"/>
          <w:shd w:val="clear" w:color="auto" w:fill="FFFFFF"/>
        </w:rPr>
        <w:t>群众</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满意度</w:t>
      </w:r>
      <w:r>
        <w:rPr>
          <w:rFonts w:hint="eastAsia" w:ascii="仿宋_GB2312" w:hAnsi="宋体" w:eastAsia="仿宋_GB2312"/>
          <w:b w:val="0"/>
          <w:bCs w:val="0"/>
          <w:color w:val="auto"/>
          <w:sz w:val="32"/>
          <w:szCs w:val="32"/>
          <w:highlight w:val="none"/>
          <w:lang w:val="en-US" w:eastAsia="zh-CN"/>
        </w:rPr>
        <w:t>绩效目标</w:t>
      </w:r>
      <w:r>
        <w:rPr>
          <w:rFonts w:hint="default" w:ascii="仿宋_GB2312" w:hAnsi="宋体" w:eastAsia="仿宋_GB2312" w:cs="Times New Roman"/>
          <w:b w:val="0"/>
          <w:bCs w:val="0"/>
          <w:color w:val="auto"/>
          <w:sz w:val="32"/>
          <w:szCs w:val="32"/>
          <w:highlight w:val="none"/>
          <w:lang w:eastAsia="zh-CN"/>
        </w:rPr>
        <w:t>完成率100%。</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481" w:name="_Toc14768"/>
      <w:bookmarkStart w:id="482" w:name="_Toc9813"/>
      <w:bookmarkStart w:id="483" w:name="_Toc985030510_WPSOffice_Level2"/>
      <w:bookmarkStart w:id="484" w:name="_Toc616169081_WPSOffice_Level2"/>
      <w:r>
        <w:rPr>
          <w:rFonts w:hint="eastAsia" w:ascii="黑体" w:hAnsi="宋体" w:eastAsia="黑体"/>
          <w:b w:val="0"/>
          <w:bCs w:val="0"/>
          <w:color w:val="auto"/>
          <w:sz w:val="32"/>
          <w:szCs w:val="32"/>
          <w:highlight w:val="none"/>
          <w:u w:val="none"/>
        </w:rPr>
        <w:t>五、评价结论及建议</w:t>
      </w:r>
      <w:bookmarkEnd w:id="481"/>
      <w:bookmarkEnd w:id="482"/>
      <w:bookmarkEnd w:id="483"/>
      <w:bookmarkEnd w:id="484"/>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rPr>
      </w:pPr>
      <w:r>
        <w:rPr>
          <w:rFonts w:hint="default" w:ascii="仿宋_GB2312" w:hAnsi="仿宋_GB2312" w:eastAsia="仿宋_GB2312" w:cs="仿宋_GB2312"/>
          <w:b w:val="0"/>
          <w:bCs w:val="0"/>
          <w:color w:val="auto"/>
          <w:kern w:val="0"/>
          <w:sz w:val="32"/>
          <w:szCs w:val="32"/>
          <w:highlight w:val="none"/>
          <w:u w:val="none"/>
          <w:shd w:val="clear" w:color="auto" w:fill="FFFFFF"/>
        </w:rPr>
        <w:t>省级2021年结转交通专项资金专项项目资金使用严格执行相关政策，严格按照预算执行，</w:t>
      </w:r>
      <w:r>
        <w:rPr>
          <w:rFonts w:hint="default" w:ascii="仿宋_GB2312" w:hAnsi="仿宋_GB2312" w:eastAsia="仿宋_GB2312" w:cs="仿宋_GB2312"/>
          <w:b w:val="0"/>
          <w:bCs w:val="0"/>
          <w:color w:val="auto"/>
          <w:kern w:val="0"/>
          <w:sz w:val="32"/>
          <w:szCs w:val="32"/>
          <w:highlight w:val="none"/>
          <w:u w:val="none"/>
          <w:shd w:val="clear" w:color="auto" w:fill="FFFFFF"/>
          <w:lang w:eastAsia="zh-CN"/>
        </w:rPr>
        <w:t>确保了应急保通工作开展，保障公路水路灾毁应急通畅</w:t>
      </w:r>
      <w:r>
        <w:rPr>
          <w:rFonts w:hint="default" w:ascii="仿宋_GB2312" w:hAnsi="仿宋_GB2312" w:eastAsia="仿宋_GB2312" w:cs="仿宋_GB2312"/>
          <w:b w:val="0"/>
          <w:bCs w:val="0"/>
          <w:color w:val="auto"/>
          <w:kern w:val="0"/>
          <w:sz w:val="32"/>
          <w:szCs w:val="32"/>
          <w:highlight w:val="none"/>
          <w:u w:val="none"/>
          <w:shd w:val="clear" w:color="auto" w:fill="FFFFFF"/>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u w:val="none"/>
          <w:shd w:val="clear" w:color="auto" w:fill="FFFFFF"/>
        </w:rPr>
        <w:t>无</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default" w:ascii="仿宋_GB2312" w:hAnsi="仿宋_GB2312" w:eastAsia="仿宋_GB2312" w:cs="仿宋_GB2312"/>
          <w:b w:val="0"/>
          <w:bCs w:val="0"/>
          <w:color w:val="auto"/>
          <w:kern w:val="0"/>
          <w:sz w:val="32"/>
          <w:szCs w:val="32"/>
          <w:highlight w:val="none"/>
          <w:u w:val="none"/>
          <w:shd w:val="clear" w:color="auto" w:fill="FFFFFF"/>
        </w:rPr>
        <w:t>无</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shd w:val="clear"/>
        <w:rPr>
          <w:rFonts w:hint="eastAsia" w:hAnsi="宋体" w:cs="宋体"/>
          <w:color w:val="auto"/>
          <w:kern w:val="0"/>
          <w:sz w:val="32"/>
          <w:szCs w:val="32"/>
          <w:highlight w:val="none"/>
          <w:shd w:val="clear" w:color="auto" w:fill="FFFFFF"/>
          <w:lang w:val="en-US" w:eastAsia="zh-CN"/>
        </w:rPr>
      </w:pP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shd w:val="clear"/>
        <w:spacing w:line="600" w:lineRule="exact"/>
        <w:jc w:val="cente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附件20：</w:t>
      </w:r>
    </w:p>
    <w:p>
      <w:pPr>
        <w:shd w:val="clear"/>
        <w:spacing w:line="600" w:lineRule="exact"/>
        <w:jc w:val="center"/>
        <w:outlineLvl w:val="1"/>
        <w:rPr>
          <w:rFonts w:hint="eastAsia" w:ascii="方正小标宋_GBK" w:hAnsi="方正小标宋_GBK" w:eastAsia="方正小标宋_GBK" w:cs="方正小标宋_GBK"/>
          <w:bCs/>
          <w:color w:val="auto"/>
          <w:sz w:val="44"/>
          <w:szCs w:val="44"/>
          <w:highlight w:val="none"/>
        </w:rPr>
      </w:pPr>
      <w:bookmarkStart w:id="485" w:name="_Toc5863"/>
      <w:bookmarkStart w:id="486" w:name="_Toc6277"/>
      <w:r>
        <w:rPr>
          <w:rFonts w:hint="eastAsia" w:ascii="方正小标宋_GBK" w:hAnsi="方正小标宋_GBK" w:eastAsia="方正小标宋_GBK" w:cs="方正小标宋_GBK"/>
          <w:bCs/>
          <w:color w:val="auto"/>
          <w:sz w:val="44"/>
          <w:szCs w:val="44"/>
          <w:highlight w:val="none"/>
        </w:rPr>
        <w:t>广元市交通建设工程造价管理站</w:t>
      </w:r>
      <w:bookmarkEnd w:id="485"/>
      <w:bookmarkEnd w:id="486"/>
    </w:p>
    <w:p>
      <w:pPr>
        <w:shd w:val="clear"/>
        <w:spacing w:line="600" w:lineRule="exact"/>
        <w:jc w:val="center"/>
        <w:rPr>
          <w:rFonts w:hint="eastAsia" w:ascii="方正小标宋_GBK" w:hAnsi="方正小标宋简体" w:eastAsia="方正小标宋_GBK" w:cs="方正小标宋简体"/>
          <w:color w:val="auto"/>
          <w:sz w:val="44"/>
          <w:szCs w:val="44"/>
          <w:highlight w:val="none"/>
          <w:shd w:val="clear" w:color="auto" w:fill="FFFFFF"/>
        </w:rPr>
      </w:pPr>
      <w:r>
        <w:rPr>
          <w:rFonts w:hint="eastAsia" w:ascii="方正小标宋_GBK" w:hAnsi="方正小标宋简体" w:eastAsia="方正小标宋_GBK" w:cs="方正小标宋简体"/>
          <w:color w:val="auto"/>
          <w:sz w:val="44"/>
          <w:szCs w:val="44"/>
          <w:highlight w:val="none"/>
          <w:shd w:val="clear" w:color="auto" w:fill="FFFFFF"/>
        </w:rPr>
        <w:t>关于2022年交通造价监督管理和培训专项</w:t>
      </w:r>
    </w:p>
    <w:p>
      <w:pPr>
        <w:shd w:val="clear"/>
        <w:spacing w:line="600" w:lineRule="exact"/>
        <w:jc w:val="center"/>
        <w:rPr>
          <w:rFonts w:hint="eastAsia" w:ascii="方正小标宋_GBK" w:hAnsi="方正小标宋简体" w:eastAsia="方正小标宋_GBK" w:cs="方正小标宋简体"/>
          <w:color w:val="auto"/>
          <w:sz w:val="44"/>
          <w:szCs w:val="44"/>
          <w:highlight w:val="none"/>
          <w:shd w:val="clear" w:color="auto" w:fill="FFFFFF"/>
        </w:rPr>
      </w:pPr>
      <w:r>
        <w:rPr>
          <w:rFonts w:hint="eastAsia" w:ascii="方正小标宋_GBK" w:hAnsi="方正小标宋简体" w:eastAsia="方正小标宋_GBK" w:cs="方正小标宋简体"/>
          <w:color w:val="auto"/>
          <w:sz w:val="44"/>
          <w:szCs w:val="44"/>
          <w:highlight w:val="none"/>
          <w:shd w:val="clear" w:color="auto" w:fill="FFFFFF"/>
        </w:rPr>
        <w:t>预算项目支出绩效自评的报告</w:t>
      </w:r>
    </w:p>
    <w:p>
      <w:pPr>
        <w:shd w:val="clear"/>
        <w:spacing w:line="560" w:lineRule="exact"/>
        <w:rPr>
          <w:rFonts w:ascii="方正小标宋_GBK" w:hAnsi="方正小标宋简体" w:eastAsia="方正小标宋_GBK" w:cs="方正小标宋简体"/>
          <w:color w:val="auto"/>
          <w:sz w:val="44"/>
          <w:szCs w:val="44"/>
          <w:highlight w:val="none"/>
          <w:shd w:val="clear" w:color="auto" w:fill="FFFFFF"/>
        </w:rPr>
      </w:pPr>
    </w:p>
    <w:p>
      <w:pPr>
        <w:shd w:val="clear"/>
        <w:spacing w:line="576" w:lineRule="exact"/>
        <w:ind w:firstLine="640" w:firstLineChars="200"/>
        <w:outlineLvl w:val="1"/>
        <w:rPr>
          <w:rFonts w:hint="eastAsia" w:ascii="黑体" w:hAnsi="黑体" w:eastAsia="黑体" w:cs="方正小标宋简体"/>
          <w:color w:val="auto"/>
          <w:sz w:val="32"/>
          <w:szCs w:val="32"/>
          <w:highlight w:val="none"/>
          <w:shd w:val="clear" w:color="auto" w:fill="FFFFFF"/>
        </w:rPr>
      </w:pPr>
      <w:bookmarkStart w:id="487" w:name="_Toc322608622_WPSOffice_Level2"/>
      <w:bookmarkStart w:id="488" w:name="_Toc1934688185_WPSOffice_Level2"/>
      <w:bookmarkStart w:id="489" w:name="_Toc10092"/>
      <w:bookmarkStart w:id="490" w:name="_Toc28397"/>
      <w:r>
        <w:rPr>
          <w:rFonts w:hint="eastAsia" w:ascii="黑体" w:hAnsi="黑体" w:eastAsia="黑体" w:cs="方正小标宋简体"/>
          <w:color w:val="auto"/>
          <w:sz w:val="32"/>
          <w:szCs w:val="32"/>
          <w:highlight w:val="none"/>
          <w:shd w:val="clear" w:color="auto" w:fill="FFFFFF"/>
        </w:rPr>
        <w:t>一、项目概况</w:t>
      </w:r>
      <w:bookmarkEnd w:id="487"/>
      <w:bookmarkEnd w:id="488"/>
      <w:bookmarkEnd w:id="489"/>
      <w:bookmarkEnd w:id="490"/>
    </w:p>
    <w:p>
      <w:pPr>
        <w:shd w:val="clear"/>
        <w:spacing w:line="576"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（一）项目基本情况</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1．项目主管单位的职能。我单位负责市交通运输局主管工程项目投资估算、概算、预算的审查；负责本辖区交通重点建设项目工程造价的监督检查，参与本地区交通建设工程项目的交工和竣工决算的审查工作；参与本辖区内部、省重点交通建设项目工程造价的监督检查；负责本地区交通建设工程造价信息网和数据库的建立与管理，定期调查、整理、发布本地区的工程材料价格信息和政务信息；协助省交通建设工程造价管理站研究编制交通基建工程、养护工程的计价依据及有关规定，以及开展本地区工程造价人员的业务培训工作。</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2．项目立项、资金申报的依据。根据单位职能职责设立该项目。</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3．资金及项目管理办法制定情况。我单位财务制度健全，会计核算规范，资金管理和资金使用符合国家财经法规和财务管理制度以及有关专项资金管理办法规定，账务处理及时，会计核算规范，制定了财务管理等内部控制制度。2022年我单位对《广元市公路工程造价管理实施细则》和《广元市交通造价站内部管理办法》进行了修订完善。</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4．资金分配的原则及考虑因素。该项目不存在资金分配，在坚持“专款专用”基础上根据实际工作开展情况据实报销。</w:t>
      </w:r>
    </w:p>
    <w:p>
      <w:pPr>
        <w:shd w:val="clear"/>
        <w:spacing w:line="576"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（二）项目绩效目标</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1．项目主要内容。对全市交通建设工程项目进行造价管理与监督、人员培训等。</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2．项目应实现的具体绩效目标。工程项目造价审查覆盖率和项目造价审查质量合格率达到100%，至少开展一次造价业务培训，项目造价审减率大于等于1.2%，服务对象满意度高。</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3．分析评价申报内容是否与实际相符。该项目的申报目标参考往年数据，根据单位实际情况进行申报，合理可行。</w:t>
      </w:r>
    </w:p>
    <w:p>
      <w:pPr>
        <w:shd w:val="clear"/>
        <w:spacing w:line="576"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（三）项目自评步骤及方法</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根据预算绩效管理要求，我单位由综合办牵头，造价管理科紧密配合，比照《2023年市级专项资金预算项目支出绩效评价指标体系》和年初绩效目标申报，严格执行《广元市市级预算绩效目标管理办法》规定，依据“谁申报、谁自评、谁绩效”的原则，采用成本效益分析法，对该项目产出完成、项目效益、财务管理、满意度等方面进行了认真全面的绩效自评。经自评，项目支出绩效情况良好。</w:t>
      </w:r>
    </w:p>
    <w:p>
      <w:pPr>
        <w:shd w:val="clear"/>
        <w:spacing w:line="576" w:lineRule="exact"/>
        <w:ind w:firstLine="640" w:firstLineChars="200"/>
        <w:outlineLvl w:val="1"/>
        <w:rPr>
          <w:rFonts w:hint="eastAsia" w:ascii="黑体" w:hAnsi="黑体" w:eastAsia="黑体" w:cs="方正小标宋简体"/>
          <w:color w:val="auto"/>
          <w:sz w:val="32"/>
          <w:szCs w:val="32"/>
          <w:highlight w:val="none"/>
          <w:shd w:val="clear" w:color="auto" w:fill="FFFFFF"/>
        </w:rPr>
      </w:pPr>
      <w:bookmarkStart w:id="491" w:name="_Toc890354822_WPSOffice_Level2"/>
      <w:bookmarkStart w:id="492" w:name="_Toc906"/>
      <w:bookmarkStart w:id="493" w:name="_Toc24316"/>
      <w:bookmarkStart w:id="494" w:name="_Toc200993504_WPSOffice_Level2"/>
      <w:r>
        <w:rPr>
          <w:rFonts w:hint="eastAsia" w:ascii="黑体" w:hAnsi="黑体" w:eastAsia="黑体" w:cs="方正小标宋简体"/>
          <w:color w:val="auto"/>
          <w:sz w:val="32"/>
          <w:szCs w:val="32"/>
          <w:highlight w:val="none"/>
          <w:shd w:val="clear" w:color="auto" w:fill="FFFFFF"/>
        </w:rPr>
        <w:t>二、项目资金申报及使用情况</w:t>
      </w:r>
      <w:bookmarkEnd w:id="491"/>
      <w:bookmarkEnd w:id="492"/>
      <w:bookmarkEnd w:id="493"/>
      <w:bookmarkEnd w:id="494"/>
    </w:p>
    <w:p>
      <w:pPr>
        <w:shd w:val="clear"/>
        <w:spacing w:line="576"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（一）项目资金申报及批复情况</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2022年，申报2022年交通造价监督管理和培训经费11万元，财政部门按申报金额进行了批复。</w:t>
      </w:r>
    </w:p>
    <w:p>
      <w:pPr>
        <w:shd w:val="clear"/>
        <w:spacing w:line="576"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（二）资金计划、到位及使用情况</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1．资金计划。2022年交通造价监督管理和培训经费预算数为11万元</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2．资金到位。2022年初市财政局预算批复时全部到位。</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3．资金使用。2022年交通造价监督管理和培训年初预算11万元，实际支出11万元，剩余资金0元，支付进度100%。资金支付严格遵循财政资金支付规定，支付依据合规合法，预算执行率100%。主要用于支付2022年交通造价监督管理和培训相关的办公费1.88万元、差旅费3.33万元、维修（护）费2.79万元、劳务费2.42万元、公务出行用车0.58万元。</w:t>
      </w:r>
    </w:p>
    <w:p>
      <w:pPr>
        <w:shd w:val="clear"/>
        <w:spacing w:line="576"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（三）项目财务管理情况</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我单位财务制度健全，会计核算较规范，制定了财务监控和内部控制制度，并在实际工作中严格执行市委市政府、市财政局及市交通运输局相关制度，资金管理和资金使用符合国家财经法规和财务管理制度以及有关专项资金管理办法的规定。</w:t>
      </w:r>
    </w:p>
    <w:p>
      <w:pPr>
        <w:shd w:val="clear"/>
        <w:spacing w:line="576" w:lineRule="exact"/>
        <w:ind w:firstLine="640" w:firstLineChars="200"/>
        <w:outlineLvl w:val="1"/>
        <w:rPr>
          <w:rFonts w:hint="eastAsia" w:ascii="黑体" w:hAnsi="黑体" w:eastAsia="黑体" w:cs="方正小标宋简体"/>
          <w:color w:val="auto"/>
          <w:sz w:val="32"/>
          <w:szCs w:val="32"/>
          <w:highlight w:val="none"/>
          <w:shd w:val="clear" w:color="auto" w:fill="FFFFFF"/>
        </w:rPr>
      </w:pPr>
      <w:bookmarkStart w:id="495" w:name="_Toc1646"/>
      <w:bookmarkStart w:id="496" w:name="_Toc2136388471_WPSOffice_Level2"/>
      <w:bookmarkStart w:id="497" w:name="_Toc180351939_WPSOffice_Level2"/>
      <w:bookmarkStart w:id="498" w:name="_Toc29595"/>
      <w:r>
        <w:rPr>
          <w:rFonts w:hint="eastAsia" w:ascii="黑体" w:hAnsi="黑体" w:eastAsia="黑体" w:cs="方正小标宋简体"/>
          <w:color w:val="auto"/>
          <w:sz w:val="32"/>
          <w:szCs w:val="32"/>
          <w:highlight w:val="none"/>
          <w:shd w:val="clear" w:color="auto" w:fill="FFFFFF"/>
        </w:rPr>
        <w:t>三、项目实施及管理情况</w:t>
      </w:r>
      <w:bookmarkEnd w:id="495"/>
      <w:bookmarkEnd w:id="496"/>
      <w:bookmarkEnd w:id="497"/>
      <w:bookmarkEnd w:id="498"/>
    </w:p>
    <w:p>
      <w:pPr>
        <w:shd w:val="clear"/>
        <w:spacing w:line="576"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（一）项目组织架构及实施流程</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2022年，我单位通过财政审批后设立交通造价监督管理和培训项目，由造价科对交通造价监督管理和培训费的支出提出意见，经领导审核或集体决策后由综合办（财务室）支付款项，确保了全年交通造价管理工作运行正常。</w:t>
      </w:r>
    </w:p>
    <w:p>
      <w:pPr>
        <w:shd w:val="clear"/>
        <w:spacing w:line="576"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（二）项目监管情况</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该项目经费主要用于全市2022年度交通造价监督管理和培训工作相关开支，严格执行市财政局和市交通运输局的有关规定。</w:t>
      </w:r>
    </w:p>
    <w:p>
      <w:pPr>
        <w:shd w:val="clear"/>
        <w:spacing w:line="576" w:lineRule="exact"/>
        <w:ind w:firstLine="640" w:firstLineChars="200"/>
        <w:outlineLvl w:val="1"/>
        <w:rPr>
          <w:rFonts w:hint="eastAsia" w:ascii="黑体" w:hAnsi="黑体" w:eastAsia="黑体" w:cs="方正小标宋简体"/>
          <w:color w:val="auto"/>
          <w:sz w:val="32"/>
          <w:szCs w:val="32"/>
          <w:highlight w:val="none"/>
          <w:shd w:val="clear" w:color="auto" w:fill="FFFFFF"/>
        </w:rPr>
      </w:pPr>
      <w:bookmarkStart w:id="499" w:name="_Toc95890611_WPSOffice_Level2"/>
      <w:bookmarkStart w:id="500" w:name="_Toc1089450660_WPSOffice_Level2"/>
      <w:bookmarkStart w:id="501" w:name="_Toc19931"/>
      <w:bookmarkStart w:id="502" w:name="_Toc29931"/>
      <w:r>
        <w:rPr>
          <w:rFonts w:hint="eastAsia" w:ascii="黑体" w:hAnsi="黑体" w:eastAsia="黑体" w:cs="方正小标宋简体"/>
          <w:color w:val="auto"/>
          <w:sz w:val="32"/>
          <w:szCs w:val="32"/>
          <w:highlight w:val="none"/>
          <w:shd w:val="clear" w:color="auto" w:fill="FFFFFF"/>
        </w:rPr>
        <w:t>四、项目绩效情况</w:t>
      </w:r>
      <w:bookmarkEnd w:id="499"/>
      <w:bookmarkEnd w:id="500"/>
      <w:bookmarkEnd w:id="501"/>
      <w:bookmarkEnd w:id="502"/>
      <w:r>
        <w:rPr>
          <w:rFonts w:hint="eastAsia" w:ascii="黑体" w:hAnsi="黑体" w:eastAsia="黑体" w:cs="方正小标宋简体"/>
          <w:color w:val="auto"/>
          <w:sz w:val="32"/>
          <w:szCs w:val="32"/>
          <w:highlight w:val="none"/>
          <w:shd w:val="clear" w:color="auto" w:fill="FFFFFF"/>
        </w:rPr>
        <w:tab/>
      </w:r>
    </w:p>
    <w:p>
      <w:pPr>
        <w:shd w:val="clear"/>
        <w:spacing w:line="576"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（一）项目完成情况</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我站2022年完成全市78个工程项目的概、预算及工程量清单审查；建立了造价审查管理台账，对各项目进行详细技术经济指标分析；对全市造价业务人员培训1次；初步对交通计价依据进行研究及编制；全年对造价信息网和数据库运行维护。</w:t>
      </w:r>
    </w:p>
    <w:p>
      <w:pPr>
        <w:shd w:val="clear"/>
        <w:spacing w:line="576"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（二）项目效益情况</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项目造价审查覆盖率和项目造价审查质量合格率达到100%，于2022年7月组织各县区交通造价工作人员和相关业务部门人员开展了一次业务知识培训，从业人员业务能力得到了进一步提高。全年累计完成78个工程项目的概、预算、设计变更及工程量清单审查，送审总金额达225.94亿元，审减了4.70亿元，审减率为2.08%，有效控制了交通工程造价，节约了交通建设成本，服务对象满意度高。</w:t>
      </w:r>
    </w:p>
    <w:p>
      <w:pPr>
        <w:shd w:val="clear"/>
        <w:spacing w:line="576" w:lineRule="exact"/>
        <w:ind w:firstLine="640" w:firstLineChars="200"/>
        <w:outlineLvl w:val="1"/>
        <w:rPr>
          <w:rFonts w:hint="eastAsia" w:ascii="黑体" w:hAnsi="黑体" w:eastAsia="黑体" w:cs="方正小标宋简体"/>
          <w:color w:val="auto"/>
          <w:sz w:val="32"/>
          <w:szCs w:val="32"/>
          <w:highlight w:val="none"/>
          <w:shd w:val="clear" w:color="auto" w:fill="FFFFFF"/>
        </w:rPr>
      </w:pPr>
      <w:bookmarkStart w:id="503" w:name="_Toc1502914537_WPSOffice_Level2"/>
      <w:bookmarkStart w:id="504" w:name="_Toc1209571586_WPSOffice_Level2"/>
      <w:bookmarkStart w:id="505" w:name="_Toc22711"/>
      <w:bookmarkStart w:id="506" w:name="_Toc22508"/>
      <w:r>
        <w:rPr>
          <w:rFonts w:hint="eastAsia" w:ascii="黑体" w:hAnsi="黑体" w:eastAsia="黑体" w:cs="方正小标宋简体"/>
          <w:color w:val="auto"/>
          <w:sz w:val="32"/>
          <w:szCs w:val="32"/>
          <w:highlight w:val="none"/>
          <w:shd w:val="clear" w:color="auto" w:fill="FFFFFF"/>
        </w:rPr>
        <w:t>五、评价结论及建议</w:t>
      </w:r>
      <w:bookmarkEnd w:id="503"/>
      <w:bookmarkEnd w:id="504"/>
      <w:bookmarkEnd w:id="505"/>
      <w:bookmarkEnd w:id="506"/>
    </w:p>
    <w:p>
      <w:pPr>
        <w:shd w:val="clear"/>
        <w:spacing w:line="576"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（一）评价结论</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该项目规划科学，决策依据充分，程序合法合规、资金到位及时拨付规范。项目支出绩效自评得分100分。</w:t>
      </w:r>
    </w:p>
    <w:p>
      <w:pPr>
        <w:shd w:val="clear"/>
        <w:spacing w:line="576"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（二）存在的问题</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根据省交通厅造价站和市交通运输局的要求及实际工作需要，我站近两年来工作内容不断增加，为强化全过程造价监督管理、加强交通计价依据研究，需要与专业人员合作进行大量现场调研，现有经费难以保证工作正常开展。</w:t>
      </w:r>
    </w:p>
    <w:p>
      <w:pPr>
        <w:shd w:val="clear"/>
        <w:spacing w:line="576"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（三）相关建议</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建议提高我站交通造价监督管理和培训费预算金额。</w:t>
      </w:r>
    </w:p>
    <w:p>
      <w:pPr>
        <w:shd w:val="clear"/>
        <w:spacing w:line="576"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shd w:val="clear"/>
        <w:spacing w:line="600" w:lineRule="exact"/>
        <w:jc w:val="left"/>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附件21：</w:t>
      </w:r>
    </w:p>
    <w:p>
      <w:pPr>
        <w:shd w:val="clear"/>
        <w:spacing w:line="600" w:lineRule="exact"/>
        <w:jc w:val="center"/>
        <w:outlineLvl w:val="1"/>
        <w:rPr>
          <w:rFonts w:hint="eastAsia" w:ascii="方正小标宋_GBK" w:hAnsi="方正小标宋_GBK" w:eastAsia="方正小标宋_GBK" w:cs="方正小标宋_GBK"/>
          <w:bCs/>
          <w:color w:val="auto"/>
          <w:sz w:val="44"/>
          <w:szCs w:val="44"/>
          <w:highlight w:val="none"/>
        </w:rPr>
      </w:pPr>
      <w:bookmarkStart w:id="507" w:name="_Toc24703"/>
      <w:bookmarkStart w:id="508" w:name="_Toc19632"/>
      <w:r>
        <w:rPr>
          <w:rFonts w:hint="eastAsia" w:ascii="方正小标宋_GBK" w:hAnsi="方正小标宋_GBK" w:eastAsia="方正小标宋_GBK" w:cs="方正小标宋_GBK"/>
          <w:bCs/>
          <w:color w:val="auto"/>
          <w:sz w:val="44"/>
          <w:szCs w:val="44"/>
          <w:highlight w:val="none"/>
        </w:rPr>
        <w:t>广元市交通建设工程造价管理站</w:t>
      </w:r>
      <w:bookmarkEnd w:id="507"/>
      <w:bookmarkEnd w:id="508"/>
    </w:p>
    <w:p>
      <w:pPr>
        <w:shd w:val="clear"/>
        <w:spacing w:line="600" w:lineRule="exact"/>
        <w:jc w:val="center"/>
        <w:rPr>
          <w:rFonts w:hint="eastAsia" w:ascii="方正小标宋_GBK" w:hAnsi="方正小标宋简体" w:eastAsia="方正小标宋_GBK" w:cs="方正小标宋简体"/>
          <w:color w:val="auto"/>
          <w:sz w:val="44"/>
          <w:szCs w:val="44"/>
          <w:highlight w:val="none"/>
          <w:shd w:val="clear" w:color="auto" w:fill="FFFFFF"/>
        </w:rPr>
      </w:pPr>
      <w:r>
        <w:rPr>
          <w:rFonts w:hint="eastAsia" w:ascii="方正小标宋_GBK" w:hAnsi="方正小标宋简体" w:eastAsia="方正小标宋_GBK" w:cs="方正小标宋简体"/>
          <w:color w:val="auto"/>
          <w:sz w:val="44"/>
          <w:szCs w:val="44"/>
          <w:highlight w:val="none"/>
          <w:shd w:val="clear" w:color="auto" w:fill="FFFFFF"/>
        </w:rPr>
        <w:t>关于2022年交通工程材料价格信息调查及</w:t>
      </w:r>
    </w:p>
    <w:p>
      <w:pPr>
        <w:shd w:val="clear"/>
        <w:spacing w:line="600" w:lineRule="exact"/>
        <w:jc w:val="center"/>
        <w:rPr>
          <w:rFonts w:hint="eastAsia" w:ascii="方正小标宋_GBK" w:hAnsi="方正小标宋简体" w:eastAsia="方正小标宋_GBK" w:cs="方正小标宋简体"/>
          <w:color w:val="auto"/>
          <w:sz w:val="44"/>
          <w:szCs w:val="44"/>
          <w:highlight w:val="none"/>
          <w:shd w:val="clear" w:color="auto" w:fill="FFFFFF"/>
        </w:rPr>
      </w:pPr>
      <w:r>
        <w:rPr>
          <w:rFonts w:hint="eastAsia" w:ascii="方正小标宋_GBK" w:hAnsi="方正小标宋简体" w:eastAsia="方正小标宋_GBK" w:cs="方正小标宋简体"/>
          <w:color w:val="auto"/>
          <w:sz w:val="44"/>
          <w:szCs w:val="44"/>
          <w:highlight w:val="none"/>
          <w:shd w:val="clear" w:color="auto" w:fill="FFFFFF"/>
        </w:rPr>
        <w:t>编制专项预算项目支出绩效自评的报告</w:t>
      </w:r>
    </w:p>
    <w:p>
      <w:pPr>
        <w:shd w:val="clear"/>
        <w:spacing w:line="576" w:lineRule="exact"/>
        <w:rPr>
          <w:rFonts w:ascii="方正小标宋_GBK" w:hAnsi="方正小标宋简体" w:eastAsia="方正小标宋_GBK" w:cs="方正小标宋简体"/>
          <w:color w:val="auto"/>
          <w:sz w:val="44"/>
          <w:szCs w:val="44"/>
          <w:highlight w:val="none"/>
          <w:shd w:val="clear" w:color="auto" w:fill="FFFFFF"/>
        </w:rPr>
      </w:pPr>
    </w:p>
    <w:p>
      <w:pPr>
        <w:shd w:val="clear"/>
        <w:spacing w:line="560" w:lineRule="exact"/>
        <w:ind w:firstLine="640" w:firstLineChars="200"/>
        <w:outlineLvl w:val="1"/>
        <w:rPr>
          <w:rFonts w:hint="eastAsia" w:ascii="黑体" w:hAnsi="黑体" w:eastAsia="黑体" w:cs="方正小标宋简体"/>
          <w:color w:val="auto"/>
          <w:sz w:val="32"/>
          <w:szCs w:val="32"/>
          <w:highlight w:val="none"/>
          <w:shd w:val="clear" w:color="auto" w:fill="FFFFFF"/>
        </w:rPr>
      </w:pPr>
      <w:bookmarkStart w:id="509" w:name="_Toc55740458_WPSOffice_Level2"/>
      <w:bookmarkStart w:id="510" w:name="_Toc22912"/>
      <w:bookmarkStart w:id="511" w:name="_Toc1533701499_WPSOffice_Level2"/>
      <w:bookmarkStart w:id="512" w:name="_Toc12414"/>
      <w:r>
        <w:rPr>
          <w:rFonts w:hint="eastAsia" w:ascii="黑体" w:hAnsi="黑体" w:eastAsia="黑体" w:cs="方正小标宋简体"/>
          <w:color w:val="auto"/>
          <w:sz w:val="32"/>
          <w:szCs w:val="32"/>
          <w:highlight w:val="none"/>
          <w:shd w:val="clear" w:color="auto" w:fill="FFFFFF"/>
        </w:rPr>
        <w:t>一、项目概况</w:t>
      </w:r>
      <w:bookmarkEnd w:id="509"/>
      <w:bookmarkEnd w:id="510"/>
      <w:bookmarkEnd w:id="511"/>
      <w:bookmarkEnd w:id="512"/>
    </w:p>
    <w:p>
      <w:pPr>
        <w:shd w:val="clear"/>
        <w:spacing w:line="560"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（一）项目基本情况</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1．项目主管单位在该项目管理中的职能。我单位负责市交通运输局主管工程项目投资估算、概算、预算的审查；负责本辖区交通重点建设项目工程造价的监督检查，参与本地区交通建设工程项目的交工和竣工决算的审查工作；参与本辖区内部、省重点交通建设项目工程造价的监督检查；负责本地区交通建设工程造价信息网和数据库的建立与管理，定期调查、整理、发布本地区的工程材料价格信息和政务信息；协助省交通建设工程造价管理站研究编制交通建设工程、养护工程的计价依据及有关规定，以及开展本地区工程造价人员的业务培训工作。</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2．项目立项、资金申报的依据。根据我单位职能职责，负责完成全市2022年度材料价格信息调查及编制发布工作。故设立交通工程材料价格信息调查及编制项目。</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3．资金及项目管理办法制定情况。我单位财务制度健全，会计核算规范，资金管理和资金使用符合国家财经法规和财务管理制度以及有关专项资金管理办法规定，账务处理及时，会计核算规范，制定了财务管理等内部控制制度。2022年我单位对《广元市公路工程造价管理实施细则》和《广元市交通造价站内部管理办法》进行了修订完善。</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4．资金分配的原则及考虑因素。该项目不存在资金分配，在坚持“专款专用”基础上根据实际工作开展情况据实报销。</w:t>
      </w:r>
    </w:p>
    <w:p>
      <w:pPr>
        <w:shd w:val="clear"/>
        <w:spacing w:line="560"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（二）项目绩效目标</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1．项目主要内容。完成全市2022年度交通工程材料价格信息调查及编制发布工作。</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2．项目应实现的具体绩效目标。年度目标是完成全市2022年度材料价格信息调查及编制发布工作。材料价格信息发布12期，符合市场实际，反应价格变化趋势，明确材料价格市场变化趋势，服务项目参建单位。服务对象满意度为100%。</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3．分析评价申报内容是否与实际相符，申报目标参考往年数据，根据单位实际情况进行申报，合理可行。</w:t>
      </w:r>
    </w:p>
    <w:p>
      <w:pPr>
        <w:shd w:val="clear"/>
        <w:spacing w:line="560"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（三）项目自评步骤及方法</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根据预算绩效管理要求，我单位由综合办牵头，造价科紧密配合，比照《2023年市级专项资金预算项目支出绩效评价指标体系》和年初绩效目标申报，严格执行《广元市市级预算绩效目标管理办法》规定，依据“谁申报、谁自评、谁绩效”的原则，采用成本效益分析法，对该项目产出完成、项目效益、财务管理、满意度等方面进行了认真全面的绩效自评。经自评，项目支出绩效情况良好。</w:t>
      </w:r>
    </w:p>
    <w:p>
      <w:pPr>
        <w:shd w:val="clear"/>
        <w:spacing w:line="560" w:lineRule="exact"/>
        <w:ind w:firstLine="640" w:firstLineChars="200"/>
        <w:outlineLvl w:val="1"/>
        <w:rPr>
          <w:rFonts w:hint="eastAsia" w:ascii="黑体" w:hAnsi="黑体" w:eastAsia="黑体" w:cs="方正小标宋简体"/>
          <w:color w:val="auto"/>
          <w:sz w:val="32"/>
          <w:szCs w:val="32"/>
          <w:highlight w:val="none"/>
          <w:shd w:val="clear" w:color="auto" w:fill="FFFFFF"/>
        </w:rPr>
      </w:pPr>
      <w:bookmarkStart w:id="513" w:name="_Toc1302067160_WPSOffice_Level2"/>
      <w:bookmarkStart w:id="514" w:name="_Toc131176920_WPSOffice_Level2"/>
      <w:bookmarkStart w:id="515" w:name="_Toc10537"/>
      <w:bookmarkStart w:id="516" w:name="_Toc25706"/>
      <w:r>
        <w:rPr>
          <w:rFonts w:hint="eastAsia" w:ascii="黑体" w:hAnsi="黑体" w:eastAsia="黑体" w:cs="方正小标宋简体"/>
          <w:color w:val="auto"/>
          <w:sz w:val="32"/>
          <w:szCs w:val="32"/>
          <w:highlight w:val="none"/>
          <w:shd w:val="clear" w:color="auto" w:fill="FFFFFF"/>
        </w:rPr>
        <w:t>二、项目资金申报及使用情况</w:t>
      </w:r>
      <w:bookmarkEnd w:id="513"/>
      <w:bookmarkEnd w:id="514"/>
      <w:bookmarkEnd w:id="515"/>
      <w:bookmarkEnd w:id="516"/>
    </w:p>
    <w:p>
      <w:pPr>
        <w:shd w:val="clear"/>
        <w:spacing w:line="560"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（一）项目资金申报及批复情况</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2022年，申报交通工程材料价格信息调查及编制费6.81万元，财政部门按申报金额进行了批复。</w:t>
      </w:r>
    </w:p>
    <w:p>
      <w:pPr>
        <w:shd w:val="clear"/>
        <w:spacing w:line="560"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（二）资金计划、到位及使用情况</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1．资金计划。2022年交通工程材料价格信息调查及编制费预算为6.81万元。</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2．资金到位。2022年初市财政局预算批复时全部到位。</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3．资金使用。交通工程材料价格信息调查及编制费年初预算6.81万元，实际支出6.81万元，剩余资金0元，支付进度100%。资金支付严格遵循财政资金支付规定，支付依据合规合法，预算执行率100%。主要用于支付2022年交通工程材料价格信息调查及编制相关的印刷费1.78万元、差旅费2.39万元、劳务费2.48万元、公务出行用车0.17万元。</w:t>
      </w:r>
    </w:p>
    <w:p>
      <w:pPr>
        <w:shd w:val="clear"/>
        <w:spacing w:line="560"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（三）项目财务管理情况</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我单位财务制度健全，会计核算较规范，制定了财务监控和内部控制制度，并在实际工作中严格执行市委市政府、市财政局及市交通运输局相关制度，资金管理和资金使用符合国家财经法规和财务管理制度以及有关专项资金管理办法的规定。</w:t>
      </w:r>
    </w:p>
    <w:p>
      <w:pPr>
        <w:shd w:val="clear"/>
        <w:spacing w:line="560" w:lineRule="exact"/>
        <w:ind w:firstLine="640" w:firstLineChars="200"/>
        <w:outlineLvl w:val="1"/>
        <w:rPr>
          <w:rFonts w:hint="eastAsia" w:ascii="黑体" w:hAnsi="黑体" w:eastAsia="黑体" w:cs="方正小标宋简体"/>
          <w:color w:val="auto"/>
          <w:sz w:val="32"/>
          <w:szCs w:val="32"/>
          <w:highlight w:val="none"/>
          <w:shd w:val="clear" w:color="auto" w:fill="FFFFFF"/>
        </w:rPr>
      </w:pPr>
      <w:bookmarkStart w:id="517" w:name="_Toc671260402_WPSOffice_Level2"/>
      <w:bookmarkStart w:id="518" w:name="_Toc26912"/>
      <w:bookmarkStart w:id="519" w:name="_Toc6032"/>
      <w:bookmarkStart w:id="520" w:name="_Toc975000500_WPSOffice_Level2"/>
      <w:r>
        <w:rPr>
          <w:rFonts w:hint="eastAsia" w:ascii="黑体" w:hAnsi="黑体" w:eastAsia="黑体" w:cs="方正小标宋简体"/>
          <w:color w:val="auto"/>
          <w:sz w:val="32"/>
          <w:szCs w:val="32"/>
          <w:highlight w:val="none"/>
          <w:shd w:val="clear" w:color="auto" w:fill="FFFFFF"/>
        </w:rPr>
        <w:t>三、项目实施及管理情况</w:t>
      </w:r>
      <w:bookmarkEnd w:id="517"/>
      <w:bookmarkEnd w:id="518"/>
      <w:bookmarkEnd w:id="519"/>
      <w:bookmarkEnd w:id="520"/>
    </w:p>
    <w:p>
      <w:pPr>
        <w:shd w:val="clear"/>
        <w:spacing w:line="560"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（一）项目组织架构及实施流程</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2022年，我单位通过财政审批后设立交通工程材料价格信息调查及编制费项目，由造价科对交通工程材料价格信息调查及编制费的支出提出意见，经领导审核或集体决策后由综合办（财务室）支付款项，确保了全年交通造价管理工作运行正常。</w:t>
      </w:r>
    </w:p>
    <w:p>
      <w:pPr>
        <w:shd w:val="clear"/>
        <w:spacing w:line="560"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（二）项目管理情况</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该项目经费主要用于全市2022年度材料价格信息调查及编制发布工作相关开支，严格执行市财政局和市交通运输局的有关规定。</w:t>
      </w:r>
    </w:p>
    <w:p>
      <w:pPr>
        <w:shd w:val="clear"/>
        <w:spacing w:line="560"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（三）项目监管情况</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为确保项目有序实施，我单位严格按照相关法律法规和程序，对项目进行全过程、全方位的监督管理。</w:t>
      </w:r>
    </w:p>
    <w:p>
      <w:pPr>
        <w:shd w:val="clear"/>
        <w:spacing w:line="560" w:lineRule="exact"/>
        <w:ind w:firstLine="640" w:firstLineChars="200"/>
        <w:outlineLvl w:val="1"/>
        <w:rPr>
          <w:rFonts w:hint="eastAsia" w:ascii="黑体" w:hAnsi="黑体" w:eastAsia="黑体" w:cs="方正小标宋简体"/>
          <w:color w:val="auto"/>
          <w:sz w:val="32"/>
          <w:szCs w:val="32"/>
          <w:highlight w:val="none"/>
          <w:shd w:val="clear" w:color="auto" w:fill="FFFFFF"/>
        </w:rPr>
      </w:pPr>
      <w:bookmarkStart w:id="521" w:name="_Toc1661915569_WPSOffice_Level2"/>
      <w:bookmarkStart w:id="522" w:name="_Toc456653967_WPSOffice_Level2"/>
      <w:bookmarkStart w:id="523" w:name="_Toc16260"/>
      <w:bookmarkStart w:id="524" w:name="_Toc2722"/>
      <w:r>
        <w:rPr>
          <w:rFonts w:hint="eastAsia" w:ascii="黑体" w:hAnsi="黑体" w:eastAsia="黑体" w:cs="方正小标宋简体"/>
          <w:color w:val="auto"/>
          <w:sz w:val="32"/>
          <w:szCs w:val="32"/>
          <w:highlight w:val="none"/>
          <w:shd w:val="clear" w:color="auto" w:fill="FFFFFF"/>
        </w:rPr>
        <w:t>四、项目绩效情况</w:t>
      </w:r>
      <w:bookmarkEnd w:id="521"/>
      <w:bookmarkEnd w:id="522"/>
      <w:bookmarkEnd w:id="523"/>
      <w:bookmarkEnd w:id="524"/>
      <w:r>
        <w:rPr>
          <w:rFonts w:hint="eastAsia" w:ascii="黑体" w:hAnsi="黑体" w:eastAsia="黑体" w:cs="方正小标宋简体"/>
          <w:color w:val="auto"/>
          <w:sz w:val="32"/>
          <w:szCs w:val="32"/>
          <w:highlight w:val="none"/>
          <w:shd w:val="clear" w:color="auto" w:fill="FFFFFF"/>
        </w:rPr>
        <w:tab/>
      </w:r>
    </w:p>
    <w:p>
      <w:pPr>
        <w:shd w:val="clear"/>
        <w:spacing w:line="560"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（一）项目完成情况</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本年度共编发《广元市交通工程材料价格信息》12期，向省站报送《广元市水工主要建材价格信息表》和《外购及地材季度材价信息表》各4期，为合理确定工程造价、完善交通造价宏观控制奠定了坚实基础。全年累计完成78个工程项目的概、预算、设计变更及工程量清单审查，送审总金额达225.94亿元，审减了4.70亿元，审减率为2.08%，有效控制了交通工程造价，节约了交通建设成本。调查发布的材料价格信息及时准确，严格控制了工程造价，社会使用对象对价格确认合理无异议。</w:t>
      </w:r>
    </w:p>
    <w:p>
      <w:pPr>
        <w:shd w:val="clear"/>
        <w:spacing w:line="560"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（二）项目效益情况</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2022年全年材料价格信息发布12期，符合市场实际，反应价格变化趋势，服务项目参建单位，服务对象满意度高。</w:t>
      </w:r>
    </w:p>
    <w:p>
      <w:pPr>
        <w:shd w:val="clear"/>
        <w:spacing w:line="560" w:lineRule="exact"/>
        <w:ind w:firstLine="640" w:firstLineChars="200"/>
        <w:outlineLvl w:val="1"/>
        <w:rPr>
          <w:rFonts w:hint="eastAsia" w:ascii="黑体" w:hAnsi="黑体" w:eastAsia="黑体" w:cs="方正小标宋简体"/>
          <w:color w:val="auto"/>
          <w:sz w:val="32"/>
          <w:szCs w:val="32"/>
          <w:highlight w:val="none"/>
          <w:shd w:val="clear" w:color="auto" w:fill="FFFFFF"/>
        </w:rPr>
      </w:pPr>
      <w:bookmarkStart w:id="525" w:name="_Toc13138"/>
      <w:bookmarkStart w:id="526" w:name="_Toc1112108946_WPSOffice_Level2"/>
      <w:bookmarkStart w:id="527" w:name="_Toc1674094150_WPSOffice_Level2"/>
      <w:bookmarkStart w:id="528" w:name="_Toc31979"/>
      <w:r>
        <w:rPr>
          <w:rFonts w:hint="eastAsia" w:ascii="黑体" w:hAnsi="黑体" w:eastAsia="黑体" w:cs="方正小标宋简体"/>
          <w:color w:val="auto"/>
          <w:sz w:val="32"/>
          <w:szCs w:val="32"/>
          <w:highlight w:val="none"/>
          <w:shd w:val="clear" w:color="auto" w:fill="FFFFFF"/>
        </w:rPr>
        <w:t>五、评价结论及建议</w:t>
      </w:r>
      <w:bookmarkEnd w:id="525"/>
      <w:bookmarkEnd w:id="526"/>
      <w:bookmarkEnd w:id="527"/>
      <w:bookmarkEnd w:id="528"/>
    </w:p>
    <w:p>
      <w:pPr>
        <w:shd w:val="clear"/>
        <w:spacing w:line="560"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（一）评价结论</w:t>
      </w:r>
    </w:p>
    <w:p>
      <w:pPr>
        <w:shd w:val="clear"/>
        <w:spacing w:line="560" w:lineRule="exact"/>
        <w:ind w:firstLine="640" w:firstLineChars="200"/>
        <w:rPr>
          <w:rFonts w:hint="eastAsia" w:ascii="仿宋_GB2312" w:hAnsi="方正小标宋简体" w:eastAsia="仿宋_GB2312" w:cs="方正小标宋简体"/>
          <w:color w:val="auto"/>
          <w:sz w:val="32"/>
          <w:szCs w:val="32"/>
          <w:highlight w:val="none"/>
          <w:shd w:val="clear" w:color="auto" w:fill="FFFFFF"/>
        </w:rPr>
      </w:pPr>
      <w:r>
        <w:rPr>
          <w:rFonts w:hint="eastAsia" w:ascii="仿宋_GB2312" w:hAnsi="方正小标宋简体" w:eastAsia="仿宋_GB2312" w:cs="方正小标宋简体"/>
          <w:color w:val="auto"/>
          <w:sz w:val="32"/>
          <w:szCs w:val="32"/>
          <w:highlight w:val="none"/>
          <w:shd w:val="clear" w:color="auto" w:fill="FFFFFF"/>
        </w:rPr>
        <w:t>该项目规划科学，决策依据充分，程序合法合规、资金到位及时拨付规范。项目支出绩效自评得分100分。</w:t>
      </w:r>
    </w:p>
    <w:p>
      <w:pPr>
        <w:shd w:val="clear"/>
        <w:spacing w:line="560" w:lineRule="exact"/>
        <w:ind w:firstLine="640" w:firstLineChars="200"/>
        <w:rPr>
          <w:rFonts w:hint="eastAsia" w:ascii="楷体_GB2312" w:hAnsi="方正小标宋简体" w:eastAsia="楷体_GB2312" w:cs="方正小标宋简体"/>
          <w:color w:val="auto"/>
          <w:sz w:val="32"/>
          <w:szCs w:val="32"/>
          <w:highlight w:val="none"/>
          <w:shd w:val="clear" w:color="auto" w:fill="FFFFFF"/>
        </w:rPr>
      </w:pPr>
      <w:r>
        <w:rPr>
          <w:rFonts w:hint="eastAsia" w:ascii="楷体_GB2312" w:hAnsi="方正小标宋简体" w:eastAsia="楷体_GB2312" w:cs="方正小标宋简体"/>
          <w:color w:val="auto"/>
          <w:sz w:val="32"/>
          <w:szCs w:val="32"/>
          <w:highlight w:val="none"/>
          <w:shd w:val="clear" w:color="auto" w:fill="FFFFFF"/>
        </w:rPr>
        <w:t>（二）存在的问及建议</w:t>
      </w:r>
    </w:p>
    <w:p>
      <w:pPr>
        <w:shd w:val="clear"/>
        <w:rPr>
          <w:rFonts w:hint="eastAsia" w:hAnsi="宋体" w:cs="宋体"/>
          <w:color w:val="auto"/>
          <w:kern w:val="0"/>
          <w:sz w:val="32"/>
          <w:szCs w:val="32"/>
          <w:highlight w:val="none"/>
          <w:shd w:val="clear" w:color="auto" w:fill="FFFFFF"/>
          <w:lang w:val="en-US" w:eastAsia="zh-CN"/>
        </w:rPr>
      </w:pPr>
      <w:r>
        <w:rPr>
          <w:rFonts w:hint="eastAsia" w:ascii="仿宋_GB2312" w:hAnsi="方正小标宋简体" w:eastAsia="仿宋_GB2312" w:cs="方正小标宋简体"/>
          <w:color w:val="auto"/>
          <w:sz w:val="32"/>
          <w:szCs w:val="32"/>
          <w:highlight w:val="none"/>
          <w:shd w:val="clear" w:color="auto" w:fill="FFFFFF"/>
        </w:rPr>
        <w:t>根据省交通厅造价站和市交通运输局的要求及实际工作需要，我单位近两年来工作内容不断增加，为强化全过程造价监督管理、加强交通计价依据研究，需要与专业人员合作进行大量现场调研，现有经费难以保证工作正常开展。建议提高我站交通工程材料价格信息调查及编制费预算金额。</w:t>
      </w: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shd w:val="clea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附件22：</w:t>
      </w:r>
    </w:p>
    <w:p>
      <w:pPr>
        <w:shd w:val="clear"/>
        <w:spacing w:line="600" w:lineRule="exact"/>
        <w:jc w:val="center"/>
        <w:outlineLvl w:val="1"/>
        <w:rPr>
          <w:rFonts w:hint="eastAsia" w:ascii="方正小标宋_GBK" w:hAnsi="方正小标宋_GBK" w:eastAsia="方正小标宋_GBK" w:cs="方正小标宋_GBK"/>
          <w:bCs/>
          <w:color w:val="auto"/>
          <w:sz w:val="44"/>
          <w:szCs w:val="44"/>
          <w:highlight w:val="none"/>
        </w:rPr>
      </w:pPr>
      <w:bookmarkStart w:id="529" w:name="_Toc14514"/>
      <w:bookmarkStart w:id="530" w:name="_Toc32061"/>
      <w:r>
        <w:rPr>
          <w:rFonts w:hint="eastAsia" w:ascii="方正小标宋_GBK" w:hAnsi="方正小标宋_GBK" w:eastAsia="方正小标宋_GBK" w:cs="方正小标宋_GBK"/>
          <w:bCs/>
          <w:color w:val="auto"/>
          <w:sz w:val="44"/>
          <w:szCs w:val="44"/>
          <w:highlight w:val="none"/>
        </w:rPr>
        <w:t>广元市交通建设工程造价管理站</w:t>
      </w:r>
      <w:bookmarkEnd w:id="529"/>
      <w:bookmarkEnd w:id="530"/>
    </w:p>
    <w:p>
      <w:pPr>
        <w:widowControl w:val="0"/>
        <w:shd w:val="clear"/>
        <w:spacing w:line="600" w:lineRule="exact"/>
        <w:jc w:val="center"/>
        <w:rPr>
          <w:rFonts w:hint="eastAsia" w:ascii="方正小标宋_GBK" w:hAnsi="黑体" w:eastAsia="方正小标宋_GBK" w:cs="黑体"/>
          <w:color w:val="auto"/>
          <w:kern w:val="2"/>
          <w:sz w:val="44"/>
          <w:szCs w:val="44"/>
          <w:highlight w:val="none"/>
          <w:lang w:val="en-US" w:eastAsia="zh-CN" w:bidi="ar-SA"/>
        </w:rPr>
      </w:pPr>
      <w:r>
        <w:rPr>
          <w:rFonts w:hint="eastAsia" w:ascii="方正小标宋_GBK" w:hAnsi="黑体" w:eastAsia="方正小标宋_GBK" w:cs="黑体"/>
          <w:color w:val="auto"/>
          <w:kern w:val="2"/>
          <w:sz w:val="44"/>
          <w:szCs w:val="44"/>
          <w:highlight w:val="none"/>
          <w:lang w:val="en-US" w:eastAsia="zh-CN" w:bidi="ar-SA"/>
        </w:rPr>
        <w:t>关于省级2021年结转交通专项资金项目</w:t>
      </w:r>
    </w:p>
    <w:p>
      <w:pPr>
        <w:widowControl w:val="0"/>
        <w:shd w:val="clear"/>
        <w:spacing w:line="600" w:lineRule="exact"/>
        <w:jc w:val="center"/>
        <w:rPr>
          <w:rFonts w:ascii="方正小标宋_GBK" w:hAnsi="黑体" w:eastAsia="方正小标宋_GBK" w:cs="黑体"/>
          <w:color w:val="auto"/>
          <w:kern w:val="2"/>
          <w:sz w:val="44"/>
          <w:szCs w:val="44"/>
          <w:highlight w:val="none"/>
          <w:lang w:val="en-US" w:eastAsia="zh-CN" w:bidi="ar-SA"/>
        </w:rPr>
      </w:pPr>
      <w:r>
        <w:rPr>
          <w:rFonts w:hint="eastAsia" w:ascii="方正小标宋_GBK" w:hAnsi="黑体" w:eastAsia="方正小标宋_GBK" w:cs="黑体"/>
          <w:color w:val="auto"/>
          <w:kern w:val="2"/>
          <w:sz w:val="44"/>
          <w:szCs w:val="44"/>
          <w:highlight w:val="none"/>
          <w:lang w:val="en-US" w:eastAsia="zh-CN" w:bidi="ar-SA"/>
        </w:rPr>
        <w:t>支出绩效自评的报告</w:t>
      </w:r>
    </w:p>
    <w:p>
      <w:pPr>
        <w:shd w:val="clear"/>
        <w:spacing w:line="570" w:lineRule="exact"/>
        <w:ind w:firstLine="640" w:firstLineChars="200"/>
        <w:outlineLvl w:val="1"/>
        <w:rPr>
          <w:rFonts w:hint="eastAsia" w:ascii="黑体" w:hAnsi="黑体" w:eastAsia="黑体" w:cs="Times New Roman"/>
          <w:color w:val="auto"/>
          <w:sz w:val="32"/>
          <w:szCs w:val="32"/>
          <w:highlight w:val="none"/>
        </w:rPr>
      </w:pPr>
      <w:bookmarkStart w:id="531" w:name="_Toc49153944_WPSOffice_Level2"/>
      <w:bookmarkStart w:id="532" w:name="_Toc845045821_WPSOffice_Level2"/>
      <w:bookmarkStart w:id="533" w:name="_Toc18522"/>
      <w:bookmarkStart w:id="534" w:name="_Toc13945"/>
      <w:r>
        <w:rPr>
          <w:rFonts w:hint="eastAsia" w:ascii="黑体" w:hAnsi="黑体" w:eastAsia="黑体" w:cs="Times New Roman"/>
          <w:color w:val="auto"/>
          <w:sz w:val="32"/>
          <w:szCs w:val="32"/>
          <w:highlight w:val="none"/>
        </w:rPr>
        <w:t>一、项目概况</w:t>
      </w:r>
      <w:bookmarkEnd w:id="531"/>
      <w:bookmarkEnd w:id="532"/>
      <w:bookmarkEnd w:id="533"/>
      <w:bookmarkEnd w:id="534"/>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（一）项目基本情况</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项目主管单位的职能。我单位负责市交通运输局主管工程项目投资估算、概算、预算的审查；负责本辖区交通重点建设项目工程造价的监督检查，参与本地区交通建设工程项目的交工和竣工决算的审查工作；参与本辖区内部、省重点交通建设项目工程造价的监督检查；负责本地区交通建设工程造价信息网和数据库的建立与管理，定期调查、整理、发布本地区的工程材料价格信息和政务信息；协助省交通建设工程造价管理站研究编制交通基建设工程、养护工程的计价依据及有关规定，以及开展本地区工程造价人员的业务培训工作。</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项目立项、资金申报的依据。近年来，我市汛期暴雨偏多，降雨量偏大，冲毁道路及边坡情况较多，影响老百姓正常出行，威胁人民生命财产安全。按照市委市政府安排部署，各县区对道路恢复，边坡整治需求较高，水毁项目时间紧、任务重、工作量估算不准确导致项目立项、实施、结算存在困难。根据单位职能职责，我单位承担全市交通建设项目造价审查工作，人员少，任务重，按照《国务院关于印发扎实稳住经济一揽子政策措施的通知》（国发〔2022〕12号）精神，参照绵阳市、成都市做法，通过购买造价第三方服务，提高应急项目造价编制效率，加强造价过程监督，具有明显的社会、经济价值。</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3．资金及项目管理办法制定情况。我单位财务制度健全，会计核算规范，资金管理和资金使用符合国家财经法规和财务管理制度以及有关专项资金管理办法规定，账务处理及时，会计核算规范，制定了财务管理等内部控制制度。2022年我单位对《广元市公路工程造价管理实施细则》和《广元市交通造价站内部管理办法》进行了修订完善。</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4．资金分配的原则及考虑因素。该项目不存在资金分配，在坚持“专款专用”基础上根据实际工作开展情况据实报销。</w:t>
      </w:r>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（二）项目绩效目标</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1．项目主要内容。完成全市水毁项目的审查，提高应急项目造价编制效率，加强造价过程监督。</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2．项目应实现的具体绩效目标。完成3个以上水毁项目审查工作，审查水毁项目及新增水毁项目的审减率大于等于2%，审减水毁项目金额大于1%。</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3．分析评价申报内容是否与实际相符。该项目的申报目标参考往年数据，根据2022年实际情况进行申报，合理可行。</w:t>
      </w:r>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（三）项目自评步骤及方法</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根据预算绩效管理要求，我单位由综合办牵头，造价管理科紧密配合，比照《2023年市级专项资金预算项目支出绩效评价指标体系》和年初绩效目标申报，严格执行《广元市市级预算绩效目标管理办法》规定，依据“谁申报、谁自评、谁绩效”的原则，采用成本效益分析法，对该项目产出完成、项目效益、财务管理、满意度等方面进行了认真全面的绩效自评。经自评，项目支出绩效情况良好。</w:t>
      </w:r>
    </w:p>
    <w:p>
      <w:pPr>
        <w:shd w:val="clear"/>
        <w:spacing w:line="570" w:lineRule="exact"/>
        <w:ind w:firstLine="640" w:firstLineChars="200"/>
        <w:outlineLvl w:val="1"/>
        <w:rPr>
          <w:rFonts w:hint="eastAsia" w:ascii="黑体" w:hAnsi="黑体" w:eastAsia="黑体" w:cs="Times New Roman"/>
          <w:color w:val="auto"/>
          <w:sz w:val="32"/>
          <w:szCs w:val="32"/>
          <w:highlight w:val="none"/>
        </w:rPr>
      </w:pPr>
      <w:bookmarkStart w:id="535" w:name="_Toc1657699453_WPSOffice_Level2"/>
      <w:bookmarkStart w:id="536" w:name="_Toc1478065225_WPSOffice_Level2"/>
      <w:bookmarkStart w:id="537" w:name="_Toc13205"/>
      <w:bookmarkStart w:id="538" w:name="_Toc23808"/>
      <w:r>
        <w:rPr>
          <w:rFonts w:hint="eastAsia" w:ascii="黑体" w:hAnsi="黑体" w:eastAsia="黑体" w:cs="Times New Roman"/>
          <w:color w:val="auto"/>
          <w:sz w:val="32"/>
          <w:szCs w:val="32"/>
          <w:highlight w:val="none"/>
        </w:rPr>
        <w:t>二、项目资金申报及使用情况</w:t>
      </w:r>
      <w:bookmarkEnd w:id="535"/>
      <w:bookmarkEnd w:id="536"/>
      <w:bookmarkEnd w:id="537"/>
      <w:bookmarkEnd w:id="538"/>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（一）项目资金申报及批复情况</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2022年，申报省级2021年结转交通专项资金经费20万元，财政部门按申报金额进行了批复。</w:t>
      </w:r>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（二）资金计划、到位及使用情况</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1．资金计划。该项目资金预算为20万元。</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2．资金到位。到位资金与计划一致。</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3．资金使用。省级2021年结转交通专项资金预算20万元，实际支出20万元，剩余资金0元，支付进度100%。资金支付严格遵循财政资金支付规定，支付依据合规合法，预算执行率100%。主要用于支付公路水路灾毁项目造价核查三方服务咨询费19万元，项目相关的管理费（差旅费等）1万元。</w:t>
      </w:r>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（三）项目财务管理情况</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我单位财务制度健全，会计核算较规范，制定了财务监控和内部控制制度，并在实际工作中严格执行市委市政府、市财政局及市交通运输局相关制度，资金管理和资金使用符合国家财经法规和财务管理制度以及有关专项资金管理办法的规定。</w:t>
      </w:r>
    </w:p>
    <w:p>
      <w:pPr>
        <w:shd w:val="clear"/>
        <w:spacing w:line="570" w:lineRule="exact"/>
        <w:ind w:firstLine="640" w:firstLineChars="200"/>
        <w:outlineLvl w:val="1"/>
        <w:rPr>
          <w:rFonts w:hint="eastAsia" w:ascii="黑体" w:hAnsi="黑体" w:eastAsia="黑体" w:cs="Times New Roman"/>
          <w:color w:val="auto"/>
          <w:sz w:val="32"/>
          <w:szCs w:val="32"/>
          <w:highlight w:val="none"/>
        </w:rPr>
      </w:pPr>
      <w:bookmarkStart w:id="539" w:name="_Toc747365912_WPSOffice_Level2"/>
      <w:bookmarkStart w:id="540" w:name="_Toc291808631_WPSOffice_Level2"/>
      <w:bookmarkStart w:id="541" w:name="_Toc14779"/>
      <w:bookmarkStart w:id="542" w:name="_Toc27943"/>
      <w:r>
        <w:rPr>
          <w:rFonts w:hint="eastAsia" w:ascii="黑体" w:hAnsi="黑体" w:eastAsia="黑体" w:cs="Times New Roman"/>
          <w:color w:val="auto"/>
          <w:sz w:val="32"/>
          <w:szCs w:val="32"/>
          <w:highlight w:val="none"/>
        </w:rPr>
        <w:t>三、项目实施及管理情况</w:t>
      </w:r>
      <w:bookmarkEnd w:id="539"/>
      <w:bookmarkEnd w:id="540"/>
      <w:bookmarkEnd w:id="541"/>
      <w:bookmarkEnd w:id="542"/>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（一）项目组织架构及实施流程</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2022年，我单位通过财政审批后设立省级2021年结转交通专项资金项目，由造价管理科对省级2021年结转交通专项资金的支出提出意见，经领导审核或集体决策后由综合办（财务室）支付款项，确保了全年交通造价管理工作运行正常。</w:t>
      </w:r>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（二）项目管理情况</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该项目经费主要用于全市2022年度水毁项目造价审查工作相关开支，严格执行市财政局和市交通运输局的有关规定。</w:t>
      </w:r>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（三）项目监管情况</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为确保项目有序实施，我单位严格按照相关法律法规和程序，对项目进行全过程、全方位的监督管理。</w:t>
      </w:r>
    </w:p>
    <w:p>
      <w:pPr>
        <w:shd w:val="clear"/>
        <w:spacing w:line="570" w:lineRule="exact"/>
        <w:ind w:firstLine="640" w:firstLineChars="200"/>
        <w:outlineLvl w:val="1"/>
        <w:rPr>
          <w:rFonts w:hint="eastAsia" w:ascii="黑体" w:hAnsi="黑体" w:eastAsia="黑体" w:cs="Times New Roman"/>
          <w:color w:val="auto"/>
          <w:sz w:val="32"/>
          <w:szCs w:val="32"/>
          <w:highlight w:val="none"/>
        </w:rPr>
      </w:pPr>
      <w:bookmarkStart w:id="543" w:name="_Toc1282590358_WPSOffice_Level2"/>
      <w:bookmarkStart w:id="544" w:name="_Toc1130179048_WPSOffice_Level2"/>
      <w:bookmarkStart w:id="545" w:name="_Toc19572"/>
      <w:bookmarkStart w:id="546" w:name="_Toc556"/>
      <w:r>
        <w:rPr>
          <w:rFonts w:hint="eastAsia" w:ascii="黑体" w:hAnsi="黑体" w:eastAsia="黑体" w:cs="Times New Roman"/>
          <w:color w:val="auto"/>
          <w:sz w:val="32"/>
          <w:szCs w:val="32"/>
          <w:highlight w:val="none"/>
        </w:rPr>
        <w:t>四、项目绩效情况</w:t>
      </w:r>
      <w:bookmarkEnd w:id="543"/>
      <w:bookmarkEnd w:id="544"/>
      <w:bookmarkEnd w:id="545"/>
      <w:bookmarkEnd w:id="546"/>
      <w:r>
        <w:rPr>
          <w:rFonts w:hint="eastAsia" w:ascii="黑体" w:hAnsi="黑体" w:eastAsia="黑体" w:cs="Times New Roman"/>
          <w:color w:val="auto"/>
          <w:sz w:val="32"/>
          <w:szCs w:val="32"/>
          <w:highlight w:val="none"/>
        </w:rPr>
        <w:tab/>
      </w:r>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（一）项目完成情况</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2022年度，我单位委托第三方公司审查水毁项目共3个，送审金额18370.06万元，审减金额668.4万元，审减率3.64%，审查时限均小于10天，准确高效完成造价审核任务，极大节约了政府财政资金。</w:t>
      </w:r>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（二）项目效益情况</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经济效益超过预期目标，审减率为3.64%，有效控制了交通工程造价，节约了交通建设成本。</w:t>
      </w:r>
    </w:p>
    <w:p>
      <w:pPr>
        <w:shd w:val="clear"/>
        <w:spacing w:line="570" w:lineRule="exact"/>
        <w:ind w:firstLine="640" w:firstLineChars="200"/>
        <w:outlineLvl w:val="1"/>
        <w:rPr>
          <w:rFonts w:hint="eastAsia" w:ascii="黑体" w:hAnsi="黑体" w:eastAsia="黑体" w:cs="Times New Roman"/>
          <w:color w:val="auto"/>
          <w:sz w:val="32"/>
          <w:szCs w:val="32"/>
          <w:highlight w:val="none"/>
        </w:rPr>
      </w:pPr>
      <w:bookmarkStart w:id="547" w:name="_Toc135051548_WPSOffice_Level2"/>
      <w:bookmarkStart w:id="548" w:name="_Toc3315869_WPSOffice_Level2"/>
      <w:bookmarkStart w:id="549" w:name="_Toc28347"/>
      <w:bookmarkStart w:id="550" w:name="_Toc16541"/>
      <w:r>
        <w:rPr>
          <w:rFonts w:hint="eastAsia" w:ascii="黑体" w:hAnsi="黑体" w:eastAsia="黑体" w:cs="Times New Roman"/>
          <w:color w:val="auto"/>
          <w:sz w:val="32"/>
          <w:szCs w:val="32"/>
          <w:highlight w:val="none"/>
        </w:rPr>
        <w:t>五、评价结论及建议</w:t>
      </w:r>
      <w:bookmarkEnd w:id="547"/>
      <w:bookmarkEnd w:id="548"/>
      <w:bookmarkEnd w:id="549"/>
      <w:bookmarkEnd w:id="550"/>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（一）评价结论</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该项目规划科学，决策依据充分，程序合法合规、资金到位及时拨付规范。项目支出绩效自评得分100分。</w:t>
      </w:r>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（二）存在的问题</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根据省交通厅造价站和市交通运输局的要求及实际工作需要，我单位近两年来工作内容不断增加，为强化全过程造价监督管理、加强交通计价依据研究，需要与专业人员合作进行大量现场调研，现有经费难以保证工作正常开展。</w:t>
      </w:r>
    </w:p>
    <w:p>
      <w:pPr>
        <w:shd w:val="clear"/>
        <w:spacing w:line="570" w:lineRule="exact"/>
        <w:ind w:firstLine="640" w:firstLineChars="200"/>
        <w:rPr>
          <w:rFonts w:hint="eastAsia" w:ascii="楷体_GB2312" w:hAnsi="Times New Roman" w:eastAsia="楷体_GB2312" w:cs="Times New Roman"/>
          <w:color w:val="auto"/>
          <w:sz w:val="32"/>
          <w:szCs w:val="32"/>
          <w:highlight w:val="none"/>
        </w:rPr>
      </w:pPr>
      <w:r>
        <w:rPr>
          <w:rFonts w:hint="eastAsia" w:ascii="楷体_GB2312" w:hAnsi="Times New Roman" w:eastAsia="楷体_GB2312" w:cs="Times New Roman"/>
          <w:color w:val="auto"/>
          <w:sz w:val="32"/>
          <w:szCs w:val="32"/>
          <w:highlight w:val="none"/>
        </w:rPr>
        <w:t>（三）相关建议</w:t>
      </w:r>
    </w:p>
    <w:p>
      <w:pPr>
        <w:shd w:val="clear"/>
        <w:spacing w:line="57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建议将水毁项目审查资金作为单位常规项目给予资金支持。</w:t>
      </w: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pStyle w:val="38"/>
        <w:pageBreakBefore w:val="0"/>
        <w:widowControl w:val="0"/>
        <w:shd w:val="clear"/>
        <w:kinsoku/>
        <w:wordWrap/>
        <w:overflowPunct/>
        <w:topLinePunct w:val="0"/>
        <w:autoSpaceDN/>
        <w:bidi w:val="0"/>
        <w:spacing w:line="576" w:lineRule="exact"/>
        <w:jc w:val="left"/>
        <w:textAlignment w:val="auto"/>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附件23：</w:t>
      </w:r>
    </w:p>
    <w:p>
      <w:pPr>
        <w:pStyle w:val="38"/>
        <w:pageBreakBefore w:val="0"/>
        <w:widowControl w:val="0"/>
        <w:shd w:val="clear"/>
        <w:kinsoku/>
        <w:wordWrap/>
        <w:overflowPunct/>
        <w:topLinePunct w:val="0"/>
        <w:autoSpaceDN/>
        <w:bidi w:val="0"/>
        <w:spacing w:line="576" w:lineRule="exact"/>
        <w:jc w:val="center"/>
        <w:textAlignment w:val="auto"/>
        <w:outlineLvl w:val="1"/>
        <w:rPr>
          <w:rFonts w:hint="eastAsia" w:ascii="方正小标宋_GBK" w:hAnsi="方正小标宋_GBK" w:eastAsia="方正小标宋_GBK" w:cs="方正小标宋_GBK"/>
          <w:color w:val="auto"/>
          <w:kern w:val="2"/>
          <w:sz w:val="44"/>
          <w:szCs w:val="44"/>
          <w:highlight w:val="none"/>
          <w:lang w:val="en-US"/>
        </w:rPr>
      </w:pPr>
      <w:bookmarkStart w:id="551" w:name="_Toc23232"/>
      <w:bookmarkStart w:id="552" w:name="_Toc25339"/>
      <w:r>
        <w:rPr>
          <w:rFonts w:hint="eastAsia" w:ascii="方正小标宋_GBK" w:hAnsi="方正小标宋_GBK" w:eastAsia="方正小标宋_GBK" w:cs="方正小标宋_GBK"/>
          <w:color w:val="auto"/>
          <w:kern w:val="2"/>
          <w:sz w:val="44"/>
          <w:szCs w:val="44"/>
          <w:highlight w:val="none"/>
          <w:lang w:val="en-US"/>
        </w:rPr>
        <w:t>广元市交通运输指挥中心</w:t>
      </w:r>
      <w:bookmarkEnd w:id="551"/>
      <w:bookmarkEnd w:id="552"/>
    </w:p>
    <w:p>
      <w:pPr>
        <w:pageBreakBefore w:val="0"/>
        <w:widowControl w:val="0"/>
        <w:shd w:val="clear"/>
        <w:kinsoku/>
        <w:wordWrap/>
        <w:overflowPunct/>
        <w:topLinePunct w:val="0"/>
        <w:autoSpaceDN/>
        <w:bidi w:val="0"/>
        <w:spacing w:line="576" w:lineRule="exact"/>
        <w:jc w:val="center"/>
        <w:textAlignment w:val="auto"/>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2022年省级2021年结转交通专项资金项目</w:t>
      </w:r>
    </w:p>
    <w:p>
      <w:pPr>
        <w:pageBreakBefore w:val="0"/>
        <w:widowControl w:val="0"/>
        <w:shd w:val="clear"/>
        <w:kinsoku/>
        <w:wordWrap/>
        <w:overflowPunct/>
        <w:topLinePunct w:val="0"/>
        <w:autoSpaceDN/>
        <w:bidi w:val="0"/>
        <w:spacing w:line="576" w:lineRule="exact"/>
        <w:jc w:val="center"/>
        <w:textAlignment w:val="auto"/>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支出绩效自评报告</w:t>
      </w:r>
    </w:p>
    <w:p>
      <w:pPr>
        <w:pageBreakBefore w:val="0"/>
        <w:widowControl w:val="0"/>
        <w:shd w:val="clear"/>
        <w:kinsoku/>
        <w:wordWrap/>
        <w:overflowPunct/>
        <w:topLinePunct w:val="0"/>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outlineLvl w:val="1"/>
        <w:rPr>
          <w:rFonts w:ascii="黑体" w:hAnsi="宋体" w:eastAsia="黑体" w:cs="Times New Roman"/>
          <w:color w:val="auto"/>
          <w:sz w:val="32"/>
          <w:szCs w:val="32"/>
          <w:highlight w:val="none"/>
          <w:lang w:val="zh-CN"/>
        </w:rPr>
      </w:pPr>
      <w:bookmarkStart w:id="553" w:name="_Toc1271621713_WPSOffice_Level2"/>
      <w:bookmarkStart w:id="554" w:name="_Toc1140668733_WPSOffice_Level2"/>
      <w:bookmarkStart w:id="555" w:name="_Toc14234"/>
      <w:bookmarkStart w:id="556" w:name="_Toc8257"/>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553"/>
      <w:bookmarkEnd w:id="554"/>
      <w:bookmarkEnd w:id="555"/>
      <w:bookmarkEnd w:id="556"/>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（一）项目基本情况</w:t>
      </w:r>
    </w:p>
    <w:p>
      <w:pPr>
        <w:pageBreakBefore w:val="0"/>
        <w:widowControl w:val="0"/>
        <w:shd w:val="clear"/>
        <w:kinsoku/>
        <w:wordWrap/>
        <w:overflowPunct/>
        <w:topLinePunct w:val="0"/>
        <w:autoSpaceDN/>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w:t>
      </w:r>
      <w:r>
        <w:rPr>
          <w:rFonts w:hint="eastAsia" w:ascii="仿宋_GB2312" w:hAnsi="Times New Roman" w:eastAsia="仿宋_GB2312" w:cs="仿宋_GB2312"/>
          <w:color w:val="auto"/>
          <w:kern w:val="0"/>
          <w:sz w:val="32"/>
          <w:szCs w:val="32"/>
          <w:highlight w:val="none"/>
          <w:lang w:val="en-US" w:eastAsia="zh-CN"/>
        </w:rPr>
        <w:t>主管单位的</w:t>
      </w:r>
      <w:r>
        <w:rPr>
          <w:rFonts w:hint="eastAsia" w:ascii="仿宋_GB2312" w:hAnsi="Times New Roman" w:eastAsia="仿宋_GB2312" w:cs="仿宋_GB2312"/>
          <w:color w:val="auto"/>
          <w:kern w:val="0"/>
          <w:sz w:val="32"/>
          <w:szCs w:val="32"/>
          <w:highlight w:val="none"/>
        </w:rPr>
        <w:t>管理职能。</w:t>
      </w:r>
      <w:r>
        <w:rPr>
          <w:rFonts w:hint="eastAsia" w:ascii="仿宋_GB2312" w:hAnsi="仿宋_GB2312" w:eastAsia="仿宋_GB2312" w:cs="仿宋_GB2312"/>
          <w:color w:val="auto"/>
          <w:kern w:val="0"/>
          <w:sz w:val="32"/>
          <w:szCs w:val="32"/>
          <w:highlight w:val="none"/>
          <w:shd w:val="clear" w:color="auto" w:fill="FFFFFF"/>
          <w:lang w:val="zh-CN"/>
        </w:rPr>
        <w:t>我中心主要负责</w:t>
      </w:r>
      <w:r>
        <w:rPr>
          <w:rFonts w:hint="eastAsia" w:ascii="仿宋_GB2312" w:hAnsi="Times New Roman" w:eastAsia="仿宋_GB2312" w:cs="Times New Roman"/>
          <w:color w:val="auto"/>
          <w:sz w:val="32"/>
          <w:szCs w:val="32"/>
          <w:highlight w:val="none"/>
        </w:rPr>
        <w:t>全市交通运输系统电子信息网络、自动化网络的建设和维护管理；负责交通突发公共事件的检测预警、信息报告、综合研判、辅助决策、指挥调度、应急联动和异地会商，加强交通战备、防洪抢险和协调指挥、监控等。承担涉及水上应急救援培训指导，组织开展水上应急救援演练等相关事务性工作。承担12328</w:t>
      </w:r>
      <w:r>
        <w:rPr>
          <w:rFonts w:hint="eastAsia" w:ascii="仿宋_GB2312" w:hAnsi="Times New Roman" w:eastAsia="仿宋_GB2312" w:cs="Times New Roman"/>
          <w:color w:val="auto"/>
          <w:sz w:val="32"/>
          <w:szCs w:val="32"/>
          <w:highlight w:val="none"/>
          <w:lang w:val="en-US" w:eastAsia="zh-CN"/>
        </w:rPr>
        <w:t>交通运输服务监督电话管理</w:t>
      </w:r>
      <w:r>
        <w:rPr>
          <w:rFonts w:hint="eastAsia" w:ascii="仿宋_GB2312" w:hAnsi="Times New Roman" w:eastAsia="仿宋_GB2312" w:cs="Times New Roman"/>
          <w:color w:val="auto"/>
          <w:sz w:val="32"/>
          <w:szCs w:val="32"/>
          <w:highlight w:val="none"/>
        </w:rPr>
        <w:t>工作。</w:t>
      </w:r>
    </w:p>
    <w:p>
      <w:pPr>
        <w:pageBreakBefore w:val="0"/>
        <w:widowControl w:val="0"/>
        <w:shd w:val="clear"/>
        <w:kinsoku/>
        <w:wordWrap/>
        <w:overflowPunct/>
        <w:topLinePunct w:val="0"/>
        <w:autoSpaceDN/>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2.项目立项、资金申报的依据。</w:t>
      </w:r>
      <w:r>
        <w:rPr>
          <w:rFonts w:hint="eastAsia" w:ascii="仿宋_GB2312" w:hAnsi="仿宋_GB2312" w:eastAsia="仿宋_GB2312" w:cs="仿宋_GB2312"/>
          <w:color w:val="auto"/>
          <w:kern w:val="0"/>
          <w:sz w:val="32"/>
          <w:szCs w:val="32"/>
          <w:highlight w:val="none"/>
          <w:shd w:val="clear" w:color="auto" w:fill="FFFFFF"/>
          <w:lang w:val="en-US" w:eastAsia="zh-CN"/>
        </w:rPr>
        <w:t>一是省级层面。</w:t>
      </w:r>
      <w:r>
        <w:rPr>
          <w:rFonts w:ascii="仿宋_GB2312" w:hAnsi="仿宋_GB2312" w:eastAsia="仿宋_GB2312" w:cs="仿宋_GB2312"/>
          <w:color w:val="auto"/>
          <w:kern w:val="0"/>
          <w:sz w:val="32"/>
          <w:szCs w:val="32"/>
          <w:highlight w:val="none"/>
          <w:shd w:val="clear" w:color="auto" w:fill="FFFFFF"/>
        </w:rPr>
        <w:t>省应急委员会办公室</w:t>
      </w:r>
      <w:r>
        <w:rPr>
          <w:rFonts w:hint="eastAsia" w:ascii="仿宋_GB2312" w:hAnsi="仿宋_GB2312" w:eastAsia="仿宋_GB2312" w:cs="仿宋_GB2312"/>
          <w:color w:val="auto"/>
          <w:kern w:val="0"/>
          <w:sz w:val="32"/>
          <w:szCs w:val="32"/>
          <w:highlight w:val="none"/>
          <w:shd w:val="clear" w:color="auto" w:fill="FFFFFF"/>
        </w:rPr>
        <w:t>《</w:t>
      </w:r>
      <w:r>
        <w:rPr>
          <w:rFonts w:ascii="仿宋_GB2312" w:hAnsi="仿宋_GB2312" w:eastAsia="仿宋_GB2312" w:cs="仿宋_GB2312"/>
          <w:color w:val="auto"/>
          <w:kern w:val="0"/>
          <w:sz w:val="32"/>
          <w:szCs w:val="32"/>
          <w:highlight w:val="none"/>
          <w:shd w:val="clear" w:color="auto" w:fill="FFFFFF"/>
        </w:rPr>
        <w:t>关于进一步加强应急预案体系建设和应急演练工作的通知</w:t>
      </w:r>
      <w:r>
        <w:rPr>
          <w:rFonts w:hint="eastAsia" w:ascii="仿宋_GB2312" w:hAnsi="仿宋_GB2312" w:eastAsia="仿宋_GB2312" w:cs="仿宋_GB2312"/>
          <w:color w:val="auto"/>
          <w:kern w:val="0"/>
          <w:sz w:val="32"/>
          <w:szCs w:val="32"/>
          <w:highlight w:val="none"/>
          <w:shd w:val="clear" w:color="auto" w:fill="FFFFFF"/>
        </w:rPr>
        <w:t>》、省交通运输厅《</w:t>
      </w:r>
      <w:r>
        <w:rPr>
          <w:rFonts w:ascii="仿宋_GB2312" w:hAnsi="仿宋_GB2312" w:eastAsia="仿宋_GB2312" w:cs="仿宋_GB2312"/>
          <w:color w:val="auto"/>
          <w:kern w:val="0"/>
          <w:sz w:val="32"/>
          <w:szCs w:val="32"/>
          <w:highlight w:val="none"/>
          <w:shd w:val="clear" w:color="auto" w:fill="FFFFFF"/>
        </w:rPr>
        <w:t>关于印发</w:t>
      </w:r>
      <w:r>
        <w:rPr>
          <w:rFonts w:hint="eastAsia" w:ascii="仿宋_GB2312" w:hAnsi="仿宋_GB2312" w:eastAsia="仿宋_GB2312" w:cs="仿宋_GB2312"/>
          <w:color w:val="auto"/>
          <w:kern w:val="0"/>
          <w:sz w:val="32"/>
          <w:szCs w:val="32"/>
          <w:highlight w:val="none"/>
          <w:shd w:val="clear" w:color="auto" w:fill="FFFFFF"/>
        </w:rPr>
        <w:t>〈</w:t>
      </w:r>
      <w:r>
        <w:rPr>
          <w:rFonts w:ascii="仿宋_GB2312" w:hAnsi="仿宋_GB2312" w:eastAsia="仿宋_GB2312" w:cs="仿宋_GB2312"/>
          <w:color w:val="auto"/>
          <w:kern w:val="0"/>
          <w:sz w:val="32"/>
          <w:szCs w:val="32"/>
          <w:highlight w:val="none"/>
          <w:shd w:val="clear" w:color="auto" w:fill="FFFFFF"/>
        </w:rPr>
        <w:t>全省公路水路行业党的二十大消防安全集中攻坚行动方案</w:t>
      </w:r>
      <w:r>
        <w:rPr>
          <w:rFonts w:hint="eastAsia" w:ascii="仿宋_GB2312" w:hAnsi="仿宋_GB2312" w:eastAsia="仿宋_GB2312" w:cs="仿宋_GB2312"/>
          <w:color w:val="auto"/>
          <w:kern w:val="0"/>
          <w:sz w:val="32"/>
          <w:szCs w:val="32"/>
          <w:highlight w:val="none"/>
          <w:shd w:val="clear" w:color="auto" w:fill="FFFFFF"/>
        </w:rPr>
        <w:t>〉</w:t>
      </w:r>
      <w:r>
        <w:rPr>
          <w:rFonts w:ascii="仿宋_GB2312" w:hAnsi="仿宋_GB2312" w:eastAsia="仿宋_GB2312" w:cs="仿宋_GB2312"/>
          <w:color w:val="auto"/>
          <w:kern w:val="0"/>
          <w:sz w:val="32"/>
          <w:szCs w:val="32"/>
          <w:highlight w:val="none"/>
          <w:shd w:val="clear" w:color="auto" w:fill="FFFFFF"/>
        </w:rPr>
        <w:t>的通知</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lang w:val="en-US" w:eastAsia="zh-CN"/>
        </w:rPr>
        <w:t>和</w:t>
      </w:r>
      <w:r>
        <w:rPr>
          <w:rFonts w:hint="eastAsia" w:ascii="仿宋_GB2312" w:hAnsi="仿宋_GB2312" w:eastAsia="仿宋_GB2312" w:cs="仿宋_GB2312"/>
          <w:color w:val="auto"/>
          <w:kern w:val="0"/>
          <w:sz w:val="32"/>
          <w:szCs w:val="32"/>
          <w:highlight w:val="none"/>
          <w:shd w:val="clear" w:color="auto" w:fill="FFFFFF"/>
        </w:rPr>
        <w:t>省交通运输厅《关于抓好12328热线运行问题整改的通知》</w:t>
      </w:r>
      <w:r>
        <w:rPr>
          <w:rFonts w:hint="eastAsia" w:ascii="仿宋_GB2312" w:hAnsi="仿宋_GB2312" w:eastAsia="仿宋_GB2312" w:cs="仿宋_GB2312"/>
          <w:color w:val="auto"/>
          <w:kern w:val="0"/>
          <w:sz w:val="32"/>
          <w:szCs w:val="32"/>
          <w:highlight w:val="none"/>
          <w:shd w:val="clear" w:color="auto" w:fill="FFFFFF"/>
          <w:lang w:val="zh-CN"/>
        </w:rPr>
        <w:t>。</w:t>
      </w:r>
      <w:r>
        <w:rPr>
          <w:rFonts w:hint="eastAsia" w:ascii="仿宋_GB2312" w:hAnsi="仿宋_GB2312" w:eastAsia="仿宋_GB2312" w:cs="仿宋_GB2312"/>
          <w:color w:val="auto"/>
          <w:kern w:val="0"/>
          <w:sz w:val="32"/>
          <w:szCs w:val="32"/>
          <w:highlight w:val="none"/>
          <w:shd w:val="clear" w:color="auto" w:fill="FFFFFF"/>
          <w:lang w:val="en-US" w:eastAsia="zh-CN"/>
        </w:rPr>
        <w:t>二是市级层面。</w:t>
      </w:r>
      <w:r>
        <w:rPr>
          <w:rFonts w:ascii="仿宋_GB2312" w:hAnsi="仿宋_GB2312" w:eastAsia="仿宋_GB2312" w:cs="仿宋_GB2312"/>
          <w:color w:val="auto"/>
          <w:kern w:val="0"/>
          <w:sz w:val="32"/>
          <w:szCs w:val="32"/>
          <w:highlight w:val="none"/>
          <w:shd w:val="clear" w:color="auto" w:fill="FFFFFF"/>
        </w:rPr>
        <w:t>董里市长在市交通运输局</w:t>
      </w:r>
      <w:r>
        <w:rPr>
          <w:rFonts w:hint="eastAsia" w:ascii="仿宋_GB2312" w:hAnsi="仿宋_GB2312" w:eastAsia="仿宋_GB2312" w:cs="仿宋_GB2312"/>
          <w:color w:val="auto"/>
          <w:kern w:val="0"/>
          <w:sz w:val="32"/>
          <w:szCs w:val="32"/>
          <w:highlight w:val="none"/>
          <w:shd w:val="clear" w:color="auto" w:fill="FFFFFF"/>
        </w:rPr>
        <w:t>《</w:t>
      </w:r>
      <w:r>
        <w:rPr>
          <w:rFonts w:ascii="仿宋_GB2312" w:hAnsi="仿宋_GB2312" w:eastAsia="仿宋_GB2312" w:cs="仿宋_GB2312"/>
          <w:color w:val="auto"/>
          <w:kern w:val="0"/>
          <w:sz w:val="32"/>
          <w:szCs w:val="32"/>
          <w:highlight w:val="none"/>
          <w:shd w:val="clear" w:color="auto" w:fill="FFFFFF"/>
        </w:rPr>
        <w:t>关于汛期防“跑船”安全管理工作有关情况的报告</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lang w:val="en-US" w:eastAsia="zh-CN"/>
        </w:rPr>
        <w:t>上的</w:t>
      </w:r>
      <w:r>
        <w:rPr>
          <w:rFonts w:ascii="仿宋_GB2312" w:hAnsi="仿宋_GB2312" w:eastAsia="仿宋_GB2312" w:cs="仿宋_GB2312"/>
          <w:color w:val="auto"/>
          <w:kern w:val="0"/>
          <w:sz w:val="32"/>
          <w:szCs w:val="32"/>
          <w:highlight w:val="none"/>
          <w:shd w:val="clear" w:color="auto" w:fill="FFFFFF"/>
        </w:rPr>
        <w:t>批示</w:t>
      </w:r>
      <w:r>
        <w:rPr>
          <w:rFonts w:hint="eastAsia" w:ascii="仿宋_GB2312" w:hAnsi="仿宋_GB2312" w:eastAsia="仿宋_GB2312" w:cs="仿宋_GB2312"/>
          <w:color w:val="auto"/>
          <w:kern w:val="0"/>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shd w:val="clear" w:color="auto" w:fill="FFFFFF"/>
          <w:lang w:val="zh-CN"/>
        </w:rPr>
        <w:t>市人民政府办公室</w:t>
      </w:r>
      <w:r>
        <w:rPr>
          <w:rFonts w:ascii="仿宋_GB2312" w:hAnsi="仿宋_GB2312" w:eastAsia="仿宋_GB2312" w:cs="仿宋_GB2312"/>
          <w:color w:val="auto"/>
          <w:kern w:val="0"/>
          <w:sz w:val="32"/>
          <w:szCs w:val="32"/>
          <w:highlight w:val="none"/>
          <w:shd w:val="clear" w:color="auto" w:fill="FFFFFF"/>
        </w:rPr>
        <w:t>《关于印发</w:t>
      </w:r>
      <w:r>
        <w:rPr>
          <w:rFonts w:hint="eastAsia" w:ascii="仿宋_GB2312" w:hAnsi="仿宋_GB2312" w:eastAsia="仿宋_GB2312" w:cs="仿宋_GB2312"/>
          <w:color w:val="auto"/>
          <w:kern w:val="0"/>
          <w:sz w:val="32"/>
          <w:szCs w:val="32"/>
          <w:highlight w:val="none"/>
          <w:shd w:val="clear" w:color="auto" w:fill="FFFFFF"/>
        </w:rPr>
        <w:t>〈</w:t>
      </w:r>
      <w:r>
        <w:rPr>
          <w:rFonts w:ascii="仿宋_GB2312" w:hAnsi="仿宋_GB2312" w:eastAsia="仿宋_GB2312" w:cs="仿宋_GB2312"/>
          <w:color w:val="auto"/>
          <w:kern w:val="0"/>
          <w:sz w:val="32"/>
          <w:szCs w:val="32"/>
          <w:highlight w:val="none"/>
          <w:shd w:val="clear" w:color="auto" w:fill="FFFFFF"/>
        </w:rPr>
        <w:t>广元市2022年应急演练总体方案</w:t>
      </w:r>
      <w:r>
        <w:rPr>
          <w:rFonts w:hint="eastAsia" w:ascii="仿宋_GB2312" w:hAnsi="仿宋_GB2312" w:eastAsia="仿宋_GB2312" w:cs="仿宋_GB2312"/>
          <w:color w:val="auto"/>
          <w:kern w:val="0"/>
          <w:sz w:val="32"/>
          <w:szCs w:val="32"/>
          <w:highlight w:val="none"/>
          <w:shd w:val="clear" w:color="auto" w:fill="FFFFFF"/>
        </w:rPr>
        <w:t>〉</w:t>
      </w:r>
      <w:r>
        <w:rPr>
          <w:rFonts w:ascii="仿宋_GB2312" w:hAnsi="仿宋_GB2312" w:eastAsia="仿宋_GB2312" w:cs="仿宋_GB2312"/>
          <w:color w:val="auto"/>
          <w:kern w:val="0"/>
          <w:sz w:val="32"/>
          <w:szCs w:val="32"/>
          <w:highlight w:val="none"/>
          <w:shd w:val="clear" w:color="auto" w:fill="FFFFFF"/>
        </w:rPr>
        <w:t>的通知》</w:t>
      </w:r>
      <w:r>
        <w:rPr>
          <w:rFonts w:hint="eastAsia" w:ascii="仿宋_GB2312" w:hAnsi="仿宋_GB2312" w:eastAsia="仿宋_GB2312" w:cs="仿宋_GB2312"/>
          <w:color w:val="auto"/>
          <w:kern w:val="0"/>
          <w:sz w:val="32"/>
          <w:szCs w:val="32"/>
          <w:highlight w:val="none"/>
          <w:shd w:val="clear" w:color="auto" w:fill="FFFFFF"/>
          <w:lang w:val="en-US" w:eastAsia="zh-CN"/>
        </w:rPr>
        <w:t>和</w:t>
      </w:r>
      <w:r>
        <w:rPr>
          <w:rFonts w:ascii="仿宋_GB2312" w:hAnsi="仿宋_GB2312" w:eastAsia="仿宋_GB2312" w:cs="仿宋_GB2312"/>
          <w:color w:val="auto"/>
          <w:kern w:val="0"/>
          <w:sz w:val="32"/>
          <w:szCs w:val="32"/>
          <w:highlight w:val="none"/>
          <w:shd w:val="clear" w:color="auto" w:fill="FFFFFF"/>
        </w:rPr>
        <w:t>市生产安全应急救援支队</w:t>
      </w:r>
      <w:r>
        <w:rPr>
          <w:rFonts w:hint="eastAsia" w:ascii="仿宋_GB2312" w:hAnsi="仿宋_GB2312" w:eastAsia="仿宋_GB2312" w:cs="仿宋_GB2312"/>
          <w:color w:val="auto"/>
          <w:kern w:val="0"/>
          <w:sz w:val="32"/>
          <w:szCs w:val="32"/>
          <w:highlight w:val="none"/>
          <w:shd w:val="clear" w:color="auto" w:fill="FFFFFF"/>
        </w:rPr>
        <w:t>《</w:t>
      </w:r>
      <w:r>
        <w:rPr>
          <w:rFonts w:ascii="仿宋_GB2312" w:hAnsi="仿宋_GB2312" w:eastAsia="仿宋_GB2312" w:cs="仿宋_GB2312"/>
          <w:color w:val="auto"/>
          <w:kern w:val="0"/>
          <w:sz w:val="32"/>
          <w:szCs w:val="32"/>
          <w:highlight w:val="none"/>
          <w:shd w:val="clear" w:color="auto" w:fill="FFFFFF"/>
        </w:rPr>
        <w:t>关于解决潜水员及舟艇驾驶员培训费用的请示</w:t>
      </w:r>
      <w:r>
        <w:rPr>
          <w:rFonts w:hint="eastAsia" w:ascii="仿宋_GB2312" w:hAnsi="仿宋_GB2312" w:eastAsia="仿宋_GB2312" w:cs="仿宋_GB2312"/>
          <w:color w:val="auto"/>
          <w:kern w:val="0"/>
          <w:sz w:val="32"/>
          <w:szCs w:val="32"/>
          <w:highlight w:val="none"/>
          <w:shd w:val="clear" w:color="auto" w:fill="FFFFFF"/>
        </w:rPr>
        <w:t>》</w:t>
      </w:r>
      <w:r>
        <w:rPr>
          <w:rFonts w:ascii="仿宋_GB2312" w:hAnsi="仿宋_GB2312" w:eastAsia="仿宋_GB2312" w:cs="仿宋_GB2312"/>
          <w:color w:val="auto"/>
          <w:kern w:val="0"/>
          <w:sz w:val="32"/>
          <w:szCs w:val="32"/>
          <w:highlight w:val="none"/>
          <w:shd w:val="clear" w:color="auto" w:fill="FFFFFF"/>
        </w:rPr>
        <w:t>等</w:t>
      </w:r>
      <w:r>
        <w:rPr>
          <w:rFonts w:hint="eastAsia" w:ascii="仿宋_GB2312" w:hAnsi="仿宋_GB2312" w:eastAsia="仿宋_GB2312" w:cs="仿宋_GB2312"/>
          <w:color w:val="auto"/>
          <w:kern w:val="0"/>
          <w:sz w:val="32"/>
          <w:szCs w:val="32"/>
          <w:highlight w:val="none"/>
          <w:shd w:val="clear" w:color="auto" w:fill="FFFFFF"/>
          <w:lang w:val="zh-CN"/>
        </w:rPr>
        <w:t>。</w:t>
      </w:r>
    </w:p>
    <w:p>
      <w:pPr>
        <w:pageBreakBefore w:val="0"/>
        <w:widowControl w:val="0"/>
        <w:shd w:val="clear"/>
        <w:kinsoku/>
        <w:wordWrap/>
        <w:overflowPunct/>
        <w:topLinePunct w:val="0"/>
        <w:autoSpaceDN/>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3.</w:t>
      </w:r>
      <w:r>
        <w:rPr>
          <w:rFonts w:hint="eastAsia" w:ascii="仿宋_GB2312" w:hAnsi="仿宋_GB2312" w:eastAsia="仿宋_GB2312" w:cs="仿宋_GB2312"/>
          <w:color w:val="auto"/>
          <w:kern w:val="0"/>
          <w:sz w:val="32"/>
          <w:szCs w:val="32"/>
          <w:highlight w:val="none"/>
          <w:shd w:val="clear" w:color="auto" w:fill="FFFFFF"/>
        </w:rPr>
        <w:t>项目</w:t>
      </w:r>
      <w:r>
        <w:rPr>
          <w:rFonts w:hint="eastAsia" w:ascii="仿宋_GB2312" w:hAnsi="仿宋_GB2312" w:eastAsia="仿宋_GB2312" w:cs="仿宋_GB2312"/>
          <w:color w:val="auto"/>
          <w:kern w:val="0"/>
          <w:sz w:val="32"/>
          <w:szCs w:val="32"/>
          <w:highlight w:val="none"/>
          <w:shd w:val="clear" w:color="auto" w:fill="FFFFFF"/>
          <w:lang w:val="zh-CN"/>
        </w:rPr>
        <w:t>管理情况。</w:t>
      </w:r>
      <w:r>
        <w:rPr>
          <w:rFonts w:hint="eastAsia" w:ascii="仿宋_GB2312" w:hAnsi="宋体" w:eastAsia="仿宋_GB2312" w:cs="Times New Roman"/>
          <w:color w:val="auto"/>
          <w:sz w:val="32"/>
          <w:szCs w:val="32"/>
          <w:highlight w:val="none"/>
        </w:rPr>
        <w:t>我中心严格执行市委市政府、市财政局和市交通运输局制定的相关制度，财务制度健全，会计核算规范，</w:t>
      </w:r>
      <w:r>
        <w:rPr>
          <w:rFonts w:hint="eastAsia" w:ascii="仿宋_GB2312" w:hAnsi="宋体" w:eastAsia="仿宋_GB2312" w:cs="Times New Roman"/>
          <w:color w:val="auto"/>
          <w:sz w:val="32"/>
          <w:szCs w:val="32"/>
          <w:highlight w:val="none"/>
          <w:lang w:val="en-US" w:eastAsia="zh-CN"/>
        </w:rPr>
        <w:t>完善</w:t>
      </w:r>
      <w:r>
        <w:rPr>
          <w:rFonts w:hint="eastAsia" w:ascii="仿宋_GB2312" w:hAnsi="宋体" w:eastAsia="仿宋_GB2312" w:cs="Times New Roman"/>
          <w:color w:val="auto"/>
          <w:sz w:val="32"/>
          <w:szCs w:val="32"/>
          <w:highlight w:val="none"/>
        </w:rPr>
        <w:t>了必要的财务监控和内部控制制度，资金管理、使用符合国家财经法规和财务管理制度等</w:t>
      </w:r>
      <w:r>
        <w:rPr>
          <w:rFonts w:hint="eastAsia" w:ascii="仿宋_GB2312" w:hAnsi="仿宋_GB2312" w:eastAsia="仿宋_GB2312" w:cs="仿宋_GB2312"/>
          <w:color w:val="auto"/>
          <w:kern w:val="0"/>
          <w:sz w:val="32"/>
          <w:szCs w:val="32"/>
          <w:highlight w:val="none"/>
          <w:shd w:val="clear" w:color="auto" w:fill="FFFFFF"/>
        </w:rPr>
        <w:t>。</w:t>
      </w:r>
    </w:p>
    <w:p>
      <w:pPr>
        <w:pageBreakBefore w:val="0"/>
        <w:widowControl w:val="0"/>
        <w:shd w:val="clear"/>
        <w:kinsoku/>
        <w:wordWrap/>
        <w:overflowPunct/>
        <w:topLinePunct w:val="0"/>
        <w:autoSpaceDN/>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4.资金分配的原则及考虑因素。</w:t>
      </w:r>
      <w:r>
        <w:rPr>
          <w:rFonts w:hint="eastAsia" w:ascii="仿宋_GB2312" w:hAnsi="Times New Roman" w:eastAsia="仿宋_GB2312" w:cs="仿宋_GB2312"/>
          <w:color w:val="auto"/>
          <w:kern w:val="0"/>
          <w:sz w:val="32"/>
          <w:szCs w:val="32"/>
          <w:highlight w:val="none"/>
        </w:rPr>
        <w:t>我中心资金分配坚持“专款专用”原则，按照“三重一大”的要求，由业务科室根据实际情况报指挥中心主任办公会议审定实施项目后</w:t>
      </w:r>
      <w:r>
        <w:rPr>
          <w:rFonts w:hint="eastAsia" w:ascii="仿宋_GB2312" w:hAnsi="Times New Roman" w:eastAsia="仿宋_GB2312" w:cs="仿宋_GB2312"/>
          <w:color w:val="auto"/>
          <w:kern w:val="0"/>
          <w:sz w:val="32"/>
          <w:szCs w:val="32"/>
          <w:highlight w:val="none"/>
          <w:lang w:eastAsia="zh-CN"/>
        </w:rPr>
        <w:t>，</w:t>
      </w:r>
      <w:r>
        <w:rPr>
          <w:rFonts w:hint="eastAsia" w:ascii="仿宋_GB2312" w:hAnsi="Times New Roman" w:eastAsia="仿宋_GB2312" w:cs="仿宋_GB2312"/>
          <w:color w:val="auto"/>
          <w:kern w:val="0"/>
          <w:sz w:val="32"/>
          <w:szCs w:val="32"/>
          <w:highlight w:val="none"/>
        </w:rPr>
        <w:t>按照项目实施进度支付资金。</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（二）项目绩效目标</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1.项目主要内容。</w:t>
      </w:r>
      <w:r>
        <w:rPr>
          <w:rFonts w:hint="eastAsia" w:ascii="仿宋_GB2312" w:hAnsi="仿宋" w:eastAsia="仿宋_GB2312" w:cs="仿宋"/>
          <w:color w:val="auto"/>
          <w:sz w:val="32"/>
          <w:szCs w:val="32"/>
          <w:highlight w:val="none"/>
        </w:rPr>
        <w:t>完成水上交通安全演（训）练、中心机房物理安全改造、动中通卫星车车载会议系统建设、正版化操作系统、12328宣传及系统升级和应急物资采购等项目建设。</w:t>
      </w:r>
    </w:p>
    <w:p>
      <w:pPr>
        <w:pageBreakBefore w:val="0"/>
        <w:widowControl w:val="0"/>
        <w:shd w:val="clear"/>
        <w:kinsoku/>
        <w:wordWrap/>
        <w:overflowPunct/>
        <w:topLinePunct w:val="0"/>
        <w:autoSpaceDN/>
        <w:bidi w:val="0"/>
        <w:spacing w:line="576" w:lineRule="exact"/>
        <w:ind w:firstLine="640" w:firstLineChars="200"/>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val="zh-CN"/>
        </w:rPr>
        <w:t>2.项目绩效目标。</w:t>
      </w:r>
      <w:r>
        <w:rPr>
          <w:rFonts w:hint="eastAsia" w:ascii="仿宋_GB2312" w:hAnsi="仿宋_GB2312" w:eastAsia="仿宋_GB2312" w:cs="仿宋_GB2312"/>
          <w:color w:val="auto"/>
          <w:kern w:val="0"/>
          <w:sz w:val="32"/>
          <w:szCs w:val="32"/>
          <w:highlight w:val="none"/>
          <w:shd w:val="clear" w:color="auto" w:fill="FFFFFF"/>
        </w:rPr>
        <w:t>向上争取资金，组织开展</w:t>
      </w:r>
      <w:r>
        <w:rPr>
          <w:rFonts w:hint="eastAsia" w:ascii="仿宋_GB2312" w:hAnsi="仿宋" w:eastAsia="仿宋_GB2312" w:cs="仿宋"/>
          <w:color w:val="auto"/>
          <w:sz w:val="32"/>
          <w:szCs w:val="32"/>
          <w:highlight w:val="none"/>
        </w:rPr>
        <w:t>水上交通安全演练和水上安全培训。开展中心机房物理安全、动中通车载（4G）视频会议系统和12328与12345数据接口升级改造工作。开展12328宣传、应急物资采购和正版化操作系统采购等任务。</w:t>
      </w:r>
    </w:p>
    <w:p>
      <w:pPr>
        <w:pageBreakBefore w:val="0"/>
        <w:widowControl w:val="0"/>
        <w:shd w:val="clear"/>
        <w:kinsoku/>
        <w:wordWrap/>
        <w:overflowPunct/>
        <w:topLinePunct w:val="0"/>
        <w:autoSpaceDN/>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3.绩效申报内容与实际相符，申报目标合理可行。</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（三）项目自评步骤及方法</w:t>
      </w:r>
    </w:p>
    <w:p>
      <w:pPr>
        <w:pageBreakBefore w:val="0"/>
        <w:widowControl w:val="0"/>
        <w:shd w:val="clear"/>
        <w:kinsoku/>
        <w:wordWrap/>
        <w:overflowPunct/>
        <w:topLinePunct w:val="0"/>
        <w:autoSpaceDE w:val="0"/>
        <w:autoSpaceDN/>
        <w:bidi w:val="0"/>
        <w:spacing w:line="576" w:lineRule="exact"/>
        <w:ind w:firstLine="640" w:firstLineChars="200"/>
        <w:textAlignment w:val="auto"/>
        <w:rPr>
          <w:rFonts w:hint="eastAsia" w:ascii="仿宋_GB2312" w:hAnsi="Times New Roman" w:eastAsia="仿宋_GB2312" w:cs="仿宋_GB2312"/>
          <w:color w:val="auto"/>
          <w:kern w:val="0"/>
          <w:sz w:val="32"/>
          <w:szCs w:val="32"/>
          <w:highlight w:val="none"/>
        </w:rPr>
      </w:pPr>
      <w:r>
        <w:rPr>
          <w:rFonts w:hint="eastAsia" w:ascii="仿宋_GB2312" w:hAnsi="Times New Roman" w:eastAsia="仿宋_GB2312" w:cs="仿宋_GB2312"/>
          <w:color w:val="auto"/>
          <w:kern w:val="0"/>
          <w:sz w:val="32"/>
          <w:szCs w:val="32"/>
          <w:highlight w:val="none"/>
        </w:rPr>
        <w:t>根据预算绩效管理要求，我中心由财务室牵头，相关科室科室紧密配合，比照《2023年市级专项资金预算项目支出绩效评价指标体系》和年初绩效目标申报，依据“谁申报、谁自评、谁绩效”的原则，采用成本效益分析法，对该项目产出完成、项目效益、财务管理、满意度等方面进行了认真全面的绩效自评。经自评，项目支出绩效情况良好。</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outlineLvl w:val="1"/>
        <w:rPr>
          <w:rFonts w:ascii="黑体" w:hAnsi="宋体" w:eastAsia="黑体" w:cs="Times New Roman"/>
          <w:color w:val="auto"/>
          <w:sz w:val="32"/>
          <w:szCs w:val="32"/>
          <w:highlight w:val="none"/>
        </w:rPr>
      </w:pPr>
      <w:bookmarkStart w:id="557" w:name="_Toc1969717776_WPSOffice_Level2"/>
      <w:bookmarkStart w:id="558" w:name="_Toc771"/>
      <w:bookmarkStart w:id="559" w:name="_Toc2057269858_WPSOffice_Level2"/>
      <w:bookmarkStart w:id="560" w:name="_Toc12799"/>
      <w:r>
        <w:rPr>
          <w:rFonts w:hint="eastAsia" w:ascii="黑体" w:hAnsi="宋体" w:eastAsia="黑体" w:cs="Times New Roman"/>
          <w:color w:val="auto"/>
          <w:sz w:val="32"/>
          <w:szCs w:val="32"/>
          <w:highlight w:val="none"/>
        </w:rPr>
        <w:t>二、项目资金申报及使用情况</w:t>
      </w:r>
      <w:bookmarkEnd w:id="557"/>
      <w:bookmarkEnd w:id="558"/>
      <w:bookmarkEnd w:id="559"/>
      <w:bookmarkEnd w:id="560"/>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（一）项目资金申报及批复情况</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2022年，我中心申报</w:t>
      </w:r>
      <w:r>
        <w:rPr>
          <w:rFonts w:hint="eastAsia" w:ascii="仿宋_GB2312" w:hAnsi="仿宋_GB2312" w:eastAsia="仿宋_GB2312" w:cs="仿宋_GB2312"/>
          <w:color w:val="auto"/>
          <w:sz w:val="32"/>
          <w:szCs w:val="32"/>
          <w:highlight w:val="none"/>
        </w:rPr>
        <w:t>省级2021年结转交通专项资金项目80万元，</w:t>
      </w:r>
      <w:r>
        <w:rPr>
          <w:rFonts w:hint="eastAsia" w:ascii="仿宋_GB2312" w:hAnsi="仿宋" w:eastAsia="仿宋_GB2312" w:cs="仿宋"/>
          <w:color w:val="auto"/>
          <w:sz w:val="32"/>
          <w:szCs w:val="32"/>
          <w:highlight w:val="none"/>
        </w:rPr>
        <w:t>财政部门按申报金额进行了批复。</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（二）资金计划、到位及使用情况</w:t>
      </w:r>
    </w:p>
    <w:p>
      <w:pPr>
        <w:pageBreakBefore w:val="0"/>
        <w:widowControl w:val="0"/>
        <w:shd w:val="clear"/>
        <w:kinsoku/>
        <w:wordWrap/>
        <w:overflowPunct/>
        <w:topLinePunct w:val="0"/>
        <w:autoSpaceDN/>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1.资金计划及到位情况。</w:t>
      </w:r>
      <w:r>
        <w:rPr>
          <w:rFonts w:hint="eastAsia" w:ascii="仿宋_GB2312" w:hAnsi="仿宋" w:eastAsia="仿宋_GB2312" w:cs="仿宋"/>
          <w:color w:val="auto"/>
          <w:sz w:val="32"/>
          <w:szCs w:val="32"/>
          <w:highlight w:val="none"/>
        </w:rPr>
        <w:t>2022年，</w:t>
      </w:r>
      <w:r>
        <w:rPr>
          <w:rFonts w:hint="eastAsia" w:ascii="仿宋_GB2312" w:hAnsi="仿宋_GB2312" w:eastAsia="仿宋_GB2312" w:cs="仿宋_GB2312"/>
          <w:color w:val="auto"/>
          <w:sz w:val="32"/>
          <w:szCs w:val="32"/>
          <w:highlight w:val="none"/>
        </w:rPr>
        <w:t>省级2021年结转交通专项资金项目预算80万元，</w:t>
      </w:r>
      <w:r>
        <w:rPr>
          <w:rFonts w:hint="eastAsia" w:ascii="仿宋_GB2312" w:hAnsi="宋体" w:eastAsia="仿宋_GB2312" w:cs="Times New Roman"/>
          <w:color w:val="auto"/>
          <w:sz w:val="32"/>
          <w:szCs w:val="32"/>
          <w:highlight w:val="none"/>
        </w:rPr>
        <w:t>于2022年9月市财政局预算批复时全部到位。</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zh-CN"/>
        </w:rPr>
        <w:t>2.资金使用。</w:t>
      </w:r>
      <w:r>
        <w:rPr>
          <w:rFonts w:hint="eastAsia" w:ascii="仿宋_GB2312" w:hAnsi="仿宋_GB2312" w:eastAsia="仿宋_GB2312" w:cs="仿宋_GB2312"/>
          <w:color w:val="auto"/>
          <w:sz w:val="32"/>
          <w:szCs w:val="32"/>
          <w:highlight w:val="none"/>
        </w:rPr>
        <w:t>省级2021年结转交通专项资金项目</w:t>
      </w:r>
      <w:r>
        <w:rPr>
          <w:rFonts w:hint="eastAsia" w:ascii="仿宋_GB2312" w:hAnsi="仿宋" w:eastAsia="仿宋_GB2312" w:cs="仿宋"/>
          <w:color w:val="auto"/>
          <w:sz w:val="32"/>
          <w:szCs w:val="32"/>
          <w:highlight w:val="none"/>
        </w:rPr>
        <w:t>费用80万元，于2022年全部执行完毕，相关费用明细如下：</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（1）支付水上交通安全演（训）练</w:t>
      </w:r>
      <w:r>
        <w:rPr>
          <w:rFonts w:hint="eastAsia" w:ascii="仿宋_GB2312" w:hAnsi="仿宋" w:eastAsia="仿宋_GB2312" w:cs="仿宋"/>
          <w:color w:val="auto"/>
          <w:sz w:val="32"/>
          <w:szCs w:val="32"/>
          <w:highlight w:val="none"/>
          <w:lang w:val="en-US" w:eastAsia="zh-CN"/>
        </w:rPr>
        <w:t>27.79万</w:t>
      </w:r>
      <w:r>
        <w:rPr>
          <w:rFonts w:hint="eastAsia" w:ascii="仿宋_GB2312" w:hAnsi="仿宋" w:eastAsia="仿宋_GB2312" w:cs="仿宋"/>
          <w:color w:val="auto"/>
          <w:sz w:val="32"/>
          <w:szCs w:val="32"/>
          <w:highlight w:val="none"/>
        </w:rPr>
        <w:t>元，其中支付2022年广元市水上交通防“跑船”实战演练第三方服务项目</w:t>
      </w:r>
      <w:r>
        <w:rPr>
          <w:rFonts w:hint="eastAsia" w:ascii="仿宋_GB2312" w:hAnsi="仿宋" w:eastAsia="仿宋_GB2312" w:cs="仿宋"/>
          <w:color w:val="auto"/>
          <w:sz w:val="32"/>
          <w:szCs w:val="32"/>
          <w:highlight w:val="none"/>
          <w:lang w:val="en-US" w:eastAsia="zh-CN"/>
        </w:rPr>
        <w:t>13.89万</w:t>
      </w:r>
      <w:r>
        <w:rPr>
          <w:rFonts w:hint="eastAsia" w:ascii="仿宋_GB2312" w:hAnsi="仿宋" w:eastAsia="仿宋_GB2312" w:cs="仿宋"/>
          <w:color w:val="auto"/>
          <w:sz w:val="32"/>
          <w:szCs w:val="32"/>
          <w:highlight w:val="none"/>
        </w:rPr>
        <w:t>元，支付水上救援培训</w:t>
      </w:r>
      <w:r>
        <w:rPr>
          <w:rFonts w:hint="eastAsia" w:ascii="仿宋_GB2312" w:hAnsi="仿宋" w:eastAsia="仿宋_GB2312" w:cs="仿宋"/>
          <w:color w:val="auto"/>
          <w:sz w:val="32"/>
          <w:szCs w:val="32"/>
          <w:highlight w:val="none"/>
          <w:lang w:val="en-US" w:eastAsia="zh-CN"/>
        </w:rPr>
        <w:t>11.46万元</w:t>
      </w:r>
      <w:r>
        <w:rPr>
          <w:rFonts w:hint="eastAsia" w:ascii="仿宋_GB2312" w:hAnsi="仿宋" w:eastAsia="仿宋_GB2312" w:cs="仿宋"/>
          <w:color w:val="auto"/>
          <w:sz w:val="32"/>
          <w:szCs w:val="32"/>
          <w:highlight w:val="none"/>
        </w:rPr>
        <w:t>元。支付无人机驾驶培训</w:t>
      </w:r>
      <w:r>
        <w:rPr>
          <w:rFonts w:hint="eastAsia" w:ascii="仿宋_GB2312" w:hAnsi="仿宋" w:eastAsia="仿宋_GB2312" w:cs="仿宋"/>
          <w:color w:val="auto"/>
          <w:sz w:val="32"/>
          <w:szCs w:val="32"/>
          <w:highlight w:val="none"/>
          <w:lang w:val="en-US" w:eastAsia="zh-CN"/>
        </w:rPr>
        <w:t>2.4万</w:t>
      </w:r>
      <w:r>
        <w:rPr>
          <w:rFonts w:hint="eastAsia" w:ascii="仿宋_GB2312" w:hAnsi="仿宋" w:eastAsia="仿宋_GB2312" w:cs="仿宋"/>
          <w:color w:val="auto"/>
          <w:sz w:val="32"/>
          <w:szCs w:val="32"/>
          <w:highlight w:val="none"/>
        </w:rPr>
        <w:t>元</w:t>
      </w:r>
      <w:r>
        <w:rPr>
          <w:rFonts w:hint="eastAsia" w:ascii="仿宋_GB2312" w:hAnsi="仿宋" w:eastAsia="仿宋_GB2312" w:cs="仿宋"/>
          <w:color w:val="auto"/>
          <w:sz w:val="32"/>
          <w:szCs w:val="32"/>
          <w:highlight w:val="none"/>
          <w:lang w:eastAsia="zh-CN"/>
        </w:rPr>
        <w:t>，支付其他</w:t>
      </w:r>
      <w:r>
        <w:rPr>
          <w:rFonts w:hint="eastAsia" w:ascii="仿宋_GB2312" w:hAnsi="仿宋" w:eastAsia="仿宋_GB2312" w:cs="仿宋"/>
          <w:color w:val="auto"/>
          <w:sz w:val="32"/>
          <w:szCs w:val="32"/>
          <w:highlight w:val="none"/>
        </w:rPr>
        <w:t>水上交通安全演（训）练</w:t>
      </w:r>
      <w:r>
        <w:rPr>
          <w:rFonts w:hint="eastAsia" w:ascii="仿宋_GB2312" w:hAnsi="仿宋" w:eastAsia="仿宋_GB2312" w:cs="仿宋"/>
          <w:color w:val="auto"/>
          <w:sz w:val="32"/>
          <w:szCs w:val="32"/>
          <w:highlight w:val="none"/>
          <w:lang w:eastAsia="zh-CN"/>
        </w:rPr>
        <w:t>工作经费</w:t>
      </w:r>
      <w:r>
        <w:rPr>
          <w:rFonts w:hint="eastAsia" w:ascii="仿宋_GB2312" w:hAnsi="仿宋" w:eastAsia="仿宋_GB2312" w:cs="仿宋"/>
          <w:color w:val="auto"/>
          <w:sz w:val="32"/>
          <w:szCs w:val="32"/>
          <w:highlight w:val="none"/>
          <w:lang w:val="en-US" w:eastAsia="zh-CN"/>
        </w:rPr>
        <w:t>0.04万元</w:t>
      </w:r>
      <w:r>
        <w:rPr>
          <w:rFonts w:hint="eastAsia" w:ascii="仿宋_GB2312" w:hAnsi="仿宋" w:eastAsia="仿宋_GB2312" w:cs="仿宋"/>
          <w:color w:val="auto"/>
          <w:sz w:val="32"/>
          <w:szCs w:val="32"/>
          <w:highlight w:val="none"/>
        </w:rPr>
        <w:t>。</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（2）支付中心机房物理安全改造</w:t>
      </w:r>
      <w:r>
        <w:rPr>
          <w:rFonts w:hint="eastAsia" w:ascii="仿宋_GB2312" w:hAnsi="仿宋" w:eastAsia="仿宋_GB2312" w:cs="仿宋"/>
          <w:color w:val="auto"/>
          <w:sz w:val="32"/>
          <w:szCs w:val="32"/>
          <w:highlight w:val="none"/>
          <w:lang w:val="en-US" w:eastAsia="zh-CN"/>
        </w:rPr>
        <w:t>8.24万</w:t>
      </w:r>
      <w:r>
        <w:rPr>
          <w:rFonts w:hint="eastAsia" w:ascii="仿宋_GB2312" w:hAnsi="仿宋" w:eastAsia="仿宋_GB2312" w:cs="仿宋"/>
          <w:color w:val="auto"/>
          <w:sz w:val="32"/>
          <w:szCs w:val="32"/>
          <w:highlight w:val="none"/>
        </w:rPr>
        <w:t>元。</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rPr>
        <w:t>（3）支付动中通卫星车车载会议系统建设</w:t>
      </w:r>
      <w:r>
        <w:rPr>
          <w:rFonts w:hint="eastAsia" w:ascii="仿宋_GB2312" w:hAnsi="仿宋" w:eastAsia="仿宋_GB2312" w:cs="仿宋"/>
          <w:color w:val="auto"/>
          <w:sz w:val="32"/>
          <w:szCs w:val="32"/>
          <w:highlight w:val="none"/>
          <w:lang w:val="en-US" w:eastAsia="zh-CN"/>
        </w:rPr>
        <w:t>12.87万元。</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rPr>
        <w:t>（4）支付正版化操作系统购买</w:t>
      </w:r>
      <w:r>
        <w:rPr>
          <w:rFonts w:hint="eastAsia" w:ascii="仿宋_GB2312" w:hAnsi="仿宋" w:eastAsia="仿宋_GB2312" w:cs="仿宋"/>
          <w:color w:val="auto"/>
          <w:sz w:val="32"/>
          <w:szCs w:val="32"/>
          <w:highlight w:val="none"/>
          <w:lang w:val="en-US" w:eastAsia="zh-CN"/>
        </w:rPr>
        <w:t>2.12万</w:t>
      </w:r>
      <w:r>
        <w:rPr>
          <w:rFonts w:hint="eastAsia" w:ascii="仿宋_GB2312" w:hAnsi="仿宋" w:eastAsia="仿宋_GB2312" w:cs="仿宋"/>
          <w:color w:val="auto"/>
          <w:sz w:val="32"/>
          <w:szCs w:val="32"/>
          <w:highlight w:val="none"/>
        </w:rPr>
        <w:t>元。</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rPr>
        <w:t>（5）支付12328宣传及系统升级费用</w:t>
      </w:r>
      <w:r>
        <w:rPr>
          <w:rFonts w:hint="eastAsia" w:ascii="仿宋_GB2312" w:hAnsi="仿宋" w:eastAsia="仿宋_GB2312" w:cs="仿宋"/>
          <w:color w:val="auto"/>
          <w:sz w:val="32"/>
          <w:szCs w:val="32"/>
          <w:highlight w:val="none"/>
          <w:lang w:val="en-US" w:eastAsia="zh-CN"/>
        </w:rPr>
        <w:t>7.31万元。</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rPr>
        <w:t>（6）支付应急汛期物资采购</w:t>
      </w:r>
      <w:r>
        <w:rPr>
          <w:rFonts w:hint="eastAsia" w:ascii="仿宋_GB2312" w:hAnsi="仿宋" w:eastAsia="仿宋_GB2312" w:cs="仿宋"/>
          <w:color w:val="auto"/>
          <w:sz w:val="32"/>
          <w:szCs w:val="32"/>
          <w:highlight w:val="none"/>
          <w:lang w:val="en-US" w:eastAsia="zh-CN"/>
        </w:rPr>
        <w:t>4.36万元。</w:t>
      </w:r>
    </w:p>
    <w:p>
      <w:pPr>
        <w:pageBreakBefore w:val="0"/>
        <w:widowControl w:val="0"/>
        <w:shd w:val="clear"/>
        <w:kinsoku/>
        <w:wordWrap/>
        <w:overflowPunct/>
        <w:topLinePunct w:val="0"/>
        <w:autoSpaceDN/>
        <w:bidi w:val="0"/>
        <w:adjustRightInd w:val="0"/>
        <w:snapToGrid w:val="0"/>
        <w:spacing w:line="576" w:lineRule="exact"/>
        <w:ind w:firstLine="640" w:firstLineChars="200"/>
        <w:contextualSpacing/>
        <w:textAlignment w:val="auto"/>
        <w:rPr>
          <w:rFonts w:hint="default"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 w:eastAsia="仿宋_GB2312" w:cs="仿宋"/>
          <w:color w:val="auto"/>
          <w:sz w:val="32"/>
          <w:szCs w:val="32"/>
          <w:highlight w:val="none"/>
        </w:rPr>
        <w:t>（7）支付应急管理工作经费</w:t>
      </w:r>
      <w:r>
        <w:rPr>
          <w:rFonts w:hint="eastAsia" w:ascii="仿宋_GB2312" w:hAnsi="仿宋" w:eastAsia="仿宋_GB2312" w:cs="仿宋"/>
          <w:color w:val="auto"/>
          <w:sz w:val="32"/>
          <w:szCs w:val="32"/>
          <w:highlight w:val="none"/>
          <w:lang w:val="en-US" w:eastAsia="zh-CN"/>
        </w:rPr>
        <w:t>17.31万元。</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（三）项目财务管理情况</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我中心严格执行市委市政府、市财政局和市交通运输局制定的相关制度，财务制度健全，会计核算规范，完善了必要的财务监控和内部控制制度，资金管理、使用符合国家财经法规和财务管理制度等。</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outlineLvl w:val="1"/>
        <w:rPr>
          <w:rFonts w:ascii="黑体" w:hAnsi="宋体" w:eastAsia="黑体" w:cs="Times New Roman"/>
          <w:color w:val="auto"/>
          <w:sz w:val="32"/>
          <w:szCs w:val="32"/>
          <w:highlight w:val="none"/>
        </w:rPr>
      </w:pPr>
      <w:bookmarkStart w:id="561" w:name="_Toc1069765857_WPSOffice_Level2"/>
      <w:bookmarkStart w:id="562" w:name="_Toc37584680_WPSOffice_Level2"/>
      <w:bookmarkStart w:id="563" w:name="_Toc29922"/>
      <w:bookmarkStart w:id="564" w:name="_Toc13291"/>
      <w:r>
        <w:rPr>
          <w:rFonts w:hint="eastAsia" w:ascii="黑体" w:hAnsi="宋体" w:eastAsia="黑体" w:cs="Times New Roman"/>
          <w:color w:val="auto"/>
          <w:sz w:val="32"/>
          <w:szCs w:val="32"/>
          <w:highlight w:val="none"/>
        </w:rPr>
        <w:t>三、项目实施及管理情况</w:t>
      </w:r>
      <w:bookmarkEnd w:id="561"/>
      <w:bookmarkEnd w:id="562"/>
      <w:bookmarkEnd w:id="563"/>
      <w:bookmarkEnd w:id="564"/>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Times New Roman" w:eastAsia="仿宋_GB2312" w:cs="Times New Roman"/>
          <w:color w:val="auto"/>
          <w:sz w:val="32"/>
          <w:szCs w:val="32"/>
          <w:highlight w:val="none"/>
        </w:rPr>
        <w:t>2022年</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我中心通过财政审批后设立</w:t>
      </w:r>
      <w:r>
        <w:rPr>
          <w:rFonts w:hint="eastAsia" w:ascii="仿宋_GB2312" w:hAnsi="仿宋_GB2312" w:eastAsia="仿宋_GB2312" w:cs="仿宋_GB2312"/>
          <w:color w:val="auto"/>
          <w:sz w:val="32"/>
          <w:szCs w:val="32"/>
          <w:highlight w:val="none"/>
        </w:rPr>
        <w:t>省级2021年结转交通专项资金</w:t>
      </w:r>
      <w:r>
        <w:rPr>
          <w:rFonts w:hint="eastAsia" w:ascii="仿宋_GB2312" w:hAnsi="Times New Roman" w:eastAsia="仿宋_GB2312" w:cs="Times New Roman"/>
          <w:color w:val="auto"/>
          <w:sz w:val="32"/>
          <w:szCs w:val="32"/>
          <w:highlight w:val="none"/>
        </w:rPr>
        <w:t>项目。由</w:t>
      </w:r>
      <w:r>
        <w:rPr>
          <w:rFonts w:hint="eastAsia" w:ascii="仿宋_GB2312" w:hAnsi="Times New Roman" w:eastAsia="仿宋_GB2312" w:cs="Times New Roman"/>
          <w:color w:val="auto"/>
          <w:sz w:val="32"/>
          <w:szCs w:val="32"/>
          <w:highlight w:val="none"/>
          <w:lang w:val="en-US" w:eastAsia="zh-CN"/>
        </w:rPr>
        <w:t>具体业务</w:t>
      </w:r>
      <w:r>
        <w:rPr>
          <w:rFonts w:hint="eastAsia" w:ascii="仿宋_GB2312" w:hAnsi="Times New Roman" w:eastAsia="仿宋_GB2312" w:cs="Times New Roman"/>
          <w:color w:val="auto"/>
          <w:sz w:val="32"/>
          <w:szCs w:val="32"/>
          <w:highlight w:val="none"/>
        </w:rPr>
        <w:t>科负责对该项目的支出提出意见，经领导审核或集体决策后由财务室支付款项，确保了</w:t>
      </w:r>
      <w:r>
        <w:rPr>
          <w:rFonts w:hint="eastAsia" w:ascii="仿宋_GB2312" w:hAnsi="仿宋_GB2312" w:eastAsia="仿宋_GB2312" w:cs="仿宋_GB2312"/>
          <w:color w:val="auto"/>
          <w:sz w:val="32"/>
          <w:szCs w:val="32"/>
          <w:highlight w:val="none"/>
        </w:rPr>
        <w:t>省级2021年结转交通专项资金严格按照申报内容</w:t>
      </w:r>
      <w:r>
        <w:rPr>
          <w:rFonts w:hint="eastAsia" w:ascii="仿宋_GB2312" w:hAnsi="Times New Roman" w:eastAsia="仿宋_GB2312" w:cs="Times New Roman"/>
          <w:color w:val="auto"/>
          <w:sz w:val="32"/>
          <w:szCs w:val="32"/>
          <w:highlight w:val="none"/>
        </w:rPr>
        <w:t>使用</w:t>
      </w:r>
      <w:r>
        <w:rPr>
          <w:rFonts w:hint="eastAsia" w:ascii="仿宋_GB2312" w:hAnsi="Times New Roman" w:eastAsia="仿宋_GB2312" w:cs="Times New Roman"/>
          <w:color w:val="auto"/>
          <w:sz w:val="32"/>
          <w:szCs w:val="32"/>
          <w:highlight w:val="none"/>
          <w:lang w:val="en-US" w:eastAsia="zh-CN"/>
        </w:rPr>
        <w:t>和</w:t>
      </w:r>
      <w:r>
        <w:rPr>
          <w:rFonts w:hint="eastAsia" w:ascii="仿宋_GB2312" w:hAnsi="Times New Roman" w:eastAsia="仿宋_GB2312" w:cs="Times New Roman"/>
          <w:color w:val="auto"/>
          <w:sz w:val="32"/>
          <w:szCs w:val="32"/>
          <w:highlight w:val="none"/>
        </w:rPr>
        <w:t>建设完成。</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outlineLvl w:val="1"/>
        <w:rPr>
          <w:rFonts w:ascii="仿宋_GB2312" w:hAnsi="宋体" w:eastAsia="仿宋_GB2312" w:cs="Times New Roman"/>
          <w:color w:val="auto"/>
          <w:sz w:val="32"/>
          <w:szCs w:val="32"/>
          <w:highlight w:val="none"/>
          <w:lang w:val="zh-CN"/>
        </w:rPr>
      </w:pPr>
      <w:bookmarkStart w:id="565" w:name="_Toc1529829560_WPSOffice_Level2"/>
      <w:bookmarkStart w:id="566" w:name="_Toc450991709_WPSOffice_Level2"/>
      <w:bookmarkStart w:id="567" w:name="_Toc10035"/>
      <w:bookmarkStart w:id="568" w:name="_Toc23253"/>
      <w:r>
        <w:rPr>
          <w:rFonts w:hint="eastAsia" w:ascii="黑体" w:hAnsi="宋体" w:eastAsia="黑体" w:cs="Times New Roman"/>
          <w:color w:val="auto"/>
          <w:sz w:val="32"/>
          <w:szCs w:val="32"/>
          <w:highlight w:val="none"/>
        </w:rPr>
        <w:t>四、项目绩效情况</w:t>
      </w:r>
      <w:bookmarkEnd w:id="565"/>
      <w:bookmarkEnd w:id="566"/>
      <w:bookmarkEnd w:id="567"/>
      <w:bookmarkEnd w:id="568"/>
      <w:r>
        <w:rPr>
          <w:rFonts w:hint="eastAsia" w:ascii="仿宋_GB2312" w:hAnsi="宋体" w:eastAsia="仿宋_GB2312" w:cs="Times New Roman"/>
          <w:color w:val="auto"/>
          <w:sz w:val="32"/>
          <w:szCs w:val="32"/>
          <w:highlight w:val="none"/>
          <w:lang w:val="zh-CN"/>
        </w:rPr>
        <w:tab/>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（一）项目完成情况</w:t>
      </w:r>
    </w:p>
    <w:p>
      <w:pPr>
        <w:pageBreakBefore w:val="0"/>
        <w:widowControl w:val="0"/>
        <w:shd w:val="clear"/>
        <w:kinsoku/>
        <w:wordWrap/>
        <w:overflowPunct/>
        <w:topLinePunct w:val="0"/>
        <w:autoSpaceDN/>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sz w:val="32"/>
          <w:szCs w:val="32"/>
          <w:highlight w:val="none"/>
        </w:rPr>
        <w:t>省级2021年结转交通专项资金项目</w:t>
      </w:r>
      <w:r>
        <w:rPr>
          <w:rFonts w:hint="eastAsia" w:ascii="仿宋_GB2312" w:hAnsi="仿宋" w:eastAsia="仿宋_GB2312" w:cs="仿宋"/>
          <w:color w:val="auto"/>
          <w:sz w:val="32"/>
          <w:szCs w:val="32"/>
          <w:highlight w:val="none"/>
        </w:rPr>
        <w:t>按照申报内容，完成水上交通安全演练1次和水上安全培训3批次，提升了我市水上交通安全和应急救援能力。完成中心机房物理安全改造项目，提高了中心机房消防安全水平。完成了动中通车载（4G）视频会议系统建设，实现了车载设备通过4G传输与指挥大厅进行视频会商、指挥调度的功能。完成12328宣传2次，有效提升市民12328知晓度，系统升级1次，完善了12328与12345数据接口，提高数据规范和及时报送。完成应急物资采购2批次，通过及时补充完善应急物资采购，提升应急处置能力。完成正版化操作系统采购1批次，进一步</w:t>
      </w:r>
      <w:r>
        <w:rPr>
          <w:rFonts w:hint="eastAsia" w:ascii="仿宋_GB2312" w:hAnsi="仿宋" w:eastAsia="仿宋_GB2312" w:cs="仿宋"/>
          <w:color w:val="auto"/>
          <w:sz w:val="32"/>
          <w:szCs w:val="32"/>
          <w:highlight w:val="none"/>
          <w:lang w:val="en-US" w:eastAsia="zh-CN"/>
        </w:rPr>
        <w:t>提升</w:t>
      </w:r>
      <w:r>
        <w:rPr>
          <w:rFonts w:hint="eastAsia" w:ascii="仿宋_GB2312" w:hAnsi="仿宋" w:eastAsia="仿宋_GB2312" w:cs="仿宋"/>
          <w:color w:val="auto"/>
          <w:sz w:val="32"/>
          <w:szCs w:val="32"/>
          <w:highlight w:val="none"/>
        </w:rPr>
        <w:t>了网络安全。</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（二）项目效益情况</w:t>
      </w:r>
    </w:p>
    <w:p>
      <w:pPr>
        <w:pageBreakBefore w:val="0"/>
        <w:widowControl w:val="0"/>
        <w:shd w:val="clear"/>
        <w:kinsoku/>
        <w:wordWrap/>
        <w:overflowPunct/>
        <w:topLinePunct w:val="0"/>
        <w:autoSpaceDN/>
        <w:bidi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仿宋_GB2312" w:hAnsi="仿宋_GB2312" w:eastAsia="仿宋_GB2312" w:cs="仿宋_GB2312"/>
          <w:color w:val="auto"/>
          <w:sz w:val="32"/>
          <w:szCs w:val="32"/>
          <w:highlight w:val="none"/>
        </w:rPr>
        <w:t>省级2021年结转交通专项资金项目组织实施，</w:t>
      </w:r>
      <w:r>
        <w:rPr>
          <w:rFonts w:hint="eastAsia" w:ascii="仿宋_GB2312" w:hAnsi="仿宋" w:eastAsia="仿宋_GB2312" w:cs="仿宋"/>
          <w:color w:val="auto"/>
          <w:sz w:val="32"/>
          <w:szCs w:val="32"/>
          <w:highlight w:val="none"/>
        </w:rPr>
        <w:t>提升了我市水上交通安全和应急救援能力，提高了中心机房消防安全水平，增强</w:t>
      </w:r>
      <w:r>
        <w:rPr>
          <w:rFonts w:hint="eastAsia" w:ascii="仿宋_GB2312" w:hAnsi="仿宋" w:eastAsia="仿宋_GB2312" w:cs="仿宋"/>
          <w:color w:val="auto"/>
          <w:sz w:val="32"/>
          <w:szCs w:val="32"/>
          <w:highlight w:val="none"/>
          <w:lang w:val="en-US" w:eastAsia="zh-CN"/>
        </w:rPr>
        <w:t>了群众</w:t>
      </w:r>
      <w:r>
        <w:rPr>
          <w:rFonts w:hint="eastAsia" w:ascii="仿宋_GB2312" w:hAnsi="仿宋" w:eastAsia="仿宋_GB2312" w:cs="仿宋"/>
          <w:color w:val="auto"/>
          <w:sz w:val="32"/>
          <w:szCs w:val="32"/>
          <w:highlight w:val="none"/>
        </w:rPr>
        <w:t>对12328知晓度，提高</w:t>
      </w:r>
      <w:r>
        <w:rPr>
          <w:rFonts w:hint="eastAsia" w:ascii="仿宋_GB2312" w:hAnsi="仿宋" w:eastAsia="仿宋_GB2312" w:cs="仿宋"/>
          <w:color w:val="auto"/>
          <w:sz w:val="32"/>
          <w:szCs w:val="32"/>
          <w:highlight w:val="none"/>
          <w:lang w:val="en-US" w:eastAsia="zh-CN"/>
        </w:rPr>
        <w:t>了</w:t>
      </w:r>
      <w:r>
        <w:rPr>
          <w:rFonts w:hint="eastAsia" w:ascii="仿宋_GB2312" w:hAnsi="仿宋" w:eastAsia="仿宋_GB2312" w:cs="仿宋"/>
          <w:color w:val="auto"/>
          <w:sz w:val="32"/>
          <w:szCs w:val="32"/>
          <w:highlight w:val="none"/>
        </w:rPr>
        <w:t>数据规范和及时报送</w:t>
      </w:r>
      <w:r>
        <w:rPr>
          <w:rFonts w:hint="eastAsia" w:ascii="仿宋_GB2312" w:hAnsi="仿宋" w:eastAsia="仿宋_GB2312" w:cs="仿宋"/>
          <w:color w:val="auto"/>
          <w:sz w:val="32"/>
          <w:szCs w:val="32"/>
          <w:highlight w:val="none"/>
          <w:lang w:val="en-US" w:eastAsia="zh-CN"/>
        </w:rPr>
        <w:t>率</w:t>
      </w:r>
      <w:r>
        <w:rPr>
          <w:rFonts w:hint="eastAsia" w:ascii="仿宋_GB2312" w:hAnsi="仿宋" w:eastAsia="仿宋_GB2312" w:cs="仿宋"/>
          <w:color w:val="auto"/>
          <w:sz w:val="32"/>
          <w:szCs w:val="32"/>
          <w:highlight w:val="none"/>
        </w:rPr>
        <w:t>，提升</w:t>
      </w:r>
      <w:r>
        <w:rPr>
          <w:rFonts w:hint="eastAsia" w:ascii="仿宋_GB2312" w:hAnsi="仿宋" w:eastAsia="仿宋_GB2312" w:cs="仿宋"/>
          <w:color w:val="auto"/>
          <w:sz w:val="32"/>
          <w:szCs w:val="32"/>
          <w:highlight w:val="none"/>
          <w:lang w:val="en-US" w:eastAsia="zh-CN"/>
        </w:rPr>
        <w:t>了</w:t>
      </w:r>
      <w:r>
        <w:rPr>
          <w:rFonts w:hint="eastAsia" w:ascii="仿宋_GB2312" w:hAnsi="仿宋" w:eastAsia="仿宋_GB2312" w:cs="仿宋"/>
          <w:color w:val="auto"/>
          <w:sz w:val="32"/>
          <w:szCs w:val="32"/>
          <w:highlight w:val="none"/>
        </w:rPr>
        <w:t>应急处置能力,进一步</w:t>
      </w:r>
      <w:r>
        <w:rPr>
          <w:rFonts w:hint="eastAsia" w:ascii="仿宋_GB2312" w:hAnsi="仿宋" w:eastAsia="仿宋_GB2312" w:cs="仿宋"/>
          <w:color w:val="auto"/>
          <w:sz w:val="32"/>
          <w:szCs w:val="32"/>
          <w:highlight w:val="none"/>
          <w:lang w:val="en-US" w:eastAsia="zh-CN"/>
        </w:rPr>
        <w:t>提升了</w:t>
      </w:r>
      <w:r>
        <w:rPr>
          <w:rFonts w:hint="eastAsia" w:ascii="仿宋_GB2312" w:hAnsi="仿宋" w:eastAsia="仿宋_GB2312" w:cs="仿宋"/>
          <w:color w:val="auto"/>
          <w:sz w:val="32"/>
          <w:szCs w:val="32"/>
          <w:highlight w:val="none"/>
        </w:rPr>
        <w:t>网络安全。</w:t>
      </w:r>
    </w:p>
    <w:p>
      <w:pPr>
        <w:pageBreakBefore w:val="0"/>
        <w:widowControl w:val="0"/>
        <w:shd w:val="clear"/>
        <w:tabs>
          <w:tab w:val="left" w:pos="7560"/>
        </w:tabs>
        <w:kinsoku/>
        <w:wordWrap/>
        <w:overflowPunct/>
        <w:topLinePunct w:val="0"/>
        <w:autoSpaceDN/>
        <w:bidi w:val="0"/>
        <w:adjustRightInd w:val="0"/>
        <w:snapToGrid w:val="0"/>
        <w:spacing w:line="576" w:lineRule="exact"/>
        <w:ind w:firstLine="640" w:firstLineChars="200"/>
        <w:textAlignment w:val="auto"/>
        <w:outlineLvl w:val="1"/>
        <w:rPr>
          <w:rFonts w:ascii="黑体" w:hAnsi="宋体" w:eastAsia="黑体" w:cs="Times New Roman"/>
          <w:color w:val="auto"/>
          <w:sz w:val="32"/>
          <w:szCs w:val="32"/>
          <w:highlight w:val="none"/>
        </w:rPr>
      </w:pPr>
      <w:bookmarkStart w:id="569" w:name="_Toc10660"/>
      <w:bookmarkStart w:id="570" w:name="_Toc678638996_WPSOffice_Level2"/>
      <w:bookmarkStart w:id="571" w:name="_Toc662657284_WPSOffice_Level2"/>
      <w:bookmarkStart w:id="572" w:name="_Toc11206"/>
      <w:r>
        <w:rPr>
          <w:rFonts w:hint="eastAsia" w:ascii="黑体" w:hAnsi="宋体" w:eastAsia="黑体" w:cs="Times New Roman"/>
          <w:color w:val="auto"/>
          <w:sz w:val="32"/>
          <w:szCs w:val="32"/>
          <w:highlight w:val="none"/>
        </w:rPr>
        <w:t>五、评价结论及建议</w:t>
      </w:r>
      <w:bookmarkEnd w:id="569"/>
      <w:bookmarkEnd w:id="570"/>
      <w:bookmarkEnd w:id="571"/>
      <w:bookmarkEnd w:id="572"/>
      <w:r>
        <w:rPr>
          <w:rFonts w:ascii="黑体" w:hAnsi="宋体" w:eastAsia="黑体" w:cs="Times New Roman"/>
          <w:color w:val="auto"/>
          <w:sz w:val="32"/>
          <w:szCs w:val="32"/>
          <w:highlight w:val="none"/>
        </w:rPr>
        <w:tab/>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（一）评价结论</w:t>
      </w:r>
    </w:p>
    <w:p>
      <w:pPr>
        <w:pageBreakBefore w:val="0"/>
        <w:widowControl w:val="0"/>
        <w:shd w:val="clear"/>
        <w:kinsoku/>
        <w:wordWrap/>
        <w:overflowPunct/>
        <w:topLinePunct w:val="0"/>
        <w:autoSpaceDN/>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Times New Roman" w:eastAsia="仿宋_GB2312" w:cs="仿宋_GB2312"/>
          <w:color w:val="auto"/>
          <w:kern w:val="0"/>
          <w:sz w:val="32"/>
          <w:szCs w:val="32"/>
          <w:highlight w:val="none"/>
        </w:rPr>
        <w:t>该项目规划科学，决策依据充分，程序合法合规、资金到位及时拨付规范。项目自评得分100分</w:t>
      </w:r>
      <w:r>
        <w:rPr>
          <w:rFonts w:hint="eastAsia" w:ascii="仿宋_GB2312" w:hAnsi="仿宋_GB2312" w:eastAsia="仿宋_GB2312" w:cs="仿宋_GB2312"/>
          <w:color w:val="auto"/>
          <w:kern w:val="0"/>
          <w:sz w:val="32"/>
          <w:szCs w:val="32"/>
          <w:highlight w:val="none"/>
          <w:shd w:val="clear" w:color="auto" w:fill="FFFFFF"/>
          <w:lang w:val="zh-CN"/>
        </w:rPr>
        <w:t>。</w:t>
      </w: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（二）存在的问题</w:t>
      </w:r>
    </w:p>
    <w:p>
      <w:pPr>
        <w:widowControl w:val="0"/>
        <w:shd w:val="clear"/>
        <w:spacing w:line="576" w:lineRule="exact"/>
        <w:ind w:firstLine="640" w:firstLineChars="200"/>
        <w:jc w:val="left"/>
        <w:rPr>
          <w:rFonts w:ascii="仿宋_GB2312" w:hAnsi="仿宋" w:eastAsia="仿宋_GB2312" w:cs="仿宋"/>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主要表现在经费不足，比如，各类信息化系统建成后，后期维护经费不足。</w:t>
      </w:r>
      <w:r>
        <w:rPr>
          <w:rFonts w:hint="eastAsia" w:ascii="仿宋_GB2312" w:hAnsi="仿宋" w:eastAsia="仿宋_GB2312" w:cs="仿宋"/>
          <w:color w:val="auto"/>
          <w:kern w:val="2"/>
          <w:sz w:val="32"/>
          <w:szCs w:val="32"/>
          <w:highlight w:val="none"/>
          <w:lang w:val="en-US" w:eastAsia="zh-CN" w:bidi="ar-SA"/>
        </w:rPr>
        <w:t>水上安全培训资金无预算，不能满足水上应急救援队伍日常培训及训练工作。</w:t>
      </w:r>
    </w:p>
    <w:p>
      <w:pPr>
        <w:pageBreakBefore w:val="0"/>
        <w:widowControl w:val="0"/>
        <w:shd w:val="clear"/>
        <w:kinsoku/>
        <w:wordWrap/>
        <w:overflowPunct/>
        <w:topLinePunct w:val="0"/>
        <w:autoSpaceDN/>
        <w:bidi w:val="0"/>
        <w:spacing w:line="576" w:lineRule="exact"/>
        <w:ind w:firstLine="640" w:firstLineChars="200"/>
        <w:jc w:val="left"/>
        <w:textAlignment w:val="auto"/>
        <w:rPr>
          <w:rFonts w:ascii="仿宋_GB2312" w:hAnsi="仿宋" w:eastAsia="仿宋_GB2312" w:cs="仿宋"/>
          <w:color w:val="auto"/>
          <w:kern w:val="2"/>
          <w:sz w:val="32"/>
          <w:szCs w:val="32"/>
          <w:highlight w:val="none"/>
          <w:lang w:val="en-US" w:eastAsia="zh-CN" w:bidi="ar-SA"/>
        </w:rPr>
      </w:pPr>
    </w:p>
    <w:p>
      <w:pPr>
        <w:pageBreakBefore w:val="0"/>
        <w:widowControl w:val="0"/>
        <w:shd w:val="clear"/>
        <w:kinsoku/>
        <w:wordWrap/>
        <w:overflowPunct/>
        <w:topLinePunct w:val="0"/>
        <w:autoSpaceDN/>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（三）相关建议</w:t>
      </w:r>
    </w:p>
    <w:p>
      <w:pPr>
        <w:pageBreakBefore w:val="0"/>
        <w:widowControl w:val="0"/>
        <w:shd w:val="clear"/>
        <w:kinsoku/>
        <w:wordWrap/>
        <w:overflowPunct/>
        <w:topLinePunct w:val="0"/>
        <w:autoSpaceDN/>
        <w:bidi w:val="0"/>
        <w:spacing w:line="576" w:lineRule="exact"/>
        <w:ind w:firstLine="640" w:firstLineChars="200"/>
        <w:jc w:val="left"/>
        <w:textAlignment w:val="auto"/>
        <w:rPr>
          <w:rFonts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建议将信息化</w:t>
      </w:r>
      <w:r>
        <w:rPr>
          <w:rFonts w:hint="eastAsia" w:ascii="仿宋_GB2312" w:hAnsi="仿宋" w:eastAsia="仿宋_GB2312" w:cs="仿宋"/>
          <w:color w:val="auto"/>
          <w:kern w:val="2"/>
          <w:sz w:val="32"/>
          <w:szCs w:val="32"/>
          <w:highlight w:val="none"/>
          <w:lang w:val="en-US" w:eastAsia="zh-CN" w:bidi="ar-SA"/>
        </w:rPr>
        <w:t>系统维护经费和水上安全培训经费</w:t>
      </w:r>
      <w:r>
        <w:rPr>
          <w:rFonts w:hint="eastAsia" w:ascii="仿宋_GB2312" w:hAnsi="Calibri" w:eastAsia="仿宋_GB2312" w:cs="Times New Roman"/>
          <w:color w:val="auto"/>
          <w:kern w:val="2"/>
          <w:sz w:val="32"/>
          <w:szCs w:val="32"/>
          <w:highlight w:val="none"/>
          <w:lang w:val="en-US" w:eastAsia="zh-CN" w:bidi="ar-SA"/>
        </w:rPr>
        <w:t>纳入财政预算。</w:t>
      </w:r>
    </w:p>
    <w:p>
      <w:pPr>
        <w:shd w:val="clear"/>
        <w:rPr>
          <w:rFonts w:hint="eastAsia" w:hAnsi="宋体" w:cs="宋体"/>
          <w:color w:val="auto"/>
          <w:kern w:val="0"/>
          <w:sz w:val="32"/>
          <w:szCs w:val="32"/>
          <w:highlight w:val="none"/>
          <w:shd w:val="clear" w:color="auto" w:fill="FFFFFF"/>
          <w:lang w:val="en-US" w:eastAsia="zh-CN"/>
        </w:rPr>
      </w:pP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shd w:val="clea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附件24：</w:t>
      </w:r>
    </w:p>
    <w:p>
      <w:pPr>
        <w:widowControl w:val="0"/>
        <w:shd w:val="clear"/>
        <w:spacing w:line="578" w:lineRule="exact"/>
        <w:jc w:val="center"/>
        <w:outlineLvl w:val="1"/>
        <w:rPr>
          <w:rFonts w:hint="eastAsia" w:ascii="方正小标宋_GBK" w:hAnsi="方正小标宋_GBK" w:eastAsia="方正小标宋_GBK" w:cs="方正小标宋_GBK"/>
          <w:color w:val="auto"/>
          <w:kern w:val="2"/>
          <w:sz w:val="44"/>
          <w:szCs w:val="44"/>
          <w:highlight w:val="none"/>
          <w:lang w:val="en-US" w:eastAsia="zh-CN" w:bidi="ar-SA"/>
        </w:rPr>
      </w:pPr>
      <w:bookmarkStart w:id="573" w:name="_Toc26153"/>
      <w:bookmarkStart w:id="574" w:name="_Toc24900"/>
      <w:r>
        <w:rPr>
          <w:rFonts w:hint="eastAsia" w:ascii="方正小标宋_GBK" w:hAnsi="方正小标宋_GBK" w:eastAsia="方正小标宋_GBK" w:cs="方正小标宋_GBK"/>
          <w:color w:val="auto"/>
          <w:kern w:val="2"/>
          <w:sz w:val="44"/>
          <w:szCs w:val="44"/>
          <w:highlight w:val="none"/>
          <w:lang w:val="en-US" w:eastAsia="zh-CN" w:bidi="ar-SA"/>
        </w:rPr>
        <w:t>广元市交通运输指挥中心</w:t>
      </w:r>
      <w:bookmarkEnd w:id="573"/>
      <w:bookmarkEnd w:id="574"/>
    </w:p>
    <w:p>
      <w:pPr>
        <w:widowControl w:val="0"/>
        <w:shd w:val="clear"/>
        <w:spacing w:line="578" w:lineRule="exact"/>
        <w:jc w:val="center"/>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2022年省级交通专项资金（中央财政政府还贷二级公路取消收费后补助资金）项目支出绩效自评报告</w:t>
      </w:r>
    </w:p>
    <w:p>
      <w:pPr>
        <w:widowControl w:val="0"/>
        <w:shd w:val="clear"/>
        <w:spacing w:line="578" w:lineRule="exact"/>
        <w:ind w:firstLine="640"/>
        <w:jc w:val="center"/>
        <w:rPr>
          <w:rFonts w:ascii="宋体" w:hAnsi="宋体" w:eastAsia="宋体" w:cs="Times New Roman"/>
          <w:color w:val="auto"/>
          <w:kern w:val="2"/>
          <w:sz w:val="32"/>
          <w:szCs w:val="32"/>
          <w:highlight w:val="none"/>
          <w:lang w:val="zh-CN" w:eastAsia="zh-CN" w:bidi="ar-SA"/>
        </w:rPr>
      </w:pPr>
    </w:p>
    <w:p>
      <w:pPr>
        <w:shd w:val="clear"/>
        <w:adjustRightInd w:val="0"/>
        <w:snapToGrid w:val="0"/>
        <w:spacing w:line="578" w:lineRule="exact"/>
        <w:ind w:firstLine="640" w:firstLineChars="200"/>
        <w:outlineLvl w:val="1"/>
        <w:rPr>
          <w:rFonts w:ascii="黑体" w:hAnsi="宋体" w:eastAsia="黑体" w:cs="Times New Roman"/>
          <w:color w:val="auto"/>
          <w:sz w:val="32"/>
          <w:szCs w:val="32"/>
          <w:highlight w:val="none"/>
          <w:lang w:val="zh-CN"/>
        </w:rPr>
      </w:pPr>
      <w:bookmarkStart w:id="575" w:name="_Toc20124"/>
      <w:bookmarkStart w:id="576" w:name="_Toc16943"/>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575"/>
      <w:bookmarkEnd w:id="576"/>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（一）项目基本情况</w:t>
      </w:r>
    </w:p>
    <w:p>
      <w:pPr>
        <w:shd w:val="clear"/>
        <w:adjustRightInd w:val="0"/>
        <w:snapToGrid w:val="0"/>
        <w:spacing w:line="578" w:lineRule="exact"/>
        <w:ind w:firstLine="640" w:firstLineChars="200"/>
        <w:contextualSpacing/>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w:t>
      </w:r>
      <w:r>
        <w:rPr>
          <w:rFonts w:hint="eastAsia" w:ascii="仿宋_GB2312" w:hAnsi="Times New Roman" w:eastAsia="仿宋_GB2312" w:cs="仿宋_GB2312"/>
          <w:color w:val="auto"/>
          <w:kern w:val="0"/>
          <w:sz w:val="32"/>
          <w:szCs w:val="32"/>
          <w:highlight w:val="none"/>
          <w:lang w:val="en-US" w:eastAsia="zh-CN"/>
        </w:rPr>
        <w:t>主管单位的</w:t>
      </w:r>
      <w:r>
        <w:rPr>
          <w:rFonts w:hint="eastAsia" w:ascii="仿宋_GB2312" w:hAnsi="Times New Roman" w:eastAsia="仿宋_GB2312" w:cs="仿宋_GB2312"/>
          <w:color w:val="auto"/>
          <w:kern w:val="0"/>
          <w:sz w:val="32"/>
          <w:szCs w:val="32"/>
          <w:highlight w:val="none"/>
        </w:rPr>
        <w:t>管理职能。</w:t>
      </w:r>
      <w:r>
        <w:rPr>
          <w:rFonts w:hint="eastAsia" w:ascii="仿宋_GB2312" w:hAnsi="仿宋_GB2312" w:eastAsia="仿宋_GB2312" w:cs="仿宋_GB2312"/>
          <w:color w:val="auto"/>
          <w:kern w:val="0"/>
          <w:sz w:val="32"/>
          <w:szCs w:val="32"/>
          <w:highlight w:val="none"/>
          <w:shd w:val="clear" w:color="auto" w:fill="FFFFFF"/>
          <w:lang w:val="zh-CN"/>
        </w:rPr>
        <w:t>我中心主要负责</w:t>
      </w:r>
      <w:r>
        <w:rPr>
          <w:rFonts w:hint="eastAsia" w:ascii="仿宋_GB2312" w:hAnsi="Times New Roman" w:eastAsia="仿宋_GB2312" w:cs="Times New Roman"/>
          <w:color w:val="auto"/>
          <w:sz w:val="32"/>
          <w:szCs w:val="32"/>
          <w:highlight w:val="none"/>
        </w:rPr>
        <w:t>全市交通运输系统电子信息网络、自动化网络的建设和维护管理；负责交通突发公共事件的检测预警、信息报告、综合研判、辅助决策、指挥调度、应急联动和异地会商，加强交通战备、防洪抢险和协调指挥、监控等。承担涉及水上应急救援培训指导，组织开展水上应急救援演练等相关事务性工作。承担12328</w:t>
      </w:r>
      <w:r>
        <w:rPr>
          <w:rFonts w:hint="eastAsia" w:ascii="仿宋_GB2312" w:hAnsi="Times New Roman" w:eastAsia="仿宋_GB2312" w:cs="Times New Roman"/>
          <w:color w:val="auto"/>
          <w:sz w:val="32"/>
          <w:szCs w:val="32"/>
          <w:highlight w:val="none"/>
          <w:lang w:val="en-US" w:eastAsia="zh-CN"/>
        </w:rPr>
        <w:t>交通运输服务监督电话管理</w:t>
      </w:r>
      <w:r>
        <w:rPr>
          <w:rFonts w:hint="eastAsia" w:ascii="仿宋_GB2312" w:hAnsi="Times New Roman" w:eastAsia="仿宋_GB2312" w:cs="Times New Roman"/>
          <w:color w:val="auto"/>
          <w:sz w:val="32"/>
          <w:szCs w:val="32"/>
          <w:highlight w:val="none"/>
        </w:rPr>
        <w:t>工作。</w:t>
      </w:r>
    </w:p>
    <w:p>
      <w:pPr>
        <w:shd w:val="clear"/>
        <w:adjustRightInd w:val="0"/>
        <w:snapToGrid w:val="0"/>
        <w:spacing w:line="578" w:lineRule="exact"/>
        <w:ind w:firstLine="640" w:firstLineChars="200"/>
        <w:contextualSpacing/>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zh-CN"/>
        </w:rPr>
        <w:t>2.项目立项、资金申报的依据。</w:t>
      </w:r>
      <w:r>
        <w:rPr>
          <w:rFonts w:hint="eastAsia" w:ascii="仿宋_GB2312" w:hAnsi="仿宋_GB2312" w:eastAsia="仿宋_GB2312" w:cs="仿宋_GB2312"/>
          <w:color w:val="auto"/>
          <w:kern w:val="0"/>
          <w:sz w:val="32"/>
          <w:szCs w:val="32"/>
          <w:highlight w:val="none"/>
          <w:shd w:val="clear" w:color="auto" w:fill="FFFFFF"/>
          <w:lang w:val="en-US" w:eastAsia="zh-CN"/>
        </w:rPr>
        <w:t>一是省级层面。</w:t>
      </w:r>
      <w:r>
        <w:rPr>
          <w:rFonts w:hint="eastAsia" w:ascii="仿宋_GB2312" w:hAnsi="仿宋_GB2312" w:eastAsia="仿宋_GB2312" w:cs="仿宋_GB2312"/>
          <w:color w:val="auto"/>
          <w:kern w:val="0"/>
          <w:sz w:val="32"/>
          <w:szCs w:val="32"/>
          <w:highlight w:val="none"/>
          <w:shd w:val="clear" w:color="auto" w:fill="FFFFFF"/>
        </w:rPr>
        <w:t>省交通运输厅《</w:t>
      </w:r>
      <w:r>
        <w:rPr>
          <w:rFonts w:ascii="仿宋_GB2312" w:hAnsi="仿宋_GB2312" w:eastAsia="仿宋_GB2312" w:cs="仿宋_GB2312"/>
          <w:color w:val="auto"/>
          <w:kern w:val="0"/>
          <w:sz w:val="32"/>
          <w:szCs w:val="32"/>
          <w:highlight w:val="none"/>
          <w:shd w:val="clear" w:color="auto" w:fill="FFFFFF"/>
        </w:rPr>
        <w:t>关于印发</w:t>
      </w:r>
      <w:r>
        <w:rPr>
          <w:rFonts w:hint="eastAsia" w:ascii="仿宋_GB2312" w:hAnsi="仿宋_GB2312" w:eastAsia="仿宋_GB2312" w:cs="仿宋_GB2312"/>
          <w:color w:val="auto"/>
          <w:kern w:val="0"/>
          <w:sz w:val="32"/>
          <w:szCs w:val="32"/>
          <w:highlight w:val="none"/>
          <w:shd w:val="clear" w:color="auto" w:fill="FFFFFF"/>
        </w:rPr>
        <w:t>〈</w:t>
      </w:r>
      <w:r>
        <w:rPr>
          <w:rFonts w:ascii="仿宋_GB2312" w:hAnsi="仿宋_GB2312" w:eastAsia="仿宋_GB2312" w:cs="仿宋_GB2312"/>
          <w:color w:val="auto"/>
          <w:kern w:val="0"/>
          <w:sz w:val="32"/>
          <w:szCs w:val="32"/>
          <w:highlight w:val="none"/>
          <w:shd w:val="clear" w:color="auto" w:fill="FFFFFF"/>
        </w:rPr>
        <w:t>四川省普通公路超限检测站电子抓拍系统规范建设工作方案</w:t>
      </w:r>
      <w:r>
        <w:rPr>
          <w:rFonts w:hint="eastAsia" w:ascii="仿宋_GB2312" w:hAnsi="仿宋_GB2312" w:eastAsia="仿宋_GB2312" w:cs="仿宋_GB2312"/>
          <w:color w:val="auto"/>
          <w:kern w:val="0"/>
          <w:sz w:val="32"/>
          <w:szCs w:val="32"/>
          <w:highlight w:val="none"/>
          <w:shd w:val="clear" w:color="auto" w:fill="FFFFFF"/>
        </w:rPr>
        <w:t>〉</w:t>
      </w:r>
      <w:r>
        <w:rPr>
          <w:rFonts w:ascii="仿宋_GB2312" w:hAnsi="仿宋_GB2312" w:eastAsia="仿宋_GB2312" w:cs="仿宋_GB2312"/>
          <w:color w:val="auto"/>
          <w:kern w:val="0"/>
          <w:sz w:val="32"/>
          <w:szCs w:val="32"/>
          <w:highlight w:val="none"/>
          <w:shd w:val="clear" w:color="auto" w:fill="FFFFFF"/>
        </w:rPr>
        <w:t>的通知</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lang w:val="en-US" w:eastAsia="zh-CN"/>
        </w:rPr>
        <w:t>和</w:t>
      </w:r>
      <w:r>
        <w:rPr>
          <w:rFonts w:hint="eastAsia" w:ascii="仿宋_GB2312" w:hAnsi="仿宋_GB2312" w:eastAsia="仿宋_GB2312" w:cs="仿宋_GB2312"/>
          <w:color w:val="auto"/>
          <w:kern w:val="0"/>
          <w:sz w:val="32"/>
          <w:szCs w:val="32"/>
          <w:highlight w:val="none"/>
          <w:shd w:val="clear" w:color="auto" w:fill="FFFFFF"/>
          <w:lang w:val="zh-CN"/>
        </w:rPr>
        <w:t>省交通运输厅公路局《</w:t>
      </w:r>
      <w:r>
        <w:rPr>
          <w:rFonts w:ascii="仿宋_GB2312" w:hAnsi="仿宋_GB2312" w:eastAsia="仿宋_GB2312" w:cs="仿宋_GB2312"/>
          <w:color w:val="auto"/>
          <w:kern w:val="0"/>
          <w:sz w:val="32"/>
          <w:szCs w:val="32"/>
          <w:highlight w:val="none"/>
          <w:shd w:val="clear" w:color="auto" w:fill="FFFFFF"/>
          <w:lang w:val="zh-CN"/>
        </w:rPr>
        <w:t>关于进一步加强普通公路超限检测站电子抓拍系统建设相关工作的通知</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shd w:val="clear" w:color="auto" w:fill="FFFFFF"/>
          <w:lang w:val="en-US" w:eastAsia="zh-CN"/>
        </w:rPr>
        <w:t>二是市级层面。</w:t>
      </w:r>
      <w:r>
        <w:rPr>
          <w:rFonts w:ascii="Times New Roman" w:hAnsi="Times New Roman" w:eastAsia="仿宋_GB2312" w:cs="Times New Roman"/>
          <w:color w:val="auto"/>
          <w:sz w:val="32"/>
          <w:szCs w:val="32"/>
          <w:highlight w:val="none"/>
        </w:rPr>
        <w:t>市交通运输局《关于印发广元市普通公路超限检测站电子抓拍系统建设方案》</w:t>
      </w:r>
    </w:p>
    <w:p>
      <w:pPr>
        <w:pageBreakBefore w:val="0"/>
        <w:widowControl w:val="0"/>
        <w:shd w:val="clear"/>
        <w:kinsoku/>
        <w:wordWrap/>
        <w:overflowPunct/>
        <w:topLinePunct w:val="0"/>
        <w:autoSpaceDN/>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3.</w:t>
      </w:r>
      <w:r>
        <w:rPr>
          <w:rFonts w:hint="eastAsia" w:ascii="仿宋_GB2312" w:hAnsi="仿宋_GB2312" w:eastAsia="仿宋_GB2312" w:cs="仿宋_GB2312"/>
          <w:color w:val="auto"/>
          <w:kern w:val="0"/>
          <w:sz w:val="32"/>
          <w:szCs w:val="32"/>
          <w:highlight w:val="none"/>
          <w:shd w:val="clear" w:color="auto" w:fill="FFFFFF"/>
        </w:rPr>
        <w:t>项目</w:t>
      </w:r>
      <w:r>
        <w:rPr>
          <w:rFonts w:hint="eastAsia" w:ascii="仿宋_GB2312" w:hAnsi="仿宋_GB2312" w:eastAsia="仿宋_GB2312" w:cs="仿宋_GB2312"/>
          <w:color w:val="auto"/>
          <w:kern w:val="0"/>
          <w:sz w:val="32"/>
          <w:szCs w:val="32"/>
          <w:highlight w:val="none"/>
          <w:shd w:val="clear" w:color="auto" w:fill="FFFFFF"/>
          <w:lang w:val="zh-CN"/>
        </w:rPr>
        <w:t>管理情况。</w:t>
      </w:r>
      <w:r>
        <w:rPr>
          <w:rFonts w:hint="eastAsia" w:ascii="仿宋_GB2312" w:hAnsi="宋体" w:eastAsia="仿宋_GB2312" w:cs="Times New Roman"/>
          <w:color w:val="auto"/>
          <w:sz w:val="32"/>
          <w:szCs w:val="32"/>
          <w:highlight w:val="none"/>
        </w:rPr>
        <w:t>我中心严格执行市委市政府、市财政局和市交通运输局制定的相关制度，财务制度健全，会计核算规范，</w:t>
      </w:r>
      <w:r>
        <w:rPr>
          <w:rFonts w:hint="eastAsia" w:ascii="仿宋_GB2312" w:hAnsi="宋体" w:eastAsia="仿宋_GB2312" w:cs="Times New Roman"/>
          <w:color w:val="auto"/>
          <w:sz w:val="32"/>
          <w:szCs w:val="32"/>
          <w:highlight w:val="none"/>
          <w:lang w:val="en-US" w:eastAsia="zh-CN"/>
        </w:rPr>
        <w:t>完善</w:t>
      </w:r>
      <w:r>
        <w:rPr>
          <w:rFonts w:hint="eastAsia" w:ascii="仿宋_GB2312" w:hAnsi="宋体" w:eastAsia="仿宋_GB2312" w:cs="Times New Roman"/>
          <w:color w:val="auto"/>
          <w:sz w:val="32"/>
          <w:szCs w:val="32"/>
          <w:highlight w:val="none"/>
        </w:rPr>
        <w:t>了必要的财务监控和内部控制制度，资金管理、使用符合国家财经法规和财务管理制度等</w:t>
      </w:r>
      <w:r>
        <w:rPr>
          <w:rFonts w:hint="eastAsia" w:ascii="仿宋_GB2312" w:hAnsi="仿宋_GB2312" w:eastAsia="仿宋_GB2312" w:cs="仿宋_GB2312"/>
          <w:color w:val="auto"/>
          <w:kern w:val="0"/>
          <w:sz w:val="32"/>
          <w:szCs w:val="32"/>
          <w:highlight w:val="none"/>
          <w:shd w:val="clear" w:color="auto" w:fill="FFFFFF"/>
        </w:rPr>
        <w:t>。</w:t>
      </w:r>
    </w:p>
    <w:p>
      <w:pPr>
        <w:shd w:val="clear"/>
        <w:adjustRightInd w:val="0"/>
        <w:snapToGrid w:val="0"/>
        <w:spacing w:line="578" w:lineRule="exact"/>
        <w:ind w:firstLine="640" w:firstLineChars="200"/>
        <w:contextualSpacing/>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4.资金分配的原则及考虑因素。</w:t>
      </w:r>
      <w:r>
        <w:rPr>
          <w:rFonts w:hint="eastAsia" w:ascii="仿宋_GB2312" w:hAnsi="Times New Roman" w:eastAsia="仿宋_GB2312" w:cs="仿宋_GB2312"/>
          <w:color w:val="auto"/>
          <w:kern w:val="0"/>
          <w:sz w:val="32"/>
          <w:szCs w:val="32"/>
          <w:highlight w:val="none"/>
        </w:rPr>
        <w:t>我中心资金分配坚持“专款专用”原则，按照“三重一大”的要求，由业务科室根据实际情况报指挥中心主任办公会议审定实施项目后，按照项目实施进度支付资金。</w:t>
      </w:r>
    </w:p>
    <w:p>
      <w:pPr>
        <w:shd w:val="clear"/>
        <w:adjustRightInd w:val="0"/>
        <w:snapToGrid w:val="0"/>
        <w:spacing w:line="578" w:lineRule="exact"/>
        <w:ind w:firstLine="640" w:firstLineChars="200"/>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（二）项目绩效目标</w:t>
      </w:r>
    </w:p>
    <w:p>
      <w:pPr>
        <w:shd w:val="clear"/>
        <w:adjustRightInd w:val="0"/>
        <w:snapToGrid w:val="0"/>
        <w:spacing w:line="578" w:lineRule="exact"/>
        <w:ind w:firstLine="640" w:firstLineChars="200"/>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1.项目主要内容。</w:t>
      </w:r>
      <w:r>
        <w:rPr>
          <w:rFonts w:hint="eastAsia" w:ascii="仿宋_GB2312" w:hAnsi="仿宋" w:eastAsia="仿宋_GB2312" w:cs="仿宋"/>
          <w:color w:val="auto"/>
          <w:sz w:val="32"/>
          <w:szCs w:val="32"/>
          <w:highlight w:val="none"/>
        </w:rPr>
        <w:t>普通公路超限监测站电子抓拍系统建设以及普通公路超限检测站地磅入站数据接入和通讯链路费用。</w:t>
      </w:r>
    </w:p>
    <w:p>
      <w:pPr>
        <w:shd w:val="clear"/>
        <w:spacing w:line="576" w:lineRule="exact"/>
        <w:ind w:firstLine="640" w:firstLineChars="200"/>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val="zh-CN"/>
        </w:rPr>
        <w:t>2.项目绩效目标。</w:t>
      </w:r>
      <w:r>
        <w:rPr>
          <w:rFonts w:hint="eastAsia" w:ascii="仿宋_GB2312" w:hAnsi="仿宋_GB2312" w:eastAsia="仿宋_GB2312" w:cs="仿宋_GB2312"/>
          <w:color w:val="auto"/>
          <w:kern w:val="0"/>
          <w:sz w:val="32"/>
          <w:szCs w:val="32"/>
          <w:highlight w:val="none"/>
          <w:shd w:val="clear" w:color="auto" w:fill="FFFFFF"/>
        </w:rPr>
        <w:t>根据</w:t>
      </w:r>
      <w:r>
        <w:rPr>
          <w:rFonts w:hint="eastAsia" w:ascii="仿宋_GB2312" w:hAnsi="Times New Roman" w:eastAsia="仿宋_GB2312" w:cs="仿宋_GB2312"/>
          <w:color w:val="auto"/>
          <w:kern w:val="0"/>
          <w:sz w:val="32"/>
          <w:szCs w:val="32"/>
          <w:highlight w:val="none"/>
        </w:rPr>
        <w:t>年初绩效目标申报</w:t>
      </w:r>
      <w:r>
        <w:rPr>
          <w:rFonts w:hint="eastAsia" w:ascii="仿宋_GB2312" w:hAnsi="仿宋_GB2312" w:eastAsia="仿宋_GB2312" w:cs="仿宋_GB2312"/>
          <w:color w:val="auto"/>
          <w:kern w:val="0"/>
          <w:sz w:val="32"/>
          <w:szCs w:val="32"/>
          <w:highlight w:val="none"/>
          <w:shd w:val="clear" w:color="auto" w:fill="FFFFFF"/>
        </w:rPr>
        <w:t>，组织开展</w:t>
      </w:r>
      <w:r>
        <w:rPr>
          <w:rFonts w:hint="eastAsia" w:ascii="仿宋_GB2312" w:hAnsi="仿宋" w:eastAsia="仿宋_GB2312" w:cs="仿宋"/>
          <w:color w:val="auto"/>
          <w:sz w:val="32"/>
          <w:szCs w:val="32"/>
          <w:highlight w:val="none"/>
        </w:rPr>
        <w:t>普通公路超限监测站电子抓拍系统建设以及普通公路超限检测站地磅入站数据接入任务。</w:t>
      </w:r>
    </w:p>
    <w:p>
      <w:pPr>
        <w:shd w:val="clear"/>
        <w:adjustRightInd w:val="0"/>
        <w:snapToGrid w:val="0"/>
        <w:spacing w:line="578" w:lineRule="exact"/>
        <w:ind w:firstLine="640" w:firstLineChars="200"/>
        <w:contextualSpacing/>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3.绩效申报内容与实际相符，申报目标合理可行。</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（三）项目自评步骤及方法</w:t>
      </w:r>
    </w:p>
    <w:p>
      <w:pPr>
        <w:shd w:val="clear"/>
        <w:autoSpaceDE w:val="0"/>
        <w:spacing w:line="560" w:lineRule="exact"/>
        <w:ind w:firstLine="640" w:firstLineChars="200"/>
        <w:rPr>
          <w:rFonts w:ascii="仿宋_GB2312" w:hAnsi="Times New Roman" w:eastAsia="仿宋_GB2312" w:cs="仿宋_GB2312"/>
          <w:color w:val="auto"/>
          <w:kern w:val="0"/>
          <w:sz w:val="32"/>
          <w:szCs w:val="32"/>
          <w:highlight w:val="none"/>
        </w:rPr>
      </w:pPr>
      <w:r>
        <w:rPr>
          <w:rFonts w:hint="eastAsia" w:ascii="仿宋_GB2312" w:hAnsi="Times New Roman" w:eastAsia="仿宋_GB2312" w:cs="仿宋_GB2312"/>
          <w:color w:val="auto"/>
          <w:kern w:val="0"/>
          <w:sz w:val="32"/>
          <w:szCs w:val="32"/>
          <w:highlight w:val="none"/>
        </w:rPr>
        <w:t>根据预算绩效管理要求，我中心由财务室牵头，相关科室紧密配合，比照《2023年市级专项资金预算项目支出绩效评价指标体系》和年初绩效目标申报，依据“谁申报、谁自评、谁绩效”的原则，采用成本效益分析法，对该项目产出完成、项目效益、财务管理、满意度等方面进行了认真全面的绩效自评。经自评，项目支出绩效情况良好。</w:t>
      </w:r>
    </w:p>
    <w:p>
      <w:pPr>
        <w:shd w:val="clear"/>
        <w:adjustRightInd w:val="0"/>
        <w:snapToGrid w:val="0"/>
        <w:spacing w:line="578" w:lineRule="exact"/>
        <w:ind w:firstLine="640" w:firstLineChars="200"/>
        <w:outlineLvl w:val="1"/>
        <w:rPr>
          <w:rFonts w:ascii="黑体" w:hAnsi="宋体" w:eastAsia="黑体" w:cs="Times New Roman"/>
          <w:color w:val="auto"/>
          <w:sz w:val="32"/>
          <w:szCs w:val="32"/>
          <w:highlight w:val="none"/>
        </w:rPr>
      </w:pPr>
      <w:bookmarkStart w:id="577" w:name="_Toc16025"/>
      <w:bookmarkStart w:id="578" w:name="_Toc27707"/>
      <w:r>
        <w:rPr>
          <w:rFonts w:hint="eastAsia" w:ascii="黑体" w:hAnsi="宋体" w:eastAsia="黑体" w:cs="Times New Roman"/>
          <w:color w:val="auto"/>
          <w:sz w:val="32"/>
          <w:szCs w:val="32"/>
          <w:highlight w:val="none"/>
        </w:rPr>
        <w:t>二、项目资金申报及使用情况</w:t>
      </w:r>
      <w:bookmarkEnd w:id="577"/>
      <w:bookmarkEnd w:id="578"/>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（一）项目资金申报及批复情况</w:t>
      </w:r>
    </w:p>
    <w:p>
      <w:pPr>
        <w:shd w:val="clear"/>
        <w:adjustRightInd w:val="0"/>
        <w:snapToGrid w:val="0"/>
        <w:spacing w:line="578"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2022年，我中心申报</w:t>
      </w:r>
      <w:r>
        <w:rPr>
          <w:rFonts w:hint="eastAsia" w:ascii="仿宋_GB2312" w:hAnsi="仿宋_GB2312" w:eastAsia="仿宋_GB2312" w:cs="仿宋_GB2312"/>
          <w:color w:val="auto"/>
          <w:sz w:val="32"/>
          <w:szCs w:val="32"/>
          <w:highlight w:val="none"/>
        </w:rPr>
        <w:t>省级交通专项资金（中央财政政府还贷二级公路取消收费后补助资金）项目44万元，</w:t>
      </w:r>
      <w:r>
        <w:rPr>
          <w:rFonts w:hint="eastAsia" w:ascii="仿宋_GB2312" w:hAnsi="仿宋" w:eastAsia="仿宋_GB2312" w:cs="仿宋"/>
          <w:color w:val="auto"/>
          <w:sz w:val="32"/>
          <w:szCs w:val="32"/>
          <w:highlight w:val="none"/>
        </w:rPr>
        <w:t>财政部门按申报金额进行了批复。</w:t>
      </w:r>
    </w:p>
    <w:p>
      <w:pPr>
        <w:shd w:val="clear"/>
        <w:adjustRightInd w:val="0"/>
        <w:snapToGrid w:val="0"/>
        <w:spacing w:line="578" w:lineRule="exact"/>
        <w:ind w:firstLine="640" w:firstLineChars="200"/>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（二）资金计划、到位及使用情况</w:t>
      </w:r>
    </w:p>
    <w:p>
      <w:pPr>
        <w:shd w:val="clear"/>
        <w:adjustRightInd w:val="0"/>
        <w:snapToGrid w:val="0"/>
        <w:spacing w:line="578" w:lineRule="exact"/>
        <w:ind w:firstLine="640" w:firstLineChars="200"/>
        <w:contextualSpacing/>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1.资金计划及到位情况。</w:t>
      </w:r>
      <w:r>
        <w:rPr>
          <w:rFonts w:hint="eastAsia" w:ascii="仿宋_GB2312" w:hAnsi="仿宋" w:eastAsia="仿宋_GB2312" w:cs="仿宋"/>
          <w:color w:val="auto"/>
          <w:sz w:val="32"/>
          <w:szCs w:val="32"/>
          <w:highlight w:val="none"/>
        </w:rPr>
        <w:t>2022年，</w:t>
      </w:r>
      <w:r>
        <w:rPr>
          <w:rFonts w:hint="eastAsia" w:ascii="仿宋_GB2312" w:hAnsi="仿宋_GB2312" w:eastAsia="仿宋_GB2312" w:cs="仿宋_GB2312"/>
          <w:color w:val="auto"/>
          <w:sz w:val="32"/>
          <w:szCs w:val="32"/>
          <w:highlight w:val="none"/>
        </w:rPr>
        <w:t>省级交通专项资金（中央财政政府还贷二级公路取消收费后补助资金）项目预算44万元，</w:t>
      </w:r>
      <w:r>
        <w:rPr>
          <w:rFonts w:hint="eastAsia" w:ascii="仿宋_GB2312" w:hAnsi="宋体" w:eastAsia="仿宋_GB2312" w:cs="Times New Roman"/>
          <w:color w:val="auto"/>
          <w:sz w:val="32"/>
          <w:szCs w:val="32"/>
          <w:highlight w:val="none"/>
        </w:rPr>
        <w:t>于2022年7月市财政局预算批复时全部到位。</w:t>
      </w:r>
    </w:p>
    <w:p>
      <w:pPr>
        <w:shd w:val="clear"/>
        <w:adjustRightInd w:val="0"/>
        <w:snapToGrid w:val="0"/>
        <w:spacing w:line="576" w:lineRule="exact"/>
        <w:ind w:firstLine="640" w:firstLineChars="200"/>
        <w:rPr>
          <w:rFonts w:hint="eastAsia" w:ascii="仿宋_GB2312" w:hAnsi="仿宋" w:eastAsia="仿宋_GB2312" w:cs="仿宋"/>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资金使用。省级交通专项资金（中央财政政府还贷二级公路取消收费后补助资金）项目</w:t>
      </w:r>
      <w:r>
        <w:rPr>
          <w:rFonts w:hint="eastAsia" w:ascii="仿宋_GB2312" w:hAnsi="仿宋" w:eastAsia="仿宋_GB2312" w:cs="仿宋"/>
          <w:color w:val="auto"/>
          <w:sz w:val="32"/>
          <w:szCs w:val="32"/>
          <w:highlight w:val="none"/>
        </w:rPr>
        <w:t>费用44万元，于2022年全部执行完毕，主要用于支付普通公路超限监测站电子抓拍系统建设费用以及普通公路超限检测站地磅入站数据接入和通讯链路费用。</w:t>
      </w:r>
    </w:p>
    <w:p>
      <w:pPr>
        <w:shd w:val="clear"/>
        <w:adjustRightInd w:val="0"/>
        <w:snapToGrid w:val="0"/>
        <w:spacing w:line="576"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（三）项目财务管理情况</w:t>
      </w:r>
    </w:p>
    <w:p>
      <w:pPr>
        <w:shd w:val="clear"/>
        <w:adjustRightInd w:val="0"/>
        <w:snapToGrid w:val="0"/>
        <w:spacing w:line="578" w:lineRule="exact"/>
        <w:ind w:firstLine="640" w:firstLineChars="200"/>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宋体" w:eastAsia="仿宋_GB2312" w:cs="Times New Roman"/>
          <w:color w:val="auto"/>
          <w:sz w:val="32"/>
          <w:szCs w:val="32"/>
          <w:highlight w:val="none"/>
        </w:rPr>
        <w:t>我中心严格执行市委市政府、市财政局和市交通运输局制定的相关制度，财务制度健全，会计核算规范，</w:t>
      </w:r>
      <w:r>
        <w:rPr>
          <w:rFonts w:hint="eastAsia" w:ascii="仿宋_GB2312" w:hAnsi="宋体" w:eastAsia="仿宋_GB2312" w:cs="Times New Roman"/>
          <w:color w:val="auto"/>
          <w:sz w:val="32"/>
          <w:szCs w:val="32"/>
          <w:highlight w:val="none"/>
          <w:lang w:val="en-US" w:eastAsia="zh-CN"/>
        </w:rPr>
        <w:t>完善</w:t>
      </w:r>
      <w:r>
        <w:rPr>
          <w:rFonts w:hint="eastAsia" w:ascii="仿宋_GB2312" w:hAnsi="宋体" w:eastAsia="仿宋_GB2312" w:cs="Times New Roman"/>
          <w:color w:val="auto"/>
          <w:sz w:val="32"/>
          <w:szCs w:val="32"/>
          <w:highlight w:val="none"/>
        </w:rPr>
        <w:t>了必要的财务监控和内部控制制度，资金管理、使用符合国家财经法规和财务管理制度等</w:t>
      </w:r>
      <w:r>
        <w:rPr>
          <w:rFonts w:hint="eastAsia" w:ascii="仿宋_GB2312" w:hAnsi="仿宋_GB2312" w:eastAsia="仿宋_GB2312" w:cs="仿宋_GB2312"/>
          <w:color w:val="auto"/>
          <w:kern w:val="0"/>
          <w:sz w:val="32"/>
          <w:szCs w:val="32"/>
          <w:highlight w:val="none"/>
          <w:shd w:val="clear" w:color="auto" w:fill="FFFFFF"/>
        </w:rPr>
        <w:t>。</w:t>
      </w:r>
    </w:p>
    <w:p>
      <w:pPr>
        <w:shd w:val="clear"/>
        <w:adjustRightInd w:val="0"/>
        <w:snapToGrid w:val="0"/>
        <w:spacing w:line="578" w:lineRule="exact"/>
        <w:ind w:firstLine="640" w:firstLineChars="200"/>
        <w:outlineLvl w:val="1"/>
        <w:rPr>
          <w:rFonts w:ascii="黑体" w:hAnsi="宋体" w:eastAsia="黑体" w:cs="Times New Roman"/>
          <w:color w:val="auto"/>
          <w:sz w:val="32"/>
          <w:szCs w:val="32"/>
          <w:highlight w:val="none"/>
        </w:rPr>
      </w:pPr>
      <w:bookmarkStart w:id="579" w:name="_Toc25107"/>
      <w:bookmarkStart w:id="580" w:name="_Toc6940"/>
      <w:r>
        <w:rPr>
          <w:rFonts w:hint="eastAsia" w:ascii="黑体" w:hAnsi="宋体" w:eastAsia="黑体" w:cs="Times New Roman"/>
          <w:color w:val="auto"/>
          <w:sz w:val="32"/>
          <w:szCs w:val="32"/>
          <w:highlight w:val="none"/>
        </w:rPr>
        <w:t>三、项目实施及管理情况</w:t>
      </w:r>
      <w:bookmarkEnd w:id="579"/>
      <w:bookmarkEnd w:id="580"/>
    </w:p>
    <w:p>
      <w:pPr>
        <w:shd w:val="clear"/>
        <w:adjustRightInd w:val="0"/>
        <w:snapToGrid w:val="0"/>
        <w:spacing w:line="578" w:lineRule="exact"/>
        <w:ind w:firstLine="640" w:firstLineChars="200"/>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Times New Roman" w:eastAsia="仿宋_GB2312" w:cs="Times New Roman"/>
          <w:color w:val="auto"/>
          <w:sz w:val="32"/>
          <w:szCs w:val="32"/>
          <w:highlight w:val="none"/>
        </w:rPr>
        <w:t>2022年</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我中心通过财政审批后设立省级交通专项资金（中央财政政府还贷二级公路取消收费后补助资金）项目。由信息技术科负责对该项目的支出提出意见，经领导审核或集体决策后由财务室支付款项，确保了普通公路超限监测站电子抓拍系统平台的建设完成和使用。</w:t>
      </w:r>
    </w:p>
    <w:p>
      <w:pPr>
        <w:shd w:val="clear"/>
        <w:adjustRightInd w:val="0"/>
        <w:snapToGrid w:val="0"/>
        <w:spacing w:line="578" w:lineRule="exact"/>
        <w:ind w:firstLine="640" w:firstLineChars="200"/>
        <w:outlineLvl w:val="1"/>
        <w:rPr>
          <w:rFonts w:ascii="仿宋_GB2312" w:hAnsi="宋体" w:eastAsia="仿宋_GB2312" w:cs="Times New Roman"/>
          <w:color w:val="auto"/>
          <w:sz w:val="32"/>
          <w:szCs w:val="32"/>
          <w:highlight w:val="none"/>
          <w:lang w:val="zh-CN"/>
        </w:rPr>
      </w:pPr>
      <w:bookmarkStart w:id="581" w:name="_Toc3843"/>
      <w:bookmarkStart w:id="582" w:name="_Toc3353"/>
      <w:r>
        <w:rPr>
          <w:rFonts w:hint="eastAsia" w:ascii="黑体" w:hAnsi="宋体" w:eastAsia="黑体" w:cs="Times New Roman"/>
          <w:color w:val="auto"/>
          <w:sz w:val="32"/>
          <w:szCs w:val="32"/>
          <w:highlight w:val="none"/>
        </w:rPr>
        <w:t>四、项目绩效情况</w:t>
      </w:r>
      <w:bookmarkEnd w:id="581"/>
      <w:bookmarkEnd w:id="582"/>
      <w:r>
        <w:rPr>
          <w:rFonts w:hint="eastAsia" w:ascii="仿宋_GB2312" w:hAnsi="宋体" w:eastAsia="仿宋_GB2312" w:cs="Times New Roman"/>
          <w:color w:val="auto"/>
          <w:sz w:val="32"/>
          <w:szCs w:val="32"/>
          <w:highlight w:val="none"/>
          <w:lang w:val="zh-CN"/>
        </w:rPr>
        <w:tab/>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（一）项目完成情况</w:t>
      </w:r>
    </w:p>
    <w:p>
      <w:pPr>
        <w:shd w:val="clear"/>
        <w:spacing w:line="576" w:lineRule="exact"/>
        <w:ind w:firstLine="640" w:firstLineChars="200"/>
        <w:rPr>
          <w:rFonts w:ascii="仿宋_GB2312" w:hAnsi="仿宋" w:eastAsia="仿宋_GB2312" w:cs="仿宋"/>
          <w:color w:val="auto"/>
          <w:sz w:val="32"/>
          <w:szCs w:val="32"/>
          <w:highlight w:val="none"/>
        </w:rPr>
      </w:pPr>
      <w:r>
        <w:rPr>
          <w:rFonts w:hint="eastAsia" w:ascii="仿宋_GB2312" w:hAnsi="仿宋_GB2312" w:eastAsia="仿宋_GB2312" w:cs="仿宋_GB2312"/>
          <w:color w:val="auto"/>
          <w:sz w:val="32"/>
          <w:szCs w:val="32"/>
          <w:highlight w:val="none"/>
        </w:rPr>
        <w:t>省级交通专项资金（中央财政政府还贷二级公路取消收费后补助资金）项目</w:t>
      </w:r>
      <w:r>
        <w:rPr>
          <w:rFonts w:hint="eastAsia" w:ascii="仿宋_GB2312" w:hAnsi="仿宋" w:eastAsia="仿宋_GB2312" w:cs="仿宋"/>
          <w:color w:val="auto"/>
          <w:sz w:val="32"/>
          <w:szCs w:val="32"/>
          <w:highlight w:val="none"/>
        </w:rPr>
        <w:t>完成了市级电子抓拍总平台建设，完成数据查询、视屏巡查、视屏运维、基础信息管理、广元超限、黑名单管理、卡口过车统计等7个模块建设。将全市普通公路固定治超站11处全部接入了平台（含抓拍系统和站内磅秤监控资源整合），并与公安交警部门的公安交通管理集成指挥平台实现了信息共享，分布实现了科技治超工作。</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（二）项目效益情况</w:t>
      </w:r>
    </w:p>
    <w:p>
      <w:pPr>
        <w:shd w:val="clear"/>
        <w:spacing w:line="576" w:lineRule="exact"/>
        <w:ind w:firstLine="640" w:firstLineChars="200"/>
        <w:rPr>
          <w:rFonts w:ascii="黑体" w:hAnsi="宋体" w:eastAsia="黑体" w:cs="Times New Roman"/>
          <w:color w:val="auto"/>
          <w:sz w:val="32"/>
          <w:szCs w:val="32"/>
          <w:highlight w:val="none"/>
        </w:rPr>
      </w:pPr>
      <w:r>
        <w:rPr>
          <w:rFonts w:hint="eastAsia" w:ascii="仿宋_GB2312" w:hAnsi="仿宋_GB2312" w:eastAsia="仿宋_GB2312" w:cs="仿宋_GB2312"/>
          <w:color w:val="auto"/>
          <w:sz w:val="32"/>
          <w:szCs w:val="32"/>
          <w:highlight w:val="none"/>
        </w:rPr>
        <w:t>省级交通专项资金（中央财政政府还贷二级公路取消收费后补助资金）项目</w:t>
      </w:r>
      <w:r>
        <w:rPr>
          <w:rFonts w:hint="eastAsia" w:ascii="仿宋_GB2312" w:hAnsi="仿宋" w:eastAsia="仿宋_GB2312" w:cs="仿宋"/>
          <w:color w:val="auto"/>
          <w:sz w:val="32"/>
          <w:szCs w:val="32"/>
          <w:highlight w:val="none"/>
        </w:rPr>
        <w:t>保护公路基础设施，保障人民生命财产安全，满足了全市普通公路超限检测站交通运输综合执法人员工作要求。</w:t>
      </w:r>
    </w:p>
    <w:p>
      <w:pPr>
        <w:shd w:val="clear"/>
        <w:tabs>
          <w:tab w:val="left" w:pos="7560"/>
        </w:tabs>
        <w:adjustRightInd w:val="0"/>
        <w:snapToGrid w:val="0"/>
        <w:spacing w:line="578" w:lineRule="exact"/>
        <w:ind w:firstLine="640" w:firstLineChars="200"/>
        <w:outlineLvl w:val="1"/>
        <w:rPr>
          <w:rFonts w:ascii="黑体" w:hAnsi="宋体" w:eastAsia="黑体" w:cs="Times New Roman"/>
          <w:color w:val="auto"/>
          <w:sz w:val="32"/>
          <w:szCs w:val="32"/>
          <w:highlight w:val="none"/>
        </w:rPr>
      </w:pPr>
      <w:bookmarkStart w:id="583" w:name="_Toc11529"/>
      <w:bookmarkStart w:id="584" w:name="_Toc27190"/>
      <w:r>
        <w:rPr>
          <w:rFonts w:hint="eastAsia" w:ascii="黑体" w:hAnsi="宋体" w:eastAsia="黑体" w:cs="Times New Roman"/>
          <w:color w:val="auto"/>
          <w:sz w:val="32"/>
          <w:szCs w:val="32"/>
          <w:highlight w:val="none"/>
        </w:rPr>
        <w:t>五、评价结论及建议</w:t>
      </w:r>
      <w:bookmarkEnd w:id="583"/>
      <w:bookmarkEnd w:id="584"/>
      <w:r>
        <w:rPr>
          <w:rFonts w:ascii="黑体" w:hAnsi="宋体" w:eastAsia="黑体" w:cs="Times New Roman"/>
          <w:color w:val="auto"/>
          <w:sz w:val="32"/>
          <w:szCs w:val="32"/>
          <w:highlight w:val="none"/>
        </w:rPr>
        <w:tab/>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（一）评价结论</w:t>
      </w:r>
    </w:p>
    <w:p>
      <w:pPr>
        <w:shd w:val="clear"/>
        <w:adjustRightInd w:val="0"/>
        <w:snapToGrid w:val="0"/>
        <w:spacing w:line="578" w:lineRule="exact"/>
        <w:ind w:firstLine="640" w:firstLineChars="200"/>
        <w:contextualSpacing/>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Times New Roman" w:eastAsia="仿宋_GB2312" w:cs="仿宋_GB2312"/>
          <w:color w:val="auto"/>
          <w:kern w:val="0"/>
          <w:sz w:val="32"/>
          <w:szCs w:val="32"/>
          <w:highlight w:val="none"/>
        </w:rPr>
        <w:t>该项目规划科学，决策依据充分，程序合法合规、资金到位及时拨付规范。项目自评得分100分</w:t>
      </w:r>
      <w:r>
        <w:rPr>
          <w:rFonts w:hint="eastAsia" w:ascii="仿宋_GB2312" w:hAnsi="仿宋_GB2312" w:eastAsia="仿宋_GB2312" w:cs="仿宋_GB2312"/>
          <w:color w:val="auto"/>
          <w:kern w:val="0"/>
          <w:sz w:val="32"/>
          <w:szCs w:val="32"/>
          <w:highlight w:val="none"/>
          <w:shd w:val="clear" w:color="auto" w:fill="FFFFFF"/>
          <w:lang w:val="zh-CN"/>
        </w:rPr>
        <w:t>。</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（二）存在的问题</w:t>
      </w:r>
    </w:p>
    <w:p>
      <w:pPr>
        <w:widowControl w:val="0"/>
        <w:shd w:val="clear"/>
        <w:spacing w:line="576" w:lineRule="exact"/>
        <w:ind w:firstLine="640" w:firstLineChars="200"/>
        <w:jc w:val="left"/>
        <w:rPr>
          <w:rFonts w:ascii="仿宋_GB2312" w:hAnsi="仿宋" w:eastAsia="仿宋_GB2312" w:cs="仿宋"/>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主要表现在预算资金不足，比如，相关</w:t>
      </w:r>
      <w:r>
        <w:rPr>
          <w:rFonts w:hint="eastAsia" w:ascii="仿宋_GB2312" w:hAnsi="仿宋" w:eastAsia="仿宋_GB2312" w:cs="仿宋"/>
          <w:color w:val="auto"/>
          <w:kern w:val="2"/>
          <w:sz w:val="32"/>
          <w:szCs w:val="32"/>
          <w:highlight w:val="none"/>
          <w:lang w:val="en-US" w:eastAsia="zh-CN" w:bidi="ar-SA"/>
        </w:rPr>
        <w:t>运维服务期满后，没有运维费用保障。</w:t>
      </w:r>
    </w:p>
    <w:p>
      <w:pPr>
        <w:shd w:val="clear"/>
        <w:adjustRightInd w:val="0"/>
        <w:snapToGrid w:val="0"/>
        <w:spacing w:line="578" w:lineRule="exact"/>
        <w:ind w:firstLine="640" w:firstLineChars="200"/>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（三）相关建议</w:t>
      </w:r>
    </w:p>
    <w:p>
      <w:pPr>
        <w:shd w:val="clear"/>
        <w:adjustRightInd w:val="0"/>
        <w:snapToGrid w:val="0"/>
        <w:spacing w:line="578" w:lineRule="exact"/>
        <w:ind w:firstLine="640" w:firstLineChars="200"/>
        <w:contextualSpacing/>
        <w:jc w:val="lef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建议将</w:t>
      </w:r>
      <w:r>
        <w:rPr>
          <w:rFonts w:hint="eastAsia" w:ascii="仿宋_GB2312" w:hAnsi="仿宋" w:eastAsia="仿宋_GB2312" w:cs="仿宋"/>
          <w:color w:val="auto"/>
          <w:sz w:val="32"/>
          <w:szCs w:val="32"/>
          <w:highlight w:val="none"/>
        </w:rPr>
        <w:t>普通公路超限监测站电子抓拍系统</w:t>
      </w:r>
      <w:r>
        <w:rPr>
          <w:rFonts w:hint="eastAsia" w:ascii="仿宋_GB2312" w:hAnsi="Times New Roman" w:eastAsia="仿宋_GB2312" w:cs="Times New Roman"/>
          <w:color w:val="auto"/>
          <w:sz w:val="32"/>
          <w:szCs w:val="32"/>
          <w:highlight w:val="none"/>
        </w:rPr>
        <w:t>维护经费、通讯链路费用纳入财政预算。</w:t>
      </w: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pStyle w:val="38"/>
        <w:pageBreakBefore w:val="0"/>
        <w:widowControl w:val="0"/>
        <w:shd w:val="clear"/>
        <w:kinsoku/>
        <w:wordWrap/>
        <w:overflowPunct/>
        <w:topLinePunct w:val="0"/>
        <w:bidi w:val="0"/>
        <w:spacing w:line="576" w:lineRule="exact"/>
        <w:jc w:val="left"/>
        <w:textAlignment w:val="auto"/>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附件25：</w:t>
      </w:r>
    </w:p>
    <w:p>
      <w:pPr>
        <w:pStyle w:val="38"/>
        <w:pageBreakBefore w:val="0"/>
        <w:widowControl w:val="0"/>
        <w:shd w:val="clear"/>
        <w:kinsoku/>
        <w:wordWrap/>
        <w:overflowPunct/>
        <w:topLinePunct w:val="0"/>
        <w:bidi w:val="0"/>
        <w:spacing w:line="576" w:lineRule="exact"/>
        <w:jc w:val="center"/>
        <w:textAlignment w:val="auto"/>
        <w:outlineLvl w:val="1"/>
        <w:rPr>
          <w:rFonts w:hint="eastAsia" w:ascii="方正小标宋_GBK" w:hAnsi="方正小标宋_GBK" w:eastAsia="方正小标宋_GBK" w:cs="方正小标宋_GBK"/>
          <w:color w:val="auto"/>
          <w:kern w:val="2"/>
          <w:sz w:val="44"/>
          <w:szCs w:val="44"/>
          <w:highlight w:val="none"/>
          <w:lang w:val="en-US"/>
        </w:rPr>
      </w:pPr>
      <w:bookmarkStart w:id="585" w:name="_Toc25511"/>
      <w:bookmarkStart w:id="586" w:name="_Toc27862"/>
      <w:r>
        <w:rPr>
          <w:rFonts w:hint="eastAsia" w:ascii="方正小标宋_GBK" w:hAnsi="方正小标宋_GBK" w:eastAsia="方正小标宋_GBK" w:cs="方正小标宋_GBK"/>
          <w:color w:val="auto"/>
          <w:kern w:val="2"/>
          <w:sz w:val="44"/>
          <w:szCs w:val="44"/>
          <w:highlight w:val="none"/>
          <w:lang w:val="en-US"/>
        </w:rPr>
        <w:t>广元市交通运输指挥中心</w:t>
      </w:r>
      <w:bookmarkEnd w:id="585"/>
      <w:bookmarkEnd w:id="586"/>
    </w:p>
    <w:p>
      <w:pPr>
        <w:pageBreakBefore w:val="0"/>
        <w:widowControl w:val="0"/>
        <w:shd w:val="clear"/>
        <w:kinsoku/>
        <w:wordWrap/>
        <w:overflowPunct/>
        <w:topLinePunct w:val="0"/>
        <w:bidi w:val="0"/>
        <w:spacing w:line="576" w:lineRule="exact"/>
        <w:jc w:val="center"/>
        <w:textAlignment w:val="auto"/>
        <w:rPr>
          <w:rFonts w:hint="eastAsia" w:ascii="方正小标宋_GBK" w:hAnsi="方正小标宋_GBK" w:eastAsia="方正小标宋_GBK" w:cs="方正小标宋_GBK"/>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2022年应急管理及信息化运维服务项目</w:t>
      </w:r>
    </w:p>
    <w:p>
      <w:pPr>
        <w:pageBreakBefore w:val="0"/>
        <w:widowControl w:val="0"/>
        <w:shd w:val="clear"/>
        <w:kinsoku/>
        <w:wordWrap/>
        <w:overflowPunct/>
        <w:topLinePunct w:val="0"/>
        <w:bidi w:val="0"/>
        <w:spacing w:line="576"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_GBK" w:hAnsi="方正小标宋_GBK" w:eastAsia="方正小标宋_GBK" w:cs="方正小标宋_GBK"/>
          <w:color w:val="auto"/>
          <w:kern w:val="2"/>
          <w:sz w:val="44"/>
          <w:szCs w:val="44"/>
          <w:highlight w:val="none"/>
          <w:lang w:val="en-US" w:eastAsia="zh-CN" w:bidi="ar-SA"/>
        </w:rPr>
        <w:t>支出绩效自评报告</w:t>
      </w:r>
    </w:p>
    <w:p>
      <w:pPr>
        <w:keepNext w:val="0"/>
        <w:keepLines w:val="0"/>
        <w:pageBreakBefore w:val="0"/>
        <w:widowControl w:val="0"/>
        <w:pBdr>
          <w:top w:val="none" w:color="auto" w:sz="0" w:space="0"/>
          <w:left w:val="none" w:color="auto" w:sz="0" w:space="0"/>
          <w:bottom w:val="none" w:color="auto" w:sz="0" w:space="0"/>
          <w:right w:val="none" w:color="auto" w:sz="0" w:space="0"/>
        </w:pBdr>
        <w:shd w:val="clear"/>
        <w:kinsoku/>
        <w:wordWrap/>
        <w:overflowPunct/>
        <w:topLinePunct w:val="0"/>
        <w:autoSpaceDE w:val="0"/>
        <w:autoSpaceDN w:val="0"/>
        <w:bidi w:val="0"/>
        <w:spacing w:line="576" w:lineRule="exact"/>
        <w:textAlignment w:val="auto"/>
        <w:rPr>
          <w:rFonts w:hint="eastAsia" w:ascii="仿宋_GB2312" w:hAnsi="仿宋_GB2312" w:eastAsia="仿宋_GB2312" w:cs="仿宋_GB2312"/>
          <w:color w:val="auto"/>
          <w:sz w:val="32"/>
          <w:szCs w:val="32"/>
          <w:highlight w:val="none"/>
        </w:rPr>
      </w:pPr>
    </w:p>
    <w:p>
      <w:pPr>
        <w:pageBreakBefore w:val="0"/>
        <w:widowControl w:val="0"/>
        <w:shd w:val="clear"/>
        <w:kinsoku/>
        <w:wordWrap/>
        <w:overflowPunct/>
        <w:topLinePunct w:val="0"/>
        <w:bidi w:val="0"/>
        <w:adjustRightInd w:val="0"/>
        <w:snapToGrid w:val="0"/>
        <w:spacing w:line="576" w:lineRule="exact"/>
        <w:ind w:firstLine="640" w:firstLineChars="200"/>
        <w:textAlignment w:val="auto"/>
        <w:outlineLvl w:val="1"/>
        <w:rPr>
          <w:rFonts w:ascii="黑体" w:hAnsi="宋体" w:eastAsia="黑体" w:cs="Times New Roman"/>
          <w:color w:val="auto"/>
          <w:sz w:val="32"/>
          <w:szCs w:val="32"/>
          <w:highlight w:val="none"/>
          <w:lang w:val="zh-CN"/>
        </w:rPr>
      </w:pPr>
      <w:bookmarkStart w:id="587" w:name="_Toc1164529787_WPSOffice_Level2"/>
      <w:bookmarkStart w:id="588" w:name="_Toc1705044235_WPSOffice_Level2"/>
      <w:bookmarkStart w:id="589" w:name="_Toc20531"/>
      <w:bookmarkStart w:id="590" w:name="_Toc15745"/>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587"/>
      <w:bookmarkEnd w:id="588"/>
      <w:bookmarkEnd w:id="589"/>
      <w:bookmarkEnd w:id="590"/>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（一）项目基本情况</w:t>
      </w:r>
    </w:p>
    <w:p>
      <w:pPr>
        <w:pageBreakBefore w:val="0"/>
        <w:widowControl w:val="0"/>
        <w:shd w:val="clear"/>
        <w:kinsoku/>
        <w:wordWrap/>
        <w:overflowPunct/>
        <w:topLinePunct w:val="0"/>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w:t>
      </w:r>
      <w:r>
        <w:rPr>
          <w:rFonts w:hint="eastAsia" w:ascii="仿宋_GB2312" w:hAnsi="Times New Roman" w:eastAsia="仿宋_GB2312" w:cs="仿宋_GB2312"/>
          <w:color w:val="auto"/>
          <w:kern w:val="0"/>
          <w:sz w:val="32"/>
          <w:szCs w:val="32"/>
          <w:highlight w:val="none"/>
          <w:lang w:val="en-US" w:eastAsia="zh-CN"/>
        </w:rPr>
        <w:t>主管单位的</w:t>
      </w:r>
      <w:r>
        <w:rPr>
          <w:rFonts w:hint="eastAsia" w:ascii="仿宋_GB2312" w:hAnsi="Times New Roman" w:eastAsia="仿宋_GB2312" w:cs="仿宋_GB2312"/>
          <w:color w:val="auto"/>
          <w:kern w:val="0"/>
          <w:sz w:val="32"/>
          <w:szCs w:val="32"/>
          <w:highlight w:val="none"/>
        </w:rPr>
        <w:t>管理职能。</w:t>
      </w:r>
      <w:r>
        <w:rPr>
          <w:rFonts w:hint="eastAsia" w:ascii="仿宋_GB2312" w:hAnsi="仿宋_GB2312" w:eastAsia="仿宋_GB2312" w:cs="仿宋_GB2312"/>
          <w:color w:val="auto"/>
          <w:kern w:val="0"/>
          <w:sz w:val="32"/>
          <w:szCs w:val="32"/>
          <w:highlight w:val="none"/>
          <w:shd w:val="clear" w:color="auto" w:fill="FFFFFF"/>
          <w:lang w:val="zh-CN"/>
        </w:rPr>
        <w:t>我中心主要负责</w:t>
      </w:r>
      <w:r>
        <w:rPr>
          <w:rFonts w:hint="eastAsia" w:ascii="仿宋_GB2312" w:hAnsi="Times New Roman" w:eastAsia="仿宋_GB2312" w:cs="Times New Roman"/>
          <w:color w:val="auto"/>
          <w:sz w:val="32"/>
          <w:szCs w:val="32"/>
          <w:highlight w:val="none"/>
        </w:rPr>
        <w:t>全市交通运输系统电子信息网络、自动化网络的建设和维护管理；负责交通突发公共事件的检测预警、信息报告、综合研判、辅助决策、指挥调度、应急联动和异地会商，加强交通战备、防洪抢险和协调指挥、监控等。承担涉及水上应急救援培训指导，组织开展水上应急救援演练等相关事务性工作。承担12328</w:t>
      </w:r>
      <w:r>
        <w:rPr>
          <w:rFonts w:hint="eastAsia" w:ascii="仿宋_GB2312" w:hAnsi="Times New Roman" w:eastAsia="仿宋_GB2312" w:cs="Times New Roman"/>
          <w:color w:val="auto"/>
          <w:sz w:val="32"/>
          <w:szCs w:val="32"/>
          <w:highlight w:val="none"/>
          <w:lang w:val="en-US" w:eastAsia="zh-CN"/>
        </w:rPr>
        <w:t>交通运输服务监督电话</w:t>
      </w:r>
      <w:r>
        <w:rPr>
          <w:rFonts w:hint="eastAsia" w:ascii="仿宋_GB2312" w:hAnsi="Times New Roman" w:eastAsia="仿宋_GB2312" w:cs="Times New Roman"/>
          <w:color w:val="auto"/>
          <w:sz w:val="32"/>
          <w:szCs w:val="32"/>
          <w:highlight w:val="none"/>
        </w:rPr>
        <w:t>管理工作。</w:t>
      </w:r>
    </w:p>
    <w:p>
      <w:pPr>
        <w:pageBreakBefore w:val="0"/>
        <w:widowControl w:val="0"/>
        <w:shd w:val="clear"/>
        <w:kinsoku/>
        <w:wordWrap/>
        <w:overflowPunct/>
        <w:topLinePunct w:val="0"/>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2.项目立项、资金申报的依据。</w:t>
      </w:r>
      <w:r>
        <w:rPr>
          <w:rFonts w:hint="eastAsia" w:ascii="仿宋_GB2312" w:hAnsi="仿宋_GB2312" w:eastAsia="仿宋_GB2312" w:cs="仿宋_GB2312"/>
          <w:color w:val="auto"/>
          <w:kern w:val="0"/>
          <w:sz w:val="32"/>
          <w:szCs w:val="32"/>
          <w:highlight w:val="none"/>
          <w:shd w:val="clear" w:color="auto" w:fill="FFFFFF"/>
          <w:lang w:val="en-US" w:eastAsia="zh-CN"/>
        </w:rPr>
        <w:t>一是省级层面。</w:t>
      </w:r>
      <w:r>
        <w:rPr>
          <w:rFonts w:hint="eastAsia" w:ascii="仿宋_GB2312" w:hAnsi="仿宋_GB2312" w:eastAsia="仿宋_GB2312" w:cs="仿宋_GB2312"/>
          <w:color w:val="auto"/>
          <w:kern w:val="0"/>
          <w:sz w:val="32"/>
          <w:szCs w:val="32"/>
          <w:highlight w:val="none"/>
          <w:shd w:val="clear" w:color="auto" w:fill="FFFFFF"/>
        </w:rPr>
        <w:t>省交通运输厅《</w:t>
      </w:r>
      <w:r>
        <w:rPr>
          <w:rFonts w:ascii="仿宋_GB2312" w:hAnsi="仿宋_GB2312" w:eastAsia="仿宋_GB2312" w:cs="仿宋_GB2312"/>
          <w:color w:val="auto"/>
          <w:kern w:val="0"/>
          <w:sz w:val="32"/>
          <w:szCs w:val="32"/>
          <w:highlight w:val="none"/>
          <w:shd w:val="clear" w:color="auto" w:fill="FFFFFF"/>
        </w:rPr>
        <w:t>关于2022年12328热线运行管理工作情况的通报</w:t>
      </w:r>
      <w:r>
        <w:rPr>
          <w:rFonts w:hint="eastAsia" w:ascii="仿宋_GB2312" w:hAnsi="仿宋_GB2312" w:eastAsia="仿宋_GB2312" w:cs="仿宋_GB2312"/>
          <w:color w:val="auto"/>
          <w:kern w:val="0"/>
          <w:sz w:val="32"/>
          <w:szCs w:val="32"/>
          <w:highlight w:val="none"/>
          <w:shd w:val="clear" w:color="auto" w:fill="FFFFFF"/>
        </w:rPr>
        <w:t>》（1至12月）、省交通运输厅《</w:t>
      </w:r>
      <w:r>
        <w:rPr>
          <w:rFonts w:ascii="仿宋_GB2312" w:hAnsi="仿宋_GB2312" w:eastAsia="仿宋_GB2312" w:cs="仿宋_GB2312"/>
          <w:color w:val="auto"/>
          <w:kern w:val="0"/>
          <w:sz w:val="32"/>
          <w:szCs w:val="32"/>
          <w:highlight w:val="none"/>
          <w:shd w:val="clear" w:color="auto" w:fill="FFFFFF"/>
        </w:rPr>
        <w:t>关于加快开展交通运输专网向电子政务外网整合迁移工作的通知</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lang w:val="en-US" w:eastAsia="zh-CN"/>
        </w:rPr>
        <w:t>和</w:t>
      </w:r>
      <w:r>
        <w:rPr>
          <w:rFonts w:hint="eastAsia" w:ascii="仿宋_GB2312" w:hAnsi="仿宋_GB2312" w:eastAsia="仿宋_GB2312" w:cs="仿宋_GB2312"/>
          <w:color w:val="auto"/>
          <w:kern w:val="0"/>
          <w:sz w:val="32"/>
          <w:szCs w:val="32"/>
          <w:highlight w:val="none"/>
          <w:shd w:val="clear" w:color="auto" w:fill="FFFFFF"/>
        </w:rPr>
        <w:t>省交通运输厅《</w:t>
      </w:r>
      <w:r>
        <w:rPr>
          <w:rFonts w:ascii="Times New Roman" w:hAnsi="Times New Roman" w:eastAsia="仿宋_GB2312" w:cs="Times New Roman"/>
          <w:color w:val="auto"/>
          <w:sz w:val="32"/>
          <w:szCs w:val="32"/>
          <w:highlight w:val="none"/>
        </w:rPr>
        <w:t>四川省交通运行监测与应急指挥系统（二期）工程建设指南及技术规范要求</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shd w:val="clear" w:color="auto" w:fill="FFFFFF"/>
          <w:lang w:val="en-US" w:eastAsia="zh-CN"/>
        </w:rPr>
        <w:t>二是市级层面。</w:t>
      </w:r>
      <w:r>
        <w:rPr>
          <w:rFonts w:hint="eastAsia" w:ascii="仿宋_GB2312" w:hAnsi="仿宋_GB2312" w:eastAsia="仿宋_GB2312" w:cs="仿宋_GB2312"/>
          <w:color w:val="auto"/>
          <w:kern w:val="0"/>
          <w:sz w:val="32"/>
          <w:szCs w:val="32"/>
          <w:highlight w:val="none"/>
          <w:shd w:val="clear" w:color="auto" w:fill="FFFFFF"/>
          <w:lang w:val="zh-CN"/>
        </w:rPr>
        <w:t>市人民政府办公室</w:t>
      </w:r>
      <w:r>
        <w:rPr>
          <w:rFonts w:ascii="仿宋_GB2312" w:hAnsi="仿宋_GB2312" w:eastAsia="仿宋_GB2312" w:cs="仿宋_GB2312"/>
          <w:color w:val="auto"/>
          <w:kern w:val="0"/>
          <w:sz w:val="32"/>
          <w:szCs w:val="32"/>
          <w:highlight w:val="none"/>
          <w:shd w:val="clear" w:color="auto" w:fill="FFFFFF"/>
        </w:rPr>
        <w:t>《关于印发</w:t>
      </w:r>
      <w:r>
        <w:rPr>
          <w:rFonts w:hint="eastAsia" w:ascii="仿宋_GB2312" w:hAnsi="仿宋_GB2312" w:eastAsia="仿宋_GB2312" w:cs="仿宋_GB2312"/>
          <w:color w:val="auto"/>
          <w:kern w:val="0"/>
          <w:sz w:val="32"/>
          <w:szCs w:val="32"/>
          <w:highlight w:val="none"/>
          <w:shd w:val="clear" w:color="auto" w:fill="FFFFFF"/>
        </w:rPr>
        <w:t>〈</w:t>
      </w:r>
      <w:r>
        <w:rPr>
          <w:rFonts w:ascii="仿宋_GB2312" w:hAnsi="仿宋_GB2312" w:eastAsia="仿宋_GB2312" w:cs="仿宋_GB2312"/>
          <w:color w:val="auto"/>
          <w:kern w:val="0"/>
          <w:sz w:val="32"/>
          <w:szCs w:val="32"/>
          <w:highlight w:val="none"/>
          <w:shd w:val="clear" w:color="auto" w:fill="FFFFFF"/>
        </w:rPr>
        <w:t>广元市2022年应急演练总体方案</w:t>
      </w:r>
      <w:r>
        <w:rPr>
          <w:rFonts w:hint="eastAsia" w:ascii="仿宋_GB2312" w:hAnsi="仿宋_GB2312" w:eastAsia="仿宋_GB2312" w:cs="仿宋_GB2312"/>
          <w:color w:val="auto"/>
          <w:kern w:val="0"/>
          <w:sz w:val="32"/>
          <w:szCs w:val="32"/>
          <w:highlight w:val="none"/>
          <w:shd w:val="clear" w:color="auto" w:fill="FFFFFF"/>
        </w:rPr>
        <w:t>〉</w:t>
      </w:r>
      <w:r>
        <w:rPr>
          <w:rFonts w:ascii="仿宋_GB2312" w:hAnsi="仿宋_GB2312" w:eastAsia="仿宋_GB2312" w:cs="仿宋_GB2312"/>
          <w:color w:val="auto"/>
          <w:kern w:val="0"/>
          <w:sz w:val="32"/>
          <w:szCs w:val="32"/>
          <w:highlight w:val="none"/>
          <w:shd w:val="clear" w:color="auto" w:fill="FFFFFF"/>
        </w:rPr>
        <w:t>的通知》</w:t>
      </w:r>
      <w:r>
        <w:rPr>
          <w:rFonts w:hint="eastAsia" w:ascii="仿宋_GB2312" w:hAnsi="仿宋_GB2312" w:eastAsia="仿宋_GB2312" w:cs="仿宋_GB2312"/>
          <w:color w:val="auto"/>
          <w:kern w:val="0"/>
          <w:sz w:val="32"/>
          <w:szCs w:val="32"/>
          <w:highlight w:val="none"/>
          <w:shd w:val="clear" w:color="auto" w:fill="FFFFFF"/>
          <w:lang w:val="en-US" w:eastAsia="zh-CN"/>
        </w:rPr>
        <w:t>和</w:t>
      </w:r>
      <w:r>
        <w:rPr>
          <w:rFonts w:hint="eastAsia" w:ascii="仿宋_GB2312" w:hAnsi="仿宋_GB2312" w:eastAsia="仿宋_GB2312" w:cs="仿宋_GB2312"/>
          <w:color w:val="auto"/>
          <w:kern w:val="0"/>
          <w:sz w:val="32"/>
          <w:szCs w:val="32"/>
          <w:highlight w:val="none"/>
          <w:shd w:val="clear" w:color="auto" w:fill="FFFFFF"/>
          <w:lang w:val="zh-CN"/>
        </w:rPr>
        <w:t>市人民政府办公室</w:t>
      </w:r>
      <w:r>
        <w:rPr>
          <w:rFonts w:ascii="仿宋_GB2312" w:hAnsi="仿宋_GB2312" w:eastAsia="仿宋_GB2312" w:cs="仿宋_GB2312"/>
          <w:color w:val="auto"/>
          <w:kern w:val="0"/>
          <w:sz w:val="32"/>
          <w:szCs w:val="32"/>
          <w:highlight w:val="none"/>
          <w:shd w:val="clear" w:color="auto" w:fill="FFFFFF"/>
          <w:lang w:val="zh-CN"/>
        </w:rPr>
        <w:t>《关于印发</w:t>
      </w:r>
      <w:r>
        <w:rPr>
          <w:rFonts w:hint="eastAsia" w:ascii="仿宋_GB2312" w:hAnsi="仿宋_GB2312" w:eastAsia="仿宋_GB2312" w:cs="仿宋_GB2312"/>
          <w:color w:val="auto"/>
          <w:kern w:val="0"/>
          <w:sz w:val="32"/>
          <w:szCs w:val="32"/>
          <w:highlight w:val="none"/>
          <w:shd w:val="clear" w:color="auto" w:fill="FFFFFF"/>
          <w:lang w:val="en-US" w:eastAsia="zh-CN"/>
        </w:rPr>
        <w:t>&lt;</w:t>
      </w:r>
      <w:r>
        <w:rPr>
          <w:rFonts w:ascii="仿宋_GB2312" w:hAnsi="仿宋_GB2312" w:eastAsia="仿宋_GB2312" w:cs="仿宋_GB2312"/>
          <w:color w:val="auto"/>
          <w:kern w:val="0"/>
          <w:sz w:val="32"/>
          <w:szCs w:val="32"/>
          <w:highlight w:val="none"/>
          <w:shd w:val="clear" w:color="auto" w:fill="FFFFFF"/>
          <w:lang w:val="zh-CN"/>
        </w:rPr>
        <w:t>广元市突发事件应急物资装备保障应急预案（试行）</w:t>
      </w:r>
      <w:r>
        <w:rPr>
          <w:rFonts w:hint="eastAsia" w:ascii="仿宋_GB2312" w:hAnsi="仿宋_GB2312" w:eastAsia="仿宋_GB2312" w:cs="仿宋_GB2312"/>
          <w:color w:val="auto"/>
          <w:kern w:val="0"/>
          <w:sz w:val="32"/>
          <w:szCs w:val="32"/>
          <w:highlight w:val="none"/>
          <w:shd w:val="clear" w:color="auto" w:fill="FFFFFF"/>
          <w:lang w:val="en-US" w:eastAsia="zh-CN"/>
        </w:rPr>
        <w:t>&gt;</w:t>
      </w:r>
      <w:r>
        <w:rPr>
          <w:rFonts w:ascii="仿宋_GB2312" w:hAnsi="仿宋_GB2312" w:eastAsia="仿宋_GB2312" w:cs="仿宋_GB2312"/>
          <w:color w:val="auto"/>
          <w:kern w:val="0"/>
          <w:sz w:val="32"/>
          <w:szCs w:val="32"/>
          <w:highlight w:val="none"/>
          <w:shd w:val="clear" w:color="auto" w:fill="FFFFFF"/>
          <w:lang w:val="zh-CN"/>
        </w:rPr>
        <w:t>的通知》</w:t>
      </w:r>
      <w:r>
        <w:rPr>
          <w:rFonts w:hint="eastAsia" w:ascii="仿宋_GB2312" w:hAnsi="仿宋_GB2312" w:eastAsia="仿宋_GB2312" w:cs="仿宋_GB2312"/>
          <w:color w:val="auto"/>
          <w:kern w:val="0"/>
          <w:sz w:val="32"/>
          <w:szCs w:val="32"/>
          <w:highlight w:val="none"/>
          <w:shd w:val="clear" w:color="auto" w:fill="FFFFFF"/>
          <w:lang w:val="zh-CN"/>
        </w:rPr>
        <w:t>。</w:t>
      </w:r>
    </w:p>
    <w:p>
      <w:pPr>
        <w:pageBreakBefore w:val="0"/>
        <w:widowControl w:val="0"/>
        <w:shd w:val="clear"/>
        <w:kinsoku/>
        <w:wordWrap/>
        <w:overflowPunct/>
        <w:topLinePunct w:val="0"/>
        <w:autoSpaceDN/>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3.</w:t>
      </w:r>
      <w:r>
        <w:rPr>
          <w:rFonts w:hint="eastAsia" w:ascii="仿宋_GB2312" w:hAnsi="仿宋_GB2312" w:eastAsia="仿宋_GB2312" w:cs="仿宋_GB2312"/>
          <w:color w:val="auto"/>
          <w:kern w:val="0"/>
          <w:sz w:val="32"/>
          <w:szCs w:val="32"/>
          <w:highlight w:val="none"/>
          <w:shd w:val="clear" w:color="auto" w:fill="FFFFFF"/>
        </w:rPr>
        <w:t>项目</w:t>
      </w:r>
      <w:r>
        <w:rPr>
          <w:rFonts w:hint="eastAsia" w:ascii="仿宋_GB2312" w:hAnsi="仿宋_GB2312" w:eastAsia="仿宋_GB2312" w:cs="仿宋_GB2312"/>
          <w:color w:val="auto"/>
          <w:kern w:val="0"/>
          <w:sz w:val="32"/>
          <w:szCs w:val="32"/>
          <w:highlight w:val="none"/>
          <w:shd w:val="clear" w:color="auto" w:fill="FFFFFF"/>
          <w:lang w:val="zh-CN"/>
        </w:rPr>
        <w:t>管理情况。</w:t>
      </w:r>
      <w:r>
        <w:rPr>
          <w:rFonts w:hint="eastAsia" w:ascii="仿宋_GB2312" w:hAnsi="宋体" w:eastAsia="仿宋_GB2312" w:cs="Times New Roman"/>
          <w:color w:val="auto"/>
          <w:sz w:val="32"/>
          <w:szCs w:val="32"/>
          <w:highlight w:val="none"/>
        </w:rPr>
        <w:t>我中心严格执行市委市政府、市财政局和市交通运输局制定的相关制度，财务制度健全，会计核算规范，</w:t>
      </w:r>
      <w:r>
        <w:rPr>
          <w:rFonts w:hint="eastAsia" w:ascii="仿宋_GB2312" w:hAnsi="宋体" w:eastAsia="仿宋_GB2312" w:cs="Times New Roman"/>
          <w:color w:val="auto"/>
          <w:sz w:val="32"/>
          <w:szCs w:val="32"/>
          <w:highlight w:val="none"/>
          <w:lang w:val="en-US" w:eastAsia="zh-CN"/>
        </w:rPr>
        <w:t>完善</w:t>
      </w:r>
      <w:r>
        <w:rPr>
          <w:rFonts w:hint="eastAsia" w:ascii="仿宋_GB2312" w:hAnsi="宋体" w:eastAsia="仿宋_GB2312" w:cs="Times New Roman"/>
          <w:color w:val="auto"/>
          <w:sz w:val="32"/>
          <w:szCs w:val="32"/>
          <w:highlight w:val="none"/>
        </w:rPr>
        <w:t>了必要的财务监控和内部控制制度，资金管理、使用符合国家财经法规和财务管理制度等</w:t>
      </w:r>
      <w:r>
        <w:rPr>
          <w:rFonts w:hint="eastAsia" w:ascii="仿宋_GB2312" w:hAnsi="仿宋_GB2312" w:eastAsia="仿宋_GB2312" w:cs="仿宋_GB2312"/>
          <w:color w:val="auto"/>
          <w:kern w:val="0"/>
          <w:sz w:val="32"/>
          <w:szCs w:val="32"/>
          <w:highlight w:val="none"/>
          <w:shd w:val="clear" w:color="auto" w:fill="FFFFFF"/>
        </w:rPr>
        <w:t>。</w:t>
      </w:r>
    </w:p>
    <w:p>
      <w:pPr>
        <w:pageBreakBefore w:val="0"/>
        <w:widowControl w:val="0"/>
        <w:shd w:val="clear"/>
        <w:kinsoku/>
        <w:wordWrap/>
        <w:overflowPunct/>
        <w:topLinePunct w:val="0"/>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4.资金分配的原则及考虑因素。</w:t>
      </w:r>
      <w:r>
        <w:rPr>
          <w:rFonts w:hint="eastAsia" w:ascii="仿宋_GB2312" w:hAnsi="Times New Roman" w:eastAsia="仿宋_GB2312" w:cs="仿宋_GB2312"/>
          <w:color w:val="auto"/>
          <w:kern w:val="0"/>
          <w:sz w:val="32"/>
          <w:szCs w:val="32"/>
          <w:highlight w:val="none"/>
        </w:rPr>
        <w:t>我中心资金分配坚持“专款专用”原则，按照“三重一大”的要求，由业务科室根据实际情况报指挥中心主任办公会议审定实施项目后，按照项目实施进度支付资金。</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（二）项目绩效目标</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1.项目主要内容。一是</w:t>
      </w:r>
      <w:r>
        <w:rPr>
          <w:rFonts w:hint="eastAsia" w:ascii="仿宋_GB2312" w:hAnsi="仿宋" w:eastAsia="仿宋_GB2312" w:cs="仿宋"/>
          <w:color w:val="auto"/>
          <w:sz w:val="32"/>
          <w:szCs w:val="32"/>
          <w:highlight w:val="none"/>
        </w:rPr>
        <w:t>组织开展参加省、市、县综合应急演练及专项应急演练，开展水域救援训练及无人机等专业设备训练，补充完善应急物资储备库应急物资，冰雪天气、汛期灾害天气及交通运输行业内等其它突发事件开展应急处置及隐患排查，进一步提升了行业应急处置水平。二是完成省厅、市12345政务服务热线对12328电话的各项考核，协助12345政务服务热线按照省大数据中心对交通运输行业要求，做好系统对接，强化广元12328运行管理工作，有效提升12328便民服务水平和质量。三是确保外场监控点位、视频会议系统等设备链路正常运行，出现突发事件能及时调取画面，租赁电信（外场监控点位、视频会议等）、移动（机关专线、MAS平台、超限站专线等）光纤电路。保障4G图传、对讲机、海事卫星电话、北斗卫星导航等设备在应急处置过程中能正常使用。四是保障应急通讯设备能正常使用，确保外场监控点位能随时调阅图像。中心机房、指挥大厅网络安全设备、服务器等设备安全正常运行，同时对故障设备及时进行维修。</w:t>
      </w:r>
    </w:p>
    <w:p>
      <w:pPr>
        <w:pageBreakBefore w:val="0"/>
        <w:widowControl w:val="0"/>
        <w:shd w:val="clear"/>
        <w:kinsoku/>
        <w:wordWrap/>
        <w:overflowPunct/>
        <w:topLinePunct w:val="0"/>
        <w:bidi w:val="0"/>
        <w:spacing w:line="576" w:lineRule="exact"/>
        <w:ind w:firstLine="640" w:firstLineChars="200"/>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val="zh-CN"/>
        </w:rPr>
        <w:t>2.项目绩效目标。</w:t>
      </w:r>
      <w:r>
        <w:rPr>
          <w:rFonts w:hint="eastAsia" w:ascii="仿宋_GB2312" w:hAnsi="仿宋_GB2312" w:eastAsia="仿宋_GB2312" w:cs="仿宋_GB2312"/>
          <w:color w:val="auto"/>
          <w:kern w:val="0"/>
          <w:sz w:val="32"/>
          <w:szCs w:val="32"/>
          <w:highlight w:val="none"/>
          <w:shd w:val="clear" w:color="auto" w:fill="FFFFFF"/>
        </w:rPr>
        <w:t>根据</w:t>
      </w:r>
      <w:r>
        <w:rPr>
          <w:rFonts w:hint="eastAsia" w:ascii="仿宋_GB2312" w:hAnsi="Times New Roman" w:eastAsia="仿宋_GB2312" w:cs="仿宋_GB2312"/>
          <w:color w:val="auto"/>
          <w:kern w:val="0"/>
          <w:sz w:val="32"/>
          <w:szCs w:val="32"/>
          <w:highlight w:val="none"/>
        </w:rPr>
        <w:t>年初绩效目标申报</w:t>
      </w:r>
      <w:r>
        <w:rPr>
          <w:rFonts w:hint="eastAsia" w:ascii="仿宋_GB2312" w:hAnsi="仿宋_GB2312" w:eastAsia="仿宋_GB2312" w:cs="仿宋_GB2312"/>
          <w:color w:val="auto"/>
          <w:kern w:val="0"/>
          <w:sz w:val="32"/>
          <w:szCs w:val="32"/>
          <w:highlight w:val="none"/>
          <w:shd w:val="clear" w:color="auto" w:fill="FFFFFF"/>
        </w:rPr>
        <w:t>，组织开展</w:t>
      </w:r>
      <w:r>
        <w:rPr>
          <w:rFonts w:hint="eastAsia" w:ascii="仿宋_GB2312" w:hAnsi="仿宋" w:eastAsia="仿宋_GB2312" w:cs="仿宋"/>
          <w:color w:val="auto"/>
          <w:sz w:val="32"/>
          <w:szCs w:val="32"/>
          <w:highlight w:val="none"/>
        </w:rPr>
        <w:t>通讯链路（网络）保障、设备维护、应急处置及演（训）练、12328年度任务。</w:t>
      </w:r>
    </w:p>
    <w:p>
      <w:pPr>
        <w:pageBreakBefore w:val="0"/>
        <w:widowControl w:val="0"/>
        <w:shd w:val="clear"/>
        <w:kinsoku/>
        <w:wordWrap/>
        <w:overflowPunct/>
        <w:topLinePunct w:val="0"/>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3.绩效申报内容与实际相符，申报目标合理可行。</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（三）项目自评步骤及方法。</w:t>
      </w:r>
    </w:p>
    <w:p>
      <w:pPr>
        <w:pageBreakBefore w:val="0"/>
        <w:widowControl w:val="0"/>
        <w:shd w:val="clear"/>
        <w:kinsoku/>
        <w:wordWrap/>
        <w:overflowPunct/>
        <w:topLinePunct w:val="0"/>
        <w:autoSpaceDE w:val="0"/>
        <w:bidi w:val="0"/>
        <w:spacing w:line="576" w:lineRule="exact"/>
        <w:ind w:firstLine="640" w:firstLineChars="200"/>
        <w:textAlignment w:val="auto"/>
        <w:rPr>
          <w:rFonts w:ascii="仿宋_GB2312" w:hAnsi="Times New Roman" w:eastAsia="仿宋_GB2312" w:cs="仿宋_GB2312"/>
          <w:color w:val="auto"/>
          <w:kern w:val="0"/>
          <w:sz w:val="32"/>
          <w:szCs w:val="32"/>
          <w:highlight w:val="none"/>
        </w:rPr>
      </w:pPr>
      <w:r>
        <w:rPr>
          <w:rFonts w:hint="eastAsia" w:ascii="仿宋_GB2312" w:hAnsi="Times New Roman" w:eastAsia="仿宋_GB2312" w:cs="仿宋_GB2312"/>
          <w:color w:val="auto"/>
          <w:kern w:val="0"/>
          <w:sz w:val="32"/>
          <w:szCs w:val="32"/>
          <w:highlight w:val="none"/>
        </w:rPr>
        <w:t>根据预算绩效管理要求，我中心由财务室牵头，相关科室紧密配合，比照《2023年市级专项资金预算项目支出绩效评价指标体系》和年初绩效目标申报，依据“谁申报、谁自评、谁绩效”的原则，采用成本效益分析法，对该项目产出完成、项目效益、财务管理、满意度等方面进行了认真全面的绩效自评。经自评，项目支出绩效情况良好。</w:t>
      </w:r>
    </w:p>
    <w:p>
      <w:pPr>
        <w:pageBreakBefore w:val="0"/>
        <w:widowControl w:val="0"/>
        <w:shd w:val="clear"/>
        <w:kinsoku/>
        <w:wordWrap/>
        <w:overflowPunct/>
        <w:topLinePunct w:val="0"/>
        <w:bidi w:val="0"/>
        <w:adjustRightInd w:val="0"/>
        <w:snapToGrid w:val="0"/>
        <w:spacing w:line="576" w:lineRule="exact"/>
        <w:ind w:firstLine="640" w:firstLineChars="200"/>
        <w:textAlignment w:val="auto"/>
        <w:outlineLvl w:val="1"/>
        <w:rPr>
          <w:rFonts w:ascii="黑体" w:hAnsi="宋体" w:eastAsia="黑体" w:cs="Times New Roman"/>
          <w:color w:val="auto"/>
          <w:sz w:val="32"/>
          <w:szCs w:val="32"/>
          <w:highlight w:val="none"/>
        </w:rPr>
      </w:pPr>
      <w:bookmarkStart w:id="591" w:name="_Toc666650207_WPSOffice_Level2"/>
      <w:bookmarkStart w:id="592" w:name="_Toc3724"/>
      <w:bookmarkStart w:id="593" w:name="_Toc778721143_WPSOffice_Level2"/>
      <w:bookmarkStart w:id="594" w:name="_Toc21004"/>
      <w:r>
        <w:rPr>
          <w:rFonts w:hint="eastAsia" w:ascii="黑体" w:hAnsi="宋体" w:eastAsia="黑体" w:cs="Times New Roman"/>
          <w:color w:val="auto"/>
          <w:sz w:val="32"/>
          <w:szCs w:val="32"/>
          <w:highlight w:val="none"/>
        </w:rPr>
        <w:t>二、项目资金申报及使用情况</w:t>
      </w:r>
      <w:bookmarkEnd w:id="591"/>
      <w:bookmarkEnd w:id="592"/>
      <w:bookmarkEnd w:id="593"/>
      <w:bookmarkEnd w:id="594"/>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（一）项目资金申报及批复情况</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2022年，我中心申报</w:t>
      </w:r>
      <w:r>
        <w:rPr>
          <w:rFonts w:hint="eastAsia" w:ascii="仿宋_GB2312" w:hAnsi="仿宋_GB2312" w:eastAsia="仿宋_GB2312" w:cs="仿宋_GB2312"/>
          <w:color w:val="auto"/>
          <w:sz w:val="32"/>
          <w:szCs w:val="32"/>
          <w:highlight w:val="none"/>
          <w:lang w:eastAsia="zh-CN"/>
        </w:rPr>
        <w:t>应急管理及信息化运维服务</w:t>
      </w:r>
      <w:r>
        <w:rPr>
          <w:rFonts w:hint="eastAsia" w:ascii="仿宋_GB2312" w:hAnsi="仿宋_GB2312" w:eastAsia="仿宋_GB2312" w:cs="仿宋_GB2312"/>
          <w:color w:val="auto"/>
          <w:sz w:val="32"/>
          <w:szCs w:val="32"/>
          <w:highlight w:val="none"/>
        </w:rPr>
        <w:t>项目47.86万元，</w:t>
      </w:r>
      <w:r>
        <w:rPr>
          <w:rFonts w:hint="eastAsia" w:ascii="仿宋_GB2312" w:hAnsi="仿宋" w:eastAsia="仿宋_GB2312" w:cs="仿宋"/>
          <w:color w:val="auto"/>
          <w:sz w:val="32"/>
          <w:szCs w:val="32"/>
          <w:highlight w:val="none"/>
        </w:rPr>
        <w:t>财政部门按申报金额进行了批复。</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（二）资金计划、到位及使用情况</w:t>
      </w:r>
    </w:p>
    <w:p>
      <w:pPr>
        <w:pageBreakBefore w:val="0"/>
        <w:widowControl w:val="0"/>
        <w:shd w:val="clear"/>
        <w:kinsoku/>
        <w:wordWrap/>
        <w:overflowPunct/>
        <w:topLinePunct w:val="0"/>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1.资金计划及到位情况。</w:t>
      </w:r>
      <w:r>
        <w:rPr>
          <w:rFonts w:hint="eastAsia" w:ascii="仿宋_GB2312" w:hAnsi="仿宋" w:eastAsia="仿宋_GB2312" w:cs="仿宋"/>
          <w:color w:val="auto"/>
          <w:sz w:val="32"/>
          <w:szCs w:val="32"/>
          <w:highlight w:val="none"/>
        </w:rPr>
        <w:t>2022年，</w:t>
      </w:r>
      <w:r>
        <w:rPr>
          <w:rFonts w:hint="eastAsia" w:ascii="仿宋_GB2312" w:hAnsi="仿宋_GB2312" w:eastAsia="仿宋_GB2312" w:cs="仿宋_GB2312"/>
          <w:color w:val="auto"/>
          <w:sz w:val="32"/>
          <w:szCs w:val="32"/>
          <w:highlight w:val="none"/>
          <w:lang w:eastAsia="zh-CN"/>
        </w:rPr>
        <w:t>应急管理及信息化运维服务</w:t>
      </w:r>
      <w:r>
        <w:rPr>
          <w:rFonts w:hint="eastAsia" w:ascii="仿宋_GB2312" w:hAnsi="仿宋_GB2312" w:eastAsia="仿宋_GB2312" w:cs="仿宋_GB2312"/>
          <w:color w:val="auto"/>
          <w:sz w:val="32"/>
          <w:szCs w:val="32"/>
          <w:highlight w:val="none"/>
        </w:rPr>
        <w:t>项目预算47.86万元，</w:t>
      </w:r>
      <w:r>
        <w:rPr>
          <w:rFonts w:hint="eastAsia" w:ascii="仿宋_GB2312" w:hAnsi="宋体" w:eastAsia="仿宋_GB2312" w:cs="Times New Roman"/>
          <w:color w:val="auto"/>
          <w:sz w:val="32"/>
          <w:szCs w:val="32"/>
          <w:highlight w:val="none"/>
        </w:rPr>
        <w:t>于2022年</w:t>
      </w:r>
      <w:r>
        <w:rPr>
          <w:rFonts w:hint="eastAsia" w:ascii="仿宋_GB2312" w:hAnsi="宋体" w:eastAsia="仿宋_GB2312" w:cs="Times New Roman"/>
          <w:color w:val="auto"/>
          <w:sz w:val="32"/>
          <w:szCs w:val="32"/>
          <w:highlight w:val="none"/>
          <w:lang w:eastAsia="zh-CN"/>
        </w:rPr>
        <w:t>年初</w:t>
      </w:r>
      <w:r>
        <w:rPr>
          <w:rFonts w:hint="eastAsia" w:ascii="仿宋_GB2312" w:hAnsi="宋体" w:eastAsia="仿宋_GB2312" w:cs="Times New Roman"/>
          <w:color w:val="auto"/>
          <w:sz w:val="32"/>
          <w:szCs w:val="32"/>
          <w:highlight w:val="none"/>
        </w:rPr>
        <w:t>市财政局预算批复时全部到位。</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zh-CN"/>
        </w:rPr>
        <w:t>2</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资金使用。</w:t>
      </w:r>
      <w:r>
        <w:rPr>
          <w:rFonts w:hint="eastAsia" w:ascii="仿宋_GB2312" w:hAnsi="仿宋" w:eastAsia="仿宋_GB2312" w:cs="仿宋"/>
          <w:color w:val="auto"/>
          <w:sz w:val="32"/>
          <w:szCs w:val="32"/>
          <w:highlight w:val="none"/>
          <w:lang w:eastAsia="zh-CN"/>
        </w:rPr>
        <w:t>应急管理及信息化运维服务</w:t>
      </w:r>
      <w:r>
        <w:rPr>
          <w:rFonts w:hint="eastAsia" w:ascii="仿宋_GB2312" w:hAnsi="仿宋" w:eastAsia="仿宋_GB2312" w:cs="仿宋"/>
          <w:color w:val="auto"/>
          <w:sz w:val="32"/>
          <w:szCs w:val="32"/>
          <w:highlight w:val="none"/>
        </w:rPr>
        <w:t>项目费用47.86万元，于2022年</w:t>
      </w:r>
      <w:r>
        <w:rPr>
          <w:rFonts w:hint="eastAsia" w:ascii="仿宋_GB2312" w:hAnsi="仿宋_GB2312" w:eastAsia="仿宋_GB2312" w:cs="仿宋_GB2312"/>
          <w:color w:val="auto"/>
          <w:sz w:val="32"/>
          <w:szCs w:val="32"/>
          <w:highlight w:val="none"/>
        </w:rPr>
        <w:t>全部执行完毕，相关费用明细如下：</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（1）支付光纤链路租赁及应急设备通讯费</w:t>
      </w:r>
      <w:r>
        <w:rPr>
          <w:rFonts w:hint="eastAsia" w:ascii="仿宋_GB2312" w:hAnsi="仿宋" w:eastAsia="仿宋_GB2312" w:cs="仿宋"/>
          <w:color w:val="auto"/>
          <w:sz w:val="32"/>
          <w:szCs w:val="32"/>
          <w:highlight w:val="none"/>
          <w:lang w:val="en-US" w:eastAsia="zh-CN"/>
        </w:rPr>
        <w:t>21.03万</w:t>
      </w:r>
      <w:r>
        <w:rPr>
          <w:rFonts w:hint="eastAsia" w:ascii="仿宋_GB2312" w:hAnsi="仿宋" w:eastAsia="仿宋_GB2312" w:cs="仿宋"/>
          <w:color w:val="auto"/>
          <w:sz w:val="32"/>
          <w:szCs w:val="32"/>
          <w:highlight w:val="none"/>
        </w:rPr>
        <w:t>元。</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（2）支付外场监控点位及设备运维费</w:t>
      </w:r>
      <w:r>
        <w:rPr>
          <w:rFonts w:hint="eastAsia" w:ascii="仿宋_GB2312" w:hAnsi="仿宋" w:eastAsia="仿宋_GB2312" w:cs="仿宋"/>
          <w:color w:val="auto"/>
          <w:sz w:val="32"/>
          <w:szCs w:val="32"/>
          <w:highlight w:val="none"/>
          <w:lang w:val="en-US" w:eastAsia="zh-CN"/>
        </w:rPr>
        <w:t>15.70万</w:t>
      </w:r>
      <w:r>
        <w:rPr>
          <w:rFonts w:hint="eastAsia" w:ascii="仿宋_GB2312" w:hAnsi="仿宋" w:eastAsia="仿宋_GB2312" w:cs="仿宋"/>
          <w:color w:val="auto"/>
          <w:sz w:val="32"/>
          <w:szCs w:val="32"/>
          <w:highlight w:val="none"/>
        </w:rPr>
        <w:t>元。</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rPr>
        <w:t>）支付应急管理工作经费1</w:t>
      </w:r>
      <w:r>
        <w:rPr>
          <w:rFonts w:hint="eastAsia" w:ascii="仿宋_GB2312" w:hAnsi="仿宋" w:eastAsia="仿宋_GB2312" w:cs="仿宋"/>
          <w:color w:val="auto"/>
          <w:sz w:val="32"/>
          <w:szCs w:val="32"/>
          <w:highlight w:val="none"/>
          <w:lang w:val="en-US" w:eastAsia="zh-CN"/>
        </w:rPr>
        <w:t>1.13万</w:t>
      </w:r>
      <w:r>
        <w:rPr>
          <w:rFonts w:hint="eastAsia" w:ascii="仿宋_GB2312" w:hAnsi="仿宋" w:eastAsia="仿宋_GB2312" w:cs="仿宋"/>
          <w:color w:val="auto"/>
          <w:sz w:val="32"/>
          <w:szCs w:val="32"/>
          <w:highlight w:val="none"/>
        </w:rPr>
        <w:t>元。</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（三）项目财务管理情况</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我中心严格执行市委市政府、市财政局和市交通运输局制定的相关制度，财务制度健全，会计核算规范，完善了必要的财务监控和内部控制制度，资金管理、使用符合国家财经法规和财务管理制度等。</w:t>
      </w:r>
    </w:p>
    <w:p>
      <w:pPr>
        <w:pageBreakBefore w:val="0"/>
        <w:widowControl w:val="0"/>
        <w:shd w:val="clear"/>
        <w:kinsoku/>
        <w:wordWrap/>
        <w:overflowPunct/>
        <w:topLinePunct w:val="0"/>
        <w:bidi w:val="0"/>
        <w:adjustRightInd w:val="0"/>
        <w:snapToGrid w:val="0"/>
        <w:spacing w:line="576" w:lineRule="exact"/>
        <w:ind w:firstLine="640" w:firstLineChars="200"/>
        <w:textAlignment w:val="auto"/>
        <w:outlineLvl w:val="1"/>
        <w:rPr>
          <w:rFonts w:ascii="黑体" w:hAnsi="宋体" w:eastAsia="黑体" w:cs="Times New Roman"/>
          <w:color w:val="auto"/>
          <w:sz w:val="32"/>
          <w:szCs w:val="32"/>
          <w:highlight w:val="none"/>
        </w:rPr>
      </w:pPr>
      <w:bookmarkStart w:id="595" w:name="_Toc612578331_WPSOffice_Level2"/>
      <w:bookmarkStart w:id="596" w:name="_Toc878655192_WPSOffice_Level2"/>
      <w:bookmarkStart w:id="597" w:name="_Toc19450"/>
      <w:bookmarkStart w:id="598" w:name="_Toc11314"/>
      <w:r>
        <w:rPr>
          <w:rFonts w:hint="eastAsia" w:ascii="黑体" w:hAnsi="宋体" w:eastAsia="黑体" w:cs="Times New Roman"/>
          <w:color w:val="auto"/>
          <w:sz w:val="32"/>
          <w:szCs w:val="32"/>
          <w:highlight w:val="none"/>
        </w:rPr>
        <w:t>三、项目实施及管理情况</w:t>
      </w:r>
      <w:bookmarkEnd w:id="595"/>
      <w:bookmarkEnd w:id="596"/>
      <w:bookmarkEnd w:id="597"/>
      <w:bookmarkEnd w:id="598"/>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Times New Roman" w:eastAsia="仿宋_GB2312" w:cs="Times New Roman"/>
          <w:color w:val="auto"/>
          <w:sz w:val="32"/>
          <w:szCs w:val="32"/>
          <w:highlight w:val="none"/>
        </w:rPr>
        <w:t>2022年</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我中心通过财政审批后</w:t>
      </w:r>
      <w:r>
        <w:rPr>
          <w:rFonts w:hint="eastAsia" w:ascii="仿宋_GB2312" w:hAnsi="仿宋_GB2312" w:eastAsia="仿宋_GB2312" w:cs="仿宋_GB2312"/>
          <w:color w:val="auto"/>
          <w:sz w:val="32"/>
          <w:szCs w:val="32"/>
          <w:highlight w:val="none"/>
          <w:lang w:eastAsia="zh-CN"/>
        </w:rPr>
        <w:t>应急管理及信息化运维服务</w:t>
      </w:r>
      <w:r>
        <w:rPr>
          <w:rFonts w:hint="eastAsia" w:ascii="仿宋_GB2312" w:hAnsi="仿宋_GB2312" w:eastAsia="仿宋_GB2312" w:cs="仿宋_GB2312"/>
          <w:color w:val="auto"/>
          <w:sz w:val="32"/>
          <w:szCs w:val="32"/>
          <w:highlight w:val="none"/>
        </w:rPr>
        <w:t>项目</w:t>
      </w:r>
      <w:r>
        <w:rPr>
          <w:rFonts w:hint="eastAsia" w:ascii="仿宋_GB2312" w:hAnsi="Times New Roman" w:eastAsia="仿宋_GB2312" w:cs="Times New Roman"/>
          <w:color w:val="auto"/>
          <w:sz w:val="32"/>
          <w:szCs w:val="32"/>
          <w:highlight w:val="none"/>
        </w:rPr>
        <w:t>。由</w:t>
      </w:r>
      <w:r>
        <w:rPr>
          <w:rFonts w:hint="eastAsia" w:ascii="仿宋_GB2312" w:hAnsi="Times New Roman" w:eastAsia="仿宋_GB2312" w:cs="Times New Roman"/>
          <w:color w:val="auto"/>
          <w:sz w:val="32"/>
          <w:szCs w:val="32"/>
          <w:highlight w:val="none"/>
          <w:lang w:val="en-US" w:eastAsia="zh-CN"/>
        </w:rPr>
        <w:t>具体业务科室</w:t>
      </w:r>
      <w:r>
        <w:rPr>
          <w:rFonts w:hint="eastAsia" w:ascii="仿宋_GB2312" w:hAnsi="Times New Roman" w:eastAsia="仿宋_GB2312" w:cs="Times New Roman"/>
          <w:color w:val="auto"/>
          <w:sz w:val="32"/>
          <w:szCs w:val="32"/>
          <w:highlight w:val="none"/>
        </w:rPr>
        <w:t>负责对该项目的支出提出意见，经领导审核或集体决策后由财务室支付款项，确保了</w:t>
      </w:r>
      <w:r>
        <w:rPr>
          <w:rFonts w:hint="eastAsia" w:ascii="仿宋_GB2312" w:hAnsi="仿宋_GB2312" w:eastAsia="仿宋_GB2312" w:cs="仿宋_GB2312"/>
          <w:color w:val="auto"/>
          <w:sz w:val="32"/>
          <w:szCs w:val="32"/>
          <w:highlight w:val="none"/>
          <w:lang w:eastAsia="zh-CN"/>
        </w:rPr>
        <w:t>应急管理及信息化运维服务</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资金</w:t>
      </w:r>
      <w:r>
        <w:rPr>
          <w:rFonts w:hint="eastAsia" w:ascii="仿宋_GB2312" w:hAnsi="仿宋_GB2312" w:eastAsia="仿宋_GB2312" w:cs="仿宋_GB2312"/>
          <w:color w:val="auto"/>
          <w:sz w:val="32"/>
          <w:szCs w:val="32"/>
          <w:highlight w:val="none"/>
        </w:rPr>
        <w:t>严格按照申报内容</w:t>
      </w:r>
      <w:r>
        <w:rPr>
          <w:rFonts w:hint="eastAsia" w:ascii="仿宋_GB2312" w:hAnsi="Times New Roman" w:eastAsia="仿宋_GB2312" w:cs="Times New Roman"/>
          <w:color w:val="auto"/>
          <w:sz w:val="32"/>
          <w:szCs w:val="32"/>
          <w:highlight w:val="none"/>
        </w:rPr>
        <w:t>建设完成和使用。</w:t>
      </w:r>
    </w:p>
    <w:p>
      <w:pPr>
        <w:pageBreakBefore w:val="0"/>
        <w:widowControl w:val="0"/>
        <w:shd w:val="clear"/>
        <w:kinsoku/>
        <w:wordWrap/>
        <w:overflowPunct/>
        <w:topLinePunct w:val="0"/>
        <w:bidi w:val="0"/>
        <w:adjustRightInd w:val="0"/>
        <w:snapToGrid w:val="0"/>
        <w:spacing w:line="576" w:lineRule="exact"/>
        <w:ind w:firstLine="640" w:firstLineChars="200"/>
        <w:textAlignment w:val="auto"/>
        <w:outlineLvl w:val="1"/>
        <w:rPr>
          <w:rFonts w:ascii="仿宋_GB2312" w:hAnsi="宋体" w:eastAsia="仿宋_GB2312" w:cs="Times New Roman"/>
          <w:color w:val="auto"/>
          <w:sz w:val="32"/>
          <w:szCs w:val="32"/>
          <w:highlight w:val="none"/>
          <w:lang w:val="zh-CN"/>
        </w:rPr>
      </w:pPr>
      <w:bookmarkStart w:id="599" w:name="_Toc19043215_WPSOffice_Level2"/>
      <w:bookmarkStart w:id="600" w:name="_Toc2086001096_WPSOffice_Level2"/>
      <w:bookmarkStart w:id="601" w:name="_Toc21277"/>
      <w:bookmarkStart w:id="602" w:name="_Toc7665"/>
      <w:r>
        <w:rPr>
          <w:rFonts w:hint="eastAsia" w:ascii="黑体" w:hAnsi="宋体" w:eastAsia="黑体" w:cs="Times New Roman"/>
          <w:color w:val="auto"/>
          <w:sz w:val="32"/>
          <w:szCs w:val="32"/>
          <w:highlight w:val="none"/>
        </w:rPr>
        <w:t>四、项目绩效情况</w:t>
      </w:r>
      <w:bookmarkEnd w:id="599"/>
      <w:bookmarkEnd w:id="600"/>
      <w:bookmarkEnd w:id="601"/>
      <w:bookmarkEnd w:id="602"/>
      <w:r>
        <w:rPr>
          <w:rFonts w:hint="eastAsia" w:ascii="仿宋_GB2312" w:hAnsi="宋体" w:eastAsia="仿宋_GB2312" w:cs="Times New Roman"/>
          <w:color w:val="auto"/>
          <w:sz w:val="32"/>
          <w:szCs w:val="32"/>
          <w:highlight w:val="none"/>
          <w:lang w:val="zh-CN"/>
        </w:rPr>
        <w:tab/>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（一）项目完成情况</w:t>
      </w:r>
    </w:p>
    <w:p>
      <w:pPr>
        <w:pageBreakBefore w:val="0"/>
        <w:widowControl w:val="0"/>
        <w:shd w:val="clear"/>
        <w:kinsoku/>
        <w:wordWrap/>
        <w:overflowPunct/>
        <w:topLinePunct w:val="0"/>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sz w:val="32"/>
          <w:szCs w:val="32"/>
          <w:highlight w:val="none"/>
          <w:lang w:eastAsia="zh-CN"/>
        </w:rPr>
        <w:t>应急管理及信息化运维服务</w:t>
      </w:r>
      <w:r>
        <w:rPr>
          <w:rFonts w:hint="eastAsia" w:ascii="仿宋_GB2312" w:hAnsi="仿宋_GB2312" w:eastAsia="仿宋_GB2312" w:cs="仿宋_GB2312"/>
          <w:color w:val="auto"/>
          <w:sz w:val="32"/>
          <w:szCs w:val="32"/>
          <w:highlight w:val="none"/>
        </w:rPr>
        <w:t>项目</w:t>
      </w:r>
      <w:r>
        <w:rPr>
          <w:rFonts w:hint="eastAsia" w:ascii="仿宋_GB2312" w:hAnsi="仿宋" w:eastAsia="仿宋_GB2312" w:cs="仿宋"/>
          <w:color w:val="auto"/>
          <w:sz w:val="32"/>
          <w:szCs w:val="32"/>
          <w:highlight w:val="none"/>
        </w:rPr>
        <w:t>按照申报内容，组织开展参加省、市综合应急演练及专项应急演练</w:t>
      </w:r>
      <w:r>
        <w:rPr>
          <w:rFonts w:hint="eastAsia" w:ascii="仿宋_GB2312" w:hAnsi="仿宋" w:eastAsia="仿宋_GB2312" w:cs="仿宋"/>
          <w:color w:val="auto"/>
          <w:sz w:val="32"/>
          <w:szCs w:val="32"/>
          <w:highlight w:val="none"/>
          <w:lang w:val="en-US" w:eastAsia="zh-CN"/>
        </w:rPr>
        <w:t>4</w:t>
      </w:r>
      <w:r>
        <w:rPr>
          <w:rFonts w:hint="eastAsia" w:ascii="仿宋_GB2312" w:hAnsi="仿宋" w:eastAsia="仿宋_GB2312" w:cs="仿宋"/>
          <w:color w:val="auto"/>
          <w:sz w:val="32"/>
          <w:szCs w:val="32"/>
          <w:highlight w:val="none"/>
        </w:rPr>
        <w:t>次，补充完善应急物资储备库应急物资，冰雪天气、汛期灾害天气及交通运输行业内等其它突发事件开展应急处置及隐患排查20余次，进一步提升了行业应急处置水平。完成省厅、市12345政务服务热线对12328电话的各项考核，协助12345政务服务热线按照省大数据中心对交通运输行业要求，做好系统对接，强化广元12328运行管理工作，有效提升12328便民服务水平和质量，2022年，我市12328运行管理工作排名全省第二名。确保外场监控点位、视频会议系统等设备链路正常运行，出现突发事件能及时调取画面，租赁电信（外场监控点位、视频会议等）、移动（机关专线、MAS平台、超限站专线等）光纤电路。保障4G图传、对讲机、海事卫星电话、北斗卫星导航等设备在应急处置过程中能正常使用。保障应急通讯设备能正常使用，确保外场监控点位能随时调阅图像。中心机房、指挥大厅网络安全设备、服务器等设备安全正常运行，同时对故障设备及时进行维修。</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（二）项目效益情况</w:t>
      </w:r>
    </w:p>
    <w:p>
      <w:pPr>
        <w:pageBreakBefore w:val="0"/>
        <w:widowControl w:val="0"/>
        <w:shd w:val="clear"/>
        <w:kinsoku/>
        <w:wordWrap/>
        <w:overflowPunct/>
        <w:topLinePunct w:val="0"/>
        <w:bidi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仿宋_GB2312" w:hAnsi="仿宋_GB2312" w:eastAsia="仿宋_GB2312" w:cs="仿宋_GB2312"/>
          <w:color w:val="auto"/>
          <w:sz w:val="32"/>
          <w:szCs w:val="32"/>
          <w:highlight w:val="none"/>
          <w:lang w:eastAsia="zh-CN"/>
        </w:rPr>
        <w:t>应急管理及信息化运维服务</w:t>
      </w:r>
      <w:r>
        <w:rPr>
          <w:rFonts w:hint="eastAsia" w:ascii="仿宋_GB2312" w:hAnsi="仿宋_GB2312" w:eastAsia="仿宋_GB2312" w:cs="仿宋_GB2312"/>
          <w:color w:val="auto"/>
          <w:sz w:val="32"/>
          <w:szCs w:val="32"/>
          <w:highlight w:val="none"/>
        </w:rPr>
        <w:t>项目组织实施，</w:t>
      </w:r>
      <w:r>
        <w:rPr>
          <w:rFonts w:hint="eastAsia" w:ascii="仿宋_GB2312" w:hAnsi="仿宋" w:eastAsia="仿宋_GB2312" w:cs="仿宋"/>
          <w:color w:val="auto"/>
          <w:sz w:val="32"/>
          <w:szCs w:val="32"/>
          <w:highlight w:val="none"/>
        </w:rPr>
        <w:t>提升了我中心应急救援能力和应急处置能力,增强</w:t>
      </w:r>
      <w:r>
        <w:rPr>
          <w:rFonts w:hint="eastAsia" w:ascii="仿宋_GB2312" w:hAnsi="仿宋" w:eastAsia="仿宋_GB2312" w:cs="仿宋"/>
          <w:color w:val="auto"/>
          <w:sz w:val="32"/>
          <w:szCs w:val="32"/>
          <w:highlight w:val="none"/>
          <w:lang w:val="en-US" w:eastAsia="zh-CN"/>
        </w:rPr>
        <w:t>了群众</w:t>
      </w:r>
      <w:r>
        <w:rPr>
          <w:rFonts w:hint="eastAsia" w:ascii="仿宋_GB2312" w:hAnsi="仿宋" w:eastAsia="仿宋_GB2312" w:cs="仿宋"/>
          <w:color w:val="auto"/>
          <w:sz w:val="32"/>
          <w:szCs w:val="32"/>
          <w:highlight w:val="none"/>
        </w:rPr>
        <w:t>对12328知晓度，提高数据规范和及时报送，进一步</w:t>
      </w:r>
      <w:r>
        <w:rPr>
          <w:rFonts w:hint="eastAsia" w:ascii="仿宋_GB2312" w:hAnsi="仿宋" w:eastAsia="仿宋_GB2312" w:cs="仿宋"/>
          <w:color w:val="auto"/>
          <w:sz w:val="32"/>
          <w:szCs w:val="32"/>
          <w:highlight w:val="none"/>
          <w:lang w:val="en-US" w:eastAsia="zh-CN"/>
        </w:rPr>
        <w:t>提升了</w:t>
      </w:r>
      <w:r>
        <w:rPr>
          <w:rFonts w:hint="eastAsia" w:ascii="仿宋_GB2312" w:hAnsi="仿宋" w:eastAsia="仿宋_GB2312" w:cs="仿宋"/>
          <w:color w:val="auto"/>
          <w:sz w:val="32"/>
          <w:szCs w:val="32"/>
          <w:highlight w:val="none"/>
        </w:rPr>
        <w:t>网络安全，确保</w:t>
      </w:r>
      <w:r>
        <w:rPr>
          <w:rFonts w:hint="eastAsia" w:ascii="仿宋_GB2312" w:hAnsi="仿宋" w:eastAsia="仿宋_GB2312" w:cs="仿宋"/>
          <w:color w:val="auto"/>
          <w:sz w:val="32"/>
          <w:szCs w:val="32"/>
          <w:highlight w:val="none"/>
          <w:lang w:val="en-US" w:eastAsia="zh-CN"/>
        </w:rPr>
        <w:t>了</w:t>
      </w:r>
      <w:r>
        <w:rPr>
          <w:rFonts w:hint="eastAsia" w:ascii="仿宋_GB2312" w:hAnsi="仿宋" w:eastAsia="仿宋_GB2312" w:cs="仿宋"/>
          <w:color w:val="auto"/>
          <w:sz w:val="32"/>
          <w:szCs w:val="32"/>
          <w:highlight w:val="none"/>
        </w:rPr>
        <w:t>中心机房、指挥大厅网络安全设备、服务器等设备安全正常运行。</w:t>
      </w:r>
    </w:p>
    <w:p>
      <w:pPr>
        <w:pageBreakBefore w:val="0"/>
        <w:widowControl w:val="0"/>
        <w:shd w:val="clear"/>
        <w:tabs>
          <w:tab w:val="left" w:pos="7560"/>
        </w:tabs>
        <w:kinsoku/>
        <w:wordWrap/>
        <w:overflowPunct/>
        <w:topLinePunct w:val="0"/>
        <w:bidi w:val="0"/>
        <w:adjustRightInd w:val="0"/>
        <w:snapToGrid w:val="0"/>
        <w:spacing w:line="576" w:lineRule="exact"/>
        <w:ind w:firstLine="640" w:firstLineChars="200"/>
        <w:textAlignment w:val="auto"/>
        <w:outlineLvl w:val="1"/>
        <w:rPr>
          <w:rFonts w:ascii="黑体" w:hAnsi="宋体" w:eastAsia="黑体" w:cs="Times New Roman"/>
          <w:color w:val="auto"/>
          <w:sz w:val="32"/>
          <w:szCs w:val="32"/>
          <w:highlight w:val="none"/>
        </w:rPr>
      </w:pPr>
      <w:bookmarkStart w:id="603" w:name="_Toc2106"/>
      <w:bookmarkStart w:id="604" w:name="_Toc28212"/>
      <w:bookmarkStart w:id="605" w:name="_Toc1050721439_WPSOffice_Level2"/>
      <w:bookmarkStart w:id="606" w:name="_Toc1845248496_WPSOffice_Level2"/>
      <w:r>
        <w:rPr>
          <w:rFonts w:hint="eastAsia" w:ascii="黑体" w:hAnsi="宋体" w:eastAsia="黑体" w:cs="Times New Roman"/>
          <w:color w:val="auto"/>
          <w:sz w:val="32"/>
          <w:szCs w:val="32"/>
          <w:highlight w:val="none"/>
        </w:rPr>
        <w:t>五、评价结论及建议</w:t>
      </w:r>
      <w:bookmarkEnd w:id="603"/>
      <w:bookmarkEnd w:id="604"/>
      <w:bookmarkEnd w:id="605"/>
      <w:bookmarkEnd w:id="606"/>
      <w:r>
        <w:rPr>
          <w:rFonts w:ascii="黑体" w:hAnsi="宋体" w:eastAsia="黑体" w:cs="Times New Roman"/>
          <w:color w:val="auto"/>
          <w:sz w:val="32"/>
          <w:szCs w:val="32"/>
          <w:highlight w:val="none"/>
        </w:rPr>
        <w:tab/>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（一）评价结论</w:t>
      </w:r>
    </w:p>
    <w:p>
      <w:pPr>
        <w:pageBreakBefore w:val="0"/>
        <w:widowControl w:val="0"/>
        <w:shd w:val="clear"/>
        <w:kinsoku/>
        <w:wordWrap/>
        <w:overflowPunct/>
        <w:topLinePunct w:val="0"/>
        <w:bidi w:val="0"/>
        <w:adjustRightInd w:val="0"/>
        <w:snapToGrid w:val="0"/>
        <w:spacing w:line="576" w:lineRule="exact"/>
        <w:ind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lang w:val="zh-CN"/>
        </w:rPr>
      </w:pPr>
      <w:r>
        <w:rPr>
          <w:rFonts w:hint="eastAsia" w:ascii="仿宋_GB2312" w:hAnsi="Times New Roman" w:eastAsia="仿宋_GB2312" w:cs="仿宋_GB2312"/>
          <w:color w:val="auto"/>
          <w:kern w:val="0"/>
          <w:sz w:val="32"/>
          <w:szCs w:val="32"/>
          <w:highlight w:val="none"/>
        </w:rPr>
        <w:t>该项目规划科学，决策依据充分，程序合法合规、资金到位及时拨付规范。项目自评得分100分</w:t>
      </w:r>
      <w:r>
        <w:rPr>
          <w:rFonts w:hint="eastAsia" w:ascii="仿宋_GB2312" w:hAnsi="仿宋_GB2312" w:eastAsia="仿宋_GB2312" w:cs="仿宋_GB2312"/>
          <w:color w:val="auto"/>
          <w:kern w:val="0"/>
          <w:sz w:val="32"/>
          <w:szCs w:val="32"/>
          <w:highlight w:val="none"/>
          <w:shd w:val="clear" w:color="auto" w:fill="FFFFFF"/>
          <w:lang w:val="zh-CN"/>
        </w:rPr>
        <w:t>。</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（二）存在的问题</w:t>
      </w:r>
    </w:p>
    <w:p>
      <w:pPr>
        <w:pageBreakBefore w:val="0"/>
        <w:widowControl w:val="0"/>
        <w:shd w:val="clear"/>
        <w:kinsoku/>
        <w:wordWrap/>
        <w:overflowPunct/>
        <w:topLinePunct w:val="0"/>
        <w:bidi w:val="0"/>
        <w:spacing w:line="576" w:lineRule="exact"/>
        <w:ind w:firstLine="640" w:firstLineChars="200"/>
        <w:jc w:val="left"/>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主要表现是运算经费不足，比如：</w:t>
      </w:r>
      <w:r>
        <w:rPr>
          <w:rFonts w:hint="eastAsia" w:ascii="仿宋_GB2312" w:hAnsi="仿宋" w:eastAsia="仿宋_GB2312" w:cs="仿宋"/>
          <w:color w:val="auto"/>
          <w:kern w:val="2"/>
          <w:sz w:val="32"/>
          <w:szCs w:val="32"/>
          <w:highlight w:val="none"/>
          <w:lang w:val="en-US" w:eastAsia="zh-CN" w:bidi="ar-SA"/>
        </w:rPr>
        <w:t>光纤链路租赁经费</w:t>
      </w:r>
      <w:r>
        <w:rPr>
          <w:rFonts w:hint="eastAsia" w:ascii="仿宋_GB2312" w:hAnsi="Calibri" w:eastAsia="仿宋_GB2312" w:cs="Times New Roman"/>
          <w:color w:val="auto"/>
          <w:kern w:val="2"/>
          <w:sz w:val="32"/>
          <w:szCs w:val="32"/>
          <w:highlight w:val="none"/>
          <w:lang w:val="en-US" w:eastAsia="zh-CN" w:bidi="ar-SA"/>
        </w:rPr>
        <w:t>不足，系统建设完成后，无预算资金保障。</w:t>
      </w:r>
      <w:r>
        <w:rPr>
          <w:rFonts w:hint="eastAsia" w:ascii="仿宋_GB2312" w:hAnsi="仿宋" w:eastAsia="仿宋_GB2312" w:cs="仿宋"/>
          <w:color w:val="auto"/>
          <w:kern w:val="2"/>
          <w:sz w:val="32"/>
          <w:szCs w:val="32"/>
          <w:highlight w:val="none"/>
          <w:lang w:val="en-US" w:eastAsia="zh-CN" w:bidi="ar-SA"/>
        </w:rPr>
        <w:t>应急培训管理资金无预算。</w:t>
      </w:r>
    </w:p>
    <w:p>
      <w:pPr>
        <w:pageBreakBefore w:val="0"/>
        <w:widowControl w:val="0"/>
        <w:shd w:val="clear"/>
        <w:kinsoku/>
        <w:wordWrap/>
        <w:overflowPunct/>
        <w:topLinePunct w:val="0"/>
        <w:bidi w:val="0"/>
        <w:adjustRightInd w:val="0"/>
        <w:snapToGrid w:val="0"/>
        <w:spacing w:line="576" w:lineRule="exact"/>
        <w:ind w:firstLine="640" w:firstLineChars="200"/>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（三）相关建议</w:t>
      </w:r>
    </w:p>
    <w:p>
      <w:pPr>
        <w:shd w:val="clear"/>
        <w:rPr>
          <w:rFonts w:hint="eastAsia" w:hAnsi="宋体" w:cs="宋体"/>
          <w:color w:val="auto"/>
          <w:kern w:val="0"/>
          <w:sz w:val="32"/>
          <w:szCs w:val="32"/>
          <w:highlight w:val="none"/>
          <w:shd w:val="clear" w:color="auto" w:fill="FFFFFF"/>
          <w:lang w:val="en-US" w:eastAsia="zh-CN"/>
        </w:rPr>
      </w:pPr>
      <w:r>
        <w:rPr>
          <w:rFonts w:hint="eastAsia" w:ascii="仿宋_GB2312" w:hAnsi="Calibri" w:eastAsia="仿宋_GB2312" w:cs="Times New Roman"/>
          <w:color w:val="auto"/>
          <w:kern w:val="2"/>
          <w:sz w:val="32"/>
          <w:szCs w:val="32"/>
          <w:highlight w:val="none"/>
          <w:lang w:val="en-US" w:eastAsia="zh-CN" w:bidi="ar-SA"/>
        </w:rPr>
        <w:t>建议将</w:t>
      </w:r>
      <w:r>
        <w:rPr>
          <w:rFonts w:hint="eastAsia" w:ascii="仿宋_GB2312" w:hAnsi="仿宋" w:eastAsia="仿宋_GB2312" w:cs="仿宋"/>
          <w:color w:val="auto"/>
          <w:kern w:val="2"/>
          <w:sz w:val="32"/>
          <w:szCs w:val="32"/>
          <w:highlight w:val="none"/>
          <w:lang w:val="en-US" w:eastAsia="zh-CN" w:bidi="ar-SA"/>
        </w:rPr>
        <w:t>应急管理培训经费</w:t>
      </w:r>
      <w:r>
        <w:rPr>
          <w:rFonts w:hint="eastAsia" w:ascii="仿宋_GB2312" w:hAnsi="Calibri" w:eastAsia="仿宋_GB2312" w:cs="Times New Roman"/>
          <w:color w:val="auto"/>
          <w:kern w:val="2"/>
          <w:sz w:val="32"/>
          <w:szCs w:val="32"/>
          <w:highlight w:val="none"/>
          <w:lang w:val="en-US" w:eastAsia="zh-CN" w:bidi="ar-SA"/>
        </w:rPr>
        <w:t>用纳入财政预算,增加</w:t>
      </w:r>
      <w:r>
        <w:rPr>
          <w:rFonts w:hint="eastAsia" w:ascii="仿宋_GB2312" w:hAnsi="仿宋" w:eastAsia="仿宋_GB2312" w:cs="仿宋"/>
          <w:color w:val="auto"/>
          <w:kern w:val="2"/>
          <w:sz w:val="32"/>
          <w:szCs w:val="32"/>
          <w:highlight w:val="none"/>
          <w:lang w:val="en-US" w:eastAsia="zh-CN" w:bidi="ar-SA"/>
        </w:rPr>
        <w:t>光纤链路租赁经费</w:t>
      </w:r>
      <w:r>
        <w:rPr>
          <w:rFonts w:hint="eastAsia" w:ascii="仿宋_GB2312" w:hAnsi="Calibri" w:eastAsia="仿宋_GB2312" w:cs="Times New Roman"/>
          <w:color w:val="auto"/>
          <w:kern w:val="2"/>
          <w:sz w:val="32"/>
          <w:szCs w:val="32"/>
          <w:highlight w:val="none"/>
          <w:lang w:val="en-US" w:eastAsia="zh-CN" w:bidi="ar-SA"/>
        </w:rPr>
        <w:t>。</w:t>
      </w:r>
    </w:p>
    <w:p>
      <w:pPr>
        <w:shd w:val="clear"/>
        <w:rPr>
          <w:rFonts w:hint="default" w:hAnsi="宋体" w:cs="宋体"/>
          <w:color w:val="auto"/>
          <w:kern w:val="0"/>
          <w:sz w:val="32"/>
          <w:szCs w:val="32"/>
          <w:highlight w:val="none"/>
          <w:shd w:val="clear" w:color="auto" w:fill="FFFFFF"/>
          <w:lang w:val="en-US" w:eastAsia="zh-CN"/>
        </w:rPr>
      </w:pPr>
      <w:r>
        <w:rPr>
          <w:rFonts w:hint="default" w:hAnsi="宋体" w:cs="宋体"/>
          <w:color w:val="auto"/>
          <w:kern w:val="0"/>
          <w:sz w:val="32"/>
          <w:szCs w:val="32"/>
          <w:highlight w:val="none"/>
          <w:shd w:val="clear" w:color="auto" w:fill="FFFFFF"/>
          <w:lang w:val="en-US" w:eastAsia="zh-CN"/>
        </w:rPr>
        <w:br w:type="page"/>
      </w:r>
    </w:p>
    <w:p>
      <w:pPr>
        <w:pageBreakBefore w:val="0"/>
        <w:shd w:val="clear"/>
        <w:kinsoku/>
        <w:wordWrap/>
        <w:topLinePunct w:val="0"/>
        <w:bidi w:val="0"/>
        <w:spacing w:line="560" w:lineRule="exact"/>
        <w:jc w:val="center"/>
        <w:textAlignment w:val="auto"/>
        <w:outlineLvl w:val="0"/>
        <w:rPr>
          <w:rFonts w:hint="eastAsia" w:ascii="仿宋" w:hAnsi="仿宋" w:eastAsia="仿宋"/>
          <w:b w:val="0"/>
          <w:color w:val="auto"/>
          <w:highlight w:val="none"/>
        </w:rPr>
      </w:pPr>
      <w:bookmarkStart w:id="607" w:name="_Toc15396618"/>
      <w:bookmarkStart w:id="608" w:name="_Toc688151102_WPSOffice_Level1"/>
      <w:bookmarkStart w:id="609" w:name="_Toc23204"/>
      <w:bookmarkStart w:id="610" w:name="_Toc12026"/>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五部分附表</w:t>
      </w:r>
      <w:bookmarkEnd w:id="607"/>
      <w:bookmarkEnd w:id="608"/>
      <w:bookmarkEnd w:id="609"/>
      <w:bookmarkEnd w:id="610"/>
      <w:bookmarkStart w:id="611" w:name="_Toc15396619"/>
    </w:p>
    <w:p>
      <w:pPr>
        <w:pStyle w:val="4"/>
        <w:pageBreakBefore w:val="0"/>
        <w:shd w:val="clear"/>
        <w:kinsoku/>
        <w:wordWrap/>
        <w:topLinePunct w:val="0"/>
        <w:bidi w:val="0"/>
        <w:spacing w:line="560" w:lineRule="exact"/>
        <w:textAlignment w:val="auto"/>
        <w:rPr>
          <w:rFonts w:ascii="仿宋" w:hAnsi="仿宋" w:eastAsia="仿宋"/>
          <w:color w:val="auto"/>
          <w:highlight w:val="none"/>
        </w:rPr>
      </w:pPr>
      <w:bookmarkStart w:id="612" w:name="_Toc1607450972_WPSOffice_Level2"/>
      <w:bookmarkStart w:id="613" w:name="_Toc11934"/>
      <w:bookmarkStart w:id="614" w:name="_Toc23903"/>
      <w:r>
        <w:rPr>
          <w:rFonts w:hint="eastAsia" w:ascii="仿宋" w:hAnsi="仿宋" w:eastAsia="仿宋"/>
          <w:b w:val="0"/>
          <w:color w:val="auto"/>
          <w:highlight w:val="none"/>
        </w:rPr>
        <w:t>一、收</w:t>
      </w:r>
      <w:r>
        <w:rPr>
          <w:rStyle w:val="22"/>
          <w:rFonts w:hint="eastAsia" w:ascii="仿宋" w:hAnsi="仿宋" w:eastAsia="仿宋"/>
          <w:b w:val="0"/>
          <w:bCs w:val="0"/>
          <w:color w:val="auto"/>
          <w:highlight w:val="none"/>
        </w:rPr>
        <w:t>入支出决算总表</w:t>
      </w:r>
      <w:bookmarkEnd w:id="611"/>
      <w:bookmarkEnd w:id="612"/>
      <w:bookmarkEnd w:id="613"/>
      <w:bookmarkEnd w:id="614"/>
    </w:p>
    <w:p>
      <w:pPr>
        <w:pStyle w:val="4"/>
        <w:pageBreakBefore w:val="0"/>
        <w:shd w:val="clear"/>
        <w:kinsoku/>
        <w:wordWrap/>
        <w:topLinePunct w:val="0"/>
        <w:bidi w:val="0"/>
        <w:spacing w:line="560" w:lineRule="exact"/>
        <w:textAlignment w:val="auto"/>
        <w:rPr>
          <w:rFonts w:ascii="仿宋" w:hAnsi="仿宋" w:eastAsia="仿宋"/>
          <w:color w:val="auto"/>
          <w:highlight w:val="none"/>
        </w:rPr>
      </w:pPr>
      <w:bookmarkStart w:id="615" w:name="_Toc15396620"/>
      <w:bookmarkStart w:id="616" w:name="_Toc1991845922_WPSOffice_Level2"/>
      <w:bookmarkStart w:id="617" w:name="_Toc5123"/>
      <w:bookmarkStart w:id="618" w:name="_Toc19309"/>
      <w:r>
        <w:rPr>
          <w:rFonts w:hint="eastAsia" w:ascii="仿宋" w:hAnsi="仿宋" w:eastAsia="仿宋"/>
          <w:b w:val="0"/>
          <w:color w:val="auto"/>
          <w:highlight w:val="none"/>
        </w:rPr>
        <w:t>二、收</w:t>
      </w:r>
      <w:r>
        <w:rPr>
          <w:rStyle w:val="22"/>
          <w:rFonts w:hint="eastAsia" w:ascii="仿宋" w:hAnsi="仿宋" w:eastAsia="仿宋"/>
          <w:b w:val="0"/>
          <w:bCs w:val="0"/>
          <w:color w:val="auto"/>
          <w:highlight w:val="none"/>
        </w:rPr>
        <w:t>入决算表</w:t>
      </w:r>
      <w:bookmarkEnd w:id="615"/>
      <w:bookmarkEnd w:id="616"/>
      <w:bookmarkEnd w:id="617"/>
      <w:bookmarkEnd w:id="618"/>
    </w:p>
    <w:p>
      <w:pPr>
        <w:pStyle w:val="4"/>
        <w:pageBreakBefore w:val="0"/>
        <w:shd w:val="clear"/>
        <w:kinsoku/>
        <w:wordWrap/>
        <w:topLinePunct w:val="0"/>
        <w:bidi w:val="0"/>
        <w:spacing w:line="560" w:lineRule="exact"/>
        <w:textAlignment w:val="auto"/>
        <w:rPr>
          <w:rFonts w:ascii="仿宋" w:hAnsi="仿宋" w:eastAsia="仿宋"/>
          <w:color w:val="auto"/>
          <w:highlight w:val="none"/>
        </w:rPr>
      </w:pPr>
      <w:bookmarkStart w:id="619" w:name="_Toc234051527_WPSOffice_Level2"/>
      <w:bookmarkStart w:id="620" w:name="_Toc15396621"/>
      <w:bookmarkStart w:id="621" w:name="_Toc30794"/>
      <w:bookmarkStart w:id="622" w:name="_Toc12800"/>
      <w:r>
        <w:rPr>
          <w:rStyle w:val="2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2"/>
          <w:rFonts w:hint="eastAsia" w:ascii="仿宋" w:hAnsi="仿宋" w:eastAsia="仿宋"/>
          <w:b w:val="0"/>
          <w:bCs w:val="0"/>
          <w:color w:val="auto"/>
          <w:highlight w:val="none"/>
        </w:rPr>
        <w:t>出决算表</w:t>
      </w:r>
      <w:bookmarkEnd w:id="619"/>
      <w:bookmarkEnd w:id="620"/>
      <w:bookmarkEnd w:id="621"/>
      <w:bookmarkEnd w:id="622"/>
    </w:p>
    <w:p>
      <w:pPr>
        <w:pStyle w:val="4"/>
        <w:pageBreakBefore w:val="0"/>
        <w:shd w:val="clear"/>
        <w:kinsoku/>
        <w:wordWrap/>
        <w:topLinePunct w:val="0"/>
        <w:bidi w:val="0"/>
        <w:spacing w:line="560" w:lineRule="exact"/>
        <w:textAlignment w:val="auto"/>
        <w:rPr>
          <w:rFonts w:ascii="仿宋" w:hAnsi="仿宋" w:eastAsia="仿宋"/>
          <w:b w:val="0"/>
          <w:color w:val="auto"/>
          <w:highlight w:val="none"/>
        </w:rPr>
      </w:pPr>
      <w:bookmarkStart w:id="623" w:name="_Toc15396622"/>
      <w:bookmarkStart w:id="624" w:name="_Toc574010746_WPSOffice_Level2"/>
      <w:bookmarkStart w:id="625" w:name="_Toc9411"/>
      <w:bookmarkStart w:id="626" w:name="_Toc22213"/>
      <w:r>
        <w:rPr>
          <w:rStyle w:val="2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政拨款收入支出决算总表</w:t>
      </w:r>
      <w:bookmarkEnd w:id="623"/>
      <w:bookmarkEnd w:id="624"/>
      <w:bookmarkEnd w:id="625"/>
      <w:bookmarkEnd w:id="626"/>
    </w:p>
    <w:p>
      <w:pPr>
        <w:pStyle w:val="4"/>
        <w:pageBreakBefore w:val="0"/>
        <w:shd w:val="clear"/>
        <w:kinsoku/>
        <w:wordWrap/>
        <w:topLinePunct w:val="0"/>
        <w:bidi w:val="0"/>
        <w:spacing w:line="560" w:lineRule="exact"/>
        <w:textAlignment w:val="auto"/>
        <w:rPr>
          <w:rStyle w:val="22"/>
          <w:rFonts w:ascii="仿宋" w:hAnsi="仿宋" w:eastAsia="仿宋"/>
          <w:b w:val="0"/>
          <w:bCs w:val="0"/>
          <w:color w:val="auto"/>
          <w:highlight w:val="none"/>
        </w:rPr>
      </w:pPr>
      <w:bookmarkStart w:id="627" w:name="_Toc15396623"/>
      <w:bookmarkStart w:id="628" w:name="_Toc3934"/>
      <w:bookmarkStart w:id="629" w:name="_Toc24295"/>
      <w:bookmarkStart w:id="630" w:name="_Toc1641194207_WPSOffice_Level2"/>
      <w:r>
        <w:rPr>
          <w:rStyle w:val="2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政拨款支出决算明细表</w:t>
      </w:r>
      <w:bookmarkEnd w:id="627"/>
      <w:bookmarkEnd w:id="628"/>
      <w:bookmarkEnd w:id="629"/>
      <w:bookmarkEnd w:id="630"/>
      <w:bookmarkStart w:id="631" w:name="_Toc15396624"/>
    </w:p>
    <w:p>
      <w:pPr>
        <w:pStyle w:val="4"/>
        <w:pageBreakBefore w:val="0"/>
        <w:shd w:val="clear"/>
        <w:kinsoku/>
        <w:wordWrap/>
        <w:topLinePunct w:val="0"/>
        <w:bidi w:val="0"/>
        <w:spacing w:line="560" w:lineRule="exact"/>
        <w:textAlignment w:val="auto"/>
        <w:rPr>
          <w:rFonts w:ascii="仿宋" w:hAnsi="仿宋" w:eastAsia="仿宋"/>
          <w:color w:val="auto"/>
          <w:highlight w:val="none"/>
        </w:rPr>
      </w:pPr>
      <w:bookmarkStart w:id="632" w:name="_Toc9051"/>
      <w:bookmarkStart w:id="633" w:name="_Toc19373"/>
      <w:bookmarkStart w:id="634" w:name="_Toc850220608_WPSOffice_Level2"/>
      <w:r>
        <w:rPr>
          <w:rStyle w:val="2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般公共预算财政拨款支出决算表</w:t>
      </w:r>
      <w:bookmarkEnd w:id="631"/>
      <w:bookmarkEnd w:id="632"/>
      <w:bookmarkEnd w:id="633"/>
      <w:bookmarkEnd w:id="634"/>
    </w:p>
    <w:p>
      <w:pPr>
        <w:pStyle w:val="4"/>
        <w:pageBreakBefore w:val="0"/>
        <w:shd w:val="clear"/>
        <w:kinsoku/>
        <w:wordWrap/>
        <w:topLinePunct w:val="0"/>
        <w:bidi w:val="0"/>
        <w:spacing w:line="560" w:lineRule="exact"/>
        <w:textAlignment w:val="auto"/>
        <w:rPr>
          <w:rFonts w:ascii="仿宋" w:hAnsi="仿宋" w:eastAsia="仿宋"/>
          <w:color w:val="auto"/>
          <w:highlight w:val="none"/>
        </w:rPr>
      </w:pPr>
      <w:bookmarkStart w:id="635" w:name="_Toc361215284_WPSOffice_Level2"/>
      <w:bookmarkStart w:id="636" w:name="_Toc15396625"/>
      <w:bookmarkStart w:id="637" w:name="_Toc32207"/>
      <w:bookmarkStart w:id="638" w:name="_Toc16100"/>
      <w:r>
        <w:rPr>
          <w:rStyle w:val="2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般公共预算财政拨款支出决算明细表</w:t>
      </w:r>
      <w:bookmarkEnd w:id="635"/>
      <w:bookmarkEnd w:id="636"/>
      <w:bookmarkEnd w:id="637"/>
      <w:bookmarkEnd w:id="638"/>
    </w:p>
    <w:p>
      <w:pPr>
        <w:pStyle w:val="4"/>
        <w:pageBreakBefore w:val="0"/>
        <w:shd w:val="clear"/>
        <w:kinsoku/>
        <w:wordWrap/>
        <w:topLinePunct w:val="0"/>
        <w:bidi w:val="0"/>
        <w:spacing w:line="560" w:lineRule="exact"/>
        <w:textAlignment w:val="auto"/>
        <w:rPr>
          <w:rFonts w:ascii="仿宋" w:hAnsi="仿宋" w:eastAsia="仿宋"/>
          <w:color w:val="auto"/>
          <w:highlight w:val="none"/>
        </w:rPr>
      </w:pPr>
      <w:bookmarkStart w:id="639" w:name="_Toc384065381_WPSOffice_Level2"/>
      <w:bookmarkStart w:id="640" w:name="_Toc15396626"/>
      <w:bookmarkStart w:id="641" w:name="_Toc24554"/>
      <w:bookmarkStart w:id="642" w:name="_Toc29514"/>
      <w:r>
        <w:rPr>
          <w:rStyle w:val="2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般公共预算财政拨款基本支出决算表</w:t>
      </w:r>
      <w:bookmarkEnd w:id="639"/>
      <w:bookmarkEnd w:id="640"/>
      <w:bookmarkEnd w:id="641"/>
      <w:bookmarkEnd w:id="642"/>
    </w:p>
    <w:p>
      <w:pPr>
        <w:pStyle w:val="4"/>
        <w:pageBreakBefore w:val="0"/>
        <w:shd w:val="clear"/>
        <w:kinsoku/>
        <w:wordWrap/>
        <w:topLinePunct w:val="0"/>
        <w:bidi w:val="0"/>
        <w:spacing w:line="560" w:lineRule="exact"/>
        <w:textAlignment w:val="auto"/>
        <w:rPr>
          <w:rFonts w:ascii="仿宋" w:hAnsi="仿宋" w:eastAsia="仿宋"/>
          <w:color w:val="auto"/>
          <w:highlight w:val="none"/>
        </w:rPr>
      </w:pPr>
      <w:bookmarkStart w:id="643" w:name="_Toc15396627"/>
      <w:bookmarkStart w:id="644" w:name="_Toc839125431_WPSOffice_Level2"/>
      <w:bookmarkStart w:id="645" w:name="_Toc1797"/>
      <w:bookmarkStart w:id="646" w:name="_Toc15364"/>
      <w:r>
        <w:rPr>
          <w:rStyle w:val="2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般公共预算财政拨款项目支出决算表</w:t>
      </w:r>
      <w:bookmarkEnd w:id="643"/>
      <w:bookmarkEnd w:id="644"/>
      <w:bookmarkEnd w:id="645"/>
      <w:bookmarkEnd w:id="646"/>
    </w:p>
    <w:p>
      <w:pPr>
        <w:pStyle w:val="4"/>
        <w:pageBreakBefore w:val="0"/>
        <w:shd w:val="clear"/>
        <w:kinsoku/>
        <w:wordWrap/>
        <w:topLinePunct w:val="0"/>
        <w:bidi w:val="0"/>
        <w:spacing w:line="560" w:lineRule="exact"/>
        <w:textAlignment w:val="auto"/>
        <w:rPr>
          <w:rFonts w:ascii="仿宋" w:hAnsi="仿宋" w:eastAsia="仿宋"/>
          <w:color w:val="auto"/>
          <w:highlight w:val="none"/>
        </w:rPr>
      </w:pPr>
      <w:bookmarkStart w:id="647" w:name="_Toc15396628"/>
      <w:bookmarkStart w:id="648" w:name="_Toc1450665944_WPSOffice_Level2"/>
      <w:bookmarkStart w:id="649" w:name="_Toc17566"/>
      <w:bookmarkStart w:id="650" w:name="_Toc32585"/>
      <w:r>
        <w:rPr>
          <w:rStyle w:val="22"/>
          <w:rFonts w:hint="eastAsia" w:ascii="仿宋" w:hAnsi="仿宋" w:eastAsia="仿宋"/>
          <w:b w:val="0"/>
          <w:bCs w:val="0"/>
          <w:color w:val="auto"/>
          <w:highlight w:val="none"/>
        </w:rPr>
        <w:t>十、</w:t>
      </w:r>
      <w:bookmarkEnd w:id="647"/>
      <w:r>
        <w:rPr>
          <w:rFonts w:hint="eastAsia" w:ascii="仿宋" w:hAnsi="仿宋" w:eastAsia="仿宋"/>
          <w:b w:val="0"/>
          <w:color w:val="auto"/>
          <w:highlight w:val="none"/>
        </w:rPr>
        <w:t>政</w:t>
      </w:r>
      <w:r>
        <w:rPr>
          <w:rStyle w:val="22"/>
          <w:rFonts w:hint="eastAsia" w:ascii="仿宋" w:hAnsi="仿宋" w:eastAsia="仿宋"/>
          <w:b w:val="0"/>
          <w:bCs w:val="0"/>
          <w:color w:val="auto"/>
          <w:highlight w:val="none"/>
        </w:rPr>
        <w:t>府性基金预算财政拨款收入支出决算表</w:t>
      </w:r>
      <w:bookmarkEnd w:id="648"/>
      <w:bookmarkEnd w:id="649"/>
      <w:bookmarkEnd w:id="650"/>
    </w:p>
    <w:p>
      <w:pPr>
        <w:pStyle w:val="4"/>
        <w:pageBreakBefore w:val="0"/>
        <w:shd w:val="clear"/>
        <w:kinsoku/>
        <w:wordWrap/>
        <w:topLinePunct w:val="0"/>
        <w:bidi w:val="0"/>
        <w:spacing w:line="560" w:lineRule="exact"/>
        <w:textAlignment w:val="auto"/>
        <w:rPr>
          <w:rFonts w:ascii="仿宋" w:hAnsi="仿宋" w:eastAsia="仿宋"/>
          <w:color w:val="auto"/>
          <w:highlight w:val="none"/>
        </w:rPr>
      </w:pPr>
      <w:bookmarkStart w:id="651" w:name="_Toc15396629"/>
      <w:bookmarkStart w:id="652" w:name="_Toc1593636967_WPSOffice_Level2"/>
      <w:bookmarkStart w:id="653" w:name="_Toc24968"/>
      <w:bookmarkStart w:id="654" w:name="_Toc12180"/>
      <w:r>
        <w:rPr>
          <w:rStyle w:val="22"/>
          <w:rFonts w:hint="eastAsia" w:ascii="仿宋" w:hAnsi="仿宋" w:eastAsia="仿宋"/>
          <w:b w:val="0"/>
          <w:bCs w:val="0"/>
          <w:color w:val="auto"/>
          <w:highlight w:val="none"/>
        </w:rPr>
        <w:t>十一、</w:t>
      </w:r>
      <w:bookmarkEnd w:id="651"/>
      <w:r>
        <w:rPr>
          <w:rFonts w:hint="eastAsia" w:ascii="仿宋" w:hAnsi="仿宋" w:eastAsia="仿宋"/>
          <w:b w:val="0"/>
          <w:color w:val="auto"/>
          <w:highlight w:val="none"/>
        </w:rPr>
        <w:t>国</w:t>
      </w:r>
      <w:r>
        <w:rPr>
          <w:rStyle w:val="22"/>
          <w:rFonts w:hint="eastAsia" w:ascii="仿宋" w:hAnsi="仿宋" w:eastAsia="仿宋"/>
          <w:b w:val="0"/>
          <w:bCs w:val="0"/>
          <w:color w:val="auto"/>
          <w:highlight w:val="none"/>
        </w:rPr>
        <w:t>有资本经营预算</w:t>
      </w:r>
      <w:r>
        <w:rPr>
          <w:rStyle w:val="22"/>
          <w:rFonts w:hint="eastAsia" w:ascii="仿宋" w:hAnsi="仿宋" w:eastAsia="仿宋"/>
          <w:b w:val="0"/>
          <w:bCs w:val="0"/>
          <w:color w:val="auto"/>
          <w:highlight w:val="none"/>
          <w:lang w:eastAsia="zh-CN"/>
        </w:rPr>
        <w:t>财政拨款收入</w:t>
      </w:r>
      <w:r>
        <w:rPr>
          <w:rStyle w:val="22"/>
          <w:rFonts w:hint="eastAsia" w:ascii="仿宋" w:hAnsi="仿宋" w:eastAsia="仿宋"/>
          <w:b w:val="0"/>
          <w:bCs w:val="0"/>
          <w:color w:val="auto"/>
          <w:highlight w:val="none"/>
        </w:rPr>
        <w:t>支出决算表</w:t>
      </w:r>
      <w:bookmarkEnd w:id="652"/>
      <w:bookmarkEnd w:id="653"/>
      <w:bookmarkEnd w:id="654"/>
    </w:p>
    <w:p>
      <w:pPr>
        <w:pStyle w:val="4"/>
        <w:pageBreakBefore w:val="0"/>
        <w:shd w:val="clear"/>
        <w:kinsoku/>
        <w:wordWrap/>
        <w:topLinePunct w:val="0"/>
        <w:bidi w:val="0"/>
        <w:spacing w:line="560" w:lineRule="exact"/>
        <w:textAlignment w:val="auto"/>
        <w:rPr>
          <w:rFonts w:ascii="仿宋" w:hAnsi="仿宋" w:eastAsia="仿宋"/>
          <w:color w:val="auto"/>
          <w:highlight w:val="none"/>
        </w:rPr>
      </w:pPr>
      <w:bookmarkStart w:id="655" w:name="_Toc15396630"/>
      <w:bookmarkStart w:id="656" w:name="_Toc894865890_WPSOffice_Level2"/>
      <w:bookmarkStart w:id="657" w:name="_Toc32346"/>
      <w:bookmarkStart w:id="658" w:name="_Toc30995"/>
      <w:r>
        <w:rPr>
          <w:rStyle w:val="22"/>
          <w:rFonts w:hint="eastAsia" w:ascii="仿宋" w:hAnsi="仿宋" w:eastAsia="仿宋"/>
          <w:b w:val="0"/>
          <w:bCs w:val="0"/>
          <w:color w:val="auto"/>
          <w:highlight w:val="none"/>
        </w:rPr>
        <w:t>十二、</w:t>
      </w:r>
      <w:bookmarkEnd w:id="655"/>
      <w:r>
        <w:rPr>
          <w:rStyle w:val="22"/>
          <w:rFonts w:hint="eastAsia" w:ascii="仿宋" w:hAnsi="仿宋" w:eastAsia="仿宋"/>
          <w:b w:val="0"/>
          <w:bCs w:val="0"/>
          <w:color w:val="auto"/>
          <w:highlight w:val="none"/>
          <w:lang w:eastAsia="zh-CN"/>
        </w:rPr>
        <w:t>国有资本经营预算财政拨款支出决算表</w:t>
      </w:r>
      <w:bookmarkEnd w:id="656"/>
      <w:bookmarkEnd w:id="657"/>
      <w:bookmarkEnd w:id="658"/>
    </w:p>
    <w:p>
      <w:pPr>
        <w:pStyle w:val="4"/>
        <w:pageBreakBefore w:val="0"/>
        <w:shd w:val="clear"/>
        <w:kinsoku/>
        <w:wordWrap/>
        <w:topLinePunct w:val="0"/>
        <w:bidi w:val="0"/>
        <w:spacing w:line="560" w:lineRule="exact"/>
        <w:textAlignment w:val="auto"/>
        <w:rPr>
          <w:rFonts w:hint="eastAsia" w:eastAsia="仿宋"/>
          <w:color w:val="auto"/>
          <w:highlight w:val="none"/>
          <w:lang w:eastAsia="zh-CN"/>
        </w:rPr>
      </w:pPr>
      <w:bookmarkStart w:id="659" w:name="_Toc15396631"/>
      <w:bookmarkStart w:id="660" w:name="_Toc605249456_WPSOffice_Level2"/>
      <w:bookmarkStart w:id="661" w:name="_Toc12068"/>
      <w:bookmarkStart w:id="662" w:name="_Toc29540"/>
      <w:r>
        <w:rPr>
          <w:rStyle w:val="22"/>
          <w:rFonts w:hint="eastAsia" w:ascii="仿宋" w:hAnsi="仿宋" w:eastAsia="仿宋"/>
          <w:b w:val="0"/>
          <w:bCs w:val="0"/>
          <w:color w:val="auto"/>
          <w:highlight w:val="none"/>
        </w:rPr>
        <w:t>十三、</w:t>
      </w:r>
      <w:bookmarkEnd w:id="659"/>
      <w:r>
        <w:rPr>
          <w:rStyle w:val="22"/>
          <w:rFonts w:hint="eastAsia" w:ascii="仿宋" w:hAnsi="仿宋" w:eastAsia="仿宋"/>
          <w:b w:val="0"/>
          <w:bCs w:val="0"/>
          <w:color w:val="auto"/>
          <w:highlight w:val="none"/>
          <w:lang w:eastAsia="zh-CN"/>
        </w:rPr>
        <w:t>财政拨款“三公”经费支出决算表</w:t>
      </w:r>
      <w:bookmarkEnd w:id="660"/>
      <w:bookmarkEnd w:id="661"/>
      <w:bookmarkEnd w:id="662"/>
    </w:p>
    <w:p>
      <w:pPr>
        <w:pStyle w:val="4"/>
        <w:pageBreakBefore w:val="0"/>
        <w:shd w:val="clear"/>
        <w:kinsoku/>
        <w:wordWrap/>
        <w:topLinePunct w:val="0"/>
        <w:bidi w:val="0"/>
        <w:spacing w:line="560" w:lineRule="exact"/>
        <w:textAlignment w:val="auto"/>
        <w:outlineLvl w:val="9"/>
        <w:rPr>
          <w:rFonts w:hint="eastAsia" w:eastAsia="仿宋"/>
          <w:color w:val="auto"/>
          <w:highlight w:val="none"/>
          <w:lang w:eastAsia="zh-CN"/>
        </w:rPr>
      </w:pPr>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AR PL UKai CN">
    <w:altName w:val="Unifont"/>
    <w:panose1 w:val="02000503000000000000"/>
    <w:charset w:val="86"/>
    <w:family w:val="script"/>
    <w:pitch w:val="default"/>
    <w:sig w:usb0="00000000" w:usb1="00000000" w:usb2="00000036" w:usb3="00000000" w:csb0="2016009F" w:csb1="DFD7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roid Sans">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F134FD1"/>
    <w:multiLevelType w:val="singleLevel"/>
    <w:tmpl w:val="FF134FD1"/>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B185CC6"/>
    <w:multiLevelType w:val="multilevel"/>
    <w:tmpl w:val="5B185CC6"/>
    <w:lvl w:ilvl="0" w:tentative="0">
      <w:start w:val="1"/>
      <w:numFmt w:val="chineseCountingThousand"/>
      <w:lvlText w:val="%1、"/>
      <w:legacy w:legacy="1" w:legacySpace="0" w:legacyIndent="640"/>
      <w:lvlJc w:val="left"/>
      <w:pPr>
        <w:ind w:left="1280" w:hanging="640"/>
      </w:pPr>
      <w:rPr>
        <w:rFonts w:hint="default" w:ascii="黑体" w:hAnsi="黑体" w:eastAsia="黑体" w:cs="Times New Roman"/>
        <w:sz w:val="32"/>
        <w:szCs w:val="32"/>
      </w:rPr>
    </w:lvl>
    <w:lvl w:ilvl="1" w:tentative="0">
      <w:start w:val="1"/>
      <w:numFmt w:val="lowerLetter"/>
      <w:lvlText w:val="%2)"/>
      <w:legacy w:legacy="1" w:legacySpace="0" w:legacyIndent="420"/>
      <w:lvlJc w:val="left"/>
      <w:pPr>
        <w:ind w:left="1480" w:hanging="420"/>
      </w:pPr>
    </w:lvl>
    <w:lvl w:ilvl="2" w:tentative="0">
      <w:start w:val="1"/>
      <w:numFmt w:val="lowerRoman"/>
      <w:lvlText w:val="%3."/>
      <w:legacy w:legacy="1" w:legacySpace="0" w:legacyIndent="420"/>
      <w:lvlJc w:val="right"/>
      <w:pPr>
        <w:ind w:left="1900" w:hanging="420"/>
      </w:pPr>
    </w:lvl>
    <w:lvl w:ilvl="3" w:tentative="0">
      <w:start w:val="1"/>
      <w:numFmt w:val="decimal"/>
      <w:lvlText w:val="%4."/>
      <w:legacy w:legacy="1" w:legacySpace="0" w:legacyIndent="420"/>
      <w:lvlJc w:val="left"/>
      <w:pPr>
        <w:ind w:left="2320" w:hanging="420"/>
      </w:pPr>
    </w:lvl>
    <w:lvl w:ilvl="4" w:tentative="0">
      <w:start w:val="1"/>
      <w:numFmt w:val="lowerLetter"/>
      <w:lvlText w:val="%5)"/>
      <w:legacy w:legacy="1" w:legacySpace="0" w:legacyIndent="420"/>
      <w:lvlJc w:val="left"/>
      <w:pPr>
        <w:ind w:left="2740" w:hanging="420"/>
      </w:pPr>
    </w:lvl>
    <w:lvl w:ilvl="5" w:tentative="0">
      <w:start w:val="1"/>
      <w:numFmt w:val="lowerRoman"/>
      <w:lvlText w:val="%6."/>
      <w:legacy w:legacy="1" w:legacySpace="0" w:legacyIndent="420"/>
      <w:lvlJc w:val="right"/>
      <w:pPr>
        <w:ind w:left="3160" w:hanging="420"/>
      </w:pPr>
    </w:lvl>
    <w:lvl w:ilvl="6" w:tentative="0">
      <w:start w:val="1"/>
      <w:numFmt w:val="decimal"/>
      <w:lvlText w:val="%7."/>
      <w:legacy w:legacy="1" w:legacySpace="0" w:legacyIndent="420"/>
      <w:lvlJc w:val="left"/>
      <w:pPr>
        <w:ind w:left="3580" w:hanging="420"/>
      </w:pPr>
    </w:lvl>
    <w:lvl w:ilvl="7" w:tentative="0">
      <w:start w:val="1"/>
      <w:numFmt w:val="lowerLetter"/>
      <w:lvlText w:val="%8)"/>
      <w:legacy w:legacy="1" w:legacySpace="0" w:legacyIndent="420"/>
      <w:lvlJc w:val="left"/>
      <w:pPr>
        <w:ind w:left="4000" w:hanging="420"/>
      </w:pPr>
    </w:lvl>
    <w:lvl w:ilvl="8" w:tentative="0">
      <w:start w:val="1"/>
      <w:numFmt w:val="lowerRoman"/>
      <w:lvlText w:val="%9."/>
      <w:legacy w:legacy="1" w:legacySpace="0" w:legacyIndent="420"/>
      <w:lvlJc w:val="right"/>
      <w:pPr>
        <w:ind w:left="4420" w:hanging="420"/>
      </w:pPr>
    </w:lvl>
  </w:abstractNum>
  <w:abstractNum w:abstractNumId="5">
    <w:nsid w:val="75604F56"/>
    <w:multiLevelType w:val="multilevel"/>
    <w:tmpl w:val="75604F56"/>
    <w:lvl w:ilvl="0" w:tentative="0">
      <w:start w:val="1"/>
      <w:numFmt w:val="decimal"/>
      <w:suff w:val="nothing"/>
      <w:lvlText w:val="%1．"/>
      <w:lvlJc w:val="left"/>
      <w:pPr>
        <w:tabs>
          <w:tab w:val="left" w:pos="0"/>
        </w:tabs>
        <w:ind w:left="0" w:firstLine="0"/>
      </w:pPr>
      <w:rPr>
        <w:rFonts w:hint="default" w:ascii="仿宋_GB2312" w:hAnsi="仿宋_GB2312" w:eastAsia="仿宋_GB2312" w:cs="仿宋_GB2312"/>
        <w:sz w:val="32"/>
        <w:szCs w:val="32"/>
      </w:rPr>
    </w:lvl>
    <w:lvl w:ilvl="1" w:tentative="0">
      <w:start w:val="1"/>
      <w:numFmt w:val="decimal"/>
      <w:lvlRestart w:val="0"/>
      <w:suff w:val="nothing"/>
      <w:lvlText w:val="%1．"/>
      <w:lvlJc w:val="left"/>
      <w:pPr>
        <w:tabs>
          <w:tab w:val="left" w:pos="0"/>
        </w:tabs>
        <w:ind w:left="0" w:firstLine="0"/>
      </w:pPr>
      <w:rPr>
        <w:rFonts w:hint="default" w:ascii="Times New Roman" w:hAnsi="Times New Roman"/>
      </w:rPr>
    </w:lvl>
    <w:lvl w:ilvl="2" w:tentative="0">
      <w:start w:val="1"/>
      <w:numFmt w:val="decimal"/>
      <w:lvlRestart w:val="0"/>
      <w:suff w:val="nothing"/>
      <w:lvlText w:val="%1．"/>
      <w:lvlJc w:val="left"/>
      <w:pPr>
        <w:tabs>
          <w:tab w:val="left" w:pos="0"/>
        </w:tabs>
        <w:ind w:left="0" w:firstLine="0"/>
      </w:pPr>
      <w:rPr>
        <w:rFonts w:hint="default" w:ascii="Times New Roman" w:hAnsi="Times New Roman"/>
      </w:rPr>
    </w:lvl>
    <w:lvl w:ilvl="3" w:tentative="0">
      <w:start w:val="1"/>
      <w:numFmt w:val="decimal"/>
      <w:lvlRestart w:val="0"/>
      <w:suff w:val="nothing"/>
      <w:lvlText w:val="%1．"/>
      <w:lvlJc w:val="left"/>
      <w:pPr>
        <w:tabs>
          <w:tab w:val="left" w:pos="0"/>
        </w:tabs>
        <w:ind w:left="0" w:firstLine="0"/>
      </w:pPr>
      <w:rPr>
        <w:rFonts w:hint="default" w:ascii="Times New Roman" w:hAnsi="Times New Roman"/>
      </w:rPr>
    </w:lvl>
    <w:lvl w:ilvl="4" w:tentative="0">
      <w:start w:val="1"/>
      <w:numFmt w:val="decimal"/>
      <w:lvlRestart w:val="0"/>
      <w:suff w:val="nothing"/>
      <w:lvlText w:val="%1．"/>
      <w:lvlJc w:val="left"/>
      <w:pPr>
        <w:tabs>
          <w:tab w:val="left" w:pos="0"/>
        </w:tabs>
        <w:ind w:left="0" w:firstLine="0"/>
      </w:pPr>
      <w:rPr>
        <w:rFonts w:hint="default" w:ascii="Times New Roman" w:hAnsi="Times New Roman"/>
      </w:rPr>
    </w:lvl>
    <w:lvl w:ilvl="5" w:tentative="0">
      <w:start w:val="1"/>
      <w:numFmt w:val="decimal"/>
      <w:lvlRestart w:val="0"/>
      <w:suff w:val="nothing"/>
      <w:lvlText w:val="%1．"/>
      <w:lvlJc w:val="left"/>
      <w:pPr>
        <w:tabs>
          <w:tab w:val="left" w:pos="0"/>
        </w:tabs>
        <w:ind w:left="0" w:firstLine="0"/>
      </w:pPr>
      <w:rPr>
        <w:rFonts w:hint="default" w:ascii="Times New Roman" w:hAnsi="Times New Roman"/>
      </w:rPr>
    </w:lvl>
    <w:lvl w:ilvl="6" w:tentative="0">
      <w:start w:val="1"/>
      <w:numFmt w:val="decimal"/>
      <w:lvlRestart w:val="0"/>
      <w:suff w:val="nothing"/>
      <w:lvlText w:val="%1．"/>
      <w:lvlJc w:val="left"/>
      <w:pPr>
        <w:tabs>
          <w:tab w:val="left" w:pos="0"/>
        </w:tabs>
        <w:ind w:left="0" w:firstLine="0"/>
      </w:pPr>
      <w:rPr>
        <w:rFonts w:hint="default" w:ascii="Times New Roman" w:hAnsi="Times New Roman"/>
      </w:rPr>
    </w:lvl>
    <w:lvl w:ilvl="7" w:tentative="0">
      <w:start w:val="1"/>
      <w:numFmt w:val="decimal"/>
      <w:lvlRestart w:val="0"/>
      <w:suff w:val="nothing"/>
      <w:lvlText w:val="%1．"/>
      <w:lvlJc w:val="left"/>
      <w:pPr>
        <w:tabs>
          <w:tab w:val="left" w:pos="0"/>
        </w:tabs>
        <w:ind w:left="0" w:firstLine="0"/>
      </w:pPr>
      <w:rPr>
        <w:rFonts w:hint="default" w:ascii="Times New Roman" w:hAnsi="Times New Roman"/>
      </w:rPr>
    </w:lvl>
    <w:lvl w:ilvl="8" w:tentative="0">
      <w:start w:val="1"/>
      <w:numFmt w:val="decimal"/>
      <w:lvlRestart w:val="0"/>
      <w:suff w:val="nothing"/>
      <w:lvlText w:val="%1．"/>
      <w:lvlJc w:val="left"/>
      <w:pPr>
        <w:tabs>
          <w:tab w:val="left" w:pos="0"/>
        </w:tabs>
        <w:ind w:left="0" w:firstLine="0"/>
      </w:pPr>
      <w:rPr>
        <w:rFonts w:hint="default" w:ascii="Times New Roman" w:hAnsi="Times New Roman"/>
      </w:rPr>
    </w:lvl>
  </w:abstractNum>
  <w:abstractNum w:abstractNumId="6">
    <w:nsid w:val="7A436BF4"/>
    <w:multiLevelType w:val="singleLevel"/>
    <w:tmpl w:val="7A436BF4"/>
    <w:lvl w:ilvl="0" w:tentative="0">
      <w:start w:val="1"/>
      <w:numFmt w:val="decimal"/>
      <w:suff w:val="nothing"/>
      <w:lvlText w:val="%1．"/>
      <w:lvlJc w:val="left"/>
      <w:pPr>
        <w:ind w:left="0" w:firstLine="400"/>
      </w:pPr>
      <w:rPr>
        <w:rFonts w:hint="default"/>
      </w:rPr>
    </w:lvl>
  </w:abstractNum>
  <w:abstractNum w:abstractNumId="7">
    <w:nsid w:val="7CD7DC0E"/>
    <w:multiLevelType w:val="singleLevel"/>
    <w:tmpl w:val="7CD7DC0E"/>
    <w:lvl w:ilvl="0" w:tentative="0">
      <w:start w:val="3"/>
      <w:numFmt w:val="decimal"/>
      <w:lvlText w:val="%1."/>
      <w:lvlJc w:val="left"/>
      <w:pPr>
        <w:tabs>
          <w:tab w:val="left" w:pos="312"/>
        </w:tabs>
      </w:pPr>
    </w:lvl>
  </w:abstractNum>
  <w:num w:numId="1">
    <w:abstractNumId w:val="2"/>
  </w:num>
  <w:num w:numId="2">
    <w:abstractNumId w:val="3"/>
  </w:num>
  <w:num w:numId="3">
    <w:abstractNumId w:val="7"/>
  </w:num>
  <w:num w:numId="4">
    <w:abstractNumId w:val="0"/>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F98263C"/>
    <w:rsid w:val="101860EC"/>
    <w:rsid w:val="108F5D13"/>
    <w:rsid w:val="10C055FF"/>
    <w:rsid w:val="118107EC"/>
    <w:rsid w:val="13D50BC4"/>
    <w:rsid w:val="16BB723D"/>
    <w:rsid w:val="1BD914DA"/>
    <w:rsid w:val="1BE8440E"/>
    <w:rsid w:val="1BEBC039"/>
    <w:rsid w:val="1D155CEE"/>
    <w:rsid w:val="1FF35744"/>
    <w:rsid w:val="23860B96"/>
    <w:rsid w:val="240371BF"/>
    <w:rsid w:val="24362B15"/>
    <w:rsid w:val="26C26CF7"/>
    <w:rsid w:val="29FD04D3"/>
    <w:rsid w:val="2C8A61B5"/>
    <w:rsid w:val="2DF04E50"/>
    <w:rsid w:val="2F040D46"/>
    <w:rsid w:val="306D4B10"/>
    <w:rsid w:val="319F7F4E"/>
    <w:rsid w:val="32A9493D"/>
    <w:rsid w:val="3304709D"/>
    <w:rsid w:val="36AA5135"/>
    <w:rsid w:val="376D39B2"/>
    <w:rsid w:val="37E16F03"/>
    <w:rsid w:val="38D469F0"/>
    <w:rsid w:val="3D98207C"/>
    <w:rsid w:val="3DFF5DB2"/>
    <w:rsid w:val="3E78745D"/>
    <w:rsid w:val="3FBD22A1"/>
    <w:rsid w:val="3FFBA721"/>
    <w:rsid w:val="3FFFAAA7"/>
    <w:rsid w:val="44E268DA"/>
    <w:rsid w:val="4A627F82"/>
    <w:rsid w:val="4B0E749A"/>
    <w:rsid w:val="4B4F25DA"/>
    <w:rsid w:val="4BE068DB"/>
    <w:rsid w:val="4D577224"/>
    <w:rsid w:val="4E3F8B8A"/>
    <w:rsid w:val="4EAB630A"/>
    <w:rsid w:val="4ECE2238"/>
    <w:rsid w:val="537E6D0A"/>
    <w:rsid w:val="5AF92295"/>
    <w:rsid w:val="5CD71FC4"/>
    <w:rsid w:val="5ECB0CFD"/>
    <w:rsid w:val="5F3D5074"/>
    <w:rsid w:val="5FCE93F8"/>
    <w:rsid w:val="6C4A05C8"/>
    <w:rsid w:val="6E7E3605"/>
    <w:rsid w:val="6F26790F"/>
    <w:rsid w:val="6FDEBF85"/>
    <w:rsid w:val="6FF5CC65"/>
    <w:rsid w:val="715C0E4B"/>
    <w:rsid w:val="72734D90"/>
    <w:rsid w:val="72BD7778"/>
    <w:rsid w:val="72C232B3"/>
    <w:rsid w:val="73AD73D5"/>
    <w:rsid w:val="73B6EB34"/>
    <w:rsid w:val="73FF3899"/>
    <w:rsid w:val="744731E5"/>
    <w:rsid w:val="74F79FDC"/>
    <w:rsid w:val="75961930"/>
    <w:rsid w:val="76E3355F"/>
    <w:rsid w:val="778769C8"/>
    <w:rsid w:val="77D67ED1"/>
    <w:rsid w:val="77FDAFE1"/>
    <w:rsid w:val="799D3453"/>
    <w:rsid w:val="79EE5BA4"/>
    <w:rsid w:val="79EF8CA9"/>
    <w:rsid w:val="7A894339"/>
    <w:rsid w:val="7AB7FB7F"/>
    <w:rsid w:val="7B6F37AE"/>
    <w:rsid w:val="7BFBA063"/>
    <w:rsid w:val="7CEBF7B4"/>
    <w:rsid w:val="7DDD6DB4"/>
    <w:rsid w:val="7EEF11D3"/>
    <w:rsid w:val="7FA30C79"/>
    <w:rsid w:val="7FB7269E"/>
    <w:rsid w:val="7FC96657"/>
    <w:rsid w:val="7FD6564C"/>
    <w:rsid w:val="7FDCF742"/>
    <w:rsid w:val="7FF7E544"/>
    <w:rsid w:val="86D93788"/>
    <w:rsid w:val="9FAF1126"/>
    <w:rsid w:val="ABEB130E"/>
    <w:rsid w:val="AEFFC604"/>
    <w:rsid w:val="B8B73AC5"/>
    <w:rsid w:val="B8FA5BEE"/>
    <w:rsid w:val="B9DF9A8A"/>
    <w:rsid w:val="BDF7EDDE"/>
    <w:rsid w:val="BE7FE83F"/>
    <w:rsid w:val="BFB50189"/>
    <w:rsid w:val="D7FF1347"/>
    <w:rsid w:val="D8D6DB89"/>
    <w:rsid w:val="D97F9122"/>
    <w:rsid w:val="DB6F4CAB"/>
    <w:rsid w:val="DDBCD41C"/>
    <w:rsid w:val="DF6B7AEA"/>
    <w:rsid w:val="DF6F9789"/>
    <w:rsid w:val="DF7FC2BE"/>
    <w:rsid w:val="DFCF0673"/>
    <w:rsid w:val="E2A2D139"/>
    <w:rsid w:val="E93A33E0"/>
    <w:rsid w:val="EBDE4A0C"/>
    <w:rsid w:val="EDDEE0A5"/>
    <w:rsid w:val="EE7D4846"/>
    <w:rsid w:val="EEFB83B1"/>
    <w:rsid w:val="EFD7074C"/>
    <w:rsid w:val="F3FCEA24"/>
    <w:rsid w:val="F56FD363"/>
    <w:rsid w:val="F5BC0FBC"/>
    <w:rsid w:val="F73FC24A"/>
    <w:rsid w:val="FBDF9761"/>
    <w:rsid w:val="FBFBDD40"/>
    <w:rsid w:val="FCF73D55"/>
    <w:rsid w:val="FD5A2422"/>
    <w:rsid w:val="FDBBD764"/>
    <w:rsid w:val="FF2D626B"/>
    <w:rsid w:val="FF77E58B"/>
    <w:rsid w:val="FF7E6584"/>
    <w:rsid w:val="FFAEFB78"/>
    <w:rsid w:val="FFE5650D"/>
    <w:rsid w:val="FFED5066"/>
    <w:rsid w:val="FFEF7461"/>
    <w:rsid w:val="FFFE16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qFormat/>
    <w:uiPriority w:val="99"/>
    <w:pPr>
      <w:spacing w:beforeLines="30"/>
    </w:pPr>
    <w:rPr>
      <w:rFonts w:ascii="仿宋_GB2312" w:eastAsia="仿宋_GB2312"/>
      <w:kern w:val="0"/>
      <w:sz w:val="30"/>
    </w:rPr>
  </w:style>
  <w:style w:type="paragraph" w:styleId="6">
    <w:name w:val="index 5"/>
    <w:basedOn w:val="1"/>
    <w:next w:val="1"/>
    <w:qFormat/>
    <w:uiPriority w:val="0"/>
    <w:pPr>
      <w:ind w:left="1680"/>
    </w:pPr>
  </w:style>
  <w:style w:type="paragraph" w:styleId="7">
    <w:name w:val="index 6"/>
    <w:basedOn w:val="1"/>
    <w:next w:val="1"/>
    <w:qFormat/>
    <w:uiPriority w:val="0"/>
    <w:pPr>
      <w:ind w:left="21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6"/>
    <w:semiHidden/>
    <w:unhideWhenUsed/>
    <w:qFormat/>
    <w:uiPriority w:val="99"/>
    <w:rPr>
      <w:sz w:val="18"/>
      <w:szCs w:val="18"/>
    </w:rPr>
  </w:style>
  <w:style w:type="paragraph" w:styleId="10">
    <w:name w:val="footer"/>
    <w:basedOn w:val="1"/>
    <w:link w:val="30"/>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unhideWhenUsed/>
    <w:qFormat/>
    <w:uiPriority w:val="0"/>
    <w:pPr>
      <w:widowControl w:val="0"/>
      <w:ind w:left="200" w:leftChars="200" w:hanging="200" w:hangingChars="200"/>
      <w:jc w:val="both"/>
    </w:pPr>
    <w:rPr>
      <w:rFonts w:ascii="Calibri" w:hAnsi="Calibri" w:eastAsia="宋体" w:cs="Times New Roman"/>
      <w:kern w:val="2"/>
      <w:sz w:val="21"/>
      <w:szCs w:val="24"/>
      <w:lang w:val="en-US" w:eastAsia="zh-CN" w:bidi="ar-SA"/>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rPr>
      <w:sz w:val="24"/>
    </w:rPr>
  </w:style>
  <w:style w:type="paragraph" w:styleId="16">
    <w:name w:val="Body Text First Indent"/>
    <w:next w:val="7"/>
    <w:qFormat/>
    <w:uiPriority w:val="0"/>
    <w:pPr>
      <w:widowControl w:val="0"/>
      <w:spacing w:before="100" w:beforeAutospacing="1" w:after="120"/>
      <w:ind w:firstLine="100" w:firstLineChars="100"/>
      <w:jc w:val="both"/>
    </w:pPr>
    <w:rPr>
      <w:rFonts w:ascii="Times New Roman" w:hAnsi="Times New Roman" w:eastAsia="仿宋_GB2312" w:cs="Times New Roman"/>
      <w:kern w:val="2"/>
      <w:sz w:val="32"/>
      <w:szCs w:val="32"/>
      <w:lang w:val="en-US" w:eastAsia="zh-CN" w:bidi="ar-SA"/>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3"/>
    <w:qFormat/>
    <w:uiPriority w:val="9"/>
    <w:rPr>
      <w:rFonts w:ascii="Times New Roman" w:hAnsi="Times New Roman"/>
      <w:b/>
      <w:bCs/>
      <w:kern w:val="44"/>
      <w:sz w:val="44"/>
      <w:szCs w:val="44"/>
    </w:rPr>
  </w:style>
  <w:style w:type="character" w:customStyle="1" w:styleId="22">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5"/>
    <w:qFormat/>
    <w:uiPriority w:val="9"/>
    <w:rPr>
      <w:rFonts w:ascii="Times New Roman" w:hAnsi="Times New Roman"/>
      <w:b/>
      <w:bCs/>
      <w:kern w:val="2"/>
      <w:sz w:val="32"/>
      <w:szCs w:val="32"/>
    </w:rPr>
  </w:style>
  <w:style w:type="paragraph" w:customStyle="1" w:styleId="24">
    <w:name w:val="Body Text First Indent 21"/>
    <w:basedOn w:val="25"/>
    <w:next w:val="1"/>
    <w:qFormat/>
    <w:uiPriority w:val="0"/>
    <w:pPr>
      <w:widowControl w:val="0"/>
      <w:spacing w:after="120" w:afterLines="0"/>
      <w:ind w:left="420" w:leftChars="200" w:firstLine="420" w:firstLineChars="200"/>
      <w:jc w:val="both"/>
    </w:pPr>
    <w:rPr>
      <w:rFonts w:ascii="Times New Roman" w:hAnsi="Times New Roman" w:eastAsia="仿宋_GB2312" w:cs="Times New Roman"/>
      <w:kern w:val="2"/>
      <w:sz w:val="32"/>
      <w:szCs w:val="32"/>
      <w:lang w:val="en-US" w:eastAsia="zh-CN" w:bidi="ar-SA"/>
    </w:rPr>
  </w:style>
  <w:style w:type="paragraph" w:customStyle="1" w:styleId="25">
    <w:name w:val="Body Text Indent1"/>
    <w:qFormat/>
    <w:uiPriority w:val="0"/>
    <w:pPr>
      <w:widowControl w:val="0"/>
      <w:spacing w:after="120" w:afterLines="0"/>
      <w:ind w:left="420" w:leftChars="200"/>
      <w:jc w:val="both"/>
    </w:pPr>
    <w:rPr>
      <w:rFonts w:ascii="Times New Roman" w:hAnsi="Times New Roman" w:eastAsia="仿宋_GB2312" w:cs="Calibri"/>
      <w:kern w:val="2"/>
      <w:sz w:val="32"/>
      <w:szCs w:val="32"/>
      <w:lang w:val="en-US" w:eastAsia="zh-CN" w:bidi="ar-SA"/>
    </w:rPr>
  </w:style>
  <w:style w:type="paragraph" w:customStyle="1" w:styleId="26">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7">
    <w:name w:val="Header Char"/>
    <w:basedOn w:val="18"/>
    <w:semiHidden/>
    <w:qFormat/>
    <w:uiPriority w:val="99"/>
    <w:rPr>
      <w:rFonts w:ascii="Times New Roman" w:hAnsi="Times New Roman"/>
      <w:sz w:val="18"/>
      <w:szCs w:val="18"/>
    </w:rPr>
  </w:style>
  <w:style w:type="character" w:customStyle="1" w:styleId="28">
    <w:name w:val="页眉 Char"/>
    <w:link w:val="11"/>
    <w:semiHidden/>
    <w:qFormat/>
    <w:locked/>
    <w:uiPriority w:val="99"/>
    <w:rPr>
      <w:sz w:val="18"/>
    </w:rPr>
  </w:style>
  <w:style w:type="character" w:customStyle="1" w:styleId="29">
    <w:name w:val="Footer Char"/>
    <w:basedOn w:val="18"/>
    <w:semiHidden/>
    <w:qFormat/>
    <w:uiPriority w:val="99"/>
    <w:rPr>
      <w:rFonts w:ascii="Times New Roman" w:hAnsi="Times New Roman"/>
      <w:sz w:val="18"/>
      <w:szCs w:val="18"/>
    </w:rPr>
  </w:style>
  <w:style w:type="character" w:customStyle="1" w:styleId="30">
    <w:name w:val="页脚 Char"/>
    <w:link w:val="10"/>
    <w:qFormat/>
    <w:locked/>
    <w:uiPriority w:val="99"/>
    <w:rPr>
      <w:sz w:val="18"/>
    </w:rPr>
  </w:style>
  <w:style w:type="character" w:customStyle="1" w:styleId="31">
    <w:name w:val="Body Text Char"/>
    <w:basedOn w:val="18"/>
    <w:semiHidden/>
    <w:qFormat/>
    <w:uiPriority w:val="99"/>
    <w:rPr>
      <w:rFonts w:ascii="Times New Roman" w:hAnsi="Times New Roman"/>
      <w:szCs w:val="24"/>
    </w:rPr>
  </w:style>
  <w:style w:type="character" w:customStyle="1" w:styleId="32">
    <w:name w:val="正文文本 Char"/>
    <w:link w:val="2"/>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18"/>
    <w:link w:val="9"/>
    <w:semiHidden/>
    <w:qFormat/>
    <w:uiPriority w:val="99"/>
    <w:rPr>
      <w:rFonts w:ascii="Times New Roman" w:hAnsi="Times New Roman"/>
      <w:kern w:val="2"/>
      <w:sz w:val="18"/>
      <w:szCs w:val="18"/>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next w:val="39"/>
    <w:qFormat/>
    <w:uiPriority w:val="0"/>
    <w:pPr>
      <w:spacing w:line="360" w:lineRule="auto"/>
    </w:pPr>
    <w:rPr>
      <w:rFonts w:ascii="??" w:hAnsi="??" w:eastAsia="宋体"/>
      <w:color w:val="000000"/>
      <w:kern w:val="0"/>
      <w:sz w:val="28"/>
      <w:szCs w:val="21"/>
      <w:lang w:val="zh-CN" w:eastAsia="zh-CN"/>
    </w:rPr>
  </w:style>
  <w:style w:type="paragraph" w:customStyle="1" w:styleId="39">
    <w:name w:val="样式1"/>
    <w:basedOn w:val="1"/>
    <w:qFormat/>
    <w:uiPriority w:val="0"/>
    <w:rPr>
      <w:b/>
      <w:color w:val="538135"/>
      <w:sz w:val="28"/>
    </w:rPr>
  </w:style>
  <w:style w:type="paragraph" w:customStyle="1" w:styleId="40">
    <w:name w:val="Body text|1"/>
    <w:next w:val="39"/>
    <w:qFormat/>
    <w:uiPriority w:val="0"/>
    <w:pPr>
      <w:widowControl w:val="0"/>
      <w:spacing w:line="400" w:lineRule="auto"/>
      <w:ind w:firstLine="400"/>
      <w:jc w:val="both"/>
    </w:pPr>
    <w:rPr>
      <w:rFonts w:ascii="宋体" w:hAnsi="AR PL UKai CN" w:eastAsia="宋体" w:cs="AR PL UKai CN"/>
      <w:kern w:val="2"/>
      <w:sz w:val="30"/>
      <w:szCs w:val="30"/>
      <w:lang w:val="en-US" w:eastAsia="zh-CN" w:bidi="ar-SA"/>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character" w:customStyle="1" w:styleId="43">
    <w:name w:val="font0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88"/>
          <c:y val="0.0325"/>
        </c:manualLayout>
      </c:layout>
      <c:overlay val="false"/>
      <c:spPr>
        <a:noFill/>
        <a:ln>
          <a:noFill/>
        </a:ln>
        <a:effectLst/>
      </c:spPr>
    </c:title>
    <c:autoTitleDeleted val="false"/>
    <c:plotArea>
      <c:layout/>
      <c:barChart>
        <c:barDir val="col"/>
        <c:grouping val="clustered"/>
        <c:varyColors val="false"/>
        <c:ser>
          <c:idx val="0"/>
          <c:order val="0"/>
          <c:tx>
            <c:strRef>
              <c:f>Sheet1!$A$2</c:f>
              <c:strCache>
                <c:ptCount val="1"/>
                <c:pt idx="0">
                  <c:v>2021年</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Sheet1!$B$1:$C$1</c:f>
              <c:strCache>
                <c:ptCount val="2"/>
                <c:pt idx="0">
                  <c:v>总收入</c:v>
                </c:pt>
                <c:pt idx="1">
                  <c:v>总支出</c:v>
                </c:pt>
              </c:strCache>
            </c:strRef>
          </c:cat>
          <c:val>
            <c:numRef>
              <c:f>Sheet1!$B$2:$C$2</c:f>
              <c:numCache>
                <c:formatCode>General</c:formatCode>
                <c:ptCount val="2"/>
                <c:pt idx="0">
                  <c:v>64550.9</c:v>
                </c:pt>
                <c:pt idx="1">
                  <c:v>64550.9</c:v>
                </c:pt>
              </c:numCache>
            </c:numRef>
          </c:val>
        </c:ser>
        <c:ser>
          <c:idx val="1"/>
          <c:order val="1"/>
          <c:tx>
            <c:strRef>
              <c:f>Sheet1!$A$3</c:f>
              <c:strCache>
                <c:ptCount val="1"/>
                <c:pt idx="0">
                  <c:v>2022年</c:v>
                </c:pt>
              </c:strCache>
            </c:strRef>
          </c:tx>
          <c:spPr>
            <a:solidFill>
              <a:schemeClr val="accent2"/>
            </a:solidFill>
            <a:ln>
              <a:noFill/>
            </a:ln>
            <a:effectLst/>
          </c:spPr>
          <c:invertIfNegative val="false"/>
          <c:dLbls>
            <c:dLbl>
              <c:idx val="0"/>
              <c:layout>
                <c:manualLayout>
                  <c:x val="0.054375"/>
                  <c:y val="0.005"/>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375"/>
                  <c:y val="-0.0025"/>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Sheet1!$B$1:$C$1</c:f>
              <c:strCache>
                <c:ptCount val="2"/>
                <c:pt idx="0">
                  <c:v>总收入</c:v>
                </c:pt>
                <c:pt idx="1">
                  <c:v>总支出</c:v>
                </c:pt>
              </c:strCache>
            </c:strRef>
          </c:cat>
          <c:val>
            <c:numRef>
              <c:f>Sheet1!$B$3:$C$3</c:f>
              <c:numCache>
                <c:formatCode>General</c:formatCode>
                <c:ptCount val="2"/>
                <c:pt idx="0">
                  <c:v>48839.21</c:v>
                </c:pt>
                <c:pt idx="1">
                  <c:v>48839.21</c:v>
                </c:pt>
              </c:numCache>
            </c:numRef>
          </c:val>
        </c:ser>
        <c:dLbls>
          <c:showLegendKey val="false"/>
          <c:showVal val="false"/>
          <c:showCatName val="false"/>
          <c:showSerName val="false"/>
          <c:showPercent val="false"/>
          <c:showBubbleSize val="false"/>
        </c:dLbls>
        <c:gapWidth val="219"/>
        <c:overlap val="-27"/>
        <c:axId val="742559288"/>
        <c:axId val="515045953"/>
      </c:barChart>
      <c:catAx>
        <c:axId val="74255928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15045953"/>
        <c:crosses val="autoZero"/>
        <c:auto val="true"/>
        <c:lblAlgn val="ctr"/>
        <c:lblOffset val="100"/>
        <c:noMultiLvlLbl val="false"/>
      </c:catAx>
      <c:valAx>
        <c:axId val="51504595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42559288"/>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92865"/>
          <c:y val="0.005"/>
          <c:w val="0.56177"/>
          <c:h val="0.749026666666667"/>
        </c:manualLayout>
      </c:layout>
      <c:pieChart>
        <c:varyColors val="true"/>
        <c:ser>
          <c:idx val="0"/>
          <c:order val="0"/>
          <c:tx>
            <c:strRef>
              <c:f>Sheet1!$B$1</c:f>
              <c:strCache>
                <c:ptCount val="1"/>
                <c:pt idx="0">
                  <c:v>本年收入</c:v>
                </c:pt>
              </c:strCache>
            </c:strRef>
          </c:tx>
          <c:spPr/>
          <c:explosion val="0"/>
          <c:dPt>
            <c:idx val="0"/>
            <c:bubble3D val="false"/>
            <c:explosion val="0"/>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manualLayout>
                  <c:x val="-0.0869173177151925"/>
                  <c:y val="0.150410031231322"/>
                </c:manualLayout>
              </c:layout>
              <c:tx>
                <c:rich>
                  <a:bodyPr rot="0" spcFirstLastPara="0" vertOverflow="ellipsis" vert="horz" wrap="square" lIns="38100" tIns="19050" rIns="38100" bIns="19050" anchor="ctr" anchorCtr="true"/>
                  <a:lstStyle/>
                  <a:p>
                    <a:pPr defTabSz="914400">
                      <a:defRPr lang="zh-CN" sz="750" b="0" i="0" u="none" strike="noStrike" kern="1200" baseline="0">
                        <a:solidFill>
                          <a:schemeClr val="tx1">
                            <a:lumMod val="75000"/>
                            <a:lumOff val="25000"/>
                          </a:schemeClr>
                        </a:solidFill>
                        <a:latin typeface="+mn-lt"/>
                        <a:ea typeface="+mn-ea"/>
                        <a:cs typeface="+mn-cs"/>
                      </a:defRPr>
                    </a:pPr>
                    <a:r>
                      <a:rPr sz="650"/>
                      <a:t>9175.93</a:t>
                    </a:r>
                    <a:endParaRPr sz="650"/>
                  </a:p>
                  <a:p>
                    <a:pPr defTabSz="914400">
                      <a:defRPr lang="zh-CN" sz="750" b="0" i="0" u="none" strike="noStrike" kern="1200" baseline="0">
                        <a:solidFill>
                          <a:schemeClr val="tx1">
                            <a:lumMod val="75000"/>
                            <a:lumOff val="25000"/>
                          </a:schemeClr>
                        </a:solidFill>
                        <a:latin typeface="+mn-lt"/>
                        <a:ea typeface="+mn-ea"/>
                        <a:cs typeface="+mn-cs"/>
                      </a:defRPr>
                    </a:pPr>
                    <a:r>
                      <a:rPr sz="650"/>
                      <a:t>万元</a:t>
                    </a:r>
                    <a:endParaRPr sz="650"/>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24625"/>
                      <c:h val="0.174003569303986"/>
                    </c:manualLayout>
                  </c15:layout>
                </c:ext>
              </c:extLst>
            </c:dLbl>
            <c:dLbl>
              <c:idx val="1"/>
              <c:layout>
                <c:manualLayout>
                  <c:x val="-0.107775020610831"/>
                  <c:y val="-0.155628655044162"/>
                </c:manualLayout>
              </c:layout>
              <c:tx>
                <c:rich>
                  <a:bodyPr rot="0" spcFirstLastPara="0" vertOverflow="ellipsis" vert="horz" wrap="square" lIns="38100" tIns="19050" rIns="38100" bIns="19050" anchor="ctr" anchorCtr="true"/>
                  <a:lstStyle/>
                  <a:p>
                    <a:pPr defTabSz="914400">
                      <a:defRPr lang="zh-CN" sz="750" b="0" i="0" u="none" strike="noStrike" kern="1200" baseline="0">
                        <a:solidFill>
                          <a:schemeClr val="tx1">
                            <a:lumMod val="75000"/>
                            <a:lumOff val="25000"/>
                          </a:schemeClr>
                        </a:solidFill>
                        <a:latin typeface="+mn-lt"/>
                        <a:ea typeface="+mn-ea"/>
                        <a:cs typeface="+mn-cs"/>
                      </a:defRPr>
                    </a:pPr>
                    <a:r>
                      <a:rPr sz="750"/>
                      <a:t>11175.96</a:t>
                    </a:r>
                    <a:endParaRPr sz="750"/>
                  </a:p>
                  <a:p>
                    <a:pPr defTabSz="914400">
                      <a:defRPr lang="zh-CN" sz="750" b="0" i="0" u="none" strike="noStrike" kern="1200" baseline="0">
                        <a:solidFill>
                          <a:schemeClr val="tx1">
                            <a:lumMod val="75000"/>
                            <a:lumOff val="25000"/>
                          </a:schemeClr>
                        </a:solidFill>
                        <a:latin typeface="+mn-lt"/>
                        <a:ea typeface="+mn-ea"/>
                        <a:cs typeface="+mn-cs"/>
                      </a:defRPr>
                    </a:pPr>
                    <a:r>
                      <a:rPr sz="750"/>
                      <a:t>万元</a:t>
                    </a:r>
                    <a:endParaRPr sz="750"/>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true"/>
                  <a:lstStyle/>
                  <a:p>
                    <a:pPr defTabSz="914400">
                      <a:defRPr lang="zh-CN" sz="750" b="0" i="0" u="none" strike="noStrike" kern="1200" baseline="0">
                        <a:solidFill>
                          <a:schemeClr val="tx1">
                            <a:lumMod val="75000"/>
                            <a:lumOff val="25000"/>
                          </a:schemeClr>
                        </a:solidFill>
                        <a:latin typeface="+mn-lt"/>
                        <a:ea typeface="+mn-ea"/>
                        <a:cs typeface="+mn-cs"/>
                      </a:defRPr>
                    </a:pPr>
                    <a:r>
                      <a:rPr sz="750"/>
                      <a:t>20952.02</a:t>
                    </a:r>
                    <a:endParaRPr sz="750"/>
                  </a:p>
                  <a:p>
                    <a:pPr defTabSz="914400">
                      <a:defRPr lang="zh-CN" sz="750" b="0" i="0" u="none" strike="noStrike" kern="1200" baseline="0">
                        <a:solidFill>
                          <a:schemeClr val="tx1">
                            <a:lumMod val="75000"/>
                            <a:lumOff val="25000"/>
                          </a:schemeClr>
                        </a:solidFill>
                        <a:latin typeface="+mn-lt"/>
                        <a:ea typeface="+mn-ea"/>
                        <a:cs typeface="+mn-cs"/>
                      </a:defRPr>
                    </a:pPr>
                    <a:r>
                      <a:rPr sz="750"/>
                      <a:t>万元</a:t>
                    </a:r>
                    <a:endParaRPr sz="750"/>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75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9175.93</c:v>
                </c:pt>
                <c:pt idx="1">
                  <c:v>11175.96</c:v>
                </c:pt>
                <c:pt idx="2">
                  <c:v>20952.02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0" vertOverflow="ellipsis" vert="horz" wrap="square" anchor="ctr" anchorCtr="true"/>
          <a:lstStyle/>
          <a:p>
            <a:pPr>
              <a:defRPr lang="zh-CN" sz="75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true"/>
          <a:lstStyle/>
          <a:p>
            <a:pPr>
              <a:defRPr lang="zh-CN" sz="75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true"/>
          <a:lstStyle/>
          <a:p>
            <a:pPr>
              <a:defRPr lang="zh-CN" sz="750" b="0" i="0" u="none" strike="noStrike" kern="1200" baseline="0">
                <a:solidFill>
                  <a:schemeClr val="tx1">
                    <a:lumMod val="65000"/>
                    <a:lumOff val="35000"/>
                  </a:schemeClr>
                </a:solidFill>
                <a:latin typeface="+mn-lt"/>
                <a:ea typeface="+mn-ea"/>
                <a:cs typeface="+mn-cs"/>
              </a:defRPr>
            </a:pPr>
          </a:p>
        </c:txPr>
      </c:legendEntry>
      <c:layout/>
      <c:overlay val="false"/>
      <c:spPr>
        <a:noFill/>
        <a:ln>
          <a:noFill/>
        </a:ln>
        <a:effectLst/>
      </c:spPr>
      <c:txPr>
        <a:bodyPr rot="0" spcFirstLastPara="0" vertOverflow="ellipsis" vert="horz" wrap="square" anchor="ctr" anchorCtr="true"/>
        <a:lstStyle/>
        <a:p>
          <a:pPr>
            <a:defRPr lang="zh-CN" sz="75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750"/>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本年支出合计</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5046.64</c:v>
                </c:pt>
                <c:pt idx="1">
                  <c:v>39120.81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81675"/>
          <c:y val="0.0136986301369863"/>
        </c:manualLayout>
      </c:layout>
      <c:overlay val="false"/>
      <c:spPr>
        <a:noFill/>
        <a:ln>
          <a:noFill/>
        </a:ln>
        <a:effectLst/>
      </c:spPr>
    </c:title>
    <c:autoTitleDeleted val="false"/>
    <c:plotArea>
      <c:layout/>
      <c:barChart>
        <c:barDir val="col"/>
        <c:grouping val="clustered"/>
        <c:varyColors val="false"/>
        <c:ser>
          <c:idx val="0"/>
          <c:order val="0"/>
          <c:tx>
            <c:strRef>
              <c:f>Sheet1!$A$2</c:f>
              <c:strCache>
                <c:ptCount val="1"/>
                <c:pt idx="0">
                  <c:v>2021年</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Sheet1!$B$1:$C$1</c:f>
              <c:strCache>
                <c:ptCount val="2"/>
                <c:pt idx="0">
                  <c:v>财政拨款收入</c:v>
                </c:pt>
                <c:pt idx="1">
                  <c:v>财政拨款支出</c:v>
                </c:pt>
              </c:strCache>
            </c:strRef>
          </c:cat>
          <c:val>
            <c:numRef>
              <c:f>Sheet1!$B$2:$C$2</c:f>
              <c:numCache>
                <c:formatCode>General</c:formatCode>
                <c:ptCount val="2"/>
                <c:pt idx="0">
                  <c:v>51551.46</c:v>
                </c:pt>
                <c:pt idx="1">
                  <c:v>51551.46</c:v>
                </c:pt>
              </c:numCache>
            </c:numRef>
          </c:val>
        </c:ser>
        <c:ser>
          <c:idx val="1"/>
          <c:order val="1"/>
          <c:tx>
            <c:strRef>
              <c:f>Sheet1!$A$3</c:f>
              <c:strCache>
                <c:ptCount val="1"/>
                <c:pt idx="0">
                  <c:v>2022年</c:v>
                </c:pt>
              </c:strCache>
            </c:strRef>
          </c:tx>
          <c:spPr>
            <a:solidFill>
              <a:schemeClr val="accent2"/>
            </a:solidFill>
            <a:ln>
              <a:noFill/>
            </a:ln>
            <a:effectLst/>
          </c:spPr>
          <c:invertIfNegative val="false"/>
          <c:dLbls>
            <c:dLbl>
              <c:idx val="0"/>
              <c:layout>
                <c:manualLayout>
                  <c:x val="0.080625"/>
                  <c:y val="0"/>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75"/>
                  <c:y val="0"/>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Sheet1!$B$1:$C$1</c:f>
              <c:strCache>
                <c:ptCount val="2"/>
                <c:pt idx="0">
                  <c:v>财政拨款收入</c:v>
                </c:pt>
                <c:pt idx="1">
                  <c:v>财政拨款支出</c:v>
                </c:pt>
              </c:strCache>
            </c:strRef>
          </c:cat>
          <c:val>
            <c:numRef>
              <c:f>Sheet1!$B$3:$C$3</c:f>
              <c:numCache>
                <c:formatCode>General</c:formatCode>
                <c:ptCount val="2"/>
                <c:pt idx="0">
                  <c:v>26281.55</c:v>
                </c:pt>
                <c:pt idx="1">
                  <c:v>26281.55</c:v>
                </c:pt>
              </c:numCache>
            </c:numRef>
          </c:val>
        </c:ser>
        <c:dLbls>
          <c:showLegendKey val="false"/>
          <c:showVal val="false"/>
          <c:showCatName val="false"/>
          <c:showSerName val="false"/>
          <c:showPercent val="false"/>
          <c:showBubbleSize val="false"/>
        </c:dLbls>
        <c:gapWidth val="219"/>
        <c:overlap val="-27"/>
        <c:axId val="506850844"/>
        <c:axId val="260730374"/>
      </c:barChart>
      <c:catAx>
        <c:axId val="50685084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0730374"/>
        <c:crosses val="autoZero"/>
        <c:auto val="true"/>
        <c:lblAlgn val="ctr"/>
        <c:lblOffset val="100"/>
        <c:noMultiLvlLbl val="false"/>
      </c:catAx>
      <c:valAx>
        <c:axId val="26073037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06850844"/>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705"/>
          <c:y val="0.0251116071428571"/>
        </c:manualLayout>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一般公共预算财政拨款支出</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29943.04</c:v>
                </c:pt>
                <c:pt idx="1">
                  <c:v>15103.49</c:v>
                </c:pt>
              </c:numCache>
            </c:numRef>
          </c:val>
        </c:ser>
        <c:dLbls>
          <c:showLegendKey val="false"/>
          <c:showVal val="true"/>
          <c:showCatName val="false"/>
          <c:showSerName val="false"/>
          <c:showPercent val="false"/>
          <c:showBubbleSize val="false"/>
        </c:dLbls>
        <c:gapWidth val="219"/>
        <c:overlap val="-27"/>
        <c:axId val="736058703"/>
        <c:axId val="545892433"/>
      </c:barChart>
      <c:catAx>
        <c:axId val="73605870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45892433"/>
        <c:crosses val="autoZero"/>
        <c:auto val="true"/>
        <c:lblAlgn val="ctr"/>
        <c:lblOffset val="100"/>
        <c:noMultiLvlLbl val="false"/>
      </c:catAx>
      <c:valAx>
        <c:axId val="545892433"/>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36058703"/>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一般公共预算财政拨款支出决算结构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explosion val="28"/>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Lbls>
            <c:dLbl>
              <c:idx val="0"/>
              <c:layout>
                <c:manualLayout>
                  <c:x val="-0.0188397768334154"/>
                  <c:y val="-0.0057642259899714"/>
                </c:manualLayout>
              </c:layout>
              <c:dLblPos val="bestFit"/>
              <c:showLegendKey val="tru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1802081336265"/>
                  <c:y val="-0.0116709567535268"/>
                </c:manualLayout>
              </c:layout>
              <c:dLblPos val="bestFit"/>
              <c:showLegendKey val="tru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761176903307674"/>
                  <c:y val="0.0222119678546909"/>
                </c:manualLayout>
              </c:layout>
              <c:dLblPos val="bestFit"/>
              <c:showLegendKey val="tru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07658153069171"/>
                  <c:y val="0.0691091880204079"/>
                </c:manualLayout>
              </c:layout>
              <c:dLblPos val="bestFit"/>
              <c:showLegendKey val="tru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118402971389967"/>
                  <c:y val="0.109358344656846"/>
                </c:manualLayout>
              </c:layout>
              <c:dLblPos val="bestFit"/>
              <c:showLegendKey val="tru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111056964393236"/>
                  <c:y val="0.0475679945417524"/>
                </c:manualLayout>
              </c:layout>
              <c:dLblPos val="bestFit"/>
              <c:showLegendKey val="tru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137963324362216"/>
                  <c:y val="-0.000578578854222921"/>
                </c:manualLayout>
              </c:layout>
              <c:dLblPos val="bestFit"/>
              <c:showLegendKey val="tru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Sheet1!$A$2:$A$9</c:f>
              <c:strCache>
                <c:ptCount val="8"/>
                <c:pt idx="0">
                  <c:v>文化体育与传媒支出</c:v>
                </c:pt>
                <c:pt idx="1">
                  <c:v>社会保障和就业支出</c:v>
                </c:pt>
                <c:pt idx="2">
                  <c:v>卫生健康支出</c:v>
                </c:pt>
                <c:pt idx="3">
                  <c:v>农林水支出</c:v>
                </c:pt>
                <c:pt idx="4">
                  <c:v>交通运输支出</c:v>
                </c:pt>
                <c:pt idx="5">
                  <c:v>住房保障支出</c:v>
                </c:pt>
                <c:pt idx="6">
                  <c:v>灾害防治及应急管理支出</c:v>
                </c:pt>
                <c:pt idx="7">
                  <c:v>其他支出</c:v>
                </c:pt>
              </c:strCache>
            </c:strRef>
          </c:cat>
          <c:val>
            <c:numRef>
              <c:f>Sheet1!$B$2:$B$9</c:f>
              <c:numCache>
                <c:formatCode>General</c:formatCode>
                <c:ptCount val="8"/>
                <c:pt idx="0">
                  <c:v>5</c:v>
                </c:pt>
                <c:pt idx="1">
                  <c:v>574.54</c:v>
                </c:pt>
                <c:pt idx="2">
                  <c:v>182.51</c:v>
                </c:pt>
                <c:pt idx="3">
                  <c:v>3.64</c:v>
                </c:pt>
                <c:pt idx="4">
                  <c:v>13506.1</c:v>
                </c:pt>
                <c:pt idx="5">
                  <c:v>413.75</c:v>
                </c:pt>
                <c:pt idx="6">
                  <c:v>17.95</c:v>
                </c:pt>
                <c:pt idx="7">
                  <c:v>400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147.78</c:v>
                </c:pt>
                <c:pt idx="1">
                  <c:v>1.42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52</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2020-08-13T09:49:00Z</dcterms:created>
  <dc:creator>曹颖</dc:creator>
  <cp:lastModifiedBy> </cp:lastModifiedBy>
  <cp:lastPrinted>2023-09-21T09:15:00Z</cp:lastPrinted>
  <dcterms:modified xsi:type="dcterms:W3CDTF">2023-10-12T10:36:34Z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