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9"/>
        <w:rPr>
          <w:rFonts w:ascii="方正小标宋简体" w:hAnsi="宋体" w:eastAsia="方正小标宋简体"/>
          <w:color w:val="auto"/>
          <w:sz w:val="72"/>
          <w:szCs w:val="72"/>
          <w:highlight w:val="none"/>
        </w:rPr>
      </w:pPr>
      <w:bookmarkStart w:id="0" w:name="_Toc15377425"/>
      <w:bookmarkStart w:id="1" w:name="_Toc15396475"/>
      <w:bookmarkStart w:id="2" w:name="_Toc15378441"/>
      <w:bookmarkStart w:id="3" w:name="_Toc15377193"/>
      <w:bookmarkStart w:id="4" w:name="_Toc15396597"/>
      <w:bookmarkStart w:id="5" w:name="_Toc15306267"/>
    </w:p>
    <w:p>
      <w:pPr>
        <w:spacing w:line="600" w:lineRule="exact"/>
        <w:jc w:val="center"/>
        <w:outlineLvl w:val="9"/>
        <w:rPr>
          <w:rFonts w:ascii="方正小标宋简体" w:hAnsi="宋体" w:eastAsia="方正小标宋简体"/>
          <w:color w:val="auto"/>
          <w:sz w:val="72"/>
          <w:szCs w:val="72"/>
          <w:highlight w:val="none"/>
        </w:rPr>
      </w:pPr>
    </w:p>
    <w:p>
      <w:pPr>
        <w:spacing w:line="600" w:lineRule="exact"/>
        <w:jc w:val="center"/>
        <w:outlineLvl w:val="9"/>
        <w:rPr>
          <w:rFonts w:ascii="方正小标宋简体" w:hAnsi="宋体" w:eastAsia="方正小标宋简体"/>
          <w:color w:val="auto"/>
          <w:sz w:val="72"/>
          <w:szCs w:val="72"/>
          <w:highlight w:val="none"/>
        </w:rPr>
      </w:pPr>
    </w:p>
    <w:p>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6" w:name="_Toc27855"/>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22</w:t>
      </w:r>
      <w:r>
        <w:rPr>
          <w:rFonts w:hint="eastAsia" w:ascii="方正小标宋简体" w:hAnsi="方正小标宋简体" w:eastAsia="方正小标宋简体" w:cs="方正小标宋简体"/>
          <w:color w:val="auto"/>
          <w:sz w:val="72"/>
          <w:szCs w:val="72"/>
          <w:highlight w:val="none"/>
        </w:rPr>
        <w:t>年度</w:t>
      </w:r>
      <w:bookmarkEnd w:id="0"/>
      <w:bookmarkEnd w:id="1"/>
      <w:bookmarkEnd w:id="2"/>
      <w:bookmarkEnd w:id="3"/>
      <w:bookmarkEnd w:id="4"/>
      <w:bookmarkEnd w:id="6"/>
    </w:p>
    <w:p>
      <w:pPr>
        <w:adjustRightInd w:val="0"/>
        <w:snapToGrid w:val="0"/>
        <w:spacing w:line="360" w:lineRule="auto"/>
        <w:jc w:val="center"/>
        <w:outlineLvl w:val="0"/>
        <w:rPr>
          <w:rFonts w:hint="eastAsia" w:ascii="方正小标宋简体" w:hAnsi="方正小标宋简体" w:eastAsia="方正小标宋简体"/>
          <w:kern w:val="2"/>
          <w:sz w:val="72"/>
          <w:szCs w:val="24"/>
          <w:lang w:val="zh-CN"/>
        </w:rPr>
      </w:pPr>
      <w:bookmarkStart w:id="7" w:name="_Toc16641"/>
      <w:bookmarkStart w:id="8" w:name="_Toc15377426"/>
      <w:bookmarkStart w:id="9" w:name="_Toc15377194"/>
      <w:bookmarkStart w:id="10" w:name="_Toc15378442"/>
      <w:bookmarkStart w:id="11" w:name="_Toc15396476"/>
      <w:bookmarkStart w:id="12" w:name="_Toc15396598"/>
      <w:r>
        <w:rPr>
          <w:rFonts w:hint="eastAsia" w:ascii="方正小标宋简体" w:hAnsi="方正小标宋简体" w:eastAsia="方正小标宋简体" w:cs="方正小标宋简体"/>
          <w:color w:val="auto"/>
          <w:sz w:val="72"/>
          <w:szCs w:val="72"/>
          <w:highlight w:val="none"/>
          <w:lang w:eastAsia="zh-CN"/>
        </w:rPr>
        <w:t>广元市</w:t>
      </w:r>
      <w:bookmarkEnd w:id="5"/>
      <w:bookmarkStart w:id="13" w:name="_Toc15306268"/>
      <w:r>
        <w:rPr>
          <w:rFonts w:hint="eastAsia" w:ascii="方正小标宋简体" w:hAnsi="方正小标宋简体" w:eastAsia="方正小标宋简体"/>
          <w:kern w:val="2"/>
          <w:sz w:val="72"/>
          <w:szCs w:val="24"/>
          <w:lang w:val="zh-CN"/>
        </w:rPr>
        <w:t>退役军人事务局</w:t>
      </w:r>
      <w:bookmarkEnd w:id="7"/>
    </w:p>
    <w:p>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14" w:name="_Toc32077"/>
      <w:r>
        <w:rPr>
          <w:rFonts w:hint="eastAsia" w:ascii="方正小标宋简体" w:hAnsi="方正小标宋简体" w:eastAsia="方正小标宋简体" w:cs="方正小标宋简体"/>
          <w:color w:val="auto"/>
          <w:sz w:val="72"/>
          <w:szCs w:val="72"/>
          <w:highlight w:val="none"/>
        </w:rPr>
        <w:t>部门决算</w:t>
      </w:r>
      <w:bookmarkEnd w:id="8"/>
      <w:bookmarkEnd w:id="9"/>
      <w:bookmarkEnd w:id="10"/>
      <w:bookmarkEnd w:id="11"/>
      <w:bookmarkEnd w:id="12"/>
      <w:bookmarkEnd w:id="13"/>
      <w:bookmarkEnd w:id="14"/>
    </w:p>
    <w:p>
      <w:pPr>
        <w:widowControl/>
        <w:jc w:val="center"/>
        <w:rPr>
          <w:rFonts w:hint="eastAsia" w:ascii="方正小标宋简体" w:eastAsia="方正小标宋简体" w:cs="方正小标宋简体"/>
          <w:color w:val="auto"/>
          <w:sz w:val="44"/>
          <w:szCs w:val="44"/>
          <w:highlight w:val="none"/>
        </w:rPr>
        <w:sectPr>
          <w:footerReference r:id="rId5" w:type="first"/>
          <w:headerReference r:id="rId3" w:type="default"/>
          <w:footerReference r:id="rId4" w:type="default"/>
          <w:pgSz w:w="11906" w:h="16838"/>
          <w:pgMar w:top="2098" w:right="1474" w:bottom="1984" w:left="1587" w:header="851" w:footer="1559" w:gutter="0"/>
          <w:pgNumType w:fmt="numberInDash" w:start="1"/>
          <w:cols w:space="0" w:num="1"/>
          <w:rtlGutter w:val="0"/>
          <w:docGrid w:type="lines" w:linePitch="312" w:charSpace="0"/>
        </w:sectPr>
      </w:pPr>
    </w:p>
    <w:p>
      <w:pPr>
        <w:widowControl/>
        <w:jc w:val="center"/>
        <w:rPr>
          <w:rFonts w:ascii="黑体" w:hAnsi="黑体" w:eastAsia="黑体" w:cstheme="minorBidi"/>
          <w:color w:val="auto"/>
          <w:sz w:val="28"/>
          <w:szCs w:val="28"/>
          <w:highlight w:val="none"/>
        </w:rPr>
      </w:pPr>
      <w:r>
        <w:rPr>
          <w:rFonts w:hint="eastAsia" w:ascii="方正小标宋简体" w:eastAsia="方正小标宋简体" w:cs="方正小标宋简体"/>
          <w:color w:val="auto"/>
          <w:spacing w:val="440"/>
          <w:kern w:val="0"/>
          <w:sz w:val="44"/>
          <w:szCs w:val="44"/>
          <w:highlight w:val="none"/>
          <w:fitText w:val="1760" w:id="1856448431"/>
        </w:rPr>
        <w:t>目</w:t>
      </w:r>
      <w:r>
        <w:rPr>
          <w:rFonts w:hint="eastAsia" w:ascii="方正小标宋简体" w:eastAsia="方正小标宋简体" w:cs="方正小标宋简体"/>
          <w:color w:val="auto"/>
          <w:spacing w:val="0"/>
          <w:kern w:val="0"/>
          <w:sz w:val="44"/>
          <w:szCs w:val="44"/>
          <w:highlight w:val="none"/>
          <w:fitText w:val="1760" w:id="1856448431"/>
        </w:rPr>
        <w:t>录</w:t>
      </w:r>
    </w:p>
    <w:p>
      <w:pPr>
        <w:pStyle w:val="3"/>
        <w:rPr>
          <w:rFonts w:hint="eastAsia" w:ascii="楷体_GB2312" w:hAnsi="Times New Roman" w:eastAsia="楷体_GB2312" w:cs="楷体_GB2312"/>
          <w:color w:val="auto"/>
          <w:sz w:val="30"/>
          <w:szCs w:val="30"/>
          <w:highlight w:val="none"/>
        </w:rPr>
      </w:pPr>
      <w:r>
        <w:rPr>
          <w:rFonts w:hint="eastAsia" w:ascii="楷体_GB2312" w:hAnsi="Times New Roman" w:eastAsia="楷体_GB2312" w:cs="楷体_GB2312"/>
          <w:color w:val="auto"/>
          <w:sz w:val="30"/>
          <w:szCs w:val="30"/>
          <w:highlight w:val="none"/>
        </w:rPr>
        <w:t>公开时间：20</w:t>
      </w:r>
      <w:r>
        <w:rPr>
          <w:rFonts w:hint="eastAsia" w:ascii="楷体_GB2312" w:hAnsi="Times New Roman" w:eastAsia="楷体_GB2312" w:cs="楷体_GB2312"/>
          <w:color w:val="auto"/>
          <w:sz w:val="30"/>
          <w:szCs w:val="30"/>
          <w:highlight w:val="none"/>
          <w:lang w:val="en-US" w:eastAsia="zh-CN"/>
        </w:rPr>
        <w:t>23</w:t>
      </w:r>
      <w:r>
        <w:rPr>
          <w:rFonts w:hint="eastAsia" w:ascii="楷体_GB2312" w:hAnsi="Times New Roman" w:eastAsia="楷体_GB2312" w:cs="楷体_GB2312"/>
          <w:color w:val="auto"/>
          <w:sz w:val="30"/>
          <w:szCs w:val="30"/>
          <w:highlight w:val="none"/>
        </w:rPr>
        <w:t>年</w:t>
      </w:r>
      <w:r>
        <w:rPr>
          <w:rFonts w:hint="eastAsia" w:ascii="楷体_GB2312" w:hAnsi="Times New Roman" w:eastAsia="楷体_GB2312" w:cs="楷体_GB2312"/>
          <w:color w:val="auto"/>
          <w:sz w:val="30"/>
          <w:szCs w:val="30"/>
          <w:highlight w:val="none"/>
          <w:lang w:val="en-US" w:eastAsia="zh-CN"/>
        </w:rPr>
        <w:t>10</w:t>
      </w:r>
      <w:r>
        <w:rPr>
          <w:rFonts w:hint="eastAsia" w:ascii="楷体_GB2312" w:hAnsi="Times New Roman" w:eastAsia="楷体_GB2312" w:cs="楷体_GB2312"/>
          <w:color w:val="auto"/>
          <w:sz w:val="30"/>
          <w:szCs w:val="30"/>
          <w:highlight w:val="none"/>
        </w:rPr>
        <w:t>月</w:t>
      </w:r>
      <w:bookmarkStart w:id="102" w:name="_GoBack"/>
      <w:bookmarkEnd w:id="102"/>
      <w:r>
        <w:rPr>
          <w:rFonts w:hint="eastAsia" w:ascii="楷体_GB2312" w:hAnsi="Times New Roman" w:eastAsia="楷体_GB2312" w:cs="楷体_GB2312"/>
          <w:color w:val="auto"/>
          <w:sz w:val="30"/>
          <w:szCs w:val="30"/>
          <w:highlight w:val="none"/>
          <w:lang w:val="en-US" w:eastAsia="zh-CN"/>
        </w:rPr>
        <w:t>7</w:t>
      </w:r>
      <w:r>
        <w:rPr>
          <w:rFonts w:hint="eastAsia" w:ascii="楷体_GB2312" w:hAnsi="Times New Roman" w:eastAsia="楷体_GB2312" w:cs="楷体_GB2312"/>
          <w:color w:val="auto"/>
          <w:sz w:val="30"/>
          <w:szCs w:val="30"/>
          <w:highlight w:val="none"/>
        </w:rPr>
        <w:t>日</w:t>
      </w:r>
    </w:p>
    <w:sdt>
      <w:sdtPr>
        <w:rPr>
          <w:rFonts w:ascii="宋体" w:hAnsi="宋体" w:eastAsia="宋体" w:cs="Times New Roman"/>
          <w:kern w:val="2"/>
          <w:sz w:val="21"/>
          <w:szCs w:val="24"/>
          <w:lang w:val="en-US" w:eastAsia="zh-CN" w:bidi="ar-SA"/>
        </w:rPr>
        <w:id w:val="147455491"/>
        <w15:color w:val="DBDBDB"/>
        <w:docPartObj>
          <w:docPartGallery w:val="Table of Contents"/>
          <w:docPartUnique/>
        </w:docPartObj>
      </w:sdtPr>
      <w:sdtEndPr>
        <w:rPr>
          <w:rFonts w:ascii="Times New Roman" w:hAnsi="Times New Roman" w:eastAsia="宋体" w:cs="Times New Roman"/>
          <w:b/>
          <w:color w:val="auto"/>
          <w:kern w:val="2"/>
          <w:sz w:val="21"/>
          <w:szCs w:val="24"/>
          <w:highlight w:val="none"/>
          <w:lang w:val="en-US" w:eastAsia="zh-CN" w:bidi="ar-SA"/>
        </w:rPr>
      </w:sdtEndPr>
      <w:sdtContent>
        <w:p>
          <w:pPr>
            <w:spacing w:before="0" w:beforeLines="0" w:after="0" w:afterLines="0" w:line="240" w:lineRule="auto"/>
            <w:ind w:left="0" w:leftChars="0" w:right="0" w:rightChars="0" w:firstLine="0" w:firstLineChars="0"/>
            <w:jc w:val="center"/>
          </w:pPr>
          <w:r>
            <w:rPr>
              <w:color w:val="auto"/>
              <w:highlight w:val="none"/>
            </w:rPr>
            <w:fldChar w:fldCharType="begin"/>
          </w:r>
          <w:r>
            <w:rPr>
              <w:color w:val="auto"/>
              <w:highlight w:val="none"/>
            </w:rPr>
            <w:instrText xml:space="preserve">TOC \o "1-2" \h \u </w:instrText>
          </w:r>
          <w:r>
            <w:rPr>
              <w:color w:val="auto"/>
              <w:highlight w:val="none"/>
            </w:rPr>
            <w:fldChar w:fldCharType="separate"/>
          </w:r>
        </w:p>
        <w:p>
          <w:pPr>
            <w:pStyle w:val="37"/>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rPr>
              <w:b/>
            </w:rPr>
          </w:pPr>
          <w:r>
            <w:rPr>
              <w:b/>
              <w:color w:val="auto"/>
              <w:highlight w:val="none"/>
            </w:rPr>
            <w:fldChar w:fldCharType="begin"/>
          </w:r>
          <w:r>
            <w:rPr>
              <w:b/>
              <w:highlight w:val="none"/>
            </w:rPr>
            <w:instrText xml:space="preserve"> HYPERLINK \l _Toc7384 </w:instrText>
          </w:r>
          <w:r>
            <w:rPr>
              <w:b/>
              <w:highlight w:val="none"/>
            </w:rPr>
            <w:fldChar w:fldCharType="separate"/>
          </w:r>
          <w:r>
            <w:rPr>
              <w:rFonts w:hint="eastAsia" w:ascii="黑体" w:hAnsi="黑体" w:eastAsia="黑体"/>
              <w:b/>
              <w:highlight w:val="none"/>
            </w:rPr>
            <w:t>第一部分</w:t>
          </w:r>
          <w:r>
            <w:rPr>
              <w:rFonts w:hint="eastAsia" w:ascii="黑体" w:hAnsi="黑体" w:eastAsia="黑体"/>
              <w:b/>
              <w:bCs w:val="0"/>
              <w:highlight w:val="none"/>
            </w:rPr>
            <w:t>部门概况</w:t>
          </w:r>
          <w:r>
            <w:rPr>
              <w:b/>
            </w:rPr>
            <w:tab/>
          </w:r>
          <w:r>
            <w:rPr>
              <w:b/>
            </w:rPr>
            <w:fldChar w:fldCharType="begin"/>
          </w:r>
          <w:r>
            <w:rPr>
              <w:b/>
            </w:rPr>
            <w:instrText xml:space="preserve"> PAGEREF _Toc7384 \h </w:instrText>
          </w:r>
          <w:r>
            <w:rPr>
              <w:b/>
            </w:rPr>
            <w:fldChar w:fldCharType="separate"/>
          </w:r>
          <w:r>
            <w:rPr>
              <w:b/>
            </w:rPr>
            <w:t>-1-</w:t>
          </w:r>
          <w:r>
            <w:rPr>
              <w:b/>
            </w:rPr>
            <w:fldChar w:fldCharType="end"/>
          </w:r>
          <w:r>
            <w:rPr>
              <w:b/>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_Toc17880 </w:instrText>
          </w:r>
          <w:r>
            <w:rPr>
              <w:highlight w:val="none"/>
            </w:rPr>
            <w:fldChar w:fldCharType="separate"/>
          </w:r>
          <w:r>
            <w:rPr>
              <w:rFonts w:hint="eastAsia" w:ascii="黑体" w:hAnsi="黑体" w:eastAsia="黑体"/>
              <w:highlight w:val="none"/>
              <w:lang w:eastAsia="zh-CN"/>
            </w:rPr>
            <w:t>一、部门职责</w:t>
          </w:r>
          <w:r>
            <w:tab/>
          </w:r>
          <w:r>
            <w:fldChar w:fldCharType="begin"/>
          </w:r>
          <w:r>
            <w:instrText xml:space="preserve"> PAGEREF _Toc17880 \h </w:instrText>
          </w:r>
          <w:r>
            <w:fldChar w:fldCharType="separate"/>
          </w:r>
          <w:r>
            <w:t>-1-</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_Toc16687 </w:instrText>
          </w:r>
          <w:r>
            <w:rPr>
              <w:highlight w:val="none"/>
            </w:rPr>
            <w:fldChar w:fldCharType="separate"/>
          </w:r>
          <w:r>
            <w:rPr>
              <w:rFonts w:hint="eastAsia" w:ascii="黑体" w:hAnsi="黑体" w:eastAsia="黑体"/>
              <w:highlight w:val="none"/>
              <w:lang w:val="zh-CN" w:eastAsia="zh-CN"/>
            </w:rPr>
            <w:t>二、机构设置</w:t>
          </w:r>
          <w:r>
            <w:tab/>
          </w:r>
          <w:r>
            <w:fldChar w:fldCharType="begin"/>
          </w:r>
          <w:r>
            <w:instrText xml:space="preserve"> PAGEREF _Toc16687 \h </w:instrText>
          </w:r>
          <w:r>
            <w:fldChar w:fldCharType="separate"/>
          </w:r>
          <w:r>
            <w:t>-1-</w:t>
          </w:r>
          <w:r>
            <w:fldChar w:fldCharType="end"/>
          </w:r>
          <w:r>
            <w:rPr>
              <w:color w:val="auto"/>
              <w:highlight w:val="none"/>
            </w:rPr>
            <w:fldChar w:fldCharType="end"/>
          </w:r>
        </w:p>
        <w:p>
          <w:pPr>
            <w:pStyle w:val="37"/>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rPr>
              <w:b/>
            </w:rPr>
          </w:pPr>
          <w:r>
            <w:rPr>
              <w:b/>
              <w:color w:val="auto"/>
              <w:highlight w:val="none"/>
            </w:rPr>
            <w:fldChar w:fldCharType="begin"/>
          </w:r>
          <w:r>
            <w:rPr>
              <w:b/>
              <w:highlight w:val="none"/>
            </w:rPr>
            <w:instrText xml:space="preserve"> HYPERLINK \l _Toc29466 </w:instrText>
          </w:r>
          <w:r>
            <w:rPr>
              <w:b/>
              <w:highlight w:val="none"/>
            </w:rPr>
            <w:fldChar w:fldCharType="separate"/>
          </w:r>
          <w:r>
            <w:rPr>
              <w:rFonts w:hint="eastAsia" w:ascii="黑体" w:hAnsi="黑体" w:eastAsia="黑体"/>
              <w:b/>
              <w:bCs/>
              <w:highlight w:val="none"/>
            </w:rPr>
            <w:t>第二部分</w:t>
          </w:r>
          <w:r>
            <w:rPr>
              <w:rFonts w:hint="eastAsia" w:ascii="黑体" w:hAnsi="黑体" w:eastAsia="黑体"/>
              <w:b/>
              <w:bCs/>
              <w:highlight w:val="none"/>
              <w:lang w:val="en-US" w:eastAsia="zh-CN"/>
            </w:rPr>
            <w:t>2022年度</w:t>
          </w:r>
          <w:r>
            <w:rPr>
              <w:rFonts w:hint="eastAsia" w:ascii="黑体" w:hAnsi="黑体" w:eastAsia="黑体"/>
              <w:b/>
              <w:bCs/>
              <w:highlight w:val="none"/>
            </w:rPr>
            <w:t>部门决算情况说明</w:t>
          </w:r>
          <w:r>
            <w:rPr>
              <w:b/>
            </w:rPr>
            <w:tab/>
          </w:r>
          <w:r>
            <w:rPr>
              <w:b/>
            </w:rPr>
            <w:fldChar w:fldCharType="begin"/>
          </w:r>
          <w:r>
            <w:rPr>
              <w:b/>
            </w:rPr>
            <w:instrText xml:space="preserve"> PAGEREF _Toc29466 \h </w:instrText>
          </w:r>
          <w:r>
            <w:rPr>
              <w:b/>
            </w:rPr>
            <w:fldChar w:fldCharType="separate"/>
          </w:r>
          <w:r>
            <w:rPr>
              <w:b/>
            </w:rPr>
            <w:t>-2-</w:t>
          </w:r>
          <w:r>
            <w:rPr>
              <w:b/>
            </w:rPr>
            <w:fldChar w:fldCharType="end"/>
          </w:r>
          <w:r>
            <w:rPr>
              <w:b/>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_Toc7350 </w:instrText>
          </w:r>
          <w:r>
            <w:rPr>
              <w:highlight w:val="none"/>
            </w:rPr>
            <w:fldChar w:fldCharType="separate"/>
          </w:r>
          <w:r>
            <w:rPr>
              <w:rFonts w:hint="eastAsia" w:ascii="黑体" w:hAnsi="黑体" w:eastAsia="黑体"/>
              <w:szCs w:val="32"/>
              <w:highlight w:val="none"/>
              <w:lang w:eastAsia="zh-CN"/>
            </w:rPr>
            <w:t>一、</w:t>
          </w:r>
          <w:r>
            <w:rPr>
              <w:rFonts w:hint="eastAsia" w:ascii="黑体" w:hAnsi="黑体" w:eastAsia="黑体"/>
              <w:szCs w:val="32"/>
              <w:highlight w:val="none"/>
            </w:rPr>
            <w:t>收</w:t>
          </w:r>
          <w:r>
            <w:rPr>
              <w:rFonts w:hint="eastAsia" w:ascii="黑体" w:hAnsi="黑体" w:eastAsia="黑体"/>
              <w:highlight w:val="none"/>
            </w:rPr>
            <w:t>入支出决算总体情况说明</w:t>
          </w:r>
          <w:r>
            <w:tab/>
          </w:r>
          <w:r>
            <w:fldChar w:fldCharType="begin"/>
          </w:r>
          <w:r>
            <w:instrText xml:space="preserve"> PAGEREF _Toc7350 \h </w:instrText>
          </w:r>
          <w:r>
            <w:fldChar w:fldCharType="separate"/>
          </w:r>
          <w:r>
            <w:t>-2-</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_Toc8252 </w:instrText>
          </w:r>
          <w:r>
            <w:rPr>
              <w:highlight w:val="none"/>
            </w:rPr>
            <w:fldChar w:fldCharType="separate"/>
          </w:r>
          <w:r>
            <w:rPr>
              <w:rFonts w:hint="eastAsia" w:ascii="黑体" w:hAnsi="黑体" w:eastAsia="黑体"/>
              <w:szCs w:val="32"/>
              <w:highlight w:val="none"/>
              <w:lang w:eastAsia="zh-CN"/>
            </w:rPr>
            <w:t>二、</w:t>
          </w:r>
          <w:r>
            <w:rPr>
              <w:rFonts w:hint="eastAsia" w:ascii="黑体" w:hAnsi="黑体" w:eastAsia="黑体"/>
              <w:szCs w:val="32"/>
              <w:highlight w:val="none"/>
            </w:rPr>
            <w:t>收</w:t>
          </w:r>
          <w:r>
            <w:rPr>
              <w:rFonts w:hint="eastAsia" w:ascii="黑体" w:hAnsi="黑体" w:eastAsia="黑体"/>
              <w:highlight w:val="none"/>
            </w:rPr>
            <w:t>入决算情况说明</w:t>
          </w:r>
          <w:r>
            <w:tab/>
          </w:r>
          <w:r>
            <w:fldChar w:fldCharType="begin"/>
          </w:r>
          <w:r>
            <w:instrText xml:space="preserve"> PAGEREF _Toc8252 \h </w:instrText>
          </w:r>
          <w:r>
            <w:fldChar w:fldCharType="separate"/>
          </w:r>
          <w:r>
            <w:t>-2-</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_Toc21794 </w:instrText>
          </w:r>
          <w:r>
            <w:rPr>
              <w:highlight w:val="none"/>
            </w:rPr>
            <w:fldChar w:fldCharType="separate"/>
          </w:r>
          <w:r>
            <w:rPr>
              <w:rFonts w:hint="eastAsia" w:ascii="黑体" w:hAnsi="黑体" w:eastAsia="黑体"/>
              <w:szCs w:val="32"/>
              <w:highlight w:val="none"/>
              <w:lang w:eastAsia="zh-CN"/>
            </w:rPr>
            <w:t>三、</w:t>
          </w:r>
          <w:r>
            <w:rPr>
              <w:rFonts w:hint="eastAsia" w:ascii="黑体" w:hAnsi="黑体" w:eastAsia="黑体"/>
              <w:szCs w:val="32"/>
              <w:highlight w:val="none"/>
            </w:rPr>
            <w:t>支</w:t>
          </w:r>
          <w:r>
            <w:rPr>
              <w:rFonts w:hint="eastAsia" w:ascii="黑体" w:hAnsi="黑体" w:eastAsia="黑体"/>
              <w:highlight w:val="none"/>
            </w:rPr>
            <w:t>出决算情况说明</w:t>
          </w:r>
          <w:r>
            <w:tab/>
          </w:r>
          <w:r>
            <w:fldChar w:fldCharType="begin"/>
          </w:r>
          <w:r>
            <w:instrText xml:space="preserve"> PAGEREF _Toc21794 \h </w:instrText>
          </w:r>
          <w:r>
            <w:fldChar w:fldCharType="separate"/>
          </w:r>
          <w:r>
            <w:t>-3-</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_Toc29680 </w:instrText>
          </w:r>
          <w:r>
            <w:rPr>
              <w:highlight w:val="none"/>
            </w:rPr>
            <w:fldChar w:fldCharType="separate"/>
          </w:r>
          <w:r>
            <w:rPr>
              <w:rFonts w:hint="eastAsia" w:ascii="黑体" w:hAnsi="黑体" w:eastAsia="黑体"/>
              <w:szCs w:val="32"/>
              <w:highlight w:val="none"/>
            </w:rPr>
            <w:t>四、财</w:t>
          </w:r>
          <w:r>
            <w:rPr>
              <w:rFonts w:hint="eastAsia" w:ascii="黑体" w:hAnsi="黑体" w:eastAsia="黑体"/>
              <w:highlight w:val="none"/>
            </w:rPr>
            <w:t>政拨款收入支出决算总体情况说明</w:t>
          </w:r>
          <w:r>
            <w:tab/>
          </w:r>
          <w:r>
            <w:fldChar w:fldCharType="begin"/>
          </w:r>
          <w:r>
            <w:instrText xml:space="preserve"> PAGEREF _Toc29680 \h </w:instrText>
          </w:r>
          <w:r>
            <w:fldChar w:fldCharType="separate"/>
          </w:r>
          <w:r>
            <w:t>-3-</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_Toc12786 </w:instrText>
          </w:r>
          <w:r>
            <w:rPr>
              <w:highlight w:val="none"/>
            </w:rPr>
            <w:fldChar w:fldCharType="separate"/>
          </w:r>
          <w:r>
            <w:rPr>
              <w:rFonts w:hint="eastAsia" w:ascii="黑体" w:hAnsi="黑体" w:eastAsia="黑体"/>
              <w:szCs w:val="32"/>
              <w:highlight w:val="none"/>
            </w:rPr>
            <w:t>五、一</w:t>
          </w:r>
          <w:r>
            <w:rPr>
              <w:rFonts w:hint="eastAsia" w:ascii="黑体" w:hAnsi="黑体" w:eastAsia="黑体"/>
              <w:highlight w:val="none"/>
            </w:rPr>
            <w:t>般公共预算财政拨款支出决算情况说明</w:t>
          </w:r>
          <w:r>
            <w:tab/>
          </w:r>
          <w:r>
            <w:fldChar w:fldCharType="begin"/>
          </w:r>
          <w:r>
            <w:instrText xml:space="preserve"> PAGEREF _Toc12786 \h </w:instrText>
          </w:r>
          <w:r>
            <w:fldChar w:fldCharType="separate"/>
          </w:r>
          <w:r>
            <w:t>-4-</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_Toc1072 </w:instrText>
          </w:r>
          <w:r>
            <w:rPr>
              <w:highlight w:val="none"/>
            </w:rPr>
            <w:fldChar w:fldCharType="separate"/>
          </w:r>
          <w:r>
            <w:rPr>
              <w:rFonts w:hint="eastAsia" w:ascii="黑体" w:eastAsia="黑体"/>
              <w:szCs w:val="32"/>
              <w:highlight w:val="none"/>
            </w:rPr>
            <w:t>六、</w:t>
          </w:r>
          <w:r>
            <w:rPr>
              <w:rFonts w:hint="eastAsia" w:ascii="黑体" w:hAnsi="黑体" w:eastAsia="黑体"/>
              <w:szCs w:val="32"/>
              <w:highlight w:val="none"/>
            </w:rPr>
            <w:t>一</w:t>
          </w:r>
          <w:r>
            <w:rPr>
              <w:rFonts w:hint="eastAsia" w:ascii="黑体" w:hAnsi="黑体" w:eastAsia="黑体"/>
              <w:highlight w:val="none"/>
            </w:rPr>
            <w:t>般公共预算财政拨款基本支出决算情况说明</w:t>
          </w:r>
          <w:r>
            <w:tab/>
          </w:r>
          <w:r>
            <w:fldChar w:fldCharType="begin"/>
          </w:r>
          <w:r>
            <w:instrText xml:space="preserve"> PAGEREF _Toc1072 \h </w:instrText>
          </w:r>
          <w:r>
            <w:fldChar w:fldCharType="separate"/>
          </w:r>
          <w:r>
            <w:t>-8-</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_Toc16857 </w:instrText>
          </w:r>
          <w:r>
            <w:rPr>
              <w:highlight w:val="none"/>
            </w:rPr>
            <w:fldChar w:fldCharType="separate"/>
          </w:r>
          <w:r>
            <w:rPr>
              <w:rFonts w:hint="eastAsia" w:ascii="黑体" w:eastAsia="黑体"/>
              <w:szCs w:val="32"/>
              <w:highlight w:val="none"/>
            </w:rPr>
            <w:t>七、</w:t>
          </w:r>
          <w:r>
            <w:rPr>
              <w:rFonts w:hint="eastAsia" w:ascii="黑体" w:hAnsi="黑体" w:eastAsia="黑体"/>
              <w:highlight w:val="none"/>
            </w:rPr>
            <w:t>财政拨款“三公”经费支出决算情况说明</w:t>
          </w:r>
          <w:r>
            <w:tab/>
          </w:r>
          <w:r>
            <w:fldChar w:fldCharType="begin"/>
          </w:r>
          <w:r>
            <w:instrText xml:space="preserve"> PAGEREF _Toc16857 \h </w:instrText>
          </w:r>
          <w:r>
            <w:fldChar w:fldCharType="separate"/>
          </w:r>
          <w:r>
            <w:t>-8-</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_Toc8229 </w:instrText>
          </w:r>
          <w:r>
            <w:rPr>
              <w:highlight w:val="none"/>
            </w:rPr>
            <w:fldChar w:fldCharType="separate"/>
          </w:r>
          <w:r>
            <w:rPr>
              <w:rFonts w:hint="eastAsia" w:ascii="黑体" w:hAnsi="黑体" w:eastAsia="黑体"/>
              <w:highlight w:val="none"/>
            </w:rPr>
            <w:t>八、政府性基金预算支出决算情况说明</w:t>
          </w:r>
          <w:r>
            <w:tab/>
          </w:r>
          <w:r>
            <w:fldChar w:fldCharType="begin"/>
          </w:r>
          <w:r>
            <w:instrText xml:space="preserve"> PAGEREF _Toc8229 \h </w:instrText>
          </w:r>
          <w:r>
            <w:fldChar w:fldCharType="separate"/>
          </w:r>
          <w:r>
            <w:t>-1</w:t>
          </w:r>
          <w:r>
            <w:rPr>
              <w:rFonts w:hint="eastAsia"/>
              <w:lang w:val="en-US" w:eastAsia="zh-CN"/>
            </w:rPr>
            <w:t>0</w:t>
          </w:r>
          <w:r>
            <w:t>-</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_Toc25110 </w:instrText>
          </w:r>
          <w:r>
            <w:rPr>
              <w:highlight w:val="none"/>
            </w:rPr>
            <w:fldChar w:fldCharType="separate"/>
          </w:r>
          <w:r>
            <w:rPr>
              <w:rFonts w:hint="eastAsia" w:ascii="黑体" w:hAnsi="黑体" w:eastAsia="黑体"/>
              <w:highlight w:val="none"/>
              <w:lang w:eastAsia="zh-CN"/>
            </w:rPr>
            <w:t>九、</w:t>
          </w:r>
          <w:r>
            <w:rPr>
              <w:rFonts w:hint="eastAsia" w:ascii="黑体" w:hAnsi="黑体" w:eastAsia="黑体"/>
              <w:highlight w:val="none"/>
            </w:rPr>
            <w:t>国有资本经营预算支出决算情况说明</w:t>
          </w:r>
          <w:r>
            <w:tab/>
          </w:r>
          <w:r>
            <w:fldChar w:fldCharType="begin"/>
          </w:r>
          <w:r>
            <w:instrText xml:space="preserve"> PAGEREF _Toc25110 \h </w:instrText>
          </w:r>
          <w:r>
            <w:fldChar w:fldCharType="separate"/>
          </w:r>
          <w:r>
            <w:t>-1</w:t>
          </w:r>
          <w:r>
            <w:rPr>
              <w:rFonts w:hint="eastAsia"/>
              <w:lang w:val="en-US" w:eastAsia="zh-CN"/>
            </w:rPr>
            <w:t>0</w:t>
          </w:r>
          <w:r>
            <w:t>-</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_Toc23989 </w:instrText>
          </w:r>
          <w:r>
            <w:rPr>
              <w:highlight w:val="none"/>
            </w:rPr>
            <w:fldChar w:fldCharType="separate"/>
          </w:r>
          <w:r>
            <w:rPr>
              <w:rFonts w:hint="eastAsia" w:ascii="黑体" w:hAnsi="黑体" w:eastAsia="黑体"/>
              <w:highlight w:val="none"/>
              <w:lang w:eastAsia="zh-CN"/>
            </w:rPr>
            <w:t>十、</w:t>
          </w:r>
          <w:r>
            <w:rPr>
              <w:rFonts w:hint="eastAsia" w:ascii="黑体" w:hAnsi="黑体" w:eastAsia="黑体"/>
              <w:highlight w:val="none"/>
            </w:rPr>
            <w:t>其他重要事项的情况说明</w:t>
          </w:r>
          <w:r>
            <w:tab/>
          </w:r>
          <w:r>
            <w:fldChar w:fldCharType="begin"/>
          </w:r>
          <w:r>
            <w:instrText xml:space="preserve"> PAGEREF _Toc23989 \h </w:instrText>
          </w:r>
          <w:r>
            <w:fldChar w:fldCharType="separate"/>
          </w:r>
          <w:r>
            <w:t>-11-</w:t>
          </w:r>
          <w:r>
            <w:fldChar w:fldCharType="end"/>
          </w:r>
          <w:r>
            <w:rPr>
              <w:color w:val="auto"/>
              <w:highlight w:val="none"/>
            </w:rPr>
            <w:fldChar w:fldCharType="end"/>
          </w:r>
        </w:p>
        <w:p>
          <w:pPr>
            <w:pStyle w:val="37"/>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rPr>
              <w:b/>
            </w:rPr>
          </w:pPr>
          <w:r>
            <w:rPr>
              <w:b/>
              <w:color w:val="auto"/>
              <w:highlight w:val="none"/>
            </w:rPr>
            <w:fldChar w:fldCharType="begin"/>
          </w:r>
          <w:r>
            <w:rPr>
              <w:b/>
              <w:highlight w:val="none"/>
            </w:rPr>
            <w:instrText xml:space="preserve"> HYPERLINK \l _Toc24245 </w:instrText>
          </w:r>
          <w:r>
            <w:rPr>
              <w:b/>
              <w:highlight w:val="none"/>
            </w:rPr>
            <w:fldChar w:fldCharType="separate"/>
          </w:r>
          <w:r>
            <w:rPr>
              <w:rFonts w:hint="eastAsia" w:ascii="黑体" w:hAnsi="黑体" w:eastAsia="黑体"/>
              <w:b/>
              <w:szCs w:val="44"/>
              <w:highlight w:val="none"/>
              <w:lang w:eastAsia="zh-CN"/>
            </w:rPr>
            <w:t>第三部分</w:t>
          </w:r>
          <w:r>
            <w:rPr>
              <w:rFonts w:hint="eastAsia" w:ascii="黑体" w:hAnsi="黑体" w:eastAsia="黑体"/>
              <w:b/>
              <w:szCs w:val="44"/>
              <w:highlight w:val="none"/>
            </w:rPr>
            <w:t>名</w:t>
          </w:r>
          <w:r>
            <w:rPr>
              <w:rFonts w:hint="eastAsia" w:ascii="黑体" w:hAnsi="黑体" w:eastAsia="黑体"/>
              <w:b/>
              <w:highlight w:val="none"/>
            </w:rPr>
            <w:t>词解释</w:t>
          </w:r>
          <w:r>
            <w:rPr>
              <w:b/>
            </w:rPr>
            <w:tab/>
          </w:r>
          <w:r>
            <w:rPr>
              <w:b/>
            </w:rPr>
            <w:fldChar w:fldCharType="begin"/>
          </w:r>
          <w:r>
            <w:rPr>
              <w:b/>
            </w:rPr>
            <w:instrText xml:space="preserve"> PAGEREF _Toc24245 \h </w:instrText>
          </w:r>
          <w:r>
            <w:rPr>
              <w:b/>
            </w:rPr>
            <w:fldChar w:fldCharType="separate"/>
          </w:r>
          <w:r>
            <w:rPr>
              <w:b/>
            </w:rPr>
            <w:t>-1</w:t>
          </w:r>
          <w:r>
            <w:rPr>
              <w:rFonts w:hint="eastAsia"/>
              <w:b/>
              <w:lang w:val="en-US" w:eastAsia="zh-CN"/>
            </w:rPr>
            <w:t>2</w:t>
          </w:r>
          <w:r>
            <w:rPr>
              <w:b/>
            </w:rPr>
            <w:t>-</w:t>
          </w:r>
          <w:r>
            <w:rPr>
              <w:b/>
            </w:rPr>
            <w:fldChar w:fldCharType="end"/>
          </w:r>
          <w:r>
            <w:rPr>
              <w:b/>
              <w:color w:val="auto"/>
              <w:highlight w:val="none"/>
            </w:rPr>
            <w:fldChar w:fldCharType="end"/>
          </w:r>
        </w:p>
        <w:p>
          <w:pPr>
            <w:pStyle w:val="37"/>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rPr>
              <w:b/>
            </w:rPr>
          </w:pPr>
          <w:r>
            <w:rPr>
              <w:b/>
              <w:color w:val="auto"/>
              <w:highlight w:val="none"/>
            </w:rPr>
            <w:fldChar w:fldCharType="begin"/>
          </w:r>
          <w:r>
            <w:rPr>
              <w:b/>
              <w:highlight w:val="none"/>
            </w:rPr>
            <w:instrText xml:space="preserve"> HYPERLINK \l _Toc6025 </w:instrText>
          </w:r>
          <w:r>
            <w:rPr>
              <w:b/>
              <w:highlight w:val="none"/>
            </w:rPr>
            <w:fldChar w:fldCharType="separate"/>
          </w:r>
          <w:r>
            <w:rPr>
              <w:rFonts w:hint="eastAsia" w:ascii="黑体" w:hAnsi="黑体" w:eastAsia="黑体"/>
              <w:b/>
              <w:szCs w:val="44"/>
              <w:highlight w:val="none"/>
            </w:rPr>
            <w:t>第</w:t>
          </w:r>
          <w:r>
            <w:rPr>
              <w:rFonts w:hint="eastAsia" w:ascii="黑体" w:hAnsi="黑体" w:eastAsia="黑体"/>
              <w:b/>
              <w:highlight w:val="none"/>
            </w:rPr>
            <w:t>四部分附件</w:t>
          </w:r>
          <w:r>
            <w:rPr>
              <w:b/>
            </w:rPr>
            <w:tab/>
          </w:r>
          <w:r>
            <w:rPr>
              <w:b/>
            </w:rPr>
            <w:fldChar w:fldCharType="begin"/>
          </w:r>
          <w:r>
            <w:rPr>
              <w:b/>
            </w:rPr>
            <w:instrText xml:space="preserve"> PAGEREF _Toc6025 \h </w:instrText>
          </w:r>
          <w:r>
            <w:rPr>
              <w:b/>
            </w:rPr>
            <w:fldChar w:fldCharType="separate"/>
          </w:r>
          <w:r>
            <w:rPr>
              <w:b/>
            </w:rPr>
            <w:t>-</w:t>
          </w:r>
          <w:r>
            <w:rPr>
              <w:rFonts w:hint="eastAsia"/>
              <w:b/>
              <w:lang w:val="en-US" w:eastAsia="zh-CN"/>
            </w:rPr>
            <w:t>17</w:t>
          </w:r>
          <w:r>
            <w:rPr>
              <w:b/>
            </w:rPr>
            <w:t>-</w:t>
          </w:r>
          <w:r>
            <w:rPr>
              <w:b/>
            </w:rPr>
            <w:fldChar w:fldCharType="end"/>
          </w:r>
          <w:r>
            <w:rPr>
              <w:b/>
              <w:color w:val="auto"/>
              <w:highlight w:val="none"/>
            </w:rPr>
            <w:fldChar w:fldCharType="end"/>
          </w:r>
        </w:p>
        <w:p>
          <w:pPr>
            <w:pStyle w:val="37"/>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rPr>
              <w:b/>
            </w:rPr>
          </w:pPr>
          <w:r>
            <w:rPr>
              <w:b/>
              <w:color w:val="auto"/>
              <w:highlight w:val="none"/>
            </w:rPr>
            <w:fldChar w:fldCharType="begin"/>
          </w:r>
          <w:r>
            <w:rPr>
              <w:b/>
              <w:highlight w:val="none"/>
            </w:rPr>
            <w:instrText xml:space="preserve"> HYPERLINK \l _Toc16789 </w:instrText>
          </w:r>
          <w:r>
            <w:rPr>
              <w:b/>
              <w:highlight w:val="none"/>
            </w:rPr>
            <w:fldChar w:fldCharType="separate"/>
          </w:r>
          <w:r>
            <w:rPr>
              <w:rFonts w:hint="eastAsia" w:ascii="黑体" w:hAnsi="黑体" w:eastAsia="黑体"/>
              <w:b/>
              <w:highlight w:val="none"/>
              <w:lang w:eastAsia="zh-CN"/>
            </w:rPr>
            <w:t>第五部分</w:t>
          </w:r>
          <w:r>
            <w:rPr>
              <w:rFonts w:hint="eastAsia" w:ascii="黑体" w:hAnsi="黑体" w:eastAsia="黑体"/>
              <w:b/>
              <w:highlight w:val="none"/>
            </w:rPr>
            <w:t>附表</w:t>
          </w:r>
          <w:r>
            <w:rPr>
              <w:b/>
            </w:rPr>
            <w:tab/>
          </w:r>
          <w:r>
            <w:rPr>
              <w:b/>
            </w:rPr>
            <w:fldChar w:fldCharType="begin"/>
          </w:r>
          <w:r>
            <w:rPr>
              <w:b/>
            </w:rPr>
            <w:instrText xml:space="preserve"> PAGEREF _Toc16789 \h </w:instrText>
          </w:r>
          <w:r>
            <w:rPr>
              <w:b/>
            </w:rPr>
            <w:fldChar w:fldCharType="separate"/>
          </w:r>
          <w:r>
            <w:rPr>
              <w:b/>
            </w:rPr>
            <w:t>-</w:t>
          </w:r>
          <w:r>
            <w:rPr>
              <w:rFonts w:hint="eastAsia"/>
              <w:b/>
              <w:lang w:val="en-US" w:eastAsia="zh-CN"/>
            </w:rPr>
            <w:t>52</w:t>
          </w:r>
          <w:r>
            <w:rPr>
              <w:b/>
            </w:rPr>
            <w:t>-</w:t>
          </w:r>
          <w:r>
            <w:rPr>
              <w:b/>
            </w:rPr>
            <w:fldChar w:fldCharType="end"/>
          </w:r>
          <w:r>
            <w:rPr>
              <w:b/>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_Toc6853 </w:instrText>
          </w:r>
          <w:r>
            <w:rPr>
              <w:highlight w:val="none"/>
            </w:rPr>
            <w:fldChar w:fldCharType="separate"/>
          </w:r>
          <w:r>
            <w:rPr>
              <w:rFonts w:hint="eastAsia" w:ascii="仿宋" w:hAnsi="仿宋" w:eastAsia="仿宋"/>
              <w:highlight w:val="none"/>
            </w:rPr>
            <w:t>一、收</w:t>
          </w:r>
          <w:r>
            <w:rPr>
              <w:rFonts w:hint="eastAsia" w:ascii="仿宋" w:hAnsi="仿宋" w:eastAsia="仿宋"/>
              <w:bCs w:val="0"/>
              <w:highlight w:val="none"/>
            </w:rPr>
            <w:t>入支出决算总表</w:t>
          </w:r>
          <w:r>
            <w:tab/>
          </w:r>
          <w:r>
            <w:fldChar w:fldCharType="begin"/>
          </w:r>
          <w:r>
            <w:instrText xml:space="preserve"> PAGEREF _Toc6853 \h </w:instrText>
          </w:r>
          <w:r>
            <w:fldChar w:fldCharType="separate"/>
          </w:r>
          <w:r>
            <w:t>-</w:t>
          </w:r>
          <w:r>
            <w:rPr>
              <w:rFonts w:hint="eastAsia"/>
              <w:lang w:val="en-US" w:eastAsia="zh-CN"/>
            </w:rPr>
            <w:t>52</w:t>
          </w:r>
          <w:r>
            <w:t>-</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_Toc25021 </w:instrText>
          </w:r>
          <w:r>
            <w:rPr>
              <w:highlight w:val="none"/>
            </w:rPr>
            <w:fldChar w:fldCharType="separate"/>
          </w:r>
          <w:r>
            <w:rPr>
              <w:rFonts w:hint="eastAsia" w:ascii="仿宋" w:hAnsi="仿宋" w:eastAsia="仿宋"/>
              <w:highlight w:val="none"/>
            </w:rPr>
            <w:t>二、收</w:t>
          </w:r>
          <w:r>
            <w:rPr>
              <w:rFonts w:hint="eastAsia" w:ascii="仿宋" w:hAnsi="仿宋" w:eastAsia="仿宋"/>
              <w:bCs w:val="0"/>
              <w:highlight w:val="none"/>
            </w:rPr>
            <w:t>入决算表</w:t>
          </w:r>
          <w:r>
            <w:tab/>
          </w:r>
          <w:r>
            <w:fldChar w:fldCharType="begin"/>
          </w:r>
          <w:r>
            <w:instrText xml:space="preserve"> PAGEREF _Toc25021 \h </w:instrText>
          </w:r>
          <w:r>
            <w:fldChar w:fldCharType="separate"/>
          </w:r>
          <w:r>
            <w:t>-</w:t>
          </w:r>
          <w:r>
            <w:rPr>
              <w:rFonts w:hint="eastAsia"/>
              <w:lang w:val="en-US" w:eastAsia="zh-CN"/>
            </w:rPr>
            <w:t>52</w:t>
          </w:r>
          <w:r>
            <w:t>-</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_Toc31021 </w:instrText>
          </w:r>
          <w:r>
            <w:rPr>
              <w:highlight w:val="none"/>
            </w:rPr>
            <w:fldChar w:fldCharType="separate"/>
          </w:r>
          <w:r>
            <w:rPr>
              <w:rFonts w:hint="eastAsia" w:ascii="仿宋" w:hAnsi="仿宋" w:eastAsia="仿宋"/>
              <w:bCs w:val="0"/>
              <w:highlight w:val="none"/>
            </w:rPr>
            <w:t>三、</w:t>
          </w:r>
          <w:r>
            <w:rPr>
              <w:rFonts w:hint="eastAsia" w:ascii="仿宋" w:hAnsi="仿宋" w:eastAsia="仿宋"/>
              <w:highlight w:val="none"/>
            </w:rPr>
            <w:t>支</w:t>
          </w:r>
          <w:r>
            <w:rPr>
              <w:rFonts w:hint="eastAsia" w:ascii="仿宋" w:hAnsi="仿宋" w:eastAsia="仿宋"/>
              <w:bCs w:val="0"/>
              <w:highlight w:val="none"/>
            </w:rPr>
            <w:t>出决算表</w:t>
          </w:r>
          <w:r>
            <w:tab/>
          </w:r>
          <w:r>
            <w:fldChar w:fldCharType="begin"/>
          </w:r>
          <w:r>
            <w:instrText xml:space="preserve"> PAGEREF _Toc31021 \h </w:instrText>
          </w:r>
          <w:r>
            <w:fldChar w:fldCharType="separate"/>
          </w:r>
          <w:r>
            <w:t>-</w:t>
          </w:r>
          <w:r>
            <w:rPr>
              <w:rFonts w:hint="eastAsia"/>
              <w:lang w:val="en-US" w:eastAsia="zh-CN"/>
            </w:rPr>
            <w:t>52</w:t>
          </w:r>
          <w:r>
            <w:t>-</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_Toc519 </w:instrText>
          </w:r>
          <w:r>
            <w:rPr>
              <w:highlight w:val="none"/>
            </w:rPr>
            <w:fldChar w:fldCharType="separate"/>
          </w:r>
          <w:r>
            <w:rPr>
              <w:rFonts w:hint="eastAsia" w:ascii="仿宋" w:hAnsi="仿宋" w:eastAsia="仿宋"/>
              <w:bCs w:val="0"/>
              <w:highlight w:val="none"/>
            </w:rPr>
            <w:t>四、</w:t>
          </w:r>
          <w:r>
            <w:rPr>
              <w:rFonts w:hint="eastAsia" w:ascii="仿宋" w:hAnsi="仿宋" w:eastAsia="仿宋"/>
              <w:highlight w:val="none"/>
            </w:rPr>
            <w:t>财</w:t>
          </w:r>
          <w:r>
            <w:rPr>
              <w:rFonts w:hint="eastAsia" w:ascii="仿宋" w:hAnsi="仿宋" w:eastAsia="仿宋"/>
              <w:bCs w:val="0"/>
              <w:highlight w:val="none"/>
            </w:rPr>
            <w:t>政拨款收入支出决算总表</w:t>
          </w:r>
          <w:r>
            <w:tab/>
          </w:r>
          <w:r>
            <w:fldChar w:fldCharType="begin"/>
          </w:r>
          <w:r>
            <w:instrText xml:space="preserve"> PAGEREF _Toc519 \h </w:instrText>
          </w:r>
          <w:r>
            <w:fldChar w:fldCharType="separate"/>
          </w:r>
          <w:r>
            <w:t>-</w:t>
          </w:r>
          <w:r>
            <w:rPr>
              <w:rFonts w:hint="eastAsia"/>
              <w:lang w:val="en-US" w:eastAsia="zh-CN"/>
            </w:rPr>
            <w:t>52</w:t>
          </w:r>
          <w:r>
            <w:t>-</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_Toc32107 </w:instrText>
          </w:r>
          <w:r>
            <w:rPr>
              <w:highlight w:val="none"/>
            </w:rPr>
            <w:fldChar w:fldCharType="separate"/>
          </w:r>
          <w:r>
            <w:rPr>
              <w:rFonts w:hint="eastAsia" w:ascii="仿宋" w:hAnsi="仿宋" w:eastAsia="仿宋"/>
              <w:bCs w:val="0"/>
              <w:highlight w:val="none"/>
            </w:rPr>
            <w:t>五、</w:t>
          </w:r>
          <w:r>
            <w:rPr>
              <w:rFonts w:hint="eastAsia" w:ascii="仿宋" w:hAnsi="仿宋" w:eastAsia="仿宋"/>
              <w:highlight w:val="none"/>
            </w:rPr>
            <w:t>财</w:t>
          </w:r>
          <w:r>
            <w:rPr>
              <w:rFonts w:hint="eastAsia" w:ascii="仿宋" w:hAnsi="仿宋" w:eastAsia="仿宋"/>
              <w:bCs w:val="0"/>
              <w:highlight w:val="none"/>
            </w:rPr>
            <w:t>政拨款支出决算明细表</w:t>
          </w:r>
          <w:r>
            <w:tab/>
          </w:r>
          <w:r>
            <w:fldChar w:fldCharType="begin"/>
          </w:r>
          <w:r>
            <w:instrText xml:space="preserve"> PAGEREF _Toc32107 \h </w:instrText>
          </w:r>
          <w:r>
            <w:fldChar w:fldCharType="separate"/>
          </w:r>
          <w:r>
            <w:t>-</w:t>
          </w:r>
          <w:r>
            <w:rPr>
              <w:rFonts w:hint="eastAsia"/>
              <w:lang w:val="en-US" w:eastAsia="zh-CN"/>
            </w:rPr>
            <w:t>52</w:t>
          </w:r>
          <w:r>
            <w:t>-</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_Toc32536 </w:instrText>
          </w:r>
          <w:r>
            <w:rPr>
              <w:highlight w:val="none"/>
            </w:rPr>
            <w:fldChar w:fldCharType="separate"/>
          </w:r>
          <w:r>
            <w:rPr>
              <w:rFonts w:hint="eastAsia" w:ascii="仿宋" w:hAnsi="仿宋" w:eastAsia="仿宋"/>
              <w:bCs w:val="0"/>
              <w:highlight w:val="none"/>
            </w:rPr>
            <w:t>六、</w:t>
          </w:r>
          <w:r>
            <w:rPr>
              <w:rFonts w:hint="eastAsia" w:ascii="仿宋" w:hAnsi="仿宋" w:eastAsia="仿宋"/>
              <w:highlight w:val="none"/>
            </w:rPr>
            <w:t>一</w:t>
          </w:r>
          <w:r>
            <w:rPr>
              <w:rFonts w:hint="eastAsia" w:ascii="仿宋" w:hAnsi="仿宋" w:eastAsia="仿宋"/>
              <w:bCs w:val="0"/>
              <w:highlight w:val="none"/>
            </w:rPr>
            <w:t>般公共预算财政拨款支出决算表</w:t>
          </w:r>
          <w:r>
            <w:tab/>
          </w:r>
          <w:r>
            <w:fldChar w:fldCharType="begin"/>
          </w:r>
          <w:r>
            <w:instrText xml:space="preserve"> PAGEREF _Toc32536 \h </w:instrText>
          </w:r>
          <w:r>
            <w:fldChar w:fldCharType="separate"/>
          </w:r>
          <w:r>
            <w:t>-</w:t>
          </w:r>
          <w:r>
            <w:rPr>
              <w:rFonts w:hint="eastAsia"/>
              <w:lang w:val="en-US" w:eastAsia="zh-CN"/>
            </w:rPr>
            <w:t>52</w:t>
          </w:r>
          <w:r>
            <w:t>-</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_Toc15730 </w:instrText>
          </w:r>
          <w:r>
            <w:rPr>
              <w:highlight w:val="none"/>
            </w:rPr>
            <w:fldChar w:fldCharType="separate"/>
          </w:r>
          <w:r>
            <w:rPr>
              <w:rFonts w:hint="eastAsia" w:ascii="仿宋" w:hAnsi="仿宋" w:eastAsia="仿宋"/>
              <w:bCs w:val="0"/>
              <w:highlight w:val="none"/>
            </w:rPr>
            <w:t>七、</w:t>
          </w:r>
          <w:r>
            <w:rPr>
              <w:rFonts w:hint="eastAsia" w:ascii="仿宋" w:hAnsi="仿宋" w:eastAsia="仿宋"/>
              <w:highlight w:val="none"/>
            </w:rPr>
            <w:t>一</w:t>
          </w:r>
          <w:r>
            <w:rPr>
              <w:rFonts w:hint="eastAsia" w:ascii="仿宋" w:hAnsi="仿宋" w:eastAsia="仿宋"/>
              <w:bCs w:val="0"/>
              <w:highlight w:val="none"/>
            </w:rPr>
            <w:t>般公共预算财政拨款支出决算明细表</w:t>
          </w:r>
          <w:r>
            <w:tab/>
          </w:r>
          <w:r>
            <w:fldChar w:fldCharType="begin"/>
          </w:r>
          <w:r>
            <w:instrText xml:space="preserve"> PAGEREF _Toc15730 \h </w:instrText>
          </w:r>
          <w:r>
            <w:fldChar w:fldCharType="separate"/>
          </w:r>
          <w:r>
            <w:t>-</w:t>
          </w:r>
          <w:r>
            <w:rPr>
              <w:rFonts w:hint="eastAsia"/>
              <w:lang w:val="en-US" w:eastAsia="zh-CN"/>
            </w:rPr>
            <w:t>52</w:t>
          </w:r>
          <w:r>
            <w:t>-</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_Toc7031 </w:instrText>
          </w:r>
          <w:r>
            <w:rPr>
              <w:highlight w:val="none"/>
            </w:rPr>
            <w:fldChar w:fldCharType="separate"/>
          </w:r>
          <w:r>
            <w:rPr>
              <w:rFonts w:hint="eastAsia" w:ascii="仿宋" w:hAnsi="仿宋" w:eastAsia="仿宋"/>
              <w:bCs w:val="0"/>
              <w:highlight w:val="none"/>
            </w:rPr>
            <w:t>八、</w:t>
          </w:r>
          <w:r>
            <w:rPr>
              <w:rFonts w:hint="eastAsia" w:ascii="仿宋" w:hAnsi="仿宋" w:eastAsia="仿宋"/>
              <w:highlight w:val="none"/>
            </w:rPr>
            <w:t>一</w:t>
          </w:r>
          <w:r>
            <w:rPr>
              <w:rFonts w:hint="eastAsia" w:ascii="仿宋" w:hAnsi="仿宋" w:eastAsia="仿宋"/>
              <w:bCs w:val="0"/>
              <w:highlight w:val="none"/>
            </w:rPr>
            <w:t>般公共预算财政拨款基本支出决算表</w:t>
          </w:r>
          <w:r>
            <w:tab/>
          </w:r>
          <w:r>
            <w:fldChar w:fldCharType="begin"/>
          </w:r>
          <w:r>
            <w:instrText xml:space="preserve"> PAGEREF _Toc7031 \h </w:instrText>
          </w:r>
          <w:r>
            <w:fldChar w:fldCharType="separate"/>
          </w:r>
          <w:r>
            <w:t>-</w:t>
          </w:r>
          <w:r>
            <w:rPr>
              <w:rFonts w:hint="eastAsia"/>
              <w:lang w:val="en-US" w:eastAsia="zh-CN"/>
            </w:rPr>
            <w:t>52</w:t>
          </w:r>
          <w:r>
            <w:t>-</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_Toc19616 </w:instrText>
          </w:r>
          <w:r>
            <w:rPr>
              <w:highlight w:val="none"/>
            </w:rPr>
            <w:fldChar w:fldCharType="separate"/>
          </w:r>
          <w:r>
            <w:rPr>
              <w:rFonts w:hint="eastAsia" w:ascii="仿宋" w:hAnsi="仿宋" w:eastAsia="仿宋"/>
              <w:bCs w:val="0"/>
              <w:highlight w:val="none"/>
            </w:rPr>
            <w:t>九、</w:t>
          </w:r>
          <w:r>
            <w:rPr>
              <w:rFonts w:hint="eastAsia" w:ascii="仿宋" w:hAnsi="仿宋" w:eastAsia="仿宋"/>
              <w:highlight w:val="none"/>
            </w:rPr>
            <w:t>一</w:t>
          </w:r>
          <w:r>
            <w:rPr>
              <w:rFonts w:hint="eastAsia" w:ascii="仿宋" w:hAnsi="仿宋" w:eastAsia="仿宋"/>
              <w:bCs w:val="0"/>
              <w:highlight w:val="none"/>
            </w:rPr>
            <w:t>般公共预算财政拨款项目支出决算表</w:t>
          </w:r>
          <w:r>
            <w:tab/>
          </w:r>
          <w:r>
            <w:fldChar w:fldCharType="begin"/>
          </w:r>
          <w:r>
            <w:instrText xml:space="preserve"> PAGEREF _Toc19616 \h </w:instrText>
          </w:r>
          <w:r>
            <w:fldChar w:fldCharType="separate"/>
          </w:r>
          <w:r>
            <w:t>-</w:t>
          </w:r>
          <w:r>
            <w:rPr>
              <w:rFonts w:hint="eastAsia"/>
              <w:lang w:val="en-US" w:eastAsia="zh-CN"/>
            </w:rPr>
            <w:t>52</w:t>
          </w:r>
          <w:r>
            <w:t>-</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_Toc21549 </w:instrText>
          </w:r>
          <w:r>
            <w:rPr>
              <w:highlight w:val="none"/>
            </w:rPr>
            <w:fldChar w:fldCharType="separate"/>
          </w:r>
          <w:r>
            <w:rPr>
              <w:rFonts w:hint="eastAsia" w:ascii="仿宋" w:hAnsi="仿宋" w:eastAsia="仿宋"/>
              <w:bCs w:val="0"/>
              <w:highlight w:val="none"/>
            </w:rPr>
            <w:t>十、</w:t>
          </w:r>
          <w:r>
            <w:rPr>
              <w:rFonts w:hint="eastAsia" w:ascii="仿宋" w:hAnsi="仿宋" w:eastAsia="仿宋"/>
              <w:highlight w:val="none"/>
            </w:rPr>
            <w:t>政</w:t>
          </w:r>
          <w:r>
            <w:rPr>
              <w:rFonts w:hint="eastAsia" w:ascii="仿宋" w:hAnsi="仿宋" w:eastAsia="仿宋"/>
              <w:bCs w:val="0"/>
              <w:highlight w:val="none"/>
            </w:rPr>
            <w:t>府性基金预算财政拨款收入支出决算表</w:t>
          </w:r>
          <w:r>
            <w:tab/>
          </w:r>
          <w:r>
            <w:fldChar w:fldCharType="begin"/>
          </w:r>
          <w:r>
            <w:instrText xml:space="preserve"> PAGEREF _Toc21549 \h </w:instrText>
          </w:r>
          <w:r>
            <w:fldChar w:fldCharType="separate"/>
          </w:r>
          <w:r>
            <w:t>-</w:t>
          </w:r>
          <w:r>
            <w:rPr>
              <w:rFonts w:hint="eastAsia"/>
              <w:lang w:val="en-US" w:eastAsia="zh-CN"/>
            </w:rPr>
            <w:t>52</w:t>
          </w:r>
          <w:r>
            <w:t>-</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_Toc13911 </w:instrText>
          </w:r>
          <w:r>
            <w:rPr>
              <w:highlight w:val="none"/>
            </w:rPr>
            <w:fldChar w:fldCharType="separate"/>
          </w:r>
          <w:r>
            <w:rPr>
              <w:rFonts w:hint="eastAsia" w:ascii="仿宋" w:hAnsi="仿宋" w:eastAsia="仿宋"/>
              <w:bCs w:val="0"/>
              <w:highlight w:val="none"/>
            </w:rPr>
            <w:t>十一、</w:t>
          </w:r>
          <w:r>
            <w:rPr>
              <w:rFonts w:hint="eastAsia" w:ascii="仿宋" w:hAnsi="仿宋" w:eastAsia="仿宋"/>
              <w:highlight w:val="none"/>
            </w:rPr>
            <w:t>国</w:t>
          </w:r>
          <w:r>
            <w:rPr>
              <w:rFonts w:hint="eastAsia" w:ascii="仿宋" w:hAnsi="仿宋" w:eastAsia="仿宋"/>
              <w:bCs w:val="0"/>
              <w:highlight w:val="none"/>
            </w:rPr>
            <w:t>有资本经营预算</w:t>
          </w:r>
          <w:r>
            <w:rPr>
              <w:rFonts w:hint="eastAsia" w:ascii="仿宋" w:hAnsi="仿宋" w:eastAsia="仿宋"/>
              <w:bCs w:val="0"/>
              <w:highlight w:val="none"/>
              <w:lang w:eastAsia="zh-CN"/>
            </w:rPr>
            <w:t>财政拨款收入</w:t>
          </w:r>
          <w:r>
            <w:rPr>
              <w:rFonts w:hint="eastAsia" w:ascii="仿宋" w:hAnsi="仿宋" w:eastAsia="仿宋"/>
              <w:bCs w:val="0"/>
              <w:highlight w:val="none"/>
            </w:rPr>
            <w:t>支出决算表</w:t>
          </w:r>
          <w:r>
            <w:tab/>
          </w:r>
          <w:r>
            <w:fldChar w:fldCharType="begin"/>
          </w:r>
          <w:r>
            <w:instrText xml:space="preserve"> PAGEREF _Toc13911 \h </w:instrText>
          </w:r>
          <w:r>
            <w:fldChar w:fldCharType="separate"/>
          </w:r>
          <w:r>
            <w:t>-</w:t>
          </w:r>
          <w:r>
            <w:rPr>
              <w:rFonts w:hint="eastAsia"/>
              <w:lang w:val="en-US" w:eastAsia="zh-CN"/>
            </w:rPr>
            <w:t>52</w:t>
          </w:r>
          <w:r>
            <w:t>-</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_Toc1937 </w:instrText>
          </w:r>
          <w:r>
            <w:rPr>
              <w:highlight w:val="none"/>
            </w:rPr>
            <w:fldChar w:fldCharType="separate"/>
          </w:r>
          <w:r>
            <w:rPr>
              <w:rFonts w:hint="eastAsia" w:ascii="仿宋" w:hAnsi="仿宋" w:eastAsia="仿宋"/>
              <w:bCs w:val="0"/>
              <w:highlight w:val="none"/>
            </w:rPr>
            <w:t>十二、</w:t>
          </w:r>
          <w:r>
            <w:rPr>
              <w:rFonts w:hint="eastAsia" w:ascii="仿宋" w:hAnsi="仿宋" w:eastAsia="仿宋"/>
              <w:bCs w:val="0"/>
              <w:highlight w:val="none"/>
              <w:lang w:eastAsia="zh-CN"/>
            </w:rPr>
            <w:t>国有资本经营预算财政拨款支出决算表</w:t>
          </w:r>
          <w:r>
            <w:tab/>
          </w:r>
          <w:r>
            <w:fldChar w:fldCharType="begin"/>
          </w:r>
          <w:r>
            <w:instrText xml:space="preserve"> PAGEREF _Toc1937 \h </w:instrText>
          </w:r>
          <w:r>
            <w:fldChar w:fldCharType="separate"/>
          </w:r>
          <w:r>
            <w:t>-</w:t>
          </w:r>
          <w:r>
            <w:rPr>
              <w:rFonts w:hint="eastAsia"/>
              <w:lang w:val="en-US" w:eastAsia="zh-CN"/>
            </w:rPr>
            <w:t>52</w:t>
          </w:r>
          <w:r>
            <w:t>-</w:t>
          </w:r>
          <w:r>
            <w:fldChar w:fldCharType="end"/>
          </w:r>
          <w:r>
            <w:rPr>
              <w:color w:val="auto"/>
              <w:highlight w:val="none"/>
            </w:rPr>
            <w:fldChar w:fldCharType="end"/>
          </w:r>
        </w:p>
        <w:p>
          <w:pPr>
            <w:pStyle w:val="38"/>
            <w:keepNext w:val="0"/>
            <w:keepLines w:val="0"/>
            <w:pageBreakBefore w:val="0"/>
            <w:widowControl/>
            <w:tabs>
              <w:tab w:val="right" w:leader="dot" w:pos="8845"/>
            </w:tabs>
            <w:kinsoku/>
            <w:wordWrap/>
            <w:overflowPunct/>
            <w:topLinePunct w:val="0"/>
            <w:autoSpaceDE/>
            <w:autoSpaceDN/>
            <w:bidi w:val="0"/>
            <w:adjustRightInd/>
            <w:snapToGrid/>
            <w:spacing w:line="340" w:lineRule="exact"/>
            <w:textAlignment w:val="auto"/>
          </w:pPr>
          <w:r>
            <w:rPr>
              <w:color w:val="auto"/>
              <w:highlight w:val="none"/>
            </w:rPr>
            <w:fldChar w:fldCharType="begin"/>
          </w:r>
          <w:r>
            <w:rPr>
              <w:highlight w:val="none"/>
            </w:rPr>
            <w:instrText xml:space="preserve"> HYPERLINK \l _Toc17965 </w:instrText>
          </w:r>
          <w:r>
            <w:rPr>
              <w:highlight w:val="none"/>
            </w:rPr>
            <w:fldChar w:fldCharType="separate"/>
          </w:r>
          <w:r>
            <w:rPr>
              <w:rFonts w:hint="eastAsia" w:ascii="仿宋" w:hAnsi="仿宋" w:eastAsia="仿宋"/>
              <w:bCs w:val="0"/>
              <w:highlight w:val="none"/>
            </w:rPr>
            <w:t>十三、</w:t>
          </w:r>
          <w:r>
            <w:rPr>
              <w:rFonts w:hint="eastAsia" w:ascii="仿宋" w:hAnsi="仿宋" w:eastAsia="仿宋"/>
              <w:bCs w:val="0"/>
              <w:highlight w:val="none"/>
              <w:lang w:eastAsia="zh-CN"/>
            </w:rPr>
            <w:t>财政拨款“三公”经费支出决算表</w:t>
          </w:r>
          <w:r>
            <w:tab/>
          </w:r>
          <w:r>
            <w:fldChar w:fldCharType="begin"/>
          </w:r>
          <w:r>
            <w:instrText xml:space="preserve"> PAGEREF _Toc17965 \h </w:instrText>
          </w:r>
          <w:r>
            <w:fldChar w:fldCharType="separate"/>
          </w:r>
          <w:r>
            <w:t>-</w:t>
          </w:r>
          <w:r>
            <w:rPr>
              <w:rFonts w:hint="eastAsia"/>
              <w:lang w:val="en-US" w:eastAsia="zh-CN"/>
            </w:rPr>
            <w:t>52</w:t>
          </w:r>
          <w:r>
            <w:t>-</w:t>
          </w:r>
          <w:r>
            <w:fldChar w:fldCharType="end"/>
          </w:r>
          <w:r>
            <w:rPr>
              <w:color w:val="auto"/>
              <w:highlight w:val="none"/>
            </w:rPr>
            <w:fldChar w:fldCharType="end"/>
          </w:r>
        </w:p>
        <w:p>
          <w:pPr>
            <w:rPr>
              <w:b/>
              <w:color w:val="auto"/>
              <w:highlight w:val="none"/>
            </w:rPr>
          </w:pPr>
          <w:r>
            <w:rPr>
              <w:b/>
              <w:color w:val="auto"/>
              <w:highlight w:val="none"/>
            </w:rPr>
            <w:fldChar w:fldCharType="end"/>
          </w:r>
        </w:p>
        <w:p>
          <w:pPr>
            <w:rPr>
              <w:rFonts w:hint="eastAsia" w:ascii="仿宋_GB2312" w:eastAsia="仿宋_GB2312" w:cs="仿宋_GB2312"/>
              <w:color w:val="auto"/>
              <w:sz w:val="30"/>
              <w:szCs w:val="30"/>
              <w:highlight w:val="none"/>
              <w:lang w:val="en-US" w:eastAsia="zh-CN"/>
            </w:rPr>
          </w:pPr>
        </w:p>
      </w:sdtContent>
    </w:sdt>
    <w:p>
      <w:pPr>
        <w:pStyle w:val="4"/>
        <w:jc w:val="center"/>
        <w:outlineLvl w:val="9"/>
        <w:rPr>
          <w:rFonts w:hint="eastAsia" w:ascii="黑体" w:hAnsi="黑体" w:eastAsia="黑体"/>
          <w:b w:val="0"/>
          <w:color w:val="auto"/>
          <w:highlight w:val="none"/>
        </w:rPr>
        <w:sectPr>
          <w:footerReference r:id="rId6" w:type="default"/>
          <w:pgSz w:w="11906" w:h="16838"/>
          <w:pgMar w:top="2098" w:right="1474" w:bottom="1984" w:left="1587" w:header="851" w:footer="1559" w:gutter="0"/>
          <w:pgNumType w:fmt="numberInDash" w:start="1"/>
          <w:cols w:space="0" w:num="1"/>
          <w:rtlGutter w:val="0"/>
          <w:docGrid w:type="lines" w:linePitch="312" w:charSpace="0"/>
        </w:sectPr>
      </w:pPr>
      <w:bookmarkStart w:id="15" w:name="_Toc15377196"/>
      <w:bookmarkStart w:id="16" w:name="_Toc15396599"/>
    </w:p>
    <w:p>
      <w:pPr>
        <w:pStyle w:val="4"/>
        <w:keepNext/>
        <w:keepLines/>
        <w:pageBreakBefore w:val="0"/>
        <w:widowControl w:val="0"/>
        <w:kinsoku/>
        <w:wordWrap/>
        <w:overflowPunct/>
        <w:topLinePunct w:val="0"/>
        <w:autoSpaceDE/>
        <w:autoSpaceDN/>
        <w:bidi w:val="0"/>
        <w:adjustRightInd/>
        <w:snapToGrid/>
        <w:spacing w:before="0" w:after="0" w:line="600" w:lineRule="exact"/>
        <w:jc w:val="center"/>
        <w:textAlignment w:val="auto"/>
        <w:rPr>
          <w:rStyle w:val="19"/>
          <w:rFonts w:ascii="黑体" w:hAnsi="黑体" w:eastAsia="黑体"/>
          <w:b/>
          <w:bCs w:val="0"/>
          <w:color w:val="auto"/>
          <w:highlight w:val="none"/>
        </w:rPr>
      </w:pPr>
      <w:bookmarkStart w:id="17" w:name="_Toc7384"/>
      <w:r>
        <w:rPr>
          <w:rFonts w:hint="eastAsia" w:ascii="黑体" w:hAnsi="黑体" w:eastAsia="黑体"/>
          <w:b w:val="0"/>
          <w:color w:val="auto"/>
          <w:highlight w:val="none"/>
        </w:rPr>
        <w:t>第一部分</w:t>
      </w:r>
      <w:r>
        <w:rPr>
          <w:rStyle w:val="19"/>
          <w:rFonts w:hint="eastAsia" w:ascii="黑体" w:hAnsi="黑体" w:eastAsia="黑体"/>
          <w:b w:val="0"/>
          <w:bCs w:val="0"/>
          <w:color w:val="auto"/>
          <w:highlight w:val="none"/>
        </w:rPr>
        <w:t>部门概况</w:t>
      </w:r>
      <w:bookmarkEnd w:id="15"/>
      <w:bookmarkEnd w:id="16"/>
      <w:bookmarkEnd w:id="17"/>
    </w:p>
    <w:p>
      <w:pPr>
        <w:pageBreakBefore w:val="0"/>
        <w:widowControl/>
        <w:kinsoku/>
        <w:wordWrap/>
        <w:overflowPunct/>
        <w:topLinePunct w:val="0"/>
        <w:autoSpaceDE/>
        <w:autoSpaceDN/>
        <w:bidi w:val="0"/>
        <w:spacing w:line="600" w:lineRule="exact"/>
        <w:jc w:val="both"/>
        <w:textAlignment w:val="auto"/>
        <w:rPr>
          <w:rFonts w:ascii="黑体" w:eastAsia="黑体"/>
          <w:color w:val="auto"/>
          <w:sz w:val="32"/>
          <w:szCs w:val="32"/>
          <w:highlight w:val="none"/>
        </w:rPr>
      </w:pPr>
    </w:p>
    <w:p>
      <w:pPr>
        <w:pStyle w:val="5"/>
        <w:pageBreakBefore w:val="0"/>
        <w:widowControl w:val="0"/>
        <w:numPr>
          <w:ilvl w:val="0"/>
          <w:numId w:val="0"/>
        </w:numPr>
        <w:kinsoku/>
        <w:wordWrap/>
        <w:overflowPunct/>
        <w:topLinePunct w:val="0"/>
        <w:autoSpaceDE/>
        <w:autoSpaceDN/>
        <w:bidi w:val="0"/>
        <w:adjustRightInd/>
        <w:snapToGrid/>
        <w:spacing w:before="0" w:after="0" w:line="600" w:lineRule="exact"/>
        <w:ind w:firstLine="640" w:firstLineChars="200"/>
        <w:jc w:val="both"/>
        <w:textAlignment w:val="auto"/>
        <w:rPr>
          <w:rFonts w:hint="eastAsia" w:ascii="仿宋_GB2312" w:hAnsi="Times New Roman" w:eastAsia="仿宋_GB2312" w:cs="仿宋_GB2312"/>
          <w:b w:val="0"/>
          <w:bCs w:val="0"/>
          <w:color w:val="000000"/>
          <w:kern w:val="0"/>
          <w:sz w:val="32"/>
          <w:szCs w:val="32"/>
          <w:lang w:val="en-US" w:eastAsia="zh-CN" w:bidi="ar-SA"/>
        </w:rPr>
      </w:pPr>
      <w:bookmarkStart w:id="18" w:name="_Toc17880"/>
      <w:r>
        <w:rPr>
          <w:rFonts w:hint="eastAsia" w:ascii="黑体" w:hAnsi="黑体" w:eastAsia="黑体"/>
          <w:b w:val="0"/>
          <w:color w:val="auto"/>
          <w:highlight w:val="none"/>
          <w:lang w:eastAsia="zh-CN"/>
        </w:rPr>
        <w:t>一、部门职责</w:t>
      </w:r>
      <w:bookmarkEnd w:id="18"/>
    </w:p>
    <w:p>
      <w:pPr>
        <w:pageBreakBefore w:val="0"/>
        <w:widowControl w:val="0"/>
        <w:kinsoku/>
        <w:wordWrap/>
        <w:overflowPunct/>
        <w:topLinePunct w:val="0"/>
        <w:autoSpaceDE/>
        <w:autoSpaceDN/>
        <w:bidi w:val="0"/>
        <w:adjustRightInd/>
        <w:snapToGrid/>
        <w:spacing w:line="600" w:lineRule="exact"/>
        <w:ind w:firstLine="800" w:firstLineChars="250"/>
        <w:jc w:val="both"/>
        <w:textAlignment w:val="auto"/>
        <w:rPr>
          <w:rFonts w:hint="eastAsia" w:ascii="仿宋_GB2312" w:hAnsi="仿宋_GB2312" w:eastAsia="仿宋_GB2312"/>
          <w:color w:val="auto"/>
          <w:kern w:val="2"/>
          <w:sz w:val="32"/>
          <w:szCs w:val="24"/>
          <w:lang w:val="zh-CN"/>
        </w:rPr>
      </w:pPr>
      <w:r>
        <w:rPr>
          <w:rFonts w:hint="eastAsia" w:ascii="仿宋_GB2312" w:hAnsi="仿宋_GB2312" w:eastAsia="仿宋_GB2312"/>
          <w:color w:val="auto"/>
          <w:kern w:val="2"/>
          <w:sz w:val="32"/>
          <w:szCs w:val="24"/>
          <w:lang w:val="en" w:eastAsia="zh-CN"/>
        </w:rPr>
        <w:t>拟订退役军人思想政治、管理保障等工作政策并组织实施，负责军队转业干部、复员干部、退休干部、退役士兵的移交安置工作和自主择业退役军人服务管理、待遇保障等工作，组织开展退役军人教育培训、优待抚恤等，组织指导拥军优属工作，负责烈士及退役军人荣誉奖励、军人公墓维护以及纪念活动等。</w:t>
      </w:r>
    </w:p>
    <w:p>
      <w:pPr>
        <w:pStyle w:val="5"/>
        <w:pageBreakBefore w:val="0"/>
        <w:widowControl w:val="0"/>
        <w:numPr>
          <w:ilvl w:val="0"/>
          <w:numId w:val="0"/>
        </w:numPr>
        <w:kinsoku/>
        <w:wordWrap/>
        <w:overflowPunct/>
        <w:topLinePunct w:val="0"/>
        <w:autoSpaceDE/>
        <w:autoSpaceDN/>
        <w:bidi w:val="0"/>
        <w:spacing w:before="0" w:after="0" w:line="600" w:lineRule="exact"/>
        <w:ind w:firstLine="640" w:firstLineChars="200"/>
        <w:jc w:val="both"/>
        <w:textAlignment w:val="auto"/>
        <w:rPr>
          <w:rStyle w:val="20"/>
          <w:b w:val="0"/>
          <w:bCs w:val="0"/>
          <w:color w:val="auto"/>
          <w:highlight w:val="none"/>
        </w:rPr>
      </w:pPr>
      <w:bookmarkStart w:id="19" w:name="_Toc16687"/>
      <w:r>
        <w:rPr>
          <w:rFonts w:hint="eastAsia" w:ascii="黑体" w:hAnsi="黑体" w:eastAsia="黑体"/>
          <w:b w:val="0"/>
          <w:color w:val="auto"/>
          <w:highlight w:val="none"/>
          <w:lang w:val="zh-CN" w:eastAsia="zh-CN"/>
        </w:rPr>
        <w:t>二、机构设置</w:t>
      </w:r>
      <w:bookmarkEnd w:id="19"/>
    </w:p>
    <w:p>
      <w:pPr>
        <w:pageBreakBefore w:val="0"/>
        <w:widowControl w:val="0"/>
        <w:kinsoku/>
        <w:wordWrap/>
        <w:overflowPunct/>
        <w:topLinePunct w:val="0"/>
        <w:autoSpaceDE/>
        <w:autoSpaceDN/>
        <w:bidi w:val="0"/>
        <w:spacing w:line="600" w:lineRule="exact"/>
        <w:ind w:firstLine="800" w:firstLineChars="250"/>
        <w:jc w:val="both"/>
        <w:textAlignment w:val="auto"/>
        <w:rPr>
          <w:rFonts w:ascii="仿宋" w:hAnsi="仿宋" w:eastAsia="仿宋"/>
          <w:color w:val="auto"/>
          <w:sz w:val="32"/>
          <w:szCs w:val="32"/>
          <w:highlight w:val="none"/>
        </w:rPr>
      </w:pPr>
      <w:r>
        <w:rPr>
          <w:rFonts w:hint="eastAsia" w:ascii="仿宋_GB2312" w:hAnsi="仿宋_GB2312" w:eastAsia="仿宋_GB2312"/>
          <w:color w:val="auto"/>
          <w:kern w:val="2"/>
          <w:sz w:val="32"/>
          <w:szCs w:val="24"/>
          <w:lang w:val="zh-CN"/>
        </w:rPr>
        <w:t>广元市退役军人事务局</w:t>
      </w:r>
      <w:r>
        <w:rPr>
          <w:rFonts w:hint="eastAsia" w:ascii="仿宋" w:hAnsi="仿宋" w:eastAsia="仿宋"/>
          <w:color w:val="auto"/>
          <w:sz w:val="32"/>
          <w:szCs w:val="32"/>
          <w:highlight w:val="none"/>
        </w:rPr>
        <w:t>下属二级</w:t>
      </w:r>
      <w:r>
        <w:rPr>
          <w:rFonts w:hint="eastAsia" w:ascii="仿宋" w:hAnsi="仿宋" w:eastAsia="仿宋"/>
          <w:color w:val="auto"/>
          <w:sz w:val="32"/>
          <w:szCs w:val="32"/>
          <w:highlight w:val="none"/>
          <w:lang w:eastAsia="zh-CN"/>
        </w:rPr>
        <w:t>预算</w:t>
      </w:r>
      <w:r>
        <w:rPr>
          <w:rFonts w:hint="eastAsia" w:ascii="仿宋" w:hAnsi="仿宋" w:eastAsia="仿宋"/>
          <w:color w:val="auto"/>
          <w:sz w:val="32"/>
          <w:szCs w:val="32"/>
          <w:highlight w:val="none"/>
        </w:rPr>
        <w:t>单位</w:t>
      </w:r>
      <w:r>
        <w:rPr>
          <w:rFonts w:hint="eastAsia" w:ascii="仿宋" w:hAnsi="仿宋" w:eastAsia="仿宋"/>
          <w:color w:val="auto"/>
          <w:sz w:val="32"/>
          <w:szCs w:val="32"/>
          <w:highlight w:val="none"/>
          <w:lang w:val="en-US" w:eastAsia="zh-CN"/>
        </w:rPr>
        <w:t>6</w:t>
      </w:r>
      <w:r>
        <w:rPr>
          <w:rFonts w:hint="eastAsia" w:ascii="仿宋" w:hAnsi="仿宋" w:eastAsia="仿宋"/>
          <w:color w:val="auto"/>
          <w:sz w:val="32"/>
          <w:szCs w:val="32"/>
          <w:highlight w:val="none"/>
        </w:rPr>
        <w:t>个，其中行政单位</w:t>
      </w:r>
      <w:r>
        <w:rPr>
          <w:rFonts w:hint="eastAsia" w:ascii="仿宋" w:hAnsi="仿宋" w:eastAsia="仿宋"/>
          <w:color w:val="auto"/>
          <w:sz w:val="32"/>
          <w:szCs w:val="32"/>
          <w:highlight w:val="none"/>
          <w:lang w:val="en-US" w:eastAsia="zh-CN"/>
        </w:rPr>
        <w:t>1</w:t>
      </w:r>
      <w:r>
        <w:rPr>
          <w:rFonts w:hint="eastAsia" w:ascii="仿宋" w:hAnsi="仿宋" w:eastAsia="仿宋"/>
          <w:color w:val="auto"/>
          <w:sz w:val="32"/>
          <w:szCs w:val="32"/>
          <w:highlight w:val="none"/>
        </w:rPr>
        <w:t>个，参照公务员法管理的事业单位</w:t>
      </w:r>
      <w:r>
        <w:rPr>
          <w:rFonts w:hint="eastAsia" w:ascii="仿宋" w:hAnsi="仿宋" w:eastAsia="仿宋"/>
          <w:bCs/>
          <w:color w:val="auto"/>
          <w:sz w:val="32"/>
          <w:szCs w:val="32"/>
          <w:highlight w:val="none"/>
          <w:lang w:val="en-US" w:eastAsia="zh-CN"/>
        </w:rPr>
        <w:t>0</w:t>
      </w:r>
      <w:r>
        <w:rPr>
          <w:rFonts w:hint="eastAsia" w:ascii="仿宋" w:hAnsi="仿宋" w:eastAsia="仿宋"/>
          <w:color w:val="auto"/>
          <w:sz w:val="32"/>
          <w:szCs w:val="32"/>
          <w:highlight w:val="none"/>
        </w:rPr>
        <w:t>个，其他事业单位</w:t>
      </w:r>
      <w:r>
        <w:rPr>
          <w:rFonts w:hint="eastAsia" w:ascii="仿宋" w:hAnsi="仿宋" w:eastAsia="仿宋"/>
          <w:color w:val="auto"/>
          <w:sz w:val="32"/>
          <w:szCs w:val="32"/>
          <w:highlight w:val="none"/>
          <w:lang w:val="en-US" w:eastAsia="zh-CN"/>
        </w:rPr>
        <w:t>5</w:t>
      </w:r>
      <w:r>
        <w:rPr>
          <w:rFonts w:hint="eastAsia" w:ascii="仿宋" w:hAnsi="仿宋" w:eastAsia="仿宋"/>
          <w:color w:val="auto"/>
          <w:sz w:val="32"/>
          <w:szCs w:val="32"/>
          <w:highlight w:val="none"/>
        </w:rPr>
        <w:t>个。</w:t>
      </w:r>
    </w:p>
    <w:p>
      <w:pPr>
        <w:pStyle w:val="2"/>
        <w:pageBreakBefore w:val="0"/>
        <w:widowControl w:val="0"/>
        <w:kinsoku/>
        <w:wordWrap/>
        <w:overflowPunct/>
        <w:topLinePunct w:val="0"/>
        <w:autoSpaceDE/>
        <w:autoSpaceDN/>
        <w:bidi w:val="0"/>
        <w:adjustRightInd w:val="0"/>
        <w:snapToGrid w:val="0"/>
        <w:spacing w:beforeLines="0" w:line="600" w:lineRule="exact"/>
        <w:ind w:firstLine="672" w:firstLineChars="210"/>
        <w:jc w:val="both"/>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纳入</w:t>
      </w:r>
      <w:r>
        <w:rPr>
          <w:rFonts w:hint="eastAsia" w:ascii="仿宋_GB2312" w:hAnsi="仿宋_GB2312" w:eastAsia="仿宋_GB2312"/>
          <w:color w:val="auto"/>
          <w:kern w:val="2"/>
          <w:sz w:val="32"/>
          <w:szCs w:val="24"/>
          <w:lang w:val="zh-CN"/>
        </w:rPr>
        <w:t>广元市退役军人事务局</w:t>
      </w: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年度部门决算编制范围的二级预算单位包括：</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eastAsia="仿宋_GB2312" w:cs="仿宋_GB2312"/>
          <w:color w:val="000000"/>
          <w:sz w:val="32"/>
          <w:szCs w:val="32"/>
        </w:rPr>
      </w:pPr>
      <w:r>
        <w:rPr>
          <w:rFonts w:hint="eastAsia" w:ascii="仿宋_GB2312" w:eastAsia="仿宋_GB2312" w:cs="仿宋_GB2312"/>
          <w:color w:val="000000"/>
          <w:sz w:val="32"/>
          <w:szCs w:val="32"/>
          <w:lang w:val="en-US" w:eastAsia="zh-CN"/>
        </w:rPr>
        <w:t>1.广元市退役军人事务局机关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eastAsia="仿宋_GB2312" w:cs="仿宋_GB2312"/>
          <w:color w:val="000000"/>
          <w:sz w:val="32"/>
          <w:szCs w:val="32"/>
        </w:rPr>
      </w:pPr>
      <w:r>
        <w:rPr>
          <w:rFonts w:hint="eastAsia" w:ascii="仿宋_GB2312" w:eastAsia="仿宋_GB2312" w:cs="仿宋_GB2312"/>
          <w:color w:val="000000"/>
          <w:sz w:val="32"/>
          <w:szCs w:val="32"/>
          <w:lang w:val="en-US" w:eastAsia="zh-CN"/>
        </w:rPr>
        <w:t>2.广元</w:t>
      </w:r>
      <w:r>
        <w:rPr>
          <w:rFonts w:hint="eastAsia" w:ascii="仿宋_GB2312" w:eastAsia="仿宋_GB2312" w:cs="仿宋_GB2312"/>
          <w:color w:val="000000"/>
          <w:sz w:val="32"/>
          <w:szCs w:val="32"/>
        </w:rPr>
        <w:t>市光荣院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eastAsia="仿宋_GB2312" w:cs="仿宋_GB2312"/>
          <w:color w:val="000000"/>
          <w:sz w:val="32"/>
          <w:szCs w:val="32"/>
        </w:rPr>
      </w:pPr>
      <w:r>
        <w:rPr>
          <w:rFonts w:hint="eastAsia" w:ascii="仿宋_GB2312" w:eastAsia="仿宋_GB2312" w:cs="仿宋_GB2312"/>
          <w:color w:val="000000"/>
          <w:sz w:val="32"/>
          <w:szCs w:val="32"/>
          <w:lang w:val="en-US" w:eastAsia="zh-CN"/>
        </w:rPr>
        <w:t>3.</w:t>
      </w:r>
      <w:r>
        <w:rPr>
          <w:rFonts w:hint="eastAsia" w:ascii="仿宋_GB2312" w:eastAsia="仿宋_GB2312" w:cs="仿宋_GB2312"/>
          <w:color w:val="000000"/>
          <w:sz w:val="32"/>
          <w:szCs w:val="32"/>
        </w:rPr>
        <w:t>广元军供站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eastAsia="仿宋_GB2312" w:cs="仿宋_GB2312"/>
          <w:color w:val="000000"/>
          <w:sz w:val="32"/>
          <w:szCs w:val="32"/>
          <w:lang w:val="en-US" w:eastAsia="zh-CN"/>
        </w:rPr>
      </w:pPr>
      <w:r>
        <w:rPr>
          <w:rFonts w:hint="eastAsia" w:ascii="仿宋_GB2312" w:eastAsia="仿宋_GB2312" w:cs="仿宋_GB2312"/>
          <w:color w:val="000000"/>
          <w:sz w:val="32"/>
          <w:szCs w:val="32"/>
          <w:lang w:val="en-US" w:eastAsia="zh-CN"/>
        </w:rPr>
        <w:t>4.广元</w:t>
      </w:r>
      <w:r>
        <w:rPr>
          <w:rFonts w:hint="eastAsia" w:ascii="仿宋_GB2312" w:eastAsia="仿宋_GB2312" w:cs="仿宋_GB2312"/>
          <w:color w:val="000000"/>
          <w:sz w:val="32"/>
          <w:szCs w:val="32"/>
        </w:rPr>
        <w:t>市</w:t>
      </w:r>
      <w:r>
        <w:rPr>
          <w:rFonts w:hint="eastAsia" w:ascii="仿宋_GB2312" w:eastAsia="仿宋_GB2312" w:cs="仿宋_GB2312"/>
          <w:color w:val="000000"/>
          <w:sz w:val="32"/>
          <w:szCs w:val="32"/>
          <w:lang w:eastAsia="zh-CN"/>
        </w:rPr>
        <w:t>军队离退休干部休养所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eastAsia="仿宋_GB2312" w:cs="仿宋_GB2312"/>
          <w:color w:val="000000"/>
          <w:sz w:val="32"/>
          <w:szCs w:val="32"/>
        </w:rPr>
      </w:pPr>
      <w:r>
        <w:rPr>
          <w:rFonts w:hint="eastAsia" w:ascii="仿宋_GB2312" w:eastAsia="仿宋_GB2312" w:cs="仿宋_GB2312"/>
          <w:color w:val="000000"/>
          <w:sz w:val="32"/>
          <w:szCs w:val="32"/>
          <w:lang w:val="en-US" w:eastAsia="zh-CN"/>
        </w:rPr>
        <w:t>5.广元</w:t>
      </w:r>
      <w:r>
        <w:rPr>
          <w:rFonts w:hint="eastAsia" w:ascii="仿宋_GB2312" w:hAnsi="仿宋_GB2312" w:eastAsia="仿宋_GB2312" w:cs="仿宋_GB2312"/>
          <w:i w:val="0"/>
          <w:caps w:val="0"/>
          <w:color w:val="auto"/>
          <w:spacing w:val="0"/>
          <w:kern w:val="0"/>
          <w:sz w:val="32"/>
          <w:szCs w:val="32"/>
          <w:highlight w:val="none"/>
          <w:shd w:val="clear" w:color="auto" w:fill="FFFFFF"/>
          <w:lang w:val="en-US" w:eastAsia="zh-CN" w:bidi="ar"/>
        </w:rPr>
        <w:t>市退役军人服务中心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仿宋" w:hAnsi="仿宋" w:eastAsia="仿宋"/>
          <w:color w:val="auto"/>
          <w:kern w:val="0"/>
          <w:sz w:val="32"/>
          <w:szCs w:val="32"/>
          <w:highlight w:val="none"/>
        </w:rPr>
      </w:pPr>
      <w:r>
        <w:rPr>
          <w:rFonts w:hint="eastAsia" w:ascii="仿宋_GB2312" w:eastAsia="仿宋_GB2312" w:cs="仿宋_GB2312"/>
          <w:color w:val="000000"/>
          <w:sz w:val="32"/>
          <w:szCs w:val="32"/>
          <w:lang w:val="en-US" w:eastAsia="zh-CN"/>
        </w:rPr>
        <w:t>6.广元</w:t>
      </w:r>
      <w:r>
        <w:rPr>
          <w:rFonts w:hint="eastAsia" w:ascii="仿宋_GB2312" w:eastAsia="仿宋_GB2312" w:cs="仿宋_GB2312"/>
          <w:color w:val="000000"/>
          <w:sz w:val="32"/>
          <w:szCs w:val="32"/>
        </w:rPr>
        <w:t>市烈士陵园管理所</w:t>
      </w:r>
      <w:r>
        <w:rPr>
          <w:rFonts w:ascii="仿宋" w:hAnsi="仿宋" w:eastAsia="仿宋"/>
          <w:color w:val="auto"/>
          <w:sz w:val="32"/>
          <w:szCs w:val="32"/>
          <w:highlight w:val="none"/>
        </w:rPr>
        <w:br w:type="page"/>
      </w:r>
    </w:p>
    <w:p>
      <w:pPr>
        <w:pStyle w:val="4"/>
        <w:keepNext/>
        <w:keepLines/>
        <w:pageBreakBefore w:val="0"/>
        <w:widowControl w:val="0"/>
        <w:kinsoku/>
        <w:wordWrap/>
        <w:overflowPunct/>
        <w:topLinePunct w:val="0"/>
        <w:autoSpaceDE/>
        <w:autoSpaceDN/>
        <w:bidi w:val="0"/>
        <w:adjustRightInd/>
        <w:snapToGrid/>
        <w:spacing w:before="0" w:after="0" w:line="600" w:lineRule="exact"/>
        <w:ind w:left="0" w:right="0"/>
        <w:jc w:val="center"/>
        <w:textAlignment w:val="auto"/>
        <w:rPr>
          <w:rStyle w:val="19"/>
          <w:rFonts w:ascii="黑体" w:hAnsi="黑体" w:eastAsia="黑体"/>
          <w:b w:val="0"/>
          <w:bCs/>
          <w:color w:val="auto"/>
          <w:highlight w:val="none"/>
        </w:rPr>
      </w:pPr>
      <w:bookmarkStart w:id="20" w:name="_Toc15396602"/>
      <w:bookmarkStart w:id="21" w:name="_Toc15377204"/>
      <w:bookmarkStart w:id="22" w:name="_Toc29466"/>
      <w:r>
        <w:rPr>
          <w:rFonts w:hint="eastAsia" w:ascii="黑体" w:hAnsi="黑体" w:eastAsia="黑体"/>
          <w:b w:val="0"/>
          <w:bCs/>
          <w:color w:val="auto"/>
          <w:highlight w:val="none"/>
        </w:rPr>
        <w:t>第二部分</w:t>
      </w:r>
      <w:r>
        <w:rPr>
          <w:rFonts w:hint="eastAsia" w:ascii="黑体" w:hAnsi="黑体" w:eastAsia="黑体"/>
          <w:b w:val="0"/>
          <w:bCs/>
          <w:color w:val="auto"/>
          <w:highlight w:val="none"/>
          <w:lang w:val="en-US" w:eastAsia="zh-CN"/>
        </w:rPr>
        <w:t>2022年度</w:t>
      </w:r>
      <w:r>
        <w:rPr>
          <w:rStyle w:val="19"/>
          <w:rFonts w:hint="eastAsia" w:ascii="黑体" w:hAnsi="黑体" w:eastAsia="黑体"/>
          <w:b w:val="0"/>
          <w:bCs/>
          <w:color w:val="auto"/>
          <w:highlight w:val="none"/>
        </w:rPr>
        <w:t>部门决算情况说明</w:t>
      </w:r>
      <w:bookmarkEnd w:id="20"/>
      <w:bookmarkEnd w:id="21"/>
      <w:bookmarkEnd w:id="22"/>
    </w:p>
    <w:p>
      <w:pPr>
        <w:pageBreakBefore w:val="0"/>
        <w:widowControl w:val="0"/>
        <w:kinsoku/>
        <w:wordWrap/>
        <w:overflowPunct/>
        <w:topLinePunct w:val="0"/>
        <w:autoSpaceDE/>
        <w:autoSpaceDN/>
        <w:bidi w:val="0"/>
        <w:adjustRightInd/>
        <w:snapToGrid/>
        <w:spacing w:line="600" w:lineRule="exact"/>
        <w:ind w:left="0" w:right="0"/>
        <w:textAlignment w:val="auto"/>
        <w:rPr>
          <w:color w:val="auto"/>
          <w:highlight w:val="none"/>
        </w:rPr>
      </w:pPr>
    </w:p>
    <w:p>
      <w:pPr>
        <w:pStyle w:val="3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textAlignment w:val="auto"/>
        <w:outlineLvl w:val="1"/>
        <w:rPr>
          <w:rStyle w:val="20"/>
          <w:rFonts w:ascii="黑体" w:hAnsi="黑体" w:eastAsia="黑体"/>
          <w:b w:val="0"/>
          <w:color w:val="auto"/>
          <w:highlight w:val="none"/>
        </w:rPr>
      </w:pPr>
      <w:bookmarkStart w:id="23" w:name="_Toc7350"/>
      <w:bookmarkStart w:id="24" w:name="_Toc15396603"/>
      <w:bookmarkStart w:id="25" w:name="_Toc15377205"/>
      <w:r>
        <w:rPr>
          <w:rFonts w:hint="eastAsia" w:ascii="黑体" w:hAnsi="黑体" w:eastAsia="黑体"/>
          <w:color w:val="auto"/>
          <w:sz w:val="32"/>
          <w:szCs w:val="32"/>
          <w:highlight w:val="none"/>
          <w:lang w:eastAsia="zh-CN"/>
        </w:rPr>
        <w:t>一、</w:t>
      </w:r>
      <w:r>
        <w:rPr>
          <w:rFonts w:hint="eastAsia" w:ascii="黑体" w:hAnsi="黑体" w:eastAsia="黑体"/>
          <w:color w:val="auto"/>
          <w:sz w:val="32"/>
          <w:szCs w:val="32"/>
          <w:highlight w:val="none"/>
        </w:rPr>
        <w:t>收</w:t>
      </w:r>
      <w:r>
        <w:rPr>
          <w:rStyle w:val="20"/>
          <w:rFonts w:hint="eastAsia" w:ascii="黑体" w:hAnsi="黑体" w:eastAsia="黑体"/>
          <w:b w:val="0"/>
          <w:color w:val="auto"/>
          <w:highlight w:val="none"/>
        </w:rPr>
        <w:t>入支出决算总体情况说明</w:t>
      </w:r>
      <w:bookmarkEnd w:id="23"/>
      <w:bookmarkEnd w:id="24"/>
      <w:bookmarkEnd w:id="25"/>
    </w:p>
    <w:p>
      <w:pPr>
        <w:pageBreakBefore w:val="0"/>
        <w:widowControl w:val="0"/>
        <w:kinsoku/>
        <w:wordWrap/>
        <w:overflowPunct/>
        <w:topLinePunct w:val="0"/>
        <w:autoSpaceDE/>
        <w:autoSpaceDN/>
        <w:bidi w:val="0"/>
        <w:adjustRightInd/>
        <w:snapToGrid/>
        <w:spacing w:line="600"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年度收、支总计</w:t>
      </w:r>
      <w:r>
        <w:rPr>
          <w:rFonts w:hint="eastAsia" w:ascii="仿宋_GB2312" w:hAnsi="仿宋_GB2312" w:eastAsia="仿宋_GB2312" w:cs="仿宋_GB2312"/>
          <w:color w:val="000000"/>
          <w:kern w:val="2"/>
          <w:sz w:val="32"/>
          <w:szCs w:val="24"/>
          <w:lang w:val="zh-CN"/>
        </w:rPr>
        <w:t>6530.74</w:t>
      </w:r>
      <w:r>
        <w:rPr>
          <w:rFonts w:hint="eastAsia" w:ascii="仿宋_GB2312" w:hAnsi="仿宋_GB2312" w:eastAsia="仿宋_GB2312" w:cs="仿宋_GB2312"/>
          <w:color w:val="auto"/>
          <w:sz w:val="32"/>
          <w:szCs w:val="32"/>
          <w:highlight w:val="none"/>
        </w:rPr>
        <w:t>万元。与20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年相比，收、支总计各减少</w:t>
      </w:r>
      <w:r>
        <w:rPr>
          <w:rFonts w:hint="eastAsia" w:ascii="仿宋_GB2312" w:hAnsi="仿宋_GB2312" w:eastAsia="仿宋_GB2312" w:cs="仿宋_GB2312"/>
          <w:color w:val="000000"/>
          <w:kern w:val="2"/>
          <w:sz w:val="32"/>
          <w:szCs w:val="24"/>
          <w:lang w:val="zh-CN"/>
        </w:rPr>
        <w:t>1360.83</w:t>
      </w:r>
      <w:r>
        <w:rPr>
          <w:rFonts w:hint="eastAsia" w:ascii="仿宋_GB2312" w:hAnsi="仿宋_GB2312" w:eastAsia="仿宋_GB2312" w:cs="仿宋_GB2312"/>
          <w:color w:val="auto"/>
          <w:sz w:val="32"/>
          <w:szCs w:val="32"/>
          <w:highlight w:val="none"/>
        </w:rPr>
        <w:t>万元，下降</w:t>
      </w:r>
      <w:r>
        <w:rPr>
          <w:rFonts w:hint="eastAsia" w:ascii="仿宋_GB2312" w:hAnsi="仿宋_GB2312" w:eastAsia="仿宋_GB2312" w:cs="仿宋_GB2312"/>
          <w:color w:val="000000"/>
          <w:kern w:val="2"/>
          <w:sz w:val="32"/>
          <w:szCs w:val="24"/>
          <w:lang w:val="zh-CN"/>
        </w:rPr>
        <w:t>17.2</w:t>
      </w:r>
      <w:r>
        <w:rPr>
          <w:rFonts w:hint="eastAsia" w:ascii="仿宋_GB2312" w:hAnsi="仿宋_GB2312" w:eastAsia="仿宋_GB2312" w:cs="仿宋_GB2312"/>
          <w:color w:val="000000"/>
          <w:kern w:val="2"/>
          <w:sz w:val="32"/>
          <w:szCs w:val="24"/>
          <w:lang w:val="en-US" w:eastAsia="zh-CN"/>
        </w:rPr>
        <w:t>4</w:t>
      </w:r>
      <w:r>
        <w:rPr>
          <w:rFonts w:hint="eastAsia" w:ascii="仿宋_GB2312" w:hAnsi="仿宋_GB2312" w:eastAsia="仿宋_GB2312" w:cs="仿宋_GB2312"/>
          <w:color w:val="auto"/>
          <w:sz w:val="32"/>
          <w:szCs w:val="32"/>
          <w:highlight w:val="none"/>
        </w:rPr>
        <w:t>%。主要变动原因是</w:t>
      </w:r>
      <w:r>
        <w:rPr>
          <w:rFonts w:hint="eastAsia" w:ascii="仿宋_GB2312" w:hAnsi="仿宋_GB2312" w:eastAsia="仿宋_GB2312" w:cs="仿宋_GB2312"/>
          <w:color w:val="auto"/>
          <w:sz w:val="32"/>
          <w:szCs w:val="32"/>
          <w:highlight w:val="none"/>
          <w:lang w:eastAsia="zh-CN"/>
        </w:rPr>
        <w:t>一般公共预算、政府性基金预算和其他收入均减少。</w:t>
      </w:r>
    </w:p>
    <w:p>
      <w:pPr>
        <w:pStyle w:val="2"/>
        <w:jc w:val="center"/>
        <w:rPr>
          <w:rFonts w:hint="default"/>
          <w:lang w:val="en-US" w:eastAsia="zh-CN"/>
        </w:rPr>
      </w:pPr>
      <w:r>
        <w:rPr>
          <w:rFonts w:ascii="宋体" w:hAnsi="宋体" w:eastAsia="宋体" w:cs="宋体"/>
          <w:kern w:val="0"/>
          <w:sz w:val="24"/>
          <w:szCs w:val="24"/>
          <w:lang w:val="en-US" w:eastAsia="zh-CN" w:bidi="ar"/>
        </w:rPr>
        <w:drawing>
          <wp:inline distT="0" distB="0" distL="114300" distR="114300">
            <wp:extent cx="4241800" cy="3112135"/>
            <wp:effectExtent l="0" t="0" r="6350" b="12065"/>
            <wp:docPr id="2"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true"/>
                    </pic:cNvPicPr>
                  </pic:nvPicPr>
                  <pic:blipFill>
                    <a:blip r:embed="rId11"/>
                    <a:stretch>
                      <a:fillRect/>
                    </a:stretch>
                  </pic:blipFill>
                  <pic:spPr>
                    <a:xfrm>
                      <a:off x="0" y="0"/>
                      <a:ext cx="4241800" cy="31121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exact"/>
        <w:ind w:left="0" w:firstLine="640" w:firstLineChars="200"/>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（图1：收、支决算总计变动情况图）（柱状图）</w:t>
      </w:r>
    </w:p>
    <w:p>
      <w:pPr>
        <w:pStyle w:val="3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1"/>
        <w:rPr>
          <w:rStyle w:val="20"/>
          <w:rFonts w:ascii="黑体" w:hAnsi="黑体" w:eastAsia="黑体"/>
          <w:b w:val="0"/>
          <w:color w:val="auto"/>
          <w:highlight w:val="none"/>
        </w:rPr>
      </w:pPr>
      <w:bookmarkStart w:id="26" w:name="_Toc8252"/>
      <w:r>
        <w:rPr>
          <w:rFonts w:hint="eastAsia" w:ascii="黑体" w:hAnsi="黑体" w:eastAsia="黑体"/>
          <w:color w:val="auto"/>
          <w:sz w:val="32"/>
          <w:szCs w:val="32"/>
          <w:highlight w:val="none"/>
          <w:lang w:eastAsia="zh-CN"/>
        </w:rPr>
        <w:t>二、</w:t>
      </w:r>
      <w:r>
        <w:rPr>
          <w:rFonts w:hint="eastAsia" w:ascii="黑体" w:hAnsi="黑体" w:eastAsia="黑体"/>
          <w:color w:val="auto"/>
          <w:sz w:val="32"/>
          <w:szCs w:val="32"/>
          <w:highlight w:val="none"/>
        </w:rPr>
        <w:t>收</w:t>
      </w:r>
      <w:r>
        <w:rPr>
          <w:rStyle w:val="20"/>
          <w:rFonts w:hint="eastAsia" w:ascii="黑体" w:hAnsi="黑体" w:eastAsia="黑体"/>
          <w:b w:val="0"/>
          <w:color w:val="auto"/>
          <w:highlight w:val="none"/>
        </w:rPr>
        <w:t>入决算情况说明</w:t>
      </w:r>
      <w:bookmarkEnd w:id="26"/>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1"/>
        <w:rPr>
          <w:rFonts w:ascii="仿宋" w:hAnsi="仿宋" w:eastAsia="仿宋"/>
          <w:color w:val="auto"/>
          <w:sz w:val="32"/>
          <w:szCs w:val="32"/>
          <w:highlight w:val="none"/>
        </w:rPr>
      </w:pPr>
      <w:bookmarkStart w:id="27" w:name="_Toc6476"/>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年本年收入合计</w:t>
      </w:r>
      <w:r>
        <w:rPr>
          <w:rFonts w:hint="eastAsia" w:ascii="仿宋_GB2312" w:hAnsi="仿宋_GB2312" w:eastAsia="仿宋_GB2312"/>
          <w:color w:val="000000"/>
          <w:kern w:val="2"/>
          <w:sz w:val="32"/>
          <w:szCs w:val="24"/>
          <w:lang w:val="zh-CN"/>
        </w:rPr>
        <w:t>4753.1</w:t>
      </w:r>
      <w:r>
        <w:rPr>
          <w:rFonts w:hint="eastAsia" w:ascii="仿宋_GB2312" w:hAnsi="仿宋_GB2312" w:eastAsia="仿宋_GB2312"/>
          <w:color w:val="000000"/>
          <w:kern w:val="2"/>
          <w:sz w:val="32"/>
          <w:szCs w:val="24"/>
          <w:lang w:val="en-US" w:eastAsia="zh-CN"/>
        </w:rPr>
        <w:t>0</w:t>
      </w:r>
      <w:r>
        <w:rPr>
          <w:rFonts w:hint="eastAsia" w:ascii="仿宋" w:hAnsi="仿宋" w:eastAsia="仿宋"/>
          <w:color w:val="auto"/>
          <w:sz w:val="32"/>
          <w:szCs w:val="32"/>
          <w:highlight w:val="none"/>
        </w:rPr>
        <w:t>万元，其中：一般公共预算财政拨款收入</w:t>
      </w:r>
      <w:r>
        <w:rPr>
          <w:rFonts w:hint="eastAsia" w:ascii="仿宋_GB2312" w:hAnsi="仿宋_GB2312" w:eastAsia="仿宋_GB2312"/>
          <w:color w:val="000000"/>
          <w:kern w:val="2"/>
          <w:sz w:val="32"/>
          <w:szCs w:val="24"/>
          <w:lang w:val="zh-CN"/>
        </w:rPr>
        <w:t>4699.4</w:t>
      </w:r>
      <w:r>
        <w:rPr>
          <w:rFonts w:hint="eastAsia" w:ascii="仿宋_GB2312" w:hAnsi="仿宋_GB2312" w:eastAsia="仿宋_GB2312"/>
          <w:color w:val="000000"/>
          <w:kern w:val="2"/>
          <w:sz w:val="32"/>
          <w:szCs w:val="24"/>
          <w:lang w:val="en-US" w:eastAsia="zh-CN"/>
        </w:rPr>
        <w:t>0</w:t>
      </w:r>
      <w:r>
        <w:rPr>
          <w:rFonts w:hint="eastAsia" w:ascii="仿宋" w:hAnsi="仿宋" w:eastAsia="仿宋"/>
          <w:color w:val="auto"/>
          <w:sz w:val="32"/>
          <w:szCs w:val="32"/>
          <w:highlight w:val="none"/>
        </w:rPr>
        <w:t>万元，占</w:t>
      </w:r>
      <w:r>
        <w:rPr>
          <w:rFonts w:hint="eastAsia" w:ascii="仿宋_GB2312" w:hAnsi="仿宋_GB2312" w:eastAsia="仿宋_GB2312"/>
          <w:color w:val="000000"/>
          <w:kern w:val="2"/>
          <w:sz w:val="32"/>
          <w:szCs w:val="24"/>
          <w:lang w:val="zh-CN"/>
        </w:rPr>
        <w:t>98.</w:t>
      </w:r>
      <w:r>
        <w:rPr>
          <w:rFonts w:hint="eastAsia" w:ascii="仿宋_GB2312" w:hAnsi="仿宋_GB2312" w:eastAsia="仿宋_GB2312"/>
          <w:color w:val="000000"/>
          <w:kern w:val="2"/>
          <w:sz w:val="32"/>
          <w:szCs w:val="24"/>
          <w:lang w:val="en-US" w:eastAsia="zh-CN"/>
        </w:rPr>
        <w:t>87</w:t>
      </w:r>
      <w:r>
        <w:rPr>
          <w:rFonts w:ascii="仿宋" w:hAnsi="仿宋" w:eastAsia="仿宋"/>
          <w:color w:val="auto"/>
          <w:sz w:val="32"/>
          <w:szCs w:val="32"/>
          <w:highlight w:val="none"/>
        </w:rPr>
        <w:t>%</w:t>
      </w:r>
      <w:r>
        <w:rPr>
          <w:rFonts w:hint="eastAsia" w:ascii="仿宋" w:hAnsi="仿宋" w:eastAsia="仿宋"/>
          <w:color w:val="auto"/>
          <w:sz w:val="32"/>
          <w:szCs w:val="32"/>
          <w:highlight w:val="none"/>
        </w:rPr>
        <w:t>；政府性基金预算财政拨款收入</w:t>
      </w:r>
      <w:r>
        <w:rPr>
          <w:rFonts w:hint="eastAsia" w:ascii="仿宋_GB2312" w:hAnsi="仿宋_GB2312" w:eastAsia="仿宋_GB2312"/>
          <w:color w:val="000000"/>
          <w:kern w:val="2"/>
          <w:sz w:val="32"/>
          <w:szCs w:val="24"/>
          <w:lang w:val="zh-CN"/>
        </w:rPr>
        <w:t>50</w:t>
      </w:r>
      <w:r>
        <w:rPr>
          <w:rFonts w:hint="eastAsia" w:ascii="仿宋_GB2312" w:hAnsi="仿宋_GB2312" w:eastAsia="仿宋_GB2312"/>
          <w:color w:val="000000"/>
          <w:kern w:val="2"/>
          <w:sz w:val="32"/>
          <w:szCs w:val="24"/>
          <w:lang w:val="en-US" w:eastAsia="zh-CN"/>
        </w:rPr>
        <w:t>.00</w:t>
      </w:r>
      <w:r>
        <w:rPr>
          <w:rFonts w:hint="eastAsia" w:ascii="仿宋" w:hAnsi="仿宋" w:eastAsia="仿宋"/>
          <w:color w:val="auto"/>
          <w:sz w:val="32"/>
          <w:szCs w:val="32"/>
          <w:highlight w:val="none"/>
        </w:rPr>
        <w:t>万元，占</w:t>
      </w:r>
      <w:r>
        <w:rPr>
          <w:rFonts w:hint="eastAsia" w:ascii="仿宋_GB2312" w:hAnsi="仿宋_GB2312" w:eastAsia="仿宋_GB2312"/>
          <w:color w:val="000000"/>
          <w:kern w:val="2"/>
          <w:sz w:val="32"/>
          <w:szCs w:val="24"/>
          <w:lang w:val="zh-CN"/>
        </w:rPr>
        <w:t>1.</w:t>
      </w:r>
      <w:r>
        <w:rPr>
          <w:rFonts w:hint="eastAsia" w:ascii="仿宋_GB2312" w:hAnsi="仿宋_GB2312" w:eastAsia="仿宋_GB2312"/>
          <w:color w:val="000000"/>
          <w:kern w:val="2"/>
          <w:sz w:val="32"/>
          <w:szCs w:val="24"/>
          <w:lang w:val="en-US" w:eastAsia="zh-CN"/>
        </w:rPr>
        <w:t>05</w:t>
      </w:r>
      <w:r>
        <w:rPr>
          <w:rFonts w:ascii="仿宋" w:hAnsi="仿宋" w:eastAsia="仿宋"/>
          <w:color w:val="auto"/>
          <w:sz w:val="32"/>
          <w:szCs w:val="32"/>
          <w:highlight w:val="none"/>
        </w:rPr>
        <w:t>%</w:t>
      </w:r>
      <w:r>
        <w:rPr>
          <w:rFonts w:hint="eastAsia" w:ascii="仿宋" w:hAnsi="仿宋" w:eastAsia="仿宋"/>
          <w:color w:val="auto"/>
          <w:sz w:val="32"/>
          <w:szCs w:val="32"/>
          <w:highlight w:val="none"/>
        </w:rPr>
        <w:t>；其他收入</w:t>
      </w:r>
      <w:r>
        <w:rPr>
          <w:rFonts w:hint="eastAsia" w:ascii="仿宋_GB2312" w:hAnsi="仿宋_GB2312" w:eastAsia="仿宋_GB2312"/>
          <w:color w:val="000000"/>
          <w:kern w:val="2"/>
          <w:sz w:val="32"/>
          <w:szCs w:val="24"/>
          <w:lang w:val="zh-CN"/>
        </w:rPr>
        <w:t>3.</w:t>
      </w:r>
      <w:r>
        <w:rPr>
          <w:rFonts w:hint="eastAsia" w:ascii="仿宋_GB2312" w:hAnsi="仿宋_GB2312" w:eastAsia="仿宋_GB2312"/>
          <w:color w:val="000000"/>
          <w:kern w:val="2"/>
          <w:sz w:val="32"/>
          <w:szCs w:val="24"/>
          <w:lang w:val="en-US" w:eastAsia="zh-CN"/>
        </w:rPr>
        <w:t>70</w:t>
      </w:r>
      <w:r>
        <w:rPr>
          <w:rFonts w:hint="eastAsia" w:ascii="仿宋" w:hAnsi="仿宋" w:eastAsia="仿宋"/>
          <w:color w:val="auto"/>
          <w:sz w:val="32"/>
          <w:szCs w:val="32"/>
          <w:highlight w:val="none"/>
        </w:rPr>
        <w:t>万元，占</w:t>
      </w:r>
      <w:r>
        <w:rPr>
          <w:rFonts w:hint="eastAsia" w:ascii="仿宋_GB2312" w:hAnsi="仿宋_GB2312" w:eastAsia="仿宋_GB2312"/>
          <w:color w:val="000000"/>
          <w:kern w:val="2"/>
          <w:sz w:val="32"/>
          <w:szCs w:val="24"/>
          <w:lang w:val="zh-CN"/>
        </w:rPr>
        <w:t>0.</w:t>
      </w:r>
      <w:r>
        <w:rPr>
          <w:rFonts w:hint="eastAsia" w:ascii="仿宋_GB2312" w:hAnsi="仿宋_GB2312" w:eastAsia="仿宋_GB2312"/>
          <w:color w:val="000000"/>
          <w:kern w:val="2"/>
          <w:sz w:val="32"/>
          <w:szCs w:val="24"/>
          <w:lang w:val="en-US" w:eastAsia="zh-CN"/>
        </w:rPr>
        <w:t>08</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bookmarkEnd w:id="27"/>
    </w:p>
    <w:p>
      <w:pPr>
        <w:spacing w:line="600" w:lineRule="exact"/>
        <w:ind w:firstLine="640" w:firstLineChars="200"/>
        <w:jc w:val="left"/>
        <w:rPr>
          <w:rFonts w:ascii="仿宋_GB2312" w:eastAsia="仿宋_GB2312"/>
          <w:color w:val="auto"/>
          <w:sz w:val="32"/>
          <w:szCs w:val="32"/>
          <w:highlight w:val="none"/>
        </w:rPr>
      </w:pPr>
    </w:p>
    <w:p>
      <w:pPr>
        <w:pStyle w:val="23"/>
        <w:jc w:val="center"/>
        <w:rPr>
          <w:rFonts w:hint="eastAsia" w:ascii="仿宋" w:hAnsi="仿宋" w:eastAsia="仿宋"/>
          <w:b/>
          <w:color w:val="auto"/>
          <w:sz w:val="32"/>
          <w:szCs w:val="32"/>
          <w:highlight w:val="none"/>
          <w:lang w:val="en-US" w:eastAsia="zh-CN"/>
        </w:rPr>
      </w:pPr>
      <w:r>
        <w:rPr>
          <w:rFonts w:hint="default" w:ascii="仿宋" w:hAnsi="仿宋" w:eastAsia="仿宋"/>
          <w:b/>
          <w:color w:val="auto"/>
          <w:sz w:val="32"/>
          <w:szCs w:val="32"/>
          <w:highlight w:val="none"/>
          <w:lang w:val="en-US" w:eastAsia="zh-CN"/>
        </w:rPr>
        <w:drawing>
          <wp:inline distT="0" distB="0" distL="114300" distR="114300">
            <wp:extent cx="4441190" cy="2328545"/>
            <wp:effectExtent l="0" t="0" r="16510" b="1460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600" w:lineRule="exact"/>
        <w:ind w:firstLine="960" w:firstLineChars="30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（图2：收入决算结构图）（饼状图）</w:t>
      </w:r>
    </w:p>
    <w:p>
      <w:pPr>
        <w:pStyle w:val="32"/>
        <w:numPr>
          <w:ilvl w:val="0"/>
          <w:numId w:val="0"/>
        </w:numPr>
        <w:spacing w:line="600" w:lineRule="exact"/>
        <w:ind w:left="640" w:leftChars="0"/>
        <w:outlineLvl w:val="1"/>
        <w:rPr>
          <w:rStyle w:val="20"/>
          <w:rFonts w:ascii="黑体" w:hAnsi="黑体" w:eastAsia="黑体"/>
          <w:b w:val="0"/>
          <w:color w:val="auto"/>
          <w:highlight w:val="none"/>
        </w:rPr>
      </w:pPr>
      <w:bookmarkStart w:id="28" w:name="_Toc21794"/>
      <w:bookmarkStart w:id="29" w:name="_Toc15377207"/>
      <w:bookmarkStart w:id="30" w:name="_Toc15396605"/>
      <w:r>
        <w:rPr>
          <w:rFonts w:hint="eastAsia" w:ascii="黑体" w:hAnsi="黑体" w:eastAsia="黑体"/>
          <w:color w:val="auto"/>
          <w:sz w:val="32"/>
          <w:szCs w:val="32"/>
          <w:highlight w:val="none"/>
          <w:lang w:eastAsia="zh-CN"/>
        </w:rPr>
        <w:t>三、</w:t>
      </w:r>
      <w:r>
        <w:rPr>
          <w:rFonts w:hint="eastAsia" w:ascii="黑体" w:hAnsi="黑体" w:eastAsia="黑体"/>
          <w:color w:val="auto"/>
          <w:sz w:val="32"/>
          <w:szCs w:val="32"/>
          <w:highlight w:val="none"/>
        </w:rPr>
        <w:t>支</w:t>
      </w:r>
      <w:r>
        <w:rPr>
          <w:rStyle w:val="20"/>
          <w:rFonts w:hint="eastAsia" w:ascii="黑体" w:hAnsi="黑体" w:eastAsia="黑体"/>
          <w:b w:val="0"/>
          <w:color w:val="auto"/>
          <w:highlight w:val="none"/>
        </w:rPr>
        <w:t>出决算情况说明</w:t>
      </w:r>
      <w:bookmarkEnd w:id="28"/>
      <w:bookmarkEnd w:id="29"/>
      <w:bookmarkEnd w:id="30"/>
    </w:p>
    <w:p>
      <w:pPr>
        <w:spacing w:line="600" w:lineRule="exact"/>
        <w:ind w:firstLine="640" w:firstLineChars="200"/>
        <w:outlineLvl w:val="1"/>
        <w:rPr>
          <w:rFonts w:hint="eastAsia" w:ascii="仿宋_GB2312" w:hAnsi="仿宋_GB2312" w:eastAsia="仿宋_GB2312" w:cs="仿宋_GB2312"/>
          <w:sz w:val="32"/>
          <w:szCs w:val="32"/>
          <w:lang w:val="en-US" w:eastAsia="zh-CN"/>
        </w:rPr>
      </w:pPr>
      <w:bookmarkStart w:id="31" w:name="_Toc22209"/>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年本年支出合计</w:t>
      </w:r>
      <w:r>
        <w:rPr>
          <w:rFonts w:hint="eastAsia" w:ascii="仿宋_GB2312" w:hAnsi="仿宋_GB2312" w:eastAsia="仿宋_GB2312" w:cs="仿宋_GB2312"/>
          <w:color w:val="000000"/>
          <w:kern w:val="2"/>
          <w:sz w:val="32"/>
          <w:szCs w:val="32"/>
          <w:lang w:val="zh-CN"/>
        </w:rPr>
        <w:t>6342.95</w:t>
      </w:r>
      <w:r>
        <w:rPr>
          <w:rFonts w:hint="eastAsia" w:ascii="仿宋_GB2312" w:hAnsi="仿宋_GB2312" w:eastAsia="仿宋_GB2312" w:cs="仿宋_GB2312"/>
          <w:color w:val="auto"/>
          <w:sz w:val="32"/>
          <w:szCs w:val="32"/>
          <w:highlight w:val="none"/>
        </w:rPr>
        <w:t>万元，其中：基本支出</w:t>
      </w:r>
      <w:r>
        <w:rPr>
          <w:rFonts w:hint="eastAsia" w:ascii="仿宋_GB2312" w:hAnsi="仿宋_GB2312" w:eastAsia="仿宋_GB2312" w:cs="仿宋_GB2312"/>
          <w:color w:val="000000"/>
          <w:kern w:val="2"/>
          <w:sz w:val="32"/>
          <w:szCs w:val="32"/>
          <w:lang w:val="zh-CN"/>
        </w:rPr>
        <w:t>1842.47</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000000"/>
          <w:kern w:val="2"/>
          <w:sz w:val="32"/>
          <w:szCs w:val="32"/>
          <w:lang w:val="zh-CN"/>
        </w:rPr>
        <w:t>29</w:t>
      </w:r>
      <w:r>
        <w:rPr>
          <w:rFonts w:hint="eastAsia" w:ascii="仿宋_GB2312" w:hAnsi="仿宋_GB2312" w:eastAsia="仿宋_GB2312" w:cs="仿宋_GB2312"/>
          <w:color w:val="000000"/>
          <w:kern w:val="2"/>
          <w:sz w:val="32"/>
          <w:szCs w:val="32"/>
          <w:lang w:val="en-US" w:eastAsia="zh-CN"/>
        </w:rPr>
        <w:t>.05</w:t>
      </w:r>
      <w:r>
        <w:rPr>
          <w:rFonts w:hint="eastAsia" w:ascii="仿宋_GB2312" w:hAnsi="仿宋_GB2312" w:eastAsia="仿宋_GB2312" w:cs="仿宋_GB2312"/>
          <w:color w:val="auto"/>
          <w:sz w:val="32"/>
          <w:szCs w:val="32"/>
          <w:highlight w:val="none"/>
        </w:rPr>
        <w:t>%；项目支出</w:t>
      </w:r>
      <w:r>
        <w:rPr>
          <w:rFonts w:hint="eastAsia" w:ascii="仿宋_GB2312" w:hAnsi="仿宋_GB2312" w:eastAsia="仿宋_GB2312" w:cs="仿宋_GB2312"/>
          <w:color w:val="000000"/>
          <w:kern w:val="2"/>
          <w:sz w:val="32"/>
          <w:szCs w:val="32"/>
          <w:lang w:val="zh-CN"/>
        </w:rPr>
        <w:t>4500.48</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000000"/>
          <w:kern w:val="2"/>
          <w:sz w:val="32"/>
          <w:szCs w:val="32"/>
          <w:lang w:val="zh-CN"/>
        </w:rPr>
        <w:t>7</w:t>
      </w:r>
      <w:r>
        <w:rPr>
          <w:rFonts w:hint="eastAsia" w:ascii="仿宋_GB2312" w:hAnsi="仿宋_GB2312" w:eastAsia="仿宋_GB2312" w:cs="仿宋_GB2312"/>
          <w:color w:val="000000"/>
          <w:kern w:val="2"/>
          <w:sz w:val="32"/>
          <w:szCs w:val="32"/>
          <w:lang w:val="en-US" w:eastAsia="zh-CN"/>
        </w:rPr>
        <w:t>0.95</w:t>
      </w:r>
      <w:r>
        <w:rPr>
          <w:rFonts w:hint="eastAsia" w:ascii="仿宋_GB2312" w:hAnsi="仿宋_GB2312" w:eastAsia="仿宋_GB2312" w:cs="仿宋_GB2312"/>
          <w:color w:val="auto"/>
          <w:sz w:val="32"/>
          <w:szCs w:val="32"/>
          <w:highlight w:val="none"/>
        </w:rPr>
        <w:t>%。</w:t>
      </w:r>
      <w:bookmarkEnd w:id="31"/>
    </w:p>
    <w:p>
      <w:pPr>
        <w:pStyle w:val="2"/>
        <w:rPr>
          <w:rFonts w:ascii="仿宋" w:hAnsi="仿宋" w:eastAsia="仿宋"/>
          <w:color w:val="auto"/>
          <w:sz w:val="32"/>
          <w:szCs w:val="32"/>
          <w:highlight w:val="none"/>
          <w:shd w:val="pct10" w:color="auto" w:fill="FFFFFF"/>
        </w:rPr>
      </w:pPr>
      <w:r>
        <w:rPr>
          <w:rFonts w:hint="default" w:eastAsia="仿宋"/>
          <w:lang w:val="en-US" w:eastAsia="zh-CN"/>
        </w:rPr>
        <w:drawing>
          <wp:inline distT="0" distB="0" distL="114300" distR="114300">
            <wp:extent cx="4672330" cy="2359660"/>
            <wp:effectExtent l="0" t="0" r="13970" b="254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pacing w:line="600" w:lineRule="exact"/>
        <w:ind w:firstLine="1280" w:firstLineChars="4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（图3：支出决算结构图）（饼状图）</w:t>
      </w:r>
    </w:p>
    <w:p>
      <w:pPr>
        <w:spacing w:line="600" w:lineRule="exact"/>
        <w:ind w:firstLine="640" w:firstLineChars="200"/>
        <w:outlineLvl w:val="1"/>
        <w:rPr>
          <w:rStyle w:val="20"/>
          <w:rFonts w:ascii="黑体" w:hAnsi="黑体" w:eastAsia="黑体"/>
          <w:b w:val="0"/>
          <w:color w:val="auto"/>
          <w:highlight w:val="none"/>
        </w:rPr>
      </w:pPr>
      <w:bookmarkStart w:id="32" w:name="_Toc15377208"/>
      <w:bookmarkStart w:id="33" w:name="_Toc15396606"/>
      <w:bookmarkStart w:id="34" w:name="_Toc29680"/>
      <w:r>
        <w:rPr>
          <w:rFonts w:hint="eastAsia" w:ascii="黑体" w:hAnsi="黑体" w:eastAsia="黑体"/>
          <w:color w:val="auto"/>
          <w:sz w:val="32"/>
          <w:szCs w:val="32"/>
          <w:highlight w:val="none"/>
        </w:rPr>
        <w:t>四、财</w:t>
      </w:r>
      <w:r>
        <w:rPr>
          <w:rStyle w:val="20"/>
          <w:rFonts w:hint="eastAsia" w:ascii="黑体" w:hAnsi="黑体" w:eastAsia="黑体"/>
          <w:b w:val="0"/>
          <w:color w:val="auto"/>
          <w:highlight w:val="none"/>
        </w:rPr>
        <w:t>政拨款收入支出决算总体情况说明</w:t>
      </w:r>
      <w:bookmarkEnd w:id="32"/>
      <w:bookmarkEnd w:id="33"/>
      <w:bookmarkEnd w:id="34"/>
    </w:p>
    <w:p>
      <w:pPr>
        <w:spacing w:line="600" w:lineRule="exact"/>
        <w:ind w:firstLine="64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年财政拨款收、支总计</w:t>
      </w:r>
      <w:r>
        <w:rPr>
          <w:rFonts w:hint="eastAsia" w:ascii="仿宋_GB2312" w:hAnsi="仿宋_GB2312" w:eastAsia="仿宋_GB2312" w:cs="仿宋_GB2312"/>
          <w:color w:val="000000"/>
          <w:kern w:val="2"/>
          <w:sz w:val="32"/>
          <w:szCs w:val="24"/>
          <w:lang w:val="zh-CN"/>
        </w:rPr>
        <w:t>6384.76</w:t>
      </w:r>
      <w:r>
        <w:rPr>
          <w:rFonts w:hint="eastAsia" w:ascii="仿宋_GB2312" w:hAnsi="仿宋_GB2312" w:eastAsia="仿宋_GB2312" w:cs="仿宋_GB2312"/>
          <w:color w:val="auto"/>
          <w:sz w:val="32"/>
          <w:szCs w:val="32"/>
          <w:highlight w:val="none"/>
        </w:rPr>
        <w:t>元。与20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年相比，财政拨款收、支总计各减少</w:t>
      </w:r>
      <w:r>
        <w:rPr>
          <w:rFonts w:hint="eastAsia" w:ascii="仿宋_GB2312" w:hAnsi="仿宋_GB2312" w:eastAsia="仿宋_GB2312" w:cs="仿宋_GB2312"/>
          <w:color w:val="000000"/>
          <w:kern w:val="2"/>
          <w:sz w:val="32"/>
          <w:szCs w:val="24"/>
          <w:lang w:val="zh-CN"/>
        </w:rPr>
        <w:t>1207.3</w:t>
      </w:r>
      <w:r>
        <w:rPr>
          <w:rFonts w:hint="eastAsia" w:ascii="仿宋_GB2312" w:hAnsi="仿宋_GB2312" w:eastAsia="仿宋_GB2312" w:cs="仿宋_GB2312"/>
          <w:color w:val="000000"/>
          <w:kern w:val="2"/>
          <w:sz w:val="32"/>
          <w:szCs w:val="24"/>
          <w:lang w:val="en-US" w:eastAsia="zh-CN"/>
        </w:rPr>
        <w:t>1</w:t>
      </w:r>
      <w:r>
        <w:rPr>
          <w:rFonts w:hint="eastAsia" w:ascii="仿宋_GB2312" w:hAnsi="仿宋_GB2312" w:eastAsia="仿宋_GB2312" w:cs="仿宋_GB2312"/>
          <w:color w:val="000000"/>
          <w:kern w:val="2"/>
          <w:sz w:val="32"/>
          <w:szCs w:val="24"/>
          <w:lang w:val="zh-CN"/>
        </w:rPr>
        <w:t>万</w:t>
      </w:r>
      <w:r>
        <w:rPr>
          <w:rFonts w:hint="eastAsia" w:ascii="仿宋_GB2312" w:hAnsi="仿宋_GB2312" w:eastAsia="仿宋_GB2312" w:cs="仿宋_GB2312"/>
          <w:color w:val="auto"/>
          <w:sz w:val="32"/>
          <w:szCs w:val="32"/>
          <w:highlight w:val="none"/>
        </w:rPr>
        <w:t>元，下降</w:t>
      </w:r>
      <w:r>
        <w:rPr>
          <w:rFonts w:hint="eastAsia" w:ascii="仿宋_GB2312" w:hAnsi="仿宋_GB2312" w:eastAsia="仿宋_GB2312" w:cs="仿宋_GB2312"/>
          <w:color w:val="000000"/>
          <w:kern w:val="2"/>
          <w:sz w:val="32"/>
          <w:szCs w:val="24"/>
          <w:lang w:val="zh-CN"/>
        </w:rPr>
        <w:t>15.9</w:t>
      </w:r>
      <w:r>
        <w:rPr>
          <w:rFonts w:hint="eastAsia" w:ascii="仿宋_GB2312" w:hAnsi="仿宋_GB2312" w:eastAsia="仿宋_GB2312" w:cs="仿宋_GB2312"/>
          <w:color w:val="000000"/>
          <w:kern w:val="2"/>
          <w:sz w:val="32"/>
          <w:szCs w:val="24"/>
          <w:lang w:val="en-US" w:eastAsia="zh-CN"/>
        </w:rPr>
        <w:t>0</w:t>
      </w:r>
      <w:r>
        <w:rPr>
          <w:rFonts w:hint="eastAsia" w:ascii="仿宋_GB2312" w:hAnsi="仿宋_GB2312" w:eastAsia="仿宋_GB2312" w:cs="仿宋_GB2312"/>
          <w:color w:val="auto"/>
          <w:sz w:val="32"/>
          <w:szCs w:val="32"/>
          <w:highlight w:val="none"/>
        </w:rPr>
        <w:t>%。主要变动原因是</w:t>
      </w:r>
      <w:r>
        <w:rPr>
          <w:rFonts w:hint="eastAsia" w:ascii="仿宋_GB2312" w:hAnsi="仿宋_GB2312" w:eastAsia="仿宋_GB2312" w:cs="仿宋_GB2312"/>
          <w:color w:val="auto"/>
          <w:sz w:val="32"/>
          <w:szCs w:val="32"/>
          <w:highlight w:val="none"/>
          <w:lang w:eastAsia="zh-CN"/>
        </w:rPr>
        <w:t>一般公共预算、政府性基金预算、年初财政拨款结转和结余减少。</w:t>
      </w:r>
    </w:p>
    <w:p>
      <w:pPr>
        <w:jc w:val="center"/>
        <w:rPr>
          <w:rFonts w:hint="default"/>
          <w:lang w:val="en-US" w:eastAsia="zh-CN"/>
        </w:rPr>
      </w:pPr>
      <w:r>
        <w:rPr>
          <w:rFonts w:ascii="宋体" w:hAnsi="宋体" w:eastAsia="宋体" w:cs="宋体"/>
          <w:kern w:val="0"/>
          <w:sz w:val="24"/>
          <w:szCs w:val="24"/>
          <w:lang w:val="en-US" w:eastAsia="zh-CN" w:bidi="ar"/>
        </w:rPr>
        <w:drawing>
          <wp:inline distT="0" distB="0" distL="114300" distR="114300">
            <wp:extent cx="4026535" cy="2473325"/>
            <wp:effectExtent l="0" t="0" r="12065" b="3175"/>
            <wp:docPr id="3" name="图片 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true"/>
                    </pic:cNvPicPr>
                  </pic:nvPicPr>
                  <pic:blipFill>
                    <a:blip r:embed="rId14"/>
                    <a:stretch>
                      <a:fillRect/>
                    </a:stretch>
                  </pic:blipFill>
                  <pic:spPr>
                    <a:xfrm>
                      <a:off x="0" y="0"/>
                      <a:ext cx="4026535" cy="24733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（图4：财政拨款收、支决算总计变动情况）（柱状图）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Style w:val="20"/>
          <w:rFonts w:ascii="黑体" w:hAnsi="黑体" w:eastAsia="黑体"/>
          <w:b w:val="0"/>
          <w:color w:val="auto"/>
          <w:highlight w:val="none"/>
        </w:rPr>
      </w:pPr>
      <w:bookmarkStart w:id="35" w:name="_Toc15396607"/>
      <w:bookmarkStart w:id="36" w:name="_Toc12786"/>
      <w:bookmarkStart w:id="37" w:name="_Toc15377209"/>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0"/>
          <w:rFonts w:hint="eastAsia" w:ascii="黑体" w:hAnsi="黑体" w:eastAsia="黑体"/>
          <w:b w:val="0"/>
          <w:color w:val="auto"/>
          <w:highlight w:val="none"/>
        </w:rPr>
        <w:t>般公共预算财政拨款支出决算情况说明</w:t>
      </w:r>
      <w:bookmarkEnd w:id="35"/>
      <w:bookmarkEnd w:id="36"/>
      <w:bookmarkEnd w:id="37"/>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ascii="仿宋" w:hAnsi="仿宋" w:eastAsia="仿宋"/>
          <w:b/>
          <w:color w:val="auto"/>
          <w:sz w:val="32"/>
          <w:szCs w:val="32"/>
          <w:highlight w:val="none"/>
        </w:rPr>
      </w:pPr>
      <w:bookmarkStart w:id="38" w:name="_Toc15377210"/>
      <w:r>
        <w:rPr>
          <w:rFonts w:hint="eastAsia" w:ascii="仿宋" w:hAnsi="仿宋" w:eastAsia="仿宋"/>
          <w:b/>
          <w:color w:val="auto"/>
          <w:sz w:val="32"/>
          <w:szCs w:val="32"/>
          <w:highlight w:val="none"/>
        </w:rPr>
        <w:t>（一）一般公共预算财政拨款支出决算总体情况</w:t>
      </w:r>
      <w:bookmarkEnd w:id="3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年一般公共预算财政拨款支出</w:t>
      </w:r>
      <w:r>
        <w:rPr>
          <w:rFonts w:hint="eastAsia" w:ascii="仿宋_GB2312" w:hAnsi="仿宋_GB2312" w:eastAsia="仿宋_GB2312" w:cs="仿宋_GB2312"/>
          <w:color w:val="000000"/>
          <w:kern w:val="2"/>
          <w:sz w:val="32"/>
          <w:szCs w:val="24"/>
          <w:lang w:val="zh-CN"/>
        </w:rPr>
        <w:t>6146.86</w:t>
      </w:r>
      <w:r>
        <w:rPr>
          <w:rFonts w:hint="eastAsia" w:ascii="仿宋_GB2312" w:hAnsi="仿宋_GB2312" w:eastAsia="仿宋_GB2312" w:cs="仿宋_GB2312"/>
          <w:color w:val="auto"/>
          <w:sz w:val="32"/>
          <w:szCs w:val="32"/>
          <w:highlight w:val="none"/>
        </w:rPr>
        <w:t>万元，占本年支出合计的</w:t>
      </w:r>
      <w:r>
        <w:rPr>
          <w:rFonts w:hint="eastAsia" w:ascii="仿宋_GB2312" w:hAnsi="仿宋_GB2312" w:eastAsia="仿宋_GB2312" w:cs="仿宋_GB2312"/>
          <w:color w:val="000000"/>
          <w:kern w:val="2"/>
          <w:sz w:val="32"/>
          <w:szCs w:val="24"/>
          <w:lang w:val="zh-CN"/>
        </w:rPr>
        <w:t>96.9</w:t>
      </w:r>
      <w:r>
        <w:rPr>
          <w:rFonts w:hint="eastAsia" w:ascii="仿宋_GB2312" w:hAnsi="仿宋_GB2312" w:eastAsia="仿宋_GB2312" w:cs="仿宋_GB2312"/>
          <w:color w:val="000000"/>
          <w:kern w:val="2"/>
          <w:sz w:val="32"/>
          <w:szCs w:val="24"/>
          <w:lang w:val="en-US" w:eastAsia="zh-CN"/>
        </w:rPr>
        <w:t>1</w:t>
      </w:r>
      <w:r>
        <w:rPr>
          <w:rFonts w:hint="eastAsia" w:ascii="仿宋_GB2312" w:hAnsi="仿宋_GB2312" w:eastAsia="仿宋_GB2312" w:cs="仿宋_GB2312"/>
          <w:color w:val="auto"/>
          <w:sz w:val="32"/>
          <w:szCs w:val="32"/>
          <w:highlight w:val="none"/>
        </w:rPr>
        <w:t>%。与20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年相比，一般公共预算财政拨款</w:t>
      </w:r>
      <w:r>
        <w:rPr>
          <w:rFonts w:hint="eastAsia" w:ascii="仿宋_GB2312" w:hAnsi="仿宋_GB2312" w:eastAsia="仿宋_GB2312" w:cs="仿宋_GB2312"/>
          <w:color w:val="auto"/>
          <w:sz w:val="32"/>
          <w:szCs w:val="32"/>
          <w:highlight w:val="none"/>
          <w:lang w:eastAsia="zh-CN"/>
        </w:rPr>
        <w:t>支出</w:t>
      </w:r>
      <w:r>
        <w:rPr>
          <w:rFonts w:hint="eastAsia" w:ascii="仿宋_GB2312" w:hAnsi="仿宋_GB2312" w:eastAsia="仿宋_GB2312" w:cs="仿宋_GB2312"/>
          <w:color w:val="auto"/>
          <w:sz w:val="32"/>
          <w:szCs w:val="32"/>
          <w:highlight w:val="none"/>
        </w:rPr>
        <w:t>增加</w:t>
      </w:r>
      <w:r>
        <w:rPr>
          <w:rFonts w:hint="eastAsia" w:ascii="仿宋_GB2312" w:hAnsi="仿宋_GB2312" w:eastAsia="仿宋_GB2312" w:cs="仿宋_GB2312"/>
          <w:color w:val="000000"/>
          <w:kern w:val="2"/>
          <w:sz w:val="32"/>
          <w:szCs w:val="24"/>
          <w:lang w:val="zh-CN"/>
        </w:rPr>
        <w:t>722.12</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000000"/>
          <w:kern w:val="2"/>
          <w:sz w:val="32"/>
          <w:szCs w:val="24"/>
          <w:lang w:val="zh-CN"/>
        </w:rPr>
        <w:t>13.3</w:t>
      </w:r>
      <w:r>
        <w:rPr>
          <w:rFonts w:hint="eastAsia" w:ascii="仿宋_GB2312" w:hAnsi="仿宋_GB2312" w:eastAsia="仿宋_GB2312" w:cs="仿宋_GB2312"/>
          <w:color w:val="000000"/>
          <w:kern w:val="2"/>
          <w:sz w:val="32"/>
          <w:szCs w:val="24"/>
          <w:lang w:val="en-US" w:eastAsia="zh-CN"/>
        </w:rPr>
        <w:t>1</w:t>
      </w:r>
      <w:r>
        <w:rPr>
          <w:rFonts w:hint="eastAsia" w:ascii="仿宋_GB2312" w:hAnsi="仿宋_GB2312" w:eastAsia="仿宋_GB2312" w:cs="仿宋_GB2312"/>
          <w:color w:val="auto"/>
          <w:sz w:val="32"/>
          <w:szCs w:val="32"/>
          <w:highlight w:val="none"/>
        </w:rPr>
        <w:t>%。主要变动原因</w:t>
      </w:r>
      <w:r>
        <w:rPr>
          <w:rFonts w:hint="eastAsia" w:ascii="仿宋_GB2312" w:hAnsi="仿宋_GB2312" w:eastAsia="仿宋_GB2312" w:cs="仿宋_GB2312"/>
          <w:color w:val="auto"/>
          <w:sz w:val="32"/>
          <w:szCs w:val="32"/>
          <w:highlight w:val="none"/>
          <w:lang w:eastAsia="zh-CN"/>
        </w:rPr>
        <w:t>一</w:t>
      </w:r>
      <w:r>
        <w:rPr>
          <w:rFonts w:hint="eastAsia" w:ascii="仿宋_GB2312" w:hAnsi="仿宋_GB2312" w:eastAsia="仿宋_GB2312" w:cs="仿宋_GB2312"/>
          <w:color w:val="auto"/>
          <w:sz w:val="32"/>
          <w:szCs w:val="32"/>
          <w:highlight w:val="none"/>
        </w:rPr>
        <w:t>是</w:t>
      </w:r>
      <w:r>
        <w:rPr>
          <w:rFonts w:hint="eastAsia" w:ascii="仿宋_GB2312" w:hAnsi="仿宋_GB2312" w:eastAsia="仿宋_GB2312" w:cs="仿宋_GB2312"/>
          <w:color w:val="auto"/>
          <w:sz w:val="32"/>
          <w:szCs w:val="32"/>
          <w:highlight w:val="none"/>
          <w:lang w:eastAsia="zh-CN"/>
        </w:rPr>
        <w:t>工资基数调整导致工资福利费用增加，引起</w:t>
      </w:r>
      <w:r>
        <w:rPr>
          <w:rFonts w:hint="eastAsia" w:ascii="仿宋_GB2312" w:hAnsi="仿宋_GB2312" w:eastAsia="仿宋_GB2312" w:cs="仿宋_GB2312"/>
          <w:color w:val="auto"/>
          <w:sz w:val="32"/>
          <w:szCs w:val="32"/>
          <w:highlight w:val="none"/>
          <w:lang w:val="en-US" w:eastAsia="zh-CN"/>
        </w:rPr>
        <w:t>基本支出增加；二是企业军转干部生活困难补助及退役士兵社保接续金等项目支出增加。</w:t>
      </w:r>
    </w:p>
    <w:p>
      <w:pPr>
        <w:jc w:val="center"/>
        <w:rPr>
          <w:rFonts w:hint="eastAsia" w:ascii="仿宋" w:hAnsi="仿宋" w:eastAsia="仿宋"/>
          <w:color w:val="auto"/>
          <w:sz w:val="32"/>
          <w:szCs w:val="32"/>
          <w:highlight w:val="none"/>
        </w:rPr>
      </w:pPr>
      <w:r>
        <w:rPr>
          <w:rFonts w:ascii="宋体" w:hAnsi="宋体" w:eastAsia="宋体" w:cs="宋体"/>
          <w:kern w:val="0"/>
          <w:sz w:val="24"/>
          <w:szCs w:val="24"/>
          <w:lang w:val="en-US" w:eastAsia="zh-CN" w:bidi="ar"/>
        </w:rPr>
        <w:drawing>
          <wp:inline distT="0" distB="0" distL="114300" distR="114300">
            <wp:extent cx="3952875" cy="1821815"/>
            <wp:effectExtent l="0" t="0" r="9525" b="6985"/>
            <wp:docPr id="4" name="图片 4"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true"/>
                    </pic:cNvPicPr>
                  </pic:nvPicPr>
                  <pic:blipFill>
                    <a:blip r:embed="rId15"/>
                    <a:stretch>
                      <a:fillRect/>
                    </a:stretch>
                  </pic:blipFill>
                  <pic:spPr>
                    <a:xfrm>
                      <a:off x="0" y="0"/>
                      <a:ext cx="3952875" cy="1821815"/>
                    </a:xfrm>
                    <a:prstGeom prst="rect">
                      <a:avLst/>
                    </a:prstGeom>
                    <a:noFill/>
                    <a:ln w="9525">
                      <a:noFill/>
                    </a:ln>
                  </pic:spPr>
                </pic:pic>
              </a:graphicData>
            </a:graphic>
          </wp:inline>
        </w:drawing>
      </w:r>
    </w:p>
    <w:p>
      <w:pPr>
        <w:spacing w:line="600" w:lineRule="exact"/>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（图5：一般公共预算财政拨款支出决算变动情况）（柱状图）</w:t>
      </w:r>
      <w:bookmarkStart w:id="39" w:name="_Toc15377211"/>
    </w:p>
    <w:p>
      <w:pPr>
        <w:spacing w:line="600" w:lineRule="exact"/>
        <w:ind w:firstLine="642" w:firstLineChars="200"/>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（二）一般公共预算财政拨款支出决算结构情况</w:t>
      </w:r>
      <w:bookmarkEnd w:id="39"/>
    </w:p>
    <w:p>
      <w:pPr>
        <w:spacing w:line="600" w:lineRule="exact"/>
        <w:ind w:firstLine="640"/>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年一般公共预算财政拨款支出</w:t>
      </w:r>
      <w:r>
        <w:rPr>
          <w:rFonts w:hint="eastAsia" w:ascii="仿宋_GB2312" w:hAnsi="仿宋_GB2312" w:eastAsia="仿宋_GB2312" w:cs="仿宋_GB2312"/>
          <w:color w:val="000000"/>
          <w:kern w:val="2"/>
          <w:sz w:val="32"/>
          <w:szCs w:val="24"/>
          <w:lang w:val="zh-CN"/>
        </w:rPr>
        <w:t>6146.86</w:t>
      </w:r>
      <w:r>
        <w:rPr>
          <w:rFonts w:hint="eastAsia" w:ascii="仿宋_GB2312" w:hAnsi="仿宋_GB2312" w:eastAsia="仿宋_GB2312" w:cs="仿宋_GB2312"/>
          <w:color w:val="auto"/>
          <w:sz w:val="32"/>
          <w:szCs w:val="32"/>
          <w:highlight w:val="none"/>
        </w:rPr>
        <w:t>万元，主要用于以下方</w:t>
      </w:r>
      <w:r>
        <w:rPr>
          <w:rFonts w:hint="eastAsia" w:ascii="仿宋_GB2312" w:hAnsi="仿宋_GB2312" w:eastAsia="仿宋_GB2312" w:cs="仿宋_GB2312"/>
          <w:b w:val="0"/>
          <w:bCs w:val="0"/>
          <w:color w:val="auto"/>
          <w:sz w:val="32"/>
          <w:szCs w:val="32"/>
          <w:highlight w:val="none"/>
        </w:rPr>
        <w:t>面:社会保障和就业支出</w:t>
      </w:r>
      <w:r>
        <w:rPr>
          <w:rFonts w:hint="eastAsia" w:ascii="仿宋_GB2312" w:hAnsi="仿宋_GB2312" w:eastAsia="仿宋_GB2312" w:cs="仿宋_GB2312"/>
          <w:b w:val="0"/>
          <w:bCs w:val="0"/>
          <w:color w:val="000000"/>
          <w:kern w:val="2"/>
          <w:sz w:val="32"/>
          <w:szCs w:val="24"/>
          <w:lang w:val="zh-CN"/>
        </w:rPr>
        <w:t>5829.95</w:t>
      </w:r>
      <w:r>
        <w:rPr>
          <w:rFonts w:hint="eastAsia" w:ascii="仿宋_GB2312" w:hAnsi="仿宋_GB2312" w:eastAsia="仿宋_GB2312" w:cs="仿宋_GB2312"/>
          <w:b w:val="0"/>
          <w:bCs w:val="0"/>
          <w:color w:val="auto"/>
          <w:sz w:val="32"/>
          <w:szCs w:val="32"/>
          <w:highlight w:val="none"/>
        </w:rPr>
        <w:t>万元，占</w:t>
      </w:r>
      <w:r>
        <w:rPr>
          <w:rFonts w:hint="eastAsia" w:ascii="仿宋_GB2312" w:hAnsi="仿宋_GB2312" w:eastAsia="仿宋_GB2312" w:cs="仿宋_GB2312"/>
          <w:b w:val="0"/>
          <w:bCs w:val="0"/>
          <w:color w:val="000000"/>
          <w:kern w:val="2"/>
          <w:sz w:val="32"/>
          <w:szCs w:val="24"/>
          <w:lang w:val="zh-CN"/>
        </w:rPr>
        <w:t>94.8</w:t>
      </w:r>
      <w:r>
        <w:rPr>
          <w:rFonts w:hint="eastAsia" w:ascii="仿宋_GB2312" w:hAnsi="仿宋_GB2312" w:eastAsia="仿宋_GB2312" w:cs="仿宋_GB2312"/>
          <w:b w:val="0"/>
          <w:bCs w:val="0"/>
          <w:color w:val="000000"/>
          <w:kern w:val="2"/>
          <w:sz w:val="32"/>
          <w:szCs w:val="24"/>
          <w:lang w:val="en-US" w:eastAsia="zh-CN"/>
        </w:rPr>
        <w:t>4</w:t>
      </w:r>
      <w:r>
        <w:rPr>
          <w:rFonts w:hint="eastAsia" w:ascii="仿宋_GB2312" w:hAnsi="仿宋_GB2312" w:eastAsia="仿宋_GB2312" w:cs="仿宋_GB2312"/>
          <w:b w:val="0"/>
          <w:bCs w:val="0"/>
          <w:color w:val="auto"/>
          <w:sz w:val="32"/>
          <w:szCs w:val="32"/>
          <w:highlight w:val="none"/>
        </w:rPr>
        <w:t>%；卫生健康支出</w:t>
      </w:r>
      <w:r>
        <w:rPr>
          <w:rFonts w:hint="eastAsia" w:ascii="仿宋_GB2312" w:hAnsi="仿宋_GB2312" w:eastAsia="仿宋_GB2312" w:cs="仿宋_GB2312"/>
          <w:b w:val="0"/>
          <w:bCs w:val="0"/>
          <w:color w:val="000000"/>
          <w:kern w:val="2"/>
          <w:sz w:val="32"/>
          <w:szCs w:val="24"/>
          <w:lang w:val="zh-CN"/>
        </w:rPr>
        <w:t>187.74</w:t>
      </w:r>
      <w:r>
        <w:rPr>
          <w:rFonts w:hint="eastAsia" w:ascii="仿宋_GB2312" w:hAnsi="仿宋_GB2312" w:eastAsia="仿宋_GB2312" w:cs="仿宋_GB2312"/>
          <w:b w:val="0"/>
          <w:bCs w:val="0"/>
          <w:color w:val="auto"/>
          <w:sz w:val="32"/>
          <w:szCs w:val="32"/>
          <w:highlight w:val="none"/>
        </w:rPr>
        <w:t>万元，占</w:t>
      </w:r>
      <w:r>
        <w:rPr>
          <w:rFonts w:hint="eastAsia" w:ascii="仿宋_GB2312" w:hAnsi="仿宋_GB2312" w:eastAsia="仿宋_GB2312" w:cs="仿宋_GB2312"/>
          <w:b w:val="0"/>
          <w:bCs w:val="0"/>
          <w:color w:val="000000"/>
          <w:kern w:val="2"/>
          <w:sz w:val="32"/>
          <w:szCs w:val="24"/>
          <w:lang w:val="zh-CN"/>
        </w:rPr>
        <w:t>3.</w:t>
      </w:r>
      <w:r>
        <w:rPr>
          <w:rFonts w:hint="eastAsia" w:ascii="仿宋_GB2312" w:hAnsi="仿宋_GB2312" w:eastAsia="仿宋_GB2312" w:cs="仿宋_GB2312"/>
          <w:b w:val="0"/>
          <w:bCs w:val="0"/>
          <w:color w:val="000000"/>
          <w:kern w:val="2"/>
          <w:sz w:val="32"/>
          <w:szCs w:val="24"/>
          <w:lang w:val="en-US" w:eastAsia="zh-CN"/>
        </w:rPr>
        <w:t>06</w:t>
      </w:r>
      <w:r>
        <w:rPr>
          <w:rFonts w:hint="eastAsia" w:ascii="仿宋_GB2312" w:hAnsi="仿宋_GB2312" w:eastAsia="仿宋_GB2312" w:cs="仿宋_GB2312"/>
          <w:b w:val="0"/>
          <w:bCs w:val="0"/>
          <w:color w:val="auto"/>
          <w:sz w:val="32"/>
          <w:szCs w:val="32"/>
          <w:highlight w:val="none"/>
        </w:rPr>
        <w:t>%；住房保障支出</w:t>
      </w:r>
      <w:r>
        <w:rPr>
          <w:rFonts w:hint="eastAsia" w:ascii="仿宋_GB2312" w:hAnsi="仿宋_GB2312" w:eastAsia="仿宋_GB2312" w:cs="仿宋_GB2312"/>
          <w:b w:val="0"/>
          <w:bCs w:val="0"/>
          <w:color w:val="000000"/>
          <w:kern w:val="2"/>
          <w:sz w:val="32"/>
          <w:szCs w:val="24"/>
          <w:lang w:val="zh-CN"/>
        </w:rPr>
        <w:t>129.1</w:t>
      </w:r>
      <w:r>
        <w:rPr>
          <w:rFonts w:hint="eastAsia" w:ascii="仿宋_GB2312" w:hAnsi="仿宋_GB2312" w:eastAsia="仿宋_GB2312" w:cs="仿宋_GB2312"/>
          <w:b w:val="0"/>
          <w:bCs w:val="0"/>
          <w:color w:val="000000"/>
          <w:kern w:val="2"/>
          <w:sz w:val="32"/>
          <w:szCs w:val="24"/>
          <w:lang w:val="en-US" w:eastAsia="zh-CN"/>
        </w:rPr>
        <w:t>7</w:t>
      </w:r>
      <w:r>
        <w:rPr>
          <w:rFonts w:hint="eastAsia" w:ascii="仿宋_GB2312" w:hAnsi="仿宋_GB2312" w:eastAsia="仿宋_GB2312" w:cs="仿宋_GB2312"/>
          <w:b w:val="0"/>
          <w:bCs w:val="0"/>
          <w:color w:val="auto"/>
          <w:sz w:val="32"/>
          <w:szCs w:val="32"/>
          <w:highlight w:val="none"/>
        </w:rPr>
        <w:t>万元，占</w:t>
      </w:r>
      <w:r>
        <w:rPr>
          <w:rFonts w:hint="eastAsia" w:ascii="仿宋_GB2312" w:hAnsi="仿宋_GB2312" w:eastAsia="仿宋_GB2312" w:cs="仿宋_GB2312"/>
          <w:b w:val="0"/>
          <w:bCs w:val="0"/>
          <w:color w:val="000000"/>
          <w:kern w:val="2"/>
          <w:sz w:val="32"/>
          <w:szCs w:val="24"/>
          <w:lang w:val="zh-CN"/>
        </w:rPr>
        <w:t>2.1</w:t>
      </w:r>
      <w:r>
        <w:rPr>
          <w:rFonts w:hint="eastAsia" w:ascii="仿宋_GB2312" w:hAnsi="仿宋_GB2312" w:eastAsia="仿宋_GB2312" w:cs="仿宋_GB2312"/>
          <w:b w:val="0"/>
          <w:bCs w:val="0"/>
          <w:color w:val="000000"/>
          <w:kern w:val="2"/>
          <w:sz w:val="32"/>
          <w:szCs w:val="24"/>
          <w:lang w:val="en-US" w:eastAsia="zh-CN"/>
        </w:rPr>
        <w:t>0</w:t>
      </w:r>
      <w:r>
        <w:rPr>
          <w:rFonts w:hint="eastAsia" w:ascii="仿宋_GB2312" w:hAnsi="仿宋_GB2312" w:eastAsia="仿宋_GB2312" w:cs="仿宋_GB2312"/>
          <w:b w:val="0"/>
          <w:bCs w:val="0"/>
          <w:color w:val="auto"/>
          <w:sz w:val="32"/>
          <w:szCs w:val="32"/>
          <w:highlight w:val="none"/>
        </w:rPr>
        <w:t>%。</w:t>
      </w:r>
    </w:p>
    <w:p>
      <w:pPr>
        <w:pStyle w:val="2"/>
        <w:jc w:val="center"/>
        <w:rPr>
          <w:rFonts w:hint="default" w:ascii="仿宋" w:hAnsi="仿宋" w:eastAsia="仿宋"/>
          <w:b/>
          <w:color w:val="auto"/>
          <w:sz w:val="32"/>
          <w:szCs w:val="32"/>
          <w:highlight w:val="none"/>
          <w:lang w:val="en-US" w:eastAsia="zh-CN"/>
        </w:rPr>
      </w:pPr>
      <w:r>
        <w:rPr>
          <w:rFonts w:hint="default" w:ascii="仿宋" w:hAnsi="仿宋" w:eastAsia="仿宋"/>
          <w:b/>
          <w:color w:val="auto"/>
          <w:sz w:val="32"/>
          <w:szCs w:val="32"/>
          <w:highlight w:val="none"/>
          <w:lang w:val="en-US" w:eastAsia="zh-CN"/>
        </w:rPr>
        <w:drawing>
          <wp:inline distT="0" distB="0" distL="114300" distR="114300">
            <wp:extent cx="4462145" cy="2350135"/>
            <wp:effectExtent l="0" t="0" r="14605" b="1206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line="600" w:lineRule="exact"/>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（图6：一般公共预算财政拨款支出决算结构）（饼状图）</w:t>
      </w:r>
      <w:bookmarkStart w:id="40" w:name="_Toc15377212"/>
    </w:p>
    <w:p>
      <w:pPr>
        <w:spacing w:line="600" w:lineRule="exact"/>
        <w:ind w:firstLine="642" w:firstLineChars="200"/>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（三）一般公共预算财政拨款支出决算具体情况</w:t>
      </w:r>
      <w:bookmarkEnd w:id="40"/>
    </w:p>
    <w:p>
      <w:pPr>
        <w:spacing w:line="600" w:lineRule="exact"/>
        <w:ind w:firstLine="640" w:firstLineChars="200"/>
        <w:outlineLvl w:val="2"/>
        <w:rPr>
          <w:rFonts w:hint="eastAsia" w:ascii="仿宋_GB2312" w:hAnsi="仿宋_GB2312" w:eastAsia="仿宋_GB2312" w:cs="仿宋_GB2312"/>
          <w:b w:val="0"/>
          <w:bCs/>
          <w:color w:val="auto"/>
          <w:sz w:val="32"/>
          <w:szCs w:val="32"/>
          <w:highlight w:val="none"/>
        </w:rPr>
      </w:pPr>
      <w:bookmarkStart w:id="41" w:name="_Toc15378460"/>
      <w:bookmarkStart w:id="42" w:name="_Toc15377213"/>
      <w:bookmarkStart w:id="43" w:name="_Toc15377444"/>
      <w:r>
        <w:rPr>
          <w:rFonts w:hint="eastAsia" w:ascii="仿宋_GB2312" w:hAnsi="仿宋_GB2312" w:eastAsia="仿宋_GB2312" w:cs="仿宋_GB2312"/>
          <w:b w:val="0"/>
          <w:bCs/>
          <w:color w:val="auto"/>
          <w:sz w:val="32"/>
          <w:szCs w:val="32"/>
          <w:highlight w:val="none"/>
        </w:rPr>
        <w:t>20</w:t>
      </w:r>
      <w:r>
        <w:rPr>
          <w:rFonts w:hint="eastAsia" w:ascii="仿宋_GB2312" w:hAnsi="仿宋_GB2312" w:eastAsia="仿宋_GB2312" w:cs="仿宋_GB2312"/>
          <w:b w:val="0"/>
          <w:bCs/>
          <w:color w:val="auto"/>
          <w:sz w:val="32"/>
          <w:szCs w:val="32"/>
          <w:highlight w:val="none"/>
          <w:lang w:val="en-US" w:eastAsia="zh-CN"/>
        </w:rPr>
        <w:t>22</w:t>
      </w:r>
      <w:r>
        <w:rPr>
          <w:rFonts w:hint="eastAsia" w:ascii="仿宋_GB2312" w:hAnsi="仿宋_GB2312" w:eastAsia="仿宋_GB2312" w:cs="仿宋_GB2312"/>
          <w:b w:val="0"/>
          <w:bCs/>
          <w:color w:val="auto"/>
          <w:sz w:val="32"/>
          <w:szCs w:val="32"/>
          <w:highlight w:val="none"/>
        </w:rPr>
        <w:t>年</w:t>
      </w:r>
      <w:r>
        <w:rPr>
          <w:rFonts w:hint="eastAsia" w:ascii="仿宋_GB2312" w:hAnsi="仿宋_GB2312" w:eastAsia="仿宋_GB2312" w:cs="仿宋_GB2312"/>
          <w:b w:val="0"/>
          <w:bCs/>
          <w:color w:val="auto"/>
          <w:sz w:val="32"/>
          <w:szCs w:val="32"/>
          <w:highlight w:val="none"/>
          <w:lang w:eastAsia="zh-CN"/>
        </w:rPr>
        <w:t>一</w:t>
      </w:r>
      <w:r>
        <w:rPr>
          <w:rFonts w:hint="eastAsia" w:ascii="仿宋_GB2312" w:hAnsi="仿宋_GB2312" w:eastAsia="仿宋_GB2312" w:cs="仿宋_GB2312"/>
          <w:b w:val="0"/>
          <w:bCs/>
          <w:color w:val="auto"/>
          <w:sz w:val="32"/>
          <w:szCs w:val="32"/>
          <w:highlight w:val="none"/>
        </w:rPr>
        <w:t>般公共预算支出决算数为</w:t>
      </w:r>
      <w:r>
        <w:rPr>
          <w:rFonts w:hint="eastAsia" w:ascii="仿宋_GB2312" w:hAnsi="仿宋_GB2312" w:eastAsia="仿宋_GB2312" w:cs="仿宋_GB2312"/>
          <w:b w:val="0"/>
          <w:bCs/>
          <w:color w:val="000000"/>
          <w:kern w:val="2"/>
          <w:sz w:val="32"/>
          <w:szCs w:val="24"/>
          <w:lang w:val="zh-CN"/>
        </w:rPr>
        <w:t>6146.86万元</w:t>
      </w:r>
      <w:r>
        <w:rPr>
          <w:rFonts w:hint="eastAsia" w:ascii="仿宋_GB2312" w:hAnsi="仿宋_GB2312" w:eastAsia="仿宋_GB2312" w:cs="仿宋_GB2312"/>
          <w:b w:val="0"/>
          <w:bCs/>
          <w:color w:val="auto"/>
          <w:sz w:val="32"/>
          <w:szCs w:val="32"/>
          <w:highlight w:val="none"/>
        </w:rPr>
        <w:t>，</w:t>
      </w:r>
      <w:r>
        <w:rPr>
          <w:rStyle w:val="17"/>
          <w:rFonts w:hint="eastAsia" w:ascii="仿宋_GB2312" w:hAnsi="仿宋_GB2312" w:eastAsia="仿宋_GB2312" w:cs="仿宋_GB2312"/>
          <w:b w:val="0"/>
          <w:bCs/>
          <w:color w:val="auto"/>
          <w:sz w:val="32"/>
          <w:szCs w:val="32"/>
          <w:highlight w:val="none"/>
        </w:rPr>
        <w:t>完成预算</w:t>
      </w:r>
      <w:r>
        <w:rPr>
          <w:rFonts w:hint="eastAsia" w:ascii="仿宋_GB2312" w:hAnsi="仿宋_GB2312" w:eastAsia="仿宋_GB2312" w:cs="仿宋_GB2312"/>
          <w:b w:val="0"/>
          <w:bCs/>
          <w:color w:val="000000"/>
          <w:kern w:val="2"/>
          <w:sz w:val="32"/>
          <w:szCs w:val="24"/>
          <w:lang w:val="zh-CN"/>
        </w:rPr>
        <w:t>97</w:t>
      </w:r>
      <w:r>
        <w:rPr>
          <w:rFonts w:hint="eastAsia" w:ascii="仿宋_GB2312" w:hAnsi="仿宋_GB2312" w:eastAsia="仿宋_GB2312" w:cs="仿宋_GB2312"/>
          <w:b w:val="0"/>
          <w:bCs/>
          <w:color w:val="000000"/>
          <w:kern w:val="2"/>
          <w:sz w:val="32"/>
          <w:szCs w:val="24"/>
          <w:lang w:val="en-US" w:eastAsia="zh-CN"/>
        </w:rPr>
        <w:t>.04</w:t>
      </w:r>
      <w:r>
        <w:rPr>
          <w:rFonts w:hint="eastAsia" w:ascii="仿宋_GB2312" w:hAnsi="仿宋_GB2312" w:eastAsia="仿宋_GB2312" w:cs="仿宋_GB2312"/>
          <w:b w:val="0"/>
          <w:bCs/>
          <w:color w:val="000000"/>
          <w:kern w:val="2"/>
          <w:sz w:val="32"/>
          <w:szCs w:val="24"/>
          <w:lang w:val="zh-CN"/>
        </w:rPr>
        <w:t>%</w:t>
      </w:r>
      <w:r>
        <w:rPr>
          <w:rStyle w:val="17"/>
          <w:rFonts w:hint="eastAsia" w:ascii="仿宋_GB2312" w:hAnsi="仿宋_GB2312" w:eastAsia="仿宋_GB2312" w:cs="仿宋_GB2312"/>
          <w:b w:val="0"/>
          <w:bCs/>
          <w:color w:val="auto"/>
          <w:sz w:val="32"/>
          <w:szCs w:val="32"/>
          <w:highlight w:val="none"/>
        </w:rPr>
        <w:t>。其中：</w:t>
      </w:r>
      <w:bookmarkEnd w:id="41"/>
      <w:bookmarkEnd w:id="42"/>
      <w:bookmarkEnd w:id="4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Style w:val="17"/>
          <w:rFonts w:hint="eastAsia" w:ascii="仿宋_GB2312" w:hAnsi="仿宋_GB2312" w:eastAsia="仿宋_GB2312" w:cs="仿宋_GB2312"/>
          <w:b w:val="0"/>
          <w:bCs/>
          <w:color w:val="auto"/>
          <w:sz w:val="32"/>
          <w:szCs w:val="32"/>
          <w:highlight w:val="none"/>
        </w:rPr>
      </w:pPr>
      <w:r>
        <w:rPr>
          <w:rStyle w:val="17"/>
          <w:rFonts w:hint="eastAsia" w:ascii="仿宋_GB2312" w:hAnsi="仿宋_GB2312" w:eastAsia="仿宋_GB2312" w:cs="仿宋_GB2312"/>
          <w:b w:val="0"/>
          <w:bCs/>
          <w:color w:val="auto"/>
          <w:sz w:val="32"/>
          <w:szCs w:val="32"/>
          <w:highlight w:val="none"/>
          <w:lang w:val="en-US" w:eastAsia="zh-CN"/>
        </w:rPr>
        <w:t>1</w:t>
      </w:r>
      <w:r>
        <w:rPr>
          <w:rStyle w:val="17"/>
          <w:rFonts w:hint="eastAsia" w:ascii="仿宋_GB2312" w:hAnsi="仿宋_GB2312" w:eastAsia="仿宋_GB2312" w:cs="仿宋_GB2312"/>
          <w:b w:val="0"/>
          <w:bCs/>
          <w:color w:val="auto"/>
          <w:sz w:val="32"/>
          <w:szCs w:val="32"/>
          <w:highlight w:val="none"/>
        </w:rPr>
        <w:t>.社会保障和就业（类）</w:t>
      </w:r>
      <w:r>
        <w:rPr>
          <w:rFonts w:hint="eastAsia" w:ascii="仿宋_GB2312" w:hAnsi="仿宋_GB2312" w:eastAsia="仿宋_GB2312" w:cs="仿宋_GB2312"/>
          <w:b w:val="0"/>
          <w:bCs/>
          <w:color w:val="000000"/>
          <w:sz w:val="32"/>
          <w:szCs w:val="32"/>
        </w:rPr>
        <w:t>行政事业单位养老支出</w:t>
      </w:r>
      <w:r>
        <w:rPr>
          <w:rStyle w:val="17"/>
          <w:rFonts w:hint="eastAsia" w:ascii="仿宋_GB2312" w:hAnsi="仿宋_GB2312" w:eastAsia="仿宋_GB2312" w:cs="仿宋_GB2312"/>
          <w:b w:val="0"/>
          <w:bCs/>
          <w:color w:val="auto"/>
          <w:sz w:val="32"/>
          <w:szCs w:val="32"/>
          <w:highlight w:val="none"/>
        </w:rPr>
        <w:t>（款）</w:t>
      </w:r>
      <w:r>
        <w:rPr>
          <w:rFonts w:hint="eastAsia" w:ascii="仿宋_GB2312" w:hAnsi="仿宋_GB2312" w:eastAsia="仿宋_GB2312" w:cs="仿宋_GB2312"/>
          <w:b w:val="0"/>
          <w:bCs/>
          <w:color w:val="000000"/>
          <w:sz w:val="32"/>
          <w:szCs w:val="32"/>
        </w:rPr>
        <w:t>机关事业单位基本养老保险缴费支出</w:t>
      </w:r>
      <w:r>
        <w:rPr>
          <w:rStyle w:val="17"/>
          <w:rFonts w:hint="eastAsia" w:ascii="仿宋_GB2312" w:hAnsi="仿宋_GB2312" w:eastAsia="仿宋_GB2312" w:cs="仿宋_GB2312"/>
          <w:b w:val="0"/>
          <w:bCs/>
          <w:color w:val="auto"/>
          <w:sz w:val="32"/>
          <w:szCs w:val="32"/>
          <w:highlight w:val="none"/>
        </w:rPr>
        <w:t>（项）:支出决算为</w:t>
      </w:r>
      <w:r>
        <w:rPr>
          <w:rStyle w:val="17"/>
          <w:rFonts w:hint="eastAsia" w:ascii="仿宋_GB2312" w:hAnsi="仿宋_GB2312" w:eastAsia="仿宋_GB2312" w:cs="仿宋_GB2312"/>
          <w:b w:val="0"/>
          <w:bCs/>
          <w:color w:val="auto"/>
          <w:sz w:val="32"/>
          <w:szCs w:val="32"/>
          <w:highlight w:val="none"/>
          <w:lang w:val="en-US" w:eastAsia="zh-CN"/>
        </w:rPr>
        <w:t>112.84</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Fonts w:hint="eastAsia" w:ascii="仿宋_GB2312" w:hAnsi="仿宋_GB2312" w:eastAsia="仿宋_GB2312" w:cs="仿宋_GB2312"/>
          <w:b w:val="0"/>
          <w:bCs/>
          <w:color w:val="000000"/>
          <w:sz w:val="32"/>
          <w:szCs w:val="32"/>
        </w:rPr>
        <w:t>%，与预算数持平。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Style w:val="17"/>
          <w:rFonts w:hint="eastAsia" w:ascii="仿宋_GB2312" w:hAnsi="仿宋_GB2312" w:eastAsia="仿宋_GB2312" w:cs="仿宋_GB2312"/>
          <w:b w:val="0"/>
          <w:bCs/>
          <w:color w:val="auto"/>
          <w:sz w:val="32"/>
          <w:szCs w:val="32"/>
          <w:highlight w:val="none"/>
        </w:rPr>
      </w:pPr>
      <w:r>
        <w:rPr>
          <w:rStyle w:val="17"/>
          <w:rFonts w:hint="eastAsia" w:ascii="仿宋_GB2312" w:hAnsi="仿宋_GB2312" w:eastAsia="仿宋_GB2312" w:cs="仿宋_GB2312"/>
          <w:b w:val="0"/>
          <w:bCs/>
          <w:color w:val="auto"/>
          <w:sz w:val="32"/>
          <w:szCs w:val="32"/>
          <w:highlight w:val="none"/>
          <w:lang w:val="en-US" w:eastAsia="zh-CN"/>
        </w:rPr>
        <w:t>2.</w:t>
      </w:r>
      <w:r>
        <w:rPr>
          <w:rStyle w:val="17"/>
          <w:rFonts w:hint="eastAsia" w:ascii="仿宋_GB2312" w:hAnsi="仿宋_GB2312" w:eastAsia="仿宋_GB2312" w:cs="仿宋_GB2312"/>
          <w:b w:val="0"/>
          <w:bCs/>
          <w:color w:val="auto"/>
          <w:sz w:val="32"/>
          <w:szCs w:val="32"/>
          <w:highlight w:val="none"/>
        </w:rPr>
        <w:t>社会保障和就业（类）</w:t>
      </w:r>
      <w:r>
        <w:rPr>
          <w:rFonts w:hint="eastAsia" w:ascii="仿宋_GB2312" w:hAnsi="仿宋_GB2312" w:eastAsia="仿宋_GB2312" w:cs="仿宋_GB2312"/>
          <w:b w:val="0"/>
          <w:bCs/>
          <w:color w:val="000000"/>
          <w:sz w:val="32"/>
          <w:szCs w:val="32"/>
        </w:rPr>
        <w:t>行政事业单位养老支出</w:t>
      </w:r>
      <w:r>
        <w:rPr>
          <w:rStyle w:val="17"/>
          <w:rFonts w:hint="eastAsia" w:ascii="仿宋_GB2312" w:hAnsi="仿宋_GB2312" w:eastAsia="仿宋_GB2312" w:cs="仿宋_GB2312"/>
          <w:b w:val="0"/>
          <w:bCs/>
          <w:color w:val="auto"/>
          <w:sz w:val="32"/>
          <w:szCs w:val="32"/>
          <w:highlight w:val="none"/>
        </w:rPr>
        <w:t>（款）</w:t>
      </w:r>
      <w:r>
        <w:rPr>
          <w:rFonts w:hint="eastAsia" w:ascii="仿宋_GB2312" w:hAnsi="仿宋_GB2312" w:eastAsia="仿宋_GB2312" w:cs="仿宋_GB2312"/>
          <w:b w:val="0"/>
          <w:bCs/>
          <w:color w:val="000000"/>
          <w:sz w:val="32"/>
          <w:szCs w:val="32"/>
          <w:lang w:val="en-US" w:eastAsia="zh-CN"/>
        </w:rPr>
        <w:t>机关事业单位职业年金缴费支出</w:t>
      </w:r>
      <w:r>
        <w:rPr>
          <w:rStyle w:val="17"/>
          <w:rFonts w:hint="eastAsia" w:ascii="仿宋_GB2312" w:hAnsi="仿宋_GB2312" w:eastAsia="仿宋_GB2312" w:cs="仿宋_GB2312"/>
          <w:b w:val="0"/>
          <w:bCs/>
          <w:color w:val="auto"/>
          <w:sz w:val="32"/>
          <w:szCs w:val="32"/>
          <w:highlight w:val="none"/>
        </w:rPr>
        <w:t>（项）</w:t>
      </w:r>
      <w:r>
        <w:rPr>
          <w:rStyle w:val="17"/>
          <w:rFonts w:hint="eastAsia" w:ascii="仿宋_GB2312" w:hAnsi="仿宋_GB2312" w:eastAsia="仿宋_GB2312" w:cs="仿宋_GB2312"/>
          <w:b w:val="0"/>
          <w:bCs/>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5.15</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val="0"/>
          <w:color w:val="000000"/>
          <w:sz w:val="32"/>
          <w:szCs w:val="32"/>
        </w:rPr>
        <w:t>与预算数持平。</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Style w:val="17"/>
          <w:rFonts w:hint="eastAsia" w:ascii="仿宋_GB2312" w:hAnsi="仿宋_GB2312" w:eastAsia="仿宋_GB2312" w:cs="仿宋_GB2312"/>
          <w:b w:val="0"/>
          <w:bCs/>
          <w:color w:val="auto"/>
          <w:sz w:val="32"/>
          <w:szCs w:val="32"/>
          <w:highlight w:val="none"/>
        </w:rPr>
      </w:pPr>
      <w:r>
        <w:rPr>
          <w:rStyle w:val="17"/>
          <w:rFonts w:hint="eastAsia" w:ascii="仿宋_GB2312" w:hAnsi="仿宋_GB2312" w:eastAsia="仿宋_GB2312" w:cs="仿宋_GB2312"/>
          <w:bCs/>
          <w:color w:val="auto"/>
          <w:kern w:val="2"/>
          <w:sz w:val="32"/>
          <w:szCs w:val="32"/>
          <w:highlight w:val="none"/>
          <w:lang w:val="en-US" w:eastAsia="zh-CN" w:bidi="ar-SA"/>
        </w:rPr>
        <w:t>3.</w:t>
      </w:r>
      <w:r>
        <w:rPr>
          <w:rFonts w:hint="eastAsia" w:ascii="仿宋_GB2312" w:hAnsi="仿宋_GB2312" w:eastAsia="仿宋_GB2312" w:cs="仿宋_GB2312"/>
          <w:b w:val="0"/>
          <w:bCs w:val="0"/>
          <w:color w:val="000000"/>
          <w:sz w:val="32"/>
          <w:szCs w:val="32"/>
          <w:lang w:val="en-US" w:eastAsia="zh-CN"/>
        </w:rPr>
        <w:t>社会保障和就业（类）抚恤（款）光荣院（项）：</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377.69</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99.84</w:t>
      </w:r>
      <w:r>
        <w:rPr>
          <w:rStyle w:val="17"/>
          <w:rFonts w:hint="eastAsia" w:ascii="仿宋_GB2312" w:hAnsi="仿宋_GB2312" w:eastAsia="仿宋_GB2312" w:cs="仿宋_GB2312"/>
          <w:b w:val="0"/>
          <w:bCs/>
          <w:color w:val="auto"/>
          <w:sz w:val="32"/>
          <w:szCs w:val="32"/>
          <w:highlight w:val="none"/>
        </w:rPr>
        <w:t>%，决算数小于预算数的主要原因是</w:t>
      </w:r>
      <w:r>
        <w:rPr>
          <w:rFonts w:hint="eastAsia" w:ascii="仿宋_GB2312" w:hAnsi="仿宋_GB2312" w:eastAsia="仿宋_GB2312" w:cs="仿宋_GB2312"/>
          <w:b w:val="0"/>
          <w:bCs w:val="0"/>
          <w:color w:val="000000"/>
          <w:sz w:val="32"/>
          <w:szCs w:val="32"/>
          <w:highlight w:val="none"/>
          <w:lang w:val="en-US" w:eastAsia="zh-CN"/>
        </w:rPr>
        <w:t>少量资金于2023年支付。</w:t>
      </w:r>
    </w:p>
    <w:p>
      <w:pPr>
        <w:keepNext w:val="0"/>
        <w:keepLines w:val="0"/>
        <w:pageBreakBefore w:val="0"/>
        <w:widowControl w:val="0"/>
        <w:kinsoku/>
        <w:wordWrap/>
        <w:overflowPunct/>
        <w:topLinePunct w:val="0"/>
        <w:bidi w:val="0"/>
        <w:spacing w:line="576" w:lineRule="exact"/>
        <w:ind w:firstLine="640" w:firstLineChars="200"/>
        <w:rPr>
          <w:rStyle w:val="17"/>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b w:val="0"/>
          <w:bCs w:val="0"/>
          <w:color w:val="000000"/>
          <w:sz w:val="32"/>
          <w:szCs w:val="32"/>
          <w:highlight w:val="none"/>
          <w:lang w:val="en-US" w:eastAsia="zh-CN"/>
        </w:rPr>
        <w:t>社会保障和就业（类）抚恤（款）烈士纪念设施管理维护（项）：</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760.92</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99.96</w:t>
      </w:r>
      <w:r>
        <w:rPr>
          <w:rStyle w:val="17"/>
          <w:rFonts w:hint="eastAsia" w:ascii="仿宋_GB2312" w:hAnsi="仿宋_GB2312" w:eastAsia="仿宋_GB2312" w:cs="仿宋_GB2312"/>
          <w:b w:val="0"/>
          <w:bCs/>
          <w:color w:val="auto"/>
          <w:sz w:val="32"/>
          <w:szCs w:val="32"/>
          <w:highlight w:val="none"/>
        </w:rPr>
        <w:t>%，决算数小于预算数的主要原因是</w:t>
      </w:r>
      <w:r>
        <w:rPr>
          <w:rStyle w:val="17"/>
          <w:rFonts w:hint="eastAsia" w:ascii="仿宋_GB2312" w:hAnsi="仿宋_GB2312" w:eastAsia="仿宋_GB2312" w:cs="仿宋_GB2312"/>
          <w:b w:val="0"/>
          <w:bCs/>
          <w:color w:val="000000"/>
          <w:sz w:val="32"/>
          <w:szCs w:val="32"/>
          <w:highlight w:val="none"/>
        </w:rPr>
        <w:t>部分项目支出202</w:t>
      </w:r>
      <w:r>
        <w:rPr>
          <w:rStyle w:val="17"/>
          <w:rFonts w:hint="eastAsia" w:ascii="仿宋_GB2312" w:hAnsi="仿宋_GB2312" w:eastAsia="仿宋_GB2312" w:cs="仿宋_GB2312"/>
          <w:b w:val="0"/>
          <w:bCs/>
          <w:color w:val="000000"/>
          <w:sz w:val="32"/>
          <w:szCs w:val="32"/>
          <w:highlight w:val="none"/>
          <w:lang w:val="en-US" w:eastAsia="zh-CN"/>
        </w:rPr>
        <w:t>2</w:t>
      </w:r>
      <w:r>
        <w:rPr>
          <w:rStyle w:val="17"/>
          <w:rFonts w:hint="eastAsia" w:ascii="仿宋_GB2312" w:hAnsi="仿宋_GB2312" w:eastAsia="仿宋_GB2312" w:cs="仿宋_GB2312"/>
          <w:b w:val="0"/>
          <w:bCs/>
          <w:color w:val="000000"/>
          <w:sz w:val="32"/>
          <w:szCs w:val="32"/>
          <w:highlight w:val="none"/>
        </w:rPr>
        <w:t>年尚未完成，202</w:t>
      </w:r>
      <w:r>
        <w:rPr>
          <w:rStyle w:val="17"/>
          <w:rFonts w:hint="eastAsia" w:ascii="仿宋_GB2312" w:hAnsi="仿宋_GB2312" w:eastAsia="仿宋_GB2312" w:cs="仿宋_GB2312"/>
          <w:b w:val="0"/>
          <w:bCs/>
          <w:color w:val="000000"/>
          <w:sz w:val="32"/>
          <w:szCs w:val="32"/>
          <w:highlight w:val="none"/>
          <w:lang w:val="en-US" w:eastAsia="zh-CN"/>
        </w:rPr>
        <w:t>3</w:t>
      </w:r>
      <w:r>
        <w:rPr>
          <w:rStyle w:val="17"/>
          <w:rFonts w:hint="eastAsia" w:ascii="仿宋_GB2312" w:hAnsi="仿宋_GB2312" w:eastAsia="仿宋_GB2312" w:cs="仿宋_GB2312"/>
          <w:b w:val="0"/>
          <w:bCs/>
          <w:color w:val="000000"/>
          <w:sz w:val="32"/>
          <w:szCs w:val="32"/>
          <w:highlight w:val="none"/>
        </w:rPr>
        <w:t>年还将继续实施</w:t>
      </w:r>
      <w:r>
        <w:rPr>
          <w:rStyle w:val="17"/>
          <w:rFonts w:hint="eastAsia" w:ascii="仿宋_GB2312" w:hAnsi="仿宋_GB2312" w:eastAsia="仿宋_GB2312" w:cs="仿宋_GB2312"/>
          <w:b w:val="0"/>
          <w:bCs/>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Style w:val="17"/>
          <w:rFonts w:hint="eastAsia" w:ascii="仿宋_GB2312" w:hAnsi="仿宋_GB2312" w:eastAsia="仿宋_GB2312" w:cs="仿宋_GB2312"/>
          <w:b w:val="0"/>
          <w:bCs/>
          <w:color w:val="auto"/>
          <w:sz w:val="32"/>
          <w:szCs w:val="32"/>
          <w:highlight w:val="none"/>
          <w:lang w:val="en-US" w:eastAsia="zh-CN"/>
        </w:rPr>
        <w:t>5.</w:t>
      </w:r>
      <w:r>
        <w:rPr>
          <w:rFonts w:hint="eastAsia" w:ascii="仿宋_GB2312" w:hAnsi="仿宋_GB2312" w:eastAsia="仿宋_GB2312" w:cs="仿宋_GB2312"/>
          <w:b w:val="0"/>
          <w:bCs w:val="0"/>
          <w:color w:val="000000"/>
          <w:sz w:val="32"/>
          <w:szCs w:val="32"/>
          <w:lang w:val="en-US" w:eastAsia="zh-CN"/>
        </w:rPr>
        <w:t>社会保障和就业（类）抚恤（款）其他优抚支出（项）：</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5.25</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val="0"/>
          <w:color w:val="000000"/>
          <w:sz w:val="32"/>
          <w:szCs w:val="32"/>
        </w:rPr>
        <w:t>与预算数持平。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Style w:val="17"/>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b w:val="0"/>
          <w:bCs w:val="0"/>
          <w:color w:val="000000"/>
          <w:sz w:val="32"/>
          <w:szCs w:val="32"/>
          <w:lang w:val="en-US" w:eastAsia="zh-CN"/>
        </w:rPr>
        <w:t>社会保障和就业（类）退役安置（款）军队移交政府的离退休人员安置（项）:</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1500.86</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val="0"/>
          <w:color w:val="000000"/>
          <w:sz w:val="32"/>
          <w:szCs w:val="32"/>
        </w:rPr>
        <w:t>与预算数持平。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b w:val="0"/>
          <w:bCs w:val="0"/>
          <w:color w:val="000000"/>
          <w:sz w:val="32"/>
          <w:szCs w:val="32"/>
          <w:lang w:val="en-US" w:eastAsia="zh-CN"/>
        </w:rPr>
        <w:t>社会保障和就业（类）退役安置（款）军队移交政府离退休干部管理机构（项）:</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353.36</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val="0"/>
          <w:color w:val="000000"/>
          <w:sz w:val="32"/>
          <w:szCs w:val="32"/>
        </w:rPr>
        <w:t>与预算数持平。</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Style w:val="17"/>
          <w:rFonts w:hint="eastAsia" w:ascii="仿宋_GB2312" w:hAnsi="仿宋_GB2312" w:eastAsia="仿宋_GB2312" w:cs="仿宋_GB2312"/>
          <w:b w:val="0"/>
          <w:bCs/>
          <w:color w:val="auto"/>
          <w:sz w:val="32"/>
          <w:szCs w:val="32"/>
          <w:highlight w:val="none"/>
        </w:rPr>
      </w:pPr>
      <w:r>
        <w:rPr>
          <w:rStyle w:val="17"/>
          <w:rFonts w:hint="eastAsia" w:ascii="仿宋_GB2312" w:hAnsi="仿宋_GB2312" w:eastAsia="仿宋_GB2312" w:cs="仿宋_GB2312"/>
          <w:b w:val="0"/>
          <w:bCs/>
          <w:color w:val="auto"/>
          <w:sz w:val="32"/>
          <w:szCs w:val="32"/>
          <w:highlight w:val="none"/>
          <w:lang w:val="en-US" w:eastAsia="zh-CN"/>
        </w:rPr>
        <w:t>8.</w:t>
      </w:r>
      <w:r>
        <w:rPr>
          <w:rFonts w:hint="eastAsia" w:ascii="仿宋_GB2312" w:hAnsi="仿宋_GB2312" w:eastAsia="仿宋_GB2312" w:cs="仿宋_GB2312"/>
          <w:b w:val="0"/>
          <w:bCs w:val="0"/>
          <w:color w:val="000000"/>
          <w:sz w:val="32"/>
          <w:szCs w:val="32"/>
          <w:lang w:val="en-US" w:eastAsia="zh-CN"/>
        </w:rPr>
        <w:t>社会保障和就业（类）退役安置（款）军队转</w:t>
      </w:r>
      <w:r>
        <w:rPr>
          <w:rFonts w:hint="eastAsia" w:ascii="仿宋_GB2312" w:hAnsi="仿宋_GB2312" w:eastAsia="仿宋_GB2312" w:cs="仿宋_GB2312"/>
          <w:b w:val="0"/>
          <w:bCs w:val="0"/>
          <w:color w:val="000000"/>
          <w:sz w:val="32"/>
          <w:szCs w:val="32"/>
          <w:highlight w:val="none"/>
          <w:lang w:val="en-US" w:eastAsia="zh-CN"/>
        </w:rPr>
        <w:t>业干部安置（项）：</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158.88</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89.66</w:t>
      </w:r>
      <w:r>
        <w:rPr>
          <w:rStyle w:val="17"/>
          <w:rFonts w:hint="eastAsia" w:ascii="仿宋_GB2312" w:hAnsi="仿宋_GB2312" w:eastAsia="仿宋_GB2312" w:cs="仿宋_GB2312"/>
          <w:b w:val="0"/>
          <w:bCs/>
          <w:color w:val="auto"/>
          <w:sz w:val="32"/>
          <w:szCs w:val="32"/>
          <w:highlight w:val="none"/>
        </w:rPr>
        <w:t>%，决算数小于预算数的主要原因是</w:t>
      </w:r>
      <w:r>
        <w:rPr>
          <w:rStyle w:val="17"/>
          <w:rFonts w:hint="eastAsia" w:ascii="仿宋_GB2312" w:hAnsi="仿宋_GB2312" w:eastAsia="仿宋_GB2312" w:cs="仿宋_GB2312"/>
          <w:b w:val="0"/>
          <w:bCs/>
          <w:color w:val="auto"/>
          <w:sz w:val="32"/>
          <w:szCs w:val="32"/>
          <w:highlight w:val="none"/>
          <w:lang w:eastAsia="zh-CN"/>
        </w:rPr>
        <w:t>军转干部行政经费未支付完结</w:t>
      </w:r>
      <w:r>
        <w:rPr>
          <w:rStyle w:val="17"/>
          <w:rFonts w:hint="eastAsia" w:ascii="仿宋_GB2312" w:hAnsi="仿宋_GB2312" w:eastAsia="仿宋_GB2312" w:cs="仿宋_GB2312"/>
          <w:b w:val="0"/>
          <w:bCs/>
          <w:color w:val="auto"/>
          <w:sz w:val="32"/>
          <w:szCs w:val="32"/>
          <w:highlight w:val="none"/>
        </w:rPr>
        <w:t>，资金</w:t>
      </w:r>
      <w:r>
        <w:rPr>
          <w:rStyle w:val="17"/>
          <w:rFonts w:hint="eastAsia" w:ascii="仿宋_GB2312" w:hAnsi="仿宋_GB2312" w:eastAsia="仿宋_GB2312" w:cs="仿宋_GB2312"/>
          <w:b w:val="0"/>
          <w:bCs/>
          <w:color w:val="auto"/>
          <w:sz w:val="32"/>
          <w:szCs w:val="32"/>
          <w:highlight w:val="none"/>
          <w:lang w:val="en-US"/>
        </w:rPr>
        <w:t>待</w:t>
      </w:r>
      <w:r>
        <w:rPr>
          <w:rStyle w:val="17"/>
          <w:rFonts w:hint="eastAsia" w:ascii="仿宋_GB2312" w:hAnsi="仿宋_GB2312" w:eastAsia="仿宋_GB2312" w:cs="仿宋_GB2312"/>
          <w:b w:val="0"/>
          <w:bCs/>
          <w:color w:val="auto"/>
          <w:sz w:val="32"/>
          <w:szCs w:val="32"/>
          <w:highlight w:val="none"/>
        </w:rPr>
        <w:t>支付。</w:t>
      </w:r>
    </w:p>
    <w:p>
      <w:pPr>
        <w:keepNext w:val="0"/>
        <w:keepLines w:val="0"/>
        <w:pageBreakBefore w:val="0"/>
        <w:widowControl w:val="0"/>
        <w:kinsoku/>
        <w:wordWrap/>
        <w:overflowPunct/>
        <w:topLinePunct w:val="0"/>
        <w:bidi w:val="0"/>
        <w:spacing w:line="576" w:lineRule="exact"/>
        <w:ind w:firstLine="640" w:firstLineChars="200"/>
        <w:rPr>
          <w:rFonts w:hint="eastAsia" w:ascii="仿宋_GB2312" w:hAnsi="仿宋_GB2312" w:eastAsia="仿宋_GB2312" w:cs="仿宋_GB2312"/>
          <w:b w:val="0"/>
          <w:bCs w:val="0"/>
          <w:color w:val="000000"/>
          <w:sz w:val="32"/>
          <w:szCs w:val="32"/>
          <w:lang w:eastAsia="zh-CN"/>
        </w:rPr>
      </w:pPr>
      <w:r>
        <w:rPr>
          <w:rFonts w:hint="eastAsia" w:ascii="仿宋_GB2312" w:hAnsi="仿宋_GB2312" w:eastAsia="仿宋_GB2312" w:cs="仿宋_GB2312"/>
          <w:sz w:val="32"/>
          <w:szCs w:val="32"/>
          <w:highlight w:val="none"/>
          <w:lang w:val="en-US" w:eastAsia="zh-CN"/>
        </w:rPr>
        <w:t>9.</w:t>
      </w:r>
      <w:r>
        <w:rPr>
          <w:rFonts w:hint="eastAsia" w:ascii="仿宋_GB2312" w:hAnsi="仿宋_GB2312" w:eastAsia="仿宋_GB2312" w:cs="仿宋_GB2312"/>
          <w:b w:val="0"/>
          <w:bCs w:val="0"/>
          <w:color w:val="000000"/>
          <w:sz w:val="32"/>
          <w:szCs w:val="32"/>
          <w:highlight w:val="none"/>
          <w:lang w:val="en-US" w:eastAsia="zh-CN"/>
        </w:rPr>
        <w:t>社会保障和就业（类）退役安置（款）其他退役安置支出（项）：</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1.70</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1.45</w:t>
      </w:r>
      <w:r>
        <w:rPr>
          <w:rStyle w:val="17"/>
          <w:rFonts w:hint="eastAsia" w:ascii="仿宋_GB2312" w:hAnsi="仿宋_GB2312" w:eastAsia="仿宋_GB2312" w:cs="仿宋_GB2312"/>
          <w:b w:val="0"/>
          <w:bCs/>
          <w:color w:val="auto"/>
          <w:sz w:val="32"/>
          <w:szCs w:val="32"/>
          <w:highlight w:val="none"/>
        </w:rPr>
        <w:t>%，决算数小于预算数的主要原因是</w:t>
      </w:r>
      <w:r>
        <w:rPr>
          <w:rFonts w:hint="eastAsia" w:ascii="仿宋_GB2312" w:hAnsi="仿宋_GB2312" w:eastAsia="仿宋_GB2312" w:cs="仿宋_GB2312"/>
          <w:b w:val="0"/>
          <w:bCs w:val="0"/>
          <w:color w:val="000000"/>
          <w:sz w:val="32"/>
          <w:szCs w:val="32"/>
          <w:lang w:eastAsia="zh-CN"/>
        </w:rPr>
        <w:t>部分项目支出202</w:t>
      </w:r>
      <w:r>
        <w:rPr>
          <w:rFonts w:hint="eastAsia" w:ascii="仿宋_GB2312" w:hAnsi="仿宋_GB2312" w:eastAsia="仿宋_GB2312" w:cs="仿宋_GB2312"/>
          <w:b w:val="0"/>
          <w:bCs w:val="0"/>
          <w:color w:val="000000"/>
          <w:sz w:val="32"/>
          <w:szCs w:val="32"/>
          <w:lang w:val="en-US" w:eastAsia="zh-CN"/>
        </w:rPr>
        <w:t>2</w:t>
      </w:r>
      <w:r>
        <w:rPr>
          <w:rFonts w:hint="eastAsia" w:ascii="仿宋_GB2312" w:hAnsi="仿宋_GB2312" w:eastAsia="仿宋_GB2312" w:cs="仿宋_GB2312"/>
          <w:b w:val="0"/>
          <w:bCs w:val="0"/>
          <w:color w:val="000000"/>
          <w:sz w:val="32"/>
          <w:szCs w:val="32"/>
          <w:lang w:eastAsia="zh-CN"/>
        </w:rPr>
        <w:t>年尚未完成，202</w:t>
      </w:r>
      <w:r>
        <w:rPr>
          <w:rFonts w:hint="eastAsia" w:ascii="仿宋_GB2312" w:hAnsi="仿宋_GB2312" w:eastAsia="仿宋_GB2312" w:cs="仿宋_GB2312"/>
          <w:b w:val="0"/>
          <w:bCs w:val="0"/>
          <w:color w:val="000000"/>
          <w:sz w:val="32"/>
          <w:szCs w:val="32"/>
          <w:lang w:val="en-US" w:eastAsia="zh-CN"/>
        </w:rPr>
        <w:t>3</w:t>
      </w:r>
      <w:r>
        <w:rPr>
          <w:rFonts w:hint="eastAsia" w:ascii="仿宋_GB2312" w:hAnsi="仿宋_GB2312" w:eastAsia="仿宋_GB2312" w:cs="仿宋_GB2312"/>
          <w:b w:val="0"/>
          <w:bCs w:val="0"/>
          <w:color w:val="000000"/>
          <w:sz w:val="32"/>
          <w:szCs w:val="32"/>
          <w:lang w:eastAsia="zh-CN"/>
        </w:rPr>
        <w:t>年还将继续实施。</w:t>
      </w:r>
    </w:p>
    <w:p>
      <w:pPr>
        <w:pStyle w:val="2"/>
        <w:keepNext w:val="0"/>
        <w:keepLines w:val="0"/>
        <w:pageBreakBefore w:val="0"/>
        <w:widowControl w:val="0"/>
        <w:kinsoku/>
        <w:wordWrap/>
        <w:overflowPunct/>
        <w:topLinePunct w:val="0"/>
        <w:autoSpaceDE/>
        <w:autoSpaceDN/>
        <w:bidi w:val="0"/>
        <w:adjustRightInd/>
        <w:snapToGrid/>
        <w:spacing w:beforeLines="0" w:line="560" w:lineRule="exact"/>
        <w:ind w:firstLine="640" w:firstLineChars="200"/>
        <w:textAlignment w:val="auto"/>
        <w:rPr>
          <w:rStyle w:val="17"/>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b w:val="0"/>
          <w:bCs w:val="0"/>
          <w:color w:val="000000"/>
          <w:sz w:val="32"/>
          <w:szCs w:val="32"/>
          <w:lang w:val="en-US" w:eastAsia="zh-CN"/>
        </w:rPr>
        <w:t>社会保障和就业（类）退役军人管理事务（款）行政运行（项）：</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318.18</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val="0"/>
          <w:color w:val="000000"/>
          <w:sz w:val="32"/>
          <w:szCs w:val="32"/>
        </w:rPr>
        <w:t>与预算数持平。</w:t>
      </w:r>
    </w:p>
    <w:p>
      <w:pPr>
        <w:pStyle w:val="2"/>
        <w:keepNext w:val="0"/>
        <w:keepLines w:val="0"/>
        <w:pageBreakBefore w:val="0"/>
        <w:widowControl w:val="0"/>
        <w:kinsoku/>
        <w:wordWrap/>
        <w:overflowPunct/>
        <w:topLinePunct w:val="0"/>
        <w:autoSpaceDE/>
        <w:autoSpaceDN/>
        <w:bidi w:val="0"/>
        <w:adjustRightInd/>
        <w:snapToGrid/>
        <w:spacing w:beforeLines="0" w:line="560" w:lineRule="exact"/>
        <w:ind w:firstLine="640" w:firstLineChars="200"/>
        <w:textAlignment w:val="auto"/>
        <w:rPr>
          <w:rStyle w:val="17"/>
          <w:rFonts w:hint="eastAsia" w:ascii="仿宋_GB2312" w:hAnsi="仿宋_GB2312" w:eastAsia="仿宋_GB2312" w:cs="仿宋_GB2312"/>
          <w:b w:val="0"/>
          <w:bCs/>
          <w:color w:val="auto"/>
          <w:sz w:val="32"/>
          <w:szCs w:val="32"/>
          <w:highlight w:val="none"/>
        </w:rPr>
      </w:pPr>
      <w:r>
        <w:rPr>
          <w:rStyle w:val="17"/>
          <w:rFonts w:hint="eastAsia" w:ascii="仿宋_GB2312" w:hAnsi="仿宋_GB2312" w:eastAsia="仿宋_GB2312" w:cs="仿宋_GB2312"/>
          <w:b w:val="0"/>
          <w:bCs/>
          <w:color w:val="auto"/>
          <w:sz w:val="32"/>
          <w:szCs w:val="32"/>
          <w:highlight w:val="none"/>
          <w:lang w:val="en-US" w:eastAsia="zh-CN"/>
        </w:rPr>
        <w:t>11.</w:t>
      </w:r>
      <w:r>
        <w:rPr>
          <w:rFonts w:hint="eastAsia" w:ascii="仿宋_GB2312" w:hAnsi="仿宋_GB2312" w:eastAsia="仿宋_GB2312" w:cs="仿宋_GB2312"/>
          <w:b w:val="0"/>
          <w:bCs w:val="0"/>
          <w:color w:val="000000"/>
          <w:sz w:val="32"/>
          <w:szCs w:val="32"/>
          <w:lang w:val="en-US" w:eastAsia="zh-CN"/>
        </w:rPr>
        <w:t>社会保障和就业（类）退役军人管理事务（款）军供保障（项）：</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349.62</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val="0"/>
          <w:color w:val="000000"/>
          <w:sz w:val="32"/>
          <w:szCs w:val="32"/>
        </w:rPr>
        <w:t>与预算数持平。</w:t>
      </w:r>
    </w:p>
    <w:p>
      <w:pPr>
        <w:pStyle w:val="2"/>
        <w:keepNext w:val="0"/>
        <w:keepLines w:val="0"/>
        <w:pageBreakBefore w:val="0"/>
        <w:widowControl w:val="0"/>
        <w:kinsoku/>
        <w:wordWrap/>
        <w:overflowPunct/>
        <w:topLinePunct w:val="0"/>
        <w:autoSpaceDE/>
        <w:autoSpaceDN/>
        <w:bidi w:val="0"/>
        <w:adjustRightInd/>
        <w:snapToGrid/>
        <w:spacing w:beforeLines="0" w:line="560" w:lineRule="exact"/>
        <w:ind w:firstLine="640" w:firstLineChars="200"/>
        <w:textAlignment w:val="auto"/>
        <w:rPr>
          <w:rStyle w:val="17"/>
          <w:rFonts w:hint="eastAsia" w:ascii="仿宋_GB2312" w:hAnsi="仿宋_GB2312" w:eastAsia="仿宋_GB2312" w:cs="仿宋_GB2312"/>
          <w:b w:val="0"/>
          <w:bCs/>
          <w:color w:val="auto"/>
          <w:sz w:val="32"/>
          <w:szCs w:val="32"/>
          <w:highlight w:val="none"/>
        </w:rPr>
      </w:pPr>
      <w:r>
        <w:rPr>
          <w:rStyle w:val="17"/>
          <w:rFonts w:hint="eastAsia" w:ascii="仿宋_GB2312" w:hAnsi="仿宋_GB2312" w:eastAsia="仿宋_GB2312" w:cs="仿宋_GB2312"/>
          <w:b w:val="0"/>
          <w:bCs/>
          <w:color w:val="auto"/>
          <w:sz w:val="32"/>
          <w:szCs w:val="32"/>
          <w:highlight w:val="none"/>
          <w:lang w:val="en-US" w:eastAsia="zh-CN"/>
        </w:rPr>
        <w:t>12.</w:t>
      </w:r>
      <w:r>
        <w:rPr>
          <w:rFonts w:hint="eastAsia" w:ascii="仿宋_GB2312" w:hAnsi="仿宋_GB2312" w:eastAsia="仿宋_GB2312" w:cs="仿宋_GB2312"/>
          <w:b w:val="0"/>
          <w:bCs w:val="0"/>
          <w:color w:val="000000"/>
          <w:sz w:val="32"/>
          <w:szCs w:val="32"/>
          <w:lang w:val="en-US" w:eastAsia="zh-CN"/>
        </w:rPr>
        <w:t>社会保障和就业（类）退役军人管理事务（款</w:t>
      </w:r>
      <w:r>
        <w:rPr>
          <w:rFonts w:hint="eastAsia" w:ascii="仿宋_GB2312" w:hAnsi="仿宋_GB2312" w:eastAsia="仿宋_GB2312" w:cs="仿宋_GB2312"/>
          <w:b w:val="0"/>
          <w:bCs w:val="0"/>
          <w:color w:val="000000"/>
          <w:sz w:val="32"/>
          <w:szCs w:val="32"/>
          <w:highlight w:val="none"/>
          <w:lang w:val="en-US" w:eastAsia="zh-CN"/>
        </w:rPr>
        <w:t>）事业运行（项）：</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259.49</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99.96</w:t>
      </w:r>
      <w:r>
        <w:rPr>
          <w:rStyle w:val="17"/>
          <w:rFonts w:hint="eastAsia" w:ascii="仿宋_GB2312" w:hAnsi="仿宋_GB2312" w:eastAsia="仿宋_GB2312" w:cs="仿宋_GB2312"/>
          <w:b w:val="0"/>
          <w:bCs/>
          <w:color w:val="auto"/>
          <w:sz w:val="32"/>
          <w:szCs w:val="32"/>
          <w:highlight w:val="none"/>
        </w:rPr>
        <w:t>%，决算数小于预算数的主要原因是</w:t>
      </w:r>
      <w:r>
        <w:rPr>
          <w:rFonts w:hint="eastAsia" w:ascii="仿宋_GB2312" w:hAnsi="仿宋_GB2312" w:eastAsia="仿宋_GB2312" w:cs="仿宋_GB2312"/>
          <w:b w:val="0"/>
          <w:bCs w:val="0"/>
          <w:color w:val="000000"/>
          <w:sz w:val="32"/>
          <w:szCs w:val="32"/>
          <w:highlight w:val="none"/>
          <w:lang w:val="en-US" w:eastAsia="zh-CN"/>
        </w:rPr>
        <w:t>2022年年底未能及时支付，在2023年执行完成。</w:t>
      </w:r>
    </w:p>
    <w:p>
      <w:pPr>
        <w:pStyle w:val="2"/>
        <w:keepNext w:val="0"/>
        <w:keepLines w:val="0"/>
        <w:pageBreakBefore w:val="0"/>
        <w:widowControl w:val="0"/>
        <w:kinsoku/>
        <w:wordWrap/>
        <w:overflowPunct/>
        <w:topLinePunct w:val="0"/>
        <w:autoSpaceDE/>
        <w:autoSpaceDN/>
        <w:bidi w:val="0"/>
        <w:adjustRightInd/>
        <w:snapToGrid/>
        <w:spacing w:beforeLines="0" w:line="560" w:lineRule="exact"/>
        <w:ind w:firstLine="640" w:firstLineChars="200"/>
        <w:textAlignment w:val="auto"/>
        <w:rPr>
          <w:rStyle w:val="17"/>
          <w:rFonts w:hint="eastAsia" w:ascii="仿宋_GB2312" w:hAnsi="仿宋_GB2312" w:eastAsia="仿宋_GB2312" w:cs="仿宋_GB2312"/>
          <w:b w:val="0"/>
          <w:bCs/>
          <w:color w:val="auto"/>
          <w:sz w:val="32"/>
          <w:szCs w:val="32"/>
          <w:highlight w:val="none"/>
        </w:rPr>
      </w:pPr>
      <w:r>
        <w:rPr>
          <w:rStyle w:val="17"/>
          <w:rFonts w:hint="eastAsia" w:ascii="仿宋_GB2312" w:hAnsi="仿宋_GB2312" w:eastAsia="仿宋_GB2312" w:cs="仿宋_GB2312"/>
          <w:b w:val="0"/>
          <w:bCs/>
          <w:color w:val="auto"/>
          <w:sz w:val="32"/>
          <w:szCs w:val="32"/>
          <w:highlight w:val="none"/>
          <w:lang w:val="en-US" w:eastAsia="zh-CN"/>
        </w:rPr>
        <w:t>13.</w:t>
      </w:r>
      <w:r>
        <w:rPr>
          <w:rFonts w:hint="eastAsia" w:ascii="仿宋_GB2312" w:hAnsi="仿宋_GB2312" w:eastAsia="仿宋_GB2312" w:cs="仿宋_GB2312"/>
          <w:b w:val="0"/>
          <w:bCs w:val="0"/>
          <w:color w:val="000000"/>
          <w:sz w:val="32"/>
          <w:szCs w:val="32"/>
          <w:highlight w:val="none"/>
          <w:lang w:val="en-US" w:eastAsia="zh-CN"/>
        </w:rPr>
        <w:t>社会保障和就业（类）退役军人管理事务（款）其他退役军人事务管理支出（项）：</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1624.61</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96.84</w:t>
      </w:r>
      <w:r>
        <w:rPr>
          <w:rStyle w:val="17"/>
          <w:rFonts w:hint="eastAsia" w:ascii="仿宋_GB2312" w:hAnsi="仿宋_GB2312" w:eastAsia="仿宋_GB2312" w:cs="仿宋_GB2312"/>
          <w:b w:val="0"/>
          <w:bCs/>
          <w:color w:val="auto"/>
          <w:sz w:val="32"/>
          <w:szCs w:val="32"/>
          <w:highlight w:val="none"/>
        </w:rPr>
        <w:t>%，决算数小于预算数的主要原因是</w:t>
      </w:r>
      <w:r>
        <w:rPr>
          <w:rStyle w:val="17"/>
          <w:rFonts w:hint="eastAsia" w:ascii="仿宋_GB2312" w:hAnsi="仿宋_GB2312" w:eastAsia="仿宋_GB2312" w:cs="仿宋_GB2312"/>
          <w:b w:val="0"/>
          <w:bCs/>
          <w:color w:val="auto"/>
          <w:sz w:val="32"/>
          <w:szCs w:val="32"/>
          <w:highlight w:val="none"/>
          <w:lang w:eastAsia="zh-CN"/>
        </w:rPr>
        <w:t>部分</w:t>
      </w:r>
      <w:r>
        <w:rPr>
          <w:rStyle w:val="17"/>
          <w:rFonts w:hint="eastAsia" w:ascii="仿宋_GB2312" w:hAnsi="仿宋_GB2312" w:eastAsia="仿宋_GB2312" w:cs="仿宋_GB2312"/>
          <w:b w:val="0"/>
          <w:bCs/>
          <w:color w:val="000000"/>
          <w:sz w:val="32"/>
          <w:szCs w:val="32"/>
          <w:highlight w:val="none"/>
        </w:rPr>
        <w:t>项目支出2</w:t>
      </w:r>
      <w:r>
        <w:rPr>
          <w:rStyle w:val="17"/>
          <w:rFonts w:hint="eastAsia" w:ascii="仿宋_GB2312" w:hAnsi="仿宋_GB2312" w:eastAsia="仿宋_GB2312" w:cs="仿宋_GB2312"/>
          <w:b w:val="0"/>
          <w:bCs/>
          <w:color w:val="000000"/>
          <w:sz w:val="32"/>
          <w:szCs w:val="32"/>
        </w:rPr>
        <w:t>02</w:t>
      </w:r>
      <w:r>
        <w:rPr>
          <w:rStyle w:val="17"/>
          <w:rFonts w:hint="eastAsia" w:ascii="仿宋_GB2312" w:hAnsi="仿宋_GB2312" w:eastAsia="仿宋_GB2312" w:cs="仿宋_GB2312"/>
          <w:b w:val="0"/>
          <w:bCs/>
          <w:color w:val="000000"/>
          <w:sz w:val="32"/>
          <w:szCs w:val="32"/>
          <w:lang w:val="en-US" w:eastAsia="zh-CN"/>
        </w:rPr>
        <w:t>2年未</w:t>
      </w:r>
      <w:r>
        <w:rPr>
          <w:rStyle w:val="17"/>
          <w:rFonts w:hint="eastAsia" w:ascii="仿宋_GB2312" w:hAnsi="仿宋_GB2312" w:eastAsia="仿宋_GB2312" w:cs="仿宋_GB2312"/>
          <w:b w:val="0"/>
          <w:bCs/>
          <w:color w:val="000000"/>
          <w:sz w:val="32"/>
          <w:szCs w:val="32"/>
        </w:rPr>
        <w:t>完成，202</w:t>
      </w:r>
      <w:r>
        <w:rPr>
          <w:rStyle w:val="17"/>
          <w:rFonts w:hint="eastAsia" w:ascii="仿宋_GB2312" w:hAnsi="仿宋_GB2312" w:eastAsia="仿宋_GB2312" w:cs="仿宋_GB2312"/>
          <w:b w:val="0"/>
          <w:bCs/>
          <w:color w:val="000000"/>
          <w:sz w:val="32"/>
          <w:szCs w:val="32"/>
          <w:lang w:val="en-US" w:eastAsia="zh-CN"/>
        </w:rPr>
        <w:t>3</w:t>
      </w:r>
      <w:r>
        <w:rPr>
          <w:rStyle w:val="17"/>
          <w:rFonts w:hint="eastAsia" w:ascii="仿宋_GB2312" w:hAnsi="仿宋_GB2312" w:eastAsia="仿宋_GB2312" w:cs="仿宋_GB2312"/>
          <w:b w:val="0"/>
          <w:bCs/>
          <w:color w:val="000000"/>
          <w:sz w:val="32"/>
          <w:szCs w:val="32"/>
        </w:rPr>
        <w:t>年还将继续实施</w:t>
      </w:r>
      <w:r>
        <w:rPr>
          <w:rStyle w:val="17"/>
          <w:rFonts w:hint="eastAsia" w:ascii="仿宋_GB2312" w:hAnsi="仿宋_GB2312" w:eastAsia="仿宋_GB2312" w:cs="仿宋_GB2312"/>
          <w:b w:val="0"/>
          <w:bCs/>
          <w:color w:val="auto"/>
          <w:sz w:val="32"/>
          <w:szCs w:val="32"/>
          <w:highlight w:val="none"/>
        </w:rPr>
        <w:t>。</w:t>
      </w:r>
    </w:p>
    <w:p>
      <w:pPr>
        <w:pStyle w:val="2"/>
        <w:keepNext w:val="0"/>
        <w:keepLines w:val="0"/>
        <w:pageBreakBefore w:val="0"/>
        <w:widowControl w:val="0"/>
        <w:kinsoku/>
        <w:wordWrap/>
        <w:overflowPunct/>
        <w:topLinePunct w:val="0"/>
        <w:autoSpaceDE/>
        <w:autoSpaceDN/>
        <w:bidi w:val="0"/>
        <w:adjustRightInd/>
        <w:snapToGrid/>
        <w:spacing w:beforeLines="0" w:line="560" w:lineRule="exact"/>
        <w:ind w:firstLine="640" w:firstLineChars="200"/>
        <w:textAlignment w:val="auto"/>
        <w:rPr>
          <w:rStyle w:val="17"/>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val="0"/>
          <w:color w:val="000000"/>
          <w:sz w:val="32"/>
          <w:szCs w:val="32"/>
          <w:lang w:val="en-US" w:eastAsia="zh-CN"/>
        </w:rPr>
        <w:t>14.社会保障和就业（类）其他社会保障和就业支出（款）其他社会保障和就业支出（项）：</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1.4</w:t>
      </w:r>
      <w:r>
        <w:rPr>
          <w:rStyle w:val="17"/>
          <w:rFonts w:hint="eastAsia" w:hAnsi="仿宋_GB2312" w:cs="仿宋_GB2312"/>
          <w:b w:val="0"/>
          <w:bCs/>
          <w:color w:val="auto"/>
          <w:sz w:val="32"/>
          <w:szCs w:val="32"/>
          <w:highlight w:val="none"/>
          <w:lang w:val="en-US" w:eastAsia="zh-CN"/>
        </w:rPr>
        <w:t>1</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val="0"/>
          <w:color w:val="000000"/>
          <w:sz w:val="32"/>
          <w:szCs w:val="32"/>
        </w:rPr>
        <w:t>与预算数持平。</w:t>
      </w:r>
    </w:p>
    <w:p>
      <w:pPr>
        <w:pStyle w:val="2"/>
        <w:keepNext w:val="0"/>
        <w:keepLines w:val="0"/>
        <w:pageBreakBefore w:val="0"/>
        <w:widowControl w:val="0"/>
        <w:kinsoku/>
        <w:wordWrap/>
        <w:overflowPunct/>
        <w:topLinePunct w:val="0"/>
        <w:autoSpaceDE/>
        <w:autoSpaceDN/>
        <w:bidi w:val="0"/>
        <w:adjustRightInd/>
        <w:snapToGrid/>
        <w:spacing w:beforeLines="0" w:line="560" w:lineRule="exact"/>
        <w:ind w:firstLine="640" w:firstLineChars="200"/>
        <w:textAlignment w:val="auto"/>
        <w:rPr>
          <w:rStyle w:val="17"/>
          <w:rFonts w:hint="eastAsia" w:ascii="仿宋_GB2312" w:hAnsi="仿宋_GB2312" w:eastAsia="仿宋_GB2312" w:cs="仿宋_GB2312"/>
          <w:b w:val="0"/>
          <w:bCs/>
          <w:color w:val="auto"/>
          <w:sz w:val="32"/>
          <w:szCs w:val="32"/>
          <w:highlight w:val="none"/>
        </w:rPr>
      </w:pPr>
      <w:r>
        <w:rPr>
          <w:rStyle w:val="17"/>
          <w:rFonts w:hint="eastAsia" w:ascii="仿宋_GB2312" w:hAnsi="仿宋_GB2312" w:eastAsia="仿宋_GB2312" w:cs="仿宋_GB2312"/>
          <w:b w:val="0"/>
          <w:bCs/>
          <w:color w:val="auto"/>
          <w:sz w:val="32"/>
          <w:szCs w:val="32"/>
          <w:highlight w:val="none"/>
          <w:lang w:val="en-US" w:eastAsia="zh-CN"/>
        </w:rPr>
        <w:t>15.</w:t>
      </w:r>
      <w:r>
        <w:rPr>
          <w:rFonts w:hint="eastAsia" w:ascii="仿宋_GB2312" w:hAnsi="仿宋_GB2312" w:eastAsia="仿宋_GB2312" w:cs="仿宋_GB2312"/>
          <w:b w:val="0"/>
          <w:bCs w:val="0"/>
          <w:color w:val="000000"/>
          <w:sz w:val="32"/>
          <w:szCs w:val="32"/>
          <w:lang w:val="en-US" w:eastAsia="zh-CN"/>
        </w:rPr>
        <w:t>卫生健康（类）行政事业单位医疗（款）行政单位医疗（项）:</w:t>
      </w:r>
      <w:r>
        <w:rPr>
          <w:rFonts w:hint="eastAsia" w:ascii="仿宋_GB2312" w:hAnsi="仿宋_GB2312" w:eastAsia="仿宋_GB2312" w:cs="仿宋_GB2312"/>
          <w:b w:val="0"/>
          <w:bCs w:val="0"/>
          <w:color w:val="000000"/>
          <w:sz w:val="32"/>
          <w:szCs w:val="32"/>
        </w:rPr>
        <w:t>支出决算为</w:t>
      </w:r>
      <w:r>
        <w:rPr>
          <w:rFonts w:hint="eastAsia" w:ascii="仿宋_GB2312" w:hAnsi="仿宋_GB2312" w:eastAsia="仿宋_GB2312" w:cs="仿宋_GB2312"/>
          <w:b w:val="0"/>
          <w:bCs w:val="0"/>
          <w:color w:val="000000"/>
          <w:sz w:val="32"/>
          <w:szCs w:val="32"/>
          <w:lang w:val="en-US" w:eastAsia="zh-CN"/>
        </w:rPr>
        <w:t>11.27</w:t>
      </w:r>
      <w:r>
        <w:rPr>
          <w:rFonts w:hint="eastAsia" w:ascii="仿宋_GB2312" w:hAnsi="仿宋_GB2312" w:eastAsia="仿宋_GB2312" w:cs="仿宋_GB2312"/>
          <w:b w:val="0"/>
          <w:bCs w:val="0"/>
          <w:color w:val="000000"/>
          <w:sz w:val="32"/>
          <w:szCs w:val="32"/>
        </w:rPr>
        <w:t>万元，完成预算</w:t>
      </w:r>
      <w:r>
        <w:rPr>
          <w:rFonts w:hint="eastAsia" w:ascii="仿宋_GB2312" w:hAnsi="仿宋_GB2312" w:eastAsia="仿宋_GB2312" w:cs="仿宋_GB2312"/>
          <w:b w:val="0"/>
          <w:bCs w:val="0"/>
          <w:color w:val="000000"/>
          <w:sz w:val="32"/>
          <w:szCs w:val="32"/>
          <w:lang w:val="en-US" w:eastAsia="zh-CN"/>
        </w:rPr>
        <w:t>100</w:t>
      </w:r>
      <w:r>
        <w:rPr>
          <w:rFonts w:hint="eastAsia" w:ascii="仿宋_GB2312" w:hAnsi="仿宋_GB2312" w:eastAsia="仿宋_GB2312" w:cs="仿宋_GB2312"/>
          <w:b w:val="0"/>
          <w:bCs w:val="0"/>
          <w:color w:val="000000"/>
          <w:sz w:val="32"/>
          <w:szCs w:val="32"/>
        </w:rPr>
        <w:t>%，与预算数持平。</w:t>
      </w:r>
    </w:p>
    <w:p>
      <w:pPr>
        <w:pStyle w:val="2"/>
        <w:keepNext w:val="0"/>
        <w:keepLines w:val="0"/>
        <w:pageBreakBefore w:val="0"/>
        <w:widowControl w:val="0"/>
        <w:kinsoku/>
        <w:wordWrap/>
        <w:overflowPunct/>
        <w:topLinePunct w:val="0"/>
        <w:autoSpaceDE/>
        <w:autoSpaceDN/>
        <w:bidi w:val="0"/>
        <w:adjustRightInd/>
        <w:snapToGrid/>
        <w:spacing w:beforeLines="0"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lang w:val="en-US" w:eastAsia="zh-CN"/>
        </w:rPr>
        <w:t>16.卫生健康（类）行政事业单位医疗（款）事业单位医疗（项）:</w:t>
      </w:r>
      <w:r>
        <w:rPr>
          <w:rFonts w:hint="eastAsia" w:ascii="仿宋_GB2312" w:hAnsi="仿宋_GB2312" w:eastAsia="仿宋_GB2312" w:cs="仿宋_GB2312"/>
          <w:b w:val="0"/>
          <w:bCs w:val="0"/>
          <w:color w:val="000000"/>
          <w:sz w:val="32"/>
          <w:szCs w:val="32"/>
        </w:rPr>
        <w:t>支出决算为</w:t>
      </w:r>
      <w:r>
        <w:rPr>
          <w:rFonts w:hint="eastAsia" w:ascii="仿宋_GB2312" w:hAnsi="仿宋_GB2312" w:eastAsia="仿宋_GB2312" w:cs="仿宋_GB2312"/>
          <w:b w:val="0"/>
          <w:bCs w:val="0"/>
          <w:color w:val="000000"/>
          <w:sz w:val="32"/>
          <w:szCs w:val="32"/>
          <w:lang w:val="en-US" w:eastAsia="zh-CN"/>
        </w:rPr>
        <w:t>46.47</w:t>
      </w:r>
      <w:r>
        <w:rPr>
          <w:rFonts w:hint="eastAsia" w:ascii="仿宋_GB2312" w:hAnsi="仿宋_GB2312" w:eastAsia="仿宋_GB2312" w:cs="仿宋_GB2312"/>
          <w:b w:val="0"/>
          <w:bCs w:val="0"/>
          <w:color w:val="000000"/>
          <w:sz w:val="32"/>
          <w:szCs w:val="32"/>
        </w:rPr>
        <w:t>万元，完成预算</w:t>
      </w:r>
      <w:r>
        <w:rPr>
          <w:rFonts w:hint="eastAsia" w:ascii="仿宋_GB2312" w:hAnsi="仿宋_GB2312" w:eastAsia="仿宋_GB2312" w:cs="仿宋_GB2312"/>
          <w:b w:val="0"/>
          <w:bCs w:val="0"/>
          <w:color w:val="000000"/>
          <w:sz w:val="32"/>
          <w:szCs w:val="32"/>
          <w:lang w:val="en-US" w:eastAsia="zh-CN"/>
        </w:rPr>
        <w:t>100</w:t>
      </w:r>
      <w:r>
        <w:rPr>
          <w:rFonts w:hint="eastAsia" w:ascii="仿宋_GB2312" w:hAnsi="仿宋_GB2312" w:eastAsia="仿宋_GB2312" w:cs="仿宋_GB2312"/>
          <w:b w:val="0"/>
          <w:bCs w:val="0"/>
          <w:color w:val="000000"/>
          <w:sz w:val="32"/>
          <w:szCs w:val="32"/>
        </w:rPr>
        <w:t>%，与预算数持平。</w:t>
      </w:r>
    </w:p>
    <w:p>
      <w:pPr>
        <w:pStyle w:val="2"/>
        <w:keepNext w:val="0"/>
        <w:keepLines w:val="0"/>
        <w:pageBreakBefore w:val="0"/>
        <w:widowControl w:val="0"/>
        <w:kinsoku/>
        <w:wordWrap/>
        <w:overflowPunct/>
        <w:topLinePunct w:val="0"/>
        <w:autoSpaceDE/>
        <w:autoSpaceDN/>
        <w:bidi w:val="0"/>
        <w:adjustRightInd/>
        <w:snapToGrid/>
        <w:spacing w:beforeLines="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b w:val="0"/>
          <w:bCs w:val="0"/>
          <w:color w:val="000000"/>
          <w:sz w:val="32"/>
          <w:szCs w:val="32"/>
          <w:lang w:val="en-US" w:eastAsia="zh-CN"/>
        </w:rPr>
        <w:t>卫生健康（类）优抚对象医疗（款）优抚对象医疗补助（项）:</w:t>
      </w:r>
      <w:r>
        <w:rPr>
          <w:rFonts w:hint="eastAsia" w:ascii="仿宋_GB2312" w:hAnsi="仿宋_GB2312" w:eastAsia="仿宋_GB2312" w:cs="仿宋_GB2312"/>
          <w:b w:val="0"/>
          <w:bCs w:val="0"/>
          <w:color w:val="000000"/>
          <w:sz w:val="32"/>
          <w:szCs w:val="32"/>
        </w:rPr>
        <w:t>支出决算为</w:t>
      </w:r>
      <w:r>
        <w:rPr>
          <w:rFonts w:hint="eastAsia" w:ascii="仿宋_GB2312" w:hAnsi="仿宋_GB2312" w:eastAsia="仿宋_GB2312" w:cs="仿宋_GB2312"/>
          <w:b w:val="0"/>
          <w:bCs w:val="0"/>
          <w:color w:val="000000"/>
          <w:sz w:val="32"/>
          <w:szCs w:val="32"/>
          <w:lang w:val="en-US" w:eastAsia="zh-CN"/>
        </w:rPr>
        <w:t>130.00</w:t>
      </w:r>
      <w:r>
        <w:rPr>
          <w:rFonts w:hint="eastAsia" w:ascii="仿宋_GB2312" w:hAnsi="仿宋_GB2312" w:eastAsia="仿宋_GB2312" w:cs="仿宋_GB2312"/>
          <w:b w:val="0"/>
          <w:bCs w:val="0"/>
          <w:color w:val="000000"/>
          <w:sz w:val="32"/>
          <w:szCs w:val="32"/>
        </w:rPr>
        <w:t>万元，完成预算</w:t>
      </w:r>
      <w:r>
        <w:rPr>
          <w:rFonts w:hint="eastAsia" w:ascii="仿宋_GB2312" w:hAnsi="仿宋_GB2312" w:eastAsia="仿宋_GB2312" w:cs="仿宋_GB2312"/>
          <w:b w:val="0"/>
          <w:bCs w:val="0"/>
          <w:color w:val="000000"/>
          <w:sz w:val="32"/>
          <w:szCs w:val="32"/>
          <w:lang w:val="en-US" w:eastAsia="zh-CN"/>
        </w:rPr>
        <w:t>100</w:t>
      </w:r>
      <w:r>
        <w:rPr>
          <w:rFonts w:hint="eastAsia" w:ascii="仿宋_GB2312" w:hAnsi="仿宋_GB2312" w:eastAsia="仿宋_GB2312" w:cs="仿宋_GB2312"/>
          <w:b w:val="0"/>
          <w:bCs w:val="0"/>
          <w:color w:val="000000"/>
          <w:sz w:val="32"/>
          <w:szCs w:val="32"/>
        </w:rPr>
        <w:t>%，与预算数持平。</w:t>
      </w:r>
    </w:p>
    <w:p>
      <w:pPr>
        <w:pStyle w:val="2"/>
        <w:keepNext w:val="0"/>
        <w:keepLines w:val="0"/>
        <w:pageBreakBefore w:val="0"/>
        <w:widowControl w:val="0"/>
        <w:kinsoku/>
        <w:wordWrap/>
        <w:overflowPunct/>
        <w:topLinePunct w:val="0"/>
        <w:autoSpaceDE/>
        <w:autoSpaceDN/>
        <w:bidi w:val="0"/>
        <w:adjustRightInd/>
        <w:snapToGrid/>
        <w:spacing w:beforeLines="0" w:line="560" w:lineRule="exact"/>
        <w:ind w:firstLine="640" w:firstLineChars="200"/>
        <w:textAlignment w:val="auto"/>
        <w:rPr>
          <w:rFonts w:hint="eastAsia" w:ascii="仿宋_GB2312" w:hAnsi="仿宋_GB2312" w:eastAsia="仿宋_GB2312" w:cs="仿宋_GB2312"/>
          <w:b/>
          <w:color w:val="auto"/>
          <w:sz w:val="32"/>
          <w:szCs w:val="32"/>
          <w:highlight w:val="none"/>
        </w:rPr>
      </w:pPr>
      <w:r>
        <w:rPr>
          <w:rStyle w:val="17"/>
          <w:rFonts w:hint="eastAsia" w:ascii="仿宋_GB2312" w:hAnsi="仿宋_GB2312" w:eastAsia="仿宋_GB2312" w:cs="仿宋_GB2312"/>
          <w:b w:val="0"/>
          <w:bCs/>
          <w:color w:val="auto"/>
          <w:sz w:val="32"/>
          <w:szCs w:val="32"/>
          <w:highlight w:val="none"/>
          <w:lang w:val="en-US" w:eastAsia="zh-CN"/>
        </w:rPr>
        <w:t>18.</w:t>
      </w:r>
      <w:r>
        <w:rPr>
          <w:rFonts w:hint="eastAsia" w:ascii="仿宋_GB2312" w:hAnsi="仿宋_GB2312" w:eastAsia="仿宋_GB2312" w:cs="仿宋_GB2312"/>
          <w:b w:val="0"/>
          <w:bCs w:val="0"/>
          <w:color w:val="000000"/>
          <w:sz w:val="32"/>
          <w:szCs w:val="32"/>
          <w:lang w:val="en-US" w:eastAsia="zh-CN"/>
        </w:rPr>
        <w:t>住房保障支出（类）住房改革支出（款）住房公积金（项）:</w:t>
      </w:r>
      <w:r>
        <w:rPr>
          <w:rFonts w:hint="eastAsia" w:ascii="仿宋_GB2312" w:hAnsi="仿宋_GB2312" w:eastAsia="仿宋_GB2312" w:cs="仿宋_GB2312"/>
          <w:b w:val="0"/>
          <w:bCs w:val="0"/>
          <w:color w:val="000000"/>
          <w:sz w:val="32"/>
          <w:szCs w:val="32"/>
        </w:rPr>
        <w:t>支出决算为</w:t>
      </w:r>
      <w:r>
        <w:rPr>
          <w:rFonts w:hint="eastAsia" w:ascii="仿宋_GB2312" w:hAnsi="仿宋_GB2312" w:eastAsia="仿宋_GB2312" w:cs="仿宋_GB2312"/>
          <w:b w:val="0"/>
          <w:bCs w:val="0"/>
          <w:color w:val="000000"/>
          <w:sz w:val="32"/>
          <w:szCs w:val="32"/>
          <w:lang w:val="en-US" w:eastAsia="zh-CN"/>
        </w:rPr>
        <w:t>129.17</w:t>
      </w:r>
      <w:r>
        <w:rPr>
          <w:rFonts w:hint="eastAsia" w:ascii="仿宋_GB2312" w:hAnsi="仿宋_GB2312" w:eastAsia="仿宋_GB2312" w:cs="仿宋_GB2312"/>
          <w:b w:val="0"/>
          <w:bCs w:val="0"/>
          <w:color w:val="000000"/>
          <w:sz w:val="32"/>
          <w:szCs w:val="32"/>
        </w:rPr>
        <w:t>万元，完成预算</w:t>
      </w:r>
      <w:r>
        <w:rPr>
          <w:rFonts w:hint="eastAsia" w:ascii="仿宋_GB2312" w:hAnsi="仿宋_GB2312" w:eastAsia="仿宋_GB2312" w:cs="仿宋_GB2312"/>
          <w:b w:val="0"/>
          <w:bCs w:val="0"/>
          <w:color w:val="000000"/>
          <w:sz w:val="32"/>
          <w:szCs w:val="32"/>
          <w:lang w:val="en-US" w:eastAsia="zh-CN"/>
        </w:rPr>
        <w:t>100</w:t>
      </w:r>
      <w:r>
        <w:rPr>
          <w:rFonts w:hint="eastAsia" w:ascii="仿宋_GB2312" w:hAnsi="仿宋_GB2312" w:eastAsia="仿宋_GB2312" w:cs="仿宋_GB2312"/>
          <w:b w:val="0"/>
          <w:bCs w:val="0"/>
          <w:color w:val="000000"/>
          <w:sz w:val="32"/>
          <w:szCs w:val="32"/>
        </w:rPr>
        <w:t>%，与预算数持平。</w:t>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640"/>
        <w:textAlignment w:val="auto"/>
        <w:outlineLvl w:val="1"/>
        <w:rPr>
          <w:rStyle w:val="20"/>
          <w:color w:val="auto"/>
          <w:highlight w:val="none"/>
        </w:rPr>
      </w:pPr>
      <w:bookmarkStart w:id="44" w:name="_Toc15377214"/>
      <w:bookmarkStart w:id="45" w:name="_Toc1072"/>
      <w:bookmarkStart w:id="46" w:name="_Toc1539660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0"/>
          <w:rFonts w:hint="eastAsia" w:ascii="黑体" w:hAnsi="黑体" w:eastAsia="黑体"/>
          <w:b w:val="0"/>
          <w:color w:val="auto"/>
          <w:highlight w:val="none"/>
        </w:rPr>
        <w:t>般公共预算财政拨款基本支出决算情况说明</w:t>
      </w:r>
      <w:bookmarkEnd w:id="44"/>
      <w:bookmarkEnd w:id="45"/>
      <w:bookmarkEnd w:id="46"/>
      <w:r>
        <w:rPr>
          <w:rStyle w:val="20"/>
          <w:rFonts w:ascii="黑体" w:hAnsi="黑体" w:eastAsia="黑体"/>
          <w:b w:val="0"/>
          <w:color w:val="auto"/>
          <w:highlight w:val="none"/>
        </w:rPr>
        <w:tab/>
      </w:r>
    </w:p>
    <w:p>
      <w:pPr>
        <w:keepNext w:val="0"/>
        <w:keepLines w:val="0"/>
        <w:pageBreakBefore w:val="0"/>
        <w:widowControl w:val="0"/>
        <w:kinsoku/>
        <w:wordWrap/>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年一般公共预算财政拨款基本支出</w:t>
      </w:r>
      <w:r>
        <w:rPr>
          <w:rFonts w:hint="eastAsia" w:ascii="仿宋_GB2312" w:hAnsi="仿宋_GB2312" w:eastAsia="仿宋_GB2312" w:cs="仿宋_GB2312"/>
          <w:color w:val="000000"/>
          <w:kern w:val="2"/>
          <w:sz w:val="32"/>
          <w:szCs w:val="24"/>
          <w:lang w:val="zh-CN"/>
        </w:rPr>
        <w:t>1840.4</w:t>
      </w:r>
      <w:r>
        <w:rPr>
          <w:rFonts w:hint="eastAsia" w:ascii="仿宋_GB2312" w:hAnsi="仿宋_GB2312" w:eastAsia="仿宋_GB2312" w:cs="仿宋_GB2312"/>
          <w:color w:val="000000"/>
          <w:kern w:val="2"/>
          <w:sz w:val="32"/>
          <w:szCs w:val="24"/>
          <w:lang w:val="en-US" w:eastAsia="zh-CN"/>
        </w:rPr>
        <w:t>5</w:t>
      </w:r>
      <w:r>
        <w:rPr>
          <w:rFonts w:hint="eastAsia" w:ascii="仿宋_GB2312" w:hAnsi="仿宋_GB2312" w:eastAsia="仿宋_GB2312" w:cs="仿宋_GB2312"/>
          <w:color w:val="auto"/>
          <w:sz w:val="32"/>
          <w:szCs w:val="32"/>
          <w:highlight w:val="none"/>
        </w:rPr>
        <w:t>万元，其中：</w:t>
      </w:r>
    </w:p>
    <w:p>
      <w:pPr>
        <w:keepNext w:val="0"/>
        <w:keepLines w:val="0"/>
        <w:pageBreakBefore w:val="0"/>
        <w:widowControl w:val="0"/>
        <w:kinsoku/>
        <w:wordWrap/>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人员经费</w:t>
      </w:r>
      <w:r>
        <w:rPr>
          <w:rFonts w:hint="eastAsia" w:ascii="仿宋_GB2312" w:hAnsi="仿宋_GB2312" w:eastAsia="仿宋_GB2312" w:cs="仿宋_GB2312"/>
          <w:color w:val="000000"/>
          <w:kern w:val="2"/>
          <w:sz w:val="32"/>
          <w:szCs w:val="24"/>
          <w:lang w:val="zh-CN"/>
        </w:rPr>
        <w:t>1647.62</w:t>
      </w:r>
      <w:r>
        <w:rPr>
          <w:rFonts w:hint="eastAsia" w:ascii="仿宋_GB2312" w:hAnsi="仿宋_GB2312" w:eastAsia="仿宋_GB2312" w:cs="仿宋_GB2312"/>
          <w:color w:val="auto"/>
          <w:sz w:val="32"/>
          <w:szCs w:val="32"/>
          <w:highlight w:val="none"/>
        </w:rPr>
        <w:t>万元，主要包括：基本工资、津贴补贴、奖金、伙食补助费、绩效工资、机关事业单位基本养老保险缴费、职业年金缴费、</w:t>
      </w:r>
      <w:r>
        <w:rPr>
          <w:rFonts w:hint="eastAsia" w:ascii="仿宋_GB2312" w:hAnsi="仿宋_GB2312" w:eastAsia="仿宋_GB2312" w:cs="仿宋_GB2312"/>
          <w:color w:val="auto"/>
          <w:sz w:val="32"/>
          <w:szCs w:val="32"/>
          <w:highlight w:val="none"/>
          <w:lang w:eastAsia="zh-CN"/>
        </w:rPr>
        <w:t>职工基本医疗保险缴费、</w:t>
      </w:r>
      <w:r>
        <w:rPr>
          <w:rFonts w:hint="eastAsia" w:ascii="仿宋_GB2312" w:hAnsi="仿宋_GB2312" w:eastAsia="仿宋_GB2312" w:cs="仿宋_GB2312"/>
          <w:color w:val="auto"/>
          <w:sz w:val="32"/>
          <w:szCs w:val="32"/>
          <w:highlight w:val="none"/>
        </w:rPr>
        <w:t>其他社会保障缴费、住房公积金</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其他工资福利支出、生活补助、奖励金、其他对个人和家庭的补助等。</w:t>
      </w:r>
    </w:p>
    <w:p>
      <w:pPr>
        <w:keepNext w:val="0"/>
        <w:keepLines w:val="0"/>
        <w:pageBreakBefore w:val="0"/>
        <w:widowControl w:val="0"/>
        <w:kinsoku/>
        <w:wordWrap/>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公用经费</w:t>
      </w:r>
      <w:r>
        <w:rPr>
          <w:rFonts w:hint="eastAsia" w:ascii="仿宋_GB2312" w:hAnsi="仿宋_GB2312" w:eastAsia="仿宋_GB2312" w:cs="仿宋_GB2312"/>
          <w:color w:val="000000"/>
          <w:kern w:val="2"/>
          <w:sz w:val="32"/>
          <w:szCs w:val="24"/>
          <w:lang w:val="zh-CN"/>
        </w:rPr>
        <w:t>192.83</w:t>
      </w:r>
      <w:r>
        <w:rPr>
          <w:rFonts w:hint="eastAsia" w:ascii="仿宋_GB2312" w:hAnsi="仿宋_GB2312" w:eastAsia="仿宋_GB2312" w:cs="仿宋_GB2312"/>
          <w:color w:val="auto"/>
          <w:sz w:val="32"/>
          <w:szCs w:val="32"/>
          <w:highlight w:val="none"/>
        </w:rPr>
        <w:t>万元，主要包括：办公费、印刷费、咨询费、水费、电费、邮电费、物业管理费、差旅费、维修（护）费、租赁费、会议费、培训费、公务接待费、劳务费、工会经费、福利费、公务用车运行维护费、其他交通费</w:t>
      </w:r>
      <w:r>
        <w:rPr>
          <w:rFonts w:hint="eastAsia" w:ascii="仿宋_GB2312" w:hAnsi="仿宋_GB2312" w:eastAsia="仿宋_GB2312" w:cs="仿宋_GB2312"/>
          <w:color w:val="auto"/>
          <w:sz w:val="32"/>
          <w:szCs w:val="32"/>
          <w:highlight w:val="none"/>
          <w:lang w:eastAsia="zh-CN"/>
        </w:rPr>
        <w:t>、其他商品和服务支出</w:t>
      </w:r>
      <w:r>
        <w:rPr>
          <w:rFonts w:hint="eastAsia" w:ascii="仿宋_GB2312" w:hAnsi="仿宋_GB2312" w:eastAsia="仿宋_GB2312" w:cs="仿宋_GB2312"/>
          <w:color w:val="auto"/>
          <w:sz w:val="32"/>
          <w:szCs w:val="32"/>
          <w:highlight w:val="none"/>
        </w:rPr>
        <w:t>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Style w:val="20"/>
          <w:rFonts w:ascii="黑体" w:hAnsi="黑体" w:eastAsia="黑体"/>
          <w:b w:val="0"/>
          <w:color w:val="auto"/>
          <w:highlight w:val="none"/>
        </w:rPr>
      </w:pPr>
      <w:bookmarkStart w:id="47" w:name="_Toc15377215"/>
      <w:bookmarkStart w:id="48" w:name="_Toc16857"/>
      <w:bookmarkStart w:id="49" w:name="_Toc15396609"/>
      <w:r>
        <w:rPr>
          <w:rFonts w:hint="eastAsia" w:ascii="黑体" w:eastAsia="黑体"/>
          <w:color w:val="auto"/>
          <w:sz w:val="32"/>
          <w:szCs w:val="32"/>
          <w:highlight w:val="none"/>
        </w:rPr>
        <w:t>七、</w:t>
      </w:r>
      <w:r>
        <w:rPr>
          <w:rStyle w:val="20"/>
          <w:rFonts w:hint="eastAsia" w:ascii="黑体" w:hAnsi="黑体" w:eastAsia="黑体"/>
          <w:b w:val="0"/>
          <w:color w:val="auto"/>
          <w:highlight w:val="none"/>
        </w:rPr>
        <w:t>财政拨款</w:t>
      </w:r>
      <w:r>
        <w:rPr>
          <w:rStyle w:val="20"/>
          <w:rFonts w:hint="eastAsia" w:ascii="黑体" w:hAnsi="黑体" w:eastAsia="黑体"/>
          <w:color w:val="auto"/>
          <w:highlight w:val="none"/>
        </w:rPr>
        <w:t>“</w:t>
      </w:r>
      <w:r>
        <w:rPr>
          <w:rStyle w:val="20"/>
          <w:rFonts w:hint="eastAsia" w:ascii="黑体" w:hAnsi="黑体" w:eastAsia="黑体"/>
          <w:b w:val="0"/>
          <w:color w:val="auto"/>
          <w:highlight w:val="none"/>
        </w:rPr>
        <w:t>三公”经费支出决算情况说明</w:t>
      </w:r>
      <w:bookmarkEnd w:id="47"/>
      <w:bookmarkEnd w:id="48"/>
      <w:bookmarkEnd w:id="49"/>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2"/>
        <w:rPr>
          <w:rFonts w:hint="eastAsia" w:ascii="仿宋_GB2312" w:hAnsi="仿宋_GB2312" w:eastAsia="仿宋_GB2312" w:cs="仿宋_GB2312"/>
          <w:b/>
          <w:color w:val="auto"/>
          <w:sz w:val="32"/>
          <w:szCs w:val="32"/>
          <w:highlight w:val="none"/>
        </w:rPr>
      </w:pPr>
      <w:bookmarkStart w:id="50" w:name="_Toc15377216"/>
      <w:r>
        <w:rPr>
          <w:rFonts w:hint="eastAsia" w:ascii="仿宋_GB2312" w:hAnsi="仿宋_GB2312" w:eastAsia="仿宋_GB2312" w:cs="仿宋_GB2312"/>
          <w:b/>
          <w:color w:val="auto"/>
          <w:sz w:val="32"/>
          <w:szCs w:val="32"/>
          <w:highlight w:val="none"/>
        </w:rPr>
        <w:t>（一）“三公”经费财政拨款支出决算总体情况说明</w:t>
      </w:r>
      <w:bookmarkEnd w:id="5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年“三公”经费财政拨款支出决算为</w:t>
      </w:r>
      <w:r>
        <w:rPr>
          <w:rFonts w:hint="eastAsia" w:ascii="仿宋_GB2312" w:hAnsi="仿宋_GB2312" w:eastAsia="仿宋_GB2312" w:cs="仿宋_GB2312"/>
          <w:color w:val="000000"/>
          <w:kern w:val="2"/>
          <w:sz w:val="32"/>
          <w:szCs w:val="24"/>
          <w:lang w:val="zh-CN"/>
        </w:rPr>
        <w:t>11.66</w:t>
      </w:r>
      <w:r>
        <w:rPr>
          <w:rFonts w:hint="eastAsia" w:ascii="仿宋_GB2312" w:hAnsi="仿宋_GB2312" w:eastAsia="仿宋_GB2312" w:cs="仿宋_GB2312"/>
          <w:color w:val="auto"/>
          <w:sz w:val="32"/>
          <w:szCs w:val="32"/>
          <w:highlight w:val="none"/>
        </w:rPr>
        <w:t>万元，完成预算</w:t>
      </w:r>
      <w:r>
        <w:rPr>
          <w:rFonts w:hint="eastAsia" w:ascii="仿宋_GB2312" w:hAnsi="仿宋_GB2312" w:eastAsia="仿宋_GB2312" w:cs="仿宋_GB2312"/>
          <w:color w:val="000000"/>
          <w:kern w:val="2"/>
          <w:sz w:val="32"/>
          <w:szCs w:val="24"/>
          <w:lang w:val="en-US" w:eastAsia="zh-CN"/>
        </w:rPr>
        <w:t>97.98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较上年</w:t>
      </w:r>
      <w:r>
        <w:rPr>
          <w:rFonts w:hint="eastAsia" w:ascii="仿宋_GB2312" w:hAnsi="仿宋_GB2312" w:eastAsia="仿宋_GB2312" w:cs="仿宋_GB2312"/>
          <w:color w:val="auto"/>
          <w:sz w:val="32"/>
          <w:szCs w:val="32"/>
          <w:highlight w:val="none"/>
          <w:lang w:val="en-US" w:eastAsia="zh-CN"/>
        </w:rPr>
        <w:t>减少</w:t>
      </w:r>
      <w:r>
        <w:rPr>
          <w:rFonts w:hint="eastAsia" w:ascii="仿宋_GB2312" w:hAnsi="仿宋_GB2312" w:eastAsia="仿宋_GB2312" w:cs="仿宋_GB2312"/>
          <w:color w:val="000000"/>
          <w:kern w:val="2"/>
          <w:sz w:val="32"/>
          <w:szCs w:val="24"/>
          <w:lang w:val="zh-CN"/>
        </w:rPr>
        <w:t>2.38</w:t>
      </w:r>
      <w:r>
        <w:rPr>
          <w:rFonts w:hint="eastAsia" w:ascii="仿宋_GB2312" w:hAnsi="仿宋_GB2312" w:eastAsia="仿宋_GB2312" w:cs="仿宋_GB2312"/>
          <w:color w:val="auto"/>
          <w:sz w:val="32"/>
          <w:szCs w:val="32"/>
          <w:highlight w:val="none"/>
          <w:lang w:val="en-US" w:eastAsia="zh-CN"/>
        </w:rPr>
        <w:t>万元，下降</w:t>
      </w:r>
      <w:r>
        <w:rPr>
          <w:rFonts w:hint="eastAsia" w:ascii="仿宋_GB2312" w:hAnsi="仿宋_GB2312" w:eastAsia="仿宋_GB2312" w:cs="仿宋_GB2312"/>
          <w:color w:val="000000"/>
          <w:kern w:val="2"/>
          <w:sz w:val="32"/>
          <w:szCs w:val="24"/>
          <w:lang w:val="en-US" w:eastAsia="zh-CN"/>
        </w:rPr>
        <w:t>16.95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决算数小于预算数的主要原因是</w:t>
      </w:r>
      <w:r>
        <w:rPr>
          <w:rFonts w:hint="eastAsia" w:ascii="仿宋_GB2312" w:hAnsi="仿宋_GB2312" w:eastAsia="仿宋_GB2312" w:cs="仿宋_GB2312"/>
          <w:sz w:val="32"/>
          <w:szCs w:val="32"/>
        </w:rPr>
        <w:t>转变作风、厉行节约</w:t>
      </w:r>
      <w:r>
        <w:rPr>
          <w:rFonts w:hint="eastAsia" w:ascii="仿宋_GB2312" w:hAnsi="仿宋_GB2312" w:eastAsia="仿宋_GB2312" w:cs="仿宋_GB2312"/>
          <w:sz w:val="32"/>
          <w:szCs w:val="32"/>
          <w:lang w:eastAsia="zh-CN"/>
        </w:rPr>
        <w:t>，按照</w:t>
      </w:r>
      <w:r>
        <w:rPr>
          <w:rFonts w:hint="eastAsia" w:ascii="仿宋_GB2312" w:hAnsi="仿宋_GB2312" w:eastAsia="仿宋_GB2312" w:cs="仿宋_GB2312"/>
          <w:sz w:val="32"/>
          <w:szCs w:val="32"/>
        </w:rPr>
        <w:t>过紧日子“十三条措施”有关要求，严格控制接待标准，压缩接待规模，通过继续加强公务用车日常管理，降低车辆各类消耗所致</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2"/>
        <w:rPr>
          <w:rFonts w:hint="eastAsia" w:ascii="仿宋_GB2312" w:hAnsi="仿宋_GB2312" w:eastAsia="仿宋_GB2312" w:cs="仿宋_GB2312"/>
          <w:b/>
          <w:color w:val="auto"/>
          <w:sz w:val="32"/>
          <w:szCs w:val="32"/>
          <w:highlight w:val="none"/>
        </w:rPr>
      </w:pPr>
      <w:bookmarkStart w:id="51" w:name="_Toc15377217"/>
      <w:r>
        <w:rPr>
          <w:rFonts w:hint="eastAsia" w:ascii="仿宋_GB2312" w:hAnsi="仿宋_GB2312" w:eastAsia="仿宋_GB2312" w:cs="仿宋_GB2312"/>
          <w:b/>
          <w:color w:val="auto"/>
          <w:sz w:val="32"/>
          <w:szCs w:val="32"/>
          <w:highlight w:val="none"/>
        </w:rPr>
        <w:t>（二）“三公”经费财政拨款支出决算具体情况说明</w:t>
      </w:r>
      <w:bookmarkEnd w:id="51"/>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年“三公”经费财政拨款支出决算中，因公出国（境）费支出决算</w:t>
      </w:r>
      <w:r>
        <w:rPr>
          <w:rFonts w:hint="eastAsia" w:ascii="仿宋_GB2312" w:hAnsi="仿宋_GB2312" w:eastAsia="仿宋_GB2312" w:cs="仿宋_GB2312"/>
          <w:color w:val="000000"/>
          <w:kern w:val="2"/>
          <w:sz w:val="32"/>
          <w:szCs w:val="24"/>
          <w:lang w:val="zh-CN"/>
        </w:rPr>
        <w:t>0</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000000"/>
          <w:kern w:val="2"/>
          <w:sz w:val="32"/>
          <w:szCs w:val="24"/>
          <w:lang w:val="zh-CN"/>
        </w:rPr>
        <w:t>0</w:t>
      </w:r>
      <w:r>
        <w:rPr>
          <w:rFonts w:hint="eastAsia" w:ascii="仿宋_GB2312" w:hAnsi="仿宋_GB2312" w:eastAsia="仿宋_GB2312" w:cs="仿宋_GB2312"/>
          <w:color w:val="auto"/>
          <w:sz w:val="32"/>
          <w:szCs w:val="32"/>
          <w:highlight w:val="none"/>
        </w:rPr>
        <w:t>%；公务用车购置及运行维护费支出决算</w:t>
      </w:r>
      <w:r>
        <w:rPr>
          <w:rFonts w:hint="eastAsia" w:ascii="仿宋_GB2312" w:hAnsi="仿宋_GB2312" w:eastAsia="仿宋_GB2312" w:cs="仿宋_GB2312"/>
          <w:color w:val="000000"/>
          <w:kern w:val="2"/>
          <w:sz w:val="32"/>
          <w:szCs w:val="24"/>
          <w:lang w:val="zh-CN"/>
        </w:rPr>
        <w:t>10.54</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000000"/>
          <w:kern w:val="2"/>
          <w:sz w:val="32"/>
          <w:szCs w:val="24"/>
          <w:lang w:val="zh-CN"/>
        </w:rPr>
        <w:t>90.</w:t>
      </w:r>
      <w:r>
        <w:rPr>
          <w:rFonts w:hint="eastAsia" w:ascii="仿宋_GB2312" w:hAnsi="仿宋_GB2312" w:eastAsia="仿宋_GB2312" w:cs="仿宋_GB2312"/>
          <w:color w:val="000000"/>
          <w:kern w:val="2"/>
          <w:sz w:val="32"/>
          <w:szCs w:val="24"/>
          <w:lang w:val="en-US" w:eastAsia="zh-CN"/>
        </w:rPr>
        <w:t>39</w:t>
      </w:r>
      <w:r>
        <w:rPr>
          <w:rFonts w:hint="eastAsia" w:ascii="仿宋_GB2312" w:hAnsi="仿宋_GB2312" w:eastAsia="仿宋_GB2312" w:cs="仿宋_GB2312"/>
          <w:color w:val="auto"/>
          <w:sz w:val="32"/>
          <w:szCs w:val="32"/>
          <w:highlight w:val="none"/>
        </w:rPr>
        <w:t>%；公务接待费支出决算</w:t>
      </w:r>
      <w:r>
        <w:rPr>
          <w:rFonts w:hint="eastAsia" w:ascii="仿宋_GB2312" w:hAnsi="仿宋_GB2312" w:eastAsia="仿宋_GB2312" w:cs="仿宋_GB2312"/>
          <w:color w:val="000000"/>
          <w:kern w:val="2"/>
          <w:sz w:val="32"/>
          <w:szCs w:val="24"/>
          <w:lang w:val="zh-CN"/>
        </w:rPr>
        <w:t>1.12</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000000"/>
          <w:kern w:val="2"/>
          <w:sz w:val="32"/>
          <w:szCs w:val="24"/>
          <w:lang w:val="zh-CN"/>
        </w:rPr>
        <w:t>9.6</w:t>
      </w:r>
      <w:r>
        <w:rPr>
          <w:rFonts w:hint="eastAsia" w:ascii="仿宋_GB2312" w:hAnsi="仿宋_GB2312" w:eastAsia="仿宋_GB2312" w:cs="仿宋_GB2312"/>
          <w:color w:val="000000"/>
          <w:kern w:val="2"/>
          <w:sz w:val="32"/>
          <w:szCs w:val="24"/>
          <w:lang w:val="en-US" w:eastAsia="zh-CN"/>
        </w:rPr>
        <w:t>1</w:t>
      </w:r>
      <w:r>
        <w:rPr>
          <w:rFonts w:hint="eastAsia" w:ascii="仿宋_GB2312" w:hAnsi="仿宋_GB2312" w:eastAsia="仿宋_GB2312" w:cs="仿宋_GB2312"/>
          <w:color w:val="auto"/>
          <w:sz w:val="32"/>
          <w:szCs w:val="32"/>
          <w:highlight w:val="none"/>
        </w:rPr>
        <w:t>%。具体情况如下：</w:t>
      </w:r>
    </w:p>
    <w:p>
      <w:pPr>
        <w:pStyle w:val="2"/>
        <w:jc w:val="center"/>
      </w:pPr>
      <w:r>
        <w:rPr>
          <w:rFonts w:hint="default" w:ascii="仿宋" w:hAnsi="仿宋" w:eastAsia="仿宋"/>
          <w:color w:val="auto"/>
          <w:sz w:val="32"/>
          <w:szCs w:val="32"/>
          <w:highlight w:val="none"/>
          <w:lang w:val="en-US" w:eastAsia="zh-CN"/>
        </w:rPr>
        <w:drawing>
          <wp:inline distT="0" distB="0" distL="114300" distR="114300">
            <wp:extent cx="4312920" cy="1718945"/>
            <wp:effectExtent l="0" t="0" r="11430"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pacing w:line="600" w:lineRule="exact"/>
        <w:ind w:firstLine="64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（图7：“三公”经费财政拨款支出结构）（饼状图）</w:t>
      </w:r>
    </w:p>
    <w:p>
      <w:pPr>
        <w:spacing w:line="600" w:lineRule="exact"/>
        <w:ind w:firstLine="640"/>
        <w:rPr>
          <w:rFonts w:hint="eastAsia" w:ascii="仿宋_GB2312" w:hAnsi="仿宋_GB2312" w:eastAsia="仿宋_GB2312" w:cs="仿宋_GB2312"/>
        </w:rPr>
      </w:pPr>
      <w:r>
        <w:rPr>
          <w:rFonts w:hint="eastAsia" w:ascii="仿宋_GB2312" w:hAnsi="仿宋_GB2312" w:eastAsia="仿宋_GB2312" w:cs="仿宋_GB2312"/>
          <w:b/>
          <w:color w:val="auto"/>
          <w:sz w:val="32"/>
          <w:szCs w:val="32"/>
          <w:highlight w:val="none"/>
        </w:rPr>
        <w:t>1.因公出国（境）经费支出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b/>
          <w:color w:val="auto"/>
          <w:sz w:val="32"/>
          <w:szCs w:val="32"/>
          <w:highlight w:val="none"/>
          <w:lang w:val="en-US" w:eastAsia="zh-CN"/>
        </w:rPr>
        <w:t>年初未安排预算</w:t>
      </w:r>
      <w:r>
        <w:rPr>
          <w:rStyle w:val="17"/>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color w:val="auto"/>
          <w:sz w:val="32"/>
          <w:szCs w:val="32"/>
          <w:highlight w:val="none"/>
          <w:lang w:val="en-US" w:eastAsia="zh-CN"/>
        </w:rPr>
        <w:t>因公出国</w:t>
      </w:r>
      <w:r>
        <w:rPr>
          <w:rFonts w:hint="eastAsia" w:ascii="仿宋_GB2312" w:hAnsi="仿宋_GB2312" w:eastAsia="仿宋_GB2312" w:cs="仿宋_GB2312"/>
          <w:b/>
          <w:color w:val="auto"/>
          <w:sz w:val="32"/>
          <w:szCs w:val="32"/>
          <w:highlight w:val="none"/>
        </w:rPr>
        <w:t>（境）</w:t>
      </w:r>
      <w:r>
        <w:rPr>
          <w:rFonts w:hint="eastAsia" w:ascii="仿宋_GB2312" w:hAnsi="仿宋_GB2312" w:eastAsia="仿宋_GB2312" w:cs="仿宋_GB2312"/>
          <w:b/>
          <w:color w:val="auto"/>
          <w:sz w:val="32"/>
          <w:szCs w:val="32"/>
          <w:highlight w:val="none"/>
          <w:lang w:val="en-US" w:eastAsia="zh-CN"/>
        </w:rPr>
        <w:t>支出决算较2021年无变化</w:t>
      </w:r>
      <w:r>
        <w:rPr>
          <w:rFonts w:hint="eastAsia" w:ascii="仿宋_GB2312" w:hAnsi="仿宋_GB2312" w:eastAsia="仿宋_GB2312" w:cs="仿宋_GB2312"/>
          <w:color w:val="auto"/>
          <w:sz w:val="32"/>
          <w:szCs w:val="32"/>
          <w:highlight w:val="none"/>
        </w:rPr>
        <w:t>。</w:t>
      </w:r>
    </w:p>
    <w:p>
      <w:pPr>
        <w:spacing w:line="600" w:lineRule="exact"/>
        <w:ind w:firstLine="64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2.公务用车购置及运行维护费支出</w:t>
      </w:r>
      <w:r>
        <w:rPr>
          <w:rFonts w:hint="eastAsia" w:ascii="仿宋_GB2312" w:hAnsi="仿宋_GB2312" w:eastAsia="仿宋_GB2312" w:cs="仿宋_GB2312"/>
          <w:color w:val="000000"/>
          <w:kern w:val="2"/>
          <w:sz w:val="32"/>
          <w:szCs w:val="24"/>
          <w:lang w:val="zh-CN"/>
        </w:rPr>
        <w:t>10.54</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完成预算</w:t>
      </w:r>
      <w:r>
        <w:rPr>
          <w:rFonts w:hint="eastAsia" w:ascii="仿宋_GB2312" w:hAnsi="仿宋_GB2312" w:eastAsia="仿宋_GB2312" w:cs="仿宋_GB2312"/>
          <w:color w:val="000000"/>
          <w:kern w:val="2"/>
          <w:sz w:val="32"/>
          <w:szCs w:val="24"/>
          <w:lang w:val="zh-CN"/>
        </w:rPr>
        <w:t>98.2</w:t>
      </w:r>
      <w:r>
        <w:rPr>
          <w:rFonts w:hint="eastAsia" w:ascii="仿宋_GB2312" w:hAnsi="仿宋_GB2312" w:eastAsia="仿宋_GB2312" w:cs="仿宋_GB2312"/>
          <w:color w:val="000000"/>
          <w:kern w:val="2"/>
          <w:sz w:val="32"/>
          <w:szCs w:val="24"/>
          <w:lang w:val="en-US" w:eastAsia="zh-CN"/>
        </w:rPr>
        <w:t>3</w:t>
      </w:r>
      <w:r>
        <w:rPr>
          <w:rStyle w:val="17"/>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color w:val="auto"/>
          <w:sz w:val="32"/>
          <w:szCs w:val="32"/>
          <w:highlight w:val="none"/>
        </w:rPr>
        <w:t>公务用车购置及运行维护费支出决算比20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年减少</w:t>
      </w:r>
      <w:r>
        <w:rPr>
          <w:rFonts w:hint="eastAsia" w:ascii="仿宋_GB2312" w:hAnsi="仿宋_GB2312" w:eastAsia="仿宋_GB2312" w:cs="仿宋_GB2312"/>
          <w:color w:val="000000"/>
          <w:kern w:val="2"/>
          <w:sz w:val="32"/>
          <w:szCs w:val="24"/>
          <w:lang w:val="zh-CN"/>
        </w:rPr>
        <w:t>1.83</w:t>
      </w:r>
      <w:r>
        <w:rPr>
          <w:rFonts w:hint="eastAsia" w:ascii="仿宋_GB2312" w:hAnsi="仿宋_GB2312" w:eastAsia="仿宋_GB2312" w:cs="仿宋_GB2312"/>
          <w:color w:val="auto"/>
          <w:sz w:val="32"/>
          <w:szCs w:val="32"/>
          <w:highlight w:val="none"/>
        </w:rPr>
        <w:t>万元，下降</w:t>
      </w:r>
      <w:r>
        <w:rPr>
          <w:rFonts w:hint="eastAsia" w:ascii="仿宋_GB2312" w:hAnsi="仿宋_GB2312" w:eastAsia="仿宋_GB2312" w:cs="仿宋_GB2312"/>
          <w:color w:val="000000"/>
          <w:kern w:val="2"/>
          <w:sz w:val="32"/>
          <w:szCs w:val="24"/>
          <w:lang w:val="zh-CN"/>
        </w:rPr>
        <w:t>14.</w:t>
      </w:r>
      <w:r>
        <w:rPr>
          <w:rFonts w:hint="eastAsia" w:ascii="仿宋_GB2312" w:hAnsi="仿宋_GB2312" w:eastAsia="仿宋_GB2312" w:cs="仿宋_GB2312"/>
          <w:color w:val="000000"/>
          <w:kern w:val="2"/>
          <w:sz w:val="32"/>
          <w:szCs w:val="24"/>
          <w:lang w:val="en-US" w:eastAsia="zh-CN"/>
        </w:rPr>
        <w:t>79</w:t>
      </w:r>
      <w:r>
        <w:rPr>
          <w:rFonts w:hint="eastAsia" w:ascii="仿宋_GB2312" w:hAnsi="仿宋_GB2312" w:eastAsia="仿宋_GB2312" w:cs="仿宋_GB2312"/>
          <w:color w:val="auto"/>
          <w:sz w:val="32"/>
          <w:szCs w:val="32"/>
          <w:highlight w:val="none"/>
        </w:rPr>
        <w:t>%。主要原因是</w:t>
      </w:r>
      <w:r>
        <w:rPr>
          <w:rFonts w:hint="eastAsia" w:ascii="仿宋_GB2312" w:hAnsi="仿宋_GB2312" w:eastAsia="仿宋_GB2312" w:cs="仿宋_GB2312"/>
          <w:b w:val="0"/>
          <w:bCs w:val="0"/>
          <w:sz w:val="32"/>
          <w:szCs w:val="32"/>
        </w:rPr>
        <w:t>继续落实转变作风、厉行节约、过紧日子“十三条措施”有关要求，加强公务用车日常管理，降低车辆各类消耗</w:t>
      </w:r>
      <w:r>
        <w:rPr>
          <w:rFonts w:hint="eastAsia" w:ascii="仿宋_GB2312" w:hAnsi="仿宋_GB2312" w:eastAsia="仿宋_GB2312" w:cs="仿宋_GB2312"/>
          <w:b w:val="0"/>
          <w:bCs w:val="0"/>
          <w:color w:val="000000"/>
          <w:sz w:val="32"/>
          <w:szCs w:val="32"/>
        </w:rPr>
        <w:t>。</w:t>
      </w:r>
    </w:p>
    <w:p>
      <w:pPr>
        <w:spacing w:line="600" w:lineRule="exact"/>
        <w:ind w:firstLine="640" w:firstLineChars="200"/>
        <w:rPr>
          <w:rFonts w:hint="eastAsia" w:ascii="仿宋_GB2312" w:hAnsi="仿宋_GB2312" w:eastAsia="仿宋_GB2312" w:cs="仿宋_GB2312"/>
          <w:b w:val="0"/>
          <w:bCs w:val="0"/>
          <w:color w:val="FF0000"/>
          <w:sz w:val="32"/>
          <w:szCs w:val="32"/>
          <w:lang w:val="en-US" w:eastAsia="zh-CN"/>
        </w:rPr>
      </w:pPr>
      <w:r>
        <w:rPr>
          <w:rFonts w:hint="eastAsia" w:ascii="仿宋_GB2312" w:hAnsi="仿宋_GB2312" w:eastAsia="仿宋_GB2312" w:cs="仿宋_GB2312"/>
          <w:color w:val="auto"/>
          <w:sz w:val="32"/>
          <w:szCs w:val="32"/>
          <w:highlight w:val="none"/>
        </w:rPr>
        <w:t>其中：公务用车购置支出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万元。全年</w:t>
      </w:r>
      <w:r>
        <w:rPr>
          <w:rFonts w:hint="eastAsia" w:ascii="仿宋_GB2312" w:hAnsi="仿宋_GB2312" w:eastAsia="仿宋_GB2312" w:cs="仿宋_GB2312"/>
          <w:color w:val="auto"/>
          <w:sz w:val="32"/>
          <w:szCs w:val="32"/>
          <w:highlight w:val="none"/>
          <w:lang w:val="en-US" w:eastAsia="zh-CN"/>
        </w:rPr>
        <w:t>未购置公务用车。</w:t>
      </w:r>
      <w:r>
        <w:rPr>
          <w:rFonts w:hint="eastAsia" w:ascii="仿宋_GB2312" w:hAnsi="仿宋_GB2312" w:eastAsia="仿宋_GB2312" w:cs="仿宋_GB2312"/>
          <w:color w:val="auto"/>
          <w:sz w:val="32"/>
          <w:szCs w:val="32"/>
          <w:highlight w:val="none"/>
        </w:rPr>
        <w:t>截至20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年12月底，单位共有公务用车</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辆，其中：</w:t>
      </w:r>
      <w:r>
        <w:rPr>
          <w:rFonts w:hint="eastAsia" w:ascii="仿宋_GB2312" w:hAnsi="仿宋_GB2312" w:eastAsia="仿宋_GB2312" w:cs="仿宋_GB2312"/>
          <w:b w:val="0"/>
          <w:bCs w:val="0"/>
          <w:color w:val="auto"/>
          <w:sz w:val="32"/>
          <w:szCs w:val="32"/>
          <w:highlight w:val="none"/>
        </w:rPr>
        <w:t>应急保障用车</w:t>
      </w:r>
      <w:r>
        <w:rPr>
          <w:rFonts w:hint="eastAsia" w:ascii="仿宋_GB2312" w:hAnsi="仿宋_GB2312" w:eastAsia="仿宋_GB2312" w:cs="仿宋_GB2312"/>
          <w:b w:val="0"/>
          <w:bCs w:val="0"/>
          <w:color w:val="auto"/>
          <w:sz w:val="32"/>
          <w:szCs w:val="32"/>
          <w:highlight w:val="none"/>
          <w:lang w:val="en-US" w:eastAsia="zh-CN"/>
        </w:rPr>
        <w:t>1</w:t>
      </w:r>
      <w:r>
        <w:rPr>
          <w:rFonts w:hint="eastAsia" w:ascii="仿宋_GB2312" w:hAnsi="仿宋_GB2312" w:eastAsia="仿宋_GB2312" w:cs="仿宋_GB2312"/>
          <w:b w:val="0"/>
          <w:bCs w:val="0"/>
          <w:color w:val="auto"/>
          <w:sz w:val="32"/>
          <w:szCs w:val="32"/>
          <w:highlight w:val="none"/>
        </w:rPr>
        <w:t>辆、</w:t>
      </w:r>
      <w:r>
        <w:rPr>
          <w:rFonts w:hint="eastAsia" w:ascii="仿宋_GB2312" w:hAnsi="仿宋_GB2312" w:eastAsia="仿宋_GB2312" w:cs="仿宋_GB2312"/>
          <w:b w:val="0"/>
          <w:bCs w:val="0"/>
          <w:color w:val="000000"/>
          <w:sz w:val="32"/>
          <w:szCs w:val="32"/>
        </w:rPr>
        <w:t>特种专业技术用车</w:t>
      </w:r>
      <w:r>
        <w:rPr>
          <w:rFonts w:hint="eastAsia" w:ascii="仿宋_GB2312" w:hAnsi="仿宋_GB2312" w:eastAsia="仿宋_GB2312" w:cs="仿宋_GB2312"/>
          <w:b w:val="0"/>
          <w:bCs w:val="0"/>
          <w:color w:val="000000"/>
          <w:sz w:val="32"/>
          <w:szCs w:val="32"/>
          <w:lang w:val="en-US" w:eastAsia="zh-CN"/>
        </w:rPr>
        <w:t>3</w:t>
      </w:r>
      <w:r>
        <w:rPr>
          <w:rFonts w:hint="eastAsia" w:ascii="仿宋_GB2312" w:hAnsi="仿宋_GB2312" w:eastAsia="仿宋_GB2312" w:cs="仿宋_GB2312"/>
          <w:b w:val="0"/>
          <w:bCs w:val="0"/>
          <w:color w:val="000000"/>
          <w:sz w:val="32"/>
          <w:szCs w:val="32"/>
        </w:rPr>
        <w:t>辆、其他用车4辆。</w:t>
      </w:r>
    </w:p>
    <w:p>
      <w:pPr>
        <w:spacing w:line="600" w:lineRule="exact"/>
        <w:ind w:firstLine="642" w:firstLineChars="200"/>
        <w:rPr>
          <w:rFonts w:hint="eastAsia" w:ascii="仿宋_GB2312" w:hAnsi="仿宋_GB2312" w:eastAsia="仿宋_GB2312" w:cs="仿宋_GB2312"/>
        </w:rPr>
      </w:pPr>
      <w:r>
        <w:rPr>
          <w:rFonts w:hint="eastAsia" w:ascii="仿宋_GB2312" w:hAnsi="仿宋_GB2312" w:eastAsia="仿宋_GB2312" w:cs="仿宋_GB2312"/>
          <w:b/>
          <w:color w:val="auto"/>
          <w:sz w:val="32"/>
          <w:szCs w:val="32"/>
          <w:highlight w:val="none"/>
        </w:rPr>
        <w:t>公务用车运行维护费支出</w:t>
      </w:r>
      <w:r>
        <w:rPr>
          <w:rFonts w:hint="eastAsia" w:ascii="仿宋_GB2312" w:hAnsi="仿宋_GB2312" w:eastAsia="仿宋_GB2312" w:cs="仿宋_GB2312"/>
          <w:color w:val="000000"/>
          <w:kern w:val="2"/>
          <w:sz w:val="32"/>
          <w:szCs w:val="24"/>
          <w:lang w:val="zh-CN"/>
        </w:rPr>
        <w:t>10.54</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b w:val="0"/>
          <w:bCs w:val="0"/>
          <w:color w:val="auto"/>
          <w:sz w:val="32"/>
          <w:szCs w:val="32"/>
          <w:highlight w:val="none"/>
          <w:lang w:eastAsia="zh-CN"/>
        </w:rPr>
        <w:t>主要用于</w:t>
      </w:r>
      <w:r>
        <w:rPr>
          <w:rFonts w:hint="eastAsia" w:ascii="仿宋_GB2312" w:hAnsi="仿宋_GB2312" w:eastAsia="仿宋_GB2312" w:cs="仿宋_GB2312"/>
          <w:b w:val="0"/>
          <w:bCs w:val="0"/>
          <w:color w:val="000000"/>
          <w:sz w:val="32"/>
          <w:szCs w:val="32"/>
        </w:rPr>
        <w:t>常态化联系退役军人、调研褒扬纪念设施、就业创业培训指导、外出辅助检查、祭扫</w:t>
      </w:r>
      <w:r>
        <w:rPr>
          <w:rFonts w:hint="eastAsia" w:ascii="仿宋_GB2312" w:hAnsi="仿宋_GB2312" w:eastAsia="仿宋_GB2312" w:cs="仿宋_GB2312"/>
          <w:b w:val="0"/>
          <w:bCs w:val="0"/>
          <w:color w:val="000000"/>
          <w:sz w:val="32"/>
          <w:szCs w:val="32"/>
          <w:lang w:eastAsia="zh-CN"/>
        </w:rPr>
        <w:t>烈士纪念设施</w:t>
      </w:r>
      <w:r>
        <w:rPr>
          <w:rFonts w:hint="eastAsia" w:ascii="仿宋_GB2312" w:hAnsi="仿宋_GB2312" w:eastAsia="仿宋_GB2312" w:cs="仿宋_GB2312"/>
          <w:b w:val="0"/>
          <w:bCs w:val="0"/>
          <w:color w:val="000000"/>
          <w:sz w:val="32"/>
          <w:szCs w:val="32"/>
        </w:rPr>
        <w:t>、军休干部、供养人员及军供服务</w:t>
      </w:r>
      <w:r>
        <w:rPr>
          <w:rFonts w:hint="eastAsia" w:ascii="仿宋_GB2312" w:hAnsi="仿宋_GB2312" w:eastAsia="仿宋_GB2312" w:cs="仿宋_GB2312"/>
          <w:color w:val="auto"/>
          <w:sz w:val="32"/>
          <w:szCs w:val="32"/>
          <w:highlight w:val="none"/>
        </w:rPr>
        <w:t>等所需的公务用车燃料费、维修费、过路过桥费、保险费等支出。</w:t>
      </w:r>
    </w:p>
    <w:p>
      <w:pPr>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3.公务接待费支出</w:t>
      </w:r>
      <w:r>
        <w:rPr>
          <w:rFonts w:hint="eastAsia" w:ascii="仿宋_GB2312" w:hAnsi="仿宋_GB2312" w:eastAsia="仿宋_GB2312" w:cs="仿宋_GB2312"/>
          <w:color w:val="000000"/>
          <w:kern w:val="2"/>
          <w:sz w:val="32"/>
          <w:szCs w:val="24"/>
          <w:lang w:val="zh-CN"/>
        </w:rPr>
        <w:t>1.12</w:t>
      </w:r>
      <w:r>
        <w:rPr>
          <w:rFonts w:hint="eastAsia" w:ascii="仿宋_GB2312" w:hAnsi="仿宋_GB2312" w:eastAsia="仿宋_GB2312" w:cs="仿宋_GB2312"/>
          <w:color w:val="auto"/>
          <w:sz w:val="32"/>
          <w:szCs w:val="32"/>
          <w:highlight w:val="none"/>
        </w:rPr>
        <w:t>万元，</w:t>
      </w:r>
      <w:r>
        <w:rPr>
          <w:rStyle w:val="17"/>
          <w:rFonts w:hint="eastAsia" w:ascii="仿宋_GB2312" w:hAnsi="仿宋_GB2312" w:eastAsia="仿宋_GB2312" w:cs="仿宋_GB2312"/>
          <w:b w:val="0"/>
          <w:bCs/>
          <w:color w:val="auto"/>
          <w:sz w:val="32"/>
          <w:szCs w:val="32"/>
          <w:highlight w:val="none"/>
        </w:rPr>
        <w:t>完成预算</w:t>
      </w:r>
      <w:r>
        <w:rPr>
          <w:rFonts w:hint="eastAsia" w:ascii="仿宋_GB2312" w:hAnsi="仿宋_GB2312" w:eastAsia="仿宋_GB2312" w:cs="仿宋_GB2312"/>
          <w:color w:val="000000"/>
          <w:kern w:val="2"/>
          <w:sz w:val="32"/>
          <w:szCs w:val="24"/>
          <w:highlight w:val="none"/>
          <w:lang w:val="en-US" w:eastAsia="zh-CN"/>
        </w:rPr>
        <w:t>95.73</w:t>
      </w:r>
      <w:r>
        <w:rPr>
          <w:rStyle w:val="17"/>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color w:val="auto"/>
          <w:sz w:val="32"/>
          <w:szCs w:val="32"/>
          <w:highlight w:val="none"/>
        </w:rPr>
        <w:t>公务接待费支出决算比20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年减少</w:t>
      </w:r>
      <w:r>
        <w:rPr>
          <w:rFonts w:hint="eastAsia" w:ascii="仿宋_GB2312" w:hAnsi="仿宋_GB2312" w:eastAsia="仿宋_GB2312" w:cs="仿宋_GB2312"/>
          <w:color w:val="000000"/>
          <w:kern w:val="2"/>
          <w:sz w:val="32"/>
          <w:szCs w:val="24"/>
          <w:lang w:val="zh-CN"/>
        </w:rPr>
        <w:t>0.55</w:t>
      </w:r>
      <w:r>
        <w:rPr>
          <w:rFonts w:hint="eastAsia" w:ascii="仿宋_GB2312" w:hAnsi="仿宋_GB2312" w:eastAsia="仿宋_GB2312" w:cs="仿宋_GB2312"/>
          <w:color w:val="auto"/>
          <w:sz w:val="32"/>
          <w:szCs w:val="32"/>
          <w:highlight w:val="none"/>
        </w:rPr>
        <w:t>万元，下降</w:t>
      </w:r>
      <w:r>
        <w:rPr>
          <w:rFonts w:hint="eastAsia" w:ascii="仿宋_GB2312" w:hAnsi="仿宋_GB2312" w:eastAsia="仿宋_GB2312" w:cs="仿宋_GB2312"/>
          <w:color w:val="000000"/>
          <w:kern w:val="2"/>
          <w:sz w:val="32"/>
          <w:szCs w:val="24"/>
          <w:lang w:val="zh-CN"/>
        </w:rPr>
        <w:t>32.9</w:t>
      </w:r>
      <w:r>
        <w:rPr>
          <w:rFonts w:hint="eastAsia" w:ascii="仿宋_GB2312" w:hAnsi="仿宋_GB2312" w:eastAsia="仿宋_GB2312" w:cs="仿宋_GB2312"/>
          <w:color w:val="000000"/>
          <w:kern w:val="2"/>
          <w:sz w:val="32"/>
          <w:szCs w:val="24"/>
          <w:lang w:val="en-US" w:eastAsia="zh-CN"/>
        </w:rPr>
        <w:t>3</w:t>
      </w:r>
      <w:r>
        <w:rPr>
          <w:rFonts w:hint="eastAsia" w:ascii="仿宋_GB2312" w:hAnsi="仿宋_GB2312" w:eastAsia="仿宋_GB2312" w:cs="仿宋_GB2312"/>
          <w:color w:val="auto"/>
          <w:sz w:val="32"/>
          <w:szCs w:val="32"/>
          <w:highlight w:val="none"/>
        </w:rPr>
        <w:t>%。主要原因是</w:t>
      </w:r>
      <w:r>
        <w:rPr>
          <w:rFonts w:hint="eastAsia" w:ascii="仿宋_GB2312" w:hAnsi="仿宋_GB2312" w:eastAsia="仿宋_GB2312" w:cs="仿宋_GB2312"/>
          <w:b w:val="0"/>
          <w:bCs w:val="0"/>
          <w:color w:val="000000"/>
          <w:sz w:val="32"/>
          <w:szCs w:val="32"/>
          <w:highlight w:val="none"/>
        </w:rPr>
        <w:t>倡导厉行节约，规范公务接待，严格控制公务接待标准和陪餐人数</w:t>
      </w:r>
      <w:r>
        <w:rPr>
          <w:rFonts w:hint="eastAsia" w:ascii="仿宋_GB2312" w:hAnsi="仿宋_GB2312" w:eastAsia="仿宋_GB2312" w:cs="仿宋_GB2312"/>
          <w:color w:val="auto"/>
          <w:sz w:val="32"/>
          <w:szCs w:val="32"/>
          <w:highlight w:val="none"/>
        </w:rPr>
        <w:t>。其中：</w:t>
      </w:r>
    </w:p>
    <w:p>
      <w:pPr>
        <w:spacing w:line="600" w:lineRule="exact"/>
        <w:ind w:firstLine="640"/>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color w:val="auto"/>
          <w:sz w:val="32"/>
          <w:szCs w:val="32"/>
          <w:highlight w:val="none"/>
        </w:rPr>
        <w:t>国内公务接待支出</w:t>
      </w:r>
      <w:r>
        <w:rPr>
          <w:rFonts w:hint="eastAsia" w:ascii="仿宋_GB2312" w:hAnsi="仿宋_GB2312" w:eastAsia="仿宋_GB2312" w:cs="仿宋_GB2312"/>
          <w:color w:val="000000"/>
          <w:kern w:val="2"/>
          <w:sz w:val="32"/>
          <w:szCs w:val="24"/>
          <w:lang w:val="zh-CN"/>
        </w:rPr>
        <w:t>1.12</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b w:val="0"/>
          <w:bCs w:val="0"/>
          <w:color w:val="auto"/>
          <w:sz w:val="32"/>
          <w:szCs w:val="32"/>
          <w:highlight w:val="none"/>
          <w:lang w:eastAsia="zh-CN"/>
        </w:rPr>
        <w:t>主要用于</w:t>
      </w:r>
      <w:r>
        <w:rPr>
          <w:rFonts w:hint="eastAsia" w:ascii="仿宋_GB2312" w:hAnsi="仿宋_GB2312" w:eastAsia="仿宋_GB2312" w:cs="仿宋_GB2312"/>
          <w:b w:val="0"/>
          <w:bCs w:val="0"/>
          <w:color w:val="000000"/>
          <w:sz w:val="32"/>
          <w:szCs w:val="32"/>
          <w:highlight w:val="none"/>
        </w:rPr>
        <w:t>执行公务、开展业务活动开支的餐费。国内公务接待</w:t>
      </w:r>
      <w:r>
        <w:rPr>
          <w:rFonts w:hint="eastAsia" w:ascii="仿宋_GB2312" w:hAnsi="仿宋_GB2312" w:eastAsia="仿宋_GB2312" w:cs="仿宋_GB2312"/>
          <w:b w:val="0"/>
          <w:bCs w:val="0"/>
          <w:color w:val="000000"/>
          <w:sz w:val="32"/>
          <w:szCs w:val="32"/>
          <w:highlight w:val="none"/>
          <w:lang w:val="en-US" w:eastAsia="zh-CN"/>
        </w:rPr>
        <w:t>13</w:t>
      </w:r>
      <w:r>
        <w:rPr>
          <w:rFonts w:hint="eastAsia" w:ascii="仿宋_GB2312" w:hAnsi="仿宋_GB2312" w:eastAsia="仿宋_GB2312" w:cs="仿宋_GB2312"/>
          <w:b w:val="0"/>
          <w:bCs w:val="0"/>
          <w:color w:val="000000"/>
          <w:sz w:val="32"/>
          <w:szCs w:val="32"/>
          <w:highlight w:val="none"/>
        </w:rPr>
        <w:t>批次，</w:t>
      </w:r>
      <w:r>
        <w:rPr>
          <w:rFonts w:hint="eastAsia" w:ascii="仿宋_GB2312" w:hAnsi="仿宋_GB2312" w:eastAsia="仿宋_GB2312" w:cs="仿宋_GB2312"/>
          <w:b w:val="0"/>
          <w:bCs w:val="0"/>
          <w:color w:val="000000"/>
          <w:sz w:val="32"/>
          <w:szCs w:val="32"/>
          <w:highlight w:val="none"/>
          <w:lang w:val="en-US" w:eastAsia="zh-CN"/>
        </w:rPr>
        <w:t>97</w:t>
      </w:r>
      <w:r>
        <w:rPr>
          <w:rFonts w:hint="eastAsia" w:ascii="仿宋_GB2312" w:hAnsi="仿宋_GB2312" w:eastAsia="仿宋_GB2312" w:cs="仿宋_GB2312"/>
          <w:b w:val="0"/>
          <w:bCs w:val="0"/>
          <w:color w:val="000000"/>
          <w:sz w:val="32"/>
          <w:szCs w:val="32"/>
          <w:highlight w:val="none"/>
        </w:rPr>
        <w:t>人次（不包括陪同人员），共计支出</w:t>
      </w:r>
      <w:r>
        <w:rPr>
          <w:rFonts w:hint="eastAsia" w:ascii="仿宋_GB2312" w:hAnsi="仿宋_GB2312" w:eastAsia="仿宋_GB2312" w:cs="仿宋_GB2312"/>
          <w:b w:val="0"/>
          <w:bCs w:val="0"/>
          <w:color w:val="000000"/>
          <w:sz w:val="32"/>
          <w:szCs w:val="32"/>
          <w:highlight w:val="none"/>
          <w:lang w:val="zh-CN"/>
        </w:rPr>
        <w:t>1.12</w:t>
      </w:r>
      <w:r>
        <w:rPr>
          <w:rFonts w:hint="eastAsia" w:ascii="仿宋_GB2312" w:hAnsi="仿宋_GB2312" w:eastAsia="仿宋_GB2312" w:cs="仿宋_GB2312"/>
          <w:b w:val="0"/>
          <w:bCs w:val="0"/>
          <w:color w:val="000000"/>
          <w:sz w:val="32"/>
          <w:szCs w:val="32"/>
          <w:highlight w:val="none"/>
        </w:rPr>
        <w:t>万元，具体内容包括</w:t>
      </w:r>
      <w:r>
        <w:rPr>
          <w:rFonts w:hint="eastAsia" w:ascii="仿宋_GB2312" w:hAnsi="仿宋_GB2312" w:eastAsia="仿宋_GB2312" w:cs="仿宋_GB2312"/>
          <w:b w:val="0"/>
          <w:bCs w:val="0"/>
          <w:color w:val="000000"/>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接待省厅、射洪市退役军人事务局、</w:t>
      </w:r>
      <w:r>
        <w:rPr>
          <w:rFonts w:hint="eastAsia" w:ascii="仿宋_GB2312" w:hAnsi="仿宋_GB2312" w:eastAsia="仿宋_GB2312" w:cs="仿宋_GB2312"/>
          <w:b w:val="0"/>
          <w:bCs w:val="0"/>
          <w:color w:val="auto"/>
          <w:sz w:val="32"/>
          <w:szCs w:val="32"/>
          <w:highlight w:val="none"/>
          <w:lang w:eastAsia="zh-CN"/>
        </w:rPr>
        <w:t>遂宁市退役军人服务中心</w:t>
      </w:r>
      <w:r>
        <w:rPr>
          <w:rFonts w:hint="eastAsia" w:ascii="仿宋_GB2312" w:hAnsi="仿宋_GB2312" w:eastAsia="仿宋_GB2312" w:cs="仿宋_GB2312"/>
          <w:b w:val="0"/>
          <w:bCs w:val="0"/>
          <w:color w:val="auto"/>
          <w:sz w:val="32"/>
          <w:szCs w:val="32"/>
          <w:highlight w:val="none"/>
          <w:lang w:val="en-US" w:eastAsia="zh-CN"/>
        </w:rPr>
        <w:t>等单位来广元开展工作检查调研、工作交流等所发生的公务接待支出。</w:t>
      </w:r>
    </w:p>
    <w:p>
      <w:pPr>
        <w:spacing w:line="600" w:lineRule="exact"/>
        <w:ind w:firstLine="642"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外事接待支出</w:t>
      </w:r>
      <w:r>
        <w:rPr>
          <w:rFonts w:hint="eastAsia" w:ascii="仿宋_GB2312" w:hAnsi="仿宋_GB2312" w:eastAsia="仿宋_GB2312" w:cs="仿宋_GB2312"/>
          <w:b w:val="0"/>
          <w:bCs w:val="0"/>
          <w:color w:val="000000"/>
          <w:sz w:val="32"/>
          <w:szCs w:val="32"/>
          <w:lang w:val="en-US" w:eastAsia="zh-CN"/>
        </w:rPr>
        <w:t>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b w:val="0"/>
          <w:bCs w:val="0"/>
          <w:color w:val="000000"/>
          <w:sz w:val="32"/>
          <w:szCs w:val="32"/>
        </w:rPr>
        <w:t>全年未发生外事接待支出</w:t>
      </w:r>
      <w:r>
        <w:rPr>
          <w:rFonts w:hint="eastAsia" w:ascii="仿宋_GB2312" w:hAnsi="仿宋_GB2312" w:eastAsia="仿宋_GB2312" w:cs="仿宋_GB2312"/>
          <w:b w:val="0"/>
          <w:bCs w:val="0"/>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Style w:val="20"/>
          <w:rFonts w:hint="eastAsia" w:ascii="黑体" w:hAnsi="黑体" w:eastAsia="黑体"/>
          <w:b w:val="0"/>
          <w:color w:val="auto"/>
          <w:highlight w:val="none"/>
        </w:rPr>
      </w:pPr>
      <w:bookmarkStart w:id="52" w:name="_Toc15377218"/>
      <w:bookmarkStart w:id="53" w:name="_Toc8229"/>
      <w:bookmarkStart w:id="54" w:name="_Toc15396610"/>
      <w:r>
        <w:rPr>
          <w:rStyle w:val="20"/>
          <w:rFonts w:hint="eastAsia" w:ascii="黑体" w:hAnsi="黑体" w:eastAsia="黑体"/>
          <w:b w:val="0"/>
          <w:color w:val="auto"/>
          <w:highlight w:val="none"/>
        </w:rPr>
        <w:t>八、政府性基金预算支出决算情况说明</w:t>
      </w:r>
      <w:bookmarkEnd w:id="52"/>
      <w:bookmarkEnd w:id="53"/>
      <w:bookmarkEnd w:id="54"/>
    </w:p>
    <w:p>
      <w:pPr>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年政府性基金预算</w:t>
      </w:r>
      <w:r>
        <w:rPr>
          <w:rFonts w:hint="eastAsia" w:ascii="仿宋_GB2312" w:hAnsi="仿宋_GB2312" w:eastAsia="仿宋_GB2312" w:cs="仿宋_GB2312"/>
          <w:color w:val="auto"/>
          <w:sz w:val="32"/>
          <w:szCs w:val="32"/>
          <w:highlight w:val="none"/>
          <w:lang w:eastAsia="zh-CN"/>
        </w:rPr>
        <w:t>财政</w:t>
      </w:r>
      <w:r>
        <w:rPr>
          <w:rFonts w:hint="eastAsia" w:ascii="仿宋_GB2312" w:hAnsi="仿宋_GB2312" w:eastAsia="仿宋_GB2312" w:cs="仿宋_GB2312"/>
          <w:color w:val="auto"/>
          <w:sz w:val="32"/>
          <w:szCs w:val="32"/>
          <w:highlight w:val="none"/>
        </w:rPr>
        <w:t>拨款支出</w:t>
      </w:r>
      <w:r>
        <w:rPr>
          <w:rFonts w:hint="eastAsia" w:ascii="仿宋_GB2312" w:hAnsi="仿宋_GB2312" w:eastAsia="仿宋_GB2312" w:cs="仿宋_GB2312"/>
          <w:color w:val="000000"/>
          <w:kern w:val="2"/>
          <w:sz w:val="32"/>
          <w:szCs w:val="24"/>
          <w:lang w:val="zh-CN"/>
        </w:rPr>
        <w:t>50.11</w:t>
      </w:r>
      <w:r>
        <w:rPr>
          <w:rFonts w:hint="eastAsia" w:ascii="仿宋_GB2312" w:hAnsi="仿宋_GB2312" w:eastAsia="仿宋_GB2312" w:cs="仿宋_GB2312"/>
          <w:color w:val="auto"/>
          <w:sz w:val="32"/>
          <w:szCs w:val="32"/>
          <w:highlight w:val="none"/>
        </w:rPr>
        <w:t>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Style w:val="20"/>
          <w:rFonts w:hint="eastAsia" w:ascii="黑体" w:hAnsi="黑体" w:eastAsia="黑体"/>
          <w:b w:val="0"/>
          <w:color w:val="auto"/>
          <w:highlight w:val="none"/>
        </w:rPr>
      </w:pPr>
      <w:bookmarkStart w:id="55" w:name="_Toc15396611"/>
      <w:bookmarkStart w:id="56" w:name="_Toc25110"/>
      <w:bookmarkStart w:id="57" w:name="_Toc15377219"/>
      <w:r>
        <w:rPr>
          <w:rStyle w:val="20"/>
          <w:rFonts w:hint="eastAsia" w:ascii="黑体" w:hAnsi="黑体" w:eastAsia="黑体"/>
          <w:b w:val="0"/>
          <w:color w:val="auto"/>
          <w:highlight w:val="none"/>
          <w:lang w:eastAsia="zh-CN"/>
        </w:rPr>
        <w:t>九、</w:t>
      </w:r>
      <w:r>
        <w:rPr>
          <w:rStyle w:val="20"/>
          <w:rFonts w:hint="eastAsia" w:ascii="黑体" w:hAnsi="黑体" w:eastAsia="黑体"/>
          <w:b w:val="0"/>
          <w:color w:val="auto"/>
          <w:highlight w:val="none"/>
        </w:rPr>
        <w:t>国有资本经营预算支出决算情况说明</w:t>
      </w:r>
      <w:bookmarkEnd w:id="55"/>
      <w:bookmarkEnd w:id="56"/>
      <w:bookmarkEnd w:id="57"/>
    </w:p>
    <w:p>
      <w:pPr>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年国有资本经营预算</w:t>
      </w:r>
      <w:r>
        <w:rPr>
          <w:rFonts w:hint="eastAsia" w:ascii="仿宋_GB2312" w:hAnsi="仿宋_GB2312" w:eastAsia="仿宋_GB2312" w:cs="仿宋_GB2312"/>
          <w:color w:val="auto"/>
          <w:sz w:val="32"/>
          <w:szCs w:val="32"/>
          <w:highlight w:val="none"/>
          <w:lang w:eastAsia="zh-CN"/>
        </w:rPr>
        <w:t>财政</w:t>
      </w:r>
      <w:r>
        <w:rPr>
          <w:rFonts w:hint="eastAsia" w:ascii="仿宋_GB2312" w:hAnsi="仿宋_GB2312" w:eastAsia="仿宋_GB2312" w:cs="仿宋_GB2312"/>
          <w:color w:val="auto"/>
          <w:sz w:val="32"/>
          <w:szCs w:val="32"/>
          <w:highlight w:val="none"/>
        </w:rPr>
        <w:t>拨款支出</w:t>
      </w:r>
      <w:r>
        <w:rPr>
          <w:rFonts w:hint="eastAsia" w:ascii="仿宋_GB2312" w:hAnsi="仿宋_GB2312" w:eastAsia="仿宋_GB2312" w:cs="仿宋_GB2312"/>
          <w:color w:val="000000"/>
          <w:kern w:val="2"/>
          <w:sz w:val="32"/>
          <w:szCs w:val="24"/>
          <w:lang w:val="zh-CN"/>
        </w:rPr>
        <w:t>0</w:t>
      </w:r>
      <w:r>
        <w:rPr>
          <w:rFonts w:hint="eastAsia" w:ascii="仿宋_GB2312" w:hAnsi="仿宋_GB2312" w:eastAsia="仿宋_GB2312" w:cs="仿宋_GB2312"/>
          <w:color w:val="auto"/>
          <w:sz w:val="32"/>
          <w:szCs w:val="32"/>
          <w:highlight w:val="none"/>
        </w:rPr>
        <w:t>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Style w:val="20"/>
          <w:rFonts w:hint="eastAsia" w:ascii="黑体" w:hAnsi="黑体" w:eastAsia="黑体"/>
          <w:b w:val="0"/>
          <w:color w:val="auto"/>
          <w:highlight w:val="none"/>
        </w:rPr>
      </w:pPr>
      <w:bookmarkStart w:id="58" w:name="_Toc15377221"/>
      <w:bookmarkStart w:id="59" w:name="_Toc15396612"/>
      <w:bookmarkStart w:id="60" w:name="_Toc23989"/>
      <w:r>
        <w:rPr>
          <w:rStyle w:val="20"/>
          <w:rFonts w:hint="eastAsia" w:ascii="黑体" w:hAnsi="黑体" w:eastAsia="黑体"/>
          <w:b w:val="0"/>
          <w:color w:val="auto"/>
          <w:highlight w:val="none"/>
          <w:lang w:eastAsia="zh-CN"/>
        </w:rPr>
        <w:t>十、</w:t>
      </w:r>
      <w:r>
        <w:rPr>
          <w:rStyle w:val="20"/>
          <w:rFonts w:hint="eastAsia" w:ascii="黑体" w:hAnsi="黑体" w:eastAsia="黑体"/>
          <w:b w:val="0"/>
          <w:color w:val="auto"/>
          <w:highlight w:val="none"/>
        </w:rPr>
        <w:t>其他重要事项的情况说明</w:t>
      </w:r>
      <w:bookmarkEnd w:id="58"/>
      <w:bookmarkEnd w:id="59"/>
      <w:bookmarkEnd w:id="60"/>
    </w:p>
    <w:p>
      <w:pPr>
        <w:spacing w:line="600" w:lineRule="exact"/>
        <w:ind w:firstLine="642" w:firstLineChars="200"/>
        <w:outlineLvl w:val="2"/>
        <w:rPr>
          <w:rFonts w:hint="eastAsia" w:ascii="仿宋_GB2312" w:hAnsi="仿宋_GB2312" w:eastAsia="仿宋_GB2312" w:cs="仿宋_GB2312"/>
          <w:color w:val="auto"/>
          <w:sz w:val="32"/>
          <w:szCs w:val="32"/>
          <w:highlight w:val="none"/>
        </w:rPr>
      </w:pPr>
      <w:bookmarkStart w:id="61" w:name="_Toc15377222"/>
      <w:r>
        <w:rPr>
          <w:rFonts w:hint="eastAsia" w:ascii="仿宋_GB2312" w:hAnsi="仿宋_GB2312" w:eastAsia="仿宋_GB2312" w:cs="仿宋_GB2312"/>
          <w:b/>
          <w:color w:val="auto"/>
          <w:sz w:val="32"/>
          <w:szCs w:val="32"/>
          <w:highlight w:val="none"/>
        </w:rPr>
        <w:t>（一）机关运行经费支出情况</w:t>
      </w:r>
      <w:bookmarkEnd w:id="61"/>
    </w:p>
    <w:p>
      <w:pPr>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000000"/>
          <w:kern w:val="2"/>
          <w:sz w:val="32"/>
          <w:szCs w:val="24"/>
          <w:lang w:val="zh-CN"/>
        </w:rPr>
        <w:t>广元市退役军人事务局</w:t>
      </w:r>
      <w:r>
        <w:rPr>
          <w:rFonts w:hint="eastAsia" w:ascii="仿宋_GB2312" w:hAnsi="仿宋_GB2312" w:eastAsia="仿宋_GB2312" w:cs="仿宋_GB2312"/>
          <w:color w:val="auto"/>
          <w:sz w:val="32"/>
          <w:szCs w:val="32"/>
          <w:highlight w:val="none"/>
        </w:rPr>
        <w:t>机关运行经费支出</w:t>
      </w:r>
      <w:r>
        <w:rPr>
          <w:rFonts w:hint="eastAsia" w:ascii="仿宋_GB2312" w:hAnsi="仿宋_GB2312" w:eastAsia="仿宋_GB2312" w:cs="仿宋_GB2312"/>
          <w:color w:val="000000"/>
          <w:kern w:val="2"/>
          <w:sz w:val="32"/>
          <w:szCs w:val="24"/>
          <w:lang w:val="zh-CN"/>
        </w:rPr>
        <w:t>72.81</w:t>
      </w:r>
      <w:r>
        <w:rPr>
          <w:rFonts w:hint="eastAsia" w:ascii="仿宋_GB2312" w:hAnsi="仿宋_GB2312" w:eastAsia="仿宋_GB2312" w:cs="仿宋_GB2312"/>
          <w:color w:val="auto"/>
          <w:sz w:val="32"/>
          <w:szCs w:val="32"/>
          <w:highlight w:val="none"/>
        </w:rPr>
        <w:t>万元，比20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年减少</w:t>
      </w:r>
      <w:r>
        <w:rPr>
          <w:rFonts w:hint="eastAsia" w:ascii="仿宋_GB2312" w:hAnsi="仿宋_GB2312" w:eastAsia="仿宋_GB2312" w:cs="仿宋_GB2312"/>
          <w:color w:val="000000"/>
          <w:kern w:val="2"/>
          <w:sz w:val="32"/>
          <w:szCs w:val="24"/>
          <w:lang w:val="zh-CN"/>
        </w:rPr>
        <w:t>6.09</w:t>
      </w:r>
      <w:r>
        <w:rPr>
          <w:rFonts w:hint="eastAsia" w:ascii="仿宋_GB2312" w:hAnsi="仿宋_GB2312" w:eastAsia="仿宋_GB2312" w:cs="仿宋_GB2312"/>
          <w:color w:val="auto"/>
          <w:sz w:val="32"/>
          <w:szCs w:val="32"/>
          <w:highlight w:val="none"/>
        </w:rPr>
        <w:t>万元，下降</w:t>
      </w:r>
      <w:r>
        <w:rPr>
          <w:rFonts w:hint="eastAsia" w:ascii="仿宋_GB2312" w:hAnsi="仿宋_GB2312" w:eastAsia="仿宋_GB2312" w:cs="仿宋_GB2312"/>
          <w:color w:val="000000"/>
          <w:kern w:val="2"/>
          <w:sz w:val="32"/>
          <w:szCs w:val="24"/>
          <w:lang w:val="zh-CN"/>
        </w:rPr>
        <w:t>7.7</w:t>
      </w:r>
      <w:r>
        <w:rPr>
          <w:rFonts w:hint="eastAsia" w:ascii="仿宋_GB2312" w:hAnsi="仿宋_GB2312" w:eastAsia="仿宋_GB2312" w:cs="仿宋_GB2312"/>
          <w:color w:val="000000"/>
          <w:kern w:val="2"/>
          <w:sz w:val="32"/>
          <w:szCs w:val="24"/>
          <w:lang w:val="en-US" w:eastAsia="zh-CN"/>
        </w:rPr>
        <w:t>2</w:t>
      </w:r>
      <w:r>
        <w:rPr>
          <w:rFonts w:hint="eastAsia" w:ascii="仿宋_GB2312" w:hAnsi="仿宋_GB2312" w:eastAsia="仿宋_GB2312" w:cs="仿宋_GB2312"/>
          <w:color w:val="auto"/>
          <w:sz w:val="32"/>
          <w:szCs w:val="32"/>
          <w:highlight w:val="none"/>
        </w:rPr>
        <w:t>%。主要原因是</w:t>
      </w:r>
      <w:r>
        <w:rPr>
          <w:rFonts w:hint="eastAsia" w:ascii="仿宋_GB2312" w:hAnsi="仿宋_GB2312" w:eastAsia="仿宋_GB2312" w:cs="仿宋_GB2312"/>
          <w:b w:val="0"/>
          <w:bCs w:val="0"/>
          <w:color w:val="000000"/>
          <w:sz w:val="32"/>
          <w:szCs w:val="32"/>
          <w:highlight w:val="none"/>
          <w:lang w:eastAsia="zh-CN"/>
        </w:rPr>
        <w:t>落实过紧日子要求，压减机关运行经费支出</w:t>
      </w:r>
      <w:r>
        <w:rPr>
          <w:rFonts w:hint="eastAsia" w:ascii="仿宋_GB2312" w:hAnsi="仿宋_GB2312" w:eastAsia="仿宋_GB2312" w:cs="仿宋_GB2312"/>
          <w:color w:val="auto"/>
          <w:sz w:val="32"/>
          <w:szCs w:val="32"/>
          <w:highlight w:val="none"/>
          <w:lang w:eastAsia="zh-CN"/>
        </w:rPr>
        <w:t>。</w:t>
      </w:r>
    </w:p>
    <w:p>
      <w:pPr>
        <w:autoSpaceDE w:val="0"/>
        <w:autoSpaceDN w:val="0"/>
        <w:adjustRightInd w:val="0"/>
        <w:spacing w:line="600" w:lineRule="exact"/>
        <w:ind w:firstLine="642" w:firstLineChars="200"/>
        <w:jc w:val="left"/>
        <w:outlineLvl w:val="2"/>
        <w:rPr>
          <w:rFonts w:hint="eastAsia" w:ascii="仿宋_GB2312" w:hAnsi="仿宋_GB2312" w:eastAsia="仿宋_GB2312" w:cs="仿宋_GB2312"/>
          <w:b/>
          <w:color w:val="auto"/>
          <w:sz w:val="32"/>
          <w:szCs w:val="32"/>
          <w:highlight w:val="none"/>
        </w:rPr>
      </w:pPr>
      <w:bookmarkStart w:id="62" w:name="_Toc15377223"/>
      <w:r>
        <w:rPr>
          <w:rFonts w:hint="eastAsia" w:ascii="仿宋_GB2312" w:hAnsi="仿宋_GB2312" w:eastAsia="仿宋_GB2312" w:cs="仿宋_GB2312"/>
          <w:b/>
          <w:color w:val="auto"/>
          <w:sz w:val="32"/>
          <w:szCs w:val="32"/>
          <w:highlight w:val="none"/>
        </w:rPr>
        <w:t>（二）政府采购支出情况</w:t>
      </w:r>
      <w:bookmarkEnd w:id="62"/>
    </w:p>
    <w:p>
      <w:pPr>
        <w:spacing w:line="600" w:lineRule="exact"/>
        <w:ind w:firstLine="64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000000"/>
          <w:kern w:val="2"/>
          <w:sz w:val="32"/>
          <w:szCs w:val="24"/>
          <w:lang w:val="zh-CN"/>
        </w:rPr>
        <w:t>广元市退役军人事务局</w:t>
      </w:r>
      <w:r>
        <w:rPr>
          <w:rFonts w:hint="eastAsia" w:ascii="仿宋_GB2312" w:hAnsi="仿宋_GB2312" w:eastAsia="仿宋_GB2312" w:cs="仿宋_GB2312"/>
          <w:color w:val="auto"/>
          <w:sz w:val="32"/>
          <w:szCs w:val="32"/>
          <w:highlight w:val="none"/>
        </w:rPr>
        <w:t>政府采购支出总额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w:t>
      </w:r>
    </w:p>
    <w:p>
      <w:pPr>
        <w:autoSpaceDE w:val="0"/>
        <w:autoSpaceDN w:val="0"/>
        <w:adjustRightInd w:val="0"/>
        <w:spacing w:line="600" w:lineRule="exact"/>
        <w:ind w:firstLine="642" w:firstLineChars="200"/>
        <w:jc w:val="left"/>
        <w:outlineLvl w:val="2"/>
        <w:rPr>
          <w:rFonts w:hint="eastAsia" w:ascii="仿宋_GB2312" w:hAnsi="仿宋_GB2312" w:eastAsia="仿宋_GB2312" w:cs="仿宋_GB2312"/>
          <w:b/>
          <w:color w:val="auto"/>
          <w:sz w:val="32"/>
          <w:szCs w:val="32"/>
          <w:highlight w:val="none"/>
        </w:rPr>
      </w:pPr>
      <w:bookmarkStart w:id="63" w:name="_Toc15377224"/>
      <w:r>
        <w:rPr>
          <w:rFonts w:hint="eastAsia" w:ascii="仿宋_GB2312" w:hAnsi="仿宋_GB2312" w:eastAsia="仿宋_GB2312" w:cs="仿宋_GB2312"/>
          <w:b/>
          <w:color w:val="auto"/>
          <w:sz w:val="32"/>
          <w:szCs w:val="32"/>
          <w:highlight w:val="none"/>
        </w:rPr>
        <w:t>（三）国有资产占有使用情况</w:t>
      </w:r>
      <w:bookmarkEnd w:id="63"/>
    </w:p>
    <w:p>
      <w:pPr>
        <w:autoSpaceDE w:val="0"/>
        <w:autoSpaceDN w:val="0"/>
        <w:adjustRightInd w:val="0"/>
        <w:spacing w:line="60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截至20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年12月31日，</w:t>
      </w:r>
      <w:r>
        <w:rPr>
          <w:rFonts w:hint="eastAsia" w:ascii="仿宋_GB2312" w:hAnsi="仿宋_GB2312" w:eastAsia="仿宋_GB2312" w:cs="仿宋_GB2312"/>
          <w:color w:val="000000"/>
          <w:kern w:val="2"/>
          <w:sz w:val="32"/>
          <w:szCs w:val="24"/>
          <w:lang w:val="zh-CN"/>
        </w:rPr>
        <w:t>广元市退役军人事务局</w:t>
      </w:r>
      <w:r>
        <w:rPr>
          <w:rFonts w:hint="eastAsia" w:ascii="仿宋_GB2312" w:hAnsi="仿宋_GB2312" w:eastAsia="仿宋_GB2312" w:cs="仿宋_GB2312"/>
          <w:color w:val="auto"/>
          <w:sz w:val="32"/>
          <w:szCs w:val="32"/>
          <w:highlight w:val="none"/>
        </w:rPr>
        <w:t>共有车辆</w:t>
      </w:r>
      <w:r>
        <w:rPr>
          <w:rFonts w:hint="eastAsia" w:ascii="仿宋_GB2312" w:hAnsi="仿宋_GB2312" w:eastAsia="仿宋_GB2312" w:cs="仿宋_GB2312"/>
          <w:color w:val="000000"/>
          <w:kern w:val="2"/>
          <w:sz w:val="32"/>
          <w:szCs w:val="24"/>
          <w:lang w:val="zh-CN"/>
        </w:rPr>
        <w:t>8</w:t>
      </w:r>
      <w:r>
        <w:rPr>
          <w:rFonts w:hint="eastAsia" w:ascii="仿宋_GB2312" w:hAnsi="仿宋_GB2312" w:eastAsia="仿宋_GB2312" w:cs="仿宋_GB2312"/>
          <w:color w:val="auto"/>
          <w:sz w:val="32"/>
          <w:szCs w:val="32"/>
          <w:highlight w:val="none"/>
        </w:rPr>
        <w:t>辆，其中：应急保障用车</w:t>
      </w:r>
      <w:r>
        <w:rPr>
          <w:rFonts w:hint="eastAsia" w:ascii="仿宋_GB2312" w:hAnsi="仿宋_GB2312" w:eastAsia="仿宋_GB2312" w:cs="仿宋_GB2312"/>
          <w:color w:val="000000"/>
          <w:kern w:val="2"/>
          <w:sz w:val="32"/>
          <w:szCs w:val="24"/>
          <w:lang w:val="zh-CN"/>
        </w:rPr>
        <w:t>1</w:t>
      </w:r>
      <w:r>
        <w:rPr>
          <w:rFonts w:hint="eastAsia" w:ascii="仿宋_GB2312" w:hAnsi="仿宋_GB2312" w:eastAsia="仿宋_GB2312" w:cs="仿宋_GB2312"/>
          <w:color w:val="auto"/>
          <w:sz w:val="32"/>
          <w:szCs w:val="32"/>
          <w:highlight w:val="none"/>
        </w:rPr>
        <w:t>辆、</w:t>
      </w:r>
      <w:r>
        <w:rPr>
          <w:rFonts w:hint="eastAsia" w:ascii="仿宋_GB2312" w:hAnsi="仿宋_GB2312" w:eastAsia="仿宋_GB2312" w:cs="仿宋_GB2312"/>
          <w:color w:val="000000"/>
          <w:kern w:val="2"/>
          <w:sz w:val="32"/>
          <w:szCs w:val="24"/>
          <w:lang w:val="zh-CN"/>
        </w:rPr>
        <w:t>特种专业技术用车3辆、其他用车4辆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其他用车主要是用于</w:t>
      </w:r>
      <w:r>
        <w:rPr>
          <w:rFonts w:hint="eastAsia" w:ascii="仿宋_GB2312" w:hAnsi="仿宋_GB2312" w:eastAsia="仿宋_GB2312" w:cs="仿宋_GB2312"/>
          <w:b w:val="0"/>
          <w:bCs w:val="0"/>
          <w:color w:val="000000"/>
          <w:sz w:val="32"/>
          <w:szCs w:val="32"/>
        </w:rPr>
        <w:t>军休干部、供养人员及军供服务等</w:t>
      </w:r>
      <w:r>
        <w:rPr>
          <w:rFonts w:hint="eastAsia" w:ascii="仿宋_GB2312" w:hAnsi="仿宋_GB2312" w:eastAsia="仿宋_GB2312" w:cs="仿宋_GB2312"/>
          <w:b w:val="0"/>
          <w:bCs w:val="0"/>
          <w:color w:val="000000"/>
          <w:sz w:val="32"/>
          <w:szCs w:val="32"/>
          <w:lang w:eastAsia="zh-CN"/>
        </w:rPr>
        <w:t>工作。</w:t>
      </w:r>
      <w:r>
        <w:rPr>
          <w:rFonts w:hint="eastAsia" w:ascii="仿宋_GB2312" w:hAnsi="仿宋_GB2312" w:eastAsia="仿宋_GB2312" w:cs="仿宋_GB2312"/>
          <w:color w:val="auto"/>
          <w:sz w:val="32"/>
          <w:szCs w:val="32"/>
          <w:highlight w:val="none"/>
        </w:rPr>
        <w:t>单价100万元以上专用设备</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台（套）。</w:t>
      </w:r>
    </w:p>
    <w:p>
      <w:pPr>
        <w:autoSpaceDE w:val="0"/>
        <w:autoSpaceDN w:val="0"/>
        <w:adjustRightInd w:val="0"/>
        <w:spacing w:line="600" w:lineRule="exact"/>
        <w:ind w:firstLine="642" w:firstLineChars="200"/>
        <w:jc w:val="left"/>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（四）预算绩效管理情况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根据预算绩效管理要求，本部门在202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年度预算编制阶段，组织对</w:t>
      </w:r>
      <w:r>
        <w:rPr>
          <w:rFonts w:hint="eastAsia" w:ascii="仿宋_GB2312" w:hAnsi="仿宋_GB2312" w:eastAsia="仿宋_GB2312" w:cs="仿宋_GB2312"/>
          <w:color w:val="auto"/>
          <w:sz w:val="32"/>
          <w:szCs w:val="32"/>
          <w:highlight w:val="none"/>
          <w:lang w:val="en-US" w:eastAsia="zh-CN"/>
        </w:rPr>
        <w:t>安置就业工作经费、退役军人宣传工作经费、双拥双创及烈士褒扬工作经费</w:t>
      </w:r>
      <w:r>
        <w:rPr>
          <w:rFonts w:hint="eastAsia" w:ascii="仿宋_GB2312" w:hAnsi="仿宋_GB2312" w:eastAsia="仿宋_GB2312" w:cs="仿宋_GB2312"/>
          <w:color w:val="auto"/>
          <w:sz w:val="32"/>
          <w:szCs w:val="32"/>
          <w:highlight w:val="none"/>
        </w:rPr>
        <w:t>等</w:t>
      </w:r>
      <w:r>
        <w:rPr>
          <w:rFonts w:hint="eastAsia" w:ascii="仿宋_GB2312" w:hAnsi="仿宋_GB2312" w:eastAsia="仿宋_GB2312" w:cs="仿宋_GB2312"/>
          <w:color w:val="auto"/>
          <w:sz w:val="32"/>
          <w:szCs w:val="32"/>
          <w:highlight w:val="none"/>
          <w:lang w:val="en-US" w:eastAsia="zh-CN"/>
        </w:rPr>
        <w:t>32</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32</w:t>
      </w:r>
      <w:r>
        <w:rPr>
          <w:rFonts w:hint="eastAsia" w:ascii="仿宋_GB2312" w:hAnsi="仿宋_GB2312" w:eastAsia="仿宋_GB2312" w:cs="仿宋_GB2312"/>
          <w:color w:val="auto"/>
          <w:sz w:val="32"/>
          <w:szCs w:val="32"/>
          <w:highlight w:val="none"/>
        </w:rPr>
        <w:t>个项目开展绩效监控。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组织对2022年度一般公共预算、政府性基金预算以及资本资产等全面开展绩效自评，形成</w:t>
      </w:r>
      <w:r>
        <w:rPr>
          <w:rFonts w:hint="eastAsia" w:ascii="仿宋_GB2312" w:hAnsi="仿宋_GB2312" w:eastAsia="仿宋_GB2312" w:cs="仿宋_GB2312"/>
          <w:color w:val="auto"/>
          <w:sz w:val="32"/>
          <w:szCs w:val="32"/>
          <w:highlight w:val="none"/>
          <w:lang w:eastAsia="zh-CN"/>
        </w:rPr>
        <w:t>广元市退役军人事务局</w:t>
      </w:r>
      <w:r>
        <w:rPr>
          <w:rFonts w:hint="eastAsia" w:ascii="仿宋_GB2312" w:hAnsi="仿宋_GB2312" w:eastAsia="仿宋_GB2312" w:cs="仿宋_GB2312"/>
          <w:color w:val="auto"/>
          <w:sz w:val="32"/>
          <w:szCs w:val="32"/>
          <w:highlight w:val="none"/>
        </w:rPr>
        <w:t>部门整体（含部门预算项目）绩效自评报告、</w:t>
      </w:r>
      <w:r>
        <w:rPr>
          <w:rFonts w:hint="eastAsia" w:ascii="仿宋_GB2312" w:hAnsi="仿宋_GB2312" w:eastAsia="仿宋_GB2312" w:cs="仿宋_GB2312"/>
          <w:color w:val="auto"/>
          <w:sz w:val="32"/>
          <w:szCs w:val="32"/>
          <w:highlight w:val="none"/>
          <w:lang w:val="en-US" w:eastAsia="zh-CN"/>
        </w:rPr>
        <w:t>企业军转干部生活困难补助</w:t>
      </w:r>
      <w:r>
        <w:rPr>
          <w:rFonts w:hint="eastAsia" w:ascii="仿宋_GB2312" w:hAnsi="仿宋_GB2312" w:eastAsia="仿宋_GB2312" w:cs="仿宋_GB2312"/>
          <w:color w:val="auto"/>
          <w:sz w:val="32"/>
          <w:szCs w:val="32"/>
          <w:highlight w:val="none"/>
        </w:rPr>
        <w:t>等专项预算项目绩效自评报告，其中，</w:t>
      </w:r>
      <w:r>
        <w:rPr>
          <w:rFonts w:hint="eastAsia" w:ascii="仿宋_GB2312" w:hAnsi="仿宋_GB2312" w:eastAsia="仿宋_GB2312" w:cs="仿宋_GB2312"/>
          <w:color w:val="auto"/>
          <w:sz w:val="32"/>
          <w:szCs w:val="32"/>
          <w:highlight w:val="none"/>
          <w:lang w:eastAsia="zh-CN"/>
        </w:rPr>
        <w:t>广元市退役军人事务局</w:t>
      </w:r>
      <w:r>
        <w:rPr>
          <w:rFonts w:hint="eastAsia" w:ascii="仿宋_GB2312" w:hAnsi="仿宋_GB2312" w:eastAsia="仿宋_GB2312" w:cs="仿宋_GB2312"/>
          <w:color w:val="auto"/>
          <w:sz w:val="32"/>
          <w:szCs w:val="32"/>
          <w:highlight w:val="none"/>
        </w:rPr>
        <w:t>部门整体（含部门预算项目）绩效自评得分为</w:t>
      </w:r>
      <w:r>
        <w:rPr>
          <w:rFonts w:hint="eastAsia" w:ascii="仿宋_GB2312" w:hAnsi="仿宋_GB2312" w:eastAsia="仿宋_GB2312" w:cs="仿宋_GB2312"/>
          <w:color w:val="auto"/>
          <w:sz w:val="32"/>
          <w:szCs w:val="32"/>
          <w:highlight w:val="none"/>
          <w:lang w:val="en-US" w:eastAsia="zh-CN"/>
        </w:rPr>
        <w:t>97</w:t>
      </w:r>
      <w:r>
        <w:rPr>
          <w:rFonts w:hint="eastAsia" w:ascii="仿宋_GB2312" w:hAnsi="仿宋_GB2312" w:eastAsia="仿宋_GB2312" w:cs="仿宋_GB2312"/>
          <w:color w:val="auto"/>
          <w:sz w:val="32"/>
          <w:szCs w:val="32"/>
          <w:highlight w:val="none"/>
          <w:lang w:eastAsia="zh-CN"/>
        </w:rPr>
        <w:t>分</w:t>
      </w:r>
      <w:r>
        <w:rPr>
          <w:rFonts w:hint="eastAsia" w:ascii="仿宋_GB2312" w:hAnsi="仿宋_GB2312" w:eastAsia="仿宋_GB2312" w:cs="仿宋_GB2312"/>
          <w:color w:val="auto"/>
          <w:sz w:val="32"/>
          <w:szCs w:val="32"/>
          <w:highlight w:val="none"/>
        </w:rPr>
        <w:t>，绩效自评综述：我部门全面实施预算项目绩效管理，规范项目预算编制，明确预算执行主体，严格落实项目支出绩效管理责任，优化资源配置，确保绩效目标落实，提高了财政资金使用效益。</w:t>
      </w:r>
      <w:r>
        <w:rPr>
          <w:rFonts w:hint="eastAsia" w:ascii="仿宋_GB2312" w:hAnsi="仿宋_GB2312" w:eastAsia="仿宋_GB2312" w:cs="仿宋_GB2312"/>
          <w:color w:val="auto"/>
          <w:sz w:val="32"/>
          <w:szCs w:val="32"/>
          <w:highlight w:val="none"/>
          <w:lang w:val="en-US" w:eastAsia="zh-CN"/>
        </w:rPr>
        <w:t>部门基本达到预期绩效目标，部门整体支出自评程度准确度较高</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企业军转干部生活困难补助</w:t>
      </w:r>
      <w:r>
        <w:rPr>
          <w:rFonts w:hint="eastAsia" w:ascii="仿宋_GB2312" w:hAnsi="仿宋_GB2312" w:eastAsia="仿宋_GB2312" w:cs="仿宋_GB2312"/>
          <w:color w:val="auto"/>
          <w:sz w:val="32"/>
          <w:szCs w:val="32"/>
          <w:highlight w:val="none"/>
        </w:rPr>
        <w:t>专项预算项目绩效自评得分为</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eastAsia="zh-CN"/>
        </w:rPr>
        <w:t>项目实施达到预期绩效目标，效益发挥作用好，</w:t>
      </w:r>
      <w:r>
        <w:rPr>
          <w:rFonts w:hint="eastAsia" w:ascii="仿宋_GB2312" w:hAnsi="仿宋_GB2312" w:eastAsia="仿宋_GB2312" w:cs="仿宋_GB2312"/>
          <w:color w:val="000000" w:themeColor="text1"/>
          <w:sz w:val="32"/>
          <w:szCs w:val="32"/>
          <w:highlight w:val="none"/>
          <w:lang w:val="en-US" w:eastAsia="zh-CN" w:bidi="ar-SA"/>
          <w14:textFill>
            <w14:solidFill>
              <w14:schemeClr w14:val="tx1"/>
            </w14:solidFill>
          </w14:textFill>
        </w:rPr>
        <w:t>企业军转干部解困补贴标准逐年递增，企业军转干部实际困难有效缓解，持续保持企业军转干部群体平稳，有力维护了社会大局和谐稳定。</w:t>
      </w:r>
      <w:r>
        <w:rPr>
          <w:rFonts w:hint="eastAsia" w:ascii="仿宋_GB2312" w:hAnsi="仿宋_GB2312" w:eastAsia="仿宋_GB2312" w:cs="仿宋_GB2312"/>
          <w:color w:val="auto"/>
          <w:sz w:val="32"/>
          <w:szCs w:val="32"/>
          <w:highlight w:val="none"/>
        </w:rPr>
        <w:t>绩效自评报告详见附件（</w:t>
      </w:r>
      <w:r>
        <w:rPr>
          <w:rFonts w:hint="eastAsia" w:ascii="仿宋_GB2312" w:hAnsi="仿宋_GB2312" w:eastAsia="仿宋_GB2312" w:cs="仿宋_GB2312"/>
          <w:color w:val="auto"/>
          <w:sz w:val="32"/>
          <w:szCs w:val="32"/>
          <w:highlight w:val="none"/>
          <w:lang w:eastAsia="zh-CN"/>
        </w:rPr>
        <w:t>第四部分</w:t>
      </w:r>
      <w:r>
        <w:rPr>
          <w:rFonts w:hint="eastAsia" w:ascii="仿宋_GB2312" w:hAnsi="仿宋_GB2312" w:eastAsia="仿宋_GB2312" w:cs="仿宋_GB2312"/>
          <w:color w:val="auto"/>
          <w:sz w:val="32"/>
          <w:szCs w:val="32"/>
          <w:highlight w:val="none"/>
        </w:rPr>
        <w:t>）。</w:t>
      </w:r>
    </w:p>
    <w:p>
      <w:pPr>
        <w:pStyle w:val="22"/>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9"/>
        <w:rPr>
          <w:rFonts w:hint="eastAsia" w:ascii="黑体" w:hAnsi="黑体" w:eastAsia="黑体"/>
          <w:color w:val="auto"/>
          <w:sz w:val="44"/>
          <w:szCs w:val="44"/>
          <w:highlight w:val="none"/>
          <w:lang w:eastAsia="zh-CN"/>
        </w:rPr>
      </w:pPr>
      <w:bookmarkStart w:id="64" w:name="_Toc15377225"/>
      <w:bookmarkStart w:id="65" w:name="_Toc1539661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0"/>
        <w:rPr>
          <w:rStyle w:val="19"/>
          <w:rFonts w:ascii="黑体" w:hAnsi="黑体" w:eastAsia="黑体"/>
          <w:b w:val="0"/>
          <w:color w:val="auto"/>
          <w:highlight w:val="none"/>
        </w:rPr>
      </w:pPr>
      <w:bookmarkStart w:id="66" w:name="_Toc24245"/>
      <w:r>
        <w:rPr>
          <w:rFonts w:hint="eastAsia" w:ascii="黑体" w:hAnsi="黑体" w:eastAsia="黑体"/>
          <w:color w:val="auto"/>
          <w:sz w:val="44"/>
          <w:szCs w:val="44"/>
          <w:highlight w:val="none"/>
          <w:lang w:eastAsia="zh-CN"/>
        </w:rPr>
        <w:t>第三部分</w:t>
      </w:r>
      <w:r>
        <w:rPr>
          <w:rFonts w:hint="eastAsia" w:ascii="黑体" w:hAnsi="黑体" w:eastAsia="黑体"/>
          <w:color w:val="auto"/>
          <w:sz w:val="44"/>
          <w:szCs w:val="44"/>
          <w:highlight w:val="none"/>
        </w:rPr>
        <w:t>名</w:t>
      </w:r>
      <w:r>
        <w:rPr>
          <w:rStyle w:val="19"/>
          <w:rFonts w:hint="eastAsia" w:ascii="黑体" w:hAnsi="黑体" w:eastAsia="黑体"/>
          <w:b w:val="0"/>
          <w:color w:val="auto"/>
          <w:highlight w:val="none"/>
        </w:rPr>
        <w:t>词解释</w:t>
      </w:r>
      <w:bookmarkEnd w:id="64"/>
      <w:bookmarkEnd w:id="65"/>
      <w:bookmarkEnd w:id="66"/>
    </w:p>
    <w:p>
      <w:pPr>
        <w:spacing w:line="600" w:lineRule="exact"/>
        <w:jc w:val="left"/>
        <w:rPr>
          <w:rFonts w:ascii="宋体"/>
          <w:b/>
          <w:color w:val="auto"/>
          <w:sz w:val="44"/>
          <w:szCs w:val="44"/>
          <w:highlight w:val="none"/>
        </w:rPr>
      </w:pPr>
    </w:p>
    <w:p>
      <w:pPr>
        <w:pStyle w:val="31"/>
        <w:keepNext w:val="0"/>
        <w:keepLines w:val="0"/>
        <w:pageBreakBefore w:val="0"/>
        <w:shd w:val="clear"/>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1.财政拨款收入：指单位从同级财政部门取得的财政预算资金。</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600" w:lineRule="exact"/>
        <w:ind w:right="0" w:firstLine="640" w:firstLineChars="200"/>
        <w:textAlignment w:val="auto"/>
        <w:rPr>
          <w:rFonts w:hint="eastAsia" w:ascii="仿宋_GB2312" w:hAnsi="仿宋_GB2312" w:eastAsia="仿宋_GB2312" w:cs="仿宋_GB2312"/>
          <w:i w:val="0"/>
          <w:caps w:val="0"/>
          <w:smallCaps w:val="0"/>
          <w:color w:val="000000"/>
          <w:spacing w:val="0"/>
          <w:sz w:val="32"/>
          <w:szCs w:val="32"/>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.其他收入：指单位取得的除上述收入以外的各项收入。</w:t>
      </w:r>
      <w:r>
        <w:rPr>
          <w:rFonts w:hint="eastAsia" w:ascii="仿宋_GB2312" w:hAnsi="仿宋_GB2312" w:eastAsia="仿宋_GB2312" w:cs="仿宋_GB2312"/>
          <w:i w:val="0"/>
          <w:caps w:val="0"/>
          <w:smallCaps w:val="0"/>
          <w:color w:val="000000"/>
          <w:spacing w:val="0"/>
          <w:sz w:val="32"/>
          <w:szCs w:val="32"/>
          <w:shd w:val="clear" w:color="auto" w:fill="FFFFFF"/>
        </w:rPr>
        <w:t>主要是现金盘盈收入、按照规定纳入单位预算管理的科技成果转化收入、行政单位收回已核销的其他应收款、无法偿付的应付及预收款项、置换换出资产评估增值等。</w:t>
      </w:r>
    </w:p>
    <w:p>
      <w:pPr>
        <w:pStyle w:val="31"/>
        <w:keepNext w:val="0"/>
        <w:keepLines w:val="0"/>
        <w:pageBreakBefore w:val="0"/>
        <w:shd w:val="clear"/>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.年初结转和结余：指以前年度尚未完成、结转到本年按有关规定继续使用的资金。</w:t>
      </w:r>
    </w:p>
    <w:p>
      <w:pPr>
        <w:pStyle w:val="31"/>
        <w:keepNext w:val="0"/>
        <w:keepLines w:val="0"/>
        <w:pageBreakBefore w:val="0"/>
        <w:shd w:val="clear"/>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年末结转和结余：指单位按有关规定结转到下年或以后年度继续使用的资金。</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600" w:lineRule="exact"/>
        <w:ind w:right="0" w:firstLine="640" w:firstLineChars="200"/>
        <w:textAlignment w:val="auto"/>
        <w:rPr>
          <w:rFonts w:hint="eastAsia" w:ascii="仿宋_GB2312" w:hAnsi="仿宋_GB2312" w:eastAsia="仿宋_GB2312" w:cs="仿宋_GB2312"/>
          <w:i w:val="0"/>
          <w:caps w:val="0"/>
          <w:smallCaps w:val="0"/>
          <w:color w:val="000000"/>
          <w:spacing w:val="0"/>
          <w:sz w:val="32"/>
          <w:szCs w:val="32"/>
          <w:shd w:val="clear" w:color="auto" w:fill="FFFFFF"/>
        </w:rPr>
      </w:pPr>
      <w:r>
        <w:rPr>
          <w:rFonts w:hint="eastAsia" w:ascii="仿宋_GB2312" w:hAnsi="仿宋_GB2312" w:eastAsia="仿宋_GB2312" w:cs="仿宋_GB2312"/>
          <w:i w:val="0"/>
          <w:caps w:val="0"/>
          <w:smallCaps w:val="0"/>
          <w:color w:val="000000"/>
          <w:spacing w:val="0"/>
          <w:sz w:val="32"/>
          <w:szCs w:val="32"/>
          <w:shd w:val="clear" w:color="auto" w:fill="FFFFFF"/>
          <w:lang w:val="en-US" w:eastAsia="zh-CN"/>
        </w:rPr>
        <w:t>5</w:t>
      </w:r>
      <w:r>
        <w:rPr>
          <w:rFonts w:hint="eastAsia" w:ascii="仿宋_GB2312" w:hAnsi="仿宋_GB2312" w:eastAsia="仿宋_GB2312" w:cs="仿宋_GB2312"/>
          <w:i w:val="0"/>
          <w:caps w:val="0"/>
          <w:smallCaps w:val="0"/>
          <w:color w:val="000000"/>
          <w:spacing w:val="0"/>
          <w:sz w:val="32"/>
          <w:szCs w:val="32"/>
          <w:shd w:val="clear" w:color="auto" w:fill="FFFFFF"/>
        </w:rPr>
        <w:t>.社会保障和就业（类）行政事业单位养老支出（款）机关事业单位基本养老保险缴费支出（项）：指机关事业单位实施养老</w:t>
      </w:r>
      <w:r>
        <w:rPr>
          <w:rFonts w:hint="eastAsia" w:ascii="仿宋_GB2312" w:hAnsi="仿宋_GB2312" w:eastAsia="仿宋_GB2312" w:cs="仿宋_GB2312"/>
          <w:i w:val="0"/>
          <w:caps w:val="0"/>
          <w:smallCaps w:val="0"/>
          <w:color w:val="000000"/>
          <w:spacing w:val="0"/>
          <w:sz w:val="32"/>
          <w:szCs w:val="32"/>
          <w:shd w:val="clear" w:color="auto" w:fill="FFFFFF"/>
          <w:lang w:eastAsia="zh-CN"/>
        </w:rPr>
        <w:t>保险</w:t>
      </w:r>
      <w:r>
        <w:rPr>
          <w:rFonts w:hint="eastAsia" w:ascii="仿宋_GB2312" w:hAnsi="仿宋_GB2312" w:eastAsia="仿宋_GB2312" w:cs="仿宋_GB2312"/>
          <w:i w:val="0"/>
          <w:caps w:val="0"/>
          <w:smallCaps w:val="0"/>
          <w:color w:val="000000"/>
          <w:spacing w:val="0"/>
          <w:sz w:val="32"/>
          <w:szCs w:val="32"/>
          <w:shd w:val="clear" w:color="auto" w:fill="FFFFFF"/>
        </w:rPr>
        <w:t>制度由单位缴纳的基本养老保险费支出。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600" w:lineRule="exact"/>
        <w:ind w:right="0" w:firstLine="640" w:firstLineChars="200"/>
        <w:textAlignment w:val="auto"/>
        <w:rPr>
          <w:rFonts w:hint="eastAsia" w:ascii="仿宋_GB2312" w:hAnsi="仿宋_GB2312" w:eastAsia="仿宋_GB2312" w:cs="仿宋_GB2312"/>
          <w:i w:val="0"/>
          <w:caps w:val="0"/>
          <w:smallCaps w:val="0"/>
          <w:color w:val="000000"/>
          <w:spacing w:val="0"/>
          <w:sz w:val="32"/>
          <w:szCs w:val="32"/>
          <w:shd w:val="clear" w:color="auto" w:fill="FFFFFF"/>
        </w:rPr>
      </w:pPr>
      <w:r>
        <w:rPr>
          <w:rFonts w:hint="eastAsia" w:ascii="仿宋_GB2312" w:hAnsi="仿宋_GB2312" w:eastAsia="仿宋_GB2312" w:cs="仿宋_GB2312"/>
          <w:i w:val="0"/>
          <w:caps w:val="0"/>
          <w:smallCaps w:val="0"/>
          <w:color w:val="000000"/>
          <w:spacing w:val="0"/>
          <w:sz w:val="32"/>
          <w:szCs w:val="32"/>
          <w:shd w:val="clear" w:color="auto" w:fill="FFFFFF"/>
          <w:lang w:val="en-US" w:eastAsia="zh-CN"/>
        </w:rPr>
        <w:t>6.</w:t>
      </w:r>
      <w:r>
        <w:rPr>
          <w:rFonts w:hint="eastAsia" w:ascii="仿宋_GB2312" w:hAnsi="仿宋_GB2312" w:eastAsia="仿宋_GB2312" w:cs="仿宋_GB2312"/>
          <w:i w:val="0"/>
          <w:caps w:val="0"/>
          <w:smallCaps w:val="0"/>
          <w:color w:val="000000"/>
          <w:spacing w:val="0"/>
          <w:sz w:val="32"/>
          <w:szCs w:val="32"/>
          <w:shd w:val="clear" w:color="auto" w:fill="FFFFFF"/>
        </w:rPr>
        <w:t>社会保障和就业（类）行政事业单位养老支出（款）</w:t>
      </w:r>
      <w:r>
        <w:rPr>
          <w:rFonts w:hint="eastAsia" w:ascii="仿宋_GB2312" w:hAnsi="仿宋_GB2312" w:eastAsia="仿宋_GB2312" w:cs="仿宋_GB2312"/>
          <w:i w:val="0"/>
          <w:caps w:val="0"/>
          <w:smallCaps w:val="0"/>
          <w:color w:val="000000"/>
          <w:spacing w:val="0"/>
          <w:sz w:val="32"/>
          <w:szCs w:val="32"/>
          <w:shd w:val="clear" w:color="auto" w:fill="FFFFFF"/>
          <w:lang w:val="en-US" w:eastAsia="zh-CN"/>
        </w:rPr>
        <w:t>机关事业单位职业年金缴费支出</w:t>
      </w:r>
      <w:r>
        <w:rPr>
          <w:rFonts w:hint="eastAsia" w:ascii="仿宋_GB2312" w:hAnsi="仿宋_GB2312" w:eastAsia="仿宋_GB2312" w:cs="仿宋_GB2312"/>
          <w:i w:val="0"/>
          <w:caps w:val="0"/>
          <w:smallCaps w:val="0"/>
          <w:color w:val="000000"/>
          <w:spacing w:val="0"/>
          <w:sz w:val="32"/>
          <w:szCs w:val="32"/>
          <w:shd w:val="clear" w:color="auto" w:fill="FFFFFF"/>
        </w:rPr>
        <w:t>（项）</w:t>
      </w:r>
      <w:r>
        <w:rPr>
          <w:rFonts w:hint="eastAsia" w:ascii="仿宋_GB2312" w:hAnsi="仿宋_GB2312" w:eastAsia="仿宋_GB2312" w:cs="仿宋_GB2312"/>
          <w:i w:val="0"/>
          <w:caps w:val="0"/>
          <w:smallCaps w:val="0"/>
          <w:color w:val="000000"/>
          <w:spacing w:val="0"/>
          <w:sz w:val="32"/>
          <w:szCs w:val="32"/>
          <w:shd w:val="clear" w:color="auto" w:fill="FFFFFF"/>
          <w:lang w:eastAsia="zh-CN"/>
        </w:rPr>
        <w:t>：</w:t>
      </w:r>
      <w:r>
        <w:rPr>
          <w:rFonts w:hint="eastAsia" w:ascii="仿宋_GB2312" w:hAnsi="仿宋_GB2312" w:eastAsia="仿宋_GB2312" w:cs="仿宋_GB2312"/>
          <w:i w:val="0"/>
          <w:caps w:val="0"/>
          <w:smallCaps w:val="0"/>
          <w:color w:val="000000"/>
          <w:spacing w:val="0"/>
          <w:sz w:val="32"/>
          <w:szCs w:val="32"/>
          <w:shd w:val="clear" w:color="auto" w:fill="FFFFFF"/>
        </w:rPr>
        <w:t>指机关事业单位实施养老保险制度由单位实际缴纳的职业年金支出。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600" w:lineRule="exact"/>
        <w:ind w:right="0" w:firstLine="640" w:firstLineChars="200"/>
        <w:textAlignment w:val="auto"/>
        <w:rPr>
          <w:rFonts w:hint="eastAsia" w:ascii="仿宋_GB2312" w:hAnsi="仿宋_GB2312" w:eastAsia="仿宋_GB2312" w:cs="仿宋_GB2312"/>
          <w:i w:val="0"/>
          <w:caps w:val="0"/>
          <w:smallCaps w:val="0"/>
          <w:color w:val="000000"/>
          <w:spacing w:val="0"/>
          <w:sz w:val="32"/>
          <w:szCs w:val="32"/>
          <w:shd w:val="clear" w:color="auto" w:fill="FFFFFF"/>
          <w:lang w:eastAsia="zh-CN"/>
        </w:rPr>
      </w:pPr>
      <w:r>
        <w:rPr>
          <w:rFonts w:hint="eastAsia" w:ascii="仿宋_GB2312" w:hAnsi="仿宋_GB2312" w:eastAsia="仿宋_GB2312" w:cs="仿宋_GB2312"/>
          <w:i w:val="0"/>
          <w:caps w:val="0"/>
          <w:smallCaps w:val="0"/>
          <w:color w:val="000000"/>
          <w:spacing w:val="0"/>
          <w:sz w:val="32"/>
          <w:szCs w:val="32"/>
          <w:shd w:val="clear" w:color="auto" w:fill="FFFFFF"/>
          <w:lang w:val="en-US" w:eastAsia="zh-CN"/>
        </w:rPr>
        <w:t>7.社会保障和就业（类）抚恤（款）光荣院（项）：</w:t>
      </w:r>
      <w:r>
        <w:rPr>
          <w:rFonts w:hint="eastAsia" w:ascii="仿宋_GB2312" w:hAnsi="仿宋_GB2312" w:eastAsia="仿宋_GB2312" w:cs="仿宋_GB2312"/>
          <w:i w:val="0"/>
          <w:caps w:val="0"/>
          <w:smallCaps w:val="0"/>
          <w:color w:val="000000"/>
          <w:spacing w:val="0"/>
          <w:sz w:val="32"/>
          <w:szCs w:val="32"/>
          <w:shd w:val="clear" w:color="auto" w:fill="FFFFFF"/>
          <w:lang w:eastAsia="zh-CN"/>
        </w:rPr>
        <w:t>指光荣院运行及管理维护服务支出。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600" w:lineRule="exact"/>
        <w:ind w:right="0" w:firstLine="640" w:firstLineChars="200"/>
        <w:textAlignment w:val="auto"/>
        <w:rPr>
          <w:rFonts w:hint="eastAsia" w:ascii="仿宋_GB2312" w:hAnsi="仿宋_GB2312" w:eastAsia="仿宋_GB2312" w:cs="仿宋_GB2312"/>
          <w:i w:val="0"/>
          <w:caps w:val="0"/>
          <w:smallCaps w:val="0"/>
          <w:color w:val="000000"/>
          <w:spacing w:val="0"/>
          <w:sz w:val="32"/>
          <w:szCs w:val="32"/>
          <w:shd w:val="clear" w:color="auto" w:fill="FFFFFF"/>
        </w:rPr>
      </w:pPr>
      <w:r>
        <w:rPr>
          <w:rFonts w:hint="eastAsia" w:ascii="仿宋_GB2312" w:hAnsi="仿宋_GB2312" w:eastAsia="仿宋_GB2312" w:cs="仿宋_GB2312"/>
          <w:i w:val="0"/>
          <w:caps w:val="0"/>
          <w:smallCaps w:val="0"/>
          <w:color w:val="000000"/>
          <w:spacing w:val="0"/>
          <w:sz w:val="32"/>
          <w:szCs w:val="32"/>
          <w:shd w:val="clear" w:color="auto" w:fill="FFFFFF"/>
          <w:lang w:val="en-US" w:eastAsia="zh-CN"/>
        </w:rPr>
        <w:t>8.社会保障和就业（类）抚恤（款）烈士纪念设施管理维护（项）：</w:t>
      </w:r>
      <w:r>
        <w:rPr>
          <w:rFonts w:hint="eastAsia" w:ascii="仿宋_GB2312" w:hAnsi="仿宋_GB2312" w:eastAsia="仿宋_GB2312" w:cs="仿宋_GB2312"/>
          <w:i w:val="0"/>
          <w:caps w:val="0"/>
          <w:smallCaps w:val="0"/>
          <w:color w:val="000000"/>
          <w:spacing w:val="0"/>
          <w:sz w:val="32"/>
          <w:szCs w:val="32"/>
          <w:shd w:val="clear" w:color="auto" w:fill="FFFFFF"/>
          <w:lang w:eastAsia="zh-CN"/>
        </w:rPr>
        <w:t>指各级政府用于烈士纪念设施和军人公墓的管理维护服务支出</w:t>
      </w:r>
      <w:r>
        <w:rPr>
          <w:rFonts w:hint="eastAsia" w:ascii="仿宋_GB2312" w:hAnsi="仿宋_GB2312" w:eastAsia="仿宋_GB2312" w:cs="仿宋_GB2312"/>
          <w:i w:val="0"/>
          <w:caps w:val="0"/>
          <w:smallCaps w:val="0"/>
          <w:color w:val="000000"/>
          <w:spacing w:val="0"/>
          <w:sz w:val="32"/>
          <w:szCs w:val="32"/>
          <w:shd w:val="clear" w:color="auto" w:fill="FFFFFF"/>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600" w:lineRule="exact"/>
        <w:ind w:right="0" w:firstLine="640" w:firstLineChars="200"/>
        <w:textAlignment w:val="auto"/>
        <w:rPr>
          <w:rFonts w:hint="eastAsia" w:ascii="仿宋_GB2312" w:hAnsi="仿宋_GB2312" w:eastAsia="仿宋_GB2312" w:cs="仿宋_GB2312"/>
          <w:i w:val="0"/>
          <w:caps w:val="0"/>
          <w:smallCaps w:val="0"/>
          <w:color w:val="000000"/>
          <w:spacing w:val="0"/>
          <w:sz w:val="32"/>
          <w:szCs w:val="32"/>
          <w:shd w:val="clear" w:color="auto" w:fill="FFFFFF"/>
        </w:rPr>
      </w:pPr>
      <w:r>
        <w:rPr>
          <w:rFonts w:hint="eastAsia" w:ascii="仿宋_GB2312" w:hAnsi="仿宋_GB2312" w:eastAsia="仿宋_GB2312" w:cs="仿宋_GB2312"/>
          <w:i w:val="0"/>
          <w:caps w:val="0"/>
          <w:smallCaps w:val="0"/>
          <w:color w:val="000000"/>
          <w:spacing w:val="0"/>
          <w:sz w:val="32"/>
          <w:szCs w:val="32"/>
          <w:shd w:val="clear" w:color="auto" w:fill="FFFFFF"/>
          <w:lang w:val="en-US" w:eastAsia="zh-CN"/>
        </w:rPr>
        <w:t>9.社会保障和就业（类）抚恤（款）其他优抚支出（项）：</w:t>
      </w:r>
      <w:r>
        <w:rPr>
          <w:rFonts w:hint="eastAsia" w:ascii="仿宋_GB2312" w:hAnsi="仿宋_GB2312" w:eastAsia="仿宋_GB2312" w:cs="仿宋_GB2312"/>
          <w:i w:val="0"/>
          <w:caps w:val="0"/>
          <w:smallCaps w:val="0"/>
          <w:color w:val="000000"/>
          <w:spacing w:val="0"/>
          <w:sz w:val="32"/>
          <w:szCs w:val="32"/>
          <w:shd w:val="clear" w:color="auto" w:fill="FFFFFF"/>
        </w:rPr>
        <w:t>指</w:t>
      </w:r>
      <w:r>
        <w:rPr>
          <w:rFonts w:hint="eastAsia" w:ascii="仿宋_GB2312" w:hAnsi="仿宋_GB2312" w:eastAsia="仿宋_GB2312" w:cs="仿宋_GB2312"/>
          <w:i w:val="0"/>
          <w:caps w:val="0"/>
          <w:smallCaps w:val="0"/>
          <w:color w:val="000000"/>
          <w:spacing w:val="0"/>
          <w:sz w:val="32"/>
          <w:szCs w:val="32"/>
          <w:shd w:val="clear" w:color="auto" w:fill="FFFFFF"/>
          <w:lang w:val="en-US" w:eastAsia="zh-CN"/>
        </w:rPr>
        <w:t>除上述项目以外其他用于优抚方面的支出，包括向优抚对象发放的价格临时补贴等支出。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Style w:val="17"/>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b w:val="0"/>
          <w:bCs w:val="0"/>
          <w:color w:val="000000"/>
          <w:sz w:val="32"/>
          <w:szCs w:val="32"/>
          <w:lang w:val="en-US" w:eastAsia="zh-CN"/>
        </w:rPr>
        <w:t>社会保障和就业（类）退役安置（款）军队移交政府的离退休人员安置（项）:</w:t>
      </w:r>
      <w:r>
        <w:rPr>
          <w:rStyle w:val="17"/>
          <w:rFonts w:hint="eastAsia" w:ascii="仿宋_GB2312" w:hAnsi="仿宋_GB2312" w:eastAsia="仿宋_GB2312" w:cs="仿宋_GB2312"/>
          <w:b w:val="0"/>
          <w:bCs/>
          <w:color w:val="auto"/>
          <w:sz w:val="32"/>
          <w:szCs w:val="32"/>
          <w:highlight w:val="none"/>
          <w:lang w:eastAsia="zh-CN"/>
        </w:rPr>
        <w:t>指</w:t>
      </w:r>
      <w:r>
        <w:rPr>
          <w:rFonts w:hint="eastAsia" w:ascii="仿宋_GB2312" w:hAnsi="仿宋_GB2312" w:eastAsia="仿宋_GB2312" w:cs="仿宋_GB2312"/>
          <w:i w:val="0"/>
          <w:caps w:val="0"/>
          <w:smallCaps w:val="0"/>
          <w:color w:val="000000"/>
          <w:spacing w:val="0"/>
          <w:sz w:val="32"/>
          <w:szCs w:val="32"/>
          <w:shd w:val="clear" w:color="auto" w:fill="FFFFFF"/>
        </w:rPr>
        <w:t>移交政府的军队离退休人员安置支出。</w:t>
      </w:r>
    </w:p>
    <w:p>
      <w:pPr>
        <w:keepNext w:val="0"/>
        <w:keepLines w:val="0"/>
        <w:pageBreakBefore w:val="0"/>
        <w:widowControl w:val="0"/>
        <w:shd w:val="clea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b w:val="0"/>
          <w:bCs w:val="0"/>
          <w:color w:val="000000"/>
          <w:sz w:val="32"/>
          <w:szCs w:val="32"/>
          <w:lang w:val="en-US" w:eastAsia="zh-CN"/>
        </w:rPr>
        <w:t>社会保障和就业（类）退役安置（款）军队移交政府离退休干部管理机构（项）:</w:t>
      </w:r>
      <w:r>
        <w:rPr>
          <w:rFonts w:hint="eastAsia" w:ascii="仿宋_GB2312" w:hAnsi="仿宋_GB2312" w:eastAsia="仿宋_GB2312" w:cs="仿宋_GB2312"/>
          <w:i w:val="0"/>
          <w:caps w:val="0"/>
          <w:smallCaps w:val="0"/>
          <w:color w:val="000000"/>
          <w:spacing w:val="0"/>
          <w:sz w:val="32"/>
          <w:szCs w:val="32"/>
          <w:shd w:val="clear" w:color="auto" w:fill="FFFFFF"/>
        </w:rPr>
        <w:t>指退役军人事务部门管理的军队移交政府安置的离退休干部管理机构列入事业编制的人员经费、公用经费以及管理机构用房建设经费等支出。</w:t>
      </w:r>
    </w:p>
    <w:p>
      <w:pPr>
        <w:keepNext w:val="0"/>
        <w:keepLines w:val="0"/>
        <w:pageBreakBefore w:val="0"/>
        <w:widowControl w:val="0"/>
        <w:shd w:val="clear"/>
        <w:kinsoku/>
        <w:wordWrap/>
        <w:overflowPunct/>
        <w:topLinePunct w:val="0"/>
        <w:autoSpaceDE/>
        <w:autoSpaceDN/>
        <w:bidi w:val="0"/>
        <w:adjustRightInd/>
        <w:snapToGrid/>
        <w:spacing w:line="600" w:lineRule="exact"/>
        <w:ind w:firstLine="640" w:firstLineChars="200"/>
        <w:textAlignment w:val="auto"/>
        <w:rPr>
          <w:rStyle w:val="17"/>
          <w:rFonts w:hint="eastAsia" w:ascii="仿宋_GB2312" w:hAnsi="仿宋_GB2312" w:eastAsia="仿宋_GB2312" w:cs="仿宋_GB2312"/>
          <w:b w:val="0"/>
          <w:bCs/>
          <w:color w:val="auto"/>
          <w:sz w:val="32"/>
          <w:szCs w:val="32"/>
          <w:highlight w:val="none"/>
          <w:lang w:eastAsia="zh-CN"/>
        </w:rPr>
      </w:pPr>
      <w:r>
        <w:rPr>
          <w:rStyle w:val="17"/>
          <w:rFonts w:hint="eastAsia" w:ascii="仿宋_GB2312" w:hAnsi="仿宋_GB2312" w:eastAsia="仿宋_GB2312" w:cs="仿宋_GB2312"/>
          <w:b w:val="0"/>
          <w:bCs/>
          <w:color w:val="auto"/>
          <w:sz w:val="32"/>
          <w:szCs w:val="32"/>
          <w:highlight w:val="none"/>
          <w:lang w:val="en-US" w:eastAsia="zh-CN"/>
        </w:rPr>
        <w:t>12.</w:t>
      </w:r>
      <w:r>
        <w:rPr>
          <w:rFonts w:hint="eastAsia" w:ascii="仿宋_GB2312" w:hAnsi="仿宋_GB2312" w:eastAsia="仿宋_GB2312" w:cs="仿宋_GB2312"/>
          <w:b w:val="0"/>
          <w:bCs w:val="0"/>
          <w:color w:val="000000"/>
          <w:sz w:val="32"/>
          <w:szCs w:val="32"/>
          <w:lang w:val="en-US" w:eastAsia="zh-CN"/>
        </w:rPr>
        <w:t>社会保障和就业（类）退役安置（款）军队转业干部安置（项）：</w:t>
      </w:r>
      <w:r>
        <w:rPr>
          <w:rStyle w:val="17"/>
          <w:rFonts w:hint="eastAsia" w:ascii="仿宋_GB2312" w:hAnsi="仿宋_GB2312" w:eastAsia="仿宋_GB2312" w:cs="仿宋_GB2312"/>
          <w:b w:val="0"/>
          <w:bCs/>
          <w:color w:val="auto"/>
          <w:sz w:val="32"/>
          <w:szCs w:val="32"/>
          <w:highlight w:val="none"/>
          <w:lang w:eastAsia="zh-CN"/>
        </w:rPr>
        <w:t>指军队转业干部教育培训、管理服务、退役金等方面的支出。</w:t>
      </w:r>
    </w:p>
    <w:p>
      <w:pPr>
        <w:keepNext w:val="0"/>
        <w:keepLines w:val="0"/>
        <w:pageBreakBefore w:val="0"/>
        <w:widowControl w:val="0"/>
        <w:shd w:val="clear"/>
        <w:kinsoku/>
        <w:wordWrap/>
        <w:overflowPunct/>
        <w:topLinePunct w:val="0"/>
        <w:autoSpaceDE/>
        <w:autoSpaceDN/>
        <w:bidi w:val="0"/>
        <w:adjustRightInd/>
        <w:snapToGrid/>
        <w:spacing w:line="600" w:lineRule="exact"/>
        <w:ind w:firstLine="640" w:firstLineChars="200"/>
        <w:textAlignment w:val="auto"/>
        <w:rPr>
          <w:rStyle w:val="17"/>
          <w:rFonts w:hint="eastAsia" w:ascii="仿宋_GB2312" w:hAnsi="仿宋_GB2312" w:eastAsia="仿宋_GB2312" w:cs="仿宋_GB2312"/>
          <w:b w:val="0"/>
          <w:bCs/>
          <w:color w:val="auto"/>
          <w:sz w:val="32"/>
          <w:szCs w:val="32"/>
          <w:highlight w:val="yellow"/>
        </w:rPr>
      </w:pP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b w:val="0"/>
          <w:bCs w:val="0"/>
          <w:color w:val="000000"/>
          <w:sz w:val="32"/>
          <w:szCs w:val="32"/>
          <w:lang w:val="en-US" w:eastAsia="zh-CN"/>
        </w:rPr>
        <w:t>社会保障和就业（类）退役安置（款）其他退役安置支出（项）：</w:t>
      </w:r>
      <w:r>
        <w:rPr>
          <w:rFonts w:hint="eastAsia" w:ascii="仿宋_GB2312" w:hAnsi="仿宋_GB2312" w:eastAsia="仿宋_GB2312" w:cs="仿宋_GB2312"/>
          <w:i w:val="0"/>
          <w:caps w:val="0"/>
          <w:smallCaps w:val="0"/>
          <w:color w:val="000000"/>
          <w:spacing w:val="0"/>
          <w:sz w:val="32"/>
          <w:szCs w:val="32"/>
          <w:shd w:val="clear" w:color="auto" w:fill="FFFFFF"/>
        </w:rPr>
        <w:t>指除上述项目以外其他用于退役安置方面的支出。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Style w:val="17"/>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b w:val="0"/>
          <w:bCs w:val="0"/>
          <w:color w:val="000000"/>
          <w:sz w:val="32"/>
          <w:szCs w:val="32"/>
          <w:lang w:val="en-US" w:eastAsia="zh-CN"/>
        </w:rPr>
        <w:t>社会保障和就业（类）退役军人管理事务（款）行政运行（项）：</w:t>
      </w:r>
      <w:r>
        <w:rPr>
          <w:rFonts w:hint="eastAsia" w:ascii="仿宋_GB2312" w:hAnsi="仿宋_GB2312" w:eastAsia="仿宋_GB2312" w:cs="仿宋_GB2312"/>
          <w:i w:val="0"/>
          <w:caps w:val="0"/>
          <w:smallCaps w:val="0"/>
          <w:color w:val="000000"/>
          <w:spacing w:val="0"/>
          <w:sz w:val="32"/>
          <w:szCs w:val="32"/>
          <w:shd w:val="clear" w:color="auto" w:fill="FFFFFF"/>
        </w:rPr>
        <w:t>指行政单位（包括实行公务员管理的事业单位）的基本支出。</w:t>
      </w:r>
    </w:p>
    <w:p>
      <w:pPr>
        <w:pStyle w:val="2"/>
        <w:keepNext w:val="0"/>
        <w:keepLines w:val="0"/>
        <w:pageBreakBefore w:val="0"/>
        <w:widowControl w:val="0"/>
        <w:shd w:val="clear"/>
        <w:kinsoku/>
        <w:wordWrap/>
        <w:overflowPunct/>
        <w:topLinePunct w:val="0"/>
        <w:autoSpaceDE/>
        <w:autoSpaceDN/>
        <w:bidi w:val="0"/>
        <w:adjustRightInd/>
        <w:snapToGrid/>
        <w:spacing w:beforeLines="0" w:line="600" w:lineRule="exact"/>
        <w:ind w:firstLine="640" w:firstLineChars="200"/>
        <w:textAlignment w:val="auto"/>
        <w:rPr>
          <w:rStyle w:val="17"/>
          <w:rFonts w:hint="eastAsia" w:ascii="仿宋_GB2312" w:hAnsi="仿宋_GB2312" w:eastAsia="仿宋_GB2312" w:cs="仿宋_GB2312"/>
          <w:b w:val="0"/>
          <w:bCs/>
          <w:color w:val="auto"/>
          <w:sz w:val="32"/>
          <w:szCs w:val="32"/>
          <w:highlight w:val="none"/>
        </w:rPr>
      </w:pPr>
      <w:r>
        <w:rPr>
          <w:rStyle w:val="17"/>
          <w:rFonts w:hint="eastAsia" w:ascii="仿宋_GB2312" w:hAnsi="仿宋_GB2312" w:eastAsia="仿宋_GB2312" w:cs="仿宋_GB2312"/>
          <w:b w:val="0"/>
          <w:bCs/>
          <w:color w:val="auto"/>
          <w:sz w:val="32"/>
          <w:szCs w:val="32"/>
          <w:highlight w:val="none"/>
          <w:lang w:val="en-US" w:eastAsia="zh-CN"/>
        </w:rPr>
        <w:t>15.</w:t>
      </w:r>
      <w:r>
        <w:rPr>
          <w:rFonts w:hint="eastAsia" w:ascii="仿宋_GB2312" w:hAnsi="仿宋_GB2312" w:eastAsia="仿宋_GB2312" w:cs="仿宋_GB2312"/>
          <w:b w:val="0"/>
          <w:bCs w:val="0"/>
          <w:color w:val="000000"/>
          <w:sz w:val="32"/>
          <w:szCs w:val="32"/>
          <w:lang w:val="en-US" w:eastAsia="zh-CN"/>
        </w:rPr>
        <w:t>社会保障和就业（类）退役军人管理事务（款）军供保障（项）：</w:t>
      </w:r>
      <w:r>
        <w:rPr>
          <w:rStyle w:val="17"/>
          <w:rFonts w:hint="eastAsia" w:ascii="仿宋_GB2312" w:hAnsi="仿宋_GB2312" w:eastAsia="仿宋_GB2312" w:cs="仿宋_GB2312"/>
          <w:b w:val="0"/>
          <w:bCs/>
          <w:color w:val="auto"/>
          <w:sz w:val="32"/>
          <w:szCs w:val="32"/>
          <w:highlight w:val="none"/>
          <w:lang w:eastAsia="zh-CN"/>
        </w:rPr>
        <w:t>指各级退役军人事务部门所属军供站（兵站）管理维护、保障军队运输和食宿供应等方面的支出</w:t>
      </w:r>
      <w:r>
        <w:rPr>
          <w:rFonts w:hint="eastAsia" w:ascii="仿宋_GB2312" w:hAnsi="仿宋_GB2312" w:eastAsia="仿宋_GB2312" w:cs="仿宋_GB2312"/>
          <w:b w:val="0"/>
          <w:bCs w:val="0"/>
          <w:color w:val="000000"/>
          <w:sz w:val="32"/>
          <w:szCs w:val="32"/>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Style w:val="17"/>
          <w:rFonts w:hint="eastAsia" w:ascii="仿宋_GB2312" w:hAnsi="仿宋_GB2312" w:eastAsia="仿宋_GB2312" w:cs="仿宋_GB2312"/>
          <w:b w:val="0"/>
          <w:bCs/>
          <w:color w:val="auto"/>
          <w:sz w:val="32"/>
          <w:szCs w:val="32"/>
          <w:highlight w:val="none"/>
        </w:rPr>
      </w:pPr>
      <w:r>
        <w:rPr>
          <w:rStyle w:val="17"/>
          <w:rFonts w:hint="eastAsia" w:ascii="仿宋_GB2312" w:hAnsi="仿宋_GB2312" w:eastAsia="仿宋_GB2312" w:cs="仿宋_GB2312"/>
          <w:b w:val="0"/>
          <w:bCs/>
          <w:color w:val="auto"/>
          <w:sz w:val="32"/>
          <w:szCs w:val="32"/>
          <w:highlight w:val="none"/>
          <w:lang w:val="en-US" w:eastAsia="zh-CN"/>
        </w:rPr>
        <w:t>16.</w:t>
      </w:r>
      <w:r>
        <w:rPr>
          <w:rFonts w:hint="eastAsia" w:ascii="仿宋_GB2312" w:hAnsi="仿宋_GB2312" w:eastAsia="仿宋_GB2312" w:cs="仿宋_GB2312"/>
          <w:b w:val="0"/>
          <w:bCs w:val="0"/>
          <w:color w:val="000000"/>
          <w:sz w:val="32"/>
          <w:szCs w:val="32"/>
          <w:lang w:val="en-US" w:eastAsia="zh-CN"/>
        </w:rPr>
        <w:t>社会保障和就业（类）退役军人管理事务（款）事业运行（项）：</w:t>
      </w:r>
      <w:r>
        <w:rPr>
          <w:rFonts w:hint="eastAsia" w:ascii="仿宋_GB2312" w:hAnsi="仿宋_GB2312" w:eastAsia="仿宋_GB2312" w:cs="仿宋_GB2312"/>
          <w:i w:val="0"/>
          <w:caps w:val="0"/>
          <w:smallCaps w:val="0"/>
          <w:color w:val="000000"/>
          <w:spacing w:val="0"/>
          <w:sz w:val="32"/>
          <w:szCs w:val="32"/>
          <w:shd w:val="clear" w:color="auto" w:fill="FFFFFF"/>
        </w:rPr>
        <w:t>指事业单位的基本支出，不包括行政单位（包括实行公务员管理的事业单位）后勤服务中心、医疗室等附属事业单位。</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caps w:val="0"/>
          <w:smallCaps w:val="0"/>
          <w:color w:val="333333"/>
          <w:spacing w:val="0"/>
          <w:sz w:val="32"/>
          <w:szCs w:val="32"/>
        </w:rPr>
      </w:pPr>
      <w:r>
        <w:rPr>
          <w:rStyle w:val="17"/>
          <w:rFonts w:hint="eastAsia" w:ascii="仿宋_GB2312" w:hAnsi="仿宋_GB2312" w:eastAsia="仿宋_GB2312" w:cs="仿宋_GB2312"/>
          <w:b w:val="0"/>
          <w:bCs/>
          <w:color w:val="auto"/>
          <w:sz w:val="32"/>
          <w:szCs w:val="32"/>
          <w:highlight w:val="none"/>
          <w:lang w:val="en-US" w:eastAsia="zh-CN"/>
        </w:rPr>
        <w:t>17.</w:t>
      </w:r>
      <w:r>
        <w:rPr>
          <w:rFonts w:hint="eastAsia" w:ascii="仿宋_GB2312" w:hAnsi="仿宋_GB2312" w:eastAsia="仿宋_GB2312" w:cs="仿宋_GB2312"/>
          <w:b w:val="0"/>
          <w:bCs w:val="0"/>
          <w:color w:val="000000"/>
          <w:sz w:val="32"/>
          <w:szCs w:val="32"/>
          <w:lang w:val="en-US" w:eastAsia="zh-CN"/>
        </w:rPr>
        <w:t>社会保障和就业（类）退役军人管理事务（款）其他退役军人事务管理支出（项）：</w:t>
      </w:r>
      <w:r>
        <w:rPr>
          <w:rFonts w:hint="eastAsia" w:ascii="仿宋_GB2312" w:hAnsi="仿宋_GB2312" w:eastAsia="仿宋_GB2312" w:cs="仿宋_GB2312"/>
          <w:i w:val="0"/>
          <w:caps w:val="0"/>
          <w:smallCaps w:val="0"/>
          <w:color w:val="000000"/>
          <w:spacing w:val="0"/>
          <w:sz w:val="32"/>
          <w:szCs w:val="32"/>
          <w:shd w:val="clear" w:color="auto" w:fill="FFFFFF"/>
        </w:rPr>
        <w:t>指</w:t>
      </w:r>
      <w:r>
        <w:rPr>
          <w:rFonts w:hint="eastAsia" w:ascii="仿宋_GB2312" w:hAnsi="仿宋_GB2312" w:eastAsia="仿宋_GB2312" w:cs="仿宋_GB2312"/>
          <w:i w:val="0"/>
          <w:caps w:val="0"/>
          <w:smallCaps w:val="0"/>
          <w:color w:val="000000"/>
          <w:spacing w:val="0"/>
          <w:sz w:val="32"/>
          <w:szCs w:val="32"/>
          <w:shd w:val="clear" w:color="auto" w:fill="FFFFFF"/>
          <w:lang w:eastAsia="zh-CN"/>
        </w:rPr>
        <w:t>除上述项目以外其</w:t>
      </w:r>
      <w:r>
        <w:rPr>
          <w:rFonts w:hint="eastAsia" w:ascii="仿宋_GB2312" w:hAnsi="仿宋_GB2312" w:eastAsia="仿宋_GB2312" w:cs="仿宋_GB2312"/>
          <w:i w:val="0"/>
          <w:caps w:val="0"/>
          <w:smallCaps w:val="0"/>
          <w:color w:val="000000"/>
          <w:spacing w:val="0"/>
          <w:sz w:val="32"/>
          <w:szCs w:val="32"/>
          <w:shd w:val="clear" w:color="auto" w:fill="FFFFFF"/>
        </w:rPr>
        <w:t>他用于退役军人事务管理方面的支出。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caps w:val="0"/>
          <w:smallCaps w:val="0"/>
          <w:color w:val="333333"/>
          <w:spacing w:val="0"/>
          <w:sz w:val="32"/>
          <w:szCs w:val="32"/>
        </w:rPr>
      </w:pPr>
      <w:r>
        <w:rPr>
          <w:rFonts w:hint="eastAsia" w:ascii="仿宋_GB2312" w:hAnsi="仿宋_GB2312" w:eastAsia="仿宋_GB2312" w:cs="仿宋_GB2312"/>
          <w:b w:val="0"/>
          <w:bCs w:val="0"/>
          <w:color w:val="000000"/>
          <w:sz w:val="32"/>
          <w:szCs w:val="32"/>
          <w:lang w:val="en-US" w:eastAsia="zh-CN"/>
        </w:rPr>
        <w:t>18.社会保障和就业（类）其他社会保障和就业支出（款）其他社会保障和就业支出（项）：</w:t>
      </w:r>
      <w:r>
        <w:rPr>
          <w:rFonts w:hint="eastAsia" w:ascii="仿宋_GB2312" w:hAnsi="仿宋_GB2312" w:eastAsia="仿宋_GB2312" w:cs="仿宋_GB2312"/>
          <w:i w:val="0"/>
          <w:caps w:val="0"/>
          <w:smallCaps w:val="0"/>
          <w:color w:val="000000"/>
          <w:spacing w:val="0"/>
          <w:sz w:val="32"/>
          <w:szCs w:val="32"/>
          <w:shd w:val="clear" w:color="auto" w:fill="FFFFFF"/>
        </w:rPr>
        <w:t>指</w:t>
      </w:r>
      <w:r>
        <w:rPr>
          <w:rFonts w:hint="eastAsia" w:ascii="仿宋_GB2312" w:hAnsi="仿宋_GB2312" w:eastAsia="仿宋_GB2312" w:cs="仿宋_GB2312"/>
          <w:i w:val="0"/>
          <w:caps w:val="0"/>
          <w:smallCaps w:val="0"/>
          <w:color w:val="000000"/>
          <w:spacing w:val="0"/>
          <w:sz w:val="32"/>
          <w:szCs w:val="32"/>
          <w:shd w:val="clear" w:color="auto" w:fill="FFFFFF"/>
          <w:lang w:eastAsia="zh-CN"/>
        </w:rPr>
        <w:t>除上述项目以外</w:t>
      </w:r>
      <w:r>
        <w:rPr>
          <w:rFonts w:hint="eastAsia" w:ascii="仿宋_GB2312" w:hAnsi="仿宋_GB2312" w:eastAsia="仿宋_GB2312" w:cs="仿宋_GB2312"/>
          <w:i w:val="0"/>
          <w:caps w:val="0"/>
          <w:smallCaps w:val="0"/>
          <w:color w:val="000000"/>
          <w:spacing w:val="0"/>
          <w:sz w:val="32"/>
          <w:szCs w:val="32"/>
          <w:shd w:val="clear" w:color="auto" w:fill="FFFFFF"/>
        </w:rPr>
        <w:t>其他用于社会保障和就业方面的支出。</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caps w:val="0"/>
          <w:smallCaps w:val="0"/>
          <w:color w:val="333333"/>
          <w:spacing w:val="0"/>
          <w:sz w:val="32"/>
          <w:szCs w:val="32"/>
        </w:rPr>
      </w:pPr>
      <w:r>
        <w:rPr>
          <w:rStyle w:val="17"/>
          <w:rFonts w:hint="eastAsia" w:ascii="仿宋_GB2312" w:hAnsi="仿宋_GB2312" w:eastAsia="仿宋_GB2312" w:cs="仿宋_GB2312"/>
          <w:b w:val="0"/>
          <w:bCs/>
          <w:color w:val="auto"/>
          <w:sz w:val="32"/>
          <w:szCs w:val="32"/>
          <w:highlight w:val="none"/>
          <w:lang w:val="en-US" w:eastAsia="zh-CN"/>
        </w:rPr>
        <w:t>19.</w:t>
      </w:r>
      <w:r>
        <w:rPr>
          <w:rFonts w:hint="eastAsia" w:ascii="仿宋_GB2312" w:hAnsi="仿宋_GB2312" w:eastAsia="仿宋_GB2312" w:cs="仿宋_GB2312"/>
          <w:b w:val="0"/>
          <w:bCs w:val="0"/>
          <w:color w:val="000000"/>
          <w:sz w:val="32"/>
          <w:szCs w:val="32"/>
          <w:lang w:val="en-US" w:eastAsia="zh-CN"/>
        </w:rPr>
        <w:t>卫生健康（类）行政事业单位医疗（款）行政单位医疗（项）:</w:t>
      </w:r>
      <w:r>
        <w:rPr>
          <w:rFonts w:hint="eastAsia" w:ascii="仿宋_GB2312" w:hAnsi="仿宋_GB2312" w:eastAsia="仿宋_GB2312" w:cs="仿宋_GB2312"/>
          <w:i w:val="0"/>
          <w:caps w:val="0"/>
          <w:smallCaps w:val="0"/>
          <w:color w:val="000000"/>
          <w:spacing w:val="0"/>
          <w:sz w:val="32"/>
          <w:szCs w:val="32"/>
          <w:shd w:val="clear" w:color="auto" w:fill="FFFFFF"/>
        </w:rPr>
        <w:t>指财政部门安排的行政单位（包括实行公务员管理的事业单位）基本医疗保险缴费经费，未参加医疗保险的行政单位的公费医疗经费，按国家规定享受离休人员、红军老战士待遇人员的医疗经费。</w:t>
      </w:r>
    </w:p>
    <w:p>
      <w:pPr>
        <w:pStyle w:val="2"/>
        <w:keepNext w:val="0"/>
        <w:keepLines w:val="0"/>
        <w:pageBreakBefore w:val="0"/>
        <w:widowControl w:val="0"/>
        <w:shd w:val="clear"/>
        <w:kinsoku/>
        <w:wordWrap/>
        <w:overflowPunct/>
        <w:topLinePunct w:val="0"/>
        <w:autoSpaceDE/>
        <w:autoSpaceDN/>
        <w:bidi w:val="0"/>
        <w:adjustRightInd/>
        <w:snapToGrid/>
        <w:spacing w:beforeLines="0" w:line="60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lang w:val="en-US" w:eastAsia="zh-CN"/>
        </w:rPr>
        <w:t>20.卫生健康（类）行政事业单位医疗（款）事业单位医疗（项）:</w:t>
      </w:r>
      <w:r>
        <w:rPr>
          <w:rFonts w:hint="eastAsia" w:ascii="仿宋_GB2312" w:hAnsi="仿宋_GB2312" w:eastAsia="仿宋_GB2312" w:cs="仿宋_GB2312"/>
          <w:i w:val="0"/>
          <w:caps w:val="0"/>
          <w:smallCaps w:val="0"/>
          <w:color w:val="000000"/>
          <w:spacing w:val="0"/>
          <w:sz w:val="32"/>
          <w:szCs w:val="32"/>
          <w:shd w:val="clear" w:color="auto" w:fill="FFFFFF"/>
        </w:rPr>
        <w:t>指财政部门安排的事业单位基本医疗保险缴费经费，未参加医疗保险的事业单位的公费医疗经费，按国家规定享受离休人员待遇的医疗经费。</w:t>
      </w:r>
    </w:p>
    <w:p>
      <w:pPr>
        <w:pStyle w:val="2"/>
        <w:keepNext w:val="0"/>
        <w:keepLines w:val="0"/>
        <w:pageBreakBefore w:val="0"/>
        <w:widowControl w:val="0"/>
        <w:kinsoku/>
        <w:wordWrap/>
        <w:overflowPunct/>
        <w:topLinePunct w:val="0"/>
        <w:autoSpaceDE/>
        <w:autoSpaceDN/>
        <w:bidi w:val="0"/>
        <w:adjustRightInd/>
        <w:snapToGrid/>
        <w:spacing w:beforeLines="0" w:line="600" w:lineRule="exact"/>
        <w:ind w:firstLine="640" w:firstLineChars="200"/>
        <w:textAlignment w:val="auto"/>
        <w:rPr>
          <w:rFonts w:hint="eastAsia" w:ascii="仿宋_GB2312" w:hAnsi="仿宋_GB2312" w:eastAsia="仿宋_GB2312" w:cs="仿宋_GB2312"/>
          <w:i w:val="0"/>
          <w:caps w:val="0"/>
          <w:smallCaps w:val="0"/>
          <w:color w:val="000000"/>
          <w:spacing w:val="0"/>
          <w:sz w:val="32"/>
          <w:szCs w:val="32"/>
          <w:shd w:val="clear" w:color="auto" w:fill="FFFFFF"/>
        </w:rPr>
      </w:pP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b w:val="0"/>
          <w:bCs w:val="0"/>
          <w:color w:val="000000"/>
          <w:sz w:val="32"/>
          <w:szCs w:val="32"/>
          <w:lang w:val="en-US" w:eastAsia="zh-CN"/>
        </w:rPr>
        <w:t>卫生健康（类）优抚对象医疗（款）优抚对象医疗补助（项）:</w:t>
      </w:r>
      <w:r>
        <w:rPr>
          <w:rFonts w:hint="eastAsia" w:ascii="仿宋_GB2312" w:hAnsi="仿宋_GB2312" w:eastAsia="仿宋_GB2312" w:cs="仿宋_GB2312"/>
          <w:i w:val="0"/>
          <w:caps w:val="0"/>
          <w:smallCaps w:val="0"/>
          <w:color w:val="000000"/>
          <w:spacing w:val="0"/>
          <w:sz w:val="32"/>
          <w:szCs w:val="32"/>
          <w:shd w:val="clear" w:color="auto" w:fill="FFFFFF"/>
        </w:rPr>
        <w:t>指按规定补助优抚对象的医疗经费。</w:t>
      </w:r>
    </w:p>
    <w:p>
      <w:pPr>
        <w:pStyle w:val="2"/>
        <w:keepNext w:val="0"/>
        <w:keepLines w:val="0"/>
        <w:pageBreakBefore w:val="0"/>
        <w:widowControl w:val="0"/>
        <w:kinsoku/>
        <w:wordWrap/>
        <w:overflowPunct/>
        <w:topLinePunct w:val="0"/>
        <w:autoSpaceDE/>
        <w:autoSpaceDN/>
        <w:bidi w:val="0"/>
        <w:adjustRightInd/>
        <w:snapToGrid/>
        <w:spacing w:beforeLines="0" w:line="600" w:lineRule="exact"/>
        <w:ind w:firstLine="640" w:firstLineChars="200"/>
        <w:textAlignment w:val="auto"/>
        <w:rPr>
          <w:rFonts w:hint="eastAsia" w:ascii="仿宋_GB2312" w:hAnsi="仿宋_GB2312" w:eastAsia="仿宋_GB2312" w:cs="仿宋_GB2312"/>
          <w:i w:val="0"/>
          <w:caps w:val="0"/>
          <w:smallCaps w:val="0"/>
          <w:color w:val="000000"/>
          <w:spacing w:val="0"/>
          <w:sz w:val="32"/>
          <w:szCs w:val="32"/>
          <w:highlight w:val="none"/>
          <w:shd w:val="clear" w:color="auto" w:fill="FFFFFF"/>
        </w:rPr>
      </w:pPr>
      <w:r>
        <w:rPr>
          <w:rStyle w:val="17"/>
          <w:rFonts w:hint="eastAsia" w:ascii="仿宋_GB2312" w:hAnsi="仿宋_GB2312" w:eastAsia="仿宋_GB2312" w:cs="仿宋_GB2312"/>
          <w:b w:val="0"/>
          <w:bCs/>
          <w:color w:val="auto"/>
          <w:sz w:val="32"/>
          <w:szCs w:val="32"/>
          <w:highlight w:val="none"/>
          <w:lang w:val="en-US" w:eastAsia="zh-CN"/>
        </w:rPr>
        <w:t>22.</w:t>
      </w:r>
      <w:r>
        <w:rPr>
          <w:rFonts w:hint="eastAsia" w:ascii="仿宋_GB2312" w:hAnsi="仿宋_GB2312" w:eastAsia="仿宋_GB2312" w:cs="仿宋_GB2312"/>
          <w:b w:val="0"/>
          <w:bCs w:val="0"/>
          <w:color w:val="000000"/>
          <w:sz w:val="32"/>
          <w:szCs w:val="32"/>
          <w:highlight w:val="none"/>
          <w:lang w:val="en-US" w:eastAsia="zh-CN"/>
        </w:rPr>
        <w:t>住房保障支出（类）住房改革支出（款）住房公积金（项）:</w:t>
      </w:r>
      <w:r>
        <w:rPr>
          <w:rFonts w:hint="eastAsia" w:ascii="仿宋_GB2312" w:hAnsi="仿宋_GB2312" w:eastAsia="仿宋_GB2312" w:cs="仿宋_GB2312"/>
          <w:i w:val="0"/>
          <w:caps w:val="0"/>
          <w:smallCaps w:val="0"/>
          <w:color w:val="000000"/>
          <w:spacing w:val="0"/>
          <w:sz w:val="32"/>
          <w:szCs w:val="32"/>
          <w:highlight w:val="none"/>
          <w:shd w:val="clear" w:color="auto" w:fill="FFFFFF"/>
        </w:rPr>
        <w:t>指行政事业单位按人力资源和社会保障部、财政部规定的基本工资和津贴补贴以及规定比例为职工缴纳的住房公积金。</w:t>
      </w:r>
    </w:p>
    <w:p>
      <w:pPr>
        <w:pStyle w:val="2"/>
        <w:keepNext w:val="0"/>
        <w:keepLines w:val="0"/>
        <w:pageBreakBefore w:val="0"/>
        <w:widowControl w:val="0"/>
        <w:kinsoku/>
        <w:wordWrap/>
        <w:overflowPunct/>
        <w:topLinePunct w:val="0"/>
        <w:autoSpaceDE/>
        <w:autoSpaceDN/>
        <w:bidi w:val="0"/>
        <w:adjustRightInd/>
        <w:snapToGrid/>
        <w:spacing w:beforeLines="0" w:line="600" w:lineRule="exact"/>
        <w:ind w:firstLine="640" w:firstLineChars="200"/>
        <w:textAlignment w:val="auto"/>
        <w:rPr>
          <w:rFonts w:hint="eastAsia" w:ascii="仿宋_GB2312" w:hAnsi="仿宋_GB2312" w:eastAsia="仿宋_GB2312" w:cs="仿宋_GB2312"/>
          <w:i w:val="0"/>
          <w:caps w:val="0"/>
          <w:smallCaps w:val="0"/>
          <w:color w:val="000000"/>
          <w:spacing w:val="0"/>
          <w:sz w:val="32"/>
          <w:szCs w:val="32"/>
          <w:highlight w:val="none"/>
          <w:shd w:val="clear" w:color="auto" w:fill="FFFFFF"/>
        </w:rPr>
      </w:pPr>
      <w:r>
        <w:rPr>
          <w:rFonts w:hint="eastAsia" w:ascii="仿宋_GB2312" w:hAnsi="仿宋_GB2312" w:eastAsia="仿宋_GB2312" w:cs="仿宋_GB2312"/>
          <w:i w:val="0"/>
          <w:caps w:val="0"/>
          <w:smallCaps w:val="0"/>
          <w:color w:val="000000"/>
          <w:spacing w:val="0"/>
          <w:sz w:val="32"/>
          <w:szCs w:val="32"/>
          <w:highlight w:val="none"/>
          <w:shd w:val="clear" w:color="auto" w:fill="FFFFFF"/>
        </w:rPr>
        <w:t>2</w:t>
      </w:r>
      <w:r>
        <w:rPr>
          <w:rFonts w:hint="eastAsia" w:hAnsi="仿宋_GB2312" w:cs="仿宋_GB2312"/>
          <w:i w:val="0"/>
          <w:caps w:val="0"/>
          <w:smallCaps w:val="0"/>
          <w:color w:val="000000"/>
          <w:spacing w:val="0"/>
          <w:sz w:val="32"/>
          <w:szCs w:val="32"/>
          <w:highlight w:val="none"/>
          <w:shd w:val="clear" w:color="auto" w:fill="FFFFFF"/>
          <w:lang w:val="en-US" w:eastAsia="zh-CN"/>
        </w:rPr>
        <w:t>3</w:t>
      </w:r>
      <w:r>
        <w:rPr>
          <w:rFonts w:hint="eastAsia" w:ascii="仿宋_GB2312" w:hAnsi="仿宋_GB2312" w:eastAsia="仿宋_GB2312" w:cs="仿宋_GB2312"/>
          <w:i w:val="0"/>
          <w:caps w:val="0"/>
          <w:smallCaps w:val="0"/>
          <w:color w:val="000000"/>
          <w:spacing w:val="0"/>
          <w:sz w:val="32"/>
          <w:szCs w:val="32"/>
          <w:highlight w:val="none"/>
          <w:shd w:val="clear" w:color="auto" w:fill="FFFFFF"/>
        </w:rPr>
        <w:t>.其他支出（类）彩票公益金安排的支出（款）用于社会福利的彩票公益金支出（项）:</w:t>
      </w:r>
      <w:r>
        <w:rPr>
          <w:rFonts w:hint="eastAsia" w:hAnsi="仿宋_GB2312" w:cs="仿宋_GB2312"/>
          <w:i w:val="0"/>
          <w:caps w:val="0"/>
          <w:smallCaps w:val="0"/>
          <w:color w:val="000000"/>
          <w:spacing w:val="0"/>
          <w:sz w:val="32"/>
          <w:szCs w:val="32"/>
          <w:highlight w:val="none"/>
          <w:shd w:val="clear" w:color="auto" w:fill="FFFFFF"/>
          <w:lang w:eastAsia="zh-CN"/>
        </w:rPr>
        <w:t>指市光荣院用于供养老人生活等社会福利方面支出。</w:t>
      </w:r>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.基本支出：指为保障机构正常运转、完成日常工作任务而发生的人员支出和公用支出。</w:t>
      </w:r>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.项目支出：指在基本支出之外为完成特定行政任务和事业发展目标所发生的支出。</w:t>
      </w:r>
    </w:p>
    <w:p>
      <w:pPr>
        <w:pStyle w:val="31"/>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26</w:t>
      </w:r>
      <w:r>
        <w:rPr>
          <w:rFonts w:hint="eastAsia" w:ascii="仿宋_GB2312" w:hAnsi="仿宋_GB2312" w:eastAsia="仿宋_GB2312" w:cs="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31"/>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27</w:t>
      </w:r>
      <w:r>
        <w:rPr>
          <w:rFonts w:hint="eastAsia" w:ascii="仿宋_GB2312" w:hAnsi="仿宋_GB2312" w:eastAsia="仿宋_GB2312" w:cs="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Style w:val="31"/>
        <w:keepNext w:val="0"/>
        <w:keepLines w:val="0"/>
        <w:pageBreakBefore w:val="0"/>
        <w:kinsoku/>
        <w:wordWrap/>
        <w:overflowPunct/>
        <w:topLinePunct w:val="0"/>
        <w:bidi w:val="0"/>
        <w:snapToGrid/>
        <w:spacing w:line="600" w:lineRule="exact"/>
        <w:ind w:firstLine="640" w:firstLineChars="200"/>
        <w:textAlignment w:val="auto"/>
        <w:rPr>
          <w:rFonts w:ascii="仿宋_GB2312" w:eastAsia="仿宋_GB2312" w:cs="黑体"/>
          <w:color w:val="auto"/>
          <w:sz w:val="32"/>
          <w:szCs w:val="32"/>
          <w:highlight w:val="none"/>
        </w:rPr>
      </w:pPr>
    </w:p>
    <w:p>
      <w:pPr>
        <w:spacing w:line="600" w:lineRule="exact"/>
        <w:jc w:val="center"/>
        <w:outlineLvl w:val="0"/>
        <w:rPr>
          <w:rStyle w:val="19"/>
          <w:rFonts w:hint="eastAsia" w:ascii="黑体" w:hAnsi="黑体" w:eastAsia="黑体"/>
          <w:b w:val="0"/>
          <w:color w:val="auto"/>
          <w:highlight w:val="none"/>
          <w:lang w:eastAsia="zh-CN"/>
        </w:rPr>
      </w:pPr>
      <w:bookmarkStart w:id="67" w:name="_Toc15377226"/>
      <w:r>
        <w:rPr>
          <w:rFonts w:ascii="宋体"/>
          <w:b/>
          <w:color w:val="auto"/>
          <w:sz w:val="44"/>
          <w:szCs w:val="44"/>
          <w:highlight w:val="none"/>
        </w:rPr>
        <w:br w:type="page"/>
      </w:r>
      <w:bookmarkStart w:id="68" w:name="_Toc15396614"/>
      <w:bookmarkStart w:id="69" w:name="_Toc6025"/>
      <w:r>
        <w:rPr>
          <w:rFonts w:hint="eastAsia" w:ascii="黑体" w:hAnsi="黑体" w:eastAsia="黑体"/>
          <w:color w:val="auto"/>
          <w:sz w:val="44"/>
          <w:szCs w:val="44"/>
          <w:highlight w:val="none"/>
        </w:rPr>
        <w:t>第</w:t>
      </w:r>
      <w:r>
        <w:rPr>
          <w:rStyle w:val="19"/>
          <w:rFonts w:hint="eastAsia" w:ascii="黑体" w:hAnsi="黑体" w:eastAsia="黑体"/>
          <w:b w:val="0"/>
          <w:color w:val="auto"/>
          <w:highlight w:val="none"/>
        </w:rPr>
        <w:t>四部分附件</w:t>
      </w:r>
      <w:bookmarkEnd w:id="68"/>
      <w:bookmarkEnd w:id="69"/>
    </w:p>
    <w:p>
      <w:pPr>
        <w:keepNext w:val="0"/>
        <w:keepLines w:val="0"/>
        <w:pageBreakBefore w:val="0"/>
        <w:kinsoku/>
        <w:wordWrap/>
        <w:overflowPunct/>
        <w:topLinePunct w:val="0"/>
        <w:autoSpaceDE/>
        <w:autoSpaceDN/>
        <w:bidi w:val="0"/>
        <w:spacing w:line="572" w:lineRule="exact"/>
        <w:jc w:val="left"/>
        <w:textAlignment w:val="auto"/>
        <w:outlineLvl w:val="1"/>
        <w:rPr>
          <w:rFonts w:hint="eastAsia" w:ascii="方正小标宋简体" w:hAnsi="方正小标宋简体" w:eastAsia="黑体" w:cs="方正小标宋简体"/>
          <w:color w:val="auto"/>
          <w:sz w:val="44"/>
          <w:szCs w:val="44"/>
          <w:highlight w:val="none"/>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600" w:lineRule="exact"/>
        <w:ind w:firstLine="0" w:firstLineChars="0"/>
        <w:jc w:val="center"/>
        <w:textAlignment w:val="auto"/>
        <w:rPr>
          <w:rFonts w:hint="eastAsia" w:ascii="方正小标宋简体" w:hAnsi="方正小标宋简体" w:eastAsia="方正小标宋简体" w:cs="方正小标宋简体"/>
          <w:b w:val="0"/>
          <w:bCs w:val="0"/>
          <w:color w:val="auto"/>
          <w:sz w:val="44"/>
          <w:szCs w:val="44"/>
          <w:lang w:eastAsia="zh-CN"/>
        </w:rPr>
      </w:pPr>
      <w:r>
        <w:rPr>
          <w:rFonts w:hint="eastAsia" w:ascii="方正小标宋简体" w:hAnsi="方正小标宋简体" w:eastAsia="方正小标宋简体" w:cs="方正小标宋简体"/>
          <w:b w:val="0"/>
          <w:bCs w:val="0"/>
          <w:sz w:val="44"/>
          <w:szCs w:val="44"/>
          <w:highlight w:val="none"/>
          <w:shd w:val="clear" w:color="auto" w:fill="FFFFFF"/>
        </w:rPr>
        <w:t>20</w:t>
      </w:r>
      <w:r>
        <w:rPr>
          <w:rFonts w:hint="eastAsia" w:ascii="方正小标宋简体" w:hAnsi="方正小标宋简体" w:eastAsia="方正小标宋简体" w:cs="方正小标宋简体"/>
          <w:b w:val="0"/>
          <w:bCs w:val="0"/>
          <w:sz w:val="44"/>
          <w:szCs w:val="44"/>
          <w:highlight w:val="none"/>
          <w:shd w:val="clear" w:color="auto" w:fill="FFFFFF"/>
          <w:lang w:val="en-US" w:eastAsia="zh-CN"/>
        </w:rPr>
        <w:t>22</w:t>
      </w:r>
      <w:r>
        <w:rPr>
          <w:rFonts w:hint="eastAsia" w:ascii="方正小标宋简体" w:hAnsi="方正小标宋简体" w:eastAsia="方正小标宋简体" w:cs="方正小标宋简体"/>
          <w:b w:val="0"/>
          <w:bCs w:val="0"/>
          <w:sz w:val="44"/>
          <w:szCs w:val="44"/>
          <w:highlight w:val="none"/>
          <w:shd w:val="clear" w:color="auto" w:fill="FFFFFF"/>
        </w:rPr>
        <w:t>年</w:t>
      </w:r>
      <w:r>
        <w:rPr>
          <w:rFonts w:hint="eastAsia" w:ascii="方正小标宋简体" w:hAnsi="方正小标宋简体" w:eastAsia="方正小标宋简体" w:cs="方正小标宋简体"/>
          <w:b w:val="0"/>
          <w:bCs w:val="0"/>
          <w:color w:val="auto"/>
          <w:sz w:val="44"/>
          <w:szCs w:val="44"/>
          <w:lang w:eastAsia="zh-CN"/>
        </w:rPr>
        <w:t>广元市退役军人事务局</w:t>
      </w:r>
    </w:p>
    <w:p>
      <w:pPr>
        <w:keepNext w:val="0"/>
        <w:keepLines w:val="0"/>
        <w:pageBreakBefore w:val="0"/>
        <w:widowControl/>
        <w:kinsoku/>
        <w:wordWrap/>
        <w:overflowPunct/>
        <w:topLinePunct w:val="0"/>
        <w:autoSpaceDE/>
        <w:autoSpaceDN/>
        <w:bidi w:val="0"/>
        <w:adjustRightInd/>
        <w:snapToGrid/>
        <w:spacing w:line="600" w:lineRule="exact"/>
        <w:contextualSpacing/>
        <w:jc w:val="center"/>
        <w:textAlignment w:val="auto"/>
        <w:rPr>
          <w:rFonts w:hint="eastAsia" w:ascii="方正小标宋简体" w:hAnsi="方正小标宋简体" w:eastAsia="方正小标宋简体" w:cs="方正小标宋简体"/>
          <w:b w:val="0"/>
          <w:bCs w:val="0"/>
          <w:sz w:val="44"/>
          <w:szCs w:val="44"/>
          <w:highlight w:val="none"/>
          <w:shd w:val="clear" w:color="auto" w:fill="FFFFFF"/>
        </w:rPr>
      </w:pPr>
      <w:r>
        <w:rPr>
          <w:rFonts w:hint="eastAsia" w:ascii="方正小标宋简体" w:hAnsi="方正小标宋简体" w:eastAsia="方正小标宋简体" w:cs="方正小标宋简体"/>
          <w:b w:val="0"/>
          <w:bCs w:val="0"/>
          <w:sz w:val="44"/>
          <w:szCs w:val="44"/>
          <w:highlight w:val="none"/>
          <w:shd w:val="clear" w:color="auto" w:fill="FFFFFF"/>
        </w:rPr>
        <w:t>部门整体绩效</w:t>
      </w:r>
      <w:r>
        <w:rPr>
          <w:rFonts w:hint="eastAsia" w:ascii="方正小标宋简体" w:eastAsia="方正小标宋简体"/>
          <w:color w:val="auto"/>
          <w:kern w:val="0"/>
          <w:sz w:val="44"/>
          <w:szCs w:val="44"/>
          <w:highlight w:val="none"/>
        </w:rPr>
        <w:t>评价</w:t>
      </w:r>
      <w:r>
        <w:rPr>
          <w:rFonts w:hint="eastAsia" w:ascii="方正小标宋简体" w:hAnsi="方正小标宋简体" w:eastAsia="方正小标宋简体" w:cs="方正小标宋简体"/>
          <w:b w:val="0"/>
          <w:bCs w:val="0"/>
          <w:sz w:val="44"/>
          <w:szCs w:val="44"/>
          <w:highlight w:val="none"/>
          <w:shd w:val="clear" w:color="auto" w:fill="FFFFFF"/>
        </w:rPr>
        <w:t>报告</w:t>
      </w:r>
    </w:p>
    <w:p>
      <w:pPr>
        <w:widowControl/>
        <w:spacing w:line="580" w:lineRule="exact"/>
        <w:contextualSpacing/>
        <w:jc w:val="center"/>
        <w:rPr>
          <w:rFonts w:hint="eastAsia" w:ascii="楷体_GB2312" w:hAnsi="楷体_GB2312" w:eastAsia="楷体_GB2312" w:cs="楷体_GB2312"/>
          <w:sz w:val="32"/>
          <w:szCs w:val="32"/>
          <w:shd w:val="clear" w:color="auto" w:fill="FFFFFF"/>
        </w:rPr>
      </w:pPr>
    </w:p>
    <w:p>
      <w:pPr>
        <w:keepNext w:val="0"/>
        <w:keepLines w:val="0"/>
        <w:pageBreakBefore w:val="0"/>
        <w:widowControl/>
        <w:kinsoku/>
        <w:wordWrap/>
        <w:overflowPunct/>
        <w:topLinePunct w:val="0"/>
        <w:autoSpaceDE/>
        <w:autoSpaceDN/>
        <w:bidi w:val="0"/>
        <w:adjustRightInd w:val="0"/>
        <w:snapToGrid w:val="0"/>
        <w:spacing w:line="560" w:lineRule="exact"/>
        <w:ind w:firstLine="480" w:firstLineChars="200"/>
        <w:contextualSpacing/>
        <w:jc w:val="left"/>
        <w:textAlignment w:val="auto"/>
        <w:rPr>
          <w:rFonts w:ascii="黑体" w:hAnsi="宋体" w:eastAsia="黑体" w:cs="宋体"/>
          <w:b w:val="0"/>
          <w:bCs w:val="0"/>
          <w:color w:val="000000"/>
          <w:kern w:val="0"/>
          <w:sz w:val="24"/>
          <w:szCs w:val="32"/>
          <w:highlight w:val="none"/>
          <w:shd w:val="clear" w:color="auto" w:fill="FFFFFF"/>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outlineLvl w:val="1"/>
        <w:rPr>
          <w:rFonts w:hint="eastAsia" w:ascii="黑体" w:hAnsi="黑体" w:eastAsia="黑体" w:cs="黑体"/>
          <w:b w:val="0"/>
          <w:bCs w:val="0"/>
          <w:color w:val="000000"/>
          <w:kern w:val="0"/>
          <w:sz w:val="32"/>
          <w:szCs w:val="32"/>
          <w:highlight w:val="none"/>
          <w:shd w:val="clear" w:color="auto" w:fill="FFFFFF"/>
          <w:lang w:val="zh-CN"/>
        </w:rPr>
      </w:pPr>
      <w:bookmarkStart w:id="70" w:name="_Toc24664"/>
      <w:r>
        <w:rPr>
          <w:rFonts w:hint="eastAsia" w:ascii="黑体" w:hAnsi="黑体" w:eastAsia="黑体" w:cs="黑体"/>
          <w:b w:val="0"/>
          <w:bCs w:val="0"/>
          <w:color w:val="000000"/>
          <w:kern w:val="0"/>
          <w:sz w:val="32"/>
          <w:szCs w:val="32"/>
          <w:highlight w:val="none"/>
          <w:shd w:val="clear" w:color="auto" w:fill="FFFFFF"/>
          <w:lang w:val="zh-CN"/>
        </w:rPr>
        <w:t>一、部门基本情况</w:t>
      </w:r>
      <w:bookmarkEnd w:id="70"/>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（一）机构组成。</w:t>
      </w:r>
      <w:r>
        <w:rPr>
          <w:rFonts w:hint="eastAsia" w:ascii="仿宋_GB2312" w:hAnsi="仿宋_GB2312" w:eastAsia="仿宋_GB2312" w:cs="仿宋_GB2312"/>
          <w:b w:val="0"/>
          <w:bCs w:val="0"/>
          <w:sz w:val="32"/>
          <w:szCs w:val="32"/>
          <w:highlight w:val="none"/>
          <w:lang w:val="en-US" w:eastAsia="zh-CN"/>
        </w:rPr>
        <w:t>市退役军人事务局及其下属二级预算单位共6个，其中行政单位1个，其他事业单位5个。主要包括：局机关本级、市光荣院、广元军供站、市军休所、市退役军人服务中心、市烈士陵园管理所。</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（二）机构职能和人员概况。</w:t>
      </w:r>
      <w:r>
        <w:rPr>
          <w:rFonts w:hint="eastAsia" w:ascii="仿宋_GB2312" w:hAnsi="仿宋_GB2312" w:eastAsia="仿宋_GB2312" w:cs="仿宋_GB2312"/>
          <w:b w:val="0"/>
          <w:bCs w:val="0"/>
          <w:sz w:val="32"/>
          <w:szCs w:val="32"/>
          <w:highlight w:val="none"/>
          <w:lang w:val="en-US" w:eastAsia="zh-CN"/>
        </w:rPr>
        <w:t>市退役军人事务局负责全市退役军人拥军优属、就业创业、移交安置、优待抚恤、服务保障等事务工作，维护军人军属合法权益。总编制99个，其中,行政编制13个，事业编制84个，工勤编制2个。在职人员96人，其中:行政人员15人，事业人员79人，工勤人员2人；离休人员0人；退休人员41人。</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（三）年度主要工作任务。</w:t>
      </w:r>
      <w:r>
        <w:rPr>
          <w:rFonts w:hint="eastAsia" w:ascii="仿宋_GB2312" w:hAnsi="仿宋_GB2312" w:eastAsia="仿宋_GB2312" w:cs="仿宋_GB2312"/>
          <w:b w:val="0"/>
          <w:bCs w:val="0"/>
          <w:sz w:val="32"/>
          <w:szCs w:val="32"/>
          <w:highlight w:val="none"/>
          <w:lang w:val="en-US" w:eastAsia="zh-CN"/>
        </w:rPr>
        <w:t>按照市委、市政府安排部署和省退役军人事务厅工作要求，着力推进退役军人事务工作高质量发展，围绕九个方面重点工作，统筹推进，狠抓落实，确保完成全年目标任务。一是深入贯彻习近平总书记关于退役军人工作重要论述，全面贯彻党的二十大精神，认真落实省委省政府、市委市政府和退役军人事务部、省退役军人事务厅决策部署，以“让退役军人成为全社会尊重的人、让军人成为全社会尊崇的职业”为主题，扎实做好退役军人工作。二是接续推进“法律政策落实年”活动。深入开展法律政策学习活动，分层次开展政策业务培训，增强系统干部职工的政策水平、业务能力、综合素质。三是大力实施“十四五”规划项目。全面完成烈士纪念设施三年提升行动的主要项目，完成市烈士陵园改造项目和2022年度民生实事项目。四是稳步提高安置就业质量。统筹好工作部署、落实好安置计划、规划好时间节点、细致做好各项工作，圆满完成年度安置任务。围绕高质量就业，摸清退役军人教育培训需求，加强培训质量监管，提升教育培训质效。五是全面开展优待证申领制发。按照“分级负责、属地管理”原则，完成存量对象优待证申领发放。全面落实国家和省、市明确的优待内容，逐步提高“含金量”，切实增强持证人的获得感、荣誉感。六是全力建强服务保障体系。完善基层退役军人服务站工作内容、规范工作运行，巩固红色退役军人服务站建设成果，推进示范型服务中心（站）创建活动。开展中心镇样板型服务站建设，推动构建网上服务中心（站）建设。七是持续营造尊崇尊重氛围。组织“老兵喜迎党的二十大”“红色宣讲员”大赛、重温誓词等系列活动。开展“了不起的退役军人”新时代退役军人奋斗榜样专题宣传，发挥示范带动效应。八是抓好双拥共建工作。组织做好“八一”、春节等重大节庆的双拥工作，加大走访慰问重点优抚对象力度，积极帮扶困难退役军人家庭解决实际困难。九是进一步加大退役军人事务工作宣传和政务信息报送力度，争取社会各界对退役军人事务工作更多的支持，努力展示良好工作风貌。</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（四）部门整体支出绩效目标。</w:t>
      </w:r>
      <w:r>
        <w:rPr>
          <w:rFonts w:hint="eastAsia" w:ascii="仿宋_GB2312" w:hAnsi="仿宋_GB2312" w:eastAsia="仿宋_GB2312" w:cs="仿宋_GB2312"/>
          <w:b w:val="0"/>
          <w:bCs w:val="0"/>
          <w:sz w:val="32"/>
          <w:szCs w:val="32"/>
          <w:highlight w:val="none"/>
          <w:lang w:val="en-US" w:eastAsia="zh-CN"/>
        </w:rPr>
        <w:t>按照市委、市政府安排部署和省退役军人事务厅工作要求，围绕全年重点工作，统筹推进退役安置、双拥、优抚、褒扬、思想政治建设、军供保障、信访维稳和法治建设等，狠抓落实，确保完成全年目标任务，着力推进退役军人事务工作高质量发展。</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contextualSpacing/>
        <w:jc w:val="both"/>
        <w:textAlignment w:val="auto"/>
        <w:outlineLvl w:val="1"/>
        <w:rPr>
          <w:rFonts w:hint="eastAsia" w:ascii="黑体" w:hAnsi="黑体" w:eastAsia="黑体" w:cs="黑体"/>
          <w:b w:val="0"/>
          <w:bCs w:val="0"/>
          <w:color w:val="000000"/>
          <w:kern w:val="0"/>
          <w:sz w:val="32"/>
          <w:szCs w:val="32"/>
          <w:highlight w:val="none"/>
          <w:shd w:val="clear" w:color="auto" w:fill="FFFFFF"/>
          <w:lang w:val="en-US" w:eastAsia="zh-CN"/>
        </w:rPr>
      </w:pPr>
      <w:bookmarkStart w:id="71" w:name="_Toc8056"/>
      <w:r>
        <w:rPr>
          <w:rFonts w:hint="eastAsia" w:ascii="黑体" w:hAnsi="黑体" w:eastAsia="黑体" w:cs="黑体"/>
          <w:b w:val="0"/>
          <w:bCs w:val="0"/>
          <w:color w:val="000000"/>
          <w:kern w:val="0"/>
          <w:sz w:val="32"/>
          <w:szCs w:val="32"/>
          <w:highlight w:val="none"/>
          <w:shd w:val="clear" w:color="auto" w:fill="FFFFFF"/>
          <w:lang w:val="en-US" w:eastAsia="zh-CN"/>
        </w:rPr>
        <w:t>二、部门资金收支情况</w:t>
      </w:r>
      <w:bookmarkEnd w:id="71"/>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contextualSpacing/>
        <w:jc w:val="both"/>
        <w:textAlignment w:val="auto"/>
        <w:rPr>
          <w:rFonts w:hint="eastAsia" w:ascii="楷体_GB2312" w:hAnsi="楷体_GB2312" w:eastAsia="楷体_GB2312" w:cs="楷体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（一）部门总体收支情况。</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1.部门总体收入情况。2022年收入6530.74万元。其中，一般公共预算财政拨款收入4699.40万元，政府性基金预算财政拨款收入50.00万元，其他收入3.69万元，年初结转结余1777.64万元。</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2.部门总体支出情况。市退役军人事务局2022年支出6342.95万元。</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contextualSpacing/>
        <w:jc w:val="both"/>
        <w:textAlignment w:val="auto"/>
        <w:rPr>
          <w:rFonts w:hint="eastAsia" w:ascii="仿宋_GB2312" w:hAnsi="仿宋_GB2312" w:eastAsia="仿宋_GB2312" w:cs="仿宋_GB2312"/>
          <w:b w:val="0"/>
          <w:bCs w:val="0"/>
          <w:spacing w:val="-6"/>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3.部</w:t>
      </w:r>
      <w:r>
        <w:rPr>
          <w:rFonts w:hint="eastAsia" w:ascii="仿宋_GB2312" w:hAnsi="仿宋_GB2312" w:eastAsia="仿宋_GB2312" w:cs="仿宋_GB2312"/>
          <w:b w:val="0"/>
          <w:bCs w:val="0"/>
          <w:spacing w:val="-6"/>
          <w:sz w:val="32"/>
          <w:szCs w:val="32"/>
          <w:highlight w:val="none"/>
          <w:lang w:val="en-US" w:eastAsia="zh-CN"/>
        </w:rPr>
        <w:t>门总体结转结余情况。2022年部门结转结余187.79万元。</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楷体_GB2312" w:hAnsi="楷体_GB2312" w:eastAsia="楷体_GB2312" w:cs="楷体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（二）部门财政拨款收支情况。</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1.部门财政拨款收入情况。2022年财政拨款收入6384.76万元(财政一般公共预算财政拨款收入6334.65万元，政府性基金预算财政拨款收入50.11万元)。</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2.部门财政拨款支出情况。2022年财政拨款支出6196.96万元，其中基本支出1840.44万元，项目支出4356.52万元。</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3.部门财政拨款结转结余情况。2022年财政拨款结转结余187.79万元。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outlineLvl w:val="1"/>
        <w:rPr>
          <w:rFonts w:hint="eastAsia" w:ascii="黑体" w:hAnsi="黑体" w:eastAsia="黑体" w:cs="黑体"/>
          <w:b w:val="0"/>
          <w:bCs w:val="0"/>
          <w:color w:val="000000"/>
          <w:kern w:val="0"/>
          <w:sz w:val="32"/>
          <w:szCs w:val="32"/>
          <w:highlight w:val="none"/>
          <w:shd w:val="clear" w:color="auto" w:fill="FFFFFF"/>
          <w:lang w:val="en-US" w:eastAsia="zh-CN"/>
        </w:rPr>
      </w:pPr>
      <w:bookmarkStart w:id="72" w:name="_Toc31104"/>
      <w:r>
        <w:rPr>
          <w:rFonts w:hint="eastAsia" w:ascii="黑体" w:hAnsi="黑体" w:eastAsia="黑体" w:cs="黑体"/>
          <w:b w:val="0"/>
          <w:bCs w:val="0"/>
          <w:color w:val="000000"/>
          <w:kern w:val="0"/>
          <w:sz w:val="32"/>
          <w:szCs w:val="32"/>
          <w:highlight w:val="none"/>
          <w:shd w:val="clear" w:color="auto" w:fill="FFFFFF"/>
          <w:lang w:val="en-US" w:eastAsia="zh-CN"/>
        </w:rPr>
        <w:t>三、部门整体绩效分析</w:t>
      </w:r>
      <w:bookmarkEnd w:id="72"/>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楷体_GB2312" w:hAnsi="楷体_GB2312" w:eastAsia="楷体_GB2312" w:cs="楷体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（一）部门预算项目绩效分析。</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1.人员类项目绩效分析。人员类项目主要包括基本工资、津贴补贴、奖金、社会保险缴费、离退休费、住房公积金等方面支出。我局严格按照人员标准、资金支出范围，经审批后通过预算一体化系统国库集中支付按时足额发放。不存在无预算、超预算、擅自扩大开支范围和提高标准支出情况。</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运转类项目绩效分析。运转类项目主要包括办公费、水费、电费、邮电费、差旅费、维修（护）费、公务接待费、劳务费、工会经费、福利费、公务用车运行维护费、其他交通费用等方面支出。我局严格执行“十三条”过紧日子措施，公用经费定额标准，进一步完善经费支出使用办法，“三公”费用下降，提高了财政资金的使用效益。</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3.特定目标类项目绩效分析。特定目标类项目支出编制规范，不存在重复申报项目或虚报项目内容。项目库信息填报规范，全面、准确反映项目的预算安排、资金来源、执行部门等内容。并严格按照单位内控制度的程序要求进行资金审批和支出，使财务日常工作做到有法可依，有章可循。我局合理利用财政资金，保障了各项工作的正常开展。</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楷体_GB2312" w:hAnsi="楷体_GB2312" w:eastAsia="楷体_GB2312" w:cs="楷体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（二）部门整体履职绩效分析。</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1.目标管理。绩效目标编制要素完整，绩效指标细化量化并纳入部门党组(委)会集体决策范围；以项目完成为核心，严格控制项目完成情况与预期绩效目标偏离度。基本支出按人员编制和定额标准，项目支出按照本单位职能职责和根据上级业务主管部门、市委市政府下达的工作目标任务进行编制，做到了资料完整、依据充分；全面实施预算项目绩效管理，规范项目预算编制，严格预算项目审查，完善项目资金测算及立项依据、实施周期、年度预算等绩效目标。严格落实项目支出绩效管理责任，对可量化支出的项目，核定统一支出标准，以基础支撑作为扩大“因素法”编审范围，并按照财政部门批复下达预算绩效目标，明确预算执行主体，确保绩效目标落实。</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动态调整。严格支出控制，在预算执行过程中严格按照预算批复执行，年初制定资金使用计划，强化预算执行的刚性约束，不随意改变财政预算资金使用范围；及时开展部门绩效运行监控，严控预算执行进度和经费支出，无执行过程中调整预算项目等行为，提高资金使用效益。定期对支出指标进行汇总分析，建立起经费管理内部监测机制，对偏离绩效目标、预期无效项目及时提出纠正或调整意见要求。牢固树立“讲绩效、重绩效、用绩效”的绩效管理理念，进一步增强支出责任和效率意识，全面加强预算管理、优化资源配置，提高财政资金使用绩效和科学化精细化管理水平，提升政府执行力和公信力。</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3.完成效率。严格执行预算，执行中不调整项目，年度预算执行收支平衡。所有收支均通过财政大平台实行动态监控，资金管理较规范，财政国库动态监控预警无违规支付行为。</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楷体_GB2312" w:hAnsi="楷体_GB2312" w:eastAsia="楷体_GB2312" w:cs="楷体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（三）结果应用情况。</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1.内部应用。一是按照2021年项目预算执行情况对2022年预算项目的资金规模、支出方向进行调整；二是根据绩效目标审核结果，对绩效目标、项目内容等进行优化调整，深入开展财政支出绩效评价，对人员、公用和项目资金开展绩效自评和专项检查，通过自评发现的问题不断建立健全绩效管理工作机制，明确责任分工，提高了部门绩效管理工作水平；三是通过绩效监控进行政策优化、改进管理、预算调整、结余处理，并将评价结果作为次年政策优化、改进管理、预算调整。</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2.自评信息公开。在政府及部门网站上公布2022年退役军人事务局绩效目标批复表，有效树立“花钱求效”的理念。进一步强化支出责任意识，提高了预算绩效信息的透明度。</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3.整改反馈。严格跟进资金执行进度。根据执行要求，每季度进行汇总数据后，将数据反馈给各项目、单位及用款科室，并督促各科室提高谋划意识，确保资金支付时点。同时通过细化经济科目，保障资金使用的合法合规，并及时向财政部门反馈结果应用情况。</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楷体_GB2312" w:hAnsi="楷体_GB2312" w:eastAsia="楷体_GB2312" w:cs="楷体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（四）自评质量。</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2022年按照年度绩效目标自评工作要求，部门基本达到预期绩效目标，部门整体支出自评程度准确度较高。</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outlineLvl w:val="1"/>
        <w:rPr>
          <w:rFonts w:hint="eastAsia" w:ascii="黑体" w:hAnsi="黑体" w:eastAsia="黑体" w:cs="黑体"/>
          <w:b w:val="0"/>
          <w:bCs w:val="0"/>
          <w:color w:val="000000"/>
          <w:kern w:val="0"/>
          <w:sz w:val="32"/>
          <w:szCs w:val="32"/>
          <w:highlight w:val="none"/>
          <w:shd w:val="clear" w:color="auto" w:fill="FFFFFF"/>
          <w:lang w:val="en-US" w:eastAsia="zh-CN"/>
        </w:rPr>
      </w:pPr>
      <w:bookmarkStart w:id="73" w:name="_Toc9694"/>
      <w:r>
        <w:rPr>
          <w:rFonts w:hint="eastAsia" w:ascii="黑体" w:hAnsi="黑体" w:eastAsia="黑体" w:cs="黑体"/>
          <w:b w:val="0"/>
          <w:bCs w:val="0"/>
          <w:color w:val="000000"/>
          <w:kern w:val="0"/>
          <w:sz w:val="32"/>
          <w:szCs w:val="32"/>
          <w:highlight w:val="none"/>
          <w:shd w:val="clear" w:color="auto" w:fill="FFFFFF"/>
          <w:lang w:val="en-US" w:eastAsia="zh-CN"/>
        </w:rPr>
        <w:t>四、评价结论及建议</w:t>
      </w:r>
      <w:bookmarkEnd w:id="73"/>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（一）评价结论。</w:t>
      </w:r>
      <w:r>
        <w:rPr>
          <w:rFonts w:hint="eastAsia" w:ascii="仿宋_GB2312" w:hAnsi="仿宋_GB2312" w:eastAsia="仿宋_GB2312" w:cs="仿宋_GB2312"/>
          <w:b w:val="0"/>
          <w:bCs w:val="0"/>
          <w:sz w:val="32"/>
          <w:szCs w:val="32"/>
          <w:highlight w:val="none"/>
          <w:lang w:val="en-US" w:eastAsia="zh-CN"/>
        </w:rPr>
        <w:t>对照2022年部门整体预算绩效评价指标体系，对部门整体预算绩效情况进行评价，自评得分97分，其中：部门预算项目绩效管理47分，专项资金预算项目绩效管理30分，绩效结果应用10分，自评质量10分。</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（二）存在问题。</w:t>
      </w:r>
      <w:r>
        <w:rPr>
          <w:rFonts w:hint="eastAsia" w:ascii="仿宋_GB2312" w:hAnsi="仿宋_GB2312" w:eastAsia="仿宋_GB2312" w:cs="仿宋_GB2312"/>
          <w:b w:val="0"/>
          <w:bCs w:val="0"/>
          <w:sz w:val="32"/>
          <w:szCs w:val="32"/>
          <w:highlight w:val="none"/>
          <w:lang w:val="en-US" w:eastAsia="zh-CN"/>
        </w:rPr>
        <w:t>一是</w:t>
      </w:r>
      <w:r>
        <w:rPr>
          <w:rFonts w:hint="eastAsia" w:ascii="仿宋_GB2312" w:hAnsi="仿宋_GB2312" w:eastAsia="仿宋_GB2312" w:cs="仿宋_GB2312"/>
          <w:color w:val="000000"/>
          <w:kern w:val="0"/>
          <w:sz w:val="32"/>
          <w:szCs w:val="32"/>
          <w:shd w:val="clear" w:color="auto" w:fill="FFFFFF"/>
          <w:lang w:val="en-US" w:eastAsia="zh-CN"/>
        </w:rPr>
        <w:t>部分项目没有完成年度预算指标，资金执行率有待加强</w:t>
      </w:r>
      <w:r>
        <w:rPr>
          <w:rFonts w:hint="eastAsia" w:ascii="仿宋_GB2312" w:hAnsi="仿宋_GB2312" w:eastAsia="仿宋_GB2312" w:cs="仿宋_GB2312"/>
          <w:b w:val="0"/>
          <w:bCs w:val="0"/>
          <w:sz w:val="32"/>
          <w:szCs w:val="32"/>
          <w:highlight w:val="none"/>
          <w:lang w:val="en-US" w:eastAsia="zh-CN"/>
        </w:rPr>
        <w:t>。二是绩效评估结果应用范围较小，指导预期绩效目标编制力度不够强。</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contextualSpacing/>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（三）改进措施。</w:t>
      </w:r>
      <w:r>
        <w:rPr>
          <w:rFonts w:hint="eastAsia" w:ascii="仿宋_GB2312" w:hAnsi="仿宋_GB2312" w:eastAsia="仿宋_GB2312" w:cs="仿宋_GB2312"/>
          <w:b w:val="0"/>
          <w:bCs w:val="0"/>
          <w:sz w:val="32"/>
          <w:szCs w:val="32"/>
          <w:highlight w:val="none"/>
          <w:lang w:val="en-US" w:eastAsia="zh-CN"/>
        </w:rPr>
        <w:t>一是进一步加强预算绩效管理工作，科学编制项目资金预算，研究制定更加具体的预算绩效管理工作计划，规范、细化各类专项资金绩效评价，定期做好支出财务分析，及时对预算执行情况进行通报和预警。二是进一步严格执行预算绩效管理，加强项目实施进度的跟踪，开展项目绩效评价，加强对绩效管理工作的跟踪督查，做到绩效管理有依据、有奖惩，实现绩效管理规范化、常态化，确保项目绩效目标的完成。三是进一步加强从事绩效管理工作人员的理论知识水平和业务能力，提升项目资金绩效管理能力和水平。</w:t>
      </w: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zh-CN" w:eastAsia="zh-CN"/>
        </w:rPr>
        <w:t>附表：</w:t>
      </w:r>
      <w:r>
        <w:rPr>
          <w:rFonts w:hint="eastAsia" w:ascii="仿宋_GB2312" w:hAnsi="仿宋_GB2312" w:eastAsia="仿宋_GB2312" w:cs="仿宋_GB2312"/>
          <w:color w:val="auto"/>
          <w:sz w:val="32"/>
          <w:szCs w:val="32"/>
          <w:highlight w:val="none"/>
          <w:lang w:val="en-US" w:eastAsia="zh-CN"/>
        </w:rPr>
        <w:t>部门预算项目支出绩效自评表（2022年度）</w:t>
      </w: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ascii="仿宋_GB2312" w:hAnsi="仿宋_GB2312" w:eastAsia="仿宋_GB2312" w:cs="仿宋_GB2312"/>
          <w:color w:val="auto"/>
          <w:sz w:val="32"/>
          <w:szCs w:val="32"/>
          <w:highlight w:val="none"/>
          <w:lang w:val="en-US" w:eastAsia="zh-CN"/>
        </w:rPr>
        <w:sectPr>
          <w:footerReference r:id="rId9" w:type="first"/>
          <w:headerReference r:id="rId7" w:type="default"/>
          <w:footerReference r:id="rId8" w:type="default"/>
          <w:pgSz w:w="11906" w:h="16838"/>
          <w:pgMar w:top="2098" w:right="1474" w:bottom="1984" w:left="1587" w:header="851" w:footer="1559" w:gutter="0"/>
          <w:pgNumType w:fmt="numberInDash" w:start="1"/>
          <w:cols w:space="0" w:num="1"/>
          <w:titlePg/>
          <w:rtlGutter w:val="0"/>
          <w:docGrid w:type="lines" w:linePitch="312" w:charSpace="0"/>
        </w:sect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ascii="仿宋_GB2312" w:hAnsi="仿宋_GB2312" w:eastAsia="仿宋_GB2312" w:cs="仿宋_GB2312"/>
          <w:color w:val="auto"/>
          <w:sz w:val="32"/>
          <w:szCs w:val="32"/>
          <w:highlight w:val="none"/>
          <w:lang w:val="en-US" w:eastAsia="zh-CN"/>
        </w:rPr>
      </w:pPr>
      <w:r>
        <w:drawing>
          <wp:anchor distT="0" distB="0" distL="114300" distR="114300" simplePos="0" relativeHeight="251666432" behindDoc="1" locked="0" layoutInCell="1" allowOverlap="1">
            <wp:simplePos x="0" y="0"/>
            <wp:positionH relativeFrom="column">
              <wp:posOffset>57150</wp:posOffset>
            </wp:positionH>
            <wp:positionV relativeFrom="paragraph">
              <wp:posOffset>341630</wp:posOffset>
            </wp:positionV>
            <wp:extent cx="9240520" cy="5544185"/>
            <wp:effectExtent l="0" t="0" r="17780" b="18415"/>
            <wp:wrapNone/>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18"/>
                    <a:stretch>
                      <a:fillRect/>
                    </a:stretch>
                  </pic:blipFill>
                  <pic:spPr>
                    <a:xfrm>
                      <a:off x="0" y="0"/>
                      <a:ext cx="9240520" cy="5544185"/>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ascii="仿宋_GB2312" w:hAnsi="仿宋_GB2312" w:eastAsia="仿宋_GB2312" w:cs="仿宋_GB2312"/>
          <w:color w:val="auto"/>
          <w:sz w:val="32"/>
          <w:szCs w:val="32"/>
          <w:highlight w:val="none"/>
          <w:lang w:val="en-US" w:eastAsia="zh-CN"/>
        </w:rPr>
      </w:pP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6432" behindDoc="0" locked="0" layoutInCell="1" allowOverlap="1">
            <wp:simplePos x="0" y="0"/>
            <wp:positionH relativeFrom="column">
              <wp:posOffset>19050</wp:posOffset>
            </wp:positionH>
            <wp:positionV relativeFrom="paragraph">
              <wp:posOffset>241935</wp:posOffset>
            </wp:positionV>
            <wp:extent cx="9243695" cy="5749925"/>
            <wp:effectExtent l="0" t="0" r="14605" b="3175"/>
            <wp:wrapSquare wrapText="bothSides"/>
            <wp:docPr id="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true"/>
                    </pic:cNvPicPr>
                  </pic:nvPicPr>
                  <pic:blipFill>
                    <a:blip r:embed="rId19"/>
                    <a:stretch>
                      <a:fillRect/>
                    </a:stretch>
                  </pic:blipFill>
                  <pic:spPr>
                    <a:xfrm>
                      <a:off x="0" y="0"/>
                      <a:ext cx="9243695" cy="5749925"/>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7456" behindDoc="1" locked="0" layoutInCell="1" allowOverlap="1">
            <wp:simplePos x="0" y="0"/>
            <wp:positionH relativeFrom="column">
              <wp:posOffset>-28575</wp:posOffset>
            </wp:positionH>
            <wp:positionV relativeFrom="paragraph">
              <wp:posOffset>-10795</wp:posOffset>
            </wp:positionV>
            <wp:extent cx="9249410" cy="6009005"/>
            <wp:effectExtent l="0" t="0" r="8890" b="10795"/>
            <wp:wrapNone/>
            <wp:docPr id="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true"/>
                    </pic:cNvPicPr>
                  </pic:nvPicPr>
                  <pic:blipFill>
                    <a:blip r:embed="rId20"/>
                    <a:stretch>
                      <a:fillRect/>
                    </a:stretch>
                  </pic:blipFill>
                  <pic:spPr>
                    <a:xfrm>
                      <a:off x="0" y="0"/>
                      <a:ext cx="9249410" cy="6009005"/>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7456" behindDoc="1" locked="0" layoutInCell="1" allowOverlap="1">
            <wp:simplePos x="0" y="0"/>
            <wp:positionH relativeFrom="column">
              <wp:posOffset>114300</wp:posOffset>
            </wp:positionH>
            <wp:positionV relativeFrom="paragraph">
              <wp:posOffset>-20320</wp:posOffset>
            </wp:positionV>
            <wp:extent cx="9044305" cy="6005830"/>
            <wp:effectExtent l="0" t="0" r="4445" b="13970"/>
            <wp:wrapNone/>
            <wp:docPr id="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true"/>
                    </pic:cNvPicPr>
                  </pic:nvPicPr>
                  <pic:blipFill>
                    <a:blip r:embed="rId21"/>
                    <a:stretch>
                      <a:fillRect/>
                    </a:stretch>
                  </pic:blipFill>
                  <pic:spPr>
                    <a:xfrm>
                      <a:off x="0" y="0"/>
                      <a:ext cx="9044305" cy="6005830"/>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7456" behindDoc="1" locked="0" layoutInCell="1" allowOverlap="1">
            <wp:simplePos x="0" y="0"/>
            <wp:positionH relativeFrom="column">
              <wp:posOffset>-66675</wp:posOffset>
            </wp:positionH>
            <wp:positionV relativeFrom="paragraph">
              <wp:posOffset>-45720</wp:posOffset>
            </wp:positionV>
            <wp:extent cx="9248775" cy="5945505"/>
            <wp:effectExtent l="0" t="0" r="9525" b="17145"/>
            <wp:wrapNone/>
            <wp:docPr id="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true"/>
                    </pic:cNvPicPr>
                  </pic:nvPicPr>
                  <pic:blipFill>
                    <a:blip r:embed="rId22"/>
                    <a:stretch>
                      <a:fillRect/>
                    </a:stretch>
                  </pic:blipFill>
                  <pic:spPr>
                    <a:xfrm>
                      <a:off x="0" y="0"/>
                      <a:ext cx="9248775" cy="5945505"/>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7456" behindDoc="0" locked="0" layoutInCell="1" allowOverlap="1">
            <wp:simplePos x="0" y="0"/>
            <wp:positionH relativeFrom="column">
              <wp:posOffset>9525</wp:posOffset>
            </wp:positionH>
            <wp:positionV relativeFrom="paragraph">
              <wp:posOffset>403860</wp:posOffset>
            </wp:positionV>
            <wp:extent cx="9248140" cy="5158105"/>
            <wp:effectExtent l="0" t="0" r="10160" b="4445"/>
            <wp:wrapSquare wrapText="bothSides"/>
            <wp:docPr id="10"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true"/>
                    </pic:cNvPicPr>
                  </pic:nvPicPr>
                  <pic:blipFill>
                    <a:blip r:embed="rId23"/>
                    <a:stretch>
                      <a:fillRect/>
                    </a:stretch>
                  </pic:blipFill>
                  <pic:spPr>
                    <a:xfrm>
                      <a:off x="0" y="0"/>
                      <a:ext cx="9248140" cy="5158105"/>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8480" behindDoc="1" locked="0" layoutInCell="1" allowOverlap="1">
            <wp:simplePos x="0" y="0"/>
            <wp:positionH relativeFrom="column">
              <wp:posOffset>-19050</wp:posOffset>
            </wp:positionH>
            <wp:positionV relativeFrom="paragraph">
              <wp:posOffset>65405</wp:posOffset>
            </wp:positionV>
            <wp:extent cx="9243695" cy="5867400"/>
            <wp:effectExtent l="0" t="0" r="14605" b="0"/>
            <wp:wrapNone/>
            <wp:docPr id="12"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true"/>
                    </pic:cNvPicPr>
                  </pic:nvPicPr>
                  <pic:blipFill>
                    <a:blip r:embed="rId24"/>
                    <a:stretch>
                      <a:fillRect/>
                    </a:stretch>
                  </pic:blipFill>
                  <pic:spPr>
                    <a:xfrm>
                      <a:off x="0" y="0"/>
                      <a:ext cx="9243695" cy="5867400"/>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70528" behindDoc="1" locked="0" layoutInCell="1" allowOverlap="1">
            <wp:simplePos x="0" y="0"/>
            <wp:positionH relativeFrom="column">
              <wp:posOffset>209550</wp:posOffset>
            </wp:positionH>
            <wp:positionV relativeFrom="paragraph">
              <wp:posOffset>-39370</wp:posOffset>
            </wp:positionV>
            <wp:extent cx="8995410" cy="6016625"/>
            <wp:effectExtent l="0" t="0" r="15240" b="3175"/>
            <wp:wrapNone/>
            <wp:docPr id="1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true"/>
                    </pic:cNvPicPr>
                  </pic:nvPicPr>
                  <pic:blipFill>
                    <a:blip r:embed="rId25"/>
                    <a:stretch>
                      <a:fillRect/>
                    </a:stretch>
                  </pic:blipFill>
                  <pic:spPr>
                    <a:xfrm>
                      <a:off x="0" y="0"/>
                      <a:ext cx="8995410" cy="6016625"/>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9504" behindDoc="1" locked="0" layoutInCell="1" allowOverlap="1">
            <wp:simplePos x="0" y="0"/>
            <wp:positionH relativeFrom="column">
              <wp:posOffset>-38100</wp:posOffset>
            </wp:positionH>
            <wp:positionV relativeFrom="paragraph">
              <wp:posOffset>322580</wp:posOffset>
            </wp:positionV>
            <wp:extent cx="9243695" cy="5222240"/>
            <wp:effectExtent l="0" t="0" r="14605" b="16510"/>
            <wp:wrapNone/>
            <wp:docPr id="17"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true"/>
                    </pic:cNvPicPr>
                  </pic:nvPicPr>
                  <pic:blipFill>
                    <a:blip r:embed="rId26"/>
                    <a:stretch>
                      <a:fillRect/>
                    </a:stretch>
                  </pic:blipFill>
                  <pic:spPr>
                    <a:xfrm>
                      <a:off x="0" y="0"/>
                      <a:ext cx="9243695" cy="5222240"/>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9504" behindDoc="1" locked="0" layoutInCell="1" allowOverlap="1">
            <wp:simplePos x="0" y="0"/>
            <wp:positionH relativeFrom="column">
              <wp:posOffset>-9525</wp:posOffset>
            </wp:positionH>
            <wp:positionV relativeFrom="paragraph">
              <wp:posOffset>309880</wp:posOffset>
            </wp:positionV>
            <wp:extent cx="9241790" cy="5312410"/>
            <wp:effectExtent l="0" t="0" r="16510" b="2540"/>
            <wp:wrapNone/>
            <wp:docPr id="18"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true"/>
                    </pic:cNvPicPr>
                  </pic:nvPicPr>
                  <pic:blipFill>
                    <a:blip r:embed="rId27"/>
                    <a:stretch>
                      <a:fillRect/>
                    </a:stretch>
                  </pic:blipFill>
                  <pic:spPr>
                    <a:xfrm>
                      <a:off x="0" y="0"/>
                      <a:ext cx="9241790" cy="5312410"/>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9504" behindDoc="1" locked="0" layoutInCell="1" allowOverlap="1">
            <wp:simplePos x="0" y="0"/>
            <wp:positionH relativeFrom="column">
              <wp:posOffset>57150</wp:posOffset>
            </wp:positionH>
            <wp:positionV relativeFrom="paragraph">
              <wp:posOffset>398780</wp:posOffset>
            </wp:positionV>
            <wp:extent cx="9244965" cy="5107940"/>
            <wp:effectExtent l="0" t="0" r="13335" b="16510"/>
            <wp:wrapNone/>
            <wp:docPr id="19"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true"/>
                    </pic:cNvPicPr>
                  </pic:nvPicPr>
                  <pic:blipFill>
                    <a:blip r:embed="rId28"/>
                    <a:stretch>
                      <a:fillRect/>
                    </a:stretch>
                  </pic:blipFill>
                  <pic:spPr>
                    <a:xfrm>
                      <a:off x="0" y="0"/>
                      <a:ext cx="9244965" cy="5107940"/>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9504" behindDoc="1" locked="0" layoutInCell="1" allowOverlap="1">
            <wp:simplePos x="0" y="0"/>
            <wp:positionH relativeFrom="column">
              <wp:posOffset>76200</wp:posOffset>
            </wp:positionH>
            <wp:positionV relativeFrom="paragraph">
              <wp:posOffset>43180</wp:posOffset>
            </wp:positionV>
            <wp:extent cx="9242425" cy="4954270"/>
            <wp:effectExtent l="0" t="0" r="15875" b="17780"/>
            <wp:wrapNone/>
            <wp:docPr id="20"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true"/>
                    </pic:cNvPicPr>
                  </pic:nvPicPr>
                  <pic:blipFill>
                    <a:blip r:embed="rId29"/>
                    <a:stretch>
                      <a:fillRect/>
                    </a:stretch>
                  </pic:blipFill>
                  <pic:spPr>
                    <a:xfrm>
                      <a:off x="0" y="0"/>
                      <a:ext cx="9242425" cy="4954270"/>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9504" behindDoc="1" locked="0" layoutInCell="1" allowOverlap="1">
            <wp:simplePos x="0" y="0"/>
            <wp:positionH relativeFrom="column">
              <wp:posOffset>-28575</wp:posOffset>
            </wp:positionH>
            <wp:positionV relativeFrom="paragraph">
              <wp:posOffset>408305</wp:posOffset>
            </wp:positionV>
            <wp:extent cx="9241790" cy="5075555"/>
            <wp:effectExtent l="0" t="0" r="16510" b="10795"/>
            <wp:wrapNone/>
            <wp:docPr id="21"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true"/>
                    </pic:cNvPicPr>
                  </pic:nvPicPr>
                  <pic:blipFill>
                    <a:blip r:embed="rId30"/>
                    <a:stretch>
                      <a:fillRect/>
                    </a:stretch>
                  </pic:blipFill>
                  <pic:spPr>
                    <a:xfrm>
                      <a:off x="0" y="0"/>
                      <a:ext cx="9241790" cy="5075555"/>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9504" behindDoc="1" locked="0" layoutInCell="1" allowOverlap="1">
            <wp:simplePos x="0" y="0"/>
            <wp:positionH relativeFrom="column">
              <wp:posOffset>9525</wp:posOffset>
            </wp:positionH>
            <wp:positionV relativeFrom="paragraph">
              <wp:posOffset>351155</wp:posOffset>
            </wp:positionV>
            <wp:extent cx="9244965" cy="5356225"/>
            <wp:effectExtent l="0" t="0" r="13335" b="15875"/>
            <wp:wrapNone/>
            <wp:docPr id="22"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true"/>
                    </pic:cNvPicPr>
                  </pic:nvPicPr>
                  <pic:blipFill>
                    <a:blip r:embed="rId31"/>
                    <a:stretch>
                      <a:fillRect/>
                    </a:stretch>
                  </pic:blipFill>
                  <pic:spPr>
                    <a:xfrm>
                      <a:off x="0" y="0"/>
                      <a:ext cx="9244965" cy="5356225"/>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9504" behindDoc="1" locked="0" layoutInCell="1" allowOverlap="1">
            <wp:simplePos x="0" y="0"/>
            <wp:positionH relativeFrom="column">
              <wp:posOffset>-66675</wp:posOffset>
            </wp:positionH>
            <wp:positionV relativeFrom="paragraph">
              <wp:posOffset>308610</wp:posOffset>
            </wp:positionV>
            <wp:extent cx="9244965" cy="5194935"/>
            <wp:effectExtent l="0" t="0" r="13335" b="5715"/>
            <wp:wrapTight wrapText="bothSides">
              <wp:wrapPolygon>
                <wp:start x="0" y="0"/>
                <wp:lineTo x="0" y="21545"/>
                <wp:lineTo x="21542" y="21545"/>
                <wp:lineTo x="21542" y="0"/>
                <wp:lineTo x="0" y="0"/>
              </wp:wrapPolygon>
            </wp:wrapTight>
            <wp:docPr id="23"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true"/>
                    </pic:cNvPicPr>
                  </pic:nvPicPr>
                  <pic:blipFill>
                    <a:blip r:embed="rId32"/>
                    <a:stretch>
                      <a:fillRect/>
                    </a:stretch>
                  </pic:blipFill>
                  <pic:spPr>
                    <a:xfrm>
                      <a:off x="0" y="0"/>
                      <a:ext cx="9244965" cy="5194935"/>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70528" behindDoc="1" locked="0" layoutInCell="1" allowOverlap="1">
            <wp:simplePos x="0" y="0"/>
            <wp:positionH relativeFrom="column">
              <wp:posOffset>-57150</wp:posOffset>
            </wp:positionH>
            <wp:positionV relativeFrom="paragraph">
              <wp:posOffset>46355</wp:posOffset>
            </wp:positionV>
            <wp:extent cx="9243695" cy="5746115"/>
            <wp:effectExtent l="0" t="0" r="14605" b="6985"/>
            <wp:wrapNone/>
            <wp:docPr id="24"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true"/>
                    </pic:cNvPicPr>
                  </pic:nvPicPr>
                  <pic:blipFill>
                    <a:blip r:embed="rId33"/>
                    <a:stretch>
                      <a:fillRect/>
                    </a:stretch>
                  </pic:blipFill>
                  <pic:spPr>
                    <a:xfrm>
                      <a:off x="0" y="0"/>
                      <a:ext cx="9243695" cy="5746115"/>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70528" behindDoc="1" locked="0" layoutInCell="1" allowOverlap="1">
            <wp:simplePos x="0" y="0"/>
            <wp:positionH relativeFrom="column">
              <wp:posOffset>-57150</wp:posOffset>
            </wp:positionH>
            <wp:positionV relativeFrom="paragraph">
              <wp:posOffset>141605</wp:posOffset>
            </wp:positionV>
            <wp:extent cx="9251315" cy="5549265"/>
            <wp:effectExtent l="0" t="0" r="6985" b="13335"/>
            <wp:wrapNone/>
            <wp:docPr id="25"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true"/>
                    </pic:cNvPicPr>
                  </pic:nvPicPr>
                  <pic:blipFill>
                    <a:blip r:embed="rId34"/>
                    <a:stretch>
                      <a:fillRect/>
                    </a:stretch>
                  </pic:blipFill>
                  <pic:spPr>
                    <a:xfrm>
                      <a:off x="0" y="0"/>
                      <a:ext cx="9251315" cy="5549265"/>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70528" behindDoc="1" locked="0" layoutInCell="1" allowOverlap="1">
            <wp:simplePos x="0" y="0"/>
            <wp:positionH relativeFrom="column">
              <wp:posOffset>-76200</wp:posOffset>
            </wp:positionH>
            <wp:positionV relativeFrom="paragraph">
              <wp:posOffset>8255</wp:posOffset>
            </wp:positionV>
            <wp:extent cx="9243060" cy="5875020"/>
            <wp:effectExtent l="0" t="0" r="15240" b="11430"/>
            <wp:wrapNone/>
            <wp:docPr id="26"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true"/>
                    </pic:cNvPicPr>
                  </pic:nvPicPr>
                  <pic:blipFill>
                    <a:blip r:embed="rId35"/>
                    <a:stretch>
                      <a:fillRect/>
                    </a:stretch>
                  </pic:blipFill>
                  <pic:spPr>
                    <a:xfrm>
                      <a:off x="0" y="0"/>
                      <a:ext cx="9243060" cy="5875020"/>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70528" behindDoc="1" locked="0" layoutInCell="1" allowOverlap="1">
            <wp:simplePos x="0" y="0"/>
            <wp:positionH relativeFrom="column">
              <wp:posOffset>-47625</wp:posOffset>
            </wp:positionH>
            <wp:positionV relativeFrom="paragraph">
              <wp:posOffset>246380</wp:posOffset>
            </wp:positionV>
            <wp:extent cx="9244965" cy="5709920"/>
            <wp:effectExtent l="0" t="0" r="13335" b="5080"/>
            <wp:wrapNone/>
            <wp:docPr id="27"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true"/>
                    </pic:cNvPicPr>
                  </pic:nvPicPr>
                  <pic:blipFill>
                    <a:blip r:embed="rId36"/>
                    <a:stretch>
                      <a:fillRect/>
                    </a:stretch>
                  </pic:blipFill>
                  <pic:spPr>
                    <a:xfrm>
                      <a:off x="0" y="0"/>
                      <a:ext cx="9244965" cy="5709920"/>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2336" behindDoc="0" locked="0" layoutInCell="1" allowOverlap="1">
            <wp:simplePos x="0" y="0"/>
            <wp:positionH relativeFrom="column">
              <wp:posOffset>-38100</wp:posOffset>
            </wp:positionH>
            <wp:positionV relativeFrom="paragraph">
              <wp:posOffset>51435</wp:posOffset>
            </wp:positionV>
            <wp:extent cx="9244965" cy="5950585"/>
            <wp:effectExtent l="0" t="0" r="13335" b="12065"/>
            <wp:wrapSquare wrapText="bothSides"/>
            <wp:docPr id="30"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true"/>
                    </pic:cNvPicPr>
                  </pic:nvPicPr>
                  <pic:blipFill>
                    <a:blip r:embed="rId37"/>
                    <a:stretch>
                      <a:fillRect/>
                    </a:stretch>
                  </pic:blipFill>
                  <pic:spPr>
                    <a:xfrm>
                      <a:off x="0" y="0"/>
                      <a:ext cx="9244965" cy="5950585"/>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3360" behindDoc="0" locked="0" layoutInCell="1" allowOverlap="1">
            <wp:simplePos x="0" y="0"/>
            <wp:positionH relativeFrom="column">
              <wp:posOffset>-28575</wp:posOffset>
            </wp:positionH>
            <wp:positionV relativeFrom="paragraph">
              <wp:posOffset>194310</wp:posOffset>
            </wp:positionV>
            <wp:extent cx="9246870" cy="5735955"/>
            <wp:effectExtent l="0" t="0" r="11430" b="17145"/>
            <wp:wrapSquare wrapText="bothSides"/>
            <wp:docPr id="31"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true"/>
                    </pic:cNvPicPr>
                  </pic:nvPicPr>
                  <pic:blipFill>
                    <a:blip r:embed="rId38"/>
                    <a:stretch>
                      <a:fillRect/>
                    </a:stretch>
                  </pic:blipFill>
                  <pic:spPr>
                    <a:xfrm>
                      <a:off x="0" y="0"/>
                      <a:ext cx="9246870" cy="5735955"/>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4384" behindDoc="0" locked="0" layoutInCell="1" allowOverlap="1">
            <wp:simplePos x="0" y="0"/>
            <wp:positionH relativeFrom="column">
              <wp:posOffset>-66675</wp:posOffset>
            </wp:positionH>
            <wp:positionV relativeFrom="paragraph">
              <wp:posOffset>308610</wp:posOffset>
            </wp:positionV>
            <wp:extent cx="9242425" cy="5379085"/>
            <wp:effectExtent l="0" t="0" r="15875" b="12065"/>
            <wp:wrapSquare wrapText="bothSides"/>
            <wp:docPr id="32"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true"/>
                    </pic:cNvPicPr>
                  </pic:nvPicPr>
                  <pic:blipFill>
                    <a:blip r:embed="rId39"/>
                    <a:stretch>
                      <a:fillRect/>
                    </a:stretch>
                  </pic:blipFill>
                  <pic:spPr>
                    <a:xfrm>
                      <a:off x="0" y="0"/>
                      <a:ext cx="9242425" cy="5379085"/>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65408" behindDoc="0" locked="0" layoutInCell="1" allowOverlap="1">
            <wp:simplePos x="0" y="0"/>
            <wp:positionH relativeFrom="column">
              <wp:posOffset>66675</wp:posOffset>
            </wp:positionH>
            <wp:positionV relativeFrom="paragraph">
              <wp:posOffset>213360</wp:posOffset>
            </wp:positionV>
            <wp:extent cx="9241155" cy="5485765"/>
            <wp:effectExtent l="0" t="0" r="17145" b="635"/>
            <wp:wrapSquare wrapText="bothSides"/>
            <wp:docPr id="33"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true"/>
                    </pic:cNvPicPr>
                  </pic:nvPicPr>
                  <pic:blipFill>
                    <a:blip r:embed="rId40"/>
                    <a:stretch>
                      <a:fillRect/>
                    </a:stretch>
                  </pic:blipFill>
                  <pic:spPr>
                    <a:xfrm>
                      <a:off x="0" y="0"/>
                      <a:ext cx="9241155" cy="5485765"/>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70528" behindDoc="1" locked="0" layoutInCell="1" allowOverlap="1">
            <wp:simplePos x="0" y="0"/>
            <wp:positionH relativeFrom="column">
              <wp:posOffset>19050</wp:posOffset>
            </wp:positionH>
            <wp:positionV relativeFrom="paragraph">
              <wp:posOffset>119380</wp:posOffset>
            </wp:positionV>
            <wp:extent cx="9250680" cy="4832350"/>
            <wp:effectExtent l="0" t="0" r="7620" b="6350"/>
            <wp:wrapNone/>
            <wp:docPr id="28"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true"/>
                    </pic:cNvPicPr>
                  </pic:nvPicPr>
                  <pic:blipFill>
                    <a:blip r:embed="rId41"/>
                    <a:stretch>
                      <a:fillRect/>
                    </a:stretch>
                  </pic:blipFill>
                  <pic:spPr>
                    <a:xfrm>
                      <a:off x="0" y="0"/>
                      <a:ext cx="9250680" cy="4832350"/>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70528" behindDoc="1" locked="0" layoutInCell="1" allowOverlap="1">
            <wp:simplePos x="0" y="0"/>
            <wp:positionH relativeFrom="column">
              <wp:posOffset>-66675</wp:posOffset>
            </wp:positionH>
            <wp:positionV relativeFrom="paragraph">
              <wp:posOffset>313055</wp:posOffset>
            </wp:positionV>
            <wp:extent cx="9250680" cy="5110480"/>
            <wp:effectExtent l="0" t="0" r="7620" b="13970"/>
            <wp:wrapNone/>
            <wp:docPr id="29"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true"/>
                    </pic:cNvPicPr>
                  </pic:nvPicPr>
                  <pic:blipFill>
                    <a:blip r:embed="rId42"/>
                    <a:stretch>
                      <a:fillRect/>
                    </a:stretch>
                  </pic:blipFill>
                  <pic:spPr>
                    <a:xfrm>
                      <a:off x="0" y="0"/>
                      <a:ext cx="9250680" cy="5110480"/>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70528" behindDoc="1" locked="0" layoutInCell="1" allowOverlap="1">
            <wp:simplePos x="0" y="0"/>
            <wp:positionH relativeFrom="column">
              <wp:posOffset>9525</wp:posOffset>
            </wp:positionH>
            <wp:positionV relativeFrom="paragraph">
              <wp:posOffset>151130</wp:posOffset>
            </wp:positionV>
            <wp:extent cx="9240520" cy="5563870"/>
            <wp:effectExtent l="0" t="0" r="17780" b="17780"/>
            <wp:wrapNone/>
            <wp:docPr id="34"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true"/>
                    </pic:cNvPicPr>
                  </pic:nvPicPr>
                  <pic:blipFill>
                    <a:blip r:embed="rId43"/>
                    <a:stretch>
                      <a:fillRect/>
                    </a:stretch>
                  </pic:blipFill>
                  <pic:spPr>
                    <a:xfrm>
                      <a:off x="0" y="0"/>
                      <a:ext cx="9240520" cy="5563870"/>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r>
        <w:drawing>
          <wp:anchor distT="0" distB="0" distL="114300" distR="114300" simplePos="0" relativeHeight="251670528" behindDoc="1" locked="0" layoutInCell="1" allowOverlap="1">
            <wp:simplePos x="0" y="0"/>
            <wp:positionH relativeFrom="column">
              <wp:posOffset>-47625</wp:posOffset>
            </wp:positionH>
            <wp:positionV relativeFrom="paragraph">
              <wp:posOffset>167005</wp:posOffset>
            </wp:positionV>
            <wp:extent cx="9246870" cy="4845685"/>
            <wp:effectExtent l="0" t="0" r="11430" b="12065"/>
            <wp:wrapNone/>
            <wp:docPr id="35"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true"/>
                    </pic:cNvPicPr>
                  </pic:nvPicPr>
                  <pic:blipFill>
                    <a:blip r:embed="rId44"/>
                    <a:stretch>
                      <a:fillRect/>
                    </a:stretch>
                  </pic:blipFill>
                  <pic:spPr>
                    <a:xfrm>
                      <a:off x="0" y="0"/>
                      <a:ext cx="9246870" cy="4845685"/>
                    </a:xfrm>
                    <a:prstGeom prst="rect">
                      <a:avLst/>
                    </a:prstGeom>
                    <a:noFill/>
                    <a:ln>
                      <a:noFill/>
                    </a:ln>
                  </pic:spPr>
                </pic:pic>
              </a:graphicData>
            </a:graphic>
          </wp:anchor>
        </w:drawing>
      </w: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pPr>
        <w:pStyle w:val="14"/>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sectPr>
          <w:pgSz w:w="16838" w:h="11906" w:orient="landscape"/>
          <w:pgMar w:top="1134" w:right="1134" w:bottom="1134" w:left="1134" w:header="851" w:footer="850" w:gutter="0"/>
          <w:pgNumType w:fmt="numberInDash"/>
          <w:cols w:space="0" w:num="1"/>
          <w:titlePg/>
          <w:rtlGutter w:val="0"/>
          <w:docGrid w:type="lines" w:linePitch="312" w:charSpace="0"/>
        </w:sectPr>
      </w:pPr>
    </w:p>
    <w:p>
      <w:pPr>
        <w:pStyle w:val="36"/>
        <w:keepNext w:val="0"/>
        <w:keepLines w:val="0"/>
        <w:pageBreakBefore w:val="0"/>
        <w:widowControl w:val="0"/>
        <w:kinsoku/>
        <w:wordWrap/>
        <w:overflowPunct/>
        <w:topLinePunct w:val="0"/>
        <w:autoSpaceDE/>
        <w:autoSpaceDN/>
        <w:bidi w:val="0"/>
        <w:spacing w:line="578" w:lineRule="exact"/>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2730" w:leftChars="0"/>
        <w:jc w:val="both"/>
        <w:textAlignment w:val="auto"/>
        <w:outlineLvl w:val="0"/>
        <w:rPr>
          <w:rStyle w:val="19"/>
          <w:rFonts w:hint="eastAsia" w:ascii="黑体" w:hAnsi="黑体" w:eastAsia="黑体"/>
          <w:b w:val="0"/>
          <w:color w:val="auto"/>
          <w:highlight w:val="none"/>
        </w:rPr>
      </w:pPr>
      <w:bookmarkStart w:id="74" w:name="_Toc16789"/>
      <w:bookmarkStart w:id="75" w:name="_Toc15396618"/>
      <w:r>
        <w:rPr>
          <w:rStyle w:val="19"/>
          <w:rFonts w:hint="eastAsia" w:ascii="黑体" w:hAnsi="黑体" w:eastAsia="黑体"/>
          <w:b w:val="0"/>
          <w:color w:val="auto"/>
          <w:highlight w:val="none"/>
          <w:lang w:eastAsia="zh-CN"/>
        </w:rPr>
        <w:t>第五部分</w:t>
      </w:r>
      <w:r>
        <w:rPr>
          <w:rStyle w:val="19"/>
          <w:rFonts w:hint="eastAsia" w:ascii="黑体" w:hAnsi="黑体" w:eastAsia="黑体"/>
          <w:b w:val="0"/>
          <w:color w:val="auto"/>
          <w:highlight w:val="none"/>
        </w:rPr>
        <w:t>附表</w:t>
      </w:r>
      <w:bookmarkEnd w:id="67"/>
      <w:bookmarkEnd w:id="74"/>
      <w:bookmarkEnd w:id="75"/>
      <w:bookmarkStart w:id="76" w:name="_Toc15396619"/>
    </w:p>
    <w:p>
      <w:pPr>
        <w:pStyle w:val="5"/>
        <w:keepNext/>
        <w:keepLines/>
        <w:pageBreakBefore w:val="0"/>
        <w:widowControl w:val="0"/>
        <w:kinsoku/>
        <w:wordWrap/>
        <w:overflowPunct/>
        <w:topLinePunct w:val="0"/>
        <w:autoSpaceDE/>
        <w:autoSpaceDN/>
        <w:bidi w:val="0"/>
        <w:adjustRightInd/>
        <w:snapToGrid/>
        <w:spacing w:before="0" w:after="0" w:line="600" w:lineRule="exact"/>
        <w:ind w:firstLine="640" w:firstLineChars="200"/>
        <w:textAlignment w:val="auto"/>
        <w:outlineLvl w:val="9"/>
        <w:rPr>
          <w:rFonts w:hint="eastAsia" w:ascii="仿宋" w:hAnsi="仿宋" w:eastAsia="仿宋"/>
          <w:b w:val="0"/>
          <w:color w:val="auto"/>
          <w:highlight w:val="none"/>
        </w:rPr>
      </w:pPr>
    </w:p>
    <w:p>
      <w:pPr>
        <w:pStyle w:val="5"/>
        <w:keepNext/>
        <w:keepLines/>
        <w:pageBreakBefore w:val="0"/>
        <w:widowControl w:val="0"/>
        <w:kinsoku/>
        <w:wordWrap/>
        <w:overflowPunct/>
        <w:topLinePunct w:val="0"/>
        <w:autoSpaceDE/>
        <w:autoSpaceDN/>
        <w:bidi w:val="0"/>
        <w:adjustRightInd/>
        <w:snapToGrid/>
        <w:spacing w:before="0" w:after="0" w:line="700" w:lineRule="exact"/>
        <w:ind w:firstLine="640" w:firstLineChars="200"/>
        <w:textAlignment w:val="auto"/>
        <w:rPr>
          <w:rFonts w:ascii="仿宋" w:hAnsi="仿宋" w:eastAsia="仿宋"/>
          <w:color w:val="auto"/>
          <w:highlight w:val="none"/>
        </w:rPr>
      </w:pPr>
      <w:bookmarkStart w:id="77" w:name="_Toc6853"/>
      <w:r>
        <w:rPr>
          <w:rFonts w:hint="eastAsia" w:ascii="仿宋" w:hAnsi="仿宋" w:eastAsia="仿宋"/>
          <w:b w:val="0"/>
          <w:color w:val="auto"/>
          <w:highlight w:val="none"/>
        </w:rPr>
        <w:t>一、收</w:t>
      </w:r>
      <w:r>
        <w:rPr>
          <w:rStyle w:val="20"/>
          <w:rFonts w:hint="eastAsia" w:ascii="仿宋" w:hAnsi="仿宋" w:eastAsia="仿宋"/>
          <w:b w:val="0"/>
          <w:bCs w:val="0"/>
          <w:color w:val="auto"/>
          <w:highlight w:val="none"/>
        </w:rPr>
        <w:t>入支出决算总表</w:t>
      </w:r>
      <w:bookmarkEnd w:id="76"/>
      <w:bookmarkEnd w:id="77"/>
    </w:p>
    <w:p>
      <w:pPr>
        <w:pStyle w:val="5"/>
        <w:keepNext/>
        <w:keepLines/>
        <w:pageBreakBefore w:val="0"/>
        <w:widowControl w:val="0"/>
        <w:kinsoku/>
        <w:wordWrap/>
        <w:overflowPunct/>
        <w:topLinePunct w:val="0"/>
        <w:autoSpaceDE/>
        <w:autoSpaceDN/>
        <w:bidi w:val="0"/>
        <w:adjustRightInd/>
        <w:snapToGrid/>
        <w:spacing w:before="0" w:after="0" w:line="700" w:lineRule="exact"/>
        <w:ind w:firstLine="640" w:firstLineChars="200"/>
        <w:textAlignment w:val="auto"/>
        <w:rPr>
          <w:rFonts w:ascii="仿宋" w:hAnsi="仿宋" w:eastAsia="仿宋"/>
          <w:color w:val="auto"/>
          <w:highlight w:val="none"/>
        </w:rPr>
      </w:pPr>
      <w:bookmarkStart w:id="78" w:name="_Toc15396620"/>
      <w:bookmarkStart w:id="79" w:name="_Toc25021"/>
      <w:r>
        <w:rPr>
          <w:rFonts w:hint="eastAsia" w:ascii="仿宋" w:hAnsi="仿宋" w:eastAsia="仿宋"/>
          <w:b w:val="0"/>
          <w:color w:val="auto"/>
          <w:highlight w:val="none"/>
        </w:rPr>
        <w:t>二、收</w:t>
      </w:r>
      <w:r>
        <w:rPr>
          <w:rStyle w:val="20"/>
          <w:rFonts w:hint="eastAsia" w:ascii="仿宋" w:hAnsi="仿宋" w:eastAsia="仿宋"/>
          <w:b w:val="0"/>
          <w:bCs w:val="0"/>
          <w:color w:val="auto"/>
          <w:highlight w:val="none"/>
        </w:rPr>
        <w:t>入决算表</w:t>
      </w:r>
      <w:bookmarkEnd w:id="78"/>
      <w:bookmarkEnd w:id="79"/>
    </w:p>
    <w:p>
      <w:pPr>
        <w:pStyle w:val="5"/>
        <w:keepNext/>
        <w:keepLines/>
        <w:pageBreakBefore w:val="0"/>
        <w:widowControl w:val="0"/>
        <w:kinsoku/>
        <w:wordWrap/>
        <w:overflowPunct/>
        <w:topLinePunct w:val="0"/>
        <w:autoSpaceDE/>
        <w:autoSpaceDN/>
        <w:bidi w:val="0"/>
        <w:adjustRightInd/>
        <w:snapToGrid/>
        <w:spacing w:before="0" w:after="0" w:line="700" w:lineRule="exact"/>
        <w:ind w:firstLine="640" w:firstLineChars="200"/>
        <w:textAlignment w:val="auto"/>
        <w:rPr>
          <w:rFonts w:ascii="仿宋" w:hAnsi="仿宋" w:eastAsia="仿宋"/>
          <w:color w:val="auto"/>
          <w:highlight w:val="none"/>
        </w:rPr>
      </w:pPr>
      <w:bookmarkStart w:id="80" w:name="_Toc15396621"/>
      <w:bookmarkStart w:id="81" w:name="_Toc31021"/>
      <w:r>
        <w:rPr>
          <w:rStyle w:val="20"/>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0"/>
          <w:rFonts w:hint="eastAsia" w:ascii="仿宋" w:hAnsi="仿宋" w:eastAsia="仿宋"/>
          <w:b w:val="0"/>
          <w:bCs w:val="0"/>
          <w:color w:val="auto"/>
          <w:highlight w:val="none"/>
        </w:rPr>
        <w:t>出决算表</w:t>
      </w:r>
      <w:bookmarkEnd w:id="80"/>
      <w:bookmarkEnd w:id="81"/>
    </w:p>
    <w:p>
      <w:pPr>
        <w:pStyle w:val="5"/>
        <w:keepNext/>
        <w:keepLines/>
        <w:pageBreakBefore w:val="0"/>
        <w:widowControl w:val="0"/>
        <w:kinsoku/>
        <w:wordWrap/>
        <w:overflowPunct/>
        <w:topLinePunct w:val="0"/>
        <w:autoSpaceDE/>
        <w:autoSpaceDN/>
        <w:bidi w:val="0"/>
        <w:adjustRightInd/>
        <w:snapToGrid/>
        <w:spacing w:before="0" w:after="0" w:line="700" w:lineRule="exact"/>
        <w:ind w:firstLine="640" w:firstLineChars="200"/>
        <w:textAlignment w:val="auto"/>
        <w:rPr>
          <w:rFonts w:ascii="仿宋" w:hAnsi="仿宋" w:eastAsia="仿宋"/>
          <w:b w:val="0"/>
          <w:color w:val="auto"/>
          <w:highlight w:val="none"/>
        </w:rPr>
      </w:pPr>
      <w:bookmarkStart w:id="82" w:name="_Toc519"/>
      <w:bookmarkStart w:id="83" w:name="_Toc15396622"/>
      <w:r>
        <w:rPr>
          <w:rStyle w:val="20"/>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0"/>
          <w:rFonts w:hint="eastAsia" w:ascii="仿宋" w:hAnsi="仿宋" w:eastAsia="仿宋"/>
          <w:b w:val="0"/>
          <w:bCs w:val="0"/>
          <w:color w:val="auto"/>
          <w:highlight w:val="none"/>
        </w:rPr>
        <w:t>政拨款收入支出决算总表</w:t>
      </w:r>
      <w:bookmarkEnd w:id="82"/>
      <w:bookmarkEnd w:id="83"/>
    </w:p>
    <w:p>
      <w:pPr>
        <w:pStyle w:val="5"/>
        <w:keepNext/>
        <w:keepLines/>
        <w:pageBreakBefore w:val="0"/>
        <w:widowControl w:val="0"/>
        <w:kinsoku/>
        <w:wordWrap/>
        <w:overflowPunct/>
        <w:topLinePunct w:val="0"/>
        <w:autoSpaceDE/>
        <w:autoSpaceDN/>
        <w:bidi w:val="0"/>
        <w:adjustRightInd/>
        <w:snapToGrid/>
        <w:spacing w:before="0" w:after="0" w:line="700" w:lineRule="exact"/>
        <w:ind w:firstLine="640" w:firstLineChars="200"/>
        <w:textAlignment w:val="auto"/>
        <w:rPr>
          <w:rStyle w:val="20"/>
          <w:rFonts w:ascii="仿宋" w:hAnsi="仿宋" w:eastAsia="仿宋"/>
          <w:b w:val="0"/>
          <w:bCs w:val="0"/>
          <w:color w:val="auto"/>
          <w:highlight w:val="none"/>
        </w:rPr>
      </w:pPr>
      <w:bookmarkStart w:id="84" w:name="_Toc15396623"/>
      <w:bookmarkStart w:id="85" w:name="_Toc32107"/>
      <w:r>
        <w:rPr>
          <w:rStyle w:val="20"/>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0"/>
          <w:rFonts w:hint="eastAsia" w:ascii="仿宋" w:hAnsi="仿宋" w:eastAsia="仿宋"/>
          <w:b w:val="0"/>
          <w:bCs w:val="0"/>
          <w:color w:val="auto"/>
          <w:highlight w:val="none"/>
        </w:rPr>
        <w:t>政拨款支出决算明细表</w:t>
      </w:r>
      <w:bookmarkEnd w:id="84"/>
      <w:bookmarkEnd w:id="85"/>
      <w:bookmarkStart w:id="86" w:name="_Toc15396624"/>
    </w:p>
    <w:p>
      <w:pPr>
        <w:pStyle w:val="5"/>
        <w:keepNext/>
        <w:keepLines/>
        <w:pageBreakBefore w:val="0"/>
        <w:widowControl w:val="0"/>
        <w:kinsoku/>
        <w:wordWrap/>
        <w:overflowPunct/>
        <w:topLinePunct w:val="0"/>
        <w:autoSpaceDE/>
        <w:autoSpaceDN/>
        <w:bidi w:val="0"/>
        <w:adjustRightInd/>
        <w:snapToGrid/>
        <w:spacing w:before="0" w:after="0" w:line="700" w:lineRule="exact"/>
        <w:ind w:firstLine="640" w:firstLineChars="200"/>
        <w:textAlignment w:val="auto"/>
        <w:rPr>
          <w:rFonts w:ascii="仿宋" w:hAnsi="仿宋" w:eastAsia="仿宋"/>
          <w:color w:val="auto"/>
          <w:highlight w:val="none"/>
        </w:rPr>
      </w:pPr>
      <w:bookmarkStart w:id="87" w:name="_Toc32536"/>
      <w:r>
        <w:rPr>
          <w:rStyle w:val="20"/>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0"/>
          <w:rFonts w:hint="eastAsia" w:ascii="仿宋" w:hAnsi="仿宋" w:eastAsia="仿宋"/>
          <w:b w:val="0"/>
          <w:bCs w:val="0"/>
          <w:color w:val="auto"/>
          <w:highlight w:val="none"/>
        </w:rPr>
        <w:t>般公共预算财政拨款支出决算表</w:t>
      </w:r>
      <w:bookmarkEnd w:id="86"/>
      <w:bookmarkEnd w:id="87"/>
    </w:p>
    <w:p>
      <w:pPr>
        <w:pStyle w:val="5"/>
        <w:keepNext/>
        <w:keepLines/>
        <w:pageBreakBefore w:val="0"/>
        <w:widowControl w:val="0"/>
        <w:kinsoku/>
        <w:wordWrap/>
        <w:overflowPunct/>
        <w:topLinePunct w:val="0"/>
        <w:autoSpaceDE/>
        <w:autoSpaceDN/>
        <w:bidi w:val="0"/>
        <w:adjustRightInd/>
        <w:snapToGrid/>
        <w:spacing w:before="0" w:after="0" w:line="700" w:lineRule="exact"/>
        <w:ind w:firstLine="640" w:firstLineChars="200"/>
        <w:textAlignment w:val="auto"/>
        <w:rPr>
          <w:rFonts w:ascii="仿宋" w:hAnsi="仿宋" w:eastAsia="仿宋"/>
          <w:color w:val="auto"/>
          <w:highlight w:val="none"/>
        </w:rPr>
      </w:pPr>
      <w:bookmarkStart w:id="88" w:name="_Toc15730"/>
      <w:bookmarkStart w:id="89" w:name="_Toc15396625"/>
      <w:r>
        <w:rPr>
          <w:rStyle w:val="20"/>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0"/>
          <w:rFonts w:hint="eastAsia" w:ascii="仿宋" w:hAnsi="仿宋" w:eastAsia="仿宋"/>
          <w:b w:val="0"/>
          <w:bCs w:val="0"/>
          <w:color w:val="auto"/>
          <w:highlight w:val="none"/>
        </w:rPr>
        <w:t>般公共预算财政拨款支出决算明细表</w:t>
      </w:r>
      <w:bookmarkEnd w:id="88"/>
      <w:bookmarkEnd w:id="89"/>
    </w:p>
    <w:p>
      <w:pPr>
        <w:pStyle w:val="5"/>
        <w:keepNext/>
        <w:keepLines/>
        <w:pageBreakBefore w:val="0"/>
        <w:widowControl w:val="0"/>
        <w:kinsoku/>
        <w:wordWrap/>
        <w:overflowPunct/>
        <w:topLinePunct w:val="0"/>
        <w:autoSpaceDE/>
        <w:autoSpaceDN/>
        <w:bidi w:val="0"/>
        <w:adjustRightInd/>
        <w:snapToGrid/>
        <w:spacing w:before="0" w:after="0" w:line="700" w:lineRule="exact"/>
        <w:ind w:firstLine="640" w:firstLineChars="200"/>
        <w:textAlignment w:val="auto"/>
        <w:rPr>
          <w:rFonts w:ascii="仿宋" w:hAnsi="仿宋" w:eastAsia="仿宋"/>
          <w:color w:val="auto"/>
          <w:highlight w:val="none"/>
        </w:rPr>
      </w:pPr>
      <w:bookmarkStart w:id="90" w:name="_Toc7031"/>
      <w:bookmarkStart w:id="91" w:name="_Toc15396626"/>
      <w:r>
        <w:rPr>
          <w:rStyle w:val="20"/>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0"/>
          <w:rFonts w:hint="eastAsia" w:ascii="仿宋" w:hAnsi="仿宋" w:eastAsia="仿宋"/>
          <w:b w:val="0"/>
          <w:bCs w:val="0"/>
          <w:color w:val="auto"/>
          <w:highlight w:val="none"/>
        </w:rPr>
        <w:t>般公共预算财政拨款基本支出决算表</w:t>
      </w:r>
      <w:bookmarkEnd w:id="90"/>
      <w:bookmarkEnd w:id="91"/>
    </w:p>
    <w:p>
      <w:pPr>
        <w:pStyle w:val="5"/>
        <w:keepNext/>
        <w:keepLines/>
        <w:pageBreakBefore w:val="0"/>
        <w:widowControl w:val="0"/>
        <w:kinsoku/>
        <w:wordWrap/>
        <w:overflowPunct/>
        <w:topLinePunct w:val="0"/>
        <w:autoSpaceDE/>
        <w:autoSpaceDN/>
        <w:bidi w:val="0"/>
        <w:adjustRightInd/>
        <w:snapToGrid/>
        <w:spacing w:before="0" w:after="0" w:line="700" w:lineRule="exact"/>
        <w:ind w:firstLine="640" w:firstLineChars="200"/>
        <w:textAlignment w:val="auto"/>
        <w:rPr>
          <w:rFonts w:ascii="仿宋" w:hAnsi="仿宋" w:eastAsia="仿宋"/>
          <w:color w:val="auto"/>
          <w:highlight w:val="none"/>
        </w:rPr>
      </w:pPr>
      <w:bookmarkStart w:id="92" w:name="_Toc19616"/>
      <w:bookmarkStart w:id="93" w:name="_Toc15396627"/>
      <w:r>
        <w:rPr>
          <w:rStyle w:val="20"/>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0"/>
          <w:rFonts w:hint="eastAsia" w:ascii="仿宋" w:hAnsi="仿宋" w:eastAsia="仿宋"/>
          <w:b w:val="0"/>
          <w:bCs w:val="0"/>
          <w:color w:val="auto"/>
          <w:highlight w:val="none"/>
        </w:rPr>
        <w:t>般公共预算财政拨款项目支出决算表</w:t>
      </w:r>
      <w:bookmarkEnd w:id="92"/>
      <w:bookmarkEnd w:id="93"/>
    </w:p>
    <w:p>
      <w:pPr>
        <w:pStyle w:val="5"/>
        <w:keepNext/>
        <w:keepLines/>
        <w:pageBreakBefore w:val="0"/>
        <w:widowControl w:val="0"/>
        <w:kinsoku/>
        <w:wordWrap/>
        <w:overflowPunct/>
        <w:topLinePunct w:val="0"/>
        <w:autoSpaceDE/>
        <w:autoSpaceDN/>
        <w:bidi w:val="0"/>
        <w:adjustRightInd/>
        <w:snapToGrid/>
        <w:spacing w:before="0" w:after="0" w:line="700" w:lineRule="exact"/>
        <w:ind w:firstLine="640" w:firstLineChars="200"/>
        <w:textAlignment w:val="auto"/>
        <w:rPr>
          <w:rFonts w:ascii="仿宋" w:hAnsi="仿宋" w:eastAsia="仿宋"/>
          <w:color w:val="auto"/>
          <w:highlight w:val="none"/>
        </w:rPr>
      </w:pPr>
      <w:bookmarkStart w:id="94" w:name="_Toc15396628"/>
      <w:bookmarkStart w:id="95" w:name="_Toc21549"/>
      <w:r>
        <w:rPr>
          <w:rStyle w:val="20"/>
          <w:rFonts w:hint="eastAsia" w:ascii="仿宋" w:hAnsi="仿宋" w:eastAsia="仿宋"/>
          <w:b w:val="0"/>
          <w:bCs w:val="0"/>
          <w:color w:val="auto"/>
          <w:highlight w:val="none"/>
        </w:rPr>
        <w:t>十、</w:t>
      </w:r>
      <w:bookmarkEnd w:id="94"/>
      <w:r>
        <w:rPr>
          <w:rFonts w:hint="eastAsia" w:ascii="仿宋" w:hAnsi="仿宋" w:eastAsia="仿宋"/>
          <w:b w:val="0"/>
          <w:color w:val="auto"/>
          <w:highlight w:val="none"/>
        </w:rPr>
        <w:t>政</w:t>
      </w:r>
      <w:r>
        <w:rPr>
          <w:rStyle w:val="20"/>
          <w:rFonts w:hint="eastAsia" w:ascii="仿宋" w:hAnsi="仿宋" w:eastAsia="仿宋"/>
          <w:b w:val="0"/>
          <w:bCs w:val="0"/>
          <w:color w:val="auto"/>
          <w:highlight w:val="none"/>
        </w:rPr>
        <w:t>府性基金预算财政拨款收入支出决算表</w:t>
      </w:r>
      <w:bookmarkEnd w:id="95"/>
    </w:p>
    <w:p>
      <w:pPr>
        <w:pStyle w:val="5"/>
        <w:keepNext/>
        <w:keepLines/>
        <w:pageBreakBefore w:val="0"/>
        <w:widowControl w:val="0"/>
        <w:kinsoku/>
        <w:wordWrap/>
        <w:overflowPunct/>
        <w:topLinePunct w:val="0"/>
        <w:autoSpaceDE/>
        <w:autoSpaceDN/>
        <w:bidi w:val="0"/>
        <w:adjustRightInd/>
        <w:snapToGrid/>
        <w:spacing w:before="0" w:after="0" w:line="700" w:lineRule="exact"/>
        <w:ind w:firstLine="640" w:firstLineChars="200"/>
        <w:textAlignment w:val="auto"/>
        <w:rPr>
          <w:rFonts w:ascii="仿宋" w:hAnsi="仿宋" w:eastAsia="仿宋"/>
          <w:color w:val="auto"/>
          <w:highlight w:val="none"/>
        </w:rPr>
      </w:pPr>
      <w:bookmarkStart w:id="96" w:name="_Toc15396629"/>
      <w:bookmarkStart w:id="97" w:name="_Toc13911"/>
      <w:r>
        <w:rPr>
          <w:rStyle w:val="20"/>
          <w:rFonts w:hint="eastAsia" w:ascii="仿宋" w:hAnsi="仿宋" w:eastAsia="仿宋"/>
          <w:b w:val="0"/>
          <w:bCs w:val="0"/>
          <w:color w:val="auto"/>
          <w:highlight w:val="none"/>
        </w:rPr>
        <w:t>十一、</w:t>
      </w:r>
      <w:bookmarkEnd w:id="96"/>
      <w:r>
        <w:rPr>
          <w:rFonts w:hint="eastAsia" w:ascii="仿宋" w:hAnsi="仿宋" w:eastAsia="仿宋"/>
          <w:b w:val="0"/>
          <w:color w:val="auto"/>
          <w:highlight w:val="none"/>
        </w:rPr>
        <w:t>国</w:t>
      </w:r>
      <w:r>
        <w:rPr>
          <w:rStyle w:val="20"/>
          <w:rFonts w:hint="eastAsia" w:ascii="仿宋" w:hAnsi="仿宋" w:eastAsia="仿宋"/>
          <w:b w:val="0"/>
          <w:bCs w:val="0"/>
          <w:color w:val="auto"/>
          <w:highlight w:val="none"/>
        </w:rPr>
        <w:t>有资本经营预算</w:t>
      </w:r>
      <w:r>
        <w:rPr>
          <w:rStyle w:val="20"/>
          <w:rFonts w:hint="eastAsia" w:ascii="仿宋" w:hAnsi="仿宋" w:eastAsia="仿宋"/>
          <w:b w:val="0"/>
          <w:bCs w:val="0"/>
          <w:color w:val="auto"/>
          <w:highlight w:val="none"/>
          <w:lang w:eastAsia="zh-CN"/>
        </w:rPr>
        <w:t>财政拨款收入</w:t>
      </w:r>
      <w:r>
        <w:rPr>
          <w:rStyle w:val="20"/>
          <w:rFonts w:hint="eastAsia" w:ascii="仿宋" w:hAnsi="仿宋" w:eastAsia="仿宋"/>
          <w:b w:val="0"/>
          <w:bCs w:val="0"/>
          <w:color w:val="auto"/>
          <w:highlight w:val="none"/>
        </w:rPr>
        <w:t>支出决算表</w:t>
      </w:r>
      <w:bookmarkEnd w:id="97"/>
    </w:p>
    <w:p>
      <w:pPr>
        <w:pStyle w:val="5"/>
        <w:keepNext/>
        <w:keepLines/>
        <w:pageBreakBefore w:val="0"/>
        <w:widowControl w:val="0"/>
        <w:kinsoku/>
        <w:wordWrap/>
        <w:overflowPunct/>
        <w:topLinePunct w:val="0"/>
        <w:autoSpaceDE/>
        <w:autoSpaceDN/>
        <w:bidi w:val="0"/>
        <w:adjustRightInd/>
        <w:snapToGrid/>
        <w:spacing w:before="0" w:after="0" w:line="700" w:lineRule="exact"/>
        <w:ind w:firstLine="640" w:firstLineChars="200"/>
        <w:textAlignment w:val="auto"/>
        <w:rPr>
          <w:rFonts w:ascii="仿宋" w:hAnsi="仿宋" w:eastAsia="仿宋"/>
          <w:color w:val="auto"/>
          <w:highlight w:val="none"/>
        </w:rPr>
      </w:pPr>
      <w:bookmarkStart w:id="98" w:name="_Toc15396630"/>
      <w:bookmarkStart w:id="99" w:name="_Toc1937"/>
      <w:r>
        <w:rPr>
          <w:rStyle w:val="20"/>
          <w:rFonts w:hint="eastAsia" w:ascii="仿宋" w:hAnsi="仿宋" w:eastAsia="仿宋"/>
          <w:b w:val="0"/>
          <w:bCs w:val="0"/>
          <w:color w:val="auto"/>
          <w:highlight w:val="none"/>
        </w:rPr>
        <w:t>十二、</w:t>
      </w:r>
      <w:bookmarkEnd w:id="98"/>
      <w:r>
        <w:rPr>
          <w:rStyle w:val="20"/>
          <w:rFonts w:hint="eastAsia" w:ascii="仿宋" w:hAnsi="仿宋" w:eastAsia="仿宋"/>
          <w:b w:val="0"/>
          <w:bCs w:val="0"/>
          <w:color w:val="auto"/>
          <w:highlight w:val="none"/>
          <w:lang w:eastAsia="zh-CN"/>
        </w:rPr>
        <w:t>国有资本经营预算财政拨款支出决算表</w:t>
      </w:r>
      <w:bookmarkEnd w:id="99"/>
    </w:p>
    <w:p>
      <w:pPr>
        <w:pStyle w:val="5"/>
        <w:keepNext/>
        <w:keepLines/>
        <w:pageBreakBefore w:val="0"/>
        <w:widowControl w:val="0"/>
        <w:kinsoku/>
        <w:wordWrap/>
        <w:overflowPunct/>
        <w:topLinePunct w:val="0"/>
        <w:autoSpaceDE/>
        <w:autoSpaceDN/>
        <w:bidi w:val="0"/>
        <w:adjustRightInd/>
        <w:snapToGrid/>
        <w:spacing w:before="0" w:after="0" w:line="700" w:lineRule="exact"/>
        <w:ind w:firstLine="640" w:firstLineChars="200"/>
        <w:textAlignment w:val="auto"/>
        <w:rPr>
          <w:rStyle w:val="20"/>
          <w:rFonts w:hint="eastAsia" w:ascii="仿宋" w:hAnsi="仿宋" w:eastAsia="仿宋"/>
          <w:b w:val="0"/>
          <w:bCs w:val="0"/>
          <w:color w:val="auto"/>
          <w:highlight w:val="none"/>
          <w:lang w:eastAsia="zh-CN"/>
        </w:rPr>
      </w:pPr>
      <w:bookmarkStart w:id="100" w:name="_Toc15396631"/>
      <w:bookmarkStart w:id="101" w:name="_Toc17965"/>
      <w:r>
        <w:rPr>
          <w:rStyle w:val="20"/>
          <w:rFonts w:hint="eastAsia" w:ascii="仿宋" w:hAnsi="仿宋" w:eastAsia="仿宋"/>
          <w:b w:val="0"/>
          <w:bCs w:val="0"/>
          <w:color w:val="auto"/>
          <w:highlight w:val="none"/>
        </w:rPr>
        <w:t>十三、</w:t>
      </w:r>
      <w:bookmarkEnd w:id="100"/>
      <w:r>
        <w:rPr>
          <w:rStyle w:val="20"/>
          <w:rFonts w:hint="eastAsia" w:ascii="仿宋" w:hAnsi="仿宋" w:eastAsia="仿宋"/>
          <w:b w:val="0"/>
          <w:bCs w:val="0"/>
          <w:color w:val="auto"/>
          <w:highlight w:val="none"/>
          <w:lang w:eastAsia="zh-CN"/>
        </w:rPr>
        <w:t>财政拨款“三公”经费支出决算表</w:t>
      </w:r>
      <w:bookmarkEnd w:id="101"/>
    </w:p>
    <w:p>
      <w:pPr>
        <w:pStyle w:val="2"/>
        <w:rPr>
          <w:rFonts w:hint="eastAsia"/>
          <w:lang w:eastAsia="zh-CN"/>
        </w:rPr>
      </w:pPr>
    </w:p>
    <w:sectPr>
      <w:pgSz w:w="11906" w:h="16838"/>
      <w:pgMar w:top="2098" w:right="1474" w:bottom="1984" w:left="1587" w:header="851" w:footer="1559" w:gutter="0"/>
      <w:pgNumType w:fmt="numberInDash"/>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FB" w:usb2="0000002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Lucida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altName w:val="宋体"/>
    <w:panose1 w:val="02010609060101010101"/>
    <w:charset w:val="86"/>
    <w:family w:val="auto"/>
    <w:pitch w:val="default"/>
    <w:sig w:usb0="00000000" w:usb1="00000000" w:usb2="00000016" w:usb3="00000000" w:csb0="00040001" w:csb1="00000000"/>
  </w:font>
  <w:font w:name="Liberation Sans">
    <w:altName w:val="Arial"/>
    <w:panose1 w:val="00000000000000000000"/>
    <w:charset w:val="01"/>
    <w:family w:val="swiss"/>
    <w:pitch w:val="default"/>
    <w:sig w:usb0="00000000" w:usb1="00000000" w:usb2="00000000" w:usb3="00000000" w:csb0="00040001" w:csb1="00000000"/>
  </w:font>
  <w:font w:name="Noto Sans CJK SC Regular">
    <w:panose1 w:val="020B0500000000000000"/>
    <w:charset w:val="86"/>
    <w:family w:val="auto"/>
    <w:pitch w:val="default"/>
    <w:sig w:usb0="30000003" w:usb1="2BDF3C10" w:usb2="00000016" w:usb3="00000000" w:csb0="602E0107" w:csb1="00000000"/>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Lucida Sans">
    <w:panose1 w:val="020B0602030504020204"/>
    <w:charset w:val="00"/>
    <w:family w:val="auto"/>
    <w:pitch w:val="default"/>
    <w:sig w:usb0="00000000" w:usb1="00000000" w:usb2="00000000" w:usb3="00000000" w:csb0="00000000" w:csb1="00000000"/>
  </w:font>
  <w:font w:name="Comic Sans MS">
    <w:panose1 w:val="030F0702030302020204"/>
    <w:charset w:val="00"/>
    <w:family w:val="auto"/>
    <w:pitch w:val="default"/>
    <w:sig w:usb0="00000287" w:usb1="00000000" w:usb2="00000000" w:usb3="00000000" w:csb0="2000009F"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Z1mIHQIAACs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fTSgxTGNGp29fT9+fTj++&#10;ELwBoMaFGfw2Dp6xfWPbgka/F4Mp4D213kqv042mCFyA9vGCsGgj4XgcTyfTaQ4Th21QkCK7fnc+&#10;xLfCapKEgnqMsEOWHdYhnl0Hl5TN2FWtVDdGZUhT0JuXr/P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OpnWYgdAgAAKwQAAA4AAAAAAAAAAQAgAAAANQ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- 5 -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64f+HQIAACs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brh/4dAgAAKwQAAA4AAAAAAAAAAQAgAAAANQEAAGRycy9lMm9Eb2MueG1sUEsF&#10;BgAAAAAGAAYAWQEAAMQFAAAAAA==&#10;">
              <v:fill on="f" focussize="0,0"/>
              <v:stroke on="f" weight="0.5pt"/>
              <v:imagedata o:title=""/>
              <o:lock v:ext="edit" aspectratio="f"/>
              <v:textbox inset="0mm,0mm,0mm,0mm" style="mso-fit-shape-to-text:t;">
                <w:txbxContent>
                  <w:p>
                    <w:pPr>
                      <w:pStyle w:val="10"/>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- 5 -</w:t>
                    </w:r>
                    <w:r>
                      <w:rPr>
                        <w:rFonts w:hint="eastAsia" w:asciiTheme="minorEastAsia" w:hAnsiTheme="minorEastAsia" w:eastAsiaTheme="minorEastAsia" w:cstheme="minorEastAsia"/>
                        <w:sz w:val="28"/>
                        <w:szCs w:val="28"/>
                      </w:rPr>
                      <w:fldChar w:fldCharType="end"/>
                    </w:r>
                  </w:p>
                </w:txbxContent>
              </v:textbox>
            </v:shape>
          </w:pict>
        </mc:Fallback>
      </mc:AlternateContent>
    </w:r>
  </w:p>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2JAsIHQIAACs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v66oYSzRRmdPr65fTtx+n7&#10;Z4I3ANRaP4PfxsIzdK9NV9Dg9mIwebzH1rvKqXijKQIXoH28ICy6QDgex9PJdJrDxGEbFKTIrt+t&#10;8+GNMIpEoaAOI0zIssPah7Pr4BKzabNqpExjlJq0Bb19eZO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YkCwgdAgAAKwQAAA4AAAAAAAAAAQAgAAAANQEAAGRycy9lMm9Eb2MueG1sUEsF&#10;BgAAAAAGAAYAWQEAAMQFAAAAAA==&#10;">
              <v:fill on="f" focussize="0,0"/>
              <v:stroke on="f" weight="0.5pt"/>
              <v:imagedata o:title=""/>
              <o:lock v:ext="edit" aspectratio="f"/>
              <v:textbox inset="0mm,0mm,0mm,0mm" style="mso-fit-shape-to-text:t;">
                <w:txbxContent>
                  <w:p>
                    <w:pPr>
                      <w:pStyle w:val="10"/>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5520"/>
        <w:tab w:val="clear" w:pos="4153"/>
      </w:tabs>
      <w:jc w:val="both"/>
      <w:rPr>
        <w:rFonts w:hint="eastAsia"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false"/>
  <w:bordersDoNotSurroundFooter w:val="false"/>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4YWI2ZWVkYTY0NTBkMjVlZmNmYzk1ZWQ4OTJlMjEifQ=="/>
  </w:docVars>
  <w:rsids>
    <w:rsidRoot w:val="00F1361C"/>
    <w:rsid w:val="000222C6"/>
    <w:rsid w:val="0002549F"/>
    <w:rsid w:val="000468DB"/>
    <w:rsid w:val="0006487A"/>
    <w:rsid w:val="00065F8F"/>
    <w:rsid w:val="00070A43"/>
    <w:rsid w:val="000768F2"/>
    <w:rsid w:val="0009184B"/>
    <w:rsid w:val="00092DFA"/>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B4D4F"/>
    <w:rsid w:val="001C0962"/>
    <w:rsid w:val="001D7531"/>
    <w:rsid w:val="001E737D"/>
    <w:rsid w:val="001F0592"/>
    <w:rsid w:val="001F7506"/>
    <w:rsid w:val="002006CD"/>
    <w:rsid w:val="00202B36"/>
    <w:rsid w:val="0020339A"/>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53AE6"/>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2456"/>
    <w:rsid w:val="006A3141"/>
    <w:rsid w:val="006A5E34"/>
    <w:rsid w:val="006B2422"/>
    <w:rsid w:val="006B2B9A"/>
    <w:rsid w:val="006C1937"/>
    <w:rsid w:val="006F020C"/>
    <w:rsid w:val="007127B7"/>
    <w:rsid w:val="0071798E"/>
    <w:rsid w:val="00727183"/>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07A2"/>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02529"/>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2599F"/>
    <w:rsid w:val="00F36D8F"/>
    <w:rsid w:val="00F417B1"/>
    <w:rsid w:val="00F45853"/>
    <w:rsid w:val="00F602DF"/>
    <w:rsid w:val="00F754A1"/>
    <w:rsid w:val="00F81FD9"/>
    <w:rsid w:val="00F841AA"/>
    <w:rsid w:val="00F84A94"/>
    <w:rsid w:val="00F87E96"/>
    <w:rsid w:val="00FA23E8"/>
    <w:rsid w:val="00FD3CC1"/>
    <w:rsid w:val="00FF1E02"/>
    <w:rsid w:val="00FF30B4"/>
    <w:rsid w:val="01263FC7"/>
    <w:rsid w:val="012D3D0B"/>
    <w:rsid w:val="01423F24"/>
    <w:rsid w:val="015975B8"/>
    <w:rsid w:val="015C5ED5"/>
    <w:rsid w:val="0170184F"/>
    <w:rsid w:val="01730582"/>
    <w:rsid w:val="01891B53"/>
    <w:rsid w:val="01A41488"/>
    <w:rsid w:val="01AA573E"/>
    <w:rsid w:val="01AE3368"/>
    <w:rsid w:val="01D56999"/>
    <w:rsid w:val="01DD1E9F"/>
    <w:rsid w:val="01F80B5B"/>
    <w:rsid w:val="02143E91"/>
    <w:rsid w:val="021D04ED"/>
    <w:rsid w:val="025832D3"/>
    <w:rsid w:val="025907ED"/>
    <w:rsid w:val="029A38EC"/>
    <w:rsid w:val="02AC5429"/>
    <w:rsid w:val="02B4621A"/>
    <w:rsid w:val="02EA7AB7"/>
    <w:rsid w:val="02F76F90"/>
    <w:rsid w:val="02FC6355"/>
    <w:rsid w:val="030177BB"/>
    <w:rsid w:val="033C0E47"/>
    <w:rsid w:val="036F72C4"/>
    <w:rsid w:val="03A02D94"/>
    <w:rsid w:val="03AA5DB1"/>
    <w:rsid w:val="03BF6734"/>
    <w:rsid w:val="03C07382"/>
    <w:rsid w:val="03C30C20"/>
    <w:rsid w:val="03DD2B90"/>
    <w:rsid w:val="03DF146E"/>
    <w:rsid w:val="03ED1E70"/>
    <w:rsid w:val="04024C95"/>
    <w:rsid w:val="04086EAA"/>
    <w:rsid w:val="040F20B8"/>
    <w:rsid w:val="04184856"/>
    <w:rsid w:val="04247911"/>
    <w:rsid w:val="043535AE"/>
    <w:rsid w:val="043541A2"/>
    <w:rsid w:val="043833BC"/>
    <w:rsid w:val="048204D9"/>
    <w:rsid w:val="04B160E4"/>
    <w:rsid w:val="04C80BE4"/>
    <w:rsid w:val="05123C0E"/>
    <w:rsid w:val="054355B4"/>
    <w:rsid w:val="056D178C"/>
    <w:rsid w:val="056F11F7"/>
    <w:rsid w:val="05AD7DDA"/>
    <w:rsid w:val="05F41565"/>
    <w:rsid w:val="06231E4A"/>
    <w:rsid w:val="065564A8"/>
    <w:rsid w:val="066E0107"/>
    <w:rsid w:val="06847E83"/>
    <w:rsid w:val="069A65AD"/>
    <w:rsid w:val="06B036DE"/>
    <w:rsid w:val="06E35B47"/>
    <w:rsid w:val="07100F0E"/>
    <w:rsid w:val="07996F6E"/>
    <w:rsid w:val="079E66B3"/>
    <w:rsid w:val="07C5140B"/>
    <w:rsid w:val="07C75183"/>
    <w:rsid w:val="07C86328"/>
    <w:rsid w:val="07CD6512"/>
    <w:rsid w:val="07E06245"/>
    <w:rsid w:val="07F12200"/>
    <w:rsid w:val="07F21008"/>
    <w:rsid w:val="07F83335"/>
    <w:rsid w:val="080C4317"/>
    <w:rsid w:val="08536B2A"/>
    <w:rsid w:val="086504B7"/>
    <w:rsid w:val="08A1787D"/>
    <w:rsid w:val="09045F63"/>
    <w:rsid w:val="09265ED9"/>
    <w:rsid w:val="09331ABF"/>
    <w:rsid w:val="094703E6"/>
    <w:rsid w:val="097428B1"/>
    <w:rsid w:val="09905A49"/>
    <w:rsid w:val="099948FD"/>
    <w:rsid w:val="09A67B67"/>
    <w:rsid w:val="09B01C8A"/>
    <w:rsid w:val="09D9506E"/>
    <w:rsid w:val="09F417D4"/>
    <w:rsid w:val="0A0631A5"/>
    <w:rsid w:val="0A0C1573"/>
    <w:rsid w:val="0A136A23"/>
    <w:rsid w:val="0A2032A3"/>
    <w:rsid w:val="0A2A25EC"/>
    <w:rsid w:val="0A5A7755"/>
    <w:rsid w:val="0A6462CF"/>
    <w:rsid w:val="0AB10AB1"/>
    <w:rsid w:val="0AFB5144"/>
    <w:rsid w:val="0B064214"/>
    <w:rsid w:val="0B23440C"/>
    <w:rsid w:val="0B7738F3"/>
    <w:rsid w:val="0BC63740"/>
    <w:rsid w:val="0BD22464"/>
    <w:rsid w:val="0BEF6486"/>
    <w:rsid w:val="0BFE7C41"/>
    <w:rsid w:val="0C5114BF"/>
    <w:rsid w:val="0C874EE1"/>
    <w:rsid w:val="0C987614"/>
    <w:rsid w:val="0CA737D5"/>
    <w:rsid w:val="0CC90ECA"/>
    <w:rsid w:val="0CD3040D"/>
    <w:rsid w:val="0CD65E68"/>
    <w:rsid w:val="0CE8554E"/>
    <w:rsid w:val="0D1B7D6D"/>
    <w:rsid w:val="0D30650C"/>
    <w:rsid w:val="0D31309F"/>
    <w:rsid w:val="0D4461BE"/>
    <w:rsid w:val="0D5C3880"/>
    <w:rsid w:val="0D991A7F"/>
    <w:rsid w:val="0DD405FA"/>
    <w:rsid w:val="0E0E4CB2"/>
    <w:rsid w:val="0E134D70"/>
    <w:rsid w:val="0E3C427F"/>
    <w:rsid w:val="0E440BB0"/>
    <w:rsid w:val="0E4F7C80"/>
    <w:rsid w:val="0E686F94"/>
    <w:rsid w:val="0E9C0022"/>
    <w:rsid w:val="0EC87A33"/>
    <w:rsid w:val="0ECC7523"/>
    <w:rsid w:val="0ED56DC0"/>
    <w:rsid w:val="0F136D28"/>
    <w:rsid w:val="0F2B0274"/>
    <w:rsid w:val="0F3E31F2"/>
    <w:rsid w:val="0F5C1490"/>
    <w:rsid w:val="0F7233CB"/>
    <w:rsid w:val="0F7A1A35"/>
    <w:rsid w:val="0F9407AC"/>
    <w:rsid w:val="0F98263C"/>
    <w:rsid w:val="0FA61B22"/>
    <w:rsid w:val="0FA71D21"/>
    <w:rsid w:val="0FB104C7"/>
    <w:rsid w:val="0FB57FB7"/>
    <w:rsid w:val="0FB71DB2"/>
    <w:rsid w:val="0FE9578E"/>
    <w:rsid w:val="1005437F"/>
    <w:rsid w:val="101860EC"/>
    <w:rsid w:val="10593038"/>
    <w:rsid w:val="108005C5"/>
    <w:rsid w:val="108F5D13"/>
    <w:rsid w:val="10A217D3"/>
    <w:rsid w:val="10BC578F"/>
    <w:rsid w:val="10C055FF"/>
    <w:rsid w:val="10C5298C"/>
    <w:rsid w:val="10D500D4"/>
    <w:rsid w:val="10D85A9E"/>
    <w:rsid w:val="10DA7B9E"/>
    <w:rsid w:val="110F1949"/>
    <w:rsid w:val="111927C8"/>
    <w:rsid w:val="111D5E14"/>
    <w:rsid w:val="112278CE"/>
    <w:rsid w:val="117479FE"/>
    <w:rsid w:val="118107EC"/>
    <w:rsid w:val="11A02D5D"/>
    <w:rsid w:val="11CA3C1A"/>
    <w:rsid w:val="11CD4827"/>
    <w:rsid w:val="11FC3C7B"/>
    <w:rsid w:val="12415B32"/>
    <w:rsid w:val="126805E3"/>
    <w:rsid w:val="12944D7E"/>
    <w:rsid w:val="12B15B9C"/>
    <w:rsid w:val="12CA1FCB"/>
    <w:rsid w:val="12CC1E0B"/>
    <w:rsid w:val="1328005C"/>
    <w:rsid w:val="138403CC"/>
    <w:rsid w:val="138959E3"/>
    <w:rsid w:val="13A31FFD"/>
    <w:rsid w:val="13B80076"/>
    <w:rsid w:val="13BF4C25"/>
    <w:rsid w:val="13D50BC4"/>
    <w:rsid w:val="13F7242E"/>
    <w:rsid w:val="141259D8"/>
    <w:rsid w:val="14333BA0"/>
    <w:rsid w:val="148937C0"/>
    <w:rsid w:val="148971D0"/>
    <w:rsid w:val="14A979BF"/>
    <w:rsid w:val="14D56A06"/>
    <w:rsid w:val="150572EB"/>
    <w:rsid w:val="1539595F"/>
    <w:rsid w:val="154A2AFE"/>
    <w:rsid w:val="154B4432"/>
    <w:rsid w:val="158A3C94"/>
    <w:rsid w:val="15A9411A"/>
    <w:rsid w:val="15AF052D"/>
    <w:rsid w:val="15E3035A"/>
    <w:rsid w:val="15FA2BC8"/>
    <w:rsid w:val="15FA52D7"/>
    <w:rsid w:val="16021A7C"/>
    <w:rsid w:val="16353C00"/>
    <w:rsid w:val="16724870"/>
    <w:rsid w:val="1675224E"/>
    <w:rsid w:val="167F1D3C"/>
    <w:rsid w:val="16923EC2"/>
    <w:rsid w:val="169F388D"/>
    <w:rsid w:val="16A513BC"/>
    <w:rsid w:val="16BB723D"/>
    <w:rsid w:val="16BE59A3"/>
    <w:rsid w:val="16E2190C"/>
    <w:rsid w:val="16E47052"/>
    <w:rsid w:val="16F65939"/>
    <w:rsid w:val="16FE33D5"/>
    <w:rsid w:val="17150F4F"/>
    <w:rsid w:val="175F39F7"/>
    <w:rsid w:val="179B1456"/>
    <w:rsid w:val="17CE7E68"/>
    <w:rsid w:val="17D411F6"/>
    <w:rsid w:val="17DF0011"/>
    <w:rsid w:val="17EE0D5A"/>
    <w:rsid w:val="1807337A"/>
    <w:rsid w:val="180779D6"/>
    <w:rsid w:val="181718CD"/>
    <w:rsid w:val="18240AF3"/>
    <w:rsid w:val="18261119"/>
    <w:rsid w:val="187813ED"/>
    <w:rsid w:val="187C78C4"/>
    <w:rsid w:val="18803812"/>
    <w:rsid w:val="18831176"/>
    <w:rsid w:val="19204AAD"/>
    <w:rsid w:val="193957B5"/>
    <w:rsid w:val="194B4765"/>
    <w:rsid w:val="194D39A7"/>
    <w:rsid w:val="19BD0A4C"/>
    <w:rsid w:val="19CA465F"/>
    <w:rsid w:val="19D7730E"/>
    <w:rsid w:val="19DB4ABE"/>
    <w:rsid w:val="19DB686C"/>
    <w:rsid w:val="1A2E3138"/>
    <w:rsid w:val="1A700FED"/>
    <w:rsid w:val="1A83495C"/>
    <w:rsid w:val="1AB07CF9"/>
    <w:rsid w:val="1AD42EC8"/>
    <w:rsid w:val="1AFD0A64"/>
    <w:rsid w:val="1B3A20D7"/>
    <w:rsid w:val="1B434623"/>
    <w:rsid w:val="1B6D7998"/>
    <w:rsid w:val="1B6E16CC"/>
    <w:rsid w:val="1B9C64CF"/>
    <w:rsid w:val="1BDE3A90"/>
    <w:rsid w:val="1BE8440E"/>
    <w:rsid w:val="1C273FEB"/>
    <w:rsid w:val="1C316C17"/>
    <w:rsid w:val="1C404B96"/>
    <w:rsid w:val="1C4B0B43"/>
    <w:rsid w:val="1C60293D"/>
    <w:rsid w:val="1C626DD1"/>
    <w:rsid w:val="1C8925AF"/>
    <w:rsid w:val="1CBF5FD1"/>
    <w:rsid w:val="1CC932F4"/>
    <w:rsid w:val="1CD31A7D"/>
    <w:rsid w:val="1CED0812"/>
    <w:rsid w:val="1D1466A5"/>
    <w:rsid w:val="1D155CEE"/>
    <w:rsid w:val="1D55061C"/>
    <w:rsid w:val="1D7E4CCE"/>
    <w:rsid w:val="1DA022A7"/>
    <w:rsid w:val="1DB602A1"/>
    <w:rsid w:val="1DBC5E2F"/>
    <w:rsid w:val="1DBF1E27"/>
    <w:rsid w:val="1DDB7436"/>
    <w:rsid w:val="1E2C77D5"/>
    <w:rsid w:val="1E454BFC"/>
    <w:rsid w:val="1E5170FD"/>
    <w:rsid w:val="1E616E1A"/>
    <w:rsid w:val="1ECC70CB"/>
    <w:rsid w:val="1F507C58"/>
    <w:rsid w:val="1F536EA5"/>
    <w:rsid w:val="1F705077"/>
    <w:rsid w:val="1FA354BF"/>
    <w:rsid w:val="1FF35744"/>
    <w:rsid w:val="1FF62AE1"/>
    <w:rsid w:val="201605FE"/>
    <w:rsid w:val="202B4E35"/>
    <w:rsid w:val="2055009F"/>
    <w:rsid w:val="207C18DC"/>
    <w:rsid w:val="20994D8B"/>
    <w:rsid w:val="209D2C31"/>
    <w:rsid w:val="20BF6497"/>
    <w:rsid w:val="20EC0F07"/>
    <w:rsid w:val="20F12E19"/>
    <w:rsid w:val="2105070B"/>
    <w:rsid w:val="214E3DC8"/>
    <w:rsid w:val="219F2875"/>
    <w:rsid w:val="21FE759C"/>
    <w:rsid w:val="220426D8"/>
    <w:rsid w:val="22192627"/>
    <w:rsid w:val="223C3CC2"/>
    <w:rsid w:val="22480700"/>
    <w:rsid w:val="227D59EF"/>
    <w:rsid w:val="22A77C33"/>
    <w:rsid w:val="22BA5BB9"/>
    <w:rsid w:val="22EA5D72"/>
    <w:rsid w:val="23015B1A"/>
    <w:rsid w:val="23135012"/>
    <w:rsid w:val="23273E9F"/>
    <w:rsid w:val="232B0864"/>
    <w:rsid w:val="233B3D88"/>
    <w:rsid w:val="234669E3"/>
    <w:rsid w:val="234672EC"/>
    <w:rsid w:val="234D4382"/>
    <w:rsid w:val="235530FD"/>
    <w:rsid w:val="237E52CF"/>
    <w:rsid w:val="23812F70"/>
    <w:rsid w:val="23860B96"/>
    <w:rsid w:val="238F6FE3"/>
    <w:rsid w:val="23C52077"/>
    <w:rsid w:val="23EA6B2E"/>
    <w:rsid w:val="23EF1892"/>
    <w:rsid w:val="23F9323F"/>
    <w:rsid w:val="240371BF"/>
    <w:rsid w:val="240E3358"/>
    <w:rsid w:val="241F7440"/>
    <w:rsid w:val="24200C85"/>
    <w:rsid w:val="24450BC8"/>
    <w:rsid w:val="244E3DB7"/>
    <w:rsid w:val="24977834"/>
    <w:rsid w:val="24B30B11"/>
    <w:rsid w:val="24B53FFA"/>
    <w:rsid w:val="24C34ACD"/>
    <w:rsid w:val="24D252AE"/>
    <w:rsid w:val="24D44C08"/>
    <w:rsid w:val="24E32A79"/>
    <w:rsid w:val="24F02F5F"/>
    <w:rsid w:val="25034EC9"/>
    <w:rsid w:val="2524184E"/>
    <w:rsid w:val="25BF34E6"/>
    <w:rsid w:val="25CE578A"/>
    <w:rsid w:val="25E41C25"/>
    <w:rsid w:val="26282E39"/>
    <w:rsid w:val="26962499"/>
    <w:rsid w:val="26993D37"/>
    <w:rsid w:val="269E759F"/>
    <w:rsid w:val="26B47BB7"/>
    <w:rsid w:val="26C26CF7"/>
    <w:rsid w:val="26CA05BC"/>
    <w:rsid w:val="26F15921"/>
    <w:rsid w:val="270F3EC9"/>
    <w:rsid w:val="27906EE8"/>
    <w:rsid w:val="27D2250A"/>
    <w:rsid w:val="28036175"/>
    <w:rsid w:val="280D6486"/>
    <w:rsid w:val="28221B0A"/>
    <w:rsid w:val="282431C3"/>
    <w:rsid w:val="282D03AB"/>
    <w:rsid w:val="28427C92"/>
    <w:rsid w:val="284D302B"/>
    <w:rsid w:val="28681C13"/>
    <w:rsid w:val="287B40D5"/>
    <w:rsid w:val="2893595B"/>
    <w:rsid w:val="28942A08"/>
    <w:rsid w:val="28B947AF"/>
    <w:rsid w:val="28CF4BBB"/>
    <w:rsid w:val="28D472A8"/>
    <w:rsid w:val="28E25517"/>
    <w:rsid w:val="28F90ABD"/>
    <w:rsid w:val="291E0523"/>
    <w:rsid w:val="2933005D"/>
    <w:rsid w:val="294869BA"/>
    <w:rsid w:val="297346FE"/>
    <w:rsid w:val="29862181"/>
    <w:rsid w:val="29A01E88"/>
    <w:rsid w:val="29FD04D3"/>
    <w:rsid w:val="2A102562"/>
    <w:rsid w:val="2A3A76D6"/>
    <w:rsid w:val="2A3C3357"/>
    <w:rsid w:val="2A8645D2"/>
    <w:rsid w:val="2A8B3997"/>
    <w:rsid w:val="2AC46EA9"/>
    <w:rsid w:val="2ACE2FF1"/>
    <w:rsid w:val="2AF92FF6"/>
    <w:rsid w:val="2B043FCC"/>
    <w:rsid w:val="2B312684"/>
    <w:rsid w:val="2B4F0E68"/>
    <w:rsid w:val="2B65243A"/>
    <w:rsid w:val="2B6761B2"/>
    <w:rsid w:val="2B7746A6"/>
    <w:rsid w:val="2B7D775E"/>
    <w:rsid w:val="2B7E174D"/>
    <w:rsid w:val="2B7F1A31"/>
    <w:rsid w:val="2B8E536D"/>
    <w:rsid w:val="2BA76FD8"/>
    <w:rsid w:val="2BC730F4"/>
    <w:rsid w:val="2BC73656"/>
    <w:rsid w:val="2BDD46C6"/>
    <w:rsid w:val="2BE45A54"/>
    <w:rsid w:val="2BF1627E"/>
    <w:rsid w:val="2C1A1476"/>
    <w:rsid w:val="2C21558C"/>
    <w:rsid w:val="2C440942"/>
    <w:rsid w:val="2C453755"/>
    <w:rsid w:val="2C510C31"/>
    <w:rsid w:val="2C527B22"/>
    <w:rsid w:val="2C5F332D"/>
    <w:rsid w:val="2C6B1CD2"/>
    <w:rsid w:val="2C8A61B5"/>
    <w:rsid w:val="2CCF64B5"/>
    <w:rsid w:val="2D28382A"/>
    <w:rsid w:val="2D4328D7"/>
    <w:rsid w:val="2D5475FD"/>
    <w:rsid w:val="2D79041E"/>
    <w:rsid w:val="2D8868B3"/>
    <w:rsid w:val="2D993488"/>
    <w:rsid w:val="2D994C40"/>
    <w:rsid w:val="2DAE631A"/>
    <w:rsid w:val="2DB22D9D"/>
    <w:rsid w:val="2DCB4225"/>
    <w:rsid w:val="2DD438A6"/>
    <w:rsid w:val="2DDB2E87"/>
    <w:rsid w:val="2DF04E50"/>
    <w:rsid w:val="2E1819E5"/>
    <w:rsid w:val="2E294F8C"/>
    <w:rsid w:val="2E4427DA"/>
    <w:rsid w:val="2E580034"/>
    <w:rsid w:val="2E5844D8"/>
    <w:rsid w:val="2E7D3F3E"/>
    <w:rsid w:val="2E8D61FD"/>
    <w:rsid w:val="2E975000"/>
    <w:rsid w:val="2EB001C3"/>
    <w:rsid w:val="2EB643F2"/>
    <w:rsid w:val="2EBA71A9"/>
    <w:rsid w:val="2EE15864"/>
    <w:rsid w:val="2EE8585B"/>
    <w:rsid w:val="2EEA5173"/>
    <w:rsid w:val="2F040D46"/>
    <w:rsid w:val="2F193C67"/>
    <w:rsid w:val="2FCA4F61"/>
    <w:rsid w:val="302E77A9"/>
    <w:rsid w:val="30322FA2"/>
    <w:rsid w:val="303F76FD"/>
    <w:rsid w:val="30420F9B"/>
    <w:rsid w:val="3049232A"/>
    <w:rsid w:val="305F7D9F"/>
    <w:rsid w:val="306B6744"/>
    <w:rsid w:val="306D4B10"/>
    <w:rsid w:val="30AA27E5"/>
    <w:rsid w:val="30BF3918"/>
    <w:rsid w:val="316B6FA3"/>
    <w:rsid w:val="319F7F4E"/>
    <w:rsid w:val="31AA6DF8"/>
    <w:rsid w:val="31DD045D"/>
    <w:rsid w:val="31F55564"/>
    <w:rsid w:val="323963CE"/>
    <w:rsid w:val="32A9493D"/>
    <w:rsid w:val="32B67A1F"/>
    <w:rsid w:val="32BE3D34"/>
    <w:rsid w:val="32C75C1A"/>
    <w:rsid w:val="32E24E20"/>
    <w:rsid w:val="3304709D"/>
    <w:rsid w:val="33866A55"/>
    <w:rsid w:val="339E0BDF"/>
    <w:rsid w:val="33C17C11"/>
    <w:rsid w:val="33CD5020"/>
    <w:rsid w:val="33D4357B"/>
    <w:rsid w:val="33DF6B01"/>
    <w:rsid w:val="340A0022"/>
    <w:rsid w:val="340D18C0"/>
    <w:rsid w:val="34130A57"/>
    <w:rsid w:val="3437108B"/>
    <w:rsid w:val="343D67B3"/>
    <w:rsid w:val="348C0A37"/>
    <w:rsid w:val="34A915E9"/>
    <w:rsid w:val="34F33406"/>
    <w:rsid w:val="34FD7B87"/>
    <w:rsid w:val="34FF3EF1"/>
    <w:rsid w:val="351E728B"/>
    <w:rsid w:val="35262C3A"/>
    <w:rsid w:val="35435592"/>
    <w:rsid w:val="35480D50"/>
    <w:rsid w:val="355359F9"/>
    <w:rsid w:val="35663D6F"/>
    <w:rsid w:val="358B0CEF"/>
    <w:rsid w:val="360C18B4"/>
    <w:rsid w:val="364D069A"/>
    <w:rsid w:val="36541A28"/>
    <w:rsid w:val="365C268B"/>
    <w:rsid w:val="3692250F"/>
    <w:rsid w:val="36AA5135"/>
    <w:rsid w:val="36F31241"/>
    <w:rsid w:val="370074BA"/>
    <w:rsid w:val="37060F75"/>
    <w:rsid w:val="37153A06"/>
    <w:rsid w:val="372238D5"/>
    <w:rsid w:val="375F0685"/>
    <w:rsid w:val="376D39B2"/>
    <w:rsid w:val="3777432D"/>
    <w:rsid w:val="3792785A"/>
    <w:rsid w:val="37BD09EA"/>
    <w:rsid w:val="37CE75B8"/>
    <w:rsid w:val="37E16F03"/>
    <w:rsid w:val="380E0015"/>
    <w:rsid w:val="385F275A"/>
    <w:rsid w:val="386341A5"/>
    <w:rsid w:val="3899066A"/>
    <w:rsid w:val="38C154C4"/>
    <w:rsid w:val="38C764E2"/>
    <w:rsid w:val="38D34E55"/>
    <w:rsid w:val="38D469F0"/>
    <w:rsid w:val="38D52365"/>
    <w:rsid w:val="38E70797"/>
    <w:rsid w:val="38E93B09"/>
    <w:rsid w:val="390A4620"/>
    <w:rsid w:val="392A2847"/>
    <w:rsid w:val="394D6F17"/>
    <w:rsid w:val="396C0E37"/>
    <w:rsid w:val="39965008"/>
    <w:rsid w:val="39AE5762"/>
    <w:rsid w:val="39C11183"/>
    <w:rsid w:val="39C576F9"/>
    <w:rsid w:val="39CA6372"/>
    <w:rsid w:val="39E5694E"/>
    <w:rsid w:val="39E66E3B"/>
    <w:rsid w:val="3A1E0383"/>
    <w:rsid w:val="3A3D4FA9"/>
    <w:rsid w:val="3A5214D0"/>
    <w:rsid w:val="3A5A43D8"/>
    <w:rsid w:val="3A702F14"/>
    <w:rsid w:val="3A790209"/>
    <w:rsid w:val="3A7E4FB6"/>
    <w:rsid w:val="3A9B19D4"/>
    <w:rsid w:val="3AC0768C"/>
    <w:rsid w:val="3B5879B5"/>
    <w:rsid w:val="3B595665"/>
    <w:rsid w:val="3B895CD0"/>
    <w:rsid w:val="3B8A4914"/>
    <w:rsid w:val="3B9F30CD"/>
    <w:rsid w:val="3BAB20EB"/>
    <w:rsid w:val="3BAC7DAB"/>
    <w:rsid w:val="3BCD4010"/>
    <w:rsid w:val="3BD50F16"/>
    <w:rsid w:val="3BE222F2"/>
    <w:rsid w:val="3BE519B4"/>
    <w:rsid w:val="3BEF58F0"/>
    <w:rsid w:val="3BFE4544"/>
    <w:rsid w:val="3C065573"/>
    <w:rsid w:val="3C0D46C7"/>
    <w:rsid w:val="3C10246E"/>
    <w:rsid w:val="3C1B147E"/>
    <w:rsid w:val="3C1D466B"/>
    <w:rsid w:val="3C3A6FCB"/>
    <w:rsid w:val="3C452FAA"/>
    <w:rsid w:val="3C5650C3"/>
    <w:rsid w:val="3C836BC3"/>
    <w:rsid w:val="3CC24B79"/>
    <w:rsid w:val="3CD20C6B"/>
    <w:rsid w:val="3D29215E"/>
    <w:rsid w:val="3D4132CC"/>
    <w:rsid w:val="3D4E5423"/>
    <w:rsid w:val="3D5C72B9"/>
    <w:rsid w:val="3D98207C"/>
    <w:rsid w:val="3DA16634"/>
    <w:rsid w:val="3DB64BD6"/>
    <w:rsid w:val="3DCC00F6"/>
    <w:rsid w:val="3E027005"/>
    <w:rsid w:val="3E0B6E71"/>
    <w:rsid w:val="3E247F32"/>
    <w:rsid w:val="3E706050"/>
    <w:rsid w:val="3E732C75"/>
    <w:rsid w:val="3E781495"/>
    <w:rsid w:val="3E78745D"/>
    <w:rsid w:val="3E7F79CC"/>
    <w:rsid w:val="3EA352FB"/>
    <w:rsid w:val="3EC9619F"/>
    <w:rsid w:val="3EDA2307"/>
    <w:rsid w:val="3F075C3C"/>
    <w:rsid w:val="3F163786"/>
    <w:rsid w:val="3F182351"/>
    <w:rsid w:val="3F29681A"/>
    <w:rsid w:val="3F3B19D7"/>
    <w:rsid w:val="3F805724"/>
    <w:rsid w:val="3F895BC8"/>
    <w:rsid w:val="3F8C2D1A"/>
    <w:rsid w:val="3FA662BC"/>
    <w:rsid w:val="3FDD2ADE"/>
    <w:rsid w:val="3FED6C04"/>
    <w:rsid w:val="40104C12"/>
    <w:rsid w:val="403F1053"/>
    <w:rsid w:val="407C22A8"/>
    <w:rsid w:val="40996ECE"/>
    <w:rsid w:val="409A0980"/>
    <w:rsid w:val="40AC52D1"/>
    <w:rsid w:val="40D7128C"/>
    <w:rsid w:val="40FF0EE5"/>
    <w:rsid w:val="41270465"/>
    <w:rsid w:val="41590C35"/>
    <w:rsid w:val="41A35612"/>
    <w:rsid w:val="41DC5E77"/>
    <w:rsid w:val="41F84112"/>
    <w:rsid w:val="42426100"/>
    <w:rsid w:val="424829E2"/>
    <w:rsid w:val="426D00FA"/>
    <w:rsid w:val="428044C2"/>
    <w:rsid w:val="4292190E"/>
    <w:rsid w:val="42984A4B"/>
    <w:rsid w:val="429C09DF"/>
    <w:rsid w:val="42BF46CD"/>
    <w:rsid w:val="42CC683C"/>
    <w:rsid w:val="42F241AC"/>
    <w:rsid w:val="42F30CCD"/>
    <w:rsid w:val="42F9198D"/>
    <w:rsid w:val="43036368"/>
    <w:rsid w:val="43163BC9"/>
    <w:rsid w:val="432602A9"/>
    <w:rsid w:val="432936E2"/>
    <w:rsid w:val="433165D2"/>
    <w:rsid w:val="43561376"/>
    <w:rsid w:val="437A3BAA"/>
    <w:rsid w:val="4447497A"/>
    <w:rsid w:val="446077EA"/>
    <w:rsid w:val="4467501D"/>
    <w:rsid w:val="44906321"/>
    <w:rsid w:val="44932C28"/>
    <w:rsid w:val="44935E12"/>
    <w:rsid w:val="44A470CE"/>
    <w:rsid w:val="44A616A1"/>
    <w:rsid w:val="44AB4F09"/>
    <w:rsid w:val="44E268DA"/>
    <w:rsid w:val="451B69DA"/>
    <w:rsid w:val="452A0524"/>
    <w:rsid w:val="452F4DFF"/>
    <w:rsid w:val="453167C1"/>
    <w:rsid w:val="4550785F"/>
    <w:rsid w:val="45763769"/>
    <w:rsid w:val="458212C8"/>
    <w:rsid w:val="458661B6"/>
    <w:rsid w:val="45D64208"/>
    <w:rsid w:val="45F47552"/>
    <w:rsid w:val="45F97A3B"/>
    <w:rsid w:val="46250CEB"/>
    <w:rsid w:val="46377F79"/>
    <w:rsid w:val="46582E6F"/>
    <w:rsid w:val="468E063F"/>
    <w:rsid w:val="46A95479"/>
    <w:rsid w:val="46A977DF"/>
    <w:rsid w:val="46FD2E33"/>
    <w:rsid w:val="471459A3"/>
    <w:rsid w:val="47376F28"/>
    <w:rsid w:val="47526956"/>
    <w:rsid w:val="477C1D76"/>
    <w:rsid w:val="477D2B80"/>
    <w:rsid w:val="47B9793D"/>
    <w:rsid w:val="47C44E63"/>
    <w:rsid w:val="47E726FC"/>
    <w:rsid w:val="48133F67"/>
    <w:rsid w:val="48320AC8"/>
    <w:rsid w:val="48335942"/>
    <w:rsid w:val="48597AA1"/>
    <w:rsid w:val="48721D91"/>
    <w:rsid w:val="48884C46"/>
    <w:rsid w:val="48A451A8"/>
    <w:rsid w:val="48B1167D"/>
    <w:rsid w:val="48BC2D06"/>
    <w:rsid w:val="48C51857"/>
    <w:rsid w:val="48D4450F"/>
    <w:rsid w:val="48DA400F"/>
    <w:rsid w:val="48EE56EE"/>
    <w:rsid w:val="4909445A"/>
    <w:rsid w:val="49143AAF"/>
    <w:rsid w:val="49221512"/>
    <w:rsid w:val="49706721"/>
    <w:rsid w:val="497C6E74"/>
    <w:rsid w:val="498D2E30"/>
    <w:rsid w:val="49C90224"/>
    <w:rsid w:val="49E12311"/>
    <w:rsid w:val="49F64E05"/>
    <w:rsid w:val="4A0C0D60"/>
    <w:rsid w:val="4A3C6604"/>
    <w:rsid w:val="4A5308FE"/>
    <w:rsid w:val="4A5D0A54"/>
    <w:rsid w:val="4A627F82"/>
    <w:rsid w:val="4A9621B8"/>
    <w:rsid w:val="4AA448D5"/>
    <w:rsid w:val="4AA74645"/>
    <w:rsid w:val="4AB16FF2"/>
    <w:rsid w:val="4AB2490D"/>
    <w:rsid w:val="4AB80B86"/>
    <w:rsid w:val="4AFC6D0A"/>
    <w:rsid w:val="4B0E749A"/>
    <w:rsid w:val="4B2E0642"/>
    <w:rsid w:val="4B4B4821"/>
    <w:rsid w:val="4B4F25DA"/>
    <w:rsid w:val="4B7975C2"/>
    <w:rsid w:val="4B9F3F67"/>
    <w:rsid w:val="4BAC677A"/>
    <w:rsid w:val="4BB072A9"/>
    <w:rsid w:val="4BBE31C1"/>
    <w:rsid w:val="4BC66AD1"/>
    <w:rsid w:val="4BE068DB"/>
    <w:rsid w:val="4BE92E51"/>
    <w:rsid w:val="4BF84636"/>
    <w:rsid w:val="4C07336D"/>
    <w:rsid w:val="4C261319"/>
    <w:rsid w:val="4C5B1C44"/>
    <w:rsid w:val="4CC0176E"/>
    <w:rsid w:val="4CE33A94"/>
    <w:rsid w:val="4D446EAA"/>
    <w:rsid w:val="4D4747B3"/>
    <w:rsid w:val="4D4C1006"/>
    <w:rsid w:val="4D4D31CF"/>
    <w:rsid w:val="4D577224"/>
    <w:rsid w:val="4D7471F9"/>
    <w:rsid w:val="4DA644C0"/>
    <w:rsid w:val="4DC25072"/>
    <w:rsid w:val="4DFC5391"/>
    <w:rsid w:val="4E956242"/>
    <w:rsid w:val="4EA16178"/>
    <w:rsid w:val="4EAB630A"/>
    <w:rsid w:val="4ECA73AE"/>
    <w:rsid w:val="4ECE2238"/>
    <w:rsid w:val="4EE71234"/>
    <w:rsid w:val="4EEE25C2"/>
    <w:rsid w:val="4F22401A"/>
    <w:rsid w:val="4F5E3B4E"/>
    <w:rsid w:val="4F786330"/>
    <w:rsid w:val="4F8D32AD"/>
    <w:rsid w:val="4FA664CB"/>
    <w:rsid w:val="4FAA2A0F"/>
    <w:rsid w:val="4FE01C4C"/>
    <w:rsid w:val="500707B0"/>
    <w:rsid w:val="501C1B6F"/>
    <w:rsid w:val="503B1BA2"/>
    <w:rsid w:val="50573162"/>
    <w:rsid w:val="505C355C"/>
    <w:rsid w:val="507C3BFE"/>
    <w:rsid w:val="508C575D"/>
    <w:rsid w:val="509671E9"/>
    <w:rsid w:val="50B908CE"/>
    <w:rsid w:val="50C87C29"/>
    <w:rsid w:val="50CF5018"/>
    <w:rsid w:val="50D423CB"/>
    <w:rsid w:val="510460CD"/>
    <w:rsid w:val="510A432F"/>
    <w:rsid w:val="510D2AA8"/>
    <w:rsid w:val="512D6CA6"/>
    <w:rsid w:val="514B72BE"/>
    <w:rsid w:val="51704DAC"/>
    <w:rsid w:val="518A5EA7"/>
    <w:rsid w:val="518D21E0"/>
    <w:rsid w:val="51C66CCF"/>
    <w:rsid w:val="520420FD"/>
    <w:rsid w:val="521F6F37"/>
    <w:rsid w:val="52391DA6"/>
    <w:rsid w:val="523C056E"/>
    <w:rsid w:val="52462715"/>
    <w:rsid w:val="52576C31"/>
    <w:rsid w:val="528559C7"/>
    <w:rsid w:val="528A2602"/>
    <w:rsid w:val="528A3533"/>
    <w:rsid w:val="52917F8D"/>
    <w:rsid w:val="52A262D4"/>
    <w:rsid w:val="52A80CDA"/>
    <w:rsid w:val="52D052D4"/>
    <w:rsid w:val="52EB0BC7"/>
    <w:rsid w:val="53227641"/>
    <w:rsid w:val="532661E6"/>
    <w:rsid w:val="533D505A"/>
    <w:rsid w:val="53654E1D"/>
    <w:rsid w:val="536E11E4"/>
    <w:rsid w:val="536E33AD"/>
    <w:rsid w:val="53785DDB"/>
    <w:rsid w:val="537E6D0A"/>
    <w:rsid w:val="5384657A"/>
    <w:rsid w:val="539E42B0"/>
    <w:rsid w:val="53C30205"/>
    <w:rsid w:val="53C94B67"/>
    <w:rsid w:val="53DB6E8D"/>
    <w:rsid w:val="53EC33B3"/>
    <w:rsid w:val="54400E4B"/>
    <w:rsid w:val="54A124D1"/>
    <w:rsid w:val="54B971CF"/>
    <w:rsid w:val="54C0055D"/>
    <w:rsid w:val="54DC7B0A"/>
    <w:rsid w:val="54E33989"/>
    <w:rsid w:val="54E87AB4"/>
    <w:rsid w:val="55313209"/>
    <w:rsid w:val="55380FE5"/>
    <w:rsid w:val="553A5503"/>
    <w:rsid w:val="55427836"/>
    <w:rsid w:val="556F0734"/>
    <w:rsid w:val="559B4B26"/>
    <w:rsid w:val="55BF1E12"/>
    <w:rsid w:val="55CA41BD"/>
    <w:rsid w:val="55DD6EED"/>
    <w:rsid w:val="55F04E72"/>
    <w:rsid w:val="55FF6E63"/>
    <w:rsid w:val="562B4FB5"/>
    <w:rsid w:val="562D652E"/>
    <w:rsid w:val="564231F4"/>
    <w:rsid w:val="566118CC"/>
    <w:rsid w:val="566C73E3"/>
    <w:rsid w:val="56737851"/>
    <w:rsid w:val="5686115B"/>
    <w:rsid w:val="56900687"/>
    <w:rsid w:val="571B2E5A"/>
    <w:rsid w:val="5728063B"/>
    <w:rsid w:val="57550741"/>
    <w:rsid w:val="577E3452"/>
    <w:rsid w:val="577F4757"/>
    <w:rsid w:val="577F494E"/>
    <w:rsid w:val="579D2DD8"/>
    <w:rsid w:val="57A53A3A"/>
    <w:rsid w:val="57C71C02"/>
    <w:rsid w:val="58450D79"/>
    <w:rsid w:val="58515970"/>
    <w:rsid w:val="58584F50"/>
    <w:rsid w:val="5862602D"/>
    <w:rsid w:val="587058F9"/>
    <w:rsid w:val="5875340D"/>
    <w:rsid w:val="58832326"/>
    <w:rsid w:val="5886571D"/>
    <w:rsid w:val="58D42829"/>
    <w:rsid w:val="58DC7930"/>
    <w:rsid w:val="58EB3729"/>
    <w:rsid w:val="58FC58DC"/>
    <w:rsid w:val="591D3FD3"/>
    <w:rsid w:val="59215148"/>
    <w:rsid w:val="593826CE"/>
    <w:rsid w:val="59417793"/>
    <w:rsid w:val="59433723"/>
    <w:rsid w:val="595474C6"/>
    <w:rsid w:val="59600776"/>
    <w:rsid w:val="596D6B0E"/>
    <w:rsid w:val="59D67C33"/>
    <w:rsid w:val="59D81EA5"/>
    <w:rsid w:val="59E720E8"/>
    <w:rsid w:val="5A1934B8"/>
    <w:rsid w:val="5A275DC3"/>
    <w:rsid w:val="5A4237C2"/>
    <w:rsid w:val="5A4F6468"/>
    <w:rsid w:val="5A500495"/>
    <w:rsid w:val="5A533C21"/>
    <w:rsid w:val="5A5F25C6"/>
    <w:rsid w:val="5A646165"/>
    <w:rsid w:val="5A7B1A60"/>
    <w:rsid w:val="5A8B33BB"/>
    <w:rsid w:val="5AD51017"/>
    <w:rsid w:val="5AE91E90"/>
    <w:rsid w:val="5AE96334"/>
    <w:rsid w:val="5AF92295"/>
    <w:rsid w:val="5AFC0709"/>
    <w:rsid w:val="5B19553C"/>
    <w:rsid w:val="5B1C7CE6"/>
    <w:rsid w:val="5B231846"/>
    <w:rsid w:val="5B2F2FDF"/>
    <w:rsid w:val="5B6A7475"/>
    <w:rsid w:val="5B772776"/>
    <w:rsid w:val="5B8874CC"/>
    <w:rsid w:val="5B8878FB"/>
    <w:rsid w:val="5BBD57F6"/>
    <w:rsid w:val="5BF8682E"/>
    <w:rsid w:val="5C29540E"/>
    <w:rsid w:val="5C317F92"/>
    <w:rsid w:val="5C657464"/>
    <w:rsid w:val="5C741C2D"/>
    <w:rsid w:val="5CA70254"/>
    <w:rsid w:val="5CD71FC4"/>
    <w:rsid w:val="5CE943C9"/>
    <w:rsid w:val="5CFF1E3E"/>
    <w:rsid w:val="5D0B2591"/>
    <w:rsid w:val="5D271942"/>
    <w:rsid w:val="5D700646"/>
    <w:rsid w:val="5D861A18"/>
    <w:rsid w:val="5D88268C"/>
    <w:rsid w:val="5D97316D"/>
    <w:rsid w:val="5DA54794"/>
    <w:rsid w:val="5DC213F1"/>
    <w:rsid w:val="5DE055FE"/>
    <w:rsid w:val="5E0C46A8"/>
    <w:rsid w:val="5E1E4546"/>
    <w:rsid w:val="5E2002BE"/>
    <w:rsid w:val="5E2211DA"/>
    <w:rsid w:val="5E4775F9"/>
    <w:rsid w:val="5E5166CA"/>
    <w:rsid w:val="5E680B88"/>
    <w:rsid w:val="5E940365"/>
    <w:rsid w:val="5EAC1B52"/>
    <w:rsid w:val="5EBA0DC9"/>
    <w:rsid w:val="5ED82947"/>
    <w:rsid w:val="5F531FCE"/>
    <w:rsid w:val="5F5F4E16"/>
    <w:rsid w:val="5F887544"/>
    <w:rsid w:val="5FA76451"/>
    <w:rsid w:val="5FCE4A2E"/>
    <w:rsid w:val="5FE455B0"/>
    <w:rsid w:val="5FEB0458"/>
    <w:rsid w:val="5FFA3C1F"/>
    <w:rsid w:val="602219D3"/>
    <w:rsid w:val="6054424F"/>
    <w:rsid w:val="608D177B"/>
    <w:rsid w:val="60C5514D"/>
    <w:rsid w:val="60C625CB"/>
    <w:rsid w:val="60DD2497"/>
    <w:rsid w:val="60FC7ED1"/>
    <w:rsid w:val="614D474F"/>
    <w:rsid w:val="617C580C"/>
    <w:rsid w:val="619363FA"/>
    <w:rsid w:val="61B23BEA"/>
    <w:rsid w:val="61F41846"/>
    <w:rsid w:val="62215048"/>
    <w:rsid w:val="62352CE2"/>
    <w:rsid w:val="62845062"/>
    <w:rsid w:val="62861BF5"/>
    <w:rsid w:val="629D4EC1"/>
    <w:rsid w:val="62C30E7C"/>
    <w:rsid w:val="62CF1BD7"/>
    <w:rsid w:val="62D460A8"/>
    <w:rsid w:val="62D77E47"/>
    <w:rsid w:val="63046B4C"/>
    <w:rsid w:val="63777144"/>
    <w:rsid w:val="637C2D02"/>
    <w:rsid w:val="637D3ABD"/>
    <w:rsid w:val="637F15E3"/>
    <w:rsid w:val="63A23B32"/>
    <w:rsid w:val="63A80DB4"/>
    <w:rsid w:val="642E54A1"/>
    <w:rsid w:val="6435150A"/>
    <w:rsid w:val="64416899"/>
    <w:rsid w:val="64657690"/>
    <w:rsid w:val="646F46AB"/>
    <w:rsid w:val="649344FA"/>
    <w:rsid w:val="64BC23C3"/>
    <w:rsid w:val="64C00C97"/>
    <w:rsid w:val="64EB5977"/>
    <w:rsid w:val="651A36E6"/>
    <w:rsid w:val="65297A59"/>
    <w:rsid w:val="6535464F"/>
    <w:rsid w:val="65532D27"/>
    <w:rsid w:val="655908A2"/>
    <w:rsid w:val="656E2BBA"/>
    <w:rsid w:val="657867C9"/>
    <w:rsid w:val="6585070B"/>
    <w:rsid w:val="65A25C2E"/>
    <w:rsid w:val="65AE5CF6"/>
    <w:rsid w:val="65B05059"/>
    <w:rsid w:val="65D247E6"/>
    <w:rsid w:val="65D35307"/>
    <w:rsid w:val="65FC4269"/>
    <w:rsid w:val="66014531"/>
    <w:rsid w:val="66062232"/>
    <w:rsid w:val="660D048C"/>
    <w:rsid w:val="663C7C5F"/>
    <w:rsid w:val="666A7A0E"/>
    <w:rsid w:val="6675128B"/>
    <w:rsid w:val="668F2A3A"/>
    <w:rsid w:val="669171D4"/>
    <w:rsid w:val="66AD7426"/>
    <w:rsid w:val="67216DB2"/>
    <w:rsid w:val="673646AF"/>
    <w:rsid w:val="675F29F2"/>
    <w:rsid w:val="676A5052"/>
    <w:rsid w:val="676F2EA5"/>
    <w:rsid w:val="67B33F51"/>
    <w:rsid w:val="67DC1600"/>
    <w:rsid w:val="67EB106D"/>
    <w:rsid w:val="67F225DA"/>
    <w:rsid w:val="67FD1E64"/>
    <w:rsid w:val="68106CAE"/>
    <w:rsid w:val="68152BB6"/>
    <w:rsid w:val="68165DD0"/>
    <w:rsid w:val="683C10FB"/>
    <w:rsid w:val="685272C6"/>
    <w:rsid w:val="68613F36"/>
    <w:rsid w:val="686D157D"/>
    <w:rsid w:val="688C5948"/>
    <w:rsid w:val="68DF3C37"/>
    <w:rsid w:val="691B6DAC"/>
    <w:rsid w:val="692013F5"/>
    <w:rsid w:val="69653539"/>
    <w:rsid w:val="69733998"/>
    <w:rsid w:val="69765236"/>
    <w:rsid w:val="697B05A6"/>
    <w:rsid w:val="69C9180A"/>
    <w:rsid w:val="69E73B34"/>
    <w:rsid w:val="69F50AB8"/>
    <w:rsid w:val="6A3C68F1"/>
    <w:rsid w:val="6A6634FD"/>
    <w:rsid w:val="6A6C63A9"/>
    <w:rsid w:val="6A7B13C8"/>
    <w:rsid w:val="6A877725"/>
    <w:rsid w:val="6ADA17F5"/>
    <w:rsid w:val="6B1B5013"/>
    <w:rsid w:val="6B347157"/>
    <w:rsid w:val="6B5B2936"/>
    <w:rsid w:val="6B633598"/>
    <w:rsid w:val="6B8C01BB"/>
    <w:rsid w:val="6B9E7E1C"/>
    <w:rsid w:val="6BA2210F"/>
    <w:rsid w:val="6BB47F24"/>
    <w:rsid w:val="6BC06C3D"/>
    <w:rsid w:val="6BC90267"/>
    <w:rsid w:val="6BE569DC"/>
    <w:rsid w:val="6BF1329A"/>
    <w:rsid w:val="6BFD579B"/>
    <w:rsid w:val="6C1E5EED"/>
    <w:rsid w:val="6C30791F"/>
    <w:rsid w:val="6C4A05C8"/>
    <w:rsid w:val="6C5630FD"/>
    <w:rsid w:val="6C7402DA"/>
    <w:rsid w:val="6CD72A52"/>
    <w:rsid w:val="6CF27687"/>
    <w:rsid w:val="6D091F08"/>
    <w:rsid w:val="6D332285"/>
    <w:rsid w:val="6D413DAD"/>
    <w:rsid w:val="6D583155"/>
    <w:rsid w:val="6D5D50EA"/>
    <w:rsid w:val="6D6261FE"/>
    <w:rsid w:val="6D7424BC"/>
    <w:rsid w:val="6DE05374"/>
    <w:rsid w:val="6E160D96"/>
    <w:rsid w:val="6E2D10AB"/>
    <w:rsid w:val="6E421B8B"/>
    <w:rsid w:val="6E7709A4"/>
    <w:rsid w:val="6E7855AD"/>
    <w:rsid w:val="6E7E3605"/>
    <w:rsid w:val="6E9221CF"/>
    <w:rsid w:val="6E932A2D"/>
    <w:rsid w:val="6EC3051F"/>
    <w:rsid w:val="6ED8604B"/>
    <w:rsid w:val="6EF2710D"/>
    <w:rsid w:val="6F0160FE"/>
    <w:rsid w:val="6F072179"/>
    <w:rsid w:val="6F4F27B2"/>
    <w:rsid w:val="6F5B4BE9"/>
    <w:rsid w:val="6F96218E"/>
    <w:rsid w:val="6FD14D1F"/>
    <w:rsid w:val="6FF5CC65"/>
    <w:rsid w:val="7004359C"/>
    <w:rsid w:val="70131129"/>
    <w:rsid w:val="703B2D36"/>
    <w:rsid w:val="704E1DD5"/>
    <w:rsid w:val="707B75D6"/>
    <w:rsid w:val="70AA6ABF"/>
    <w:rsid w:val="70CD7E32"/>
    <w:rsid w:val="70F94862"/>
    <w:rsid w:val="710D6480"/>
    <w:rsid w:val="712C3D7F"/>
    <w:rsid w:val="712F0780"/>
    <w:rsid w:val="71303F5E"/>
    <w:rsid w:val="714B51FB"/>
    <w:rsid w:val="715C0E4B"/>
    <w:rsid w:val="7161057A"/>
    <w:rsid w:val="719A3A8C"/>
    <w:rsid w:val="71D376CA"/>
    <w:rsid w:val="71DB4C11"/>
    <w:rsid w:val="71E4311C"/>
    <w:rsid w:val="71E66C33"/>
    <w:rsid w:val="720676AD"/>
    <w:rsid w:val="72186197"/>
    <w:rsid w:val="721E646B"/>
    <w:rsid w:val="72734D90"/>
    <w:rsid w:val="72760055"/>
    <w:rsid w:val="727E4E2F"/>
    <w:rsid w:val="72824C4C"/>
    <w:rsid w:val="729329B5"/>
    <w:rsid w:val="729B07BA"/>
    <w:rsid w:val="729D0A96"/>
    <w:rsid w:val="72C232B3"/>
    <w:rsid w:val="730074EB"/>
    <w:rsid w:val="73010CB3"/>
    <w:rsid w:val="73394A20"/>
    <w:rsid w:val="73493AAB"/>
    <w:rsid w:val="734B0E16"/>
    <w:rsid w:val="734D525A"/>
    <w:rsid w:val="7399049F"/>
    <w:rsid w:val="739C6245"/>
    <w:rsid w:val="73AD0947"/>
    <w:rsid w:val="73AD73D5"/>
    <w:rsid w:val="73B6EB34"/>
    <w:rsid w:val="741A0C59"/>
    <w:rsid w:val="74331C7A"/>
    <w:rsid w:val="744731E5"/>
    <w:rsid w:val="745240E9"/>
    <w:rsid w:val="746C5BB4"/>
    <w:rsid w:val="747A1CE2"/>
    <w:rsid w:val="74CF2AEB"/>
    <w:rsid w:val="74E27046"/>
    <w:rsid w:val="74F82FA3"/>
    <w:rsid w:val="74FD4A5E"/>
    <w:rsid w:val="75183646"/>
    <w:rsid w:val="751C4038"/>
    <w:rsid w:val="752943E7"/>
    <w:rsid w:val="753816C8"/>
    <w:rsid w:val="75596138"/>
    <w:rsid w:val="7589009F"/>
    <w:rsid w:val="758F5CC4"/>
    <w:rsid w:val="75932CCC"/>
    <w:rsid w:val="75C15A8B"/>
    <w:rsid w:val="75E8126A"/>
    <w:rsid w:val="75FB1C4A"/>
    <w:rsid w:val="761D6AB0"/>
    <w:rsid w:val="76263B40"/>
    <w:rsid w:val="764D0FCD"/>
    <w:rsid w:val="766052A4"/>
    <w:rsid w:val="76E3355F"/>
    <w:rsid w:val="770E4D00"/>
    <w:rsid w:val="772C4001"/>
    <w:rsid w:val="77472401"/>
    <w:rsid w:val="77610DDC"/>
    <w:rsid w:val="77611433"/>
    <w:rsid w:val="777803CC"/>
    <w:rsid w:val="778769C8"/>
    <w:rsid w:val="77A03579"/>
    <w:rsid w:val="77A47A01"/>
    <w:rsid w:val="77C27770"/>
    <w:rsid w:val="77F27A3E"/>
    <w:rsid w:val="77F70CDE"/>
    <w:rsid w:val="7840771E"/>
    <w:rsid w:val="78464FFF"/>
    <w:rsid w:val="786F4239"/>
    <w:rsid w:val="78917997"/>
    <w:rsid w:val="78931961"/>
    <w:rsid w:val="789F2C0C"/>
    <w:rsid w:val="78A3591C"/>
    <w:rsid w:val="78E35D19"/>
    <w:rsid w:val="794C1B10"/>
    <w:rsid w:val="79527849"/>
    <w:rsid w:val="79765F5B"/>
    <w:rsid w:val="79872B48"/>
    <w:rsid w:val="79894B12"/>
    <w:rsid w:val="79975AC4"/>
    <w:rsid w:val="799C1155"/>
    <w:rsid w:val="79A715B3"/>
    <w:rsid w:val="79EE5BA4"/>
    <w:rsid w:val="79F75F20"/>
    <w:rsid w:val="7A205191"/>
    <w:rsid w:val="7A2F7467"/>
    <w:rsid w:val="7A425966"/>
    <w:rsid w:val="7A435965"/>
    <w:rsid w:val="7A4D5B40"/>
    <w:rsid w:val="7A7C4677"/>
    <w:rsid w:val="7A894339"/>
    <w:rsid w:val="7A904DD0"/>
    <w:rsid w:val="7AAC3A70"/>
    <w:rsid w:val="7B2F5245"/>
    <w:rsid w:val="7B6018A2"/>
    <w:rsid w:val="7B656EB9"/>
    <w:rsid w:val="7B6E3FBF"/>
    <w:rsid w:val="7B7716E6"/>
    <w:rsid w:val="7B7B2991"/>
    <w:rsid w:val="7B99061A"/>
    <w:rsid w:val="7B9E4D4A"/>
    <w:rsid w:val="7BDF46BF"/>
    <w:rsid w:val="7C156B31"/>
    <w:rsid w:val="7C255B52"/>
    <w:rsid w:val="7C3B58EA"/>
    <w:rsid w:val="7C6A425F"/>
    <w:rsid w:val="7CAD4FBB"/>
    <w:rsid w:val="7CE66386"/>
    <w:rsid w:val="7CE81B50"/>
    <w:rsid w:val="7CEC7FBE"/>
    <w:rsid w:val="7D1C455C"/>
    <w:rsid w:val="7D496833"/>
    <w:rsid w:val="7D5E1E12"/>
    <w:rsid w:val="7D627B54"/>
    <w:rsid w:val="7D7B6E68"/>
    <w:rsid w:val="7D847ACA"/>
    <w:rsid w:val="7DDB4957"/>
    <w:rsid w:val="7DF033B2"/>
    <w:rsid w:val="7E372D8F"/>
    <w:rsid w:val="7E3D6500"/>
    <w:rsid w:val="7E4E4CA4"/>
    <w:rsid w:val="7E691EC9"/>
    <w:rsid w:val="7E6D4880"/>
    <w:rsid w:val="7E7C2E97"/>
    <w:rsid w:val="7E926285"/>
    <w:rsid w:val="7EAF557B"/>
    <w:rsid w:val="7EB048EF"/>
    <w:rsid w:val="7EC34622"/>
    <w:rsid w:val="7ECE167A"/>
    <w:rsid w:val="7EEF11D3"/>
    <w:rsid w:val="7F04079C"/>
    <w:rsid w:val="7F6466F7"/>
    <w:rsid w:val="7F777800"/>
    <w:rsid w:val="7F8F1C0A"/>
    <w:rsid w:val="7FA30C79"/>
    <w:rsid w:val="7FB7269E"/>
    <w:rsid w:val="7FC96657"/>
    <w:rsid w:val="7FEE3921"/>
    <w:rsid w:val="D8D6DB89"/>
    <w:rsid w:val="DB6F4CAB"/>
    <w:rsid w:val="DF6F9789"/>
    <w:rsid w:val="FF5E2D2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21"/>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30"/>
    <w:qFormat/>
    <w:uiPriority w:val="99"/>
    <w:pPr>
      <w:spacing w:beforeLines="30"/>
    </w:pPr>
    <w:rPr>
      <w:rFonts w:ascii="仿宋_GB2312" w:eastAsia="仿宋_GB2312"/>
      <w:kern w:val="0"/>
      <w:sz w:val="30"/>
    </w:rPr>
  </w:style>
  <w:style w:type="paragraph" w:styleId="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7">
    <w:name w:val="Body Text Indent"/>
    <w:basedOn w:val="1"/>
    <w:qFormat/>
    <w:uiPriority w:val="0"/>
    <w:pPr>
      <w:spacing w:after="120"/>
      <w:ind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4"/>
    <w:semiHidden/>
    <w:unhideWhenUsed/>
    <w:qFormat/>
    <w:uiPriority w:val="99"/>
    <w:rPr>
      <w:sz w:val="18"/>
      <w:szCs w:val="18"/>
    </w:rPr>
  </w:style>
  <w:style w:type="paragraph" w:styleId="10">
    <w:name w:val="footer"/>
    <w:basedOn w:val="1"/>
    <w:link w:val="28"/>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2"/>
    <w:basedOn w:val="1"/>
    <w:next w:val="1"/>
    <w:unhideWhenUsed/>
    <w:qFormat/>
    <w:uiPriority w:val="39"/>
    <w:pPr>
      <w:tabs>
        <w:tab w:val="right" w:leader="dot" w:pos="8296"/>
      </w:tabs>
      <w:ind w:left="420" w:leftChars="200"/>
    </w:pPr>
  </w:style>
  <w:style w:type="paragraph" w:styleId="13">
    <w:name w:val="Normal (Web)"/>
    <w:basedOn w:val="1"/>
    <w:qFormat/>
    <w:uiPriority w:val="0"/>
    <w:pPr>
      <w:widowControl/>
      <w:spacing w:before="100" w:beforeAutospacing="1" w:after="100" w:afterAutospacing="1"/>
      <w:jc w:val="left"/>
    </w:pPr>
    <w:rPr>
      <w:rFonts w:ascii="宋体" w:eastAsia="宋体" w:cs="宋体"/>
      <w:kern w:val="0"/>
      <w:sz w:val="24"/>
      <w:szCs w:val="24"/>
    </w:rPr>
  </w:style>
  <w:style w:type="paragraph" w:styleId="14">
    <w:name w:val="Body Text First Indent 2"/>
    <w:basedOn w:val="7"/>
    <w:unhideWhenUsed/>
    <w:qFormat/>
    <w:uiPriority w:val="99"/>
    <w:pPr>
      <w:ind w:firstLine="420" w:firstLine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customStyle="1" w:styleId="19">
    <w:name w:val="标题 1 Char"/>
    <w:basedOn w:val="16"/>
    <w:link w:val="4"/>
    <w:qFormat/>
    <w:uiPriority w:val="9"/>
    <w:rPr>
      <w:rFonts w:ascii="Times New Roman" w:hAnsi="Times New Roman"/>
      <w:b/>
      <w:bCs/>
      <w:kern w:val="44"/>
      <w:sz w:val="44"/>
      <w:szCs w:val="44"/>
    </w:rPr>
  </w:style>
  <w:style w:type="character" w:customStyle="1" w:styleId="20">
    <w:name w:val="标题 2 Char"/>
    <w:basedOn w:val="16"/>
    <w:link w:val="5"/>
    <w:qFormat/>
    <w:uiPriority w:val="9"/>
    <w:rPr>
      <w:rFonts w:asciiTheme="majorHAnsi" w:hAnsiTheme="majorHAnsi" w:eastAsiaTheme="majorEastAsia" w:cstheme="majorBidi"/>
      <w:b/>
      <w:bCs/>
      <w:kern w:val="2"/>
      <w:sz w:val="32"/>
      <w:szCs w:val="32"/>
    </w:rPr>
  </w:style>
  <w:style w:type="character" w:customStyle="1" w:styleId="21">
    <w:name w:val="标题 3 Char"/>
    <w:basedOn w:val="16"/>
    <w:link w:val="6"/>
    <w:qFormat/>
    <w:uiPriority w:val="9"/>
    <w:rPr>
      <w:rFonts w:ascii="Times New Roman" w:hAnsi="Times New Roman"/>
      <w:b/>
      <w:bCs/>
      <w:kern w:val="2"/>
      <w:sz w:val="32"/>
      <w:szCs w:val="32"/>
    </w:rPr>
  </w:style>
  <w:style w:type="paragraph" w:customStyle="1" w:styleId="22">
    <w:name w:val="样式 行距: 固定值 28.9 磅"/>
    <w:basedOn w:val="1"/>
    <w:next w:val="23"/>
    <w:qFormat/>
    <w:uiPriority w:val="0"/>
    <w:pPr>
      <w:spacing w:line="578" w:lineRule="exact"/>
    </w:pPr>
    <w:rPr>
      <w:rFonts w:cs="宋体"/>
      <w:szCs w:val="20"/>
      <w:lang w:bidi="ar-SA"/>
    </w:rPr>
  </w:style>
  <w:style w:type="paragraph" w:customStyle="1" w:styleId="23">
    <w:name w:val="Heading"/>
    <w:basedOn w:val="1"/>
    <w:next w:val="2"/>
    <w:qFormat/>
    <w:uiPriority w:val="0"/>
    <w:pPr>
      <w:keepNext/>
      <w:widowControl w:val="0"/>
      <w:suppressAutoHyphens/>
      <w:spacing w:before="240" w:after="120"/>
    </w:pPr>
    <w:rPr>
      <w:rFonts w:ascii="Liberation Sans" w:hAnsi="Liberation Sans" w:eastAsia="Noto Sans CJK SC Regular" w:cs="Noto Sans CJK SC Regular"/>
      <w:sz w:val="28"/>
      <w:szCs w:val="28"/>
      <w:lang w:bidi="ar-SA"/>
    </w:rPr>
  </w:style>
  <w:style w:type="paragraph" w:customStyle="1" w:styleId="24">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5">
    <w:name w:val="Header Char"/>
    <w:basedOn w:val="16"/>
    <w:semiHidden/>
    <w:qFormat/>
    <w:uiPriority w:val="99"/>
    <w:rPr>
      <w:rFonts w:ascii="Times New Roman" w:hAnsi="Times New Roman"/>
      <w:sz w:val="18"/>
      <w:szCs w:val="18"/>
    </w:rPr>
  </w:style>
  <w:style w:type="character" w:customStyle="1" w:styleId="26">
    <w:name w:val="页眉 Char"/>
    <w:link w:val="11"/>
    <w:semiHidden/>
    <w:qFormat/>
    <w:locked/>
    <w:uiPriority w:val="99"/>
    <w:rPr>
      <w:sz w:val="18"/>
    </w:rPr>
  </w:style>
  <w:style w:type="character" w:customStyle="1" w:styleId="27">
    <w:name w:val="Footer Char"/>
    <w:basedOn w:val="16"/>
    <w:semiHidden/>
    <w:qFormat/>
    <w:uiPriority w:val="99"/>
    <w:rPr>
      <w:rFonts w:ascii="Times New Roman" w:hAnsi="Times New Roman"/>
      <w:sz w:val="18"/>
      <w:szCs w:val="18"/>
    </w:rPr>
  </w:style>
  <w:style w:type="character" w:customStyle="1" w:styleId="28">
    <w:name w:val="页脚 Char"/>
    <w:link w:val="10"/>
    <w:qFormat/>
    <w:locked/>
    <w:uiPriority w:val="99"/>
    <w:rPr>
      <w:sz w:val="18"/>
    </w:rPr>
  </w:style>
  <w:style w:type="character" w:customStyle="1" w:styleId="29">
    <w:name w:val="Body Text Char"/>
    <w:basedOn w:val="16"/>
    <w:semiHidden/>
    <w:qFormat/>
    <w:uiPriority w:val="99"/>
    <w:rPr>
      <w:rFonts w:ascii="Times New Roman" w:hAnsi="Times New Roman"/>
      <w:szCs w:val="24"/>
    </w:rPr>
  </w:style>
  <w:style w:type="character" w:customStyle="1" w:styleId="30">
    <w:name w:val="正文文本 Char"/>
    <w:link w:val="2"/>
    <w:qFormat/>
    <w:locked/>
    <w:uiPriority w:val="99"/>
    <w:rPr>
      <w:rFonts w:ascii="仿宋_GB2312" w:hAnsi="Times New Roman" w:eastAsia="仿宋_GB2312"/>
      <w:sz w:val="24"/>
    </w:rPr>
  </w:style>
  <w:style w:type="paragraph" w:customStyle="1" w:styleId="31">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2">
    <w:name w:val="List Paragraph"/>
    <w:basedOn w:val="1"/>
    <w:qFormat/>
    <w:uiPriority w:val="34"/>
    <w:pPr>
      <w:ind w:firstLine="420" w:firstLineChars="200"/>
    </w:pPr>
  </w:style>
  <w:style w:type="paragraph" w:customStyle="1" w:styleId="33">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批注框文本 Char"/>
    <w:basedOn w:val="16"/>
    <w:link w:val="9"/>
    <w:semiHidden/>
    <w:qFormat/>
    <w:uiPriority w:val="99"/>
    <w:rPr>
      <w:rFonts w:ascii="Times New Roman" w:hAnsi="Times New Roman"/>
      <w:kern w:val="2"/>
      <w:sz w:val="18"/>
      <w:szCs w:val="18"/>
    </w:rPr>
  </w:style>
  <w:style w:type="paragraph" w:customStyle="1" w:styleId="35">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6">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37">
    <w:name w:val="WPSOffice手动目录 1"/>
    <w:qFormat/>
    <w:uiPriority w:val="0"/>
    <w:pPr>
      <w:ind w:leftChars="0"/>
    </w:pPr>
    <w:rPr>
      <w:rFonts w:ascii="Times New Roman" w:hAnsi="Times New Roman" w:eastAsia="宋体" w:cs="Times New Roman"/>
      <w:sz w:val="20"/>
      <w:szCs w:val="20"/>
    </w:rPr>
  </w:style>
  <w:style w:type="paragraph" w:customStyle="1" w:styleId="38">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pieChart>
        <c:varyColors val="true"/>
        <c:ser>
          <c:idx val="0"/>
          <c:order val="0"/>
          <c:tx>
            <c:strRef>
              <c:f>Sheet1!$B$1</c:f>
              <c:strCache>
                <c:ptCount val="1"/>
                <c:pt idx="0">
                  <c:v>销售额</c:v>
                </c:pt>
              </c:strCache>
            </c:strRef>
          </c:tx>
          <c:spPr/>
          <c:explosion val="0"/>
          <c:dPt>
            <c:idx val="0"/>
            <c:bubble3D val="false"/>
            <c:spPr>
              <a:solidFill>
                <a:schemeClr val="accent1"/>
              </a:solidFill>
              <a:ln w="19050">
                <a:solidFill>
                  <a:schemeClr val="lt1"/>
                </a:solidFill>
              </a:ln>
              <a:effectLst/>
            </c:spPr>
          </c:dPt>
          <c:dPt>
            <c:idx val="1"/>
            <c:bubble3D val="false"/>
            <c:spPr>
              <a:solidFill>
                <a:schemeClr val="accent2"/>
              </a:solidFill>
              <a:ln w="19050">
                <a:solidFill>
                  <a:schemeClr val="lt1"/>
                </a:solidFill>
              </a:ln>
              <a:effectLst/>
            </c:spPr>
          </c:dPt>
          <c:dPt>
            <c:idx val="2"/>
            <c:bubble3D val="false"/>
            <c:spPr>
              <a:solidFill>
                <a:schemeClr val="accent3"/>
              </a:solidFill>
              <a:ln w="19050">
                <a:solidFill>
                  <a:schemeClr val="lt1"/>
                </a:solidFill>
              </a:ln>
              <a:effectLst/>
            </c:spPr>
          </c:dPt>
          <c:dPt>
            <c:idx val="3"/>
            <c:bubble3D val="false"/>
            <c:spPr>
              <a:solidFill>
                <a:schemeClr val="accent4"/>
              </a:solidFill>
              <a:ln w="19050">
                <a:solidFill>
                  <a:schemeClr val="lt1"/>
                </a:solidFill>
              </a:ln>
              <a:effectLst/>
            </c:spPr>
          </c:dPt>
          <c:dLbls>
            <c:dLbl>
              <c:idx val="0"/>
              <c:layout>
                <c:manualLayout>
                  <c:x val="0.133168200408998"/>
                  <c:y val="0"/>
                </c:manualLayout>
              </c:layout>
              <c:tx>
                <c:rich>
                  <a:bodyPr rot="0" spcFirstLastPara="0" vertOverflow="ellipsis" vert="horz" wrap="square" lIns="38100" tIns="19050" rIns="38100" bIns="19050" anchor="ctr" anchorCtr="true"/>
                  <a:lstStyle/>
                  <a:p>
                    <a:pPr defTabSz="914400">
                      <a:defRPr lang="zh-CN" sz="1200" b="0" i="0" u="none" strike="noStrike" kern="1200" baseline="0">
                        <a:solidFill>
                          <a:schemeClr val="tx1">
                            <a:lumMod val="75000"/>
                            <a:lumOff val="25000"/>
                          </a:schemeClr>
                        </a:solidFill>
                        <a:latin typeface="+mn-lt"/>
                        <a:ea typeface="+mn-ea"/>
                        <a:cs typeface="+mn-cs"/>
                      </a:defRPr>
                    </a:pPr>
                    <a:r>
                      <a:rPr lang="en-US" altLang="zh-CN" sz="1200"/>
                      <a:t>4699.40</a:t>
                    </a:r>
                    <a:r>
                      <a:rPr altLang="zh-CN" sz="1200"/>
                      <a:t>万元</a:t>
                    </a:r>
                    <a:endParaRPr altLang="zh-CN" sz="1200"/>
                  </a:p>
                  <a:p>
                    <a:pPr defTabSz="914400">
                      <a:defRPr lang="zh-CN" sz="1200" b="0" i="0" u="none" strike="noStrike" kern="1200" baseline="0">
                        <a:solidFill>
                          <a:schemeClr val="tx1">
                            <a:lumMod val="75000"/>
                            <a:lumOff val="25000"/>
                          </a:schemeClr>
                        </a:solidFill>
                        <a:latin typeface="+mn-lt"/>
                        <a:ea typeface="+mn-ea"/>
                        <a:cs typeface="+mn-cs"/>
                      </a:defRPr>
                    </a:pPr>
                    <a:r>
                      <a:rPr altLang="zh-CN" sz="1200"/>
                      <a:t>占</a:t>
                    </a:r>
                    <a:r>
                      <a:rPr lang="en-US" altLang="zh-CN" sz="1200"/>
                      <a:t>98.87%</a:t>
                    </a:r>
                    <a:endParaRPr lang="en-US" altLang="zh-CN" sz="1200"/>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manualLayout>
                      <c:w val="0.202126151665485"/>
                      <c:h val="0.202017775642565"/>
                    </c:manualLayout>
                  </c15:layout>
                </c:ext>
              </c:extLst>
            </c:dLbl>
            <c:dLbl>
              <c:idx val="1"/>
              <c:layout>
                <c:manualLayout>
                  <c:x val="-0.188708097094259"/>
                  <c:y val="0.0260661782368484"/>
                </c:manualLayout>
              </c:layout>
              <c:tx>
                <c:rich>
                  <a:bodyPr rot="0" spcFirstLastPara="0" vertOverflow="ellipsis" vert="horz" wrap="square" lIns="38100" tIns="19050" rIns="38100" bIns="19050" anchor="ctr" anchorCtr="true"/>
                  <a:lstStyle/>
                  <a:p>
                    <a:pPr defTabSz="914400">
                      <a:defRPr lang="zh-CN" sz="1200" b="0" i="0" u="none" strike="noStrike" kern="1200" baseline="0">
                        <a:solidFill>
                          <a:schemeClr val="tx1">
                            <a:lumMod val="75000"/>
                            <a:lumOff val="25000"/>
                          </a:schemeClr>
                        </a:solidFill>
                        <a:latin typeface="+mn-lt"/>
                        <a:ea typeface="+mn-ea"/>
                        <a:cs typeface="+mn-cs"/>
                      </a:defRPr>
                    </a:pPr>
                    <a:r>
                      <a:rPr lang="en-US" altLang="zh-CN" sz="1200"/>
                      <a:t>50.00</a:t>
                    </a:r>
                    <a:r>
                      <a:rPr altLang="en-US" sz="1200"/>
                      <a:t>万元</a:t>
                    </a:r>
                    <a:endParaRPr altLang="en-US" sz="1200"/>
                  </a:p>
                  <a:p>
                    <a:pPr defTabSz="914400">
                      <a:defRPr lang="zh-CN" sz="1200" b="0" i="0" u="none" strike="noStrike" kern="1200" baseline="0">
                        <a:solidFill>
                          <a:schemeClr val="tx1">
                            <a:lumMod val="75000"/>
                            <a:lumOff val="25000"/>
                          </a:schemeClr>
                        </a:solidFill>
                        <a:latin typeface="+mn-lt"/>
                        <a:ea typeface="+mn-ea"/>
                        <a:cs typeface="+mn-cs"/>
                      </a:defRPr>
                    </a:pPr>
                    <a:r>
                      <a:rPr altLang="en-US" sz="1200"/>
                      <a:t>占</a:t>
                    </a:r>
                    <a:r>
                      <a:rPr lang="en-US" altLang="zh-CN" sz="1200"/>
                      <a:t>1.05%</a:t>
                    </a:r>
                    <a:endParaRPr lang="en-US" altLang="zh-CN" sz="1200"/>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14325"/>
                  <c:y val="-0.0243333333333333"/>
                </c:manualLayout>
              </c:layout>
              <c:tx>
                <c:rich>
                  <a:bodyPr rot="0" spcFirstLastPara="0" vertOverflow="ellipsis" vert="horz" wrap="square" lIns="38100" tIns="19050" rIns="38100" bIns="19050" anchor="ctr" anchorCtr="true"/>
                  <a:lstStyle/>
                  <a:p>
                    <a:pPr defTabSz="914400">
                      <a:defRPr lang="zh-CN" sz="1200" b="0" i="0" u="none" strike="noStrike" kern="1200" baseline="0">
                        <a:solidFill>
                          <a:schemeClr val="tx1">
                            <a:lumMod val="75000"/>
                            <a:lumOff val="25000"/>
                          </a:schemeClr>
                        </a:solidFill>
                        <a:latin typeface="+mn-lt"/>
                        <a:ea typeface="+mn-ea"/>
                        <a:cs typeface="+mn-cs"/>
                      </a:defRPr>
                    </a:pPr>
                    <a:r>
                      <a:rPr lang="en-US" altLang="zh-CN" sz="1200"/>
                      <a:t>3.70</a:t>
                    </a:r>
                    <a:r>
                      <a:rPr altLang="en-US" sz="1200"/>
                      <a:t>万元</a:t>
                    </a:r>
                    <a:endParaRPr altLang="en-US" sz="1200"/>
                  </a:p>
                  <a:p>
                    <a:pPr defTabSz="914400">
                      <a:defRPr lang="zh-CN" sz="1200" b="0" i="0" u="none" strike="noStrike" kern="1200" baseline="0">
                        <a:solidFill>
                          <a:schemeClr val="tx1">
                            <a:lumMod val="75000"/>
                            <a:lumOff val="25000"/>
                          </a:schemeClr>
                        </a:solidFill>
                        <a:latin typeface="+mn-lt"/>
                        <a:ea typeface="+mn-ea"/>
                        <a:cs typeface="+mn-cs"/>
                      </a:defRPr>
                    </a:pPr>
                    <a:r>
                      <a:rPr altLang="en-US" sz="1200"/>
                      <a:t>占</a:t>
                    </a:r>
                    <a:r>
                      <a:rPr lang="en-US" altLang="zh-CN" sz="1200"/>
                      <a:t>0.08%</a:t>
                    </a:r>
                    <a:endParaRPr lang="en-US" altLang="zh-CN" sz="1200"/>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2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Sheet1!$A$2:$A$5</c:f>
              <c:strCache>
                <c:ptCount val="4"/>
                <c:pt idx="0">
                  <c:v>一般公共预算财政拨款收入</c:v>
                </c:pt>
                <c:pt idx="1">
                  <c:v>政府性基金预算财政拨款收入</c:v>
                </c:pt>
                <c:pt idx="2">
                  <c:v>其他收入</c:v>
                </c:pt>
              </c:strCache>
            </c:strRef>
          </c:cat>
          <c:val>
            <c:numRef>
              <c:f>Sheet1!$B$2:$B$5</c:f>
              <c:numCache>
                <c:formatCode>General</c:formatCode>
                <c:ptCount val="4"/>
                <c:pt idx="0">
                  <c:v>96</c:v>
                </c:pt>
                <c:pt idx="1">
                  <c:v>3</c:v>
                </c:pt>
                <c:pt idx="2">
                  <c:v>1</c:v>
                </c:pt>
              </c:numCache>
            </c:numRef>
          </c:val>
        </c:ser>
        <c:dLbls>
          <c:showLegendKey val="false"/>
          <c:showVal val="true"/>
          <c:showCatName val="false"/>
          <c:showSerName val="false"/>
          <c:showPercent val="false"/>
          <c:showBubbleSize val="false"/>
          <c:showLeaderLines val="true"/>
        </c:dLbls>
        <c:firstSliceAng val="0"/>
      </c:pieChart>
      <c:spPr>
        <a:noFill/>
        <a:ln>
          <a:noFill/>
        </a:ln>
        <a:effectLst/>
      </c:spPr>
    </c:plotArea>
    <c:legend>
      <c:legendPos val="r"/>
      <c:legendEntry>
        <c:idx val="0"/>
        <c:txPr>
          <a:bodyPr rot="0" spcFirstLastPara="0" vertOverflow="ellipsis" vert="horz" wrap="square" anchor="ctr" anchorCtr="true"/>
          <a:lstStyle/>
          <a:p>
            <a:pPr>
              <a:defRPr lang="zh-CN" sz="12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true"/>
          <a:lstStyle/>
          <a:p>
            <a:pPr>
              <a:defRPr lang="zh-CN" sz="1200" b="0"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true"/>
          <a:lstStyle/>
          <a:p>
            <a:pPr>
              <a:defRPr lang="zh-CN" sz="1200" b="0" i="0" u="none" strike="noStrike" kern="1200" baseline="0">
                <a:solidFill>
                  <a:schemeClr val="tx1">
                    <a:lumMod val="65000"/>
                    <a:lumOff val="35000"/>
                  </a:schemeClr>
                </a:solidFill>
                <a:latin typeface="+mn-lt"/>
                <a:ea typeface="+mn-ea"/>
                <a:cs typeface="+mn-cs"/>
              </a:defRPr>
            </a:pPr>
          </a:p>
        </c:txPr>
      </c:legendEntry>
      <c:legendEntry>
        <c:idx val="3"/>
        <c:delete val="true"/>
      </c:legendEntry>
      <c:layout/>
      <c:overlay val="false"/>
      <c:spPr>
        <a:noFill/>
        <a:ln>
          <a:noFill/>
        </a:ln>
        <a:effectLst/>
      </c:spPr>
      <c:txPr>
        <a:bodyPr rot="0" spcFirstLastPara="0" vertOverflow="ellipsis" vert="horz" wrap="square" anchor="ctr" anchorCtr="true"/>
        <a:lstStyle/>
        <a:p>
          <a:pPr>
            <a:defRPr lang="zh-CN" sz="12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noFill/>
      <a:round/>
    </a:ln>
    <a:effectLst/>
  </c:spPr>
  <c:txPr>
    <a:bodyPr/>
    <a:lstStyle/>
    <a:p>
      <a:pPr>
        <a:defRPr lang="zh-CN" sz="1200"/>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pieChart>
        <c:varyColors val="true"/>
        <c:ser>
          <c:idx val="0"/>
          <c:order val="0"/>
          <c:tx>
            <c:strRef>
              <c:f>Sheet1!$B$1</c:f>
              <c:strCache>
                <c:ptCount val="1"/>
                <c:pt idx="0">
                  <c:v>销售额</c:v>
                </c:pt>
              </c:strCache>
            </c:strRef>
          </c:tx>
          <c:spPr/>
          <c:explosion val="0"/>
          <c:dPt>
            <c:idx val="0"/>
            <c:bubble3D val="false"/>
            <c:spPr>
              <a:solidFill>
                <a:schemeClr val="accent1"/>
              </a:solidFill>
              <a:ln w="19050">
                <a:solidFill>
                  <a:schemeClr val="lt1"/>
                </a:solidFill>
              </a:ln>
              <a:effectLst/>
            </c:spPr>
          </c:dPt>
          <c:dPt>
            <c:idx val="1"/>
            <c:bubble3D val="false"/>
            <c:spPr>
              <a:solidFill>
                <a:schemeClr val="accent2"/>
              </a:solidFill>
              <a:ln w="19050">
                <a:solidFill>
                  <a:schemeClr val="lt1"/>
                </a:solidFill>
              </a:ln>
              <a:effectLst/>
            </c:spPr>
          </c:dPt>
          <c:dPt>
            <c:idx val="2"/>
            <c:bubble3D val="false"/>
            <c:spPr>
              <a:solidFill>
                <a:schemeClr val="accent3"/>
              </a:solidFill>
              <a:ln w="19050">
                <a:solidFill>
                  <a:schemeClr val="lt1"/>
                </a:solidFill>
              </a:ln>
              <a:effectLst/>
            </c:spPr>
          </c:dPt>
          <c:dPt>
            <c:idx val="3"/>
            <c:bubble3D val="false"/>
            <c:spPr>
              <a:solidFill>
                <a:schemeClr val="accent4"/>
              </a:solidFill>
              <a:ln w="19050">
                <a:solidFill>
                  <a:schemeClr val="lt1"/>
                </a:solidFill>
              </a:ln>
              <a:effectLst/>
            </c:spPr>
          </c:dPt>
          <c:dLbls>
            <c:dLbl>
              <c:idx val="2"/>
              <c:layout>
                <c:manualLayout>
                  <c:x val="0.046625"/>
                  <c:y val="0.00216666666666667"/>
                </c:manualLayout>
              </c:layout>
              <c:tx>
                <c:rich>
                  <a:bodyPr rot="0" spcFirstLastPara="0" vertOverflow="ellipsis" vert="horz" wrap="square" lIns="38100" tIns="19050" rIns="38100" bIns="19050" anchor="ctr" anchorCtr="true"/>
                  <a:lstStyle/>
                  <a:p>
                    <a:pPr defTabSz="914400">
                      <a:defRPr lang="zh-CN" sz="1200" b="0" i="0" u="none" strike="noStrike" kern="1200" baseline="0">
                        <a:solidFill>
                          <a:schemeClr val="tx1">
                            <a:lumMod val="75000"/>
                            <a:lumOff val="25000"/>
                          </a:schemeClr>
                        </a:solidFill>
                        <a:latin typeface="+mn-lt"/>
                        <a:ea typeface="+mn-ea"/>
                        <a:cs typeface="+mn-cs"/>
                      </a:defRPr>
                    </a:pPr>
                    <a:r>
                      <a:rPr lang="en-US" altLang="zh-CN" sz="1200"/>
                      <a:t>1842.47</a:t>
                    </a:r>
                    <a:r>
                      <a:rPr altLang="en-US" sz="1200"/>
                      <a:t>万元</a:t>
                    </a:r>
                    <a:endParaRPr altLang="en-US" sz="1200"/>
                  </a:p>
                  <a:p>
                    <a:pPr defTabSz="914400">
                      <a:defRPr lang="zh-CN" sz="1200" b="0" i="0" u="none" strike="noStrike" kern="1200" baseline="0">
                        <a:solidFill>
                          <a:schemeClr val="tx1">
                            <a:lumMod val="75000"/>
                            <a:lumOff val="25000"/>
                          </a:schemeClr>
                        </a:solidFill>
                        <a:latin typeface="+mn-lt"/>
                        <a:ea typeface="+mn-ea"/>
                        <a:cs typeface="+mn-cs"/>
                      </a:defRPr>
                    </a:pPr>
                    <a:r>
                      <a:rPr altLang="en-US" sz="1200"/>
                      <a:t>占</a:t>
                    </a:r>
                    <a:r>
                      <a:rPr lang="en-US" altLang="zh-CN" sz="1200"/>
                      <a:t>29.05%</a:t>
                    </a:r>
                    <a:endParaRPr lang="en-US" altLang="zh-CN" sz="1200"/>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manualLayout>
                      <c:w val="0.19508151423045"/>
                      <c:h val="0.20127625631481"/>
                    </c:manualLayout>
                  </c15:layout>
                </c:ext>
              </c:extLst>
            </c:dLbl>
            <c:dLbl>
              <c:idx val="3"/>
              <c:layout>
                <c:manualLayout>
                  <c:x val="-0.00179607626416137"/>
                  <c:y val="0.0554999999999999"/>
                </c:manualLayout>
              </c:layout>
              <c:tx>
                <c:rich>
                  <a:bodyPr rot="0" spcFirstLastPara="0" vertOverflow="ellipsis" vert="horz" wrap="square" lIns="38100" tIns="19050" rIns="38100" bIns="19050" anchor="ctr" anchorCtr="true"/>
                  <a:lstStyle/>
                  <a:p>
                    <a:pPr defTabSz="914400">
                      <a:defRPr lang="zh-CN" sz="1200" b="0" i="0" u="none" strike="noStrike" kern="1200" baseline="0">
                        <a:solidFill>
                          <a:schemeClr val="tx1">
                            <a:lumMod val="75000"/>
                            <a:lumOff val="25000"/>
                          </a:schemeClr>
                        </a:solidFill>
                        <a:latin typeface="+mn-lt"/>
                        <a:ea typeface="+mn-ea"/>
                        <a:cs typeface="+mn-cs"/>
                      </a:defRPr>
                    </a:pPr>
                    <a:r>
                      <a:rPr lang="en-US" altLang="zh-CN" sz="1200"/>
                      <a:t>4500.48</a:t>
                    </a:r>
                    <a:r>
                      <a:rPr altLang="en-US" sz="1200"/>
                      <a:t>万元</a:t>
                    </a:r>
                    <a:endParaRPr altLang="en-US" sz="1200"/>
                  </a:p>
                  <a:p>
                    <a:pPr defTabSz="914400">
                      <a:defRPr lang="zh-CN" sz="1200" b="0" i="0" u="none" strike="noStrike" kern="1200" baseline="0">
                        <a:solidFill>
                          <a:schemeClr val="tx1">
                            <a:lumMod val="75000"/>
                            <a:lumOff val="25000"/>
                          </a:schemeClr>
                        </a:solidFill>
                        <a:latin typeface="+mn-lt"/>
                        <a:ea typeface="+mn-ea"/>
                        <a:cs typeface="+mn-cs"/>
                      </a:defRPr>
                    </a:pPr>
                    <a:r>
                      <a:rPr altLang="en-US" sz="1200"/>
                      <a:t>占</a:t>
                    </a:r>
                    <a:r>
                      <a:rPr lang="en-US" altLang="zh-CN" sz="1200"/>
                      <a:t>70.95%</a:t>
                    </a:r>
                    <a:endParaRPr lang="en-US" altLang="zh-CN" sz="1200"/>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manualLayout>
                      <c:w val="0.219812102790826"/>
                      <c:h val="0.214836479659665"/>
                    </c:manualLayout>
                  </c15:layout>
                </c:ext>
              </c:extLst>
            </c:dLbl>
            <c:spPr>
              <a:noFill/>
              <a:ln>
                <a:noFill/>
              </a:ln>
              <a:effectLst/>
            </c:spPr>
            <c:txPr>
              <a:bodyPr rot="0" spcFirstLastPara="0" vertOverflow="ellipsis" vert="horz" wrap="square" lIns="38100" tIns="19050" rIns="38100" bIns="19050" anchor="ctr" anchorCtr="true"/>
              <a:lstStyle/>
              <a:p>
                <a:pPr>
                  <a:defRPr lang="zh-CN" sz="12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Sheet1!$A$2:$A$5</c:f>
              <c:strCache>
                <c:ptCount val="4"/>
                <c:pt idx="2">
                  <c:v>基本支出</c:v>
                </c:pt>
                <c:pt idx="3">
                  <c:v>项目支出</c:v>
                </c:pt>
              </c:strCache>
            </c:strRef>
          </c:cat>
          <c:val>
            <c:numRef>
              <c:f>Sheet1!$B$2:$B$5</c:f>
              <c:numCache>
                <c:formatCode>General</c:formatCode>
                <c:ptCount val="4"/>
                <c:pt idx="2">
                  <c:v>29.05</c:v>
                </c:pt>
                <c:pt idx="3">
                  <c:v>70.95</c:v>
                </c:pt>
              </c:numCache>
            </c:numRef>
          </c:val>
        </c:ser>
        <c:dLbls>
          <c:showLegendKey val="false"/>
          <c:showVal val="true"/>
          <c:showCatName val="false"/>
          <c:showSerName val="false"/>
          <c:showPercent val="false"/>
          <c:showBubbleSize val="false"/>
          <c:showLeaderLines val="true"/>
        </c:dLbls>
        <c:firstSliceAng val="0"/>
      </c:pieChart>
      <c:spPr>
        <a:noFill/>
        <a:ln>
          <a:noFill/>
        </a:ln>
        <a:effectLst/>
      </c:spPr>
    </c:plotArea>
    <c:legend>
      <c:legendPos val="r"/>
      <c:legendEntry>
        <c:idx val="0"/>
        <c:delete val="true"/>
      </c:legendEntry>
      <c:legendEntry>
        <c:idx val="1"/>
        <c:delete val="true"/>
      </c:legendEntry>
      <c:legendEntry>
        <c:idx val="2"/>
        <c:txPr>
          <a:bodyPr rot="0" spcFirstLastPara="0" vertOverflow="ellipsis" vert="horz" wrap="square" anchor="ctr" anchorCtr="true"/>
          <a:lstStyle/>
          <a:p>
            <a:pPr>
              <a:defRPr lang="zh-CN" sz="1200" b="0" i="0" u="none" strike="noStrike" kern="1200" baseline="0">
                <a:solidFill>
                  <a:schemeClr val="tx1">
                    <a:lumMod val="65000"/>
                    <a:lumOff val="35000"/>
                  </a:schemeClr>
                </a:solidFill>
                <a:latin typeface="+mn-lt"/>
                <a:ea typeface="+mn-ea"/>
                <a:cs typeface="+mn-cs"/>
              </a:defRPr>
            </a:pPr>
          </a:p>
        </c:txPr>
      </c:legendEntry>
      <c:legendEntry>
        <c:idx val="3"/>
        <c:txPr>
          <a:bodyPr rot="0" spcFirstLastPara="0" vertOverflow="ellipsis" vert="horz" wrap="square" anchor="ctr" anchorCtr="true"/>
          <a:lstStyle/>
          <a:p>
            <a:pPr>
              <a:defRPr lang="zh-CN" sz="1200" b="0" i="0" u="none" strike="noStrike" kern="1200" baseline="0">
                <a:solidFill>
                  <a:schemeClr val="tx1">
                    <a:lumMod val="65000"/>
                    <a:lumOff val="35000"/>
                  </a:schemeClr>
                </a:solidFill>
                <a:latin typeface="+mn-lt"/>
                <a:ea typeface="+mn-ea"/>
                <a:cs typeface="+mn-cs"/>
              </a:defRPr>
            </a:pPr>
          </a:p>
        </c:txPr>
      </c:legendEntry>
      <c:layout/>
      <c:overlay val="false"/>
      <c:spPr>
        <a:noFill/>
        <a:ln>
          <a:noFill/>
        </a:ln>
        <a:effectLst/>
      </c:spPr>
      <c:txPr>
        <a:bodyPr rot="0" spcFirstLastPara="0" vertOverflow="ellipsis" vert="horz" wrap="square" anchor="ctr" anchorCtr="true"/>
        <a:lstStyle/>
        <a:p>
          <a:pPr>
            <a:defRPr lang="zh-CN" sz="12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noFill/>
      <a:round/>
    </a:ln>
    <a:effectLst/>
  </c:spPr>
  <c:txPr>
    <a:bodyPr/>
    <a:lstStyle/>
    <a:p>
      <a:pPr>
        <a:defRPr lang="zh-CN"/>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pieChart>
        <c:varyColors val="true"/>
        <c:ser>
          <c:idx val="0"/>
          <c:order val="0"/>
          <c:tx>
            <c:strRef>
              <c:f>Sheet1!$B$1</c:f>
              <c:strCache>
                <c:ptCount val="1"/>
                <c:pt idx="0">
                  <c:v>销售额</c:v>
                </c:pt>
              </c:strCache>
            </c:strRef>
          </c:tx>
          <c:spPr/>
          <c:explosion val="0"/>
          <c:dPt>
            <c:idx val="0"/>
            <c:bubble3D val="false"/>
            <c:spPr>
              <a:solidFill>
                <a:schemeClr val="accent6"/>
              </a:solidFill>
              <a:ln w="19050">
                <a:solidFill>
                  <a:schemeClr val="lt1"/>
                </a:solidFill>
              </a:ln>
              <a:effectLst/>
            </c:spPr>
          </c:dPt>
          <c:dPt>
            <c:idx val="1"/>
            <c:bubble3D val="false"/>
            <c:spPr>
              <a:solidFill>
                <a:schemeClr val="tx2">
                  <a:lumMod val="40000"/>
                  <a:lumOff val="60000"/>
                </a:schemeClr>
              </a:solidFill>
              <a:ln w="19050">
                <a:solidFill>
                  <a:schemeClr val="lt1"/>
                </a:solidFill>
              </a:ln>
              <a:effectLst/>
            </c:spPr>
          </c:dPt>
          <c:dPt>
            <c:idx val="2"/>
            <c:bubble3D val="false"/>
            <c:spPr>
              <a:solidFill>
                <a:schemeClr val="accent3"/>
              </a:solidFill>
              <a:ln w="19050">
                <a:solidFill>
                  <a:schemeClr val="lt1"/>
                </a:solidFill>
              </a:ln>
              <a:effectLst/>
            </c:spPr>
          </c:dPt>
          <c:dPt>
            <c:idx val="3"/>
            <c:bubble3D val="false"/>
            <c:spPr>
              <a:solidFill>
                <a:schemeClr val="accent4"/>
              </a:solidFill>
              <a:ln w="19050">
                <a:solidFill>
                  <a:schemeClr val="lt1"/>
                </a:solidFill>
              </a:ln>
              <a:effectLst/>
            </c:spPr>
          </c:dPt>
          <c:dLbls>
            <c:dLbl>
              <c:idx val="0"/>
              <c:layout>
                <c:manualLayout>
                  <c:x val="0.176274764742242"/>
                  <c:y val="-0.0631980294878506"/>
                </c:manualLayout>
              </c:layout>
              <c:tx>
                <c:rich>
                  <a:bodyPr rot="0" spcFirstLastPara="0" vertOverflow="ellipsis" vert="horz" wrap="square" lIns="38100" tIns="19050" rIns="38100" bIns="19050" anchor="ctr" anchorCtr="true"/>
                  <a:lstStyle/>
                  <a:p>
                    <a:pPr defTabSz="914400">
                      <a:defRPr lang="zh-CN" sz="1200" b="0" i="0" u="none" strike="noStrike" kern="1200" baseline="0">
                        <a:solidFill>
                          <a:schemeClr val="tx1">
                            <a:lumMod val="75000"/>
                            <a:lumOff val="25000"/>
                          </a:schemeClr>
                        </a:solidFill>
                        <a:latin typeface="+mn-lt"/>
                        <a:ea typeface="+mn-ea"/>
                        <a:cs typeface="+mn-cs"/>
                      </a:defRPr>
                    </a:pPr>
                    <a:r>
                      <a:rPr lang="en-US" altLang="zh-CN" sz="1200"/>
                      <a:t>5829.95</a:t>
                    </a:r>
                    <a:r>
                      <a:rPr altLang="en-US" sz="1200"/>
                      <a:t>万元</a:t>
                    </a:r>
                    <a:endParaRPr altLang="en-US" sz="1200"/>
                  </a:p>
                  <a:p>
                    <a:pPr defTabSz="914400">
                      <a:defRPr lang="zh-CN" sz="1200" b="0" i="0" u="none" strike="noStrike" kern="1200" baseline="0">
                        <a:solidFill>
                          <a:schemeClr val="tx1">
                            <a:lumMod val="75000"/>
                            <a:lumOff val="25000"/>
                          </a:schemeClr>
                        </a:solidFill>
                        <a:latin typeface="+mn-lt"/>
                        <a:ea typeface="+mn-ea"/>
                        <a:cs typeface="+mn-cs"/>
                      </a:defRPr>
                    </a:pPr>
                    <a:r>
                      <a:rPr altLang="en-US" sz="1200"/>
                      <a:t>占</a:t>
                    </a:r>
                    <a:r>
                      <a:rPr lang="en-US" altLang="zh-CN" sz="1200"/>
                      <a:t>94.84%</a:t>
                    </a:r>
                    <a:endParaRPr lang="en-US" altLang="zh-CN" sz="1200"/>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manualLayout>
                      <c:w val="0.266881443298969"/>
                      <c:h val="0.192950285248574"/>
                    </c:manualLayout>
                  </c15:layout>
                </c:ext>
              </c:extLst>
            </c:dLbl>
            <c:dLbl>
              <c:idx val="1"/>
              <c:layout>
                <c:manualLayout>
                  <c:x val="-0.172533897250902"/>
                  <c:y val="0.0206073752711497"/>
                </c:manualLayout>
              </c:layout>
              <c:tx>
                <c:rich>
                  <a:bodyPr rot="0" spcFirstLastPara="0" vertOverflow="ellipsis" vert="horz" wrap="square" lIns="38100" tIns="19050" rIns="38100" bIns="19050" anchor="ctr" anchorCtr="true"/>
                  <a:lstStyle/>
                  <a:p>
                    <a:pPr defTabSz="914400">
                      <a:defRPr lang="zh-CN" sz="1200" b="0" i="0" u="none" strike="noStrike" kern="1200" baseline="0">
                        <a:solidFill>
                          <a:schemeClr val="tx1">
                            <a:lumMod val="75000"/>
                            <a:lumOff val="25000"/>
                          </a:schemeClr>
                        </a:solidFill>
                        <a:latin typeface="+mn-lt"/>
                        <a:ea typeface="+mn-ea"/>
                        <a:cs typeface="+mn-cs"/>
                      </a:defRPr>
                    </a:pPr>
                    <a:r>
                      <a:rPr lang="en-US" altLang="zh-CN" sz="1200"/>
                      <a:t>187.74</a:t>
                    </a:r>
                    <a:r>
                      <a:rPr altLang="en-US" sz="1200"/>
                      <a:t>万元</a:t>
                    </a:r>
                    <a:endParaRPr altLang="en-US" sz="1200"/>
                  </a:p>
                  <a:p>
                    <a:pPr defTabSz="914400">
                      <a:defRPr lang="zh-CN" sz="1200" b="0" i="0" u="none" strike="noStrike" kern="1200" baseline="0">
                        <a:solidFill>
                          <a:schemeClr val="tx1">
                            <a:lumMod val="75000"/>
                            <a:lumOff val="25000"/>
                          </a:schemeClr>
                        </a:solidFill>
                        <a:latin typeface="+mn-lt"/>
                        <a:ea typeface="+mn-ea"/>
                        <a:cs typeface="+mn-cs"/>
                      </a:defRPr>
                    </a:pPr>
                    <a:r>
                      <a:rPr altLang="en-US" sz="1200"/>
                      <a:t>占</a:t>
                    </a:r>
                    <a:r>
                      <a:rPr lang="en-US" altLang="zh-CN" sz="1200"/>
                      <a:t>3.06%</a:t>
                    </a:r>
                    <a:endParaRPr lang="en-US" altLang="zh-CN" sz="1200"/>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manualLayout>
                      <c:w val="0.185328739592305"/>
                      <c:h val="0.187886279357231"/>
                    </c:manualLayout>
                  </c15:layout>
                </c:ext>
              </c:extLst>
            </c:dLbl>
            <c:dLbl>
              <c:idx val="3"/>
              <c:layout>
                <c:manualLayout>
                  <c:x val="0.253927746079379"/>
                  <c:y val="-1.22033960628613e-17"/>
                </c:manualLayout>
              </c:layout>
              <c:tx>
                <c:rich>
                  <a:bodyPr rot="0" spcFirstLastPara="0" vertOverflow="ellipsis" vert="horz" wrap="square" lIns="38100" tIns="19050" rIns="38100" bIns="19050" anchor="ctr" anchorCtr="true"/>
                  <a:lstStyle/>
                  <a:p>
                    <a:pPr defTabSz="914400">
                      <a:defRPr lang="zh-CN" sz="1200" b="0" i="0" u="none" strike="noStrike" kern="1200" baseline="0">
                        <a:solidFill>
                          <a:schemeClr val="tx1">
                            <a:lumMod val="75000"/>
                            <a:lumOff val="25000"/>
                          </a:schemeClr>
                        </a:solidFill>
                        <a:latin typeface="+mn-lt"/>
                        <a:ea typeface="+mn-ea"/>
                        <a:cs typeface="+mn-cs"/>
                      </a:defRPr>
                    </a:pPr>
                    <a:r>
                      <a:rPr lang="en-US" altLang="zh-CN" sz="1200"/>
                      <a:t>129.17</a:t>
                    </a:r>
                    <a:r>
                      <a:rPr altLang="en-US" sz="1200"/>
                      <a:t>万元</a:t>
                    </a:r>
                    <a:endParaRPr altLang="en-US" sz="1200"/>
                  </a:p>
                  <a:p>
                    <a:pPr defTabSz="914400">
                      <a:defRPr lang="zh-CN" sz="1200" b="0" i="0" u="none" strike="noStrike" kern="1200" baseline="0">
                        <a:solidFill>
                          <a:schemeClr val="tx1">
                            <a:lumMod val="75000"/>
                            <a:lumOff val="25000"/>
                          </a:schemeClr>
                        </a:solidFill>
                        <a:latin typeface="+mn-lt"/>
                        <a:ea typeface="+mn-ea"/>
                        <a:cs typeface="+mn-cs"/>
                      </a:defRPr>
                    </a:pPr>
                    <a:r>
                      <a:rPr altLang="en-US" sz="1200"/>
                      <a:t>占</a:t>
                    </a:r>
                    <a:r>
                      <a:rPr lang="en-US" altLang="zh-CN" sz="1200"/>
                      <a:t>2.10%</a:t>
                    </a:r>
                    <a:endParaRPr lang="en-US" altLang="zh-CN" sz="1200"/>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manualLayout>
                      <c:w val="0.235142118863049"/>
                      <c:h val="0.211619283065513"/>
                    </c:manualLayout>
                  </c15:layout>
                </c:ext>
              </c:extLst>
            </c:dLbl>
            <c:spPr>
              <a:noFill/>
              <a:ln>
                <a:noFill/>
              </a:ln>
              <a:effectLst/>
            </c:spPr>
            <c:txPr>
              <a:bodyPr rot="0" spcFirstLastPara="0" vertOverflow="ellipsis" vert="horz" wrap="square" lIns="38100" tIns="19050" rIns="38100" bIns="19050" anchor="ctr" anchorCtr="true"/>
              <a:lstStyle/>
              <a:p>
                <a:pPr>
                  <a:defRPr lang="zh-CN" sz="12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Sheet1!$A$2:$A$5</c:f>
              <c:strCache>
                <c:ptCount val="4"/>
                <c:pt idx="0">
                  <c:v>社会保障和就业支出</c:v>
                </c:pt>
                <c:pt idx="1">
                  <c:v>卫生健康支出</c:v>
                </c:pt>
                <c:pt idx="3">
                  <c:v>住房保障支出</c:v>
                </c:pt>
              </c:strCache>
            </c:strRef>
          </c:cat>
          <c:val>
            <c:numRef>
              <c:f>Sheet1!$B$2:$B$5</c:f>
              <c:numCache>
                <c:formatCode>General</c:formatCode>
                <c:ptCount val="4"/>
                <c:pt idx="0">
                  <c:v>94.84</c:v>
                </c:pt>
                <c:pt idx="1">
                  <c:v>3.06</c:v>
                </c:pt>
                <c:pt idx="3">
                  <c:v>2.1</c:v>
                </c:pt>
              </c:numCache>
            </c:numRef>
          </c:val>
        </c:ser>
        <c:dLbls>
          <c:showLegendKey val="false"/>
          <c:showVal val="true"/>
          <c:showCatName val="false"/>
          <c:showSerName val="false"/>
          <c:showPercent val="false"/>
          <c:showBubbleSize val="false"/>
          <c:showLeaderLines val="true"/>
        </c:dLbls>
        <c:firstSliceAng val="0"/>
      </c:pieChart>
      <c:spPr>
        <a:noFill/>
        <a:ln>
          <a:noFill/>
        </a:ln>
        <a:effectLst/>
      </c:spPr>
    </c:plotArea>
    <c:legend>
      <c:legendPos val="r"/>
      <c:legendEntry>
        <c:idx val="0"/>
        <c:txPr>
          <a:bodyPr rot="0" spcFirstLastPara="0" vertOverflow="ellipsis" vert="horz" wrap="square" anchor="ctr" anchorCtr="true"/>
          <a:lstStyle/>
          <a:p>
            <a:pPr>
              <a:defRPr lang="zh-CN" sz="12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true"/>
          <a:lstStyle/>
          <a:p>
            <a:pPr>
              <a:defRPr lang="zh-CN" sz="1200" b="0" i="0" u="none" strike="noStrike" kern="1200" baseline="0">
                <a:solidFill>
                  <a:schemeClr val="tx1">
                    <a:lumMod val="65000"/>
                    <a:lumOff val="35000"/>
                  </a:schemeClr>
                </a:solidFill>
                <a:latin typeface="+mn-lt"/>
                <a:ea typeface="+mn-ea"/>
                <a:cs typeface="+mn-cs"/>
              </a:defRPr>
            </a:pPr>
          </a:p>
        </c:txPr>
      </c:legendEntry>
      <c:legendEntry>
        <c:idx val="2"/>
        <c:delete val="true"/>
      </c:legendEntry>
      <c:legendEntry>
        <c:idx val="3"/>
        <c:txPr>
          <a:bodyPr rot="0" spcFirstLastPara="0" vertOverflow="ellipsis" vert="horz" wrap="square" anchor="ctr" anchorCtr="true"/>
          <a:lstStyle/>
          <a:p>
            <a:pPr>
              <a:defRPr lang="zh-CN" sz="1200" b="0" i="0" u="none" strike="noStrike" kern="1200" baseline="0">
                <a:solidFill>
                  <a:schemeClr val="tx1">
                    <a:lumMod val="65000"/>
                    <a:lumOff val="35000"/>
                  </a:schemeClr>
                </a:solidFill>
                <a:latin typeface="+mn-lt"/>
                <a:ea typeface="+mn-ea"/>
                <a:cs typeface="+mn-cs"/>
              </a:defRPr>
            </a:pPr>
          </a:p>
        </c:txPr>
      </c:legendEntry>
      <c:layout/>
      <c:overlay val="false"/>
      <c:spPr>
        <a:noFill/>
        <a:ln>
          <a:noFill/>
        </a:ln>
        <a:effectLst/>
      </c:spPr>
      <c:txPr>
        <a:bodyPr rot="0" spcFirstLastPara="0" vertOverflow="ellipsis" vert="horz" wrap="square" anchor="ctr" anchorCtr="true"/>
        <a:lstStyle/>
        <a:p>
          <a:pPr>
            <a:defRPr lang="zh-CN" sz="12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noFill/>
      <a:round/>
    </a:ln>
    <a:effectLst/>
  </c:spPr>
  <c:txPr>
    <a:bodyPr/>
    <a:lstStyle/>
    <a:p>
      <a:pPr>
        <a:defRPr lang="zh-CN" sz="1200"/>
      </a:pPr>
    </a:p>
  </c:txPr>
  <c:externalData r:id="rId1">
    <c:autoUpdate val="false"/>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pieChart>
        <c:varyColors val="true"/>
        <c:ser>
          <c:idx val="0"/>
          <c:order val="0"/>
          <c:tx>
            <c:strRef>
              <c:f>Sheet1!$B$1</c:f>
              <c:strCache>
                <c:ptCount val="1"/>
                <c:pt idx="0">
                  <c:v>销售额</c:v>
                </c:pt>
              </c:strCache>
            </c:strRef>
          </c:tx>
          <c:spPr/>
          <c:explosion val="0"/>
          <c:dPt>
            <c:idx val="0"/>
            <c:bubble3D val="false"/>
            <c:spPr>
              <a:solidFill>
                <a:schemeClr val="tx2">
                  <a:lumMod val="40000"/>
                  <a:lumOff val="60000"/>
                </a:schemeClr>
              </a:solidFill>
              <a:ln w="19050">
                <a:solidFill>
                  <a:schemeClr val="lt1"/>
                </a:solidFill>
              </a:ln>
              <a:effectLst/>
            </c:spPr>
          </c:dPt>
          <c:dPt>
            <c:idx val="1"/>
            <c:bubble3D val="false"/>
            <c:spPr>
              <a:solidFill>
                <a:schemeClr val="accent4"/>
              </a:solidFill>
              <a:ln w="19050">
                <a:solidFill>
                  <a:schemeClr val="lt1"/>
                </a:solidFill>
              </a:ln>
              <a:effectLst/>
            </c:spPr>
          </c:dPt>
          <c:dPt>
            <c:idx val="2"/>
            <c:bubble3D val="false"/>
            <c:spPr>
              <a:solidFill>
                <a:schemeClr val="accent6"/>
              </a:solidFill>
              <a:ln w="19050">
                <a:solidFill>
                  <a:schemeClr val="lt1"/>
                </a:solidFill>
              </a:ln>
              <a:effectLst/>
            </c:spPr>
          </c:dPt>
          <c:dPt>
            <c:idx val="3"/>
            <c:bubble3D val="false"/>
            <c:spPr>
              <a:solidFill>
                <a:schemeClr val="accent4"/>
              </a:solidFill>
              <a:ln w="19050">
                <a:solidFill>
                  <a:schemeClr val="lt1"/>
                </a:solidFill>
              </a:ln>
              <a:effectLst/>
            </c:spPr>
          </c:dPt>
          <c:dLbls>
            <c:dLbl>
              <c:idx val="0"/>
              <c:layout>
                <c:manualLayout>
                  <c:x val="0.188791395414662"/>
                  <c:y val="0"/>
                </c:manualLayout>
              </c:layout>
              <c:tx>
                <c:rich>
                  <a:bodyPr rot="0" spcFirstLastPara="0" vertOverflow="ellipsis" vert="horz" wrap="square" lIns="38100" tIns="19050" rIns="38100" bIns="19050" anchor="ctr" anchorCtr="true"/>
                  <a:lstStyle/>
                  <a:p>
                    <a:pPr defTabSz="914400">
                      <a:defRPr lang="zh-CN" sz="1050" b="0" i="0" u="none" strike="noStrike" kern="1200" baseline="0">
                        <a:solidFill>
                          <a:schemeClr val="tx1">
                            <a:lumMod val="75000"/>
                            <a:lumOff val="25000"/>
                          </a:schemeClr>
                        </a:solidFill>
                        <a:latin typeface="+mn-lt"/>
                        <a:ea typeface="+mn-ea"/>
                        <a:cs typeface="+mn-cs"/>
                      </a:defRPr>
                    </a:pPr>
                    <a:r>
                      <a:rPr lang="en-US" altLang="zh-CN" sz="1050"/>
                      <a:t>10.54</a:t>
                    </a:r>
                    <a:r>
                      <a:rPr altLang="en-US" sz="1050"/>
                      <a:t>万元</a:t>
                    </a:r>
                    <a:endParaRPr altLang="en-US" sz="1050"/>
                  </a:p>
                  <a:p>
                    <a:pPr defTabSz="914400">
                      <a:defRPr lang="zh-CN" sz="1050" b="0" i="0" u="none" strike="noStrike" kern="1200" baseline="0">
                        <a:solidFill>
                          <a:schemeClr val="tx1">
                            <a:lumMod val="75000"/>
                            <a:lumOff val="25000"/>
                          </a:schemeClr>
                        </a:solidFill>
                        <a:latin typeface="+mn-lt"/>
                        <a:ea typeface="+mn-ea"/>
                        <a:cs typeface="+mn-cs"/>
                      </a:defRPr>
                    </a:pPr>
                    <a:r>
                      <a:rPr altLang="en-US" sz="1050"/>
                      <a:t>占</a:t>
                    </a:r>
                    <a:r>
                      <a:rPr lang="en-US" altLang="zh-CN" sz="1050"/>
                      <a:t>90.39%</a:t>
                    </a:r>
                    <a:endParaRPr lang="en-US" altLang="zh-CN" sz="1050"/>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manualLayout>
                      <c:w val="0.209312199264082"/>
                      <c:h val="0.306739196131762"/>
                    </c:manualLayout>
                  </c15:layout>
                </c:ext>
              </c:extLst>
            </c:dLbl>
            <c:dLbl>
              <c:idx val="1"/>
              <c:delete val="true"/>
            </c:dLbl>
            <c:dLbl>
              <c:idx val="2"/>
              <c:delete val="true"/>
            </c:dLbl>
            <c:dLbl>
              <c:idx val="3"/>
              <c:layout>
                <c:manualLayout>
                  <c:x val="-0.201811491650156"/>
                  <c:y val="0.00392867935932306"/>
                </c:manualLayout>
              </c:layout>
              <c:tx>
                <c:rich>
                  <a:bodyPr rot="0" spcFirstLastPara="0" vertOverflow="ellipsis" vert="horz" wrap="square" lIns="38100" tIns="19050" rIns="38100" bIns="19050" anchor="ctr" anchorCtr="true"/>
                  <a:lstStyle/>
                  <a:p>
                    <a:pPr defTabSz="914400">
                      <a:defRPr lang="zh-CN" sz="1050" b="0" i="0" u="none" strike="noStrike" kern="1200" baseline="0">
                        <a:solidFill>
                          <a:schemeClr val="tx1">
                            <a:lumMod val="75000"/>
                            <a:lumOff val="25000"/>
                          </a:schemeClr>
                        </a:solidFill>
                        <a:latin typeface="+mn-lt"/>
                        <a:ea typeface="+mn-ea"/>
                        <a:cs typeface="+mn-cs"/>
                      </a:defRPr>
                    </a:pPr>
                    <a:r>
                      <a:rPr lang="en-US" altLang="zh-CN" sz="1050"/>
                      <a:t>1.12</a:t>
                    </a:r>
                    <a:r>
                      <a:rPr altLang="zh-CN" sz="1050"/>
                      <a:t>万元</a:t>
                    </a:r>
                    <a:endParaRPr altLang="zh-CN" sz="1050"/>
                  </a:p>
                  <a:p>
                    <a:pPr defTabSz="914400">
                      <a:defRPr lang="zh-CN" sz="1050" b="0" i="0" u="none" strike="noStrike" kern="1200" baseline="0">
                        <a:solidFill>
                          <a:schemeClr val="tx1">
                            <a:lumMod val="75000"/>
                            <a:lumOff val="25000"/>
                          </a:schemeClr>
                        </a:solidFill>
                        <a:latin typeface="+mn-lt"/>
                        <a:ea typeface="+mn-ea"/>
                        <a:cs typeface="+mn-cs"/>
                      </a:defRPr>
                    </a:pPr>
                    <a:r>
                      <a:rPr altLang="zh-CN" sz="1050"/>
                      <a:t>占</a:t>
                    </a:r>
                    <a:r>
                      <a:rPr lang="en-US" altLang="zh-CN" sz="1050"/>
                      <a:t>9.61%</a:t>
                    </a:r>
                    <a:endParaRPr lang="en-US" altLang="zh-CN" sz="1050"/>
                  </a:p>
                </c:rich>
              </c:tx>
              <c:dLblPos val="bestFit"/>
              <c:showLegendKey val="false"/>
              <c:showVal val="true"/>
              <c:showCatName val="false"/>
              <c:showSerName val="false"/>
              <c:showPercent val="false"/>
              <c:showBubbleSize val="false"/>
              <c:extLst>
                <c:ext xmlns:c15="http://schemas.microsoft.com/office/drawing/2012/chart" uri="{CE6537A1-D6FC-4f65-9D91-7224C49458BB}">
                  <c15:layout>
                    <c:manualLayout>
                      <c:w val="0.156241154825927"/>
                      <c:h val="0.220912662435781"/>
                    </c:manualLayout>
                  </c15:layout>
                </c:ext>
              </c:extLst>
            </c:dLbl>
            <c:spPr>
              <a:noFill/>
              <a:ln>
                <a:noFill/>
              </a:ln>
              <a:effectLst/>
            </c:spPr>
            <c:txPr>
              <a:bodyPr rot="0" spcFirstLastPara="0" vertOverflow="ellipsis" vert="horz" wrap="square" lIns="38100" tIns="19050" rIns="38100" bIns="19050" anchor="ctr" anchorCtr="true"/>
              <a:lstStyle/>
              <a:p>
                <a:pPr>
                  <a:defRPr lang="zh-CN" sz="105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Sheet1!$A$2:$A$5</c:f>
              <c:strCache>
                <c:ptCount val="4"/>
                <c:pt idx="0">
                  <c:v>公务用车购置及运行维护费</c:v>
                </c:pt>
                <c:pt idx="3">
                  <c:v>公务接待费</c:v>
                </c:pt>
              </c:strCache>
            </c:strRef>
          </c:cat>
          <c:val>
            <c:numRef>
              <c:f>Sheet1!$B$2:$B$5</c:f>
              <c:numCache>
                <c:formatCode>General</c:formatCode>
                <c:ptCount val="4"/>
                <c:pt idx="0">
                  <c:v>90.39</c:v>
                </c:pt>
                <c:pt idx="1">
                  <c:v>0</c:v>
                </c:pt>
                <c:pt idx="2">
                  <c:v>0</c:v>
                </c:pt>
                <c:pt idx="3">
                  <c:v>9.61</c:v>
                </c:pt>
              </c:numCache>
            </c:numRef>
          </c:val>
        </c:ser>
        <c:dLbls>
          <c:showLegendKey val="false"/>
          <c:showVal val="true"/>
          <c:showCatName val="false"/>
          <c:showSerName val="false"/>
          <c:showPercent val="false"/>
          <c:showBubbleSize val="false"/>
          <c:showLeaderLines val="true"/>
        </c:dLbls>
        <c:firstSliceAng val="0"/>
      </c:pieChart>
      <c:spPr>
        <a:noFill/>
        <a:ln>
          <a:noFill/>
        </a:ln>
        <a:effectLst/>
      </c:spPr>
    </c:plotArea>
    <c:legend>
      <c:legendPos val="r"/>
      <c:legendEntry>
        <c:idx val="0"/>
        <c:txPr>
          <a:bodyPr rot="0" spcFirstLastPara="0" vertOverflow="ellipsis" vert="horz" wrap="square" anchor="ctr" anchorCtr="true"/>
          <a:lstStyle/>
          <a:p>
            <a:pPr>
              <a:defRPr lang="zh-CN" sz="1050" b="0" i="0" u="none" strike="noStrike" kern="1200" baseline="0">
                <a:solidFill>
                  <a:schemeClr val="tx1">
                    <a:lumMod val="65000"/>
                    <a:lumOff val="35000"/>
                  </a:schemeClr>
                </a:solidFill>
                <a:latin typeface="+mn-lt"/>
                <a:ea typeface="+mn-ea"/>
                <a:cs typeface="+mn-cs"/>
              </a:defRPr>
            </a:pPr>
          </a:p>
        </c:txPr>
      </c:legendEntry>
      <c:legendEntry>
        <c:idx val="1"/>
        <c:delete val="true"/>
      </c:legendEntry>
      <c:legendEntry>
        <c:idx val="2"/>
        <c:delete val="true"/>
      </c:legendEntry>
      <c:legendEntry>
        <c:idx val="3"/>
        <c:txPr>
          <a:bodyPr rot="0" spcFirstLastPara="0" vertOverflow="ellipsis" vert="horz" wrap="square" anchor="ctr" anchorCtr="true"/>
          <a:lstStyle/>
          <a:p>
            <a:pPr>
              <a:defRPr lang="zh-CN" sz="1050" b="0" i="0" u="none" strike="noStrike" kern="1200" baseline="0">
                <a:solidFill>
                  <a:schemeClr val="tx1">
                    <a:lumMod val="65000"/>
                    <a:lumOff val="35000"/>
                  </a:schemeClr>
                </a:solidFill>
                <a:latin typeface="+mn-lt"/>
                <a:ea typeface="+mn-ea"/>
                <a:cs typeface="+mn-cs"/>
              </a:defRPr>
            </a:pPr>
          </a:p>
        </c:txPr>
      </c:legendEntry>
      <c:layout/>
      <c:overlay val="false"/>
      <c:spPr>
        <a:noFill/>
        <a:ln>
          <a:noFill/>
        </a:ln>
        <a:effectLst/>
      </c:spPr>
      <c:txPr>
        <a:bodyPr rot="0" spcFirstLastPara="0" vertOverflow="ellipsis" vert="horz" wrap="square" anchor="ctr" anchorCtr="true"/>
        <a:lstStyle/>
        <a:p>
          <a:pPr>
            <a:defRPr lang="zh-CN" sz="105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noFill/>
      <a:round/>
    </a:ln>
    <a:effectLst/>
  </c:spPr>
  <c:txPr>
    <a:bodyPr/>
    <a:lstStyle/>
    <a:p>
      <a:pPr>
        <a:defRPr lang="zh-CN" sz="1050"/>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四川省财政厅</Company>
  <Pages>54</Pages>
  <Words>10230</Words>
  <Characters>11080</Characters>
  <Lines>61</Lines>
  <Paragraphs>17</Paragraphs>
  <TotalTime>26</TotalTime>
  <ScaleCrop>false</ScaleCrop>
  <LinksUpToDate>false</LinksUpToDate>
  <CharactersWithSpaces>11351</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2020-08-05T17:49:00Z</dcterms:created>
  <dc:creator>曹颖</dc:creator>
  <cp:lastModifiedBy> </cp:lastModifiedBy>
  <cp:lastPrinted>2023-07-31T18:35:00Z</cp:lastPrinted>
  <dcterms:modified xsi:type="dcterms:W3CDTF">2023-10-12T11:43:21Z</dcterms:modified>
  <dc:title>四川省***</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1BF328E4FCBC46E183310AF8D9815CC9</vt:lpwstr>
  </property>
</Properties>
</file>