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themeColor="text1"/>
          <w:sz w:val="72"/>
          <w:szCs w:val="72"/>
          <w:highlight w:val="none"/>
          <w14:textFill>
            <w14:solidFill>
              <w14:schemeClr w14:val="tx1"/>
            </w14:solidFill>
          </w14:textFill>
        </w:rPr>
      </w:pPr>
      <w:bookmarkStart w:id="0" w:name="_Toc15377425"/>
      <w:bookmarkStart w:id="1" w:name="_Toc15378441"/>
      <w:bookmarkStart w:id="2" w:name="_Toc15396597"/>
      <w:bookmarkStart w:id="3" w:name="_Toc15377193"/>
      <w:bookmarkStart w:id="4" w:name="_Toc15396475"/>
      <w:bookmarkStart w:id="5" w:name="_Toc15306267"/>
    </w:p>
    <w:p>
      <w:pPr>
        <w:spacing w:line="600" w:lineRule="exact"/>
        <w:jc w:val="center"/>
        <w:outlineLvl w:val="0"/>
        <w:rPr>
          <w:rFonts w:ascii="方正小标宋简体" w:hAnsi="宋体" w:eastAsia="方正小标宋简体"/>
          <w:color w:val="000000" w:themeColor="text1"/>
          <w:sz w:val="72"/>
          <w:szCs w:val="72"/>
          <w:highlight w:val="none"/>
          <w14:textFill>
            <w14:solidFill>
              <w14:schemeClr w14:val="tx1"/>
            </w14:solidFill>
          </w14:textFill>
        </w:rPr>
      </w:pPr>
    </w:p>
    <w:p>
      <w:pPr>
        <w:pStyle w:val="18"/>
        <w:rPr>
          <w:rFonts w:ascii="方正小标宋简体" w:hAnsi="宋体" w:eastAsia="方正小标宋简体"/>
          <w:color w:val="000000" w:themeColor="text1"/>
          <w:sz w:val="72"/>
          <w:szCs w:val="72"/>
          <w:highlight w:val="none"/>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center"/>
        <w:textAlignment w:val="auto"/>
        <w:outlineLvl w:val="0"/>
        <w:rPr>
          <w:rFonts w:hint="eastAsia" w:ascii="方正小标宋简体" w:hAnsi="方正小标宋简体" w:eastAsia="方正小标宋简体" w:cs="方正小标宋简体"/>
          <w:color w:val="000000" w:themeColor="text1"/>
          <w:sz w:val="56"/>
          <w:szCs w:val="56"/>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pacing w:val="64"/>
          <w:kern w:val="0"/>
          <w:sz w:val="56"/>
          <w:szCs w:val="56"/>
          <w:highlight w:val="none"/>
          <w:fitText w:val="2800" w:id="1181044356"/>
          <w14:textFill>
            <w14:solidFill>
              <w14:schemeClr w14:val="tx1"/>
            </w14:solidFill>
          </w14:textFill>
        </w:rPr>
        <w:t>20</w:t>
      </w:r>
      <w:r>
        <w:rPr>
          <w:rFonts w:hint="eastAsia" w:ascii="方正小标宋简体" w:hAnsi="方正小标宋简体" w:eastAsia="方正小标宋简体" w:cs="方正小标宋简体"/>
          <w:color w:val="000000" w:themeColor="text1"/>
          <w:spacing w:val="64"/>
          <w:kern w:val="0"/>
          <w:sz w:val="56"/>
          <w:szCs w:val="56"/>
          <w:highlight w:val="none"/>
          <w:fitText w:val="2800" w:id="1181044356"/>
          <w:lang w:val="en-US" w:eastAsia="zh-CN"/>
          <w14:textFill>
            <w14:solidFill>
              <w14:schemeClr w14:val="tx1"/>
            </w14:solidFill>
          </w14:textFill>
        </w:rPr>
        <w:t>22</w:t>
      </w:r>
      <w:r>
        <w:rPr>
          <w:rFonts w:hint="eastAsia" w:ascii="方正小标宋简体" w:hAnsi="方正小标宋简体" w:eastAsia="方正小标宋简体" w:cs="方正小标宋简体"/>
          <w:color w:val="000000" w:themeColor="text1"/>
          <w:spacing w:val="64"/>
          <w:kern w:val="0"/>
          <w:sz w:val="56"/>
          <w:szCs w:val="56"/>
          <w:highlight w:val="none"/>
          <w:fitText w:val="2800" w:id="1181044356"/>
          <w14:textFill>
            <w14:solidFill>
              <w14:schemeClr w14:val="tx1"/>
            </w14:solidFill>
          </w14:textFill>
        </w:rPr>
        <w:t>年</w:t>
      </w:r>
      <w:r>
        <w:rPr>
          <w:rFonts w:hint="eastAsia" w:ascii="方正小标宋简体" w:hAnsi="方正小标宋简体" w:eastAsia="方正小标宋简体" w:cs="方正小标宋简体"/>
          <w:color w:val="000000" w:themeColor="text1"/>
          <w:spacing w:val="2"/>
          <w:kern w:val="0"/>
          <w:sz w:val="56"/>
          <w:szCs w:val="56"/>
          <w:highlight w:val="none"/>
          <w:fitText w:val="2800" w:id="1181044356"/>
          <w14:textFill>
            <w14:solidFill>
              <w14:schemeClr w14:val="tx1"/>
            </w14:solidFill>
          </w14:textFill>
        </w:rPr>
        <w:t>度</w:t>
      </w:r>
      <w:bookmarkEnd w:id="0"/>
      <w:bookmarkEnd w:id="1"/>
      <w:bookmarkEnd w:id="2"/>
      <w:bookmarkEnd w:id="3"/>
      <w:bookmarkEnd w:id="4"/>
      <w:bookmarkStart w:id="6" w:name="_Toc15396476"/>
      <w:bookmarkStart w:id="7" w:name="_Toc15377194"/>
      <w:bookmarkStart w:id="8" w:name="_Toc15378442"/>
      <w:bookmarkStart w:id="9" w:name="_Toc15396598"/>
      <w:bookmarkStart w:id="10" w:name="_Toc15377426"/>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center"/>
        <w:textAlignment w:val="auto"/>
        <w:outlineLvl w:val="0"/>
        <w:rPr>
          <w:rFonts w:hint="eastAsia" w:ascii="方正小标宋简体" w:hAnsi="方正小标宋简体" w:eastAsia="方正小标宋简体" w:cs="方正小标宋简体"/>
          <w:color w:val="000000" w:themeColor="text1"/>
          <w:sz w:val="56"/>
          <w:szCs w:val="56"/>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56"/>
          <w:szCs w:val="56"/>
          <w:highlight w:val="none"/>
          <w:lang w:eastAsia="zh-CN"/>
          <w14:textFill>
            <w14:solidFill>
              <w14:schemeClr w14:val="tx1"/>
            </w14:solidFill>
          </w14:textFill>
        </w:rPr>
        <w:t>广元市</w:t>
      </w:r>
      <w:bookmarkEnd w:id="5"/>
      <w:bookmarkStart w:id="11" w:name="_Toc15306268"/>
      <w:r>
        <w:rPr>
          <w:rFonts w:hint="eastAsia" w:ascii="方正小标宋简体" w:hAnsi="方正小标宋简体" w:eastAsia="方正小标宋简体" w:cs="方正小标宋简体"/>
          <w:color w:val="000000" w:themeColor="text1"/>
          <w:sz w:val="56"/>
          <w:szCs w:val="56"/>
          <w:highlight w:val="none"/>
          <w:lang w:val="en-US" w:eastAsia="zh-CN"/>
          <w14:textFill>
            <w14:solidFill>
              <w14:schemeClr w14:val="tx1"/>
            </w14:solidFill>
          </w14:textFill>
        </w:rPr>
        <w:t>医疗保障局</w:t>
      </w:r>
      <w:r>
        <w:rPr>
          <w:rFonts w:hint="eastAsia" w:ascii="方正小标宋简体" w:hAnsi="方正小标宋简体" w:eastAsia="方正小标宋简体" w:cs="方正小标宋简体"/>
          <w:color w:val="000000" w:themeColor="text1"/>
          <w:sz w:val="56"/>
          <w:szCs w:val="56"/>
          <w:highlight w:val="none"/>
          <w14:textFill>
            <w14:solidFill>
              <w14:schemeClr w14:val="tx1"/>
            </w14:solidFill>
          </w14:textFill>
        </w:rPr>
        <w:t>决算</w:t>
      </w:r>
      <w:bookmarkEnd w:id="6"/>
      <w:bookmarkEnd w:id="7"/>
      <w:bookmarkEnd w:id="8"/>
      <w:bookmarkEnd w:id="9"/>
      <w:bookmarkEnd w:id="10"/>
      <w:bookmarkEnd w:id="11"/>
    </w:p>
    <w:p>
      <w:pPr>
        <w:widowControl/>
        <w:jc w:val="center"/>
        <w:rPr>
          <w:rFonts w:ascii="黑体" w:hAnsi="黑体" w:eastAsia="黑体"/>
          <w:color w:val="000000" w:themeColor="text1"/>
          <w:sz w:val="48"/>
          <w:szCs w:val="48"/>
          <w:highlight w:val="none"/>
          <w14:textFill>
            <w14:solidFill>
              <w14:schemeClr w14:val="tx1"/>
            </w14:solidFill>
          </w14:textFill>
        </w:rPr>
      </w:pPr>
      <w:r>
        <w:rPr>
          <w:color w:val="000000" w:themeColor="text1"/>
          <w:sz w:val="36"/>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4489450</wp:posOffset>
                </wp:positionH>
                <wp:positionV relativeFrom="paragraph">
                  <wp:posOffset>5514975</wp:posOffset>
                </wp:positionV>
                <wp:extent cx="1403985" cy="630555"/>
                <wp:effectExtent l="0" t="0" r="5715" b="17145"/>
                <wp:wrapNone/>
                <wp:docPr id="14" name="矩形 14"/>
                <wp:cNvGraphicFramePr/>
                <a:graphic xmlns:a="http://schemas.openxmlformats.org/drawingml/2006/main">
                  <a:graphicData uri="http://schemas.microsoft.com/office/word/2010/wordprocessingShape">
                    <wps:wsp>
                      <wps:cNvSpPr/>
                      <wps:spPr>
                        <a:xfrm>
                          <a:off x="6221095" y="9543415"/>
                          <a:ext cx="1403985" cy="6305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3.5pt;margin-top:434.25pt;height:49.65pt;width:110.55pt;z-index:251667456;v-text-anchor:middle;mso-width-relative:page;mso-height-relative:page;" fillcolor="#FFFFFF [3212]" filled="t" stroked="f" coordsize="21600,21600" o:gfxdata="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0XWZE1wAAAAsBAAAPAAAAAAAAAAEAIAAAACIAAABkcnMvZG93bnJldi54&#10;bWxQSwECFAAUAAAACACHTuJA6iIz5G0CAADCBAAADgAAAAAAAAABACAAAAAmAQAAZHJzL2Uyb0Rv&#10;Yy54bWxQSwUGAAAAAAYABgBZAQAABQYAAAAA&#10;">
                <v:fill on="t" focussize="0,0"/>
                <v:stroke on="f" weight="2pt"/>
                <v:imagedata o:title=""/>
                <o:lock v:ext="edit" aspectratio="f"/>
              </v:rect>
            </w:pict>
          </mc:Fallback>
        </mc:AlternateContent>
      </w:r>
      <w:r>
        <w:rPr>
          <w:color w:val="000000" w:themeColor="text1"/>
          <w:sz w:val="36"/>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5390515</wp:posOffset>
                </wp:positionH>
                <wp:positionV relativeFrom="paragraph">
                  <wp:posOffset>4685030</wp:posOffset>
                </wp:positionV>
                <wp:extent cx="448945" cy="394335"/>
                <wp:effectExtent l="0" t="0" r="8255" b="5715"/>
                <wp:wrapNone/>
                <wp:docPr id="13" name="矩形 13"/>
                <wp:cNvGraphicFramePr/>
                <a:graphic xmlns:a="http://schemas.openxmlformats.org/drawingml/2006/main">
                  <a:graphicData uri="http://schemas.microsoft.com/office/word/2010/wordprocessingShape">
                    <wps:wsp>
                      <wps:cNvSpPr/>
                      <wps:spPr>
                        <a:xfrm>
                          <a:off x="6398895" y="9603740"/>
                          <a:ext cx="448945" cy="3943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24.45pt;margin-top:368.9pt;height:31.05pt;width:35.35pt;z-index:251666432;v-text-anchor:middle;mso-width-relative:page;mso-height-relative:page;" fillcolor="#FFFFFF [3212]" filled="t" stroked="f" coordsize="21600,21600" o:gfxdata="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G5cPQ1gAAAAsBAAAPAAAAAAAAAAEAIAAAACIAAABkcnMvZG93bnJldi54bWxQ&#10;SwECFAAUAAAACACHTuJAX8YNyWsCAADBBAAADgAAAAAAAAABACAAAAAlAQAAZHJzL2Uyb0RvYy54&#10;bWxQSwUGAAAAAAYABgBZAQAAAgYAAAAA&#10;">
                <v:fill on="t" focussize="0,0"/>
                <v:stroke on="f" weight="2pt"/>
                <v:imagedata o:title=""/>
                <o:lock v:ext="edit" aspectratio="f"/>
              </v:rect>
            </w:pict>
          </mc:Fallback>
        </mc:AlternateContent>
      </w:r>
      <w:r>
        <w:rPr>
          <w:rFonts w:ascii="方正小标宋简体" w:hAnsi="宋体" w:eastAsia="方正小标宋简体"/>
          <w:color w:val="000000" w:themeColor="text1"/>
          <w:sz w:val="36"/>
          <w:szCs w:val="36"/>
          <w:highlight w:val="none"/>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目</w:t>
      </w:r>
      <w:r>
        <w:rPr>
          <w:rFonts w:hint="eastAsia" w:ascii="方正小标宋简体" w:hAnsi="方正小标宋简体" w:eastAsia="方正小标宋简体" w:cs="方正小标宋简体"/>
          <w:color w:val="000000" w:themeColor="text1"/>
          <w:sz w:val="44"/>
          <w:szCs w:val="44"/>
          <w:highlight w:val="none"/>
          <w:lang w:val="en-US"/>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录</w:t>
      </w:r>
    </w:p>
    <w:p>
      <w:pPr>
        <w:pStyle w:val="14"/>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公开时间：20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23</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val="0"/>
        <w:snapToGrid w:val="0"/>
        <w:spacing w:before="0" w:line="59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第一部分 部门概况</w:t>
      </w:r>
      <w:r>
        <w:rPr>
          <w:rFonts w:hint="default" w:ascii="黑体" w:hAnsi="黑体" w:eastAsia="黑体" w:cs="黑体"/>
          <w:color w:val="000000" w:themeColor="text1"/>
          <w:sz w:val="32"/>
          <w:szCs w:val="32"/>
          <w:highlight w:val="none"/>
          <w:lang w:val="en-US"/>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p>
    <w:p>
      <w:pPr>
        <w:pStyle w:val="16"/>
        <w:keepNext w:val="0"/>
        <w:keepLines w:val="0"/>
        <w:pageBreakBefore w:val="0"/>
        <w:widowControl w:val="0"/>
        <w:kinsoku/>
        <w:wordWrap/>
        <w:overflowPunct/>
        <w:topLinePunct w:val="0"/>
        <w:autoSpaceDE/>
        <w:autoSpaceDN/>
        <w:bidi w:val="0"/>
        <w:adjustRightInd w:val="0"/>
        <w:snapToGrid w:val="0"/>
        <w:spacing w:line="596" w:lineRule="exact"/>
        <w:ind w:left="0" w:leftChars="0" w:firstLine="640" w:firstLineChars="200"/>
        <w:jc w:val="both"/>
        <w:textAlignment w:val="auto"/>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部门职责…………………………………………………</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4</w:t>
      </w:r>
    </w:p>
    <w:p>
      <w:pPr>
        <w:pStyle w:val="16"/>
        <w:keepNext w:val="0"/>
        <w:keepLines w:val="0"/>
        <w:pageBreakBefore w:val="0"/>
        <w:widowControl w:val="0"/>
        <w:kinsoku/>
        <w:wordWrap/>
        <w:overflowPunct/>
        <w:topLinePunct w:val="0"/>
        <w:autoSpaceDE/>
        <w:autoSpaceDN/>
        <w:bidi w:val="0"/>
        <w:adjustRightInd w:val="0"/>
        <w:snapToGrid w:val="0"/>
        <w:spacing w:line="596" w:lineRule="exact"/>
        <w:ind w:left="0" w:leftChars="0" w:firstLine="640" w:firstLineChars="200"/>
        <w:jc w:val="both"/>
        <w:textAlignment w:val="auto"/>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二、机构设置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t>7</w:t>
      </w:r>
    </w:p>
    <w:p>
      <w:pPr>
        <w:pStyle w:val="14"/>
        <w:keepNext w:val="0"/>
        <w:keepLines w:val="0"/>
        <w:pageBreakBefore w:val="0"/>
        <w:widowControl w:val="0"/>
        <w:kinsoku/>
        <w:wordWrap/>
        <w:overflowPunct/>
        <w:topLinePunct w:val="0"/>
        <w:autoSpaceDE/>
        <w:autoSpaceDN/>
        <w:bidi w:val="0"/>
        <w:adjustRightInd w:val="0"/>
        <w:snapToGrid w:val="0"/>
        <w:spacing w:before="0" w:line="59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第二部分</w:t>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2022年度</w:t>
      </w:r>
      <w:r>
        <w:rPr>
          <w:rFonts w:hint="eastAsia" w:ascii="黑体" w:hAnsi="黑体" w:eastAsia="黑体" w:cs="黑体"/>
          <w:color w:val="000000" w:themeColor="text1"/>
          <w:sz w:val="32"/>
          <w:szCs w:val="32"/>
          <w:highlight w:val="none"/>
          <w14:textFill>
            <w14:solidFill>
              <w14:schemeClr w14:val="tx1"/>
            </w14:solidFill>
          </w14:textFill>
        </w:rPr>
        <w:t>部门决算情况说明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w:t>
      </w:r>
    </w:p>
    <w:p>
      <w:pPr>
        <w:pStyle w:val="16"/>
        <w:keepNext w:val="0"/>
        <w:keepLines w:val="0"/>
        <w:pageBreakBefore w:val="0"/>
        <w:widowControl w:val="0"/>
        <w:kinsoku/>
        <w:wordWrap/>
        <w:overflowPunct/>
        <w:topLinePunct w:val="0"/>
        <w:autoSpaceDE/>
        <w:autoSpaceDN/>
        <w:bidi w:val="0"/>
        <w:adjustRightInd w:val="0"/>
        <w:snapToGrid w:val="0"/>
        <w:spacing w:line="596" w:lineRule="exact"/>
        <w:ind w:left="0" w:leftChars="0" w:firstLine="640" w:firstLineChars="200"/>
        <w:jc w:val="both"/>
        <w:textAlignment w:val="auto"/>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一、收入支出决算总体情况说明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t>8</w:t>
      </w:r>
    </w:p>
    <w:p>
      <w:pPr>
        <w:pStyle w:val="16"/>
        <w:keepNext w:val="0"/>
        <w:keepLines w:val="0"/>
        <w:pageBreakBefore w:val="0"/>
        <w:widowControl w:val="0"/>
        <w:kinsoku/>
        <w:wordWrap/>
        <w:overflowPunct/>
        <w:topLinePunct w:val="0"/>
        <w:autoSpaceDE/>
        <w:autoSpaceDN/>
        <w:bidi w:val="0"/>
        <w:adjustRightInd w:val="0"/>
        <w:snapToGrid w:val="0"/>
        <w:spacing w:line="596" w:lineRule="exact"/>
        <w:ind w:left="0" w:leftChars="0" w:firstLine="640" w:firstLineChars="200"/>
        <w:jc w:val="both"/>
        <w:textAlignment w:val="auto"/>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二、收入决算情况说明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t>8</w:t>
      </w:r>
    </w:p>
    <w:p>
      <w:pPr>
        <w:pStyle w:val="16"/>
        <w:keepNext w:val="0"/>
        <w:keepLines w:val="0"/>
        <w:pageBreakBefore w:val="0"/>
        <w:widowControl w:val="0"/>
        <w:kinsoku/>
        <w:wordWrap/>
        <w:overflowPunct/>
        <w:topLinePunct w:val="0"/>
        <w:autoSpaceDE/>
        <w:autoSpaceDN/>
        <w:bidi w:val="0"/>
        <w:adjustRightInd w:val="0"/>
        <w:snapToGrid w:val="0"/>
        <w:spacing w:line="596" w:lineRule="exact"/>
        <w:ind w:left="0" w:leftChars="0" w:firstLine="640" w:firstLineChars="200"/>
        <w:jc w:val="both"/>
        <w:textAlignment w:val="auto"/>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三、支出决算情况说明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t>9</w:t>
      </w:r>
    </w:p>
    <w:p>
      <w:pPr>
        <w:pStyle w:val="16"/>
        <w:keepNext w:val="0"/>
        <w:keepLines w:val="0"/>
        <w:pageBreakBefore w:val="0"/>
        <w:widowControl w:val="0"/>
        <w:kinsoku/>
        <w:wordWrap/>
        <w:overflowPunct/>
        <w:topLinePunct w:val="0"/>
        <w:autoSpaceDE/>
        <w:autoSpaceDN/>
        <w:bidi w:val="0"/>
        <w:adjustRightInd w:val="0"/>
        <w:snapToGrid w:val="0"/>
        <w:spacing w:line="596" w:lineRule="exact"/>
        <w:ind w:left="0" w:leftChars="0" w:firstLine="640" w:firstLineChars="200"/>
        <w:jc w:val="both"/>
        <w:textAlignment w:val="auto"/>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四、财政拨款收入支出决算总体情况说明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t>10</w:t>
      </w:r>
    </w:p>
    <w:p>
      <w:pPr>
        <w:pStyle w:val="16"/>
        <w:keepNext w:val="0"/>
        <w:keepLines w:val="0"/>
        <w:pageBreakBefore w:val="0"/>
        <w:widowControl w:val="0"/>
        <w:kinsoku/>
        <w:wordWrap/>
        <w:overflowPunct/>
        <w:topLinePunct w:val="0"/>
        <w:autoSpaceDE/>
        <w:autoSpaceDN/>
        <w:bidi w:val="0"/>
        <w:adjustRightInd w:val="0"/>
        <w:snapToGrid w:val="0"/>
        <w:spacing w:line="596" w:lineRule="exact"/>
        <w:ind w:left="638" w:leftChars="304" w:firstLine="0" w:firstLineChars="0"/>
        <w:jc w:val="both"/>
        <w:textAlignment w:val="auto"/>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五、一般公共预算财政拨款支出决算情况说明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t>10</w:t>
      </w:r>
      <w:r>
        <w:rPr>
          <w:rFonts w:hint="eastAsia" w:ascii="仿宋_GB2312" w:hAnsi="仿宋_GB2312" w:eastAsia="仿宋_GB2312" w:cs="仿宋_GB2312"/>
          <w:color w:val="000000" w:themeColor="text1"/>
          <w:sz w:val="32"/>
          <w:szCs w:val="32"/>
          <w:highlight w:val="none"/>
          <w14:textFill>
            <w14:solidFill>
              <w14:schemeClr w14:val="tx1"/>
            </w14:solidFill>
          </w14:textFill>
        </w:rPr>
        <w:t>六、一般公共预算财政拨款基本支出决算情况说明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t>13</w:t>
      </w:r>
    </w:p>
    <w:p>
      <w:pPr>
        <w:pStyle w:val="16"/>
        <w:keepNext w:val="0"/>
        <w:keepLines w:val="0"/>
        <w:pageBreakBefore w:val="0"/>
        <w:widowControl w:val="0"/>
        <w:kinsoku/>
        <w:wordWrap/>
        <w:overflowPunct/>
        <w:topLinePunct w:val="0"/>
        <w:autoSpaceDE/>
        <w:autoSpaceDN/>
        <w:bidi w:val="0"/>
        <w:adjustRightInd w:val="0"/>
        <w:snapToGrid w:val="0"/>
        <w:spacing w:line="596" w:lineRule="exact"/>
        <w:ind w:left="0" w:leftChars="0" w:firstLine="640" w:firstLineChars="200"/>
        <w:jc w:val="both"/>
        <w:textAlignment w:val="auto"/>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七、财政拨款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三公”经费支出决算情况说明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t>13</w:t>
      </w:r>
    </w:p>
    <w:p>
      <w:pPr>
        <w:pStyle w:val="16"/>
        <w:keepNext w:val="0"/>
        <w:keepLines w:val="0"/>
        <w:pageBreakBefore w:val="0"/>
        <w:widowControl w:val="0"/>
        <w:kinsoku/>
        <w:wordWrap/>
        <w:overflowPunct/>
        <w:topLinePunct w:val="0"/>
        <w:autoSpaceDE/>
        <w:autoSpaceDN/>
        <w:bidi w:val="0"/>
        <w:adjustRightInd w:val="0"/>
        <w:snapToGrid w:val="0"/>
        <w:spacing w:line="596" w:lineRule="exact"/>
        <w:ind w:left="0" w:leftChars="0" w:firstLine="640" w:firstLineChars="200"/>
        <w:jc w:val="both"/>
        <w:textAlignment w:val="auto"/>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八、政府性基金预算支出决算情况说明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t>15</w:t>
      </w:r>
    </w:p>
    <w:p>
      <w:pPr>
        <w:pStyle w:val="16"/>
        <w:keepNext w:val="0"/>
        <w:keepLines w:val="0"/>
        <w:pageBreakBefore w:val="0"/>
        <w:widowControl w:val="0"/>
        <w:kinsoku/>
        <w:wordWrap/>
        <w:overflowPunct/>
        <w:topLinePunct w:val="0"/>
        <w:autoSpaceDE/>
        <w:autoSpaceDN/>
        <w:bidi w:val="0"/>
        <w:adjustRightInd w:val="0"/>
        <w:snapToGrid w:val="0"/>
        <w:spacing w:line="596" w:lineRule="exact"/>
        <w:ind w:left="0" w:leftChars="0" w:firstLine="640" w:firstLineChars="200"/>
        <w:jc w:val="both"/>
        <w:textAlignment w:val="auto"/>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九、</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国</w:t>
      </w:r>
      <w:r>
        <w:rPr>
          <w:rFonts w:hint="eastAsia" w:ascii="仿宋_GB2312" w:hAnsi="仿宋_GB2312" w:eastAsia="仿宋_GB2312" w:cs="仿宋_GB2312"/>
          <w:color w:val="000000" w:themeColor="text1"/>
          <w:sz w:val="32"/>
          <w:szCs w:val="32"/>
          <w:highlight w:val="none"/>
          <w14:textFill>
            <w14:solidFill>
              <w14:schemeClr w14:val="tx1"/>
            </w14:solidFill>
          </w14:textFill>
        </w:rPr>
        <w:t>有资本经营预算支出决算情况说明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t>15</w:t>
      </w:r>
    </w:p>
    <w:p>
      <w:pPr>
        <w:keepNext w:val="0"/>
        <w:keepLines w:val="0"/>
        <w:pageBreakBefore w:val="0"/>
        <w:widowControl w:val="0"/>
        <w:kinsoku/>
        <w:wordWrap/>
        <w:overflowPunct/>
        <w:topLinePunct w:val="0"/>
        <w:autoSpaceDE/>
        <w:autoSpaceDN/>
        <w:bidi w:val="0"/>
        <w:adjustRightInd w:val="0"/>
        <w:snapToGrid w:val="0"/>
        <w:spacing w:line="596" w:lineRule="exact"/>
        <w:ind w:left="0" w:leftChars="0" w:firstLine="640" w:firstLineChars="200"/>
        <w:jc w:val="both"/>
        <w:textAlignment w:val="auto"/>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pPr>
      <w:r>
        <w:rPr>
          <w:rStyle w:val="22"/>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十</w:t>
      </w:r>
      <w:r>
        <w:rPr>
          <w:rStyle w:val="22"/>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其他重要事项的情况说明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t>15</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第三部分 名词解释</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t>18</w:t>
      </w:r>
    </w:p>
    <w:p>
      <w:pPr>
        <w:pStyle w:val="14"/>
        <w:keepNext w:val="0"/>
        <w:keepLines w:val="0"/>
        <w:pageBreakBefore w:val="0"/>
        <w:widowControl w:val="0"/>
        <w:kinsoku/>
        <w:wordWrap/>
        <w:overflowPunct/>
        <w:topLinePunct w:val="0"/>
        <w:autoSpaceDE/>
        <w:autoSpaceDN/>
        <w:bidi w:val="0"/>
        <w:adjustRightInd w:val="0"/>
        <w:snapToGrid w:val="0"/>
        <w:spacing w:before="0" w:line="596" w:lineRule="exact"/>
        <w:ind w:left="0" w:leftChars="0" w:firstLine="640" w:firstLineChars="200"/>
        <w:jc w:val="both"/>
        <w:textAlignment w:val="auto"/>
        <w:rPr>
          <w:rFonts w:hint="default" w:ascii="黑体" w:hAnsi="黑体" w:eastAsia="黑体" w:cs="黑体"/>
          <w:color w:val="000000" w:themeColor="text1"/>
          <w:sz w:val="32"/>
          <w:szCs w:val="32"/>
          <w:highlight w:val="none"/>
          <w:lang w:val="en-US"/>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第四部分 附件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t>21</w:t>
      </w:r>
    </w:p>
    <w:p>
      <w:pPr>
        <w:pStyle w:val="14"/>
        <w:keepNext w:val="0"/>
        <w:keepLines w:val="0"/>
        <w:pageBreakBefore w:val="0"/>
        <w:widowControl w:val="0"/>
        <w:kinsoku/>
        <w:wordWrap/>
        <w:overflowPunct/>
        <w:topLinePunct w:val="0"/>
        <w:autoSpaceDE/>
        <w:autoSpaceDN/>
        <w:bidi w:val="0"/>
        <w:adjustRightInd w:val="0"/>
        <w:snapToGrid w:val="0"/>
        <w:spacing w:before="0" w:line="596" w:lineRule="exact"/>
        <w:ind w:left="0" w:leftChars="0" w:firstLine="640" w:firstLineChars="200"/>
        <w:jc w:val="both"/>
        <w:textAlignment w:val="auto"/>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第五部分 附表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t>86</w:t>
      </w:r>
    </w:p>
    <w:p>
      <w:pPr>
        <w:pStyle w:val="16"/>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一、收入支出决算总表</w:t>
      </w:r>
    </w:p>
    <w:p>
      <w:pPr>
        <w:pStyle w:val="16"/>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二、收入决算表</w:t>
      </w:r>
    </w:p>
    <w:p>
      <w:pPr>
        <w:pStyle w:val="16"/>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三、支出决算表</w:t>
      </w:r>
    </w:p>
    <w:p>
      <w:pPr>
        <w:pStyle w:val="16"/>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四、财政拨款收入支出决算总表</w:t>
      </w:r>
    </w:p>
    <w:p>
      <w:pPr>
        <w:pStyle w:val="16"/>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五、财政拨款支出决算明细表</w:t>
      </w:r>
    </w:p>
    <w:p>
      <w:pPr>
        <w:pStyle w:val="16"/>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六、一般公共预算财政拨款支出决算表</w:t>
      </w:r>
    </w:p>
    <w:p>
      <w:pPr>
        <w:pStyle w:val="16"/>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七、一般公共预算财政拨款支出决算明细表</w:t>
      </w:r>
    </w:p>
    <w:p>
      <w:pPr>
        <w:pStyle w:val="16"/>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八、一般公共预算财政拨款基本支出决算</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明细</w:t>
      </w:r>
      <w:r>
        <w:rPr>
          <w:rFonts w:hint="eastAsia" w:ascii="仿宋_GB2312" w:hAnsi="仿宋_GB2312" w:eastAsia="仿宋_GB2312" w:cs="仿宋_GB2312"/>
          <w:color w:val="000000" w:themeColor="text1"/>
          <w:sz w:val="32"/>
          <w:szCs w:val="32"/>
          <w:highlight w:val="none"/>
          <w14:textFill>
            <w14:solidFill>
              <w14:schemeClr w14:val="tx1"/>
            </w14:solidFill>
          </w14:textFill>
        </w:rPr>
        <w:t>表</w:t>
      </w:r>
    </w:p>
    <w:p>
      <w:pPr>
        <w:pStyle w:val="16"/>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九、一般公共预算财政拨款项目支出决算表</w:t>
      </w:r>
    </w:p>
    <w:p>
      <w:pPr>
        <w:pStyle w:val="16"/>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十、政府性基金预算财政拨款收入支出决算表</w:t>
      </w:r>
    </w:p>
    <w:p>
      <w:pPr>
        <w:pStyle w:val="16"/>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十一、国有资本经营预算财政拨款收入支出决算表</w:t>
      </w:r>
    </w:p>
    <w:p>
      <w:pPr>
        <w:pStyle w:val="16"/>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十二、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国有资本经营预算财政拨款支出决算表</w:t>
      </w:r>
    </w:p>
    <w:p>
      <w:pPr>
        <w:pStyle w:val="16"/>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十三、财政拨款“三公”经费支出决算表</w:t>
      </w:r>
    </w:p>
    <w:p>
      <w:pPr>
        <w:widowControl/>
        <w:spacing w:line="440" w:lineRule="exact"/>
        <w:jc w:val="left"/>
        <w:rPr>
          <w:rFonts w:ascii="仿宋" w:hAnsi="仿宋" w:eastAsia="仿宋"/>
          <w:bCs/>
          <w:color w:val="000000" w:themeColor="text1"/>
          <w:kern w:val="44"/>
          <w:sz w:val="24"/>
          <w:highlight w:val="none"/>
          <w14:textFill>
            <w14:solidFill>
              <w14:schemeClr w14:val="tx1"/>
            </w14:solidFill>
          </w14:textFill>
        </w:rPr>
      </w:pPr>
      <w:bookmarkStart w:id="12" w:name="_Toc15377196"/>
      <w:bookmarkStart w:id="13" w:name="_Toc15396599"/>
      <w:r>
        <w:rPr>
          <w:rFonts w:ascii="仿宋" w:hAnsi="仿宋" w:eastAsia="仿宋"/>
          <w:b/>
          <w:color w:val="000000" w:themeColor="text1"/>
          <w:sz w:val="24"/>
          <w:highlight w:val="none"/>
          <w14:textFill>
            <w14:solidFill>
              <w14:schemeClr w14:val="tx1"/>
            </w14:solidFill>
          </w14:textFill>
        </w:rPr>
        <w:br w:type="page"/>
      </w:r>
    </w:p>
    <w:p>
      <w:pPr>
        <w:pStyle w:val="2"/>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Style w:val="32"/>
          <w:rFonts w:ascii="黑体" w:hAnsi="黑体" w:eastAsia="黑体"/>
          <w:b/>
          <w:bCs w:val="0"/>
          <w:color w:val="000000" w:themeColor="text1"/>
          <w:highlight w:val="none"/>
          <w14:textFill>
            <w14:solidFill>
              <w14:schemeClr w14:val="tx1"/>
            </w14:solidFill>
          </w14:textFill>
        </w:rPr>
      </w:pPr>
      <w:r>
        <w:rPr>
          <w:rFonts w:hint="eastAsia" w:ascii="黑体" w:hAnsi="黑体" w:eastAsia="黑体"/>
          <w:b w:val="0"/>
          <w:color w:val="000000" w:themeColor="text1"/>
          <w:highlight w:val="none"/>
          <w14:textFill>
            <w14:solidFill>
              <w14:schemeClr w14:val="tx1"/>
            </w14:solidFill>
          </w14:textFill>
        </w:rPr>
        <w:t xml:space="preserve">第一部分 </w:t>
      </w:r>
      <w:r>
        <w:rPr>
          <w:rStyle w:val="32"/>
          <w:rFonts w:hint="eastAsia" w:ascii="黑体" w:hAnsi="黑体" w:eastAsia="黑体"/>
          <w:b w:val="0"/>
          <w:bCs w:val="0"/>
          <w:color w:val="000000" w:themeColor="text1"/>
          <w:highlight w:val="none"/>
          <w14:textFill>
            <w14:solidFill>
              <w14:schemeClr w14:val="tx1"/>
            </w14:solidFill>
          </w14:textFill>
        </w:rPr>
        <w:t>部门概况</w:t>
      </w:r>
      <w:bookmarkEnd w:id="12"/>
      <w:bookmarkEnd w:id="13"/>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黑体" w:eastAsia="黑体"/>
          <w:color w:val="000000" w:themeColor="text1"/>
          <w:sz w:val="32"/>
          <w:szCs w:val="32"/>
          <w:highlight w:val="none"/>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val="0"/>
        <w:snapToGrid w:val="0"/>
        <w:spacing w:before="0" w:after="0" w:line="576" w:lineRule="exact"/>
        <w:ind w:firstLine="640" w:firstLineChars="200"/>
        <w:jc w:val="both"/>
        <w:textAlignment w:val="auto"/>
        <w:rPr>
          <w:rFonts w:hint="eastAsia" w:ascii="黑体" w:hAnsi="黑体" w:eastAsia="黑体"/>
          <w:b w:val="0"/>
          <w:color w:val="000000" w:themeColor="text1"/>
          <w:highlight w:val="none"/>
          <w:lang w:eastAsia="zh-CN"/>
          <w14:textFill>
            <w14:solidFill>
              <w14:schemeClr w14:val="tx1"/>
            </w14:solidFill>
          </w14:textFill>
        </w:rPr>
      </w:pPr>
      <w:bookmarkStart w:id="14" w:name="_Toc15377197"/>
      <w:bookmarkStart w:id="15" w:name="_Toc15396600"/>
      <w:r>
        <w:rPr>
          <w:rFonts w:hint="eastAsia" w:ascii="黑体" w:hAnsi="黑体" w:eastAsia="黑体"/>
          <w:b w:val="0"/>
          <w:color w:val="000000" w:themeColor="text1"/>
          <w:highlight w:val="none"/>
          <w14:textFill>
            <w14:solidFill>
              <w14:schemeClr w14:val="tx1"/>
            </w14:solidFill>
          </w14:textFill>
        </w:rPr>
        <w:t>一、</w:t>
      </w:r>
      <w:bookmarkEnd w:id="14"/>
      <w:bookmarkEnd w:id="15"/>
      <w:r>
        <w:rPr>
          <w:rFonts w:hint="eastAsia" w:ascii="黑体" w:hAnsi="黑体" w:eastAsia="黑体"/>
          <w:b w:val="0"/>
          <w:color w:val="000000" w:themeColor="text1"/>
          <w:highlight w:val="none"/>
          <w:lang w:eastAsia="zh-CN"/>
          <w14:textFill>
            <w14:solidFill>
              <w14:schemeClr w14:val="tx1"/>
            </w14:solidFill>
          </w14:textFill>
        </w:rPr>
        <w:t>部门职责</w:t>
      </w:r>
    </w:p>
    <w:p>
      <w:pPr>
        <w:pStyle w:val="6"/>
        <w:keepNext w:val="0"/>
        <w:keepLines w:val="0"/>
        <w:pageBreakBefore w:val="0"/>
        <w:widowControl w:val="0"/>
        <w:kinsoku/>
        <w:wordWrap/>
        <w:overflowPunct/>
        <w:topLinePunct w:val="0"/>
        <w:autoSpaceDE/>
        <w:autoSpaceDN/>
        <w:bidi w:val="0"/>
        <w:adjustRightInd w:val="0"/>
        <w:snapToGrid w:val="0"/>
        <w:spacing w:beforeLines="0" w:line="576" w:lineRule="exact"/>
        <w:ind w:firstLine="640" w:firstLineChars="200"/>
        <w:jc w:val="both"/>
        <w:textAlignment w:val="auto"/>
        <w:rPr>
          <w:rFonts w:hint="eastAsia" w:ascii="楷体_GB2312" w:hAnsi="楷体_GB2312" w:eastAsia="楷体_GB2312" w:cs="楷体_GB2312"/>
          <w:color w:val="000000" w:themeColor="text1"/>
          <w:sz w:val="32"/>
          <w:szCs w:val="32"/>
          <w14:textFill>
            <w14:solidFill>
              <w14:schemeClr w14:val="tx1"/>
            </w14:solidFill>
          </w14:textFill>
        </w:rPr>
      </w:pPr>
      <w:bookmarkStart w:id="16" w:name="_Toc15378445"/>
      <w:bookmarkStart w:id="17" w:name="_Toc15377198"/>
      <w:r>
        <w:rPr>
          <w:rFonts w:hint="eastAsia" w:ascii="楷体_GB2312" w:hAnsi="楷体_GB2312" w:eastAsia="楷体_GB2312" w:cs="楷体_GB2312"/>
          <w:color w:val="000000" w:themeColor="text1"/>
          <w:sz w:val="32"/>
          <w:szCs w:val="32"/>
          <w14:textFill>
            <w14:solidFill>
              <w14:schemeClr w14:val="tx1"/>
            </w14:solidFill>
          </w14:textFill>
        </w:rPr>
        <w:t>（一）主要职能。</w:t>
      </w:r>
      <w:bookmarkEnd w:id="16"/>
      <w:bookmarkEnd w:id="17"/>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s="仿宋_GB2312"/>
          <w:color w:val="000000" w:themeColor="text1"/>
          <w:sz w:val="32"/>
          <w:szCs w:val="32"/>
          <w14:textFill>
            <w14:solidFill>
              <w14:schemeClr w14:val="tx1"/>
            </w14:solidFill>
          </w14:textFill>
        </w:rPr>
        <w:t xml:space="preserve">1. </w:t>
      </w:r>
      <w:r>
        <w:rPr>
          <w:rFonts w:hint="eastAsia" w:ascii="仿宋_GB2312" w:eastAsia="仿宋_GB2312" w:cs="仿宋_GB2312"/>
          <w:color w:val="000000" w:themeColor="text1"/>
          <w:sz w:val="32"/>
          <w:szCs w:val="32"/>
          <w14:textFill>
            <w14:solidFill>
              <w14:schemeClr w14:val="tx1"/>
            </w14:solidFill>
          </w14:textFill>
        </w:rPr>
        <w:t>负责贯彻执行国家、省、市有关医疗保险、生育保险、医疗救助、长期护理保险等医疗保障政策制度。</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s="仿宋_GB2312"/>
          <w:color w:val="000000" w:themeColor="text1"/>
          <w:sz w:val="32"/>
          <w:szCs w:val="32"/>
          <w14:textFill>
            <w14:solidFill>
              <w14:schemeClr w14:val="tx1"/>
            </w14:solidFill>
          </w14:textFill>
        </w:rPr>
        <w:t xml:space="preserve">2. </w:t>
      </w:r>
      <w:r>
        <w:rPr>
          <w:rFonts w:hint="eastAsia" w:ascii="仿宋_GB2312" w:eastAsia="仿宋_GB2312" w:cs="仿宋_GB2312"/>
          <w:color w:val="000000" w:themeColor="text1"/>
          <w:sz w:val="32"/>
          <w:szCs w:val="32"/>
          <w14:textFill>
            <w14:solidFill>
              <w14:schemeClr w14:val="tx1"/>
            </w14:solidFill>
          </w14:textFill>
        </w:rPr>
        <w:t>组织起草有关地方性法规和规章，草案。负责拟订全市医疗保障事业发展规划、政策和标准，并组织实施和监督检查。</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s="仿宋_GB2312"/>
          <w:color w:val="000000" w:themeColor="text1"/>
          <w:sz w:val="32"/>
          <w:szCs w:val="32"/>
          <w14:textFill>
            <w14:solidFill>
              <w14:schemeClr w14:val="tx1"/>
            </w14:solidFill>
          </w14:textFill>
        </w:rPr>
        <w:t xml:space="preserve">3. </w:t>
      </w:r>
      <w:r>
        <w:rPr>
          <w:rFonts w:hint="eastAsia" w:ascii="仿宋_GB2312" w:eastAsia="仿宋_GB2312" w:cs="仿宋_GB2312"/>
          <w:color w:val="000000" w:themeColor="text1"/>
          <w:spacing w:val="-6"/>
          <w:sz w:val="32"/>
          <w:szCs w:val="32"/>
          <w14:textFill>
            <w14:solidFill>
              <w14:schemeClr w14:val="tx1"/>
            </w14:solidFill>
          </w14:textFill>
        </w:rPr>
        <w:t>组织拟订并实施医疗保障基金监督管理制度，建立健全医疗保障基金安全防控机制，监督强化全市医疗保障基金运行管理。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s="仿宋_GB2312"/>
          <w:color w:val="000000" w:themeColor="text1"/>
          <w:sz w:val="32"/>
          <w:szCs w:val="32"/>
          <w14:textFill>
            <w14:solidFill>
              <w14:schemeClr w14:val="tx1"/>
            </w14:solidFill>
          </w14:textFill>
        </w:rPr>
        <w:t xml:space="preserve">4. </w:t>
      </w:r>
      <w:r>
        <w:rPr>
          <w:rFonts w:hint="eastAsia" w:ascii="仿宋_GB2312" w:eastAsia="仿宋_GB2312" w:cs="仿宋_GB2312"/>
          <w:color w:val="000000" w:themeColor="text1"/>
          <w:sz w:val="32"/>
          <w:szCs w:val="32"/>
          <w14:textFill>
            <w14:solidFill>
              <w14:schemeClr w14:val="tx1"/>
            </w14:solidFill>
          </w14:textFill>
        </w:rPr>
        <w:t>组织拟订医疗保障筹资和待遇政策，负责医疗保障基金归集，拟订医疗保障基金年度收支计划，按政策和标准支付医疗待遇；完善动态调整和区域调剂平衡机制，统筹城乡医疗保障待遇标准，建立健全与筹资水平相适应的待遇调整机制。</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s="仿宋_GB2312"/>
          <w:color w:val="000000" w:themeColor="text1"/>
          <w:sz w:val="32"/>
          <w:szCs w:val="32"/>
          <w14:textFill>
            <w14:solidFill>
              <w14:schemeClr w14:val="tx1"/>
            </w14:solidFill>
          </w14:textFill>
        </w:rPr>
        <w:t xml:space="preserve">5. </w:t>
      </w:r>
      <w:r>
        <w:rPr>
          <w:rFonts w:hint="eastAsia" w:ascii="仿宋_GB2312" w:eastAsia="仿宋_GB2312" w:cs="仿宋_GB2312"/>
          <w:color w:val="000000" w:themeColor="text1"/>
          <w:spacing w:val="-6"/>
          <w:sz w:val="32"/>
          <w:szCs w:val="32"/>
          <w14:textFill>
            <w14:solidFill>
              <w14:schemeClr w14:val="tx1"/>
            </w14:solidFill>
          </w14:textFill>
        </w:rPr>
        <w:t>贯彻执行上级药品目录、医用耗材、医疗服务项目、医疗服务设施等医疗保障目录和支付标准政策。拟订全市药品目录、医用耗材、医疗服务项目、医疗服务设施等医疗保障目录和支付标准政策。拟订全市有关医保目录准入谈判规则并组织实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s="仿宋_GB2312"/>
          <w:color w:val="000000" w:themeColor="text1"/>
          <w:sz w:val="32"/>
          <w:szCs w:val="32"/>
          <w14:textFill>
            <w14:solidFill>
              <w14:schemeClr w14:val="tx1"/>
            </w14:solidFill>
          </w14:textFill>
        </w:rPr>
        <w:t xml:space="preserve">6. </w:t>
      </w:r>
      <w:r>
        <w:rPr>
          <w:rFonts w:hint="eastAsia" w:ascii="仿宋_GB2312" w:eastAsia="仿宋_GB2312" w:cs="仿宋_GB2312"/>
          <w:color w:val="000000" w:themeColor="text1"/>
          <w:sz w:val="32"/>
          <w:szCs w:val="32"/>
          <w14:textFill>
            <w14:solidFill>
              <w14:schemeClr w14:val="tx1"/>
            </w14:solidFill>
          </w14:textFill>
        </w:rPr>
        <w:t>贯彻执行上级药品、医用耗材价格和医疗服务项目、医疗服务设施收费等政策，负责拟订全市医用耗材价格和医疗服务项目、医疗服务设施收费等政策。建立医保支付医药服务价格合理确定和动态调整机制。推动建立市场主导的社会医药服务价格形成机制；建立价格信息监测和信息发布制度。</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s="仿宋_GB2312"/>
          <w:color w:val="000000" w:themeColor="text1"/>
          <w:sz w:val="32"/>
          <w:szCs w:val="32"/>
          <w14:textFill>
            <w14:solidFill>
              <w14:schemeClr w14:val="tx1"/>
            </w14:solidFill>
          </w14:textFill>
        </w:rPr>
        <w:t xml:space="preserve">7. </w:t>
      </w:r>
      <w:r>
        <w:rPr>
          <w:rFonts w:hint="eastAsia" w:ascii="仿宋_GB2312" w:eastAsia="仿宋_GB2312" w:cs="仿宋_GB2312"/>
          <w:color w:val="000000" w:themeColor="text1"/>
          <w:sz w:val="32"/>
          <w:szCs w:val="32"/>
          <w14:textFill>
            <w14:solidFill>
              <w14:schemeClr w14:val="tx1"/>
            </w14:solidFill>
          </w14:textFill>
        </w:rPr>
        <w:t>贯彻执行上级药品、医用耗材的招标采购政策并监督实施。负责全市药品、医用耗材招标采购平台建设。组织实施大病保险招标准入和业务指导。</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s="仿宋_GB2312"/>
          <w:color w:val="000000" w:themeColor="text1"/>
          <w:sz w:val="32"/>
          <w:szCs w:val="32"/>
          <w14:textFill>
            <w14:solidFill>
              <w14:schemeClr w14:val="tx1"/>
            </w14:solidFill>
          </w14:textFill>
        </w:rPr>
        <w:t xml:space="preserve">8. </w:t>
      </w:r>
      <w:r>
        <w:rPr>
          <w:rFonts w:hint="eastAsia" w:ascii="仿宋_GB2312" w:eastAsia="仿宋_GB2312" w:cs="仿宋_GB2312"/>
          <w:color w:val="000000" w:themeColor="text1"/>
          <w:sz w:val="32"/>
          <w:szCs w:val="32"/>
          <w14:textFill>
            <w14:solidFill>
              <w14:schemeClr w14:val="tx1"/>
            </w14:solidFill>
          </w14:textFill>
        </w:rPr>
        <w:t>推进医疗保障基金支付方式改革，拟订全市定点医药机构协议和支付管理办法并组织实施。负责全市医疗保障定点机构管理和考核工作。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s="仿宋_GB2312"/>
          <w:color w:val="000000" w:themeColor="text1"/>
          <w:sz w:val="32"/>
          <w:szCs w:val="32"/>
          <w14:textFill>
            <w14:solidFill>
              <w14:schemeClr w14:val="tx1"/>
            </w14:solidFill>
          </w14:textFill>
        </w:rPr>
        <w:t xml:space="preserve">9. </w:t>
      </w:r>
      <w:r>
        <w:rPr>
          <w:rFonts w:hint="eastAsia" w:ascii="仿宋_GB2312" w:eastAsia="仿宋_GB2312" w:cs="仿宋_GB2312"/>
          <w:color w:val="000000" w:themeColor="text1"/>
          <w:sz w:val="32"/>
          <w:szCs w:val="32"/>
          <w14:textFill>
            <w14:solidFill>
              <w14:schemeClr w14:val="tx1"/>
            </w14:solidFill>
          </w14:textFill>
        </w:rPr>
        <w:t>建立健全医疗保障信用评价体系和信息披露制度。推进协议服务机构标准化建设，建立协议服务机构准入和退出机制。监督管理纳入医保范围内的医疗服务行为和医疗费用，依法查处医疗保障领域违法违规行为。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s="仿宋_GB2312"/>
          <w:color w:val="000000" w:themeColor="text1"/>
          <w:sz w:val="32"/>
          <w:szCs w:val="32"/>
          <w14:textFill>
            <w14:solidFill>
              <w14:schemeClr w14:val="tx1"/>
            </w14:solidFill>
          </w14:textFill>
        </w:rPr>
        <w:t xml:space="preserve">10. </w:t>
      </w:r>
      <w:r>
        <w:rPr>
          <w:rFonts w:hint="eastAsia" w:ascii="仿宋_GB2312" w:eastAsia="仿宋_GB2312" w:cs="仿宋_GB2312"/>
          <w:color w:val="000000" w:themeColor="text1"/>
          <w:sz w:val="32"/>
          <w:szCs w:val="32"/>
          <w14:textFill>
            <w14:solidFill>
              <w14:schemeClr w14:val="tx1"/>
            </w14:solidFill>
          </w14:textFill>
        </w:rPr>
        <w:t>负责全市医疗保障经办管理、公共服务体系建设。组织拟订和完善异地就医管理和费用结算政策。建立健全医疗保障关系转移接续制度。监督管理全市医保经办服务工作；开展医疗保障领域对外合作交流。</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s="仿宋_GB2312"/>
          <w:color w:val="000000" w:themeColor="text1"/>
          <w:sz w:val="32"/>
          <w:szCs w:val="32"/>
          <w14:textFill>
            <w14:solidFill>
              <w14:schemeClr w14:val="tx1"/>
            </w14:solidFill>
          </w14:textFill>
        </w:rPr>
        <w:t xml:space="preserve">11. </w:t>
      </w:r>
      <w:r>
        <w:rPr>
          <w:rFonts w:hint="eastAsia" w:ascii="仿宋_GB2312" w:eastAsia="仿宋_GB2312" w:cs="仿宋_GB2312"/>
          <w:color w:val="000000" w:themeColor="text1"/>
          <w:sz w:val="32"/>
          <w:szCs w:val="32"/>
          <w14:textFill>
            <w14:solidFill>
              <w14:schemeClr w14:val="tx1"/>
            </w14:solidFill>
          </w14:textFill>
        </w:rPr>
        <w:t>负责推进实施全市医疗保障信息化建设，组织开展医疗保障大数据管理和应用。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s="仿宋_GB2312"/>
          <w:color w:val="000000" w:themeColor="text1"/>
          <w:sz w:val="32"/>
          <w:szCs w:val="32"/>
          <w14:textFill>
            <w14:solidFill>
              <w14:schemeClr w14:val="tx1"/>
            </w14:solidFill>
          </w14:textFill>
        </w:rPr>
        <w:t xml:space="preserve">12. </w:t>
      </w:r>
      <w:r>
        <w:rPr>
          <w:rFonts w:hint="eastAsia" w:ascii="仿宋_GB2312" w:eastAsia="仿宋_GB2312" w:cs="仿宋_GB2312"/>
          <w:color w:val="000000" w:themeColor="text1"/>
          <w:sz w:val="32"/>
          <w:szCs w:val="32"/>
          <w14:textFill>
            <w14:solidFill>
              <w14:schemeClr w14:val="tx1"/>
            </w14:solidFill>
          </w14:textFill>
        </w:rPr>
        <w:t>负责职责范围内的安全生产和职业健康、生态环境保护、审批服务便民化等工作。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s="仿宋_GB2312"/>
          <w:color w:val="000000" w:themeColor="text1"/>
          <w:sz w:val="32"/>
          <w:szCs w:val="32"/>
          <w14:textFill>
            <w14:solidFill>
              <w14:schemeClr w14:val="tx1"/>
            </w14:solidFill>
          </w14:textFill>
        </w:rPr>
        <w:t xml:space="preserve">13. </w:t>
      </w:r>
      <w:r>
        <w:rPr>
          <w:rFonts w:hint="eastAsia" w:ascii="仿宋_GB2312" w:eastAsia="仿宋_GB2312" w:cs="仿宋_GB2312"/>
          <w:color w:val="000000" w:themeColor="text1"/>
          <w:sz w:val="32"/>
          <w:szCs w:val="32"/>
          <w14:textFill>
            <w14:solidFill>
              <w14:schemeClr w14:val="tx1"/>
            </w14:solidFill>
          </w14:textFill>
        </w:rPr>
        <w:t>完成市委和市政府交办的其他任务。</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s="仿宋_GB2312"/>
          <w:color w:val="000000" w:themeColor="text1"/>
          <w:sz w:val="32"/>
          <w:szCs w:val="32"/>
          <w14:textFill>
            <w14:solidFill>
              <w14:schemeClr w14:val="tx1"/>
            </w14:solidFill>
          </w14:textFill>
        </w:rPr>
        <w:t xml:space="preserve">14. </w:t>
      </w:r>
      <w:r>
        <w:rPr>
          <w:rFonts w:hint="eastAsia" w:ascii="仿宋_GB2312" w:eastAsia="仿宋_GB2312" w:cs="仿宋_GB2312"/>
          <w:color w:val="000000" w:themeColor="text1"/>
          <w:sz w:val="32"/>
          <w:szCs w:val="32"/>
          <w14:textFill>
            <w14:solidFill>
              <w14:schemeClr w14:val="tx1"/>
            </w14:solidFill>
          </w14:textFill>
        </w:rPr>
        <w:t>职能转变。完善统一的城乡居民基本医疗保险制度和大病保险制度，不断提高医疗保障水平，建立健全覆盖全民、城乡统筹的多层次医疗保障体系，确保医保资金合理使用、安全可控，推进医疗、医保、医药“三医联动”改革，更好保障人民群众就医需求、减轻医药费用负担。</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eastAsia="仿宋_GB2312" w:cs="仿宋_GB2312"/>
          <w:color w:val="000000" w:themeColor="text1"/>
          <w:sz w:val="32"/>
          <w:szCs w:val="32"/>
          <w14:textFill>
            <w14:solidFill>
              <w14:schemeClr w14:val="tx1"/>
            </w14:solidFill>
          </w14:textFill>
        </w:rPr>
      </w:pPr>
      <w:r>
        <w:rPr>
          <w:rFonts w:ascii="仿宋_GB2312" w:eastAsia="仿宋_GB2312" w:cs="仿宋_GB2312"/>
          <w:color w:val="000000" w:themeColor="text1"/>
          <w:sz w:val="32"/>
          <w:szCs w:val="32"/>
          <w14:textFill>
            <w14:solidFill>
              <w14:schemeClr w14:val="tx1"/>
            </w14:solidFill>
          </w14:textFill>
        </w:rPr>
        <w:t xml:space="preserve">15. </w:t>
      </w:r>
      <w:r>
        <w:rPr>
          <w:rFonts w:hint="eastAsia" w:ascii="仿宋_GB2312" w:eastAsia="仿宋_GB2312" w:cs="仿宋_GB2312"/>
          <w:color w:val="000000" w:themeColor="text1"/>
          <w:sz w:val="32"/>
          <w:szCs w:val="32"/>
          <w14:textFill>
            <w14:solidFill>
              <w14:schemeClr w14:val="tx1"/>
            </w14:solidFill>
          </w14:textFill>
        </w:rPr>
        <w:t>有关职责分工。市卫生健康委员会、市医疗保障局和市市场监督管理局等部门在医疗、医保、医药等方面加强制度、政策衔接，建立沟通协商机制，协同推进改革，提高医疗资源使用效率和医疗保障水平。</w:t>
      </w:r>
    </w:p>
    <w:p>
      <w:pPr>
        <w:pStyle w:val="6"/>
        <w:keepNext w:val="0"/>
        <w:keepLines w:val="0"/>
        <w:pageBreakBefore w:val="0"/>
        <w:widowControl w:val="0"/>
        <w:kinsoku/>
        <w:wordWrap/>
        <w:overflowPunct/>
        <w:topLinePunct w:val="0"/>
        <w:autoSpaceDE/>
        <w:autoSpaceDN/>
        <w:bidi w:val="0"/>
        <w:adjustRightInd w:val="0"/>
        <w:snapToGrid w:val="0"/>
        <w:spacing w:beforeLines="0" w:line="576" w:lineRule="exact"/>
        <w:ind w:firstLine="640" w:firstLineChars="200"/>
        <w:jc w:val="both"/>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（二）202</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2</w:t>
      </w:r>
      <w:r>
        <w:rPr>
          <w:rFonts w:hint="eastAsia" w:ascii="楷体_GB2312" w:hAnsi="楷体_GB2312" w:eastAsia="楷体_GB2312" w:cs="楷体_GB2312"/>
          <w:color w:val="000000" w:themeColor="text1"/>
          <w:sz w:val="32"/>
          <w:szCs w:val="32"/>
          <w14:textFill>
            <w14:solidFill>
              <w14:schemeClr w14:val="tx1"/>
            </w14:solidFill>
          </w14:textFill>
        </w:rPr>
        <w:t>年重点工作完成情况。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Cs/>
          <w:color w:val="000000" w:themeColor="text1"/>
          <w:sz w:val="32"/>
          <w:szCs w:val="32"/>
          <w14:textFill>
            <w14:solidFill>
              <w14:schemeClr w14:val="tx1"/>
            </w14:solidFill>
          </w14:textFill>
        </w:rPr>
        <w:t>甘当待遇公平的维护者，稳步提升群众待遇。</w:t>
      </w:r>
      <w:r>
        <w:rPr>
          <w:rFonts w:hint="eastAsia" w:ascii="仿宋_GB2312" w:hAnsi="仿宋_GB2312" w:eastAsia="仿宋_GB2312" w:cs="仿宋_GB2312"/>
          <w:color w:val="000000" w:themeColor="text1"/>
          <w:spacing w:val="2"/>
          <w:sz w:val="32"/>
          <w:szCs w:val="32"/>
          <w14:textFill>
            <w14:solidFill>
              <w14:schemeClr w14:val="tx1"/>
            </w14:solidFill>
          </w14:textFill>
        </w:rPr>
        <w:t>首创全国全省参保征收八大机制，全民应保尽保格局形成；首创全省《基本医疗保障办法》，政策体系趋于系统规范；医疗救助市级统筹“四统四建四转变”模式和“两个办法”全国全省推广；待遇</w:t>
      </w:r>
      <w:r>
        <w:rPr>
          <w:rFonts w:hint="eastAsia" w:ascii="仿宋_GB2312" w:hAnsi="仿宋_GB2312" w:eastAsia="仿宋_GB2312" w:cs="仿宋_GB2312"/>
          <w:bCs/>
          <w:color w:val="000000" w:themeColor="text1"/>
          <w:spacing w:val="2"/>
          <w:sz w:val="32"/>
          <w:szCs w:val="32"/>
          <w14:textFill>
            <w14:solidFill>
              <w14:schemeClr w14:val="tx1"/>
            </w14:solidFill>
          </w14:textFill>
        </w:rPr>
        <w:t>政策结构一优再优，群众报销比例较大提升，</w:t>
      </w:r>
      <w:r>
        <w:rPr>
          <w:rFonts w:hint="eastAsia" w:ascii="仿宋_GB2312" w:hAnsi="仿宋_GB2312" w:eastAsia="仿宋_GB2312" w:cs="仿宋_GB2312"/>
          <w:color w:val="000000" w:themeColor="text1"/>
          <w:spacing w:val="2"/>
          <w:sz w:val="32"/>
          <w:szCs w:val="32"/>
          <w14:textFill>
            <w14:solidFill>
              <w14:schemeClr w14:val="tx1"/>
            </w14:solidFill>
          </w14:textFill>
        </w:rPr>
        <w:t>群众负担减轻近2亿元。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Cs/>
          <w:color w:val="000000" w:themeColor="text1"/>
          <w:sz w:val="32"/>
          <w:szCs w:val="32"/>
          <w14:textFill>
            <w14:solidFill>
              <w14:schemeClr w14:val="tx1"/>
            </w14:solidFill>
          </w14:textFill>
        </w:rPr>
        <w:t>甘当改革发展的拓荒牛，持续构建制度机制。DRG稳健运行，打破统一费率改革坚冰；勇担药械采购平台上线省级试点，首批13家医疗机构稳健运行；</w:t>
      </w:r>
      <w:r>
        <w:rPr>
          <w:rFonts w:hint="eastAsia" w:ascii="仿宋_GB2312" w:hAnsi="仿宋_GB2312" w:eastAsia="仿宋_GB2312" w:cs="仿宋_GB2312"/>
          <w:color w:val="000000" w:themeColor="text1"/>
          <w:sz w:val="32"/>
          <w:szCs w:val="32"/>
          <w14:textFill>
            <w14:solidFill>
              <w14:schemeClr w14:val="tx1"/>
            </w14:solidFill>
          </w14:textFill>
        </w:rPr>
        <w:t>清理规范老旧医疗服务项目价格内涵8000余项，</w:t>
      </w:r>
      <w:r>
        <w:rPr>
          <w:rFonts w:hint="eastAsia" w:ascii="仿宋_GB2312" w:hAnsi="仿宋_GB2312" w:eastAsia="仿宋_GB2312" w:cs="仿宋_GB2312"/>
          <w:bCs/>
          <w:color w:val="000000" w:themeColor="text1"/>
          <w:sz w:val="32"/>
          <w:szCs w:val="32"/>
          <w14:textFill>
            <w14:solidFill>
              <w14:schemeClr w14:val="tx1"/>
            </w14:solidFill>
          </w14:textFill>
        </w:rPr>
        <w:t>医疗服务项目价格动态平衡；承担国家信息平台上线示范点建设、医保移动支付、数据回流共享区建设省级改革试点3项。</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Cs/>
          <w:color w:val="000000" w:themeColor="text1"/>
          <w:sz w:val="32"/>
          <w:szCs w:val="32"/>
          <w14:textFill>
            <w14:solidFill>
              <w14:schemeClr w14:val="tx1"/>
            </w14:solidFill>
          </w14:textFill>
        </w:rPr>
        <w:t>甘当基金安全的守护神，保障群众有钱看病。出台医保控费“新十条措施”，多措并举严控医疗费用不合理增长；首试邀请第三方参与基金监管，靶向发力严查违规行为；完成打击欺诈骗保省下目标任务，</w:t>
      </w:r>
      <w:r>
        <w:rPr>
          <w:rFonts w:hint="eastAsia" w:ascii="仿宋_GB2312" w:hAnsi="仿宋_GB2312" w:eastAsia="仿宋_GB2312" w:cs="仿宋_GB2312"/>
          <w:color w:val="000000" w:themeColor="text1"/>
          <w:kern w:val="21"/>
          <w:sz w:val="32"/>
          <w:szCs w:val="32"/>
          <w14:textFill>
            <w14:solidFill>
              <w14:schemeClr w14:val="tx1"/>
            </w14:solidFill>
          </w14:textFill>
        </w:rPr>
        <w:t>特批成立市医保基金监管事务中心</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zh-CN"/>
          <w14:textFill>
            <w14:solidFill>
              <w14:schemeClr w14:val="tx1"/>
            </w14:solidFill>
          </w14:textFill>
        </w:rPr>
        <w:t>城乡居民医保绩效管理水平位居全省第二，基金预算绩效管理、付费方式改革获得省级单项奖。</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eastAsia="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Cs/>
          <w:color w:val="000000" w:themeColor="text1"/>
          <w:sz w:val="32"/>
          <w:szCs w:val="32"/>
          <w14:textFill>
            <w14:solidFill>
              <w14:schemeClr w14:val="tx1"/>
            </w14:solidFill>
          </w14:textFill>
        </w:rPr>
        <w:t>甘当服务群众的贴心人，经办服务亮点纷呈。</w:t>
      </w:r>
      <w:r>
        <w:rPr>
          <w:rFonts w:hint="eastAsia" w:ascii="仿宋_GB2312" w:hAnsi="仿宋_GB2312" w:eastAsia="仿宋_GB2312" w:cs="仿宋_GB2312"/>
          <w:color w:val="000000" w:themeColor="text1"/>
          <w:sz w:val="32"/>
          <w:szCs w:val="32"/>
          <w14:textFill>
            <w14:solidFill>
              <w14:schemeClr w14:val="tx1"/>
            </w14:solidFill>
          </w14:textFill>
        </w:rPr>
        <w:t>获评经办服务国家示范点2个，全省唯一双示范市，获评国务院、省政府医保管理服务成效明显激励支持市，激励资金200万元；经办服务</w:t>
      </w:r>
      <w:r>
        <w:rPr>
          <w:rFonts w:hint="eastAsia" w:ascii="仿宋_GB2312" w:hAnsi="仿宋_GB2312" w:eastAsia="仿宋_GB2312" w:cs="仿宋_GB2312"/>
          <w:bCs/>
          <w:color w:val="000000" w:themeColor="text1"/>
          <w:sz w:val="32"/>
          <w:szCs w:val="32"/>
          <w14:textFill>
            <w14:solidFill>
              <w14:schemeClr w14:val="tx1"/>
            </w14:solidFill>
          </w14:textFill>
        </w:rPr>
        <w:t>“新四办”获评国家局管理增效案例，服务群众高质量；突出城市“家门办”、农村“村能办”，</w:t>
      </w:r>
      <w:r>
        <w:rPr>
          <w:rFonts w:hint="eastAsia" w:ascii="仿宋_GB2312" w:hAnsi="仿宋_GB2312" w:eastAsia="仿宋_GB2312" w:cs="仿宋_GB2312"/>
          <w:color w:val="000000" w:themeColor="text1"/>
          <w:sz w:val="32"/>
          <w:szCs w:val="32"/>
          <w14:textFill>
            <w14:solidFill>
              <w14:schemeClr w14:val="tx1"/>
            </w14:solidFill>
          </w14:textFill>
        </w:rPr>
        <w:t>1731个村社区全覆盖，服务群众零距离。</w:t>
      </w:r>
    </w:p>
    <w:p>
      <w:pPr>
        <w:pStyle w:val="3"/>
        <w:keepNext w:val="0"/>
        <w:keepLines w:val="0"/>
        <w:pageBreakBefore w:val="0"/>
        <w:widowControl w:val="0"/>
        <w:kinsoku/>
        <w:wordWrap/>
        <w:overflowPunct/>
        <w:topLinePunct w:val="0"/>
        <w:autoSpaceDE/>
        <w:autoSpaceDN/>
        <w:bidi w:val="0"/>
        <w:adjustRightInd w:val="0"/>
        <w:snapToGrid w:val="0"/>
        <w:spacing w:before="0" w:after="0" w:line="576" w:lineRule="exact"/>
        <w:ind w:firstLine="640" w:firstLineChars="200"/>
        <w:jc w:val="both"/>
        <w:textAlignment w:val="auto"/>
        <w:rPr>
          <w:rStyle w:val="33"/>
          <w:rFonts w:hint="eastAsia" w:ascii="黑体" w:hAnsi="黑体" w:eastAsia="黑体"/>
          <w:b w:val="0"/>
          <w:bCs w:val="0"/>
          <w:color w:val="000000" w:themeColor="text1"/>
          <w:highlight w:val="none"/>
          <w14:textFill>
            <w14:solidFill>
              <w14:schemeClr w14:val="tx1"/>
            </w14:solidFill>
          </w14:textFill>
        </w:rPr>
      </w:pPr>
      <w:bookmarkStart w:id="18" w:name="_Toc15396601"/>
      <w:bookmarkStart w:id="19" w:name="_Toc15377200"/>
      <w:r>
        <w:rPr>
          <w:rFonts w:hint="eastAsia" w:ascii="黑体" w:eastAsia="黑体"/>
          <w:b w:val="0"/>
          <w:color w:val="000000" w:themeColor="text1"/>
          <w:highlight w:val="none"/>
          <w14:textFill>
            <w14:solidFill>
              <w14:schemeClr w14:val="tx1"/>
            </w14:solidFill>
          </w14:textFill>
        </w:rPr>
        <w:t>二、</w:t>
      </w:r>
      <w:r>
        <w:rPr>
          <w:rFonts w:hint="eastAsia" w:ascii="黑体" w:hAnsi="黑体" w:eastAsia="黑体"/>
          <w:b w:val="0"/>
          <w:color w:val="000000" w:themeColor="text1"/>
          <w:highlight w:val="none"/>
          <w14:textFill>
            <w14:solidFill>
              <w14:schemeClr w14:val="tx1"/>
            </w14:solidFill>
          </w14:textFill>
        </w:rPr>
        <w:t>机</w:t>
      </w:r>
      <w:r>
        <w:rPr>
          <w:rStyle w:val="33"/>
          <w:rFonts w:hint="eastAsia" w:ascii="黑体" w:hAnsi="黑体" w:eastAsia="黑体"/>
          <w:b w:val="0"/>
          <w:bCs w:val="0"/>
          <w:color w:val="000000" w:themeColor="text1"/>
          <w:highlight w:val="none"/>
          <w14:textFill>
            <w14:solidFill>
              <w14:schemeClr w14:val="tx1"/>
            </w14:solidFill>
          </w14:textFill>
        </w:rPr>
        <w:t>构设置</w:t>
      </w:r>
      <w:bookmarkEnd w:id="18"/>
      <w:bookmarkEnd w:id="19"/>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color w:val="000000" w:themeColor="text1"/>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广元市医疗保障局</w:t>
      </w:r>
      <w:r>
        <w:rPr>
          <w:rFonts w:hint="default" w:ascii="仿宋_GB2312" w:hAnsi="仿宋" w:eastAsia="仿宋_GB2312" w:cs="仿宋_GB2312"/>
          <w:color w:val="000000" w:themeColor="text1"/>
          <w:sz w:val="32"/>
          <w:szCs w:val="32"/>
          <w14:textFill>
            <w14:solidFill>
              <w14:schemeClr w14:val="tx1"/>
            </w14:solidFill>
          </w14:textFill>
        </w:rPr>
        <w:t>无二级预算单位，</w:t>
      </w:r>
      <w:r>
        <w:rPr>
          <w:rFonts w:hint="eastAsia" w:ascii="仿宋_GB2312" w:hAnsi="仿宋" w:eastAsia="仿宋_GB2312" w:cs="仿宋_GB2312"/>
          <w:color w:val="000000" w:themeColor="text1"/>
          <w:sz w:val="32"/>
          <w:szCs w:val="32"/>
          <w14:textFill>
            <w14:solidFill>
              <w14:schemeClr w14:val="tx1"/>
            </w14:solidFill>
          </w14:textFill>
        </w:rPr>
        <w:t>下属二级单位</w:t>
      </w:r>
      <w:r>
        <w:rPr>
          <w:rFonts w:ascii="仿宋_GB2312" w:hAnsi="仿宋" w:eastAsia="仿宋_GB2312" w:cs="仿宋_GB2312"/>
          <w:color w:val="000000" w:themeColor="text1"/>
          <w:sz w:val="32"/>
          <w:szCs w:val="32"/>
          <w14:textFill>
            <w14:solidFill>
              <w14:schemeClr w14:val="tx1"/>
            </w14:solidFill>
          </w14:textFill>
        </w:rPr>
        <w:t>2</w:t>
      </w:r>
      <w:r>
        <w:rPr>
          <w:rFonts w:hint="eastAsia" w:ascii="仿宋_GB2312" w:hAnsi="仿宋" w:eastAsia="仿宋_GB2312" w:cs="仿宋_GB2312"/>
          <w:color w:val="000000" w:themeColor="text1"/>
          <w:sz w:val="32"/>
          <w:szCs w:val="32"/>
          <w14:textFill>
            <w14:solidFill>
              <w14:schemeClr w14:val="tx1"/>
            </w14:solidFill>
          </w14:textFill>
        </w:rPr>
        <w:t>个，其中参照公务员法管理的事业单位</w:t>
      </w:r>
      <w:r>
        <w:rPr>
          <w:rFonts w:ascii="仿宋_GB2312" w:hAnsi="仿宋" w:eastAsia="仿宋_GB2312" w:cs="仿宋_GB2312"/>
          <w:color w:val="000000" w:themeColor="text1"/>
          <w:sz w:val="32"/>
          <w:szCs w:val="32"/>
          <w14:textFill>
            <w14:solidFill>
              <w14:schemeClr w14:val="tx1"/>
            </w14:solidFill>
          </w14:textFill>
        </w:rPr>
        <w:t>1</w:t>
      </w:r>
      <w:r>
        <w:rPr>
          <w:rFonts w:hint="eastAsia" w:ascii="仿宋_GB2312" w:hAnsi="仿宋" w:eastAsia="仿宋_GB2312" w:cs="仿宋_GB2312"/>
          <w:color w:val="000000" w:themeColor="text1"/>
          <w:sz w:val="32"/>
          <w:szCs w:val="32"/>
          <w14:textFill>
            <w14:solidFill>
              <w14:schemeClr w14:val="tx1"/>
            </w14:solidFill>
          </w14:textFill>
        </w:rPr>
        <w:t>个，其他事业单位</w:t>
      </w:r>
      <w:r>
        <w:rPr>
          <w:rFonts w:ascii="仿宋_GB2312" w:hAnsi="仿宋" w:eastAsia="仿宋_GB2312" w:cs="仿宋_GB2312"/>
          <w:color w:val="000000" w:themeColor="text1"/>
          <w:sz w:val="32"/>
          <w:szCs w:val="32"/>
          <w14:textFill>
            <w14:solidFill>
              <w14:schemeClr w14:val="tx1"/>
            </w14:solidFill>
          </w14:textFill>
        </w:rPr>
        <w:t>1</w:t>
      </w:r>
      <w:r>
        <w:rPr>
          <w:rFonts w:hint="eastAsia" w:ascii="仿宋_GB2312" w:hAnsi="仿宋" w:eastAsia="仿宋_GB2312" w:cs="仿宋_GB2312"/>
          <w:color w:val="000000" w:themeColor="text1"/>
          <w:sz w:val="32"/>
          <w:szCs w:val="32"/>
          <w14:textFill>
            <w14:solidFill>
              <w14:schemeClr w14:val="tx1"/>
            </w14:solidFill>
          </w14:textFill>
        </w:rPr>
        <w:t>个。</w:t>
      </w:r>
    </w:p>
    <w:p>
      <w:pPr>
        <w:pStyle w:val="6"/>
        <w:adjustRightInd w:val="0"/>
        <w:snapToGrid w:val="0"/>
        <w:spacing w:before="93" w:line="600" w:lineRule="exact"/>
        <w:ind w:firstLine="672" w:firstLineChars="210"/>
        <w:rPr>
          <w:rFonts w:ascii="仿宋" w:hAnsi="仿宋" w:eastAsia="仿宋"/>
          <w:color w:val="000000" w:themeColor="text1"/>
          <w:sz w:val="32"/>
          <w:szCs w:val="32"/>
          <w:highlight w:val="none"/>
          <w14:textFill>
            <w14:solidFill>
              <w14:schemeClr w14:val="tx1"/>
            </w14:solidFill>
          </w14:textFill>
        </w:rPr>
      </w:pPr>
      <w:bookmarkStart w:id="20" w:name="_Toc15377204"/>
      <w:bookmarkStart w:id="21" w:name="_Toc15396602"/>
      <w:r>
        <w:rPr>
          <w:rFonts w:hint="eastAsia" w:ascii="仿宋" w:hAnsi="仿宋" w:eastAsia="仿宋"/>
          <w:color w:val="000000" w:themeColor="text1"/>
          <w:sz w:val="32"/>
          <w:szCs w:val="32"/>
          <w:highlight w:val="none"/>
          <w14:textFill>
            <w14:solidFill>
              <w14:schemeClr w14:val="tx1"/>
            </w14:solidFill>
          </w14:textFill>
        </w:rPr>
        <w:t>纳入</w:t>
      </w:r>
      <w:r>
        <w:rPr>
          <w:rFonts w:hint="eastAsia" w:ascii="仿宋" w:hAnsi="仿宋" w:eastAsia="仿宋"/>
          <w:color w:val="000000" w:themeColor="text1"/>
          <w:sz w:val="32"/>
          <w:szCs w:val="32"/>
          <w:highlight w:val="none"/>
          <w:lang w:eastAsia="zh-CN"/>
          <w14:textFill>
            <w14:solidFill>
              <w14:schemeClr w14:val="tx1"/>
            </w14:solidFill>
          </w14:textFill>
        </w:rPr>
        <w:t>广元市医疗保障局</w:t>
      </w:r>
      <w:r>
        <w:rPr>
          <w:rFonts w:hint="eastAsia" w:ascii="仿宋" w:hAnsi="仿宋" w:eastAsia="仿宋"/>
          <w:color w:val="000000" w:themeColor="text1"/>
          <w:sz w:val="32"/>
          <w:szCs w:val="32"/>
          <w:highlight w:val="none"/>
          <w14:textFill>
            <w14:solidFill>
              <w14:schemeClr w14:val="tx1"/>
            </w14:solidFill>
          </w14:textFill>
        </w:rPr>
        <w:t>20</w:t>
      </w:r>
      <w:r>
        <w:rPr>
          <w:rFonts w:hint="eastAsia" w:ascii="仿宋" w:hAnsi="仿宋" w:eastAsia="仿宋"/>
          <w:color w:val="000000" w:themeColor="text1"/>
          <w:sz w:val="32"/>
          <w:szCs w:val="32"/>
          <w:highlight w:val="none"/>
          <w:lang w:val="en-US" w:eastAsia="zh-CN"/>
          <w14:textFill>
            <w14:solidFill>
              <w14:schemeClr w14:val="tx1"/>
            </w14:solidFill>
          </w14:textFill>
        </w:rPr>
        <w:t>22</w:t>
      </w:r>
      <w:r>
        <w:rPr>
          <w:rFonts w:hint="eastAsia" w:ascii="仿宋" w:hAnsi="仿宋" w:eastAsia="仿宋"/>
          <w:color w:val="000000" w:themeColor="text1"/>
          <w:sz w:val="32"/>
          <w:szCs w:val="32"/>
          <w:highlight w:val="none"/>
          <w14:textFill>
            <w14:solidFill>
              <w14:schemeClr w14:val="tx1"/>
            </w14:solidFill>
          </w14:textFill>
        </w:rPr>
        <w:t>年度部门决算编制范围的二级单位包括：</w:t>
      </w:r>
    </w:p>
    <w:p>
      <w:pPr>
        <w:numPr>
          <w:ilvl w:val="0"/>
          <w:numId w:val="1"/>
        </w:numPr>
        <w:ind w:left="1152" w:leftChars="0" w:hanging="480" w:firstLineChars="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广元市医疗保障事务中心（未独立核算）</w:t>
      </w:r>
    </w:p>
    <w:p>
      <w:pPr>
        <w:numPr>
          <w:ilvl w:val="0"/>
          <w:numId w:val="1"/>
        </w:numPr>
        <w:ind w:left="1152" w:leftChars="0" w:hanging="480" w:firstLineChars="0"/>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广元市医保信息中心（未独立核算）</w:t>
      </w:r>
    </w:p>
    <w:p>
      <w:pPr>
        <w:pStyle w:val="2"/>
        <w:ind w:right="440"/>
        <w:jc w:val="both"/>
        <w:rPr>
          <w:rFonts w:hint="eastAsia" w:ascii="黑体" w:hAnsi="黑体" w:eastAsia="黑体"/>
          <w:b w:val="0"/>
          <w:bCs/>
          <w:color w:val="000000" w:themeColor="text1"/>
          <w:highlight w:val="none"/>
          <w14:textFill>
            <w14:solidFill>
              <w14:schemeClr w14:val="tx1"/>
            </w14:solidFill>
          </w14:textFill>
        </w:rPr>
      </w:pPr>
    </w:p>
    <w:p>
      <w:pPr>
        <w:rPr>
          <w:rFonts w:hint="eastAsia"/>
          <w:color w:val="000000" w:themeColor="text1"/>
          <w14:textFill>
            <w14:solidFill>
              <w14:schemeClr w14:val="tx1"/>
            </w14:solidFill>
          </w14:textFill>
        </w:rPr>
      </w:pPr>
    </w:p>
    <w:p>
      <w:pPr>
        <w:pStyle w:val="2"/>
        <w:ind w:right="440" w:firstLine="880" w:firstLineChars="200"/>
        <w:jc w:val="both"/>
        <w:rPr>
          <w:color w:val="000000" w:themeColor="text1"/>
          <w:highlight w:val="none"/>
          <w14:textFill>
            <w14:solidFill>
              <w14:schemeClr w14:val="tx1"/>
            </w14:solidFill>
          </w14:textFill>
        </w:rPr>
      </w:pPr>
      <w:r>
        <w:rPr>
          <w:rFonts w:hint="eastAsia" w:ascii="黑体" w:hAnsi="黑体" w:eastAsia="黑体"/>
          <w:b w:val="0"/>
          <w:bCs/>
          <w:color w:val="000000" w:themeColor="text1"/>
          <w:highlight w:val="none"/>
          <w14:textFill>
            <w14:solidFill>
              <w14:schemeClr w14:val="tx1"/>
            </w14:solidFill>
          </w14:textFill>
        </w:rPr>
        <w:t xml:space="preserve">第二部分 </w:t>
      </w:r>
      <w:r>
        <w:rPr>
          <w:rFonts w:hint="eastAsia" w:ascii="黑体" w:hAnsi="黑体" w:eastAsia="黑体"/>
          <w:b w:val="0"/>
          <w:bCs/>
          <w:color w:val="000000" w:themeColor="text1"/>
          <w:highlight w:val="none"/>
          <w:lang w:val="en-US" w:eastAsia="zh-CN"/>
          <w14:textFill>
            <w14:solidFill>
              <w14:schemeClr w14:val="tx1"/>
            </w14:solidFill>
          </w14:textFill>
        </w:rPr>
        <w:t>2022年度</w:t>
      </w:r>
      <w:r>
        <w:rPr>
          <w:rStyle w:val="32"/>
          <w:rFonts w:hint="eastAsia" w:ascii="黑体" w:hAnsi="黑体" w:eastAsia="黑体"/>
          <w:b w:val="0"/>
          <w:bCs/>
          <w:color w:val="000000" w:themeColor="text1"/>
          <w:highlight w:val="none"/>
          <w14:textFill>
            <w14:solidFill>
              <w14:schemeClr w14:val="tx1"/>
            </w14:solidFill>
          </w14:textFill>
        </w:rPr>
        <w:t>部门决算情况说明</w:t>
      </w:r>
      <w:bookmarkEnd w:id="20"/>
      <w:bookmarkEnd w:id="21"/>
    </w:p>
    <w:p>
      <w:pPr>
        <w:pStyle w:val="31"/>
        <w:numPr>
          <w:ilvl w:val="0"/>
          <w:numId w:val="2"/>
        </w:numPr>
        <w:spacing w:line="600" w:lineRule="exact"/>
        <w:ind w:firstLineChars="0"/>
        <w:outlineLvl w:val="1"/>
        <w:rPr>
          <w:rStyle w:val="33"/>
          <w:rFonts w:ascii="黑体" w:hAnsi="黑体" w:eastAsia="黑体"/>
          <w:b w:val="0"/>
          <w:color w:val="000000" w:themeColor="text1"/>
          <w:highlight w:val="none"/>
          <w14:textFill>
            <w14:solidFill>
              <w14:schemeClr w14:val="tx1"/>
            </w14:solidFill>
          </w14:textFill>
        </w:rPr>
      </w:pPr>
      <w:bookmarkStart w:id="22" w:name="_Toc15377205"/>
      <w:bookmarkStart w:id="23" w:name="_Toc15396603"/>
      <w:r>
        <w:rPr>
          <w:rFonts w:hint="eastAsia" w:ascii="黑体" w:hAnsi="黑体" w:eastAsia="黑体"/>
          <w:color w:val="000000" w:themeColor="text1"/>
          <w:sz w:val="32"/>
          <w:szCs w:val="32"/>
          <w:highlight w:val="none"/>
          <w14:textFill>
            <w14:solidFill>
              <w14:schemeClr w14:val="tx1"/>
            </w14:solidFill>
          </w14:textFill>
        </w:rPr>
        <w:t>收</w:t>
      </w:r>
      <w:r>
        <w:rPr>
          <w:rStyle w:val="33"/>
          <w:rFonts w:hint="eastAsia" w:ascii="黑体" w:hAnsi="黑体" w:eastAsia="黑体"/>
          <w:b w:val="0"/>
          <w:color w:val="000000" w:themeColor="text1"/>
          <w:highlight w:val="none"/>
          <w14:textFill>
            <w14:solidFill>
              <w14:schemeClr w14:val="tx1"/>
            </w14:solidFill>
          </w14:textFill>
        </w:rPr>
        <w:t>入支出决算总体情况说明</w:t>
      </w:r>
      <w:bookmarkEnd w:id="22"/>
      <w:bookmarkEnd w:id="2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highlight w:val="none"/>
          <w14:textFill>
            <w14:solidFill>
              <w14:schemeClr w14:val="tx1"/>
            </w14:solidFill>
          </w14:textFill>
        </w:rPr>
        <w:t>年度收、支总计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1714.33</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万元。与20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highlight w:val="none"/>
          <w14:textFill>
            <w14:solidFill>
              <w14:schemeClr w14:val="tx1"/>
            </w14:solidFill>
          </w14:textFill>
        </w:rPr>
        <w:t>年相比，收、支总计各减少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815.08</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万元，下降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32.22</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%。主要变动原因是</w:t>
      </w:r>
      <w:r>
        <w:rPr>
          <w:rFonts w:hint="eastAsia" w:ascii="仿宋_GB2312" w:hAnsi="仿宋_GB2312" w:eastAsia="仿宋_GB2312" w:cs="仿宋_GB2312"/>
          <w:color w:val="000000" w:themeColor="text1"/>
          <w:sz w:val="32"/>
          <w:szCs w:val="32"/>
          <w14:textFill>
            <w14:solidFill>
              <w14:schemeClr w14:val="tx1"/>
            </w14:solidFill>
          </w14:textFill>
        </w:rPr>
        <w:t>2021年将离休人员医疗费用基金及建初人员医疗照顾基金纳入决算</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drawing>
          <wp:anchor distT="0" distB="0" distL="114300" distR="114300" simplePos="0" relativeHeight="251659264" behindDoc="0" locked="0" layoutInCell="1" allowOverlap="1">
            <wp:simplePos x="0" y="0"/>
            <wp:positionH relativeFrom="column">
              <wp:posOffset>417830</wp:posOffset>
            </wp:positionH>
            <wp:positionV relativeFrom="paragraph">
              <wp:posOffset>155575</wp:posOffset>
            </wp:positionV>
            <wp:extent cx="4954905" cy="2435225"/>
            <wp:effectExtent l="5080" t="4445" r="5715" b="11430"/>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p>
    <w:p>
      <w:pPr>
        <w:spacing w:line="600" w:lineRule="exact"/>
        <w:rPr>
          <w:rFonts w:hint="eastAsia" w:ascii="仿宋" w:hAnsi="仿宋" w:eastAsia="仿宋"/>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图1：收、支决算总计变动情况图</w:t>
      </w:r>
    </w:p>
    <w:p>
      <w:pPr>
        <w:pStyle w:val="31"/>
        <w:numPr>
          <w:ilvl w:val="0"/>
          <w:numId w:val="2"/>
        </w:numPr>
        <w:spacing w:line="600" w:lineRule="exact"/>
        <w:ind w:firstLineChars="0"/>
        <w:outlineLvl w:val="1"/>
        <w:rPr>
          <w:rStyle w:val="33"/>
          <w:rFonts w:ascii="黑体" w:hAnsi="黑体" w:eastAsia="黑体"/>
          <w:b w:val="0"/>
          <w:color w:val="000000" w:themeColor="text1"/>
          <w:highlight w:val="none"/>
          <w14:textFill>
            <w14:solidFill>
              <w14:schemeClr w14:val="tx1"/>
            </w14:solidFill>
          </w14:textFill>
        </w:rPr>
      </w:pPr>
      <w:bookmarkStart w:id="24" w:name="_Toc15396604"/>
      <w:bookmarkStart w:id="25" w:name="_Toc15377206"/>
      <w:r>
        <w:rPr>
          <w:rFonts w:hint="eastAsia" w:ascii="黑体" w:hAnsi="黑体" w:eastAsia="黑体"/>
          <w:color w:val="000000" w:themeColor="text1"/>
          <w:sz w:val="32"/>
          <w:szCs w:val="32"/>
          <w:highlight w:val="none"/>
          <w14:textFill>
            <w14:solidFill>
              <w14:schemeClr w14:val="tx1"/>
            </w14:solidFill>
          </w14:textFill>
        </w:rPr>
        <w:t>收</w:t>
      </w:r>
      <w:r>
        <w:rPr>
          <w:rStyle w:val="33"/>
          <w:rFonts w:hint="eastAsia" w:ascii="黑体" w:hAnsi="黑体" w:eastAsia="黑体"/>
          <w:b w:val="0"/>
          <w:color w:val="000000" w:themeColor="text1"/>
          <w:highlight w:val="none"/>
          <w14:textFill>
            <w14:solidFill>
              <w14:schemeClr w14:val="tx1"/>
            </w14:solidFill>
          </w14:textFill>
        </w:rPr>
        <w:t>入决算情况说明</w:t>
      </w:r>
      <w:bookmarkEnd w:id="24"/>
      <w:bookmarkEnd w:id="2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2022年本年收入合计1414.42万元，其中：一般公共预算财政拨款收入1414.42万元，占100%。</w:t>
      </w:r>
    </w:p>
    <w:p>
      <w:pP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pPr>
        <w:pStyle w:val="18"/>
        <w:rPr>
          <w:rFonts w:hint="eastAsia"/>
          <w:color w:val="000000" w:themeColor="text1"/>
          <w:lang w:val="en-US" w:eastAsia="zh-CN"/>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drawing>
          <wp:anchor distT="0" distB="0" distL="114300" distR="114300" simplePos="0" relativeHeight="251660288" behindDoc="1" locked="0" layoutInCell="1" allowOverlap="1">
            <wp:simplePos x="0" y="0"/>
            <wp:positionH relativeFrom="column">
              <wp:posOffset>866775</wp:posOffset>
            </wp:positionH>
            <wp:positionV relativeFrom="paragraph">
              <wp:posOffset>6985</wp:posOffset>
            </wp:positionV>
            <wp:extent cx="4451985" cy="2834005"/>
            <wp:effectExtent l="4445" t="5080" r="20320" b="56515"/>
            <wp:wrapTight wrapText="bothSides">
              <wp:wrapPolygon>
                <wp:start x="-22" y="-39"/>
                <wp:lineTo x="-22" y="21450"/>
                <wp:lineTo x="21514" y="21450"/>
                <wp:lineTo x="21514" y="-39"/>
                <wp:lineTo x="-22" y="-39"/>
              </wp:wrapPolygon>
            </wp:wrapTight>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outlineLvl w:val="1"/>
        <w:rPr>
          <w:rFonts w:ascii="仿宋" w:hAnsi="仿宋" w:eastAsia="仿宋"/>
          <w:color w:val="000000" w:themeColor="text1"/>
          <w:sz w:val="32"/>
          <w:szCs w:val="32"/>
          <w:highlight w:val="none"/>
          <w14:textFill>
            <w14:solidFill>
              <w14:schemeClr w14:val="tx1"/>
            </w14:solidFill>
          </w14:textFill>
        </w:rPr>
      </w:pPr>
    </w:p>
    <w:p>
      <w:pPr>
        <w:pStyle w:val="6"/>
        <w:rPr>
          <w:rFonts w:ascii="仿宋" w:hAnsi="仿宋" w:eastAsia="仿宋"/>
          <w:color w:val="000000" w:themeColor="text1"/>
          <w:sz w:val="32"/>
          <w:szCs w:val="32"/>
          <w:highlight w:val="none"/>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2597785</wp:posOffset>
                </wp:positionH>
                <wp:positionV relativeFrom="paragraph">
                  <wp:posOffset>358775</wp:posOffset>
                </wp:positionV>
                <wp:extent cx="1118870" cy="92964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118870" cy="9296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b/>
                                <w:bCs/>
                                <w:color w:val="000000" w:themeColor="text1"/>
                                <w:sz w:val="21"/>
                                <w:szCs w:val="21"/>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p>
                          <w:p>
                            <w:pPr>
                              <w:rPr>
                                <w:rFonts w:hint="eastAsia"/>
                                <w:b/>
                                <w:bCs/>
                                <w:color w:val="000000" w:themeColor="text1"/>
                                <w:sz w:val="21"/>
                                <w:szCs w:val="21"/>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p>
                          <w:p>
                            <w:pPr>
                              <w:rPr>
                                <w:rFonts w:hint="eastAsia"/>
                                <w:b/>
                                <w:bCs/>
                                <w:color w:val="000000" w:themeColor="text1"/>
                                <w:sz w:val="21"/>
                                <w:szCs w:val="21"/>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21"/>
                                <w:szCs w:val="21"/>
                                <w:lang w:val="en-US" w:eastAsia="zh-CN"/>
                                <w14:shadow w14:blurRad="38100" w14:dist="19050" w14:dir="2700000" w14:sx="100000" w14:sy="100000" w14:kx="0" w14:ky="0" w14:algn="tl">
                                  <w14:schemeClr w14:val="dk1">
                                    <w14:alpha w14:val="60000"/>
                                  </w14:schemeClr>
                                </w14:shadow>
                                <w14:textFill>
                                  <w14:solidFill>
                                    <w14:schemeClr w14:val="tx1"/>
                                  </w14:solidFill>
                                </w14:textFill>
                              </w:rPr>
                              <w:t>1414.42万元</w:t>
                            </w:r>
                          </w:p>
                          <w:p>
                            <w:pPr>
                              <w:pStyle w:val="6"/>
                              <w:ind w:firstLine="211" w:firstLineChars="100"/>
                              <w:rPr>
                                <w:rFonts w:hint="default"/>
                                <w:sz w:val="21"/>
                                <w:szCs w:val="21"/>
                                <w:lang w:val="en-US" w:eastAsia="zh-CN"/>
                              </w:rPr>
                            </w:pPr>
                            <w:r>
                              <w:rPr>
                                <w:rFonts w:hint="eastAsia"/>
                                <w:b/>
                                <w:bCs/>
                                <w:color w:val="000000" w:themeColor="text1"/>
                                <w:sz w:val="21"/>
                                <w:szCs w:val="21"/>
                                <w:lang w:val="en-US" w:eastAsia="zh-CN"/>
                                <w14:shadow w14:blurRad="38100" w14:dist="19050" w14:dir="2700000" w14:sx="100000" w14:sy="100000" w14:kx="0" w14:ky="0" w14:algn="tl">
                                  <w14:schemeClr w14:val="dk1">
                                    <w14:alpha w14:val="60000"/>
                                  </w14:schemeClr>
                                </w14:shadow>
                                <w14:textFill>
                                  <w14:solidFill>
                                    <w14:schemeClr w14:val="tx1"/>
                                  </w14:solidFill>
                                </w14:textFill>
                              </w:rPr>
                              <w:t>占100%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4.55pt;margin-top:28.25pt;height:73.2pt;width:88.1pt;z-index:251661312;mso-width-relative:page;mso-height-relative:page;" filled="f" stroked="f" coordsize="21600,21600" o:gfxdata="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FizhetwAAAAKAQAADwAAAAAAAAABACAAAAAiAAAA&#10;ZHJzL2Rvd25yZXYueG1sUEsBAhQAFAAAAAgAh07iQM6ZlmA8AgAAaAQAAA4AAAAAAAAAAQAgAAAA&#10;KwEAAGRycy9lMm9Eb2MueG1sUEsFBgAAAAAGAAYAWQEAANkFAAAAAA==&#10;">
                <v:fill on="f" focussize="0,0"/>
                <v:stroke on="f" weight="0.5pt"/>
                <v:imagedata o:title=""/>
                <o:lock v:ext="edit" aspectratio="f"/>
                <v:textbox>
                  <w:txbxContent>
                    <w:p>
                      <w:pPr>
                        <w:rPr>
                          <w:rFonts w:hint="eastAsia"/>
                          <w:b/>
                          <w:bCs/>
                          <w:color w:val="000000" w:themeColor="text1"/>
                          <w:sz w:val="21"/>
                          <w:szCs w:val="21"/>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p>
                    <w:p>
                      <w:pPr>
                        <w:rPr>
                          <w:rFonts w:hint="eastAsia"/>
                          <w:b/>
                          <w:bCs/>
                          <w:color w:val="000000" w:themeColor="text1"/>
                          <w:sz w:val="21"/>
                          <w:szCs w:val="21"/>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p>
                    <w:p>
                      <w:pPr>
                        <w:rPr>
                          <w:rFonts w:hint="eastAsia"/>
                          <w:b/>
                          <w:bCs/>
                          <w:color w:val="000000" w:themeColor="text1"/>
                          <w:sz w:val="21"/>
                          <w:szCs w:val="21"/>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21"/>
                          <w:szCs w:val="21"/>
                          <w:lang w:val="en-US" w:eastAsia="zh-CN"/>
                          <w14:shadow w14:blurRad="38100" w14:dist="19050" w14:dir="2700000" w14:sx="100000" w14:sy="100000" w14:kx="0" w14:ky="0" w14:algn="tl">
                            <w14:schemeClr w14:val="dk1">
                              <w14:alpha w14:val="60000"/>
                            </w14:schemeClr>
                          </w14:shadow>
                          <w14:textFill>
                            <w14:solidFill>
                              <w14:schemeClr w14:val="tx1"/>
                            </w14:solidFill>
                          </w14:textFill>
                        </w:rPr>
                        <w:t>1414.42万元</w:t>
                      </w:r>
                    </w:p>
                    <w:p>
                      <w:pPr>
                        <w:pStyle w:val="6"/>
                        <w:ind w:firstLine="211" w:firstLineChars="100"/>
                        <w:rPr>
                          <w:rFonts w:hint="default"/>
                          <w:sz w:val="21"/>
                          <w:szCs w:val="21"/>
                          <w:lang w:val="en-US" w:eastAsia="zh-CN"/>
                        </w:rPr>
                      </w:pPr>
                      <w:r>
                        <w:rPr>
                          <w:rFonts w:hint="eastAsia"/>
                          <w:b/>
                          <w:bCs/>
                          <w:color w:val="000000" w:themeColor="text1"/>
                          <w:sz w:val="21"/>
                          <w:szCs w:val="21"/>
                          <w:lang w:val="en-US" w:eastAsia="zh-CN"/>
                          <w14:shadow w14:blurRad="38100" w14:dist="19050" w14:dir="2700000" w14:sx="100000" w14:sy="100000" w14:kx="0" w14:ky="0" w14:algn="tl">
                            <w14:schemeClr w14:val="dk1">
                              <w14:alpha w14:val="60000"/>
                            </w14:schemeClr>
                          </w14:shadow>
                          <w14:textFill>
                            <w14:solidFill>
                              <w14:schemeClr w14:val="tx1"/>
                            </w14:solidFill>
                          </w14:textFill>
                        </w:rPr>
                        <w:t>占100%</w:t>
                      </w:r>
                    </w:p>
                  </w:txbxContent>
                </v:textbox>
              </v:shape>
            </w:pict>
          </mc:Fallback>
        </mc:AlternateContent>
      </w:r>
    </w:p>
    <w:p>
      <w:pPr>
        <w:spacing w:line="600" w:lineRule="exact"/>
        <w:rPr>
          <w:rFonts w:hint="eastAsia" w:ascii="仿宋" w:hAnsi="仿宋" w:eastAsia="仿宋"/>
          <w:color w:val="000000" w:themeColor="text1"/>
          <w:sz w:val="32"/>
          <w:szCs w:val="32"/>
          <w:highlight w:val="none"/>
          <w14:textFill>
            <w14:solidFill>
              <w14:schemeClr w14:val="tx1"/>
            </w14:solidFill>
          </w14:textFill>
        </w:rPr>
      </w:pPr>
    </w:p>
    <w:p>
      <w:pPr>
        <w:spacing w:line="600" w:lineRule="exact"/>
        <w:rPr>
          <w:rFonts w:hint="eastAsia" w:ascii="仿宋" w:hAnsi="仿宋" w:eastAsia="仿宋"/>
          <w:color w:val="000000" w:themeColor="text1"/>
          <w:sz w:val="32"/>
          <w:szCs w:val="32"/>
          <w:highlight w:val="none"/>
          <w14:textFill>
            <w14:solidFill>
              <w14:schemeClr w14:val="tx1"/>
            </w14:solidFill>
          </w14:textFill>
        </w:rPr>
      </w:pPr>
    </w:p>
    <w:p>
      <w:pPr>
        <w:spacing w:line="600" w:lineRule="exact"/>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spacing w:line="600" w:lineRule="exact"/>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spacing w:line="600" w:lineRule="exact"/>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spacing w:line="600" w:lineRule="exact"/>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图2：收入决算结构图</w:t>
      </w:r>
    </w:p>
    <w:p>
      <w:pPr>
        <w:pStyle w:val="31"/>
        <w:numPr>
          <w:ilvl w:val="0"/>
          <w:numId w:val="2"/>
        </w:numPr>
        <w:spacing w:line="600" w:lineRule="exact"/>
        <w:ind w:firstLineChars="0"/>
        <w:outlineLvl w:val="1"/>
        <w:rPr>
          <w:rStyle w:val="33"/>
          <w:rFonts w:ascii="黑体" w:hAnsi="黑体" w:eastAsia="黑体"/>
          <w:b w:val="0"/>
          <w:color w:val="000000" w:themeColor="text1"/>
          <w:highlight w:val="none"/>
          <w14:textFill>
            <w14:solidFill>
              <w14:schemeClr w14:val="tx1"/>
            </w14:solidFill>
          </w14:textFill>
        </w:rPr>
      </w:pPr>
      <w:bookmarkStart w:id="26" w:name="_Toc15396605"/>
      <w:bookmarkStart w:id="27" w:name="_Toc15377207"/>
      <w:r>
        <w:rPr>
          <w:rFonts w:hint="eastAsia" w:ascii="黑体" w:hAnsi="黑体" w:eastAsia="黑体"/>
          <w:color w:val="000000" w:themeColor="text1"/>
          <w:sz w:val="32"/>
          <w:szCs w:val="32"/>
          <w:highlight w:val="none"/>
          <w14:textFill>
            <w14:solidFill>
              <w14:schemeClr w14:val="tx1"/>
            </w14:solidFill>
          </w14:textFill>
        </w:rPr>
        <w:t>支</w:t>
      </w:r>
      <w:r>
        <w:rPr>
          <w:rStyle w:val="33"/>
          <w:rFonts w:hint="eastAsia" w:ascii="黑体" w:hAnsi="黑体" w:eastAsia="黑体"/>
          <w:b w:val="0"/>
          <w:color w:val="000000" w:themeColor="text1"/>
          <w:highlight w:val="none"/>
          <w14:textFill>
            <w14:solidFill>
              <w14:schemeClr w14:val="tx1"/>
            </w14:solidFill>
          </w14:textFill>
        </w:rPr>
        <w:t>出决算情况说明</w:t>
      </w:r>
      <w:bookmarkEnd w:id="26"/>
      <w:bookmarkEnd w:id="27"/>
    </w:p>
    <w:p>
      <w:pPr>
        <w:spacing w:line="600" w:lineRule="exact"/>
        <w:ind w:firstLine="640" w:firstLineChars="200"/>
        <w:outlineLvl w:val="1"/>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highlight w:val="none"/>
          <w14:textFill>
            <w14:solidFill>
              <w14:schemeClr w14:val="tx1"/>
            </w14:solidFill>
          </w14:textFill>
        </w:rPr>
        <w:t>年本年支出合计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1714.33</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万元，其中：基本支出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768.15</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万元，占</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44.81</w:t>
      </w:r>
      <w:r>
        <w:rPr>
          <w:rFonts w:hint="eastAsia" w:ascii="仿宋_GB2312" w:hAnsi="仿宋_GB2312" w:eastAsia="仿宋_GB2312" w:cs="仿宋_GB2312"/>
          <w:color w:val="000000" w:themeColor="text1"/>
          <w:sz w:val="32"/>
          <w:szCs w:val="32"/>
          <w:highlight w:val="none"/>
          <w14:textFill>
            <w14:solidFill>
              <w14:schemeClr w14:val="tx1"/>
            </w14:solidFill>
          </w14:textFill>
        </w:rPr>
        <w:t>%；项目支出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946.18</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万元，占</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55.19</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spacing w:line="600" w:lineRule="exact"/>
        <w:ind w:firstLine="640"/>
        <w:rPr>
          <w:rFonts w:ascii="仿宋" w:hAnsi="仿宋" w:eastAsia="仿宋"/>
          <w:color w:val="000000" w:themeColor="text1"/>
          <w:sz w:val="32"/>
          <w:szCs w:val="32"/>
          <w:highlight w:val="none"/>
          <w:shd w:val="pct10" w:color="auto" w:fill="FFFFFF"/>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2336" behindDoc="1" locked="0" layoutInCell="1" allowOverlap="1">
            <wp:simplePos x="0" y="0"/>
            <wp:positionH relativeFrom="column">
              <wp:posOffset>536575</wp:posOffset>
            </wp:positionH>
            <wp:positionV relativeFrom="paragraph">
              <wp:posOffset>16510</wp:posOffset>
            </wp:positionV>
            <wp:extent cx="4470400" cy="2595880"/>
            <wp:effectExtent l="4445" t="4445" r="20955" b="66675"/>
            <wp:wrapTight wrapText="bothSides">
              <wp:wrapPolygon>
                <wp:start x="-21" y="-37"/>
                <wp:lineTo x="-21" y="21521"/>
                <wp:lineTo x="21517" y="21521"/>
                <wp:lineTo x="21517" y="-37"/>
                <wp:lineTo x="-21" y="-37"/>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p>
    <w:p>
      <w:pPr>
        <w:spacing w:line="600" w:lineRule="exact"/>
        <w:outlineLvl w:val="1"/>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spacing w:line="600" w:lineRule="exact"/>
        <w:jc w:val="center"/>
        <w:outlineLvl w:val="1"/>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图3：支出决算结构图</w:t>
      </w:r>
    </w:p>
    <w:p>
      <w:pPr>
        <w:spacing w:line="600" w:lineRule="exact"/>
        <w:ind w:firstLine="640" w:firstLineChars="200"/>
        <w:outlineLvl w:val="1"/>
        <w:rPr>
          <w:rStyle w:val="33"/>
          <w:rFonts w:ascii="黑体" w:hAnsi="黑体" w:eastAsia="黑体"/>
          <w:b w:val="0"/>
          <w:color w:val="000000" w:themeColor="text1"/>
          <w:highlight w:val="none"/>
          <w14:textFill>
            <w14:solidFill>
              <w14:schemeClr w14:val="tx1"/>
            </w14:solidFill>
          </w14:textFill>
        </w:rPr>
      </w:pPr>
      <w:bookmarkStart w:id="28" w:name="_Toc15377208"/>
      <w:bookmarkStart w:id="29" w:name="_Toc15396606"/>
      <w:r>
        <w:rPr>
          <w:rFonts w:hint="eastAsia" w:ascii="黑体" w:hAnsi="黑体" w:eastAsia="黑体"/>
          <w:color w:val="000000" w:themeColor="text1"/>
          <w:sz w:val="32"/>
          <w:szCs w:val="32"/>
          <w:highlight w:val="none"/>
          <w14:textFill>
            <w14:solidFill>
              <w14:schemeClr w14:val="tx1"/>
            </w14:solidFill>
          </w14:textFill>
        </w:rPr>
        <w:t>四、财</w:t>
      </w:r>
      <w:r>
        <w:rPr>
          <w:rStyle w:val="33"/>
          <w:rFonts w:hint="eastAsia" w:ascii="黑体" w:hAnsi="黑体" w:eastAsia="黑体"/>
          <w:b w:val="0"/>
          <w:color w:val="000000" w:themeColor="text1"/>
          <w:highlight w:val="none"/>
          <w14:textFill>
            <w14:solidFill>
              <w14:schemeClr w14:val="tx1"/>
            </w14:solidFill>
          </w14:textFill>
        </w:rPr>
        <w:t>政拨款收入支出决算总体情况说明</w:t>
      </w:r>
      <w:bookmarkEnd w:id="28"/>
      <w:bookmarkEnd w:id="29"/>
    </w:p>
    <w:p>
      <w:pPr>
        <w:spacing w:line="600" w:lineRule="exact"/>
        <w:ind w:firstLine="640" w:firstLineChars="200"/>
        <w:rPr>
          <w:rFonts w:hint="eastAsia" w:ascii="仿宋_GB2312" w:hAnsi="仿宋_GB2312" w:eastAsia="仿宋_GB2312" w:cs="仿宋_GB2312"/>
          <w:color w:val="000000" w:themeColor="text1"/>
          <w:spacing w:val="-6"/>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highlight w:val="none"/>
          <w14:textFill>
            <w14:solidFill>
              <w14:schemeClr w14:val="tx1"/>
            </w14:solidFill>
          </w14:textFill>
        </w:rPr>
        <w:t>年财政拨款收、支总计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1714.33</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万元。与20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highlight w:val="none"/>
          <w14:textFill>
            <w14:solidFill>
              <w14:schemeClr w14:val="tx1"/>
            </w14:solidFill>
          </w14:textFill>
        </w:rPr>
        <w:t>年相比，财政拨款收、支总计各减少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815.08</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万元，下降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32.22</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%。主要变动原因是</w:t>
      </w:r>
      <w:r>
        <w:rPr>
          <w:rFonts w:hint="eastAsia" w:ascii="仿宋_GB2312" w:hAnsi="仿宋_GB2312" w:eastAsia="仿宋_GB2312" w:cs="仿宋_GB2312"/>
          <w:color w:val="000000" w:themeColor="text1"/>
          <w:sz w:val="32"/>
          <w:szCs w:val="32"/>
          <w14:textFill>
            <w14:solidFill>
              <w14:schemeClr w14:val="tx1"/>
            </w14:solidFill>
          </w14:textFill>
        </w:rPr>
        <w:t>2021年将离休人员医疗基金及建初人员医疗照顾基金纳入决算。</w:t>
      </w:r>
    </w:p>
    <w:p>
      <w:pPr>
        <w:spacing w:line="600" w:lineRule="exact"/>
        <w:jc w:val="center"/>
        <w:rPr>
          <w:rFonts w:ascii="仿宋" w:hAnsi="仿宋" w:eastAsia="仿宋"/>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drawing>
          <wp:anchor distT="0" distB="0" distL="114300" distR="114300" simplePos="0" relativeHeight="251663360" behindDoc="0" locked="0" layoutInCell="1" allowOverlap="1">
            <wp:simplePos x="0" y="0"/>
            <wp:positionH relativeFrom="column">
              <wp:posOffset>340995</wp:posOffset>
            </wp:positionH>
            <wp:positionV relativeFrom="paragraph">
              <wp:posOffset>300990</wp:posOffset>
            </wp:positionV>
            <wp:extent cx="4986655" cy="2509520"/>
            <wp:effectExtent l="4445" t="4445" r="12700" b="1333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_GB2312" w:hAnsi="仿宋_GB2312" w:eastAsia="仿宋_GB2312" w:cs="仿宋_GB2312"/>
          <w:color w:val="000000" w:themeColor="text1"/>
          <w:sz w:val="32"/>
          <w:szCs w:val="32"/>
          <w:highlight w:val="none"/>
          <w14:textFill>
            <w14:solidFill>
              <w14:schemeClr w14:val="tx1"/>
            </w14:solidFill>
          </w14:textFill>
        </w:rPr>
        <w:t>图4：财政拨款收、支决算总计变动情况</w:t>
      </w:r>
    </w:p>
    <w:p>
      <w:pPr>
        <w:spacing w:line="600" w:lineRule="exact"/>
        <w:ind w:firstLine="640"/>
        <w:rPr>
          <w:rFonts w:ascii="仿宋" w:hAnsi="仿宋" w:eastAsia="仿宋"/>
          <w:b/>
          <w:color w:val="000000" w:themeColor="text1"/>
          <w:sz w:val="32"/>
          <w:szCs w:val="32"/>
          <w:highlight w:val="none"/>
          <w14:textFill>
            <w14:solidFill>
              <w14:schemeClr w14:val="tx1"/>
            </w14:solidFill>
          </w14:textFill>
        </w:rPr>
      </w:pPr>
    </w:p>
    <w:p>
      <w:pPr>
        <w:spacing w:line="600" w:lineRule="exact"/>
        <w:ind w:firstLine="640" w:firstLineChars="200"/>
        <w:outlineLvl w:val="1"/>
        <w:rPr>
          <w:rStyle w:val="33"/>
          <w:rFonts w:ascii="黑体" w:hAnsi="黑体" w:eastAsia="黑体"/>
          <w:b w:val="0"/>
          <w:color w:val="000000" w:themeColor="text1"/>
          <w:highlight w:val="none"/>
          <w14:textFill>
            <w14:solidFill>
              <w14:schemeClr w14:val="tx1"/>
            </w14:solidFill>
          </w14:textFill>
        </w:rPr>
      </w:pPr>
      <w:bookmarkStart w:id="30" w:name="_Toc15377209"/>
      <w:bookmarkStart w:id="31" w:name="_Toc15396607"/>
      <w:r>
        <w:rPr>
          <w:rFonts w:hint="eastAsia" w:ascii="黑体" w:hAnsi="黑体" w:eastAsia="黑体"/>
          <w:color w:val="000000" w:themeColor="text1"/>
          <w:sz w:val="32"/>
          <w:szCs w:val="32"/>
          <w:highlight w:val="none"/>
          <w14:textFill>
            <w14:solidFill>
              <w14:schemeClr w14:val="tx1"/>
            </w14:solidFill>
          </w14:textFill>
        </w:rPr>
        <w:t>五、</w:t>
      </w:r>
      <w:r>
        <w:rPr>
          <w:rFonts w:hint="eastAsia" w:ascii="黑体" w:hAnsi="黑体" w:eastAsia="黑体"/>
          <w:b/>
          <w:color w:val="000000" w:themeColor="text1"/>
          <w:sz w:val="32"/>
          <w:szCs w:val="32"/>
          <w:highlight w:val="none"/>
          <w14:textFill>
            <w14:solidFill>
              <w14:schemeClr w14:val="tx1"/>
            </w14:solidFill>
          </w14:textFill>
        </w:rPr>
        <w:t>一</w:t>
      </w:r>
      <w:r>
        <w:rPr>
          <w:rStyle w:val="33"/>
          <w:rFonts w:hint="eastAsia" w:ascii="黑体" w:hAnsi="黑体" w:eastAsia="黑体"/>
          <w:b w:val="0"/>
          <w:color w:val="000000" w:themeColor="text1"/>
          <w:highlight w:val="none"/>
          <w14:textFill>
            <w14:solidFill>
              <w14:schemeClr w14:val="tx1"/>
            </w14:solidFill>
          </w14:textFill>
        </w:rPr>
        <w:t>般公共预算财政拨款支出决算情况说明</w:t>
      </w:r>
      <w:bookmarkEnd w:id="30"/>
      <w:bookmarkEnd w:id="31"/>
    </w:p>
    <w:p>
      <w:pPr>
        <w:spacing w:line="600" w:lineRule="exact"/>
        <w:ind w:firstLine="640" w:firstLineChars="200"/>
        <w:outlineLvl w:val="2"/>
        <w:rPr>
          <w:rFonts w:hint="eastAsia" w:ascii="楷体_GB2312" w:hAnsi="楷体_GB2312" w:eastAsia="楷体_GB2312" w:cs="楷体_GB2312"/>
          <w:b w:val="0"/>
          <w:bCs/>
          <w:color w:val="000000" w:themeColor="text1"/>
          <w:sz w:val="32"/>
          <w:szCs w:val="32"/>
          <w:highlight w:val="none"/>
          <w14:textFill>
            <w14:solidFill>
              <w14:schemeClr w14:val="tx1"/>
            </w14:solidFill>
          </w14:textFill>
        </w:rPr>
      </w:pPr>
      <w:bookmarkStart w:id="32" w:name="_Toc15377210"/>
      <w:r>
        <w:rPr>
          <w:rFonts w:hint="eastAsia" w:ascii="楷体_GB2312" w:hAnsi="楷体_GB2312" w:eastAsia="楷体_GB2312" w:cs="楷体_GB2312"/>
          <w:b w:val="0"/>
          <w:bCs/>
          <w:color w:val="000000" w:themeColor="text1"/>
          <w:sz w:val="32"/>
          <w:szCs w:val="32"/>
          <w:highlight w:val="none"/>
          <w14:textFill>
            <w14:solidFill>
              <w14:schemeClr w14:val="tx1"/>
            </w14:solidFill>
          </w14:textFill>
        </w:rPr>
        <w:t>（一）一般公共预算财政拨款支出决算总体情况</w:t>
      </w:r>
      <w:bookmarkEnd w:id="32"/>
    </w:p>
    <w:p>
      <w:pPr>
        <w:spacing w:line="600"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highlight w:val="none"/>
          <w14:textFill>
            <w14:solidFill>
              <w14:schemeClr w14:val="tx1"/>
            </w14:solidFill>
          </w14:textFill>
        </w:rPr>
        <w:t>年一般公共预算财政拨款支出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1714.33</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万元，占本年支出合计的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100</w:t>
      </w:r>
      <w:r>
        <w:rPr>
          <w:rFonts w:hint="eastAsia" w:ascii="仿宋_GB2312" w:hAnsi="仿宋_GB2312" w:eastAsia="仿宋_GB2312" w:cs="仿宋_GB2312"/>
          <w:color w:val="000000" w:themeColor="text1"/>
          <w:sz w:val="32"/>
          <w:szCs w:val="32"/>
          <w:highlight w:val="none"/>
          <w14:textFill>
            <w14:solidFill>
              <w14:schemeClr w14:val="tx1"/>
            </w14:solidFill>
          </w14:textFill>
        </w:rPr>
        <w:t>%。与20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highlight w:val="none"/>
          <w14:textFill>
            <w14:solidFill>
              <w14:schemeClr w14:val="tx1"/>
            </w14:solidFill>
          </w14:textFill>
        </w:rPr>
        <w:t>年相比，一般公共预算财政拨款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支出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减少26.11</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万元，下降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%。主要变动原因是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2022年DRG项目、打击欺诈骗保业务经费等项目支出减少。</w:t>
      </w:r>
    </w:p>
    <w:p>
      <w:pPr>
        <w:pStyle w:val="6"/>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drawing>
          <wp:inline distT="0" distB="0" distL="114300" distR="114300">
            <wp:extent cx="5589270" cy="2604770"/>
            <wp:effectExtent l="4445" t="4445" r="6985" b="1968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图5：一般公共预算财政拨款支出决算变动情况</w:t>
      </w:r>
    </w:p>
    <w:p>
      <w:pPr>
        <w:spacing w:line="600" w:lineRule="exact"/>
        <w:ind w:firstLine="640" w:firstLineChars="200"/>
        <w:outlineLvl w:val="2"/>
        <w:rPr>
          <w:rFonts w:hint="eastAsia" w:ascii="楷体_GB2312" w:hAnsi="楷体_GB2312" w:eastAsia="楷体_GB2312" w:cs="楷体_GB2312"/>
          <w:b w:val="0"/>
          <w:bCs/>
          <w:color w:val="000000" w:themeColor="text1"/>
          <w:sz w:val="32"/>
          <w:szCs w:val="32"/>
          <w:highlight w:val="none"/>
          <w14:textFill>
            <w14:solidFill>
              <w14:schemeClr w14:val="tx1"/>
            </w14:solidFill>
          </w14:textFill>
        </w:rPr>
      </w:pPr>
      <w:bookmarkStart w:id="33" w:name="_Toc15377211"/>
      <w:r>
        <w:rPr>
          <w:rFonts w:hint="eastAsia" w:ascii="楷体_GB2312" w:hAnsi="楷体_GB2312" w:eastAsia="楷体_GB2312" w:cs="楷体_GB2312"/>
          <w:b w:val="0"/>
          <w:bCs/>
          <w:color w:val="000000" w:themeColor="text1"/>
          <w:sz w:val="32"/>
          <w:szCs w:val="32"/>
          <w:highlight w:val="none"/>
          <w14:textFill>
            <w14:solidFill>
              <w14:schemeClr w14:val="tx1"/>
            </w14:solidFill>
          </w14:textFill>
        </w:rPr>
        <w:t>（二）一般公共预算财政拨款支出决算结构情况</w:t>
      </w:r>
      <w:bookmarkEnd w:id="33"/>
    </w:p>
    <w:p>
      <w:pPr>
        <w:spacing w:line="600" w:lineRule="exact"/>
        <w:ind w:firstLine="640"/>
        <w:rPr>
          <w:rFonts w:hint="default" w:ascii="仿宋_GB2312" w:hAnsi="仿宋_GB2312" w:eastAsia="仿宋_GB2312" w:cs="仿宋_GB2312"/>
          <w:b w:val="0"/>
          <w:bCs w:val="0"/>
          <w:color w:val="000000" w:themeColor="text1"/>
          <w:sz w:val="32"/>
          <w:szCs w:val="32"/>
          <w:highlight w:val="yellow"/>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20</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22</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年一般公共预算财政拨款支出</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1714.33</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万元，主要用于以下方面:社会保障和就业支</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出48.27万元，占2.82%；卫生健康支出1604.13万元，占93.57%；住</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房保障支出</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61.93</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万元，占</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3.61</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p>
    <w:p>
      <w:pPr>
        <w:spacing w:line="600" w:lineRule="exact"/>
        <w:ind w:firstLine="640"/>
        <w:rPr>
          <w:rFonts w:ascii="仿宋" w:hAnsi="仿宋" w:eastAsia="仿宋"/>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pacing w:val="-8"/>
          <w:sz w:val="32"/>
          <w:szCs w:val="32"/>
          <w14:textFill>
            <w14:solidFill>
              <w14:schemeClr w14:val="tx1"/>
            </w14:solidFill>
          </w14:textFill>
        </w:rPr>
        <w:drawing>
          <wp:anchor distT="0" distB="0" distL="114300" distR="114300" simplePos="0" relativeHeight="251664384" behindDoc="1" locked="0" layoutInCell="1" allowOverlap="1">
            <wp:simplePos x="0" y="0"/>
            <wp:positionH relativeFrom="column">
              <wp:posOffset>462915</wp:posOffset>
            </wp:positionH>
            <wp:positionV relativeFrom="paragraph">
              <wp:posOffset>58420</wp:posOffset>
            </wp:positionV>
            <wp:extent cx="4563745" cy="2408555"/>
            <wp:effectExtent l="4445" t="4445" r="16510" b="12700"/>
            <wp:wrapTight wrapText="bothSides">
              <wp:wrapPolygon>
                <wp:start x="-21" y="-40"/>
                <wp:lineTo x="-21" y="21486"/>
                <wp:lineTo x="21558" y="21486"/>
                <wp:lineTo x="21558" y="-40"/>
                <wp:lineTo x="-21" y="-40"/>
              </wp:wrapPolygon>
            </wp:wrapTight>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Style w:val="6"/>
        <w:rPr>
          <w:rFonts w:ascii="仿宋" w:hAnsi="仿宋" w:eastAsia="仿宋"/>
          <w:color w:val="000000" w:themeColor="text1"/>
          <w:sz w:val="32"/>
          <w:szCs w:val="32"/>
          <w:highlight w:val="none"/>
          <w14:textFill>
            <w14:solidFill>
              <w14:schemeClr w14:val="tx1"/>
            </w14:solidFill>
          </w14:textFill>
        </w:rPr>
      </w:pPr>
    </w:p>
    <w:p>
      <w:pPr>
        <w:pStyle w:val="6"/>
        <w:rPr>
          <w:rFonts w:ascii="仿宋" w:hAnsi="仿宋" w:eastAsia="仿宋"/>
          <w:color w:val="000000" w:themeColor="text1"/>
          <w:sz w:val="32"/>
          <w:szCs w:val="32"/>
          <w:highlight w:val="none"/>
          <w14:textFill>
            <w14:solidFill>
              <w14:schemeClr w14:val="tx1"/>
            </w14:solidFill>
          </w14:textFill>
        </w:rPr>
      </w:pPr>
    </w:p>
    <w:p>
      <w:pPr>
        <w:spacing w:line="600" w:lineRule="exact"/>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spacing w:line="600" w:lineRule="exact"/>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spacing w:line="600" w:lineRule="exact"/>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spacing w:line="600" w:lineRule="exact"/>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图6</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一般公共预算财政拨款支出决算结构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2"/>
        <w:rPr>
          <w:rFonts w:hint="eastAsia" w:ascii="楷体_GB2312" w:hAnsi="楷体_GB2312" w:eastAsia="楷体_GB2312" w:cs="楷体_GB2312"/>
          <w:b w:val="0"/>
          <w:bCs/>
          <w:color w:val="000000" w:themeColor="text1"/>
          <w:sz w:val="32"/>
          <w:szCs w:val="32"/>
          <w:highlight w:val="none"/>
          <w14:textFill>
            <w14:solidFill>
              <w14:schemeClr w14:val="tx1"/>
            </w14:solidFill>
          </w14:textFill>
        </w:rPr>
      </w:pPr>
      <w:bookmarkStart w:id="34" w:name="_Toc15377212"/>
      <w:r>
        <w:rPr>
          <w:rFonts w:hint="eastAsia" w:ascii="楷体_GB2312" w:hAnsi="楷体_GB2312" w:eastAsia="楷体_GB2312" w:cs="楷体_GB2312"/>
          <w:b w:val="0"/>
          <w:bCs/>
          <w:color w:val="000000" w:themeColor="text1"/>
          <w:sz w:val="32"/>
          <w:szCs w:val="32"/>
          <w:highlight w:val="none"/>
          <w14:textFill>
            <w14:solidFill>
              <w14:schemeClr w14:val="tx1"/>
            </w14:solidFill>
          </w14:textFill>
        </w:rPr>
        <w:t>（三）一般公共预算财政拨款支出决算具体情况</w:t>
      </w:r>
      <w:bookmarkEnd w:id="3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2"/>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pPr>
      <w:bookmarkStart w:id="35" w:name="_Toc15378460"/>
      <w:bookmarkStart w:id="36" w:name="_Toc15377213"/>
      <w:bookmarkStart w:id="37" w:name="_Toc15377444"/>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20</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22</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一</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般公共预算支出决算数为</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1714.33</w:t>
      </w:r>
      <w:r>
        <w:rPr>
          <w:rStyle w:val="21"/>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w:t>
      </w:r>
      <w:r>
        <w:rPr>
          <w:rStyle w:val="21"/>
          <w:rFonts w:hint="eastAsia" w:ascii="仿宋_GB2312" w:hAnsi="仿宋_GB2312" w:eastAsia="仿宋_GB2312" w:cs="仿宋_GB2312"/>
          <w:b w:val="0"/>
          <w:bCs/>
          <w:color w:val="000000" w:themeColor="text1"/>
          <w:sz w:val="32"/>
          <w:szCs w:val="32"/>
          <w:highlight w:val="none"/>
          <w14:textFill>
            <w14:solidFill>
              <w14:schemeClr w14:val="tx1"/>
            </w14:solidFill>
          </w14:textFill>
        </w:rPr>
        <w:t>完成预算</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100%。其中：</w:t>
      </w:r>
      <w:bookmarkEnd w:id="35"/>
      <w:bookmarkEnd w:id="36"/>
      <w:bookmarkEnd w:id="3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Style w:val="21"/>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Style w:val="21"/>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w:t>
      </w:r>
      <w:r>
        <w:rPr>
          <w:rStyle w:val="21"/>
          <w:rFonts w:hint="eastAsia" w:ascii="仿宋_GB2312" w:hAnsi="仿宋_GB2312" w:eastAsia="仿宋_GB2312" w:cs="仿宋_GB2312"/>
          <w:b w:val="0"/>
          <w:bCs/>
          <w:color w:val="000000" w:themeColor="text1"/>
          <w:sz w:val="32"/>
          <w:szCs w:val="32"/>
          <w:highlight w:val="none"/>
          <w14:textFill>
            <w14:solidFill>
              <w14:schemeClr w14:val="tx1"/>
            </w14:solidFill>
          </w14:textFill>
        </w:rPr>
        <w:t>.</w:t>
      </w:r>
      <w:r>
        <w:rPr>
          <w:rStyle w:val="21"/>
          <w:rFonts w:hint="default" w:ascii="仿宋_GB2312" w:hAnsi="仿宋_GB2312" w:eastAsia="仿宋_GB2312" w:cs="仿宋_GB2312"/>
          <w:b w:val="0"/>
          <w:bCs/>
          <w:color w:val="000000" w:themeColor="text1"/>
          <w:sz w:val="32"/>
          <w:szCs w:val="32"/>
          <w:highlight w:val="none"/>
          <w:lang w:val="en-US"/>
          <w14:textFill>
            <w14:solidFill>
              <w14:schemeClr w14:val="tx1"/>
            </w14:solidFill>
          </w14:textFill>
        </w:rPr>
        <w:t xml:space="preserve"> </w:t>
      </w:r>
      <w:r>
        <w:rPr>
          <w:rStyle w:val="21"/>
          <w:rFonts w:hint="eastAsia" w:ascii="仿宋_GB2312" w:hAnsi="仿宋_GB2312" w:eastAsia="仿宋_GB2312" w:cs="仿宋_GB2312"/>
          <w:b w:val="0"/>
          <w:bCs/>
          <w:color w:val="000000" w:themeColor="text1"/>
          <w:sz w:val="32"/>
          <w:szCs w:val="32"/>
          <w:highlight w:val="none"/>
          <w14:textFill>
            <w14:solidFill>
              <w14:schemeClr w14:val="tx1"/>
            </w14:solidFill>
          </w14:textFill>
        </w:rPr>
        <w:t>社会保障和就业（类）</w:t>
      </w:r>
      <w:r>
        <w:rPr>
          <w:rStyle w:val="21"/>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行政事业单位养老支出</w:t>
      </w:r>
      <w:r>
        <w:rPr>
          <w:rStyle w:val="21"/>
          <w:rFonts w:hint="eastAsia" w:ascii="仿宋_GB2312" w:hAnsi="仿宋_GB2312" w:eastAsia="仿宋_GB2312" w:cs="仿宋_GB2312"/>
          <w:b w:val="0"/>
          <w:bCs/>
          <w:color w:val="000000" w:themeColor="text1"/>
          <w:sz w:val="32"/>
          <w:szCs w:val="32"/>
          <w:highlight w:val="none"/>
          <w14:textFill>
            <w14:solidFill>
              <w14:schemeClr w14:val="tx1"/>
            </w14:solidFill>
          </w14:textFill>
        </w:rPr>
        <w:t>（款） 机关事业单位基本养老保险缴费支出（项）: 支出决算为</w:t>
      </w:r>
      <w:r>
        <w:rPr>
          <w:rStyle w:val="21"/>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44.64</w:t>
      </w:r>
      <w:r>
        <w:rPr>
          <w:rStyle w:val="21"/>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万元，完成预算</w:t>
      </w:r>
      <w:r>
        <w:rPr>
          <w:rStyle w:val="21"/>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100</w:t>
      </w:r>
      <w:r>
        <w:rPr>
          <w:rStyle w:val="21"/>
          <w:rFonts w:hint="eastAsia" w:ascii="仿宋_GB2312" w:hAnsi="仿宋_GB2312" w:eastAsia="仿宋_GB2312" w:cs="仿宋_GB2312"/>
          <w:b w:val="0"/>
          <w:bCs/>
          <w:color w:val="000000" w:themeColor="text1"/>
          <w:sz w:val="32"/>
          <w:szCs w:val="32"/>
          <w:highlight w:val="none"/>
          <w14:textFill>
            <w14:solidFill>
              <w14:schemeClr w14:val="tx1"/>
            </w14:solidFill>
          </w14:textFill>
        </w:rPr>
        <w:t>%</w:t>
      </w:r>
      <w:r>
        <w:rPr>
          <w:rStyle w:val="21"/>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Style w:val="21"/>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Style w:val="21"/>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2</w:t>
      </w:r>
      <w:r>
        <w:rPr>
          <w:rStyle w:val="21"/>
          <w:rFonts w:hint="eastAsia" w:ascii="仿宋_GB2312" w:hAnsi="仿宋_GB2312" w:eastAsia="仿宋_GB2312" w:cs="仿宋_GB2312"/>
          <w:b w:val="0"/>
          <w:bCs/>
          <w:color w:val="000000" w:themeColor="text1"/>
          <w:sz w:val="32"/>
          <w:szCs w:val="32"/>
          <w:highlight w:val="none"/>
          <w14:textFill>
            <w14:solidFill>
              <w14:schemeClr w14:val="tx1"/>
            </w14:solidFill>
          </w14:textFill>
        </w:rPr>
        <w:t>.</w:t>
      </w:r>
      <w:r>
        <w:rPr>
          <w:rStyle w:val="21"/>
          <w:rFonts w:hint="default" w:ascii="仿宋_GB2312" w:hAnsi="仿宋_GB2312" w:eastAsia="仿宋_GB2312" w:cs="仿宋_GB2312"/>
          <w:b w:val="0"/>
          <w:bCs/>
          <w:color w:val="000000" w:themeColor="text1"/>
          <w:sz w:val="32"/>
          <w:szCs w:val="32"/>
          <w:highlight w:val="none"/>
          <w:lang w:val="en-US"/>
          <w14:textFill>
            <w14:solidFill>
              <w14:schemeClr w14:val="tx1"/>
            </w14:solidFill>
          </w14:textFill>
        </w:rPr>
        <w:t xml:space="preserve"> </w:t>
      </w:r>
      <w:r>
        <w:rPr>
          <w:rStyle w:val="21"/>
          <w:rFonts w:hint="eastAsia" w:ascii="仿宋_GB2312" w:hAnsi="仿宋_GB2312" w:eastAsia="仿宋_GB2312" w:cs="仿宋_GB2312"/>
          <w:b w:val="0"/>
          <w:bCs/>
          <w:color w:val="000000" w:themeColor="text1"/>
          <w:sz w:val="32"/>
          <w:szCs w:val="32"/>
          <w:highlight w:val="none"/>
          <w14:textFill>
            <w14:solidFill>
              <w14:schemeClr w14:val="tx1"/>
            </w14:solidFill>
          </w14:textFill>
        </w:rPr>
        <w:t>社会保障和就业（类）</w:t>
      </w:r>
      <w:r>
        <w:rPr>
          <w:rStyle w:val="21"/>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行政事业单位养老支出</w:t>
      </w:r>
      <w:r>
        <w:rPr>
          <w:rStyle w:val="21"/>
          <w:rFonts w:hint="eastAsia" w:ascii="仿宋_GB2312" w:hAnsi="仿宋_GB2312" w:eastAsia="仿宋_GB2312" w:cs="仿宋_GB2312"/>
          <w:b w:val="0"/>
          <w:bCs/>
          <w:color w:val="000000" w:themeColor="text1"/>
          <w:sz w:val="32"/>
          <w:szCs w:val="32"/>
          <w:highlight w:val="none"/>
          <w14:textFill>
            <w14:solidFill>
              <w14:schemeClr w14:val="tx1"/>
            </w14:solidFill>
          </w14:textFill>
        </w:rPr>
        <w:t>（款） 机关事业单位职业年金缴费支出（项）: 支出决算为</w:t>
      </w:r>
      <w:r>
        <w:rPr>
          <w:rStyle w:val="21"/>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3.64</w:t>
      </w:r>
      <w:r>
        <w:rPr>
          <w:rStyle w:val="21"/>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万元，完成预算</w:t>
      </w:r>
      <w:r>
        <w:rPr>
          <w:rStyle w:val="21"/>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100</w:t>
      </w:r>
      <w:r>
        <w:rPr>
          <w:rStyle w:val="21"/>
          <w:rFonts w:hint="eastAsia" w:ascii="仿宋_GB2312" w:hAnsi="仿宋_GB2312" w:eastAsia="仿宋_GB2312" w:cs="仿宋_GB2312"/>
          <w:b w:val="0"/>
          <w:bCs/>
          <w:color w:val="000000" w:themeColor="text1"/>
          <w:sz w:val="32"/>
          <w:szCs w:val="32"/>
          <w:highlight w:val="none"/>
          <w14:textFill>
            <w14:solidFill>
              <w14:schemeClr w14:val="tx1"/>
            </w14:solidFill>
          </w14:textFill>
        </w:rPr>
        <w:t>%</w:t>
      </w:r>
      <w:r>
        <w:rPr>
          <w:rStyle w:val="21"/>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p>
    <w:p>
      <w:pPr>
        <w:pStyle w:val="6"/>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jc w:val="both"/>
        <w:textAlignment w:val="auto"/>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3</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w:t>
      </w:r>
      <w:r>
        <w:rPr>
          <w:rStyle w:val="21"/>
          <w:rFonts w:hint="eastAsia" w:ascii="仿宋_GB2312" w:hAnsi="仿宋_GB2312" w:eastAsia="仿宋_GB2312" w:cs="仿宋_GB2312"/>
          <w:b w:val="0"/>
          <w:bCs/>
          <w:color w:val="000000" w:themeColor="text1"/>
          <w:sz w:val="32"/>
          <w:szCs w:val="32"/>
          <w:lang w:val="en-US"/>
          <w14:textFill>
            <w14:solidFill>
              <w14:schemeClr w14:val="tx1"/>
            </w14:solidFill>
          </w14:textFill>
        </w:rPr>
        <w:t xml:space="preserve"> </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卫生健康（类）行政事业单位医疗（款）行政单位医疗（项）:支出决算为</w:t>
      </w: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24.86</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Style w:val="21"/>
          <w:rFonts w:hint="eastAsia" w:ascii="仿宋_GB2312" w:hAnsi="仿宋_GB2312" w:eastAsia="仿宋_GB2312" w:cs="仿宋_GB2312"/>
          <w:b w:val="0"/>
          <w:bCs/>
          <w:color w:val="000000" w:themeColor="text1"/>
          <w:sz w:val="32"/>
          <w:szCs w:val="32"/>
          <w14:textFill>
            <w14:solidFill>
              <w14:schemeClr w14:val="tx1"/>
            </w14:solidFill>
          </w14:textFill>
        </w:rPr>
      </w:pP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4</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w:t>
      </w:r>
      <w:r>
        <w:rPr>
          <w:rStyle w:val="21"/>
          <w:rFonts w:hint="eastAsia" w:ascii="仿宋_GB2312" w:hAnsi="仿宋_GB2312" w:eastAsia="仿宋_GB2312" w:cs="仿宋_GB2312"/>
          <w:b w:val="0"/>
          <w:bCs/>
          <w:color w:val="000000" w:themeColor="text1"/>
          <w:sz w:val="32"/>
          <w:szCs w:val="32"/>
          <w:lang w:val="en-US"/>
          <w14:textFill>
            <w14:solidFill>
              <w14:schemeClr w14:val="tx1"/>
            </w14:solidFill>
          </w14:textFill>
        </w:rPr>
        <w:t xml:space="preserve"> </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卫生健康（类）医疗救助（款）其他医疗救助支出（项）：支出决算数为</w:t>
      </w: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44.19</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Style w:val="21"/>
          <w:rFonts w:hint="eastAsia" w:ascii="仿宋_GB2312" w:hAnsi="仿宋_GB2312" w:eastAsia="仿宋_GB2312" w:cs="仿宋_GB2312"/>
          <w:b w:val="0"/>
          <w:bCs/>
          <w:color w:val="000000" w:themeColor="text1"/>
          <w:sz w:val="32"/>
          <w:szCs w:val="32"/>
          <w14:textFill>
            <w14:solidFill>
              <w14:schemeClr w14:val="tx1"/>
            </w14:solidFill>
          </w14:textFill>
        </w:rPr>
      </w:pP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5</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w:t>
      </w:r>
      <w:r>
        <w:rPr>
          <w:rStyle w:val="21"/>
          <w:rFonts w:hint="eastAsia" w:ascii="仿宋_GB2312" w:hAnsi="仿宋_GB2312" w:eastAsia="仿宋_GB2312" w:cs="仿宋_GB2312"/>
          <w:b w:val="0"/>
          <w:bCs/>
          <w:color w:val="000000" w:themeColor="text1"/>
          <w:sz w:val="32"/>
          <w:szCs w:val="32"/>
          <w:lang w:val="en-US"/>
          <w14:textFill>
            <w14:solidFill>
              <w14:schemeClr w14:val="tx1"/>
            </w14:solidFill>
          </w14:textFill>
        </w:rPr>
        <w:t xml:space="preserve"> </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卫生健康（类）医疗保障管理事务（款）行政运行（项）：支出决算数为</w:t>
      </w: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608.58</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万元，完成预算100%。</w:t>
      </w:r>
    </w:p>
    <w:p>
      <w:pPr>
        <w:pStyle w:val="6"/>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jc w:val="both"/>
        <w:textAlignment w:val="auto"/>
        <w:rPr>
          <w:rStyle w:val="21"/>
          <w:rFonts w:hint="eastAsia" w:ascii="仿宋_GB2312" w:hAnsi="仿宋_GB2312" w:eastAsia="仿宋_GB2312" w:cs="仿宋_GB2312"/>
          <w:b w:val="0"/>
          <w:bCs/>
          <w:color w:val="000000" w:themeColor="text1"/>
          <w:sz w:val="32"/>
          <w:szCs w:val="32"/>
          <w14:textFill>
            <w14:solidFill>
              <w14:schemeClr w14:val="tx1"/>
            </w14:solidFill>
          </w14:textFill>
        </w:rPr>
      </w:pP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6</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w:t>
      </w:r>
      <w:r>
        <w:rPr>
          <w:rStyle w:val="21"/>
          <w:rFonts w:hint="eastAsia" w:ascii="仿宋_GB2312" w:hAnsi="仿宋_GB2312" w:eastAsia="仿宋_GB2312" w:cs="仿宋_GB2312"/>
          <w:b w:val="0"/>
          <w:bCs/>
          <w:color w:val="000000" w:themeColor="text1"/>
          <w:sz w:val="32"/>
          <w:szCs w:val="32"/>
          <w:lang w:val="en-US"/>
          <w14:textFill>
            <w14:solidFill>
              <w14:schemeClr w14:val="tx1"/>
            </w14:solidFill>
          </w14:textFill>
        </w:rPr>
        <w:t xml:space="preserve"> </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卫生健康（类）医疗保障管理事务（款）一般行政管理事务（项）：支出决算数为</w:t>
      </w:r>
      <w:r>
        <w:rPr>
          <w:rStyle w:val="21"/>
          <w:rFonts w:hint="default" w:hAnsi="仿宋_GB2312" w:cs="仿宋_GB2312"/>
          <w:b w:val="0"/>
          <w:bCs/>
          <w:color w:val="000000" w:themeColor="text1"/>
          <w:sz w:val="32"/>
          <w:szCs w:val="32"/>
          <w:lang w:eastAsia="zh-CN"/>
          <w14:textFill>
            <w14:solidFill>
              <w14:schemeClr w14:val="tx1"/>
            </w14:solidFill>
          </w14:textFill>
        </w:rPr>
        <w:t>39.68</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Style w:val="21"/>
          <w:rFonts w:hint="eastAsia" w:ascii="仿宋_GB2312" w:hAnsi="仿宋_GB2312" w:eastAsia="仿宋_GB2312" w:cs="仿宋_GB2312"/>
          <w:b w:val="0"/>
          <w:bCs/>
          <w:color w:val="000000" w:themeColor="text1"/>
          <w:sz w:val="32"/>
          <w:szCs w:val="32"/>
          <w14:textFill>
            <w14:solidFill>
              <w14:schemeClr w14:val="tx1"/>
            </w14:solidFill>
          </w14:textFill>
        </w:rPr>
      </w:pPr>
      <w:r>
        <w:rPr>
          <w:rStyle w:val="21"/>
          <w:rFonts w:hint="default" w:ascii="仿宋_GB2312" w:hAnsi="仿宋_GB2312" w:eastAsia="仿宋_GB2312" w:cs="仿宋_GB2312"/>
          <w:b w:val="0"/>
          <w:bCs/>
          <w:color w:val="000000" w:themeColor="text1"/>
          <w:sz w:val="32"/>
          <w:szCs w:val="32"/>
          <w:lang w:val="en-US"/>
          <w14:textFill>
            <w14:solidFill>
              <w14:schemeClr w14:val="tx1"/>
            </w14:solidFill>
          </w14:textFill>
        </w:rPr>
        <w:t>7</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w:t>
      </w:r>
      <w:r>
        <w:rPr>
          <w:rStyle w:val="21"/>
          <w:rFonts w:hint="eastAsia" w:ascii="仿宋_GB2312" w:hAnsi="仿宋_GB2312" w:eastAsia="仿宋_GB2312" w:cs="仿宋_GB2312"/>
          <w:b w:val="0"/>
          <w:bCs/>
          <w:color w:val="000000" w:themeColor="text1"/>
          <w:sz w:val="32"/>
          <w:szCs w:val="32"/>
          <w:lang w:val="en-US"/>
          <w14:textFill>
            <w14:solidFill>
              <w14:schemeClr w14:val="tx1"/>
            </w14:solidFill>
          </w14:textFill>
        </w:rPr>
        <w:t xml:space="preserve"> </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卫生健康（类）医疗保障管理事务（款）</w:t>
      </w: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信息化建设</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（项）：支出决算数为</w:t>
      </w:r>
      <w:r>
        <w:rPr>
          <w:rStyle w:val="21"/>
          <w:rFonts w:hint="default" w:ascii="仿宋_GB2312" w:hAnsi="仿宋_GB2312" w:eastAsia="仿宋_GB2312" w:cs="仿宋_GB2312"/>
          <w:b w:val="0"/>
          <w:bCs/>
          <w:color w:val="000000" w:themeColor="text1"/>
          <w:sz w:val="32"/>
          <w:szCs w:val="32"/>
          <w:lang w:eastAsia="zh-CN"/>
          <w14:textFill>
            <w14:solidFill>
              <w14:schemeClr w14:val="tx1"/>
            </w14:solidFill>
          </w14:textFill>
        </w:rPr>
        <w:t>29.56</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Style w:val="21"/>
          <w:rFonts w:hint="eastAsia" w:ascii="仿宋_GB2312" w:hAnsi="仿宋_GB2312" w:eastAsia="仿宋_GB2312" w:cs="仿宋_GB2312"/>
          <w:b w:val="0"/>
          <w:bCs/>
          <w:color w:val="000000" w:themeColor="text1"/>
          <w:sz w:val="32"/>
          <w:szCs w:val="32"/>
          <w14:textFill>
            <w14:solidFill>
              <w14:schemeClr w14:val="tx1"/>
            </w14:solidFill>
          </w14:textFill>
        </w:rPr>
      </w:pPr>
      <w:r>
        <w:rPr>
          <w:rStyle w:val="21"/>
          <w:rFonts w:hint="default" w:ascii="仿宋_GB2312" w:hAnsi="仿宋_GB2312" w:eastAsia="仿宋_GB2312" w:cs="仿宋_GB2312"/>
          <w:b w:val="0"/>
          <w:bCs/>
          <w:color w:val="000000" w:themeColor="text1"/>
          <w:sz w:val="32"/>
          <w:szCs w:val="32"/>
          <w:lang w:val="en-US" w:eastAsia="zh-CN"/>
          <w14:textFill>
            <w14:solidFill>
              <w14:schemeClr w14:val="tx1"/>
            </w14:solidFill>
          </w14:textFill>
        </w:rPr>
        <w:t>8</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w:t>
      </w:r>
      <w:r>
        <w:rPr>
          <w:rStyle w:val="21"/>
          <w:rFonts w:hint="eastAsia" w:ascii="仿宋_GB2312" w:hAnsi="仿宋_GB2312" w:eastAsia="仿宋_GB2312" w:cs="仿宋_GB2312"/>
          <w:b w:val="0"/>
          <w:bCs/>
          <w:color w:val="000000" w:themeColor="text1"/>
          <w:sz w:val="32"/>
          <w:szCs w:val="32"/>
          <w:lang w:val="en-US"/>
          <w14:textFill>
            <w14:solidFill>
              <w14:schemeClr w14:val="tx1"/>
            </w14:solidFill>
          </w14:textFill>
        </w:rPr>
        <w:t xml:space="preserve"> </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卫生健康（类）医疗保障管理事务（款）</w:t>
      </w: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医疗保障政策管理</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（项）：支出决算数为</w:t>
      </w:r>
      <w:r>
        <w:rPr>
          <w:rStyle w:val="21"/>
          <w:rFonts w:hint="default" w:ascii="仿宋_GB2312" w:hAnsi="仿宋_GB2312" w:eastAsia="仿宋_GB2312" w:cs="仿宋_GB2312"/>
          <w:b w:val="0"/>
          <w:bCs/>
          <w:color w:val="000000" w:themeColor="text1"/>
          <w:sz w:val="32"/>
          <w:szCs w:val="32"/>
          <w:lang w:eastAsia="zh-CN"/>
          <w14:textFill>
            <w14:solidFill>
              <w14:schemeClr w14:val="tx1"/>
            </w14:solidFill>
          </w14:textFill>
        </w:rPr>
        <w:t>294.49</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Style w:val="21"/>
          <w:rFonts w:hint="eastAsia" w:ascii="仿宋_GB2312" w:hAnsi="仿宋_GB2312" w:eastAsia="仿宋_GB2312" w:cs="仿宋_GB2312"/>
          <w:b w:val="0"/>
          <w:bCs/>
          <w:color w:val="000000" w:themeColor="text1"/>
          <w:sz w:val="32"/>
          <w:szCs w:val="32"/>
          <w14:textFill>
            <w14:solidFill>
              <w14:schemeClr w14:val="tx1"/>
            </w14:solidFill>
          </w14:textFill>
        </w:rPr>
      </w:pPr>
      <w:r>
        <w:rPr>
          <w:rStyle w:val="21"/>
          <w:rFonts w:hint="default" w:ascii="仿宋_GB2312" w:hAnsi="仿宋_GB2312" w:eastAsia="仿宋_GB2312" w:cs="仿宋_GB2312"/>
          <w:b w:val="0"/>
          <w:bCs/>
          <w:color w:val="000000" w:themeColor="text1"/>
          <w:sz w:val="32"/>
          <w:szCs w:val="32"/>
          <w:lang w:val="en-US" w:eastAsia="zh-CN"/>
          <w14:textFill>
            <w14:solidFill>
              <w14:schemeClr w14:val="tx1"/>
            </w14:solidFill>
          </w14:textFill>
        </w:rPr>
        <w:t>9</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w:t>
      </w:r>
      <w:r>
        <w:rPr>
          <w:rStyle w:val="21"/>
          <w:rFonts w:hint="eastAsia" w:ascii="仿宋_GB2312" w:hAnsi="仿宋_GB2312" w:eastAsia="仿宋_GB2312" w:cs="仿宋_GB2312"/>
          <w:b w:val="0"/>
          <w:bCs/>
          <w:color w:val="000000" w:themeColor="text1"/>
          <w:sz w:val="32"/>
          <w:szCs w:val="32"/>
          <w:lang w:val="en-US"/>
          <w14:textFill>
            <w14:solidFill>
              <w14:schemeClr w14:val="tx1"/>
            </w14:solidFill>
          </w14:textFill>
        </w:rPr>
        <w:t xml:space="preserve"> </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卫生健康（类）医疗保障管理事务（款）</w:t>
      </w: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医疗保障经办事务</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（项）：支出决算数为</w:t>
      </w:r>
      <w:r>
        <w:rPr>
          <w:rStyle w:val="21"/>
          <w:rFonts w:hint="default" w:ascii="仿宋_GB2312" w:hAnsi="仿宋_GB2312" w:eastAsia="仿宋_GB2312" w:cs="仿宋_GB2312"/>
          <w:b w:val="0"/>
          <w:bCs/>
          <w:color w:val="000000" w:themeColor="text1"/>
          <w:sz w:val="32"/>
          <w:szCs w:val="32"/>
          <w:lang w:eastAsia="zh-CN"/>
          <w14:textFill>
            <w14:solidFill>
              <w14:schemeClr w14:val="tx1"/>
            </w14:solidFill>
          </w14:textFill>
        </w:rPr>
        <w:t>44.98</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Style w:val="21"/>
          <w:rFonts w:hint="eastAsia" w:ascii="仿宋_GB2312" w:hAnsi="仿宋_GB2312" w:eastAsia="仿宋_GB2312" w:cs="仿宋_GB2312"/>
          <w:b w:val="0"/>
          <w:bCs/>
          <w:color w:val="000000" w:themeColor="text1"/>
          <w:sz w:val="32"/>
          <w:szCs w:val="32"/>
          <w14:textFill>
            <w14:solidFill>
              <w14:schemeClr w14:val="tx1"/>
            </w14:solidFill>
          </w14:textFill>
        </w:rPr>
      </w:pP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10</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w:t>
      </w:r>
      <w:r>
        <w:rPr>
          <w:rStyle w:val="21"/>
          <w:rFonts w:hint="eastAsia" w:ascii="仿宋_GB2312" w:hAnsi="仿宋_GB2312" w:eastAsia="仿宋_GB2312" w:cs="仿宋_GB2312"/>
          <w:b w:val="0"/>
          <w:bCs/>
          <w:color w:val="000000" w:themeColor="text1"/>
          <w:sz w:val="32"/>
          <w:szCs w:val="32"/>
          <w:lang w:val="en-US"/>
          <w14:textFill>
            <w14:solidFill>
              <w14:schemeClr w14:val="tx1"/>
            </w14:solidFill>
          </w14:textFill>
        </w:rPr>
        <w:t xml:space="preserve"> </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卫生健康（类）医疗保障管理事务（款）事业运行（项）：支出决算数为</w:t>
      </w: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24.5</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Style w:val="21"/>
          <w:rFonts w:hint="eastAsia" w:ascii="仿宋_GB2312" w:hAnsi="仿宋_GB2312" w:eastAsia="仿宋_GB2312" w:cs="仿宋_GB2312"/>
          <w:b w:val="0"/>
          <w:bCs/>
          <w:color w:val="000000" w:themeColor="text1"/>
          <w:sz w:val="32"/>
          <w:szCs w:val="32"/>
          <w14:textFill>
            <w14:solidFill>
              <w14:schemeClr w14:val="tx1"/>
            </w14:solidFill>
          </w14:textFill>
        </w:rPr>
      </w:pP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11</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w:t>
      </w:r>
      <w:r>
        <w:rPr>
          <w:rStyle w:val="21"/>
          <w:rFonts w:hint="eastAsia" w:ascii="仿宋_GB2312" w:hAnsi="仿宋_GB2312" w:eastAsia="仿宋_GB2312" w:cs="仿宋_GB2312"/>
          <w:b w:val="0"/>
          <w:bCs/>
          <w:color w:val="000000" w:themeColor="text1"/>
          <w:sz w:val="32"/>
          <w:szCs w:val="32"/>
          <w:lang w:val="en-US"/>
          <w14:textFill>
            <w14:solidFill>
              <w14:schemeClr w14:val="tx1"/>
            </w14:solidFill>
          </w14:textFill>
        </w:rPr>
        <w:t xml:space="preserve"> </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卫生健康（类）医疗保障管理事务（款）其他医疗保障管理事务支出（项）：支出决算数为</w:t>
      </w:r>
      <w:r>
        <w:rPr>
          <w:rStyle w:val="21"/>
          <w:rFonts w:hint="default" w:ascii="仿宋_GB2312" w:hAnsi="仿宋_GB2312" w:eastAsia="仿宋_GB2312" w:cs="仿宋_GB2312"/>
          <w:b w:val="0"/>
          <w:bCs/>
          <w:color w:val="000000" w:themeColor="text1"/>
          <w:sz w:val="32"/>
          <w:szCs w:val="32"/>
          <w:lang w:eastAsia="zh-CN"/>
          <w14:textFill>
            <w14:solidFill>
              <w14:schemeClr w14:val="tx1"/>
            </w14:solidFill>
          </w14:textFill>
        </w:rPr>
        <w:t>493.28</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12.</w:t>
      </w:r>
      <w:r>
        <w:rPr>
          <w:rStyle w:val="21"/>
          <w:rFonts w:hint="eastAsia" w:ascii="仿宋_GB2312" w:hAnsi="仿宋_GB2312" w:eastAsia="仿宋_GB2312" w:cs="仿宋_GB2312"/>
          <w:b w:val="0"/>
          <w:bCs/>
          <w:color w:val="000000" w:themeColor="text1"/>
          <w:sz w:val="32"/>
          <w:szCs w:val="32"/>
          <w:lang w:val="en-US"/>
          <w14:textFill>
            <w14:solidFill>
              <w14:schemeClr w14:val="tx1"/>
            </w14:solidFill>
          </w14:textFill>
        </w:rPr>
        <w:t xml:space="preserve"> </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住房保障支出（类）住房改革支出（款）住房公积金（项）：支出决算为</w:t>
      </w: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61.93</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 xml:space="preserve"> 万元，完成预算100%。</w:t>
      </w:r>
    </w:p>
    <w:p>
      <w:pPr>
        <w:keepNext w:val="0"/>
        <w:keepLines w:val="0"/>
        <w:pageBreakBefore w:val="0"/>
        <w:widowControl w:val="0"/>
        <w:tabs>
          <w:tab w:val="right" w:pos="8306"/>
        </w:tabs>
        <w:kinsoku/>
        <w:wordWrap/>
        <w:overflowPunct/>
        <w:topLinePunct w:val="0"/>
        <w:autoSpaceDE/>
        <w:autoSpaceDN/>
        <w:bidi w:val="0"/>
        <w:adjustRightInd/>
        <w:snapToGrid/>
        <w:spacing w:line="576" w:lineRule="exact"/>
        <w:ind w:firstLine="640" w:firstLineChars="200"/>
        <w:jc w:val="both"/>
        <w:textAlignment w:val="auto"/>
        <w:outlineLvl w:val="1"/>
        <w:rPr>
          <w:rStyle w:val="33"/>
          <w:rFonts w:hint="eastAsia" w:ascii="黑体" w:hAnsi="黑体" w:eastAsia="黑体" w:cs="黑体"/>
          <w:b w:val="0"/>
          <w:bCs/>
          <w:color w:val="000000" w:themeColor="text1"/>
          <w:sz w:val="32"/>
          <w:szCs w:val="32"/>
          <w:highlight w:val="none"/>
          <w14:textFill>
            <w14:solidFill>
              <w14:schemeClr w14:val="tx1"/>
            </w14:solidFill>
          </w14:textFill>
        </w:rPr>
      </w:pPr>
      <w:bookmarkStart w:id="38" w:name="_Toc15377214"/>
      <w:bookmarkStart w:id="39" w:name="_Toc15396608"/>
      <w:r>
        <w:rPr>
          <w:rFonts w:hint="eastAsia" w:ascii="黑体" w:hAnsi="黑体" w:eastAsia="黑体" w:cs="黑体"/>
          <w:b w:val="0"/>
          <w:bCs/>
          <w:color w:val="000000" w:themeColor="text1"/>
          <w:sz w:val="32"/>
          <w:szCs w:val="32"/>
          <w:highlight w:val="none"/>
          <w14:textFill>
            <w14:solidFill>
              <w14:schemeClr w14:val="tx1"/>
            </w14:solidFill>
          </w14:textFill>
        </w:rPr>
        <w:t>六、一</w:t>
      </w:r>
      <w:r>
        <w:rPr>
          <w:rStyle w:val="33"/>
          <w:rFonts w:hint="eastAsia" w:ascii="黑体" w:hAnsi="黑体" w:eastAsia="黑体" w:cs="黑体"/>
          <w:b w:val="0"/>
          <w:bCs/>
          <w:color w:val="000000" w:themeColor="text1"/>
          <w:sz w:val="32"/>
          <w:szCs w:val="32"/>
          <w:highlight w:val="none"/>
          <w14:textFill>
            <w14:solidFill>
              <w14:schemeClr w14:val="tx1"/>
            </w14:solidFill>
          </w14:textFill>
        </w:rPr>
        <w:t>般公共预算财政拨款基本支出决算情况说明</w:t>
      </w:r>
      <w:bookmarkEnd w:id="38"/>
      <w:bookmarkEnd w:id="39"/>
      <w:r>
        <w:rPr>
          <w:rStyle w:val="33"/>
          <w:rFonts w:hint="eastAsia" w:ascii="黑体" w:hAnsi="黑体" w:eastAsia="黑体" w:cs="黑体"/>
          <w:b w:val="0"/>
          <w:bCs/>
          <w:color w:val="000000" w:themeColor="text1"/>
          <w:sz w:val="32"/>
          <w:szCs w:val="32"/>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20</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22</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年一般公共预算财政拨款基本支出</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768.15</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人员经费</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668.40</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万元，主要包括：基本工资、津贴补贴、奖金、绩效工资、机关事业单位基本养老保险缴费、职业年金缴费、</w:t>
      </w:r>
      <w:r>
        <w:rPr>
          <w:rFonts w:hint="eastAsia" w:ascii="仿宋_GB2312" w:hAnsi="仿宋_GB2312" w:eastAsia="仿宋_GB2312" w:cs="仿宋_GB2312"/>
          <w:b w:val="0"/>
          <w:bCs/>
          <w:color w:val="000000" w:themeColor="text1"/>
          <w:sz w:val="32"/>
          <w:szCs w:val="32"/>
          <w14:textFill>
            <w14:solidFill>
              <w14:schemeClr w14:val="tx1"/>
            </w14:solidFill>
          </w14:textFill>
        </w:rPr>
        <w:t>职工基本医疗保险缴费</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其他社会保障缴费、住房公积金</w:t>
      </w:r>
      <w:r>
        <w:rPr>
          <w:rFonts w:hint="default" w:ascii="仿宋_GB2312" w:hAnsi="仿宋_GB2312" w:eastAsia="仿宋_GB2312" w:cs="仿宋_GB2312"/>
          <w:b w:val="0"/>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其他工资福利支出、生活补助、奖励金</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公用经费</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99.75</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万元，主要包括：办公费、印刷费、手续费、水费、电费、邮电费、差旅费、维修（护）费、会议费、培训费、公务接待费、劳务费、委托业务费、工会经费、福利费、其他交通费、其他商品和服务支出。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Style w:val="33"/>
          <w:rFonts w:hint="eastAsia" w:ascii="黑体" w:hAnsi="黑体" w:eastAsia="黑体" w:cs="黑体"/>
          <w:b w:val="0"/>
          <w:bCs/>
          <w:color w:val="000000" w:themeColor="text1"/>
          <w:sz w:val="32"/>
          <w:szCs w:val="32"/>
          <w:highlight w:val="none"/>
          <w14:textFill>
            <w14:solidFill>
              <w14:schemeClr w14:val="tx1"/>
            </w14:solidFill>
          </w14:textFill>
        </w:rPr>
      </w:pPr>
      <w:bookmarkStart w:id="40" w:name="_Toc15377215"/>
      <w:bookmarkStart w:id="41" w:name="_Toc15396609"/>
      <w:r>
        <w:rPr>
          <w:rFonts w:hint="eastAsia" w:ascii="黑体" w:hAnsi="黑体" w:eastAsia="黑体" w:cs="黑体"/>
          <w:b w:val="0"/>
          <w:bCs/>
          <w:color w:val="000000" w:themeColor="text1"/>
          <w:sz w:val="32"/>
          <w:szCs w:val="32"/>
          <w:highlight w:val="none"/>
          <w14:textFill>
            <w14:solidFill>
              <w14:schemeClr w14:val="tx1"/>
            </w14:solidFill>
          </w14:textFill>
        </w:rPr>
        <w:t>七、</w:t>
      </w:r>
      <w:r>
        <w:rPr>
          <w:rStyle w:val="33"/>
          <w:rFonts w:hint="eastAsia" w:ascii="黑体" w:hAnsi="黑体" w:eastAsia="黑体" w:cs="黑体"/>
          <w:b w:val="0"/>
          <w:bCs/>
          <w:color w:val="000000" w:themeColor="text1"/>
          <w:sz w:val="32"/>
          <w:szCs w:val="32"/>
          <w:highlight w:val="none"/>
          <w14:textFill>
            <w14:solidFill>
              <w14:schemeClr w14:val="tx1"/>
            </w14:solidFill>
          </w14:textFill>
        </w:rPr>
        <w:t>财政拨款“三公”经费支出决算情况说明</w:t>
      </w:r>
      <w:bookmarkEnd w:id="40"/>
      <w:bookmarkEnd w:id="4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2"/>
        <w:rPr>
          <w:rFonts w:hint="eastAsia" w:ascii="楷体_GB2312" w:hAnsi="楷体_GB2312" w:eastAsia="楷体_GB2312" w:cs="楷体_GB2312"/>
          <w:b w:val="0"/>
          <w:bCs/>
          <w:color w:val="000000" w:themeColor="text1"/>
          <w:sz w:val="32"/>
          <w:szCs w:val="32"/>
          <w:highlight w:val="none"/>
          <w14:textFill>
            <w14:solidFill>
              <w14:schemeClr w14:val="tx1"/>
            </w14:solidFill>
          </w14:textFill>
        </w:rPr>
      </w:pPr>
      <w:bookmarkStart w:id="42" w:name="_Toc15377216"/>
      <w:r>
        <w:rPr>
          <w:rFonts w:hint="eastAsia" w:ascii="楷体_GB2312" w:hAnsi="楷体_GB2312" w:eastAsia="楷体_GB2312" w:cs="楷体_GB2312"/>
          <w:b w:val="0"/>
          <w:bCs/>
          <w:color w:val="000000" w:themeColor="text1"/>
          <w:sz w:val="32"/>
          <w:szCs w:val="32"/>
          <w:highlight w:val="none"/>
          <w14:textFill>
            <w14:solidFill>
              <w14:schemeClr w14:val="tx1"/>
            </w14:solidFill>
          </w14:textFill>
        </w:rPr>
        <w:t>（一）“三公”经费财政拨款支出决算总体情况说明</w:t>
      </w:r>
      <w:bookmarkEnd w:id="4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20</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22</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年“三公”经费财政拨款支出决算为</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0.8</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万元，完成预算</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100</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2"/>
        <w:rPr>
          <w:rFonts w:hint="eastAsia" w:ascii="楷体_GB2312" w:hAnsi="楷体_GB2312" w:eastAsia="楷体_GB2312" w:cs="楷体_GB2312"/>
          <w:b w:val="0"/>
          <w:bCs/>
          <w:color w:val="000000" w:themeColor="text1"/>
          <w:sz w:val="32"/>
          <w:szCs w:val="32"/>
          <w:highlight w:val="none"/>
          <w14:textFill>
            <w14:solidFill>
              <w14:schemeClr w14:val="tx1"/>
            </w14:solidFill>
          </w14:textFill>
        </w:rPr>
      </w:pPr>
      <w:bookmarkStart w:id="43" w:name="_Toc15377217"/>
      <w:r>
        <w:rPr>
          <w:rFonts w:hint="eastAsia" w:ascii="楷体_GB2312" w:hAnsi="楷体_GB2312" w:eastAsia="楷体_GB2312" w:cs="楷体_GB2312"/>
          <w:b w:val="0"/>
          <w:bCs/>
          <w:color w:val="000000" w:themeColor="text1"/>
          <w:sz w:val="32"/>
          <w:szCs w:val="32"/>
          <w:highlight w:val="none"/>
          <w14:textFill>
            <w14:solidFill>
              <w14:schemeClr w14:val="tx1"/>
            </w14:solidFill>
          </w14:textFill>
        </w:rPr>
        <w:t>（二）“三公”经费财政拨款支出决算具体情况说明</w:t>
      </w:r>
      <w:bookmarkEnd w:id="4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20</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22</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年“三公”经费财政拨款支出决算中，因公出国（境）费支出决算</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万元，占</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%；公务用车购置及运行维护费支出决算</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万元，占</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%；公务接待费支出决算</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0.8</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万元，占</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100</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%。具体情况如下：</w:t>
      </w:r>
    </w:p>
    <w:p>
      <w:pPr>
        <w:pStyle w:val="18"/>
        <w:rPr>
          <w:rFonts w:hint="eastAsia" w:ascii="仿宋" w:hAnsi="仿宋" w:eastAsia="仿宋"/>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drawing>
          <wp:anchor distT="0" distB="0" distL="114300" distR="114300" simplePos="0" relativeHeight="251665408" behindDoc="1" locked="0" layoutInCell="1" allowOverlap="1">
            <wp:simplePos x="0" y="0"/>
            <wp:positionH relativeFrom="column">
              <wp:posOffset>1005840</wp:posOffset>
            </wp:positionH>
            <wp:positionV relativeFrom="paragraph">
              <wp:posOffset>234315</wp:posOffset>
            </wp:positionV>
            <wp:extent cx="3757295" cy="2033270"/>
            <wp:effectExtent l="4445" t="4445" r="10160" b="19685"/>
            <wp:wrapTight wrapText="bothSides">
              <wp:wrapPolygon>
                <wp:start x="-26" y="-47"/>
                <wp:lineTo x="-26" y="21404"/>
                <wp:lineTo x="21549" y="21404"/>
                <wp:lineTo x="21549" y="-47"/>
                <wp:lineTo x="-26" y="-47"/>
              </wp:wrapPolygon>
            </wp:wrapTight>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0"/>
        <w:rPr>
          <w:rFonts w:hint="eastAsia" w:ascii="仿宋" w:hAnsi="仿宋" w:eastAsia="仿宋"/>
          <w:color w:val="000000" w:themeColor="text1"/>
          <w:sz w:val="32"/>
          <w:szCs w:val="32"/>
          <w:highlight w:val="none"/>
          <w14:textFill>
            <w14:solidFill>
              <w14:schemeClr w14:val="tx1"/>
            </w14:solidFill>
          </w14:textFill>
        </w:rPr>
      </w:pPr>
    </w:p>
    <w:p>
      <w:pPr>
        <w:spacing w:line="600" w:lineRule="exact"/>
        <w:ind w:firstLine="640"/>
        <w:rPr>
          <w:rFonts w:hint="eastAsia" w:ascii="仿宋" w:hAnsi="仿宋" w:eastAsia="仿宋"/>
          <w:color w:val="000000" w:themeColor="text1"/>
          <w:sz w:val="32"/>
          <w:szCs w:val="32"/>
          <w:highlight w:val="none"/>
          <w14:textFill>
            <w14:solidFill>
              <w14:schemeClr w14:val="tx1"/>
            </w14:solidFill>
          </w14:textFill>
        </w:rPr>
      </w:pPr>
    </w:p>
    <w:p>
      <w:pPr>
        <w:spacing w:line="600" w:lineRule="exact"/>
        <w:ind w:firstLine="640"/>
        <w:rPr>
          <w:rFonts w:hint="eastAsia" w:ascii="仿宋" w:hAnsi="仿宋" w:eastAsia="仿宋"/>
          <w:color w:val="000000" w:themeColor="text1"/>
          <w:sz w:val="32"/>
          <w:szCs w:val="32"/>
          <w:highlight w:val="none"/>
          <w14:textFill>
            <w14:solidFill>
              <w14:schemeClr w14:val="tx1"/>
            </w14:solidFill>
          </w14:textFill>
        </w:rPr>
      </w:pPr>
    </w:p>
    <w:p>
      <w:pPr>
        <w:spacing w:line="600" w:lineRule="exact"/>
        <w:ind w:firstLine="640"/>
        <w:rPr>
          <w:rFonts w:hint="eastAsia" w:ascii="仿宋" w:hAnsi="仿宋" w:eastAsia="仿宋"/>
          <w:color w:val="000000" w:themeColor="text1"/>
          <w:sz w:val="32"/>
          <w:szCs w:val="32"/>
          <w:highlight w:val="none"/>
          <w14:textFill>
            <w14:solidFill>
              <w14:schemeClr w14:val="tx1"/>
            </w14:solidFill>
          </w14:textFill>
        </w:rPr>
      </w:pPr>
    </w:p>
    <w:p>
      <w:pPr>
        <w:spacing w:line="600" w:lineRule="exact"/>
        <w:ind w:firstLine="640"/>
        <w:rPr>
          <w:rFonts w:hint="eastAsia" w:ascii="仿宋" w:hAnsi="仿宋" w:eastAsia="仿宋"/>
          <w:color w:val="000000" w:themeColor="text1"/>
          <w:sz w:val="32"/>
          <w:szCs w:val="32"/>
          <w:highlight w:val="none"/>
          <w14:textFill>
            <w14:solidFill>
              <w14:schemeClr w14:val="tx1"/>
            </w14:solidFill>
          </w14:textFill>
        </w:rPr>
      </w:pPr>
    </w:p>
    <w:p>
      <w:pPr>
        <w:spacing w:line="600" w:lineRule="exact"/>
        <w:ind w:firstLine="1929" w:firstLineChars="603"/>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图7：“三公”经费财政拨款支出结构</w:t>
      </w:r>
    </w:p>
    <w:p>
      <w:pPr>
        <w:keepNext w:val="0"/>
        <w:keepLines w:val="0"/>
        <w:pageBreakBefore w:val="0"/>
        <w:kinsoku/>
        <w:wordWrap/>
        <w:overflowPunct/>
        <w:topLinePunct w:val="0"/>
        <w:bidi w:val="0"/>
        <w:spacing w:line="576" w:lineRule="exact"/>
        <w:ind w:firstLine="640" w:firstLineChars="200"/>
        <w:jc w:val="both"/>
        <w:textAlignment w:val="auto"/>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1.</w:t>
      </w:r>
      <w:r>
        <w:rPr>
          <w:rFonts w:hint="default" w:ascii="仿宋_GB2312" w:hAnsi="仿宋_GB2312" w:eastAsia="仿宋_GB2312" w:cs="仿宋_GB2312"/>
          <w:b w:val="0"/>
          <w:bCs/>
          <w:color w:val="000000" w:themeColor="text1"/>
          <w:sz w:val="32"/>
          <w:szCs w:val="32"/>
          <w:highlight w:val="none"/>
          <w:lang w:val="en-US"/>
          <w14:textFill>
            <w14:solidFill>
              <w14:schemeClr w14:val="tx1"/>
            </w14:solidFill>
          </w14:textFill>
        </w:rPr>
        <w:t xml:space="preserve"> </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因公出国（境）经费支出</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年初未安排预算，支出决算较2021年无变化。</w:t>
      </w:r>
    </w:p>
    <w:p>
      <w:pPr>
        <w:keepNext w:val="0"/>
        <w:keepLines w:val="0"/>
        <w:pageBreakBefore w:val="0"/>
        <w:kinsoku/>
        <w:wordWrap/>
        <w:overflowPunct/>
        <w:topLinePunct w:val="0"/>
        <w:bidi w:val="0"/>
        <w:spacing w:line="576" w:lineRule="exact"/>
        <w:ind w:firstLine="640" w:firstLineChars="200"/>
        <w:jc w:val="both"/>
        <w:textAlignment w:val="auto"/>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2.</w:t>
      </w:r>
      <w:r>
        <w:rPr>
          <w:rFonts w:hint="eastAsia" w:ascii="仿宋_GB2312" w:hAnsi="仿宋_GB2312" w:eastAsia="仿宋_GB2312" w:cs="仿宋_GB2312"/>
          <w:b w:val="0"/>
          <w:bCs/>
          <w:color w:val="000000" w:themeColor="text1"/>
          <w:sz w:val="32"/>
          <w:szCs w:val="32"/>
          <w:highlight w:val="none"/>
          <w:lang w:val="en-US"/>
          <w14:textFill>
            <w14:solidFill>
              <w14:schemeClr w14:val="tx1"/>
            </w14:solidFill>
          </w14:textFill>
        </w:rPr>
        <w:t xml:space="preserve"> </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我局202</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年无公务用车购置及公务用车维护费、年初无预算安排，较202</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年无变化，无公务用车保有量。</w:t>
      </w:r>
    </w:p>
    <w:p>
      <w:pPr>
        <w:keepNext w:val="0"/>
        <w:keepLines w:val="0"/>
        <w:pageBreakBefore w:val="0"/>
        <w:kinsoku/>
        <w:wordWrap/>
        <w:overflowPunct/>
        <w:topLinePunct w:val="0"/>
        <w:bidi w:val="0"/>
        <w:spacing w:line="576" w:lineRule="exact"/>
        <w:ind w:firstLine="640" w:firstLineChars="200"/>
        <w:jc w:val="both"/>
        <w:textAlignment w:val="auto"/>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3.</w:t>
      </w:r>
      <w:r>
        <w:rPr>
          <w:rFonts w:hint="default" w:ascii="仿宋_GB2312" w:hAnsi="仿宋_GB2312" w:eastAsia="仿宋_GB2312" w:cs="仿宋_GB2312"/>
          <w:b w:val="0"/>
          <w:bCs/>
          <w:color w:val="000000" w:themeColor="text1"/>
          <w:sz w:val="32"/>
          <w:szCs w:val="32"/>
          <w:highlight w:val="none"/>
          <w:lang w:val="en-US"/>
          <w14:textFill>
            <w14:solidFill>
              <w14:schemeClr w14:val="tx1"/>
            </w14:solidFill>
          </w14:textFill>
        </w:rPr>
        <w:t xml:space="preserve"> </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公务接待费支出</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0.8</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w:t>
      </w:r>
      <w:r>
        <w:rPr>
          <w:rStyle w:val="21"/>
          <w:rFonts w:hint="eastAsia" w:ascii="仿宋_GB2312" w:hAnsi="仿宋_GB2312" w:eastAsia="仿宋_GB2312" w:cs="仿宋_GB2312"/>
          <w:b w:val="0"/>
          <w:bCs/>
          <w:color w:val="000000" w:themeColor="text1"/>
          <w:sz w:val="32"/>
          <w:szCs w:val="32"/>
          <w:highlight w:val="none"/>
          <w14:textFill>
            <w14:solidFill>
              <w14:schemeClr w14:val="tx1"/>
            </w14:solidFill>
          </w14:textFill>
        </w:rPr>
        <w:t>完成预算</w:t>
      </w:r>
      <w:r>
        <w:rPr>
          <w:rStyle w:val="21"/>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100</w:t>
      </w:r>
      <w:r>
        <w:rPr>
          <w:rStyle w:val="21"/>
          <w:rFonts w:hint="eastAsia" w:ascii="仿宋_GB2312" w:hAnsi="仿宋_GB2312" w:eastAsia="仿宋_GB2312" w:cs="仿宋_GB2312"/>
          <w:b w:val="0"/>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公务接待费支出决算比20</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21</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年减少</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0.2</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万元，下降</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20</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%。主要原因是主要原因是响应广元市市级部门过紧日子号召，压减公务接待支出</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bidi w:val="0"/>
        <w:spacing w:line="576" w:lineRule="exact"/>
        <w:ind w:firstLine="640" w:firstLineChars="200"/>
        <w:jc w:val="both"/>
        <w:textAlignment w:val="auto"/>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国内公务接待支出</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0.8</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万元，主要用于执行公务、开展业务活动开支的用餐费。国内公务接待</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批次，</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65</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人次（不包括陪同人员），共计支出</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0.8</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万元，主要用于省局领导到广元调研和其他地市州到广元考察学习。</w:t>
      </w:r>
    </w:p>
    <w:p>
      <w:pPr>
        <w:keepNext w:val="0"/>
        <w:keepLines w:val="0"/>
        <w:pageBreakBefore w:val="0"/>
        <w:kinsoku/>
        <w:wordWrap/>
        <w:overflowPunct/>
        <w:topLinePunct w:val="0"/>
        <w:bidi w:val="0"/>
        <w:spacing w:line="576" w:lineRule="exact"/>
        <w:ind w:firstLine="640" w:firstLineChars="200"/>
        <w:jc w:val="both"/>
        <w:textAlignment w:val="auto"/>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外事接待支出</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万元，较202</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年无变化。</w:t>
      </w:r>
      <w:bookmarkStart w:id="44" w:name="_Toc15396610"/>
      <w:bookmarkStart w:id="45" w:name="_Toc15377218"/>
    </w:p>
    <w:p>
      <w:pPr>
        <w:keepNext w:val="0"/>
        <w:keepLines w:val="0"/>
        <w:pageBreakBefore w:val="0"/>
        <w:kinsoku/>
        <w:wordWrap/>
        <w:overflowPunct/>
        <w:topLinePunct w:val="0"/>
        <w:bidi w:val="0"/>
        <w:spacing w:line="576" w:lineRule="exact"/>
        <w:ind w:firstLine="640" w:firstLineChars="200"/>
        <w:jc w:val="both"/>
        <w:textAlignment w:val="auto"/>
        <w:outlineLvl w:val="1"/>
        <w:rPr>
          <w:rStyle w:val="33"/>
          <w:rFonts w:hint="eastAsia" w:ascii="黑体" w:hAnsi="黑体" w:eastAsia="黑体" w:cs="黑体"/>
          <w:b w:val="0"/>
          <w:bCs/>
          <w:color w:val="000000" w:themeColor="text1"/>
          <w:sz w:val="32"/>
          <w:szCs w:val="32"/>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t>八、</w:t>
      </w:r>
      <w:r>
        <w:rPr>
          <w:rStyle w:val="33"/>
          <w:rFonts w:hint="eastAsia" w:ascii="黑体" w:hAnsi="黑体" w:eastAsia="黑体" w:cs="黑体"/>
          <w:b w:val="0"/>
          <w:bCs/>
          <w:color w:val="000000" w:themeColor="text1"/>
          <w:sz w:val="32"/>
          <w:szCs w:val="32"/>
          <w:highlight w:val="none"/>
          <w14:textFill>
            <w14:solidFill>
              <w14:schemeClr w14:val="tx1"/>
            </w14:solidFill>
          </w14:textFill>
        </w:rPr>
        <w:t>政府性基金预算支出决算情况说明</w:t>
      </w:r>
      <w:bookmarkEnd w:id="44"/>
      <w:bookmarkEnd w:id="45"/>
    </w:p>
    <w:p>
      <w:pPr>
        <w:pStyle w:val="6"/>
        <w:keepNext w:val="0"/>
        <w:keepLines w:val="0"/>
        <w:pageBreakBefore w:val="0"/>
        <w:kinsoku/>
        <w:wordWrap/>
        <w:overflowPunct/>
        <w:topLinePunct w:val="0"/>
        <w:bidi w:val="0"/>
        <w:spacing w:beforeLines="0" w:line="576" w:lineRule="exact"/>
        <w:ind w:firstLine="640" w:firstLineChars="200"/>
        <w:jc w:val="both"/>
        <w:textAlignment w:val="auto"/>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广元市医疗保障局202</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无</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政府性基金预算拨款支出。</w:t>
      </w:r>
    </w:p>
    <w:p>
      <w:pPr>
        <w:keepNext w:val="0"/>
        <w:keepLines w:val="0"/>
        <w:pageBreakBefore w:val="0"/>
        <w:numPr>
          <w:ilvl w:val="0"/>
          <w:numId w:val="3"/>
        </w:numPr>
        <w:kinsoku/>
        <w:wordWrap/>
        <w:overflowPunct/>
        <w:topLinePunct w:val="0"/>
        <w:bidi w:val="0"/>
        <w:spacing w:line="576" w:lineRule="exact"/>
        <w:ind w:firstLine="640" w:firstLineChars="200"/>
        <w:jc w:val="both"/>
        <w:textAlignment w:val="auto"/>
        <w:outlineLvl w:val="1"/>
        <w:rPr>
          <w:rStyle w:val="33"/>
          <w:rFonts w:hint="eastAsia" w:ascii="黑体" w:hAnsi="黑体" w:eastAsia="黑体" w:cs="黑体"/>
          <w:b w:val="0"/>
          <w:bCs/>
          <w:color w:val="000000" w:themeColor="text1"/>
          <w:sz w:val="32"/>
          <w:szCs w:val="32"/>
          <w:highlight w:val="none"/>
          <w14:textFill>
            <w14:solidFill>
              <w14:schemeClr w14:val="tx1"/>
            </w14:solidFill>
          </w14:textFill>
        </w:rPr>
      </w:pPr>
      <w:bookmarkStart w:id="46" w:name="_Toc15377219"/>
      <w:bookmarkStart w:id="47" w:name="_Toc15396611"/>
      <w:r>
        <w:rPr>
          <w:rStyle w:val="33"/>
          <w:rFonts w:hint="eastAsia" w:ascii="黑体" w:hAnsi="黑体" w:eastAsia="黑体" w:cs="黑体"/>
          <w:b w:val="0"/>
          <w:bCs/>
          <w:color w:val="000000" w:themeColor="text1"/>
          <w:sz w:val="32"/>
          <w:szCs w:val="32"/>
          <w:highlight w:val="none"/>
          <w14:textFill>
            <w14:solidFill>
              <w14:schemeClr w14:val="tx1"/>
            </w14:solidFill>
          </w14:textFill>
        </w:rPr>
        <w:t>国有资本经营预算支出决算情况说明</w:t>
      </w:r>
      <w:bookmarkEnd w:id="46"/>
      <w:bookmarkEnd w:id="47"/>
    </w:p>
    <w:p>
      <w:pPr>
        <w:pStyle w:val="6"/>
        <w:keepNext w:val="0"/>
        <w:keepLines w:val="0"/>
        <w:pageBreakBefore w:val="0"/>
        <w:kinsoku/>
        <w:wordWrap/>
        <w:overflowPunct/>
        <w:topLinePunct w:val="0"/>
        <w:bidi w:val="0"/>
        <w:spacing w:beforeLines="0" w:line="576" w:lineRule="exact"/>
        <w:ind w:firstLine="640" w:firstLineChars="200"/>
        <w:jc w:val="both"/>
        <w:textAlignment w:val="auto"/>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广元市医疗保障局202</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年无国有资本经营预算拨款支出。</w:t>
      </w:r>
    </w:p>
    <w:p>
      <w:pPr>
        <w:keepNext w:val="0"/>
        <w:keepLines w:val="0"/>
        <w:pageBreakBefore w:val="0"/>
        <w:numPr>
          <w:ilvl w:val="0"/>
          <w:numId w:val="3"/>
        </w:numPr>
        <w:kinsoku/>
        <w:wordWrap/>
        <w:overflowPunct/>
        <w:topLinePunct w:val="0"/>
        <w:bidi w:val="0"/>
        <w:spacing w:line="576" w:lineRule="exact"/>
        <w:ind w:firstLine="640" w:firstLineChars="200"/>
        <w:jc w:val="both"/>
        <w:textAlignment w:val="auto"/>
        <w:outlineLvl w:val="1"/>
        <w:rPr>
          <w:rStyle w:val="33"/>
          <w:rFonts w:hint="eastAsia" w:ascii="黑体" w:hAnsi="黑体" w:eastAsia="黑体" w:cs="黑体"/>
          <w:b w:val="0"/>
          <w:bCs/>
          <w:color w:val="000000" w:themeColor="text1"/>
          <w:sz w:val="32"/>
          <w:szCs w:val="32"/>
          <w:highlight w:val="none"/>
          <w14:textFill>
            <w14:solidFill>
              <w14:schemeClr w14:val="tx1"/>
            </w14:solidFill>
          </w14:textFill>
        </w:rPr>
      </w:pPr>
      <w:bookmarkStart w:id="48" w:name="_Toc15396612"/>
      <w:bookmarkStart w:id="49" w:name="_Toc15377221"/>
      <w:r>
        <w:rPr>
          <w:rStyle w:val="33"/>
          <w:rFonts w:hint="eastAsia" w:ascii="黑体" w:hAnsi="黑体" w:eastAsia="黑体" w:cs="黑体"/>
          <w:b w:val="0"/>
          <w:bCs/>
          <w:color w:val="000000" w:themeColor="text1"/>
          <w:sz w:val="32"/>
          <w:szCs w:val="32"/>
          <w:highlight w:val="none"/>
          <w14:textFill>
            <w14:solidFill>
              <w14:schemeClr w14:val="tx1"/>
            </w14:solidFill>
          </w14:textFill>
        </w:rPr>
        <w:t>其他重要事项的情况说明</w:t>
      </w:r>
      <w:bookmarkEnd w:id="48"/>
      <w:bookmarkEnd w:id="49"/>
    </w:p>
    <w:p>
      <w:pPr>
        <w:keepNext w:val="0"/>
        <w:keepLines w:val="0"/>
        <w:pageBreakBefore w:val="0"/>
        <w:kinsoku/>
        <w:wordWrap/>
        <w:overflowPunct/>
        <w:topLinePunct w:val="0"/>
        <w:bidi w:val="0"/>
        <w:spacing w:line="576" w:lineRule="exact"/>
        <w:ind w:firstLine="640" w:firstLineChars="200"/>
        <w:jc w:val="both"/>
        <w:textAlignment w:val="auto"/>
        <w:outlineLvl w:val="2"/>
        <w:rPr>
          <w:rFonts w:hint="eastAsia" w:ascii="楷体_GB2312" w:hAnsi="楷体_GB2312" w:eastAsia="楷体_GB2312" w:cs="楷体_GB2312"/>
          <w:b w:val="0"/>
          <w:bCs/>
          <w:color w:val="000000" w:themeColor="text1"/>
          <w:sz w:val="32"/>
          <w:szCs w:val="32"/>
          <w:highlight w:val="none"/>
          <w14:textFill>
            <w14:solidFill>
              <w14:schemeClr w14:val="tx1"/>
            </w14:solidFill>
          </w14:textFill>
        </w:rPr>
      </w:pPr>
      <w:bookmarkStart w:id="50" w:name="_Toc15377222"/>
      <w:r>
        <w:rPr>
          <w:rFonts w:hint="eastAsia" w:ascii="楷体_GB2312" w:hAnsi="楷体_GB2312" w:eastAsia="楷体_GB2312" w:cs="楷体_GB2312"/>
          <w:b w:val="0"/>
          <w:bCs/>
          <w:color w:val="000000" w:themeColor="text1"/>
          <w:sz w:val="32"/>
          <w:szCs w:val="32"/>
          <w:highlight w:val="none"/>
          <w14:textFill>
            <w14:solidFill>
              <w14:schemeClr w14:val="tx1"/>
            </w14:solidFill>
          </w14:textFill>
        </w:rPr>
        <w:t>（一）机关运行经费支出情况</w:t>
      </w:r>
      <w:bookmarkEnd w:id="50"/>
    </w:p>
    <w:p>
      <w:pPr>
        <w:keepNext w:val="0"/>
        <w:keepLines w:val="0"/>
        <w:pageBreakBefore w:val="0"/>
        <w:kinsoku/>
        <w:wordWrap/>
        <w:overflowPunct/>
        <w:topLinePunct w:val="0"/>
        <w:bidi w:val="0"/>
        <w:spacing w:line="576" w:lineRule="exact"/>
        <w:ind w:firstLine="640" w:firstLineChars="200"/>
        <w:jc w:val="both"/>
        <w:textAlignment w:val="auto"/>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20</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22</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广元市</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机关运行经费支出</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99.75</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万元，比20</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21</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年增加</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5.09</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万元，增长</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5.38</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主要原因是是在编人员增加</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val="0"/>
        <w:autoSpaceDN w:val="0"/>
        <w:bidi w:val="0"/>
        <w:adjustRightInd w:val="0"/>
        <w:spacing w:line="576" w:lineRule="exact"/>
        <w:ind w:firstLine="640" w:firstLineChars="200"/>
        <w:jc w:val="both"/>
        <w:textAlignment w:val="auto"/>
        <w:outlineLvl w:val="2"/>
        <w:rPr>
          <w:rFonts w:hint="eastAsia" w:ascii="楷体_GB2312" w:hAnsi="楷体_GB2312" w:eastAsia="楷体_GB2312" w:cs="楷体_GB2312"/>
          <w:b w:val="0"/>
          <w:bCs/>
          <w:color w:val="000000" w:themeColor="text1"/>
          <w:sz w:val="32"/>
          <w:szCs w:val="32"/>
          <w:highlight w:val="none"/>
          <w14:textFill>
            <w14:solidFill>
              <w14:schemeClr w14:val="tx1"/>
            </w14:solidFill>
          </w14:textFill>
        </w:rPr>
      </w:pPr>
      <w:bookmarkStart w:id="51" w:name="_Toc15377223"/>
      <w:r>
        <w:rPr>
          <w:rFonts w:hint="eastAsia" w:ascii="楷体_GB2312" w:hAnsi="楷体_GB2312" w:eastAsia="楷体_GB2312" w:cs="楷体_GB2312"/>
          <w:b w:val="0"/>
          <w:bCs/>
          <w:color w:val="000000" w:themeColor="text1"/>
          <w:sz w:val="32"/>
          <w:szCs w:val="32"/>
          <w:highlight w:val="none"/>
          <w14:textFill>
            <w14:solidFill>
              <w14:schemeClr w14:val="tx1"/>
            </w14:solidFill>
          </w14:textFill>
        </w:rPr>
        <w:t>（二）政府采购支出情况</w:t>
      </w:r>
      <w:bookmarkEnd w:id="51"/>
    </w:p>
    <w:p>
      <w:pPr>
        <w:keepNext w:val="0"/>
        <w:keepLines w:val="0"/>
        <w:pageBreakBefore w:val="0"/>
        <w:kinsoku/>
        <w:wordWrap/>
        <w:overflowPunct/>
        <w:topLinePunct w:val="0"/>
        <w:bidi w:val="0"/>
        <w:spacing w:line="576" w:lineRule="exact"/>
        <w:ind w:firstLine="640" w:firstLineChars="200"/>
        <w:jc w:val="both"/>
        <w:textAlignment w:val="auto"/>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20</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22</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广元市医疗保障局</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政府采购支出总额</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215.15</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万元，其中：政府采购货物支出</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30.07</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万元、政府采购工程支出</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万元、政府采购服务支出</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185.08</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万元。主要用于</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空调、LED屏及第三方基金监管购买服务、医保数据资源共享建设服务支出</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。授予中小企业合同金额</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 xml:space="preserve"> 22.67 </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万元，占政府采购支出总额的</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10.53</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%，其中：授予小微企业合同金额</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13</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万元，占政府采购支出总额的</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6.04</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val="0"/>
        <w:autoSpaceDN w:val="0"/>
        <w:bidi w:val="0"/>
        <w:adjustRightInd w:val="0"/>
        <w:spacing w:line="576" w:lineRule="exact"/>
        <w:ind w:firstLine="640" w:firstLineChars="200"/>
        <w:jc w:val="both"/>
        <w:textAlignment w:val="auto"/>
        <w:outlineLvl w:val="2"/>
        <w:rPr>
          <w:rFonts w:hint="eastAsia" w:ascii="楷体_GB2312" w:hAnsi="楷体_GB2312" w:eastAsia="楷体_GB2312" w:cs="楷体_GB2312"/>
          <w:b w:val="0"/>
          <w:bCs/>
          <w:color w:val="000000" w:themeColor="text1"/>
          <w:sz w:val="32"/>
          <w:szCs w:val="32"/>
          <w:highlight w:val="none"/>
          <w14:textFill>
            <w14:solidFill>
              <w14:schemeClr w14:val="tx1"/>
            </w14:solidFill>
          </w14:textFill>
        </w:rPr>
      </w:pPr>
      <w:bookmarkStart w:id="52" w:name="_Toc15377224"/>
      <w:r>
        <w:rPr>
          <w:rFonts w:hint="eastAsia" w:ascii="楷体_GB2312" w:hAnsi="楷体_GB2312" w:eastAsia="楷体_GB2312" w:cs="楷体_GB2312"/>
          <w:b w:val="0"/>
          <w:bCs/>
          <w:color w:val="000000" w:themeColor="text1"/>
          <w:sz w:val="32"/>
          <w:szCs w:val="32"/>
          <w:highlight w:val="none"/>
          <w14:textFill>
            <w14:solidFill>
              <w14:schemeClr w14:val="tx1"/>
            </w14:solidFill>
          </w14:textFill>
        </w:rPr>
        <w:t>（三）国有资产占有使用情况</w:t>
      </w:r>
      <w:bookmarkEnd w:id="52"/>
    </w:p>
    <w:p>
      <w:pPr>
        <w:keepNext w:val="0"/>
        <w:keepLines w:val="0"/>
        <w:pageBreakBefore w:val="0"/>
        <w:kinsoku/>
        <w:wordWrap/>
        <w:overflowPunct/>
        <w:topLinePunct w:val="0"/>
        <w:autoSpaceDE w:val="0"/>
        <w:autoSpaceDN w:val="0"/>
        <w:bidi w:val="0"/>
        <w:adjustRightInd w:val="0"/>
        <w:spacing w:line="576" w:lineRule="exact"/>
        <w:ind w:firstLine="640" w:firstLineChars="200"/>
        <w:jc w:val="both"/>
        <w:textAlignment w:val="auto"/>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截至202</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年12月31日，广元市医疗保障局共有车辆0辆。单价100万元以上专用设备0台（套）。</w:t>
      </w:r>
    </w:p>
    <w:p>
      <w:pPr>
        <w:keepNext w:val="0"/>
        <w:keepLines w:val="0"/>
        <w:pageBreakBefore w:val="0"/>
        <w:kinsoku/>
        <w:wordWrap/>
        <w:overflowPunct/>
        <w:topLinePunct w:val="0"/>
        <w:autoSpaceDE w:val="0"/>
        <w:autoSpaceDN w:val="0"/>
        <w:bidi w:val="0"/>
        <w:adjustRightInd w:val="0"/>
        <w:spacing w:line="576" w:lineRule="exact"/>
        <w:ind w:firstLine="640" w:firstLineChars="200"/>
        <w:jc w:val="both"/>
        <w:textAlignment w:val="auto"/>
        <w:outlineLvl w:val="2"/>
        <w:rPr>
          <w:rFonts w:hint="eastAsia" w:ascii="楷体_GB2312" w:hAnsi="楷体_GB2312" w:eastAsia="楷体_GB2312" w:cs="楷体_GB2312"/>
          <w:b w:val="0"/>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color w:val="000000" w:themeColor="text1"/>
          <w:sz w:val="32"/>
          <w:szCs w:val="32"/>
          <w:highlight w:val="none"/>
          <w14:textFill>
            <w14:solidFill>
              <w14:schemeClr w14:val="tx1"/>
            </w14:solidFill>
          </w14:textFill>
        </w:rPr>
        <w:t>（四）预算绩效管理情况</w:t>
      </w:r>
    </w:p>
    <w:p>
      <w:pPr>
        <w:keepNext w:val="0"/>
        <w:keepLines w:val="0"/>
        <w:pageBreakBefore w:val="0"/>
        <w:widowControl/>
        <w:kinsoku/>
        <w:wordWrap/>
        <w:overflowPunct/>
        <w:topLinePunct w:val="0"/>
        <w:bidi w:val="0"/>
        <w:spacing w:line="576" w:lineRule="exact"/>
        <w:ind w:firstLine="640" w:firstLineChars="200"/>
        <w:jc w:val="both"/>
        <w:textAlignment w:val="auto"/>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根据预算绩效管理要求，本部门在202</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年度对</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23</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个项目编制了绩效目标，预算执行过程中，选取</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21</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个项目开展绩效监控。</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组织对2022年度一般公共预算</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社会保险基金预算以及资本资产</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等全面开展绩效自评</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报</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，形成</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广元市医疗保障局</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部门整体（含部门预算项目）</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绩效评价报告</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广元市医疗服务与保障能力提升补助资金、广元市</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城乡居民</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基本</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医疗保险</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补助资金、广元市城乡医疗救助补助资金专项预算项目</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绩效自评</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报告、</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其中，</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广元市医疗保障局</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部门整体</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支出</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（含部门预算项目）绩效自评得分为</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95.64</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分</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，绩效自评综述：我部门全面实施预算项目绩效管理，规范项目预算编制，明确预算执行主体，严格落实项目支出绩效管理责任，优化资源配置，确保绩效目标落实，提高了财政资金使用效益。</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部门基本达到预期绩效目标，部门整体支出自评程度准确度较高</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医疗服务与保障能力提升补助资金</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绩效</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自评</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得分为</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9</w:t>
      </w:r>
      <w:r>
        <w:rPr>
          <w:rFonts w:hint="default"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7.1</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分，绩效自评综述：</w:t>
      </w:r>
      <w:r>
        <w:rPr>
          <w:rFonts w:hint="eastAsia" w:ascii="仿宋_GB2312" w:eastAsia="仿宋_GB2312" w:cs="仿宋_GB2312"/>
          <w:color w:val="000000" w:themeColor="text1"/>
          <w:sz w:val="32"/>
          <w:szCs w:val="32"/>
          <w14:textFill>
            <w14:solidFill>
              <w14:schemeClr w14:val="tx1"/>
            </w14:solidFill>
          </w14:textFill>
        </w:rPr>
        <w:t>2022 年，</w:t>
      </w:r>
      <w:r>
        <w:rPr>
          <w:rFonts w:hint="eastAsia" w:ascii="仿宋_GB2312" w:eastAsia="仿宋_GB2312" w:cs="仿宋_GB2312"/>
          <w:color w:val="000000" w:themeColor="text1"/>
          <w:sz w:val="32"/>
          <w:szCs w:val="32"/>
          <w:lang w:val="en-US" w:eastAsia="zh-CN"/>
          <w14:textFill>
            <w14:solidFill>
              <w14:schemeClr w14:val="tx1"/>
            </w14:solidFill>
          </w14:textFill>
        </w:rPr>
        <w:t>全市</w:t>
      </w:r>
      <w:r>
        <w:rPr>
          <w:rFonts w:hint="eastAsia" w:ascii="仿宋_GB2312" w:eastAsia="仿宋_GB2312" w:cs="仿宋_GB2312"/>
          <w:color w:val="000000" w:themeColor="text1"/>
          <w:sz w:val="32"/>
          <w:szCs w:val="32"/>
          <w14:textFill>
            <w14:solidFill>
              <w14:schemeClr w14:val="tx1"/>
            </w14:solidFill>
          </w14:textFill>
        </w:rPr>
        <w:t>医保业务信息</w:t>
      </w:r>
      <w:r>
        <w:rPr>
          <w:rFonts w:hint="eastAsia" w:ascii="仿宋_GB2312" w:eastAsia="仿宋_GB2312" w:cs="仿宋_GB2312"/>
          <w:color w:val="000000" w:themeColor="text1"/>
          <w:sz w:val="32"/>
          <w:szCs w:val="32"/>
          <w:lang w:val="en-US" w:eastAsia="zh-CN"/>
          <w14:textFill>
            <w14:solidFill>
              <w14:schemeClr w14:val="tx1"/>
            </w14:solidFill>
          </w14:textFill>
        </w:rPr>
        <w:t>化</w:t>
      </w:r>
      <w:r>
        <w:rPr>
          <w:rFonts w:hint="eastAsia" w:ascii="仿宋_GB2312" w:eastAsia="仿宋_GB2312" w:cs="仿宋_GB2312"/>
          <w:color w:val="000000" w:themeColor="text1"/>
          <w:sz w:val="32"/>
          <w:szCs w:val="32"/>
          <w14:textFill>
            <w14:solidFill>
              <w14:schemeClr w14:val="tx1"/>
            </w14:solidFill>
          </w14:textFill>
        </w:rPr>
        <w:t>水平不断提升，医保骨干网安全运行，</w:t>
      </w:r>
      <w:r>
        <w:rPr>
          <w:rFonts w:hint="eastAsia" w:ascii="仿宋_GB2312" w:eastAsia="仿宋_GB2312"/>
          <w:bCs/>
          <w:color w:val="000000" w:themeColor="text1"/>
          <w:sz w:val="32"/>
          <w:szCs w:val="32"/>
          <w14:textFill>
            <w14:solidFill>
              <w14:schemeClr w14:val="tx1"/>
            </w14:solidFill>
          </w14:textFill>
        </w:rPr>
        <w:t>国家信息平台上线示范点建设、医保移动支付、数据回流共享区建设</w:t>
      </w:r>
      <w:r>
        <w:rPr>
          <w:rFonts w:hint="eastAsia" w:ascii="仿宋_GB2312" w:eastAsia="仿宋_GB2312"/>
          <w:bCs/>
          <w:color w:val="000000" w:themeColor="text1"/>
          <w:sz w:val="32"/>
          <w:szCs w:val="32"/>
          <w:lang w:eastAsia="zh-CN"/>
          <w14:textFill>
            <w14:solidFill>
              <w14:schemeClr w14:val="tx1"/>
            </w14:solidFill>
          </w14:textFill>
        </w:rPr>
        <w:t>等</w:t>
      </w:r>
      <w:r>
        <w:rPr>
          <w:rFonts w:hint="eastAsia" w:ascii="仿宋_GB2312" w:eastAsia="仿宋_GB2312"/>
          <w:bCs/>
          <w:color w:val="000000" w:themeColor="text1"/>
          <w:sz w:val="32"/>
          <w:szCs w:val="32"/>
          <w14:textFill>
            <w14:solidFill>
              <w14:schemeClr w14:val="tx1"/>
            </w14:solidFill>
          </w14:textFill>
        </w:rPr>
        <w:t>省级改革试点</w:t>
      </w:r>
      <w:r>
        <w:rPr>
          <w:rFonts w:hint="eastAsia" w:ascii="仿宋_GB2312" w:eastAsia="仿宋_GB2312"/>
          <w:bCs/>
          <w:color w:val="000000" w:themeColor="text1"/>
          <w:sz w:val="32"/>
          <w:szCs w:val="32"/>
          <w:lang w:eastAsia="zh-CN"/>
          <w14:textFill>
            <w14:solidFill>
              <w14:schemeClr w14:val="tx1"/>
            </w14:solidFill>
          </w14:textFill>
        </w:rPr>
        <w:t>工作均取得明显成效</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eastAsia="zh-CN"/>
          <w14:textFill>
            <w14:solidFill>
              <w14:schemeClr w14:val="tx1"/>
            </w14:solidFill>
          </w14:textFill>
        </w:rPr>
        <w:t>我市</w:t>
      </w:r>
      <w:r>
        <w:rPr>
          <w:rFonts w:hint="eastAsia" w:ascii="仿宋_GB2312" w:eastAsia="仿宋_GB2312"/>
          <w:bCs/>
          <w:color w:val="000000" w:themeColor="text1"/>
          <w:sz w:val="32"/>
          <w:szCs w:val="32"/>
          <w14:textFill>
            <w14:solidFill>
              <w14:schemeClr w14:val="tx1"/>
            </w14:solidFill>
          </w14:textFill>
        </w:rPr>
        <w:t>勇担药械采购平台上线省级试点，首批</w:t>
      </w:r>
      <w:r>
        <w:rPr>
          <w:rFonts w:hint="eastAsia" w:ascii="仿宋_GB2312" w:eastAsia="仿宋_GB2312"/>
          <w:bCs/>
          <w:color w:val="000000" w:themeColor="text1"/>
          <w:sz w:val="32"/>
          <w:szCs w:val="32"/>
          <w:lang w:val="en-US" w:eastAsia="zh-CN"/>
          <w14:textFill>
            <w14:solidFill>
              <w14:schemeClr w14:val="tx1"/>
            </w14:solidFill>
          </w14:textFill>
        </w:rPr>
        <w:t>纳入</w:t>
      </w:r>
      <w:r>
        <w:rPr>
          <w:rFonts w:hint="eastAsia" w:ascii="仿宋_GB2312" w:eastAsia="仿宋_GB2312"/>
          <w:bCs/>
          <w:color w:val="000000" w:themeColor="text1"/>
          <w:sz w:val="32"/>
          <w:szCs w:val="32"/>
          <w14:textFill>
            <w14:solidFill>
              <w14:schemeClr w14:val="tx1"/>
            </w14:solidFill>
          </w14:textFill>
        </w:rPr>
        <w:t>13家医疗机构</w:t>
      </w:r>
      <w:r>
        <w:rPr>
          <w:rFonts w:hint="eastAsia" w:ascii="仿宋_GB2312" w:eastAsia="仿宋_GB2312"/>
          <w:bCs/>
          <w:color w:val="000000" w:themeColor="text1"/>
          <w:sz w:val="32"/>
          <w:szCs w:val="32"/>
          <w:lang w:val="en-US"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医保支付方式改革工作持续推进，制定了《广元市DRG支付方式三年行动计划实施方案》</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打破统一费率改革坚冰</w:t>
      </w:r>
      <w:r>
        <w:rPr>
          <w:rFonts w:hint="eastAsia" w:asci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首试邀请第三方参与医保基金使用监督检查，基金使用监管实现定点医疗机构全覆盖，综合监管机制日趋完善；经办服务显著提升，“新四办”获评国家局管理增效案例，获评经办服务国家示范点2个，全省唯一双示范市</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法治医保、宣传引导、人才队伍建设等医疗保障服务能力明显提升,绩效目标全部完成。</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城乡居民</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基本</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医疗保险</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补助资金转移支付绩效自评得分为</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95分，</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绩效自评综述：</w:t>
      </w:r>
      <w:r>
        <w:rPr>
          <w:rFonts w:hint="eastAsia"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14:textFill>
            <w14:solidFill>
              <w14:schemeClr w14:val="tx1"/>
            </w14:solidFill>
          </w14:textFill>
        </w:rPr>
        <w:t>年末全市城乡居民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基本医疗保险</w:t>
      </w:r>
      <w:r>
        <w:rPr>
          <w:rFonts w:hint="eastAsia" w:ascii="仿宋_GB2312" w:hAnsi="仿宋_GB2312" w:eastAsia="仿宋_GB2312" w:cs="仿宋_GB2312"/>
          <w:color w:val="000000" w:themeColor="text1"/>
          <w:sz w:val="32"/>
          <w:szCs w:val="32"/>
          <w14:textFill>
            <w14:solidFill>
              <w14:schemeClr w14:val="tx1"/>
            </w14:solidFill>
          </w14:textFill>
        </w:rPr>
        <w:t>参保人数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223.47万</w:t>
      </w:r>
      <w:r>
        <w:rPr>
          <w:rFonts w:hint="eastAsia" w:ascii="仿宋_GB2312" w:hAnsi="仿宋_GB2312" w:eastAsia="仿宋_GB2312" w:cs="仿宋_GB2312"/>
          <w:color w:val="000000" w:themeColor="text1"/>
          <w:sz w:val="32"/>
          <w:szCs w:val="32"/>
          <w14:textFill>
            <w14:solidFill>
              <w14:schemeClr w14:val="tx1"/>
            </w14:solidFill>
          </w14:textFill>
        </w:rPr>
        <w:t>人，完成参保人数任务，稳步提高待遇保障水平，财政补助资金按时足额到位，实现了基金收支平衡，切实减轻城乡居民参保人员医疗负担，提高参保群众获得感。</w:t>
      </w:r>
      <w:r>
        <w:rPr>
          <w:rFonts w:hint="eastAsia" w:ascii="仿宋_GB2312" w:hAnsi="仿宋_GB2312" w:eastAsia="仿宋_GB2312" w:cs="仿宋_GB2312"/>
          <w:color w:val="000000" w:themeColor="text1"/>
          <w:sz w:val="32"/>
          <w:szCs w:val="32"/>
          <w:lang w:eastAsia="zh-CN"/>
          <w14:textFill>
            <w14:solidFill>
              <w14:schemeClr w14:val="tx1"/>
            </w14:solidFill>
          </w14:textFill>
        </w:rPr>
        <w:t>医疗救助补助资金专项资金绩效自评得分为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95.5分，绩效自评</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综述</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2022年，通过实施城乡医疗救助，开展重特大疾病医疗救助工作，救助对象覆盖低保、特困、纳入监测的易返贫致贫人口、低保边缘家庭成员人口和因病致贫重病患者，重点对象自付费用年度限额内住院救助比例达到85%，符合条件的农村低收入人口资助参保政策覆盖率达99.8%。</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widowControl/>
        <w:ind w:firstLine="643" w:firstLineChars="200"/>
        <w:jc w:val="left"/>
        <w:rPr>
          <w:rFonts w:ascii="仿宋_GB2312" w:eastAsia="仿宋_GB2312"/>
          <w:b/>
          <w:color w:val="000000" w:themeColor="text1"/>
          <w:sz w:val="32"/>
          <w:szCs w:val="32"/>
          <w:highlight w:val="yellow"/>
          <w14:textFill>
            <w14:solidFill>
              <w14:schemeClr w14:val="tx1"/>
            </w14:solidFill>
          </w14:textFill>
        </w:rPr>
      </w:pPr>
      <w:r>
        <w:rPr>
          <w:rFonts w:ascii="仿宋_GB2312" w:eastAsia="仿宋_GB2312"/>
          <w:b/>
          <w:color w:val="000000" w:themeColor="text1"/>
          <w:sz w:val="32"/>
          <w:szCs w:val="32"/>
          <w:highlight w:val="yellow"/>
          <w14:textFill>
            <w14:solidFill>
              <w14:schemeClr w14:val="tx1"/>
            </w14:solidFill>
          </w14:textFill>
        </w:rPr>
        <w:br w:type="page"/>
      </w:r>
    </w:p>
    <w:p>
      <w:pPr>
        <w:numPr>
          <w:ilvl w:val="0"/>
          <w:numId w:val="4"/>
        </w:numPr>
        <w:spacing w:line="600" w:lineRule="exact"/>
        <w:ind w:firstLine="660" w:firstLineChars="150"/>
        <w:jc w:val="center"/>
        <w:outlineLvl w:val="0"/>
        <w:rPr>
          <w:rStyle w:val="32"/>
          <w:rFonts w:ascii="黑体" w:hAnsi="黑体" w:eastAsia="黑体"/>
          <w:b w:val="0"/>
          <w:color w:val="000000" w:themeColor="text1"/>
          <w:highlight w:val="none"/>
          <w14:textFill>
            <w14:solidFill>
              <w14:schemeClr w14:val="tx1"/>
            </w14:solidFill>
          </w14:textFill>
        </w:rPr>
      </w:pPr>
      <w:bookmarkStart w:id="53" w:name="_Toc15377225"/>
      <w:bookmarkStart w:id="54" w:name="_Toc15396613"/>
      <w:r>
        <w:rPr>
          <w:rFonts w:hint="default" w:ascii="黑体" w:hAnsi="黑体" w:eastAsia="黑体"/>
          <w:color w:val="000000" w:themeColor="text1"/>
          <w:sz w:val="44"/>
          <w:szCs w:val="44"/>
          <w:highlight w:val="none"/>
          <w:lang w:val="en-US"/>
          <w14:textFill>
            <w14:solidFill>
              <w14:schemeClr w14:val="tx1"/>
            </w14:solidFill>
          </w14:textFill>
        </w:rPr>
        <w:t xml:space="preserve"> </w:t>
      </w:r>
      <w:r>
        <w:rPr>
          <w:rFonts w:hint="eastAsia" w:ascii="黑体" w:hAnsi="黑体" w:eastAsia="黑体"/>
          <w:color w:val="000000" w:themeColor="text1"/>
          <w:sz w:val="44"/>
          <w:szCs w:val="44"/>
          <w:highlight w:val="none"/>
          <w14:textFill>
            <w14:solidFill>
              <w14:schemeClr w14:val="tx1"/>
            </w14:solidFill>
          </w14:textFill>
        </w:rPr>
        <w:t>名</w:t>
      </w:r>
      <w:r>
        <w:rPr>
          <w:rStyle w:val="32"/>
          <w:rFonts w:hint="eastAsia" w:ascii="黑体" w:hAnsi="黑体" w:eastAsia="黑体"/>
          <w:b w:val="0"/>
          <w:color w:val="000000" w:themeColor="text1"/>
          <w:highlight w:val="none"/>
          <w14:textFill>
            <w14:solidFill>
              <w14:schemeClr w14:val="tx1"/>
            </w14:solidFill>
          </w14:textFill>
        </w:rPr>
        <w:t>词解释</w:t>
      </w:r>
      <w:bookmarkEnd w:id="53"/>
      <w:bookmarkEnd w:id="54"/>
    </w:p>
    <w:p>
      <w:pPr>
        <w:pStyle w:val="30"/>
        <w:spacing w:line="566" w:lineRule="exact"/>
        <w:ind w:firstLine="640" w:firstLineChars="200"/>
        <w:rPr>
          <w:rFonts w:ascii="仿宋_GB2312" w:eastAsia="仿宋_GB2312" w:cs="仿宋_GB2312"/>
          <w:color w:val="000000" w:themeColor="text1"/>
          <w:sz w:val="32"/>
          <w:szCs w:val="32"/>
          <w14:textFill>
            <w14:solidFill>
              <w14:schemeClr w14:val="tx1"/>
            </w14:solidFill>
          </w14:textFill>
        </w:rPr>
      </w:pPr>
    </w:p>
    <w:p>
      <w:pPr>
        <w:pStyle w:val="30"/>
        <w:keepNext w:val="0"/>
        <w:keepLines w:val="0"/>
        <w:pageBreakBefore w:val="0"/>
        <w:widowControl w:val="0"/>
        <w:kinsoku/>
        <w:wordWrap/>
        <w:overflowPunct/>
        <w:topLinePunct w:val="0"/>
        <w:bidi w:val="0"/>
        <w:adjustRightInd w:val="0"/>
        <w:snapToGrid/>
        <w:spacing w:line="550" w:lineRule="exact"/>
        <w:ind w:leftChars="0" w:firstLine="640" w:firstLineChars="200"/>
        <w:jc w:val="both"/>
        <w:textAlignment w:val="auto"/>
        <w:rPr>
          <w:rFonts w:ascii="仿宋_GB2312" w:eastAsia="仿宋_GB2312" w:cs="Times New Roman"/>
          <w:color w:val="000000" w:themeColor="text1"/>
          <w:sz w:val="32"/>
          <w:szCs w:val="32"/>
          <w14:textFill>
            <w14:solidFill>
              <w14:schemeClr w14:val="tx1"/>
            </w14:solidFill>
          </w14:textFill>
        </w:rPr>
      </w:pPr>
      <w:r>
        <w:rPr>
          <w:rFonts w:ascii="仿宋_GB2312" w:eastAsia="仿宋_GB2312" w:cs="仿宋_GB2312"/>
          <w:color w:val="000000" w:themeColor="text1"/>
          <w:sz w:val="32"/>
          <w:szCs w:val="32"/>
          <w14:textFill>
            <w14:solidFill>
              <w14:schemeClr w14:val="tx1"/>
            </w14:solidFill>
          </w14:textFill>
        </w:rPr>
        <w:t>1.</w:t>
      </w:r>
      <w:r>
        <w:rPr>
          <w:rFonts w:hint="default" w:ascii="仿宋_GB2312" w:eastAsia="仿宋_GB2312" w:cs="仿宋_GB2312"/>
          <w:color w:val="000000" w:themeColor="text1"/>
          <w:sz w:val="32"/>
          <w:szCs w:val="32"/>
          <w:lang w:val="en-US"/>
          <w14:textFill>
            <w14:solidFill>
              <w14:schemeClr w14:val="tx1"/>
            </w14:solidFill>
          </w14:textFill>
        </w:rPr>
        <w:t xml:space="preserve"> </w:t>
      </w:r>
      <w:r>
        <w:rPr>
          <w:rFonts w:hint="eastAsia" w:ascii="仿宋_GB2312" w:eastAsia="仿宋_GB2312" w:cs="仿宋_GB2312"/>
          <w:color w:val="000000" w:themeColor="text1"/>
          <w:spacing w:val="-12"/>
          <w:sz w:val="32"/>
          <w:szCs w:val="32"/>
          <w14:textFill>
            <w14:solidFill>
              <w14:schemeClr w14:val="tx1"/>
            </w14:solidFill>
          </w14:textFill>
        </w:rPr>
        <w:t>财政拨款收入：指单位从同级财政部门取得的财政预算资金。</w:t>
      </w:r>
    </w:p>
    <w:p>
      <w:pPr>
        <w:pStyle w:val="30"/>
        <w:keepNext w:val="0"/>
        <w:keepLines w:val="0"/>
        <w:pageBreakBefore w:val="0"/>
        <w:widowControl w:val="0"/>
        <w:kinsoku/>
        <w:wordWrap/>
        <w:overflowPunct/>
        <w:topLinePunct w:val="0"/>
        <w:bidi w:val="0"/>
        <w:adjustRightInd w:val="0"/>
        <w:snapToGrid/>
        <w:spacing w:line="550" w:lineRule="exact"/>
        <w:ind w:leftChars="0" w:firstLine="640" w:firstLineChars="200"/>
        <w:jc w:val="both"/>
        <w:textAlignment w:val="auto"/>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2</w:t>
      </w:r>
      <w:r>
        <w:rPr>
          <w:rFonts w:ascii="仿宋_GB2312" w:eastAsia="仿宋_GB2312" w:cs="仿宋_GB2312"/>
          <w:color w:val="000000" w:themeColor="text1"/>
          <w:sz w:val="32"/>
          <w:szCs w:val="32"/>
          <w14:textFill>
            <w14:solidFill>
              <w14:schemeClr w14:val="tx1"/>
            </w14:solidFill>
          </w14:textFill>
        </w:rPr>
        <w:t>.</w:t>
      </w:r>
      <w:r>
        <w:rPr>
          <w:rFonts w:hint="default" w:ascii="仿宋_GB2312" w:eastAsia="仿宋_GB2312" w:cs="仿宋_GB2312"/>
          <w:color w:val="000000" w:themeColor="text1"/>
          <w:sz w:val="32"/>
          <w:szCs w:val="32"/>
          <w:lang w:val="en-US"/>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年初结转和结余：指以前年度尚未完成、结转到本年按有关规定继续使用的资金。</w:t>
      </w:r>
    </w:p>
    <w:p>
      <w:pPr>
        <w:keepNext w:val="0"/>
        <w:keepLines w:val="0"/>
        <w:pageBreakBefore w:val="0"/>
        <w:widowControl w:val="0"/>
        <w:kinsoku/>
        <w:wordWrap/>
        <w:overflowPunct/>
        <w:topLinePunct w:val="0"/>
        <w:bidi w:val="0"/>
        <w:adjustRightInd w:val="0"/>
        <w:snapToGrid/>
        <w:spacing w:line="550" w:lineRule="exact"/>
        <w:ind w:leftChars="0"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3</w:t>
      </w:r>
      <w:r>
        <w:rPr>
          <w:rFonts w:ascii="仿宋_GB2312" w:eastAsia="仿宋_GB2312" w:cs="仿宋_GB2312"/>
          <w:color w:val="000000" w:themeColor="text1"/>
          <w:sz w:val="32"/>
          <w:szCs w:val="32"/>
          <w14:textFill>
            <w14:solidFill>
              <w14:schemeClr w14:val="tx1"/>
            </w14:solidFill>
          </w14:textFill>
        </w:rPr>
        <w:t>.</w:t>
      </w:r>
      <w:r>
        <w:rPr>
          <w:rFonts w:hint="default" w:ascii="仿宋_GB2312" w:eastAsia="仿宋_GB2312" w:cs="仿宋_GB2312"/>
          <w:color w:val="000000" w:themeColor="text1"/>
          <w:sz w:val="32"/>
          <w:szCs w:val="32"/>
          <w:lang w:val="en-US"/>
          <w14:textFill>
            <w14:solidFill>
              <w14:schemeClr w14:val="tx1"/>
            </w14:solidFill>
          </w14:textFill>
        </w:rPr>
        <w:t xml:space="preserve"> </w:t>
      </w:r>
      <w:r>
        <w:rPr>
          <w:rStyle w:val="21"/>
          <w:rFonts w:hint="eastAsia" w:ascii="仿宋_GB2312" w:hAnsi="仿宋_GB2312" w:eastAsia="仿宋_GB2312" w:cs="仿宋_GB2312"/>
          <w:b w:val="0"/>
          <w:bCs/>
          <w:color w:val="000000" w:themeColor="text1"/>
          <w:sz w:val="32"/>
          <w:szCs w:val="32"/>
          <w:highlight w:val="none"/>
          <w14:textFill>
            <w14:solidFill>
              <w14:schemeClr w14:val="tx1"/>
            </w14:solidFill>
          </w14:textFill>
        </w:rPr>
        <w:t>社会保障和就业（类）</w:t>
      </w:r>
      <w:r>
        <w:rPr>
          <w:rStyle w:val="21"/>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行政事业单位养老支出</w:t>
      </w:r>
      <w:r>
        <w:rPr>
          <w:rStyle w:val="21"/>
          <w:rFonts w:hint="eastAsia" w:ascii="仿宋_GB2312" w:hAnsi="仿宋_GB2312" w:eastAsia="仿宋_GB2312" w:cs="仿宋_GB2312"/>
          <w:b w:val="0"/>
          <w:bCs/>
          <w:color w:val="000000" w:themeColor="text1"/>
          <w:sz w:val="32"/>
          <w:szCs w:val="32"/>
          <w:highlight w:val="none"/>
          <w14:textFill>
            <w14:solidFill>
              <w14:schemeClr w14:val="tx1"/>
            </w14:solidFill>
          </w14:textFill>
        </w:rPr>
        <w:t>（款） 机关事业单位基本养老保险缴费支出（项）</w:t>
      </w:r>
      <w:r>
        <w:rPr>
          <w:rFonts w:hint="eastAsia" w:ascii="仿宋_GB2312" w:eastAsia="仿宋_GB2312" w:cs="仿宋_GB2312"/>
          <w:color w:val="000000" w:themeColor="text1"/>
          <w:sz w:val="32"/>
          <w:szCs w:val="32"/>
          <w14:textFill>
            <w14:solidFill>
              <w14:schemeClr w14:val="tx1"/>
            </w14:solidFill>
          </w14:textFill>
        </w:rPr>
        <w:t>：指反映部门实施养老保险制度由单位缴纳的养老保险费的支出。</w:t>
      </w:r>
    </w:p>
    <w:p>
      <w:pPr>
        <w:keepNext w:val="0"/>
        <w:keepLines w:val="0"/>
        <w:pageBreakBefore w:val="0"/>
        <w:widowControl w:val="0"/>
        <w:kinsoku/>
        <w:wordWrap/>
        <w:overflowPunct/>
        <w:topLinePunct w:val="0"/>
        <w:bidi w:val="0"/>
        <w:adjustRightInd w:val="0"/>
        <w:snapToGrid/>
        <w:spacing w:line="550" w:lineRule="exact"/>
        <w:ind w:leftChars="0"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4</w:t>
      </w:r>
      <w:r>
        <w:rPr>
          <w:rFonts w:ascii="仿宋_GB2312" w:eastAsia="仿宋_GB2312" w:cs="仿宋_GB2312"/>
          <w:color w:val="000000" w:themeColor="text1"/>
          <w:sz w:val="32"/>
          <w:szCs w:val="32"/>
          <w14:textFill>
            <w14:solidFill>
              <w14:schemeClr w14:val="tx1"/>
            </w14:solidFill>
          </w14:textFill>
        </w:rPr>
        <w:t>.</w:t>
      </w:r>
      <w:r>
        <w:rPr>
          <w:rFonts w:hint="default" w:ascii="仿宋_GB2312" w:eastAsia="仿宋_GB2312" w:cs="仿宋_GB2312"/>
          <w:color w:val="000000" w:themeColor="text1"/>
          <w:sz w:val="32"/>
          <w:szCs w:val="32"/>
          <w:lang w:val="en-US"/>
          <w14:textFill>
            <w14:solidFill>
              <w14:schemeClr w14:val="tx1"/>
            </w14:solidFill>
          </w14:textFill>
        </w:rPr>
        <w:t xml:space="preserve"> </w:t>
      </w:r>
      <w:r>
        <w:rPr>
          <w:rStyle w:val="21"/>
          <w:rFonts w:hint="eastAsia" w:ascii="仿宋_GB2312" w:hAnsi="仿宋_GB2312" w:eastAsia="仿宋_GB2312" w:cs="仿宋_GB2312"/>
          <w:b w:val="0"/>
          <w:bCs/>
          <w:color w:val="000000" w:themeColor="text1"/>
          <w:sz w:val="32"/>
          <w:szCs w:val="32"/>
          <w:highlight w:val="none"/>
          <w14:textFill>
            <w14:solidFill>
              <w14:schemeClr w14:val="tx1"/>
            </w14:solidFill>
          </w14:textFill>
        </w:rPr>
        <w:t>社会保障和就业（类）</w:t>
      </w:r>
      <w:r>
        <w:rPr>
          <w:rStyle w:val="21"/>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行政事业单位养老支出</w:t>
      </w:r>
      <w:r>
        <w:rPr>
          <w:rStyle w:val="21"/>
          <w:rFonts w:hint="eastAsia" w:ascii="仿宋_GB2312" w:hAnsi="仿宋_GB2312" w:eastAsia="仿宋_GB2312" w:cs="仿宋_GB2312"/>
          <w:b w:val="0"/>
          <w:bCs/>
          <w:color w:val="000000" w:themeColor="text1"/>
          <w:sz w:val="32"/>
          <w:szCs w:val="32"/>
          <w:highlight w:val="none"/>
          <w14:textFill>
            <w14:solidFill>
              <w14:schemeClr w14:val="tx1"/>
            </w14:solidFill>
          </w14:textFill>
        </w:rPr>
        <w:t>（款） 机关事业单位职业年金缴费支出（项）</w:t>
      </w:r>
      <w:r>
        <w:rPr>
          <w:rFonts w:hint="eastAsia" w:ascii="仿宋_GB2312" w:eastAsia="仿宋_GB2312" w:cs="仿宋_GB2312"/>
          <w:color w:val="000000" w:themeColor="text1"/>
          <w:sz w:val="32"/>
          <w:szCs w:val="32"/>
          <w14:textFill>
            <w14:solidFill>
              <w14:schemeClr w14:val="tx1"/>
            </w14:solidFill>
          </w14:textFill>
        </w:rPr>
        <w:t>：指反映部门实施职业年金制度由单位缴纳的职业年金的支出。</w:t>
      </w:r>
    </w:p>
    <w:p>
      <w:pPr>
        <w:keepNext w:val="0"/>
        <w:keepLines w:val="0"/>
        <w:pageBreakBefore w:val="0"/>
        <w:widowControl w:val="0"/>
        <w:kinsoku/>
        <w:wordWrap/>
        <w:overflowPunct/>
        <w:topLinePunct w:val="0"/>
        <w:bidi w:val="0"/>
        <w:adjustRightInd w:val="0"/>
        <w:snapToGrid/>
        <w:spacing w:line="550" w:lineRule="exact"/>
        <w:ind w:leftChars="0" w:firstLine="640" w:firstLineChars="200"/>
        <w:jc w:val="both"/>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5</w:t>
      </w:r>
      <w:r>
        <w:rPr>
          <w:rFonts w:ascii="仿宋_GB2312" w:eastAsia="仿宋_GB2312" w:cs="仿宋_GB2312"/>
          <w:color w:val="000000" w:themeColor="text1"/>
          <w:sz w:val="32"/>
          <w:szCs w:val="32"/>
          <w14:textFill>
            <w14:solidFill>
              <w14:schemeClr w14:val="tx1"/>
            </w14:solidFill>
          </w14:textFill>
        </w:rPr>
        <w:t>.</w:t>
      </w:r>
      <w:r>
        <w:rPr>
          <w:rFonts w:hint="default" w:ascii="仿宋_GB2312" w:eastAsia="仿宋_GB2312" w:cs="仿宋_GB2312"/>
          <w:color w:val="000000" w:themeColor="text1"/>
          <w:sz w:val="32"/>
          <w:szCs w:val="32"/>
          <w:lang w:val="en-US"/>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卫生健康支出（类）行政事业单位医疗（款）行政单位医疗（项）：反映行政机关及参公管理事业单位用于缴纳单位基本医疗保险经费支出。</w:t>
      </w:r>
    </w:p>
    <w:p>
      <w:pPr>
        <w:pStyle w:val="18"/>
        <w:keepNext w:val="0"/>
        <w:keepLines w:val="0"/>
        <w:pageBreakBefore w:val="0"/>
        <w:widowControl w:val="0"/>
        <w:kinsoku/>
        <w:wordWrap/>
        <w:overflowPunct/>
        <w:topLinePunct w:val="0"/>
        <w:bidi w:val="0"/>
        <w:adjustRightInd w:val="0"/>
        <w:snapToGrid/>
        <w:spacing w:after="0" w:line="550" w:lineRule="exact"/>
        <w:ind w:left="0" w:leftChars="0" w:firstLine="640" w:firstLineChars="200"/>
        <w:jc w:val="both"/>
        <w:textAlignment w:val="auto"/>
        <w:rPr>
          <w:rStyle w:val="21"/>
          <w:rFonts w:hint="eastAsia" w:hAnsi="仿宋_GB2312" w:eastAsia="仿宋_GB2312" w:cs="仿宋_GB2312"/>
          <w:b w:val="0"/>
          <w:bCs/>
          <w:color w:val="000000" w:themeColor="text1"/>
          <w:sz w:val="32"/>
          <w:szCs w:val="32"/>
          <w:lang w:eastAsia="zh-CN"/>
          <w14:textFill>
            <w14:solidFill>
              <w14:schemeClr w14:val="tx1"/>
            </w14:solidFill>
          </w14:textFill>
        </w:rPr>
      </w:pPr>
      <w:r>
        <w:rPr>
          <w:rStyle w:val="21"/>
          <w:rFonts w:hint="eastAsia" w:hAnsi="仿宋_GB2312" w:eastAsia="仿宋_GB2312" w:cs="仿宋_GB2312"/>
          <w:b w:val="0"/>
          <w:bCs/>
          <w:color w:val="000000" w:themeColor="text1"/>
          <w:sz w:val="32"/>
          <w:szCs w:val="32"/>
          <w:lang w:val="en-US" w:eastAsia="zh-CN"/>
          <w14:textFill>
            <w14:solidFill>
              <w14:schemeClr w14:val="tx1"/>
            </w14:solidFill>
          </w14:textFill>
        </w:rPr>
        <w:t>6.</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卫生健康（类）医疗救助（款）其他医疗救助支出（项）</w:t>
      </w:r>
      <w:r>
        <w:rPr>
          <w:rStyle w:val="21"/>
          <w:rFonts w:hint="eastAsia" w:hAnsi="仿宋_GB2312" w:eastAsia="仿宋_GB2312" w:cs="仿宋_GB2312"/>
          <w:b w:val="0"/>
          <w:bCs/>
          <w:color w:val="000000" w:themeColor="text1"/>
          <w:sz w:val="32"/>
          <w:szCs w:val="32"/>
          <w:lang w:eastAsia="zh-CN"/>
          <w14:textFill>
            <w14:solidFill>
              <w14:schemeClr w14:val="tx1"/>
            </w14:solidFill>
          </w14:textFill>
        </w:rPr>
        <w:t>：指本部门建国初期退休老干部医疗照顾金支出。</w:t>
      </w:r>
    </w:p>
    <w:p>
      <w:pPr>
        <w:pStyle w:val="18"/>
        <w:keepNext w:val="0"/>
        <w:keepLines w:val="0"/>
        <w:pageBreakBefore w:val="0"/>
        <w:widowControl w:val="0"/>
        <w:kinsoku/>
        <w:wordWrap/>
        <w:overflowPunct/>
        <w:topLinePunct w:val="0"/>
        <w:bidi w:val="0"/>
        <w:adjustRightInd w:val="0"/>
        <w:snapToGrid/>
        <w:spacing w:after="0" w:line="550" w:lineRule="exact"/>
        <w:ind w:left="0" w:leftChars="0" w:firstLine="640" w:firstLineChars="200"/>
        <w:jc w:val="both"/>
        <w:textAlignment w:val="auto"/>
        <w:rPr>
          <w:rFonts w:hint="eastAsia" w:eastAsia="仿宋_GB2312"/>
          <w:color w:val="000000" w:themeColor="text1"/>
          <w:lang w:eastAsia="zh-CN"/>
          <w14:textFill>
            <w14:solidFill>
              <w14:schemeClr w14:val="tx1"/>
            </w14:solidFill>
          </w14:textFill>
        </w:rPr>
      </w:pPr>
      <w:r>
        <w:rPr>
          <w:rStyle w:val="21"/>
          <w:rFonts w:hint="eastAsia" w:hAnsi="仿宋_GB2312" w:eastAsia="仿宋_GB2312" w:cs="仿宋_GB2312"/>
          <w:b w:val="0"/>
          <w:bCs/>
          <w:color w:val="000000" w:themeColor="text1"/>
          <w:sz w:val="32"/>
          <w:szCs w:val="32"/>
          <w:lang w:val="en-US" w:eastAsia="zh-CN"/>
          <w14:textFill>
            <w14:solidFill>
              <w14:schemeClr w14:val="tx1"/>
            </w14:solidFill>
          </w14:textFill>
        </w:rPr>
        <w:t>7.</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卫生健康（类）医疗保障管理事务（款）行政运行（项）：</w:t>
      </w:r>
      <w:r>
        <w:rPr>
          <w:rStyle w:val="21"/>
          <w:rFonts w:hint="eastAsia" w:hAnsi="仿宋_GB2312" w:eastAsia="仿宋_GB2312" w:cs="仿宋_GB2312"/>
          <w:b w:val="0"/>
          <w:bCs/>
          <w:color w:val="000000" w:themeColor="text1"/>
          <w:sz w:val="32"/>
          <w:szCs w:val="32"/>
          <w:lang w:eastAsia="zh-CN"/>
          <w14:textFill>
            <w14:solidFill>
              <w14:schemeClr w14:val="tx1"/>
            </w14:solidFill>
          </w14:textFill>
        </w:rPr>
        <w:t>反映行政单位（包括实行公务员管理的事业单位）的基本支出。</w:t>
      </w:r>
    </w:p>
    <w:p>
      <w:pPr>
        <w:keepNext w:val="0"/>
        <w:keepLines w:val="0"/>
        <w:pageBreakBefore w:val="0"/>
        <w:widowControl w:val="0"/>
        <w:kinsoku/>
        <w:wordWrap/>
        <w:overflowPunct/>
        <w:topLinePunct w:val="0"/>
        <w:bidi w:val="0"/>
        <w:adjustRightInd w:val="0"/>
        <w:snapToGrid/>
        <w:spacing w:line="550" w:lineRule="exact"/>
        <w:ind w:leftChars="0" w:firstLine="640" w:firstLineChars="200"/>
        <w:jc w:val="both"/>
        <w:textAlignment w:val="auto"/>
        <w:rPr>
          <w:rFonts w:hint="eastAsia" w:ascii="仿宋_GB2312" w:eastAsia="仿宋_GB2312" w:cs="仿宋_GB2312"/>
          <w:color w:val="000000" w:themeColor="text1"/>
          <w:sz w:val="32"/>
          <w:szCs w:val="32"/>
          <w:lang w:val="en-US" w:eastAsia="zh-CN"/>
          <w14:textFill>
            <w14:solidFill>
              <w14:schemeClr w14:val="tx1"/>
            </w14:solidFill>
          </w14:textFill>
        </w:rPr>
      </w:pP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8</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w:t>
      </w:r>
      <w:r>
        <w:rPr>
          <w:rStyle w:val="21"/>
          <w:rFonts w:hint="eastAsia" w:ascii="仿宋_GB2312" w:hAnsi="仿宋_GB2312" w:eastAsia="仿宋_GB2312" w:cs="仿宋_GB2312"/>
          <w:b w:val="0"/>
          <w:bCs/>
          <w:color w:val="000000" w:themeColor="text1"/>
          <w:sz w:val="32"/>
          <w:szCs w:val="32"/>
          <w:lang w:val="en-US"/>
          <w14:textFill>
            <w14:solidFill>
              <w14:schemeClr w14:val="tx1"/>
            </w14:solidFill>
          </w14:textFill>
        </w:rPr>
        <w:t xml:space="preserve"> </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卫生健康（类）医疗保障管理事务（款）一般行政管理事务（项）：</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指本部门未单独设置项级科目的其他支出。</w:t>
      </w:r>
    </w:p>
    <w:p>
      <w:pPr>
        <w:pStyle w:val="18"/>
        <w:keepNext w:val="0"/>
        <w:keepLines w:val="0"/>
        <w:pageBreakBefore w:val="0"/>
        <w:widowControl w:val="0"/>
        <w:kinsoku/>
        <w:wordWrap/>
        <w:overflowPunct/>
        <w:topLinePunct w:val="0"/>
        <w:bidi w:val="0"/>
        <w:adjustRightInd w:val="0"/>
        <w:snapToGrid/>
        <w:spacing w:after="0" w:line="550" w:lineRule="exact"/>
        <w:ind w:left="0" w:leftChars="0" w:firstLine="640" w:firstLineChars="200"/>
        <w:jc w:val="both"/>
        <w:textAlignment w:val="auto"/>
        <w:rPr>
          <w:rStyle w:val="21"/>
          <w:rFonts w:hint="eastAsia" w:hAnsi="仿宋_GB2312" w:eastAsia="仿宋_GB2312" w:cs="仿宋_GB2312"/>
          <w:b w:val="0"/>
          <w:bCs/>
          <w:color w:val="000000" w:themeColor="text1"/>
          <w:sz w:val="32"/>
          <w:szCs w:val="32"/>
          <w:lang w:eastAsia="zh-CN"/>
          <w14:textFill>
            <w14:solidFill>
              <w14:schemeClr w14:val="tx1"/>
            </w14:solidFill>
          </w14:textFill>
        </w:rPr>
      </w:pPr>
      <w:r>
        <w:rPr>
          <w:rStyle w:val="21"/>
          <w:rFonts w:hint="default" w:hAnsi="仿宋_GB2312" w:eastAsia="仿宋_GB2312" w:cs="仿宋_GB2312"/>
          <w:b w:val="0"/>
          <w:bCs/>
          <w:color w:val="000000" w:themeColor="text1"/>
          <w:sz w:val="32"/>
          <w:szCs w:val="32"/>
          <w:lang w:val="en-US" w:eastAsia="zh-CN"/>
          <w14:textFill>
            <w14:solidFill>
              <w14:schemeClr w14:val="tx1"/>
            </w14:solidFill>
          </w14:textFill>
        </w:rPr>
        <w:t>9</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w:t>
      </w:r>
      <w:r>
        <w:rPr>
          <w:rStyle w:val="21"/>
          <w:rFonts w:hint="eastAsia" w:ascii="仿宋_GB2312" w:hAnsi="仿宋_GB2312" w:eastAsia="仿宋_GB2312" w:cs="仿宋_GB2312"/>
          <w:b w:val="0"/>
          <w:bCs/>
          <w:color w:val="000000" w:themeColor="text1"/>
          <w:sz w:val="32"/>
          <w:szCs w:val="32"/>
          <w:lang w:val="en-US"/>
          <w14:textFill>
            <w14:solidFill>
              <w14:schemeClr w14:val="tx1"/>
            </w14:solidFill>
          </w14:textFill>
        </w:rPr>
        <w:t xml:space="preserve"> </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卫生健康（类）医疗保障管理事务（款）</w:t>
      </w: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信息化建设</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（项）：</w:t>
      </w:r>
      <w:r>
        <w:rPr>
          <w:rStyle w:val="21"/>
          <w:rFonts w:hint="eastAsia" w:hAnsi="仿宋_GB2312" w:eastAsia="仿宋_GB2312" w:cs="仿宋_GB2312"/>
          <w:b w:val="0"/>
          <w:bCs/>
          <w:color w:val="000000" w:themeColor="text1"/>
          <w:sz w:val="32"/>
          <w:szCs w:val="32"/>
          <w:lang w:eastAsia="zh-CN"/>
          <w14:textFill>
            <w14:solidFill>
              <w14:schemeClr w14:val="tx1"/>
            </w14:solidFill>
          </w14:textFill>
        </w:rPr>
        <w:t>反映本部门用于信息化建设、开发、运行维护和数据分析等方面的支出。</w:t>
      </w:r>
    </w:p>
    <w:p>
      <w:pPr>
        <w:pStyle w:val="7"/>
        <w:keepNext w:val="0"/>
        <w:keepLines w:val="0"/>
        <w:pageBreakBefore w:val="0"/>
        <w:widowControl w:val="0"/>
        <w:kinsoku/>
        <w:wordWrap/>
        <w:overflowPunct/>
        <w:topLinePunct w:val="0"/>
        <w:bidi w:val="0"/>
        <w:adjustRightInd w:val="0"/>
        <w:snapToGrid/>
        <w:spacing w:after="0" w:line="576" w:lineRule="exact"/>
        <w:ind w:leftChars="0" w:firstLine="640" w:firstLineChars="200"/>
        <w:jc w:val="both"/>
        <w:textAlignment w:val="auto"/>
        <w:rPr>
          <w:rStyle w:val="21"/>
          <w:rFonts w:hint="eastAsia" w:hAnsi="仿宋_GB2312" w:eastAsia="仿宋_GB2312" w:cs="仿宋_GB2312"/>
          <w:b w:val="0"/>
          <w:bCs/>
          <w:color w:val="000000" w:themeColor="text1"/>
          <w:sz w:val="32"/>
          <w:szCs w:val="32"/>
          <w:lang w:eastAsia="zh-CN"/>
          <w14:textFill>
            <w14:solidFill>
              <w14:schemeClr w14:val="tx1"/>
            </w14:solidFill>
          </w14:textFill>
        </w:rPr>
      </w:pPr>
      <w:r>
        <w:rPr>
          <w:rStyle w:val="21"/>
          <w:rFonts w:hint="eastAsia" w:hAnsi="仿宋_GB2312" w:eastAsia="仿宋_GB2312" w:cs="仿宋_GB2312"/>
          <w:b w:val="0"/>
          <w:bCs/>
          <w:color w:val="000000" w:themeColor="text1"/>
          <w:sz w:val="32"/>
          <w:szCs w:val="32"/>
          <w:lang w:val="en-US" w:eastAsia="zh-CN"/>
          <w14:textFill>
            <w14:solidFill>
              <w14:schemeClr w14:val="tx1"/>
            </w14:solidFill>
          </w14:textFill>
        </w:rPr>
        <w:t>1</w:t>
      </w:r>
      <w:r>
        <w:rPr>
          <w:rStyle w:val="21"/>
          <w:rFonts w:hint="default" w:hAnsi="仿宋_GB2312" w:eastAsia="仿宋_GB2312" w:cs="仿宋_GB2312"/>
          <w:b w:val="0"/>
          <w:bCs/>
          <w:color w:val="000000" w:themeColor="text1"/>
          <w:sz w:val="32"/>
          <w:szCs w:val="32"/>
          <w:lang w:val="en-US" w:eastAsia="zh-CN"/>
          <w14:textFill>
            <w14:solidFill>
              <w14:schemeClr w14:val="tx1"/>
            </w14:solidFill>
          </w14:textFill>
        </w:rPr>
        <w:t>0</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w:t>
      </w:r>
      <w:r>
        <w:rPr>
          <w:rStyle w:val="21"/>
          <w:rFonts w:hint="eastAsia" w:ascii="仿宋_GB2312" w:hAnsi="仿宋_GB2312" w:eastAsia="仿宋_GB2312" w:cs="仿宋_GB2312"/>
          <w:b w:val="0"/>
          <w:bCs/>
          <w:color w:val="000000" w:themeColor="text1"/>
          <w:sz w:val="32"/>
          <w:szCs w:val="32"/>
          <w:lang w:val="en-US"/>
          <w14:textFill>
            <w14:solidFill>
              <w14:schemeClr w14:val="tx1"/>
            </w14:solidFill>
          </w14:textFill>
        </w:rPr>
        <w:t xml:space="preserve"> </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卫生健康（类）医疗保障管理事务（款）</w:t>
      </w: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医疗保障政策管理</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（项）</w:t>
      </w:r>
      <w:r>
        <w:rPr>
          <w:rStyle w:val="21"/>
          <w:rFonts w:hint="eastAsia" w:hAnsi="仿宋_GB2312" w:eastAsia="仿宋_GB2312" w:cs="仿宋_GB2312"/>
          <w:b w:val="0"/>
          <w:bCs/>
          <w:color w:val="000000" w:themeColor="text1"/>
          <w:sz w:val="32"/>
          <w:szCs w:val="32"/>
          <w:lang w:eastAsia="zh-CN"/>
          <w14:textFill>
            <w14:solidFill>
              <w14:schemeClr w14:val="tx1"/>
            </w14:solidFill>
          </w14:textFill>
        </w:rPr>
        <w:t>：反映医疗保障待遇管理、医药服务管理、医药价格和招标采购管理、医疗保障基金监管等支出。</w:t>
      </w:r>
    </w:p>
    <w:p>
      <w:pPr>
        <w:pStyle w:val="7"/>
        <w:keepNext w:val="0"/>
        <w:keepLines w:val="0"/>
        <w:pageBreakBefore w:val="0"/>
        <w:widowControl w:val="0"/>
        <w:kinsoku/>
        <w:wordWrap/>
        <w:overflowPunct/>
        <w:topLinePunct w:val="0"/>
        <w:bidi w:val="0"/>
        <w:adjustRightInd w:val="0"/>
        <w:snapToGrid/>
        <w:spacing w:after="0" w:line="576" w:lineRule="exact"/>
        <w:ind w:leftChars="0" w:firstLine="640" w:firstLineChars="200"/>
        <w:jc w:val="both"/>
        <w:textAlignment w:val="auto"/>
        <w:rPr>
          <w:rStyle w:val="21"/>
          <w:rFonts w:hint="eastAsia" w:hAnsi="仿宋_GB2312" w:eastAsia="仿宋_GB2312" w:cs="仿宋_GB2312"/>
          <w:b w:val="0"/>
          <w:bCs/>
          <w:color w:val="000000" w:themeColor="text1"/>
          <w:sz w:val="32"/>
          <w:szCs w:val="32"/>
          <w:lang w:eastAsia="zh-CN"/>
          <w14:textFill>
            <w14:solidFill>
              <w14:schemeClr w14:val="tx1"/>
            </w14:solidFill>
          </w14:textFill>
        </w:rPr>
      </w:pPr>
      <w:r>
        <w:rPr>
          <w:rStyle w:val="21"/>
          <w:rFonts w:hint="eastAsia" w:hAnsi="仿宋_GB2312" w:eastAsia="仿宋_GB2312" w:cs="仿宋_GB2312"/>
          <w:b w:val="0"/>
          <w:bCs/>
          <w:color w:val="000000" w:themeColor="text1"/>
          <w:sz w:val="32"/>
          <w:szCs w:val="32"/>
          <w:lang w:val="en-US" w:eastAsia="zh-CN"/>
          <w14:textFill>
            <w14:solidFill>
              <w14:schemeClr w14:val="tx1"/>
            </w14:solidFill>
          </w14:textFill>
        </w:rPr>
        <w:t>1</w:t>
      </w:r>
      <w:r>
        <w:rPr>
          <w:rStyle w:val="21"/>
          <w:rFonts w:hint="default" w:hAnsi="仿宋_GB2312" w:eastAsia="仿宋_GB2312" w:cs="仿宋_GB2312"/>
          <w:b w:val="0"/>
          <w:bCs/>
          <w:color w:val="000000" w:themeColor="text1"/>
          <w:sz w:val="32"/>
          <w:szCs w:val="32"/>
          <w:lang w:val="en-US" w:eastAsia="zh-CN"/>
          <w14:textFill>
            <w14:solidFill>
              <w14:schemeClr w14:val="tx1"/>
            </w14:solidFill>
          </w14:textFill>
        </w:rPr>
        <w:t>1</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w:t>
      </w:r>
      <w:r>
        <w:rPr>
          <w:rStyle w:val="21"/>
          <w:rFonts w:hint="eastAsia" w:ascii="仿宋_GB2312" w:hAnsi="仿宋_GB2312" w:eastAsia="仿宋_GB2312" w:cs="仿宋_GB2312"/>
          <w:b w:val="0"/>
          <w:bCs/>
          <w:color w:val="000000" w:themeColor="text1"/>
          <w:sz w:val="32"/>
          <w:szCs w:val="32"/>
          <w:lang w:val="en-US"/>
          <w14:textFill>
            <w14:solidFill>
              <w14:schemeClr w14:val="tx1"/>
            </w14:solidFill>
          </w14:textFill>
        </w:rPr>
        <w:t xml:space="preserve"> </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卫生健康（类）医疗保障管理事务（款）</w:t>
      </w: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医疗保障经办事务</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（项）</w:t>
      </w:r>
      <w:r>
        <w:rPr>
          <w:rStyle w:val="21"/>
          <w:rFonts w:hint="eastAsia" w:hAnsi="仿宋_GB2312" w:eastAsia="仿宋_GB2312" w:cs="仿宋_GB2312"/>
          <w:b w:val="0"/>
          <w:bCs/>
          <w:color w:val="000000" w:themeColor="text1"/>
          <w:sz w:val="32"/>
          <w:szCs w:val="32"/>
          <w:lang w:eastAsia="zh-CN"/>
          <w14:textFill>
            <w14:solidFill>
              <w14:schemeClr w14:val="tx1"/>
            </w14:solidFill>
          </w14:textFill>
        </w:rPr>
        <w:t>：反映医保基金核算、精算、参保登记、权益记录、转移接续等医疗保障经办支出。</w:t>
      </w:r>
    </w:p>
    <w:p>
      <w:pPr>
        <w:pStyle w:val="7"/>
        <w:keepNext w:val="0"/>
        <w:keepLines w:val="0"/>
        <w:pageBreakBefore w:val="0"/>
        <w:widowControl w:val="0"/>
        <w:kinsoku/>
        <w:wordWrap/>
        <w:overflowPunct/>
        <w:topLinePunct w:val="0"/>
        <w:bidi w:val="0"/>
        <w:adjustRightInd w:val="0"/>
        <w:snapToGrid/>
        <w:spacing w:after="0" w:line="576" w:lineRule="exact"/>
        <w:ind w:leftChars="0" w:firstLine="640" w:firstLineChars="200"/>
        <w:jc w:val="both"/>
        <w:textAlignment w:val="auto"/>
        <w:rPr>
          <w:rStyle w:val="21"/>
          <w:rFonts w:hint="eastAsia" w:hAnsi="仿宋_GB2312" w:eastAsia="仿宋_GB2312" w:cs="仿宋_GB2312"/>
          <w:b w:val="0"/>
          <w:bCs/>
          <w:color w:val="000000" w:themeColor="text1"/>
          <w:sz w:val="32"/>
          <w:szCs w:val="32"/>
          <w:lang w:eastAsia="zh-CN"/>
          <w14:textFill>
            <w14:solidFill>
              <w14:schemeClr w14:val="tx1"/>
            </w14:solidFill>
          </w14:textFill>
        </w:rPr>
      </w:pP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w:t>
      </w:r>
      <w:r>
        <w:rPr>
          <w:rStyle w:val="21"/>
          <w:rFonts w:hint="default" w:hAnsi="仿宋_GB2312" w:eastAsia="仿宋_GB2312" w:cs="仿宋_GB2312"/>
          <w:b w:val="0"/>
          <w:bCs/>
          <w:color w:val="000000" w:themeColor="text1"/>
          <w:sz w:val="32"/>
          <w:szCs w:val="32"/>
          <w:lang w:val="en-US" w:eastAsia="zh-CN"/>
          <w14:textFill>
            <w14:solidFill>
              <w14:schemeClr w14:val="tx1"/>
            </w14:solidFill>
          </w14:textFill>
        </w:rPr>
        <w:t>2</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w:t>
      </w:r>
      <w:r>
        <w:rPr>
          <w:rStyle w:val="21"/>
          <w:rFonts w:hint="eastAsia" w:ascii="仿宋_GB2312" w:hAnsi="仿宋_GB2312" w:eastAsia="仿宋_GB2312" w:cs="仿宋_GB2312"/>
          <w:b w:val="0"/>
          <w:bCs/>
          <w:color w:val="000000" w:themeColor="text1"/>
          <w:sz w:val="32"/>
          <w:szCs w:val="32"/>
          <w:lang w:val="en-US"/>
          <w14:textFill>
            <w14:solidFill>
              <w14:schemeClr w14:val="tx1"/>
            </w14:solidFill>
          </w14:textFill>
        </w:rPr>
        <w:t xml:space="preserve"> </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卫生健康（类）医疗保障管理事务（款）事业运行（项）：</w:t>
      </w:r>
      <w:r>
        <w:rPr>
          <w:rStyle w:val="21"/>
          <w:rFonts w:hint="eastAsia" w:hAnsi="仿宋_GB2312" w:eastAsia="仿宋_GB2312" w:cs="仿宋_GB2312"/>
          <w:b w:val="0"/>
          <w:bCs/>
          <w:color w:val="000000" w:themeColor="text1"/>
          <w:sz w:val="32"/>
          <w:szCs w:val="32"/>
          <w:lang w:eastAsia="zh-CN"/>
          <w14:textFill>
            <w14:solidFill>
              <w14:schemeClr w14:val="tx1"/>
            </w14:solidFill>
          </w14:textFill>
        </w:rPr>
        <w:t>反映事业单位的基本支出。</w:t>
      </w:r>
    </w:p>
    <w:p>
      <w:pPr>
        <w:keepNext w:val="0"/>
        <w:keepLines w:val="0"/>
        <w:pageBreakBefore w:val="0"/>
        <w:widowControl w:val="0"/>
        <w:kinsoku/>
        <w:wordWrap/>
        <w:overflowPunct/>
        <w:topLinePunct w:val="0"/>
        <w:bidi w:val="0"/>
        <w:adjustRightInd w:val="0"/>
        <w:snapToGrid/>
        <w:spacing w:line="576" w:lineRule="exact"/>
        <w:ind w:leftChars="0" w:firstLine="640" w:firstLineChars="200"/>
        <w:jc w:val="both"/>
        <w:textAlignment w:val="auto"/>
        <w:rPr>
          <w:rStyle w:val="21"/>
          <w:rFonts w:hint="eastAsia" w:hAnsi="仿宋_GB2312" w:eastAsia="仿宋_GB2312" w:cs="仿宋_GB2312"/>
          <w:b w:val="0"/>
          <w:bCs/>
          <w:color w:val="000000" w:themeColor="text1"/>
          <w:sz w:val="32"/>
          <w:szCs w:val="32"/>
          <w:lang w:eastAsia="zh-CN"/>
          <w14:textFill>
            <w14:solidFill>
              <w14:schemeClr w14:val="tx1"/>
            </w14:solidFill>
          </w14:textFill>
        </w:rPr>
      </w:pPr>
      <w:r>
        <w:rPr>
          <w:rFonts w:hint="default" w:ascii="仿宋_GB2312" w:eastAsia="仿宋_GB2312" w:cs="仿宋_GB2312"/>
          <w:color w:val="000000" w:themeColor="text1"/>
          <w:sz w:val="32"/>
          <w:szCs w:val="32"/>
          <w:lang w:val="en-US" w:eastAsia="zh-CN"/>
          <w14:textFill>
            <w14:solidFill>
              <w14:schemeClr w14:val="tx1"/>
            </w14:solidFill>
          </w14:textFill>
        </w:rPr>
        <w:t>13</w:t>
      </w:r>
      <w:r>
        <w:rPr>
          <w:rFonts w:ascii="仿宋_GB2312" w:eastAsia="仿宋_GB2312" w:cs="仿宋_GB2312"/>
          <w:color w:val="000000" w:themeColor="text1"/>
          <w:sz w:val="32"/>
          <w:szCs w:val="32"/>
          <w14:textFill>
            <w14:solidFill>
              <w14:schemeClr w14:val="tx1"/>
            </w14:solidFill>
          </w14:textFill>
        </w:rPr>
        <w:t>.</w:t>
      </w:r>
      <w:r>
        <w:rPr>
          <w:rFonts w:hint="default" w:ascii="仿宋_GB2312" w:eastAsia="仿宋_GB2312" w:cs="仿宋_GB2312"/>
          <w:color w:val="000000" w:themeColor="text1"/>
          <w:sz w:val="32"/>
          <w:szCs w:val="32"/>
          <w:lang w:val="en-US"/>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卫生健康支出（类）医疗保障管理事务（款）其他医疗保障管理事务支出</w:t>
      </w:r>
      <w:r>
        <w:rPr>
          <w:rFonts w:hint="eastAsia" w:ascii="仿宋_GB2312" w:eastAsia="仿宋_GB2312"/>
          <w:color w:val="000000" w:themeColor="text1"/>
          <w:sz w:val="32"/>
          <w:szCs w:val="32"/>
          <w14:textFill>
            <w14:solidFill>
              <w14:schemeClr w14:val="tx1"/>
            </w14:solidFill>
          </w14:textFill>
        </w:rPr>
        <w:t>（项）：</w:t>
      </w:r>
      <w:r>
        <w:rPr>
          <w:rFonts w:hint="eastAsia" w:ascii="仿宋_GB2312" w:eastAsia="仿宋_GB2312" w:cs="仿宋_GB2312"/>
          <w:color w:val="000000" w:themeColor="text1"/>
          <w:sz w:val="32"/>
          <w:szCs w:val="32"/>
          <w14:textFill>
            <w14:solidFill>
              <w14:schemeClr w14:val="tx1"/>
            </w14:solidFill>
          </w14:textFill>
        </w:rPr>
        <w:t>反映除上述项目以外的其他用于医疗保障管理事务方面的支出。</w:t>
      </w:r>
    </w:p>
    <w:p>
      <w:pPr>
        <w:pStyle w:val="7"/>
        <w:keepNext w:val="0"/>
        <w:keepLines w:val="0"/>
        <w:pageBreakBefore w:val="0"/>
        <w:widowControl w:val="0"/>
        <w:kinsoku/>
        <w:wordWrap/>
        <w:overflowPunct/>
        <w:topLinePunct w:val="0"/>
        <w:bidi w:val="0"/>
        <w:adjustRightInd w:val="0"/>
        <w:snapToGrid/>
        <w:spacing w:after="0" w:line="576" w:lineRule="exact"/>
        <w:ind w:leftChars="0" w:firstLine="640" w:firstLineChars="200"/>
        <w:jc w:val="both"/>
        <w:textAlignment w:val="auto"/>
        <w:rPr>
          <w:rStyle w:val="21"/>
          <w:rFonts w:hint="eastAsia" w:hAnsi="仿宋_GB2312" w:eastAsia="仿宋_GB2312" w:cs="仿宋_GB2312"/>
          <w:b w:val="0"/>
          <w:bCs/>
          <w:color w:val="000000" w:themeColor="text1"/>
          <w:sz w:val="32"/>
          <w:szCs w:val="32"/>
          <w:lang w:eastAsia="zh-CN"/>
          <w14:textFill>
            <w14:solidFill>
              <w14:schemeClr w14:val="tx1"/>
            </w14:solidFill>
          </w14:textFill>
        </w:rPr>
      </w:pPr>
      <w:r>
        <w:rPr>
          <w:rStyle w:val="21"/>
          <w:rFonts w:hint="eastAsia" w:hAnsi="仿宋_GB2312" w:eastAsia="仿宋_GB2312" w:cs="仿宋_GB2312"/>
          <w:b w:val="0"/>
          <w:bCs/>
          <w:color w:val="000000" w:themeColor="text1"/>
          <w:sz w:val="32"/>
          <w:szCs w:val="32"/>
          <w:lang w:val="en-US" w:eastAsia="zh-CN"/>
          <w14:textFill>
            <w14:solidFill>
              <w14:schemeClr w14:val="tx1"/>
            </w14:solidFill>
          </w14:textFill>
        </w:rPr>
        <w:t>14.</w:t>
      </w:r>
      <w:r>
        <w:rPr>
          <w:rStyle w:val="21"/>
          <w:rFonts w:hint="default" w:hAnsi="仿宋_GB2312" w:eastAsia="仿宋_GB2312" w:cs="仿宋_GB2312"/>
          <w:b w:val="0"/>
          <w:bCs/>
          <w:color w:val="000000" w:themeColor="text1"/>
          <w:sz w:val="32"/>
          <w:szCs w:val="32"/>
          <w:lang w:val="en-US" w:eastAsia="zh-CN"/>
          <w14:textFill>
            <w14:solidFill>
              <w14:schemeClr w14:val="tx1"/>
            </w14:solidFill>
          </w14:textFill>
        </w:rPr>
        <w:t xml:space="preserve"> </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住房保障支出（类）住房改革支出（款）住房公积金（项）：</w:t>
      </w:r>
      <w:r>
        <w:rPr>
          <w:rStyle w:val="21"/>
          <w:rFonts w:hint="eastAsia" w:hAnsi="仿宋_GB2312" w:eastAsia="仿宋_GB2312" w:cs="仿宋_GB2312"/>
          <w:b w:val="0"/>
          <w:bCs/>
          <w:color w:val="000000" w:themeColor="text1"/>
          <w:sz w:val="32"/>
          <w:szCs w:val="32"/>
          <w:lang w:eastAsia="zh-CN"/>
          <w14:textFill>
            <w14:solidFill>
              <w14:schemeClr w14:val="tx1"/>
            </w14:solidFill>
          </w14:textFill>
        </w:rPr>
        <w:t>反映行政事业单位按人力资源和社会保障部、财政部规定的基本工资和津贴补贴以及规定比例为职工缴纳的住房公积金。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bidi w:val="0"/>
        <w:adjustRightInd w:val="0"/>
        <w:snapToGrid/>
        <w:spacing w:line="576" w:lineRule="exact"/>
        <w:ind w:leftChars="0"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15</w:t>
      </w:r>
      <w:r>
        <w:rPr>
          <w:rFonts w:ascii="仿宋_GB2312" w:eastAsia="仿宋_GB2312" w:cs="仿宋_GB2312"/>
          <w:color w:val="000000" w:themeColor="text1"/>
          <w:sz w:val="32"/>
          <w:szCs w:val="32"/>
          <w14:textFill>
            <w14:solidFill>
              <w14:schemeClr w14:val="tx1"/>
            </w14:solidFill>
          </w14:textFill>
        </w:rPr>
        <w:t>.</w:t>
      </w:r>
      <w:r>
        <w:rPr>
          <w:rFonts w:hint="default" w:ascii="仿宋_GB2312" w:eastAsia="仿宋_GB2312" w:cs="仿宋_GB2312"/>
          <w:color w:val="000000" w:themeColor="text1"/>
          <w:sz w:val="32"/>
          <w:szCs w:val="32"/>
          <w:lang w:val="en-US"/>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基本支出：指为保障机构正常运转、完成日常工作任务而发生的人员支出和公用支出。</w:t>
      </w:r>
    </w:p>
    <w:p>
      <w:pPr>
        <w:keepNext w:val="0"/>
        <w:keepLines w:val="0"/>
        <w:pageBreakBefore w:val="0"/>
        <w:widowControl w:val="0"/>
        <w:kinsoku/>
        <w:wordWrap/>
        <w:overflowPunct/>
        <w:topLinePunct w:val="0"/>
        <w:bidi w:val="0"/>
        <w:adjustRightInd w:val="0"/>
        <w:snapToGrid/>
        <w:spacing w:line="576" w:lineRule="exact"/>
        <w:ind w:leftChars="0"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16</w:t>
      </w:r>
      <w:r>
        <w:rPr>
          <w:rFonts w:ascii="仿宋_GB2312" w:eastAsia="仿宋_GB2312" w:cs="仿宋_GB2312"/>
          <w:color w:val="000000" w:themeColor="text1"/>
          <w:sz w:val="32"/>
          <w:szCs w:val="32"/>
          <w14:textFill>
            <w14:solidFill>
              <w14:schemeClr w14:val="tx1"/>
            </w14:solidFill>
          </w14:textFill>
        </w:rPr>
        <w:t>.</w:t>
      </w:r>
      <w:r>
        <w:rPr>
          <w:rFonts w:hint="default" w:ascii="仿宋_GB2312" w:eastAsia="仿宋_GB2312" w:cs="仿宋_GB2312"/>
          <w:color w:val="000000" w:themeColor="text1"/>
          <w:sz w:val="32"/>
          <w:szCs w:val="32"/>
          <w:lang w:val="en-US"/>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项目支出：指在基本支出之外为完成特定行政任务和事业发展目标所发生的支出。</w:t>
      </w:r>
    </w:p>
    <w:p>
      <w:pPr>
        <w:pStyle w:val="30"/>
        <w:keepNext w:val="0"/>
        <w:keepLines w:val="0"/>
        <w:pageBreakBefore w:val="0"/>
        <w:widowControl w:val="0"/>
        <w:kinsoku/>
        <w:wordWrap/>
        <w:overflowPunct/>
        <w:topLinePunct w:val="0"/>
        <w:bidi w:val="0"/>
        <w:adjustRightInd w:val="0"/>
        <w:snapToGrid/>
        <w:spacing w:line="576" w:lineRule="exact"/>
        <w:ind w:leftChars="0" w:firstLine="640" w:firstLineChars="200"/>
        <w:jc w:val="both"/>
        <w:textAlignment w:val="auto"/>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17</w:t>
      </w:r>
      <w:r>
        <w:rPr>
          <w:rFonts w:ascii="仿宋_GB2312" w:eastAsia="仿宋_GB2312" w:cs="仿宋_GB2312"/>
          <w:color w:val="000000" w:themeColor="text1"/>
          <w:sz w:val="32"/>
          <w:szCs w:val="32"/>
          <w14:textFill>
            <w14:solidFill>
              <w14:schemeClr w14:val="tx1"/>
            </w14:solidFill>
          </w14:textFill>
        </w:rPr>
        <w:t>.</w:t>
      </w:r>
      <w:r>
        <w:rPr>
          <w:rFonts w:hint="default" w:ascii="仿宋_GB2312" w:eastAsia="仿宋_GB2312" w:cs="仿宋_GB2312"/>
          <w:color w:val="000000" w:themeColor="text1"/>
          <w:sz w:val="32"/>
          <w:szCs w:val="32"/>
          <w:lang w:val="en-US"/>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0"/>
        <w:keepNext w:val="0"/>
        <w:keepLines w:val="0"/>
        <w:pageBreakBefore w:val="0"/>
        <w:widowControl w:val="0"/>
        <w:kinsoku/>
        <w:wordWrap/>
        <w:overflowPunct/>
        <w:topLinePunct w:val="0"/>
        <w:bidi w:val="0"/>
        <w:adjustRightInd w:val="0"/>
        <w:snapToGrid/>
        <w:spacing w:line="576" w:lineRule="exact"/>
        <w:ind w:leftChars="0" w:firstLine="640" w:firstLineChars="200"/>
        <w:jc w:val="both"/>
        <w:textAlignment w:val="auto"/>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18</w:t>
      </w:r>
      <w:r>
        <w:rPr>
          <w:rFonts w:ascii="仿宋_GB2312" w:eastAsia="仿宋_GB2312" w:cs="仿宋_GB2312"/>
          <w:color w:val="000000" w:themeColor="text1"/>
          <w:sz w:val="32"/>
          <w:szCs w:val="32"/>
          <w14:textFill>
            <w14:solidFill>
              <w14:schemeClr w14:val="tx1"/>
            </w14:solidFill>
          </w14:textFill>
        </w:rPr>
        <w:t>.</w:t>
      </w:r>
      <w:r>
        <w:rPr>
          <w:rFonts w:hint="default" w:ascii="仿宋_GB2312" w:eastAsia="仿宋_GB2312" w:cs="仿宋_GB2312"/>
          <w:color w:val="000000" w:themeColor="text1"/>
          <w:sz w:val="32"/>
          <w:szCs w:val="32"/>
          <w:lang w:val="en-US"/>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rFonts w:hint="eastAsia" w:ascii="方正小标宋简体" w:hAnsi="黑体" w:eastAsia="方正小标宋简体" w:cs="方正小标宋简体"/>
          <w:color w:val="000000" w:themeColor="text1"/>
          <w:sz w:val="44"/>
          <w:szCs w:val="44"/>
          <w14:textFill>
            <w14:solidFill>
              <w14:schemeClr w14:val="tx1"/>
            </w14:solidFill>
          </w14:textFill>
        </w:rPr>
      </w:pPr>
      <w:r>
        <w:rPr>
          <w:rFonts w:hint="eastAsia" w:ascii="方正小标宋简体" w:hAnsi="黑体" w:eastAsia="方正小标宋简体" w:cs="方正小标宋简体"/>
          <w:color w:val="000000" w:themeColor="text1"/>
          <w:sz w:val="44"/>
          <w:szCs w:val="44"/>
          <w14:textFill>
            <w14:solidFill>
              <w14:schemeClr w14:val="tx1"/>
            </w14:solidFill>
          </w14:textFill>
        </w:rPr>
        <w:br w:type="page"/>
      </w:r>
    </w:p>
    <w:p>
      <w:pPr>
        <w:spacing w:line="600" w:lineRule="exact"/>
        <w:jc w:val="center"/>
        <w:outlineLvl w:val="0"/>
        <w:rPr>
          <w:rStyle w:val="32"/>
          <w:rFonts w:hint="eastAsia" w:ascii="黑体" w:hAnsi="黑体" w:eastAsia="黑体"/>
          <w:b w:val="0"/>
          <w:color w:val="000000" w:themeColor="text1"/>
          <w:highlight w:val="none"/>
          <w:lang w:eastAsia="zh-CN"/>
          <w14:textFill>
            <w14:solidFill>
              <w14:schemeClr w14:val="tx1"/>
            </w14:solidFill>
          </w14:textFill>
        </w:rPr>
      </w:pPr>
      <w:bookmarkStart w:id="55" w:name="_Toc15396614"/>
      <w:bookmarkStart w:id="56" w:name="_Toc15377226"/>
      <w:r>
        <w:rPr>
          <w:rFonts w:hint="eastAsia" w:ascii="黑体" w:hAnsi="黑体" w:eastAsia="黑体"/>
          <w:color w:val="000000" w:themeColor="text1"/>
          <w:sz w:val="44"/>
          <w:szCs w:val="44"/>
          <w:highlight w:val="none"/>
          <w14:textFill>
            <w14:solidFill>
              <w14:schemeClr w14:val="tx1"/>
            </w14:solidFill>
          </w14:textFill>
        </w:rPr>
        <w:t>第</w:t>
      </w:r>
      <w:r>
        <w:rPr>
          <w:rStyle w:val="32"/>
          <w:rFonts w:hint="eastAsia" w:ascii="黑体" w:hAnsi="黑体" w:eastAsia="黑体"/>
          <w:b w:val="0"/>
          <w:color w:val="000000" w:themeColor="text1"/>
          <w:highlight w:val="none"/>
          <w14:textFill>
            <w14:solidFill>
              <w14:schemeClr w14:val="tx1"/>
            </w14:solidFill>
          </w14:textFill>
        </w:rPr>
        <w:t>四部分</w:t>
      </w:r>
      <w:r>
        <w:rPr>
          <w:rStyle w:val="32"/>
          <w:rFonts w:hint="default" w:ascii="黑体" w:hAnsi="黑体" w:eastAsia="黑体"/>
          <w:b w:val="0"/>
          <w:color w:val="000000" w:themeColor="text1"/>
          <w:highlight w:val="none"/>
          <w:lang w:val="en-US"/>
          <w14:textFill>
            <w14:solidFill>
              <w14:schemeClr w14:val="tx1"/>
            </w14:solidFill>
          </w14:textFill>
        </w:rPr>
        <w:t xml:space="preserve">   </w:t>
      </w:r>
      <w:r>
        <w:rPr>
          <w:rStyle w:val="32"/>
          <w:rFonts w:hint="eastAsia" w:ascii="黑体" w:hAnsi="黑体" w:eastAsia="黑体"/>
          <w:b w:val="0"/>
          <w:color w:val="000000" w:themeColor="text1"/>
          <w:highlight w:val="none"/>
          <w14:textFill>
            <w14:solidFill>
              <w14:schemeClr w14:val="tx1"/>
            </w14:solidFill>
          </w14:textFill>
        </w:rPr>
        <w:t>附</w:t>
      </w:r>
      <w:r>
        <w:rPr>
          <w:rStyle w:val="32"/>
          <w:rFonts w:hint="default" w:ascii="黑体" w:hAnsi="黑体" w:eastAsia="黑体"/>
          <w:b w:val="0"/>
          <w:color w:val="000000" w:themeColor="text1"/>
          <w:highlight w:val="none"/>
          <w:lang w:val="en-US"/>
          <w14:textFill>
            <w14:solidFill>
              <w14:schemeClr w14:val="tx1"/>
            </w14:solidFill>
          </w14:textFill>
        </w:rPr>
        <w:t xml:space="preserve">  </w:t>
      </w:r>
      <w:r>
        <w:rPr>
          <w:rStyle w:val="32"/>
          <w:rFonts w:hint="eastAsia" w:ascii="黑体" w:hAnsi="黑体" w:eastAsia="黑体"/>
          <w:b w:val="0"/>
          <w:color w:val="000000" w:themeColor="text1"/>
          <w:highlight w:val="none"/>
          <w14:textFill>
            <w14:solidFill>
              <w14:schemeClr w14:val="tx1"/>
            </w14:solidFill>
          </w14:textFill>
        </w:rPr>
        <w:t>件</w:t>
      </w:r>
      <w:bookmarkEnd w:id="55"/>
    </w:p>
    <w:p>
      <w:pPr>
        <w:keepNext w:val="0"/>
        <w:keepLines w:val="0"/>
        <w:pageBreakBefore w:val="0"/>
        <w:widowControl w:val="0"/>
        <w:kinsoku/>
        <w:wordWrap/>
        <w:overflowPunct/>
        <w:topLinePunct w:val="0"/>
        <w:autoSpaceDE/>
        <w:autoSpaceDN/>
        <w:bidi w:val="0"/>
        <w:adjustRightInd/>
        <w:snapToGrid/>
        <w:spacing w:line="640" w:lineRule="exact"/>
        <w:jc w:val="both"/>
        <w:textAlignment w:val="baseline"/>
        <w:rPr>
          <w:rStyle w:val="39"/>
          <w:rFonts w:hint="eastAsia" w:ascii="黑体" w:hAnsi="黑体" w:eastAsia="黑体" w:cs="黑体"/>
          <w:color w:val="000000" w:themeColor="text1"/>
          <w:sz w:val="32"/>
          <w:szCs w:val="32"/>
          <w:lang w:val="en-US"/>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baseline"/>
        <w:rPr>
          <w:rStyle w:val="39"/>
          <w:rFonts w:hint="eastAsia" w:ascii="黑体" w:hAnsi="黑体" w:eastAsia="黑体" w:cs="黑体"/>
          <w:color w:val="000000" w:themeColor="text1"/>
          <w:sz w:val="32"/>
          <w:szCs w:val="32"/>
          <w:lang w:val="en-US"/>
          <w14:textFill>
            <w14:solidFill>
              <w14:schemeClr w14:val="tx1"/>
            </w14:solidFill>
          </w14:textFill>
        </w:rPr>
      </w:pPr>
      <w:r>
        <w:rPr>
          <w:rStyle w:val="39"/>
          <w:rFonts w:hint="eastAsia" w:ascii="黑体" w:hAnsi="黑体" w:eastAsia="黑体" w:cs="黑体"/>
          <w:color w:val="000000" w:themeColor="text1"/>
          <w:sz w:val="32"/>
          <w:szCs w:val="32"/>
          <w:lang w:val="en-US"/>
          <w14:textFill>
            <w14:solidFill>
              <w14:schemeClr w14:val="tx1"/>
            </w14:solidFill>
          </w14:textFill>
        </w:rPr>
        <w:t>附件</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baseline"/>
        <w:rPr>
          <w:rStyle w:val="39"/>
          <w:rFonts w:ascii="方正小标宋简体" w:eastAsia="方正小标宋简体"/>
          <w:color w:val="000000" w:themeColor="text1"/>
          <w:sz w:val="44"/>
          <w:szCs w:val="44"/>
          <w14:textFill>
            <w14:solidFill>
              <w14:schemeClr w14:val="tx1"/>
            </w14:solidFill>
          </w14:textFill>
        </w:rPr>
      </w:pPr>
      <w:r>
        <w:rPr>
          <w:rStyle w:val="39"/>
          <w:rFonts w:ascii="方正小标宋简体" w:eastAsia="方正小标宋简体"/>
          <w:color w:val="000000" w:themeColor="text1"/>
          <w:sz w:val="44"/>
          <w:szCs w:val="44"/>
          <w14:textFill>
            <w14:solidFill>
              <w14:schemeClr w14:val="tx1"/>
            </w14:solidFill>
          </w14:textFill>
        </w:rPr>
        <w:t>202</w:t>
      </w:r>
      <w:r>
        <w:rPr>
          <w:rStyle w:val="39"/>
          <w:rFonts w:hint="eastAsia" w:ascii="方正小标宋简体" w:eastAsia="方正小标宋简体"/>
          <w:color w:val="000000" w:themeColor="text1"/>
          <w:sz w:val="44"/>
          <w:szCs w:val="44"/>
          <w:lang w:val="en-US"/>
          <w14:textFill>
            <w14:solidFill>
              <w14:schemeClr w14:val="tx1"/>
            </w14:solidFill>
          </w14:textFill>
        </w:rPr>
        <w:t>2</w:t>
      </w:r>
      <w:r>
        <w:rPr>
          <w:rStyle w:val="39"/>
          <w:rFonts w:ascii="方正小标宋简体" w:eastAsia="方正小标宋简体"/>
          <w:color w:val="000000" w:themeColor="text1"/>
          <w:sz w:val="44"/>
          <w:szCs w:val="44"/>
          <w14:textFill>
            <w14:solidFill>
              <w14:schemeClr w14:val="tx1"/>
            </w14:solidFill>
          </w14:textFill>
        </w:rPr>
        <w:t>年广元市医疗保障局整体支出</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baseline"/>
        <w:rPr>
          <w:rStyle w:val="39"/>
          <w:rFonts w:ascii="方正小标宋简体" w:eastAsia="方正小标宋简体"/>
          <w:color w:val="000000" w:themeColor="text1"/>
          <w:sz w:val="44"/>
          <w:szCs w:val="44"/>
          <w14:textFill>
            <w14:solidFill>
              <w14:schemeClr w14:val="tx1"/>
            </w14:solidFill>
          </w14:textFill>
        </w:rPr>
      </w:pPr>
      <w:r>
        <w:rPr>
          <w:rStyle w:val="39"/>
          <w:rFonts w:ascii="方正小标宋简体" w:eastAsia="方正小标宋简体"/>
          <w:color w:val="000000" w:themeColor="text1"/>
          <w:sz w:val="44"/>
          <w:szCs w:val="44"/>
          <w14:textFill>
            <w14:solidFill>
              <w14:schemeClr w14:val="tx1"/>
            </w14:solidFill>
          </w14:textFill>
        </w:rPr>
        <w:t>绩效</w:t>
      </w:r>
      <w:r>
        <w:rPr>
          <w:rStyle w:val="39"/>
          <w:rFonts w:hint="eastAsia" w:ascii="方正小标宋简体" w:eastAsia="方正小标宋简体"/>
          <w:color w:val="000000" w:themeColor="text1"/>
          <w:sz w:val="44"/>
          <w:szCs w:val="44"/>
          <w14:textFill>
            <w14:solidFill>
              <w14:schemeClr w14:val="tx1"/>
            </w14:solidFill>
          </w14:textFill>
        </w:rPr>
        <w:t>自评</w:t>
      </w:r>
      <w:r>
        <w:rPr>
          <w:rStyle w:val="39"/>
          <w:rFonts w:ascii="方正小标宋简体" w:eastAsia="方正小标宋简体"/>
          <w:color w:val="000000" w:themeColor="text1"/>
          <w:sz w:val="44"/>
          <w:szCs w:val="44"/>
          <w14:textFill>
            <w14:solidFill>
              <w14:schemeClr w14:val="tx1"/>
            </w14:solidFill>
          </w14:textFill>
        </w:rPr>
        <w:t>报告</w:t>
      </w:r>
    </w:p>
    <w:p>
      <w:pPr>
        <w:pStyle w:val="42"/>
        <w:spacing w:after="0" w:line="400" w:lineRule="exact"/>
        <w:rPr>
          <w:rStyle w:val="39"/>
          <w:rFonts w:ascii="仿宋_GB2312"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Style w:val="39"/>
          <w:rFonts w:ascii="黑体" w:hAnsi="黑体" w:eastAsia="黑体"/>
          <w:color w:val="000000" w:themeColor="text1"/>
          <w:sz w:val="32"/>
          <w:szCs w:val="32"/>
          <w14:textFill>
            <w14:solidFill>
              <w14:schemeClr w14:val="tx1"/>
            </w14:solidFill>
          </w14:textFill>
        </w:rPr>
      </w:pPr>
      <w:r>
        <w:rPr>
          <w:rStyle w:val="39"/>
          <w:rFonts w:ascii="黑体" w:hAnsi="黑体" w:eastAsia="黑体"/>
          <w:color w:val="000000" w:themeColor="text1"/>
          <w:sz w:val="32"/>
          <w:szCs w:val="32"/>
          <w14:textFill>
            <w14:solidFill>
              <w14:schemeClr w14:val="tx1"/>
            </w14:solidFill>
          </w14:textFill>
        </w:rPr>
        <w:t>一、部门（单位）概况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Style w:val="39"/>
          <w:rFonts w:ascii="方正楷体简体" w:eastAsia="方正楷体简体"/>
          <w:color w:val="000000" w:themeColor="text1"/>
          <w:sz w:val="32"/>
          <w:szCs w:val="32"/>
          <w14:textFill>
            <w14:solidFill>
              <w14:schemeClr w14:val="tx1"/>
            </w14:solidFill>
          </w14:textFill>
        </w:rPr>
      </w:pPr>
      <w:r>
        <w:rPr>
          <w:rStyle w:val="39"/>
          <w:rFonts w:ascii="方正楷体简体" w:eastAsia="方正楷体简体"/>
          <w:color w:val="000000" w:themeColor="text1"/>
          <w:sz w:val="32"/>
          <w:szCs w:val="32"/>
          <w14:textFill>
            <w14:solidFill>
              <w14:schemeClr w14:val="tx1"/>
            </w14:solidFill>
          </w14:textFill>
        </w:rPr>
        <w:t>（一）机构组成</w:t>
      </w:r>
    </w:p>
    <w:p>
      <w:pPr>
        <w:keepNext w:val="0"/>
        <w:keepLines w:val="0"/>
        <w:pageBreakBefore w:val="0"/>
        <w:widowControl w:val="0"/>
        <w:kinsoku/>
        <w:wordWrap/>
        <w:overflowPunct/>
        <w:topLinePunct w:val="0"/>
        <w:autoSpaceDE/>
        <w:autoSpaceDN/>
        <w:bidi w:val="0"/>
        <w:adjustRightInd w:val="0"/>
        <w:snapToGrid w:val="0"/>
        <w:spacing w:line="576" w:lineRule="exact"/>
        <w:ind w:firstLine="616" w:firstLineChars="200"/>
        <w:jc w:val="both"/>
        <w:textAlignment w:val="baseline"/>
        <w:rPr>
          <w:rStyle w:val="39"/>
          <w:rFonts w:ascii="仿宋_GB2312" w:eastAsia="仿宋_GB2312"/>
          <w:color w:val="000000" w:themeColor="text1"/>
          <w:spacing w:val="-6"/>
          <w:sz w:val="32"/>
          <w:szCs w:val="32"/>
          <w14:textFill>
            <w14:solidFill>
              <w14:schemeClr w14:val="tx1"/>
            </w14:solidFill>
          </w14:textFill>
        </w:rPr>
      </w:pPr>
      <w:r>
        <w:rPr>
          <w:rStyle w:val="39"/>
          <w:rFonts w:ascii="仿宋_GB2312" w:eastAsia="仿宋_GB2312"/>
          <w:color w:val="000000" w:themeColor="text1"/>
          <w:spacing w:val="-6"/>
          <w:sz w:val="32"/>
          <w:szCs w:val="32"/>
          <w14:textFill>
            <w14:solidFill>
              <w14:schemeClr w14:val="tx1"/>
            </w14:solidFill>
          </w14:textFill>
        </w:rPr>
        <w:t>广元市医疗保障局下属二级单位2个，其中参照公务员法管理的事业单位1个，其他事业单位1个，均为非独立预算二级单位。广元市医疗保障局部门预算包括：局机关预算、局属参公事业单位广元市医疗保障事务中心预算、局属事业单位市医保信息中心预算。</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Style w:val="39"/>
          <w:rFonts w:ascii="方正楷体简体" w:eastAsia="方正楷体简体"/>
          <w:color w:val="000000" w:themeColor="text1"/>
          <w:sz w:val="32"/>
          <w:szCs w:val="32"/>
          <w14:textFill>
            <w14:solidFill>
              <w14:schemeClr w14:val="tx1"/>
            </w14:solidFill>
          </w14:textFill>
        </w:rPr>
      </w:pPr>
      <w:r>
        <w:rPr>
          <w:rStyle w:val="39"/>
          <w:rFonts w:ascii="方正楷体简体" w:eastAsia="方正楷体简体"/>
          <w:color w:val="000000" w:themeColor="text1"/>
          <w:sz w:val="32"/>
          <w:szCs w:val="32"/>
          <w14:textFill>
            <w14:solidFill>
              <w14:schemeClr w14:val="tx1"/>
            </w14:solidFill>
          </w14:textFill>
        </w:rPr>
        <w:t>（二）机构职能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Style w:val="39"/>
          <w:rFonts w:ascii="仿宋_GB2312" w:eastAsia="仿宋_GB2312"/>
          <w:color w:val="000000" w:themeColor="text1"/>
          <w:sz w:val="32"/>
          <w:szCs w:val="32"/>
          <w14:textFill>
            <w14:solidFill>
              <w14:schemeClr w14:val="tx1"/>
            </w14:solidFill>
          </w14:textFill>
        </w:rPr>
      </w:pPr>
      <w:r>
        <w:rPr>
          <w:rStyle w:val="39"/>
          <w:rFonts w:ascii="仿宋_GB2312" w:eastAsia="仿宋_GB2312"/>
          <w:color w:val="000000" w:themeColor="text1"/>
          <w:sz w:val="32"/>
          <w:szCs w:val="32"/>
          <w14:textFill>
            <w14:solidFill>
              <w14:schemeClr w14:val="tx1"/>
            </w14:solidFill>
          </w14:textFill>
        </w:rPr>
        <w:t>1. 负责贯彻执行国家、省、市有关医疗保险、生育保险、医疗救助、长期护理保险等医疗保障政策制度。</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Style w:val="39"/>
          <w:rFonts w:ascii="仿宋_GB2312" w:eastAsia="仿宋_GB2312"/>
          <w:color w:val="000000" w:themeColor="text1"/>
          <w:sz w:val="32"/>
          <w:szCs w:val="32"/>
          <w14:textFill>
            <w14:solidFill>
              <w14:schemeClr w14:val="tx1"/>
            </w14:solidFill>
          </w14:textFill>
        </w:rPr>
      </w:pPr>
      <w:r>
        <w:rPr>
          <w:rStyle w:val="39"/>
          <w:rFonts w:ascii="仿宋_GB2312" w:eastAsia="仿宋_GB2312"/>
          <w:color w:val="000000" w:themeColor="text1"/>
          <w:sz w:val="32"/>
          <w:szCs w:val="32"/>
          <w14:textFill>
            <w14:solidFill>
              <w14:schemeClr w14:val="tx1"/>
            </w14:solidFill>
          </w14:textFill>
        </w:rPr>
        <w:t>2. 组织起草有关地方性法规和规章草案。负责拟订全市医疗保障事业发展规划、政策和标准，并组织实施和监督检查。</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Style w:val="39"/>
          <w:rFonts w:ascii="仿宋_GB2312" w:eastAsia="仿宋_GB2312"/>
          <w:color w:val="000000" w:themeColor="text1"/>
          <w:sz w:val="32"/>
          <w:szCs w:val="32"/>
          <w14:textFill>
            <w14:solidFill>
              <w14:schemeClr w14:val="tx1"/>
            </w14:solidFill>
          </w14:textFill>
        </w:rPr>
      </w:pPr>
      <w:r>
        <w:rPr>
          <w:rStyle w:val="39"/>
          <w:rFonts w:ascii="仿宋_GB2312" w:eastAsia="仿宋_GB2312"/>
          <w:color w:val="000000" w:themeColor="text1"/>
          <w:sz w:val="32"/>
          <w:szCs w:val="32"/>
          <w14:textFill>
            <w14:solidFill>
              <w14:schemeClr w14:val="tx1"/>
            </w14:solidFill>
          </w14:textFill>
        </w:rPr>
        <w:t xml:space="preserve">3. </w:t>
      </w:r>
      <w:r>
        <w:rPr>
          <w:rStyle w:val="39"/>
          <w:rFonts w:ascii="仿宋_GB2312" w:eastAsia="仿宋_GB2312"/>
          <w:color w:val="000000" w:themeColor="text1"/>
          <w:spacing w:val="-6"/>
          <w:sz w:val="32"/>
          <w:szCs w:val="32"/>
          <w14:textFill>
            <w14:solidFill>
              <w14:schemeClr w14:val="tx1"/>
            </w14:solidFill>
          </w14:textFill>
        </w:rPr>
        <w:t>组织拟订并实施医疗保障基金监督管理制度，建立健全医疗保障基金安全防控机制，监督强化全市医疗保障基金运行管理。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Style w:val="39"/>
          <w:rFonts w:ascii="仿宋_GB2312" w:eastAsia="仿宋_GB2312"/>
          <w:color w:val="000000" w:themeColor="text1"/>
          <w:sz w:val="32"/>
          <w:szCs w:val="32"/>
          <w14:textFill>
            <w14:solidFill>
              <w14:schemeClr w14:val="tx1"/>
            </w14:solidFill>
          </w14:textFill>
        </w:rPr>
      </w:pPr>
      <w:r>
        <w:rPr>
          <w:rStyle w:val="39"/>
          <w:rFonts w:ascii="仿宋_GB2312" w:eastAsia="仿宋_GB2312"/>
          <w:color w:val="000000" w:themeColor="text1"/>
          <w:sz w:val="32"/>
          <w:szCs w:val="32"/>
          <w14:textFill>
            <w14:solidFill>
              <w14:schemeClr w14:val="tx1"/>
            </w14:solidFill>
          </w14:textFill>
        </w:rPr>
        <w:t>4. 组织拟订医疗保障筹资和待遇政策，负责医疗保障基金归集，拟订医疗保障基金年度收支计划，按政策和标准支付医疗待遇；完善动态调整和区域调剂平衡机制，统筹城乡医疗保障待遇标准，建立健全与筹资水平相适应的待遇调整机制。</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Style w:val="39"/>
          <w:rFonts w:ascii="仿宋_GB2312" w:eastAsia="仿宋_GB2312"/>
          <w:color w:val="000000" w:themeColor="text1"/>
          <w:spacing w:val="6"/>
          <w:sz w:val="32"/>
          <w:szCs w:val="32"/>
          <w14:textFill>
            <w14:solidFill>
              <w14:schemeClr w14:val="tx1"/>
            </w14:solidFill>
          </w14:textFill>
        </w:rPr>
      </w:pPr>
      <w:r>
        <w:rPr>
          <w:rStyle w:val="39"/>
          <w:rFonts w:ascii="仿宋_GB2312" w:eastAsia="仿宋_GB2312"/>
          <w:color w:val="000000" w:themeColor="text1"/>
          <w:sz w:val="32"/>
          <w:szCs w:val="32"/>
          <w14:textFill>
            <w14:solidFill>
              <w14:schemeClr w14:val="tx1"/>
            </w14:solidFill>
          </w14:textFill>
        </w:rPr>
        <w:t xml:space="preserve">5. </w:t>
      </w:r>
      <w:r>
        <w:rPr>
          <w:rStyle w:val="39"/>
          <w:rFonts w:ascii="仿宋_GB2312" w:eastAsia="仿宋_GB2312"/>
          <w:color w:val="000000" w:themeColor="text1"/>
          <w:spacing w:val="6"/>
          <w:sz w:val="32"/>
          <w:szCs w:val="32"/>
          <w14:textFill>
            <w14:solidFill>
              <w14:schemeClr w14:val="tx1"/>
            </w14:solidFill>
          </w14:textFill>
        </w:rPr>
        <w:t>贯彻执行上级药品目录、医用耗材、医疗服务项目、医疗服务设施等医疗保障目录和支付标准政策。拟订全市药品目录、医用耗材、医疗服务项目、医疗服务设施等医疗保障目录和支付标准政策。拟订全市有关医保目录准入谈判规则并组织实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Style w:val="39"/>
          <w:rFonts w:ascii="仿宋_GB2312" w:eastAsia="仿宋_GB2312"/>
          <w:color w:val="000000" w:themeColor="text1"/>
          <w:sz w:val="32"/>
          <w:szCs w:val="32"/>
          <w14:textFill>
            <w14:solidFill>
              <w14:schemeClr w14:val="tx1"/>
            </w14:solidFill>
          </w14:textFill>
        </w:rPr>
      </w:pPr>
      <w:r>
        <w:rPr>
          <w:rStyle w:val="39"/>
          <w:rFonts w:ascii="仿宋_GB2312" w:eastAsia="仿宋_GB2312"/>
          <w:color w:val="000000" w:themeColor="text1"/>
          <w:sz w:val="32"/>
          <w:szCs w:val="32"/>
          <w14:textFill>
            <w14:solidFill>
              <w14:schemeClr w14:val="tx1"/>
            </w14:solidFill>
          </w14:textFill>
        </w:rPr>
        <w:t>6. 贯彻执行上级药品、医用耗材价格和医疗服务项目、医疗服务设施收费等政策，负责拟订全市医用耗材价格和医疗服务项目、医疗服务设施收费等政策。建立医保支付医药服务价格合理确定和动态调整机制。推动建立市场主导的社会医药服务价格形成机制，建立价格信息监测和信息发布制度。</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Style w:val="39"/>
          <w:rFonts w:ascii="仿宋_GB2312" w:eastAsia="仿宋_GB2312"/>
          <w:color w:val="000000" w:themeColor="text1"/>
          <w:sz w:val="32"/>
          <w:szCs w:val="32"/>
          <w14:textFill>
            <w14:solidFill>
              <w14:schemeClr w14:val="tx1"/>
            </w14:solidFill>
          </w14:textFill>
        </w:rPr>
      </w:pPr>
      <w:r>
        <w:rPr>
          <w:rStyle w:val="39"/>
          <w:rFonts w:ascii="仿宋_GB2312" w:eastAsia="仿宋_GB2312"/>
          <w:color w:val="000000" w:themeColor="text1"/>
          <w:sz w:val="32"/>
          <w:szCs w:val="32"/>
          <w14:textFill>
            <w14:solidFill>
              <w14:schemeClr w14:val="tx1"/>
            </w14:solidFill>
          </w14:textFill>
        </w:rPr>
        <w:t>7. 贯彻执行上级药品、医用耗材的招标采购政策并监督实施。负责全市药品、医用耗材招标采购平台建设。组织实施大病保险招标准入和业务指导。</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Style w:val="39"/>
          <w:rFonts w:ascii="仿宋_GB2312" w:eastAsia="仿宋_GB2312"/>
          <w:color w:val="000000" w:themeColor="text1"/>
          <w:sz w:val="32"/>
          <w:szCs w:val="32"/>
          <w14:textFill>
            <w14:solidFill>
              <w14:schemeClr w14:val="tx1"/>
            </w14:solidFill>
          </w14:textFill>
        </w:rPr>
      </w:pPr>
      <w:r>
        <w:rPr>
          <w:rStyle w:val="39"/>
          <w:rFonts w:ascii="仿宋_GB2312" w:eastAsia="仿宋_GB2312"/>
          <w:color w:val="000000" w:themeColor="text1"/>
          <w:sz w:val="32"/>
          <w:szCs w:val="32"/>
          <w14:textFill>
            <w14:solidFill>
              <w14:schemeClr w14:val="tx1"/>
            </w14:solidFill>
          </w14:textFill>
        </w:rPr>
        <w:t>8. 推进医疗保障基金支付方式改革，拟订全市定点医药机构协议和支付管理办法并组织实施。负责全市医疗保障定点机构管理和考核工作。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Style w:val="39"/>
          <w:rFonts w:ascii="仿宋_GB2312" w:eastAsia="仿宋_GB2312"/>
          <w:color w:val="000000" w:themeColor="text1"/>
          <w:sz w:val="32"/>
          <w:szCs w:val="32"/>
          <w14:textFill>
            <w14:solidFill>
              <w14:schemeClr w14:val="tx1"/>
            </w14:solidFill>
          </w14:textFill>
        </w:rPr>
      </w:pPr>
      <w:r>
        <w:rPr>
          <w:rStyle w:val="39"/>
          <w:rFonts w:ascii="仿宋_GB2312" w:eastAsia="仿宋_GB2312"/>
          <w:color w:val="000000" w:themeColor="text1"/>
          <w:sz w:val="32"/>
          <w:szCs w:val="32"/>
          <w14:textFill>
            <w14:solidFill>
              <w14:schemeClr w14:val="tx1"/>
            </w14:solidFill>
          </w14:textFill>
        </w:rPr>
        <w:t>9. 建立健全医疗保障信用评价体系和信息披露制度。推进协议服务机构标准化建设，建立协议服务机构准入和退出机制。监督管理纳入医保范围内的医疗服务行为和医疗费用，依法查处医疗保障领域违法违规行为。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Style w:val="39"/>
          <w:rFonts w:ascii="仿宋_GB2312" w:eastAsia="仿宋_GB2312"/>
          <w:color w:val="000000" w:themeColor="text1"/>
          <w:sz w:val="32"/>
          <w:szCs w:val="32"/>
          <w14:textFill>
            <w14:solidFill>
              <w14:schemeClr w14:val="tx1"/>
            </w14:solidFill>
          </w14:textFill>
        </w:rPr>
      </w:pPr>
      <w:r>
        <w:rPr>
          <w:rStyle w:val="39"/>
          <w:rFonts w:ascii="仿宋_GB2312" w:eastAsia="仿宋_GB2312"/>
          <w:color w:val="000000" w:themeColor="text1"/>
          <w:sz w:val="32"/>
          <w:szCs w:val="32"/>
          <w14:textFill>
            <w14:solidFill>
              <w14:schemeClr w14:val="tx1"/>
            </w14:solidFill>
          </w14:textFill>
        </w:rPr>
        <w:t>10. 负责全市医疗保障经办管理、公共服务体系建设。组织拟订和完善异地就医管理和费用结算政策。建立健全医疗保障关系转移接续制度。监督管理全市医保经办服务工作，开展医疗保障领域对外合作交流。</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Style w:val="39"/>
          <w:rFonts w:ascii="仿宋_GB2312" w:eastAsia="仿宋_GB2312"/>
          <w:color w:val="000000" w:themeColor="text1"/>
          <w:sz w:val="32"/>
          <w:szCs w:val="32"/>
          <w14:textFill>
            <w14:solidFill>
              <w14:schemeClr w14:val="tx1"/>
            </w14:solidFill>
          </w14:textFill>
        </w:rPr>
      </w:pPr>
      <w:r>
        <w:rPr>
          <w:rStyle w:val="39"/>
          <w:rFonts w:ascii="仿宋_GB2312" w:eastAsia="仿宋_GB2312"/>
          <w:color w:val="000000" w:themeColor="text1"/>
          <w:sz w:val="32"/>
          <w:szCs w:val="32"/>
          <w14:textFill>
            <w14:solidFill>
              <w14:schemeClr w14:val="tx1"/>
            </w14:solidFill>
          </w14:textFill>
        </w:rPr>
        <w:t>11. 负责推进实施全市医疗保障信息化建设，组织开展医疗保障大数据管理和应用。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Style w:val="39"/>
          <w:rFonts w:ascii="仿宋_GB2312" w:eastAsia="仿宋_GB2312"/>
          <w:color w:val="000000" w:themeColor="text1"/>
          <w:sz w:val="32"/>
          <w:szCs w:val="32"/>
          <w14:textFill>
            <w14:solidFill>
              <w14:schemeClr w14:val="tx1"/>
            </w14:solidFill>
          </w14:textFill>
        </w:rPr>
      </w:pPr>
      <w:r>
        <w:rPr>
          <w:rStyle w:val="39"/>
          <w:rFonts w:ascii="仿宋_GB2312" w:eastAsia="仿宋_GB2312"/>
          <w:color w:val="000000" w:themeColor="text1"/>
          <w:sz w:val="32"/>
          <w:szCs w:val="32"/>
          <w14:textFill>
            <w14:solidFill>
              <w14:schemeClr w14:val="tx1"/>
            </w14:solidFill>
          </w14:textFill>
        </w:rPr>
        <w:t>12. 负责职责范围内的安全生产和职业健康、生态环境保护、审批服务便民化等工作。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Style w:val="39"/>
          <w:rFonts w:ascii="仿宋_GB2312" w:eastAsia="仿宋_GB2312"/>
          <w:color w:val="000000" w:themeColor="text1"/>
          <w:sz w:val="32"/>
          <w:szCs w:val="32"/>
          <w14:textFill>
            <w14:solidFill>
              <w14:schemeClr w14:val="tx1"/>
            </w14:solidFill>
          </w14:textFill>
        </w:rPr>
      </w:pPr>
      <w:r>
        <w:rPr>
          <w:rStyle w:val="39"/>
          <w:rFonts w:ascii="仿宋_GB2312" w:eastAsia="仿宋_GB2312"/>
          <w:color w:val="000000" w:themeColor="text1"/>
          <w:sz w:val="32"/>
          <w:szCs w:val="32"/>
          <w14:textFill>
            <w14:solidFill>
              <w14:schemeClr w14:val="tx1"/>
            </w14:solidFill>
          </w14:textFill>
        </w:rPr>
        <w:t>13. 完成市委和市政府交办的其他任务。</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Style w:val="39"/>
          <w:rFonts w:ascii="仿宋_GB2312" w:eastAsia="仿宋_GB2312"/>
          <w:color w:val="000000" w:themeColor="text1"/>
          <w:sz w:val="32"/>
          <w:szCs w:val="32"/>
          <w14:textFill>
            <w14:solidFill>
              <w14:schemeClr w14:val="tx1"/>
            </w14:solidFill>
          </w14:textFill>
        </w:rPr>
      </w:pPr>
      <w:r>
        <w:rPr>
          <w:rStyle w:val="39"/>
          <w:rFonts w:ascii="仿宋_GB2312" w:eastAsia="仿宋_GB2312"/>
          <w:color w:val="000000" w:themeColor="text1"/>
          <w:sz w:val="32"/>
          <w:szCs w:val="32"/>
          <w14:textFill>
            <w14:solidFill>
              <w14:schemeClr w14:val="tx1"/>
            </w14:solidFill>
          </w14:textFill>
        </w:rPr>
        <w:t>14. 职能转变。完善统一的城乡居民基本医疗保险制度和大病保险制度，不断提高医疗保障水平，建立健全覆盖全民、城乡统筹的多层次医疗保障体系，确保医保资金合理使用、安全可控，推进医疗、医保、医药“三医联动”改革，更好保障人民群众就医需求、减轻医药费用负担。</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Style w:val="39"/>
          <w:rFonts w:ascii="仿宋_GB2312" w:eastAsia="仿宋_GB2312"/>
          <w:color w:val="000000" w:themeColor="text1"/>
          <w:sz w:val="32"/>
          <w:szCs w:val="32"/>
          <w14:textFill>
            <w14:solidFill>
              <w14:schemeClr w14:val="tx1"/>
            </w14:solidFill>
          </w14:textFill>
        </w:rPr>
      </w:pPr>
      <w:r>
        <w:rPr>
          <w:rStyle w:val="39"/>
          <w:rFonts w:ascii="仿宋_GB2312" w:eastAsia="仿宋_GB2312"/>
          <w:color w:val="000000" w:themeColor="text1"/>
          <w:sz w:val="32"/>
          <w:szCs w:val="32"/>
          <w14:textFill>
            <w14:solidFill>
              <w14:schemeClr w14:val="tx1"/>
            </w14:solidFill>
          </w14:textFill>
        </w:rPr>
        <w:t>15. 有关职责分工。市卫生健康委员会、市医疗保障局和市市场监督管理局等部门在医疗、医保、医药等方面加强制度、政策衔接，建立沟通协商机制，协同推进改革，提高医疗资源使用效率和医疗保障水平。</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Style w:val="39"/>
          <w:rFonts w:hint="eastAsia" w:ascii="楷体_GB2312" w:hAnsi="楷体_GB2312" w:eastAsia="楷体_GB2312" w:cs="楷体_GB2312"/>
          <w:color w:val="000000" w:themeColor="text1"/>
          <w:sz w:val="32"/>
          <w:szCs w:val="32"/>
          <w14:textFill>
            <w14:solidFill>
              <w14:schemeClr w14:val="tx1"/>
            </w14:solidFill>
          </w14:textFill>
        </w:rPr>
      </w:pPr>
      <w:r>
        <w:rPr>
          <w:rStyle w:val="39"/>
          <w:rFonts w:hint="eastAsia" w:ascii="楷体_GB2312" w:hAnsi="楷体_GB2312" w:eastAsia="楷体_GB2312" w:cs="楷体_GB2312"/>
          <w:color w:val="000000" w:themeColor="text1"/>
          <w:sz w:val="32"/>
          <w:szCs w:val="32"/>
          <w14:textFill>
            <w14:solidFill>
              <w14:schemeClr w14:val="tx1"/>
            </w14:solidFill>
          </w14:textFill>
        </w:rPr>
        <w:t>（三）广元市医疗保障局202</w:t>
      </w:r>
      <w:r>
        <w:rPr>
          <w:rStyle w:val="39"/>
          <w:rFonts w:hint="eastAsia" w:ascii="楷体_GB2312" w:hAnsi="楷体_GB2312" w:eastAsia="楷体_GB2312" w:cs="楷体_GB2312"/>
          <w:color w:val="000000" w:themeColor="text1"/>
          <w:sz w:val="32"/>
          <w:szCs w:val="32"/>
          <w:lang w:val="en-US"/>
          <w14:textFill>
            <w14:solidFill>
              <w14:schemeClr w14:val="tx1"/>
            </w14:solidFill>
          </w14:textFill>
        </w:rPr>
        <w:t>2</w:t>
      </w:r>
      <w:r>
        <w:rPr>
          <w:rStyle w:val="39"/>
          <w:rFonts w:hint="eastAsia" w:ascii="楷体_GB2312" w:hAnsi="楷体_GB2312" w:eastAsia="楷体_GB2312" w:cs="楷体_GB2312"/>
          <w:color w:val="000000" w:themeColor="text1"/>
          <w:sz w:val="32"/>
          <w:szCs w:val="32"/>
          <w14:textFill>
            <w14:solidFill>
              <w14:schemeClr w14:val="tx1"/>
            </w14:solidFill>
          </w14:textFill>
        </w:rPr>
        <w:t>年重点工作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left="0" w:right="0" w:firstLine="640" w:firstLineChars="200"/>
        <w:jc w:val="both"/>
        <w:rPr>
          <w:rFonts w:hint="eastAsia" w:ascii="仿宋_GB2312" w:hAnsi="仿宋_GB2312" w:eastAsia="仿宋_GB2312" w:cs="仿宋_GB2312"/>
          <w:color w:val="000000" w:themeColor="text1"/>
          <w:spacing w:val="-6"/>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FFFFFF"/>
          <w14:textFill>
            <w14:solidFill>
              <w14:schemeClr w14:val="tx1"/>
            </w14:solidFill>
          </w14:textFill>
        </w:rPr>
        <w:t xml:space="preserve">1. </w:t>
      </w:r>
      <w:r>
        <w:rPr>
          <w:rFonts w:hint="eastAsia" w:ascii="仿宋_GB2312" w:hAnsi="仿宋_GB2312" w:eastAsia="仿宋_GB2312" w:cs="仿宋_GB2312"/>
          <w:i w:val="0"/>
          <w:iCs w:val="0"/>
          <w:caps w:val="0"/>
          <w:color w:val="000000" w:themeColor="text1"/>
          <w:spacing w:val="-6"/>
          <w:sz w:val="32"/>
          <w:szCs w:val="32"/>
          <w:shd w:val="clear" w:color="auto" w:fill="FFFFFF"/>
          <w14:textFill>
            <w14:solidFill>
              <w14:schemeClr w14:val="tx1"/>
            </w14:solidFill>
          </w14:textFill>
        </w:rPr>
        <w:t>实施全民依法参保计划。坚持全民依法参保原则，基本医疗保险参保率稳定在98%以上，完善医保筹资动态调整机制，全面落实分类资助参保政策,清理优化参保数据库，实现应保尽保，防止重复参保。建立征收协调机制，优化征收网点、方式，全面完成2022年度集中征缴期居民医保征缴任务，兜牢致贫返贫底线。</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0"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FFFFFF"/>
          <w14:textFill>
            <w14:solidFill>
              <w14:schemeClr w14:val="tx1"/>
            </w14:solidFill>
          </w14:textFill>
        </w:rPr>
        <w:t>2. 巩固优化医疗保障待遇机制。严格落实国家医保待遇清单制度，统筹完善基本医保、大病保险、医疗救助三重制度综合保障政策,稳步提高医疗保障待遇水平，积极争取医疗救助市级统筹试点示范，引导医疗互助、商业健康保险发展。巩固医疗保障脱贫攻坚成果,实现与乡村振兴有效衔接。落实新冠肺炎疫情医疗救治费用、疫苗及接种费用保障机制，落实特殊群体、特定疾病医药费用豁免政策。</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0"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FFFFFF"/>
          <w14:textFill>
            <w14:solidFill>
              <w14:schemeClr w14:val="tx1"/>
            </w14:solidFill>
          </w14:textFill>
        </w:rPr>
        <w:t>3. 深化医疗保障领域创新改革。深入推进医保支付方式改革,完善符合中医药服务特点支付政策，建立健全与门诊共济保障相适应的付费机制，形成管用高效的多元复合医保支付机制。常态化制度化推动药品和医用耗材集中带量采购工作，持续降低群众医疗费用负担。建立医疗服务价格动态调整机制，持续优化医疗机构收入结构。推进紧密型县域医共体医保管理改革,完善差别化医保支付政策,推动形成科学合理分级诊疗体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6" w:lineRule="exact"/>
        <w:ind w:right="0"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FFFFFF"/>
          <w14:textFill>
            <w14:solidFill>
              <w14:schemeClr w14:val="tx1"/>
            </w14:solidFill>
          </w14:textFill>
        </w:rPr>
        <w:t>4. 建立健全医保基金监管制度体系。保持打击欺诈骗保高压态势，深入推进行业系统治理，持续开展打击“假病人、假病情、假票据”三假专项行动。加快推进基金监管制度体系改革,积极争取医保基金监管行政执法规范化建设试点，加快建立医疗保障基金监管制度体系和执法体系,形成以法治为保障,信用管理为基础,多形式检查、大数据监管为依托,党委领导、政府监管、社会监督、行业自律、个人守信相结合的全方位监管格局。</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Fonts w:hint="eastAsia" w:ascii="仿宋_GB2312" w:hAnsi="仿宋_GB2312" w:eastAsia="仿宋_GB2312" w:cs="仿宋_GB2312"/>
          <w:i w:val="0"/>
          <w:iCs w:val="0"/>
          <w:caps w:val="0"/>
          <w:color w:val="000000" w:themeColor="text1"/>
          <w:spacing w:val="0"/>
          <w:sz w:val="32"/>
          <w:szCs w:val="32"/>
          <w:shd w:val="clear" w:color="auto"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FFFFFF"/>
          <w14:textFill>
            <w14:solidFill>
              <w14:schemeClr w14:val="tx1"/>
            </w14:solidFill>
          </w14:textFill>
        </w:rPr>
        <w:t>5. 全面提升医疗保障公共服务水平。推动区域协同发展提质增效，深度融于成渝地区双城经济圈建设，加强与成渝地区、川东北经济区、川陕甘结合部地区医保部门战略对接、政策衔接、功能链接，牵头做好川东北联动监管和异地就医直接结算，增强异地就医便捷度和可及性。全域推开四级医保服务体系建设试点，实施基层医保网格化管理，推进医保经办管理服务标准化建设，改善群众医保服务体验。深化放管服改革优化营商环境，加强医保信息平台运维管理，推进区域经办服务一体化,高频医保经办服务事项实现“省内通办”“川渝通办”“跨省通办”，全程网办率达到95%以上，提高医保公共服务便捷化水平。</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Style w:val="39"/>
          <w:rFonts w:ascii="仿宋_GB2312" w:eastAsia="仿宋_GB2312"/>
          <w:color w:val="000000" w:themeColor="text1"/>
          <w:sz w:val="32"/>
          <w:szCs w:val="32"/>
          <w14:textFill>
            <w14:solidFill>
              <w14:schemeClr w14:val="tx1"/>
            </w14:solidFill>
          </w14:textFill>
        </w:rPr>
      </w:pPr>
      <w:r>
        <w:rPr>
          <w:rStyle w:val="39"/>
          <w:rFonts w:hint="eastAsia" w:ascii="楷体_GB2312" w:hAnsi="楷体_GB2312" w:eastAsia="楷体_GB2312" w:cs="楷体_GB2312"/>
          <w:color w:val="000000" w:themeColor="text1"/>
          <w:sz w:val="32"/>
          <w:szCs w:val="32"/>
          <w14:textFill>
            <w14:solidFill>
              <w14:schemeClr w14:val="tx1"/>
            </w14:solidFill>
          </w14:textFill>
        </w:rPr>
        <w:t>（四）</w:t>
      </w:r>
      <w:r>
        <w:rPr>
          <w:rFonts w:hint="eastAsia" w:ascii="楷体_GB2312" w:hAnsi="楷体_GB2312" w:eastAsia="楷体_GB2312" w:cs="楷体_GB2312"/>
          <w:b w:val="0"/>
          <w:bCs w:val="0"/>
          <w:color w:val="000000" w:themeColor="text1"/>
          <w:spacing w:val="6"/>
          <w:kern w:val="0"/>
          <w:sz w:val="32"/>
          <w:szCs w:val="32"/>
          <w:highlight w:val="none"/>
          <w:shd w:val="clear" w:color="auto" w:fill="FFFFFF"/>
          <w:lang w:val="zh-CN"/>
          <w14:textFill>
            <w14:solidFill>
              <w14:schemeClr w14:val="tx1"/>
            </w14:solidFill>
          </w14:textFill>
        </w:rPr>
        <w:t>部门整体支出绩效目标。</w:t>
      </w:r>
      <w:r>
        <w:rPr>
          <w:rFonts w:hint="eastAsia" w:ascii="楷体_GB2312" w:hAnsi="楷体_GB2312" w:eastAsia="楷体_GB2312" w:cs="楷体_GB2312"/>
          <w:b w:val="0"/>
          <w:bCs w:val="0"/>
          <w:color w:val="000000" w:themeColor="text1"/>
          <w:spacing w:val="6"/>
          <w:kern w:val="0"/>
          <w:szCs w:val="32"/>
          <w:highlight w:val="none"/>
          <w:shd w:val="clear" w:color="auto" w:fill="FFFFFF"/>
          <w:lang w:val="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6"/>
          <w:kern w:val="0"/>
          <w:sz w:val="32"/>
          <w:szCs w:val="32"/>
          <w:highlight w:val="none"/>
          <w:shd w:val="clear" w:color="auto" w:fill="FFFFFF"/>
          <w:lang w:val="zh-CN"/>
          <w14:textFill>
            <w14:solidFill>
              <w14:schemeClr w14:val="tx1"/>
            </w14:solidFill>
          </w14:textFill>
        </w:rPr>
        <w:t>1</w:t>
      </w:r>
      <w:r>
        <w:rPr>
          <w:rFonts w:hint="eastAsia" w:ascii="仿宋_GB2312" w:hAnsi="仿宋_GB2312" w:eastAsia="仿宋_GB2312" w:cs="仿宋_GB2312"/>
          <w:b w:val="0"/>
          <w:bCs w:val="0"/>
          <w:color w:val="000000" w:themeColor="text1"/>
          <w:spacing w:val="6"/>
          <w:kern w:val="0"/>
          <w:sz w:val="32"/>
          <w:szCs w:val="32"/>
          <w:highlight w:val="none"/>
          <w:shd w:val="clear" w:color="auto" w:fill="FFFFFF"/>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pacing w:val="6"/>
          <w:kern w:val="0"/>
          <w:sz w:val="32"/>
          <w:szCs w:val="32"/>
          <w:highlight w:val="none"/>
          <w:shd w:val="clear" w:color="auto" w:fill="FFFFFF"/>
          <w:lang w:val="zh-CN"/>
          <w14:textFill>
            <w14:solidFill>
              <w14:schemeClr w14:val="tx1"/>
            </w14:solidFill>
          </w14:textFill>
        </w:rPr>
        <w:t>维持单位日常运转，按时发放员工工资；</w:t>
      </w:r>
      <w:r>
        <w:rPr>
          <w:rFonts w:hint="eastAsia" w:ascii="仿宋_GB2312" w:hAnsi="仿宋_GB2312" w:eastAsia="仿宋_GB2312" w:cs="仿宋_GB2312"/>
          <w:b w:val="0"/>
          <w:bCs w:val="0"/>
          <w:color w:val="000000" w:themeColor="text1"/>
          <w:spacing w:val="6"/>
          <w:kern w:val="0"/>
          <w:sz w:val="32"/>
          <w:szCs w:val="32"/>
          <w:highlight w:val="none"/>
          <w:shd w:val="clear" w:color="auto" w:fill="FFFFFF"/>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pacing w:val="6"/>
          <w:kern w:val="0"/>
          <w:sz w:val="32"/>
          <w:szCs w:val="32"/>
          <w:highlight w:val="none"/>
          <w:shd w:val="clear" w:color="auto" w:fill="FFFFFF"/>
          <w:lang w:val="zh-CN"/>
          <w14:textFill>
            <w14:solidFill>
              <w14:schemeClr w14:val="tx1"/>
            </w14:solidFill>
          </w14:textFill>
        </w:rPr>
        <w:t>.全面完成2022年度集中征缴期居民医保征缴任务；</w:t>
      </w:r>
      <w:r>
        <w:rPr>
          <w:rFonts w:hint="eastAsia" w:ascii="仿宋_GB2312" w:hAnsi="仿宋_GB2312" w:eastAsia="仿宋_GB2312" w:cs="仿宋_GB2312"/>
          <w:b w:val="0"/>
          <w:bCs w:val="0"/>
          <w:color w:val="000000" w:themeColor="text1"/>
          <w:spacing w:val="6"/>
          <w:kern w:val="0"/>
          <w:sz w:val="32"/>
          <w:szCs w:val="32"/>
          <w:highlight w:val="none"/>
          <w:shd w:val="clear" w:color="auto" w:fill="FFFFFF"/>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pacing w:val="6"/>
          <w:kern w:val="0"/>
          <w:sz w:val="32"/>
          <w:szCs w:val="32"/>
          <w:highlight w:val="none"/>
          <w:shd w:val="clear" w:color="auto" w:fill="FFFFFF"/>
          <w:lang w:val="zh-CN"/>
          <w14:textFill>
            <w14:solidFill>
              <w14:schemeClr w14:val="tx1"/>
            </w14:solidFill>
          </w14:textFill>
        </w:rPr>
        <w:t>.严格落实国家医保待遇清单制度，统筹完善基本医保、大病保险、医疗救助三重制度综合保障政策；</w:t>
      </w:r>
      <w:r>
        <w:rPr>
          <w:rFonts w:hint="eastAsia" w:ascii="仿宋_GB2312" w:hAnsi="仿宋_GB2312" w:eastAsia="仿宋_GB2312" w:cs="仿宋_GB2312"/>
          <w:b w:val="0"/>
          <w:bCs w:val="0"/>
          <w:color w:val="000000" w:themeColor="text1"/>
          <w:spacing w:val="6"/>
          <w:kern w:val="0"/>
          <w:sz w:val="32"/>
          <w:szCs w:val="32"/>
          <w:highlight w:val="none"/>
          <w:shd w:val="clear" w:color="auto" w:fill="FFFFFF"/>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pacing w:val="6"/>
          <w:kern w:val="0"/>
          <w:sz w:val="32"/>
          <w:szCs w:val="32"/>
          <w:highlight w:val="none"/>
          <w:shd w:val="clear" w:color="auto" w:fill="FFFFFF"/>
          <w:lang w:val="zh-CN"/>
          <w14:textFill>
            <w14:solidFill>
              <w14:schemeClr w14:val="tx1"/>
            </w14:solidFill>
          </w14:textFill>
        </w:rPr>
        <w:t>.巩固医疗保障脱贫攻坚成果,实现与乡村振兴有效衔接；</w:t>
      </w:r>
      <w:r>
        <w:rPr>
          <w:rFonts w:hint="eastAsia" w:ascii="仿宋_GB2312" w:hAnsi="仿宋_GB2312" w:eastAsia="仿宋_GB2312" w:cs="仿宋_GB2312"/>
          <w:b w:val="0"/>
          <w:bCs w:val="0"/>
          <w:color w:val="000000" w:themeColor="text1"/>
          <w:spacing w:val="6"/>
          <w:kern w:val="0"/>
          <w:sz w:val="32"/>
          <w:szCs w:val="32"/>
          <w:highlight w:val="none"/>
          <w:shd w:val="clear" w:color="auto" w:fill="FFFFFF"/>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pacing w:val="6"/>
          <w:kern w:val="0"/>
          <w:sz w:val="32"/>
          <w:szCs w:val="32"/>
          <w:highlight w:val="none"/>
          <w:shd w:val="clear" w:color="auto" w:fill="FFFFFF"/>
          <w:lang w:val="zh-CN"/>
          <w14:textFill>
            <w14:solidFill>
              <w14:schemeClr w14:val="tx1"/>
            </w14:solidFill>
          </w14:textFill>
        </w:rPr>
        <w:t>.落实新冠肺炎疫情医疗救治费用、疫苗及接种费用保障机制；</w:t>
      </w:r>
      <w:r>
        <w:rPr>
          <w:rFonts w:hint="eastAsia" w:ascii="仿宋_GB2312" w:hAnsi="仿宋_GB2312" w:eastAsia="仿宋_GB2312" w:cs="仿宋_GB2312"/>
          <w:b w:val="0"/>
          <w:bCs w:val="0"/>
          <w:color w:val="000000" w:themeColor="text1"/>
          <w:spacing w:val="6"/>
          <w:kern w:val="0"/>
          <w:sz w:val="32"/>
          <w:szCs w:val="32"/>
          <w:highlight w:val="none"/>
          <w:shd w:val="clear" w:color="auto" w:fill="FFFFFF"/>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pacing w:val="6"/>
          <w:kern w:val="0"/>
          <w:sz w:val="32"/>
          <w:szCs w:val="32"/>
          <w:highlight w:val="none"/>
          <w:shd w:val="clear" w:color="auto" w:fill="FFFFFF"/>
          <w:lang w:val="zh-CN"/>
          <w14:textFill>
            <w14:solidFill>
              <w14:schemeClr w14:val="tx1"/>
            </w14:solidFill>
          </w14:textFill>
        </w:rPr>
        <w:t>.深入推进医保支付方式改革，完成DRGS付费方式改革试点工作；</w:t>
      </w:r>
      <w:r>
        <w:rPr>
          <w:rFonts w:hint="eastAsia" w:ascii="仿宋_GB2312" w:hAnsi="仿宋_GB2312" w:eastAsia="仿宋_GB2312" w:cs="仿宋_GB2312"/>
          <w:b w:val="0"/>
          <w:bCs w:val="0"/>
          <w:color w:val="000000" w:themeColor="text1"/>
          <w:spacing w:val="6"/>
          <w:kern w:val="0"/>
          <w:sz w:val="32"/>
          <w:szCs w:val="32"/>
          <w:highlight w:val="none"/>
          <w:shd w:val="clear" w:color="auto" w:fill="FFFFFF"/>
          <w:lang w:val="en-US" w:eastAsia="zh-CN"/>
          <w14:textFill>
            <w14:solidFill>
              <w14:schemeClr w14:val="tx1"/>
            </w14:solidFill>
          </w14:textFill>
        </w:rPr>
        <w:t>7</w:t>
      </w:r>
      <w:r>
        <w:rPr>
          <w:rFonts w:hint="eastAsia" w:ascii="仿宋_GB2312" w:hAnsi="仿宋_GB2312" w:eastAsia="仿宋_GB2312" w:cs="仿宋_GB2312"/>
          <w:b w:val="0"/>
          <w:bCs w:val="0"/>
          <w:color w:val="000000" w:themeColor="text1"/>
          <w:spacing w:val="6"/>
          <w:kern w:val="0"/>
          <w:sz w:val="32"/>
          <w:szCs w:val="32"/>
          <w:highlight w:val="none"/>
          <w:shd w:val="clear" w:color="auto" w:fill="FFFFFF"/>
          <w:lang w:val="zh-CN"/>
          <w14:textFill>
            <w14:solidFill>
              <w14:schemeClr w14:val="tx1"/>
            </w14:solidFill>
          </w14:textFill>
        </w:rPr>
        <w:t>.建立医疗服务价格动态调整机制，持续优化医疗机构收入结构；</w:t>
      </w:r>
      <w:r>
        <w:rPr>
          <w:rFonts w:hint="default" w:ascii="仿宋_GB2312" w:hAnsi="仿宋_GB2312" w:eastAsia="仿宋_GB2312" w:cs="仿宋_GB2312"/>
          <w:b w:val="0"/>
          <w:bCs w:val="0"/>
          <w:color w:val="000000" w:themeColor="text1"/>
          <w:spacing w:val="6"/>
          <w:kern w:val="0"/>
          <w:sz w:val="32"/>
          <w:szCs w:val="32"/>
          <w:highlight w:val="none"/>
          <w:shd w:val="clear" w:color="auto" w:fill="FFFFFF"/>
          <w:lang w:val="en-US"/>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6"/>
          <w:kern w:val="0"/>
          <w:sz w:val="32"/>
          <w:szCs w:val="32"/>
          <w:highlight w:val="none"/>
          <w:shd w:val="clear" w:color="auto" w:fill="FFFFFF"/>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spacing w:val="6"/>
          <w:kern w:val="0"/>
          <w:sz w:val="32"/>
          <w:szCs w:val="32"/>
          <w:highlight w:val="none"/>
          <w:shd w:val="clear" w:color="auto" w:fill="FFFFFF"/>
          <w:lang w:val="zh-CN"/>
          <w14:textFill>
            <w14:solidFill>
              <w14:schemeClr w14:val="tx1"/>
            </w14:solidFill>
          </w14:textFill>
        </w:rPr>
        <w:t>.落实特殊群体、特定疾病医药费用豁免政策；</w:t>
      </w:r>
      <w:r>
        <w:rPr>
          <w:rFonts w:hint="eastAsia" w:ascii="仿宋_GB2312" w:hAnsi="仿宋_GB2312" w:eastAsia="仿宋_GB2312" w:cs="仿宋_GB2312"/>
          <w:b w:val="0"/>
          <w:bCs w:val="0"/>
          <w:color w:val="000000" w:themeColor="text1"/>
          <w:spacing w:val="6"/>
          <w:kern w:val="0"/>
          <w:sz w:val="32"/>
          <w:szCs w:val="32"/>
          <w:highlight w:val="none"/>
          <w:shd w:val="clear" w:color="auto" w:fill="FFFFFF"/>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spacing w:val="6"/>
          <w:kern w:val="0"/>
          <w:sz w:val="32"/>
          <w:szCs w:val="32"/>
          <w:highlight w:val="none"/>
          <w:shd w:val="clear" w:color="auto" w:fill="FFFFFF"/>
          <w:lang w:val="zh-CN"/>
          <w14:textFill>
            <w14:solidFill>
              <w14:schemeClr w14:val="tx1"/>
            </w14:solidFill>
          </w14:textFill>
        </w:rPr>
        <w:t>.保持打击欺诈骗保高压态势，深入推进行业系统治理；</w:t>
      </w:r>
      <w:r>
        <w:rPr>
          <w:rFonts w:hint="eastAsia" w:ascii="仿宋_GB2312" w:hAnsi="仿宋_GB2312" w:eastAsia="仿宋_GB2312" w:cs="仿宋_GB2312"/>
          <w:b w:val="0"/>
          <w:bCs w:val="0"/>
          <w:color w:val="000000" w:themeColor="text1"/>
          <w:spacing w:val="6"/>
          <w:kern w:val="0"/>
          <w:sz w:val="32"/>
          <w:szCs w:val="32"/>
          <w:highlight w:val="none"/>
          <w:shd w:val="clear" w:color="auto" w:fill="FFFFFF"/>
          <w:lang w:val="en-US" w:eastAsia="zh-CN"/>
          <w14:textFill>
            <w14:solidFill>
              <w14:schemeClr w14:val="tx1"/>
            </w14:solidFill>
          </w14:textFill>
        </w:rPr>
        <w:t>10</w:t>
      </w:r>
      <w:r>
        <w:rPr>
          <w:rFonts w:hint="eastAsia" w:ascii="仿宋_GB2312" w:hAnsi="仿宋_GB2312" w:eastAsia="仿宋_GB2312" w:cs="仿宋_GB2312"/>
          <w:b w:val="0"/>
          <w:bCs w:val="0"/>
          <w:color w:val="000000" w:themeColor="text1"/>
          <w:spacing w:val="6"/>
          <w:kern w:val="0"/>
          <w:sz w:val="32"/>
          <w:szCs w:val="32"/>
          <w:highlight w:val="none"/>
          <w:shd w:val="clear" w:color="auto" w:fill="FFFFFF"/>
          <w:lang w:val="zh-CN"/>
          <w14:textFill>
            <w14:solidFill>
              <w14:schemeClr w14:val="tx1"/>
            </w14:solidFill>
          </w14:textFill>
        </w:rPr>
        <w:t>.加快推进基金监管制度体系改革,逐步建立医疗保障基金监管制度体系和执法体系；1</w:t>
      </w:r>
      <w:r>
        <w:rPr>
          <w:rFonts w:hint="eastAsia" w:ascii="仿宋_GB2312" w:hAnsi="仿宋_GB2312" w:eastAsia="仿宋_GB2312" w:cs="仿宋_GB2312"/>
          <w:b w:val="0"/>
          <w:bCs w:val="0"/>
          <w:color w:val="000000" w:themeColor="text1"/>
          <w:spacing w:val="6"/>
          <w:kern w:val="0"/>
          <w:sz w:val="32"/>
          <w:szCs w:val="32"/>
          <w:highlight w:val="none"/>
          <w:shd w:val="clear" w:color="auto" w:fill="FFFFFF"/>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pacing w:val="6"/>
          <w:kern w:val="0"/>
          <w:sz w:val="32"/>
          <w:szCs w:val="32"/>
          <w:highlight w:val="none"/>
          <w:shd w:val="clear" w:color="auto" w:fill="FFFFFF"/>
          <w:lang w:val="zh-CN"/>
          <w14:textFill>
            <w14:solidFill>
              <w14:schemeClr w14:val="tx1"/>
            </w14:solidFill>
          </w14:textFill>
        </w:rPr>
        <w:t>.推进医保经办管理服务标准化建设，改善群众医保服务体验。</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baseline"/>
        <w:rPr>
          <w:rStyle w:val="39"/>
          <w:rFonts w:ascii="黑体" w:hAnsi="黑体" w:eastAsia="黑体"/>
          <w:color w:val="000000" w:themeColor="text1"/>
          <w:sz w:val="32"/>
          <w:szCs w:val="32"/>
          <w14:textFill>
            <w14:solidFill>
              <w14:schemeClr w14:val="tx1"/>
            </w14:solidFill>
          </w14:textFill>
        </w:rPr>
      </w:pPr>
      <w:r>
        <w:rPr>
          <w:rStyle w:val="39"/>
          <w:rFonts w:ascii="黑体" w:hAnsi="黑体" w:eastAsia="黑体"/>
          <w:color w:val="000000" w:themeColor="text1"/>
          <w:sz w:val="32"/>
          <w:szCs w:val="32"/>
          <w14:textFill>
            <w14:solidFill>
              <w14:schemeClr w14:val="tx1"/>
            </w14:solidFill>
          </w14:textFill>
        </w:rPr>
        <w:t>二、部门财政资金收支情况</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baseline"/>
        <w:rPr>
          <w:rStyle w:val="39"/>
          <w:rFonts w:hint="eastAsia" w:ascii="楷体_GB2312" w:hAnsi="楷体_GB2312" w:eastAsia="楷体_GB2312" w:cs="楷体_GB2312"/>
          <w:color w:val="000000" w:themeColor="text1"/>
          <w:sz w:val="32"/>
          <w:szCs w:val="32"/>
          <w14:textFill>
            <w14:solidFill>
              <w14:schemeClr w14:val="tx1"/>
            </w14:solidFill>
          </w14:textFill>
        </w:rPr>
      </w:pPr>
      <w:r>
        <w:rPr>
          <w:rStyle w:val="39"/>
          <w:rFonts w:hint="eastAsia" w:ascii="楷体_GB2312" w:hAnsi="楷体_GB2312" w:eastAsia="楷体_GB2312" w:cs="楷体_GB2312"/>
          <w:color w:val="000000" w:themeColor="text1"/>
          <w:sz w:val="32"/>
          <w:szCs w:val="32"/>
          <w14:textFill>
            <w14:solidFill>
              <w14:schemeClr w14:val="tx1"/>
            </w14:solidFill>
          </w14:textFill>
        </w:rPr>
        <w:t>（一）部门财政资金收入情况</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baseline"/>
        <w:rPr>
          <w:rStyle w:val="39"/>
          <w:rFonts w:ascii="仿宋_GB2312" w:eastAsia="仿宋_GB2312"/>
          <w:color w:val="000000" w:themeColor="text1"/>
          <w:sz w:val="32"/>
          <w:szCs w:val="32"/>
          <w14:textFill>
            <w14:solidFill>
              <w14:schemeClr w14:val="tx1"/>
            </w14:solidFill>
          </w14:textFill>
        </w:rPr>
      </w:pPr>
      <w:r>
        <w:rPr>
          <w:rStyle w:val="39"/>
          <w:rFonts w:ascii="仿宋_GB2312" w:eastAsia="仿宋_GB2312"/>
          <w:color w:val="000000" w:themeColor="text1"/>
          <w:sz w:val="32"/>
          <w:szCs w:val="32"/>
          <w14:textFill>
            <w14:solidFill>
              <w14:schemeClr w14:val="tx1"/>
            </w14:solidFill>
          </w14:textFill>
        </w:rPr>
        <w:t>202</w:t>
      </w:r>
      <w:r>
        <w:rPr>
          <w:rStyle w:val="39"/>
          <w:rFonts w:hint="eastAsia" w:ascii="仿宋_GB2312" w:eastAsia="仿宋_GB2312"/>
          <w:color w:val="000000" w:themeColor="text1"/>
          <w:sz w:val="32"/>
          <w:szCs w:val="32"/>
          <w:lang w:val="en-US"/>
          <w14:textFill>
            <w14:solidFill>
              <w14:schemeClr w14:val="tx1"/>
            </w14:solidFill>
          </w14:textFill>
        </w:rPr>
        <w:t>2</w:t>
      </w:r>
      <w:r>
        <w:rPr>
          <w:rStyle w:val="39"/>
          <w:rFonts w:ascii="仿宋_GB2312" w:eastAsia="仿宋_GB2312"/>
          <w:color w:val="000000" w:themeColor="text1"/>
          <w:sz w:val="32"/>
          <w:szCs w:val="32"/>
          <w14:textFill>
            <w14:solidFill>
              <w14:schemeClr w14:val="tx1"/>
            </w14:solidFill>
          </w14:textFill>
        </w:rPr>
        <w:t>年本年度收入</w:t>
      </w:r>
      <w:r>
        <w:rPr>
          <w:rStyle w:val="39"/>
          <w:rFonts w:hint="eastAsia" w:ascii="仿宋_GB2312" w:eastAsia="仿宋_GB2312"/>
          <w:color w:val="000000" w:themeColor="text1"/>
          <w:sz w:val="32"/>
          <w:szCs w:val="32"/>
          <w:lang w:val="en-US"/>
          <w14:textFill>
            <w14:solidFill>
              <w14:schemeClr w14:val="tx1"/>
            </w14:solidFill>
          </w14:textFill>
        </w:rPr>
        <w:t>2023.89</w:t>
      </w:r>
      <w:r>
        <w:rPr>
          <w:rStyle w:val="39"/>
          <w:rFonts w:ascii="仿宋_GB2312" w:eastAsia="仿宋_GB2312"/>
          <w:color w:val="000000" w:themeColor="text1"/>
          <w:sz w:val="32"/>
          <w:szCs w:val="32"/>
          <w14:textFill>
            <w14:solidFill>
              <w14:schemeClr w14:val="tx1"/>
            </w14:solidFill>
          </w14:textFill>
        </w:rPr>
        <w:t>万元，其中：一般公共预算财政拨款收入</w:t>
      </w:r>
      <w:r>
        <w:rPr>
          <w:rStyle w:val="39"/>
          <w:rFonts w:hint="eastAsia" w:ascii="仿宋_GB2312" w:eastAsia="仿宋_GB2312"/>
          <w:color w:val="000000" w:themeColor="text1"/>
          <w:sz w:val="32"/>
          <w:szCs w:val="32"/>
          <w:lang w:val="en-US"/>
          <w14:textFill>
            <w14:solidFill>
              <w14:schemeClr w14:val="tx1"/>
            </w14:solidFill>
          </w14:textFill>
        </w:rPr>
        <w:t>2023.9</w:t>
      </w:r>
      <w:r>
        <w:rPr>
          <w:rStyle w:val="39"/>
          <w:rFonts w:ascii="仿宋_GB2312" w:eastAsia="仿宋_GB2312"/>
          <w:color w:val="000000" w:themeColor="text1"/>
          <w:sz w:val="32"/>
          <w:szCs w:val="32"/>
          <w14:textFill>
            <w14:solidFill>
              <w14:schemeClr w14:val="tx1"/>
            </w14:solidFill>
          </w14:textFill>
        </w:rPr>
        <w:t>万元，占</w:t>
      </w:r>
      <w:r>
        <w:rPr>
          <w:rStyle w:val="39"/>
          <w:rFonts w:hint="default" w:ascii="仿宋_GB2312" w:eastAsia="仿宋_GB2312"/>
          <w:color w:val="000000" w:themeColor="text1"/>
          <w:sz w:val="32"/>
          <w:szCs w:val="32"/>
          <w:lang w:val="en-US"/>
          <w14:textFill>
            <w14:solidFill>
              <w14:schemeClr w14:val="tx1"/>
            </w14:solidFill>
          </w14:textFill>
        </w:rPr>
        <w:t>100</w:t>
      </w:r>
      <w:r>
        <w:rPr>
          <w:rStyle w:val="39"/>
          <w:rFonts w:ascii="仿宋_GB2312"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baseline"/>
        <w:rPr>
          <w:rStyle w:val="39"/>
          <w:rFonts w:hint="eastAsia" w:ascii="楷体_GB2312" w:hAnsi="楷体_GB2312" w:eastAsia="楷体_GB2312" w:cs="楷体_GB2312"/>
          <w:color w:val="000000" w:themeColor="text1"/>
          <w:sz w:val="32"/>
          <w:szCs w:val="32"/>
          <w14:textFill>
            <w14:solidFill>
              <w14:schemeClr w14:val="tx1"/>
            </w14:solidFill>
          </w14:textFill>
        </w:rPr>
      </w:pPr>
      <w:r>
        <w:rPr>
          <w:rStyle w:val="39"/>
          <w:rFonts w:hint="eastAsia" w:ascii="楷体_GB2312" w:hAnsi="楷体_GB2312" w:eastAsia="楷体_GB2312" w:cs="楷体_GB2312"/>
          <w:color w:val="000000" w:themeColor="text1"/>
          <w:sz w:val="32"/>
          <w:szCs w:val="32"/>
          <w14:textFill>
            <w14:solidFill>
              <w14:schemeClr w14:val="tx1"/>
            </w14:solidFill>
          </w14:textFill>
        </w:rPr>
        <w:t>（二）部门财政资金支出情况</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baseline"/>
        <w:rPr>
          <w:rStyle w:val="39"/>
          <w:rFonts w:ascii="仿宋_GB2312" w:eastAsia="仿宋_GB2312"/>
          <w:color w:val="000000" w:themeColor="text1"/>
          <w:sz w:val="32"/>
          <w:szCs w:val="32"/>
          <w14:textFill>
            <w14:solidFill>
              <w14:schemeClr w14:val="tx1"/>
            </w14:solidFill>
          </w14:textFill>
        </w:rPr>
      </w:pPr>
      <w:r>
        <w:rPr>
          <w:rStyle w:val="39"/>
          <w:rFonts w:ascii="仿宋_GB2312" w:eastAsia="仿宋_GB2312"/>
          <w:color w:val="000000" w:themeColor="text1"/>
          <w:sz w:val="32"/>
          <w:szCs w:val="32"/>
          <w14:textFill>
            <w14:solidFill>
              <w14:schemeClr w14:val="tx1"/>
            </w14:solidFill>
          </w14:textFill>
        </w:rPr>
        <w:t>202</w:t>
      </w:r>
      <w:r>
        <w:rPr>
          <w:rStyle w:val="39"/>
          <w:rFonts w:hint="eastAsia" w:ascii="仿宋_GB2312" w:eastAsia="仿宋_GB2312"/>
          <w:color w:val="000000" w:themeColor="text1"/>
          <w:sz w:val="32"/>
          <w:szCs w:val="32"/>
          <w:lang w:val="en-US"/>
          <w14:textFill>
            <w14:solidFill>
              <w14:schemeClr w14:val="tx1"/>
            </w14:solidFill>
          </w14:textFill>
        </w:rPr>
        <w:t>2</w:t>
      </w:r>
      <w:r>
        <w:rPr>
          <w:rStyle w:val="39"/>
          <w:rFonts w:ascii="仿宋_GB2312" w:eastAsia="仿宋_GB2312"/>
          <w:color w:val="000000" w:themeColor="text1"/>
          <w:sz w:val="32"/>
          <w:szCs w:val="32"/>
          <w14:textFill>
            <w14:solidFill>
              <w14:schemeClr w14:val="tx1"/>
            </w14:solidFill>
          </w14:textFill>
        </w:rPr>
        <w:t>年本年支出合计</w:t>
      </w:r>
      <w:r>
        <w:rPr>
          <w:rStyle w:val="39"/>
          <w:rFonts w:hint="eastAsia" w:ascii="仿宋_GB2312" w:eastAsia="仿宋_GB2312"/>
          <w:color w:val="000000" w:themeColor="text1"/>
          <w:sz w:val="32"/>
          <w:szCs w:val="32"/>
          <w:lang w:val="en-US"/>
          <w14:textFill>
            <w14:solidFill>
              <w14:schemeClr w14:val="tx1"/>
            </w14:solidFill>
          </w14:textFill>
        </w:rPr>
        <w:t>1714.33</w:t>
      </w:r>
      <w:r>
        <w:rPr>
          <w:rStyle w:val="39"/>
          <w:rFonts w:ascii="仿宋_GB2312" w:eastAsia="仿宋_GB2312"/>
          <w:color w:val="000000" w:themeColor="text1"/>
          <w:sz w:val="32"/>
          <w:szCs w:val="32"/>
          <w14:textFill>
            <w14:solidFill>
              <w14:schemeClr w14:val="tx1"/>
            </w14:solidFill>
          </w14:textFill>
        </w:rPr>
        <w:t>万元，其中：基本支出</w:t>
      </w:r>
      <w:r>
        <w:rPr>
          <w:rStyle w:val="39"/>
          <w:rFonts w:hint="eastAsia" w:ascii="仿宋_GB2312" w:eastAsia="仿宋_GB2312"/>
          <w:color w:val="000000" w:themeColor="text1"/>
          <w:sz w:val="32"/>
          <w:szCs w:val="32"/>
          <w:lang w:val="en-US"/>
          <w14:textFill>
            <w14:solidFill>
              <w14:schemeClr w14:val="tx1"/>
            </w14:solidFill>
          </w14:textFill>
        </w:rPr>
        <w:t>768.15</w:t>
      </w:r>
      <w:r>
        <w:rPr>
          <w:rStyle w:val="39"/>
          <w:rFonts w:ascii="仿宋_GB2312" w:eastAsia="仿宋_GB2312"/>
          <w:color w:val="000000" w:themeColor="text1"/>
          <w:sz w:val="32"/>
          <w:szCs w:val="32"/>
          <w14:textFill>
            <w14:solidFill>
              <w14:schemeClr w14:val="tx1"/>
            </w14:solidFill>
          </w14:textFill>
        </w:rPr>
        <w:t xml:space="preserve">万元，占 </w:t>
      </w:r>
      <w:r>
        <w:rPr>
          <w:rStyle w:val="39"/>
          <w:rFonts w:hint="eastAsia" w:ascii="仿宋_GB2312" w:eastAsia="仿宋_GB2312"/>
          <w:color w:val="000000" w:themeColor="text1"/>
          <w:sz w:val="32"/>
          <w:szCs w:val="32"/>
          <w:lang w:val="en-US"/>
          <w14:textFill>
            <w14:solidFill>
              <w14:schemeClr w14:val="tx1"/>
            </w14:solidFill>
          </w14:textFill>
        </w:rPr>
        <w:t>44.81</w:t>
      </w:r>
      <w:r>
        <w:rPr>
          <w:rStyle w:val="39"/>
          <w:rFonts w:ascii="仿宋_GB2312" w:eastAsia="仿宋_GB2312"/>
          <w:color w:val="000000" w:themeColor="text1"/>
          <w:sz w:val="32"/>
          <w:szCs w:val="32"/>
          <w14:textFill>
            <w14:solidFill>
              <w14:schemeClr w14:val="tx1"/>
            </w14:solidFill>
          </w14:textFill>
        </w:rPr>
        <w:t>% ，项目支出</w:t>
      </w:r>
      <w:r>
        <w:rPr>
          <w:rStyle w:val="39"/>
          <w:rFonts w:hint="eastAsia" w:ascii="仿宋_GB2312" w:eastAsia="仿宋_GB2312"/>
          <w:color w:val="000000" w:themeColor="text1"/>
          <w:sz w:val="32"/>
          <w:szCs w:val="32"/>
          <w:lang w:val="en-US"/>
          <w14:textFill>
            <w14:solidFill>
              <w14:schemeClr w14:val="tx1"/>
            </w14:solidFill>
          </w14:textFill>
        </w:rPr>
        <w:t>946.18</w:t>
      </w:r>
      <w:r>
        <w:rPr>
          <w:rStyle w:val="39"/>
          <w:rFonts w:ascii="仿宋_GB2312" w:eastAsia="仿宋_GB2312"/>
          <w:color w:val="000000" w:themeColor="text1"/>
          <w:sz w:val="32"/>
          <w:szCs w:val="32"/>
          <w14:textFill>
            <w14:solidFill>
              <w14:schemeClr w14:val="tx1"/>
            </w14:solidFill>
          </w14:textFill>
        </w:rPr>
        <w:t>万元，占</w:t>
      </w:r>
      <w:r>
        <w:rPr>
          <w:rStyle w:val="39"/>
          <w:rFonts w:hint="eastAsia" w:ascii="仿宋_GB2312" w:eastAsia="仿宋_GB2312"/>
          <w:color w:val="000000" w:themeColor="text1"/>
          <w:sz w:val="32"/>
          <w:szCs w:val="32"/>
          <w:lang w:val="en-US"/>
          <w14:textFill>
            <w14:solidFill>
              <w14:schemeClr w14:val="tx1"/>
            </w14:solidFill>
          </w14:textFill>
        </w:rPr>
        <w:t>55.19</w:t>
      </w:r>
      <w:r>
        <w:rPr>
          <w:rStyle w:val="39"/>
          <w:rFonts w:ascii="仿宋_GB2312" w:eastAsia="仿宋_GB2312"/>
          <w:color w:val="000000" w:themeColor="text1"/>
          <w:sz w:val="32"/>
          <w:szCs w:val="32"/>
          <w14:textFill>
            <w14:solidFill>
              <w14:schemeClr w14:val="tx1"/>
            </w14:solidFill>
          </w14:textFill>
        </w:rPr>
        <w:t>%。</w:t>
      </w:r>
    </w:p>
    <w:p>
      <w:pPr>
        <w:keepNext w:val="0"/>
        <w:keepLines w:val="0"/>
        <w:pageBreakBefore w:val="0"/>
        <w:widowControl w:val="0"/>
        <w:numPr>
          <w:ilvl w:val="0"/>
          <w:numId w:val="5"/>
        </w:numPr>
        <w:kinsoku/>
        <w:wordWrap/>
        <w:overflowPunct/>
        <w:topLinePunct w:val="0"/>
        <w:autoSpaceDE/>
        <w:autoSpaceDN/>
        <w:bidi w:val="0"/>
        <w:adjustRightInd w:val="0"/>
        <w:snapToGrid w:val="0"/>
        <w:spacing w:line="550" w:lineRule="exact"/>
        <w:ind w:firstLine="640" w:firstLineChars="200"/>
        <w:contextualSpacing/>
        <w:jc w:val="both"/>
        <w:textAlignment w:val="auto"/>
        <w:rPr>
          <w:rFonts w:hint="eastAsia" w:ascii="楷体_GB2312" w:hAnsi="楷体_GB2312" w:eastAsia="楷体_GB2312" w:cs="楷体_GB2312"/>
          <w:b w:val="0"/>
          <w:bCs w:val="0"/>
          <w:color w:val="000000" w:themeColor="text1"/>
          <w:kern w:val="0"/>
          <w:sz w:val="32"/>
          <w:szCs w:val="32"/>
          <w:highlight w:val="none"/>
          <w:shd w:val="clear" w:color="auto" w:fill="FFFFFF"/>
          <w:lang w:val="en-US" w:eastAsia="zh-CN"/>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shd w:val="clear" w:color="auto" w:fill="FFFFFF"/>
          <w:lang w:val="en-US" w:eastAsia="zh-CN"/>
          <w14:textFill>
            <w14:solidFill>
              <w14:schemeClr w14:val="tx1"/>
            </w14:solidFill>
          </w14:textFill>
        </w:rPr>
        <w:t>部门财政拨款结转结余情况</w:t>
      </w:r>
    </w:p>
    <w:p>
      <w:pPr>
        <w:pStyle w:val="18"/>
        <w:keepNext w:val="0"/>
        <w:keepLines w:val="0"/>
        <w:pageBreakBefore w:val="0"/>
        <w:widowControl w:val="0"/>
        <w:numPr>
          <w:ilvl w:val="0"/>
          <w:numId w:val="0"/>
        </w:numPr>
        <w:kinsoku/>
        <w:wordWrap/>
        <w:overflowPunct/>
        <w:topLinePunct w:val="0"/>
        <w:autoSpaceDE/>
        <w:autoSpaceDN/>
        <w:bidi w:val="0"/>
        <w:adjustRightInd w:val="0"/>
        <w:snapToGrid w:val="0"/>
        <w:spacing w:after="0" w:line="550" w:lineRule="exact"/>
        <w:ind w:firstLine="640" w:firstLineChars="200"/>
        <w:jc w:val="both"/>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kern w:val="0"/>
          <w:sz w:val="32"/>
          <w:szCs w:val="32"/>
        </w:rPr>
        <w:t>2022年总体结转结余</w:t>
      </w:r>
      <w:r>
        <w:rPr>
          <w:rFonts w:hint="eastAsia" w:hAnsi="仿宋_GB2312" w:eastAsia="仿宋_GB2312" w:cs="仿宋_GB2312"/>
          <w:kern w:val="0"/>
          <w:sz w:val="32"/>
          <w:szCs w:val="32"/>
          <w:lang w:val="en-US" w:eastAsia="zh-CN"/>
        </w:rPr>
        <w:t>309.56万元</w:t>
      </w:r>
      <w:r>
        <w:rPr>
          <w:rFonts w:hint="eastAsia" w:hAnsi="仿宋_GB2312" w:eastAsia="仿宋_GB2312" w:cs="仿宋_GB2312"/>
          <w:b w:val="0"/>
          <w:bCs w:val="0"/>
          <w:kern w:val="0"/>
          <w:sz w:val="32"/>
          <w:szCs w:val="32"/>
          <w:lang w:val="en-US" w:eastAsia="zh-CN"/>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2022年市本级项目资金预算安排400.44万元，支付347.74万元，结余52.7万元</w:t>
      </w:r>
      <w:r>
        <w:rPr>
          <w:rFonts w:hint="eastAsia" w:hAnsi="仿宋_GB2312" w:eastAsia="仿宋_GB2312" w:cs="仿宋_GB2312"/>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baseline"/>
        <w:rPr>
          <w:rStyle w:val="39"/>
          <w:rFonts w:ascii="黑体" w:hAnsi="黑体" w:eastAsia="黑体"/>
          <w:color w:val="000000" w:themeColor="text1"/>
          <w:sz w:val="32"/>
          <w:szCs w:val="32"/>
          <w14:textFill>
            <w14:solidFill>
              <w14:schemeClr w14:val="tx1"/>
            </w14:solidFill>
          </w14:textFill>
        </w:rPr>
      </w:pPr>
      <w:r>
        <w:rPr>
          <w:rStyle w:val="39"/>
          <w:rFonts w:ascii="黑体" w:hAnsi="黑体" w:eastAsia="黑体"/>
          <w:color w:val="000000" w:themeColor="text1"/>
          <w:sz w:val="32"/>
          <w:szCs w:val="32"/>
          <w14:textFill>
            <w14:solidFill>
              <w14:schemeClr w14:val="tx1"/>
            </w14:solidFill>
          </w14:textFill>
        </w:rPr>
        <w:t>三、部门整体预算绩效管理情况</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baseline"/>
        <w:rPr>
          <w:rStyle w:val="39"/>
          <w:rFonts w:hint="eastAsia" w:ascii="楷体_GB2312" w:hAnsi="楷体_GB2312" w:eastAsia="楷体_GB2312" w:cs="楷体_GB2312"/>
          <w:color w:val="000000" w:themeColor="text1"/>
          <w:sz w:val="32"/>
          <w:szCs w:val="32"/>
          <w14:textFill>
            <w14:solidFill>
              <w14:schemeClr w14:val="tx1"/>
            </w14:solidFill>
          </w14:textFill>
        </w:rPr>
      </w:pPr>
      <w:r>
        <w:rPr>
          <w:rStyle w:val="39"/>
          <w:rFonts w:hint="eastAsia" w:ascii="楷体_GB2312" w:hAnsi="楷体_GB2312" w:eastAsia="楷体_GB2312" w:cs="楷体_GB2312"/>
          <w:color w:val="000000" w:themeColor="text1"/>
          <w:sz w:val="32"/>
          <w:szCs w:val="32"/>
          <w14:textFill>
            <w14:solidFill>
              <w14:schemeClr w14:val="tx1"/>
            </w14:solidFill>
          </w14:textFill>
        </w:rPr>
        <w:t>（一）部门预算项目绩效管理（</w:t>
      </w:r>
      <w:r>
        <w:rPr>
          <w:rStyle w:val="39"/>
          <w:rFonts w:hint="eastAsia" w:ascii="楷体_GB2312" w:hAnsi="楷体_GB2312" w:eastAsia="楷体_GB2312" w:cs="楷体_GB2312"/>
          <w:color w:val="000000" w:themeColor="text1"/>
          <w:sz w:val="32"/>
          <w:szCs w:val="32"/>
          <w:lang w:val="en-US"/>
          <w14:textFill>
            <w14:solidFill>
              <w14:schemeClr w14:val="tx1"/>
            </w14:solidFill>
          </w14:textFill>
        </w:rPr>
        <w:t xml:space="preserve">47.29 </w:t>
      </w:r>
      <w:r>
        <w:rPr>
          <w:rStyle w:val="39"/>
          <w:rFonts w:hint="eastAsia" w:ascii="楷体_GB2312" w:hAnsi="楷体_GB2312" w:eastAsia="楷体_GB2312" w:cs="楷体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baseline"/>
        <w:rPr>
          <w:rStyle w:val="39"/>
          <w:rFonts w:ascii="仿宋_GB2312" w:eastAsia="仿宋_GB2312"/>
          <w:color w:val="000000" w:themeColor="text1"/>
          <w:sz w:val="32"/>
          <w:szCs w:val="32"/>
          <w14:textFill>
            <w14:solidFill>
              <w14:schemeClr w14:val="tx1"/>
            </w14:solidFill>
          </w14:textFill>
        </w:rPr>
      </w:pPr>
      <w:r>
        <w:rPr>
          <w:rStyle w:val="39"/>
          <w:rFonts w:ascii="仿宋_GB2312" w:eastAsia="仿宋_GB2312"/>
          <w:color w:val="000000" w:themeColor="text1"/>
          <w:sz w:val="32"/>
          <w:szCs w:val="32"/>
          <w14:textFill>
            <w14:solidFill>
              <w14:schemeClr w14:val="tx1"/>
            </w14:solidFill>
          </w14:textFill>
        </w:rPr>
        <w:t>1</w:t>
      </w:r>
      <w:r>
        <w:rPr>
          <w:rStyle w:val="39"/>
          <w:rFonts w:hint="default" w:ascii="仿宋_GB2312" w:eastAsia="仿宋_GB2312"/>
          <w:color w:val="000000" w:themeColor="text1"/>
          <w:sz w:val="32"/>
          <w:szCs w:val="32"/>
          <w:lang w:val="en-US"/>
          <w14:textFill>
            <w14:solidFill>
              <w14:schemeClr w14:val="tx1"/>
            </w14:solidFill>
          </w14:textFill>
        </w:rPr>
        <w:t xml:space="preserve">. </w:t>
      </w:r>
      <w:r>
        <w:rPr>
          <w:rStyle w:val="39"/>
          <w:rFonts w:ascii="仿宋_GB2312" w:eastAsia="仿宋_GB2312"/>
          <w:color w:val="000000" w:themeColor="text1"/>
          <w:sz w:val="32"/>
          <w:szCs w:val="32"/>
          <w14:textFill>
            <w14:solidFill>
              <w14:schemeClr w14:val="tx1"/>
            </w14:solidFill>
          </w14:textFill>
        </w:rPr>
        <w:t>目标制定：坚持以绩效目标实现为导向，合理编制绩效目标，</w:t>
      </w:r>
      <w:r>
        <w:rPr>
          <w:rStyle w:val="39"/>
          <w:rFonts w:hint="eastAsia" w:ascii="仿宋_GB2312" w:eastAsia="仿宋_GB2312"/>
          <w:color w:val="000000" w:themeColor="text1"/>
          <w:sz w:val="32"/>
          <w:szCs w:val="32"/>
          <w14:textFill>
            <w14:solidFill>
              <w14:schemeClr w14:val="tx1"/>
            </w14:solidFill>
          </w14:textFill>
        </w:rPr>
        <w:t>绩效目标科学合理、规范完整、细化量化并与预算安排相匹配。</w:t>
      </w:r>
      <w:r>
        <w:rPr>
          <w:rStyle w:val="39"/>
          <w:rFonts w:ascii="仿宋_GB2312" w:eastAsia="仿宋_GB2312"/>
          <w:color w:val="000000" w:themeColor="text1"/>
          <w:sz w:val="32"/>
          <w:szCs w:val="32"/>
          <w14:textFill>
            <w14:solidFill>
              <w14:schemeClr w14:val="tx1"/>
            </w14:solidFill>
          </w14:textFill>
        </w:rPr>
        <w:t>设置绩效目标支出种类</w:t>
      </w:r>
      <w:r>
        <w:rPr>
          <w:rStyle w:val="39"/>
          <w:rFonts w:hint="eastAsia" w:ascii="仿宋_GB2312" w:eastAsia="仿宋_GB2312"/>
          <w:color w:val="000000" w:themeColor="text1"/>
          <w:sz w:val="32"/>
          <w:szCs w:val="32"/>
          <w:lang w:val="en-US"/>
          <w14:textFill>
            <w14:solidFill>
              <w14:schemeClr w14:val="tx1"/>
            </w14:solidFill>
          </w14:textFill>
        </w:rPr>
        <w:t>3</w:t>
      </w:r>
      <w:r>
        <w:rPr>
          <w:rStyle w:val="39"/>
          <w:rFonts w:ascii="仿宋_GB2312" w:eastAsia="仿宋_GB2312"/>
          <w:color w:val="000000" w:themeColor="text1"/>
          <w:sz w:val="32"/>
          <w:szCs w:val="32"/>
          <w14:textFill>
            <w14:solidFill>
              <w14:schemeClr w14:val="tx1"/>
            </w14:solidFill>
          </w14:textFill>
        </w:rPr>
        <w:t>个，分别为</w:t>
      </w:r>
      <w:r>
        <w:rPr>
          <w:rStyle w:val="39"/>
          <w:rFonts w:hint="eastAsia" w:ascii="仿宋_GB2312" w:eastAsia="仿宋_GB2312"/>
          <w:color w:val="000000" w:themeColor="text1"/>
          <w:sz w:val="32"/>
          <w:szCs w:val="32"/>
          <w14:textFill>
            <w14:solidFill>
              <w14:schemeClr w14:val="tx1"/>
            </w14:solidFill>
          </w14:textFill>
        </w:rPr>
        <w:t>人员类、运转类</w:t>
      </w:r>
      <w:r>
        <w:rPr>
          <w:rStyle w:val="39"/>
          <w:rFonts w:ascii="仿宋_GB2312" w:eastAsia="仿宋_GB2312"/>
          <w:color w:val="000000" w:themeColor="text1"/>
          <w:sz w:val="32"/>
          <w:szCs w:val="32"/>
          <w14:textFill>
            <w14:solidFill>
              <w14:schemeClr w14:val="tx1"/>
            </w14:solidFill>
          </w14:textFill>
        </w:rPr>
        <w:t>与</w:t>
      </w:r>
      <w:r>
        <w:rPr>
          <w:rStyle w:val="39"/>
          <w:rFonts w:hint="eastAsia" w:ascii="仿宋_GB2312" w:eastAsia="仿宋_GB2312"/>
          <w:color w:val="000000" w:themeColor="text1"/>
          <w:sz w:val="32"/>
          <w:szCs w:val="32"/>
          <w14:textFill>
            <w14:solidFill>
              <w14:schemeClr w14:val="tx1"/>
            </w14:solidFill>
          </w14:textFill>
        </w:rPr>
        <w:t>特定</w:t>
      </w:r>
      <w:r>
        <w:rPr>
          <w:rStyle w:val="39"/>
          <w:rFonts w:ascii="仿宋_GB2312" w:eastAsia="仿宋_GB2312"/>
          <w:color w:val="000000" w:themeColor="text1"/>
          <w:sz w:val="32"/>
          <w:szCs w:val="32"/>
          <w14:textFill>
            <w14:solidFill>
              <w14:schemeClr w14:val="tx1"/>
            </w14:solidFill>
          </w14:textFill>
        </w:rPr>
        <w:t>项目</w:t>
      </w:r>
      <w:r>
        <w:rPr>
          <w:rStyle w:val="39"/>
          <w:rFonts w:hint="eastAsia" w:ascii="仿宋_GB2312" w:eastAsia="仿宋_GB2312"/>
          <w:color w:val="000000" w:themeColor="text1"/>
          <w:sz w:val="32"/>
          <w:szCs w:val="32"/>
          <w14:textFill>
            <w14:solidFill>
              <w14:schemeClr w14:val="tx1"/>
            </w14:solidFill>
          </w14:textFill>
        </w:rPr>
        <w:t>类</w:t>
      </w:r>
      <w:r>
        <w:rPr>
          <w:rStyle w:val="39"/>
          <w:rFonts w:ascii="仿宋_GB2312" w:eastAsia="仿宋_GB2312"/>
          <w:color w:val="000000" w:themeColor="text1"/>
          <w:sz w:val="32"/>
          <w:szCs w:val="32"/>
          <w14:textFill>
            <w14:solidFill>
              <w14:schemeClr w14:val="tx1"/>
            </w14:solidFill>
          </w14:textFill>
        </w:rPr>
        <w:t>，项目支出细化为</w:t>
      </w:r>
      <w:r>
        <w:rPr>
          <w:rStyle w:val="39"/>
          <w:rFonts w:hint="eastAsia" w:ascii="仿宋_GB2312" w:eastAsia="仿宋_GB2312"/>
          <w:color w:val="000000" w:themeColor="text1"/>
          <w:sz w:val="32"/>
          <w:szCs w:val="32"/>
          <w:lang w:val="en-US"/>
          <w14:textFill>
            <w14:solidFill>
              <w14:schemeClr w14:val="tx1"/>
            </w14:solidFill>
          </w14:textFill>
        </w:rPr>
        <w:t>19</w:t>
      </w:r>
      <w:r>
        <w:rPr>
          <w:rStyle w:val="39"/>
          <w:rFonts w:ascii="仿宋_GB2312" w:eastAsia="仿宋_GB2312"/>
          <w:color w:val="000000" w:themeColor="text1"/>
          <w:sz w:val="32"/>
          <w:szCs w:val="32"/>
          <w14:textFill>
            <w14:solidFill>
              <w14:schemeClr w14:val="tx1"/>
            </w14:solidFill>
          </w14:textFill>
        </w:rPr>
        <w:t>个具体项目，根据项目特性，分别设置绩效目标与内容，其中涉及会议次数，参训人数，档案卷数，资料印制数等多个数量指标，且所有项目申</w:t>
      </w:r>
      <w:r>
        <w:rPr>
          <w:rStyle w:val="39"/>
          <w:rFonts w:hint="eastAsia" w:ascii="仿宋_GB2312" w:eastAsia="仿宋_GB2312"/>
          <w:color w:val="000000" w:themeColor="text1"/>
          <w:sz w:val="32"/>
          <w:szCs w:val="32"/>
          <w14:textFill>
            <w14:solidFill>
              <w14:schemeClr w14:val="tx1"/>
            </w14:solidFill>
          </w14:textFill>
        </w:rPr>
        <w:t>报</w:t>
      </w:r>
      <w:r>
        <w:rPr>
          <w:rStyle w:val="39"/>
          <w:rFonts w:ascii="仿宋_GB2312" w:eastAsia="仿宋_GB2312"/>
          <w:color w:val="000000" w:themeColor="text1"/>
          <w:sz w:val="32"/>
          <w:szCs w:val="32"/>
          <w14:textFill>
            <w14:solidFill>
              <w14:schemeClr w14:val="tx1"/>
            </w14:solidFill>
          </w14:textFill>
        </w:rPr>
        <w:t>均经过局务会或党组会集体研究决定。该项指标得5分。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Style w:val="39"/>
          <w:rFonts w:ascii="仿宋_GB2312" w:eastAsia="仿宋_GB2312"/>
          <w:color w:val="000000" w:themeColor="text1"/>
          <w:sz w:val="32"/>
          <w:szCs w:val="32"/>
          <w14:textFill>
            <w14:solidFill>
              <w14:schemeClr w14:val="tx1"/>
            </w14:solidFill>
          </w14:textFill>
        </w:rPr>
      </w:pPr>
      <w:r>
        <w:rPr>
          <w:rStyle w:val="39"/>
          <w:rFonts w:ascii="仿宋_GB2312" w:eastAsia="仿宋_GB2312"/>
          <w:color w:val="000000" w:themeColor="text1"/>
          <w:sz w:val="32"/>
          <w:szCs w:val="32"/>
          <w14:textFill>
            <w14:solidFill>
              <w14:schemeClr w14:val="tx1"/>
            </w14:solidFill>
          </w14:textFill>
        </w:rPr>
        <w:t>2.</w:t>
      </w:r>
      <w:r>
        <w:rPr>
          <w:rStyle w:val="39"/>
          <w:rFonts w:hint="default" w:ascii="仿宋_GB2312" w:eastAsia="仿宋_GB2312"/>
          <w:color w:val="000000" w:themeColor="text1"/>
          <w:sz w:val="32"/>
          <w:szCs w:val="32"/>
          <w:lang w:val="en-US"/>
          <w14:textFill>
            <w14:solidFill>
              <w14:schemeClr w14:val="tx1"/>
            </w14:solidFill>
          </w14:textFill>
        </w:rPr>
        <w:t xml:space="preserve"> </w:t>
      </w:r>
      <w:r>
        <w:rPr>
          <w:rStyle w:val="39"/>
          <w:rFonts w:ascii="仿宋_GB2312" w:eastAsia="仿宋_GB2312"/>
          <w:color w:val="000000" w:themeColor="text1"/>
          <w:sz w:val="32"/>
          <w:szCs w:val="32"/>
          <w14:textFill>
            <w14:solidFill>
              <w14:schemeClr w14:val="tx1"/>
            </w14:solidFill>
          </w14:textFill>
        </w:rPr>
        <w:t>目标实现：</w:t>
      </w:r>
      <w:r>
        <w:rPr>
          <w:rStyle w:val="39"/>
          <w:rFonts w:hint="eastAsia" w:ascii="仿宋_GB2312" w:eastAsia="仿宋_GB2312"/>
          <w:color w:val="000000" w:themeColor="text1"/>
          <w:sz w:val="32"/>
          <w:szCs w:val="32"/>
          <w14:textFill>
            <w14:solidFill>
              <w14:schemeClr w14:val="tx1"/>
            </w14:solidFill>
          </w14:textFill>
        </w:rPr>
        <w:t>部门整体绩效目标与预期绩效目标不存在偏离度、部门预算项目绩效目标实际完成情况与预期绩效目标偏离度均在30%以内，</w:t>
      </w:r>
      <w:r>
        <w:rPr>
          <w:rStyle w:val="39"/>
          <w:rFonts w:ascii="仿宋_GB2312" w:eastAsia="仿宋_GB2312"/>
          <w:color w:val="000000" w:themeColor="text1"/>
          <w:sz w:val="32"/>
          <w:szCs w:val="32"/>
          <w14:textFill>
            <w14:solidFill>
              <w14:schemeClr w14:val="tx1"/>
            </w14:solidFill>
          </w14:textFill>
        </w:rPr>
        <w:t>按时完成</w:t>
      </w:r>
      <w:r>
        <w:rPr>
          <w:rStyle w:val="39"/>
          <w:rFonts w:hint="eastAsia" w:ascii="仿宋_GB2312" w:eastAsia="仿宋_GB2312"/>
          <w:color w:val="000000" w:themeColor="text1"/>
          <w:sz w:val="32"/>
          <w:szCs w:val="32"/>
          <w14:textFill>
            <w14:solidFill>
              <w14:schemeClr w14:val="tx1"/>
            </w14:solidFill>
          </w14:textFill>
        </w:rPr>
        <w:t>了</w:t>
      </w:r>
      <w:r>
        <w:rPr>
          <w:rStyle w:val="39"/>
          <w:rFonts w:ascii="仿宋_GB2312" w:eastAsia="仿宋_GB2312"/>
          <w:color w:val="000000" w:themeColor="text1"/>
          <w:sz w:val="32"/>
          <w:szCs w:val="32"/>
          <w14:textFill>
            <w14:solidFill>
              <w14:schemeClr w14:val="tx1"/>
            </w14:solidFill>
          </w14:textFill>
        </w:rPr>
        <w:t>目标任务</w:t>
      </w:r>
      <w:r>
        <w:rPr>
          <w:rStyle w:val="39"/>
          <w:rFonts w:hint="eastAsia" w:ascii="仿宋_GB2312" w:eastAsia="仿宋_GB2312"/>
          <w:color w:val="000000" w:themeColor="text1"/>
          <w:sz w:val="32"/>
          <w:szCs w:val="32"/>
          <w14:textFill>
            <w14:solidFill>
              <w14:schemeClr w14:val="tx1"/>
            </w14:solidFill>
          </w14:textFill>
        </w:rPr>
        <w:t>。</w:t>
      </w:r>
      <w:r>
        <w:rPr>
          <w:rStyle w:val="39"/>
          <w:rFonts w:ascii="仿宋_GB2312" w:eastAsia="仿宋_GB2312"/>
          <w:color w:val="000000" w:themeColor="text1"/>
          <w:sz w:val="32"/>
          <w:szCs w:val="32"/>
          <w14:textFill>
            <w14:solidFill>
              <w14:schemeClr w14:val="tx1"/>
            </w14:solidFill>
          </w14:textFill>
        </w:rPr>
        <w:t>该项指标得10 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Style w:val="39"/>
          <w:rFonts w:hint="eastAsia" w:ascii="仿宋_GB2312" w:eastAsia="仿宋_GB2312"/>
          <w:color w:val="000000" w:themeColor="text1"/>
          <w:spacing w:val="-6"/>
          <w:sz w:val="32"/>
          <w:szCs w:val="32"/>
          <w14:textFill>
            <w14:solidFill>
              <w14:schemeClr w14:val="tx1"/>
            </w14:solidFill>
          </w14:textFill>
        </w:rPr>
      </w:pPr>
      <w:r>
        <w:rPr>
          <w:rStyle w:val="39"/>
          <w:rFonts w:ascii="仿宋_GB2312" w:eastAsia="仿宋_GB2312"/>
          <w:color w:val="000000" w:themeColor="text1"/>
          <w:sz w:val="32"/>
          <w:szCs w:val="32"/>
          <w14:textFill>
            <w14:solidFill>
              <w14:schemeClr w14:val="tx1"/>
            </w14:solidFill>
          </w14:textFill>
        </w:rPr>
        <w:t>3.</w:t>
      </w:r>
      <w:r>
        <w:rPr>
          <w:rStyle w:val="39"/>
          <w:rFonts w:hint="default" w:ascii="仿宋_GB2312" w:eastAsia="仿宋_GB2312"/>
          <w:color w:val="000000" w:themeColor="text1"/>
          <w:sz w:val="32"/>
          <w:szCs w:val="32"/>
          <w:lang w:val="en-US"/>
          <w14:textFill>
            <w14:solidFill>
              <w14:schemeClr w14:val="tx1"/>
            </w14:solidFill>
          </w14:textFill>
        </w:rPr>
        <w:t xml:space="preserve"> </w:t>
      </w:r>
      <w:r>
        <w:rPr>
          <w:rStyle w:val="39"/>
          <w:rFonts w:ascii="仿宋_GB2312" w:eastAsia="仿宋_GB2312"/>
          <w:color w:val="000000" w:themeColor="text1"/>
          <w:spacing w:val="-6"/>
          <w:sz w:val="32"/>
          <w:szCs w:val="32"/>
          <w14:textFill>
            <w14:solidFill>
              <w14:schemeClr w14:val="tx1"/>
            </w14:solidFill>
          </w14:textFill>
        </w:rPr>
        <w:t>支出控制：</w:t>
      </w:r>
      <w:r>
        <w:rPr>
          <w:rStyle w:val="39"/>
          <w:rFonts w:hint="eastAsia" w:ascii="仿宋_GB2312" w:eastAsia="仿宋_GB2312"/>
          <w:color w:val="000000" w:themeColor="text1"/>
          <w:spacing w:val="-6"/>
          <w:sz w:val="32"/>
          <w:szCs w:val="32"/>
          <w14:textFill>
            <w14:solidFill>
              <w14:schemeClr w14:val="tx1"/>
            </w14:solidFill>
          </w14:textFill>
        </w:rPr>
        <w:t>部门日常公用经费中“办公费、印刷费、水费、电费、物业管理费”等科目年初预算数与决算数偏差程度                                                        在10%以内的，得5分。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Style w:val="39"/>
          <w:rFonts w:ascii="仿宋_GB2312" w:eastAsia="仿宋_GB2312"/>
          <w:color w:val="000000" w:themeColor="text1"/>
          <w:sz w:val="32"/>
          <w:szCs w:val="32"/>
          <w14:textFill>
            <w14:solidFill>
              <w14:schemeClr w14:val="tx1"/>
            </w14:solidFill>
          </w14:textFill>
        </w:rPr>
      </w:pPr>
      <w:r>
        <w:rPr>
          <w:rStyle w:val="39"/>
          <w:rFonts w:ascii="仿宋_GB2312" w:eastAsia="仿宋_GB2312"/>
          <w:color w:val="000000" w:themeColor="text1"/>
          <w:sz w:val="32"/>
          <w:szCs w:val="32"/>
          <w14:textFill>
            <w14:solidFill>
              <w14:schemeClr w14:val="tx1"/>
            </w14:solidFill>
          </w14:textFill>
        </w:rPr>
        <w:t>4</w:t>
      </w:r>
      <w:r>
        <w:rPr>
          <w:rStyle w:val="39"/>
          <w:rFonts w:hint="default" w:ascii="仿宋_GB2312" w:eastAsia="仿宋_GB2312"/>
          <w:color w:val="000000" w:themeColor="text1"/>
          <w:sz w:val="32"/>
          <w:szCs w:val="32"/>
          <w:lang w:val="en-US"/>
          <w14:textFill>
            <w14:solidFill>
              <w14:schemeClr w14:val="tx1"/>
            </w14:solidFill>
          </w14:textFill>
        </w:rPr>
        <w:t xml:space="preserve">. </w:t>
      </w:r>
      <w:r>
        <w:rPr>
          <w:rStyle w:val="39"/>
          <w:rFonts w:ascii="仿宋_GB2312" w:eastAsia="仿宋_GB2312"/>
          <w:color w:val="000000" w:themeColor="text1"/>
          <w:sz w:val="32"/>
          <w:szCs w:val="32"/>
          <w14:textFill>
            <w14:solidFill>
              <w14:schemeClr w14:val="tx1"/>
            </w14:solidFill>
          </w14:textFill>
        </w:rPr>
        <w:t>及时处置：</w:t>
      </w:r>
      <w:r>
        <w:rPr>
          <w:rStyle w:val="39"/>
          <w:rFonts w:hint="eastAsia" w:ascii="仿宋_GB2312" w:eastAsia="仿宋_GB2312"/>
          <w:color w:val="000000" w:themeColor="text1"/>
          <w:sz w:val="32"/>
          <w:szCs w:val="32"/>
          <w14:textFill>
            <w14:solidFill>
              <w14:schemeClr w14:val="tx1"/>
            </w14:solidFill>
          </w14:textFill>
        </w:rPr>
        <w:t>绩效运行监控提出资金支付率较低的问题，并针对该问题提出了整改意见，并加以落实，</w:t>
      </w:r>
      <w:r>
        <w:rPr>
          <w:rStyle w:val="39"/>
          <w:rFonts w:ascii="仿宋_GB2312" w:eastAsia="仿宋_GB2312"/>
          <w:color w:val="000000" w:themeColor="text1"/>
          <w:sz w:val="32"/>
          <w:szCs w:val="32"/>
          <w14:textFill>
            <w14:solidFill>
              <w14:schemeClr w14:val="tx1"/>
            </w14:solidFill>
          </w14:textFill>
        </w:rPr>
        <w:t>该项指标得</w:t>
      </w:r>
      <w:r>
        <w:rPr>
          <w:rStyle w:val="39"/>
          <w:rFonts w:hint="eastAsia" w:ascii="仿宋_GB2312" w:eastAsia="仿宋_GB2312"/>
          <w:color w:val="000000" w:themeColor="text1"/>
          <w:sz w:val="32"/>
          <w:szCs w:val="32"/>
          <w:lang w:val="en-US"/>
          <w14:textFill>
            <w14:solidFill>
              <w14:schemeClr w14:val="tx1"/>
            </w14:solidFill>
          </w14:textFill>
        </w:rPr>
        <w:t>5</w:t>
      </w:r>
      <w:r>
        <w:rPr>
          <w:rStyle w:val="39"/>
          <w:rFonts w:ascii="仿宋_GB2312" w:eastAsia="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Style w:val="39"/>
          <w:rFonts w:hint="eastAsia" w:ascii="仿宋_GB2312" w:eastAsia="仿宋_GB2312"/>
          <w:color w:val="000000" w:themeColor="text1"/>
          <w:sz w:val="32"/>
          <w:szCs w:val="32"/>
          <w14:textFill>
            <w14:solidFill>
              <w14:schemeClr w14:val="tx1"/>
            </w14:solidFill>
          </w14:textFill>
        </w:rPr>
      </w:pPr>
      <w:r>
        <w:rPr>
          <w:rStyle w:val="39"/>
          <w:rFonts w:ascii="仿宋_GB2312" w:eastAsia="仿宋_GB2312"/>
          <w:color w:val="000000" w:themeColor="text1"/>
          <w:sz w:val="32"/>
          <w:szCs w:val="32"/>
          <w14:textFill>
            <w14:solidFill>
              <w14:schemeClr w14:val="tx1"/>
            </w14:solidFill>
          </w14:textFill>
        </w:rPr>
        <w:t>5</w:t>
      </w:r>
      <w:r>
        <w:rPr>
          <w:rStyle w:val="39"/>
          <w:rFonts w:hint="default" w:ascii="仿宋_GB2312" w:eastAsia="仿宋_GB2312"/>
          <w:color w:val="000000" w:themeColor="text1"/>
          <w:sz w:val="32"/>
          <w:szCs w:val="32"/>
          <w:lang w:val="en-US"/>
          <w14:textFill>
            <w14:solidFill>
              <w14:schemeClr w14:val="tx1"/>
            </w14:solidFill>
          </w14:textFill>
        </w:rPr>
        <w:t xml:space="preserve">. </w:t>
      </w:r>
      <w:r>
        <w:rPr>
          <w:rStyle w:val="39"/>
          <w:rFonts w:ascii="仿宋_GB2312" w:eastAsia="仿宋_GB2312"/>
          <w:color w:val="000000" w:themeColor="text1"/>
          <w:spacing w:val="-6"/>
          <w:sz w:val="32"/>
          <w:szCs w:val="32"/>
          <w14:textFill>
            <w14:solidFill>
              <w14:schemeClr w14:val="tx1"/>
            </w14:solidFill>
          </w14:textFill>
        </w:rPr>
        <w:t>执行进度：</w:t>
      </w:r>
      <w:r>
        <w:rPr>
          <w:rStyle w:val="39"/>
          <w:rFonts w:hint="eastAsia" w:ascii="仿宋_GB2312" w:eastAsia="仿宋_GB2312"/>
          <w:color w:val="000000" w:themeColor="text1"/>
          <w:spacing w:val="-6"/>
          <w:sz w:val="32"/>
          <w:szCs w:val="32"/>
          <w14:textFill>
            <w14:solidFill>
              <w14:schemeClr w14:val="tx1"/>
            </w14:solidFill>
          </w14:textFill>
        </w:rPr>
        <w:t>6、9、11月执行进度为41.82%，59.68%，78.41%,按实际进度占目标进度比重</w:t>
      </w:r>
      <w:r>
        <w:rPr>
          <w:rStyle w:val="39"/>
          <w:rFonts w:ascii="仿宋_GB2312" w:eastAsia="仿宋_GB2312"/>
          <w:color w:val="000000" w:themeColor="text1"/>
          <w:spacing w:val="-6"/>
          <w:sz w:val="32"/>
          <w:szCs w:val="32"/>
          <w14:textFill>
            <w14:solidFill>
              <w14:schemeClr w14:val="tx1"/>
            </w14:solidFill>
          </w14:textFill>
        </w:rPr>
        <w:t>根据公式计算该项指标得</w:t>
      </w:r>
      <w:r>
        <w:rPr>
          <w:rStyle w:val="39"/>
          <w:rFonts w:hint="eastAsia" w:ascii="仿宋_GB2312" w:eastAsia="仿宋_GB2312"/>
          <w:color w:val="000000" w:themeColor="text1"/>
          <w:spacing w:val="-6"/>
          <w:sz w:val="32"/>
          <w:szCs w:val="32"/>
          <w14:textFill>
            <w14:solidFill>
              <w14:schemeClr w14:val="tx1"/>
            </w14:solidFill>
          </w14:textFill>
        </w:rPr>
        <w:t xml:space="preserve">得分4.67分。    </w:t>
      </w:r>
      <w:r>
        <w:rPr>
          <w:rStyle w:val="39"/>
          <w:rFonts w:hint="eastAsia" w:ascii="仿宋_GB2312" w:eastAsia="仿宋_GB2312"/>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Style w:val="39"/>
          <w:rFonts w:ascii="仿宋_GB2312" w:eastAsia="仿宋_GB2312"/>
          <w:color w:val="000000" w:themeColor="text1"/>
          <w:sz w:val="32"/>
          <w:szCs w:val="32"/>
          <w14:textFill>
            <w14:solidFill>
              <w14:schemeClr w14:val="tx1"/>
            </w14:solidFill>
          </w14:textFill>
        </w:rPr>
      </w:pPr>
      <w:r>
        <w:rPr>
          <w:rStyle w:val="39"/>
          <w:rFonts w:hint="eastAsia" w:ascii="仿宋_GB2312" w:eastAsia="仿宋_GB2312"/>
          <w:color w:val="000000" w:themeColor="text1"/>
          <w:sz w:val="32"/>
          <w:szCs w:val="32"/>
          <w:lang w:val="en-US"/>
          <w14:textFill>
            <w14:solidFill>
              <w14:schemeClr w14:val="tx1"/>
            </w14:solidFill>
          </w14:textFill>
        </w:rPr>
        <w:t>6</w:t>
      </w:r>
      <w:r>
        <w:rPr>
          <w:rStyle w:val="39"/>
          <w:rFonts w:hint="default" w:ascii="仿宋_GB2312" w:eastAsia="仿宋_GB2312"/>
          <w:color w:val="000000" w:themeColor="text1"/>
          <w:sz w:val="32"/>
          <w:szCs w:val="32"/>
          <w:lang w:val="en-US"/>
          <w14:textFill>
            <w14:solidFill>
              <w14:schemeClr w14:val="tx1"/>
            </w14:solidFill>
          </w14:textFill>
        </w:rPr>
        <w:t xml:space="preserve">. </w:t>
      </w:r>
      <w:r>
        <w:rPr>
          <w:rStyle w:val="39"/>
          <w:rFonts w:ascii="仿宋_GB2312" w:eastAsia="仿宋_GB2312"/>
          <w:color w:val="000000" w:themeColor="text1"/>
          <w:sz w:val="32"/>
          <w:szCs w:val="32"/>
          <w14:textFill>
            <w14:solidFill>
              <w14:schemeClr w14:val="tx1"/>
            </w14:solidFill>
          </w14:textFill>
        </w:rPr>
        <w:t>结余率：202</w:t>
      </w:r>
      <w:r>
        <w:rPr>
          <w:rStyle w:val="39"/>
          <w:rFonts w:hint="eastAsia" w:ascii="仿宋_GB2312" w:eastAsia="仿宋_GB2312"/>
          <w:color w:val="000000" w:themeColor="text1"/>
          <w:sz w:val="32"/>
          <w:szCs w:val="32"/>
          <w:lang w:val="en-US"/>
          <w14:textFill>
            <w14:solidFill>
              <w14:schemeClr w14:val="tx1"/>
            </w14:solidFill>
          </w14:textFill>
        </w:rPr>
        <w:t>2</w:t>
      </w:r>
      <w:r>
        <w:rPr>
          <w:rStyle w:val="39"/>
          <w:rFonts w:ascii="仿宋_GB2312" w:eastAsia="仿宋_GB2312"/>
          <w:color w:val="000000" w:themeColor="text1"/>
          <w:sz w:val="32"/>
          <w:szCs w:val="32"/>
          <w14:textFill>
            <w14:solidFill>
              <w14:schemeClr w14:val="tx1"/>
            </w14:solidFill>
          </w14:textFill>
        </w:rPr>
        <w:t>年，</w:t>
      </w:r>
      <w:r>
        <w:rPr>
          <w:rStyle w:val="39"/>
          <w:rFonts w:hint="eastAsia" w:ascii="仿宋_GB2312" w:eastAsia="仿宋_GB2312"/>
          <w:color w:val="000000" w:themeColor="text1"/>
          <w:sz w:val="32"/>
          <w:szCs w:val="32"/>
          <w14:textFill>
            <w14:solidFill>
              <w14:schemeClr w14:val="tx1"/>
            </w14:solidFill>
          </w14:textFill>
        </w:rPr>
        <w:t>我局一共21个项目（不含基金类）结余率小于0.1项目共11个。根据公式计算</w:t>
      </w:r>
      <w:r>
        <w:rPr>
          <w:rStyle w:val="39"/>
          <w:rFonts w:ascii="仿宋_GB2312" w:eastAsia="仿宋_GB2312"/>
          <w:color w:val="000000" w:themeColor="text1"/>
          <w:sz w:val="32"/>
          <w:szCs w:val="32"/>
          <w14:textFill>
            <w14:solidFill>
              <w14:schemeClr w14:val="tx1"/>
            </w14:solidFill>
          </w14:textFill>
        </w:rPr>
        <w:t>该项指标得</w:t>
      </w:r>
      <w:r>
        <w:rPr>
          <w:rStyle w:val="39"/>
          <w:rFonts w:hint="eastAsia" w:ascii="仿宋_GB2312" w:eastAsia="仿宋_GB2312"/>
          <w:color w:val="000000" w:themeColor="text1"/>
          <w:sz w:val="32"/>
          <w:szCs w:val="32"/>
          <w:lang w:val="en-US"/>
          <w14:textFill>
            <w14:solidFill>
              <w14:schemeClr w14:val="tx1"/>
            </w14:solidFill>
          </w14:textFill>
        </w:rPr>
        <w:t>2.62</w:t>
      </w:r>
      <w:r>
        <w:rPr>
          <w:rStyle w:val="39"/>
          <w:rFonts w:ascii="仿宋_GB2312" w:eastAsia="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Style w:val="39"/>
          <w:rFonts w:ascii="仿宋_GB2312" w:eastAsia="仿宋_GB2312"/>
          <w:color w:val="000000" w:themeColor="text1"/>
          <w:sz w:val="32"/>
          <w:szCs w:val="32"/>
          <w14:textFill>
            <w14:solidFill>
              <w14:schemeClr w14:val="tx1"/>
            </w14:solidFill>
          </w14:textFill>
        </w:rPr>
      </w:pPr>
      <w:r>
        <w:rPr>
          <w:rStyle w:val="39"/>
          <w:rFonts w:hint="default" w:ascii="仿宋_GB2312" w:eastAsia="仿宋_GB2312"/>
          <w:color w:val="000000" w:themeColor="text1"/>
          <w:sz w:val="32"/>
          <w:szCs w:val="32"/>
          <w:lang w:val="en-US"/>
          <w14:textFill>
            <w14:solidFill>
              <w14:schemeClr w14:val="tx1"/>
            </w14:solidFill>
          </w14:textFill>
        </w:rPr>
        <w:t xml:space="preserve">7. </w:t>
      </w:r>
      <w:r>
        <w:rPr>
          <w:rStyle w:val="39"/>
          <w:rFonts w:ascii="仿宋_GB2312" w:eastAsia="仿宋_GB2312"/>
          <w:color w:val="000000" w:themeColor="text1"/>
          <w:sz w:val="32"/>
          <w:szCs w:val="32"/>
          <w14:textFill>
            <w14:solidFill>
              <w14:schemeClr w14:val="tx1"/>
            </w14:solidFill>
          </w14:textFill>
        </w:rPr>
        <w:t>违规记录等情况。根据审计监督、财政检查结果反映，我单位</w:t>
      </w:r>
      <w:r>
        <w:rPr>
          <w:rStyle w:val="39"/>
          <w:rFonts w:hint="eastAsia" w:ascii="仿宋_GB2312" w:eastAsia="仿宋_GB2312"/>
          <w:color w:val="000000" w:themeColor="text1"/>
          <w:sz w:val="32"/>
          <w:szCs w:val="32"/>
          <w14:textFill>
            <w14:solidFill>
              <w14:schemeClr w14:val="tx1"/>
            </w14:solidFill>
          </w14:textFill>
        </w:rPr>
        <w:t>202</w:t>
      </w:r>
      <w:r>
        <w:rPr>
          <w:rStyle w:val="39"/>
          <w:rFonts w:hint="eastAsia" w:ascii="仿宋_GB2312" w:eastAsia="仿宋_GB2312"/>
          <w:color w:val="000000" w:themeColor="text1"/>
          <w:sz w:val="32"/>
          <w:szCs w:val="32"/>
          <w:lang w:val="en-US"/>
          <w14:textFill>
            <w14:solidFill>
              <w14:schemeClr w14:val="tx1"/>
            </w14:solidFill>
          </w14:textFill>
        </w:rPr>
        <w:t>2</w:t>
      </w:r>
      <w:r>
        <w:rPr>
          <w:rStyle w:val="39"/>
          <w:rFonts w:ascii="仿宋_GB2312" w:eastAsia="仿宋_GB2312"/>
          <w:color w:val="000000" w:themeColor="text1"/>
          <w:sz w:val="32"/>
          <w:szCs w:val="32"/>
          <w14:textFill>
            <w14:solidFill>
              <w14:schemeClr w14:val="tx1"/>
            </w14:solidFill>
          </w14:textFill>
        </w:rPr>
        <w:t>年度部门预算管理中不存在违规问题</w:t>
      </w:r>
      <w:r>
        <w:rPr>
          <w:rStyle w:val="39"/>
          <w:rFonts w:hint="eastAsia" w:ascii="仿宋_GB2312" w:eastAsia="仿宋_GB2312"/>
          <w:color w:val="000000" w:themeColor="text1"/>
          <w:sz w:val="32"/>
          <w:szCs w:val="32"/>
          <w14:textFill>
            <w14:solidFill>
              <w14:schemeClr w14:val="tx1"/>
            </w14:solidFill>
          </w14:textFill>
        </w:rPr>
        <w:t>。</w:t>
      </w:r>
      <w:r>
        <w:rPr>
          <w:rStyle w:val="39"/>
          <w:rFonts w:ascii="仿宋_GB2312" w:eastAsia="仿宋_GB2312"/>
          <w:color w:val="000000" w:themeColor="text1"/>
          <w:sz w:val="32"/>
          <w:szCs w:val="32"/>
          <w14:textFill>
            <w14:solidFill>
              <w14:schemeClr w14:val="tx1"/>
            </w14:solidFill>
          </w14:textFill>
        </w:rPr>
        <w:t>该项指标得</w:t>
      </w:r>
      <w:r>
        <w:rPr>
          <w:rStyle w:val="39"/>
          <w:rFonts w:hint="eastAsia" w:ascii="仿宋_GB2312" w:eastAsia="仿宋_GB2312"/>
          <w:color w:val="000000" w:themeColor="text1"/>
          <w:sz w:val="32"/>
          <w:szCs w:val="32"/>
          <w:lang w:val="en-US"/>
          <w14:textFill>
            <w14:solidFill>
              <w14:schemeClr w14:val="tx1"/>
            </w14:solidFill>
          </w14:textFill>
        </w:rPr>
        <w:t>5</w:t>
      </w:r>
      <w:r>
        <w:rPr>
          <w:rStyle w:val="39"/>
          <w:rFonts w:ascii="仿宋_GB2312" w:eastAsia="仿宋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Style w:val="39"/>
          <w:rFonts w:hint="eastAsia" w:ascii="楷体_GB2312" w:hAnsi="楷体_GB2312" w:eastAsia="楷体_GB2312" w:cs="楷体_GB2312"/>
          <w:color w:val="000000" w:themeColor="text1"/>
          <w:sz w:val="32"/>
          <w:szCs w:val="32"/>
          <w14:textFill>
            <w14:solidFill>
              <w14:schemeClr w14:val="tx1"/>
            </w14:solidFill>
          </w14:textFill>
        </w:rPr>
      </w:pPr>
      <w:r>
        <w:rPr>
          <w:rStyle w:val="39"/>
          <w:rFonts w:hint="eastAsia" w:ascii="楷体_GB2312" w:hAnsi="楷体_GB2312" w:eastAsia="楷体_GB2312" w:cs="楷体_GB2312"/>
          <w:color w:val="000000" w:themeColor="text1"/>
          <w:sz w:val="32"/>
          <w:szCs w:val="32"/>
          <w14:textFill>
            <w14:solidFill>
              <w14:schemeClr w14:val="tx1"/>
            </w14:solidFill>
          </w14:textFill>
        </w:rPr>
        <w:t>（二）项目预算管理目标绩效（</w:t>
      </w:r>
      <w:r>
        <w:rPr>
          <w:rStyle w:val="39"/>
          <w:rFonts w:hint="eastAsia" w:ascii="楷体_GB2312" w:hAnsi="楷体_GB2312" w:eastAsia="楷体_GB2312" w:cs="楷体_GB2312"/>
          <w:color w:val="000000" w:themeColor="text1"/>
          <w:sz w:val="32"/>
          <w:szCs w:val="32"/>
          <w:lang w:val="en-US"/>
          <w14:textFill>
            <w14:solidFill>
              <w14:schemeClr w14:val="tx1"/>
            </w14:solidFill>
          </w14:textFill>
        </w:rPr>
        <w:t xml:space="preserve">28.35 </w:t>
      </w:r>
      <w:r>
        <w:rPr>
          <w:rStyle w:val="39"/>
          <w:rFonts w:hint="eastAsia" w:ascii="楷体_GB2312" w:hAnsi="楷体_GB2312" w:eastAsia="楷体_GB2312" w:cs="楷体_GB2312"/>
          <w:color w:val="000000" w:themeColor="text1"/>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Style w:val="39"/>
          <w:rFonts w:ascii="仿宋_GB2312" w:eastAsia="仿宋_GB2312"/>
          <w:color w:val="000000" w:themeColor="text1"/>
          <w:spacing w:val="0"/>
          <w:sz w:val="32"/>
          <w:szCs w:val="32"/>
          <w14:textFill>
            <w14:solidFill>
              <w14:schemeClr w14:val="tx1"/>
            </w14:solidFill>
          </w14:textFill>
        </w:rPr>
      </w:pPr>
      <w:r>
        <w:rPr>
          <w:rStyle w:val="39"/>
          <w:rFonts w:ascii="仿宋_GB2312" w:eastAsia="仿宋_GB2312"/>
          <w:color w:val="000000" w:themeColor="text1"/>
          <w:spacing w:val="0"/>
          <w:sz w:val="32"/>
          <w:szCs w:val="32"/>
          <w14:textFill>
            <w14:solidFill>
              <w14:schemeClr w14:val="tx1"/>
            </w14:solidFill>
          </w14:textFill>
        </w:rPr>
        <w:t>按预算项目自评工作要求对我局管理的专项预算项目进行自评并打分，并形成自评报告。</w:t>
      </w:r>
      <w:r>
        <w:rPr>
          <w:rStyle w:val="39"/>
          <w:rFonts w:hint="eastAsia" w:ascii="仿宋_GB2312" w:eastAsia="仿宋_GB2312"/>
          <w:color w:val="000000" w:themeColor="text1"/>
          <w:spacing w:val="0"/>
          <w:sz w:val="32"/>
          <w:szCs w:val="32"/>
          <w:lang w:val="en-US"/>
          <w14:textFill>
            <w14:solidFill>
              <w14:schemeClr w14:val="tx1"/>
            </w14:solidFill>
          </w14:textFill>
        </w:rPr>
        <w:t>19</w:t>
      </w:r>
      <w:r>
        <w:rPr>
          <w:rStyle w:val="39"/>
          <w:rFonts w:ascii="仿宋_GB2312" w:eastAsia="仿宋_GB2312"/>
          <w:color w:val="000000" w:themeColor="text1"/>
          <w:spacing w:val="0"/>
          <w:sz w:val="32"/>
          <w:szCs w:val="32"/>
          <w14:textFill>
            <w14:solidFill>
              <w14:schemeClr w14:val="tx1"/>
            </w14:solidFill>
          </w14:textFill>
        </w:rPr>
        <w:t>个项目以平均分作为自评得分，项目自评得分为</w:t>
      </w:r>
      <w:r>
        <w:rPr>
          <w:rStyle w:val="39"/>
          <w:rFonts w:hint="eastAsia" w:ascii="仿宋_GB2312" w:eastAsia="仿宋_GB2312"/>
          <w:color w:val="000000" w:themeColor="text1"/>
          <w:spacing w:val="0"/>
          <w:sz w:val="32"/>
          <w:szCs w:val="32"/>
          <w:lang w:val="en-US"/>
          <w14:textFill>
            <w14:solidFill>
              <w14:schemeClr w14:val="tx1"/>
            </w14:solidFill>
          </w14:textFill>
        </w:rPr>
        <w:t>94.5</w:t>
      </w:r>
      <w:r>
        <w:rPr>
          <w:rStyle w:val="39"/>
          <w:rFonts w:ascii="仿宋_GB2312" w:eastAsia="仿宋_GB2312"/>
          <w:color w:val="000000" w:themeColor="text1"/>
          <w:spacing w:val="0"/>
          <w:sz w:val="32"/>
          <w:szCs w:val="32"/>
          <w14:textFill>
            <w14:solidFill>
              <w14:schemeClr w14:val="tx1"/>
            </w14:solidFill>
          </w14:textFill>
        </w:rPr>
        <w:t>分，根据比例该项指标得</w:t>
      </w:r>
      <w:r>
        <w:rPr>
          <w:rStyle w:val="39"/>
          <w:rFonts w:hint="eastAsia" w:ascii="仿宋_GB2312" w:eastAsia="仿宋_GB2312"/>
          <w:color w:val="000000" w:themeColor="text1"/>
          <w:spacing w:val="0"/>
          <w:sz w:val="32"/>
          <w:szCs w:val="32"/>
          <w:lang w:val="en-US"/>
          <w14:textFill>
            <w14:solidFill>
              <w14:schemeClr w14:val="tx1"/>
            </w14:solidFill>
          </w14:textFill>
        </w:rPr>
        <w:t>28.35</w:t>
      </w:r>
      <w:r>
        <w:rPr>
          <w:rStyle w:val="39"/>
          <w:rFonts w:ascii="仿宋_GB2312" w:eastAsia="仿宋_GB2312"/>
          <w:color w:val="000000" w:themeColor="text1"/>
          <w:spacing w:val="0"/>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Style w:val="39"/>
          <w:rFonts w:hint="eastAsia" w:ascii="楷体_GB2312" w:hAnsi="楷体_GB2312" w:eastAsia="楷体_GB2312" w:cs="楷体_GB2312"/>
          <w:color w:val="000000" w:themeColor="text1"/>
          <w:sz w:val="32"/>
          <w:szCs w:val="32"/>
          <w14:textFill>
            <w14:solidFill>
              <w14:schemeClr w14:val="tx1"/>
            </w14:solidFill>
          </w14:textFill>
        </w:rPr>
      </w:pPr>
      <w:r>
        <w:rPr>
          <w:rStyle w:val="39"/>
          <w:rFonts w:hint="eastAsia" w:ascii="楷体_GB2312" w:hAnsi="楷体_GB2312" w:eastAsia="楷体_GB2312" w:cs="楷体_GB2312"/>
          <w:color w:val="000000" w:themeColor="text1"/>
          <w:sz w:val="32"/>
          <w:szCs w:val="32"/>
          <w14:textFill>
            <w14:solidFill>
              <w14:schemeClr w14:val="tx1"/>
            </w14:solidFill>
          </w14:textFill>
        </w:rPr>
        <w:t>（三）绩效结果应用情况（10分）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Style w:val="39"/>
          <w:rFonts w:ascii="仿宋_GB2312" w:eastAsia="仿宋_GB2312"/>
          <w:color w:val="000000" w:themeColor="text1"/>
          <w:sz w:val="32"/>
          <w:szCs w:val="32"/>
          <w14:textFill>
            <w14:solidFill>
              <w14:schemeClr w14:val="tx1"/>
            </w14:solidFill>
          </w14:textFill>
        </w:rPr>
      </w:pPr>
      <w:r>
        <w:rPr>
          <w:rStyle w:val="39"/>
          <w:rFonts w:ascii="仿宋_GB2312" w:eastAsia="仿宋_GB2312"/>
          <w:color w:val="000000" w:themeColor="text1"/>
          <w:sz w:val="32"/>
          <w:szCs w:val="32"/>
          <w14:textFill>
            <w14:solidFill>
              <w14:schemeClr w14:val="tx1"/>
            </w14:solidFill>
          </w14:textFill>
        </w:rPr>
        <w:t>包括内部应用、自评公开、问题整改和应用反馈等情况。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Style w:val="39"/>
          <w:rFonts w:ascii="仿宋_GB2312" w:eastAsia="仿宋_GB2312"/>
          <w:color w:val="000000" w:themeColor="text1"/>
          <w:sz w:val="32"/>
          <w:szCs w:val="32"/>
          <w14:textFill>
            <w14:solidFill>
              <w14:schemeClr w14:val="tx1"/>
            </w14:solidFill>
          </w14:textFill>
        </w:rPr>
      </w:pPr>
      <w:r>
        <w:rPr>
          <w:rStyle w:val="39"/>
          <w:rFonts w:ascii="仿宋_GB2312" w:eastAsia="仿宋_GB2312"/>
          <w:color w:val="000000" w:themeColor="text1"/>
          <w:sz w:val="32"/>
          <w:szCs w:val="32"/>
          <w14:textFill>
            <w14:solidFill>
              <w14:schemeClr w14:val="tx1"/>
            </w14:solidFill>
          </w14:textFill>
        </w:rPr>
        <w:t>一是内部应用。落实组织保障，将科室设置和绩效自评纳入考核体系，建立相关科室和下属单位预算与绩效挂钩机制，成立了由局长为组长，党组成员为副组长，各科室及局属单位负责人为成员的预算绩效管理工作领导小组，定期研究解决预算绩效管理工作中的实际问题，确保预算项目绩效管理抓严抓实抓落地，该项指标得4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Style w:val="39"/>
          <w:rFonts w:ascii="仿宋_GB2312" w:eastAsia="仿宋_GB2312"/>
          <w:color w:val="000000" w:themeColor="text1"/>
          <w:sz w:val="32"/>
          <w:szCs w:val="32"/>
          <w14:textFill>
            <w14:solidFill>
              <w14:schemeClr w14:val="tx1"/>
            </w14:solidFill>
          </w14:textFill>
        </w:rPr>
      </w:pPr>
      <w:r>
        <w:rPr>
          <w:rStyle w:val="39"/>
          <w:rFonts w:ascii="仿宋_GB2312" w:eastAsia="仿宋_GB2312"/>
          <w:color w:val="000000" w:themeColor="text1"/>
          <w:sz w:val="32"/>
          <w:szCs w:val="32"/>
          <w14:textFill>
            <w14:solidFill>
              <w14:schemeClr w14:val="tx1"/>
            </w14:solidFill>
          </w14:textFill>
        </w:rPr>
        <w:t>二是</w:t>
      </w:r>
      <w:r>
        <w:rPr>
          <w:rStyle w:val="39"/>
          <w:rFonts w:hint="eastAsia" w:ascii="仿宋_GB2312" w:eastAsia="仿宋_GB2312"/>
          <w:color w:val="000000" w:themeColor="text1"/>
          <w:sz w:val="32"/>
          <w:szCs w:val="32"/>
          <w:lang w:eastAsia="zh-CN"/>
          <w14:textFill>
            <w14:solidFill>
              <w14:schemeClr w14:val="tx1"/>
            </w14:solidFill>
          </w14:textFill>
        </w:rPr>
        <w:t>信息</w:t>
      </w:r>
      <w:r>
        <w:rPr>
          <w:rStyle w:val="39"/>
          <w:rFonts w:ascii="仿宋_GB2312" w:eastAsia="仿宋_GB2312"/>
          <w:color w:val="000000" w:themeColor="text1"/>
          <w:sz w:val="32"/>
          <w:szCs w:val="32"/>
          <w14:textFill>
            <w14:solidFill>
              <w14:schemeClr w14:val="tx1"/>
            </w14:solidFill>
          </w14:textFill>
        </w:rPr>
        <w:t xml:space="preserve">公开。我局按要求将绩效目标随同部门年初预算同步公开，绩效目标完成情况、部门整体支出绩效评价自评报告等绩效信息随同部门年终决算公开，该项指标得2分。 </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Style w:val="39"/>
          <w:rFonts w:ascii="仿宋_GB2312" w:eastAsia="仿宋_GB2312"/>
          <w:color w:val="000000" w:themeColor="text1"/>
          <w:sz w:val="32"/>
          <w:szCs w:val="32"/>
          <w14:textFill>
            <w14:solidFill>
              <w14:schemeClr w14:val="tx1"/>
            </w14:solidFill>
          </w14:textFill>
        </w:rPr>
      </w:pPr>
      <w:r>
        <w:rPr>
          <w:rStyle w:val="39"/>
          <w:rFonts w:hint="eastAsia" w:ascii="仿宋_GB2312" w:eastAsia="仿宋_GB2312"/>
          <w:color w:val="000000" w:themeColor="text1"/>
          <w:sz w:val="32"/>
          <w:szCs w:val="32"/>
          <w14:textFill>
            <w14:solidFill>
              <w14:schemeClr w14:val="tx1"/>
            </w14:solidFill>
          </w14:textFill>
        </w:rPr>
        <w:t>三</w:t>
      </w:r>
      <w:r>
        <w:rPr>
          <w:rStyle w:val="39"/>
          <w:rFonts w:ascii="仿宋_GB2312" w:eastAsia="仿宋_GB2312"/>
          <w:color w:val="000000" w:themeColor="text1"/>
          <w:sz w:val="32"/>
          <w:szCs w:val="32"/>
          <w14:textFill>
            <w14:solidFill>
              <w14:schemeClr w14:val="tx1"/>
            </w14:solidFill>
          </w14:textFill>
        </w:rPr>
        <w:t>是问题整改。2022年，我局根据上级统一安排部署，结合地方实际，制定了详细的项目资金执行进度表、路线图，每月对资金执行进度进行考核通报，有效提高了资金的使用率。此项自评得2分。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Style w:val="39"/>
          <w:rFonts w:ascii="仿宋_GB2312" w:eastAsia="仿宋_GB2312"/>
          <w:color w:val="000000" w:themeColor="text1"/>
          <w:sz w:val="32"/>
          <w:szCs w:val="32"/>
          <w14:textFill>
            <w14:solidFill>
              <w14:schemeClr w14:val="tx1"/>
            </w14:solidFill>
          </w14:textFill>
        </w:rPr>
      </w:pPr>
      <w:r>
        <w:rPr>
          <w:rStyle w:val="39"/>
          <w:rFonts w:hint="eastAsia" w:ascii="仿宋_GB2312" w:eastAsia="仿宋_GB2312"/>
          <w:color w:val="000000" w:themeColor="text1"/>
          <w:sz w:val="32"/>
          <w:szCs w:val="32"/>
          <w14:textFill>
            <w14:solidFill>
              <w14:schemeClr w14:val="tx1"/>
            </w14:solidFill>
          </w14:textFill>
        </w:rPr>
        <w:t>四</w:t>
      </w:r>
      <w:r>
        <w:rPr>
          <w:rStyle w:val="39"/>
          <w:rFonts w:ascii="仿宋_GB2312" w:eastAsia="仿宋_GB2312"/>
          <w:color w:val="000000" w:themeColor="text1"/>
          <w:sz w:val="32"/>
          <w:szCs w:val="32"/>
          <w14:textFill>
            <w14:solidFill>
              <w14:schemeClr w14:val="tx1"/>
            </w14:solidFill>
          </w14:textFill>
        </w:rPr>
        <w:t>是应用反馈。严格按照绩效管理要求要求，按时报送预算绩效管理工作考核自查报告及相关材料，同时我局将各项目绩效评价结果作为次年政策优化、改进管理、预算调整、项目调整等的重要依据，并根据结果对202</w:t>
      </w:r>
      <w:r>
        <w:rPr>
          <w:rStyle w:val="39"/>
          <w:rFonts w:hint="eastAsia" w:ascii="仿宋_GB2312" w:eastAsia="仿宋_GB2312"/>
          <w:color w:val="000000" w:themeColor="text1"/>
          <w:sz w:val="32"/>
          <w:szCs w:val="32"/>
          <w:lang w:val="en-US"/>
          <w14:textFill>
            <w14:solidFill>
              <w14:schemeClr w14:val="tx1"/>
            </w14:solidFill>
          </w14:textFill>
        </w:rPr>
        <w:t>3</w:t>
      </w:r>
      <w:r>
        <w:rPr>
          <w:rStyle w:val="39"/>
          <w:rFonts w:ascii="仿宋_GB2312" w:eastAsia="仿宋_GB2312"/>
          <w:color w:val="000000" w:themeColor="text1"/>
          <w:sz w:val="32"/>
          <w:szCs w:val="32"/>
          <w14:textFill>
            <w14:solidFill>
              <w14:schemeClr w14:val="tx1"/>
            </w14:solidFill>
          </w14:textFill>
        </w:rPr>
        <w:t>年部分项目做了调整优化，该项指标得 2分。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Style w:val="39"/>
          <w:rFonts w:hint="eastAsia" w:ascii="楷体_GB2312" w:hAnsi="楷体_GB2312" w:eastAsia="楷体_GB2312" w:cs="楷体_GB2312"/>
          <w:color w:val="000000" w:themeColor="text1"/>
          <w:sz w:val="32"/>
          <w:szCs w:val="32"/>
          <w14:textFill>
            <w14:solidFill>
              <w14:schemeClr w14:val="tx1"/>
            </w14:solidFill>
          </w14:textFill>
        </w:rPr>
      </w:pPr>
      <w:r>
        <w:rPr>
          <w:rStyle w:val="39"/>
          <w:rFonts w:hint="eastAsia" w:ascii="楷体_GB2312" w:hAnsi="楷体_GB2312" w:eastAsia="楷体_GB2312" w:cs="楷体_GB2312"/>
          <w:color w:val="000000" w:themeColor="text1"/>
          <w:sz w:val="32"/>
          <w:szCs w:val="32"/>
          <w14:textFill>
            <w14:solidFill>
              <w14:schemeClr w14:val="tx1"/>
            </w14:solidFill>
          </w14:textFill>
        </w:rPr>
        <w:t>（四）自评质量（10分）</w:t>
      </w:r>
    </w:p>
    <w:p>
      <w:pPr>
        <w:keepNext w:val="0"/>
        <w:keepLines w:val="0"/>
        <w:pageBreakBefore w:val="0"/>
        <w:widowControl w:val="0"/>
        <w:kinsoku/>
        <w:wordWrap/>
        <w:overflowPunct/>
        <w:topLinePunct w:val="0"/>
        <w:autoSpaceDE/>
        <w:autoSpaceDN/>
        <w:bidi w:val="0"/>
        <w:adjustRightInd w:val="0"/>
        <w:snapToGrid w:val="0"/>
        <w:spacing w:line="576" w:lineRule="exact"/>
        <w:ind w:firstLine="616" w:firstLineChars="200"/>
        <w:jc w:val="both"/>
        <w:textAlignment w:val="baseline"/>
        <w:rPr>
          <w:rStyle w:val="39"/>
          <w:rFonts w:ascii="仿宋_GB2312" w:eastAsia="仿宋_GB2312"/>
          <w:color w:val="000000" w:themeColor="text1"/>
          <w:spacing w:val="-6"/>
          <w:sz w:val="32"/>
          <w:szCs w:val="32"/>
          <w14:textFill>
            <w14:solidFill>
              <w14:schemeClr w14:val="tx1"/>
            </w14:solidFill>
          </w14:textFill>
        </w:rPr>
      </w:pPr>
      <w:r>
        <w:rPr>
          <w:rStyle w:val="39"/>
          <w:rFonts w:ascii="仿宋_GB2312" w:eastAsia="仿宋_GB2312"/>
          <w:color w:val="000000" w:themeColor="text1"/>
          <w:spacing w:val="-6"/>
          <w:sz w:val="32"/>
          <w:szCs w:val="32"/>
          <w14:textFill>
            <w14:solidFill>
              <w14:schemeClr w14:val="tx1"/>
            </w14:solidFill>
          </w14:textFill>
        </w:rPr>
        <w:t>组织专人对部门所有项目支出绩效评价进行全覆盖检查，自评得分与单位抽查得分差异在5%以内的，不扣分，故此项得10分。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Style w:val="39"/>
          <w:rFonts w:ascii="黑体" w:hAnsi="黑体" w:eastAsia="黑体"/>
          <w:color w:val="000000" w:themeColor="text1"/>
          <w:sz w:val="32"/>
          <w:szCs w:val="32"/>
          <w14:textFill>
            <w14:solidFill>
              <w14:schemeClr w14:val="tx1"/>
            </w14:solidFill>
          </w14:textFill>
        </w:rPr>
      </w:pPr>
      <w:r>
        <w:rPr>
          <w:rStyle w:val="39"/>
          <w:rFonts w:ascii="黑体" w:hAnsi="黑体" w:eastAsia="黑体"/>
          <w:color w:val="000000" w:themeColor="text1"/>
          <w:sz w:val="32"/>
          <w:szCs w:val="32"/>
          <w14:textFill>
            <w14:solidFill>
              <w14:schemeClr w14:val="tx1"/>
            </w14:solidFill>
          </w14:textFill>
        </w:rPr>
        <w:t>四、评价结论及建议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baseline"/>
        <w:rPr>
          <w:rStyle w:val="39"/>
          <w:rFonts w:hint="eastAsia" w:ascii="楷体_GB2312" w:hAnsi="楷体_GB2312" w:eastAsia="楷体_GB2312" w:cs="楷体_GB2312"/>
          <w:color w:val="000000" w:themeColor="text1"/>
          <w:sz w:val="32"/>
          <w:szCs w:val="32"/>
          <w14:textFill>
            <w14:solidFill>
              <w14:schemeClr w14:val="tx1"/>
            </w14:solidFill>
          </w14:textFill>
        </w:rPr>
      </w:pPr>
      <w:r>
        <w:rPr>
          <w:rStyle w:val="39"/>
          <w:rFonts w:hint="eastAsia" w:ascii="楷体_GB2312" w:hAnsi="楷体_GB2312" w:eastAsia="楷体_GB2312" w:cs="楷体_GB2312"/>
          <w:color w:val="000000" w:themeColor="text1"/>
          <w:sz w:val="32"/>
          <w:szCs w:val="32"/>
          <w14:textFill>
            <w14:solidFill>
              <w14:schemeClr w14:val="tx1"/>
            </w14:solidFill>
          </w14:textFill>
        </w:rPr>
        <w:t>（一）评价结论</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baseline"/>
        <w:rPr>
          <w:rStyle w:val="39"/>
          <w:rFonts w:ascii="仿宋_GB2312" w:eastAsia="仿宋_GB2312"/>
          <w:color w:val="000000" w:themeColor="text1"/>
          <w:sz w:val="32"/>
          <w:szCs w:val="32"/>
          <w14:textFill>
            <w14:solidFill>
              <w14:schemeClr w14:val="tx1"/>
            </w14:solidFill>
          </w14:textFill>
        </w:rPr>
      </w:pPr>
      <w:r>
        <w:rPr>
          <w:rStyle w:val="39"/>
          <w:rFonts w:ascii="仿宋_GB2312" w:eastAsia="仿宋_GB2312"/>
          <w:color w:val="000000" w:themeColor="text1"/>
          <w:sz w:val="32"/>
          <w:szCs w:val="32"/>
          <w14:textFill>
            <w14:solidFill>
              <w14:schemeClr w14:val="tx1"/>
            </w14:solidFill>
          </w14:textFill>
        </w:rPr>
        <w:t>根据</w:t>
      </w:r>
      <w:r>
        <w:rPr>
          <w:rStyle w:val="39"/>
          <w:rFonts w:ascii="仿宋_GB2312" w:hAnsi="仿宋_GB2312" w:eastAsia="仿宋_GB2312"/>
          <w:color w:val="000000" w:themeColor="text1"/>
          <w:spacing w:val="-6"/>
          <w:sz w:val="32"/>
          <w:szCs w:val="32"/>
          <w14:textFill>
            <w14:solidFill>
              <w14:schemeClr w14:val="tx1"/>
            </w14:solidFill>
          </w14:textFill>
        </w:rPr>
        <w:t>《广元市财政局关于开展202</w:t>
      </w:r>
      <w:r>
        <w:rPr>
          <w:rStyle w:val="39"/>
          <w:rFonts w:hint="eastAsia" w:ascii="仿宋_GB2312" w:hAnsi="仿宋_GB2312" w:eastAsia="仿宋_GB2312"/>
          <w:color w:val="000000" w:themeColor="text1"/>
          <w:spacing w:val="-6"/>
          <w:sz w:val="32"/>
          <w:szCs w:val="32"/>
          <w:lang w:val="en-US"/>
          <w14:textFill>
            <w14:solidFill>
              <w14:schemeClr w14:val="tx1"/>
            </w14:solidFill>
          </w14:textFill>
        </w:rPr>
        <w:t>2</w:t>
      </w:r>
      <w:r>
        <w:rPr>
          <w:rStyle w:val="39"/>
          <w:rFonts w:ascii="仿宋_GB2312" w:hAnsi="仿宋_GB2312" w:eastAsia="仿宋_GB2312"/>
          <w:color w:val="000000" w:themeColor="text1"/>
          <w:spacing w:val="-6"/>
          <w:sz w:val="32"/>
          <w:szCs w:val="32"/>
          <w14:textFill>
            <w14:solidFill>
              <w14:schemeClr w14:val="tx1"/>
            </w14:solidFill>
          </w14:textFill>
        </w:rPr>
        <w:t>年度</w:t>
      </w:r>
      <w:r>
        <w:rPr>
          <w:rStyle w:val="39"/>
          <w:rFonts w:hint="eastAsia" w:ascii="仿宋_GB2312" w:hAnsi="仿宋_GB2312" w:eastAsia="仿宋_GB2312"/>
          <w:color w:val="000000" w:themeColor="text1"/>
          <w:spacing w:val="-6"/>
          <w:sz w:val="32"/>
          <w:szCs w:val="32"/>
          <w14:textFill>
            <w14:solidFill>
              <w14:schemeClr w14:val="tx1"/>
            </w14:solidFill>
          </w14:textFill>
        </w:rPr>
        <w:t>市级</w:t>
      </w:r>
      <w:r>
        <w:rPr>
          <w:rStyle w:val="39"/>
          <w:rFonts w:ascii="仿宋_GB2312" w:hAnsi="仿宋_GB2312" w:eastAsia="仿宋_GB2312"/>
          <w:color w:val="000000" w:themeColor="text1"/>
          <w:spacing w:val="-6"/>
          <w:sz w:val="32"/>
          <w:szCs w:val="32"/>
          <w14:textFill>
            <w14:solidFill>
              <w14:schemeClr w14:val="tx1"/>
            </w14:solidFill>
          </w14:textFill>
        </w:rPr>
        <w:t>部门绩效自评工作的通知》（广财绩〔202</w:t>
      </w:r>
      <w:r>
        <w:rPr>
          <w:rStyle w:val="39"/>
          <w:rFonts w:hint="eastAsia" w:ascii="仿宋_GB2312" w:hAnsi="仿宋_GB2312" w:eastAsia="仿宋_GB2312"/>
          <w:color w:val="000000" w:themeColor="text1"/>
          <w:spacing w:val="-6"/>
          <w:sz w:val="32"/>
          <w:szCs w:val="32"/>
          <w:lang w:val="en-US"/>
          <w14:textFill>
            <w14:solidFill>
              <w14:schemeClr w14:val="tx1"/>
            </w14:solidFill>
          </w14:textFill>
        </w:rPr>
        <w:t>3</w:t>
      </w:r>
      <w:r>
        <w:rPr>
          <w:rStyle w:val="39"/>
          <w:rFonts w:ascii="仿宋_GB2312" w:hAnsi="仿宋_GB2312" w:eastAsia="仿宋_GB2312"/>
          <w:color w:val="000000" w:themeColor="text1"/>
          <w:spacing w:val="-6"/>
          <w:sz w:val="32"/>
          <w:szCs w:val="32"/>
          <w14:textFill>
            <w14:solidFill>
              <w14:schemeClr w14:val="tx1"/>
            </w14:solidFill>
          </w14:textFill>
        </w:rPr>
        <w:t>〕</w:t>
      </w:r>
      <w:r>
        <w:rPr>
          <w:rStyle w:val="39"/>
          <w:rFonts w:hint="eastAsia" w:ascii="仿宋_GB2312" w:hAnsi="仿宋_GB2312" w:eastAsia="仿宋_GB2312"/>
          <w:color w:val="000000" w:themeColor="text1"/>
          <w:spacing w:val="-6"/>
          <w:sz w:val="32"/>
          <w:szCs w:val="32"/>
          <w:lang w:val="en-US"/>
          <w14:textFill>
            <w14:solidFill>
              <w14:schemeClr w14:val="tx1"/>
            </w14:solidFill>
          </w14:textFill>
        </w:rPr>
        <w:t>5</w:t>
      </w:r>
      <w:r>
        <w:rPr>
          <w:rStyle w:val="39"/>
          <w:rFonts w:ascii="仿宋_GB2312" w:hAnsi="仿宋_GB2312" w:eastAsia="仿宋_GB2312"/>
          <w:color w:val="000000" w:themeColor="text1"/>
          <w:spacing w:val="-6"/>
          <w:sz w:val="32"/>
          <w:szCs w:val="32"/>
          <w14:textFill>
            <w14:solidFill>
              <w14:schemeClr w14:val="tx1"/>
            </w14:solidFill>
          </w14:textFill>
        </w:rPr>
        <w:t>号）</w:t>
      </w:r>
      <w:r>
        <w:rPr>
          <w:rStyle w:val="39"/>
          <w:rFonts w:ascii="仿宋_GB2312" w:eastAsia="仿宋_GB2312"/>
          <w:color w:val="000000" w:themeColor="text1"/>
          <w:sz w:val="32"/>
          <w:szCs w:val="32"/>
          <w14:textFill>
            <w14:solidFill>
              <w14:schemeClr w14:val="tx1"/>
            </w14:solidFill>
          </w14:textFill>
        </w:rPr>
        <w:t>文件要求，我局高度重视，认真学习解读，并对202</w:t>
      </w:r>
      <w:r>
        <w:rPr>
          <w:rStyle w:val="39"/>
          <w:rFonts w:hint="default" w:ascii="仿宋_GB2312" w:eastAsia="仿宋_GB2312"/>
          <w:color w:val="000000" w:themeColor="text1"/>
          <w:sz w:val="32"/>
          <w:szCs w:val="32"/>
          <w:lang w:val="en-US"/>
          <w14:textFill>
            <w14:solidFill>
              <w14:schemeClr w14:val="tx1"/>
            </w14:solidFill>
          </w14:textFill>
        </w:rPr>
        <w:t>2</w:t>
      </w:r>
      <w:r>
        <w:rPr>
          <w:rStyle w:val="39"/>
          <w:rFonts w:ascii="仿宋_GB2312" w:eastAsia="仿宋_GB2312"/>
          <w:color w:val="000000" w:themeColor="text1"/>
          <w:sz w:val="32"/>
          <w:szCs w:val="32"/>
          <w14:textFill>
            <w14:solidFill>
              <w14:schemeClr w14:val="tx1"/>
            </w14:solidFill>
          </w14:textFill>
        </w:rPr>
        <w:t>年整体支出情况开展自评，自评得</w:t>
      </w:r>
      <w:r>
        <w:rPr>
          <w:rStyle w:val="39"/>
          <w:rFonts w:hint="eastAsia" w:ascii="仿宋_GB2312" w:eastAsia="仿宋_GB2312"/>
          <w:color w:val="000000" w:themeColor="text1"/>
          <w:sz w:val="32"/>
          <w:szCs w:val="32"/>
          <w:lang w:val="en-US"/>
          <w14:textFill>
            <w14:solidFill>
              <w14:schemeClr w14:val="tx1"/>
            </w14:solidFill>
          </w14:textFill>
        </w:rPr>
        <w:t xml:space="preserve"> 95.6</w:t>
      </w:r>
      <w:r>
        <w:rPr>
          <w:rStyle w:val="39"/>
          <w:rFonts w:hint="default" w:ascii="仿宋_GB2312" w:eastAsia="仿宋_GB2312"/>
          <w:color w:val="000000" w:themeColor="text1"/>
          <w:sz w:val="32"/>
          <w:szCs w:val="32"/>
          <w:lang w:val="en-US"/>
          <w14:textFill>
            <w14:solidFill>
              <w14:schemeClr w14:val="tx1"/>
            </w14:solidFill>
          </w14:textFill>
        </w:rPr>
        <w:t>4</w:t>
      </w:r>
      <w:r>
        <w:rPr>
          <w:rStyle w:val="39"/>
          <w:rFonts w:hint="eastAsia" w:ascii="仿宋_GB2312" w:eastAsia="仿宋_GB2312"/>
          <w:color w:val="000000" w:themeColor="text1"/>
          <w:sz w:val="32"/>
          <w:szCs w:val="32"/>
          <w:lang w:val="en-US"/>
          <w14:textFill>
            <w14:solidFill>
              <w14:schemeClr w14:val="tx1"/>
            </w14:solidFill>
          </w14:textFill>
        </w:rPr>
        <w:t xml:space="preserve"> </w:t>
      </w:r>
      <w:r>
        <w:rPr>
          <w:rStyle w:val="39"/>
          <w:rFonts w:ascii="仿宋_GB2312" w:eastAsia="仿宋_GB2312"/>
          <w:color w:val="000000" w:themeColor="text1"/>
          <w:sz w:val="32"/>
          <w:szCs w:val="32"/>
          <w14:textFill>
            <w14:solidFill>
              <w14:schemeClr w14:val="tx1"/>
            </w14:solidFill>
          </w14:textFill>
        </w:rPr>
        <w:t>分，自评结果为优秀。</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baseline"/>
        <w:rPr>
          <w:rStyle w:val="39"/>
          <w:rFonts w:hint="eastAsia" w:ascii="楷体_GB2312" w:hAnsi="楷体_GB2312" w:eastAsia="楷体_GB2312" w:cs="楷体_GB2312"/>
          <w:color w:val="000000" w:themeColor="text1"/>
          <w:sz w:val="32"/>
          <w:szCs w:val="32"/>
          <w14:textFill>
            <w14:solidFill>
              <w14:schemeClr w14:val="tx1"/>
            </w14:solidFill>
          </w14:textFill>
        </w:rPr>
      </w:pPr>
      <w:r>
        <w:rPr>
          <w:rStyle w:val="39"/>
          <w:rFonts w:hint="eastAsia" w:ascii="楷体_GB2312" w:hAnsi="楷体_GB2312" w:eastAsia="楷体_GB2312" w:cs="楷体_GB2312"/>
          <w:color w:val="000000" w:themeColor="text1"/>
          <w:sz w:val="32"/>
          <w:szCs w:val="32"/>
          <w14:textFill>
            <w14:solidFill>
              <w14:schemeClr w14:val="tx1"/>
            </w14:solidFill>
          </w14:textFill>
        </w:rPr>
        <w:t>（二）存在问题</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baseline"/>
        <w:rPr>
          <w:rStyle w:val="39"/>
          <w:rFonts w:ascii="仿宋_GB2312" w:eastAsia="仿宋_GB2312"/>
          <w:color w:val="000000" w:themeColor="text1"/>
          <w:sz w:val="32"/>
          <w:szCs w:val="32"/>
          <w14:textFill>
            <w14:solidFill>
              <w14:schemeClr w14:val="tx1"/>
            </w14:solidFill>
          </w14:textFill>
        </w:rPr>
      </w:pPr>
      <w:r>
        <w:rPr>
          <w:rStyle w:val="39"/>
          <w:rFonts w:ascii="仿宋_GB2312" w:eastAsia="仿宋_GB2312"/>
          <w:color w:val="000000" w:themeColor="text1"/>
          <w:sz w:val="32"/>
          <w:szCs w:val="32"/>
          <w14:textFill>
            <w14:solidFill>
              <w14:schemeClr w14:val="tx1"/>
            </w14:solidFill>
          </w14:textFill>
        </w:rPr>
        <w:t>尽管我局在预算绩效管理工作中取得了一定的成绩，但也存在一些问题和不足：</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baseline"/>
        <w:rPr>
          <w:rStyle w:val="39"/>
          <w:rFonts w:ascii="仿宋_GB2312" w:eastAsia="仿宋_GB2312"/>
          <w:color w:val="000000" w:themeColor="text1"/>
          <w:sz w:val="32"/>
          <w:szCs w:val="32"/>
          <w14:textFill>
            <w14:solidFill>
              <w14:schemeClr w14:val="tx1"/>
            </w14:solidFill>
          </w14:textFill>
        </w:rPr>
      </w:pPr>
      <w:r>
        <w:rPr>
          <w:rStyle w:val="39"/>
          <w:rFonts w:ascii="仿宋_GB2312" w:eastAsia="仿宋_GB2312"/>
          <w:color w:val="000000" w:themeColor="text1"/>
          <w:sz w:val="32"/>
          <w:szCs w:val="32"/>
          <w14:textFill>
            <w14:solidFill>
              <w14:schemeClr w14:val="tx1"/>
            </w14:solidFill>
          </w14:textFill>
        </w:rPr>
        <w:t>一是预算编制测算不够精确。编制依据和测算深度不够，缺乏较强的科学性，实际执行与项目预算绩效存在一定偏差，预算绩效目标编制精准度需进一步提高。</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baseline"/>
        <w:rPr>
          <w:rStyle w:val="39"/>
          <w:rFonts w:ascii="仿宋_GB2312" w:eastAsia="仿宋_GB2312"/>
          <w:color w:val="000000" w:themeColor="text1"/>
          <w:sz w:val="32"/>
          <w:szCs w:val="32"/>
          <w14:textFill>
            <w14:solidFill>
              <w14:schemeClr w14:val="tx1"/>
            </w14:solidFill>
          </w14:textFill>
        </w:rPr>
      </w:pPr>
      <w:r>
        <w:rPr>
          <w:rStyle w:val="39"/>
          <w:rFonts w:ascii="仿宋_GB2312" w:eastAsia="仿宋_GB2312"/>
          <w:color w:val="000000" w:themeColor="text1"/>
          <w:sz w:val="32"/>
          <w:szCs w:val="32"/>
          <w14:textFill>
            <w14:solidFill>
              <w14:schemeClr w14:val="tx1"/>
            </w14:solidFill>
          </w14:textFill>
        </w:rPr>
        <w:t>二是预算执行进度不均衡。因个别项目支出集中在年底，影响全年支付进度。</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baseline"/>
        <w:rPr>
          <w:rStyle w:val="39"/>
          <w:rFonts w:ascii="仿宋_GB2312" w:eastAsia="仿宋_GB2312"/>
          <w:color w:val="000000" w:themeColor="text1"/>
          <w:sz w:val="32"/>
          <w:szCs w:val="32"/>
          <w14:textFill>
            <w14:solidFill>
              <w14:schemeClr w14:val="tx1"/>
            </w14:solidFill>
          </w14:textFill>
        </w:rPr>
      </w:pPr>
      <w:r>
        <w:rPr>
          <w:rStyle w:val="39"/>
          <w:rFonts w:ascii="仿宋_GB2312" w:eastAsia="仿宋_GB2312"/>
          <w:color w:val="000000" w:themeColor="text1"/>
          <w:sz w:val="32"/>
          <w:szCs w:val="32"/>
          <w14:textFill>
            <w14:solidFill>
              <w14:schemeClr w14:val="tx1"/>
            </w14:solidFill>
          </w14:textFill>
        </w:rPr>
        <w:t>三是公用经费尚显不足。行政运行一般性公用支出基数标准与实际日常运转费用还存在一定的差距，保障程度稍显不够。</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baseline"/>
        <w:rPr>
          <w:rStyle w:val="39"/>
          <w:rFonts w:hint="eastAsia" w:ascii="楷体_GB2312" w:hAnsi="楷体_GB2312" w:eastAsia="楷体_GB2312" w:cs="楷体_GB2312"/>
          <w:color w:val="000000" w:themeColor="text1"/>
          <w:sz w:val="32"/>
          <w:szCs w:val="32"/>
          <w14:textFill>
            <w14:solidFill>
              <w14:schemeClr w14:val="tx1"/>
            </w14:solidFill>
          </w14:textFill>
        </w:rPr>
      </w:pPr>
      <w:r>
        <w:rPr>
          <w:rStyle w:val="39"/>
          <w:rFonts w:hint="eastAsia" w:ascii="楷体_GB2312" w:hAnsi="楷体_GB2312" w:eastAsia="楷体_GB2312" w:cs="楷体_GB2312"/>
          <w:color w:val="000000" w:themeColor="text1"/>
          <w:sz w:val="32"/>
          <w:szCs w:val="32"/>
          <w14:textFill>
            <w14:solidFill>
              <w14:schemeClr w14:val="tx1"/>
            </w14:solidFill>
          </w14:textFill>
        </w:rPr>
        <w:t>（三）改进建议</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baseline"/>
        <w:rPr>
          <w:rStyle w:val="39"/>
          <w:rFonts w:ascii="仿宋_GB2312" w:eastAsia="仿宋_GB2312"/>
          <w:color w:val="000000" w:themeColor="text1"/>
          <w:sz w:val="32"/>
          <w:szCs w:val="32"/>
          <w14:textFill>
            <w14:solidFill>
              <w14:schemeClr w14:val="tx1"/>
            </w14:solidFill>
          </w14:textFill>
        </w:rPr>
      </w:pPr>
      <w:r>
        <w:rPr>
          <w:rStyle w:val="39"/>
          <w:rFonts w:ascii="仿宋_GB2312" w:eastAsia="仿宋_GB2312"/>
          <w:color w:val="000000" w:themeColor="text1"/>
          <w:sz w:val="32"/>
          <w:szCs w:val="32"/>
          <w14:textFill>
            <w14:solidFill>
              <w14:schemeClr w14:val="tx1"/>
            </w14:solidFill>
          </w14:textFill>
        </w:rPr>
        <w:t>一是严格执行预算绩效管理规定。定期做好支出财务分析，及时对预算执行情况进行通报和预警。加强项目实施进度的跟踪，开展项目绩效评价，加强对绩效管理工作的跟踪督查，实现绩效管理规范化、常态化，充分发挥财政资金的使用效益，提高预算完成率，确保项目绩效目标完成。</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baseline"/>
        <w:rPr>
          <w:rStyle w:val="39"/>
          <w:rFonts w:ascii="仿宋_GB2312" w:eastAsia="仿宋_GB2312"/>
          <w:color w:val="000000" w:themeColor="text1"/>
          <w:sz w:val="32"/>
          <w:szCs w:val="32"/>
          <w14:textFill>
            <w14:solidFill>
              <w14:schemeClr w14:val="tx1"/>
            </w14:solidFill>
          </w14:textFill>
        </w:rPr>
      </w:pPr>
      <w:r>
        <w:rPr>
          <w:rStyle w:val="39"/>
          <w:rFonts w:ascii="仿宋_GB2312" w:eastAsia="仿宋_GB2312"/>
          <w:color w:val="000000" w:themeColor="text1"/>
          <w:sz w:val="32"/>
          <w:szCs w:val="32"/>
          <w14:textFill>
            <w14:solidFill>
              <w14:schemeClr w14:val="tx1"/>
            </w14:solidFill>
          </w14:textFill>
        </w:rPr>
        <w:t>二是科学编制项目资金预算。认真执行市委政府“过紧日子”要求，按照“保工资、保运转、保基本民生”的原则，结合部门职能职责，科学合理编制部门预算，广泛征求单位科室及项目服务对象意见，确保预算编制科学合理。</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cs="方正小标宋简体"/>
          <w:color w:val="000000" w:themeColor="text1"/>
          <w:sz w:val="44"/>
          <w:szCs w:val="44"/>
          <w14:textFill>
            <w14:solidFill>
              <w14:schemeClr w14:val="tx1"/>
            </w14:solidFill>
          </w14:textFill>
        </w:rPr>
      </w:pPr>
      <w:r>
        <w:rPr>
          <w:rStyle w:val="39"/>
          <w:rFonts w:ascii="仿宋_GB2312" w:eastAsia="仿宋_GB2312"/>
          <w:color w:val="000000" w:themeColor="text1"/>
          <w:sz w:val="32"/>
          <w:szCs w:val="32"/>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部门整体支出绩效目标自评表（2022年度）</w:t>
      </w:r>
    </w:p>
    <w:tbl>
      <w:tblPr>
        <w:tblStyle w:val="19"/>
        <w:tblW w:w="907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4"/>
        <w:gridCol w:w="704"/>
        <w:gridCol w:w="510"/>
        <w:gridCol w:w="2601"/>
        <w:gridCol w:w="885"/>
        <w:gridCol w:w="720"/>
        <w:gridCol w:w="645"/>
        <w:gridCol w:w="762"/>
        <w:gridCol w:w="393"/>
        <w:gridCol w:w="369"/>
        <w:gridCol w:w="7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918"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部门名称</w:t>
            </w:r>
          </w:p>
        </w:tc>
        <w:tc>
          <w:tcPr>
            <w:tcW w:w="7153" w:type="dxa"/>
            <w:gridSpan w:val="8"/>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任务</w:t>
            </w:r>
          </w:p>
        </w:tc>
        <w:tc>
          <w:tcPr>
            <w:tcW w:w="12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任务名称</w:t>
            </w:r>
          </w:p>
        </w:tc>
        <w:tc>
          <w:tcPr>
            <w:tcW w:w="2601"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主要内容</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预算金额（万元）</w:t>
            </w:r>
          </w:p>
        </w:tc>
        <w:tc>
          <w:tcPr>
            <w:tcW w:w="230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实际执行（万元）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601"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财政</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拨款</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财政</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拨款</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w:t>
            </w:r>
          </w:p>
        </w:tc>
        <w:tc>
          <w:tcPr>
            <w:tcW w:w="2601"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职工工资、津补贴、离退休费等</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668.4</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668.4</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668.4</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668.4</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公用经费</w:t>
            </w:r>
          </w:p>
        </w:tc>
        <w:tc>
          <w:tcPr>
            <w:tcW w:w="2601"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福利、工会、车补、党建、退休活动等</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99.75</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99.75</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99.75</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99.75</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医疗保险监管</w:t>
            </w:r>
          </w:p>
        </w:tc>
        <w:tc>
          <w:tcPr>
            <w:tcW w:w="2601"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开展医保监管宣传，加强医保监管队伍建设，提升医保监管水平和能力</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245.09</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245.09</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医保事务中心业务经费</w:t>
            </w:r>
          </w:p>
        </w:tc>
        <w:tc>
          <w:tcPr>
            <w:tcW w:w="2601"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完成市本级参保城镇职工医疗保险、生育保险、医疗救助、异地就医等医保待遇的审核、结算，医保政策宣传工作，完成对县区、两定点医药机构的医保经办业务指导工作</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19.71</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19.71</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物业管理服务项目</w:t>
            </w:r>
          </w:p>
        </w:tc>
        <w:tc>
          <w:tcPr>
            <w:tcW w:w="2601"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加强办公场所进出人员管控，保证工作有序开展，工作环境整洁，更好服务于广大参保人员</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14.75</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14.75</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基金财务软件维护费</w:t>
            </w:r>
          </w:p>
        </w:tc>
        <w:tc>
          <w:tcPr>
            <w:tcW w:w="2601"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准确、及时核算各险种基金收支情况，及时上报各类基金财务和统计报表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办公设施设备购置和维护</w:t>
            </w:r>
          </w:p>
        </w:tc>
        <w:tc>
          <w:tcPr>
            <w:tcW w:w="2601"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满足机关单位基本办公，更好的推进各项工作正常开展</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6.55</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6.55</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医疗保障档案规范化整理</w:t>
            </w:r>
          </w:p>
        </w:tc>
        <w:tc>
          <w:tcPr>
            <w:tcW w:w="2601"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规范档案管理，为经济活动、基金支出等提供依据和凭证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事务中心窗口人员服装费</w:t>
            </w:r>
          </w:p>
        </w:tc>
        <w:tc>
          <w:tcPr>
            <w:tcW w:w="2601"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按照政务服务标准化建设要求，为新增、调整或原工作服破损的医保大厅窗口工作人员配备工作服，提高医保窗口服务形象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打击欺诈骗保业务经费</w:t>
            </w:r>
          </w:p>
        </w:tc>
        <w:tc>
          <w:tcPr>
            <w:tcW w:w="2601"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对定点医疗机构开展检查，举行打击欺诈骗保业务培训，奖励举报人</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医疗保险征收工作经费</w:t>
            </w:r>
          </w:p>
        </w:tc>
        <w:tc>
          <w:tcPr>
            <w:tcW w:w="2601"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做好基本医疗保险费征收工作，完成2022年医疗保险目标任务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乡村振兴工作经费</w:t>
            </w:r>
          </w:p>
        </w:tc>
        <w:tc>
          <w:tcPr>
            <w:tcW w:w="2601"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顺利完成乡村振兴帮扶任务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医保政策调整风险评估</w:t>
            </w:r>
          </w:p>
        </w:tc>
        <w:tc>
          <w:tcPr>
            <w:tcW w:w="2601"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聘请专业风险评估机构进行风险评估，完善决策程序，有效化解政策调整风险</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医疗服务价格调整专家论证经费</w:t>
            </w:r>
          </w:p>
        </w:tc>
        <w:tc>
          <w:tcPr>
            <w:tcW w:w="2601"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邀请专家对医疗服务定价进行论证，稳妥有序探索医疗服务价格优化，逐步理顺比价关系</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大病保险业务审计</w:t>
            </w:r>
          </w:p>
        </w:tc>
        <w:tc>
          <w:tcPr>
            <w:tcW w:w="2601"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聘请第三方审计服务对保险公司承办的当年大病保险业务进行专项审计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智能审核系统与医保核心业务系统、DRG结算系统对接改造项目</w:t>
            </w:r>
          </w:p>
        </w:tc>
        <w:tc>
          <w:tcPr>
            <w:tcW w:w="2601"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构建更为完善的对定点医疗机构医疗行为预警、预报、控制和分析等功能的医疗保险审核系统，保障医疗保险基金安全运行</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医保经办体系建设工作经费</w:t>
            </w:r>
          </w:p>
        </w:tc>
        <w:tc>
          <w:tcPr>
            <w:tcW w:w="2601"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健全医保经办服务体系，沉入基层调研，合理确定下放医保服务事项，为群众提供更加贴心暖心的医保服务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DRG项目经费</w:t>
            </w:r>
          </w:p>
        </w:tc>
        <w:tc>
          <w:tcPr>
            <w:tcW w:w="2601" w:type="dxa"/>
            <w:tcBorders>
              <w:top w:val="single" w:color="000000" w:sz="4" w:space="0"/>
              <w:left w:val="nil"/>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按时完成国家医保局制定的DRG/DIP支付方式改革三年行动计划</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14" w:type="dxa"/>
            <w:gridSpan w:val="2"/>
            <w:tcBorders>
              <w:top w:val="single" w:color="000000" w:sz="4" w:space="0"/>
              <w:left w:val="single" w:color="000000" w:sz="4" w:space="0"/>
              <w:bottom w:val="single" w:color="auto"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医疗救助市级统筹试点工作经费</w:t>
            </w:r>
          </w:p>
        </w:tc>
        <w:tc>
          <w:tcPr>
            <w:tcW w:w="2601" w:type="dxa"/>
            <w:tcBorders>
              <w:top w:val="single" w:color="000000" w:sz="4" w:space="0"/>
              <w:left w:val="nil"/>
              <w:bottom w:val="single" w:color="auto"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提高医疗救助基金使用效益，提升办事服务效率，开展医疗救助市级统筹试点工作</w:t>
            </w:r>
          </w:p>
        </w:tc>
        <w:tc>
          <w:tcPr>
            <w:tcW w:w="885" w:type="dxa"/>
            <w:tcBorders>
              <w:top w:val="single" w:color="000000" w:sz="4" w:space="0"/>
              <w:left w:val="single" w:color="000000" w:sz="4" w:space="0"/>
              <w:bottom w:val="single" w:color="auto"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auto"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14"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离退休老干部管理经费</w:t>
            </w:r>
          </w:p>
        </w:tc>
        <w:tc>
          <w:tcPr>
            <w:tcW w:w="2601" w:type="dxa"/>
            <w:tcBorders>
              <w:top w:val="single" w:color="auto" w:sz="4" w:space="0"/>
              <w:left w:val="single" w:color="auto" w:sz="4" w:space="0"/>
              <w:bottom w:val="single" w:color="auto" w:sz="4" w:space="0"/>
              <w:right w:val="single" w:color="auto"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离休老干部档案管理和医疗费用审核费用</w:t>
            </w:r>
          </w:p>
        </w:tc>
        <w:tc>
          <w:tcPr>
            <w:tcW w:w="885" w:type="dxa"/>
            <w:tcBorders>
              <w:top w:val="single" w:color="auto" w:sz="4" w:space="0"/>
              <w:left w:val="single" w:color="auto" w:sz="4" w:space="0"/>
              <w:bottom w:val="single" w:color="auto" w:sz="4" w:space="0"/>
              <w:right w:val="single" w:color="auto"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720" w:type="dxa"/>
            <w:tcBorders>
              <w:top w:val="single" w:color="000000" w:sz="4" w:space="0"/>
              <w:left w:val="single" w:color="auto"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auto"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14"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医疗保障政策宣传经费</w:t>
            </w:r>
          </w:p>
        </w:tc>
        <w:tc>
          <w:tcPr>
            <w:tcW w:w="2601" w:type="dxa"/>
            <w:tcBorders>
              <w:top w:val="single" w:color="auto" w:sz="4" w:space="0"/>
              <w:left w:val="single" w:color="auto" w:sz="4" w:space="0"/>
              <w:bottom w:val="single" w:color="auto" w:sz="4" w:space="0"/>
              <w:right w:val="single" w:color="auto"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及时解答参保群众关心的热点问题以及对最新医保政策进行普及及宣传</w:t>
            </w:r>
          </w:p>
        </w:tc>
        <w:tc>
          <w:tcPr>
            <w:tcW w:w="885" w:type="dxa"/>
            <w:tcBorders>
              <w:top w:val="single" w:color="auto" w:sz="4" w:space="0"/>
              <w:left w:val="single" w:color="auto" w:sz="4" w:space="0"/>
              <w:bottom w:val="single" w:color="auto" w:sz="4" w:space="0"/>
              <w:right w:val="single" w:color="auto"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auto"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704" w:type="dxa"/>
            <w:vMerge w:val="continue"/>
            <w:tcBorders>
              <w:top w:val="single" w:color="000000" w:sz="4" w:space="0"/>
              <w:left w:val="single" w:color="000000" w:sz="4" w:space="0"/>
              <w:bottom w:val="single" w:color="000000" w:sz="4" w:space="0"/>
              <w:right w:val="single" w:color="auto"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14"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建国初期退休老干部医疗照顾费</w:t>
            </w:r>
          </w:p>
        </w:tc>
        <w:tc>
          <w:tcPr>
            <w:tcW w:w="2601" w:type="dxa"/>
            <w:tcBorders>
              <w:top w:val="single" w:color="auto" w:sz="4" w:space="0"/>
              <w:left w:val="single" w:color="auto" w:sz="4" w:space="0"/>
              <w:bottom w:val="single" w:color="auto" w:sz="4" w:space="0"/>
              <w:right w:val="single" w:color="auto"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负责对建国初期人员医疗门诊、住院医疗照顾金费用进行审核、拨付</w:t>
            </w:r>
          </w:p>
        </w:tc>
        <w:tc>
          <w:tcPr>
            <w:tcW w:w="885" w:type="dxa"/>
            <w:tcBorders>
              <w:top w:val="single" w:color="auto" w:sz="4" w:space="0"/>
              <w:left w:val="single" w:color="auto" w:sz="4" w:space="0"/>
              <w:bottom w:val="single" w:color="auto" w:sz="4" w:space="0"/>
              <w:right w:val="single" w:color="auto"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44.19</w:t>
            </w:r>
          </w:p>
        </w:tc>
        <w:tc>
          <w:tcPr>
            <w:tcW w:w="720" w:type="dxa"/>
            <w:tcBorders>
              <w:top w:val="single" w:color="000000" w:sz="4" w:space="0"/>
              <w:left w:val="single" w:color="auto"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44.19</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44.19</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44.19</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3" w:hRule="atLeast"/>
        </w:trPr>
        <w:tc>
          <w:tcPr>
            <w:tcW w:w="704" w:type="dxa"/>
            <w:vMerge w:val="continue"/>
            <w:tcBorders>
              <w:top w:val="single" w:color="000000" w:sz="4" w:space="0"/>
              <w:left w:val="single" w:color="000000" w:sz="4" w:space="0"/>
              <w:bottom w:val="single" w:color="000000" w:sz="4" w:space="0"/>
              <w:right w:val="single" w:color="auto"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14"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转移资金</w:t>
            </w:r>
          </w:p>
        </w:tc>
        <w:tc>
          <w:tcPr>
            <w:tcW w:w="2601" w:type="dxa"/>
            <w:tcBorders>
              <w:top w:val="single" w:color="auto" w:sz="4" w:space="0"/>
              <w:left w:val="single" w:color="auto" w:sz="4" w:space="0"/>
              <w:bottom w:val="single" w:color="auto" w:sz="4" w:space="0"/>
              <w:right w:val="single" w:color="auto"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color w:val="000000" w:themeColor="text1"/>
                <w:sz w:val="18"/>
                <w:szCs w:val="18"/>
                <w14:textFill>
                  <w14:solidFill>
                    <w14:schemeClr w14:val="tx1"/>
                  </w14:solidFill>
                </w14:textFill>
              </w:rPr>
              <w:t>有效提升综合监管、宣传引导、经办服务、信息化建设、人才队伍建设等医疗保障服务能力</w:t>
            </w:r>
          </w:p>
        </w:tc>
        <w:tc>
          <w:tcPr>
            <w:tcW w:w="885" w:type="dxa"/>
            <w:tcBorders>
              <w:top w:val="single" w:color="auto" w:sz="4" w:space="0"/>
              <w:left w:val="single" w:color="auto" w:sz="4" w:space="0"/>
              <w:bottom w:val="single" w:color="auto" w:sz="4" w:space="0"/>
              <w:right w:val="single" w:color="auto"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427.48</w:t>
            </w:r>
          </w:p>
        </w:tc>
        <w:tc>
          <w:tcPr>
            <w:tcW w:w="720" w:type="dxa"/>
            <w:tcBorders>
              <w:top w:val="single" w:color="000000" w:sz="4" w:space="0"/>
              <w:left w:val="single" w:color="auto"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427.48</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254.35</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254.35</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8" w:hRule="atLeast"/>
        </w:trPr>
        <w:tc>
          <w:tcPr>
            <w:tcW w:w="704" w:type="dxa"/>
            <w:vMerge w:val="continue"/>
            <w:tcBorders>
              <w:top w:val="single" w:color="000000" w:sz="4" w:space="0"/>
              <w:left w:val="single" w:color="000000" w:sz="4" w:space="0"/>
              <w:bottom w:val="single" w:color="000000" w:sz="4" w:space="0"/>
              <w:right w:val="single" w:color="auto"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14"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结转项目资金</w:t>
            </w:r>
          </w:p>
        </w:tc>
        <w:tc>
          <w:tcPr>
            <w:tcW w:w="2601" w:type="dxa"/>
            <w:tcBorders>
              <w:top w:val="single" w:color="auto" w:sz="4" w:space="0"/>
              <w:left w:val="single" w:color="auto" w:sz="4" w:space="0"/>
              <w:bottom w:val="single" w:color="auto" w:sz="4" w:space="0"/>
              <w:right w:val="single" w:color="auto"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上年DRG项目、打击欺诈骗保等项目结转资金</w:t>
            </w:r>
          </w:p>
        </w:tc>
        <w:tc>
          <w:tcPr>
            <w:tcW w:w="885" w:type="dxa"/>
            <w:tcBorders>
              <w:top w:val="single" w:color="auto" w:sz="4" w:space="0"/>
              <w:left w:val="single" w:color="auto" w:sz="4" w:space="0"/>
              <w:bottom w:val="single" w:color="auto" w:sz="4" w:space="0"/>
              <w:right w:val="single" w:color="auto"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383.63</w:t>
            </w:r>
          </w:p>
        </w:tc>
        <w:tc>
          <w:tcPr>
            <w:tcW w:w="720" w:type="dxa"/>
            <w:tcBorders>
              <w:top w:val="single" w:color="000000" w:sz="4" w:space="0"/>
              <w:left w:val="single" w:color="auto"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383.63</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299.9</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299.9</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815" w:type="dxa"/>
            <w:gridSpan w:val="3"/>
            <w:tcBorders>
              <w:top w:val="single" w:color="auto"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金额合计</w:t>
            </w:r>
          </w:p>
        </w:tc>
        <w:tc>
          <w:tcPr>
            <w:tcW w:w="885" w:type="dxa"/>
            <w:tcBorders>
              <w:top w:val="single" w:color="auto"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2023.89</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2023.89</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1714.33</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1714.33</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restart"/>
            <w:tcBorders>
              <w:top w:val="nil"/>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4700" w:type="dxa"/>
            <w:gridSpan w:val="4"/>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667"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5" w:hRule="atLeast"/>
        </w:trPr>
        <w:tc>
          <w:tcPr>
            <w:tcW w:w="704" w:type="dxa"/>
            <w:vMerge w:val="continue"/>
            <w:tcBorders>
              <w:top w:val="nil"/>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4700"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top"/>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1、维持单位日常运转，按时发放员工工资。1.全面完成2022年度集中征缴期居民医保征缴任务；2.严格落实国家医保待遇清单制度，统筹完善基本医保、大病保险、医疗救助三重制度综合保障政策；3.巩固医疗保障脱贫攻坚成果,实现与乡村振兴有效衔接4.落实新冠肺炎疫情医疗救治费用、疫苗及接种费用保障机制；5.深入推进医保支付方式改革，完成DRGS付费方式改革试点工作；6.建立医疗服务价格动态调整机制，持续优化医疗机构收入结构；7.落实特殊群体、特定疾病医药费用豁免政策；8.保持打击欺诈骗保高压态势，深入推进行业系统治理；9.加快推进基金监管制度体系改革,逐步建立医疗保障基金监管制度体系和执法体系；10.推进医保经办管理服务标准化建设，改善群众医保服务体验。</w:t>
            </w:r>
          </w:p>
        </w:tc>
        <w:tc>
          <w:tcPr>
            <w:tcW w:w="3667"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top"/>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维持单位日常运转，按时发放员工工资,全面完成2022年度集中征缴期居民医保征缴任务,基本医保参保率100%  2.严格落实国家医保待遇清单制度，统筹完善基本医保、大病保险、医疗救助三重制度综合保障政策；3.巩固医疗保障脱贫攻坚成果,实现与乡村振兴有效衔接，落实新冠肺炎疫情医疗救治费用、疫苗及接种费用保障机制，支付疫苗及接种费用23726万元；5.深入推进医保支付方式改革，完成DRGS付费方式改革试点工作，制定了《广元市DRG支付方式三年行动计划实施方案》打破统一费率改革坚冰，首试邀请第三方参与医保基金使用监督检查，基金使用监管实现定点医疗机构全覆盖，综合监管机制日趋完善；经办服务显著提升，“新四办”获评国家局管理增效案例，获评经办服务国家示范点2个，全省唯一双示范市，建立医疗服务价格动态调整机制，持续优化医疗机构收入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3111"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指标值（包含数字及文字描述）</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实际完成指标值（包含数字及文字描述）</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部门自评得分</w:t>
            </w: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财政部门科室复评得分</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31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评审</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病案数</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≥400份</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≥400份</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1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召开医疗保障工作培训及会议</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≥10次</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12次</w:t>
            </w: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1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基金软件核算金额</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≥30</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亿元</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亿元</w:t>
            </w: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1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开展对县区经办业务指导</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≥4次</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≥10次</w:t>
            </w: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1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办公设施设备购置维护</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≥10个（台、套、件、辆）</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16个</w:t>
            </w: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1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档案整理数量</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≥88600件</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137400件</w:t>
            </w: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1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印发医保宣传资料</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≥40000份</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≥40000份</w:t>
            </w: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1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下放医保服务事项</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≥14个</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25个</w:t>
            </w: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1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完成市县乡村医保经办窗口标准化建设</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≥1个</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7个</w:t>
            </w: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1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提供物业服务项目</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≥5个</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5个</w:t>
            </w: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1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医疗保障各项工作调研</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≥10次</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≥10次</w:t>
            </w: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111" w:type="dxa"/>
            <w:gridSpan w:val="2"/>
            <w:vMerge w:val="restart"/>
            <w:tcBorders>
              <w:top w:val="nil"/>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举报案件查处率</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111" w:type="dxa"/>
            <w:gridSpan w:val="2"/>
            <w:vMerge w:val="continue"/>
            <w:tcBorders>
              <w:top w:val="nil"/>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专项报告验收合格率</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111" w:type="dxa"/>
            <w:gridSpan w:val="2"/>
            <w:vMerge w:val="continue"/>
            <w:tcBorders>
              <w:top w:val="nil"/>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脱贫攻坚后评估验收合格率</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111" w:type="dxa"/>
            <w:gridSpan w:val="2"/>
            <w:vMerge w:val="continue"/>
            <w:tcBorders>
              <w:top w:val="nil"/>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专项检查查处违规率</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111" w:type="dxa"/>
            <w:gridSpan w:val="2"/>
            <w:vMerge w:val="restart"/>
            <w:tcBorders>
              <w:top w:val="nil"/>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2022年12月底前</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2022年12月底前</w:t>
            </w: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111" w:type="dxa"/>
            <w:gridSpan w:val="2"/>
            <w:vMerge w:val="continue"/>
            <w:tcBorders>
              <w:top w:val="nil"/>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评估、审计结果出具时间</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60日</w:t>
            </w: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31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专家</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劳务费</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≤1000元/人.天</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≤1000元/人.天</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1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档案整理金额</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≤3元/件</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0.5元/件</w:t>
            </w: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1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调研及检查人员差旅费用</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≤500元/人.天</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≤500元/人.天</w:t>
            </w: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1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培训会议单日费用</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≤400元/人.天</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≤400元/人.天</w:t>
            </w: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31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群众医疗费用负担</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降低</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1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定点医疗机构住院统筹基金中按DRG支付结算占比</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80.73%</w:t>
            </w: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1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基本医疗保险参保率</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1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定点医疗机构医保管理水平</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w:t>
            </w: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31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参保群众满意度</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1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定点医疗机构满意度</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1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医保经办人员满意度</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部门（单位）自评结论</w:t>
            </w:r>
          </w:p>
        </w:tc>
        <w:tc>
          <w:tcPr>
            <w:tcW w:w="8367" w:type="dxa"/>
            <w:gridSpan w:val="10"/>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部门整体支出预算执行率为84.7%,预算执行得分为8.47分，绩效指标得分90分，合计得分为98.47分。2022年，医保业务信息水平不断提升。我市勇担药械采购平台上线省级试点，首批13家医疗机构稳健运行,医保支付方式改革工作持续推进，制定了《广元市DRG支付方式三年行动计划实施方案》打破统一费率改革坚冰，首试邀请第三方参与医保基金使用监督检查，基金使用监管实现定点医疗机构全覆盖，综合监管机制日趋完善；经办服务显著提升，“新四办”获评国家局管理增效案例，获评经办服务国家示范点2个，全省唯一双示范市，法治医保、宣传引导、人才队伍建设等医疗保障服务能力明显提升,绩效目标全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部门（单位）自评存在问题</w:t>
            </w:r>
          </w:p>
        </w:tc>
        <w:tc>
          <w:tcPr>
            <w:tcW w:w="8367" w:type="dxa"/>
            <w:gridSpan w:val="10"/>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部分专项项目执行率低于90%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部门（单位）自评改进措施</w:t>
            </w:r>
          </w:p>
        </w:tc>
        <w:tc>
          <w:tcPr>
            <w:tcW w:w="8367" w:type="dxa"/>
            <w:gridSpan w:val="10"/>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执行预算绩效管理规定。定期做好支出财务分析，及时对预算执行情况进行通报和预警。加强项目实施进度的跟踪，开展项目绩效评价，加强对绩效管理工作的跟踪督查，实现绩效管理规范化、常态化，充分发挥财政资金的使用效益，提高预算完成率，确保项目绩效目标完成。</w:t>
            </w:r>
          </w:p>
        </w:tc>
      </w:tr>
    </w:tbl>
    <w:p>
      <w:pP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p>
    <w:p>
      <w:pP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预算项目支出绩效目标自评表</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（2022年度）</w:t>
      </w:r>
    </w:p>
    <w:p>
      <w:pPr>
        <w:pStyle w:val="15"/>
        <w:rPr>
          <w:rFonts w:hint="eastAsia"/>
          <w:color w:val="000000" w:themeColor="text1"/>
          <w14:textFill>
            <w14:solidFill>
              <w14:schemeClr w14:val="tx1"/>
            </w14:solidFill>
          </w14:textFill>
        </w:rPr>
      </w:pPr>
    </w:p>
    <w:tbl>
      <w:tblPr>
        <w:tblStyle w:val="19"/>
        <w:tblW w:w="907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4"/>
        <w:gridCol w:w="918"/>
        <w:gridCol w:w="789"/>
        <w:gridCol w:w="806"/>
        <w:gridCol w:w="416"/>
        <w:gridCol w:w="535"/>
        <w:gridCol w:w="439"/>
        <w:gridCol w:w="769"/>
        <w:gridCol w:w="482"/>
        <w:gridCol w:w="553"/>
        <w:gridCol w:w="580"/>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项目名称</w:t>
            </w:r>
          </w:p>
        </w:tc>
        <w:tc>
          <w:tcPr>
            <w:tcW w:w="7259" w:type="dxa"/>
            <w:gridSpan w:val="10"/>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事务中心窗口人员服装费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主管部门（盖章）</w:t>
            </w:r>
          </w:p>
        </w:tc>
        <w:tc>
          <w:tcPr>
            <w:tcW w:w="2985"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广元市医疗保障局</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实施单位 （盖章）</w:t>
            </w:r>
          </w:p>
        </w:tc>
        <w:tc>
          <w:tcPr>
            <w:tcW w:w="3505"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广元市医疗保障局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项目基本情况</w:t>
            </w:r>
          </w:p>
        </w:tc>
        <w:tc>
          <w:tcPr>
            <w:tcW w:w="918"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1.项目年度目标完成情况</w:t>
            </w:r>
          </w:p>
        </w:tc>
        <w:tc>
          <w:tcPr>
            <w:tcW w:w="2985"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项目年度目标</w:t>
            </w:r>
          </w:p>
        </w:tc>
        <w:tc>
          <w:tcPr>
            <w:tcW w:w="4274"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2985"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按照政务服务标准化建设要求，为新增、调整或原工作服破损的医保大厅窗口工作人员配备工作服，提高医保窗口服务形象。　</w:t>
            </w:r>
          </w:p>
        </w:tc>
        <w:tc>
          <w:tcPr>
            <w:tcW w:w="4274"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为医保大厅窗口工作人员配备工作服，提升医保窗口服务形象，提高医保经办服务质效，助力医保服务大厅标准化建设，不断提升群众业务经办满意度。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259" w:type="dxa"/>
            <w:gridSpan w:val="10"/>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根据国家医保局印发的医疗保障经办大厅设置与服务规范及医保服务规范化标准化建设相关要求，上报定制医保服务大厅部分工作人员工作服的请示及方案，通过会议审定后给招标公司提需求下单，最终将部分工作人员工作服配备到位，最终实现窗口工作人员满意度、参保群众满意度及医保窗口服务效率均达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预算执行情况</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（10分）</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年度预算数（万元）</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年初预算</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调整后预算数</w:t>
            </w:r>
          </w:p>
        </w:tc>
        <w:tc>
          <w:tcPr>
            <w:tcW w:w="1390"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预算执行数</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执行率</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部门自评得分</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财政部门科室复评得分</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总额</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4.00</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4.00</w:t>
            </w:r>
          </w:p>
        </w:tc>
        <w:tc>
          <w:tcPr>
            <w:tcW w:w="1390"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3.98</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99.50%</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其中：财政资金</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4.00</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4.00</w:t>
            </w:r>
          </w:p>
        </w:tc>
        <w:tc>
          <w:tcPr>
            <w:tcW w:w="1390"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3.98</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99.50%</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绩效指标（90分）</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一级指标</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二级指标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三级指标</w:t>
            </w:r>
          </w:p>
        </w:tc>
        <w:tc>
          <w:tcPr>
            <w:tcW w:w="41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指标性质</w:t>
            </w:r>
          </w:p>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指标值</w:t>
            </w: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度量单位</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完成值</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部门自评得分</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财政部门科室复评得分</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pacing w:val="-1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满意度指标</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pacing w:val="-1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17"/>
                <w:kern w:val="0"/>
                <w:sz w:val="18"/>
                <w:szCs w:val="18"/>
                <w:u w:val="none"/>
                <w:lang w:val="en-US" w:eastAsia="zh-CN" w:bidi="ar"/>
                <w14:textFill>
                  <w14:solidFill>
                    <w14:schemeClr w14:val="tx1"/>
                  </w14:solidFill>
                </w14:textFill>
              </w:rPr>
              <w:t>服务对象满意度指标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窗口工作人员满意度</w:t>
            </w:r>
          </w:p>
        </w:tc>
        <w:tc>
          <w:tcPr>
            <w:tcW w:w="41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535"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90</w:t>
            </w: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482"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效益指标</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社会效益指标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医保窗口服务效率</w:t>
            </w:r>
          </w:p>
        </w:tc>
        <w:tc>
          <w:tcPr>
            <w:tcW w:w="41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535"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90</w:t>
            </w: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482"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满意度指标</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17"/>
                <w:kern w:val="0"/>
                <w:sz w:val="18"/>
                <w:szCs w:val="18"/>
                <w:u w:val="none"/>
                <w:lang w:val="en-US" w:eastAsia="zh-CN" w:bidi="ar"/>
                <w14:textFill>
                  <w14:solidFill>
                    <w14:schemeClr w14:val="tx1"/>
                  </w14:solidFill>
                </w14:textFill>
              </w:rPr>
              <w:t>服务对象满意度指标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参保群众满意度</w:t>
            </w:r>
          </w:p>
        </w:tc>
        <w:tc>
          <w:tcPr>
            <w:tcW w:w="41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535"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80</w:t>
            </w: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482"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时效指标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完成时间</w:t>
            </w:r>
          </w:p>
        </w:tc>
        <w:tc>
          <w:tcPr>
            <w:tcW w:w="41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535"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12</w:t>
            </w: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月</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6月</w:t>
            </w:r>
          </w:p>
        </w:tc>
        <w:tc>
          <w:tcPr>
            <w:tcW w:w="482"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质量指标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工作服验收合格率</w:t>
            </w:r>
          </w:p>
        </w:tc>
        <w:tc>
          <w:tcPr>
            <w:tcW w:w="41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535"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99</w:t>
            </w:r>
          </w:p>
        </w:tc>
        <w:tc>
          <w:tcPr>
            <w:tcW w:w="43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482"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15</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15</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18" w:type="dxa"/>
            <w:tcBorders>
              <w:top w:val="single" w:color="000000" w:sz="4" w:space="0"/>
              <w:left w:val="single" w:color="000000" w:sz="4" w:space="0"/>
              <w:bottom w:val="single" w:color="auto"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789" w:type="dxa"/>
            <w:tcBorders>
              <w:top w:val="single" w:color="000000" w:sz="4" w:space="0"/>
              <w:left w:val="single" w:color="000000" w:sz="4" w:space="0"/>
              <w:bottom w:val="single" w:color="auto"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数量指标</w:t>
            </w:r>
          </w:p>
        </w:tc>
        <w:tc>
          <w:tcPr>
            <w:tcW w:w="806" w:type="dxa"/>
            <w:tcBorders>
              <w:top w:val="single" w:color="000000" w:sz="4" w:space="0"/>
              <w:left w:val="single" w:color="000000" w:sz="4" w:space="0"/>
              <w:bottom w:val="single" w:color="auto"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工作服装</w:t>
            </w:r>
          </w:p>
        </w:tc>
        <w:tc>
          <w:tcPr>
            <w:tcW w:w="416" w:type="dxa"/>
            <w:tcBorders>
              <w:top w:val="single" w:color="000000" w:sz="4" w:space="0"/>
              <w:left w:val="single" w:color="000000" w:sz="4" w:space="0"/>
              <w:bottom w:val="single" w:color="auto"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535" w:type="dxa"/>
            <w:tcBorders>
              <w:top w:val="single" w:color="000000" w:sz="4" w:space="0"/>
              <w:left w:val="single" w:color="000000" w:sz="4" w:space="0"/>
              <w:bottom w:val="single" w:color="auto"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8</w:t>
            </w:r>
          </w:p>
        </w:tc>
        <w:tc>
          <w:tcPr>
            <w:tcW w:w="439" w:type="dxa"/>
            <w:tcBorders>
              <w:top w:val="single" w:color="000000" w:sz="4" w:space="0"/>
              <w:left w:val="single" w:color="000000" w:sz="4" w:space="0"/>
              <w:bottom w:val="single" w:color="auto"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套</w:t>
            </w:r>
          </w:p>
        </w:tc>
        <w:tc>
          <w:tcPr>
            <w:tcW w:w="769" w:type="dxa"/>
            <w:tcBorders>
              <w:top w:val="single" w:color="000000" w:sz="4" w:space="0"/>
              <w:left w:val="single" w:color="000000" w:sz="4" w:space="0"/>
              <w:bottom w:val="single" w:color="auto"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16套</w:t>
            </w:r>
          </w:p>
        </w:tc>
        <w:tc>
          <w:tcPr>
            <w:tcW w:w="482" w:type="dxa"/>
            <w:tcBorders>
              <w:top w:val="single" w:color="000000" w:sz="4" w:space="0"/>
              <w:left w:val="nil"/>
              <w:bottom w:val="single" w:color="auto"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53" w:type="dxa"/>
            <w:tcBorders>
              <w:top w:val="single" w:color="000000" w:sz="4" w:space="0"/>
              <w:left w:val="single" w:color="000000" w:sz="4" w:space="0"/>
              <w:bottom w:val="single" w:color="auto"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4" w:type="dxa"/>
            <w:vMerge w:val="continue"/>
            <w:tcBorders>
              <w:top w:val="single" w:color="000000" w:sz="4" w:space="0"/>
              <w:left w:val="single" w:color="000000" w:sz="4" w:space="0"/>
              <w:bottom w:val="single" w:color="000000" w:sz="4" w:space="0"/>
              <w:right w:val="single" w:color="auto"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18" w:type="dxa"/>
            <w:tcBorders>
              <w:top w:val="single" w:color="auto" w:sz="4" w:space="0"/>
              <w:left w:val="single" w:color="auto" w:sz="4" w:space="0"/>
              <w:bottom w:val="single" w:color="auto" w:sz="4" w:space="0"/>
              <w:right w:val="single" w:color="auto"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效益指标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社会效益指标</w:t>
            </w:r>
          </w:p>
        </w:tc>
        <w:tc>
          <w:tcPr>
            <w:tcW w:w="806" w:type="dxa"/>
            <w:tcBorders>
              <w:top w:val="single" w:color="auto" w:sz="4" w:space="0"/>
              <w:left w:val="single" w:color="auto" w:sz="4" w:space="0"/>
              <w:bottom w:val="single" w:color="auto" w:sz="4" w:space="0"/>
              <w:right w:val="single" w:color="auto"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17"/>
                <w:kern w:val="0"/>
                <w:sz w:val="18"/>
                <w:szCs w:val="18"/>
                <w:u w:val="none"/>
                <w:lang w:val="en-US" w:eastAsia="zh-CN" w:bidi="ar"/>
                <w14:textFill>
                  <w14:solidFill>
                    <w14:schemeClr w14:val="tx1"/>
                  </w14:solidFill>
                </w14:textFill>
              </w:rPr>
              <w:t>参保群众政策知晓率</w:t>
            </w:r>
          </w:p>
        </w:tc>
        <w:tc>
          <w:tcPr>
            <w:tcW w:w="416" w:type="dxa"/>
            <w:tcBorders>
              <w:top w:val="single" w:color="auto" w:sz="4" w:space="0"/>
              <w:left w:val="single" w:color="auto" w:sz="4" w:space="0"/>
              <w:bottom w:val="single" w:color="auto" w:sz="4" w:space="0"/>
              <w:right w:val="single" w:color="auto"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535" w:type="dxa"/>
            <w:tcBorders>
              <w:top w:val="single" w:color="auto" w:sz="4" w:space="0"/>
              <w:left w:val="single" w:color="auto" w:sz="4" w:space="0"/>
              <w:bottom w:val="single" w:color="auto" w:sz="4" w:space="0"/>
              <w:right w:val="single" w:color="auto"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80</w:t>
            </w:r>
          </w:p>
        </w:tc>
        <w:tc>
          <w:tcPr>
            <w:tcW w:w="439" w:type="dxa"/>
            <w:tcBorders>
              <w:top w:val="single" w:color="auto" w:sz="4" w:space="0"/>
              <w:left w:val="single" w:color="auto" w:sz="4" w:space="0"/>
              <w:bottom w:val="single" w:color="auto" w:sz="4" w:space="0"/>
              <w:right w:val="single" w:color="auto"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769" w:type="dxa"/>
            <w:tcBorders>
              <w:top w:val="single" w:color="auto" w:sz="4" w:space="0"/>
              <w:left w:val="single" w:color="auto" w:sz="4" w:space="0"/>
              <w:bottom w:val="single" w:color="auto" w:sz="4" w:space="0"/>
              <w:right w:val="single" w:color="auto"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482" w:type="dxa"/>
            <w:tcBorders>
              <w:top w:val="single" w:color="auto" w:sz="4" w:space="0"/>
              <w:left w:val="single" w:color="auto" w:sz="4" w:space="0"/>
              <w:bottom w:val="single" w:color="auto" w:sz="4" w:space="0"/>
              <w:right w:val="single" w:color="auto"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53" w:type="dxa"/>
            <w:tcBorders>
              <w:top w:val="single" w:color="auto" w:sz="4" w:space="0"/>
              <w:left w:val="single" w:color="auto" w:sz="4" w:space="0"/>
              <w:bottom w:val="single" w:color="auto" w:sz="4" w:space="0"/>
              <w:right w:val="single" w:color="auto"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80" w:type="dxa"/>
            <w:tcBorders>
              <w:top w:val="single" w:color="000000" w:sz="4" w:space="0"/>
              <w:left w:val="single" w:color="auto"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4" w:type="dxa"/>
            <w:vMerge w:val="continue"/>
            <w:tcBorders>
              <w:top w:val="single" w:color="000000" w:sz="4" w:space="0"/>
              <w:left w:val="single" w:color="000000" w:sz="4" w:space="0"/>
              <w:bottom w:val="single" w:color="000000" w:sz="4" w:space="0"/>
              <w:right w:val="single" w:color="auto"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18" w:type="dxa"/>
            <w:tcBorders>
              <w:top w:val="single" w:color="auto" w:sz="4" w:space="0"/>
              <w:left w:val="single" w:color="auto" w:sz="4" w:space="0"/>
              <w:bottom w:val="single" w:color="auto" w:sz="4" w:space="0"/>
              <w:right w:val="single" w:color="auto"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成本指标</w:t>
            </w:r>
          </w:p>
        </w:tc>
        <w:tc>
          <w:tcPr>
            <w:tcW w:w="806" w:type="dxa"/>
            <w:tcBorders>
              <w:top w:val="single" w:color="auto" w:sz="4" w:space="0"/>
              <w:left w:val="single" w:color="auto" w:sz="4" w:space="0"/>
              <w:bottom w:val="single" w:color="auto" w:sz="4" w:space="0"/>
              <w:right w:val="single" w:color="auto"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工作服装费用</w:t>
            </w:r>
          </w:p>
        </w:tc>
        <w:tc>
          <w:tcPr>
            <w:tcW w:w="416" w:type="dxa"/>
            <w:tcBorders>
              <w:top w:val="single" w:color="auto" w:sz="4" w:space="0"/>
              <w:left w:val="single" w:color="auto" w:sz="4" w:space="0"/>
              <w:bottom w:val="single" w:color="auto" w:sz="4" w:space="0"/>
              <w:right w:val="single" w:color="auto"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535" w:type="dxa"/>
            <w:tcBorders>
              <w:top w:val="single" w:color="auto" w:sz="4" w:space="0"/>
              <w:left w:val="single" w:color="auto" w:sz="4" w:space="0"/>
              <w:bottom w:val="single" w:color="auto" w:sz="4" w:space="0"/>
              <w:right w:val="single" w:color="auto"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5000</w:t>
            </w:r>
          </w:p>
        </w:tc>
        <w:tc>
          <w:tcPr>
            <w:tcW w:w="439" w:type="dxa"/>
            <w:tcBorders>
              <w:top w:val="single" w:color="auto" w:sz="4" w:space="0"/>
              <w:left w:val="single" w:color="auto" w:sz="4" w:space="0"/>
              <w:bottom w:val="single" w:color="auto" w:sz="4" w:space="0"/>
              <w:right w:val="single" w:color="auto"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元/套</w:t>
            </w:r>
          </w:p>
        </w:tc>
        <w:tc>
          <w:tcPr>
            <w:tcW w:w="769" w:type="dxa"/>
            <w:tcBorders>
              <w:top w:val="single" w:color="auto" w:sz="4" w:space="0"/>
              <w:left w:val="single" w:color="auto" w:sz="4" w:space="0"/>
              <w:bottom w:val="single" w:color="auto" w:sz="4" w:space="0"/>
              <w:right w:val="single" w:color="auto"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4260元/套</w:t>
            </w:r>
          </w:p>
        </w:tc>
        <w:tc>
          <w:tcPr>
            <w:tcW w:w="482" w:type="dxa"/>
            <w:tcBorders>
              <w:top w:val="single" w:color="auto" w:sz="4" w:space="0"/>
              <w:left w:val="single" w:color="auto" w:sz="4" w:space="0"/>
              <w:bottom w:val="single" w:color="auto" w:sz="4" w:space="0"/>
              <w:right w:val="single" w:color="auto"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15</w:t>
            </w:r>
          </w:p>
        </w:tc>
        <w:tc>
          <w:tcPr>
            <w:tcW w:w="553" w:type="dxa"/>
            <w:tcBorders>
              <w:top w:val="single" w:color="auto" w:sz="4" w:space="0"/>
              <w:left w:val="single" w:color="auto" w:sz="4" w:space="0"/>
              <w:bottom w:val="single" w:color="auto" w:sz="4" w:space="0"/>
              <w:right w:val="single" w:color="auto"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15</w:t>
            </w:r>
          </w:p>
        </w:tc>
        <w:tc>
          <w:tcPr>
            <w:tcW w:w="580" w:type="dxa"/>
            <w:tcBorders>
              <w:top w:val="single" w:color="000000" w:sz="4" w:space="0"/>
              <w:left w:val="single" w:color="auto"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566" w:type="dxa"/>
            <w:gridSpan w:val="8"/>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合计</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结论</w:t>
            </w:r>
          </w:p>
        </w:tc>
        <w:tc>
          <w:tcPr>
            <w:tcW w:w="8177"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该项目综合自评得分为</w:t>
            </w:r>
            <w:r>
              <w:rPr>
                <w:rFonts w:hint="default" w:ascii="宋体" w:hAnsi="宋体" w:cs="宋体"/>
                <w:b w:val="0"/>
                <w:bCs w:val="0"/>
                <w:i w:val="0"/>
                <w:iCs w:val="0"/>
                <w:color w:val="000000" w:themeColor="text1"/>
                <w:kern w:val="0"/>
                <w:sz w:val="18"/>
                <w:szCs w:val="18"/>
                <w:u w:val="none"/>
                <w:lang w:val="en-US" w:eastAsia="zh-CN" w:bidi="ar"/>
                <w14:textFill>
                  <w14:solidFill>
                    <w14:schemeClr w14:val="tx1"/>
                  </w14:solidFill>
                </w14:textFill>
              </w:rPr>
              <w:t>100</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分，医保大厅窗口工作人员工作服配备到位，打造窗口良好形象，提升了经办服务品质和质效。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存在问题</w:t>
            </w:r>
          </w:p>
        </w:tc>
        <w:tc>
          <w:tcPr>
            <w:tcW w:w="8177"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部门（单位）自评改进措施</w:t>
            </w:r>
          </w:p>
        </w:tc>
        <w:tc>
          <w:tcPr>
            <w:tcW w:w="8177"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cs="宋体"/>
                <w:b w:val="0"/>
                <w:bCs w:val="0"/>
                <w:i w:val="0"/>
                <w:iCs w:val="0"/>
                <w:color w:val="000000" w:themeColor="text1"/>
                <w:kern w:val="0"/>
                <w:sz w:val="18"/>
                <w:szCs w:val="18"/>
                <w:u w:val="none"/>
                <w:lang w:val="en-US" w:eastAsia="zh-CN" w:bidi="ar"/>
                <w14:textFill>
                  <w14:solidFill>
                    <w14:schemeClr w14:val="tx1"/>
                  </w14:solidFill>
                </w14:textFill>
              </w:rPr>
              <w:t>无</w:t>
            </w:r>
          </w:p>
        </w:tc>
      </w:tr>
    </w:tbl>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bookmarkStart w:id="71" w:name="_GoBack"/>
      <w:bookmarkEnd w:id="71"/>
      <w:r>
        <w:rPr>
          <w:rStyle w:val="32"/>
          <w:rFonts w:ascii="黑体" w:hAnsi="黑体" w:eastAsia="黑体"/>
          <w:b w:val="0"/>
          <w:color w:val="000000" w:themeColor="text1"/>
          <w:highlight w:val="none"/>
          <w14:textFill>
            <w14:solidFill>
              <w14:schemeClr w14:val="tx1"/>
            </w14:solidFill>
          </w14:textFill>
        </w:rPr>
        <w:br w:type="page"/>
      </w: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预算项目支出绩效目标自评表</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（2022年度）</w:t>
      </w:r>
    </w:p>
    <w:p>
      <w:pPr>
        <w:rPr>
          <w:color w:val="000000" w:themeColor="text1"/>
          <w14:textFill>
            <w14:solidFill>
              <w14:schemeClr w14:val="tx1"/>
            </w14:solidFill>
          </w14:textFill>
        </w:rPr>
      </w:pPr>
    </w:p>
    <w:tbl>
      <w:tblPr>
        <w:tblStyle w:val="19"/>
        <w:tblW w:w="907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9"/>
        <w:gridCol w:w="880"/>
        <w:gridCol w:w="761"/>
        <w:gridCol w:w="778"/>
        <w:gridCol w:w="408"/>
        <w:gridCol w:w="574"/>
        <w:gridCol w:w="634"/>
        <w:gridCol w:w="813"/>
        <w:gridCol w:w="470"/>
        <w:gridCol w:w="536"/>
        <w:gridCol w:w="555"/>
        <w:gridCol w:w="18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739"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项目名称</w:t>
            </w:r>
          </w:p>
        </w:tc>
        <w:tc>
          <w:tcPr>
            <w:tcW w:w="7332" w:type="dxa"/>
            <w:gridSpan w:val="10"/>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智能审核系统与医保核心业务系统、DRG结算系统对接改造项目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739"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主管部门（盖章）</w:t>
            </w:r>
          </w:p>
        </w:tc>
        <w:tc>
          <w:tcPr>
            <w:tcW w:w="3155"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广元市医疗保障局</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实施单位 （盖章）</w:t>
            </w:r>
          </w:p>
        </w:tc>
        <w:tc>
          <w:tcPr>
            <w:tcW w:w="3364"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广元市医疗保障局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1.项目年度目标完成情况</w:t>
            </w:r>
          </w:p>
        </w:tc>
        <w:tc>
          <w:tcPr>
            <w:tcW w:w="3155"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项目年度目标</w:t>
            </w:r>
          </w:p>
        </w:tc>
        <w:tc>
          <w:tcPr>
            <w:tcW w:w="4177"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3155"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不断构建更为完善的对定点医疗机构医疗行为预警、预报、控制和分析等功能的医疗保险审核系统，保障医疗保险基金安全运行。　</w:t>
            </w:r>
          </w:p>
        </w:tc>
        <w:tc>
          <w:tcPr>
            <w:tcW w:w="4177"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完成医保业务系统与智能审核系统对接改造。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332" w:type="dxa"/>
            <w:gridSpan w:val="10"/>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对医保系统进行接口改造，共改造16个系统接口，实现医保业务系统与智能审核系统对接，审核数据传输。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预算执行情况</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年度预算数（万元）</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年初预算</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调整后预算数</w:t>
            </w:r>
          </w:p>
        </w:tc>
        <w:tc>
          <w:tcPr>
            <w:tcW w:w="1616"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执行率</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权重%</w:t>
            </w: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部门自评得分</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财政部门科室复评得分</w:t>
            </w:r>
          </w:p>
        </w:tc>
        <w:tc>
          <w:tcPr>
            <w:tcW w:w="180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总额</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1.95</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1.95</w:t>
            </w:r>
          </w:p>
        </w:tc>
        <w:tc>
          <w:tcPr>
            <w:tcW w:w="1616"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1.95</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100.00%</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其中：财政资金</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1.95</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1.95</w:t>
            </w:r>
          </w:p>
        </w:tc>
        <w:tc>
          <w:tcPr>
            <w:tcW w:w="1616"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1.95</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100.00%</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一级指标</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二级指标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三级指标</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指标性质</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指标值</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度量</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单位</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完成值</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权重</w:t>
            </w: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部门自评得分</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财政部门科室复评得分</w:t>
            </w:r>
          </w:p>
        </w:tc>
        <w:tc>
          <w:tcPr>
            <w:tcW w:w="180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时效指标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完成时间</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12</w:t>
            </w:r>
          </w:p>
        </w:tc>
        <w:tc>
          <w:tcPr>
            <w:tcW w:w="634"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月</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6月</w:t>
            </w:r>
          </w:p>
        </w:tc>
        <w:tc>
          <w:tcPr>
            <w:tcW w:w="470"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80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质量指标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17"/>
                <w:kern w:val="0"/>
                <w:sz w:val="18"/>
                <w:szCs w:val="18"/>
                <w:u w:val="none"/>
                <w:lang w:val="en-US" w:eastAsia="zh-CN" w:bidi="ar"/>
                <w14:textFill>
                  <w14:solidFill>
                    <w14:schemeClr w14:val="tx1"/>
                  </w14:solidFill>
                </w14:textFill>
              </w:rPr>
              <w:t>接口改造验收合格率</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99</w:t>
            </w:r>
          </w:p>
        </w:tc>
        <w:tc>
          <w:tcPr>
            <w:tcW w:w="634"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470"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80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成本指标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质保金</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金额</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19500</w:t>
            </w:r>
          </w:p>
        </w:tc>
        <w:tc>
          <w:tcPr>
            <w:tcW w:w="634"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19500元</w:t>
            </w:r>
          </w:p>
        </w:tc>
        <w:tc>
          <w:tcPr>
            <w:tcW w:w="470"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80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数量指标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开发接口</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16</w:t>
            </w:r>
          </w:p>
        </w:tc>
        <w:tc>
          <w:tcPr>
            <w:tcW w:w="634"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个（台、套、件、辆）</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16个</w:t>
            </w:r>
          </w:p>
        </w:tc>
        <w:tc>
          <w:tcPr>
            <w:tcW w:w="470"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80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满意度指标</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服务对象满意度指标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使用人满意度</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90</w:t>
            </w:r>
          </w:p>
        </w:tc>
        <w:tc>
          <w:tcPr>
            <w:tcW w:w="634"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470"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80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707" w:type="dxa"/>
            <w:gridSpan w:val="8"/>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合计</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80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部门（单位）自评结论</w:t>
            </w:r>
          </w:p>
        </w:tc>
        <w:tc>
          <w:tcPr>
            <w:tcW w:w="8212"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该项目综合自评得分为100分，接口改造验收合格率和使用人满意度均达到100%。智能审核系统与业务系统对接项目的实施，保证了审核数据传输的及时性和准确性，规范医疗服务行为。完善了对定点医疗机构医疗行为预警、预报、控制和分析等功能的医疗保险审核系统，保障医疗保险基金安全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部门（单位）自评存在问题</w:t>
            </w:r>
          </w:p>
        </w:tc>
        <w:tc>
          <w:tcPr>
            <w:tcW w:w="8212"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部门（单位）自评改进措施</w:t>
            </w:r>
          </w:p>
        </w:tc>
        <w:tc>
          <w:tcPr>
            <w:tcW w:w="8212"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无</w:t>
            </w:r>
          </w:p>
        </w:tc>
      </w:tr>
    </w:tbl>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color w:val="000000" w:themeColor="text1"/>
          <w14:textFill>
            <w14:solidFill>
              <w14:schemeClr w14:val="tx1"/>
            </w14:solidFill>
          </w14:textFill>
        </w:rPr>
        <w:br w:type="page"/>
      </w: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预算项目支出绩效目标自评表</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（2022年度）</w:t>
      </w:r>
    </w:p>
    <w:p>
      <w:pPr>
        <w:rPr>
          <w:color w:val="000000" w:themeColor="text1"/>
          <w14:textFill>
            <w14:solidFill>
              <w14:schemeClr w14:val="tx1"/>
            </w14:solidFill>
          </w14:textFill>
        </w:rPr>
      </w:pPr>
    </w:p>
    <w:tbl>
      <w:tblPr>
        <w:tblStyle w:val="19"/>
        <w:tblW w:w="907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0"/>
        <w:gridCol w:w="924"/>
        <w:gridCol w:w="794"/>
        <w:gridCol w:w="812"/>
        <w:gridCol w:w="393"/>
        <w:gridCol w:w="654"/>
        <w:gridCol w:w="386"/>
        <w:gridCol w:w="771"/>
        <w:gridCol w:w="485"/>
        <w:gridCol w:w="610"/>
        <w:gridCol w:w="584"/>
        <w:gridCol w:w="17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82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项目名称</w:t>
            </w:r>
          </w:p>
        </w:tc>
        <w:tc>
          <w:tcPr>
            <w:tcW w:w="7247" w:type="dxa"/>
            <w:gridSpan w:val="10"/>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医疗保险征收工作经费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2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主管部门（盖章）</w:t>
            </w:r>
          </w:p>
        </w:tc>
        <w:tc>
          <w:tcPr>
            <w:tcW w:w="3039"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广元市医疗保障局</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实施单位 （盖章）</w:t>
            </w:r>
          </w:p>
        </w:tc>
        <w:tc>
          <w:tcPr>
            <w:tcW w:w="3437"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广元市医疗保障局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项目基本情况</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1.项目年度目标完成</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情况</w:t>
            </w:r>
          </w:p>
        </w:tc>
        <w:tc>
          <w:tcPr>
            <w:tcW w:w="3039"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项目年度目标</w:t>
            </w:r>
          </w:p>
        </w:tc>
        <w:tc>
          <w:tcPr>
            <w:tcW w:w="4208"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3039"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根据《四川省人民政府办公厅关于做好社会保险费和非税收入征管职责划转工作的实施意见》要求，做好基本医疗保险费征收工作，完成2022年医疗保险目标任务。　</w:t>
            </w:r>
          </w:p>
        </w:tc>
        <w:tc>
          <w:tcPr>
            <w:tcW w:w="4208"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完成市本级参保单位（个人）职工医保费缴费基数核定，参保缴费计划下达，医保关系转移接续等工作，确保基本医保参保率达到98%以上。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247" w:type="dxa"/>
            <w:gridSpan w:val="10"/>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通过开展医保征收业务培训、参保数据清理，印制操作手册、宣传资料等完成市本级参保单位（个人）职工医保费缴费基数核定，参保缴费计划下达，医保关系转移接续等工作，确保参保人员顺利参保，稳步提升基本医保参保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预算执行情况</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（10分）</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年度预算数（万元）</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年初预算</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调整后</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预算数</w:t>
            </w:r>
          </w:p>
        </w:tc>
        <w:tc>
          <w:tcPr>
            <w:tcW w:w="1433"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预算执行数</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执行率</w:t>
            </w:r>
          </w:p>
        </w:tc>
        <w:tc>
          <w:tcPr>
            <w:tcW w:w="4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权重%</w:t>
            </w: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部门自评得分</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财政部门科室复评得分</w:t>
            </w:r>
          </w:p>
        </w:tc>
        <w:tc>
          <w:tcPr>
            <w:tcW w:w="175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总额</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8.00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8.00</w:t>
            </w:r>
          </w:p>
        </w:tc>
        <w:tc>
          <w:tcPr>
            <w:tcW w:w="1433"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2.80</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35.00%</w:t>
            </w:r>
          </w:p>
        </w:tc>
        <w:tc>
          <w:tcPr>
            <w:tcW w:w="4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3.5</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58"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6"/>
                <w:kern w:val="0"/>
                <w:sz w:val="18"/>
                <w:szCs w:val="18"/>
                <w:u w:val="none"/>
                <w:lang w:val="en-US" w:eastAsia="zh-CN" w:bidi="ar"/>
                <w14:textFill>
                  <w14:solidFill>
                    <w14:schemeClr w14:val="tx1"/>
                  </w14:solidFill>
                </w14:textFill>
              </w:rPr>
              <w:t>由于我市城乡居民医保集中征缴期集中在9-12月，去年受疫情等因素影响，征收会议采取线上线下相结合方式，政策业务培训规模较小，对县区督导以电话和通报等形式为主，减少了实地调研次数，因此预算执行率偏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其中：财政资金</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8.00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8.00</w:t>
            </w:r>
          </w:p>
        </w:tc>
        <w:tc>
          <w:tcPr>
            <w:tcW w:w="1433"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2.80</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35.00%</w:t>
            </w:r>
          </w:p>
        </w:tc>
        <w:tc>
          <w:tcPr>
            <w:tcW w:w="4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3.5</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绩效指标（90分）</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一级指标</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二级指标</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三级指标</w:t>
            </w: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指标性质</w:t>
            </w: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指标值</w:t>
            </w:r>
          </w:p>
        </w:tc>
        <w:tc>
          <w:tcPr>
            <w:tcW w:w="38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度量单位</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完成值</w:t>
            </w:r>
          </w:p>
        </w:tc>
        <w:tc>
          <w:tcPr>
            <w:tcW w:w="4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权重</w:t>
            </w: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部门自评得分</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财政部门科室复评得分</w:t>
            </w:r>
          </w:p>
        </w:tc>
        <w:tc>
          <w:tcPr>
            <w:tcW w:w="175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成本指标</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征收工作差旅费用及租车费用</w:t>
            </w: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20000</w:t>
            </w:r>
          </w:p>
        </w:tc>
        <w:tc>
          <w:tcPr>
            <w:tcW w:w="386"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元</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≤20000元</w:t>
            </w:r>
          </w:p>
        </w:tc>
        <w:tc>
          <w:tcPr>
            <w:tcW w:w="485"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数量指标</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征收业务培训</w:t>
            </w: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40</w:t>
            </w:r>
          </w:p>
        </w:tc>
        <w:tc>
          <w:tcPr>
            <w:tcW w:w="386"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人次</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≥40人次</w:t>
            </w:r>
          </w:p>
        </w:tc>
        <w:tc>
          <w:tcPr>
            <w:tcW w:w="485"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成本指标</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培训会议单日费用</w:t>
            </w: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400</w:t>
            </w:r>
          </w:p>
        </w:tc>
        <w:tc>
          <w:tcPr>
            <w:tcW w:w="386"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元/人</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≤160元/人</w:t>
            </w:r>
          </w:p>
        </w:tc>
        <w:tc>
          <w:tcPr>
            <w:tcW w:w="485"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质量指标</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城乡居民基本医疗保险参保率</w:t>
            </w: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97</w:t>
            </w:r>
          </w:p>
        </w:tc>
        <w:tc>
          <w:tcPr>
            <w:tcW w:w="386"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≥98%</w:t>
            </w:r>
          </w:p>
        </w:tc>
        <w:tc>
          <w:tcPr>
            <w:tcW w:w="485"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效益指标</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社会效益指标</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参保群众政策知晓率</w:t>
            </w: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75</w:t>
            </w:r>
          </w:p>
        </w:tc>
        <w:tc>
          <w:tcPr>
            <w:tcW w:w="386"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≥75%</w:t>
            </w:r>
          </w:p>
        </w:tc>
        <w:tc>
          <w:tcPr>
            <w:tcW w:w="485"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满意度指标</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17"/>
                <w:kern w:val="0"/>
                <w:sz w:val="18"/>
                <w:szCs w:val="18"/>
                <w:u w:val="none"/>
                <w:lang w:val="en-US" w:eastAsia="zh-CN" w:bidi="ar"/>
                <w14:textFill>
                  <w14:solidFill>
                    <w14:schemeClr w14:val="tx1"/>
                  </w14:solidFill>
                </w14:textFill>
              </w:rPr>
              <w:t>服务对象满意度指标</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参保群众满意度</w:t>
            </w: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90</w:t>
            </w:r>
          </w:p>
        </w:tc>
        <w:tc>
          <w:tcPr>
            <w:tcW w:w="386"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≥90%</w:t>
            </w:r>
          </w:p>
        </w:tc>
        <w:tc>
          <w:tcPr>
            <w:tcW w:w="485"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数量指标</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督导县区征收工作</w:t>
            </w: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386"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人次</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≥20人次</w:t>
            </w:r>
          </w:p>
        </w:tc>
        <w:tc>
          <w:tcPr>
            <w:tcW w:w="485"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时效指标</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完成时间</w:t>
            </w: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12</w:t>
            </w:r>
          </w:p>
        </w:tc>
        <w:tc>
          <w:tcPr>
            <w:tcW w:w="386"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月</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12个月</w:t>
            </w:r>
          </w:p>
        </w:tc>
        <w:tc>
          <w:tcPr>
            <w:tcW w:w="485"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数量指标</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征收工作会议</w:t>
            </w: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40</w:t>
            </w:r>
          </w:p>
        </w:tc>
        <w:tc>
          <w:tcPr>
            <w:tcW w:w="386"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人次</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≥100人次</w:t>
            </w:r>
          </w:p>
        </w:tc>
        <w:tc>
          <w:tcPr>
            <w:tcW w:w="485"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成本指标</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宣传资料印刷费</w:t>
            </w: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20000</w:t>
            </w:r>
          </w:p>
        </w:tc>
        <w:tc>
          <w:tcPr>
            <w:tcW w:w="386"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元</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≤20000元</w:t>
            </w:r>
          </w:p>
        </w:tc>
        <w:tc>
          <w:tcPr>
            <w:tcW w:w="485"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数量指标</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印发医保征收工作宣传资料</w:t>
            </w: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10000</w:t>
            </w:r>
          </w:p>
        </w:tc>
        <w:tc>
          <w:tcPr>
            <w:tcW w:w="386"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份</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≥10000份</w:t>
            </w:r>
          </w:p>
        </w:tc>
        <w:tc>
          <w:tcPr>
            <w:tcW w:w="485"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634" w:type="dxa"/>
            <w:gridSpan w:val="8"/>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合计</w:t>
            </w:r>
          </w:p>
        </w:tc>
        <w:tc>
          <w:tcPr>
            <w:tcW w:w="4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93.5</w:t>
            </w:r>
          </w:p>
        </w:tc>
        <w:tc>
          <w:tcPr>
            <w:tcW w:w="58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部门（单位）自评结论</w:t>
            </w:r>
          </w:p>
        </w:tc>
        <w:tc>
          <w:tcPr>
            <w:tcW w:w="8171"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该项目综合自评得分93.5分，医疗机构与社会各界实际满意度为95%，城乡居民基本医疗保险参保率为 98.95%，大于目标值。通过项目的实施，市本级医保征收工作得到有力保障，落实全民参保计划得到有力支持，基本医保参保率稳步提升。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部门（单位）自评存在问题</w:t>
            </w:r>
          </w:p>
        </w:tc>
        <w:tc>
          <w:tcPr>
            <w:tcW w:w="8171"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资金执行率35%，偏低。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部门（单位）自评改进措施</w:t>
            </w:r>
          </w:p>
        </w:tc>
        <w:tc>
          <w:tcPr>
            <w:tcW w:w="8171"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应加强征收工作的资金使用，提高预算执行率。</w:t>
            </w:r>
          </w:p>
        </w:tc>
      </w:tr>
    </w:tbl>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预算项目支出绩效目标自评表</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（2022年度）</w:t>
      </w:r>
    </w:p>
    <w:p>
      <w:pPr>
        <w:rPr>
          <w:color w:val="000000" w:themeColor="text1"/>
          <w14:textFill>
            <w14:solidFill>
              <w14:schemeClr w14:val="tx1"/>
            </w14:solidFill>
          </w14:textFill>
        </w:rPr>
      </w:pPr>
    </w:p>
    <w:tbl>
      <w:tblPr>
        <w:tblStyle w:val="19"/>
        <w:tblW w:w="907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0"/>
        <w:gridCol w:w="914"/>
        <w:gridCol w:w="841"/>
        <w:gridCol w:w="858"/>
        <w:gridCol w:w="442"/>
        <w:gridCol w:w="654"/>
        <w:gridCol w:w="325"/>
        <w:gridCol w:w="767"/>
        <w:gridCol w:w="481"/>
        <w:gridCol w:w="606"/>
        <w:gridCol w:w="577"/>
        <w:gridCol w:w="17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0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项目名称</w:t>
            </w:r>
          </w:p>
        </w:tc>
        <w:tc>
          <w:tcPr>
            <w:tcW w:w="7267" w:type="dxa"/>
            <w:gridSpan w:val="10"/>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医保事务中心业务经费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0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主管部门（盖章）</w:t>
            </w:r>
          </w:p>
        </w:tc>
        <w:tc>
          <w:tcPr>
            <w:tcW w:w="3120"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广元市医疗保障局</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实施单位 （盖章）</w:t>
            </w:r>
          </w:p>
        </w:tc>
        <w:tc>
          <w:tcPr>
            <w:tcW w:w="3380"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广元市医疗保障局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项目基本情况</w:t>
            </w:r>
          </w:p>
        </w:tc>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1.项目年度目标完成情况</w:t>
            </w:r>
          </w:p>
        </w:tc>
        <w:tc>
          <w:tcPr>
            <w:tcW w:w="3120"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项目年度目标</w:t>
            </w:r>
          </w:p>
        </w:tc>
        <w:tc>
          <w:tcPr>
            <w:tcW w:w="4147"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3120"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完成市本级参保城镇职工医疗保险、生育保险、医疗救助、异地就医等医保待遇的审核、结算，医保政策宣传工作，完成对县区、两定点医药机构的医保经办业务指导工作。</w:t>
            </w:r>
          </w:p>
        </w:tc>
        <w:tc>
          <w:tcPr>
            <w:tcW w:w="4147"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完成了市本级参保城镇职工医疗保险、生育保险、医疗救助、异地就医等医保待遇的审核、结算，医保政策宣传工作，完成了对县区、两定点医药机构的医保经办业务指导工作。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267" w:type="dxa"/>
            <w:gridSpan w:val="10"/>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通过医保经办业务培训，印制宣传资料、医保服务大厅办事指南，配备办公硬件等，完成市本级医保待遇审核结算、两定机构协议管理、参保人员医保待遇审核支付等经办业务，指导县区对应业务工作。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预算执行情况</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（10分）</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年度预算数（万元）</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年初预算</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调整后预算数</w:t>
            </w:r>
          </w:p>
        </w:tc>
        <w:tc>
          <w:tcPr>
            <w:tcW w:w="1421"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预算执行数</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执行率</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权重%</w:t>
            </w:r>
          </w:p>
        </w:tc>
        <w:tc>
          <w:tcPr>
            <w:tcW w:w="60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部门自评得分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财政部门科室复评得分</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总额</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25.00</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25.00</w:t>
            </w:r>
          </w:p>
        </w:tc>
        <w:tc>
          <w:tcPr>
            <w:tcW w:w="1421"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19.71</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79.00%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0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7.9</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受疫情等因素影响，未能对各县区经办业务工作开展全覆盖检查指导，部分会议培训改为线上召开，导致预算执行率偏低。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其中：财政资金</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25.00</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25.00</w:t>
            </w:r>
          </w:p>
        </w:tc>
        <w:tc>
          <w:tcPr>
            <w:tcW w:w="1421"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19.71</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79.00%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0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7.9</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绩效指标（90分）</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一级指标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二级指标</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三级指标</w:t>
            </w:r>
          </w:p>
        </w:tc>
        <w:tc>
          <w:tcPr>
            <w:tcW w:w="44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指标性质</w:t>
            </w: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指标值</w:t>
            </w:r>
          </w:p>
        </w:tc>
        <w:tc>
          <w:tcPr>
            <w:tcW w:w="32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度量单位</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完成值</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权重</w:t>
            </w:r>
          </w:p>
        </w:tc>
        <w:tc>
          <w:tcPr>
            <w:tcW w:w="60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部门自评得分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财政部门科室复评得分</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成本指标</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经办业务相关差旅费</w:t>
            </w:r>
          </w:p>
        </w:tc>
        <w:tc>
          <w:tcPr>
            <w:tcW w:w="44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325"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万元</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≤5万元</w:t>
            </w:r>
          </w:p>
        </w:tc>
        <w:tc>
          <w:tcPr>
            <w:tcW w:w="481"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60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数量指标</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政策及经办流程宣传资料</w:t>
            </w:r>
          </w:p>
        </w:tc>
        <w:tc>
          <w:tcPr>
            <w:tcW w:w="44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30000</w:t>
            </w:r>
          </w:p>
        </w:tc>
        <w:tc>
          <w:tcPr>
            <w:tcW w:w="325"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份</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≥30000份</w:t>
            </w:r>
          </w:p>
        </w:tc>
        <w:tc>
          <w:tcPr>
            <w:tcW w:w="481"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60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质量指标</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参保群众政策知晓率</w:t>
            </w:r>
          </w:p>
        </w:tc>
        <w:tc>
          <w:tcPr>
            <w:tcW w:w="44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75</w:t>
            </w:r>
          </w:p>
        </w:tc>
        <w:tc>
          <w:tcPr>
            <w:tcW w:w="325"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≥75%</w:t>
            </w:r>
          </w:p>
        </w:tc>
        <w:tc>
          <w:tcPr>
            <w:tcW w:w="481"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0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数量指标</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住院费用审批表</w:t>
            </w:r>
          </w:p>
        </w:tc>
        <w:tc>
          <w:tcPr>
            <w:tcW w:w="44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3000</w:t>
            </w:r>
          </w:p>
        </w:tc>
        <w:tc>
          <w:tcPr>
            <w:tcW w:w="325"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本</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≥3000本</w:t>
            </w:r>
          </w:p>
        </w:tc>
        <w:tc>
          <w:tcPr>
            <w:tcW w:w="481"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60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满意度指标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服务对象满意度指标</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参保群众满意度</w:t>
            </w:r>
          </w:p>
        </w:tc>
        <w:tc>
          <w:tcPr>
            <w:tcW w:w="44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90</w:t>
            </w:r>
          </w:p>
        </w:tc>
        <w:tc>
          <w:tcPr>
            <w:tcW w:w="325"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≥90%</w:t>
            </w:r>
          </w:p>
        </w:tc>
        <w:tc>
          <w:tcPr>
            <w:tcW w:w="481"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0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成本指标</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宣传资料费</w:t>
            </w:r>
          </w:p>
        </w:tc>
        <w:tc>
          <w:tcPr>
            <w:tcW w:w="44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9.5</w:t>
            </w:r>
          </w:p>
        </w:tc>
        <w:tc>
          <w:tcPr>
            <w:tcW w:w="325"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万元</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≤9.5万元</w:t>
            </w:r>
          </w:p>
        </w:tc>
        <w:tc>
          <w:tcPr>
            <w:tcW w:w="481"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60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9"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数量指标</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特殊人群（门特、单行支付）费用审批表</w:t>
            </w:r>
          </w:p>
        </w:tc>
        <w:tc>
          <w:tcPr>
            <w:tcW w:w="44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4000</w:t>
            </w:r>
          </w:p>
        </w:tc>
        <w:tc>
          <w:tcPr>
            <w:tcW w:w="325"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本</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≥4000本</w:t>
            </w:r>
          </w:p>
        </w:tc>
        <w:tc>
          <w:tcPr>
            <w:tcW w:w="481"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60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数量指标</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政务一体化办事指南</w:t>
            </w:r>
          </w:p>
        </w:tc>
        <w:tc>
          <w:tcPr>
            <w:tcW w:w="44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20000</w:t>
            </w:r>
          </w:p>
        </w:tc>
        <w:tc>
          <w:tcPr>
            <w:tcW w:w="325"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份</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≥20000份</w:t>
            </w:r>
          </w:p>
        </w:tc>
        <w:tc>
          <w:tcPr>
            <w:tcW w:w="481"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60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成本指标</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结算相关业务资料费</w:t>
            </w:r>
          </w:p>
        </w:tc>
        <w:tc>
          <w:tcPr>
            <w:tcW w:w="44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6</w:t>
            </w:r>
          </w:p>
        </w:tc>
        <w:tc>
          <w:tcPr>
            <w:tcW w:w="325"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万元</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≤万元</w:t>
            </w:r>
          </w:p>
        </w:tc>
        <w:tc>
          <w:tcPr>
            <w:tcW w:w="481"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60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质量指标</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印刷产品验收合格率</w:t>
            </w:r>
          </w:p>
        </w:tc>
        <w:tc>
          <w:tcPr>
            <w:tcW w:w="44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99</w:t>
            </w:r>
          </w:p>
        </w:tc>
        <w:tc>
          <w:tcPr>
            <w:tcW w:w="325"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481"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0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成本指标</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审批表费用</w:t>
            </w:r>
          </w:p>
        </w:tc>
        <w:tc>
          <w:tcPr>
            <w:tcW w:w="44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4.5</w:t>
            </w:r>
          </w:p>
        </w:tc>
        <w:tc>
          <w:tcPr>
            <w:tcW w:w="325"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万元</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≤4.5</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万元</w:t>
            </w:r>
          </w:p>
        </w:tc>
        <w:tc>
          <w:tcPr>
            <w:tcW w:w="481"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60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时效指标</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完成时间</w:t>
            </w:r>
          </w:p>
        </w:tc>
        <w:tc>
          <w:tcPr>
            <w:tcW w:w="44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12</w:t>
            </w:r>
          </w:p>
        </w:tc>
        <w:tc>
          <w:tcPr>
            <w:tcW w:w="325"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月</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6月</w:t>
            </w:r>
          </w:p>
        </w:tc>
        <w:tc>
          <w:tcPr>
            <w:tcW w:w="481"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0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效益指标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社会效益指标</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经办服务效率</w:t>
            </w:r>
          </w:p>
        </w:tc>
        <w:tc>
          <w:tcPr>
            <w:tcW w:w="44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定性</w:t>
            </w: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优良中低差</w:t>
            </w:r>
          </w:p>
        </w:tc>
        <w:tc>
          <w:tcPr>
            <w:tcW w:w="325"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优</w:t>
            </w:r>
          </w:p>
        </w:tc>
        <w:tc>
          <w:tcPr>
            <w:tcW w:w="481"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0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691" w:type="dxa"/>
            <w:gridSpan w:val="8"/>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合计</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97.9</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结论</w:t>
            </w:r>
          </w:p>
        </w:tc>
        <w:tc>
          <w:tcPr>
            <w:tcW w:w="8181"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该项目综合自评得分97.9分，医疗机构与社会各界实际满意度为95%，完成了全市2022年度参保人员医疗费用报销，提升了窗口工作人员医保经办能力。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部门（单位）自评存在问题</w:t>
            </w:r>
          </w:p>
        </w:tc>
        <w:tc>
          <w:tcPr>
            <w:tcW w:w="8181"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资金执行率79%，偏低。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部门（单位）自评改进措施</w:t>
            </w:r>
          </w:p>
        </w:tc>
        <w:tc>
          <w:tcPr>
            <w:tcW w:w="8181"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应加强业务经办工作的资金使用，提高预算执行率。</w:t>
            </w:r>
          </w:p>
        </w:tc>
      </w:tr>
    </w:tbl>
    <w:p>
      <w:pPr>
        <w:rPr>
          <w:rStyle w:val="32"/>
          <w:rFonts w:ascii="黑体" w:hAnsi="黑体" w:eastAsia="黑体"/>
          <w:b w:val="0"/>
          <w:color w:val="000000" w:themeColor="text1"/>
          <w:highlight w:val="none"/>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预算项目支出绩效目标自评表</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（2022年度）</w:t>
      </w:r>
    </w:p>
    <w:p>
      <w:pPr>
        <w:rPr>
          <w:rFonts w:hint="eastAsia"/>
          <w:color w:val="000000" w:themeColor="text1"/>
          <w14:textFill>
            <w14:solidFill>
              <w14:schemeClr w14:val="tx1"/>
            </w14:solidFill>
          </w14:textFill>
        </w:rPr>
      </w:pPr>
    </w:p>
    <w:tbl>
      <w:tblPr>
        <w:tblStyle w:val="19"/>
        <w:tblW w:w="907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9"/>
        <w:gridCol w:w="944"/>
        <w:gridCol w:w="809"/>
        <w:gridCol w:w="827"/>
        <w:gridCol w:w="419"/>
        <w:gridCol w:w="477"/>
        <w:gridCol w:w="397"/>
        <w:gridCol w:w="779"/>
        <w:gridCol w:w="492"/>
        <w:gridCol w:w="619"/>
        <w:gridCol w:w="598"/>
        <w:gridCol w:w="17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6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项目名称</w:t>
            </w:r>
          </w:p>
        </w:tc>
        <w:tc>
          <w:tcPr>
            <w:tcW w:w="7208" w:type="dxa"/>
            <w:gridSpan w:val="10"/>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医保经办体系建设工作经费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6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主管部门（盖章）</w:t>
            </w:r>
          </w:p>
        </w:tc>
        <w:tc>
          <w:tcPr>
            <w:tcW w:w="2929"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广元市医疗保障局</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实施单位 （盖章）</w:t>
            </w:r>
          </w:p>
        </w:tc>
        <w:tc>
          <w:tcPr>
            <w:tcW w:w="3500"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广元市医疗保障局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项目基本情况</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w:t>
            </w:r>
            <w:r>
              <w:rPr>
                <w:rFonts w:hint="eastAsia" w:ascii="宋体" w:hAnsi="宋体" w:eastAsia="宋体" w:cs="宋体"/>
                <w:b w:val="0"/>
                <w:bCs w:val="0"/>
                <w:i w:val="0"/>
                <w:iCs w:val="0"/>
                <w:color w:val="000000" w:themeColor="text1"/>
                <w:spacing w:val="6"/>
                <w:kern w:val="0"/>
                <w:sz w:val="18"/>
                <w:szCs w:val="18"/>
                <w:u w:val="none"/>
                <w:lang w:val="en-US" w:eastAsia="zh-CN" w:bidi="ar"/>
                <w14:textFill>
                  <w14:solidFill>
                    <w14:schemeClr w14:val="tx1"/>
                  </w14:solidFill>
                </w14:textFill>
              </w:rPr>
              <w:t>项目年度目标完成情况</w:t>
            </w:r>
          </w:p>
        </w:tc>
        <w:tc>
          <w:tcPr>
            <w:tcW w:w="2929"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项目年度目标</w:t>
            </w:r>
          </w:p>
        </w:tc>
        <w:tc>
          <w:tcPr>
            <w:tcW w:w="4279"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8"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2929"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根据《中共中央国务院关于深化医疗保障制度改革的意见》要求，健全医保经办服务体系，建立市县乡村四级医保经办服务体系，沉入基层调研，合理确定下放医保服务事项，为群众提供更加贴心暖心的医保服务。</w:t>
            </w:r>
          </w:p>
        </w:tc>
        <w:tc>
          <w:tcPr>
            <w:tcW w:w="4279"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全域推进142个乡镇（街道）医保服务窗口标准化建设，规范机构名称、窗口设置、人员配备。建立健全了市县乡村四级医保经办服务体系，沉入基层调研，合理下放20项医保服务事项到乡镇、5项到村（社区），为群众提供更加优质高效的医保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208" w:type="dxa"/>
            <w:gridSpan w:val="10"/>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通过组织经办能力提升培训、经办服务体系建设会议，前往各市州、县区调研，印发资料，建立市县乡村四级医保经办服务体系，沉入基层调研，合理确定下放医保服务事项，不断健全医保经办服务体系，实现村级医保服务体系全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预算执行情况</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（10分）</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年度预算数（万元）</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年初预算</w:t>
            </w: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调整后预算数</w:t>
            </w:r>
          </w:p>
        </w:tc>
        <w:tc>
          <w:tcPr>
            <w:tcW w:w="1293"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预算执行数</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执行率</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权重%</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部门自评得分</w:t>
            </w:r>
          </w:p>
        </w:tc>
        <w:tc>
          <w:tcPr>
            <w:tcW w:w="59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财政部门科室复评得分</w:t>
            </w: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总额</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5.00</w:t>
            </w: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5.00</w:t>
            </w:r>
          </w:p>
        </w:tc>
        <w:tc>
          <w:tcPr>
            <w:tcW w:w="1293"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3.56</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71.00%</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7.1</w:t>
            </w:r>
          </w:p>
        </w:tc>
        <w:tc>
          <w:tcPr>
            <w:tcW w:w="59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91"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受疫情等因素影响，未能更多调研经办体系建设工作，学习其他地区先进经验，部分会议培训改为线上召开，导致资金执行率偏低。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其中：财政资金</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5.00</w:t>
            </w: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5.00</w:t>
            </w:r>
          </w:p>
        </w:tc>
        <w:tc>
          <w:tcPr>
            <w:tcW w:w="1293"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3.56</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71.00%</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7.1</w:t>
            </w:r>
          </w:p>
        </w:tc>
        <w:tc>
          <w:tcPr>
            <w:tcW w:w="59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绩效指标（90分）</w:t>
            </w: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一级指标</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二级指标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三级指标</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指标性质</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指标值</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度量单位</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完成值</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权重</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部门自评得分</w:t>
            </w:r>
          </w:p>
        </w:tc>
        <w:tc>
          <w:tcPr>
            <w:tcW w:w="59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财政部门科室复评得分</w:t>
            </w: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成本指标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调研工作费用</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万元</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≤1万元</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9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成本指标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窗口建设费用</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万元</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≤3万元</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9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效益指标</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社会效益指标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下放医保服务事项</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14</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个</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25个</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59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时效指标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完成时间</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12</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月</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12月</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9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数量指标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标准化建设验收通过率</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90</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9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满意度指标</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17"/>
                <w:kern w:val="0"/>
                <w:sz w:val="18"/>
                <w:szCs w:val="18"/>
                <w:u w:val="none"/>
                <w:lang w:val="en-US" w:eastAsia="zh-CN" w:bidi="ar"/>
                <w14:textFill>
                  <w14:solidFill>
                    <w14:schemeClr w14:val="tx1"/>
                  </w14:solidFill>
                </w14:textFill>
              </w:rPr>
              <w:t>服务对象满意度指标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参保群众满意度</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90</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≥90%</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9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数量指标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调研经办工作次数</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4</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次</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≥4次</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9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数量指标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完成市县乡村医保经办窗口标准化建设（印制资料、配备经办服务必须的全硬件设施设备）</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个</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1个</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9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571" w:type="dxa"/>
            <w:gridSpan w:val="8"/>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合计</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97.1</w:t>
            </w:r>
          </w:p>
        </w:tc>
        <w:tc>
          <w:tcPr>
            <w:tcW w:w="59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结论</w:t>
            </w:r>
          </w:p>
        </w:tc>
        <w:tc>
          <w:tcPr>
            <w:tcW w:w="8152"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该项目综合自评得分97.1分，医疗机构与社会各界实际满意度为95%。改善窗口办公环境，达到省级窗口标准化建设要求。下沉医保服务事项，促进医疗保险各项业务的办理，保障了参保者权益，为群众提供更加贴心暖心的医保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部门（单位）自评存在问题</w:t>
            </w:r>
          </w:p>
        </w:tc>
        <w:tc>
          <w:tcPr>
            <w:tcW w:w="8152"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资金执行率71%，偏低。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部门（单位）自评改进措施</w:t>
            </w:r>
          </w:p>
        </w:tc>
        <w:tc>
          <w:tcPr>
            <w:tcW w:w="8152"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进一步推进四级服务体系建设，拓展全域推行“村能办”，提高预算资金执行率。</w:t>
            </w:r>
          </w:p>
        </w:tc>
      </w:tr>
    </w:tbl>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color w:val="000000" w:themeColor="text1"/>
          <w14:textFill>
            <w14:solidFill>
              <w14:schemeClr w14:val="tx1"/>
            </w14:solidFill>
          </w14:textFill>
        </w:rPr>
        <w:br w:type="page"/>
      </w: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预算项目支出绩效目标自评表</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（2022年度）</w:t>
      </w:r>
    </w:p>
    <w:p>
      <w:pPr>
        <w:pStyle w:val="15"/>
        <w:rPr>
          <w:color w:val="000000" w:themeColor="text1"/>
          <w14:textFill>
            <w14:solidFill>
              <w14:schemeClr w14:val="tx1"/>
            </w14:solidFill>
          </w14:textFill>
        </w:rPr>
      </w:pPr>
    </w:p>
    <w:tbl>
      <w:tblPr>
        <w:tblStyle w:val="19"/>
        <w:tblW w:w="912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18"/>
        <w:gridCol w:w="876"/>
        <w:gridCol w:w="792"/>
        <w:gridCol w:w="803"/>
        <w:gridCol w:w="511"/>
        <w:gridCol w:w="630"/>
        <w:gridCol w:w="427"/>
        <w:gridCol w:w="942"/>
        <w:gridCol w:w="561"/>
        <w:gridCol w:w="674"/>
        <w:gridCol w:w="593"/>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794" w:type="dxa"/>
            <w:gridSpan w:val="2"/>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项目名称</w:t>
            </w:r>
          </w:p>
        </w:tc>
        <w:tc>
          <w:tcPr>
            <w:tcW w:w="7335" w:type="dxa"/>
            <w:gridSpan w:val="10"/>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大病保险业务审计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794" w:type="dxa"/>
            <w:gridSpan w:val="2"/>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主管部门（盖章）</w:t>
            </w:r>
          </w:p>
        </w:tc>
        <w:tc>
          <w:tcPr>
            <w:tcW w:w="3163" w:type="dxa"/>
            <w:gridSpan w:val="5"/>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广元市医疗保障局</w:t>
            </w:r>
          </w:p>
        </w:tc>
        <w:tc>
          <w:tcPr>
            <w:tcW w:w="942"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实施单位 （盖章）</w:t>
            </w:r>
          </w:p>
        </w:tc>
        <w:tc>
          <w:tcPr>
            <w:tcW w:w="3230" w:type="dxa"/>
            <w:gridSpan w:val="4"/>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广元市医疗保障局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18" w:type="dxa"/>
            <w:vMerge w:val="restart"/>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项目基本情况</w:t>
            </w:r>
          </w:p>
        </w:tc>
        <w:tc>
          <w:tcPr>
            <w:tcW w:w="876" w:type="dxa"/>
            <w:vMerge w:val="restart"/>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1.项目年度目标完成情况</w:t>
            </w:r>
          </w:p>
        </w:tc>
        <w:tc>
          <w:tcPr>
            <w:tcW w:w="3163" w:type="dxa"/>
            <w:gridSpan w:val="5"/>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项目年度目标</w:t>
            </w:r>
          </w:p>
        </w:tc>
        <w:tc>
          <w:tcPr>
            <w:tcW w:w="4172" w:type="dxa"/>
            <w:gridSpan w:val="5"/>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年度目标完成情况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40" w:hRule="atLeast"/>
        </w:trPr>
        <w:tc>
          <w:tcPr>
            <w:tcW w:w="918" w:type="dxa"/>
            <w:vMerge w:val="continue"/>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76" w:type="dxa"/>
            <w:vMerge w:val="continue"/>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3163" w:type="dxa"/>
            <w:gridSpan w:val="5"/>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6"/>
                <w:kern w:val="0"/>
                <w:sz w:val="18"/>
                <w:szCs w:val="18"/>
                <w:u w:val="none"/>
                <w:lang w:val="en-US" w:eastAsia="zh-CN" w:bidi="ar"/>
                <w14:textFill>
                  <w14:solidFill>
                    <w14:schemeClr w14:val="tx1"/>
                  </w14:solidFill>
                </w14:textFill>
              </w:rPr>
              <w:t>采购第三方审计服务对保险公司承办的当年大病保险业务进行专项审计，为年度结算、盈亏分担提供依据，提高大病保险基金使用效益，保障基金安全，推动大病保险健康可持续发展。</w:t>
            </w:r>
          </w:p>
        </w:tc>
        <w:tc>
          <w:tcPr>
            <w:tcW w:w="4172" w:type="dxa"/>
            <w:gridSpan w:val="5"/>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我局通过比选确定1家审计机构，对3家商业保险公司承办的大病保险业务进行了审计。审计结果在约定时间内完成，大病审计服务质量优质，审计服务费低于财政拨付资金，群众满意率100%。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0" w:hRule="atLeast"/>
        </w:trPr>
        <w:tc>
          <w:tcPr>
            <w:tcW w:w="918" w:type="dxa"/>
            <w:vMerge w:val="continue"/>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76"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335" w:type="dxa"/>
            <w:gridSpan w:val="10"/>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通过比选确定1家审计机构，对3家商业保险公司承办的2021年度大病保险业务进行了审计。期间与审计公司沟通，并提供相关业务支持，审计公司能在约定时间内完成审计并出具审计报告1份，群众满意率100%。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18" w:type="dxa"/>
            <w:vMerge w:val="restart"/>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预算执行情况</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（10分）</w:t>
            </w:r>
          </w:p>
        </w:tc>
        <w:tc>
          <w:tcPr>
            <w:tcW w:w="876"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年度</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预算数</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（万元）</w:t>
            </w:r>
          </w:p>
        </w:tc>
        <w:tc>
          <w:tcPr>
            <w:tcW w:w="792"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年初</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w:t>
            </w:r>
          </w:p>
        </w:tc>
        <w:tc>
          <w:tcPr>
            <w:tcW w:w="803"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调整后预算数</w:t>
            </w:r>
          </w:p>
        </w:tc>
        <w:tc>
          <w:tcPr>
            <w:tcW w:w="1568" w:type="dxa"/>
            <w:gridSpan w:val="3"/>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预算执行数</w:t>
            </w:r>
          </w:p>
        </w:tc>
        <w:tc>
          <w:tcPr>
            <w:tcW w:w="942"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预算执行率</w:t>
            </w:r>
          </w:p>
        </w:tc>
        <w:tc>
          <w:tcPr>
            <w:tcW w:w="561"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权重%</w:t>
            </w:r>
          </w:p>
        </w:tc>
        <w:tc>
          <w:tcPr>
            <w:tcW w:w="674"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部门自评得分</w:t>
            </w:r>
          </w:p>
        </w:tc>
        <w:tc>
          <w:tcPr>
            <w:tcW w:w="593"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财政部门科室复评得分</w:t>
            </w:r>
          </w:p>
        </w:tc>
        <w:tc>
          <w:tcPr>
            <w:tcW w:w="1402"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18" w:type="dxa"/>
            <w:vMerge w:val="continue"/>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76"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总额</w:t>
            </w:r>
          </w:p>
        </w:tc>
        <w:tc>
          <w:tcPr>
            <w:tcW w:w="792"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3.35</w:t>
            </w:r>
          </w:p>
        </w:tc>
        <w:tc>
          <w:tcPr>
            <w:tcW w:w="803"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3.35</w:t>
            </w:r>
          </w:p>
        </w:tc>
        <w:tc>
          <w:tcPr>
            <w:tcW w:w="1568" w:type="dxa"/>
            <w:gridSpan w:val="3"/>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2.85</w:t>
            </w:r>
          </w:p>
        </w:tc>
        <w:tc>
          <w:tcPr>
            <w:tcW w:w="942"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85.00%</w:t>
            </w:r>
          </w:p>
        </w:tc>
        <w:tc>
          <w:tcPr>
            <w:tcW w:w="561"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74"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8.5</w:t>
            </w:r>
          </w:p>
        </w:tc>
        <w:tc>
          <w:tcPr>
            <w:tcW w:w="593"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402" w:type="dxa"/>
            <w:vMerge w:val="restart"/>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cs="宋体"/>
                <w:b w:val="0"/>
                <w:bCs w:val="0"/>
                <w:i w:val="0"/>
                <w:iCs w:val="0"/>
                <w:color w:val="000000" w:themeColor="text1"/>
                <w:kern w:val="0"/>
                <w:sz w:val="18"/>
                <w:szCs w:val="18"/>
                <w:u w:val="none"/>
                <w:lang w:val="en-US" w:eastAsia="zh-CN" w:bidi="ar"/>
                <w14:textFill>
                  <w14:solidFill>
                    <w14:schemeClr w14:val="tx1"/>
                  </w14:solidFill>
                </w14:textFill>
              </w:rPr>
              <w:t>预算不精准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18" w:type="dxa"/>
            <w:vMerge w:val="continue"/>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76"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其中：财政资金</w:t>
            </w:r>
          </w:p>
        </w:tc>
        <w:tc>
          <w:tcPr>
            <w:tcW w:w="792"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3.35</w:t>
            </w:r>
          </w:p>
        </w:tc>
        <w:tc>
          <w:tcPr>
            <w:tcW w:w="803"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3.35</w:t>
            </w:r>
          </w:p>
        </w:tc>
        <w:tc>
          <w:tcPr>
            <w:tcW w:w="1568" w:type="dxa"/>
            <w:gridSpan w:val="3"/>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2.85</w:t>
            </w:r>
          </w:p>
        </w:tc>
        <w:tc>
          <w:tcPr>
            <w:tcW w:w="942"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85.00%</w:t>
            </w:r>
          </w:p>
        </w:tc>
        <w:tc>
          <w:tcPr>
            <w:tcW w:w="561"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74"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8.5</w:t>
            </w:r>
          </w:p>
        </w:tc>
        <w:tc>
          <w:tcPr>
            <w:tcW w:w="593"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402" w:type="dxa"/>
            <w:vMerge w:val="continue"/>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18" w:type="dxa"/>
            <w:vMerge w:val="restart"/>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绩效指标（90分）</w:t>
            </w:r>
          </w:p>
        </w:tc>
        <w:tc>
          <w:tcPr>
            <w:tcW w:w="876"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一级指标</w:t>
            </w:r>
          </w:p>
        </w:tc>
        <w:tc>
          <w:tcPr>
            <w:tcW w:w="792"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二级指标</w:t>
            </w:r>
          </w:p>
        </w:tc>
        <w:tc>
          <w:tcPr>
            <w:tcW w:w="803"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三级指标</w:t>
            </w:r>
          </w:p>
        </w:tc>
        <w:tc>
          <w:tcPr>
            <w:tcW w:w="511"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指标性质</w:t>
            </w:r>
          </w:p>
        </w:tc>
        <w:tc>
          <w:tcPr>
            <w:tcW w:w="630"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指标值</w:t>
            </w:r>
          </w:p>
        </w:tc>
        <w:tc>
          <w:tcPr>
            <w:tcW w:w="427"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度量单位</w:t>
            </w:r>
          </w:p>
        </w:tc>
        <w:tc>
          <w:tcPr>
            <w:tcW w:w="942"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完成值</w:t>
            </w:r>
          </w:p>
        </w:tc>
        <w:tc>
          <w:tcPr>
            <w:tcW w:w="561"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权重</w:t>
            </w:r>
          </w:p>
        </w:tc>
        <w:tc>
          <w:tcPr>
            <w:tcW w:w="674"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部门自评得分</w:t>
            </w:r>
          </w:p>
        </w:tc>
        <w:tc>
          <w:tcPr>
            <w:tcW w:w="593"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财政部门科室复评得分</w:t>
            </w:r>
          </w:p>
        </w:tc>
        <w:tc>
          <w:tcPr>
            <w:tcW w:w="1402"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未完成</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7" w:hRule="atLeast"/>
        </w:trPr>
        <w:tc>
          <w:tcPr>
            <w:tcW w:w="918" w:type="dxa"/>
            <w:vMerge w:val="continue"/>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76"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792"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时效指标</w:t>
            </w:r>
          </w:p>
        </w:tc>
        <w:tc>
          <w:tcPr>
            <w:tcW w:w="803"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审计结果出具时间</w:t>
            </w:r>
          </w:p>
        </w:tc>
        <w:tc>
          <w:tcPr>
            <w:tcW w:w="511"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30"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90</w:t>
            </w:r>
          </w:p>
        </w:tc>
        <w:tc>
          <w:tcPr>
            <w:tcW w:w="427"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个工作日</w:t>
            </w:r>
          </w:p>
        </w:tc>
        <w:tc>
          <w:tcPr>
            <w:tcW w:w="942" w:type="dxa"/>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41</w:t>
            </w:r>
          </w:p>
        </w:tc>
        <w:tc>
          <w:tcPr>
            <w:tcW w:w="561"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674"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593"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402"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18" w:type="dxa"/>
            <w:vMerge w:val="continue"/>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76"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效益指标</w:t>
            </w:r>
          </w:p>
        </w:tc>
        <w:tc>
          <w:tcPr>
            <w:tcW w:w="792"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社会效益指标</w:t>
            </w:r>
          </w:p>
        </w:tc>
        <w:tc>
          <w:tcPr>
            <w:tcW w:w="803"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大病保险服务水平</w:t>
            </w:r>
          </w:p>
        </w:tc>
        <w:tc>
          <w:tcPr>
            <w:tcW w:w="511"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定性</w:t>
            </w:r>
          </w:p>
        </w:tc>
        <w:tc>
          <w:tcPr>
            <w:tcW w:w="630"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优良中低差</w:t>
            </w:r>
          </w:p>
        </w:tc>
        <w:tc>
          <w:tcPr>
            <w:tcW w:w="427"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42" w:type="dxa"/>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优</w:t>
            </w:r>
          </w:p>
        </w:tc>
        <w:tc>
          <w:tcPr>
            <w:tcW w:w="561"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674"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593"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402"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18" w:type="dxa"/>
            <w:vMerge w:val="continue"/>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76"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792"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数量指标</w:t>
            </w:r>
          </w:p>
        </w:tc>
        <w:tc>
          <w:tcPr>
            <w:tcW w:w="803"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审计机构</w:t>
            </w:r>
          </w:p>
        </w:tc>
        <w:tc>
          <w:tcPr>
            <w:tcW w:w="511"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30"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w:t>
            </w:r>
          </w:p>
        </w:tc>
        <w:tc>
          <w:tcPr>
            <w:tcW w:w="427"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个</w:t>
            </w:r>
          </w:p>
        </w:tc>
        <w:tc>
          <w:tcPr>
            <w:tcW w:w="942" w:type="dxa"/>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w:t>
            </w:r>
          </w:p>
        </w:tc>
        <w:tc>
          <w:tcPr>
            <w:tcW w:w="561"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74"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93"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402"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18" w:type="dxa"/>
            <w:vMerge w:val="continue"/>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76"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792"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成本指标</w:t>
            </w:r>
          </w:p>
        </w:tc>
        <w:tc>
          <w:tcPr>
            <w:tcW w:w="803"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bidi="ar"/>
                <w14:textFill>
                  <w14:solidFill>
                    <w14:schemeClr w14:val="tx1"/>
                  </w14:solidFill>
                </w14:textFill>
              </w:rPr>
              <w:t>审计</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bidi="ar"/>
                <w14:textFill>
                  <w14:solidFill>
                    <w14:schemeClr w14:val="tx1"/>
                  </w14:solidFill>
                </w14:textFill>
              </w:rPr>
              <w:t>服务费</w:t>
            </w:r>
          </w:p>
        </w:tc>
        <w:tc>
          <w:tcPr>
            <w:tcW w:w="511"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30"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33500</w:t>
            </w:r>
          </w:p>
        </w:tc>
        <w:tc>
          <w:tcPr>
            <w:tcW w:w="427"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元</w:t>
            </w:r>
          </w:p>
        </w:tc>
        <w:tc>
          <w:tcPr>
            <w:tcW w:w="942" w:type="dxa"/>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28500</w:t>
            </w:r>
          </w:p>
        </w:tc>
        <w:tc>
          <w:tcPr>
            <w:tcW w:w="561"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74"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8.5</w:t>
            </w:r>
          </w:p>
        </w:tc>
        <w:tc>
          <w:tcPr>
            <w:tcW w:w="593"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402"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审计服务费低于财政拨付资金，预算金额3.35万元，实际项目经费为2.85万元,预算执行率85%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18" w:type="dxa"/>
            <w:vMerge w:val="continue"/>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76"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792"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质量指标</w:t>
            </w:r>
          </w:p>
        </w:tc>
        <w:tc>
          <w:tcPr>
            <w:tcW w:w="803"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bidi="ar"/>
                <w14:textFill>
                  <w14:solidFill>
                    <w14:schemeClr w14:val="tx1"/>
                  </w14:solidFill>
                </w14:textFill>
              </w:rPr>
              <w:t>审计</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bidi="ar"/>
                <w14:textFill>
                  <w14:solidFill>
                    <w14:schemeClr w14:val="tx1"/>
                  </w14:solidFill>
                </w14:textFill>
              </w:rPr>
              <w:t>报告验收</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bidi="ar"/>
                <w14:textFill>
                  <w14:solidFill>
                    <w14:schemeClr w14:val="tx1"/>
                  </w14:solidFill>
                </w14:textFill>
              </w:rPr>
              <w:t>合格率</w:t>
            </w:r>
          </w:p>
        </w:tc>
        <w:tc>
          <w:tcPr>
            <w:tcW w:w="511"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30"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99</w:t>
            </w:r>
          </w:p>
        </w:tc>
        <w:tc>
          <w:tcPr>
            <w:tcW w:w="427"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942" w:type="dxa"/>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561"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674"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593"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402"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18" w:type="dxa"/>
            <w:vMerge w:val="continue"/>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76"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满意度</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w:t>
            </w:r>
          </w:p>
        </w:tc>
        <w:tc>
          <w:tcPr>
            <w:tcW w:w="792"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服务对象满意度</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w:t>
            </w:r>
          </w:p>
        </w:tc>
        <w:tc>
          <w:tcPr>
            <w:tcW w:w="803"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参保群众满意度</w:t>
            </w:r>
          </w:p>
        </w:tc>
        <w:tc>
          <w:tcPr>
            <w:tcW w:w="511"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30"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90</w:t>
            </w:r>
          </w:p>
        </w:tc>
        <w:tc>
          <w:tcPr>
            <w:tcW w:w="427"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942" w:type="dxa"/>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561"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74"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93"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402"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5899" w:type="dxa"/>
            <w:gridSpan w:val="8"/>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合计</w:t>
            </w:r>
          </w:p>
        </w:tc>
        <w:tc>
          <w:tcPr>
            <w:tcW w:w="561"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674"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98.5</w:t>
            </w:r>
          </w:p>
        </w:tc>
        <w:tc>
          <w:tcPr>
            <w:tcW w:w="593"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402"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18"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结论</w:t>
            </w:r>
          </w:p>
        </w:tc>
        <w:tc>
          <w:tcPr>
            <w:tcW w:w="8211" w:type="dxa"/>
            <w:gridSpan w:val="11"/>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我局通过比选确定1家审计机构，对3家商业保险公司承办的大病保险业务进行了审计。审计结果在约定时间内41天完成，自评得分20分，大病审计服务质量优质，自评得分20分，审计服务费低于财政拨付资金，预算金额3.35万元，因是实际比选过程中，比选人报价低于预算，最终项目经费为2.85万元，自评得分10分，预算执行率85%，自评得分8.5分，审计报告合格率100%，自评得分20分，群众满意率100%，自评得分10分，该项目自评合计得分98.5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18"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部门（单位）自评存在问题</w:t>
            </w:r>
          </w:p>
        </w:tc>
        <w:tc>
          <w:tcPr>
            <w:tcW w:w="8211" w:type="dxa"/>
            <w:gridSpan w:val="11"/>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存在的问题:预预算不精准，预算金额3.35万元，实际项目使用2.85万元,预算执行率85%.原因是:因是实际比选过程中，比选人报价低于预算，最终项目经费为2.85万元。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18"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部门（单位）自评改进措施</w:t>
            </w:r>
          </w:p>
        </w:tc>
        <w:tc>
          <w:tcPr>
            <w:tcW w:w="8211" w:type="dxa"/>
            <w:gridSpan w:val="11"/>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因是实际比选过程中，比选人报价低于预算,造成预算执行率85%,结合近几年的项目实际,合理计划预算金额,缩小实际与预算的差距.</w:t>
            </w:r>
          </w:p>
        </w:tc>
      </w:tr>
    </w:tbl>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预算项目支出绩效目标自评表</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（2022年度）</w:t>
      </w:r>
    </w:p>
    <w:p>
      <w:pPr>
        <w:rPr>
          <w:color w:val="000000" w:themeColor="text1"/>
          <w14:textFill>
            <w14:solidFill>
              <w14:schemeClr w14:val="tx1"/>
            </w14:solidFill>
          </w14:textFill>
        </w:rPr>
      </w:pPr>
    </w:p>
    <w:tbl>
      <w:tblPr>
        <w:tblStyle w:val="19"/>
        <w:tblW w:w="907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3"/>
        <w:gridCol w:w="899"/>
        <w:gridCol w:w="809"/>
        <w:gridCol w:w="821"/>
        <w:gridCol w:w="430"/>
        <w:gridCol w:w="629"/>
        <w:gridCol w:w="430"/>
        <w:gridCol w:w="996"/>
        <w:gridCol w:w="419"/>
        <w:gridCol w:w="681"/>
        <w:gridCol w:w="608"/>
        <w:gridCol w:w="1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项目名称</w:t>
            </w:r>
          </w:p>
        </w:tc>
        <w:tc>
          <w:tcPr>
            <w:tcW w:w="7289" w:type="dxa"/>
            <w:gridSpan w:val="10"/>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DRG项目经费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主管部门（盖章）</w:t>
            </w:r>
          </w:p>
        </w:tc>
        <w:tc>
          <w:tcPr>
            <w:tcW w:w="3119"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广元市医疗保障局</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实施单位 （盖章）</w:t>
            </w:r>
          </w:p>
        </w:tc>
        <w:tc>
          <w:tcPr>
            <w:tcW w:w="3174"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广元市医疗保障局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项目基本情况</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1.项目年度目标完成情况</w:t>
            </w:r>
          </w:p>
        </w:tc>
        <w:tc>
          <w:tcPr>
            <w:tcW w:w="3119"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项目年度目标</w:t>
            </w:r>
          </w:p>
        </w:tc>
        <w:tc>
          <w:tcPr>
            <w:tcW w:w="4170"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3119"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为有效控制医保基金增长，减轻参保人员医疗支付负担，提高基金使用效率，按时完成国家医保局制定的DRG/DIP支付方式改革三年行动计划。</w:t>
            </w:r>
          </w:p>
        </w:tc>
        <w:tc>
          <w:tcPr>
            <w:tcW w:w="4170"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均按照《国家医保局制定的DRG/DIP支付方式改革三年行动计划》逐步稳推DRG付费方式改革。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289" w:type="dxa"/>
            <w:gridSpan w:val="10"/>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一是完成市本级2021年特病单议和年终清算、清算报告工作，基本完成各县区清算报告。</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二是按照国家医疗保障局医药服务管理司《关于开展DRG病种费用比较分析工作的函》和《落实赴国家医保局对接事项责任分工方案》要求，完成《广元市医疗保障局关于开展DRG付费方式改革下病种费用比较分析的课题报告》，获国家医保局医药服务管理司肯定性批示。</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三是完成DRG系统病案首页上传接口改造以及实现与省医保信息化平台的对接，确保DRG支付实现联网结算。</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四是完成全市2021年DRG统一费率模拟测算工作，先后以视频会议和现场考察的方式与攀枝花、眉山交流学习DRG付费统一费率经验，制定我市DRG付费改革统一费率总体工作方案。</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五是出台特病单议经办规程，进一步完善了我市DRG支付方式改革协商谈判和争议处理机制。</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六是向广元市社会科学界联合会申报了《广元市DRG付费改革绩效评价体系建设研究》课题。七是先后迎接国家局2次医保支付方式改革交叉评估调研。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预算执行情况（10分）</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年度预算数（万元）</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年初预算</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调整后</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预算数</w:t>
            </w:r>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预算执行数</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预算执行率</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权重%</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部门自评得分</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pacing w:val="-23"/>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23"/>
                <w:kern w:val="0"/>
                <w:sz w:val="18"/>
                <w:szCs w:val="18"/>
                <w:u w:val="none"/>
                <w:lang w:val="en-US" w:eastAsia="zh-CN" w:bidi="ar"/>
                <w14:textFill>
                  <w14:solidFill>
                    <w14:schemeClr w14:val="tx1"/>
                  </w14:solidFill>
                </w14:textFill>
              </w:rPr>
              <w:t>财政部门科室复评得分</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总额</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5.00</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5.00</w:t>
            </w:r>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3.31</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66.00%</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6.6</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pacing w:val="-23"/>
                <w:sz w:val="18"/>
                <w:szCs w:val="18"/>
                <w:u w:val="none"/>
                <w14:textFill>
                  <w14:solidFill>
                    <w14:schemeClr w14:val="tx1"/>
                  </w14:solidFill>
                </w14:textFill>
              </w:rPr>
            </w:pP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22年因受疫情影响，外出调研时间、地点受限，调研机会减少，导致年初预算的差旅费结余，影响了资金支付进度，预算执行率低于90%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其中：财政资金</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5.00</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5.00</w:t>
            </w:r>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3.31</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66.00%</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6.6</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pacing w:val="-23"/>
                <w:sz w:val="18"/>
                <w:szCs w:val="18"/>
                <w:u w:val="none"/>
                <w14:textFill>
                  <w14:solidFill>
                    <w14:schemeClr w14:val="tx1"/>
                  </w14:solidFill>
                </w14:textFill>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绩效指标（90分）</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一级指标</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二级指标</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三级指标</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指标性质</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指标值</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度量单位</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完成值</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权重</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部门自评得分</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pacing w:val="-23"/>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23"/>
                <w:kern w:val="0"/>
                <w:sz w:val="18"/>
                <w:szCs w:val="18"/>
                <w:u w:val="none"/>
                <w:lang w:val="en-US" w:eastAsia="zh-CN" w:bidi="ar"/>
                <w14:textFill>
                  <w14:solidFill>
                    <w14:schemeClr w14:val="tx1"/>
                  </w14:solidFill>
                </w14:textFill>
              </w:rPr>
              <w:t>财政部门科室复评得分</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成本指标</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单次调研费用</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29"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万元</w:t>
            </w:r>
          </w:p>
        </w:tc>
        <w:tc>
          <w:tcPr>
            <w:tcW w:w="996"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2万元</w:t>
            </w:r>
          </w:p>
        </w:tc>
        <w:tc>
          <w:tcPr>
            <w:tcW w:w="419"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质量指标</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DRG支付方式定点医疗机构覆盖率</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29"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95</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996"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419"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81"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成本指标</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单次资料印刷费用</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29"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万元</w:t>
            </w:r>
          </w:p>
        </w:tc>
        <w:tc>
          <w:tcPr>
            <w:tcW w:w="996"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1万元</w:t>
            </w:r>
          </w:p>
        </w:tc>
        <w:tc>
          <w:tcPr>
            <w:tcW w:w="419"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81"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9"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效益指标</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社会效益指标</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定点医疗机构住院统筹基金中按DRG支付结算占比</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29"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65</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996"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80.73%</w:t>
            </w:r>
          </w:p>
        </w:tc>
        <w:tc>
          <w:tcPr>
            <w:tcW w:w="419"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681"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数量指标</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开展DRG项目调研</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29"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次</w:t>
            </w:r>
          </w:p>
        </w:tc>
        <w:tc>
          <w:tcPr>
            <w:tcW w:w="996"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1次</w:t>
            </w:r>
          </w:p>
        </w:tc>
        <w:tc>
          <w:tcPr>
            <w:tcW w:w="419"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81"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数量指标</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印刷DRG资料</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29"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次</w:t>
            </w:r>
          </w:p>
        </w:tc>
        <w:tc>
          <w:tcPr>
            <w:tcW w:w="996"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2次</w:t>
            </w:r>
          </w:p>
        </w:tc>
        <w:tc>
          <w:tcPr>
            <w:tcW w:w="419"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81"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pacing w:val="-1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满意度指标</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pacing w:val="-1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17"/>
                <w:kern w:val="0"/>
                <w:sz w:val="18"/>
                <w:szCs w:val="18"/>
                <w:u w:val="none"/>
                <w:lang w:val="en-US" w:eastAsia="zh-CN" w:bidi="ar"/>
                <w14:textFill>
                  <w14:solidFill>
                    <w14:schemeClr w14:val="tx1"/>
                  </w14:solidFill>
                </w14:textFill>
              </w:rPr>
              <w:t>服务对象满意度指标</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pacing w:val="-1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定点医疗机构满意度</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29"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90</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996"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419"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81"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时效指标</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完成工作时间</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29"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12</w:t>
            </w:r>
          </w:p>
        </w:tc>
        <w:tc>
          <w:tcPr>
            <w:tcW w:w="43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月</w:t>
            </w:r>
          </w:p>
        </w:tc>
        <w:tc>
          <w:tcPr>
            <w:tcW w:w="996"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12月</w:t>
            </w:r>
          </w:p>
        </w:tc>
        <w:tc>
          <w:tcPr>
            <w:tcW w:w="419"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81"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897" w:type="dxa"/>
            <w:gridSpan w:val="8"/>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合计</w:t>
            </w:r>
          </w:p>
        </w:tc>
        <w:tc>
          <w:tcPr>
            <w:tcW w:w="41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96.6</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结论</w:t>
            </w:r>
          </w:p>
        </w:tc>
        <w:tc>
          <w:tcPr>
            <w:tcW w:w="8188"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该项目自评得分96.6分，2022年我市率先实现三年行动计划中的“四个全覆盖”，DRG在推动“三医联动”改革、提升医疗服务水平、提高医保基金使用效益、减轻群众就医负担等方面的成效已初步凸显。定点医院呈现高质量。市本级6家三级综合医院，体现疾病治疗难度的CMI指数提高，病组覆盖率逐年提升。医保高效治理成效初显。基金使用效率不断提高，分级诊疗格局基本形成。患者就医负担减轻。医疗机构积极转变观念，采取措施减少“大检查”“重复检查”等增加患者负担的不合理诊疗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部门（单位）自评存在问题</w:t>
            </w:r>
          </w:p>
        </w:tc>
        <w:tc>
          <w:tcPr>
            <w:tcW w:w="8188"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22年因受疫情影响，外出调研时间、地点受限，调研机会减少，导致年初预算的差旅费结余，影响了资金支付进度。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部门（单位）自评改进措施</w:t>
            </w:r>
          </w:p>
        </w:tc>
        <w:tc>
          <w:tcPr>
            <w:tcW w:w="8188"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加强对外交流学习，吸取各市州DRG交流工作经验，强化绩效监控，提高资金支付效益。</w:t>
            </w:r>
          </w:p>
        </w:tc>
      </w:tr>
    </w:tbl>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预算项目支出绩效目标自评表</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（2022年度）</w:t>
      </w:r>
    </w:p>
    <w:p>
      <w:pPr>
        <w:rPr>
          <w:rFonts w:hint="eastAsia"/>
          <w:color w:val="000000" w:themeColor="text1"/>
          <w:lang w:val="en-US" w:eastAsia="zh-CN"/>
          <w14:textFill>
            <w14:solidFill>
              <w14:schemeClr w14:val="tx1"/>
            </w14:solidFill>
          </w14:textFill>
        </w:rPr>
      </w:pPr>
    </w:p>
    <w:tbl>
      <w:tblPr>
        <w:tblStyle w:val="19"/>
        <w:tblW w:w="907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9"/>
        <w:gridCol w:w="893"/>
        <w:gridCol w:w="770"/>
        <w:gridCol w:w="787"/>
        <w:gridCol w:w="422"/>
        <w:gridCol w:w="478"/>
        <w:gridCol w:w="686"/>
        <w:gridCol w:w="759"/>
        <w:gridCol w:w="473"/>
        <w:gridCol w:w="540"/>
        <w:gridCol w:w="787"/>
        <w:gridCol w:w="16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br w:type="page"/>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项目名称</w:t>
            </w:r>
          </w:p>
        </w:tc>
        <w:tc>
          <w:tcPr>
            <w:tcW w:w="7309" w:type="dxa"/>
            <w:gridSpan w:val="10"/>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办公设施设备购置和维护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主管部门（盖章）</w:t>
            </w:r>
          </w:p>
        </w:tc>
        <w:tc>
          <w:tcPr>
            <w:tcW w:w="3143"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广元市医疗保障局</w:t>
            </w: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实施单位 （盖章）</w:t>
            </w:r>
          </w:p>
        </w:tc>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广元市医疗保障局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869"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项目基本情况</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1.项目年度目标完成情况</w:t>
            </w:r>
          </w:p>
        </w:tc>
        <w:tc>
          <w:tcPr>
            <w:tcW w:w="3143"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项目年度目标</w:t>
            </w:r>
          </w:p>
        </w:tc>
        <w:tc>
          <w:tcPr>
            <w:tcW w:w="4166"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3143"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满足机关单位基本办公，更好的推进各项工作正常开展。</w:t>
            </w:r>
          </w:p>
        </w:tc>
        <w:tc>
          <w:tcPr>
            <w:tcW w:w="4166"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购置班台1张，班椅2把，书柜2组，衣塔1个，茶几1张，文件柜2个，空调6台，道闸系统1套等办公家具，共计使用6.55万元。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309" w:type="dxa"/>
            <w:gridSpan w:val="10"/>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购置班台1张，班椅2把，书柜2组，衣塔1个，茶几1张，文件柜2个，空调6台，道闸系统1套等办公家具，共计使用6.55万元。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869"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预算执行情况</w:t>
            </w:r>
          </w:p>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（10分）</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年度预算数（万元）</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年初预算</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调整后</w:t>
            </w:r>
          </w:p>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预算数</w:t>
            </w:r>
          </w:p>
        </w:tc>
        <w:tc>
          <w:tcPr>
            <w:tcW w:w="1586"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预算执行数</w:t>
            </w: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w:t>
            </w:r>
          </w:p>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执行率</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权重</w:t>
            </w:r>
          </w:p>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部门自评得分</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财政部门科室复评得分</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总额</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7.00</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7.00</w:t>
            </w:r>
          </w:p>
        </w:tc>
        <w:tc>
          <w:tcPr>
            <w:tcW w:w="1586"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6.55</w:t>
            </w: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94.00%</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60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其中：财政资金</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7.00</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7.00</w:t>
            </w:r>
          </w:p>
        </w:tc>
        <w:tc>
          <w:tcPr>
            <w:tcW w:w="1586"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6.55</w:t>
            </w: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94.00%</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869"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绩效指标（90分）</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一级指标</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二级指标</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三级指标</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指标性质</w:t>
            </w:r>
          </w:p>
        </w:tc>
        <w:tc>
          <w:tcPr>
            <w:tcW w:w="4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指标值</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度量</w:t>
            </w:r>
          </w:p>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单位</w:t>
            </w: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完成值</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权重</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部门自评得分</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财政部门科室复评得分</w:t>
            </w: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4"/>
                <w:rFonts w:hint="eastAsia" w:ascii="宋体" w:hAnsi="宋体" w:eastAsia="宋体" w:cs="宋体"/>
                <w:b w:val="0"/>
                <w:bCs w:val="0"/>
                <w:color w:val="000000" w:themeColor="text1"/>
                <w:sz w:val="18"/>
                <w:szCs w:val="18"/>
                <w:lang w:val="en-US" w:eastAsia="zh-CN" w:bidi="ar"/>
                <w14:textFill>
                  <w14:solidFill>
                    <w14:schemeClr w14:val="tx1"/>
                  </w14:solidFill>
                </w14:textFill>
              </w:rPr>
              <w:t>产出指标</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4"/>
                <w:rFonts w:hint="eastAsia" w:ascii="宋体" w:hAnsi="宋体" w:eastAsia="宋体" w:cs="宋体"/>
                <w:b w:val="0"/>
                <w:bCs w:val="0"/>
                <w:color w:val="000000" w:themeColor="text1"/>
                <w:sz w:val="18"/>
                <w:szCs w:val="18"/>
                <w:lang w:val="en-US" w:eastAsia="zh-CN" w:bidi="ar"/>
                <w14:textFill>
                  <w14:solidFill>
                    <w14:schemeClr w14:val="tx1"/>
                  </w14:solidFill>
                </w14:textFill>
              </w:rPr>
              <w:t>数量指标</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4"/>
                <w:rFonts w:hint="eastAsia" w:ascii="宋体" w:hAnsi="宋体" w:eastAsia="宋体" w:cs="宋体"/>
                <w:b w:val="0"/>
                <w:bCs w:val="0"/>
                <w:color w:val="000000" w:themeColor="text1"/>
                <w:sz w:val="18"/>
                <w:szCs w:val="18"/>
                <w:lang w:val="en-US" w:eastAsia="zh-CN" w:bidi="ar"/>
                <w14:textFill>
                  <w14:solidFill>
                    <w14:schemeClr w14:val="tx1"/>
                  </w14:solidFill>
                </w14:textFill>
              </w:rPr>
              <w:t>办公设施设备购置维护</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4"/>
                <w:rFonts w:hint="eastAsia" w:ascii="宋体" w:hAnsi="宋体" w:eastAsia="宋体" w:cs="宋体"/>
                <w:b w:val="0"/>
                <w:bCs w:val="0"/>
                <w:color w:val="000000" w:themeColor="text1"/>
                <w:sz w:val="18"/>
                <w:szCs w:val="18"/>
                <w:lang w:val="en-US" w:eastAsia="zh-CN" w:bidi="ar"/>
                <w14:textFill>
                  <w14:solidFill>
                    <w14:schemeClr w14:val="tx1"/>
                  </w14:solidFill>
                </w14:textFill>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86"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个（台、套、件、辆）</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16</w:t>
            </w:r>
          </w:p>
        </w:tc>
        <w:tc>
          <w:tcPr>
            <w:tcW w:w="473"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4"/>
                <w:rFonts w:hint="eastAsia" w:ascii="宋体" w:hAnsi="宋体" w:eastAsia="宋体" w:cs="宋体"/>
                <w:b w:val="0"/>
                <w:bCs w:val="0"/>
                <w:color w:val="000000" w:themeColor="text1"/>
                <w:sz w:val="18"/>
                <w:szCs w:val="18"/>
                <w:lang w:val="en-US" w:eastAsia="zh-CN" w:bidi="ar"/>
                <w14:textFill>
                  <w14:solidFill>
                    <w14:schemeClr w14:val="tx1"/>
                  </w14:solidFill>
                </w14:textFill>
              </w:rPr>
              <w:t>产出指标</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4"/>
                <w:rFonts w:hint="eastAsia" w:ascii="宋体" w:hAnsi="宋体" w:eastAsia="宋体" w:cs="宋体"/>
                <w:b w:val="0"/>
                <w:bCs w:val="0"/>
                <w:color w:val="000000" w:themeColor="text1"/>
                <w:sz w:val="18"/>
                <w:szCs w:val="18"/>
                <w:lang w:val="en-US" w:eastAsia="zh-CN" w:bidi="ar"/>
                <w14:textFill>
                  <w14:solidFill>
                    <w14:schemeClr w14:val="tx1"/>
                  </w14:solidFill>
                </w14:textFill>
              </w:rPr>
              <w:t>数量指标</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4"/>
                <w:rFonts w:hint="eastAsia" w:ascii="宋体" w:hAnsi="宋体" w:eastAsia="宋体" w:cs="宋体"/>
                <w:b w:val="0"/>
                <w:bCs w:val="0"/>
                <w:color w:val="000000" w:themeColor="text1"/>
                <w:sz w:val="18"/>
                <w:szCs w:val="18"/>
                <w:lang w:val="en-US" w:eastAsia="zh-CN" w:bidi="ar"/>
                <w14:textFill>
                  <w14:solidFill>
                    <w14:schemeClr w14:val="tx1"/>
                  </w14:solidFill>
                </w14:textFill>
              </w:rPr>
              <w:t>道闸系统</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4"/>
                <w:rFonts w:hint="eastAsia" w:ascii="宋体" w:hAnsi="宋体" w:eastAsia="宋体" w:cs="宋体"/>
                <w:b w:val="0"/>
                <w:bCs w:val="0"/>
                <w:color w:val="000000" w:themeColor="text1"/>
                <w:sz w:val="18"/>
                <w:szCs w:val="18"/>
                <w:lang w:val="en-US" w:eastAsia="zh-CN" w:bidi="ar"/>
                <w14:textFill>
                  <w14:solidFill>
                    <w14:schemeClr w14:val="tx1"/>
                  </w14:solidFill>
                </w14:textFill>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w:t>
            </w:r>
          </w:p>
        </w:tc>
        <w:tc>
          <w:tcPr>
            <w:tcW w:w="686"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套</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w:t>
            </w:r>
          </w:p>
        </w:tc>
        <w:tc>
          <w:tcPr>
            <w:tcW w:w="473"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4"/>
                <w:rFonts w:hint="eastAsia" w:ascii="宋体" w:hAnsi="宋体" w:eastAsia="宋体" w:cs="宋体"/>
                <w:b w:val="0"/>
                <w:bCs w:val="0"/>
                <w:color w:val="000000" w:themeColor="text1"/>
                <w:sz w:val="18"/>
                <w:szCs w:val="18"/>
                <w:lang w:val="en-US" w:eastAsia="zh-CN" w:bidi="ar"/>
                <w14:textFill>
                  <w14:solidFill>
                    <w14:schemeClr w14:val="tx1"/>
                  </w14:solidFill>
                </w14:textFill>
              </w:rPr>
              <w:t>产出指标</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4"/>
                <w:rFonts w:hint="eastAsia" w:ascii="宋体" w:hAnsi="宋体" w:eastAsia="宋体" w:cs="宋体"/>
                <w:b w:val="0"/>
                <w:bCs w:val="0"/>
                <w:color w:val="000000" w:themeColor="text1"/>
                <w:sz w:val="18"/>
                <w:szCs w:val="18"/>
                <w:lang w:val="en-US" w:eastAsia="zh-CN" w:bidi="ar"/>
                <w14:textFill>
                  <w14:solidFill>
                    <w14:schemeClr w14:val="tx1"/>
                  </w14:solidFill>
                </w14:textFill>
              </w:rPr>
              <w:t>成本指标</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空调费用</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4"/>
                <w:rFonts w:hint="eastAsia" w:ascii="宋体" w:hAnsi="宋体" w:eastAsia="宋体" w:cs="宋体"/>
                <w:b w:val="0"/>
                <w:bCs w:val="0"/>
                <w:color w:val="000000" w:themeColor="text1"/>
                <w:sz w:val="18"/>
                <w:szCs w:val="18"/>
                <w:lang w:val="en-US" w:eastAsia="zh-CN" w:bidi="ar"/>
                <w14:textFill>
                  <w14:solidFill>
                    <w14:schemeClr w14:val="tx1"/>
                  </w14:solidFill>
                </w14:textFill>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3500</w:t>
            </w:r>
          </w:p>
        </w:tc>
        <w:tc>
          <w:tcPr>
            <w:tcW w:w="686"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元/平方米</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3500</w:t>
            </w:r>
          </w:p>
        </w:tc>
        <w:tc>
          <w:tcPr>
            <w:tcW w:w="473"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Style w:val="44"/>
                <w:rFonts w:hint="eastAsia" w:ascii="宋体" w:hAnsi="宋体" w:eastAsia="宋体" w:cs="宋体"/>
                <w:b w:val="0"/>
                <w:bCs w:val="0"/>
                <w:color w:val="000000" w:themeColor="text1"/>
                <w:sz w:val="18"/>
                <w:szCs w:val="18"/>
                <w:lang w:val="en-US" w:eastAsia="zh-CN" w:bidi="ar"/>
                <w14:textFill>
                  <w14:solidFill>
                    <w14:schemeClr w14:val="tx1"/>
                  </w14:solidFill>
                </w14:textFill>
              </w:rPr>
            </w:pPr>
            <w:r>
              <w:rPr>
                <w:rStyle w:val="44"/>
                <w:rFonts w:hint="eastAsia" w:ascii="宋体" w:hAnsi="宋体" w:eastAsia="宋体" w:cs="宋体"/>
                <w:b w:val="0"/>
                <w:bCs w:val="0"/>
                <w:color w:val="000000" w:themeColor="text1"/>
                <w:sz w:val="18"/>
                <w:szCs w:val="18"/>
                <w:lang w:val="en-US" w:eastAsia="zh-CN" w:bidi="ar"/>
                <w14:textFill>
                  <w14:solidFill>
                    <w14:schemeClr w14:val="tx1"/>
                  </w14:solidFill>
                </w14:textFill>
              </w:rPr>
              <w:t>满意度</w:t>
            </w:r>
          </w:p>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4"/>
                <w:rFonts w:hint="eastAsia" w:ascii="宋体" w:hAnsi="宋体" w:eastAsia="宋体" w:cs="宋体"/>
                <w:b w:val="0"/>
                <w:bCs w:val="0"/>
                <w:color w:val="000000" w:themeColor="text1"/>
                <w:sz w:val="18"/>
                <w:szCs w:val="18"/>
                <w:lang w:val="en-US" w:eastAsia="zh-CN" w:bidi="ar"/>
                <w14:textFill>
                  <w14:solidFill>
                    <w14:schemeClr w14:val="tx1"/>
                  </w14:solidFill>
                </w14:textFill>
              </w:rPr>
              <w:t>指标</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4"/>
                <w:rFonts w:hint="eastAsia" w:ascii="宋体" w:hAnsi="宋体" w:eastAsia="宋体" w:cs="宋体"/>
                <w:b w:val="0"/>
                <w:bCs w:val="0"/>
                <w:color w:val="000000" w:themeColor="text1"/>
                <w:sz w:val="18"/>
                <w:szCs w:val="18"/>
                <w:lang w:val="en-US" w:eastAsia="zh-CN" w:bidi="ar"/>
                <w14:textFill>
                  <w14:solidFill>
                    <w14:schemeClr w14:val="tx1"/>
                  </w14:solidFill>
                </w14:textFill>
              </w:rPr>
              <w:t>服务对象满意度指标</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4"/>
                <w:rFonts w:hint="eastAsia" w:ascii="宋体" w:hAnsi="宋体" w:eastAsia="宋体" w:cs="宋体"/>
                <w:b w:val="0"/>
                <w:bCs w:val="0"/>
                <w:color w:val="000000" w:themeColor="text1"/>
                <w:sz w:val="18"/>
                <w:szCs w:val="18"/>
                <w:lang w:val="en-US" w:eastAsia="zh-CN" w:bidi="ar"/>
                <w14:textFill>
                  <w14:solidFill>
                    <w14:schemeClr w14:val="tx1"/>
                  </w14:solidFill>
                </w14:textFill>
              </w:rPr>
              <w:t>使用人满意度</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4"/>
                <w:rFonts w:hint="eastAsia" w:ascii="宋体" w:hAnsi="宋体" w:eastAsia="宋体" w:cs="宋体"/>
                <w:b w:val="0"/>
                <w:bCs w:val="0"/>
                <w:color w:val="000000" w:themeColor="text1"/>
                <w:sz w:val="18"/>
                <w:szCs w:val="18"/>
                <w:lang w:val="en-US" w:eastAsia="zh-CN" w:bidi="ar"/>
                <w14:textFill>
                  <w14:solidFill>
                    <w14:schemeClr w14:val="tx1"/>
                  </w14:solidFill>
                </w14:textFill>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90</w:t>
            </w:r>
          </w:p>
        </w:tc>
        <w:tc>
          <w:tcPr>
            <w:tcW w:w="686"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473"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4"/>
                <w:rFonts w:hint="eastAsia" w:ascii="宋体" w:hAnsi="宋体" w:eastAsia="宋体" w:cs="宋体"/>
                <w:b w:val="0"/>
                <w:bCs w:val="0"/>
                <w:color w:val="000000" w:themeColor="text1"/>
                <w:sz w:val="18"/>
                <w:szCs w:val="18"/>
                <w:lang w:val="en-US" w:eastAsia="zh-CN" w:bidi="ar"/>
                <w14:textFill>
                  <w14:solidFill>
                    <w14:schemeClr w14:val="tx1"/>
                  </w14:solidFill>
                </w14:textFill>
              </w:rPr>
              <w:t>产出指标</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4"/>
                <w:rFonts w:hint="eastAsia" w:ascii="宋体" w:hAnsi="宋体" w:eastAsia="宋体" w:cs="宋体"/>
                <w:b w:val="0"/>
                <w:bCs w:val="0"/>
                <w:color w:val="000000" w:themeColor="text1"/>
                <w:sz w:val="18"/>
                <w:szCs w:val="18"/>
                <w:lang w:val="en-US" w:eastAsia="zh-CN" w:bidi="ar"/>
                <w14:textFill>
                  <w14:solidFill>
                    <w14:schemeClr w14:val="tx1"/>
                  </w14:solidFill>
                </w14:textFill>
              </w:rPr>
              <w:t>质量指标</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4"/>
                <w:rFonts w:hint="eastAsia" w:ascii="宋体" w:hAnsi="宋体" w:eastAsia="宋体" w:cs="宋体"/>
                <w:b w:val="0"/>
                <w:bCs w:val="0"/>
                <w:color w:val="000000" w:themeColor="text1"/>
                <w:sz w:val="18"/>
                <w:szCs w:val="18"/>
                <w:lang w:val="en-US" w:eastAsia="zh-CN" w:bidi="ar"/>
                <w14:textFill>
                  <w14:solidFill>
                    <w14:schemeClr w14:val="tx1"/>
                  </w14:solidFill>
                </w14:textFill>
              </w:rPr>
              <w:t>项目竣工验收合格率</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4"/>
                <w:rFonts w:hint="eastAsia" w:ascii="宋体" w:hAnsi="宋体" w:eastAsia="宋体" w:cs="宋体"/>
                <w:b w:val="0"/>
                <w:bCs w:val="0"/>
                <w:color w:val="000000" w:themeColor="text1"/>
                <w:sz w:val="18"/>
                <w:szCs w:val="18"/>
                <w:lang w:val="en-US" w:eastAsia="zh-CN" w:bidi="ar"/>
                <w14:textFill>
                  <w14:solidFill>
                    <w14:schemeClr w14:val="tx1"/>
                  </w14:solidFill>
                </w14:textFill>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99</w:t>
            </w:r>
          </w:p>
        </w:tc>
        <w:tc>
          <w:tcPr>
            <w:tcW w:w="686"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99</w:t>
            </w:r>
          </w:p>
        </w:tc>
        <w:tc>
          <w:tcPr>
            <w:tcW w:w="473"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4"/>
                <w:rFonts w:hint="eastAsia" w:ascii="宋体" w:hAnsi="宋体" w:eastAsia="宋体" w:cs="宋体"/>
                <w:b w:val="0"/>
                <w:bCs w:val="0"/>
                <w:color w:val="000000" w:themeColor="text1"/>
                <w:sz w:val="18"/>
                <w:szCs w:val="18"/>
                <w:lang w:val="en-US" w:eastAsia="zh-CN" w:bidi="ar"/>
                <w14:textFill>
                  <w14:solidFill>
                    <w14:schemeClr w14:val="tx1"/>
                  </w14:solidFill>
                </w14:textFill>
              </w:rPr>
              <w:t>产出指标</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4"/>
                <w:rFonts w:hint="eastAsia" w:ascii="宋体" w:hAnsi="宋体" w:eastAsia="宋体" w:cs="宋体"/>
                <w:b w:val="0"/>
                <w:bCs w:val="0"/>
                <w:color w:val="000000" w:themeColor="text1"/>
                <w:sz w:val="18"/>
                <w:szCs w:val="18"/>
                <w:lang w:val="en-US" w:eastAsia="zh-CN" w:bidi="ar"/>
                <w14:textFill>
                  <w14:solidFill>
                    <w14:schemeClr w14:val="tx1"/>
                  </w14:solidFill>
                </w14:textFill>
              </w:rPr>
              <w:t>成本指标</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4"/>
                <w:rFonts w:hint="eastAsia" w:ascii="宋体" w:hAnsi="宋体" w:eastAsia="宋体" w:cs="宋体"/>
                <w:b w:val="0"/>
                <w:bCs w:val="0"/>
                <w:color w:val="000000" w:themeColor="text1"/>
                <w:sz w:val="18"/>
                <w:szCs w:val="18"/>
                <w:lang w:val="en-US" w:eastAsia="zh-CN" w:bidi="ar"/>
                <w14:textFill>
                  <w14:solidFill>
                    <w14:schemeClr w14:val="tx1"/>
                  </w14:solidFill>
                </w14:textFill>
              </w:rPr>
              <w:t>道闸系统价格</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4"/>
                <w:rFonts w:hint="eastAsia" w:ascii="宋体" w:hAnsi="宋体" w:eastAsia="宋体" w:cs="宋体"/>
                <w:b w:val="0"/>
                <w:bCs w:val="0"/>
                <w:color w:val="000000" w:themeColor="text1"/>
                <w:sz w:val="18"/>
                <w:szCs w:val="18"/>
                <w:lang w:val="en-US" w:eastAsia="zh-CN" w:bidi="ar"/>
                <w14:textFill>
                  <w14:solidFill>
                    <w14:schemeClr w14:val="tx1"/>
                  </w14:solidFill>
                </w14:textFill>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686"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万元</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4.6</w:t>
            </w:r>
          </w:p>
        </w:tc>
        <w:tc>
          <w:tcPr>
            <w:tcW w:w="473"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4"/>
                <w:rFonts w:hint="eastAsia" w:ascii="宋体" w:hAnsi="宋体" w:eastAsia="宋体" w:cs="宋体"/>
                <w:b w:val="0"/>
                <w:bCs w:val="0"/>
                <w:color w:val="000000" w:themeColor="text1"/>
                <w:sz w:val="18"/>
                <w:szCs w:val="18"/>
                <w:lang w:val="en-US" w:eastAsia="zh-CN" w:bidi="ar"/>
                <w14:textFill>
                  <w14:solidFill>
                    <w14:schemeClr w14:val="tx1"/>
                  </w14:solidFill>
                </w14:textFill>
              </w:rPr>
              <w:t>产出指标</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4"/>
                <w:rFonts w:hint="eastAsia" w:ascii="宋体" w:hAnsi="宋体" w:eastAsia="宋体" w:cs="宋体"/>
                <w:b w:val="0"/>
                <w:bCs w:val="0"/>
                <w:color w:val="000000" w:themeColor="text1"/>
                <w:sz w:val="18"/>
                <w:szCs w:val="18"/>
                <w:lang w:val="en-US" w:eastAsia="zh-CN" w:bidi="ar"/>
                <w14:textFill>
                  <w14:solidFill>
                    <w14:schemeClr w14:val="tx1"/>
                  </w14:solidFill>
                </w14:textFill>
              </w:rPr>
              <w:t>成本指标</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4"/>
                <w:rFonts w:hint="eastAsia" w:ascii="宋体" w:hAnsi="宋体" w:eastAsia="宋体" w:cs="宋体"/>
                <w:b w:val="0"/>
                <w:bCs w:val="0"/>
                <w:color w:val="000000" w:themeColor="text1"/>
                <w:sz w:val="18"/>
                <w:szCs w:val="18"/>
                <w:lang w:val="en-US" w:eastAsia="zh-CN" w:bidi="ar"/>
                <w14:textFill>
                  <w14:solidFill>
                    <w14:schemeClr w14:val="tx1"/>
                  </w14:solidFill>
                </w14:textFill>
              </w:rPr>
              <w:t>办公设施设备购置维护</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4"/>
                <w:rFonts w:hint="eastAsia" w:ascii="宋体" w:hAnsi="宋体" w:eastAsia="宋体" w:cs="宋体"/>
                <w:b w:val="0"/>
                <w:bCs w:val="0"/>
                <w:color w:val="000000" w:themeColor="text1"/>
                <w:sz w:val="18"/>
                <w:szCs w:val="18"/>
                <w:lang w:val="en-US" w:eastAsia="zh-CN" w:bidi="ar"/>
                <w14:textFill>
                  <w14:solidFill>
                    <w14:schemeClr w14:val="tx1"/>
                  </w14:solidFill>
                </w14:textFill>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w:t>
            </w:r>
          </w:p>
        </w:tc>
        <w:tc>
          <w:tcPr>
            <w:tcW w:w="686"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万元</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2.31</w:t>
            </w:r>
          </w:p>
        </w:tc>
        <w:tc>
          <w:tcPr>
            <w:tcW w:w="473"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4"/>
                <w:rFonts w:hint="eastAsia" w:ascii="宋体" w:hAnsi="宋体" w:eastAsia="宋体" w:cs="宋体"/>
                <w:b w:val="0"/>
                <w:bCs w:val="0"/>
                <w:color w:val="000000" w:themeColor="text1"/>
                <w:sz w:val="18"/>
                <w:szCs w:val="18"/>
                <w:lang w:val="en-US" w:eastAsia="zh-CN" w:bidi="ar"/>
                <w14:textFill>
                  <w14:solidFill>
                    <w14:schemeClr w14:val="tx1"/>
                  </w14:solidFill>
                </w14:textFill>
              </w:rPr>
              <w:t>产出指标</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4"/>
                <w:rFonts w:hint="eastAsia" w:ascii="宋体" w:hAnsi="宋体" w:eastAsia="宋体" w:cs="宋体"/>
                <w:b w:val="0"/>
                <w:bCs w:val="0"/>
                <w:color w:val="000000" w:themeColor="text1"/>
                <w:sz w:val="18"/>
                <w:szCs w:val="18"/>
                <w:lang w:val="en-US" w:eastAsia="zh-CN" w:bidi="ar"/>
                <w14:textFill>
                  <w14:solidFill>
                    <w14:schemeClr w14:val="tx1"/>
                  </w14:solidFill>
                </w14:textFill>
              </w:rPr>
              <w:t>数量指标</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购置空调</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4"/>
                <w:rFonts w:hint="eastAsia" w:ascii="宋体" w:hAnsi="宋体" w:eastAsia="宋体" w:cs="宋体"/>
                <w:b w:val="0"/>
                <w:bCs w:val="0"/>
                <w:color w:val="000000" w:themeColor="text1"/>
                <w:sz w:val="18"/>
                <w:szCs w:val="18"/>
                <w:lang w:val="en-US" w:eastAsia="zh-CN" w:bidi="ar"/>
                <w14:textFill>
                  <w14:solidFill>
                    <w14:schemeClr w14:val="tx1"/>
                  </w14:solidFill>
                </w14:textFill>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6</w:t>
            </w:r>
          </w:p>
        </w:tc>
        <w:tc>
          <w:tcPr>
            <w:tcW w:w="686"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台</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6</w:t>
            </w:r>
          </w:p>
        </w:tc>
        <w:tc>
          <w:tcPr>
            <w:tcW w:w="473"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4"/>
                <w:rFonts w:hint="eastAsia" w:ascii="宋体" w:hAnsi="宋体" w:eastAsia="宋体" w:cs="宋体"/>
                <w:b w:val="0"/>
                <w:bCs w:val="0"/>
                <w:color w:val="000000" w:themeColor="text1"/>
                <w:sz w:val="18"/>
                <w:szCs w:val="18"/>
                <w:lang w:val="en-US" w:eastAsia="zh-CN" w:bidi="ar"/>
                <w14:textFill>
                  <w14:solidFill>
                    <w14:schemeClr w14:val="tx1"/>
                  </w14:solidFill>
                </w14:textFill>
              </w:rPr>
              <w:t>产出指标</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4"/>
                <w:rFonts w:hint="eastAsia" w:ascii="宋体" w:hAnsi="宋体" w:eastAsia="宋体" w:cs="宋体"/>
                <w:b w:val="0"/>
                <w:bCs w:val="0"/>
                <w:color w:val="000000" w:themeColor="text1"/>
                <w:sz w:val="18"/>
                <w:szCs w:val="18"/>
                <w:lang w:val="en-US" w:eastAsia="zh-CN" w:bidi="ar"/>
                <w14:textFill>
                  <w14:solidFill>
                    <w14:schemeClr w14:val="tx1"/>
                  </w14:solidFill>
                </w14:textFill>
              </w:rPr>
              <w:t>时效指标</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4"/>
                <w:rFonts w:hint="eastAsia" w:ascii="宋体" w:hAnsi="宋体" w:eastAsia="宋体" w:cs="宋体"/>
                <w:b w:val="0"/>
                <w:bCs w:val="0"/>
                <w:color w:val="000000" w:themeColor="text1"/>
                <w:sz w:val="18"/>
                <w:szCs w:val="18"/>
                <w:lang w:val="en-US" w:eastAsia="zh-CN" w:bidi="ar"/>
                <w14:textFill>
                  <w14:solidFill>
                    <w14:schemeClr w14:val="tx1"/>
                  </w14:solidFill>
                </w14:textFill>
              </w:rPr>
              <w:t>完成时间</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4"/>
                <w:rFonts w:hint="eastAsia" w:ascii="宋体" w:hAnsi="宋体" w:eastAsia="宋体" w:cs="宋体"/>
                <w:b w:val="0"/>
                <w:bCs w:val="0"/>
                <w:color w:val="000000" w:themeColor="text1"/>
                <w:sz w:val="18"/>
                <w:szCs w:val="18"/>
                <w:lang w:val="en-US" w:eastAsia="zh-CN" w:bidi="ar"/>
                <w14:textFill>
                  <w14:solidFill>
                    <w14:schemeClr w14:val="tx1"/>
                  </w14:solidFill>
                </w14:textFill>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12</w:t>
            </w:r>
          </w:p>
        </w:tc>
        <w:tc>
          <w:tcPr>
            <w:tcW w:w="686"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月</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12</w:t>
            </w:r>
          </w:p>
        </w:tc>
        <w:tc>
          <w:tcPr>
            <w:tcW w:w="473"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4"/>
                <w:rFonts w:hint="eastAsia" w:ascii="宋体" w:hAnsi="宋体" w:eastAsia="宋体" w:cs="宋体"/>
                <w:b w:val="0"/>
                <w:bCs w:val="0"/>
                <w:color w:val="000000" w:themeColor="text1"/>
                <w:sz w:val="18"/>
                <w:szCs w:val="18"/>
                <w:lang w:val="en-US" w:eastAsia="zh-CN" w:bidi="ar"/>
                <w14:textFill>
                  <w14:solidFill>
                    <w14:schemeClr w14:val="tx1"/>
                  </w14:solidFill>
                </w14:textFill>
              </w:rPr>
              <w:t>满意度指标</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4"/>
                <w:rFonts w:hint="eastAsia" w:ascii="宋体" w:hAnsi="宋体" w:eastAsia="宋体" w:cs="宋体"/>
                <w:b w:val="0"/>
                <w:bCs w:val="0"/>
                <w:color w:val="000000" w:themeColor="text1"/>
                <w:sz w:val="18"/>
                <w:szCs w:val="18"/>
                <w:lang w:val="en-US" w:eastAsia="zh-CN" w:bidi="ar"/>
                <w14:textFill>
                  <w14:solidFill>
                    <w14:schemeClr w14:val="tx1"/>
                  </w14:solidFill>
                </w14:textFill>
              </w:rPr>
              <w:t>服务对象满意度指标</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4"/>
                <w:rFonts w:hint="eastAsia" w:ascii="宋体" w:hAnsi="宋体" w:eastAsia="宋体" w:cs="宋体"/>
                <w:b w:val="0"/>
                <w:bCs w:val="0"/>
                <w:color w:val="000000" w:themeColor="text1"/>
                <w:sz w:val="18"/>
                <w:szCs w:val="18"/>
                <w:lang w:val="en-US" w:eastAsia="zh-CN" w:bidi="ar"/>
                <w14:textFill>
                  <w14:solidFill>
                    <w14:schemeClr w14:val="tx1"/>
                  </w14:solidFill>
                </w14:textFill>
              </w:rPr>
              <w:t>参保群众满意度</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4"/>
                <w:rFonts w:hint="eastAsia" w:ascii="宋体" w:hAnsi="宋体" w:eastAsia="宋体" w:cs="宋体"/>
                <w:b w:val="0"/>
                <w:bCs w:val="0"/>
                <w:color w:val="000000" w:themeColor="text1"/>
                <w:sz w:val="18"/>
                <w:szCs w:val="18"/>
                <w:lang w:val="en-US" w:eastAsia="zh-CN" w:bidi="ar"/>
                <w14:textFill>
                  <w14:solidFill>
                    <w14:schemeClr w14:val="tx1"/>
                  </w14:solidFill>
                </w14:textFill>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90</w:t>
            </w:r>
          </w:p>
        </w:tc>
        <w:tc>
          <w:tcPr>
            <w:tcW w:w="686"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473"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40"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4"/>
                <w:rFonts w:hint="eastAsia" w:ascii="宋体" w:hAnsi="宋体" w:eastAsia="宋体" w:cs="宋体"/>
                <w:b w:val="0"/>
                <w:bCs w:val="0"/>
                <w:color w:val="000000" w:themeColor="text1"/>
                <w:sz w:val="18"/>
                <w:szCs w:val="18"/>
                <w:lang w:val="en-US" w:eastAsia="zh-CN" w:bidi="ar"/>
                <w14:textFill>
                  <w14:solidFill>
                    <w14:schemeClr w14:val="tx1"/>
                  </w14:solidFill>
                </w14:textFill>
              </w:rPr>
              <w:t>效益指标</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4"/>
                <w:rFonts w:hint="eastAsia" w:ascii="宋体" w:hAnsi="宋体" w:eastAsia="宋体" w:cs="宋体"/>
                <w:b w:val="0"/>
                <w:bCs w:val="0"/>
                <w:color w:val="000000" w:themeColor="text1"/>
                <w:sz w:val="18"/>
                <w:szCs w:val="18"/>
                <w:lang w:val="en-US" w:eastAsia="zh-CN" w:bidi="ar"/>
                <w14:textFill>
                  <w14:solidFill>
                    <w14:schemeClr w14:val="tx1"/>
                  </w14:solidFill>
                </w14:textFill>
              </w:rPr>
              <w:t>社会效益指标</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4"/>
                <w:rFonts w:hint="eastAsia" w:ascii="宋体" w:hAnsi="宋体" w:eastAsia="宋体" w:cs="宋体"/>
                <w:b w:val="0"/>
                <w:bCs w:val="0"/>
                <w:color w:val="000000" w:themeColor="text1"/>
                <w:sz w:val="18"/>
                <w:szCs w:val="18"/>
                <w:lang w:val="en-US" w:eastAsia="zh-CN" w:bidi="ar"/>
                <w14:textFill>
                  <w14:solidFill>
                    <w14:schemeClr w14:val="tx1"/>
                  </w14:solidFill>
                </w14:textFill>
              </w:rPr>
              <w:t>提高服务效率</w:t>
            </w:r>
          </w:p>
        </w:tc>
        <w:tc>
          <w:tcPr>
            <w:tcW w:w="42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4"/>
                <w:rFonts w:hint="eastAsia" w:ascii="宋体" w:hAnsi="宋体" w:eastAsia="宋体" w:cs="宋体"/>
                <w:b w:val="0"/>
                <w:bCs w:val="0"/>
                <w:color w:val="000000" w:themeColor="text1"/>
                <w:sz w:val="18"/>
                <w:szCs w:val="18"/>
                <w:lang w:val="en-US" w:eastAsia="zh-CN" w:bidi="ar"/>
                <w14:textFill>
                  <w14:solidFill>
                    <w14:schemeClr w14:val="tx1"/>
                  </w14:solidFill>
                </w14:textFill>
              </w:rPr>
              <w:t>定性</w:t>
            </w:r>
          </w:p>
        </w:tc>
        <w:tc>
          <w:tcPr>
            <w:tcW w:w="4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优良中低差</w:t>
            </w:r>
          </w:p>
        </w:tc>
        <w:tc>
          <w:tcPr>
            <w:tcW w:w="686"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优</w:t>
            </w:r>
          </w:p>
        </w:tc>
        <w:tc>
          <w:tcPr>
            <w:tcW w:w="473"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40"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5664" w:type="dxa"/>
            <w:gridSpan w:val="8"/>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合计</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w:t>
            </w:r>
          </w:p>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结论</w:t>
            </w:r>
          </w:p>
        </w:tc>
        <w:tc>
          <w:tcPr>
            <w:tcW w:w="8202"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本项目符合政府采购有关政策，具有明确的绩效目标，项目实施过程中严格按照实际需要实施，保证了单位基本办公条件，保障了各科室工作顺利推进，提升了医保工作效率。根据项目绩效指标及完成情况，该项目自评得分为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部门（单位）自评存在问题</w:t>
            </w:r>
          </w:p>
        </w:tc>
        <w:tc>
          <w:tcPr>
            <w:tcW w:w="8202"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部门（单位）自评改进措施</w:t>
            </w:r>
          </w:p>
        </w:tc>
        <w:tc>
          <w:tcPr>
            <w:tcW w:w="8202"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下一步我部门将提高资金的使用效益，在保障项目质量的前提下，加快项目建设进度，完善各项报账手续，从而加快资金支出进度。</w:t>
            </w:r>
          </w:p>
        </w:tc>
      </w:tr>
    </w:tbl>
    <w:p>
      <w:pPr>
        <w:pStyle w:val="15"/>
        <w:rPr>
          <w:color w:val="000000" w:themeColor="text1"/>
          <w14:textFill>
            <w14:solidFill>
              <w14:schemeClr w14:val="tx1"/>
            </w14:solidFill>
          </w14:textFill>
        </w:rPr>
      </w:pPr>
    </w:p>
    <w:p>
      <w:pPr>
        <w:rPr>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预算项目支出绩效目标自评表</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（2022年度）</w:t>
      </w:r>
    </w:p>
    <w:tbl>
      <w:tblPr>
        <w:tblStyle w:val="19"/>
        <w:tblpPr w:leftFromText="180" w:rightFromText="180" w:vertAnchor="text" w:horzAnchor="page" w:tblpX="1501" w:tblpY="294"/>
        <w:tblOverlap w:val="never"/>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90"/>
        <w:gridCol w:w="907"/>
        <w:gridCol w:w="814"/>
        <w:gridCol w:w="826"/>
        <w:gridCol w:w="432"/>
        <w:gridCol w:w="698"/>
        <w:gridCol w:w="432"/>
        <w:gridCol w:w="850"/>
        <w:gridCol w:w="570"/>
        <w:gridCol w:w="683"/>
        <w:gridCol w:w="613"/>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1797" w:type="dxa"/>
            <w:gridSpan w:val="2"/>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项目名称</w:t>
            </w:r>
          </w:p>
        </w:tc>
        <w:tc>
          <w:tcPr>
            <w:tcW w:w="7274" w:type="dxa"/>
            <w:gridSpan w:val="10"/>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打击欺诈骗保业务经费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1797" w:type="dxa"/>
            <w:gridSpan w:val="2"/>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主管部门（盖章）</w:t>
            </w:r>
          </w:p>
        </w:tc>
        <w:tc>
          <w:tcPr>
            <w:tcW w:w="3202" w:type="dxa"/>
            <w:gridSpan w:val="5"/>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广元市医疗保障局</w:t>
            </w:r>
          </w:p>
        </w:tc>
        <w:tc>
          <w:tcPr>
            <w:tcW w:w="850"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实施单位 （盖章）</w:t>
            </w:r>
          </w:p>
        </w:tc>
        <w:tc>
          <w:tcPr>
            <w:tcW w:w="3222" w:type="dxa"/>
            <w:gridSpan w:val="4"/>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广元市医疗保障局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890" w:type="dxa"/>
            <w:vMerge w:val="restart"/>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项目基本情况</w:t>
            </w:r>
          </w:p>
        </w:tc>
        <w:tc>
          <w:tcPr>
            <w:tcW w:w="907" w:type="dxa"/>
            <w:vMerge w:val="restart"/>
            <w:shd w:val="clear" w:color="auto" w:fill="auto"/>
            <w:tcMar>
              <w:top w:w="0" w:type="dxa"/>
              <w:left w:w="6" w:type="dxa"/>
              <w:bottom w:w="0" w:type="dxa"/>
              <w:right w:w="6"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1.项目年度目标完成情况</w:t>
            </w:r>
          </w:p>
        </w:tc>
        <w:tc>
          <w:tcPr>
            <w:tcW w:w="3202" w:type="dxa"/>
            <w:gridSpan w:val="5"/>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项目年度目标</w:t>
            </w:r>
          </w:p>
        </w:tc>
        <w:tc>
          <w:tcPr>
            <w:tcW w:w="4072" w:type="dxa"/>
            <w:gridSpan w:val="5"/>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年度目标完成情况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77" w:hRule="atLeast"/>
        </w:trPr>
        <w:tc>
          <w:tcPr>
            <w:tcW w:w="890" w:type="dxa"/>
            <w:vMerge w:val="continue"/>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07" w:type="dxa"/>
            <w:vMerge w:val="continue"/>
            <w:shd w:val="clear" w:color="auto" w:fill="auto"/>
            <w:tcMar>
              <w:top w:w="0" w:type="dxa"/>
              <w:left w:w="6" w:type="dxa"/>
              <w:bottom w:w="0" w:type="dxa"/>
              <w:right w:w="6" w:type="dxa"/>
            </w:tcMar>
            <w:vAlign w:val="center"/>
          </w:tcPr>
          <w:p>
            <w:pP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3202" w:type="dxa"/>
            <w:gridSpan w:val="5"/>
            <w:shd w:val="clear" w:color="auto" w:fill="auto"/>
            <w:tcMar>
              <w:top w:w="0" w:type="dxa"/>
              <w:left w:w="6" w:type="dxa"/>
              <w:bottom w:w="0" w:type="dxa"/>
              <w:right w:w="6"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为打击欺诈骗保实现医保精准监管，加大医保监管宣传力度，提升监管人员监管能力，增强市民对医保监管重要性的意识，奖励举报人，以保障医保基金安全。</w:t>
            </w:r>
          </w:p>
        </w:tc>
        <w:tc>
          <w:tcPr>
            <w:tcW w:w="4072" w:type="dxa"/>
            <w:gridSpan w:val="5"/>
            <w:shd w:val="clear" w:color="auto" w:fill="auto"/>
            <w:tcMar>
              <w:top w:w="0" w:type="dxa"/>
              <w:left w:w="6" w:type="dxa"/>
              <w:bottom w:w="0" w:type="dxa"/>
              <w:right w:w="6"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举报案件查处率为100%，开展专项调查3次，发放举报奖1次，定点医疗机构医保管理意识持续提高。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890" w:type="dxa"/>
            <w:vMerge w:val="continue"/>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07" w:type="dxa"/>
            <w:shd w:val="clear" w:color="auto" w:fill="auto"/>
            <w:tcMar>
              <w:top w:w="0" w:type="dxa"/>
              <w:left w:w="6" w:type="dxa"/>
              <w:bottom w:w="0" w:type="dxa"/>
              <w:right w:w="6"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274" w:type="dxa"/>
            <w:gridSpan w:val="10"/>
            <w:shd w:val="clear" w:color="auto" w:fill="auto"/>
            <w:tcMar>
              <w:top w:w="0" w:type="dxa"/>
              <w:left w:w="6" w:type="dxa"/>
              <w:bottom w:w="0" w:type="dxa"/>
              <w:right w:w="6"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开展专项检查，核查疑点数据，聘请专家论证。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890" w:type="dxa"/>
            <w:vMerge w:val="restart"/>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预算执行情况</w:t>
            </w:r>
          </w:p>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（10分）</w:t>
            </w:r>
          </w:p>
        </w:tc>
        <w:tc>
          <w:tcPr>
            <w:tcW w:w="907"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年度预算数（万元）</w:t>
            </w:r>
          </w:p>
        </w:tc>
        <w:tc>
          <w:tcPr>
            <w:tcW w:w="814"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年初预算</w:t>
            </w:r>
          </w:p>
        </w:tc>
        <w:tc>
          <w:tcPr>
            <w:tcW w:w="826"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调整后预算数</w:t>
            </w:r>
          </w:p>
        </w:tc>
        <w:tc>
          <w:tcPr>
            <w:tcW w:w="1562" w:type="dxa"/>
            <w:gridSpan w:val="3"/>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预算执行数</w:t>
            </w:r>
          </w:p>
        </w:tc>
        <w:tc>
          <w:tcPr>
            <w:tcW w:w="850"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w:t>
            </w:r>
          </w:p>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执行率</w:t>
            </w:r>
          </w:p>
        </w:tc>
        <w:tc>
          <w:tcPr>
            <w:tcW w:w="570"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权重%</w:t>
            </w:r>
          </w:p>
        </w:tc>
        <w:tc>
          <w:tcPr>
            <w:tcW w:w="683"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部门自评得分</w:t>
            </w:r>
          </w:p>
        </w:tc>
        <w:tc>
          <w:tcPr>
            <w:tcW w:w="613"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财政部门科室复评得分</w:t>
            </w:r>
          </w:p>
        </w:tc>
        <w:tc>
          <w:tcPr>
            <w:tcW w:w="1356"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90" w:type="dxa"/>
            <w:vMerge w:val="continue"/>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07"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总额</w:t>
            </w:r>
          </w:p>
        </w:tc>
        <w:tc>
          <w:tcPr>
            <w:tcW w:w="814"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9.00</w:t>
            </w:r>
          </w:p>
        </w:tc>
        <w:tc>
          <w:tcPr>
            <w:tcW w:w="826"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9.00</w:t>
            </w:r>
          </w:p>
        </w:tc>
        <w:tc>
          <w:tcPr>
            <w:tcW w:w="1562" w:type="dxa"/>
            <w:gridSpan w:val="3"/>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3.35</w:t>
            </w:r>
          </w:p>
        </w:tc>
        <w:tc>
          <w:tcPr>
            <w:tcW w:w="850"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37.00%</w:t>
            </w:r>
          </w:p>
        </w:tc>
        <w:tc>
          <w:tcPr>
            <w:tcW w:w="570"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83"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3.7</w:t>
            </w:r>
          </w:p>
        </w:tc>
        <w:tc>
          <w:tcPr>
            <w:tcW w:w="613" w:type="dxa"/>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356" w:type="dxa"/>
            <w:vMerge w:val="restart"/>
            <w:shd w:val="clear" w:color="auto" w:fill="auto"/>
            <w:tcMar>
              <w:top w:w="0" w:type="dxa"/>
              <w:left w:w="6" w:type="dxa"/>
              <w:bottom w:w="0" w:type="dxa"/>
              <w:right w:w="6"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疫情原因未召开相关培训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90" w:type="dxa"/>
            <w:vMerge w:val="continue"/>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07"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其中：财政资金</w:t>
            </w:r>
          </w:p>
        </w:tc>
        <w:tc>
          <w:tcPr>
            <w:tcW w:w="814"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9.00</w:t>
            </w:r>
          </w:p>
        </w:tc>
        <w:tc>
          <w:tcPr>
            <w:tcW w:w="826"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9.00</w:t>
            </w:r>
          </w:p>
        </w:tc>
        <w:tc>
          <w:tcPr>
            <w:tcW w:w="1562" w:type="dxa"/>
            <w:gridSpan w:val="3"/>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3.35</w:t>
            </w:r>
          </w:p>
        </w:tc>
        <w:tc>
          <w:tcPr>
            <w:tcW w:w="850"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37.00%</w:t>
            </w:r>
          </w:p>
        </w:tc>
        <w:tc>
          <w:tcPr>
            <w:tcW w:w="570"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83"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3.7</w:t>
            </w:r>
          </w:p>
        </w:tc>
        <w:tc>
          <w:tcPr>
            <w:tcW w:w="613" w:type="dxa"/>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356" w:type="dxa"/>
            <w:vMerge w:val="continue"/>
            <w:shd w:val="clear" w:color="auto" w:fill="auto"/>
            <w:tcMar>
              <w:top w:w="0" w:type="dxa"/>
              <w:left w:w="6" w:type="dxa"/>
              <w:bottom w:w="0" w:type="dxa"/>
              <w:right w:w="6" w:type="dxa"/>
            </w:tcMar>
            <w:vAlign w:val="center"/>
          </w:tcPr>
          <w:p>
            <w:pP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90" w:type="dxa"/>
            <w:vMerge w:val="restart"/>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绩效指标（90分）</w:t>
            </w:r>
          </w:p>
        </w:tc>
        <w:tc>
          <w:tcPr>
            <w:tcW w:w="907"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一级指标</w:t>
            </w:r>
          </w:p>
        </w:tc>
        <w:tc>
          <w:tcPr>
            <w:tcW w:w="814"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二级指标</w:t>
            </w:r>
          </w:p>
        </w:tc>
        <w:tc>
          <w:tcPr>
            <w:tcW w:w="826"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三级指标</w:t>
            </w:r>
          </w:p>
        </w:tc>
        <w:tc>
          <w:tcPr>
            <w:tcW w:w="432"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指标性质</w:t>
            </w:r>
          </w:p>
        </w:tc>
        <w:tc>
          <w:tcPr>
            <w:tcW w:w="698"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指标值</w:t>
            </w:r>
          </w:p>
        </w:tc>
        <w:tc>
          <w:tcPr>
            <w:tcW w:w="432"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度量单位</w:t>
            </w:r>
          </w:p>
        </w:tc>
        <w:tc>
          <w:tcPr>
            <w:tcW w:w="850"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完成值</w:t>
            </w:r>
          </w:p>
        </w:tc>
        <w:tc>
          <w:tcPr>
            <w:tcW w:w="570"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权重</w:t>
            </w:r>
          </w:p>
        </w:tc>
        <w:tc>
          <w:tcPr>
            <w:tcW w:w="683"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部门自评得分</w:t>
            </w:r>
          </w:p>
        </w:tc>
        <w:tc>
          <w:tcPr>
            <w:tcW w:w="613"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财政部门科室复评得分</w:t>
            </w:r>
          </w:p>
        </w:tc>
        <w:tc>
          <w:tcPr>
            <w:tcW w:w="1356"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未完成原因分析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90" w:type="dxa"/>
            <w:vMerge w:val="continue"/>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07"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14"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质量指标</w:t>
            </w:r>
          </w:p>
        </w:tc>
        <w:tc>
          <w:tcPr>
            <w:tcW w:w="826"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举报案件查处率</w:t>
            </w:r>
          </w:p>
        </w:tc>
        <w:tc>
          <w:tcPr>
            <w:tcW w:w="432"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98"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99</w:t>
            </w:r>
          </w:p>
        </w:tc>
        <w:tc>
          <w:tcPr>
            <w:tcW w:w="432"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0" w:type="dxa"/>
            <w:shd w:val="clear" w:color="auto" w:fill="auto"/>
            <w:noWrap/>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570"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83"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13" w:type="dxa"/>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356" w:type="dxa"/>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90" w:type="dxa"/>
            <w:vMerge w:val="continue"/>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07"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满意度</w:t>
            </w:r>
          </w:p>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w:t>
            </w:r>
          </w:p>
        </w:tc>
        <w:tc>
          <w:tcPr>
            <w:tcW w:w="814"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1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服务对象满意度指标</w:t>
            </w:r>
          </w:p>
        </w:tc>
        <w:tc>
          <w:tcPr>
            <w:tcW w:w="826"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1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定点医疗机构满意度</w:t>
            </w:r>
          </w:p>
        </w:tc>
        <w:tc>
          <w:tcPr>
            <w:tcW w:w="432"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98"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90</w:t>
            </w:r>
          </w:p>
        </w:tc>
        <w:tc>
          <w:tcPr>
            <w:tcW w:w="432"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0" w:type="dxa"/>
            <w:shd w:val="clear" w:color="auto" w:fill="auto"/>
            <w:noWrap/>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90</w:t>
            </w:r>
          </w:p>
        </w:tc>
        <w:tc>
          <w:tcPr>
            <w:tcW w:w="570"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83"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13" w:type="dxa"/>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356" w:type="dxa"/>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90" w:type="dxa"/>
            <w:vMerge w:val="continue"/>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07"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14"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数量指标</w:t>
            </w:r>
          </w:p>
        </w:tc>
        <w:tc>
          <w:tcPr>
            <w:tcW w:w="826"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专项调查</w:t>
            </w:r>
          </w:p>
        </w:tc>
        <w:tc>
          <w:tcPr>
            <w:tcW w:w="432"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98"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w:t>
            </w:r>
          </w:p>
        </w:tc>
        <w:tc>
          <w:tcPr>
            <w:tcW w:w="432"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次</w:t>
            </w:r>
          </w:p>
        </w:tc>
        <w:tc>
          <w:tcPr>
            <w:tcW w:w="850" w:type="dxa"/>
            <w:shd w:val="clear" w:color="auto" w:fill="auto"/>
            <w:noWrap/>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3次</w:t>
            </w:r>
          </w:p>
        </w:tc>
        <w:tc>
          <w:tcPr>
            <w:tcW w:w="570"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83"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13" w:type="dxa"/>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356" w:type="dxa"/>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890" w:type="dxa"/>
            <w:vMerge w:val="continue"/>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07"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效益指标</w:t>
            </w:r>
          </w:p>
        </w:tc>
        <w:tc>
          <w:tcPr>
            <w:tcW w:w="814"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社会效益指标</w:t>
            </w:r>
          </w:p>
        </w:tc>
        <w:tc>
          <w:tcPr>
            <w:tcW w:w="826"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定点医疗机构医保管理意识</w:t>
            </w:r>
          </w:p>
        </w:tc>
        <w:tc>
          <w:tcPr>
            <w:tcW w:w="432"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定性</w:t>
            </w:r>
          </w:p>
        </w:tc>
        <w:tc>
          <w:tcPr>
            <w:tcW w:w="698"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优良中低差</w:t>
            </w:r>
          </w:p>
        </w:tc>
        <w:tc>
          <w:tcPr>
            <w:tcW w:w="432" w:type="dxa"/>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50" w:type="dxa"/>
            <w:shd w:val="clear" w:color="auto" w:fill="auto"/>
            <w:noWrap/>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优</w:t>
            </w:r>
          </w:p>
        </w:tc>
        <w:tc>
          <w:tcPr>
            <w:tcW w:w="570"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83"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13" w:type="dxa"/>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356" w:type="dxa"/>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890" w:type="dxa"/>
            <w:vMerge w:val="continue"/>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07"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14"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时效指标</w:t>
            </w:r>
          </w:p>
        </w:tc>
        <w:tc>
          <w:tcPr>
            <w:tcW w:w="826"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完成时间</w:t>
            </w:r>
          </w:p>
        </w:tc>
        <w:tc>
          <w:tcPr>
            <w:tcW w:w="432"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98"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12</w:t>
            </w:r>
          </w:p>
        </w:tc>
        <w:tc>
          <w:tcPr>
            <w:tcW w:w="432"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月</w:t>
            </w:r>
          </w:p>
        </w:tc>
        <w:tc>
          <w:tcPr>
            <w:tcW w:w="850" w:type="dxa"/>
            <w:shd w:val="clear" w:color="auto" w:fill="auto"/>
            <w:noWrap/>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12月</w:t>
            </w:r>
          </w:p>
        </w:tc>
        <w:tc>
          <w:tcPr>
            <w:tcW w:w="570"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83"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13" w:type="dxa"/>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356" w:type="dxa"/>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890" w:type="dxa"/>
            <w:vMerge w:val="continue"/>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07"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满意度指标</w:t>
            </w:r>
          </w:p>
        </w:tc>
        <w:tc>
          <w:tcPr>
            <w:tcW w:w="814"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服务对象</w:t>
            </w: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满意度指标</w:t>
            </w:r>
          </w:p>
        </w:tc>
        <w:tc>
          <w:tcPr>
            <w:tcW w:w="826"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参保群众满意度</w:t>
            </w:r>
          </w:p>
        </w:tc>
        <w:tc>
          <w:tcPr>
            <w:tcW w:w="432"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98"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90</w:t>
            </w:r>
          </w:p>
        </w:tc>
        <w:tc>
          <w:tcPr>
            <w:tcW w:w="432"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0" w:type="dxa"/>
            <w:shd w:val="clear" w:color="auto" w:fill="auto"/>
            <w:noWrap/>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95%</w:t>
            </w:r>
          </w:p>
        </w:tc>
        <w:tc>
          <w:tcPr>
            <w:tcW w:w="570"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83"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13" w:type="dxa"/>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356" w:type="dxa"/>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890" w:type="dxa"/>
            <w:vMerge w:val="continue"/>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07"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14"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数量指标</w:t>
            </w:r>
          </w:p>
        </w:tc>
        <w:tc>
          <w:tcPr>
            <w:tcW w:w="826"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定点医疗机构检查</w:t>
            </w:r>
          </w:p>
        </w:tc>
        <w:tc>
          <w:tcPr>
            <w:tcW w:w="432"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98"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w:t>
            </w:r>
          </w:p>
        </w:tc>
        <w:tc>
          <w:tcPr>
            <w:tcW w:w="432"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批次</w:t>
            </w:r>
          </w:p>
        </w:tc>
        <w:tc>
          <w:tcPr>
            <w:tcW w:w="850" w:type="dxa"/>
            <w:shd w:val="clear" w:color="auto" w:fill="auto"/>
            <w:noWrap/>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2批次</w:t>
            </w:r>
          </w:p>
        </w:tc>
        <w:tc>
          <w:tcPr>
            <w:tcW w:w="570"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83"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13" w:type="dxa"/>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356" w:type="dxa"/>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890" w:type="dxa"/>
            <w:vMerge w:val="continue"/>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07"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14"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成本指标</w:t>
            </w:r>
          </w:p>
        </w:tc>
        <w:tc>
          <w:tcPr>
            <w:tcW w:w="826"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检查单人差旅费用</w:t>
            </w:r>
          </w:p>
        </w:tc>
        <w:tc>
          <w:tcPr>
            <w:tcW w:w="432"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98"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500</w:t>
            </w:r>
          </w:p>
        </w:tc>
        <w:tc>
          <w:tcPr>
            <w:tcW w:w="432"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元/天</w:t>
            </w:r>
          </w:p>
        </w:tc>
        <w:tc>
          <w:tcPr>
            <w:tcW w:w="850"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500</w:t>
            </w:r>
          </w:p>
        </w:tc>
        <w:tc>
          <w:tcPr>
            <w:tcW w:w="570"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83"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13" w:type="dxa"/>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356" w:type="dxa"/>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890" w:type="dxa"/>
            <w:vMerge w:val="continue"/>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07"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14"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成本指标</w:t>
            </w:r>
          </w:p>
        </w:tc>
        <w:tc>
          <w:tcPr>
            <w:tcW w:w="826"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cs="宋体"/>
                <w:b w:val="0"/>
                <w:bCs w:val="0"/>
                <w:i w:val="0"/>
                <w:iCs w:val="0"/>
                <w:color w:val="000000" w:themeColor="text1"/>
                <w:kern w:val="0"/>
                <w:sz w:val="18"/>
                <w:szCs w:val="18"/>
                <w:u w:val="none"/>
                <w:lang w:val="en-US" w:eastAsia="zh-CN" w:bidi="ar"/>
                <w14:textFill>
                  <w14:solidFill>
                    <w14:schemeClr w14:val="tx1"/>
                  </w14:solidFill>
                </w14:textFill>
              </w:rPr>
              <w:t>聘请专家评审</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费用</w:t>
            </w:r>
          </w:p>
        </w:tc>
        <w:tc>
          <w:tcPr>
            <w:tcW w:w="432"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98"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default" w:ascii="宋体" w:hAnsi="宋体" w:cs="宋体"/>
                <w:b w:val="0"/>
                <w:bCs w:val="0"/>
                <w:i w:val="0"/>
                <w:iCs w:val="0"/>
                <w:color w:val="000000" w:themeColor="text1"/>
                <w:kern w:val="0"/>
                <w:sz w:val="18"/>
                <w:szCs w:val="18"/>
                <w:u w:val="none"/>
                <w:lang w:val="en-US" w:eastAsia="zh-CN" w:bidi="ar"/>
                <w14:textFill>
                  <w14:solidFill>
                    <w14:schemeClr w14:val="tx1"/>
                  </w14:solidFill>
                </w14:textFill>
              </w:rPr>
              <w:t>10</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00</w:t>
            </w:r>
          </w:p>
        </w:tc>
        <w:tc>
          <w:tcPr>
            <w:tcW w:w="432"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人/天</w:t>
            </w:r>
          </w:p>
        </w:tc>
        <w:tc>
          <w:tcPr>
            <w:tcW w:w="850" w:type="dxa"/>
            <w:shd w:val="clear" w:color="auto" w:fill="auto"/>
            <w:noWrap/>
            <w:tcMar>
              <w:top w:w="0" w:type="dxa"/>
              <w:left w:w="6" w:type="dxa"/>
              <w:bottom w:w="0" w:type="dxa"/>
              <w:right w:w="6" w:type="dxa"/>
            </w:tcMar>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themeColor="text1"/>
                <w:sz w:val="18"/>
                <w:szCs w:val="18"/>
                <w:u w:val="none"/>
                <w:lang w:val="en-US"/>
                <w14:textFill>
                  <w14:solidFill>
                    <w14:schemeClr w14:val="tx1"/>
                  </w14:solidFill>
                </w14:textFill>
              </w:rPr>
            </w:pPr>
            <w:r>
              <w:rPr>
                <w:rFonts w:hint="default" w:ascii="宋体" w:hAnsi="宋体" w:cs="宋体"/>
                <w:b w:val="0"/>
                <w:bCs w:val="0"/>
                <w:i w:val="0"/>
                <w:iCs w:val="0"/>
                <w:color w:val="000000" w:themeColor="text1"/>
                <w:kern w:val="0"/>
                <w:sz w:val="18"/>
                <w:szCs w:val="18"/>
                <w:u w:val="none"/>
                <w:lang w:val="en-US" w:eastAsia="zh-CN" w:bidi="ar"/>
                <w14:textFill>
                  <w14:solidFill>
                    <w14:schemeClr w14:val="tx1"/>
                  </w14:solidFill>
                </w14:textFill>
              </w:rPr>
              <w:t>1000</w:t>
            </w:r>
          </w:p>
        </w:tc>
        <w:tc>
          <w:tcPr>
            <w:tcW w:w="570"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83"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themeColor="text1"/>
                <w:sz w:val="18"/>
                <w:szCs w:val="18"/>
                <w:u w:val="none"/>
                <w:lang w:val="en-US"/>
                <w14:textFill>
                  <w14:solidFill>
                    <w14:schemeClr w14:val="tx1"/>
                  </w14:solidFill>
                </w14:textFill>
              </w:rPr>
            </w:pPr>
            <w:r>
              <w:rPr>
                <w:rFonts w:hint="default" w:ascii="宋体" w:hAnsi="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13" w:type="dxa"/>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356"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890" w:type="dxa"/>
            <w:vMerge w:val="continue"/>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07" w:type="dxa"/>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14" w:type="dxa"/>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26" w:type="dxa"/>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432" w:type="dxa"/>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698" w:type="dxa"/>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432" w:type="dxa"/>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50" w:type="dxa"/>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570" w:type="dxa"/>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683" w:type="dxa"/>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613" w:type="dxa"/>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356" w:type="dxa"/>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5849" w:type="dxa"/>
            <w:gridSpan w:val="8"/>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合计</w:t>
            </w:r>
          </w:p>
        </w:tc>
        <w:tc>
          <w:tcPr>
            <w:tcW w:w="570" w:type="dxa"/>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683"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default" w:ascii="宋体" w:hAnsi="宋体" w:cs="宋体"/>
                <w:b w:val="0"/>
                <w:bCs w:val="0"/>
                <w:i w:val="0"/>
                <w:iCs w:val="0"/>
                <w:color w:val="000000" w:themeColor="text1"/>
                <w:kern w:val="0"/>
                <w:sz w:val="18"/>
                <w:szCs w:val="18"/>
                <w:u w:val="none"/>
                <w:lang w:val="en-US" w:eastAsia="zh-CN" w:bidi="ar"/>
                <w14:textFill>
                  <w14:solidFill>
                    <w14:schemeClr w14:val="tx1"/>
                  </w14:solidFill>
                </w14:textFill>
              </w:rPr>
              <w:t>9</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3.7</w:t>
            </w:r>
          </w:p>
        </w:tc>
        <w:tc>
          <w:tcPr>
            <w:tcW w:w="613" w:type="dxa"/>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356" w:type="dxa"/>
            <w:shd w:val="clear" w:color="auto" w:fill="auto"/>
            <w:tcMar>
              <w:top w:w="0" w:type="dxa"/>
              <w:left w:w="6" w:type="dxa"/>
              <w:bottom w:w="0" w:type="dxa"/>
              <w:right w:w="6" w:type="dxa"/>
            </w:tcMar>
            <w:vAlign w:val="center"/>
          </w:tcPr>
          <w:p>
            <w:pPr>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79" w:hRule="atLeast"/>
        </w:trPr>
        <w:tc>
          <w:tcPr>
            <w:tcW w:w="890"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w:t>
            </w:r>
          </w:p>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结论</w:t>
            </w:r>
          </w:p>
        </w:tc>
        <w:tc>
          <w:tcPr>
            <w:tcW w:w="8181" w:type="dxa"/>
            <w:gridSpan w:val="11"/>
            <w:shd w:val="clear" w:color="auto" w:fill="auto"/>
            <w:tcMar>
              <w:top w:w="0" w:type="dxa"/>
              <w:left w:w="6" w:type="dxa"/>
              <w:bottom w:w="0" w:type="dxa"/>
              <w:right w:w="6"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自评的</w:t>
            </w:r>
            <w:r>
              <w:rPr>
                <w:rFonts w:hint="default" w:ascii="宋体" w:hAnsi="宋体" w:cs="宋体"/>
                <w:b w:val="0"/>
                <w:bCs w:val="0"/>
                <w:i w:val="0"/>
                <w:iCs w:val="0"/>
                <w:color w:val="000000" w:themeColor="text1"/>
                <w:kern w:val="0"/>
                <w:sz w:val="18"/>
                <w:szCs w:val="18"/>
                <w:u w:val="none"/>
                <w:lang w:val="en-US" w:eastAsia="zh-CN" w:bidi="ar"/>
                <w14:textFill>
                  <w14:solidFill>
                    <w14:schemeClr w14:val="tx1"/>
                  </w14:solidFill>
                </w14:textFill>
              </w:rPr>
              <w:t>9</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3.7分，打击欺诈骗保业务经费项目有效强化了医保基金监管，纯洁了医疗保障社会生态，切实减轻人民群众医疗费用负担，确保医保基金安全、持续、健康运行。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890"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部门（单位）自评存在问题</w:t>
            </w:r>
          </w:p>
        </w:tc>
        <w:tc>
          <w:tcPr>
            <w:tcW w:w="8181" w:type="dxa"/>
            <w:gridSpan w:val="11"/>
            <w:shd w:val="clear" w:color="auto" w:fill="auto"/>
            <w:tcMar>
              <w:top w:w="0" w:type="dxa"/>
              <w:left w:w="6" w:type="dxa"/>
              <w:bottom w:w="0" w:type="dxa"/>
              <w:right w:w="6"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预算执行率低。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890" w:type="dxa"/>
            <w:shd w:val="clear" w:color="auto" w:fill="auto"/>
            <w:tcMar>
              <w:top w:w="0" w:type="dxa"/>
              <w:left w:w="6" w:type="dxa"/>
              <w:bottom w:w="0" w:type="dxa"/>
              <w:right w:w="6"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部门（单位）自评改进措施</w:t>
            </w:r>
          </w:p>
        </w:tc>
        <w:tc>
          <w:tcPr>
            <w:tcW w:w="8181" w:type="dxa"/>
            <w:gridSpan w:val="11"/>
            <w:shd w:val="clear" w:color="auto" w:fill="auto"/>
            <w:tcMar>
              <w:top w:w="0" w:type="dxa"/>
              <w:left w:w="6" w:type="dxa"/>
              <w:bottom w:w="0" w:type="dxa"/>
              <w:right w:w="6"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做好绩效监控，提高预算执行率。</w:t>
            </w:r>
          </w:p>
        </w:tc>
      </w:tr>
    </w:tbl>
    <w:p>
      <w:pPr>
        <w:pStyle w:val="15"/>
        <w:rPr>
          <w:rFonts w:hint="eastAsia"/>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预算项目支出绩效目标自评表</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（2022年度）</w:t>
      </w:r>
    </w:p>
    <w:p>
      <w:pPr>
        <w:pStyle w:val="15"/>
        <w:rPr>
          <w:rFonts w:hint="eastAsia"/>
          <w:color w:val="000000" w:themeColor="text1"/>
          <w14:textFill>
            <w14:solidFill>
              <w14:schemeClr w14:val="tx1"/>
            </w14:solidFill>
          </w14:textFill>
        </w:rPr>
      </w:pPr>
    </w:p>
    <w:tbl>
      <w:tblPr>
        <w:tblStyle w:val="19"/>
        <w:tblW w:w="907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0"/>
        <w:gridCol w:w="775"/>
        <w:gridCol w:w="700"/>
        <w:gridCol w:w="710"/>
        <w:gridCol w:w="564"/>
        <w:gridCol w:w="865"/>
        <w:gridCol w:w="686"/>
        <w:gridCol w:w="1046"/>
        <w:gridCol w:w="483"/>
        <w:gridCol w:w="524"/>
        <w:gridCol w:w="502"/>
        <w:gridCol w:w="1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项目名称</w:t>
            </w:r>
          </w:p>
        </w:tc>
        <w:tc>
          <w:tcPr>
            <w:tcW w:w="7536" w:type="dxa"/>
            <w:gridSpan w:val="10"/>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基金财务软件维护费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主管部门（盖章）</w:t>
            </w:r>
          </w:p>
        </w:tc>
        <w:tc>
          <w:tcPr>
            <w:tcW w:w="3525"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广元市医疗保障局</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实施单位 （盖章）</w:t>
            </w:r>
          </w:p>
        </w:tc>
        <w:tc>
          <w:tcPr>
            <w:tcW w:w="2965"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广元市医疗保障局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项目基本情况</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1.项目年度目标完成情况</w:t>
            </w:r>
          </w:p>
        </w:tc>
        <w:tc>
          <w:tcPr>
            <w:tcW w:w="3525"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项目年度目标</w:t>
            </w:r>
          </w:p>
        </w:tc>
        <w:tc>
          <w:tcPr>
            <w:tcW w:w="4011"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3525"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准确、及时核算各险种基金收支情况，及时上报各类基金财务和统计报表。</w:t>
            </w:r>
          </w:p>
        </w:tc>
        <w:tc>
          <w:tcPr>
            <w:tcW w:w="4011"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准确、及时核算各险种基金收支情况，及时上报各类基金财务和统计报表。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536" w:type="dxa"/>
            <w:gridSpan w:val="10"/>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全年核算基金收支总额超30亿元，核算基金险种7个，基金核算准确率95%，使用人群满意度95%，能及时准确核算各类数据，反应全市各类基金运行状况，为全市医保政策调整提供数据支持，上报财务报表超250份（套），统计报表230份（套），使用时间为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预算执行情况（10分）</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年度预算数</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（万元）</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年初预算</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调整后预算数</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预算执行数</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预算执行率</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权重%</w:t>
            </w: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部门自评得分</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财政部门科室复评得分</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总额</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4.00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4.00</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4.00</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100.00%</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456"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其中：财政资金</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4.00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4.00</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4.00</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100.00%</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绩效指标（90分）</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一级</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二级</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三级</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w:t>
            </w:r>
          </w:p>
        </w:tc>
        <w:tc>
          <w:tcPr>
            <w:tcW w:w="56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指标性质</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指标值</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度量单位</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完成值</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权重</w:t>
            </w: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部门自评得分</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财政部门科室复评得分</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满意度指标</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服务对象满意度指标</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使用人满意度</w:t>
            </w:r>
          </w:p>
        </w:tc>
        <w:tc>
          <w:tcPr>
            <w:tcW w:w="56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95%</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数量</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核算</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险种</w:t>
            </w:r>
          </w:p>
        </w:tc>
        <w:tc>
          <w:tcPr>
            <w:tcW w:w="56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7</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个（套）</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7</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15</w:t>
            </w: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15</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成本</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合同</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价格</w:t>
            </w:r>
          </w:p>
        </w:tc>
        <w:tc>
          <w:tcPr>
            <w:tcW w:w="56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40000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元/年</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40000</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效益</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社会效益指标</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及时准确核算基金收支，反应全市各类基金运行，为全市医保政策调整提供数据支持</w:t>
            </w:r>
          </w:p>
        </w:tc>
        <w:tc>
          <w:tcPr>
            <w:tcW w:w="56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定性</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优良中低差</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优</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数量</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核算金额</w:t>
            </w:r>
          </w:p>
        </w:tc>
        <w:tc>
          <w:tcPr>
            <w:tcW w:w="56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w w:val="80"/>
                <w:kern w:val="0"/>
                <w:sz w:val="18"/>
                <w:szCs w:val="18"/>
                <w:u w:val="none"/>
                <w:lang w:val="en-US" w:eastAsia="zh-CN" w:bidi="ar"/>
                <w14:textFill>
                  <w14:solidFill>
                    <w14:schemeClr w14:val="tx1"/>
                  </w14:solidFill>
                </w14:textFill>
              </w:rPr>
              <w:t>3000000000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元/年</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3000000000</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15</w:t>
            </w: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15</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时效</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报表按时上报率</w:t>
            </w:r>
          </w:p>
        </w:tc>
        <w:tc>
          <w:tcPr>
            <w:tcW w:w="56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95</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95</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质量</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基金财务核算准确率</w:t>
            </w:r>
          </w:p>
        </w:tc>
        <w:tc>
          <w:tcPr>
            <w:tcW w:w="56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95</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95</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106" w:type="dxa"/>
            <w:gridSpan w:val="8"/>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合计</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部门（单位）自评结论</w:t>
            </w:r>
          </w:p>
        </w:tc>
        <w:tc>
          <w:tcPr>
            <w:tcW w:w="8311"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该项目自评得分为100分。基金财务软件维护项目决策严密、合理、制度完备。项目的实施，资金分配合理、使用合规、执行有效，保证了全市准确、及时核算各险种基金收支情况，及时上报各类基金财务和统计报表，完成了绩效目标，财务工作受到全省医保系统表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（单位）自评存在问题</w:t>
            </w:r>
          </w:p>
        </w:tc>
        <w:tc>
          <w:tcPr>
            <w:tcW w:w="8311"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（单位）自评改进措施</w:t>
            </w:r>
          </w:p>
        </w:tc>
        <w:tc>
          <w:tcPr>
            <w:tcW w:w="8311"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加强预算管理。</w:t>
            </w:r>
          </w:p>
        </w:tc>
      </w:tr>
    </w:tbl>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预算项目支出绩效目标自评表</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（2022年度）</w:t>
      </w:r>
    </w:p>
    <w:p>
      <w:pPr>
        <w:pStyle w:val="15"/>
        <w:rPr>
          <w:color w:val="000000" w:themeColor="text1"/>
          <w14:textFill>
            <w14:solidFill>
              <w14:schemeClr w14:val="tx1"/>
            </w14:solidFill>
          </w14:textFill>
        </w:rPr>
      </w:pPr>
    </w:p>
    <w:tbl>
      <w:tblPr>
        <w:tblStyle w:val="19"/>
        <w:tblW w:w="907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6"/>
        <w:gridCol w:w="920"/>
        <w:gridCol w:w="845"/>
        <w:gridCol w:w="863"/>
        <w:gridCol w:w="395"/>
        <w:gridCol w:w="576"/>
        <w:gridCol w:w="403"/>
        <w:gridCol w:w="769"/>
        <w:gridCol w:w="483"/>
        <w:gridCol w:w="608"/>
        <w:gridCol w:w="581"/>
        <w:gridCol w:w="17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1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项目名称</w:t>
            </w:r>
          </w:p>
        </w:tc>
        <w:tc>
          <w:tcPr>
            <w:tcW w:w="7255" w:type="dxa"/>
            <w:gridSpan w:val="10"/>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医疗服务价格调整专家论证经费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1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主管部门（盖章）</w:t>
            </w:r>
          </w:p>
        </w:tc>
        <w:tc>
          <w:tcPr>
            <w:tcW w:w="3082"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广元市医疗保障局</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实施单位 （盖章）</w:t>
            </w:r>
          </w:p>
        </w:tc>
        <w:tc>
          <w:tcPr>
            <w:tcW w:w="3404"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广元市医疗保障局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项目基本情况</w:t>
            </w:r>
          </w:p>
        </w:tc>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1.项目年度目标完成情况</w:t>
            </w:r>
          </w:p>
        </w:tc>
        <w:tc>
          <w:tcPr>
            <w:tcW w:w="3082"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项目年度目标</w:t>
            </w:r>
          </w:p>
        </w:tc>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3082"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6"/>
                <w:kern w:val="0"/>
                <w:sz w:val="18"/>
                <w:szCs w:val="18"/>
                <w:u w:val="none"/>
                <w:lang w:val="en-US" w:eastAsia="zh-CN" w:bidi="ar"/>
                <w14:textFill>
                  <w14:solidFill>
                    <w14:schemeClr w14:val="tx1"/>
                  </w14:solidFill>
                </w14:textFill>
              </w:rPr>
              <w:t>发挥医疗机构专业优势，建立医疗服务价格动态调整机制，稳妥有序探索医疗服务价格优化，逐步理顺比价关系，邀请有关方面专家对医疗服务定价进行论证。</w:t>
            </w:r>
          </w:p>
        </w:tc>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邀请36名医疗服务价格方面专家，对需调整的90项医疗服务项目价格进行论证。比选1家社会稳定风险评估公司，对价格调整作风险评估并出具相关报告1份。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255" w:type="dxa"/>
            <w:gridSpan w:val="10"/>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医院申报需要调整的医疗服务项目，经过甄选出90项医疗服务项目，邀请医疗服务价格方面的专家进行评审论证，必选1家社会稳定风险评估公司，对价格调整作风险评估并出具相关报告1份。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预算执行情况</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（10分）</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年度预算数（万元）</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年初预算</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调整后预算数</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预算执行数</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执行率</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权重%</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部门自评得分</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财政部门科室复评得分</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总额</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10.00</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8.17</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82.00%</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8.2</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该项目前期预算费用为10万元，实际进行过程中，专家未全部到场、比选人报价低于预算，最终项目经费为8.17万元。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其中：财政资金</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10.00</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8.17</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82.00%</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8.2</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绩效指标（90分）</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一级指标</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二级指标</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三级指标</w:t>
            </w: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指标性质</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指标值</w:t>
            </w:r>
          </w:p>
        </w:tc>
        <w:tc>
          <w:tcPr>
            <w:tcW w:w="40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度量单位</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完成值</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权重</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部门自评得分</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财政部门科室复评得分</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时效指标</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完成时间</w:t>
            </w: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12</w:t>
            </w:r>
          </w:p>
        </w:tc>
        <w:tc>
          <w:tcPr>
            <w:tcW w:w="403"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12</w:t>
            </w:r>
          </w:p>
        </w:tc>
        <w:tc>
          <w:tcPr>
            <w:tcW w:w="483"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08"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效益指标</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社会效益指标</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医疗服务价格</w:t>
            </w: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定性</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优良中低差</w:t>
            </w:r>
          </w:p>
        </w:tc>
        <w:tc>
          <w:tcPr>
            <w:tcW w:w="403"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优</w:t>
            </w:r>
          </w:p>
        </w:tc>
        <w:tc>
          <w:tcPr>
            <w:tcW w:w="483"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08"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pacing w:val="-1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满意度指标</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pacing w:val="-1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服务对象满意度指标</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参保群众满意度</w:t>
            </w: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90</w:t>
            </w:r>
          </w:p>
        </w:tc>
        <w:tc>
          <w:tcPr>
            <w:tcW w:w="403"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483"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608"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数量指标</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聘请风险评估机构</w:t>
            </w: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w:t>
            </w:r>
          </w:p>
        </w:tc>
        <w:tc>
          <w:tcPr>
            <w:tcW w:w="403"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w:t>
            </w:r>
          </w:p>
        </w:tc>
        <w:tc>
          <w:tcPr>
            <w:tcW w:w="483"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08"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成本指标</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专家劳务费</w:t>
            </w: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1000</w:t>
            </w:r>
          </w:p>
        </w:tc>
        <w:tc>
          <w:tcPr>
            <w:tcW w:w="403"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元/天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w:t>
            </w:r>
          </w:p>
        </w:tc>
        <w:tc>
          <w:tcPr>
            <w:tcW w:w="483"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08"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质量指标</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价格调整社会风险</w:t>
            </w: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定性</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高中低</w:t>
            </w:r>
          </w:p>
        </w:tc>
        <w:tc>
          <w:tcPr>
            <w:tcW w:w="403"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低</w:t>
            </w:r>
          </w:p>
        </w:tc>
        <w:tc>
          <w:tcPr>
            <w:tcW w:w="483"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08"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数量指标</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聘请专家</w:t>
            </w: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403"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36</w:t>
            </w:r>
          </w:p>
        </w:tc>
        <w:tc>
          <w:tcPr>
            <w:tcW w:w="483"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08"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效益指标</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社会效益指标</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医疗服务水平</w:t>
            </w:r>
          </w:p>
        </w:tc>
        <w:tc>
          <w:tcPr>
            <w:tcW w:w="39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定性</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优良中低差</w:t>
            </w:r>
          </w:p>
        </w:tc>
        <w:tc>
          <w:tcPr>
            <w:tcW w:w="403"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优</w:t>
            </w:r>
          </w:p>
        </w:tc>
        <w:tc>
          <w:tcPr>
            <w:tcW w:w="483"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08"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667" w:type="dxa"/>
            <w:gridSpan w:val="8"/>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合计</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98.2</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结论</w:t>
            </w:r>
          </w:p>
        </w:tc>
        <w:tc>
          <w:tcPr>
            <w:tcW w:w="8175"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邀请36名医疗服务价格方面专家，对需进行价格调整的90项医疗服务收费项目进行论证。比选1家社会稳定风险评估公司，对价格调整作风险评估并出具相关报告1份。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部门（单位）自评存在问题</w:t>
            </w:r>
          </w:p>
        </w:tc>
        <w:tc>
          <w:tcPr>
            <w:tcW w:w="8175"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该项目前期预算费用为10万元，实际进行过程中，专家未全部到场、比选人报价低于预算，最终项目经费为8.17万元。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部门（单位）自评改进措施</w:t>
            </w:r>
          </w:p>
        </w:tc>
        <w:tc>
          <w:tcPr>
            <w:tcW w:w="8175"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因是实际比选过程中，比选人报价低于预算,造成预算执行率8</w:t>
            </w:r>
            <w:r>
              <w:rPr>
                <w:rFonts w:hint="default" w:ascii="宋体" w:hAnsi="宋体" w:cs="宋体"/>
                <w:b w:val="0"/>
                <w:bCs w:val="0"/>
                <w:i w:val="0"/>
                <w:iCs w:val="0"/>
                <w:color w:val="000000" w:themeColor="text1"/>
                <w:kern w:val="0"/>
                <w:sz w:val="18"/>
                <w:szCs w:val="18"/>
                <w:u w:val="none"/>
                <w:lang w:val="en-US" w:eastAsia="zh-CN" w:bidi="ar"/>
                <w14:textFill>
                  <w14:solidFill>
                    <w14:schemeClr w14:val="tx1"/>
                  </w14:solidFill>
                </w14:textFill>
              </w:rPr>
              <w:t>2</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%,结合近几年的项目实际,合理计划预算金额,缩小实际与预算的差距。.</w:t>
            </w:r>
          </w:p>
        </w:tc>
      </w:tr>
    </w:tbl>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预算项目支出绩效目标自评表</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（2022年度）</w:t>
      </w:r>
    </w:p>
    <w:p>
      <w:pPr>
        <w:pStyle w:val="15"/>
        <w:rPr>
          <w:rFonts w:hint="eastAsia"/>
          <w:color w:val="000000" w:themeColor="text1"/>
          <w14:textFill>
            <w14:solidFill>
              <w14:schemeClr w14:val="tx1"/>
            </w14:solidFill>
          </w14:textFill>
        </w:rPr>
      </w:pPr>
    </w:p>
    <w:tbl>
      <w:tblPr>
        <w:tblStyle w:val="19"/>
        <w:tblW w:w="907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5"/>
        <w:gridCol w:w="897"/>
        <w:gridCol w:w="886"/>
        <w:gridCol w:w="903"/>
        <w:gridCol w:w="384"/>
        <w:gridCol w:w="750"/>
        <w:gridCol w:w="385"/>
        <w:gridCol w:w="845"/>
        <w:gridCol w:w="475"/>
        <w:gridCol w:w="543"/>
        <w:gridCol w:w="566"/>
        <w:gridCol w:w="15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项目名称</w:t>
            </w:r>
          </w:p>
        </w:tc>
        <w:tc>
          <w:tcPr>
            <w:tcW w:w="7299" w:type="dxa"/>
            <w:gridSpan w:val="10"/>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医疗保险监管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主管部门（盖章）</w:t>
            </w:r>
          </w:p>
        </w:tc>
        <w:tc>
          <w:tcPr>
            <w:tcW w:w="3308"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广元市医疗保障局</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实施单位 （盖章）</w:t>
            </w:r>
          </w:p>
        </w:tc>
        <w:tc>
          <w:tcPr>
            <w:tcW w:w="3146"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广元市医疗保障局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项目基本情况</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1.项目年度目标完成情况</w:t>
            </w:r>
          </w:p>
        </w:tc>
        <w:tc>
          <w:tcPr>
            <w:tcW w:w="3308"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项目年度目标</w:t>
            </w:r>
          </w:p>
        </w:tc>
        <w:tc>
          <w:tcPr>
            <w:tcW w:w="3991"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3308"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通过开展医保监管宣传工作，加强医保监管队伍建设，提升医保监管水平和能力；加大宣传力度，增强社会意识，有力地打击欺诈骗取医保基金行为。</w:t>
            </w:r>
          </w:p>
        </w:tc>
        <w:tc>
          <w:tcPr>
            <w:tcW w:w="3991"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开展监管宣传工作、加强监管队伍建设，开展监管工作人员大于50人，监管人员劳务支出为155万元，召开全市医保基金检查暨财务培训、全市医保基金监管工作培训等会议4次，用于监管的其他商品和服务支出小于等于90万元，开展专项检查4次，印发宣传资料大于1万份，参保群众满意度达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299" w:type="dxa"/>
            <w:gridSpan w:val="10"/>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1.保障监管人员工作经费支出。2</w:t>
            </w:r>
            <w:r>
              <w:rPr>
                <w:rFonts w:hint="default" w:ascii="宋体" w:hAnsi="宋体" w:cs="宋体"/>
                <w:b w:val="0"/>
                <w:bCs w:val="0"/>
                <w:i w:val="0"/>
                <w:iCs w:val="0"/>
                <w:color w:val="000000" w:themeColor="text1"/>
                <w:kern w:val="0"/>
                <w:sz w:val="18"/>
                <w:szCs w:val="18"/>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召开全市医保基金检查暨财务培训、全市医保基金监管工作培训等会议。3</w:t>
            </w:r>
            <w:r>
              <w:rPr>
                <w:rFonts w:hint="default" w:ascii="宋体" w:hAnsi="宋体" w:cs="宋体"/>
                <w:b w:val="0"/>
                <w:bCs w:val="0"/>
                <w:i w:val="0"/>
                <w:iCs w:val="0"/>
                <w:color w:val="000000" w:themeColor="text1"/>
                <w:kern w:val="0"/>
                <w:sz w:val="18"/>
                <w:szCs w:val="18"/>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开展专项检</w:t>
            </w:r>
            <w:r>
              <w:rPr>
                <w:rFonts w:hint="eastAsia" w:ascii="宋体" w:hAnsi="宋体" w:cs="宋体"/>
                <w:b w:val="0"/>
                <w:bCs w:val="0"/>
                <w:i w:val="0"/>
                <w:iCs w:val="0"/>
                <w:color w:val="000000" w:themeColor="text1"/>
                <w:kern w:val="0"/>
                <w:sz w:val="18"/>
                <w:szCs w:val="18"/>
                <w:u w:val="none"/>
                <w:lang w:val="en-US" w:eastAsia="zh-CN" w:bidi="ar"/>
                <w14:textFill>
                  <w14:solidFill>
                    <w14:schemeClr w14:val="tx1"/>
                  </w14:solidFill>
                </w14:textFill>
              </w:rPr>
              <w:t>查。</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4.开展监管宣传。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预算执行情况</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（10分）</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年度预算数（万元）</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年初预算</w:t>
            </w:r>
          </w:p>
        </w:tc>
        <w:tc>
          <w:tcPr>
            <w:tcW w:w="90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调整后</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预算数</w:t>
            </w:r>
          </w:p>
        </w:tc>
        <w:tc>
          <w:tcPr>
            <w:tcW w:w="1519"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预算执行数</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执行率</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权重%</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部门自评得分</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财政部门科室复评得分</w:t>
            </w:r>
          </w:p>
        </w:tc>
        <w:tc>
          <w:tcPr>
            <w:tcW w:w="15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总额</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270.00</w:t>
            </w:r>
          </w:p>
        </w:tc>
        <w:tc>
          <w:tcPr>
            <w:tcW w:w="90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270.00</w:t>
            </w:r>
          </w:p>
        </w:tc>
        <w:tc>
          <w:tcPr>
            <w:tcW w:w="1519"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245.09</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91.00%</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其中：财政资金</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270.00</w:t>
            </w:r>
          </w:p>
        </w:tc>
        <w:tc>
          <w:tcPr>
            <w:tcW w:w="90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270.00</w:t>
            </w:r>
          </w:p>
        </w:tc>
        <w:tc>
          <w:tcPr>
            <w:tcW w:w="1519"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245.09</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91.00%</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绩效指标（90分）</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一级指标</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二级指标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三级指标</w:t>
            </w:r>
          </w:p>
        </w:tc>
        <w:tc>
          <w:tcPr>
            <w:tcW w:w="38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指标性质</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指标值</w:t>
            </w:r>
          </w:p>
        </w:tc>
        <w:tc>
          <w:tcPr>
            <w:tcW w:w="38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度量单位</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完成值</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权重</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部门自评得分</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财政部门科室复评得分</w:t>
            </w:r>
          </w:p>
        </w:tc>
        <w:tc>
          <w:tcPr>
            <w:tcW w:w="15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质量指标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举报案件查处率</w:t>
            </w:r>
          </w:p>
        </w:tc>
        <w:tc>
          <w:tcPr>
            <w:tcW w:w="38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385"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475"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43"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成本指标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工资福利性支出</w:t>
            </w:r>
          </w:p>
        </w:tc>
        <w:tc>
          <w:tcPr>
            <w:tcW w:w="38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1550000</w:t>
            </w:r>
          </w:p>
        </w:tc>
        <w:tc>
          <w:tcPr>
            <w:tcW w:w="385"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155万元</w:t>
            </w:r>
          </w:p>
        </w:tc>
        <w:tc>
          <w:tcPr>
            <w:tcW w:w="475"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543"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效益指标</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社会效益指标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定点医疗机构医保管理水平</w:t>
            </w:r>
          </w:p>
        </w:tc>
        <w:tc>
          <w:tcPr>
            <w:tcW w:w="38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定性</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优良中低差</w:t>
            </w:r>
          </w:p>
        </w:tc>
        <w:tc>
          <w:tcPr>
            <w:tcW w:w="385"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优</w:t>
            </w:r>
          </w:p>
        </w:tc>
        <w:tc>
          <w:tcPr>
            <w:tcW w:w="475"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543"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数量指标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监管人员</w:t>
            </w:r>
          </w:p>
        </w:tc>
        <w:tc>
          <w:tcPr>
            <w:tcW w:w="38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30</w:t>
            </w:r>
          </w:p>
        </w:tc>
        <w:tc>
          <w:tcPr>
            <w:tcW w:w="385"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50人</w:t>
            </w:r>
          </w:p>
        </w:tc>
        <w:tc>
          <w:tcPr>
            <w:tcW w:w="475"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543"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数量指标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印发宣传资料</w:t>
            </w:r>
          </w:p>
        </w:tc>
        <w:tc>
          <w:tcPr>
            <w:tcW w:w="38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w:t>
            </w:r>
          </w:p>
        </w:tc>
        <w:tc>
          <w:tcPr>
            <w:tcW w:w="385"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万份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≥1万份</w:t>
            </w:r>
          </w:p>
        </w:tc>
        <w:tc>
          <w:tcPr>
            <w:tcW w:w="475"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543"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质量指标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定点医疗机构日常稽核覆盖率</w:t>
            </w:r>
          </w:p>
        </w:tc>
        <w:tc>
          <w:tcPr>
            <w:tcW w:w="38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385"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475"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43"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时效指标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完成时间</w:t>
            </w:r>
          </w:p>
        </w:tc>
        <w:tc>
          <w:tcPr>
            <w:tcW w:w="38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12</w:t>
            </w:r>
          </w:p>
        </w:tc>
        <w:tc>
          <w:tcPr>
            <w:tcW w:w="385"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12月</w:t>
            </w:r>
          </w:p>
        </w:tc>
        <w:tc>
          <w:tcPr>
            <w:tcW w:w="475"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43"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成本指标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商品和服务性支出</w:t>
            </w:r>
          </w:p>
        </w:tc>
        <w:tc>
          <w:tcPr>
            <w:tcW w:w="38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1150000</w:t>
            </w:r>
          </w:p>
        </w:tc>
        <w:tc>
          <w:tcPr>
            <w:tcW w:w="385"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90万元</w:t>
            </w:r>
          </w:p>
        </w:tc>
        <w:tc>
          <w:tcPr>
            <w:tcW w:w="475"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543"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pacing w:val="-1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满意度指标</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pacing w:val="-1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服务对象满意度指标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pacing w:val="-1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定点医疗机构满意度</w:t>
            </w:r>
          </w:p>
        </w:tc>
        <w:tc>
          <w:tcPr>
            <w:tcW w:w="38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90</w:t>
            </w:r>
          </w:p>
        </w:tc>
        <w:tc>
          <w:tcPr>
            <w:tcW w:w="385"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475"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543"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数量指标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召开全市医保工作会议</w:t>
            </w:r>
          </w:p>
        </w:tc>
        <w:tc>
          <w:tcPr>
            <w:tcW w:w="38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4</w:t>
            </w:r>
          </w:p>
        </w:tc>
        <w:tc>
          <w:tcPr>
            <w:tcW w:w="385"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4次</w:t>
            </w:r>
          </w:p>
        </w:tc>
        <w:tc>
          <w:tcPr>
            <w:tcW w:w="475"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543"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数量指标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评审病案数</w:t>
            </w:r>
          </w:p>
        </w:tc>
        <w:tc>
          <w:tcPr>
            <w:tcW w:w="38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400</w:t>
            </w:r>
          </w:p>
        </w:tc>
        <w:tc>
          <w:tcPr>
            <w:tcW w:w="385"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≥400份</w:t>
            </w:r>
          </w:p>
        </w:tc>
        <w:tc>
          <w:tcPr>
            <w:tcW w:w="475"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543"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满意度指标</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服务对象满意度指标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参保群众满意度</w:t>
            </w:r>
          </w:p>
        </w:tc>
        <w:tc>
          <w:tcPr>
            <w:tcW w:w="38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90</w:t>
            </w:r>
          </w:p>
        </w:tc>
        <w:tc>
          <w:tcPr>
            <w:tcW w:w="385"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95%</w:t>
            </w:r>
          </w:p>
        </w:tc>
        <w:tc>
          <w:tcPr>
            <w:tcW w:w="475"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543"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效益指标</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社会效益指标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专项检查查处违规率</w:t>
            </w:r>
          </w:p>
        </w:tc>
        <w:tc>
          <w:tcPr>
            <w:tcW w:w="38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50</w:t>
            </w:r>
          </w:p>
        </w:tc>
        <w:tc>
          <w:tcPr>
            <w:tcW w:w="385"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475"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43"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数量指标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专项检查</w:t>
            </w:r>
          </w:p>
        </w:tc>
        <w:tc>
          <w:tcPr>
            <w:tcW w:w="38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w:t>
            </w:r>
          </w:p>
        </w:tc>
        <w:tc>
          <w:tcPr>
            <w:tcW w:w="385"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次/年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4次/年</w:t>
            </w:r>
          </w:p>
        </w:tc>
        <w:tc>
          <w:tcPr>
            <w:tcW w:w="475"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543" w:type="dxa"/>
            <w:tcBorders>
              <w:top w:val="single" w:color="000000" w:sz="4" w:space="0"/>
              <w:left w:val="nil"/>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25" w:type="dxa"/>
            <w:gridSpan w:val="8"/>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合计</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（单位）自评结论</w:t>
            </w:r>
          </w:p>
        </w:tc>
        <w:tc>
          <w:tcPr>
            <w:tcW w:w="8196"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该项目自评得100分。2022年全市共检查医药机构1471家，涉及违规金额9951.39万元，处违约金288.35万元，公开曝光594例，要情报送18例，举报处理6件，异地协查1家,有力落实行业治理决策部署，整治医疗机构行业乱象，构建了山清水秀医保生态，专项案件查处率为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部门（单位）自评存在问题</w:t>
            </w:r>
          </w:p>
        </w:tc>
        <w:tc>
          <w:tcPr>
            <w:tcW w:w="8196"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部门（单位）自评改进措施</w:t>
            </w:r>
          </w:p>
        </w:tc>
        <w:tc>
          <w:tcPr>
            <w:tcW w:w="8196"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强化预算管理。</w:t>
            </w:r>
          </w:p>
        </w:tc>
      </w:tr>
    </w:tbl>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15"/>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预算项目支出绩效目标自评表</w:t>
      </w:r>
    </w:p>
    <w:p>
      <w:pPr>
        <w:pStyle w:val="15"/>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（2022年度）</w:t>
      </w:r>
    </w:p>
    <w:tbl>
      <w:tblPr>
        <w:tblStyle w:val="19"/>
        <w:tblpPr w:leftFromText="180" w:rightFromText="180" w:vertAnchor="text" w:horzAnchor="page" w:tblpX="1503" w:tblpY="290"/>
        <w:tblOverlap w:val="never"/>
        <w:tblW w:w="91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4"/>
        <w:gridCol w:w="929"/>
        <w:gridCol w:w="795"/>
        <w:gridCol w:w="813"/>
        <w:gridCol w:w="447"/>
        <w:gridCol w:w="475"/>
        <w:gridCol w:w="397"/>
        <w:gridCol w:w="822"/>
        <w:gridCol w:w="483"/>
        <w:gridCol w:w="501"/>
        <w:gridCol w:w="797"/>
        <w:gridCol w:w="1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3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项目名称</w:t>
            </w:r>
          </w:p>
        </w:tc>
        <w:tc>
          <w:tcPr>
            <w:tcW w:w="7318" w:type="dxa"/>
            <w:gridSpan w:val="10"/>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离退休老干部管理经费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3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主管部门（盖章）</w:t>
            </w:r>
          </w:p>
        </w:tc>
        <w:tc>
          <w:tcPr>
            <w:tcW w:w="2927"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广元市医疗保障局</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实施单位 （盖章）</w:t>
            </w:r>
          </w:p>
        </w:tc>
        <w:tc>
          <w:tcPr>
            <w:tcW w:w="3569"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广元市医疗保障局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项目基本情况</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w:t>
            </w:r>
            <w:r>
              <w:rPr>
                <w:rFonts w:hint="eastAsia" w:ascii="宋体" w:hAnsi="宋体" w:eastAsia="宋体" w:cs="宋体"/>
                <w:b w:val="0"/>
                <w:bCs w:val="0"/>
                <w:i w:val="0"/>
                <w:iCs w:val="0"/>
                <w:color w:val="000000" w:themeColor="text1"/>
                <w:spacing w:val="6"/>
                <w:kern w:val="0"/>
                <w:sz w:val="18"/>
                <w:szCs w:val="18"/>
                <w:u w:val="none"/>
                <w:lang w:val="en-US" w:eastAsia="zh-CN" w:bidi="ar"/>
                <w14:textFill>
                  <w14:solidFill>
                    <w14:schemeClr w14:val="tx1"/>
                  </w14:solidFill>
                </w14:textFill>
              </w:rPr>
              <w:t>项目年度目标完成情况</w:t>
            </w:r>
          </w:p>
        </w:tc>
        <w:tc>
          <w:tcPr>
            <w:tcW w:w="2927"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项目年度目标</w:t>
            </w:r>
          </w:p>
        </w:tc>
        <w:tc>
          <w:tcPr>
            <w:tcW w:w="4391"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2927"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开展离退休老干部管理，动态更新离休老干部档案，制作离休老干部卡片，为避免离休老干部一人的待遇全家享受而开展的对住院离休老干部的在院情况和用药情况的稽核费用。</w:t>
            </w:r>
          </w:p>
        </w:tc>
        <w:tc>
          <w:tcPr>
            <w:tcW w:w="4391"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完成档案整理，及时掌握离休老干部变化情况。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318" w:type="dxa"/>
            <w:gridSpan w:val="10"/>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根据离休老干部动态变化情况及时调整整理档案，确保档案情况准确反映离休老干部情况。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预算执行情况</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（10分）</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年度预算数（万元）</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年初预算</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调整后预算数</w:t>
            </w:r>
          </w:p>
        </w:tc>
        <w:tc>
          <w:tcPr>
            <w:tcW w:w="1319"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预算执行数</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执行率</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权重%</w:t>
            </w: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部门自评得分</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财政部门科室复评得分</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总额</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0.50</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0.50</w:t>
            </w:r>
          </w:p>
        </w:tc>
        <w:tc>
          <w:tcPr>
            <w:tcW w:w="1319"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0.50</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100.00%</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88"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其中：财政资金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0.50</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0.50</w:t>
            </w:r>
          </w:p>
        </w:tc>
        <w:tc>
          <w:tcPr>
            <w:tcW w:w="1319"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0.50</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100.00%</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绩效指标（90分）</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一级指标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二级指标</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三级指标</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指标性质</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指标值</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度量单位</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完成值</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权重</w:t>
            </w: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部门自评得分</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财政部门科室复评得分</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质量指标</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pacing w:val="-1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离休干部医疗费用审核准确度</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99</w:t>
            </w:r>
          </w:p>
        </w:tc>
        <w:tc>
          <w:tcPr>
            <w:tcW w:w="397" w:type="dxa"/>
            <w:tcBorders>
              <w:top w:val="single" w:color="000000" w:sz="4" w:space="0"/>
              <w:left w:val="single" w:color="000000" w:sz="4" w:space="0"/>
              <w:bottom w:val="single" w:color="000000" w:sz="4" w:space="0"/>
              <w:right w:val="nil"/>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483" w:type="dxa"/>
            <w:tcBorders>
              <w:top w:val="single" w:color="000000" w:sz="4" w:space="0"/>
              <w:left w:val="nil"/>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效益指标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社会效益指标</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pacing w:val="-1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离休干部及时拨付率</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90</w:t>
            </w:r>
          </w:p>
        </w:tc>
        <w:tc>
          <w:tcPr>
            <w:tcW w:w="397" w:type="dxa"/>
            <w:tcBorders>
              <w:top w:val="single" w:color="000000" w:sz="4" w:space="0"/>
              <w:left w:val="single" w:color="000000" w:sz="4" w:space="0"/>
              <w:bottom w:val="single" w:color="000000" w:sz="4" w:space="0"/>
              <w:right w:val="nil"/>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483" w:type="dxa"/>
            <w:tcBorders>
              <w:top w:val="single" w:color="000000" w:sz="4" w:space="0"/>
              <w:left w:val="nil"/>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数量指标</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pacing w:val="-1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完成离休老干部医疗费用审核</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150</w:t>
            </w:r>
          </w:p>
        </w:tc>
        <w:tc>
          <w:tcPr>
            <w:tcW w:w="397" w:type="dxa"/>
            <w:tcBorders>
              <w:top w:val="single" w:color="000000" w:sz="4" w:space="0"/>
              <w:left w:val="single" w:color="000000" w:sz="4" w:space="0"/>
              <w:bottom w:val="single" w:color="000000" w:sz="4" w:space="0"/>
              <w:right w:val="nil"/>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人次</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175</w:t>
            </w:r>
          </w:p>
        </w:tc>
        <w:tc>
          <w:tcPr>
            <w:tcW w:w="483" w:type="dxa"/>
            <w:tcBorders>
              <w:top w:val="single" w:color="000000" w:sz="4" w:space="0"/>
              <w:left w:val="nil"/>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满意度指标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17"/>
                <w:kern w:val="0"/>
                <w:sz w:val="18"/>
                <w:szCs w:val="18"/>
                <w:u w:val="none"/>
                <w:lang w:val="en-US" w:eastAsia="zh-CN" w:bidi="ar"/>
                <w14:textFill>
                  <w14:solidFill>
                    <w14:schemeClr w14:val="tx1"/>
                  </w14:solidFill>
                </w14:textFill>
              </w:rPr>
              <w:t>服务对象满意度指标</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离休老干部满意度</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90</w:t>
            </w:r>
          </w:p>
        </w:tc>
        <w:tc>
          <w:tcPr>
            <w:tcW w:w="397" w:type="dxa"/>
            <w:tcBorders>
              <w:top w:val="single" w:color="000000" w:sz="4" w:space="0"/>
              <w:left w:val="single" w:color="000000" w:sz="4" w:space="0"/>
              <w:bottom w:val="single" w:color="000000" w:sz="4" w:space="0"/>
              <w:right w:val="nil"/>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483" w:type="dxa"/>
            <w:tcBorders>
              <w:top w:val="single" w:color="000000" w:sz="4" w:space="0"/>
              <w:left w:val="nil"/>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时效指标</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完成时间</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12</w:t>
            </w:r>
          </w:p>
        </w:tc>
        <w:tc>
          <w:tcPr>
            <w:tcW w:w="397" w:type="dxa"/>
            <w:tcBorders>
              <w:top w:val="single" w:color="000000" w:sz="4" w:space="0"/>
              <w:left w:val="single" w:color="000000" w:sz="4" w:space="0"/>
              <w:bottom w:val="single" w:color="000000" w:sz="4" w:space="0"/>
              <w:right w:val="nil"/>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月</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12</w:t>
            </w:r>
          </w:p>
        </w:tc>
        <w:tc>
          <w:tcPr>
            <w:tcW w:w="483" w:type="dxa"/>
            <w:tcBorders>
              <w:top w:val="single" w:color="000000" w:sz="4" w:space="0"/>
              <w:left w:val="nil"/>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582" w:type="dxa"/>
            <w:gridSpan w:val="8"/>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合计</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宋体" w:hAnsi="宋体" w:eastAsia="宋体" w:cs="宋体"/>
                <w:b w:val="0"/>
                <w:bCs w:val="0"/>
                <w:i w:val="0"/>
                <w:iCs w:val="0"/>
                <w:color w:val="000000" w:themeColor="text1"/>
                <w:sz w:val="18"/>
                <w:szCs w:val="18"/>
                <w:u w:val="none"/>
                <w:lang w:val="en-US"/>
                <w14:textFill>
                  <w14:solidFill>
                    <w14:schemeClr w14:val="tx1"/>
                  </w14:solidFill>
                </w14:textFill>
              </w:rPr>
            </w:pPr>
            <w:r>
              <w:rPr>
                <w:rFonts w:hint="default" w:ascii="宋体" w:hAnsi="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结论</w:t>
            </w:r>
          </w:p>
        </w:tc>
        <w:tc>
          <w:tcPr>
            <w:tcW w:w="8247"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cs="宋体"/>
                <w:b w:val="0"/>
                <w:bCs w:val="0"/>
                <w:i w:val="0"/>
                <w:iCs w:val="0"/>
                <w:color w:val="000000" w:themeColor="text1"/>
                <w:kern w:val="0"/>
                <w:sz w:val="18"/>
                <w:szCs w:val="18"/>
                <w:u w:val="none"/>
                <w:lang w:val="en-US" w:eastAsia="zh-CN" w:bidi="ar"/>
                <w14:textFill>
                  <w14:solidFill>
                    <w14:schemeClr w14:val="tx1"/>
                  </w14:solidFill>
                </w14:textFill>
              </w:rPr>
              <w:t>自评</w:t>
            </w:r>
            <w:r>
              <w:rPr>
                <w:rFonts w:hint="default" w:ascii="宋体" w:hAnsi="宋体" w:cs="宋体"/>
                <w:b w:val="0"/>
                <w:bCs w:val="0"/>
                <w:i w:val="0"/>
                <w:iCs w:val="0"/>
                <w:color w:val="000000" w:themeColor="text1"/>
                <w:kern w:val="0"/>
                <w:sz w:val="18"/>
                <w:szCs w:val="18"/>
                <w:u w:val="none"/>
                <w:lang w:val="en-US" w:eastAsia="zh-CN" w:bidi="ar"/>
                <w14:textFill>
                  <w14:solidFill>
                    <w14:schemeClr w14:val="tx1"/>
                  </w14:solidFill>
                </w14:textFill>
              </w:rPr>
              <w:t>100</w:t>
            </w:r>
            <w:r>
              <w:rPr>
                <w:rFonts w:hint="eastAsia" w:ascii="宋体" w:hAnsi="宋体" w:cs="宋体"/>
                <w:b w:val="0"/>
                <w:bCs w:val="0"/>
                <w:i w:val="0"/>
                <w:iCs w:val="0"/>
                <w:color w:val="000000" w:themeColor="text1"/>
                <w:kern w:val="0"/>
                <w:sz w:val="18"/>
                <w:szCs w:val="18"/>
                <w:u w:val="none"/>
                <w:lang w:val="en-US" w:eastAsia="zh-CN" w:bidi="ar"/>
                <w14:textFill>
                  <w14:solidFill>
                    <w14:schemeClr w14:val="tx1"/>
                  </w14:solidFill>
                </w14:textFill>
              </w:rPr>
              <w:t>分，</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及时准确调整了离休老干部档案情况，为提升离休干部医疗费用审核准确度提供了有力支撑，及时有效解决了离休老干部医疗费用问题，良好保障了其医疗待遇。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部门（单位）自评存在问题</w:t>
            </w:r>
          </w:p>
        </w:tc>
        <w:tc>
          <w:tcPr>
            <w:tcW w:w="8247"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部门（单位）自评改进措施</w:t>
            </w:r>
          </w:p>
        </w:tc>
        <w:tc>
          <w:tcPr>
            <w:tcW w:w="8247"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继续保持动态监管。</w:t>
            </w:r>
          </w:p>
        </w:tc>
      </w:tr>
    </w:tbl>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color w:val="000000" w:themeColor="text1"/>
          <w14:textFill>
            <w14:solidFill>
              <w14:schemeClr w14:val="tx1"/>
            </w14:solidFill>
          </w14:textFill>
        </w:rPr>
        <w:br w:type="page"/>
      </w: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预算项目支出绩效目标自评表</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（2022年度）</w:t>
      </w:r>
    </w:p>
    <w:p>
      <w:pPr>
        <w:rPr>
          <w:color w:val="000000" w:themeColor="text1"/>
          <w14:textFill>
            <w14:solidFill>
              <w14:schemeClr w14:val="tx1"/>
            </w14:solidFill>
          </w14:textFill>
        </w:rPr>
      </w:pPr>
    </w:p>
    <w:tbl>
      <w:tblPr>
        <w:tblStyle w:val="19"/>
        <w:tblW w:w="907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7"/>
        <w:gridCol w:w="922"/>
        <w:gridCol w:w="845"/>
        <w:gridCol w:w="863"/>
        <w:gridCol w:w="323"/>
        <w:gridCol w:w="611"/>
        <w:gridCol w:w="323"/>
        <w:gridCol w:w="766"/>
        <w:gridCol w:w="480"/>
        <w:gridCol w:w="552"/>
        <w:gridCol w:w="695"/>
        <w:gridCol w:w="17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项目名称</w:t>
            </w:r>
          </w:p>
        </w:tc>
        <w:tc>
          <w:tcPr>
            <w:tcW w:w="7252" w:type="dxa"/>
            <w:gridSpan w:val="10"/>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物业管理服务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主管部门（盖章）</w:t>
            </w:r>
          </w:p>
        </w:tc>
        <w:tc>
          <w:tcPr>
            <w:tcW w:w="2965"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广元市医疗保障局</w:t>
            </w: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实施单位 （盖章）</w:t>
            </w:r>
          </w:p>
        </w:tc>
        <w:tc>
          <w:tcPr>
            <w:tcW w:w="3521"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广元市医疗保障局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项目基本情况</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1.项目年度目标完成</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情况</w:t>
            </w:r>
          </w:p>
        </w:tc>
        <w:tc>
          <w:tcPr>
            <w:tcW w:w="2965"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项目年度目标</w:t>
            </w:r>
          </w:p>
        </w:tc>
        <w:tc>
          <w:tcPr>
            <w:tcW w:w="4287"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2965"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办公场所进出人员管控，工作有序开展，工作环境整洁，更好的服务于广大参保人员。</w:t>
            </w:r>
          </w:p>
        </w:tc>
        <w:tc>
          <w:tcPr>
            <w:tcW w:w="4287"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办公场所进出人员管控，工作有序开展，工作环境整洁，更好的服务于广大参保人员。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252" w:type="dxa"/>
            <w:gridSpan w:val="10"/>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办公场所进出人员管控，工作有序开展，工作环境整洁，更好的服务于广大参保人员。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预算执行情况</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（10分）</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年度预算数（万元）</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年初预算</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调整后</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预算数</w:t>
            </w:r>
          </w:p>
        </w:tc>
        <w:tc>
          <w:tcPr>
            <w:tcW w:w="1257"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预算执行数</w:t>
            </w: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执行率</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权重%</w:t>
            </w:r>
          </w:p>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部门自评得分</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财政部门科室复评</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得分</w:t>
            </w:r>
          </w:p>
        </w:tc>
        <w:tc>
          <w:tcPr>
            <w:tcW w:w="1794"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总额</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15.00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15.00</w:t>
            </w:r>
          </w:p>
        </w:tc>
        <w:tc>
          <w:tcPr>
            <w:tcW w:w="1257"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14.75</w:t>
            </w: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98.00%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94"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其中：财政资金</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15.00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15.00</w:t>
            </w:r>
          </w:p>
        </w:tc>
        <w:tc>
          <w:tcPr>
            <w:tcW w:w="1257"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14.75</w:t>
            </w: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98.00%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9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绩效指标（90分）</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一级指标</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二级指标</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三级指标</w:t>
            </w:r>
          </w:p>
        </w:tc>
        <w:tc>
          <w:tcPr>
            <w:tcW w:w="32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指标性质</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指标值</w:t>
            </w:r>
          </w:p>
        </w:tc>
        <w:tc>
          <w:tcPr>
            <w:tcW w:w="32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度量单位</w:t>
            </w: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完成值</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权重</w:t>
            </w:r>
          </w:p>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部门自评得分</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财政部门科室</w:t>
            </w: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复评得分</w:t>
            </w:r>
          </w:p>
        </w:tc>
        <w:tc>
          <w:tcPr>
            <w:tcW w:w="1794"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质量指标</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pacing w:val="-6"/>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6"/>
                <w:kern w:val="0"/>
                <w:sz w:val="18"/>
                <w:szCs w:val="18"/>
                <w:u w:val="none"/>
                <w:lang w:val="en-US" w:eastAsia="zh-CN" w:bidi="ar"/>
                <w14:textFill>
                  <w14:solidFill>
                    <w14:schemeClr w14:val="tx1"/>
                  </w14:solidFill>
                </w14:textFill>
              </w:rPr>
              <w:t>服务项目验收合格率</w:t>
            </w:r>
          </w:p>
        </w:tc>
        <w:tc>
          <w:tcPr>
            <w:tcW w:w="32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90</w:t>
            </w:r>
          </w:p>
        </w:tc>
        <w:tc>
          <w:tcPr>
            <w:tcW w:w="323" w:type="dxa"/>
            <w:tcBorders>
              <w:top w:val="single" w:color="000000" w:sz="4" w:space="0"/>
              <w:left w:val="single" w:color="000000" w:sz="4" w:space="0"/>
              <w:bottom w:val="single" w:color="000000" w:sz="4" w:space="0"/>
              <w:right w:val="nil"/>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90</w:t>
            </w:r>
          </w:p>
        </w:tc>
        <w:tc>
          <w:tcPr>
            <w:tcW w:w="480" w:type="dxa"/>
            <w:tcBorders>
              <w:top w:val="single" w:color="000000" w:sz="4" w:space="0"/>
              <w:left w:val="nil"/>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52" w:type="dxa"/>
            <w:tcBorders>
              <w:top w:val="single" w:color="000000" w:sz="4" w:space="0"/>
              <w:left w:val="nil"/>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满意度指标</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服务对象满意度指标</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pacing w:val="-6"/>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6"/>
                <w:kern w:val="0"/>
                <w:sz w:val="18"/>
                <w:szCs w:val="18"/>
                <w:u w:val="none"/>
                <w:lang w:val="en-US" w:eastAsia="zh-CN" w:bidi="ar"/>
                <w14:textFill>
                  <w14:solidFill>
                    <w14:schemeClr w14:val="tx1"/>
                  </w14:solidFill>
                </w14:textFill>
              </w:rPr>
              <w:t>参保办事群众满意度</w:t>
            </w:r>
          </w:p>
        </w:tc>
        <w:tc>
          <w:tcPr>
            <w:tcW w:w="32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90</w:t>
            </w:r>
          </w:p>
        </w:tc>
        <w:tc>
          <w:tcPr>
            <w:tcW w:w="323" w:type="dxa"/>
            <w:tcBorders>
              <w:top w:val="single" w:color="000000" w:sz="4" w:space="0"/>
              <w:left w:val="single" w:color="000000" w:sz="4" w:space="0"/>
              <w:bottom w:val="single" w:color="000000" w:sz="4" w:space="0"/>
              <w:right w:val="nil"/>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95</w:t>
            </w:r>
          </w:p>
        </w:tc>
        <w:tc>
          <w:tcPr>
            <w:tcW w:w="480" w:type="dxa"/>
            <w:tcBorders>
              <w:top w:val="single" w:color="000000" w:sz="4" w:space="0"/>
              <w:left w:val="nil"/>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52" w:type="dxa"/>
            <w:tcBorders>
              <w:top w:val="single" w:color="000000" w:sz="4" w:space="0"/>
              <w:left w:val="nil"/>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时效指标</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完成时间</w:t>
            </w:r>
          </w:p>
        </w:tc>
        <w:tc>
          <w:tcPr>
            <w:tcW w:w="32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12</w:t>
            </w:r>
          </w:p>
        </w:tc>
        <w:tc>
          <w:tcPr>
            <w:tcW w:w="323" w:type="dxa"/>
            <w:tcBorders>
              <w:top w:val="single" w:color="000000" w:sz="4" w:space="0"/>
              <w:left w:val="single" w:color="000000" w:sz="4" w:space="0"/>
              <w:bottom w:val="single" w:color="000000" w:sz="4" w:space="0"/>
              <w:right w:val="nil"/>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12</w:t>
            </w:r>
          </w:p>
        </w:tc>
        <w:tc>
          <w:tcPr>
            <w:tcW w:w="480" w:type="dxa"/>
            <w:tcBorders>
              <w:top w:val="single" w:color="000000" w:sz="4" w:space="0"/>
              <w:left w:val="nil"/>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52" w:type="dxa"/>
            <w:tcBorders>
              <w:top w:val="single" w:color="000000" w:sz="4" w:space="0"/>
              <w:left w:val="nil"/>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效益指标</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生态效益指标</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办公环境</w:t>
            </w:r>
          </w:p>
        </w:tc>
        <w:tc>
          <w:tcPr>
            <w:tcW w:w="32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定性</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优良中低差</w:t>
            </w:r>
          </w:p>
        </w:tc>
        <w:tc>
          <w:tcPr>
            <w:tcW w:w="323" w:type="dxa"/>
            <w:tcBorders>
              <w:top w:val="single" w:color="000000" w:sz="4" w:space="0"/>
              <w:left w:val="single" w:color="000000" w:sz="4" w:space="0"/>
              <w:bottom w:val="single" w:color="000000" w:sz="4" w:space="0"/>
              <w:right w:val="nil"/>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优</w:t>
            </w:r>
          </w:p>
        </w:tc>
        <w:tc>
          <w:tcPr>
            <w:tcW w:w="480" w:type="dxa"/>
            <w:tcBorders>
              <w:top w:val="single" w:color="000000" w:sz="4" w:space="0"/>
              <w:left w:val="nil"/>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52" w:type="dxa"/>
            <w:tcBorders>
              <w:top w:val="single" w:color="000000" w:sz="4" w:space="0"/>
              <w:left w:val="nil"/>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满意度指标</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服务对象满意度指标</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机关工作人员满意度</w:t>
            </w:r>
          </w:p>
        </w:tc>
        <w:tc>
          <w:tcPr>
            <w:tcW w:w="32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90</w:t>
            </w:r>
          </w:p>
        </w:tc>
        <w:tc>
          <w:tcPr>
            <w:tcW w:w="323" w:type="dxa"/>
            <w:tcBorders>
              <w:top w:val="single" w:color="000000" w:sz="4" w:space="0"/>
              <w:left w:val="single" w:color="000000" w:sz="4" w:space="0"/>
              <w:bottom w:val="single" w:color="000000" w:sz="4" w:space="0"/>
              <w:right w:val="nil"/>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480" w:type="dxa"/>
            <w:tcBorders>
              <w:top w:val="single" w:color="000000" w:sz="4" w:space="0"/>
              <w:left w:val="nil"/>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52" w:type="dxa"/>
            <w:tcBorders>
              <w:top w:val="single" w:color="000000" w:sz="4" w:space="0"/>
              <w:left w:val="nil"/>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数量指标</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物业服务公司</w:t>
            </w:r>
          </w:p>
        </w:tc>
        <w:tc>
          <w:tcPr>
            <w:tcW w:w="32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w:t>
            </w:r>
          </w:p>
        </w:tc>
        <w:tc>
          <w:tcPr>
            <w:tcW w:w="323" w:type="dxa"/>
            <w:tcBorders>
              <w:top w:val="single" w:color="000000" w:sz="4" w:space="0"/>
              <w:left w:val="single" w:color="000000" w:sz="4" w:space="0"/>
              <w:bottom w:val="single" w:color="000000" w:sz="4" w:space="0"/>
              <w:right w:val="nil"/>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w:t>
            </w:r>
          </w:p>
        </w:tc>
        <w:tc>
          <w:tcPr>
            <w:tcW w:w="480" w:type="dxa"/>
            <w:tcBorders>
              <w:top w:val="single" w:color="000000" w:sz="4" w:space="0"/>
              <w:left w:val="nil"/>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52" w:type="dxa"/>
            <w:tcBorders>
              <w:top w:val="single" w:color="000000" w:sz="4" w:space="0"/>
              <w:left w:val="nil"/>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数量指标</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提供服务项目</w:t>
            </w:r>
          </w:p>
        </w:tc>
        <w:tc>
          <w:tcPr>
            <w:tcW w:w="32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323" w:type="dxa"/>
            <w:tcBorders>
              <w:top w:val="single" w:color="000000" w:sz="4" w:space="0"/>
              <w:left w:val="single" w:color="000000" w:sz="4" w:space="0"/>
              <w:bottom w:val="single" w:color="000000" w:sz="4" w:space="0"/>
              <w:right w:val="nil"/>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w:t>
            </w:r>
          </w:p>
        </w:tc>
        <w:tc>
          <w:tcPr>
            <w:tcW w:w="480" w:type="dxa"/>
            <w:tcBorders>
              <w:top w:val="single" w:color="000000" w:sz="4" w:space="0"/>
              <w:left w:val="nil"/>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52" w:type="dxa"/>
            <w:tcBorders>
              <w:top w:val="single" w:color="000000" w:sz="4" w:space="0"/>
              <w:left w:val="nil"/>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效益指标</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社会效益指标</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提升机关服务水平</w:t>
            </w:r>
          </w:p>
        </w:tc>
        <w:tc>
          <w:tcPr>
            <w:tcW w:w="32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定性</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优良中低差</w:t>
            </w:r>
          </w:p>
        </w:tc>
        <w:tc>
          <w:tcPr>
            <w:tcW w:w="323" w:type="dxa"/>
            <w:tcBorders>
              <w:top w:val="single" w:color="000000" w:sz="4" w:space="0"/>
              <w:left w:val="single" w:color="000000" w:sz="4" w:space="0"/>
              <w:bottom w:val="single" w:color="000000" w:sz="4" w:space="0"/>
              <w:right w:val="nil"/>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优</w:t>
            </w:r>
          </w:p>
        </w:tc>
        <w:tc>
          <w:tcPr>
            <w:tcW w:w="480" w:type="dxa"/>
            <w:tcBorders>
              <w:top w:val="single" w:color="000000" w:sz="4" w:space="0"/>
              <w:left w:val="nil"/>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52" w:type="dxa"/>
            <w:tcBorders>
              <w:top w:val="single" w:color="000000" w:sz="4" w:space="0"/>
              <w:left w:val="nil"/>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成本指标</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合同价格</w:t>
            </w:r>
          </w:p>
        </w:tc>
        <w:tc>
          <w:tcPr>
            <w:tcW w:w="32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15</w:t>
            </w:r>
          </w:p>
        </w:tc>
        <w:tc>
          <w:tcPr>
            <w:tcW w:w="323" w:type="dxa"/>
            <w:tcBorders>
              <w:top w:val="single" w:color="000000" w:sz="4" w:space="0"/>
              <w:left w:val="single" w:color="000000" w:sz="4" w:space="0"/>
              <w:bottom w:val="single" w:color="000000" w:sz="4" w:space="0"/>
              <w:right w:val="nil"/>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15</w:t>
            </w:r>
          </w:p>
        </w:tc>
        <w:tc>
          <w:tcPr>
            <w:tcW w:w="480" w:type="dxa"/>
            <w:tcBorders>
              <w:top w:val="single" w:color="000000" w:sz="4" w:space="0"/>
              <w:left w:val="nil"/>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52" w:type="dxa"/>
            <w:tcBorders>
              <w:top w:val="single" w:color="000000" w:sz="4" w:space="0"/>
              <w:left w:val="nil"/>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550" w:type="dxa"/>
            <w:gridSpan w:val="8"/>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合计</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结论</w:t>
            </w:r>
          </w:p>
        </w:tc>
        <w:tc>
          <w:tcPr>
            <w:tcW w:w="8174"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本项目具有明确的绩效目标，项目实施过程中严格按照实际需要实施，满足了机关单位基本办公，加强了办公场所进出人员管控，保证了工作有序开展，工作环境整洁，更好服务于广大参保人员。自评得分为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部门（单位）自评存在问题</w:t>
            </w:r>
          </w:p>
        </w:tc>
        <w:tc>
          <w:tcPr>
            <w:tcW w:w="8174"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部门（单位）自评改进措施</w:t>
            </w:r>
          </w:p>
        </w:tc>
        <w:tc>
          <w:tcPr>
            <w:tcW w:w="8174"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无</w:t>
            </w:r>
          </w:p>
        </w:tc>
      </w:tr>
    </w:tbl>
    <w:p>
      <w:pPr>
        <w:pStyle w:val="15"/>
        <w:rPr>
          <w:color w:val="000000" w:themeColor="text1"/>
          <w14:textFill>
            <w14:solidFill>
              <w14:schemeClr w14:val="tx1"/>
            </w14:solidFill>
          </w14:textFill>
        </w:rPr>
      </w:pPr>
    </w:p>
    <w:p>
      <w:pPr>
        <w:rPr>
          <w:rFonts w:hint="eastAsia" w:ascii="黑体" w:hAnsi="黑体" w:eastAsia="黑体"/>
          <w:color w:val="000000" w:themeColor="text1"/>
          <w:sz w:val="44"/>
          <w:szCs w:val="44"/>
          <w:highlight w:val="none"/>
          <w14:textFill>
            <w14:solidFill>
              <w14:schemeClr w14:val="tx1"/>
            </w14:solidFill>
          </w14:textFill>
        </w:rPr>
      </w:pPr>
      <w:bookmarkStart w:id="57" w:name="_Toc15396618"/>
      <w:r>
        <w:rPr>
          <w:rFonts w:hint="eastAsia" w:ascii="黑体" w:hAnsi="黑体" w:eastAsia="黑体"/>
          <w:color w:val="000000" w:themeColor="text1"/>
          <w:sz w:val="44"/>
          <w:szCs w:val="44"/>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预算项目支出绩效目标自评表</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（2022年度）</w:t>
      </w:r>
    </w:p>
    <w:tbl>
      <w:tblPr>
        <w:tblStyle w:val="19"/>
        <w:tblpPr w:leftFromText="180" w:rightFromText="180" w:vertAnchor="text" w:horzAnchor="page" w:tblpX="1660" w:tblpY="314"/>
        <w:tblOverlap w:val="never"/>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9"/>
        <w:gridCol w:w="881"/>
        <w:gridCol w:w="761"/>
        <w:gridCol w:w="777"/>
        <w:gridCol w:w="318"/>
        <w:gridCol w:w="696"/>
        <w:gridCol w:w="420"/>
        <w:gridCol w:w="1110"/>
        <w:gridCol w:w="470"/>
        <w:gridCol w:w="592"/>
        <w:gridCol w:w="554"/>
        <w:gridCol w:w="1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740" w:type="dxa"/>
            <w:gridSpan w:val="2"/>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项目名称</w:t>
            </w:r>
          </w:p>
        </w:tc>
        <w:tc>
          <w:tcPr>
            <w:tcW w:w="7331" w:type="dxa"/>
            <w:gridSpan w:val="10"/>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乡村振兴工作经费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740" w:type="dxa"/>
            <w:gridSpan w:val="2"/>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主管部门（盖章）</w:t>
            </w:r>
          </w:p>
        </w:tc>
        <w:tc>
          <w:tcPr>
            <w:tcW w:w="2972" w:type="dxa"/>
            <w:gridSpan w:val="5"/>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广元市医疗保障局</w:t>
            </w:r>
          </w:p>
        </w:tc>
        <w:tc>
          <w:tcPr>
            <w:tcW w:w="1110"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实施单位</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（盖章）</w:t>
            </w:r>
          </w:p>
        </w:tc>
        <w:tc>
          <w:tcPr>
            <w:tcW w:w="3249" w:type="dxa"/>
            <w:gridSpan w:val="4"/>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广元市医疗保障局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59" w:type="dxa"/>
            <w:vMerge w:val="restart"/>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项目基本情况</w:t>
            </w:r>
          </w:p>
        </w:tc>
        <w:tc>
          <w:tcPr>
            <w:tcW w:w="881" w:type="dxa"/>
            <w:vMerge w:val="restart"/>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1.项目年度目标完成情况</w:t>
            </w:r>
          </w:p>
        </w:tc>
        <w:tc>
          <w:tcPr>
            <w:tcW w:w="2972" w:type="dxa"/>
            <w:gridSpan w:val="5"/>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项目年度目标</w:t>
            </w:r>
          </w:p>
        </w:tc>
        <w:tc>
          <w:tcPr>
            <w:tcW w:w="4359" w:type="dxa"/>
            <w:gridSpan w:val="5"/>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年度目标完成情况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4" w:hRule="atLeast"/>
        </w:trPr>
        <w:tc>
          <w:tcPr>
            <w:tcW w:w="859" w:type="dxa"/>
            <w:vMerge w:val="continue"/>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81" w:type="dxa"/>
            <w:vMerge w:val="continue"/>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2972" w:type="dxa"/>
            <w:gridSpan w:val="5"/>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顺利完成乡村振兴帮扶任务。</w:t>
            </w:r>
          </w:p>
        </w:tc>
        <w:tc>
          <w:tcPr>
            <w:tcW w:w="4359" w:type="dxa"/>
            <w:gridSpan w:val="5"/>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全力开展脱贫攻坚帮扶工作，预计2022年派驻2名驻村干部对1个帮扶村进行帮扶，实现村集体村集体产业分红收入增长金额为15元每人每年，村集体产业发展收入增长率达10%。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59" w:type="dxa"/>
            <w:vMerge w:val="continue"/>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81"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331" w:type="dxa"/>
            <w:gridSpan w:val="10"/>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聚焦主责主业，持续巩固拓展脱贫攻坚成果，指导天堂村抓好防止返贫监测、“三保障”、饮水安全成果巩固和易地搬迁后续扶持等工作。坚持“谁审批谁负责”、“谁使用谁负责”项目管理原则，坚持投向准确、重点突出，重点围绕当年出列村和脱贫农户，重点突出产业发展、专业合作社和村集体经济组织发展带动贫困户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59" w:type="dxa"/>
            <w:vMerge w:val="restart"/>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预算执行情况</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（10分）</w:t>
            </w:r>
          </w:p>
        </w:tc>
        <w:tc>
          <w:tcPr>
            <w:tcW w:w="881"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年度预算数（万元）</w:t>
            </w:r>
          </w:p>
        </w:tc>
        <w:tc>
          <w:tcPr>
            <w:tcW w:w="761"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年初预算</w:t>
            </w:r>
          </w:p>
        </w:tc>
        <w:tc>
          <w:tcPr>
            <w:tcW w:w="777"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调整后预算数</w:t>
            </w:r>
          </w:p>
        </w:tc>
        <w:tc>
          <w:tcPr>
            <w:tcW w:w="1434" w:type="dxa"/>
            <w:gridSpan w:val="3"/>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预算执行数</w:t>
            </w:r>
          </w:p>
        </w:tc>
        <w:tc>
          <w:tcPr>
            <w:tcW w:w="1110"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预算执行率</w:t>
            </w:r>
          </w:p>
        </w:tc>
        <w:tc>
          <w:tcPr>
            <w:tcW w:w="470"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权重%</w:t>
            </w:r>
          </w:p>
        </w:tc>
        <w:tc>
          <w:tcPr>
            <w:tcW w:w="592"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部门自评得分</w:t>
            </w:r>
          </w:p>
        </w:tc>
        <w:tc>
          <w:tcPr>
            <w:tcW w:w="554"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财政部门科室复评得分</w:t>
            </w:r>
          </w:p>
        </w:tc>
        <w:tc>
          <w:tcPr>
            <w:tcW w:w="1633"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59" w:type="dxa"/>
            <w:vMerge w:val="continue"/>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81"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总额</w:t>
            </w:r>
          </w:p>
        </w:tc>
        <w:tc>
          <w:tcPr>
            <w:tcW w:w="761"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3.64</w:t>
            </w:r>
          </w:p>
        </w:tc>
        <w:tc>
          <w:tcPr>
            <w:tcW w:w="777"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3.64</w:t>
            </w:r>
          </w:p>
        </w:tc>
        <w:tc>
          <w:tcPr>
            <w:tcW w:w="1434" w:type="dxa"/>
            <w:gridSpan w:val="3"/>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2.99</w:t>
            </w:r>
          </w:p>
        </w:tc>
        <w:tc>
          <w:tcPr>
            <w:tcW w:w="1110"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82.00%</w:t>
            </w:r>
          </w:p>
        </w:tc>
        <w:tc>
          <w:tcPr>
            <w:tcW w:w="470"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92"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8.2</w:t>
            </w:r>
          </w:p>
        </w:tc>
        <w:tc>
          <w:tcPr>
            <w:tcW w:w="554"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633" w:type="dxa"/>
            <w:vMerge w:val="restart"/>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2022年10月至12月，因疫情原因，我局驻村工作人员在帮扶村从事疫情防控工作，未及时报销补助费用。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59" w:type="dxa"/>
            <w:vMerge w:val="continue"/>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81"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其中：财政资金</w:t>
            </w:r>
          </w:p>
        </w:tc>
        <w:tc>
          <w:tcPr>
            <w:tcW w:w="761"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3.64</w:t>
            </w:r>
          </w:p>
        </w:tc>
        <w:tc>
          <w:tcPr>
            <w:tcW w:w="777"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3.64</w:t>
            </w:r>
          </w:p>
        </w:tc>
        <w:tc>
          <w:tcPr>
            <w:tcW w:w="1434" w:type="dxa"/>
            <w:gridSpan w:val="3"/>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2.99</w:t>
            </w:r>
          </w:p>
        </w:tc>
        <w:tc>
          <w:tcPr>
            <w:tcW w:w="1110"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82.00%</w:t>
            </w:r>
          </w:p>
        </w:tc>
        <w:tc>
          <w:tcPr>
            <w:tcW w:w="470"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92"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0</w:t>
            </w:r>
          </w:p>
        </w:tc>
        <w:tc>
          <w:tcPr>
            <w:tcW w:w="554"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633" w:type="dxa"/>
            <w:vMerge w:val="continue"/>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59" w:type="dxa"/>
            <w:vMerge w:val="restart"/>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绩效指标（90分）</w:t>
            </w:r>
          </w:p>
        </w:tc>
        <w:tc>
          <w:tcPr>
            <w:tcW w:w="881"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一级指标</w:t>
            </w:r>
          </w:p>
        </w:tc>
        <w:tc>
          <w:tcPr>
            <w:tcW w:w="761"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二级指标</w:t>
            </w:r>
          </w:p>
        </w:tc>
        <w:tc>
          <w:tcPr>
            <w:tcW w:w="777"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三级指标</w:t>
            </w:r>
          </w:p>
        </w:tc>
        <w:tc>
          <w:tcPr>
            <w:tcW w:w="318"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指标性质</w:t>
            </w:r>
          </w:p>
        </w:tc>
        <w:tc>
          <w:tcPr>
            <w:tcW w:w="696"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指标值</w:t>
            </w:r>
          </w:p>
        </w:tc>
        <w:tc>
          <w:tcPr>
            <w:tcW w:w="420"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度量单位</w:t>
            </w:r>
          </w:p>
        </w:tc>
        <w:tc>
          <w:tcPr>
            <w:tcW w:w="1110"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完成值</w:t>
            </w:r>
          </w:p>
        </w:tc>
        <w:tc>
          <w:tcPr>
            <w:tcW w:w="470"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权重</w:t>
            </w:r>
          </w:p>
        </w:tc>
        <w:tc>
          <w:tcPr>
            <w:tcW w:w="592"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部门自评得分</w:t>
            </w:r>
          </w:p>
        </w:tc>
        <w:tc>
          <w:tcPr>
            <w:tcW w:w="554"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财政部门科室复评得分</w:t>
            </w:r>
          </w:p>
        </w:tc>
        <w:tc>
          <w:tcPr>
            <w:tcW w:w="1633"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未完成原因分析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9" w:type="dxa"/>
            <w:vMerge w:val="continue"/>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81"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pacing w:val="-6"/>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6"/>
                <w:kern w:val="0"/>
                <w:sz w:val="18"/>
                <w:szCs w:val="18"/>
                <w:u w:val="none"/>
                <w:lang w:val="en-US" w:eastAsia="zh-CN" w:bidi="ar"/>
                <w14:textFill>
                  <w14:solidFill>
                    <w14:schemeClr w14:val="tx1"/>
                  </w14:solidFill>
                </w14:textFill>
              </w:rPr>
              <w:t>满意度指标</w:t>
            </w:r>
          </w:p>
        </w:tc>
        <w:tc>
          <w:tcPr>
            <w:tcW w:w="761"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pacing w:val="-6"/>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6"/>
                <w:kern w:val="0"/>
                <w:sz w:val="18"/>
                <w:szCs w:val="18"/>
                <w:u w:val="none"/>
                <w:lang w:val="en-US" w:eastAsia="zh-CN" w:bidi="ar"/>
                <w14:textFill>
                  <w14:solidFill>
                    <w14:schemeClr w14:val="tx1"/>
                  </w14:solidFill>
                </w14:textFill>
              </w:rPr>
              <w:t>帮扶对象满意度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pacing w:val="-6"/>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6"/>
                <w:kern w:val="0"/>
                <w:sz w:val="18"/>
                <w:szCs w:val="18"/>
                <w:u w:val="none"/>
                <w:lang w:val="en-US" w:eastAsia="zh-CN" w:bidi="ar"/>
                <w14:textFill>
                  <w14:solidFill>
                    <w14:schemeClr w14:val="tx1"/>
                  </w14:solidFill>
                </w14:textFill>
              </w:rPr>
              <w:t>指标</w:t>
            </w:r>
          </w:p>
        </w:tc>
        <w:tc>
          <w:tcPr>
            <w:tcW w:w="777"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帮扶对象满意度</w:t>
            </w:r>
          </w:p>
        </w:tc>
        <w:tc>
          <w:tcPr>
            <w:tcW w:w="318"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96"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90</w:t>
            </w:r>
          </w:p>
        </w:tc>
        <w:tc>
          <w:tcPr>
            <w:tcW w:w="420"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110" w:type="dxa"/>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470"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92"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54"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633"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9" w:type="dxa"/>
            <w:vMerge w:val="continue"/>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81"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761"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时效指标</w:t>
            </w:r>
          </w:p>
        </w:tc>
        <w:tc>
          <w:tcPr>
            <w:tcW w:w="777"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完成时间</w:t>
            </w:r>
          </w:p>
        </w:tc>
        <w:tc>
          <w:tcPr>
            <w:tcW w:w="318"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96"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12</w:t>
            </w:r>
          </w:p>
        </w:tc>
        <w:tc>
          <w:tcPr>
            <w:tcW w:w="420"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月</w:t>
            </w:r>
          </w:p>
        </w:tc>
        <w:tc>
          <w:tcPr>
            <w:tcW w:w="1110" w:type="dxa"/>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12月</w:t>
            </w:r>
          </w:p>
        </w:tc>
        <w:tc>
          <w:tcPr>
            <w:tcW w:w="470"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92"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54"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633"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9" w:type="dxa"/>
            <w:vMerge w:val="continue"/>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81"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761"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数量指标</w:t>
            </w:r>
          </w:p>
        </w:tc>
        <w:tc>
          <w:tcPr>
            <w:tcW w:w="777"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驻村干部</w:t>
            </w:r>
          </w:p>
        </w:tc>
        <w:tc>
          <w:tcPr>
            <w:tcW w:w="318"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96"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w:t>
            </w:r>
          </w:p>
        </w:tc>
        <w:tc>
          <w:tcPr>
            <w:tcW w:w="420"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人</w:t>
            </w:r>
          </w:p>
        </w:tc>
        <w:tc>
          <w:tcPr>
            <w:tcW w:w="1110" w:type="dxa"/>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2人</w:t>
            </w:r>
          </w:p>
        </w:tc>
        <w:tc>
          <w:tcPr>
            <w:tcW w:w="470"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92"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54"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633"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9" w:type="dxa"/>
            <w:vMerge w:val="continue"/>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81"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761"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质量指标</w:t>
            </w:r>
          </w:p>
        </w:tc>
        <w:tc>
          <w:tcPr>
            <w:tcW w:w="777"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脱贫攻坚后评估验收合格率</w:t>
            </w:r>
          </w:p>
        </w:tc>
        <w:tc>
          <w:tcPr>
            <w:tcW w:w="318"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96"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97</w:t>
            </w:r>
          </w:p>
        </w:tc>
        <w:tc>
          <w:tcPr>
            <w:tcW w:w="420"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110" w:type="dxa"/>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470"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92"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54"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633"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9" w:type="dxa"/>
            <w:vMerge w:val="continue"/>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81"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761"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成本指标</w:t>
            </w:r>
          </w:p>
        </w:tc>
        <w:tc>
          <w:tcPr>
            <w:tcW w:w="777"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工作经费</w:t>
            </w:r>
          </w:p>
        </w:tc>
        <w:tc>
          <w:tcPr>
            <w:tcW w:w="318"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96"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5000</w:t>
            </w:r>
          </w:p>
        </w:tc>
        <w:tc>
          <w:tcPr>
            <w:tcW w:w="420"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元/人年</w:t>
            </w:r>
          </w:p>
        </w:tc>
        <w:tc>
          <w:tcPr>
            <w:tcW w:w="1110" w:type="dxa"/>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5000元/人年</w:t>
            </w:r>
          </w:p>
        </w:tc>
        <w:tc>
          <w:tcPr>
            <w:tcW w:w="470"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92"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54"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633"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59" w:type="dxa"/>
            <w:vMerge w:val="continue"/>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81"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效益指标</w:t>
            </w:r>
          </w:p>
        </w:tc>
        <w:tc>
          <w:tcPr>
            <w:tcW w:w="761"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经济效益指标</w:t>
            </w:r>
          </w:p>
        </w:tc>
        <w:tc>
          <w:tcPr>
            <w:tcW w:w="777"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村集体产业分红收入增长金额</w:t>
            </w:r>
          </w:p>
        </w:tc>
        <w:tc>
          <w:tcPr>
            <w:tcW w:w="318"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96"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6</w:t>
            </w:r>
          </w:p>
        </w:tc>
        <w:tc>
          <w:tcPr>
            <w:tcW w:w="420"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元</w:t>
            </w:r>
          </w:p>
        </w:tc>
        <w:tc>
          <w:tcPr>
            <w:tcW w:w="1110" w:type="dxa"/>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15元/人/年</w:t>
            </w:r>
          </w:p>
        </w:tc>
        <w:tc>
          <w:tcPr>
            <w:tcW w:w="470"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15</w:t>
            </w:r>
          </w:p>
        </w:tc>
        <w:tc>
          <w:tcPr>
            <w:tcW w:w="592"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15</w:t>
            </w:r>
          </w:p>
        </w:tc>
        <w:tc>
          <w:tcPr>
            <w:tcW w:w="554"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633"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59" w:type="dxa"/>
            <w:vMerge w:val="continue"/>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81"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效益指标</w:t>
            </w:r>
          </w:p>
        </w:tc>
        <w:tc>
          <w:tcPr>
            <w:tcW w:w="761"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经济效益指标</w:t>
            </w:r>
          </w:p>
        </w:tc>
        <w:tc>
          <w:tcPr>
            <w:tcW w:w="777"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村集体产业发展收入增长率</w:t>
            </w:r>
          </w:p>
        </w:tc>
        <w:tc>
          <w:tcPr>
            <w:tcW w:w="318"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96"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420"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110" w:type="dxa"/>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470"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15</w:t>
            </w:r>
          </w:p>
        </w:tc>
        <w:tc>
          <w:tcPr>
            <w:tcW w:w="592"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15</w:t>
            </w:r>
          </w:p>
        </w:tc>
        <w:tc>
          <w:tcPr>
            <w:tcW w:w="554"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633"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59" w:type="dxa"/>
            <w:vMerge w:val="continue"/>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81"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761"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数量指标</w:t>
            </w:r>
          </w:p>
        </w:tc>
        <w:tc>
          <w:tcPr>
            <w:tcW w:w="777"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脱贫村</w:t>
            </w:r>
          </w:p>
        </w:tc>
        <w:tc>
          <w:tcPr>
            <w:tcW w:w="318"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96"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w:t>
            </w:r>
          </w:p>
        </w:tc>
        <w:tc>
          <w:tcPr>
            <w:tcW w:w="420"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个</w:t>
            </w:r>
          </w:p>
        </w:tc>
        <w:tc>
          <w:tcPr>
            <w:tcW w:w="1110" w:type="dxa"/>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1个</w:t>
            </w:r>
          </w:p>
        </w:tc>
        <w:tc>
          <w:tcPr>
            <w:tcW w:w="470"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92"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54"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633"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5822" w:type="dxa"/>
            <w:gridSpan w:val="8"/>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合计</w:t>
            </w:r>
          </w:p>
        </w:tc>
        <w:tc>
          <w:tcPr>
            <w:tcW w:w="470"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592"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98.2</w:t>
            </w:r>
          </w:p>
        </w:tc>
        <w:tc>
          <w:tcPr>
            <w:tcW w:w="554"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633"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8" w:hRule="atLeast"/>
        </w:trPr>
        <w:tc>
          <w:tcPr>
            <w:tcW w:w="859"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结论</w:t>
            </w:r>
          </w:p>
        </w:tc>
        <w:tc>
          <w:tcPr>
            <w:tcW w:w="8212" w:type="dxa"/>
            <w:gridSpan w:val="11"/>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自评得98.2分，本项目符合脱贫攻坚管理政策，具有明确的绩效目标，项目实施过程中严格按照实际需要实施，有力保障了脱贫攻坚帮扶各项工作顺利开展，巩固了脱贫攻坚成果，村容村貌、基础设施建设明显改善，村民生产生活发生了巨大变化，幸福感明显增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9" w:hRule="atLeast"/>
        </w:trPr>
        <w:tc>
          <w:tcPr>
            <w:tcW w:w="859"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部门（单位）自评存在问题</w:t>
            </w:r>
          </w:p>
        </w:tc>
        <w:tc>
          <w:tcPr>
            <w:tcW w:w="8212" w:type="dxa"/>
            <w:gridSpan w:val="11"/>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资金执行率低，2022年10月至12月，因疫情原因，我局驻村工作人员在帮扶村从事疫情防控工作，未及时报销补助费用，影响了资金的使用效益。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59"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部门（单位）自评改进措施</w:t>
            </w:r>
          </w:p>
        </w:tc>
        <w:tc>
          <w:tcPr>
            <w:tcW w:w="8212" w:type="dxa"/>
            <w:gridSpan w:val="11"/>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加强绩效目标和使用进度双监控，督促驻村工作人员及时报销补助，提高资金使用效率。</w:t>
            </w:r>
          </w:p>
        </w:tc>
      </w:tr>
    </w:tbl>
    <w:p>
      <w:pPr>
        <w:pStyle w:val="15"/>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color w:val="000000" w:themeColor="text1"/>
          <w14:textFill>
            <w14:solidFill>
              <w14:schemeClr w14:val="tx1"/>
            </w14:solidFill>
          </w14:textFill>
        </w:rPr>
        <w:br w:type="page"/>
      </w: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预算项目支出绩效目标自评表</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（2022年度）</w:t>
      </w:r>
    </w:p>
    <w:p>
      <w:pPr>
        <w:pStyle w:val="15"/>
        <w:rPr>
          <w:rFonts w:hint="eastAsia"/>
          <w:color w:val="000000" w:themeColor="text1"/>
          <w14:textFill>
            <w14:solidFill>
              <w14:schemeClr w14:val="tx1"/>
            </w14:solidFill>
          </w14:textFill>
        </w:rPr>
      </w:pPr>
    </w:p>
    <w:tbl>
      <w:tblPr>
        <w:tblStyle w:val="19"/>
        <w:tblW w:w="9174"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43"/>
        <w:gridCol w:w="854"/>
        <w:gridCol w:w="776"/>
        <w:gridCol w:w="787"/>
        <w:gridCol w:w="425"/>
        <w:gridCol w:w="802"/>
        <w:gridCol w:w="508"/>
        <w:gridCol w:w="938"/>
        <w:gridCol w:w="555"/>
        <w:gridCol w:w="667"/>
        <w:gridCol w:w="578"/>
        <w:gridCol w:w="1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1797" w:type="dxa"/>
            <w:gridSpan w:val="2"/>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项目名称</w:t>
            </w:r>
          </w:p>
        </w:tc>
        <w:tc>
          <w:tcPr>
            <w:tcW w:w="7377" w:type="dxa"/>
            <w:gridSpan w:val="10"/>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医保政策调整风险评估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1797" w:type="dxa"/>
            <w:gridSpan w:val="2"/>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主管部门（盖章）</w:t>
            </w:r>
          </w:p>
        </w:tc>
        <w:tc>
          <w:tcPr>
            <w:tcW w:w="3298" w:type="dxa"/>
            <w:gridSpan w:val="5"/>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广元市医疗保障局</w:t>
            </w:r>
          </w:p>
        </w:tc>
        <w:tc>
          <w:tcPr>
            <w:tcW w:w="938"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实施单位 （盖章）</w:t>
            </w:r>
          </w:p>
        </w:tc>
        <w:tc>
          <w:tcPr>
            <w:tcW w:w="3141" w:type="dxa"/>
            <w:gridSpan w:val="4"/>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广元市医疗保障局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943" w:type="dxa"/>
            <w:vMerge w:val="restart"/>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项目基本</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情况</w:t>
            </w:r>
          </w:p>
        </w:tc>
        <w:tc>
          <w:tcPr>
            <w:tcW w:w="854" w:type="dxa"/>
            <w:vMerge w:val="restart"/>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1.项目年度目标完成情况</w:t>
            </w:r>
          </w:p>
        </w:tc>
        <w:tc>
          <w:tcPr>
            <w:tcW w:w="3298" w:type="dxa"/>
            <w:gridSpan w:val="5"/>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项目年度目标</w:t>
            </w:r>
          </w:p>
        </w:tc>
        <w:tc>
          <w:tcPr>
            <w:tcW w:w="4079" w:type="dxa"/>
            <w:gridSpan w:val="5"/>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年度目标完成情况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943" w:type="dxa"/>
            <w:vMerge w:val="continue"/>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54" w:type="dxa"/>
            <w:vMerge w:val="continue"/>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3298" w:type="dxa"/>
            <w:gridSpan w:val="5"/>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通过聘请专业风险评估机构进行风险评估，完善决策程序，有效化解政策调整风险。　</w:t>
            </w:r>
          </w:p>
        </w:tc>
        <w:tc>
          <w:tcPr>
            <w:tcW w:w="4079" w:type="dxa"/>
            <w:gridSpan w:val="5"/>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按照《广元市人民政府关于引发重大行政决策程序规范的通知》广府发【2020】05号文件规定，聘请专业风险评估机构进行风险评估。60个工作日内公开招标了3家评估公司，出具了3个风险评估报告，均为低风险，共计支出4.34万元，参保群众满意度95%。通过项目实施，有效加快了构建全领域、全流程的基金安全防控机制，深入推进医保基金监管制度体系改革，守住了基金安全红线，维护社会公平正义，持续为人民群众健康权益保驾护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943" w:type="dxa"/>
            <w:vMerge w:val="continue"/>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54"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377" w:type="dxa"/>
            <w:gridSpan w:val="10"/>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一是采用采购询价的方式公开招标评估公司；二是对相关政策进行社会稳定风险评估，并出具评估报告，通过审查，拿到备案。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943" w:type="dxa"/>
            <w:vMerge w:val="restart"/>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情况</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（10分）</w:t>
            </w:r>
          </w:p>
        </w:tc>
        <w:tc>
          <w:tcPr>
            <w:tcW w:w="854"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年度预算数（万元）</w:t>
            </w:r>
          </w:p>
        </w:tc>
        <w:tc>
          <w:tcPr>
            <w:tcW w:w="776"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年初预算</w:t>
            </w:r>
          </w:p>
        </w:tc>
        <w:tc>
          <w:tcPr>
            <w:tcW w:w="787"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调整后预算数</w:t>
            </w:r>
          </w:p>
        </w:tc>
        <w:tc>
          <w:tcPr>
            <w:tcW w:w="1735" w:type="dxa"/>
            <w:gridSpan w:val="3"/>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预算执行数</w:t>
            </w:r>
          </w:p>
        </w:tc>
        <w:tc>
          <w:tcPr>
            <w:tcW w:w="938"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预算执行率</w:t>
            </w:r>
          </w:p>
        </w:tc>
        <w:tc>
          <w:tcPr>
            <w:tcW w:w="555"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权重%</w:t>
            </w:r>
          </w:p>
        </w:tc>
        <w:tc>
          <w:tcPr>
            <w:tcW w:w="667"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部门自评得分</w:t>
            </w:r>
          </w:p>
        </w:tc>
        <w:tc>
          <w:tcPr>
            <w:tcW w:w="578"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财政部门科室复评得分</w:t>
            </w:r>
          </w:p>
        </w:tc>
        <w:tc>
          <w:tcPr>
            <w:tcW w:w="1341"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943" w:type="dxa"/>
            <w:vMerge w:val="continue"/>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54"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总额</w:t>
            </w:r>
          </w:p>
        </w:tc>
        <w:tc>
          <w:tcPr>
            <w:tcW w:w="776"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5.00</w:t>
            </w:r>
          </w:p>
        </w:tc>
        <w:tc>
          <w:tcPr>
            <w:tcW w:w="787"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5.00</w:t>
            </w:r>
          </w:p>
        </w:tc>
        <w:tc>
          <w:tcPr>
            <w:tcW w:w="1735" w:type="dxa"/>
            <w:gridSpan w:val="3"/>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4.34</w:t>
            </w:r>
          </w:p>
        </w:tc>
        <w:tc>
          <w:tcPr>
            <w:tcW w:w="938"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87.00%</w:t>
            </w:r>
          </w:p>
        </w:tc>
        <w:tc>
          <w:tcPr>
            <w:tcW w:w="555"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67"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8.7</w:t>
            </w:r>
          </w:p>
        </w:tc>
        <w:tc>
          <w:tcPr>
            <w:tcW w:w="578"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341" w:type="dxa"/>
            <w:vMerge w:val="restart"/>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6"/>
                <w:kern w:val="0"/>
                <w:sz w:val="18"/>
                <w:szCs w:val="18"/>
                <w:u w:val="none"/>
                <w:lang w:val="en-US" w:eastAsia="zh-CN" w:bidi="ar"/>
                <w14:textFill>
                  <w14:solidFill>
                    <w14:schemeClr w14:val="tx1"/>
                  </w14:solidFill>
                </w14:textFill>
              </w:rPr>
              <w:t>绩效目标编制不够精准，导致年初预算的评估费用结余，影响了资金支付进度，预算执行率低于90%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943" w:type="dxa"/>
            <w:vMerge w:val="continue"/>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54"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其中：财政资金</w:t>
            </w:r>
          </w:p>
        </w:tc>
        <w:tc>
          <w:tcPr>
            <w:tcW w:w="776"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5.00</w:t>
            </w:r>
          </w:p>
        </w:tc>
        <w:tc>
          <w:tcPr>
            <w:tcW w:w="787"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5.00</w:t>
            </w:r>
          </w:p>
        </w:tc>
        <w:tc>
          <w:tcPr>
            <w:tcW w:w="1735" w:type="dxa"/>
            <w:gridSpan w:val="3"/>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4.34</w:t>
            </w:r>
          </w:p>
        </w:tc>
        <w:tc>
          <w:tcPr>
            <w:tcW w:w="938"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87.00%</w:t>
            </w:r>
          </w:p>
        </w:tc>
        <w:tc>
          <w:tcPr>
            <w:tcW w:w="555"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67"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578"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341" w:type="dxa"/>
            <w:vMerge w:val="continue"/>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943" w:type="dxa"/>
            <w:vMerge w:val="restart"/>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绩效指标（90分）</w:t>
            </w:r>
          </w:p>
        </w:tc>
        <w:tc>
          <w:tcPr>
            <w:tcW w:w="854"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一级指标</w:t>
            </w:r>
          </w:p>
        </w:tc>
        <w:tc>
          <w:tcPr>
            <w:tcW w:w="776"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二级指标</w:t>
            </w:r>
          </w:p>
        </w:tc>
        <w:tc>
          <w:tcPr>
            <w:tcW w:w="787"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三级指标</w:t>
            </w:r>
          </w:p>
        </w:tc>
        <w:tc>
          <w:tcPr>
            <w:tcW w:w="425"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指标性质</w:t>
            </w:r>
          </w:p>
        </w:tc>
        <w:tc>
          <w:tcPr>
            <w:tcW w:w="802"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指标值</w:t>
            </w:r>
          </w:p>
        </w:tc>
        <w:tc>
          <w:tcPr>
            <w:tcW w:w="508"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度量单位</w:t>
            </w:r>
          </w:p>
        </w:tc>
        <w:tc>
          <w:tcPr>
            <w:tcW w:w="938"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完成值</w:t>
            </w:r>
          </w:p>
        </w:tc>
        <w:tc>
          <w:tcPr>
            <w:tcW w:w="555"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权重</w:t>
            </w:r>
          </w:p>
        </w:tc>
        <w:tc>
          <w:tcPr>
            <w:tcW w:w="667"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部门自评得分</w:t>
            </w:r>
          </w:p>
        </w:tc>
        <w:tc>
          <w:tcPr>
            <w:tcW w:w="578"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财政部门科室复评得分</w:t>
            </w:r>
          </w:p>
        </w:tc>
        <w:tc>
          <w:tcPr>
            <w:tcW w:w="1341"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未完成原因分析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943" w:type="dxa"/>
            <w:vMerge w:val="continue"/>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54"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776"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5"/>
                <w:rFonts w:hint="eastAsia" w:ascii="宋体" w:hAnsi="宋体" w:eastAsia="宋体" w:cs="宋体"/>
                <w:b w:val="0"/>
                <w:bCs w:val="0"/>
                <w:color w:val="000000" w:themeColor="text1"/>
                <w:sz w:val="18"/>
                <w:szCs w:val="18"/>
                <w:lang w:val="en-US" w:eastAsia="zh-CN" w:bidi="ar"/>
                <w14:textFill>
                  <w14:solidFill>
                    <w14:schemeClr w14:val="tx1"/>
                  </w14:solidFill>
                </w14:textFill>
              </w:rPr>
              <w:t>时效指标</w:t>
            </w:r>
          </w:p>
        </w:tc>
        <w:tc>
          <w:tcPr>
            <w:tcW w:w="787"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5"/>
                <w:rFonts w:hint="eastAsia" w:ascii="宋体" w:hAnsi="宋体" w:eastAsia="宋体" w:cs="宋体"/>
                <w:b w:val="0"/>
                <w:bCs w:val="0"/>
                <w:color w:val="000000" w:themeColor="text1"/>
                <w:sz w:val="18"/>
                <w:szCs w:val="18"/>
                <w:lang w:val="en-US" w:eastAsia="zh-CN" w:bidi="ar"/>
                <w14:textFill>
                  <w14:solidFill>
                    <w14:schemeClr w14:val="tx1"/>
                  </w14:solidFill>
                </w14:textFill>
              </w:rPr>
              <w:t>评估报告出具时间</w:t>
            </w:r>
          </w:p>
        </w:tc>
        <w:tc>
          <w:tcPr>
            <w:tcW w:w="425"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5"/>
                <w:rFonts w:hint="eastAsia" w:ascii="宋体" w:hAnsi="宋体" w:eastAsia="宋体" w:cs="宋体"/>
                <w:b w:val="0"/>
                <w:bCs w:val="0"/>
                <w:color w:val="000000" w:themeColor="text1"/>
                <w:sz w:val="18"/>
                <w:szCs w:val="18"/>
                <w:lang w:val="en-US" w:eastAsia="zh-CN" w:bidi="ar"/>
                <w14:textFill>
                  <w14:solidFill>
                    <w14:schemeClr w14:val="tx1"/>
                  </w14:solidFill>
                </w14:textFill>
              </w:rPr>
              <w:t>≤</w:t>
            </w:r>
          </w:p>
        </w:tc>
        <w:tc>
          <w:tcPr>
            <w:tcW w:w="802"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90</w:t>
            </w:r>
          </w:p>
        </w:tc>
        <w:tc>
          <w:tcPr>
            <w:tcW w:w="508"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个工作日</w:t>
            </w:r>
          </w:p>
        </w:tc>
        <w:tc>
          <w:tcPr>
            <w:tcW w:w="938" w:type="dxa"/>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60日</w:t>
            </w:r>
          </w:p>
        </w:tc>
        <w:tc>
          <w:tcPr>
            <w:tcW w:w="555"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667"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578"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341"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943" w:type="dxa"/>
            <w:vMerge w:val="continue"/>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54"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776"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5"/>
                <w:rFonts w:hint="eastAsia" w:ascii="宋体" w:hAnsi="宋体" w:eastAsia="宋体" w:cs="宋体"/>
                <w:b w:val="0"/>
                <w:bCs w:val="0"/>
                <w:color w:val="000000" w:themeColor="text1"/>
                <w:sz w:val="18"/>
                <w:szCs w:val="18"/>
                <w:lang w:val="en-US" w:eastAsia="zh-CN" w:bidi="ar"/>
                <w14:textFill>
                  <w14:solidFill>
                    <w14:schemeClr w14:val="tx1"/>
                  </w14:solidFill>
                </w14:textFill>
              </w:rPr>
              <w:t>成本指标</w:t>
            </w:r>
          </w:p>
        </w:tc>
        <w:tc>
          <w:tcPr>
            <w:tcW w:w="787"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5"/>
                <w:rFonts w:hint="eastAsia" w:ascii="宋体" w:hAnsi="宋体" w:eastAsia="宋体" w:cs="宋体"/>
                <w:b w:val="0"/>
                <w:bCs w:val="0"/>
                <w:color w:val="000000" w:themeColor="text1"/>
                <w:sz w:val="18"/>
                <w:szCs w:val="18"/>
                <w:lang w:val="en-US" w:eastAsia="zh-CN" w:bidi="ar"/>
                <w14:textFill>
                  <w14:solidFill>
                    <w14:schemeClr w14:val="tx1"/>
                  </w14:solidFill>
                </w14:textFill>
              </w:rPr>
              <w:t>评估服务合同价格</w:t>
            </w:r>
          </w:p>
        </w:tc>
        <w:tc>
          <w:tcPr>
            <w:tcW w:w="425"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5"/>
                <w:rFonts w:hint="eastAsia" w:ascii="宋体" w:hAnsi="宋体" w:eastAsia="宋体" w:cs="宋体"/>
                <w:b w:val="0"/>
                <w:bCs w:val="0"/>
                <w:color w:val="000000" w:themeColor="text1"/>
                <w:sz w:val="18"/>
                <w:szCs w:val="18"/>
                <w:lang w:val="en-US" w:eastAsia="zh-CN" w:bidi="ar"/>
                <w14:textFill>
                  <w14:solidFill>
                    <w14:schemeClr w14:val="tx1"/>
                  </w14:solidFill>
                </w14:textFill>
              </w:rPr>
              <w:t>≤</w:t>
            </w:r>
          </w:p>
        </w:tc>
        <w:tc>
          <w:tcPr>
            <w:tcW w:w="802"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50000</w:t>
            </w:r>
          </w:p>
        </w:tc>
        <w:tc>
          <w:tcPr>
            <w:tcW w:w="508"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元</w:t>
            </w:r>
          </w:p>
        </w:tc>
        <w:tc>
          <w:tcPr>
            <w:tcW w:w="938" w:type="dxa"/>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43400元</w:t>
            </w:r>
          </w:p>
        </w:tc>
        <w:tc>
          <w:tcPr>
            <w:tcW w:w="555"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67"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78"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341"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943" w:type="dxa"/>
            <w:vMerge w:val="continue"/>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54"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776"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5"/>
                <w:rFonts w:hint="eastAsia" w:ascii="宋体" w:hAnsi="宋体" w:eastAsia="宋体" w:cs="宋体"/>
                <w:b w:val="0"/>
                <w:bCs w:val="0"/>
                <w:color w:val="000000" w:themeColor="text1"/>
                <w:sz w:val="18"/>
                <w:szCs w:val="18"/>
                <w:lang w:val="en-US" w:eastAsia="zh-CN" w:bidi="ar"/>
                <w14:textFill>
                  <w14:solidFill>
                    <w14:schemeClr w14:val="tx1"/>
                  </w14:solidFill>
                </w14:textFill>
              </w:rPr>
              <w:t>数量指标</w:t>
            </w:r>
          </w:p>
        </w:tc>
        <w:tc>
          <w:tcPr>
            <w:tcW w:w="787"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5"/>
                <w:rFonts w:hint="eastAsia" w:ascii="宋体" w:hAnsi="宋体" w:eastAsia="宋体" w:cs="宋体"/>
                <w:b w:val="0"/>
                <w:bCs w:val="0"/>
                <w:color w:val="000000" w:themeColor="text1"/>
                <w:sz w:val="18"/>
                <w:szCs w:val="18"/>
                <w:lang w:val="en-US" w:eastAsia="zh-CN" w:bidi="ar"/>
                <w14:textFill>
                  <w14:solidFill>
                    <w14:schemeClr w14:val="tx1"/>
                  </w14:solidFill>
                </w14:textFill>
              </w:rPr>
              <w:t>公开招标评估公司</w:t>
            </w:r>
          </w:p>
        </w:tc>
        <w:tc>
          <w:tcPr>
            <w:tcW w:w="425"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5"/>
                <w:rFonts w:hint="eastAsia" w:ascii="宋体" w:hAnsi="宋体" w:eastAsia="宋体" w:cs="宋体"/>
                <w:b w:val="0"/>
                <w:bCs w:val="0"/>
                <w:color w:val="000000" w:themeColor="text1"/>
                <w:sz w:val="18"/>
                <w:szCs w:val="18"/>
                <w:lang w:val="en-US" w:eastAsia="zh-CN" w:bidi="ar"/>
                <w14:textFill>
                  <w14:solidFill>
                    <w14:schemeClr w14:val="tx1"/>
                  </w14:solidFill>
                </w14:textFill>
              </w:rPr>
              <w:t>≥</w:t>
            </w:r>
          </w:p>
        </w:tc>
        <w:tc>
          <w:tcPr>
            <w:tcW w:w="802"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w:t>
            </w:r>
          </w:p>
        </w:tc>
        <w:tc>
          <w:tcPr>
            <w:tcW w:w="508"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个</w:t>
            </w:r>
          </w:p>
        </w:tc>
        <w:tc>
          <w:tcPr>
            <w:tcW w:w="938" w:type="dxa"/>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3个</w:t>
            </w:r>
          </w:p>
        </w:tc>
        <w:tc>
          <w:tcPr>
            <w:tcW w:w="555"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667"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578"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341"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943" w:type="dxa"/>
            <w:vMerge w:val="continue"/>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54"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效益指标</w:t>
            </w:r>
          </w:p>
        </w:tc>
        <w:tc>
          <w:tcPr>
            <w:tcW w:w="776"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5"/>
                <w:rFonts w:hint="eastAsia" w:ascii="宋体" w:hAnsi="宋体" w:eastAsia="宋体" w:cs="宋体"/>
                <w:b w:val="0"/>
                <w:bCs w:val="0"/>
                <w:color w:val="000000" w:themeColor="text1"/>
                <w:sz w:val="18"/>
                <w:szCs w:val="18"/>
                <w:lang w:val="en-US" w:eastAsia="zh-CN" w:bidi="ar"/>
                <w14:textFill>
                  <w14:solidFill>
                    <w14:schemeClr w14:val="tx1"/>
                  </w14:solidFill>
                </w14:textFill>
              </w:rPr>
              <w:t>社会效益指标</w:t>
            </w:r>
          </w:p>
        </w:tc>
        <w:tc>
          <w:tcPr>
            <w:tcW w:w="787"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5"/>
                <w:rFonts w:hint="eastAsia" w:ascii="宋体" w:hAnsi="宋体" w:eastAsia="宋体" w:cs="宋体"/>
                <w:b w:val="0"/>
                <w:bCs w:val="0"/>
                <w:color w:val="000000" w:themeColor="text1"/>
                <w:sz w:val="18"/>
                <w:szCs w:val="18"/>
                <w:lang w:val="en-US" w:eastAsia="zh-CN" w:bidi="ar"/>
                <w14:textFill>
                  <w14:solidFill>
                    <w14:schemeClr w14:val="tx1"/>
                  </w14:solidFill>
                </w14:textFill>
              </w:rPr>
              <w:t>评估社会风险</w:t>
            </w:r>
          </w:p>
        </w:tc>
        <w:tc>
          <w:tcPr>
            <w:tcW w:w="425"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5"/>
                <w:rFonts w:hint="eastAsia" w:ascii="宋体" w:hAnsi="宋体" w:eastAsia="宋体" w:cs="宋体"/>
                <w:b w:val="0"/>
                <w:bCs w:val="0"/>
                <w:color w:val="000000" w:themeColor="text1"/>
                <w:sz w:val="18"/>
                <w:szCs w:val="18"/>
                <w:lang w:val="en-US" w:eastAsia="zh-CN" w:bidi="ar"/>
                <w14:textFill>
                  <w14:solidFill>
                    <w14:schemeClr w14:val="tx1"/>
                  </w14:solidFill>
                </w14:textFill>
              </w:rPr>
              <w:t>定性</w:t>
            </w:r>
          </w:p>
        </w:tc>
        <w:tc>
          <w:tcPr>
            <w:tcW w:w="802"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高中低</w:t>
            </w:r>
          </w:p>
        </w:tc>
        <w:tc>
          <w:tcPr>
            <w:tcW w:w="508"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38" w:type="dxa"/>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低</w:t>
            </w:r>
          </w:p>
        </w:tc>
        <w:tc>
          <w:tcPr>
            <w:tcW w:w="555"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67"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78"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341"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943" w:type="dxa"/>
            <w:vMerge w:val="continue"/>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54"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776"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5"/>
                <w:rFonts w:hint="eastAsia" w:ascii="宋体" w:hAnsi="宋体" w:eastAsia="宋体" w:cs="宋体"/>
                <w:b w:val="0"/>
                <w:bCs w:val="0"/>
                <w:color w:val="000000" w:themeColor="text1"/>
                <w:sz w:val="18"/>
                <w:szCs w:val="18"/>
                <w:lang w:val="en-US" w:eastAsia="zh-CN" w:bidi="ar"/>
                <w14:textFill>
                  <w14:solidFill>
                    <w14:schemeClr w14:val="tx1"/>
                  </w14:solidFill>
                </w14:textFill>
              </w:rPr>
              <w:t>质量指标</w:t>
            </w:r>
          </w:p>
        </w:tc>
        <w:tc>
          <w:tcPr>
            <w:tcW w:w="787"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5"/>
                <w:rFonts w:hint="eastAsia" w:ascii="宋体" w:hAnsi="宋体" w:eastAsia="宋体" w:cs="宋体"/>
                <w:b w:val="0"/>
                <w:bCs w:val="0"/>
                <w:color w:val="000000" w:themeColor="text1"/>
                <w:spacing w:val="-17"/>
                <w:w w:val="96"/>
                <w:sz w:val="18"/>
                <w:szCs w:val="18"/>
                <w:lang w:val="en-US" w:eastAsia="zh-CN" w:bidi="ar"/>
                <w14:textFill>
                  <w14:solidFill>
                    <w14:schemeClr w14:val="tx1"/>
                  </w14:solidFill>
                </w14:textFill>
              </w:rPr>
              <w:t>评估验收报告通过率</w:t>
            </w:r>
          </w:p>
        </w:tc>
        <w:tc>
          <w:tcPr>
            <w:tcW w:w="425"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5"/>
                <w:rFonts w:hint="eastAsia" w:ascii="宋体" w:hAnsi="宋体" w:eastAsia="宋体" w:cs="宋体"/>
                <w:b w:val="0"/>
                <w:bCs w:val="0"/>
                <w:color w:val="000000" w:themeColor="text1"/>
                <w:sz w:val="18"/>
                <w:szCs w:val="18"/>
                <w:lang w:val="en-US" w:eastAsia="zh-CN" w:bidi="ar"/>
                <w14:textFill>
                  <w14:solidFill>
                    <w14:schemeClr w14:val="tx1"/>
                  </w14:solidFill>
                </w14:textFill>
              </w:rPr>
              <w:t>≥</w:t>
            </w:r>
          </w:p>
        </w:tc>
        <w:tc>
          <w:tcPr>
            <w:tcW w:w="802"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95</w:t>
            </w:r>
          </w:p>
        </w:tc>
        <w:tc>
          <w:tcPr>
            <w:tcW w:w="508"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938" w:type="dxa"/>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95</w:t>
            </w:r>
          </w:p>
        </w:tc>
        <w:tc>
          <w:tcPr>
            <w:tcW w:w="555"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667"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578"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341"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943" w:type="dxa"/>
            <w:vMerge w:val="continue"/>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54"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pacing w:val="-1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满意度指标</w:t>
            </w:r>
          </w:p>
        </w:tc>
        <w:tc>
          <w:tcPr>
            <w:tcW w:w="776"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pacing w:val="-11"/>
                <w:sz w:val="18"/>
                <w:szCs w:val="18"/>
                <w:u w:val="none"/>
                <w14:textFill>
                  <w14:solidFill>
                    <w14:schemeClr w14:val="tx1"/>
                  </w14:solidFill>
                </w14:textFill>
              </w:rPr>
            </w:pPr>
            <w:r>
              <w:rPr>
                <w:rStyle w:val="45"/>
                <w:rFonts w:hint="eastAsia" w:ascii="宋体" w:hAnsi="宋体" w:eastAsia="宋体" w:cs="宋体"/>
                <w:b w:val="0"/>
                <w:bCs w:val="0"/>
                <w:color w:val="000000" w:themeColor="text1"/>
                <w:spacing w:val="-17"/>
                <w:sz w:val="18"/>
                <w:szCs w:val="18"/>
                <w:lang w:val="en-US" w:eastAsia="zh-CN" w:bidi="ar"/>
                <w14:textFill>
                  <w14:solidFill>
                    <w14:schemeClr w14:val="tx1"/>
                  </w14:solidFill>
                </w14:textFill>
              </w:rPr>
              <w:t>服务对象满意度指标</w:t>
            </w:r>
          </w:p>
        </w:tc>
        <w:tc>
          <w:tcPr>
            <w:tcW w:w="787"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5"/>
                <w:rFonts w:hint="eastAsia" w:ascii="宋体" w:hAnsi="宋体" w:eastAsia="宋体" w:cs="宋体"/>
                <w:b w:val="0"/>
                <w:bCs w:val="0"/>
                <w:color w:val="000000" w:themeColor="text1"/>
                <w:sz w:val="18"/>
                <w:szCs w:val="18"/>
                <w:lang w:val="en-US" w:eastAsia="zh-CN" w:bidi="ar"/>
                <w14:textFill>
                  <w14:solidFill>
                    <w14:schemeClr w14:val="tx1"/>
                  </w14:solidFill>
                </w14:textFill>
              </w:rPr>
              <w:t>参保群众满意度</w:t>
            </w:r>
          </w:p>
        </w:tc>
        <w:tc>
          <w:tcPr>
            <w:tcW w:w="425"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5"/>
                <w:rFonts w:hint="eastAsia" w:ascii="宋体" w:hAnsi="宋体" w:eastAsia="宋体" w:cs="宋体"/>
                <w:b w:val="0"/>
                <w:bCs w:val="0"/>
                <w:color w:val="000000" w:themeColor="text1"/>
                <w:sz w:val="18"/>
                <w:szCs w:val="18"/>
                <w:lang w:val="en-US" w:eastAsia="zh-CN" w:bidi="ar"/>
                <w14:textFill>
                  <w14:solidFill>
                    <w14:schemeClr w14:val="tx1"/>
                  </w14:solidFill>
                </w14:textFill>
              </w:rPr>
              <w:t>≥</w:t>
            </w:r>
          </w:p>
        </w:tc>
        <w:tc>
          <w:tcPr>
            <w:tcW w:w="802"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90</w:t>
            </w:r>
          </w:p>
        </w:tc>
        <w:tc>
          <w:tcPr>
            <w:tcW w:w="508"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938" w:type="dxa"/>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95</w:t>
            </w:r>
          </w:p>
        </w:tc>
        <w:tc>
          <w:tcPr>
            <w:tcW w:w="555"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67"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78"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341"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943" w:type="dxa"/>
            <w:vMerge w:val="continue"/>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54"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776"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787"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425"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02"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508"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38"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555"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667"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578"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341"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6033" w:type="dxa"/>
            <w:gridSpan w:val="8"/>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合计</w:t>
            </w:r>
          </w:p>
        </w:tc>
        <w:tc>
          <w:tcPr>
            <w:tcW w:w="555"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667"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98.7</w:t>
            </w:r>
          </w:p>
        </w:tc>
        <w:tc>
          <w:tcPr>
            <w:tcW w:w="578"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341" w:type="dxa"/>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943"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部门（单位）自评结论</w:t>
            </w:r>
          </w:p>
        </w:tc>
        <w:tc>
          <w:tcPr>
            <w:tcW w:w="8231" w:type="dxa"/>
            <w:gridSpan w:val="11"/>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合计98.7分,60个工作日内公开招标了3家评估公司，出具了3个风险评估报告，均为低风险，共计支出4.34万元，参保群众满意度95%。通过项目实施，有效加快了构建全领域、全流程的基金安全防控机制，深入推进医保基金监管制度体系改革，守住了基金安全红线，维护社会公平正义，持续为人民群众健康权益保驾护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3"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部门（单位）自评存在</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问题</w:t>
            </w:r>
          </w:p>
        </w:tc>
        <w:tc>
          <w:tcPr>
            <w:tcW w:w="8231" w:type="dxa"/>
            <w:gridSpan w:val="11"/>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绩效目标编制不够精准，导致年初预算的评估费用结余，影响了资金支付进度，预算执行率低于90%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3" w:type="dxa"/>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部门（单位）自评改进</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措施</w:t>
            </w:r>
          </w:p>
        </w:tc>
        <w:tc>
          <w:tcPr>
            <w:tcW w:w="8231" w:type="dxa"/>
            <w:gridSpan w:val="11"/>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1.做好年度项目预算，确保项目工作顺利开展。</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2.加强和细化项目的管理。</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3.细化项目的申报和支付流程。                                                                                                                                                 4.加大部门绩效目标编制工作，进一步将绩效目标编制更准确、精细，加强绩效目标和使用进度双监控，提高资金使用效率。</w:t>
            </w:r>
          </w:p>
        </w:tc>
      </w:tr>
    </w:tbl>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color w:val="000000" w:themeColor="text1"/>
          <w14:textFill>
            <w14:solidFill>
              <w14:schemeClr w14:val="tx1"/>
            </w14:solidFill>
          </w14:textFill>
        </w:rPr>
        <w:br w:type="page"/>
      </w: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预算项目支出绩效目标自评表</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（2022年度）</w:t>
      </w:r>
    </w:p>
    <w:p>
      <w:pPr>
        <w:pStyle w:val="9"/>
        <w:keepNext w:val="0"/>
        <w:keepLines w:val="0"/>
        <w:pageBreakBefore w:val="0"/>
        <w:widowControl w:val="0"/>
        <w:kinsoku/>
        <w:wordWrap/>
        <w:overflowPunct/>
        <w:topLinePunct w:val="0"/>
        <w:autoSpaceDE/>
        <w:autoSpaceDN/>
        <w:bidi w:val="0"/>
        <w:adjustRightInd/>
        <w:snapToGrid/>
        <w:spacing w:after="0" w:line="400" w:lineRule="exact"/>
        <w:ind w:left="0"/>
        <w:jc w:val="center"/>
        <w:textAlignment w:val="auto"/>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p>
    <w:tbl>
      <w:tblPr>
        <w:tblStyle w:val="19"/>
        <w:tblW w:w="907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0"/>
        <w:gridCol w:w="843"/>
        <w:gridCol w:w="837"/>
        <w:gridCol w:w="847"/>
        <w:gridCol w:w="425"/>
        <w:gridCol w:w="664"/>
        <w:gridCol w:w="462"/>
        <w:gridCol w:w="825"/>
        <w:gridCol w:w="657"/>
        <w:gridCol w:w="593"/>
        <w:gridCol w:w="650"/>
        <w:gridCol w:w="14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项目名称</w:t>
            </w:r>
          </w:p>
        </w:tc>
        <w:tc>
          <w:tcPr>
            <w:tcW w:w="7398" w:type="dxa"/>
            <w:gridSpan w:val="10"/>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医疗保障档案规范化整理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主管部门（盖章）</w:t>
            </w:r>
          </w:p>
        </w:tc>
        <w:tc>
          <w:tcPr>
            <w:tcW w:w="3235"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广元市医疗保障局</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实施单位 （盖章）</w:t>
            </w:r>
          </w:p>
        </w:tc>
        <w:tc>
          <w:tcPr>
            <w:tcW w:w="3338"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广元市医疗保障局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项目基本情况</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1.项目年度目标完成情况</w:t>
            </w:r>
          </w:p>
        </w:tc>
        <w:tc>
          <w:tcPr>
            <w:tcW w:w="3235"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项目年度目标</w:t>
            </w:r>
          </w:p>
        </w:tc>
        <w:tc>
          <w:tcPr>
            <w:tcW w:w="4163"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3235"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规范档案管理，为经济活动、基金支出等提供依据和凭证。</w:t>
            </w:r>
          </w:p>
        </w:tc>
        <w:tc>
          <w:tcPr>
            <w:tcW w:w="4163"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6"/>
                <w:kern w:val="0"/>
                <w:sz w:val="18"/>
                <w:szCs w:val="18"/>
                <w:u w:val="none"/>
                <w:lang w:val="en-US" w:eastAsia="zh-CN" w:bidi="ar"/>
                <w14:textFill>
                  <w14:solidFill>
                    <w14:schemeClr w14:val="tx1"/>
                  </w14:solidFill>
                </w14:textFill>
              </w:rPr>
              <w:t>截至年底，规范化整理文书档案1306件，业务档案137400件，发文汇集598件，照片54张、实物档案6件，共支出16.8万元。项目均完成了整理工作，为后期参保群众提供快捷、方便查询服务，为我局档案管理工作提高了更好的工作效率，群众满意率达98%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398" w:type="dxa"/>
            <w:gridSpan w:val="10"/>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文书档案整理根据《国家8号令》与我局制定的保管期限表进行鉴定永久、30年、10年保存，按照《归档文件整理规则》进行录入、编号、装钉、装盒、上架。业务档案根据《社会保险业务档案管理规定（试行）》、（第3号令）、《关于印发四川省社会保险业务档案管理实施细则（试行）的通知》、《医疗、征缴和生育保险业务档案分类方案》，分为6大类：（1）社会保险管理类；（2）社会保险费征缴类；（3）医疗保险待遇类；（4）生育保险待遇类；（5）社会保险业务统计报表类；（6）社会保险稽核监管类。保管期限分为：永久、100年、50年、30年、10年。按照《实施细则》对标整理、组卷、录入、装订、上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预算执行情况</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（10分）</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年度预算数（万元）</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年初</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调整后预算数</w:t>
            </w:r>
          </w:p>
        </w:tc>
        <w:tc>
          <w:tcPr>
            <w:tcW w:w="1551"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预算执行数</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执行率</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权重%</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部门自评得分</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pacing w:val="-1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财政部门科室复评得分</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总额</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18.00</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18.00</w:t>
            </w:r>
          </w:p>
        </w:tc>
        <w:tc>
          <w:tcPr>
            <w:tcW w:w="1551"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16.80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93.00%</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pacing w:val="-11"/>
                <w:sz w:val="18"/>
                <w:szCs w:val="18"/>
                <w:u w:val="none"/>
                <w14:textFill>
                  <w14:solidFill>
                    <w14:schemeClr w14:val="tx1"/>
                  </w14:solidFill>
                </w14:textFill>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其中：财政资金</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18.00</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18.00</w:t>
            </w:r>
          </w:p>
        </w:tc>
        <w:tc>
          <w:tcPr>
            <w:tcW w:w="1551"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16.80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93.00%</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pacing w:val="-11"/>
                <w:sz w:val="18"/>
                <w:szCs w:val="18"/>
                <w:u w:val="none"/>
                <w14:textFill>
                  <w14:solidFill>
                    <w14:schemeClr w14:val="tx1"/>
                  </w14:solidFill>
                </w14:textFill>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绩效指标（90分）</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一级指标</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二级指标</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三级指标</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指标性质</w:t>
            </w:r>
          </w:p>
        </w:tc>
        <w:tc>
          <w:tcPr>
            <w:tcW w:w="664"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指标值</w:t>
            </w:r>
          </w:p>
        </w:tc>
        <w:tc>
          <w:tcPr>
            <w:tcW w:w="462"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度量</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完成值</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权重</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部门自评得分</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pacing w:val="-1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财政部门科室复评得分</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3"/>
                <w:rFonts w:hint="eastAsia" w:ascii="宋体" w:hAnsi="宋体" w:eastAsia="宋体" w:cs="宋体"/>
                <w:b w:val="0"/>
                <w:bCs w:val="0"/>
                <w:color w:val="000000" w:themeColor="text1"/>
                <w:sz w:val="18"/>
                <w:szCs w:val="18"/>
                <w:lang w:val="en-US" w:eastAsia="zh-CN" w:bidi="ar"/>
                <w14:textFill>
                  <w14:solidFill>
                    <w14:schemeClr w14:val="tx1"/>
                  </w14:solidFill>
                </w14:textFill>
              </w:rPr>
              <w:t>产出指标</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3"/>
                <w:rFonts w:hint="eastAsia" w:ascii="宋体" w:hAnsi="宋体" w:eastAsia="宋体" w:cs="宋体"/>
                <w:b w:val="0"/>
                <w:bCs w:val="0"/>
                <w:color w:val="000000" w:themeColor="text1"/>
                <w:sz w:val="18"/>
                <w:szCs w:val="18"/>
                <w:lang w:val="en-US" w:eastAsia="zh-CN" w:bidi="ar"/>
                <w14:textFill>
                  <w14:solidFill>
                    <w14:schemeClr w14:val="tx1"/>
                  </w14:solidFill>
                </w14:textFill>
              </w:rPr>
              <w:t>数量指标</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3"/>
                <w:rFonts w:hint="eastAsia" w:ascii="宋体" w:hAnsi="宋体" w:eastAsia="宋体" w:cs="宋体"/>
                <w:b w:val="0"/>
                <w:bCs w:val="0"/>
                <w:color w:val="000000" w:themeColor="text1"/>
                <w:sz w:val="18"/>
                <w:szCs w:val="18"/>
                <w:lang w:val="en-US" w:eastAsia="zh-CN" w:bidi="ar"/>
                <w14:textFill>
                  <w14:solidFill>
                    <w14:schemeClr w14:val="tx1"/>
                  </w14:solidFill>
                </w14:textFill>
              </w:rPr>
              <w:t>文书档案整理数</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3"/>
                <w:rFonts w:hint="eastAsia" w:ascii="宋体" w:hAnsi="宋体" w:eastAsia="宋体" w:cs="宋体"/>
                <w:b w:val="0"/>
                <w:bCs w:val="0"/>
                <w:color w:val="000000" w:themeColor="text1"/>
                <w:sz w:val="18"/>
                <w:szCs w:val="18"/>
                <w:lang w:val="en-US" w:eastAsia="zh-CN" w:bidi="ar"/>
                <w14:textFill>
                  <w14:solidFill>
                    <w14:schemeClr w14:val="tx1"/>
                  </w14:solidFill>
                </w14:textFill>
              </w:rPr>
              <w:t>≥</w:t>
            </w:r>
          </w:p>
        </w:tc>
        <w:tc>
          <w:tcPr>
            <w:tcW w:w="664"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1000</w:t>
            </w:r>
          </w:p>
        </w:tc>
        <w:tc>
          <w:tcPr>
            <w:tcW w:w="462"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1306</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3"/>
                <w:rFonts w:hint="eastAsia" w:ascii="宋体" w:hAnsi="宋体" w:eastAsia="宋体" w:cs="宋体"/>
                <w:b w:val="0"/>
                <w:bCs w:val="0"/>
                <w:color w:val="000000" w:themeColor="text1"/>
                <w:sz w:val="18"/>
                <w:szCs w:val="18"/>
                <w:lang w:val="en-US" w:eastAsia="zh-CN" w:bidi="ar"/>
                <w14:textFill>
                  <w14:solidFill>
                    <w14:schemeClr w14:val="tx1"/>
                  </w14:solidFill>
                </w14:textFill>
              </w:rPr>
              <w:t>产出指标</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3"/>
                <w:rFonts w:hint="eastAsia" w:ascii="宋体" w:hAnsi="宋体" w:eastAsia="宋体" w:cs="宋体"/>
                <w:b w:val="0"/>
                <w:bCs w:val="0"/>
                <w:color w:val="000000" w:themeColor="text1"/>
                <w:sz w:val="18"/>
                <w:szCs w:val="18"/>
                <w:lang w:val="en-US" w:eastAsia="zh-CN" w:bidi="ar"/>
                <w14:textFill>
                  <w14:solidFill>
                    <w14:schemeClr w14:val="tx1"/>
                  </w14:solidFill>
                </w14:textFill>
              </w:rPr>
              <w:t>成本指标</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3"/>
                <w:rFonts w:hint="eastAsia" w:ascii="宋体" w:hAnsi="宋体" w:eastAsia="宋体" w:cs="宋体"/>
                <w:b w:val="0"/>
                <w:bCs w:val="0"/>
                <w:color w:val="000000" w:themeColor="text1"/>
                <w:sz w:val="18"/>
                <w:szCs w:val="18"/>
                <w:lang w:val="en-US" w:eastAsia="zh-CN" w:bidi="ar"/>
                <w14:textFill>
                  <w14:solidFill>
                    <w14:schemeClr w14:val="tx1"/>
                  </w14:solidFill>
                </w14:textFill>
              </w:rPr>
              <w:t>单件业务档案整理金额</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3"/>
                <w:rFonts w:hint="eastAsia" w:ascii="宋体" w:hAnsi="宋体" w:eastAsia="宋体" w:cs="宋体"/>
                <w:b w:val="0"/>
                <w:bCs w:val="0"/>
                <w:color w:val="000000" w:themeColor="text1"/>
                <w:sz w:val="18"/>
                <w:szCs w:val="18"/>
                <w:lang w:val="en-US" w:eastAsia="zh-CN" w:bidi="ar"/>
                <w14:textFill>
                  <w14:solidFill>
                    <w14:schemeClr w14:val="tx1"/>
                  </w14:solidFill>
                </w14:textFill>
              </w:rPr>
              <w:t>≤</w:t>
            </w:r>
          </w:p>
        </w:tc>
        <w:tc>
          <w:tcPr>
            <w:tcW w:w="664"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w:t>
            </w:r>
          </w:p>
        </w:tc>
        <w:tc>
          <w:tcPr>
            <w:tcW w:w="462"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元</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1.5</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3"/>
                <w:rFonts w:hint="eastAsia" w:ascii="宋体" w:hAnsi="宋体" w:eastAsia="宋体" w:cs="宋体"/>
                <w:b w:val="0"/>
                <w:bCs w:val="0"/>
                <w:color w:val="000000" w:themeColor="text1"/>
                <w:sz w:val="18"/>
                <w:szCs w:val="18"/>
                <w:lang w:val="en-US" w:eastAsia="zh-CN" w:bidi="ar"/>
                <w14:textFill>
                  <w14:solidFill>
                    <w14:schemeClr w14:val="tx1"/>
                  </w14:solidFill>
                </w14:textFill>
              </w:rPr>
              <w:t>产出指标</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3"/>
                <w:rFonts w:hint="eastAsia" w:ascii="宋体" w:hAnsi="宋体" w:eastAsia="宋体" w:cs="宋体"/>
                <w:b w:val="0"/>
                <w:bCs w:val="0"/>
                <w:color w:val="000000" w:themeColor="text1"/>
                <w:sz w:val="18"/>
                <w:szCs w:val="18"/>
                <w:lang w:val="en-US" w:eastAsia="zh-CN" w:bidi="ar"/>
                <w14:textFill>
                  <w14:solidFill>
                    <w14:schemeClr w14:val="tx1"/>
                  </w14:solidFill>
                </w14:textFill>
              </w:rPr>
              <w:t>数量指标</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3"/>
                <w:rFonts w:hint="eastAsia" w:ascii="宋体" w:hAnsi="宋体" w:eastAsia="宋体" w:cs="宋体"/>
                <w:b w:val="0"/>
                <w:bCs w:val="0"/>
                <w:color w:val="000000" w:themeColor="text1"/>
                <w:sz w:val="18"/>
                <w:szCs w:val="18"/>
                <w:lang w:val="en-US" w:eastAsia="zh-CN" w:bidi="ar"/>
                <w14:textFill>
                  <w14:solidFill>
                    <w14:schemeClr w14:val="tx1"/>
                  </w14:solidFill>
                </w14:textFill>
              </w:rPr>
              <w:t>业务档案整理数</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3"/>
                <w:rFonts w:hint="eastAsia" w:ascii="宋体" w:hAnsi="宋体" w:eastAsia="宋体" w:cs="宋体"/>
                <w:b w:val="0"/>
                <w:bCs w:val="0"/>
                <w:color w:val="000000" w:themeColor="text1"/>
                <w:sz w:val="18"/>
                <w:szCs w:val="18"/>
                <w:lang w:val="en-US" w:eastAsia="zh-CN" w:bidi="ar"/>
                <w14:textFill>
                  <w14:solidFill>
                    <w14:schemeClr w14:val="tx1"/>
                  </w14:solidFill>
                </w14:textFill>
              </w:rPr>
              <w:t>≥</w:t>
            </w:r>
          </w:p>
        </w:tc>
        <w:tc>
          <w:tcPr>
            <w:tcW w:w="664"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88500</w:t>
            </w:r>
          </w:p>
        </w:tc>
        <w:tc>
          <w:tcPr>
            <w:tcW w:w="462"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137400</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3"/>
                <w:rFonts w:hint="eastAsia" w:ascii="宋体" w:hAnsi="宋体" w:eastAsia="宋体" w:cs="宋体"/>
                <w:b w:val="0"/>
                <w:bCs w:val="0"/>
                <w:color w:val="000000" w:themeColor="text1"/>
                <w:sz w:val="18"/>
                <w:szCs w:val="18"/>
                <w:lang w:val="en-US" w:eastAsia="zh-CN" w:bidi="ar"/>
                <w14:textFill>
                  <w14:solidFill>
                    <w14:schemeClr w14:val="tx1"/>
                  </w14:solidFill>
                </w14:textFill>
              </w:rPr>
              <w:t>效益指标</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3"/>
                <w:rFonts w:hint="eastAsia" w:ascii="宋体" w:hAnsi="宋体" w:eastAsia="宋体" w:cs="宋体"/>
                <w:b w:val="0"/>
                <w:bCs w:val="0"/>
                <w:color w:val="000000" w:themeColor="text1"/>
                <w:sz w:val="18"/>
                <w:szCs w:val="18"/>
                <w:lang w:val="en-US" w:eastAsia="zh-CN" w:bidi="ar"/>
                <w14:textFill>
                  <w14:solidFill>
                    <w14:schemeClr w14:val="tx1"/>
                  </w14:solidFill>
                </w14:textFill>
              </w:rPr>
              <w:t>社会效益指标</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为参保群众提供便捷查询服务率</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3"/>
                <w:rFonts w:hint="eastAsia" w:ascii="宋体" w:hAnsi="宋体" w:eastAsia="宋体" w:cs="宋体"/>
                <w:b w:val="0"/>
                <w:bCs w:val="0"/>
                <w:color w:val="000000" w:themeColor="text1"/>
                <w:sz w:val="18"/>
                <w:szCs w:val="18"/>
                <w:lang w:val="en-US" w:eastAsia="zh-CN" w:bidi="ar"/>
                <w14:textFill>
                  <w14:solidFill>
                    <w14:schemeClr w14:val="tx1"/>
                  </w14:solidFill>
                </w14:textFill>
              </w:rPr>
              <w:t>≥</w:t>
            </w:r>
          </w:p>
        </w:tc>
        <w:tc>
          <w:tcPr>
            <w:tcW w:w="664"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90</w:t>
            </w:r>
          </w:p>
        </w:tc>
        <w:tc>
          <w:tcPr>
            <w:tcW w:w="462"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98%</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3"/>
                <w:rFonts w:hint="eastAsia" w:ascii="宋体" w:hAnsi="宋体" w:eastAsia="宋体" w:cs="宋体"/>
                <w:b w:val="0"/>
                <w:bCs w:val="0"/>
                <w:color w:val="000000" w:themeColor="text1"/>
                <w:sz w:val="18"/>
                <w:szCs w:val="18"/>
                <w:lang w:val="en-US" w:eastAsia="zh-CN" w:bidi="ar"/>
                <w14:textFill>
                  <w14:solidFill>
                    <w14:schemeClr w14:val="tx1"/>
                  </w14:solidFill>
                </w14:textFill>
              </w:rPr>
              <w:t>产出指标</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3"/>
                <w:rFonts w:hint="eastAsia" w:ascii="宋体" w:hAnsi="宋体" w:eastAsia="宋体" w:cs="宋体"/>
                <w:b w:val="0"/>
                <w:bCs w:val="0"/>
                <w:color w:val="000000" w:themeColor="text1"/>
                <w:sz w:val="18"/>
                <w:szCs w:val="18"/>
                <w:lang w:val="en-US" w:eastAsia="zh-CN" w:bidi="ar"/>
                <w14:textFill>
                  <w14:solidFill>
                    <w14:schemeClr w14:val="tx1"/>
                  </w14:solidFill>
                </w14:textFill>
              </w:rPr>
              <w:t>时效指标</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3"/>
                <w:rFonts w:hint="eastAsia" w:ascii="宋体" w:hAnsi="宋体" w:eastAsia="宋体" w:cs="宋体"/>
                <w:b w:val="0"/>
                <w:bCs w:val="0"/>
                <w:color w:val="000000" w:themeColor="text1"/>
                <w:sz w:val="18"/>
                <w:szCs w:val="18"/>
                <w:lang w:val="en-US" w:eastAsia="zh-CN" w:bidi="ar"/>
                <w14:textFill>
                  <w14:solidFill>
                    <w14:schemeClr w14:val="tx1"/>
                  </w14:solidFill>
                </w14:textFill>
              </w:rPr>
              <w:t>完成时间</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3"/>
                <w:rFonts w:hint="eastAsia" w:ascii="宋体" w:hAnsi="宋体" w:eastAsia="宋体" w:cs="宋体"/>
                <w:b w:val="0"/>
                <w:bCs w:val="0"/>
                <w:color w:val="000000" w:themeColor="text1"/>
                <w:sz w:val="18"/>
                <w:szCs w:val="18"/>
                <w:lang w:val="en-US" w:eastAsia="zh-CN" w:bidi="ar"/>
                <w14:textFill>
                  <w14:solidFill>
                    <w14:schemeClr w14:val="tx1"/>
                  </w14:solidFill>
                </w14:textFill>
              </w:rPr>
              <w:t>≤</w:t>
            </w:r>
          </w:p>
        </w:tc>
        <w:tc>
          <w:tcPr>
            <w:tcW w:w="664"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12</w:t>
            </w:r>
          </w:p>
        </w:tc>
        <w:tc>
          <w:tcPr>
            <w:tcW w:w="462"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月</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6</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15</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3"/>
                <w:rFonts w:hint="eastAsia" w:ascii="宋体" w:hAnsi="宋体" w:eastAsia="宋体" w:cs="宋体"/>
                <w:b w:val="0"/>
                <w:bCs w:val="0"/>
                <w:color w:val="000000" w:themeColor="text1"/>
                <w:sz w:val="18"/>
                <w:szCs w:val="18"/>
                <w:lang w:val="en-US" w:eastAsia="zh-CN" w:bidi="ar"/>
                <w14:textFill>
                  <w14:solidFill>
                    <w14:schemeClr w14:val="tx1"/>
                  </w14:solidFill>
                </w14:textFill>
              </w:rPr>
              <w:t>产出指标</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3"/>
                <w:rFonts w:hint="eastAsia" w:ascii="宋体" w:hAnsi="宋体" w:eastAsia="宋体" w:cs="宋体"/>
                <w:b w:val="0"/>
                <w:bCs w:val="0"/>
                <w:color w:val="000000" w:themeColor="text1"/>
                <w:sz w:val="18"/>
                <w:szCs w:val="18"/>
                <w:lang w:val="en-US" w:eastAsia="zh-CN" w:bidi="ar"/>
                <w14:textFill>
                  <w14:solidFill>
                    <w14:schemeClr w14:val="tx1"/>
                  </w14:solidFill>
                </w14:textFill>
              </w:rPr>
              <w:t>质量指标</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43"/>
                <w:rFonts w:hint="eastAsia" w:ascii="宋体" w:hAnsi="宋体" w:eastAsia="宋体" w:cs="宋体"/>
                <w:b w:val="0"/>
                <w:bCs w:val="0"/>
                <w:color w:val="000000" w:themeColor="text1"/>
                <w:sz w:val="18"/>
                <w:szCs w:val="18"/>
                <w:lang w:val="en-US" w:eastAsia="zh-CN" w:bidi="ar"/>
                <w14:textFill>
                  <w14:solidFill>
                    <w14:schemeClr w14:val="tx1"/>
                  </w14:solidFill>
                </w14:textFill>
              </w:rPr>
            </w:pPr>
            <w:r>
              <w:rPr>
                <w:rStyle w:val="43"/>
                <w:rFonts w:hint="eastAsia" w:ascii="宋体" w:hAnsi="宋体" w:eastAsia="宋体" w:cs="宋体"/>
                <w:b w:val="0"/>
                <w:bCs w:val="0"/>
                <w:color w:val="000000" w:themeColor="text1"/>
                <w:sz w:val="18"/>
                <w:szCs w:val="18"/>
                <w:lang w:val="en-US" w:eastAsia="zh-CN" w:bidi="ar"/>
                <w14:textFill>
                  <w14:solidFill>
                    <w14:schemeClr w14:val="tx1"/>
                  </w14:solidFill>
                </w14:textFill>
              </w:rPr>
              <w:t>验收</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3"/>
                <w:rFonts w:hint="eastAsia" w:ascii="宋体" w:hAnsi="宋体" w:eastAsia="宋体" w:cs="宋体"/>
                <w:b w:val="0"/>
                <w:bCs w:val="0"/>
                <w:color w:val="000000" w:themeColor="text1"/>
                <w:sz w:val="18"/>
                <w:szCs w:val="18"/>
                <w:lang w:val="en-US" w:eastAsia="zh-CN" w:bidi="ar"/>
                <w14:textFill>
                  <w14:solidFill>
                    <w14:schemeClr w14:val="tx1"/>
                  </w14:solidFill>
                </w14:textFill>
              </w:rPr>
              <w:t>合格率</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3"/>
                <w:rFonts w:hint="eastAsia" w:ascii="宋体" w:hAnsi="宋体" w:eastAsia="宋体" w:cs="宋体"/>
                <w:b w:val="0"/>
                <w:bCs w:val="0"/>
                <w:color w:val="000000" w:themeColor="text1"/>
                <w:sz w:val="18"/>
                <w:szCs w:val="18"/>
                <w:lang w:val="en-US" w:eastAsia="zh-CN" w:bidi="ar"/>
                <w14:textFill>
                  <w14:solidFill>
                    <w14:schemeClr w14:val="tx1"/>
                  </w14:solidFill>
                </w14:textFill>
              </w:rPr>
              <w:t>≥</w:t>
            </w:r>
          </w:p>
        </w:tc>
        <w:tc>
          <w:tcPr>
            <w:tcW w:w="664"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95</w:t>
            </w:r>
          </w:p>
        </w:tc>
        <w:tc>
          <w:tcPr>
            <w:tcW w:w="462"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97%</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15</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43"/>
                <w:rFonts w:hint="eastAsia" w:ascii="宋体" w:hAnsi="宋体" w:eastAsia="宋体" w:cs="宋体"/>
                <w:b w:val="0"/>
                <w:bCs w:val="0"/>
                <w:color w:val="000000" w:themeColor="text1"/>
                <w:sz w:val="18"/>
                <w:szCs w:val="18"/>
                <w:lang w:val="en-US" w:eastAsia="zh-CN" w:bidi="ar"/>
                <w14:textFill>
                  <w14:solidFill>
                    <w14:schemeClr w14:val="tx1"/>
                  </w14:solidFill>
                </w14:textFill>
              </w:rPr>
            </w:pPr>
            <w:r>
              <w:rPr>
                <w:rStyle w:val="43"/>
                <w:rFonts w:hint="eastAsia" w:ascii="宋体" w:hAnsi="宋体" w:eastAsia="宋体" w:cs="宋体"/>
                <w:b w:val="0"/>
                <w:bCs w:val="0"/>
                <w:color w:val="000000" w:themeColor="text1"/>
                <w:sz w:val="18"/>
                <w:szCs w:val="18"/>
                <w:lang w:val="en-US" w:eastAsia="zh-CN" w:bidi="ar"/>
                <w14:textFill>
                  <w14:solidFill>
                    <w14:schemeClr w14:val="tx1"/>
                  </w14:solidFill>
                </w14:textFill>
              </w:rPr>
              <w:t>满意度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3"/>
                <w:rFonts w:hint="eastAsia" w:ascii="宋体" w:hAnsi="宋体" w:eastAsia="宋体" w:cs="宋体"/>
                <w:b w:val="0"/>
                <w:bCs w:val="0"/>
                <w:color w:val="000000" w:themeColor="text1"/>
                <w:sz w:val="18"/>
                <w:szCs w:val="18"/>
                <w:lang w:val="en-US" w:eastAsia="zh-CN" w:bidi="ar"/>
                <w14:textFill>
                  <w14:solidFill>
                    <w14:schemeClr w14:val="tx1"/>
                  </w14:solidFill>
                </w14:textFill>
              </w:rPr>
              <w:t>指标</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43"/>
                <w:rFonts w:hint="eastAsia" w:ascii="宋体" w:hAnsi="宋体" w:eastAsia="宋体" w:cs="宋体"/>
                <w:b w:val="0"/>
                <w:bCs w:val="0"/>
                <w:color w:val="000000" w:themeColor="text1"/>
                <w:sz w:val="18"/>
                <w:szCs w:val="18"/>
                <w:lang w:val="en-US" w:eastAsia="zh-CN" w:bidi="ar"/>
                <w14:textFill>
                  <w14:solidFill>
                    <w14:schemeClr w14:val="tx1"/>
                  </w14:solidFill>
                </w14:textFill>
              </w:rPr>
            </w:pPr>
            <w:r>
              <w:rPr>
                <w:rStyle w:val="43"/>
                <w:rFonts w:hint="eastAsia" w:ascii="宋体" w:hAnsi="宋体" w:eastAsia="宋体" w:cs="宋体"/>
                <w:b w:val="0"/>
                <w:bCs w:val="0"/>
                <w:color w:val="000000" w:themeColor="text1"/>
                <w:sz w:val="18"/>
                <w:szCs w:val="18"/>
                <w:lang w:val="en-US" w:eastAsia="zh-CN" w:bidi="ar"/>
                <w14:textFill>
                  <w14:solidFill>
                    <w14:schemeClr w14:val="tx1"/>
                  </w14:solidFill>
                </w14:textFill>
              </w:rPr>
              <w:t>服务对象满意度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3"/>
                <w:rFonts w:hint="eastAsia" w:ascii="宋体" w:hAnsi="宋体" w:eastAsia="宋体" w:cs="宋体"/>
                <w:b w:val="0"/>
                <w:bCs w:val="0"/>
                <w:color w:val="000000" w:themeColor="text1"/>
                <w:sz w:val="18"/>
                <w:szCs w:val="18"/>
                <w:lang w:val="en-US" w:eastAsia="zh-CN" w:bidi="ar"/>
                <w14:textFill>
                  <w14:solidFill>
                    <w14:schemeClr w14:val="tx1"/>
                  </w14:solidFill>
                </w14:textFill>
              </w:rPr>
              <w:t>指标</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3"/>
                <w:rFonts w:hint="eastAsia" w:ascii="宋体" w:hAnsi="宋体" w:eastAsia="宋体" w:cs="宋体"/>
                <w:b w:val="0"/>
                <w:bCs w:val="0"/>
                <w:color w:val="000000" w:themeColor="text1"/>
                <w:sz w:val="18"/>
                <w:szCs w:val="18"/>
                <w:lang w:val="en-US" w:eastAsia="zh-CN" w:bidi="ar"/>
                <w14:textFill>
                  <w14:solidFill>
                    <w14:schemeClr w14:val="tx1"/>
                  </w14:solidFill>
                </w14:textFill>
              </w:rPr>
              <w:t>查询档案参保群众满意度</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3"/>
                <w:rFonts w:hint="eastAsia" w:ascii="宋体" w:hAnsi="宋体" w:eastAsia="宋体" w:cs="宋体"/>
                <w:b w:val="0"/>
                <w:bCs w:val="0"/>
                <w:color w:val="000000" w:themeColor="text1"/>
                <w:sz w:val="18"/>
                <w:szCs w:val="18"/>
                <w:lang w:val="en-US" w:eastAsia="zh-CN" w:bidi="ar"/>
                <w14:textFill>
                  <w14:solidFill>
                    <w14:schemeClr w14:val="tx1"/>
                  </w14:solidFill>
                </w14:textFill>
              </w:rPr>
              <w:t>≥</w:t>
            </w:r>
          </w:p>
        </w:tc>
        <w:tc>
          <w:tcPr>
            <w:tcW w:w="664"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80</w:t>
            </w:r>
          </w:p>
        </w:tc>
        <w:tc>
          <w:tcPr>
            <w:tcW w:w="462"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98%</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3"/>
                <w:rFonts w:hint="eastAsia" w:ascii="宋体" w:hAnsi="宋体" w:eastAsia="宋体" w:cs="宋体"/>
                <w:b w:val="0"/>
                <w:bCs w:val="0"/>
                <w:color w:val="000000" w:themeColor="text1"/>
                <w:sz w:val="18"/>
                <w:szCs w:val="18"/>
                <w:lang w:val="en-US" w:eastAsia="zh-CN" w:bidi="ar"/>
                <w14:textFill>
                  <w14:solidFill>
                    <w14:schemeClr w14:val="tx1"/>
                  </w14:solidFill>
                </w14:textFill>
              </w:rPr>
              <w:t>产出指标</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3"/>
                <w:rFonts w:hint="eastAsia" w:ascii="宋体" w:hAnsi="宋体" w:eastAsia="宋体" w:cs="宋体"/>
                <w:b w:val="0"/>
                <w:bCs w:val="0"/>
                <w:color w:val="000000" w:themeColor="text1"/>
                <w:sz w:val="18"/>
                <w:szCs w:val="18"/>
                <w:lang w:val="en-US" w:eastAsia="zh-CN" w:bidi="ar"/>
                <w14:textFill>
                  <w14:solidFill>
                    <w14:schemeClr w14:val="tx1"/>
                  </w14:solidFill>
                </w14:textFill>
              </w:rPr>
              <w:t>成本指标</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3"/>
                <w:rFonts w:hint="eastAsia" w:ascii="宋体" w:hAnsi="宋体" w:eastAsia="宋体" w:cs="宋体"/>
                <w:b w:val="0"/>
                <w:bCs w:val="0"/>
                <w:color w:val="000000" w:themeColor="text1"/>
                <w:sz w:val="18"/>
                <w:szCs w:val="18"/>
                <w:lang w:val="en-US" w:eastAsia="zh-CN" w:bidi="ar"/>
                <w14:textFill>
                  <w14:solidFill>
                    <w14:schemeClr w14:val="tx1"/>
                  </w14:solidFill>
                </w14:textFill>
              </w:rPr>
              <w:t>单件文书档案整理金额</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Style w:val="43"/>
                <w:rFonts w:hint="eastAsia" w:ascii="宋体" w:hAnsi="宋体" w:eastAsia="宋体" w:cs="宋体"/>
                <w:b w:val="0"/>
                <w:bCs w:val="0"/>
                <w:color w:val="000000" w:themeColor="text1"/>
                <w:sz w:val="18"/>
                <w:szCs w:val="18"/>
                <w:lang w:val="en-US" w:eastAsia="zh-CN" w:bidi="ar"/>
                <w14:textFill>
                  <w14:solidFill>
                    <w14:schemeClr w14:val="tx1"/>
                  </w14:solidFill>
                </w14:textFill>
              </w:rPr>
              <w:t>≤</w:t>
            </w:r>
          </w:p>
        </w:tc>
        <w:tc>
          <w:tcPr>
            <w:tcW w:w="664"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w:t>
            </w:r>
          </w:p>
        </w:tc>
        <w:tc>
          <w:tcPr>
            <w:tcW w:w="462"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元</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0.5</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33" w:type="dxa"/>
            <w:gridSpan w:val="8"/>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合计</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结论</w:t>
            </w:r>
          </w:p>
        </w:tc>
        <w:tc>
          <w:tcPr>
            <w:tcW w:w="8241"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自评得100分，2022年8月实施该项目招标工作，截至年底，规范化整理文书档案1306件，业务档案137400件，发文汇集598件，照片54张、实物档案6件，共支出16.8万元。项目均完成了整理工作，为后期参保群众提供快捷、方便查询服务，为我局档案管理工作提高了更好的工作效率，群众满意率达98%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部门（单位）自评存在问题</w:t>
            </w:r>
          </w:p>
        </w:tc>
        <w:tc>
          <w:tcPr>
            <w:tcW w:w="8241"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部门（单位）自评改进措施</w:t>
            </w:r>
          </w:p>
        </w:tc>
        <w:tc>
          <w:tcPr>
            <w:tcW w:w="8241"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细化预算编制，精准制定绩效目标。</w:t>
            </w:r>
          </w:p>
        </w:tc>
      </w:tr>
    </w:tbl>
    <w:p>
      <w:pPr>
        <w:pStyle w:val="9"/>
        <w:keepNext w:val="0"/>
        <w:keepLines w:val="0"/>
        <w:pageBreakBefore w:val="0"/>
        <w:widowControl w:val="0"/>
        <w:kinsoku/>
        <w:wordWrap/>
        <w:overflowPunct/>
        <w:topLinePunct w:val="0"/>
        <w:autoSpaceDE/>
        <w:autoSpaceDN/>
        <w:bidi w:val="0"/>
        <w:adjustRightInd/>
        <w:snapToGrid/>
        <w:spacing w:after="0" w:line="576" w:lineRule="exact"/>
        <w:ind w:left="0"/>
        <w:textAlignment w:val="auto"/>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15"/>
        <w:rPr>
          <w:color w:val="000000" w:themeColor="text1"/>
          <w14:textFill>
            <w14:solidFill>
              <w14:schemeClr w14:val="tx1"/>
            </w14:solidFill>
          </w14:textFill>
        </w:rPr>
      </w:pPr>
    </w:p>
    <w:p>
      <w:pPr>
        <w:pStyle w:val="15"/>
        <w:rPr>
          <w:color w:val="000000" w:themeColor="text1"/>
          <w14:textFill>
            <w14:solidFill>
              <w14:schemeClr w14:val="tx1"/>
            </w14:solidFill>
          </w14:textFill>
        </w:rPr>
      </w:pPr>
    </w:p>
    <w:p>
      <w:pPr>
        <w:rPr>
          <w:rFonts w:hint="eastAsia" w:ascii="黑体" w:hAnsi="黑体" w:eastAsia="黑体"/>
          <w:color w:val="000000" w:themeColor="text1"/>
          <w:sz w:val="44"/>
          <w:szCs w:val="44"/>
          <w:highlight w:val="none"/>
          <w14:textFill>
            <w14:solidFill>
              <w14:schemeClr w14:val="tx1"/>
            </w14:solidFill>
          </w14:textFill>
        </w:rPr>
      </w:pPr>
      <w:r>
        <w:rPr>
          <w:rFonts w:hint="eastAsia" w:ascii="黑体" w:hAnsi="黑体" w:eastAsia="黑体"/>
          <w:color w:val="000000" w:themeColor="text1"/>
          <w:sz w:val="44"/>
          <w:szCs w:val="44"/>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预算项目支出绩效目标自评表</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（2022年度）</w:t>
      </w:r>
    </w:p>
    <w:p>
      <w:pPr>
        <w:pStyle w:val="15"/>
        <w:rPr>
          <w:color w:val="000000" w:themeColor="text1"/>
          <w14:textFill>
            <w14:solidFill>
              <w14:schemeClr w14:val="tx1"/>
            </w14:solidFill>
          </w14:textFill>
        </w:rPr>
      </w:pPr>
    </w:p>
    <w:tbl>
      <w:tblPr>
        <w:tblStyle w:val="19"/>
        <w:tblW w:w="907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4"/>
        <w:gridCol w:w="928"/>
        <w:gridCol w:w="795"/>
        <w:gridCol w:w="814"/>
        <w:gridCol w:w="415"/>
        <w:gridCol w:w="433"/>
        <w:gridCol w:w="415"/>
        <w:gridCol w:w="823"/>
        <w:gridCol w:w="482"/>
        <w:gridCol w:w="555"/>
        <w:gridCol w:w="789"/>
        <w:gridCol w:w="17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项目名称</w:t>
            </w:r>
          </w:p>
        </w:tc>
        <w:tc>
          <w:tcPr>
            <w:tcW w:w="7239" w:type="dxa"/>
            <w:gridSpan w:val="10"/>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医疗保障宣传经费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主管部门（盖章）</w:t>
            </w:r>
          </w:p>
        </w:tc>
        <w:tc>
          <w:tcPr>
            <w:tcW w:w="2872"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宋体" w:hAnsi="宋体" w:eastAsia="宋体" w:cs="宋体"/>
                <w:b w:val="0"/>
                <w:bCs w:val="0"/>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t>广元市医疗保障局</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实施单位 （盖章）</w:t>
            </w:r>
          </w:p>
        </w:tc>
        <w:tc>
          <w:tcPr>
            <w:tcW w:w="3544"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t>广元市医疗保障局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项目基本情况</w:t>
            </w:r>
          </w:p>
        </w:tc>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w:t>
            </w:r>
            <w:r>
              <w:rPr>
                <w:rFonts w:hint="eastAsia" w:ascii="宋体" w:hAnsi="宋体" w:eastAsia="宋体" w:cs="宋体"/>
                <w:b w:val="0"/>
                <w:bCs w:val="0"/>
                <w:i w:val="0"/>
                <w:iCs w:val="0"/>
                <w:color w:val="000000" w:themeColor="text1"/>
                <w:spacing w:val="6"/>
                <w:kern w:val="0"/>
                <w:sz w:val="18"/>
                <w:szCs w:val="18"/>
                <w:u w:val="none"/>
                <w:lang w:val="en-US" w:eastAsia="zh-CN" w:bidi="ar"/>
                <w14:textFill>
                  <w14:solidFill>
                    <w14:schemeClr w14:val="tx1"/>
                  </w14:solidFill>
                </w14:textFill>
              </w:rPr>
              <w:t>项目年度目标完成情况</w:t>
            </w:r>
          </w:p>
        </w:tc>
        <w:tc>
          <w:tcPr>
            <w:tcW w:w="2872"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项目年度目标</w:t>
            </w:r>
          </w:p>
        </w:tc>
        <w:tc>
          <w:tcPr>
            <w:tcW w:w="4367"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2872"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通过局内宣传媒体对外进行宣传，及时解答参保群众关心的热点问题以及对最新医保政策进行普及及宣传。</w:t>
            </w:r>
          </w:p>
        </w:tc>
        <w:tc>
          <w:tcPr>
            <w:tcW w:w="4367"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提升了群众政策知晓度，维护了良好医疗保障氛围，达到了良好宣传效果。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239" w:type="dxa"/>
            <w:gridSpan w:val="10"/>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与广元广思传媒、广元电视台达成合作关系，确定宣传作品制作篇数、展印数量、内容质量等，在约定时间内定期定量完成宣传作品制作。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预算执行情况</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（10分）</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年度预算数（万元）</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年初预算</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调整后预算数</w:t>
            </w:r>
          </w:p>
        </w:tc>
        <w:tc>
          <w:tcPr>
            <w:tcW w:w="1263"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预算执行数</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执行率</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权重%</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部门自评得分</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财政部门科室复评得分</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总额</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1263"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18"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其中：财政资金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1263"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100.00%</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绩效指标（90分）</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一级指标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二级指标</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三级指标</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指标性质</w:t>
            </w: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指标值</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度量单位</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完成值</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权重</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部门自评得分</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财政部门科室复评得分</w:t>
            </w: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数量指标</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服务项目</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w:t>
            </w:r>
          </w:p>
        </w:tc>
        <w:tc>
          <w:tcPr>
            <w:tcW w:w="415" w:type="dxa"/>
            <w:tcBorders>
              <w:top w:val="single" w:color="000000" w:sz="4" w:space="0"/>
              <w:left w:val="single" w:color="000000" w:sz="4" w:space="0"/>
              <w:bottom w:val="single" w:color="000000" w:sz="4" w:space="0"/>
              <w:right w:val="nil"/>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w:t>
            </w:r>
          </w:p>
        </w:tc>
        <w:tc>
          <w:tcPr>
            <w:tcW w:w="482" w:type="dxa"/>
            <w:tcBorders>
              <w:top w:val="single" w:color="000000" w:sz="4" w:space="0"/>
              <w:left w:val="nil"/>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成本指标</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合同价格</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35</w:t>
            </w:r>
          </w:p>
        </w:tc>
        <w:tc>
          <w:tcPr>
            <w:tcW w:w="415" w:type="dxa"/>
            <w:tcBorders>
              <w:top w:val="single" w:color="000000" w:sz="4" w:space="0"/>
              <w:left w:val="single" w:color="000000" w:sz="4" w:space="0"/>
              <w:bottom w:val="single" w:color="000000" w:sz="4" w:space="0"/>
              <w:right w:val="nil"/>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34.5</w:t>
            </w:r>
          </w:p>
        </w:tc>
        <w:tc>
          <w:tcPr>
            <w:tcW w:w="482" w:type="dxa"/>
            <w:tcBorders>
              <w:top w:val="single" w:color="000000" w:sz="4" w:space="0"/>
              <w:left w:val="nil"/>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质量指标</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项目验收合格率</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99</w:t>
            </w:r>
          </w:p>
        </w:tc>
        <w:tc>
          <w:tcPr>
            <w:tcW w:w="415" w:type="dxa"/>
            <w:tcBorders>
              <w:top w:val="single" w:color="000000" w:sz="4" w:space="0"/>
              <w:left w:val="single" w:color="000000" w:sz="4" w:space="0"/>
              <w:bottom w:val="single" w:color="000000" w:sz="4" w:space="0"/>
              <w:right w:val="nil"/>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482" w:type="dxa"/>
            <w:tcBorders>
              <w:top w:val="single" w:color="000000" w:sz="4" w:space="0"/>
              <w:left w:val="nil"/>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时效指标</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完成时间</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12</w:t>
            </w:r>
          </w:p>
        </w:tc>
        <w:tc>
          <w:tcPr>
            <w:tcW w:w="415" w:type="dxa"/>
            <w:tcBorders>
              <w:top w:val="single" w:color="000000" w:sz="4" w:space="0"/>
              <w:left w:val="single" w:color="000000" w:sz="4" w:space="0"/>
              <w:bottom w:val="single" w:color="000000" w:sz="4" w:space="0"/>
              <w:right w:val="nil"/>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12</w:t>
            </w:r>
          </w:p>
        </w:tc>
        <w:tc>
          <w:tcPr>
            <w:tcW w:w="482" w:type="dxa"/>
            <w:tcBorders>
              <w:top w:val="single" w:color="000000" w:sz="4" w:space="0"/>
              <w:left w:val="nil"/>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满意度指标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服务对象满意度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参保群众满意度</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90</w:t>
            </w:r>
          </w:p>
        </w:tc>
        <w:tc>
          <w:tcPr>
            <w:tcW w:w="415" w:type="dxa"/>
            <w:tcBorders>
              <w:top w:val="single" w:color="000000" w:sz="4" w:space="0"/>
              <w:left w:val="single" w:color="000000" w:sz="4" w:space="0"/>
              <w:bottom w:val="single" w:color="000000" w:sz="4" w:space="0"/>
              <w:right w:val="nil"/>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95%</w:t>
            </w:r>
          </w:p>
        </w:tc>
        <w:tc>
          <w:tcPr>
            <w:tcW w:w="482" w:type="dxa"/>
            <w:tcBorders>
              <w:top w:val="single" w:color="000000" w:sz="4" w:space="0"/>
              <w:left w:val="nil"/>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效益指标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社会效益指标</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参保群众政策</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知晓率</w:t>
            </w:r>
          </w:p>
        </w:tc>
        <w:tc>
          <w:tcPr>
            <w:tcW w:w="41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75</w:t>
            </w:r>
          </w:p>
        </w:tc>
        <w:tc>
          <w:tcPr>
            <w:tcW w:w="415" w:type="dxa"/>
            <w:tcBorders>
              <w:top w:val="single" w:color="000000" w:sz="4" w:space="0"/>
              <w:left w:val="single" w:color="000000" w:sz="4" w:space="0"/>
              <w:bottom w:val="single" w:color="000000" w:sz="4" w:space="0"/>
              <w:right w:val="nil"/>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95%</w:t>
            </w:r>
          </w:p>
        </w:tc>
        <w:tc>
          <w:tcPr>
            <w:tcW w:w="482" w:type="dxa"/>
            <w:tcBorders>
              <w:top w:val="single" w:color="000000" w:sz="4" w:space="0"/>
              <w:left w:val="nil"/>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527" w:type="dxa"/>
            <w:gridSpan w:val="8"/>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合计</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100</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结论</w:t>
            </w:r>
          </w:p>
        </w:tc>
        <w:tc>
          <w:tcPr>
            <w:tcW w:w="8167"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cs="宋体"/>
                <w:b w:val="0"/>
                <w:bCs w:val="0"/>
                <w:i w:val="0"/>
                <w:iCs w:val="0"/>
                <w:color w:val="000000" w:themeColor="text1"/>
                <w:kern w:val="0"/>
                <w:sz w:val="18"/>
                <w:szCs w:val="18"/>
                <w:u w:val="none"/>
                <w:lang w:val="en-US" w:eastAsia="zh-CN" w:bidi="ar"/>
                <w14:textFill>
                  <w14:solidFill>
                    <w14:schemeClr w14:val="tx1"/>
                  </w14:solidFill>
                </w14:textFill>
              </w:rPr>
              <w:t>自评</w:t>
            </w:r>
            <w:r>
              <w:rPr>
                <w:rFonts w:hint="default" w:ascii="宋体" w:hAnsi="宋体" w:cs="宋体"/>
                <w:b w:val="0"/>
                <w:bCs w:val="0"/>
                <w:i w:val="0"/>
                <w:iCs w:val="0"/>
                <w:color w:val="000000" w:themeColor="text1"/>
                <w:kern w:val="0"/>
                <w:sz w:val="18"/>
                <w:szCs w:val="18"/>
                <w:u w:val="none"/>
                <w:lang w:val="en-US" w:eastAsia="zh-CN" w:bidi="ar"/>
                <w14:textFill>
                  <w14:solidFill>
                    <w14:schemeClr w14:val="tx1"/>
                  </w14:solidFill>
                </w14:textFill>
              </w:rPr>
              <w:t>100</w:t>
            </w:r>
            <w:r>
              <w:rPr>
                <w:rFonts w:hint="eastAsia" w:ascii="宋体" w:hAnsi="宋体" w:cs="宋体"/>
                <w:b w:val="0"/>
                <w:bCs w:val="0"/>
                <w:i w:val="0"/>
                <w:iCs w:val="0"/>
                <w:color w:val="000000" w:themeColor="text1"/>
                <w:kern w:val="0"/>
                <w:sz w:val="18"/>
                <w:szCs w:val="18"/>
                <w:u w:val="none"/>
                <w:lang w:val="en-US" w:eastAsia="zh-CN" w:bidi="ar"/>
                <w14:textFill>
                  <w14:solidFill>
                    <w14:schemeClr w14:val="tx1"/>
                  </w14:solidFill>
                </w14:textFill>
              </w:rPr>
              <w:t>分，</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完成宣传基本效果，及时有效向社会宣传了医疗保障政策，回应了群众关切，化解了有可能产生的重大社会风险问题，医疗保障政策调整、打击欺诈骗保、全民参保缴费、医保经办服务等医保重点工作的顺利推进，没有引起重大社会问题，有力有效促进了医疗保障工作高质量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部门（单位）自评存在问题</w:t>
            </w:r>
          </w:p>
        </w:tc>
        <w:tc>
          <w:tcPr>
            <w:tcW w:w="8167"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部门（单位）自评改进措施</w:t>
            </w:r>
          </w:p>
        </w:tc>
        <w:tc>
          <w:tcPr>
            <w:tcW w:w="8167"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加强与合作单位对接，进一步细化宣传措施，促进宣传效果更加优化。</w:t>
            </w:r>
          </w:p>
        </w:tc>
      </w:tr>
    </w:tbl>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预算项目支出绩效目标自评表</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（2022年度）</w:t>
      </w:r>
    </w:p>
    <w:p>
      <w:pPr>
        <w:pStyle w:val="15"/>
        <w:rPr>
          <w:color w:val="000000" w:themeColor="text1"/>
          <w14:textFill>
            <w14:solidFill>
              <w14:schemeClr w14:val="tx1"/>
            </w14:solidFill>
          </w14:textFill>
        </w:rPr>
      </w:pPr>
    </w:p>
    <w:tbl>
      <w:tblPr>
        <w:tblStyle w:val="19"/>
        <w:tblW w:w="907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0"/>
        <w:gridCol w:w="882"/>
        <w:gridCol w:w="762"/>
        <w:gridCol w:w="778"/>
        <w:gridCol w:w="404"/>
        <w:gridCol w:w="553"/>
        <w:gridCol w:w="424"/>
        <w:gridCol w:w="1156"/>
        <w:gridCol w:w="470"/>
        <w:gridCol w:w="593"/>
        <w:gridCol w:w="554"/>
        <w:gridCol w:w="1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项目名称</w:t>
            </w:r>
          </w:p>
        </w:tc>
        <w:tc>
          <w:tcPr>
            <w:tcW w:w="7329" w:type="dxa"/>
            <w:gridSpan w:val="10"/>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医疗救助市级统筹试点工作经费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主管部门（盖章）</w:t>
            </w:r>
          </w:p>
        </w:tc>
        <w:tc>
          <w:tcPr>
            <w:tcW w:w="2921"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广元市医疗保障局</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实施单位</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（盖章）</w:t>
            </w:r>
          </w:p>
        </w:tc>
        <w:tc>
          <w:tcPr>
            <w:tcW w:w="3252"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广元市医疗保障局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项目基本情况</w:t>
            </w:r>
          </w:p>
        </w:tc>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1.项目年度目标完成情况</w:t>
            </w:r>
          </w:p>
        </w:tc>
        <w:tc>
          <w:tcPr>
            <w:tcW w:w="2921"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项目年度目标</w:t>
            </w:r>
          </w:p>
        </w:tc>
        <w:tc>
          <w:tcPr>
            <w:tcW w:w="4408"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2921"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为有效提高医疗救助基金使用效益，提升办事服务效率，自2022年起，我市开展医疗救助市级统筹试点工作。</w:t>
            </w:r>
          </w:p>
        </w:tc>
        <w:tc>
          <w:tcPr>
            <w:tcW w:w="4408"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出台并实施《广元市医疗救助市级统筹实施办法》。全年共召开医疗救助会议3次，调研3次，印发资料2次，项目完成时间2022年12月前，医疗救助试点工作完成率95%，医疗救助对象满意度95%。通过项目实施，有效加快了构建全领域、全流程的基金安全防控机制，深入推进医保基金监管制度体系改革，守住了基金安全红线，维护社会公平正义，持续为人民群众健康权益保驾护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329" w:type="dxa"/>
            <w:gridSpan w:val="10"/>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一是向省财政厅、医保局申请开展医疗救助市级统筹试点工作，                                                                                              二是局领导带队深入各县区进行实地调研，调研结束后进行整体可行性评估，对存在的具体问题，提出解决办法。因疫情影响，通过线上与其他省、市交流学习医疗救助工作；                                                                                                                                                     三是拟定医疗救助市级统筹实施办法并征求意见；                                                                                                            四是召集各县区分管负责同志对医疗救助市级统筹实施办法进行研讨；                                                                                             五是聘请第三方专业风险评估机构，对医疗救助市级统筹工作进行社会稳定风险评估；                                                                                              六是出台并实施《广元市医疗救助市级统筹实施办法》。七是结合省上要求和本市自身情况出台《广元市医疗救助基金管理办法》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预算执行情况</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（10分）</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年度预算数（万元）</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年初预算</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调整后预算数</w:t>
            </w:r>
          </w:p>
        </w:tc>
        <w:tc>
          <w:tcPr>
            <w:tcW w:w="1381"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预算执行数</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预算执行率</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权重%</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部门自评得分</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财政部门科室复评得分</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总额</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5.00</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5.00</w:t>
            </w:r>
          </w:p>
        </w:tc>
        <w:tc>
          <w:tcPr>
            <w:tcW w:w="1381"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2.04</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41.00%</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4.1</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2022年因受疫情影响，培训会议无法按计划召开，导致年初预算的差旅费结余，影响了资金支付进度，预算执行率低于90%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其中：财政资金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5.00</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5.00</w:t>
            </w:r>
          </w:p>
        </w:tc>
        <w:tc>
          <w:tcPr>
            <w:tcW w:w="1381"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2.04</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41.00%</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绩效指标（90分）</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一级指标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二级指标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三级指标</w:t>
            </w:r>
          </w:p>
        </w:tc>
        <w:tc>
          <w:tcPr>
            <w:tcW w:w="40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指标性质</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指标值</w:t>
            </w:r>
          </w:p>
        </w:tc>
        <w:tc>
          <w:tcPr>
            <w:tcW w:w="42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度量单位</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完成值</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权重</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部门自评得分</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财政部门科室复评得分</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数量指标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17"/>
                <w:kern w:val="0"/>
                <w:sz w:val="18"/>
                <w:szCs w:val="18"/>
                <w:u w:val="none"/>
                <w:lang w:val="en-US" w:eastAsia="zh-CN" w:bidi="ar"/>
                <w14:textFill>
                  <w14:solidFill>
                    <w14:schemeClr w14:val="tx1"/>
                  </w14:solidFill>
                </w14:textFill>
              </w:rPr>
              <w:t>印刷医疗救助政策资料</w:t>
            </w:r>
          </w:p>
        </w:tc>
        <w:tc>
          <w:tcPr>
            <w:tcW w:w="40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553"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w:t>
            </w:r>
          </w:p>
        </w:tc>
        <w:tc>
          <w:tcPr>
            <w:tcW w:w="42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成本指标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培训.会议单日费用</w:t>
            </w:r>
          </w:p>
        </w:tc>
        <w:tc>
          <w:tcPr>
            <w:tcW w:w="40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553"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360</w:t>
            </w:r>
          </w:p>
        </w:tc>
        <w:tc>
          <w:tcPr>
            <w:tcW w:w="42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元/人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≤360元/人</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val="0"/>
                <w:bCs w:val="0"/>
                <w:i w:val="0"/>
                <w:iCs w:val="0"/>
                <w:color w:val="000000" w:themeColor="text1"/>
                <w:sz w:val="18"/>
                <w:szCs w:val="18"/>
                <w:u w:val="none"/>
                <w:lang w:val="en-US"/>
                <w14:textFill>
                  <w14:solidFill>
                    <w14:schemeClr w14:val="tx1"/>
                  </w14:solidFill>
                </w14:textFill>
              </w:rPr>
            </w:pPr>
            <w:r>
              <w:rPr>
                <w:rFonts w:hint="default" w:ascii="宋体" w:hAnsi="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数量指标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赴各地调研医疗救助工作</w:t>
            </w:r>
          </w:p>
        </w:tc>
        <w:tc>
          <w:tcPr>
            <w:tcW w:w="40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553"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w:t>
            </w:r>
          </w:p>
        </w:tc>
        <w:tc>
          <w:tcPr>
            <w:tcW w:w="42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质量指标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医疗救助试点工作完成率</w:t>
            </w:r>
          </w:p>
        </w:tc>
        <w:tc>
          <w:tcPr>
            <w:tcW w:w="40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553"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95</w:t>
            </w:r>
          </w:p>
        </w:tc>
        <w:tc>
          <w:tcPr>
            <w:tcW w:w="42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95</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pacing w:val="-1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满意度指标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pacing w:val="-1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服务对象满意度指标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pacing w:val="-11"/>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11"/>
                <w:kern w:val="0"/>
                <w:sz w:val="18"/>
                <w:szCs w:val="18"/>
                <w:u w:val="none"/>
                <w:lang w:val="en-US" w:eastAsia="zh-CN" w:bidi="ar"/>
                <w14:textFill>
                  <w14:solidFill>
                    <w14:schemeClr w14:val="tx1"/>
                  </w14:solidFill>
                </w14:textFill>
              </w:rPr>
              <w:t>医保救助对象满意度</w:t>
            </w:r>
          </w:p>
        </w:tc>
        <w:tc>
          <w:tcPr>
            <w:tcW w:w="40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553"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90</w:t>
            </w:r>
          </w:p>
        </w:tc>
        <w:tc>
          <w:tcPr>
            <w:tcW w:w="42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95</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数量指标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召开医疗救助培训和会议</w:t>
            </w:r>
          </w:p>
        </w:tc>
        <w:tc>
          <w:tcPr>
            <w:tcW w:w="40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553"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w:t>
            </w:r>
          </w:p>
        </w:tc>
        <w:tc>
          <w:tcPr>
            <w:tcW w:w="42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效益指标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社会效益指标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医疗救助水平</w:t>
            </w:r>
          </w:p>
        </w:tc>
        <w:tc>
          <w:tcPr>
            <w:tcW w:w="40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定性</w:t>
            </w:r>
          </w:p>
        </w:tc>
        <w:tc>
          <w:tcPr>
            <w:tcW w:w="553"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优良中低差</w:t>
            </w:r>
          </w:p>
        </w:tc>
        <w:tc>
          <w:tcPr>
            <w:tcW w:w="42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产出指标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时效指标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完成时间</w:t>
            </w:r>
          </w:p>
        </w:tc>
        <w:tc>
          <w:tcPr>
            <w:tcW w:w="40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553" w:type="dxa"/>
            <w:tcBorders>
              <w:top w:val="single" w:color="000000" w:sz="4" w:space="0"/>
              <w:left w:val="single" w:color="000000" w:sz="4" w:space="0"/>
              <w:bottom w:val="single" w:color="000000" w:sz="4" w:space="0"/>
              <w:right w:val="nil"/>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12</w:t>
            </w:r>
          </w:p>
        </w:tc>
        <w:tc>
          <w:tcPr>
            <w:tcW w:w="42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882" w:type="dxa"/>
            <w:tcBorders>
              <w:top w:val="nil"/>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762" w:type="dxa"/>
            <w:tcBorders>
              <w:top w:val="nil"/>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778" w:type="dxa"/>
            <w:tcBorders>
              <w:top w:val="nil"/>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404" w:type="dxa"/>
            <w:tcBorders>
              <w:top w:val="nil"/>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553" w:type="dxa"/>
            <w:tcBorders>
              <w:top w:val="nil"/>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424" w:type="dxa"/>
            <w:tcBorders>
              <w:top w:val="nil"/>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156" w:type="dxa"/>
            <w:tcBorders>
              <w:top w:val="nil"/>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470" w:type="dxa"/>
            <w:tcBorders>
              <w:top w:val="nil"/>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593" w:type="dxa"/>
            <w:tcBorders>
              <w:top w:val="nil"/>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554" w:type="dxa"/>
            <w:tcBorders>
              <w:top w:val="nil"/>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819" w:type="dxa"/>
            <w:gridSpan w:val="8"/>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合计</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94.1</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val="0"/>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结论</w:t>
            </w:r>
          </w:p>
        </w:tc>
        <w:tc>
          <w:tcPr>
            <w:tcW w:w="8211"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合计94.1分,年共召开医疗救助会议3次，调研3次，印发资料2次，项目完成时间2022年12月前，医疗救助试点工作完成率95%，医疗救助对象满意度95%。通过项目实施，有效加快了构建全领域、全流程的基金安全防控机制，深入推进医保基金监管制度体系改革，守住了基金安全红线，维护社会公平正义，持续为人民群众健康权益保驾护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部门（单位）自评存在问题</w:t>
            </w:r>
          </w:p>
        </w:tc>
        <w:tc>
          <w:tcPr>
            <w:tcW w:w="8211"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受疫情影响当年度培训未召开，导致培训支出结余，影响了资金的支付进度。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部门（单位）自评改进措施</w:t>
            </w:r>
          </w:p>
        </w:tc>
        <w:tc>
          <w:tcPr>
            <w:tcW w:w="8211"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11" w:type="dxa"/>
              <w:bottom w:w="0" w:type="dxa"/>
              <w:right w:w="1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1.做好年度项目预算，确保项目工作顺利开展。</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2.加强和细化项目的管理。</w:t>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3.细化项目的申报和支付流程。                                                                                                                                                 4.加大部门绩效目标编制工作，进一步将绩效目标编制更准确、精细，加强绩效目标和使用进度双监控，提高资金使用效率。</w:t>
            </w:r>
          </w:p>
        </w:tc>
      </w:tr>
    </w:tbl>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keepNext w:val="0"/>
        <w:keepLines w:val="0"/>
        <w:pageBreakBefore w:val="0"/>
        <w:kinsoku/>
        <w:wordWrap/>
        <w:overflowPunct/>
        <w:topLinePunct w:val="0"/>
        <w:autoSpaceDE/>
        <w:autoSpaceDN/>
        <w:bidi w:val="0"/>
        <w:spacing w:line="640" w:lineRule="exact"/>
        <w:ind w:left="0" w:left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医疗服务与保障能力提升补助资金（医疗保障服务能力提升部分）转移支付区域（项目）</w:t>
      </w:r>
    </w:p>
    <w:p>
      <w:pPr>
        <w:keepNext w:val="0"/>
        <w:keepLines w:val="0"/>
        <w:pageBreakBefore w:val="0"/>
        <w:kinsoku/>
        <w:wordWrap/>
        <w:overflowPunct/>
        <w:topLinePunct w:val="0"/>
        <w:autoSpaceDE/>
        <w:autoSpaceDN/>
        <w:bidi w:val="0"/>
        <w:spacing w:line="640" w:lineRule="exact"/>
        <w:ind w:left="0" w:left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绩效目标自评表</w:t>
      </w:r>
    </w:p>
    <w:p>
      <w:pPr>
        <w:widowControl w:val="0"/>
        <w:spacing w:line="576" w:lineRule="exact"/>
        <w:ind w:firstLine="640" w:firstLineChars="200"/>
        <w:jc w:val="center"/>
        <w:rPr>
          <w:rFonts w:hint="eastAsia" w:ascii="方正楷体简体" w:hAnsi="宋体" w:eastAsia="方正楷体简体" w:cs="宋体"/>
          <w:color w:val="000000" w:themeColor="text1"/>
          <w:sz w:val="32"/>
          <w:szCs w:val="32"/>
          <w14:textFill>
            <w14:solidFill>
              <w14:schemeClr w14:val="tx1"/>
            </w14:solidFill>
          </w14:textFill>
        </w:rPr>
      </w:pPr>
      <w:r>
        <w:rPr>
          <w:rFonts w:hint="eastAsia" w:ascii="方正楷体简体" w:hAnsi="宋体" w:eastAsia="方正楷体简体" w:cs="宋体"/>
          <w:color w:val="000000" w:themeColor="text1"/>
          <w:sz w:val="32"/>
          <w:szCs w:val="32"/>
          <w14:textFill>
            <w14:solidFill>
              <w14:schemeClr w14:val="tx1"/>
            </w14:solidFill>
          </w14:textFill>
        </w:rPr>
        <w:t>（2022年度）</w:t>
      </w:r>
    </w:p>
    <w:p>
      <w:pPr>
        <w:widowControl w:val="0"/>
        <w:spacing w:line="360" w:lineRule="exact"/>
        <w:ind w:firstLine="640" w:firstLineChars="200"/>
        <w:jc w:val="center"/>
        <w:rPr>
          <w:rFonts w:ascii="方正楷体简体" w:hAnsi="宋体" w:eastAsia="方正楷体简体" w:cs="宋体"/>
          <w:color w:val="000000" w:themeColor="text1"/>
          <w:sz w:val="32"/>
          <w:szCs w:val="32"/>
          <w14:textFill>
            <w14:solidFill>
              <w14:schemeClr w14:val="tx1"/>
            </w14:solidFill>
          </w14:textFill>
        </w:rPr>
      </w:pPr>
    </w:p>
    <w:tbl>
      <w:tblPr>
        <w:tblStyle w:val="19"/>
        <w:tblW w:w="979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753"/>
        <w:gridCol w:w="567"/>
        <w:gridCol w:w="1092"/>
        <w:gridCol w:w="1248"/>
        <w:gridCol w:w="1175"/>
        <w:gridCol w:w="1461"/>
        <w:gridCol w:w="2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9" w:type="dxa"/>
            <w:shd w:val="clear" w:color="auto" w:fill="auto"/>
            <w:tcMar>
              <w:left w:w="6" w:type="dxa"/>
              <w:right w:w="6"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ascii="方正楷体简体" w:hAnsi="宋体" w:eastAsia="方正楷体简体" w:cs="宋体"/>
                <w:color w:val="000000" w:themeColor="text1"/>
                <w:sz w:val="32"/>
                <w:szCs w:val="32"/>
                <w14:textFill>
                  <w14:solidFill>
                    <w14:schemeClr w14:val="tx1"/>
                  </w14:solidFill>
                </w14:textFill>
              </w:rPr>
              <w:br w:type="page"/>
            </w:r>
            <w:r>
              <w:rPr>
                <w:rFonts w:hint="eastAsia" w:ascii="宋体" w:hAnsi="宋体" w:eastAsia="宋体" w:cs="宋体"/>
                <w:color w:val="000000" w:themeColor="text1"/>
                <w:sz w:val="20"/>
                <w:szCs w:val="20"/>
                <w14:textFill>
                  <w14:solidFill>
                    <w14:schemeClr w14:val="tx1"/>
                  </w14:solidFill>
                </w14:textFill>
              </w:rPr>
              <w:t>转移支付</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（项目）名称</w:t>
            </w:r>
          </w:p>
        </w:tc>
        <w:tc>
          <w:tcPr>
            <w:tcW w:w="8373" w:type="dxa"/>
            <w:gridSpan w:val="7"/>
            <w:shd w:val="clear" w:color="auto" w:fill="auto"/>
            <w:tcMar>
              <w:left w:w="6" w:type="dxa"/>
              <w:right w:w="6"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医疗服务与保障能力提升补助资金（医疗保障服务能力提升部分）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9"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中央主管部门</w:t>
            </w:r>
          </w:p>
        </w:tc>
        <w:tc>
          <w:tcPr>
            <w:tcW w:w="3660" w:type="dxa"/>
            <w:gridSpan w:val="4"/>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国家医疗保障局</w:t>
            </w:r>
          </w:p>
        </w:tc>
        <w:tc>
          <w:tcPr>
            <w:tcW w:w="1175"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实施单位</w:t>
            </w:r>
          </w:p>
        </w:tc>
        <w:tc>
          <w:tcPr>
            <w:tcW w:w="3538" w:type="dxa"/>
            <w:gridSpan w:val="2"/>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pacing w:val="-6"/>
                <w:sz w:val="20"/>
                <w:szCs w:val="20"/>
                <w14:textFill>
                  <w14:solidFill>
                    <w14:schemeClr w14:val="tx1"/>
                  </w14:solidFill>
                </w14:textFill>
              </w:rPr>
            </w:pPr>
            <w:r>
              <w:rPr>
                <w:rFonts w:hint="eastAsia" w:ascii="宋体" w:hAnsi="宋体" w:eastAsia="宋体" w:cs="宋体"/>
                <w:color w:val="000000" w:themeColor="text1"/>
                <w:spacing w:val="-6"/>
                <w:sz w:val="20"/>
                <w:szCs w:val="20"/>
                <w14:textFill>
                  <w14:solidFill>
                    <w14:schemeClr w14:val="tx1"/>
                  </w14:solidFill>
                </w14:textFill>
              </w:rPr>
              <w:t>省级、各市（州）、县（区）医疗保障局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9"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地方主管部门</w:t>
            </w:r>
          </w:p>
        </w:tc>
        <w:tc>
          <w:tcPr>
            <w:tcW w:w="2412" w:type="dxa"/>
            <w:gridSpan w:val="3"/>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广元市医疗保障局</w:t>
            </w:r>
          </w:p>
        </w:tc>
        <w:tc>
          <w:tcPr>
            <w:tcW w:w="1248"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全年预算数（A）</w:t>
            </w:r>
          </w:p>
        </w:tc>
        <w:tc>
          <w:tcPr>
            <w:tcW w:w="1175"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全年执行数（B）</w:t>
            </w:r>
          </w:p>
        </w:tc>
        <w:tc>
          <w:tcPr>
            <w:tcW w:w="3538" w:type="dxa"/>
            <w:gridSpan w:val="2"/>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预算执行率（B/A)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9" w:type="dxa"/>
            <w:vMerge w:val="restart"/>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项目资金</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（万元）</w:t>
            </w:r>
          </w:p>
        </w:tc>
        <w:tc>
          <w:tcPr>
            <w:tcW w:w="2412" w:type="dxa"/>
            <w:gridSpan w:val="3"/>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年度资金总额</w:t>
            </w:r>
          </w:p>
        </w:tc>
        <w:tc>
          <w:tcPr>
            <w:tcW w:w="1248"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855</w:t>
            </w:r>
          </w:p>
        </w:tc>
        <w:tc>
          <w:tcPr>
            <w:tcW w:w="1175"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526.3</w:t>
            </w:r>
          </w:p>
        </w:tc>
        <w:tc>
          <w:tcPr>
            <w:tcW w:w="3538" w:type="dxa"/>
            <w:gridSpan w:val="2"/>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61.56%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9"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bCs/>
                <w:color w:val="000000" w:themeColor="text1"/>
                <w:sz w:val="20"/>
                <w:szCs w:val="20"/>
                <w14:textFill>
                  <w14:solidFill>
                    <w14:schemeClr w14:val="tx1"/>
                  </w14:solidFill>
                </w14:textFill>
              </w:rPr>
            </w:pPr>
          </w:p>
        </w:tc>
        <w:tc>
          <w:tcPr>
            <w:tcW w:w="2412" w:type="dxa"/>
            <w:gridSpan w:val="3"/>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其中：中央补助</w:t>
            </w:r>
          </w:p>
        </w:tc>
        <w:tc>
          <w:tcPr>
            <w:tcW w:w="1248"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855</w:t>
            </w:r>
          </w:p>
        </w:tc>
        <w:tc>
          <w:tcPr>
            <w:tcW w:w="1175"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526.3</w:t>
            </w:r>
          </w:p>
        </w:tc>
        <w:tc>
          <w:tcPr>
            <w:tcW w:w="3538" w:type="dxa"/>
            <w:gridSpan w:val="2"/>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61.56%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9"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bCs/>
                <w:color w:val="000000" w:themeColor="text1"/>
                <w:sz w:val="20"/>
                <w:szCs w:val="20"/>
                <w14:textFill>
                  <w14:solidFill>
                    <w14:schemeClr w14:val="tx1"/>
                  </w14:solidFill>
                </w14:textFill>
              </w:rPr>
            </w:pPr>
          </w:p>
        </w:tc>
        <w:tc>
          <w:tcPr>
            <w:tcW w:w="2412" w:type="dxa"/>
            <w:gridSpan w:val="3"/>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ind w:firstLine="596" w:firstLineChars="298"/>
              <w:jc w:val="center"/>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地方资金</w:t>
            </w:r>
          </w:p>
        </w:tc>
        <w:tc>
          <w:tcPr>
            <w:tcW w:w="1248"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1175"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3538" w:type="dxa"/>
            <w:gridSpan w:val="2"/>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9"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bCs/>
                <w:color w:val="000000" w:themeColor="text1"/>
                <w:sz w:val="20"/>
                <w:szCs w:val="20"/>
                <w14:textFill>
                  <w14:solidFill>
                    <w14:schemeClr w14:val="tx1"/>
                  </w14:solidFill>
                </w14:textFill>
              </w:rPr>
            </w:pPr>
          </w:p>
        </w:tc>
        <w:tc>
          <w:tcPr>
            <w:tcW w:w="2412" w:type="dxa"/>
            <w:gridSpan w:val="3"/>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ind w:firstLine="596" w:firstLineChars="298"/>
              <w:jc w:val="center"/>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其他资金</w:t>
            </w:r>
          </w:p>
        </w:tc>
        <w:tc>
          <w:tcPr>
            <w:tcW w:w="1248"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1175"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3538" w:type="dxa"/>
            <w:gridSpan w:val="2"/>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9" w:type="dxa"/>
            <w:vMerge w:val="restart"/>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年度</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总体</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目标</w:t>
            </w:r>
          </w:p>
        </w:tc>
        <w:tc>
          <w:tcPr>
            <w:tcW w:w="3660" w:type="dxa"/>
            <w:gridSpan w:val="4"/>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年初设定目标</w:t>
            </w:r>
          </w:p>
        </w:tc>
        <w:tc>
          <w:tcPr>
            <w:tcW w:w="4713" w:type="dxa"/>
            <w:gridSpan w:val="3"/>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9"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bCs/>
                <w:color w:val="000000" w:themeColor="text1"/>
                <w:sz w:val="20"/>
                <w:szCs w:val="20"/>
                <w14:textFill>
                  <w14:solidFill>
                    <w14:schemeClr w14:val="tx1"/>
                  </w14:solidFill>
                </w14:textFill>
              </w:rPr>
            </w:pPr>
          </w:p>
        </w:tc>
        <w:tc>
          <w:tcPr>
            <w:tcW w:w="3660" w:type="dxa"/>
            <w:gridSpan w:val="4"/>
            <w:vMerge w:val="restart"/>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themeColor="text1"/>
                <w:spacing w:val="-17"/>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w:t>
            </w:r>
            <w:r>
              <w:rPr>
                <w:rFonts w:hint="eastAsia" w:ascii="宋体" w:hAnsi="宋体" w:eastAsia="宋体" w:cs="宋体"/>
                <w:color w:val="000000" w:themeColor="text1"/>
                <w:spacing w:val="-17"/>
                <w:sz w:val="20"/>
                <w:szCs w:val="20"/>
                <w14:textFill>
                  <w14:solidFill>
                    <w14:schemeClr w14:val="tx1"/>
                  </w14:solidFill>
                </w14:textFill>
              </w:rPr>
              <w:t>提升医保信息化水平，加强网络、信息安全、基础设施等方面建设，进一步夯实技术基础，切实保障医保信息系统高效、安全运行，提高数据采集质量和速度。</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themeColor="text1"/>
                <w:spacing w:val="-17"/>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w:t>
            </w:r>
            <w:r>
              <w:rPr>
                <w:rFonts w:hint="eastAsia" w:ascii="宋体" w:hAnsi="宋体" w:eastAsia="宋体" w:cs="宋体"/>
                <w:color w:val="000000" w:themeColor="text1"/>
                <w:spacing w:val="-17"/>
                <w:sz w:val="20"/>
                <w:szCs w:val="20"/>
                <w14:textFill>
                  <w14:solidFill>
                    <w14:schemeClr w14:val="tx1"/>
                  </w14:solidFill>
                </w14:textFill>
              </w:rPr>
              <w:t>加强打击欺诈骗保工作力度，创新监管机制，切实保障医保基金合理有效使用。</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（3）优化医保政策、持续推进DRG支付方式改革扩面和药械平台上线试点工作。</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（4）完善医疗救助制度，推进医疗救助市级统筹，保障困难群众基本医疗需求。</w:t>
            </w:r>
          </w:p>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（5）</w:t>
            </w:r>
            <w:r>
              <w:rPr>
                <w:rFonts w:hint="eastAsia" w:ascii="宋体" w:hAnsi="宋体" w:eastAsia="宋体" w:cs="宋体"/>
                <w:color w:val="000000" w:themeColor="text1"/>
                <w:spacing w:val="-17"/>
                <w:sz w:val="20"/>
                <w:szCs w:val="20"/>
                <w14:textFill>
                  <w14:solidFill>
                    <w14:schemeClr w14:val="tx1"/>
                  </w14:solidFill>
                </w14:textFill>
              </w:rPr>
              <w:t>有效提升综合监管、宣传引导、经办服务、人才队伍建设等医疗保障服务能力。</w:t>
            </w:r>
          </w:p>
        </w:tc>
        <w:tc>
          <w:tcPr>
            <w:tcW w:w="4713" w:type="dxa"/>
            <w:gridSpan w:val="3"/>
            <w:vMerge w:val="restart"/>
            <w:shd w:val="clear" w:color="auto" w:fill="auto"/>
            <w:tcMar>
              <w:left w:w="6" w:type="dxa"/>
              <w:right w:w="6"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仿宋_GB2312" w:eastAsia="仿宋_GB2312" w:cs="仿宋_GB2312"/>
                <w:color w:val="000000" w:themeColor="text1"/>
                <w:sz w:val="20"/>
                <w:szCs w:val="20"/>
                <w14:textFill>
                  <w14:solidFill>
                    <w14:schemeClr w14:val="tx1"/>
                  </w14:solidFill>
                </w14:textFill>
              </w:rPr>
              <w:t>2</w:t>
            </w:r>
            <w:r>
              <w:rPr>
                <w:rFonts w:hint="eastAsia" w:ascii="宋体" w:hAnsi="宋体" w:eastAsia="宋体" w:cs="宋体"/>
                <w:color w:val="000000" w:themeColor="text1"/>
                <w:sz w:val="20"/>
                <w:szCs w:val="20"/>
                <w14:textFill>
                  <w14:solidFill>
                    <w14:schemeClr w14:val="tx1"/>
                  </w14:solidFill>
                </w14:textFill>
              </w:rPr>
              <w:t>022 年，医保业务信息水平不断提升，医保骨干网安全运行，国家信息平台上线示范点建设、医保移动支付、数据回流共享区</w:t>
            </w:r>
            <w:r>
              <w:rPr>
                <w:rFonts w:hint="eastAsia" w:ascii="宋体" w:hAnsi="宋体" w:eastAsia="宋体" w:cs="宋体"/>
                <w:color w:val="000000" w:themeColor="text1"/>
                <w:sz w:val="20"/>
                <w:szCs w:val="20"/>
                <w:lang w:eastAsia="zh-CN"/>
                <w14:textFill>
                  <w14:solidFill>
                    <w14:schemeClr w14:val="tx1"/>
                  </w14:solidFill>
                </w14:textFill>
              </w:rPr>
              <w:t>等</w:t>
            </w:r>
            <w:r>
              <w:rPr>
                <w:rFonts w:hint="eastAsia" w:ascii="宋体" w:hAnsi="宋体" w:eastAsia="宋体" w:cs="宋体"/>
                <w:color w:val="000000" w:themeColor="text1"/>
                <w:sz w:val="20"/>
                <w:szCs w:val="20"/>
                <w14:textFill>
                  <w14:solidFill>
                    <w14:schemeClr w14:val="tx1"/>
                  </w14:solidFill>
                </w14:textFill>
              </w:rPr>
              <w:t>建设省级改革试点</w:t>
            </w:r>
            <w:r>
              <w:rPr>
                <w:rFonts w:hint="eastAsia" w:ascii="宋体" w:hAnsi="宋体" w:eastAsia="宋体" w:cs="宋体"/>
                <w:color w:val="000000" w:themeColor="text1"/>
                <w:sz w:val="20"/>
                <w:szCs w:val="20"/>
                <w:lang w:eastAsia="zh-CN"/>
                <w14:textFill>
                  <w14:solidFill>
                    <w14:schemeClr w14:val="tx1"/>
                  </w14:solidFill>
                </w14:textFill>
              </w:rPr>
              <w:t>工作均取得明显成效</w:t>
            </w:r>
            <w:r>
              <w:rPr>
                <w:rFonts w:hint="eastAsia" w:ascii="宋体" w:hAnsi="宋体" w:eastAsia="宋体" w:cs="宋体"/>
                <w:color w:val="000000" w:themeColor="text1"/>
                <w:sz w:val="20"/>
                <w:szCs w:val="20"/>
                <w14:textFill>
                  <w14:solidFill>
                    <w14:schemeClr w14:val="tx1"/>
                  </w14:solidFill>
                </w14:textFill>
              </w:rPr>
              <w:t>；</w:t>
            </w:r>
            <w:r>
              <w:rPr>
                <w:rFonts w:hint="eastAsia" w:ascii="宋体" w:hAnsi="宋体" w:eastAsia="宋体" w:cs="宋体"/>
                <w:color w:val="000000" w:themeColor="text1"/>
                <w:sz w:val="20"/>
                <w:szCs w:val="20"/>
                <w:lang w:eastAsia="zh-CN"/>
                <w14:textFill>
                  <w14:solidFill>
                    <w14:schemeClr w14:val="tx1"/>
                  </w14:solidFill>
                </w14:textFill>
              </w:rPr>
              <w:t>我市</w:t>
            </w:r>
            <w:r>
              <w:rPr>
                <w:rFonts w:hint="eastAsia" w:ascii="宋体" w:hAnsi="宋体" w:eastAsia="宋体" w:cs="宋体"/>
                <w:color w:val="000000" w:themeColor="text1"/>
                <w:sz w:val="20"/>
                <w:szCs w:val="20"/>
                <w14:textFill>
                  <w14:solidFill>
                    <w14:schemeClr w14:val="tx1"/>
                  </w14:solidFill>
                </w14:textFill>
              </w:rPr>
              <w:t>勇担药械采购平台上线省级试点，首批13家医疗机构稳健运行</w:t>
            </w:r>
            <w:r>
              <w:rPr>
                <w:rFonts w:hint="eastAsia" w:ascii="宋体" w:hAnsi="宋体" w:eastAsia="宋体" w:cs="宋体"/>
                <w:color w:val="000000" w:themeColor="text1"/>
                <w:sz w:val="20"/>
                <w:szCs w:val="20"/>
                <w:lang w:val="en-US"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医保支付方式改革工作持续推进，制定了《广元市DRG支付方式三年行动计划实施方案》打破统一费率改革坚冰，首试邀请第三方参与医保基金使用监督检查，基金使用监管实现定点医疗机构全覆盖，综合监管机制日趋完善；经办服务显著提升，“新四办”获评国家局管理增效案例，获评经办服务国家示范点2个，全省唯一双示范市，法治医保、宣传引导、人才队伍建设等医疗保障服务能力明显提升,绩效目标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9"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bCs/>
                <w:color w:val="000000" w:themeColor="text1"/>
                <w:sz w:val="20"/>
                <w:szCs w:val="20"/>
                <w14:textFill>
                  <w14:solidFill>
                    <w14:schemeClr w14:val="tx1"/>
                  </w14:solidFill>
                </w14:textFill>
              </w:rPr>
            </w:pPr>
          </w:p>
        </w:tc>
        <w:tc>
          <w:tcPr>
            <w:tcW w:w="3660" w:type="dxa"/>
            <w:gridSpan w:val="4"/>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eastAsia="宋体" w:cs="宋体"/>
                <w:color w:val="000000" w:themeColor="text1"/>
                <w:sz w:val="20"/>
                <w:szCs w:val="20"/>
                <w14:textFill>
                  <w14:solidFill>
                    <w14:schemeClr w14:val="tx1"/>
                  </w14:solidFill>
                </w14:textFill>
              </w:rPr>
            </w:pPr>
          </w:p>
        </w:tc>
        <w:tc>
          <w:tcPr>
            <w:tcW w:w="4713" w:type="dxa"/>
            <w:gridSpan w:val="3"/>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eastAsia="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2" w:hRule="atLeast"/>
        </w:trPr>
        <w:tc>
          <w:tcPr>
            <w:tcW w:w="1419"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bCs/>
                <w:color w:val="000000" w:themeColor="text1"/>
                <w:sz w:val="20"/>
                <w:szCs w:val="20"/>
                <w14:textFill>
                  <w14:solidFill>
                    <w14:schemeClr w14:val="tx1"/>
                  </w14:solidFill>
                </w14:textFill>
              </w:rPr>
            </w:pPr>
          </w:p>
        </w:tc>
        <w:tc>
          <w:tcPr>
            <w:tcW w:w="3660" w:type="dxa"/>
            <w:gridSpan w:val="4"/>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eastAsia="宋体" w:cs="宋体"/>
                <w:color w:val="000000" w:themeColor="text1"/>
                <w:sz w:val="20"/>
                <w:szCs w:val="20"/>
                <w14:textFill>
                  <w14:solidFill>
                    <w14:schemeClr w14:val="tx1"/>
                  </w14:solidFill>
                </w14:textFill>
              </w:rPr>
            </w:pPr>
          </w:p>
        </w:tc>
        <w:tc>
          <w:tcPr>
            <w:tcW w:w="4713" w:type="dxa"/>
            <w:gridSpan w:val="3"/>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eastAsia="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9" w:type="dxa"/>
            <w:vMerge w:val="restart"/>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绩效指标</w:t>
            </w:r>
          </w:p>
        </w:tc>
        <w:tc>
          <w:tcPr>
            <w:tcW w:w="753"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一级</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指标</w:t>
            </w:r>
          </w:p>
        </w:tc>
        <w:tc>
          <w:tcPr>
            <w:tcW w:w="567"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二级指标</w:t>
            </w:r>
          </w:p>
        </w:tc>
        <w:tc>
          <w:tcPr>
            <w:tcW w:w="2340" w:type="dxa"/>
            <w:gridSpan w:val="2"/>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三级指标</w:t>
            </w:r>
          </w:p>
        </w:tc>
        <w:tc>
          <w:tcPr>
            <w:tcW w:w="1175"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年度指标值</w:t>
            </w:r>
          </w:p>
        </w:tc>
        <w:tc>
          <w:tcPr>
            <w:tcW w:w="1461"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全年完成值</w:t>
            </w:r>
          </w:p>
        </w:tc>
        <w:tc>
          <w:tcPr>
            <w:tcW w:w="2077"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未完成原因和改进措施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419"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753" w:type="dxa"/>
            <w:vMerge w:val="restart"/>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产出</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指标</w:t>
            </w:r>
          </w:p>
        </w:tc>
        <w:tc>
          <w:tcPr>
            <w:tcW w:w="567" w:type="dxa"/>
            <w:vMerge w:val="restart"/>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数量指标</w:t>
            </w:r>
          </w:p>
        </w:tc>
        <w:tc>
          <w:tcPr>
            <w:tcW w:w="2340" w:type="dxa"/>
            <w:gridSpan w:val="2"/>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医保规范性文件和政策措施的合法性审查、公平竞争审查</w:t>
            </w:r>
          </w:p>
        </w:tc>
        <w:tc>
          <w:tcPr>
            <w:tcW w:w="1175"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全覆盖</w:t>
            </w:r>
          </w:p>
        </w:tc>
        <w:tc>
          <w:tcPr>
            <w:tcW w:w="1461"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全覆盖</w:t>
            </w:r>
          </w:p>
        </w:tc>
        <w:tc>
          <w:tcPr>
            <w:tcW w:w="2077"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9"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753"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eastAsia="宋体" w:cs="宋体"/>
                <w:color w:val="000000" w:themeColor="text1"/>
                <w:sz w:val="20"/>
                <w:szCs w:val="20"/>
                <w14:textFill>
                  <w14:solidFill>
                    <w14:schemeClr w14:val="tx1"/>
                  </w14:solidFill>
                </w14:textFill>
              </w:rPr>
            </w:pPr>
          </w:p>
        </w:tc>
        <w:tc>
          <w:tcPr>
            <w:tcW w:w="567"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eastAsia="宋体" w:cs="宋体"/>
                <w:color w:val="000000" w:themeColor="text1"/>
                <w:sz w:val="20"/>
                <w:szCs w:val="20"/>
                <w14:textFill>
                  <w14:solidFill>
                    <w14:schemeClr w14:val="tx1"/>
                  </w14:solidFill>
                </w14:textFill>
              </w:rPr>
            </w:pPr>
          </w:p>
        </w:tc>
        <w:tc>
          <w:tcPr>
            <w:tcW w:w="2340" w:type="dxa"/>
            <w:gridSpan w:val="2"/>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pacing w:val="-12"/>
                <w:sz w:val="20"/>
                <w:szCs w:val="20"/>
                <w14:textFill>
                  <w14:solidFill>
                    <w14:schemeClr w14:val="tx1"/>
                  </w14:solidFill>
                </w14:textFill>
              </w:rPr>
            </w:pPr>
            <w:r>
              <w:rPr>
                <w:rFonts w:hint="eastAsia" w:ascii="宋体" w:hAnsi="宋体" w:eastAsia="宋体" w:cs="宋体"/>
                <w:color w:val="000000" w:themeColor="text1"/>
                <w:spacing w:val="-12"/>
                <w:sz w:val="20"/>
                <w:szCs w:val="20"/>
                <w14:textFill>
                  <w14:solidFill>
                    <w14:schemeClr w14:val="tx1"/>
                  </w14:solidFill>
                </w14:textFill>
              </w:rPr>
              <w:t>医保信息系统正常运行率</w:t>
            </w:r>
          </w:p>
        </w:tc>
        <w:tc>
          <w:tcPr>
            <w:tcW w:w="1175"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≥90%</w:t>
            </w:r>
          </w:p>
        </w:tc>
        <w:tc>
          <w:tcPr>
            <w:tcW w:w="1461"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99%</w:t>
            </w:r>
          </w:p>
        </w:tc>
        <w:tc>
          <w:tcPr>
            <w:tcW w:w="2077"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9"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753"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eastAsia="宋体" w:cs="宋体"/>
                <w:color w:val="000000" w:themeColor="text1"/>
                <w:sz w:val="20"/>
                <w:szCs w:val="20"/>
                <w14:textFill>
                  <w14:solidFill>
                    <w14:schemeClr w14:val="tx1"/>
                  </w14:solidFill>
                </w14:textFill>
              </w:rPr>
            </w:pPr>
          </w:p>
        </w:tc>
        <w:tc>
          <w:tcPr>
            <w:tcW w:w="567"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eastAsia="宋体" w:cs="宋体"/>
                <w:color w:val="000000" w:themeColor="text1"/>
                <w:sz w:val="20"/>
                <w:szCs w:val="20"/>
                <w14:textFill>
                  <w14:solidFill>
                    <w14:schemeClr w14:val="tx1"/>
                  </w14:solidFill>
                </w14:textFill>
              </w:rPr>
            </w:pPr>
          </w:p>
        </w:tc>
        <w:tc>
          <w:tcPr>
            <w:tcW w:w="2340" w:type="dxa"/>
            <w:gridSpan w:val="2"/>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医保信息系统重大安全事件响应时间</w:t>
            </w:r>
          </w:p>
        </w:tc>
        <w:tc>
          <w:tcPr>
            <w:tcW w:w="1175"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≤60 分钟</w:t>
            </w:r>
          </w:p>
        </w:tc>
        <w:tc>
          <w:tcPr>
            <w:tcW w:w="1461"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未发生重大安全事件</w:t>
            </w:r>
          </w:p>
        </w:tc>
        <w:tc>
          <w:tcPr>
            <w:tcW w:w="2077"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9"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753"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eastAsia="宋体" w:cs="宋体"/>
                <w:color w:val="000000" w:themeColor="text1"/>
                <w:sz w:val="20"/>
                <w:szCs w:val="20"/>
                <w14:textFill>
                  <w14:solidFill>
                    <w14:schemeClr w14:val="tx1"/>
                  </w14:solidFill>
                </w14:textFill>
              </w:rPr>
            </w:pPr>
          </w:p>
        </w:tc>
        <w:tc>
          <w:tcPr>
            <w:tcW w:w="567"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eastAsia="宋体" w:cs="宋体"/>
                <w:color w:val="000000" w:themeColor="text1"/>
                <w:sz w:val="20"/>
                <w:szCs w:val="20"/>
                <w14:textFill>
                  <w14:solidFill>
                    <w14:schemeClr w14:val="tx1"/>
                  </w14:solidFill>
                </w14:textFill>
              </w:rPr>
            </w:pPr>
          </w:p>
        </w:tc>
        <w:tc>
          <w:tcPr>
            <w:tcW w:w="2340" w:type="dxa"/>
            <w:gridSpan w:val="2"/>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医保信息系统运行维护响应时间</w:t>
            </w:r>
          </w:p>
        </w:tc>
        <w:tc>
          <w:tcPr>
            <w:tcW w:w="1175"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≤30 分钟</w:t>
            </w:r>
          </w:p>
        </w:tc>
        <w:tc>
          <w:tcPr>
            <w:tcW w:w="1461"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不超过 30 分钟</w:t>
            </w:r>
          </w:p>
        </w:tc>
        <w:tc>
          <w:tcPr>
            <w:tcW w:w="2077"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419"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753"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eastAsia="宋体" w:cs="宋体"/>
                <w:color w:val="000000" w:themeColor="text1"/>
                <w:sz w:val="20"/>
                <w:szCs w:val="20"/>
                <w14:textFill>
                  <w14:solidFill>
                    <w14:schemeClr w14:val="tx1"/>
                  </w14:solidFill>
                </w14:textFill>
              </w:rPr>
            </w:pPr>
          </w:p>
        </w:tc>
        <w:tc>
          <w:tcPr>
            <w:tcW w:w="567"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eastAsia="宋体" w:cs="宋体"/>
                <w:color w:val="000000" w:themeColor="text1"/>
                <w:sz w:val="20"/>
                <w:szCs w:val="20"/>
                <w14:textFill>
                  <w14:solidFill>
                    <w14:schemeClr w14:val="tx1"/>
                  </w14:solidFill>
                </w14:textFill>
              </w:rPr>
            </w:pPr>
          </w:p>
        </w:tc>
        <w:tc>
          <w:tcPr>
            <w:tcW w:w="2340" w:type="dxa"/>
            <w:gridSpan w:val="2"/>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定点医药机构监督检查覆盖率</w:t>
            </w:r>
          </w:p>
        </w:tc>
        <w:tc>
          <w:tcPr>
            <w:tcW w:w="1175"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100%</w:t>
            </w:r>
          </w:p>
        </w:tc>
        <w:tc>
          <w:tcPr>
            <w:tcW w:w="1461"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100%</w:t>
            </w:r>
          </w:p>
        </w:tc>
        <w:tc>
          <w:tcPr>
            <w:tcW w:w="2077"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9" w:type="dxa"/>
            <w:vMerge w:val="restart"/>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绩效指标</w:t>
            </w:r>
          </w:p>
        </w:tc>
        <w:tc>
          <w:tcPr>
            <w:tcW w:w="753" w:type="dxa"/>
            <w:vMerge w:val="restart"/>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产出</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指标</w:t>
            </w:r>
          </w:p>
        </w:tc>
        <w:tc>
          <w:tcPr>
            <w:tcW w:w="567" w:type="dxa"/>
            <w:vMerge w:val="restart"/>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数量指标</w:t>
            </w:r>
          </w:p>
        </w:tc>
        <w:tc>
          <w:tcPr>
            <w:tcW w:w="2340" w:type="dxa"/>
            <w:gridSpan w:val="2"/>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推行医保支付方式改革和DRG 及 DIP 试点</w:t>
            </w:r>
          </w:p>
        </w:tc>
        <w:tc>
          <w:tcPr>
            <w:tcW w:w="1175"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逐步推开</w:t>
            </w:r>
          </w:p>
        </w:tc>
        <w:tc>
          <w:tcPr>
            <w:tcW w:w="1461"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全面推行医保支付方式改革，</w:t>
            </w:r>
            <w:r>
              <w:rPr>
                <w:rFonts w:ascii="宋体" w:hAnsi="宋体" w:eastAsia="宋体" w:cs="宋体"/>
                <w:color w:val="000000" w:themeColor="text1"/>
                <w:sz w:val="20"/>
                <w14:textFill>
                  <w14:solidFill>
                    <w14:schemeClr w14:val="tx1"/>
                  </w14:solidFill>
                </w14:textFill>
              </w:rPr>
              <w:t>我市已完成统筹地区、医疗机构、病种分组、医保基金全覆盖</w:t>
            </w:r>
          </w:p>
        </w:tc>
        <w:tc>
          <w:tcPr>
            <w:tcW w:w="2077"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9"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753"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567"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2340" w:type="dxa"/>
            <w:gridSpan w:val="2"/>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能提供医保服务的镇村覆盖率</w:t>
            </w:r>
          </w:p>
        </w:tc>
        <w:tc>
          <w:tcPr>
            <w:tcW w:w="1175"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≥90%</w:t>
            </w:r>
          </w:p>
        </w:tc>
        <w:tc>
          <w:tcPr>
            <w:tcW w:w="1461"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100%</w:t>
            </w:r>
          </w:p>
        </w:tc>
        <w:tc>
          <w:tcPr>
            <w:tcW w:w="2077"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9"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753"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567"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2340" w:type="dxa"/>
            <w:gridSpan w:val="2"/>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作为参保地和就医地双向开通五个门诊慢特病详相关治疗费用跨省直接结算</w:t>
            </w:r>
          </w:p>
        </w:tc>
        <w:tc>
          <w:tcPr>
            <w:tcW w:w="1175"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100%</w:t>
            </w:r>
          </w:p>
        </w:tc>
        <w:tc>
          <w:tcPr>
            <w:tcW w:w="1461"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100%</w:t>
            </w:r>
          </w:p>
        </w:tc>
        <w:tc>
          <w:tcPr>
            <w:tcW w:w="2077"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9"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753"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567" w:type="dxa"/>
            <w:vMerge w:val="restart"/>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质量指标</w:t>
            </w:r>
          </w:p>
        </w:tc>
        <w:tc>
          <w:tcPr>
            <w:tcW w:w="2340" w:type="dxa"/>
            <w:gridSpan w:val="2"/>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医保法治建设能力</w:t>
            </w:r>
          </w:p>
        </w:tc>
        <w:tc>
          <w:tcPr>
            <w:tcW w:w="1175"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有所提高</w:t>
            </w:r>
          </w:p>
        </w:tc>
        <w:tc>
          <w:tcPr>
            <w:tcW w:w="1461"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进一步提高</w:t>
            </w:r>
          </w:p>
        </w:tc>
        <w:tc>
          <w:tcPr>
            <w:tcW w:w="2077"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9"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753"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567" w:type="dxa"/>
            <w:vMerge w:val="continue"/>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2340" w:type="dxa"/>
            <w:gridSpan w:val="2"/>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基金预警和风险防控能力</w:t>
            </w:r>
          </w:p>
        </w:tc>
        <w:tc>
          <w:tcPr>
            <w:tcW w:w="1175"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有所提高</w:t>
            </w:r>
          </w:p>
        </w:tc>
        <w:tc>
          <w:tcPr>
            <w:tcW w:w="1461"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进一步提高</w:t>
            </w:r>
          </w:p>
        </w:tc>
        <w:tc>
          <w:tcPr>
            <w:tcW w:w="2077"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9"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753"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567" w:type="dxa"/>
            <w:vMerge w:val="continue"/>
            <w:shd w:val="clear" w:color="auto" w:fill="auto"/>
            <w:noWrap/>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2340" w:type="dxa"/>
            <w:gridSpan w:val="2"/>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医保经办服务能力</w:t>
            </w:r>
          </w:p>
        </w:tc>
        <w:tc>
          <w:tcPr>
            <w:tcW w:w="1175"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有所提高</w:t>
            </w:r>
          </w:p>
        </w:tc>
        <w:tc>
          <w:tcPr>
            <w:tcW w:w="1461"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显著提升</w:t>
            </w:r>
          </w:p>
        </w:tc>
        <w:tc>
          <w:tcPr>
            <w:tcW w:w="2077"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9"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753"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567" w:type="dxa"/>
            <w:vMerge w:val="continue"/>
            <w:shd w:val="clear" w:color="auto" w:fill="auto"/>
            <w:noWrap/>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2340" w:type="dxa"/>
            <w:gridSpan w:val="2"/>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医保综合监管能力</w:t>
            </w:r>
          </w:p>
        </w:tc>
        <w:tc>
          <w:tcPr>
            <w:tcW w:w="1175"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显著提升</w:t>
            </w:r>
          </w:p>
        </w:tc>
        <w:tc>
          <w:tcPr>
            <w:tcW w:w="1461"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显著提升</w:t>
            </w:r>
          </w:p>
        </w:tc>
        <w:tc>
          <w:tcPr>
            <w:tcW w:w="2077"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9"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753"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567" w:type="dxa"/>
            <w:vMerge w:val="continue"/>
            <w:shd w:val="clear" w:color="auto" w:fill="auto"/>
            <w:noWrap/>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2340" w:type="dxa"/>
            <w:gridSpan w:val="2"/>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医保宣传能力</w:t>
            </w:r>
          </w:p>
        </w:tc>
        <w:tc>
          <w:tcPr>
            <w:tcW w:w="1175"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显著提升</w:t>
            </w:r>
          </w:p>
        </w:tc>
        <w:tc>
          <w:tcPr>
            <w:tcW w:w="1461"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显著提升</w:t>
            </w:r>
          </w:p>
        </w:tc>
        <w:tc>
          <w:tcPr>
            <w:tcW w:w="2077"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9"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753"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567" w:type="dxa"/>
            <w:vMerge w:val="continue"/>
            <w:shd w:val="clear" w:color="auto" w:fill="auto"/>
            <w:noWrap/>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2340" w:type="dxa"/>
            <w:gridSpan w:val="2"/>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医保标准化水平</w:t>
            </w:r>
          </w:p>
        </w:tc>
        <w:tc>
          <w:tcPr>
            <w:tcW w:w="1175"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显著提升</w:t>
            </w:r>
          </w:p>
        </w:tc>
        <w:tc>
          <w:tcPr>
            <w:tcW w:w="1461"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显著提升</w:t>
            </w:r>
          </w:p>
        </w:tc>
        <w:tc>
          <w:tcPr>
            <w:tcW w:w="2077"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9"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753"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567" w:type="dxa"/>
            <w:vMerge w:val="continue"/>
            <w:shd w:val="clear" w:color="auto" w:fill="auto"/>
            <w:noWrap/>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2340" w:type="dxa"/>
            <w:gridSpan w:val="2"/>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县区以上经办大厅标准化建设完成率</w:t>
            </w:r>
          </w:p>
        </w:tc>
        <w:tc>
          <w:tcPr>
            <w:tcW w:w="1175"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≥70%</w:t>
            </w:r>
          </w:p>
        </w:tc>
        <w:tc>
          <w:tcPr>
            <w:tcW w:w="1461"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100%</w:t>
            </w:r>
          </w:p>
        </w:tc>
        <w:tc>
          <w:tcPr>
            <w:tcW w:w="2077"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9"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753"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567" w:type="dxa"/>
            <w:vMerge w:val="continue"/>
            <w:shd w:val="clear" w:color="auto" w:fill="auto"/>
            <w:noWrap/>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2340" w:type="dxa"/>
            <w:gridSpan w:val="2"/>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按照全省统一的医疗服务价格动态调整机制，每年开展评估</w:t>
            </w:r>
          </w:p>
        </w:tc>
        <w:tc>
          <w:tcPr>
            <w:tcW w:w="1175"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0"/>
                <w:sz w:val="20"/>
                <w:szCs w:val="20"/>
                <w14:textFill>
                  <w14:solidFill>
                    <w14:schemeClr w14:val="tx1"/>
                  </w14:solidFill>
                </w14:textFill>
              </w:rPr>
              <w:t>9月10日前完成医疗服务价格动态调整评估，触发启动条件并开展调价</w:t>
            </w:r>
          </w:p>
        </w:tc>
        <w:tc>
          <w:tcPr>
            <w:tcW w:w="1461"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9月10日前完成医疗服务价格动态调整评估，触发启动条件并开展调价</w:t>
            </w:r>
          </w:p>
        </w:tc>
        <w:tc>
          <w:tcPr>
            <w:tcW w:w="2077"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9"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753"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567" w:type="dxa"/>
            <w:vMerge w:val="continue"/>
            <w:shd w:val="clear" w:color="auto" w:fill="auto"/>
            <w:noWrap/>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2340" w:type="dxa"/>
            <w:gridSpan w:val="2"/>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原各省份自行增补纳入医保支付药品的消化情况</w:t>
            </w:r>
          </w:p>
        </w:tc>
        <w:tc>
          <w:tcPr>
            <w:tcW w:w="1175"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100%消化</w:t>
            </w:r>
          </w:p>
        </w:tc>
        <w:tc>
          <w:tcPr>
            <w:tcW w:w="1461"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100%消化</w:t>
            </w:r>
          </w:p>
        </w:tc>
        <w:tc>
          <w:tcPr>
            <w:tcW w:w="2077"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9"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753"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567" w:type="dxa"/>
            <w:vMerge w:val="continue"/>
            <w:shd w:val="clear" w:color="auto" w:fill="auto"/>
            <w:noWrap/>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2340" w:type="dxa"/>
            <w:gridSpan w:val="2"/>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国家和省级集中采购药械完成率</w:t>
            </w:r>
          </w:p>
        </w:tc>
        <w:tc>
          <w:tcPr>
            <w:tcW w:w="1175"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≥100%</w:t>
            </w:r>
          </w:p>
        </w:tc>
        <w:tc>
          <w:tcPr>
            <w:tcW w:w="1461"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100%</w:t>
            </w:r>
          </w:p>
        </w:tc>
        <w:tc>
          <w:tcPr>
            <w:tcW w:w="2077"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9" w:type="dxa"/>
            <w:vMerge w:val="continue"/>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p>
        </w:tc>
        <w:tc>
          <w:tcPr>
            <w:tcW w:w="753"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满意</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度指标</w:t>
            </w:r>
          </w:p>
        </w:tc>
        <w:tc>
          <w:tcPr>
            <w:tcW w:w="567"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服务对象满意度</w:t>
            </w:r>
          </w:p>
        </w:tc>
        <w:tc>
          <w:tcPr>
            <w:tcW w:w="2340" w:type="dxa"/>
            <w:gridSpan w:val="2"/>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参保人员对医保服务满意度</w:t>
            </w:r>
          </w:p>
        </w:tc>
        <w:tc>
          <w:tcPr>
            <w:tcW w:w="1175"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≥85%</w:t>
            </w:r>
          </w:p>
        </w:tc>
        <w:tc>
          <w:tcPr>
            <w:tcW w:w="1461"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≥9</w:t>
            </w:r>
            <w:r>
              <w:rPr>
                <w:rFonts w:hint="default" w:ascii="宋体" w:hAnsi="宋体" w:eastAsia="宋体" w:cs="宋体"/>
                <w:color w:val="000000" w:themeColor="text1"/>
                <w:sz w:val="20"/>
                <w:szCs w:val="20"/>
                <w:lang w:val="en-US"/>
                <w14:textFill>
                  <w14:solidFill>
                    <w14:schemeClr w14:val="tx1"/>
                  </w14:solidFill>
                </w14:textFill>
              </w:rPr>
              <w:t>5</w:t>
            </w:r>
            <w:r>
              <w:rPr>
                <w:rFonts w:hint="eastAsia" w:ascii="宋体" w:hAnsi="宋体" w:eastAsia="宋体" w:cs="宋体"/>
                <w:color w:val="000000" w:themeColor="text1"/>
                <w:sz w:val="20"/>
                <w:szCs w:val="20"/>
                <w14:textFill>
                  <w14:solidFill>
                    <w14:schemeClr w14:val="tx1"/>
                  </w14:solidFill>
                </w14:textFill>
              </w:rPr>
              <w:t>%</w:t>
            </w:r>
          </w:p>
        </w:tc>
        <w:tc>
          <w:tcPr>
            <w:tcW w:w="2077" w:type="dxa"/>
            <w:shd w:val="clear" w:color="auto" w:fill="auto"/>
            <w:tcMar>
              <w:left w:w="6" w:type="dxa"/>
              <w:right w:w="6" w:type="dxa"/>
            </w:tcMar>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ascii="宋体" w:hAnsi="宋体" w:eastAsia="宋体" w:cs="宋体"/>
                <w:color w:val="000000" w:themeColor="text1"/>
                <w:sz w:val="20"/>
                <w:szCs w:val="20"/>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snapToGrid/>
        <w:spacing w:line="40" w:lineRule="exact"/>
        <w:textAlignment w:val="auto"/>
        <w:rPr>
          <w:rFonts w:ascii="方正楷体简体" w:hAnsi="宋体" w:eastAsia="方正楷体简体" w:cs="宋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Style w:val="47"/>
          <w:rFonts w:hint="eastAsia" w:ascii="方正小标宋简体" w:hAnsi="方正小标宋简体" w:eastAsia="方正小标宋简体" w:cs="方正小标宋简体"/>
          <w:b w:val="0"/>
          <w:bCs w:val="0"/>
          <w:color w:val="000000" w:themeColor="text1"/>
          <w:sz w:val="44"/>
          <w:szCs w:val="44"/>
          <w:lang w:val="en-US" w:eastAsia="zh-CN" w:bidi="ar"/>
          <w14:textFill>
            <w14:solidFill>
              <w14:schemeClr w14:val="tx1"/>
            </w14:solidFill>
          </w14:textFill>
        </w:rPr>
      </w:pPr>
      <w:r>
        <w:rPr>
          <w:rStyle w:val="47"/>
          <w:rFonts w:hint="eastAsia" w:ascii="方正小标宋简体" w:hAnsi="方正小标宋简体" w:eastAsia="方正小标宋简体" w:cs="方正小标宋简体"/>
          <w:b w:val="0"/>
          <w:bCs w:val="0"/>
          <w:color w:val="000000" w:themeColor="text1"/>
          <w:sz w:val="44"/>
          <w:szCs w:val="44"/>
          <w:lang w:val="en-US" w:eastAsia="zh-CN" w:bidi="ar"/>
          <w14:textFill>
            <w14:solidFill>
              <w14:schemeClr w14:val="tx1"/>
            </w14:solidFill>
          </w14:textFill>
        </w:rPr>
        <w:t>广元市转移支付区域（项目）绩效目标自评表</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Style w:val="47"/>
          <w:rFonts w:hint="eastAsia" w:ascii="楷体_GB2312" w:hAnsi="楷体_GB2312" w:eastAsia="楷体_GB2312" w:cs="楷体_GB2312"/>
          <w:b w:val="0"/>
          <w:bCs w:val="0"/>
          <w:color w:val="000000" w:themeColor="text1"/>
          <w:sz w:val="32"/>
          <w:szCs w:val="32"/>
          <w:lang w:val="en-US" w:eastAsia="zh-CN" w:bidi="ar"/>
          <w14:textFill>
            <w14:solidFill>
              <w14:schemeClr w14:val="tx1"/>
            </w14:solidFill>
          </w14:textFill>
        </w:rPr>
      </w:pPr>
      <w:r>
        <w:rPr>
          <w:rFonts w:hint="eastAsia" w:ascii="楷体_GB2312" w:hAnsi="楷体_GB2312" w:eastAsia="楷体_GB2312" w:cs="楷体_GB2312"/>
          <w:i w:val="0"/>
          <w:iCs w:val="0"/>
          <w:color w:val="000000" w:themeColor="text1"/>
          <w:kern w:val="0"/>
          <w:sz w:val="32"/>
          <w:szCs w:val="32"/>
          <w:u w:val="none"/>
          <w:lang w:val="en-US" w:eastAsia="zh-CN" w:bidi="ar"/>
          <w14:textFill>
            <w14:solidFill>
              <w14:schemeClr w14:val="tx1"/>
            </w14:solidFill>
          </w14:textFill>
        </w:rPr>
        <w:t>（2022年度）</w:t>
      </w:r>
    </w:p>
    <w:tbl>
      <w:tblPr>
        <w:tblStyle w:val="19"/>
        <w:tblW w:w="921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590"/>
        <w:gridCol w:w="550"/>
        <w:gridCol w:w="1783"/>
        <w:gridCol w:w="841"/>
        <w:gridCol w:w="1103"/>
        <w:gridCol w:w="376"/>
        <w:gridCol w:w="1478"/>
        <w:gridCol w:w="90"/>
        <w:gridCol w:w="1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96"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转移支付（项目）名称</w:t>
            </w:r>
          </w:p>
        </w:tc>
        <w:tc>
          <w:tcPr>
            <w:tcW w:w="7617"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城乡居民医保财政补助资金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96"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中央主管部门</w:t>
            </w:r>
          </w:p>
        </w:tc>
        <w:tc>
          <w:tcPr>
            <w:tcW w:w="7617"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财政部、国家医保局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96"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地方主管部门</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省财政厅、省医保局</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资金使用单位</w:t>
            </w:r>
          </w:p>
        </w:tc>
        <w:tc>
          <w:tcPr>
            <w:tcW w:w="3514"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广元市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9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项目资金</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（万元）</w:t>
            </w:r>
          </w:p>
        </w:tc>
        <w:tc>
          <w:tcPr>
            <w:tcW w:w="178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全年预算数（A）</w:t>
            </w:r>
          </w:p>
        </w:tc>
        <w:tc>
          <w:tcPr>
            <w:tcW w:w="1944"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全年执行数（B）</w:t>
            </w:r>
          </w:p>
        </w:tc>
        <w:tc>
          <w:tcPr>
            <w:tcW w:w="1946"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预算执行率（B/A)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9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年度资金总额：</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134030.32</w:t>
            </w:r>
          </w:p>
        </w:tc>
        <w:tc>
          <w:tcPr>
            <w:tcW w:w="1944"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134030.32</w:t>
            </w:r>
          </w:p>
        </w:tc>
        <w:tc>
          <w:tcPr>
            <w:tcW w:w="1946"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9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Style w:val="48"/>
                <w:rFonts w:hint="eastAsia" w:ascii="宋体" w:hAnsi="宋体" w:eastAsia="宋体" w:cs="宋体"/>
                <w:color w:val="000000" w:themeColor="text1"/>
                <w:sz w:val="20"/>
                <w:szCs w:val="20"/>
                <w:lang w:val="en-US" w:eastAsia="zh-CN" w:bidi="ar"/>
                <w14:textFill>
                  <w14:solidFill>
                    <w14:schemeClr w14:val="tx1"/>
                  </w14:solidFill>
                </w14:textFill>
              </w:rPr>
              <w:t xml:space="preserve"> 其中：中央补助</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107032.34</w:t>
            </w:r>
          </w:p>
        </w:tc>
        <w:tc>
          <w:tcPr>
            <w:tcW w:w="1944"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107032.34</w:t>
            </w:r>
          </w:p>
        </w:tc>
        <w:tc>
          <w:tcPr>
            <w:tcW w:w="1946"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9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Style w:val="48"/>
                <w:rFonts w:hint="eastAsia" w:ascii="宋体" w:hAnsi="宋体" w:eastAsia="宋体" w:cs="宋体"/>
                <w:color w:val="000000" w:themeColor="text1"/>
                <w:sz w:val="20"/>
                <w:szCs w:val="20"/>
                <w:lang w:val="en-US" w:eastAsia="zh-CN" w:bidi="ar"/>
                <w14:textFill>
                  <w14:solidFill>
                    <w14:schemeClr w14:val="tx1"/>
                  </w14:solidFill>
                </w14:textFill>
              </w:rPr>
              <w:t xml:space="preserve">       地方资金</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26997.98</w:t>
            </w:r>
          </w:p>
        </w:tc>
        <w:tc>
          <w:tcPr>
            <w:tcW w:w="1944"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26997.98</w:t>
            </w:r>
          </w:p>
        </w:tc>
        <w:tc>
          <w:tcPr>
            <w:tcW w:w="1946"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9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Style w:val="48"/>
                <w:rFonts w:hint="eastAsia" w:ascii="宋体" w:hAnsi="宋体" w:eastAsia="宋体" w:cs="宋体"/>
                <w:color w:val="000000" w:themeColor="text1"/>
                <w:sz w:val="20"/>
                <w:szCs w:val="20"/>
                <w:lang w:val="en-US" w:eastAsia="zh-CN" w:bidi="ar"/>
                <w14:textFill>
                  <w14:solidFill>
                    <w14:schemeClr w14:val="tx1"/>
                  </w14:solidFill>
                </w14:textFill>
              </w:rPr>
              <w:t xml:space="preserve">        其他资金</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w:t>
            </w:r>
          </w:p>
        </w:tc>
        <w:tc>
          <w:tcPr>
            <w:tcW w:w="1944"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w:t>
            </w:r>
          </w:p>
        </w:tc>
        <w:tc>
          <w:tcPr>
            <w:tcW w:w="1946"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总体目标完成情况</w:t>
            </w:r>
          </w:p>
        </w:tc>
        <w:tc>
          <w:tcPr>
            <w:tcW w:w="3764"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总体目标</w:t>
            </w:r>
          </w:p>
        </w:tc>
        <w:tc>
          <w:tcPr>
            <w:tcW w:w="4993"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3764"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pacing w:val="-6"/>
                <w:kern w:val="0"/>
                <w:sz w:val="20"/>
                <w:szCs w:val="20"/>
                <w:u w:val="none"/>
                <w:lang w:val="en-US" w:eastAsia="zh-CN" w:bidi="ar"/>
                <w14:textFill>
                  <w14:solidFill>
                    <w14:schemeClr w14:val="tx1"/>
                  </w14:solidFill>
                </w14:textFill>
              </w:rPr>
              <w:t>积极推进全民参保计划，基本医疗保险参保率稳定在常驻人口98%，财政补助资金按时足额到位，稳步提高待遇保障水平，切实减轻城乡居民参保人员医疗负担，提高群众获得感。</w:t>
            </w:r>
          </w:p>
        </w:tc>
        <w:tc>
          <w:tcPr>
            <w:tcW w:w="4993"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完成参保人数任务，稳步提高待遇保障水平，财政补助资金按时足额到位，实现了基金收支平衡，切实减轻城乡居民参保人员医疗负担，提高参保群众获得感。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绩效指标</w:t>
            </w: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一级</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指标</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二级指标</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三级指标</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指标值</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全年实际完成值</w:t>
            </w:r>
          </w:p>
        </w:tc>
        <w:tc>
          <w:tcPr>
            <w:tcW w:w="203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产出</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指标</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数量指标</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参保人数（万人）</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≥223万人</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223.47万人</w:t>
            </w:r>
          </w:p>
        </w:tc>
        <w:tc>
          <w:tcPr>
            <w:tcW w:w="203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各级财政实际补助标准（元）</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≥610</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610</w:t>
            </w:r>
          </w:p>
        </w:tc>
        <w:tc>
          <w:tcPr>
            <w:tcW w:w="203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参保居民个人缴费标准（元）</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≥320</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320</w:t>
            </w:r>
          </w:p>
        </w:tc>
        <w:tc>
          <w:tcPr>
            <w:tcW w:w="203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质量指标</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以户籍人口数为基数计算的基本医保综合参保率（%）</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≥86%</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87.29%</w:t>
            </w:r>
          </w:p>
        </w:tc>
        <w:tc>
          <w:tcPr>
            <w:tcW w:w="203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以常住人口数为基数计算的基本医保综合参保率（%）</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≥98%</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112.89%</w:t>
            </w:r>
          </w:p>
        </w:tc>
        <w:tc>
          <w:tcPr>
            <w:tcW w:w="203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虚报参保人数（人）</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w:t>
            </w:r>
          </w:p>
        </w:tc>
        <w:tc>
          <w:tcPr>
            <w:tcW w:w="203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参保人政策范围内住院费用报销比例</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≥70%</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70.00%</w:t>
            </w:r>
          </w:p>
        </w:tc>
        <w:tc>
          <w:tcPr>
            <w:tcW w:w="203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参保人住院费用实际报销比例</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≥50%</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51.86%</w:t>
            </w:r>
          </w:p>
        </w:tc>
        <w:tc>
          <w:tcPr>
            <w:tcW w:w="203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实行按病种（组）、按人头付费等支付方式改革</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普遍开展</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普遍开展</w:t>
            </w:r>
          </w:p>
        </w:tc>
        <w:tc>
          <w:tcPr>
            <w:tcW w:w="203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开展门诊统筹</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普遍开展</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普遍开展</w:t>
            </w:r>
          </w:p>
        </w:tc>
        <w:tc>
          <w:tcPr>
            <w:tcW w:w="203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基金滚存结余可支配月数（月）</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6-9个月</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7个月</w:t>
            </w:r>
          </w:p>
        </w:tc>
        <w:tc>
          <w:tcPr>
            <w:tcW w:w="203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时效指标</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医疗费用及时结算率</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95%</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95%</w:t>
            </w:r>
          </w:p>
        </w:tc>
        <w:tc>
          <w:tcPr>
            <w:tcW w:w="203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textDirection w:val="tbRlV"/>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满意度指标</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服务对象</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满意度指标</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参保对象满意度（%）</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≥95%</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95%</w:t>
            </w:r>
          </w:p>
        </w:tc>
        <w:tc>
          <w:tcPr>
            <w:tcW w:w="203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 w:type="dxa"/>
              <w:bottom w:w="0" w:type="dxa"/>
              <w:right w:w="6"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640" w:lineRule="exact"/>
        <w:jc w:val="center"/>
        <w:textAlignment w:val="auto"/>
        <w:rPr>
          <w:rFonts w:hint="eastAsia" w:ascii="方正小标宋简体" w:eastAsia="方正小标宋简体" w:cs="方正小标宋简体"/>
          <w:color w:val="000000" w:themeColor="text1"/>
          <w:sz w:val="44"/>
          <w:szCs w:val="44"/>
          <w14:textFill>
            <w14:solidFill>
              <w14:schemeClr w14:val="tx1"/>
            </w14:solidFill>
          </w14:textFill>
        </w:rPr>
      </w:pPr>
    </w:p>
    <w:p>
      <w:pPr>
        <w:jc w:val="center"/>
        <w:rPr>
          <w:rFonts w:hint="eastAsia" w:ascii="方正小标宋简体" w:hAnsi="方正小标宋简体" w:eastAsia="方正小标宋简体" w:cs="方正小标宋简体"/>
          <w:strike w:val="0"/>
          <w:dstrike w:val="0"/>
          <w:color w:val="000000" w:themeColor="text1"/>
          <w:sz w:val="44"/>
          <w14:textFill>
            <w14:solidFill>
              <w14:schemeClr w14:val="tx1"/>
            </w14:solidFill>
          </w14:textFill>
        </w:rPr>
      </w:pPr>
      <w:r>
        <w:rPr>
          <w:rFonts w:hint="eastAsia" w:ascii="方正小标宋简体" w:hAnsi="方正小标宋简体" w:eastAsia="方正小标宋简体" w:cs="方正小标宋简体"/>
          <w:strike w:val="0"/>
          <w:dstrike w:val="0"/>
          <w:color w:val="000000" w:themeColor="text1"/>
          <w:sz w:val="44"/>
          <w14:textFill>
            <w14:solidFill>
              <w14:schemeClr w14:val="tx1"/>
            </w14:solidFill>
          </w14:textFill>
        </w:rPr>
        <w:t>广元市转移支付区域（项目）绩效目标自评表</w:t>
      </w:r>
    </w:p>
    <w:p>
      <w:pPr>
        <w:jc w:val="center"/>
        <w:rPr>
          <w:rFonts w:ascii="迷你简小标宋" w:eastAsia="迷你简小标宋"/>
          <w:strike w:val="0"/>
          <w:dstrike w:val="0"/>
          <w:color w:val="000000" w:themeColor="text1"/>
          <w:sz w:val="44"/>
          <w14:textFill>
            <w14:solidFill>
              <w14:schemeClr w14:val="tx1"/>
            </w14:solidFill>
          </w14:textFill>
        </w:rPr>
      </w:pPr>
      <w:r>
        <w:rPr>
          <w:rFonts w:ascii="方正楷体简体" w:eastAsia="方正楷体简体" w:cs="Arial"/>
          <w:color w:val="000000" w:themeColor="text1"/>
          <w:sz w:val="28"/>
          <w14:textFill>
            <w14:solidFill>
              <w14:schemeClr w14:val="tx1"/>
            </w14:solidFill>
          </w14:textFill>
        </w:rPr>
        <w:t>（2022年度）</w:t>
      </w:r>
    </w:p>
    <w:tbl>
      <w:tblPr>
        <w:tblStyle w:val="19"/>
        <w:tblW w:w="9037"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532"/>
        <w:gridCol w:w="911"/>
        <w:gridCol w:w="1684"/>
        <w:gridCol w:w="921"/>
        <w:gridCol w:w="853"/>
        <w:gridCol w:w="718"/>
        <w:gridCol w:w="1056"/>
        <w:gridCol w:w="583"/>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31" w:type="dxa"/>
            <w:gridSpan w:val="3"/>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转移支付（项目）名称</w:t>
            </w:r>
          </w:p>
        </w:tc>
        <w:tc>
          <w:tcPr>
            <w:tcW w:w="7006" w:type="dxa"/>
            <w:gridSpan w:val="7"/>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城乡医疗救助财政补助资金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31" w:type="dxa"/>
            <w:gridSpan w:val="3"/>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中央主管部门</w:t>
            </w:r>
          </w:p>
        </w:tc>
        <w:tc>
          <w:tcPr>
            <w:tcW w:w="7006" w:type="dxa"/>
            <w:gridSpan w:val="7"/>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财政部、国家医保局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31" w:type="dxa"/>
            <w:gridSpan w:val="3"/>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地方主管部门</w:t>
            </w:r>
          </w:p>
        </w:tc>
        <w:tc>
          <w:tcPr>
            <w:tcW w:w="2605"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省财政厅、省医保局</w:t>
            </w:r>
          </w:p>
        </w:tc>
        <w:tc>
          <w:tcPr>
            <w:tcW w:w="1571"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资金使用单位</w:t>
            </w:r>
          </w:p>
        </w:tc>
        <w:tc>
          <w:tcPr>
            <w:tcW w:w="2830" w:type="dxa"/>
            <w:gridSpan w:val="3"/>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广元市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31" w:type="dxa"/>
            <w:gridSpan w:val="3"/>
            <w:vMerge w:val="restart"/>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资金情况</w:t>
            </w:r>
          </w:p>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（万元）</w:t>
            </w:r>
          </w:p>
        </w:tc>
        <w:tc>
          <w:tcPr>
            <w:tcW w:w="1684" w:type="dxa"/>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p>
        </w:tc>
        <w:tc>
          <w:tcPr>
            <w:tcW w:w="1774"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全年预算数（A）</w:t>
            </w:r>
          </w:p>
        </w:tc>
        <w:tc>
          <w:tcPr>
            <w:tcW w:w="1774"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全年执行数（B）</w:t>
            </w:r>
          </w:p>
        </w:tc>
        <w:tc>
          <w:tcPr>
            <w:tcW w:w="1774"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预算执行率（B/A)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31" w:type="dxa"/>
            <w:gridSpan w:val="3"/>
            <w:vMerge w:val="continue"/>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p>
        </w:tc>
        <w:tc>
          <w:tcPr>
            <w:tcW w:w="1684" w:type="dxa"/>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年度资金总额：</w:t>
            </w:r>
          </w:p>
        </w:tc>
        <w:tc>
          <w:tcPr>
            <w:tcW w:w="1774"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17311.06</w:t>
            </w:r>
          </w:p>
        </w:tc>
        <w:tc>
          <w:tcPr>
            <w:tcW w:w="1774"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17311.06</w:t>
            </w:r>
          </w:p>
        </w:tc>
        <w:tc>
          <w:tcPr>
            <w:tcW w:w="1774"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31" w:type="dxa"/>
            <w:gridSpan w:val="3"/>
            <w:vMerge w:val="continue"/>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p>
        </w:tc>
        <w:tc>
          <w:tcPr>
            <w:tcW w:w="1684" w:type="dxa"/>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strike w:val="0"/>
                <w:dstrike w:val="0"/>
                <w:color w:val="000000" w:themeColor="text1"/>
                <w:sz w:val="19"/>
                <w:szCs w:val="19"/>
                <w14:textFill>
                  <w14:solidFill>
                    <w14:schemeClr w14:val="tx1"/>
                  </w14:solidFill>
                </w14:textFill>
              </w:rPr>
              <w:t xml:space="preserve"> 其中：中央补助</w:t>
            </w:r>
          </w:p>
        </w:tc>
        <w:tc>
          <w:tcPr>
            <w:tcW w:w="1774"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9225.6</w:t>
            </w:r>
          </w:p>
        </w:tc>
        <w:tc>
          <w:tcPr>
            <w:tcW w:w="1774"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9225.6</w:t>
            </w:r>
          </w:p>
        </w:tc>
        <w:tc>
          <w:tcPr>
            <w:tcW w:w="1774"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31" w:type="dxa"/>
            <w:gridSpan w:val="3"/>
            <w:vMerge w:val="continue"/>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p>
        </w:tc>
        <w:tc>
          <w:tcPr>
            <w:tcW w:w="1684" w:type="dxa"/>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strike w:val="0"/>
                <w:dstrike w:val="0"/>
                <w:color w:val="000000" w:themeColor="text1"/>
                <w:sz w:val="19"/>
                <w:szCs w:val="19"/>
                <w14:textFill>
                  <w14:solidFill>
                    <w14:schemeClr w14:val="tx1"/>
                  </w14:solidFill>
                </w14:textFill>
              </w:rPr>
              <w:t xml:space="preserve">       地方资金</w:t>
            </w:r>
          </w:p>
        </w:tc>
        <w:tc>
          <w:tcPr>
            <w:tcW w:w="1774"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8085.46</w:t>
            </w:r>
          </w:p>
        </w:tc>
        <w:tc>
          <w:tcPr>
            <w:tcW w:w="1774"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8085.46</w:t>
            </w:r>
          </w:p>
        </w:tc>
        <w:tc>
          <w:tcPr>
            <w:tcW w:w="1774"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31" w:type="dxa"/>
            <w:gridSpan w:val="3"/>
            <w:vMerge w:val="continue"/>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p>
        </w:tc>
        <w:tc>
          <w:tcPr>
            <w:tcW w:w="1684" w:type="dxa"/>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strike w:val="0"/>
                <w:dstrike w:val="0"/>
                <w:color w:val="000000" w:themeColor="text1"/>
                <w:sz w:val="19"/>
                <w:szCs w:val="19"/>
                <w14:textFill>
                  <w14:solidFill>
                    <w14:schemeClr w14:val="tx1"/>
                  </w14:solidFill>
                </w14:textFill>
              </w:rPr>
              <w:t xml:space="preserve">        其他资金</w:t>
            </w:r>
          </w:p>
        </w:tc>
        <w:tc>
          <w:tcPr>
            <w:tcW w:w="1774"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0</w:t>
            </w:r>
          </w:p>
        </w:tc>
        <w:tc>
          <w:tcPr>
            <w:tcW w:w="1774"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0</w:t>
            </w:r>
          </w:p>
        </w:tc>
        <w:tc>
          <w:tcPr>
            <w:tcW w:w="1774"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8" w:type="dxa"/>
            <w:vMerge w:val="restart"/>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总体目标完成情况</w:t>
            </w:r>
          </w:p>
        </w:tc>
        <w:tc>
          <w:tcPr>
            <w:tcW w:w="4048" w:type="dxa"/>
            <w:gridSpan w:val="4"/>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总体目标</w:t>
            </w:r>
          </w:p>
        </w:tc>
        <w:tc>
          <w:tcPr>
            <w:tcW w:w="4401" w:type="dxa"/>
            <w:gridSpan w:val="5"/>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8" w:type="dxa"/>
            <w:vMerge w:val="continue"/>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p>
        </w:tc>
        <w:tc>
          <w:tcPr>
            <w:tcW w:w="4048" w:type="dxa"/>
            <w:gridSpan w:val="4"/>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通过实施城乡医疗救助，开展重特大疾病医疗救助工作，医疗救助对象人次规模不低于上年，重点救助对象政策范围内个人自付医疗费用年度限额内住院救助比例达到70%，符合条件的农村低收入人口资助担保政策覆盖率99%以上。</w:t>
            </w:r>
          </w:p>
        </w:tc>
        <w:tc>
          <w:tcPr>
            <w:tcW w:w="4401" w:type="dxa"/>
            <w:gridSpan w:val="5"/>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6"/>
                <w:sz w:val="19"/>
                <w:szCs w:val="19"/>
                <w14:textFill>
                  <w14:solidFill>
                    <w14:schemeClr w14:val="tx1"/>
                  </w14:solidFill>
                </w14:textFill>
              </w:rPr>
              <w:t>通过实施城乡医疗救助，开展重特大疾病医疗救助工作，全市救助对象覆盖低保、特困、纳入监测的易返贫致贫人口、低保边缘家庭成员和因病致贫重病患者，重点对象自付费用年度限额内住院救助比例达到85%，符合条件的农村低收入人口资助参保政策覆盖率达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8" w:type="dxa"/>
            <w:vMerge w:val="restart"/>
            <w:tcBorders>
              <w:tl2br w:val="nil"/>
              <w:tr2bl w:val="nil"/>
            </w:tcBorders>
            <w:noWrap/>
            <w:tcMar>
              <w:top w:w="0" w:type="dxa"/>
              <w:left w:w="6" w:type="dxa"/>
              <w:bottom w:w="0" w:type="dxa"/>
              <w:right w:w="6" w:type="dxa"/>
            </w:tcMar>
            <w:textDirection w:val="tbRlV"/>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绩效指标</w:t>
            </w:r>
          </w:p>
        </w:tc>
        <w:tc>
          <w:tcPr>
            <w:tcW w:w="532" w:type="dxa"/>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一级</w:t>
            </w:r>
          </w:p>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指标</w:t>
            </w:r>
          </w:p>
        </w:tc>
        <w:tc>
          <w:tcPr>
            <w:tcW w:w="911" w:type="dxa"/>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二级指标</w:t>
            </w:r>
          </w:p>
        </w:tc>
        <w:tc>
          <w:tcPr>
            <w:tcW w:w="2605"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三级指标</w:t>
            </w:r>
          </w:p>
        </w:tc>
        <w:tc>
          <w:tcPr>
            <w:tcW w:w="1571"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指标值</w:t>
            </w:r>
          </w:p>
        </w:tc>
        <w:tc>
          <w:tcPr>
            <w:tcW w:w="1639"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全年实际完成值</w:t>
            </w:r>
          </w:p>
        </w:tc>
        <w:tc>
          <w:tcPr>
            <w:tcW w:w="1191" w:type="dxa"/>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未完成原因和改进措施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8" w:type="dxa"/>
            <w:vMerge w:val="continue"/>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p>
        </w:tc>
        <w:tc>
          <w:tcPr>
            <w:tcW w:w="532" w:type="dxa"/>
            <w:vMerge w:val="restart"/>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产</w:t>
            </w:r>
          </w:p>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出</w:t>
            </w:r>
          </w:p>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指</w:t>
            </w:r>
          </w:p>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标</w:t>
            </w:r>
          </w:p>
        </w:tc>
        <w:tc>
          <w:tcPr>
            <w:tcW w:w="911" w:type="dxa"/>
            <w:vMerge w:val="restart"/>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数量指标</w:t>
            </w:r>
          </w:p>
        </w:tc>
        <w:tc>
          <w:tcPr>
            <w:tcW w:w="2605"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医疗救助对象人次规模</w:t>
            </w:r>
          </w:p>
        </w:tc>
        <w:tc>
          <w:tcPr>
            <w:tcW w:w="1571"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符合救助条件的对象按规定纳入救助范围</w:t>
            </w:r>
          </w:p>
        </w:tc>
        <w:tc>
          <w:tcPr>
            <w:tcW w:w="1639"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救助对象覆盖低保、特困、纳入监测的易返贫致贫人口、低保边缘家庭成员和因病致贫重病患者</w:t>
            </w:r>
          </w:p>
        </w:tc>
        <w:tc>
          <w:tcPr>
            <w:tcW w:w="1191" w:type="dxa"/>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8" w:type="dxa"/>
            <w:vMerge w:val="continue"/>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p>
        </w:tc>
        <w:tc>
          <w:tcPr>
            <w:tcW w:w="532" w:type="dxa"/>
            <w:vMerge w:val="continue"/>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p>
        </w:tc>
        <w:tc>
          <w:tcPr>
            <w:tcW w:w="911" w:type="dxa"/>
            <w:vMerge w:val="continue"/>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p>
        </w:tc>
        <w:tc>
          <w:tcPr>
            <w:tcW w:w="2605"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17"/>
                <w:sz w:val="19"/>
                <w:szCs w:val="19"/>
                <w14:textFill>
                  <w14:solidFill>
                    <w14:schemeClr w14:val="tx1"/>
                  </w14:solidFill>
                </w14:textFill>
              </w:rPr>
              <w:t>基金累计结余占筹集基金总额的比重</w:t>
            </w:r>
          </w:p>
        </w:tc>
        <w:tc>
          <w:tcPr>
            <w:tcW w:w="1571"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≦15%</w:t>
            </w:r>
          </w:p>
        </w:tc>
        <w:tc>
          <w:tcPr>
            <w:tcW w:w="1639"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9.58%</w:t>
            </w:r>
          </w:p>
        </w:tc>
        <w:tc>
          <w:tcPr>
            <w:tcW w:w="1191" w:type="dxa"/>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8" w:type="dxa"/>
            <w:vMerge w:val="continue"/>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p>
        </w:tc>
        <w:tc>
          <w:tcPr>
            <w:tcW w:w="532" w:type="dxa"/>
            <w:vMerge w:val="continue"/>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p>
        </w:tc>
        <w:tc>
          <w:tcPr>
            <w:tcW w:w="911" w:type="dxa"/>
            <w:vMerge w:val="restart"/>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质量指标</w:t>
            </w:r>
          </w:p>
        </w:tc>
        <w:tc>
          <w:tcPr>
            <w:tcW w:w="2605"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重点救助对象政策范围内住院自付费年度限额内救助比率</w:t>
            </w:r>
          </w:p>
        </w:tc>
        <w:tc>
          <w:tcPr>
            <w:tcW w:w="1571"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≥70%</w:t>
            </w:r>
          </w:p>
        </w:tc>
        <w:tc>
          <w:tcPr>
            <w:tcW w:w="1639"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85%</w:t>
            </w:r>
          </w:p>
        </w:tc>
        <w:tc>
          <w:tcPr>
            <w:tcW w:w="1191" w:type="dxa"/>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8" w:type="dxa"/>
            <w:vMerge w:val="continue"/>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p>
        </w:tc>
        <w:tc>
          <w:tcPr>
            <w:tcW w:w="532" w:type="dxa"/>
            <w:vMerge w:val="continue"/>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p>
        </w:tc>
        <w:tc>
          <w:tcPr>
            <w:tcW w:w="911" w:type="dxa"/>
            <w:vMerge w:val="continue"/>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p>
        </w:tc>
        <w:tc>
          <w:tcPr>
            <w:tcW w:w="2605"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符合资助条件的农村低收入人口资助参保政策覆盖率</w:t>
            </w:r>
          </w:p>
        </w:tc>
        <w:tc>
          <w:tcPr>
            <w:tcW w:w="1571"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≥99%</w:t>
            </w:r>
          </w:p>
        </w:tc>
        <w:tc>
          <w:tcPr>
            <w:tcW w:w="1639"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100%</w:t>
            </w:r>
          </w:p>
        </w:tc>
        <w:tc>
          <w:tcPr>
            <w:tcW w:w="1191" w:type="dxa"/>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8" w:type="dxa"/>
            <w:vMerge w:val="continue"/>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p>
        </w:tc>
        <w:tc>
          <w:tcPr>
            <w:tcW w:w="532" w:type="dxa"/>
            <w:vMerge w:val="continue"/>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p>
        </w:tc>
        <w:tc>
          <w:tcPr>
            <w:tcW w:w="911" w:type="dxa"/>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时效指标</w:t>
            </w:r>
          </w:p>
        </w:tc>
        <w:tc>
          <w:tcPr>
            <w:tcW w:w="2605"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“一站式”即时结算覆盖地区</w:t>
            </w:r>
          </w:p>
        </w:tc>
        <w:tc>
          <w:tcPr>
            <w:tcW w:w="1571"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不低于上年</w:t>
            </w:r>
          </w:p>
        </w:tc>
        <w:tc>
          <w:tcPr>
            <w:tcW w:w="1639"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全面覆盖</w:t>
            </w:r>
          </w:p>
        </w:tc>
        <w:tc>
          <w:tcPr>
            <w:tcW w:w="1191" w:type="dxa"/>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8" w:type="dxa"/>
            <w:vMerge w:val="continue"/>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p>
        </w:tc>
        <w:tc>
          <w:tcPr>
            <w:tcW w:w="532" w:type="dxa"/>
            <w:vMerge w:val="restart"/>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效益指标</w:t>
            </w:r>
          </w:p>
        </w:tc>
        <w:tc>
          <w:tcPr>
            <w:tcW w:w="911" w:type="dxa"/>
            <w:vMerge w:val="restart"/>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社会效益</w:t>
            </w:r>
          </w:p>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指标</w:t>
            </w:r>
          </w:p>
        </w:tc>
        <w:tc>
          <w:tcPr>
            <w:tcW w:w="2605"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医疗救助对象覆盖范围</w:t>
            </w:r>
          </w:p>
        </w:tc>
        <w:tc>
          <w:tcPr>
            <w:tcW w:w="1571"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稳步拓展</w:t>
            </w:r>
          </w:p>
        </w:tc>
        <w:tc>
          <w:tcPr>
            <w:tcW w:w="1639"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稳步拓展</w:t>
            </w:r>
          </w:p>
        </w:tc>
        <w:tc>
          <w:tcPr>
            <w:tcW w:w="1191" w:type="dxa"/>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8" w:type="dxa"/>
            <w:vMerge w:val="continue"/>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p>
        </w:tc>
        <w:tc>
          <w:tcPr>
            <w:tcW w:w="532" w:type="dxa"/>
            <w:vMerge w:val="continue"/>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p>
        </w:tc>
        <w:tc>
          <w:tcPr>
            <w:tcW w:w="911" w:type="dxa"/>
            <w:vMerge w:val="continue"/>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p>
        </w:tc>
        <w:tc>
          <w:tcPr>
            <w:tcW w:w="2605"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困难群众看病就医方便程度</w:t>
            </w:r>
          </w:p>
        </w:tc>
        <w:tc>
          <w:tcPr>
            <w:tcW w:w="1571"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明显提高</w:t>
            </w:r>
          </w:p>
        </w:tc>
        <w:tc>
          <w:tcPr>
            <w:tcW w:w="1639"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明显提高</w:t>
            </w:r>
          </w:p>
        </w:tc>
        <w:tc>
          <w:tcPr>
            <w:tcW w:w="1191" w:type="dxa"/>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8" w:type="dxa"/>
            <w:vMerge w:val="continue"/>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p>
        </w:tc>
        <w:tc>
          <w:tcPr>
            <w:tcW w:w="532" w:type="dxa"/>
            <w:vMerge w:val="continue"/>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p>
        </w:tc>
        <w:tc>
          <w:tcPr>
            <w:tcW w:w="911" w:type="dxa"/>
            <w:vMerge w:val="continue"/>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p>
        </w:tc>
        <w:tc>
          <w:tcPr>
            <w:tcW w:w="2605"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困难群众就医负担减轻程度</w:t>
            </w:r>
          </w:p>
        </w:tc>
        <w:tc>
          <w:tcPr>
            <w:tcW w:w="1571"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有效缓解</w:t>
            </w:r>
          </w:p>
        </w:tc>
        <w:tc>
          <w:tcPr>
            <w:tcW w:w="1639"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有效缓解</w:t>
            </w:r>
          </w:p>
        </w:tc>
        <w:tc>
          <w:tcPr>
            <w:tcW w:w="1191" w:type="dxa"/>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8" w:type="dxa"/>
            <w:vMerge w:val="continue"/>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p>
        </w:tc>
        <w:tc>
          <w:tcPr>
            <w:tcW w:w="532" w:type="dxa"/>
            <w:vMerge w:val="continue"/>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p>
        </w:tc>
        <w:tc>
          <w:tcPr>
            <w:tcW w:w="911" w:type="dxa"/>
            <w:vMerge w:val="restart"/>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可持续性</w:t>
            </w:r>
          </w:p>
        </w:tc>
        <w:tc>
          <w:tcPr>
            <w:tcW w:w="2605"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对健全社会救助体系的影响</w:t>
            </w:r>
          </w:p>
        </w:tc>
        <w:tc>
          <w:tcPr>
            <w:tcW w:w="1571"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成效明显</w:t>
            </w:r>
          </w:p>
        </w:tc>
        <w:tc>
          <w:tcPr>
            <w:tcW w:w="1639"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成效明显</w:t>
            </w:r>
          </w:p>
        </w:tc>
        <w:tc>
          <w:tcPr>
            <w:tcW w:w="1191" w:type="dxa"/>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8" w:type="dxa"/>
            <w:vMerge w:val="continue"/>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p>
        </w:tc>
        <w:tc>
          <w:tcPr>
            <w:tcW w:w="532" w:type="dxa"/>
            <w:vMerge w:val="continue"/>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p>
        </w:tc>
        <w:tc>
          <w:tcPr>
            <w:tcW w:w="911" w:type="dxa"/>
            <w:vMerge w:val="continue"/>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p>
        </w:tc>
        <w:tc>
          <w:tcPr>
            <w:tcW w:w="2605"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对健全社会保障体系的作用</w:t>
            </w:r>
          </w:p>
        </w:tc>
        <w:tc>
          <w:tcPr>
            <w:tcW w:w="1571"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成效明显</w:t>
            </w:r>
          </w:p>
        </w:tc>
        <w:tc>
          <w:tcPr>
            <w:tcW w:w="1639"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成效明显</w:t>
            </w:r>
          </w:p>
        </w:tc>
        <w:tc>
          <w:tcPr>
            <w:tcW w:w="1191" w:type="dxa"/>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8" w:type="dxa"/>
            <w:vMerge w:val="continue"/>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p>
        </w:tc>
        <w:tc>
          <w:tcPr>
            <w:tcW w:w="532" w:type="dxa"/>
            <w:vMerge w:val="restart"/>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11"/>
                <w:sz w:val="19"/>
                <w:szCs w:val="19"/>
                <w14:textFill>
                  <w14:solidFill>
                    <w14:schemeClr w14:val="tx1"/>
                  </w14:solidFill>
                </w14:textFill>
              </w:rPr>
              <w:t>满意度指标</w:t>
            </w:r>
          </w:p>
        </w:tc>
        <w:tc>
          <w:tcPr>
            <w:tcW w:w="911" w:type="dxa"/>
            <w:vMerge w:val="restart"/>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pacing w:val="-11"/>
                <w:sz w:val="19"/>
                <w:szCs w:val="19"/>
                <w14:textFill>
                  <w14:solidFill>
                    <w14:schemeClr w14:val="tx1"/>
                  </w14:solidFill>
                </w14:textFill>
              </w:rPr>
            </w:pPr>
            <w:r>
              <w:rPr>
                <w:rFonts w:hint="eastAsia" w:ascii="宋体" w:hAnsi="宋体" w:eastAsia="宋体" w:cs="宋体"/>
                <w:color w:val="000000" w:themeColor="text1"/>
                <w:spacing w:val="-11"/>
                <w:sz w:val="19"/>
                <w:szCs w:val="19"/>
                <w14:textFill>
                  <w14:solidFill>
                    <w14:schemeClr w14:val="tx1"/>
                  </w14:solidFill>
                </w14:textFill>
              </w:rPr>
              <w:t>服务对象</w:t>
            </w:r>
          </w:p>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11"/>
                <w:sz w:val="19"/>
                <w:szCs w:val="19"/>
                <w14:textFill>
                  <w14:solidFill>
                    <w14:schemeClr w14:val="tx1"/>
                  </w14:solidFill>
                </w14:textFill>
              </w:rPr>
              <w:t>满意度指标</w:t>
            </w:r>
          </w:p>
        </w:tc>
        <w:tc>
          <w:tcPr>
            <w:tcW w:w="2605"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工作满意度（%）</w:t>
            </w:r>
          </w:p>
        </w:tc>
        <w:tc>
          <w:tcPr>
            <w:tcW w:w="1571"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≥85%</w:t>
            </w:r>
          </w:p>
        </w:tc>
        <w:tc>
          <w:tcPr>
            <w:tcW w:w="1639"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lang w:val="en-US"/>
                <w14:textFill>
                  <w14:solidFill>
                    <w14:schemeClr w14:val="tx1"/>
                  </w14:solidFill>
                </w14:textFill>
              </w:rPr>
              <w:t>9</w:t>
            </w:r>
            <w:r>
              <w:rPr>
                <w:rFonts w:hint="eastAsia" w:ascii="宋体" w:hAnsi="宋体" w:eastAsia="宋体" w:cs="宋体"/>
                <w:color w:val="000000" w:themeColor="text1"/>
                <w:sz w:val="19"/>
                <w:szCs w:val="19"/>
                <w14:textFill>
                  <w14:solidFill>
                    <w14:schemeClr w14:val="tx1"/>
                  </w14:solidFill>
                </w14:textFill>
              </w:rPr>
              <w:t>5%</w:t>
            </w:r>
          </w:p>
        </w:tc>
        <w:tc>
          <w:tcPr>
            <w:tcW w:w="1191" w:type="dxa"/>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8" w:type="dxa"/>
            <w:vMerge w:val="continue"/>
            <w:tcBorders>
              <w:tl2br w:val="nil"/>
              <w:tr2bl w:val="nil"/>
            </w:tcBorders>
            <w:noWrap/>
            <w:tcMar>
              <w:top w:w="0" w:type="dxa"/>
              <w:left w:w="6" w:type="dxa"/>
              <w:bottom w:w="0" w:type="dxa"/>
              <w:right w:w="6" w:type="dxa"/>
            </w:tcMar>
            <w:textDirection w:val="tbRlV"/>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p>
        </w:tc>
        <w:tc>
          <w:tcPr>
            <w:tcW w:w="532" w:type="dxa"/>
            <w:vMerge w:val="continue"/>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p>
        </w:tc>
        <w:tc>
          <w:tcPr>
            <w:tcW w:w="911" w:type="dxa"/>
            <w:vMerge w:val="continue"/>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sz w:val="19"/>
                <w:szCs w:val="19"/>
                <w14:textFill>
                  <w14:solidFill>
                    <w14:schemeClr w14:val="tx1"/>
                  </w14:solidFill>
                </w14:textFill>
              </w:rPr>
            </w:pPr>
          </w:p>
        </w:tc>
        <w:tc>
          <w:tcPr>
            <w:tcW w:w="2605"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政策知晓率（%）</w:t>
            </w:r>
          </w:p>
        </w:tc>
        <w:tc>
          <w:tcPr>
            <w:tcW w:w="1571"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≥80%</w:t>
            </w:r>
          </w:p>
        </w:tc>
        <w:tc>
          <w:tcPr>
            <w:tcW w:w="1639" w:type="dxa"/>
            <w:gridSpan w:val="2"/>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85%</w:t>
            </w:r>
          </w:p>
        </w:tc>
        <w:tc>
          <w:tcPr>
            <w:tcW w:w="1191" w:type="dxa"/>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8" w:type="dxa"/>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说明</w:t>
            </w:r>
          </w:p>
        </w:tc>
        <w:tc>
          <w:tcPr>
            <w:tcW w:w="8449" w:type="dxa"/>
            <w:gridSpan w:val="9"/>
            <w:tcBorders>
              <w:tl2br w:val="nil"/>
              <w:tr2bl w:val="nil"/>
            </w:tcBorders>
            <w:noWrap/>
            <w:tcMar>
              <w:top w:w="0" w:type="dxa"/>
              <w:left w:w="6" w:type="dxa"/>
              <w:bottom w:w="0" w:type="dxa"/>
              <w:right w:w="6"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z w:val="19"/>
                <w:szCs w:val="19"/>
                <w14:textFill>
                  <w14:solidFill>
                    <w14:schemeClr w14:val="tx1"/>
                  </w14:solidFill>
                </w14:textFill>
              </w:rPr>
              <w:t>无</w:t>
            </w:r>
          </w:p>
        </w:tc>
      </w:tr>
    </w:tbl>
    <w:p>
      <w:pPr>
        <w:keepNext w:val="0"/>
        <w:keepLines w:val="0"/>
        <w:pageBreakBefore w:val="0"/>
        <w:widowControl/>
        <w:kinsoku/>
        <w:wordWrap/>
        <w:overflowPunct/>
        <w:topLinePunct w:val="0"/>
        <w:autoSpaceDE/>
        <w:autoSpaceDN/>
        <w:bidi w:val="0"/>
        <w:adjustRightInd w:val="0"/>
        <w:snapToGrid w:val="0"/>
        <w:spacing w:line="640" w:lineRule="exact"/>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附件2</w:t>
      </w:r>
    </w:p>
    <w:p>
      <w:pPr>
        <w:keepNext w:val="0"/>
        <w:keepLines w:val="0"/>
        <w:pageBreakBefore w:val="0"/>
        <w:widowControl/>
        <w:kinsoku/>
        <w:wordWrap/>
        <w:overflowPunct/>
        <w:topLinePunct w:val="0"/>
        <w:autoSpaceDE/>
        <w:autoSpaceDN/>
        <w:bidi w:val="0"/>
        <w:adjustRightInd w:val="0"/>
        <w:snapToGrid w:val="0"/>
        <w:spacing w:line="640" w:lineRule="exact"/>
        <w:jc w:val="center"/>
        <w:textAlignment w:val="auto"/>
        <w:rPr>
          <w:rFonts w:hint="eastAsia" w:asci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eastAsia="方正小标宋简体" w:cs="方正小标宋简体"/>
          <w:color w:val="000000" w:themeColor="text1"/>
          <w:sz w:val="44"/>
          <w:szCs w:val="44"/>
          <w14:textFill>
            <w14:solidFill>
              <w14:schemeClr w14:val="tx1"/>
            </w14:solidFill>
          </w14:textFill>
        </w:rPr>
        <w:t>广元市医疗保障局</w:t>
      </w:r>
    </w:p>
    <w:p>
      <w:pPr>
        <w:keepNext w:val="0"/>
        <w:keepLines w:val="0"/>
        <w:pageBreakBefore w:val="0"/>
        <w:widowControl/>
        <w:kinsoku/>
        <w:wordWrap/>
        <w:overflowPunct/>
        <w:topLinePunct w:val="0"/>
        <w:autoSpaceDE/>
        <w:autoSpaceDN/>
        <w:bidi w:val="0"/>
        <w:adjustRightInd w:val="0"/>
        <w:snapToGrid w:val="0"/>
        <w:spacing w:line="640" w:lineRule="exact"/>
        <w:jc w:val="center"/>
        <w:textAlignment w:val="auto"/>
        <w:rPr>
          <w:rFonts w:hint="eastAsia" w:asci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eastAsia="方正小标宋简体" w:cs="方正小标宋简体"/>
          <w:color w:val="000000" w:themeColor="text1"/>
          <w:sz w:val="44"/>
          <w:szCs w:val="44"/>
          <w:lang w:val="en-US" w:eastAsia="zh-CN"/>
          <w14:textFill>
            <w14:solidFill>
              <w14:schemeClr w14:val="tx1"/>
            </w14:solidFill>
          </w14:textFill>
        </w:rPr>
        <w:t>关于</w:t>
      </w:r>
      <w:r>
        <w:rPr>
          <w:rFonts w:hint="eastAsia" w:ascii="方正小标宋简体" w:eastAsia="方正小标宋简体" w:cs="方正小标宋简体"/>
          <w:color w:val="000000" w:themeColor="text1"/>
          <w:sz w:val="44"/>
          <w:szCs w:val="44"/>
          <w14:textFill>
            <w14:solidFill>
              <w14:schemeClr w14:val="tx1"/>
            </w14:solidFill>
          </w14:textFill>
        </w:rPr>
        <w:t>医疗服务与保障能力提升资金</w:t>
      </w:r>
    </w:p>
    <w:p>
      <w:pPr>
        <w:keepNext w:val="0"/>
        <w:keepLines w:val="0"/>
        <w:pageBreakBefore w:val="0"/>
        <w:widowControl/>
        <w:kinsoku/>
        <w:wordWrap/>
        <w:overflowPunct/>
        <w:topLinePunct w:val="0"/>
        <w:autoSpaceDE/>
        <w:autoSpaceDN/>
        <w:bidi w:val="0"/>
        <w:adjustRightInd w:val="0"/>
        <w:snapToGrid w:val="0"/>
        <w:spacing w:line="640" w:lineRule="exact"/>
        <w:jc w:val="center"/>
        <w:textAlignment w:val="auto"/>
        <w:rPr>
          <w:rFonts w:hint="eastAsia" w:asci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eastAsia="方正小标宋简体" w:cs="方正小标宋简体"/>
          <w:color w:val="000000" w:themeColor="text1"/>
          <w:sz w:val="44"/>
          <w:szCs w:val="44"/>
          <w14:textFill>
            <w14:solidFill>
              <w14:schemeClr w14:val="tx1"/>
            </w14:solidFill>
          </w14:textFill>
        </w:rPr>
        <w:t>2022年度绩效自评</w:t>
      </w:r>
      <w:r>
        <w:rPr>
          <w:rFonts w:hint="eastAsia" w:ascii="方正小标宋简体" w:eastAsia="方正小标宋简体" w:cs="方正小标宋简体"/>
          <w:color w:val="000000" w:themeColor="text1"/>
          <w:sz w:val="44"/>
          <w:szCs w:val="44"/>
          <w:lang w:val="en-US" w:eastAsia="zh-CN"/>
          <w14:textFill>
            <w14:solidFill>
              <w14:schemeClr w14:val="tx1"/>
            </w14:solidFill>
          </w14:textFill>
        </w:rPr>
        <w:t>的</w:t>
      </w:r>
      <w:r>
        <w:rPr>
          <w:rFonts w:hint="eastAsia" w:ascii="方正小标宋简体" w:eastAsia="方正小标宋简体" w:cs="方正小标宋简体"/>
          <w:color w:val="000000" w:themeColor="text1"/>
          <w:sz w:val="44"/>
          <w:szCs w:val="44"/>
          <w14:textFill>
            <w14:solidFill>
              <w14:schemeClr w14:val="tx1"/>
            </w14:solidFill>
          </w14:textFill>
        </w:rPr>
        <w:t>报告</w:t>
      </w:r>
    </w:p>
    <w:p>
      <w:pPr>
        <w:pStyle w:val="18"/>
        <w:keepNext w:val="0"/>
        <w:keepLines w:val="0"/>
        <w:pageBreakBefore w:val="0"/>
        <w:widowControl w:val="0"/>
        <w:kinsoku/>
        <w:wordWrap/>
        <w:overflowPunct/>
        <w:topLinePunct w:val="0"/>
        <w:autoSpaceDE/>
        <w:autoSpaceDN/>
        <w:bidi w:val="0"/>
        <w:adjustRightInd/>
        <w:snapToGrid/>
        <w:spacing w:after="0" w:line="576" w:lineRule="exact"/>
        <w:ind w:left="0" w:leftChars="0" w:firstLine="0" w:firstLineChars="0"/>
        <w:textAlignment w:val="auto"/>
        <w:rPr>
          <w:rFonts w:hint="eastAsia" w:ascii="仿宋_GB2312" w:hAnsi="黑体" w:eastAsia="仿宋_GB2312" w:cs="宋体"/>
          <w:color w:val="000000" w:themeColor="text1"/>
          <w:kern w:val="2"/>
          <w:sz w:val="32"/>
          <w:szCs w:val="32"/>
          <w:lang w:val="en-US" w:eastAsia="zh-CN" w:bidi="ar-SA"/>
          <w14:textFill>
            <w14:solidFill>
              <w14:schemeClr w14:val="tx1"/>
            </w14:solidFill>
          </w14:textFill>
        </w:rPr>
      </w:pPr>
    </w:p>
    <w:p>
      <w:pPr>
        <w:pStyle w:val="18"/>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default" w:ascii="仿宋_GB2312" w:hAnsi="黑体" w:eastAsia="仿宋_GB2312" w:cs="宋体"/>
          <w:color w:val="000000" w:themeColor="text1"/>
          <w:kern w:val="2"/>
          <w:sz w:val="32"/>
          <w:szCs w:val="32"/>
          <w:lang w:val="en-US" w:eastAsia="zh-CN" w:bidi="ar-SA"/>
          <w14:textFill>
            <w14:solidFill>
              <w14:schemeClr w14:val="tx1"/>
            </w14:solidFill>
          </w14:textFill>
        </w:rPr>
      </w:pPr>
      <w:r>
        <w:rPr>
          <w:rFonts w:hint="eastAsia" w:ascii="仿宋_GB2312" w:hAnsi="黑体" w:eastAsia="仿宋_GB2312" w:cs="宋体"/>
          <w:color w:val="000000" w:themeColor="text1"/>
          <w:kern w:val="2"/>
          <w:sz w:val="32"/>
          <w:szCs w:val="32"/>
          <w:lang w:val="en-US" w:eastAsia="zh-CN" w:bidi="ar-SA"/>
          <w14:textFill>
            <w14:solidFill>
              <w14:schemeClr w14:val="tx1"/>
            </w14:solidFill>
          </w14:textFill>
        </w:rPr>
        <w:t>根据四川省医疗保障局《关于开展2022年医保转移支付资金绩效评价工作的通知》，我局高度重视，组织专人对2022年全市</w:t>
      </w:r>
      <w:r>
        <w:rPr>
          <w:rFonts w:hint="eastAsia" w:ascii="仿宋_GB2312" w:hAnsi="黑体" w:eastAsia="仿宋_GB2312" w:cs="宋体"/>
          <w:color w:val="000000" w:themeColor="text1"/>
          <w:sz w:val="32"/>
          <w:szCs w:val="32"/>
          <w14:textFill>
            <w14:solidFill>
              <w14:schemeClr w14:val="tx1"/>
            </w14:solidFill>
          </w14:textFill>
        </w:rPr>
        <w:t>医疗服务与保障能力提升</w:t>
      </w:r>
      <w:r>
        <w:rPr>
          <w:rFonts w:hint="eastAsia" w:ascii="仿宋_GB2312" w:hAnsi="宋体" w:eastAsia="仿宋_GB2312"/>
          <w:bCs/>
          <w:color w:val="000000" w:themeColor="text1"/>
          <w:sz w:val="32"/>
          <w:szCs w:val="32"/>
          <w14:textFill>
            <w14:solidFill>
              <w14:schemeClr w14:val="tx1"/>
            </w14:solidFill>
          </w14:textFill>
        </w:rPr>
        <w:t>专项资金</w:t>
      </w:r>
      <w:r>
        <w:rPr>
          <w:rFonts w:hint="eastAsia" w:ascii="仿宋_GB2312" w:hAnsi="黑体" w:eastAsia="仿宋_GB2312" w:cs="宋体"/>
          <w:color w:val="000000" w:themeColor="text1"/>
          <w:kern w:val="2"/>
          <w:sz w:val="32"/>
          <w:szCs w:val="32"/>
          <w:lang w:val="en-US" w:eastAsia="zh-CN" w:bidi="ar-SA"/>
          <w14:textFill>
            <w14:solidFill>
              <w14:schemeClr w14:val="tx1"/>
            </w14:solidFill>
          </w14:textFill>
        </w:rPr>
        <w:t>进行全面分析和自评工作，现将该项目资金自评情况报告如下。</w:t>
      </w:r>
    </w:p>
    <w:p>
      <w:pPr>
        <w:widowControl w:val="0"/>
        <w:spacing w:line="576" w:lineRule="exact"/>
        <w:ind w:firstLine="640" w:firstLineChars="200"/>
        <w:jc w:val="both"/>
        <w:rPr>
          <w:rFonts w:hint="eastAsia"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一、绩效目标分解下达情况</w:t>
      </w:r>
    </w:p>
    <w:p>
      <w:pPr>
        <w:widowControl w:val="0"/>
        <w:spacing w:line="576" w:lineRule="exact"/>
        <w:ind w:firstLine="616" w:firstLineChars="200"/>
        <w:jc w:val="both"/>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pacing w:val="-6"/>
          <w:sz w:val="32"/>
          <w:szCs w:val="32"/>
          <w14:textFill>
            <w14:solidFill>
              <w14:schemeClr w14:val="tx1"/>
            </w14:solidFill>
          </w14:textFill>
        </w:rPr>
        <w:t>根据《四川省财政厅 四川省医疗保障局关于提前下达 2022年中央财政医疗服务与保障能力提升补助资金预算的通知》(</w:t>
      </w:r>
      <w:r>
        <w:rPr>
          <w:rFonts w:hint="eastAsia" w:ascii="仿宋_GB2312" w:eastAsia="仿宋_GB2312" w:cs="仿宋_GB2312"/>
          <w:color w:val="000000" w:themeColor="text1"/>
          <w:spacing w:val="-6"/>
          <w:sz w:val="32"/>
          <w:szCs w:val="32"/>
          <w:lang w:val="en-US" w:eastAsia="zh-CN"/>
          <w14:textFill>
            <w14:solidFill>
              <w14:schemeClr w14:val="tx1"/>
            </w14:solidFill>
          </w14:textFill>
        </w:rPr>
        <w:t>川</w:t>
      </w:r>
      <w:r>
        <w:rPr>
          <w:rFonts w:hint="eastAsia" w:ascii="仿宋_GB2312" w:eastAsia="仿宋_GB2312" w:cs="仿宋_GB2312"/>
          <w:color w:val="000000" w:themeColor="text1"/>
          <w:spacing w:val="-6"/>
          <w:sz w:val="32"/>
          <w:szCs w:val="32"/>
          <w14:textFill>
            <w14:solidFill>
              <w14:schemeClr w14:val="tx1"/>
            </w14:solidFill>
          </w14:textFill>
        </w:rPr>
        <w:t>财社〔2021〕151号)《四川省财政厅 四川省医疗保障局关于下达2022年中央财政医疗服务与保障能力中央财政补助资金（医疗保障服务能力建设部分）预算的通知》(</w:t>
      </w:r>
      <w:r>
        <w:rPr>
          <w:rFonts w:hint="eastAsia" w:ascii="仿宋_GB2312" w:eastAsia="仿宋_GB2312" w:cs="仿宋_GB2312"/>
          <w:color w:val="000000" w:themeColor="text1"/>
          <w:spacing w:val="-6"/>
          <w:sz w:val="32"/>
          <w:szCs w:val="32"/>
          <w:lang w:val="en-US" w:eastAsia="zh-CN"/>
          <w14:textFill>
            <w14:solidFill>
              <w14:schemeClr w14:val="tx1"/>
            </w14:solidFill>
          </w14:textFill>
        </w:rPr>
        <w:t>川</w:t>
      </w:r>
      <w:r>
        <w:rPr>
          <w:rFonts w:hint="eastAsia" w:ascii="仿宋_GB2312" w:eastAsia="仿宋_GB2312" w:cs="仿宋_GB2312"/>
          <w:color w:val="000000" w:themeColor="text1"/>
          <w:spacing w:val="-6"/>
          <w:sz w:val="32"/>
          <w:szCs w:val="32"/>
          <w14:textFill>
            <w14:solidFill>
              <w14:schemeClr w14:val="tx1"/>
            </w14:solidFill>
          </w14:textFill>
        </w:rPr>
        <w:t>财社〔2022〕56号)，四川省财政厅 四川省医疗保障局关于下达2022年中央财政医疗服务与保障能力中央财政补助资金（医疗保障服务能力建设部分）预算（第三批）的通知》（</w:t>
      </w:r>
      <w:r>
        <w:rPr>
          <w:rFonts w:hint="eastAsia" w:ascii="仿宋_GB2312" w:eastAsia="仿宋_GB2312" w:cs="仿宋_GB2312"/>
          <w:color w:val="000000" w:themeColor="text1"/>
          <w:spacing w:val="-6"/>
          <w:sz w:val="32"/>
          <w:szCs w:val="32"/>
          <w:lang w:val="en-US" w:eastAsia="zh-CN"/>
          <w14:textFill>
            <w14:solidFill>
              <w14:schemeClr w14:val="tx1"/>
            </w14:solidFill>
          </w14:textFill>
        </w:rPr>
        <w:t>川</w:t>
      </w:r>
      <w:r>
        <w:rPr>
          <w:rFonts w:hint="eastAsia" w:ascii="仿宋_GB2312" w:eastAsia="仿宋_GB2312" w:cs="仿宋_GB2312"/>
          <w:color w:val="000000" w:themeColor="text1"/>
          <w:spacing w:val="-6"/>
          <w:sz w:val="32"/>
          <w:szCs w:val="32"/>
          <w14:textFill>
            <w14:solidFill>
              <w14:schemeClr w14:val="tx1"/>
            </w14:solidFill>
          </w14:textFill>
        </w:rPr>
        <w:t>财社〔2022〕115号），下达我市2022年医疗服务与保障能力提升资金855万元，主要用于医保信息建设、打击欺诈骗保、医保政策宣传、推进医保支付方式改革和提升经办服务能力方面，其中市本级分配411万元，利州区64万元、昭化区61万元、朝天区54万元、苍溪县71万元、旺苍县71万元、青川县54万元、剑阁县69万元。</w:t>
      </w:r>
    </w:p>
    <w:p>
      <w:pPr>
        <w:widowControl w:val="0"/>
        <w:spacing w:line="576" w:lineRule="exact"/>
        <w:ind w:firstLine="640" w:firstLineChars="200"/>
        <w:jc w:val="both"/>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根据各县区上报的绩效目标，结合我市实际，制定了我市绩效目标表</w:t>
      </w:r>
      <w:r>
        <w:rPr>
          <w:rFonts w:hint="eastAsia" w:asci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 xml:space="preserve">有效提升综合监管、宣传引导、经办服务、信息化建设、人才队伍建设等医疗保障服务能力。 </w:t>
      </w:r>
    </w:p>
    <w:p>
      <w:pPr>
        <w:widowControl w:val="0"/>
        <w:spacing w:line="576" w:lineRule="exact"/>
        <w:ind w:firstLine="640" w:firstLineChars="200"/>
        <w:jc w:val="both"/>
        <w:rPr>
          <w:rFonts w:hint="eastAsia"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二、绩效目标完成情况分析</w:t>
      </w:r>
    </w:p>
    <w:p>
      <w:pPr>
        <w:widowControl w:val="0"/>
        <w:spacing w:line="576" w:lineRule="exact"/>
        <w:ind w:firstLine="640" w:firstLineChars="200"/>
        <w:jc w:val="both"/>
        <w:rPr>
          <w:rFonts w:hint="eastAsia" w:ascii="方正楷体简体" w:eastAsia="方正楷体简体" w:cs="仿宋_GB2312"/>
          <w:color w:val="000000" w:themeColor="text1"/>
          <w:sz w:val="32"/>
          <w:szCs w:val="32"/>
          <w14:textFill>
            <w14:solidFill>
              <w14:schemeClr w14:val="tx1"/>
            </w14:solidFill>
          </w14:textFill>
        </w:rPr>
      </w:pPr>
      <w:r>
        <w:rPr>
          <w:rFonts w:hint="eastAsia" w:ascii="方正楷体简体" w:eastAsia="方正楷体简体" w:cs="仿宋_GB2312"/>
          <w:color w:val="000000" w:themeColor="text1"/>
          <w:sz w:val="32"/>
          <w:szCs w:val="32"/>
          <w14:textFill>
            <w14:solidFill>
              <w14:schemeClr w14:val="tx1"/>
            </w14:solidFill>
          </w14:textFill>
        </w:rPr>
        <w:t>（一）资金投入情况分析</w:t>
      </w:r>
    </w:p>
    <w:p>
      <w:pPr>
        <w:widowControl w:val="0"/>
        <w:spacing w:line="576" w:lineRule="exact"/>
        <w:ind w:firstLine="640" w:firstLineChars="200"/>
        <w:jc w:val="both"/>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1.</w:t>
      </w:r>
      <w:r>
        <w:rPr>
          <w:rFonts w:hint="default" w:ascii="仿宋_GB2312" w:eastAsia="仿宋_GB2312" w:cs="仿宋_GB2312"/>
          <w:color w:val="000000" w:themeColor="text1"/>
          <w:sz w:val="32"/>
          <w:szCs w:val="32"/>
          <w:lang w:val="en-US"/>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项目资金到位情况</w:t>
      </w:r>
    </w:p>
    <w:p>
      <w:pPr>
        <w:widowControl w:val="0"/>
        <w:spacing w:line="576" w:lineRule="exact"/>
        <w:ind w:firstLine="640" w:firstLineChars="200"/>
        <w:jc w:val="both"/>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市医保局收</w:t>
      </w:r>
      <w:r>
        <w:rPr>
          <w:rFonts w:hint="eastAsia" w:ascii="仿宋_GB2312" w:eastAsia="仿宋_GB2312" w:cs="仿宋_GB2312"/>
          <w:color w:val="000000" w:themeColor="text1"/>
          <w:sz w:val="32"/>
          <w:szCs w:val="32"/>
          <w:lang w:eastAsia="zh-CN"/>
          <w14:textFill>
            <w14:solidFill>
              <w14:schemeClr w14:val="tx1"/>
            </w14:solidFill>
          </w14:textFill>
        </w:rPr>
        <w:t>省级下拨</w:t>
      </w:r>
      <w:r>
        <w:rPr>
          <w:rFonts w:hint="eastAsia" w:ascii="仿宋_GB2312" w:eastAsia="仿宋_GB2312" w:cs="仿宋_GB2312"/>
          <w:color w:val="000000" w:themeColor="text1"/>
          <w:sz w:val="32"/>
          <w:szCs w:val="32"/>
          <w14:textFill>
            <w14:solidFill>
              <w14:schemeClr w14:val="tx1"/>
            </w14:solidFill>
          </w14:textFill>
        </w:rPr>
        <w:t>文件后，及时联合</w:t>
      </w:r>
      <w:r>
        <w:rPr>
          <w:rFonts w:hint="eastAsia" w:ascii="仿宋_GB2312" w:eastAsia="仿宋_GB2312" w:cs="仿宋_GB2312"/>
          <w:color w:val="000000" w:themeColor="text1"/>
          <w:sz w:val="32"/>
          <w:szCs w:val="32"/>
          <w:lang w:eastAsia="zh-CN"/>
          <w14:textFill>
            <w14:solidFill>
              <w14:schemeClr w14:val="tx1"/>
            </w14:solidFill>
          </w14:textFill>
        </w:rPr>
        <w:t>市</w:t>
      </w:r>
      <w:r>
        <w:rPr>
          <w:rFonts w:hint="eastAsia" w:ascii="仿宋_GB2312" w:eastAsia="仿宋_GB2312" w:cs="仿宋_GB2312"/>
          <w:color w:val="000000" w:themeColor="text1"/>
          <w:sz w:val="32"/>
          <w:szCs w:val="32"/>
          <w14:textFill>
            <w14:solidFill>
              <w14:schemeClr w14:val="tx1"/>
            </w14:solidFill>
          </w14:textFill>
        </w:rPr>
        <w:t>财政</w:t>
      </w:r>
      <w:r>
        <w:rPr>
          <w:rFonts w:hint="eastAsia" w:ascii="仿宋_GB2312" w:eastAsia="仿宋_GB2312" w:cs="仿宋_GB2312"/>
          <w:color w:val="000000" w:themeColor="text1"/>
          <w:sz w:val="32"/>
          <w:szCs w:val="32"/>
          <w:lang w:eastAsia="zh-CN"/>
          <w14:textFill>
            <w14:solidFill>
              <w14:schemeClr w14:val="tx1"/>
            </w14:solidFill>
          </w14:textFill>
        </w:rPr>
        <w:t>在</w:t>
      </w:r>
      <w:r>
        <w:rPr>
          <w:rFonts w:hint="eastAsia" w:ascii="仿宋_GB2312" w:eastAsia="仿宋_GB2312" w:cs="仿宋_GB2312"/>
          <w:color w:val="000000" w:themeColor="text1"/>
          <w:sz w:val="32"/>
          <w:szCs w:val="32"/>
          <w14:textFill>
            <w14:solidFill>
              <w14:schemeClr w14:val="tx1"/>
            </w14:solidFill>
          </w14:textFill>
        </w:rPr>
        <w:t>规定</w:t>
      </w:r>
      <w:r>
        <w:rPr>
          <w:rFonts w:hint="eastAsia" w:ascii="仿宋_GB2312" w:eastAsia="仿宋_GB2312" w:cs="仿宋_GB2312"/>
          <w:color w:val="000000" w:themeColor="text1"/>
          <w:sz w:val="32"/>
          <w:szCs w:val="32"/>
          <w:lang w:eastAsia="zh-CN"/>
          <w14:textFill>
            <w14:solidFill>
              <w14:schemeClr w14:val="tx1"/>
            </w14:solidFill>
          </w14:textFill>
        </w:rPr>
        <w:t>时间</w:t>
      </w:r>
      <w:r>
        <w:rPr>
          <w:rFonts w:hint="eastAsia" w:ascii="仿宋_GB2312" w:eastAsia="仿宋_GB2312" w:cs="仿宋_GB2312"/>
          <w:color w:val="000000" w:themeColor="text1"/>
          <w:sz w:val="32"/>
          <w:szCs w:val="32"/>
          <w14:textFill>
            <w14:solidFill>
              <w14:schemeClr w14:val="tx1"/>
            </w14:solidFill>
          </w14:textFill>
        </w:rPr>
        <w:t xml:space="preserve"> 30 日内将中央转移支付资金分配下达市本级和7个县区，855万元中央补助资金全部及时到位，到位率 100%。</w:t>
      </w:r>
    </w:p>
    <w:p>
      <w:pPr>
        <w:widowControl w:val="0"/>
        <w:numPr>
          <w:ilvl w:val="0"/>
          <w:numId w:val="6"/>
        </w:numPr>
        <w:spacing w:line="576" w:lineRule="exact"/>
        <w:ind w:firstLine="640" w:firstLineChars="200"/>
        <w:jc w:val="both"/>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项目资金执行情况</w:t>
      </w:r>
    </w:p>
    <w:p>
      <w:pPr>
        <w:widowControl w:val="0"/>
        <w:spacing w:line="576" w:lineRule="exact"/>
        <w:ind w:firstLine="640" w:firstLineChars="200"/>
        <w:jc w:val="both"/>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202</w:t>
      </w:r>
      <w:r>
        <w:rPr>
          <w:rFonts w:hint="default" w:ascii="仿宋_GB2312" w:eastAsia="仿宋_GB2312" w:cs="仿宋_GB2312"/>
          <w:color w:val="000000" w:themeColor="text1"/>
          <w:sz w:val="32"/>
          <w:szCs w:val="32"/>
          <w:lang w:val="en-US"/>
          <w14:textFill>
            <w14:solidFill>
              <w14:schemeClr w14:val="tx1"/>
            </w14:solidFill>
          </w14:textFill>
        </w:rPr>
        <w:t>2</w:t>
      </w:r>
      <w:r>
        <w:rPr>
          <w:rFonts w:hint="eastAsia" w:ascii="仿宋_GB2312" w:eastAsia="仿宋_GB2312" w:cs="仿宋_GB2312"/>
          <w:color w:val="000000" w:themeColor="text1"/>
          <w:sz w:val="32"/>
          <w:szCs w:val="32"/>
          <w14:textFill>
            <w14:solidFill>
              <w14:schemeClr w14:val="tx1"/>
            </w14:solidFill>
          </w14:textFill>
        </w:rPr>
        <w:t>年医疗服务与保障能力提升中央财政补助资金（医疗保障服务能力提升部分）与以前年度该项目结转结余资金统筹使用，共计</w:t>
      </w:r>
      <w:r>
        <w:rPr>
          <w:rFonts w:hint="eastAsia" w:ascii="仿宋_GB2312" w:eastAsia="仿宋_GB2312" w:cs="仿宋_GB2312"/>
          <w:color w:val="000000" w:themeColor="text1"/>
          <w:sz w:val="32"/>
          <w:szCs w:val="32"/>
          <w:lang w:val="en-US" w:eastAsia="zh-CN"/>
          <w14:textFill>
            <w14:solidFill>
              <w14:schemeClr w14:val="tx1"/>
            </w14:solidFill>
          </w14:textFill>
        </w:rPr>
        <w:t>1126.76</w:t>
      </w:r>
      <w:r>
        <w:rPr>
          <w:rFonts w:hint="eastAsia" w:ascii="仿宋_GB2312" w:eastAsia="仿宋_GB2312" w:cs="仿宋_GB2312"/>
          <w:color w:val="000000" w:themeColor="text1"/>
          <w:sz w:val="32"/>
          <w:szCs w:val="32"/>
          <w14:textFill>
            <w14:solidFill>
              <w14:schemeClr w14:val="tx1"/>
            </w14:solidFill>
          </w14:textFill>
        </w:rPr>
        <w:t>万元，主要用于医保信息化、基金监管和支付方式改革、经办服务体系建设等方面，保障信息数据回流共享区建设，确保医保经办服务体系建设、国家信息平台上线示范点建设、医保移动支付等省级改革试点工作顺利开展，有效提升综合监管、经办服务、信息化建设、人才队伍建设等医疗保障服务能力。2022 年我省医保能力提升补助资金共支出 798.06 万元，预算执行率为 70.83%，其中：当年下</w:t>
      </w:r>
      <w:r>
        <w:rPr>
          <w:rFonts w:hint="eastAsia" w:ascii="仿宋_GB2312" w:eastAsia="仿宋_GB2312" w:cs="仿宋_GB2312"/>
          <w:color w:val="000000" w:themeColor="text1"/>
          <w:sz w:val="32"/>
          <w:szCs w:val="32"/>
          <w:lang w:val="en-US" w:eastAsia="zh-CN"/>
          <w14:textFill>
            <w14:solidFill>
              <w14:schemeClr w14:val="tx1"/>
            </w14:solidFill>
          </w14:textFill>
        </w:rPr>
        <w:t>拨</w:t>
      </w:r>
      <w:r>
        <w:rPr>
          <w:rFonts w:hint="eastAsia" w:ascii="仿宋_GB2312" w:eastAsia="仿宋_GB2312" w:cs="仿宋_GB2312"/>
          <w:color w:val="000000" w:themeColor="text1"/>
          <w:sz w:val="32"/>
          <w:szCs w:val="32"/>
          <w14:textFill>
            <w14:solidFill>
              <w14:schemeClr w14:val="tx1"/>
            </w14:solidFill>
          </w14:textFill>
        </w:rPr>
        <w:t>补助资金855万元，执行526.3万元，预算执行率为61.56%。</w:t>
      </w:r>
    </w:p>
    <w:p>
      <w:pPr>
        <w:widowControl w:val="0"/>
        <w:numPr>
          <w:ilvl w:val="0"/>
          <w:numId w:val="6"/>
        </w:numPr>
        <w:spacing w:line="576" w:lineRule="exact"/>
        <w:ind w:left="0" w:leftChars="0" w:firstLine="640" w:firstLineChars="200"/>
        <w:jc w:val="both"/>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项目资金管理情况</w:t>
      </w:r>
    </w:p>
    <w:p>
      <w:pPr>
        <w:widowControl w:val="0"/>
        <w:spacing w:line="576" w:lineRule="exact"/>
        <w:ind w:firstLine="640" w:firstLineChars="200"/>
        <w:jc w:val="both"/>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我市各级医疗保障部门严格按照《四川省医疗服务与保障能力提升补助资金管理办法》管理和使用医疗保障服务能力提升补助资金，所有资金全部纳入同级财政预算管理，严格按照财务管理的规定，履行审批程序，做到手续完整，未发生截留、挤占、挪用、虚列支出等问题。我局制定了《广元市医疗保障局绩效管理办法》，成立了预算绩效管理工作领导小组，明确由财务和业务部门的专人负责预算绩效管理工作，压紧压实管理责任，实现了事前、事中、事后全过程管理。</w:t>
      </w:r>
    </w:p>
    <w:p>
      <w:pPr>
        <w:widowControl w:val="0"/>
        <w:spacing w:line="576" w:lineRule="exact"/>
        <w:ind w:firstLine="640" w:firstLineChars="200"/>
        <w:jc w:val="both"/>
        <w:rPr>
          <w:rFonts w:hint="eastAsia" w:ascii="方正楷体简体" w:eastAsia="方正楷体简体" w:cs="仿宋_GB2312"/>
          <w:color w:val="000000" w:themeColor="text1"/>
          <w:sz w:val="32"/>
          <w:szCs w:val="32"/>
          <w14:textFill>
            <w14:solidFill>
              <w14:schemeClr w14:val="tx1"/>
            </w14:solidFill>
          </w14:textFill>
        </w:rPr>
      </w:pPr>
      <w:r>
        <w:rPr>
          <w:rFonts w:hint="eastAsia" w:ascii="方正楷体简体" w:eastAsia="方正楷体简体" w:cs="仿宋_GB2312"/>
          <w:color w:val="000000" w:themeColor="text1"/>
          <w:sz w:val="32"/>
          <w:szCs w:val="32"/>
          <w14:textFill>
            <w14:solidFill>
              <w14:schemeClr w14:val="tx1"/>
            </w14:solidFill>
          </w14:textFill>
        </w:rPr>
        <w:t>（二）总体绩效目标完成情况</w:t>
      </w:r>
    </w:p>
    <w:p>
      <w:pPr>
        <w:widowControl w:val="0"/>
        <w:spacing w:line="576" w:lineRule="exact"/>
        <w:ind w:firstLine="640" w:firstLineChars="200"/>
        <w:jc w:val="both"/>
        <w:rPr>
          <w:rFonts w:hint="eastAsia" w:eastAsia="宋体"/>
          <w:color w:val="000000" w:themeColor="text1"/>
          <w:lang w:eastAsia="zh-CN"/>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2022 年，</w:t>
      </w:r>
      <w:r>
        <w:rPr>
          <w:rFonts w:hint="eastAsia" w:ascii="仿宋_GB2312" w:eastAsia="仿宋_GB2312" w:cs="仿宋_GB2312"/>
          <w:color w:val="000000" w:themeColor="text1"/>
          <w:sz w:val="32"/>
          <w:szCs w:val="32"/>
          <w:lang w:val="en-US" w:eastAsia="zh-CN"/>
          <w14:textFill>
            <w14:solidFill>
              <w14:schemeClr w14:val="tx1"/>
            </w14:solidFill>
          </w14:textFill>
        </w:rPr>
        <w:t>全市</w:t>
      </w:r>
      <w:r>
        <w:rPr>
          <w:rFonts w:hint="eastAsia" w:ascii="仿宋_GB2312" w:eastAsia="仿宋_GB2312" w:cs="仿宋_GB2312"/>
          <w:color w:val="000000" w:themeColor="text1"/>
          <w:sz w:val="32"/>
          <w:szCs w:val="32"/>
          <w14:textFill>
            <w14:solidFill>
              <w14:schemeClr w14:val="tx1"/>
            </w14:solidFill>
          </w14:textFill>
        </w:rPr>
        <w:t>医保业务信息</w:t>
      </w:r>
      <w:r>
        <w:rPr>
          <w:rFonts w:hint="eastAsia" w:ascii="仿宋_GB2312" w:eastAsia="仿宋_GB2312" w:cs="仿宋_GB2312"/>
          <w:color w:val="000000" w:themeColor="text1"/>
          <w:sz w:val="32"/>
          <w:szCs w:val="32"/>
          <w:lang w:val="en-US" w:eastAsia="zh-CN"/>
          <w14:textFill>
            <w14:solidFill>
              <w14:schemeClr w14:val="tx1"/>
            </w14:solidFill>
          </w14:textFill>
        </w:rPr>
        <w:t>化</w:t>
      </w:r>
      <w:r>
        <w:rPr>
          <w:rFonts w:hint="eastAsia" w:ascii="仿宋_GB2312" w:eastAsia="仿宋_GB2312" w:cs="仿宋_GB2312"/>
          <w:color w:val="000000" w:themeColor="text1"/>
          <w:sz w:val="32"/>
          <w:szCs w:val="32"/>
          <w14:textFill>
            <w14:solidFill>
              <w14:schemeClr w14:val="tx1"/>
            </w14:solidFill>
          </w14:textFill>
        </w:rPr>
        <w:t>水平不断提升，医保骨干网安全运行，</w:t>
      </w:r>
      <w:r>
        <w:rPr>
          <w:rFonts w:hint="eastAsia" w:ascii="仿宋_GB2312" w:eastAsia="仿宋_GB2312"/>
          <w:bCs/>
          <w:color w:val="000000" w:themeColor="text1"/>
          <w:sz w:val="32"/>
          <w:szCs w:val="32"/>
          <w14:textFill>
            <w14:solidFill>
              <w14:schemeClr w14:val="tx1"/>
            </w14:solidFill>
          </w14:textFill>
        </w:rPr>
        <w:t>国家信息平台上线示范点建设、医保移动支付、数据回流共享区建设</w:t>
      </w:r>
      <w:r>
        <w:rPr>
          <w:rFonts w:hint="eastAsia" w:ascii="仿宋_GB2312" w:eastAsia="仿宋_GB2312"/>
          <w:bCs/>
          <w:color w:val="000000" w:themeColor="text1"/>
          <w:sz w:val="32"/>
          <w:szCs w:val="32"/>
          <w:lang w:eastAsia="zh-CN"/>
          <w14:textFill>
            <w14:solidFill>
              <w14:schemeClr w14:val="tx1"/>
            </w14:solidFill>
          </w14:textFill>
        </w:rPr>
        <w:t>等</w:t>
      </w:r>
      <w:r>
        <w:rPr>
          <w:rFonts w:hint="eastAsia" w:ascii="仿宋_GB2312" w:eastAsia="仿宋_GB2312"/>
          <w:bCs/>
          <w:color w:val="000000" w:themeColor="text1"/>
          <w:sz w:val="32"/>
          <w:szCs w:val="32"/>
          <w14:textFill>
            <w14:solidFill>
              <w14:schemeClr w14:val="tx1"/>
            </w14:solidFill>
          </w14:textFill>
        </w:rPr>
        <w:t>省级改革试点</w:t>
      </w:r>
      <w:r>
        <w:rPr>
          <w:rFonts w:hint="eastAsia" w:ascii="仿宋_GB2312" w:eastAsia="仿宋_GB2312"/>
          <w:bCs/>
          <w:color w:val="000000" w:themeColor="text1"/>
          <w:sz w:val="32"/>
          <w:szCs w:val="32"/>
          <w:lang w:eastAsia="zh-CN"/>
          <w14:textFill>
            <w14:solidFill>
              <w14:schemeClr w14:val="tx1"/>
            </w14:solidFill>
          </w14:textFill>
        </w:rPr>
        <w:t>工作均取得明显成效</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eastAsia="zh-CN"/>
          <w14:textFill>
            <w14:solidFill>
              <w14:schemeClr w14:val="tx1"/>
            </w14:solidFill>
          </w14:textFill>
        </w:rPr>
        <w:t>我市</w:t>
      </w:r>
      <w:r>
        <w:rPr>
          <w:rFonts w:hint="eastAsia" w:ascii="仿宋_GB2312" w:eastAsia="仿宋_GB2312"/>
          <w:bCs/>
          <w:color w:val="000000" w:themeColor="text1"/>
          <w:sz w:val="32"/>
          <w:szCs w:val="32"/>
          <w14:textFill>
            <w14:solidFill>
              <w14:schemeClr w14:val="tx1"/>
            </w14:solidFill>
          </w14:textFill>
        </w:rPr>
        <w:t>勇担药械采购平台上线省级试点，首批</w:t>
      </w:r>
      <w:r>
        <w:rPr>
          <w:rFonts w:hint="eastAsia" w:ascii="仿宋_GB2312" w:eastAsia="仿宋_GB2312"/>
          <w:bCs/>
          <w:color w:val="000000" w:themeColor="text1"/>
          <w:sz w:val="32"/>
          <w:szCs w:val="32"/>
          <w:lang w:val="en-US" w:eastAsia="zh-CN"/>
          <w14:textFill>
            <w14:solidFill>
              <w14:schemeClr w14:val="tx1"/>
            </w14:solidFill>
          </w14:textFill>
        </w:rPr>
        <w:t>纳入</w:t>
      </w:r>
      <w:r>
        <w:rPr>
          <w:rFonts w:hint="eastAsia" w:ascii="仿宋_GB2312" w:eastAsia="仿宋_GB2312"/>
          <w:bCs/>
          <w:color w:val="000000" w:themeColor="text1"/>
          <w:sz w:val="32"/>
          <w:szCs w:val="32"/>
          <w14:textFill>
            <w14:solidFill>
              <w14:schemeClr w14:val="tx1"/>
            </w14:solidFill>
          </w14:textFill>
        </w:rPr>
        <w:t>13家医疗机构</w:t>
      </w:r>
      <w:r>
        <w:rPr>
          <w:rFonts w:hint="eastAsia" w:ascii="仿宋_GB2312" w:eastAsia="仿宋_GB2312"/>
          <w:bCs/>
          <w:color w:val="000000" w:themeColor="text1"/>
          <w:sz w:val="32"/>
          <w:szCs w:val="32"/>
          <w:lang w:val="en-US"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医保支付方式改革工作持续推进，制定了《广元市DRG支付方式三年行动计划实施方案》</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打破统一费率改革坚冰</w:t>
      </w:r>
      <w:r>
        <w:rPr>
          <w:rFonts w:hint="eastAsia" w:asci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首试邀请第三方参与医保基金使用监督检查，基金使用监管实现定点医疗机构全覆盖，综合监管机制日趋完善；经办服务显著提升，“新四办”获评国家局管理增效案例，获评经办服务国家示范点2个，全省唯一双示范市</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法治医保、宣传引导、人才队伍建设等医疗保障服务能力明显提升,绩效目标全部完成。</w:t>
      </w:r>
    </w:p>
    <w:p>
      <w:pPr>
        <w:widowControl w:val="0"/>
        <w:spacing w:line="576" w:lineRule="exact"/>
        <w:ind w:firstLine="640" w:firstLineChars="200"/>
        <w:jc w:val="both"/>
        <w:rPr>
          <w:rFonts w:hint="eastAsia" w:ascii="方正楷体简体" w:eastAsia="方正楷体简体" w:cs="仿宋_GB2312"/>
          <w:color w:val="000000" w:themeColor="text1"/>
          <w:sz w:val="32"/>
          <w:szCs w:val="32"/>
          <w14:textFill>
            <w14:solidFill>
              <w14:schemeClr w14:val="tx1"/>
            </w14:solidFill>
          </w14:textFill>
        </w:rPr>
      </w:pPr>
      <w:r>
        <w:rPr>
          <w:rFonts w:hint="eastAsia" w:ascii="方正楷体简体" w:eastAsia="方正楷体简体" w:cs="仿宋_GB2312"/>
          <w:color w:val="000000" w:themeColor="text1"/>
          <w:sz w:val="32"/>
          <w:szCs w:val="32"/>
          <w14:textFill>
            <w14:solidFill>
              <w14:schemeClr w14:val="tx1"/>
            </w14:solidFill>
          </w14:textFill>
        </w:rPr>
        <w:t>（三）绩效指标完成情况分析</w:t>
      </w:r>
    </w:p>
    <w:p>
      <w:pPr>
        <w:widowControl w:val="0"/>
        <w:spacing w:line="576" w:lineRule="exact"/>
        <w:ind w:firstLine="640" w:firstLineChars="200"/>
        <w:jc w:val="both"/>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1.</w:t>
      </w:r>
      <w:r>
        <w:rPr>
          <w:rFonts w:hint="default" w:ascii="仿宋_GB2312" w:eastAsia="仿宋_GB2312" w:cs="仿宋_GB2312"/>
          <w:color w:val="000000" w:themeColor="text1"/>
          <w:sz w:val="32"/>
          <w:szCs w:val="32"/>
          <w:lang w:val="en-US"/>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数量指标</w:t>
      </w:r>
    </w:p>
    <w:p>
      <w:pPr>
        <w:widowControl w:val="0"/>
        <w:spacing w:line="576" w:lineRule="exact"/>
        <w:ind w:firstLine="640" w:firstLineChars="200"/>
        <w:jc w:val="both"/>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（1）医保规范性文件和政策措施的合法性审查、公平竞争审查。2022年我市医保规范性文件和政策措施的合法性审查、公平竞争审查实现全覆盖。实现绩效目标。</w:t>
      </w:r>
    </w:p>
    <w:p>
      <w:pPr>
        <w:widowControl w:val="0"/>
        <w:spacing w:line="576" w:lineRule="exact"/>
        <w:ind w:firstLine="640" w:firstLineChars="200"/>
        <w:jc w:val="both"/>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eastAsia="仿宋_GB2312" w:cs="仿宋_GB2312"/>
          <w:color w:val="000000" w:themeColor="text1"/>
          <w:sz w:val="32"/>
          <w:szCs w:val="32"/>
          <w14:textFill>
            <w14:solidFill>
              <w14:schemeClr w14:val="tx1"/>
            </w14:solidFill>
          </w14:textFill>
        </w:rPr>
        <w:t>）医保信息系统正常运行率。我市医保信息系统上线国家医保信息平台以来，系统日趋完善成熟，运行稳定率达到 99%，有效支撑了各级各类医保业务开展。实现绩效目标。</w:t>
      </w:r>
    </w:p>
    <w:p>
      <w:pPr>
        <w:widowControl w:val="0"/>
        <w:spacing w:line="576" w:lineRule="exact"/>
        <w:ind w:firstLine="640" w:firstLineChars="200"/>
        <w:jc w:val="both"/>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eastAsia="仿宋_GB2312" w:cs="仿宋_GB2312"/>
          <w:color w:val="000000" w:themeColor="text1"/>
          <w:sz w:val="32"/>
          <w:szCs w:val="32"/>
          <w14:textFill>
            <w14:solidFill>
              <w14:schemeClr w14:val="tx1"/>
            </w14:solidFill>
          </w14:textFill>
        </w:rPr>
        <w:t>）医保信息系统重大安全事件响应时间。强化信息系统安全软硬件建设，健全安全制度管理，我市医保信息系统上线国家医保信息平台以来，未发生重大安全事故。实现绩效目标。</w:t>
      </w:r>
    </w:p>
    <w:p>
      <w:pPr>
        <w:widowControl w:val="0"/>
        <w:spacing w:line="576" w:lineRule="exact"/>
        <w:ind w:firstLine="640" w:firstLineChars="200"/>
        <w:jc w:val="both"/>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eastAsia="仿宋_GB2312" w:cs="仿宋_GB2312"/>
          <w:color w:val="000000" w:themeColor="text1"/>
          <w:sz w:val="32"/>
          <w:szCs w:val="32"/>
          <w14:textFill>
            <w14:solidFill>
              <w14:schemeClr w14:val="tx1"/>
            </w14:solidFill>
          </w14:textFill>
        </w:rPr>
        <w:t>）医保信息系统运行维护响应时间。我市医保信息系统上线国家医保信息平台后，我市加强了相关运维人员培训，保障系统故障得到及时有效处理，处理时间不超过 30 分钟。实现绩效目标。</w:t>
      </w:r>
    </w:p>
    <w:p>
      <w:pPr>
        <w:widowControl w:val="0"/>
        <w:spacing w:line="576" w:lineRule="exact"/>
        <w:ind w:firstLine="640" w:firstLineChars="200"/>
        <w:jc w:val="both"/>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eastAsia="仿宋_GB2312" w:cs="仿宋_GB2312"/>
          <w:color w:val="000000" w:themeColor="text1"/>
          <w:sz w:val="32"/>
          <w:szCs w:val="32"/>
          <w14:textFill>
            <w14:solidFill>
              <w14:schemeClr w14:val="tx1"/>
            </w14:solidFill>
          </w14:textFill>
        </w:rPr>
        <w:t>）定点医药机构监督检查覆盖率。2022年全市共检查医药机构1471家，涉及违规金额9951.39万元，处违约金288.35万元，公开曝光594例，要情报送18例，举报处理6件，异地协查1家，形成震慑效应。定点医药机构监督检查覆盖率达100%。实现绩效目标。</w:t>
      </w:r>
    </w:p>
    <w:p>
      <w:pPr>
        <w:widowControl w:val="0"/>
        <w:spacing w:line="576" w:lineRule="exact"/>
        <w:ind w:firstLine="640" w:firstLineChars="200"/>
        <w:jc w:val="both"/>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eastAsia="仿宋_GB2312" w:cs="仿宋_GB2312"/>
          <w:color w:val="000000" w:themeColor="text1"/>
          <w:sz w:val="32"/>
          <w:szCs w:val="32"/>
          <w14:textFill>
            <w14:solidFill>
              <w14:schemeClr w14:val="tx1"/>
            </w14:solidFill>
          </w14:textFill>
        </w:rPr>
        <w:t>）推行医保支付方式改革和 DRG、DIP 试点。制定了《广元市DRG支付方式三年行动计划实施方案》，打破统一费率改革坚冰。启动DRG付费全市统一费率改革，制定改革总体方案。完善协商谈判和争议处理机制，优化单病种付费标准、特病单议经办规程，形成课题研究成果2篇，我市已完成统筹地区、医疗机构、病种分组、医保基金全覆盖</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实现绩效目标。</w:t>
      </w:r>
    </w:p>
    <w:p>
      <w:pPr>
        <w:widowControl w:val="0"/>
        <w:spacing w:line="576" w:lineRule="exact"/>
        <w:ind w:firstLine="640" w:firstLineChars="200"/>
        <w:jc w:val="both"/>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eastAsia="仿宋_GB2312" w:cs="仿宋_GB2312"/>
          <w:color w:val="000000" w:themeColor="text1"/>
          <w:sz w:val="32"/>
          <w:szCs w:val="32"/>
          <w14:textFill>
            <w14:solidFill>
              <w14:schemeClr w14:val="tx1"/>
            </w14:solidFill>
          </w14:textFill>
        </w:rPr>
        <w:t>）能提供医保服务的村镇覆盖率。全市142个乡镇医保窗口（中心、站），1731个村（社区）医保服务室，138个医疗保障服务点</w:t>
      </w:r>
      <w:r>
        <w:rPr>
          <w:rFonts w:hint="eastAsia" w:ascii="仿宋_GB2312" w:eastAsia="仿宋_GB2312" w:cs="仿宋_GB2312"/>
          <w:color w:val="000000" w:themeColor="text1"/>
          <w:sz w:val="32"/>
          <w:szCs w:val="32"/>
          <w:lang w:val="en-US" w:eastAsia="zh-CN"/>
          <w14:textFill>
            <w14:solidFill>
              <w14:schemeClr w14:val="tx1"/>
            </w14:solidFill>
          </w14:textFill>
        </w:rPr>
        <w:t>全覆盖建立医保服务室</w:t>
      </w:r>
      <w:r>
        <w:rPr>
          <w:rFonts w:hint="eastAsia" w:ascii="仿宋_GB2312" w:eastAsia="仿宋_GB2312" w:cs="仿宋_GB2312"/>
          <w:color w:val="000000" w:themeColor="text1"/>
          <w:sz w:val="32"/>
          <w:szCs w:val="32"/>
          <w14:textFill>
            <w14:solidFill>
              <w14:schemeClr w14:val="tx1"/>
            </w14:solidFill>
          </w14:textFill>
        </w:rPr>
        <w:t>，实现市县乡村医保服务机构、编制、人员全覆盖。全面建成一张横向到边、纵向到底、全面覆盖的医保服务网络，实现绩效目标。</w:t>
      </w:r>
    </w:p>
    <w:p>
      <w:pPr>
        <w:widowControl w:val="0"/>
        <w:spacing w:line="576" w:lineRule="exact"/>
        <w:ind w:firstLine="640" w:firstLineChars="200"/>
        <w:jc w:val="both"/>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（8）作为参保地和就医地双向开通5个门诊慢特病相关治理费用跨省直接结算率。截至 2021 年底，我市实现普通门诊、高血压和糖尿病门诊慢特病费用跨省直接结算全覆盖</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截</w:t>
      </w:r>
      <w:r>
        <w:rPr>
          <w:rFonts w:hint="eastAsia" w:ascii="仿宋_GB2312" w:eastAsia="仿宋_GB2312" w:cs="仿宋_GB2312"/>
          <w:color w:val="000000" w:themeColor="text1"/>
          <w:sz w:val="32"/>
          <w:szCs w:val="32"/>
          <w:lang w:val="en-US" w:eastAsia="zh-CN"/>
          <w14:textFill>
            <w14:solidFill>
              <w14:schemeClr w14:val="tx1"/>
            </w14:solidFill>
          </w14:textFill>
        </w:rPr>
        <w:t>至</w:t>
      </w:r>
      <w:r>
        <w:rPr>
          <w:rFonts w:hint="eastAsia" w:ascii="仿宋_GB2312" w:eastAsia="仿宋_GB2312" w:cs="仿宋_GB2312"/>
          <w:color w:val="000000" w:themeColor="text1"/>
          <w:sz w:val="32"/>
          <w:szCs w:val="32"/>
          <w14:textFill>
            <w14:solidFill>
              <w14:schemeClr w14:val="tx1"/>
            </w14:solidFill>
          </w14:textFill>
        </w:rPr>
        <w:t>2022年5月31日，我市已开通恶性肿瘤放化疗、尿毒症透析、器官移植术后抗排异治疗等3个病种门诊慢特病跨省异地就医直接结算</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已实现门诊慢特病跨省异地就医直接结算覆盖所有县区，异地门诊慢特病定点医药机构同步纳入我市定点范围。绩效目标已完成。</w:t>
      </w:r>
    </w:p>
    <w:p>
      <w:pPr>
        <w:widowControl w:val="0"/>
        <w:spacing w:line="576" w:lineRule="exact"/>
        <w:ind w:firstLine="640" w:firstLineChars="200"/>
        <w:jc w:val="both"/>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2.</w:t>
      </w:r>
      <w:r>
        <w:rPr>
          <w:rFonts w:hint="default" w:ascii="仿宋_GB2312" w:eastAsia="仿宋_GB2312" w:cs="仿宋_GB2312"/>
          <w:color w:val="000000" w:themeColor="text1"/>
          <w:sz w:val="32"/>
          <w:szCs w:val="32"/>
          <w:lang w:val="en-US"/>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质量指标</w:t>
      </w:r>
    </w:p>
    <w:p>
      <w:pPr>
        <w:widowControl w:val="0"/>
        <w:spacing w:line="576" w:lineRule="exact"/>
        <w:ind w:firstLine="640" w:firstLineChars="200"/>
        <w:jc w:val="both"/>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（1）医保法治建设能力。</w:t>
      </w:r>
      <w:r>
        <w:rPr>
          <w:rFonts w:hint="eastAsia" w:ascii="仿宋_GB2312" w:eastAsia="仿宋_GB2312" w:cs="仿宋_GB2312"/>
          <w:color w:val="000000" w:themeColor="text1"/>
          <w:sz w:val="32"/>
          <w:szCs w:val="32"/>
          <w:lang w:val="en-US" w:eastAsia="zh-CN"/>
          <w14:textFill>
            <w14:solidFill>
              <w14:schemeClr w14:val="tx1"/>
            </w14:solidFill>
          </w14:textFill>
        </w:rPr>
        <w:t>推进</w:t>
      </w:r>
      <w:r>
        <w:rPr>
          <w:rFonts w:hint="eastAsia" w:ascii="仿宋_GB2312" w:eastAsia="仿宋_GB2312" w:cs="仿宋_GB2312"/>
          <w:color w:val="000000" w:themeColor="text1"/>
          <w:sz w:val="32"/>
          <w:szCs w:val="32"/>
          <w14:textFill>
            <w14:solidFill>
              <w14:schemeClr w14:val="tx1"/>
            </w14:solidFill>
          </w14:textFill>
        </w:rPr>
        <w:t>制度体系建设，持续完善决策制定审核体系、执法监督体系，</w:t>
      </w:r>
      <w:r>
        <w:rPr>
          <w:rFonts w:hint="eastAsia" w:ascii="仿宋_GB2312" w:eastAsia="仿宋_GB2312" w:cs="仿宋_GB2312"/>
          <w:color w:val="000000" w:themeColor="text1"/>
          <w:sz w:val="32"/>
          <w:szCs w:val="32"/>
          <w:lang w:val="en-US" w:eastAsia="zh-CN"/>
          <w14:textFill>
            <w14:solidFill>
              <w14:schemeClr w14:val="tx1"/>
            </w14:solidFill>
          </w14:textFill>
        </w:rPr>
        <w:t>印发</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关于全面推行行政执法公示制度执法全过程记录制度重大执法决定法制审核制度的通知</w:t>
      </w:r>
      <w:r>
        <w:rPr>
          <w:rFonts w:hint="eastAsia" w:ascii="仿宋_GB2312" w:eastAsia="仿宋_GB2312" w:cs="仿宋_GB2312"/>
          <w:color w:val="000000" w:themeColor="text1"/>
          <w:sz w:val="32"/>
          <w:szCs w:val="32"/>
          <w:lang w:eastAsia="zh-CN"/>
          <w14:textFill>
            <w14:solidFill>
              <w14:schemeClr w14:val="tx1"/>
            </w14:solidFill>
          </w14:textFill>
        </w:rPr>
        <w:t>》《关于加强行政规范性文件备案审查工作的通知》，</w:t>
      </w:r>
      <w:r>
        <w:rPr>
          <w:rFonts w:hint="eastAsia" w:ascii="仿宋_GB2312" w:eastAsia="仿宋_GB2312" w:cs="仿宋_GB2312"/>
          <w:color w:val="000000" w:themeColor="text1"/>
          <w:sz w:val="32"/>
          <w:szCs w:val="32"/>
          <w14:textFill>
            <w14:solidFill>
              <w14:schemeClr w14:val="tx1"/>
            </w14:solidFill>
          </w14:textFill>
        </w:rPr>
        <w:t>依法推动行政权力事项、政务服务事项动态调整机制常态化运行，突出内控精细</w:t>
      </w:r>
      <w:r>
        <w:rPr>
          <w:rFonts w:hint="eastAsia" w:ascii="仿宋_GB2312" w:eastAsia="仿宋_GB2312" w:cs="仿宋_GB2312"/>
          <w:color w:val="000000" w:themeColor="text1"/>
          <w:sz w:val="32"/>
          <w:szCs w:val="32"/>
          <w:lang w:val="en-US" w:eastAsia="zh-CN"/>
          <w14:textFill>
            <w14:solidFill>
              <w14:schemeClr w14:val="tx1"/>
            </w14:solidFill>
          </w14:textFill>
        </w:rPr>
        <w:t>化</w:t>
      </w:r>
      <w:r>
        <w:rPr>
          <w:rFonts w:hint="eastAsia" w:ascii="仿宋_GB2312" w:eastAsia="仿宋_GB2312" w:cs="仿宋_GB2312"/>
          <w:color w:val="000000" w:themeColor="text1"/>
          <w:sz w:val="32"/>
          <w:szCs w:val="32"/>
          <w14:textFill>
            <w14:solidFill>
              <w14:schemeClr w14:val="tx1"/>
            </w14:solidFill>
          </w14:textFill>
        </w:rPr>
        <w:t>建设，</w:t>
      </w:r>
      <w:r>
        <w:rPr>
          <w:rFonts w:hint="eastAsia" w:ascii="仿宋_GB2312" w:eastAsia="仿宋_GB2312" w:cs="仿宋_GB2312"/>
          <w:color w:val="000000" w:themeColor="text1"/>
          <w:sz w:val="32"/>
          <w:szCs w:val="32"/>
          <w:lang w:eastAsia="zh-CN"/>
          <w14:textFill>
            <w14:solidFill>
              <w14:schemeClr w14:val="tx1"/>
            </w14:solidFill>
          </w14:textFill>
        </w:rPr>
        <w:t>我市</w:t>
      </w:r>
      <w:r>
        <w:rPr>
          <w:rFonts w:hint="eastAsia" w:ascii="仿宋_GB2312" w:eastAsia="仿宋_GB2312" w:cs="仿宋_GB2312"/>
          <w:color w:val="000000" w:themeColor="text1"/>
          <w:sz w:val="32"/>
          <w:szCs w:val="32"/>
          <w14:textFill>
            <w14:solidFill>
              <w14:schemeClr w14:val="tx1"/>
            </w14:solidFill>
          </w14:textFill>
        </w:rPr>
        <w:t>各级医保部门坚持问题导向，进一步完善权责清单、执法事项清单、服务清单，突出重点岗位、关键环节风险防控，堵塞政策制定、基金监管、经办服务等方面漏洞</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实现绩效目标。</w:t>
      </w:r>
    </w:p>
    <w:p>
      <w:pPr>
        <w:widowControl w:val="0"/>
        <w:spacing w:line="576" w:lineRule="exact"/>
        <w:ind w:firstLine="640" w:firstLineChars="200"/>
        <w:jc w:val="both"/>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（2）基金预警和风险防控能力。切实加强全市基金运行监测及风险防控，定期开展基金运行状况及支撑能力分析，提出相应的管控措施和建议。实现绩效目标。</w:t>
      </w:r>
    </w:p>
    <w:p>
      <w:pPr>
        <w:widowControl w:val="0"/>
        <w:spacing w:line="576" w:lineRule="exact"/>
        <w:ind w:firstLine="640" w:firstLineChars="200"/>
        <w:jc w:val="both"/>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（3）医保经办服务能力。医保经办机构归口管理、独立运行，医保经办清单全面落实，实行综合柜员制</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医保服务事项全市通办</w:t>
      </w:r>
      <w:r>
        <w:rPr>
          <w:rFonts w:hint="default" w:asci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eastAsia="仿宋_GB2312" w:cs="仿宋_GB2312"/>
          <w:color w:val="000000" w:themeColor="text1"/>
          <w:sz w:val="32"/>
          <w:szCs w:val="32"/>
          <w:lang w:val="en-US" w:eastAsia="zh-CN"/>
          <w14:textFill>
            <w14:solidFill>
              <w14:schemeClr w14:val="tx1"/>
            </w14:solidFill>
          </w14:textFill>
        </w:rPr>
        <w:t>项、市区通办</w:t>
      </w:r>
      <w:r>
        <w:rPr>
          <w:rFonts w:hint="default" w:ascii="仿宋_GB2312" w:eastAsia="仿宋_GB2312" w:cs="仿宋_GB2312"/>
          <w:color w:val="000000" w:themeColor="text1"/>
          <w:sz w:val="32"/>
          <w:szCs w:val="32"/>
          <w:lang w:val="en-US" w:eastAsia="zh-CN"/>
          <w14:textFill>
            <w14:solidFill>
              <w14:schemeClr w14:val="tx1"/>
            </w14:solidFill>
          </w14:textFill>
        </w:rPr>
        <w:t>38</w:t>
      </w:r>
      <w:r>
        <w:rPr>
          <w:rFonts w:hint="eastAsia" w:ascii="仿宋_GB2312" w:eastAsia="仿宋_GB2312" w:cs="仿宋_GB2312"/>
          <w:color w:val="000000" w:themeColor="text1"/>
          <w:sz w:val="32"/>
          <w:szCs w:val="32"/>
          <w:lang w:val="en-US" w:eastAsia="zh-CN"/>
          <w14:textFill>
            <w14:solidFill>
              <w14:schemeClr w14:val="tx1"/>
            </w14:solidFill>
          </w14:textFill>
        </w:rPr>
        <w:t>项、镇村通办</w:t>
      </w:r>
      <w:r>
        <w:rPr>
          <w:rFonts w:hint="default" w:ascii="仿宋_GB2312" w:eastAsia="仿宋_GB2312" w:cs="仿宋_GB2312"/>
          <w:color w:val="000000" w:themeColor="text1"/>
          <w:sz w:val="32"/>
          <w:szCs w:val="32"/>
          <w:lang w:val="en-US" w:eastAsia="zh-CN"/>
          <w14:textFill>
            <w14:solidFill>
              <w14:schemeClr w14:val="tx1"/>
            </w14:solidFill>
          </w14:textFill>
        </w:rPr>
        <w:t>20</w:t>
      </w:r>
      <w:r>
        <w:rPr>
          <w:rFonts w:hint="eastAsia" w:ascii="仿宋_GB2312" w:eastAsia="仿宋_GB2312" w:cs="仿宋_GB2312"/>
          <w:color w:val="000000" w:themeColor="text1"/>
          <w:sz w:val="32"/>
          <w:szCs w:val="32"/>
          <w:lang w:val="en-US" w:eastAsia="zh-CN"/>
          <w14:textFill>
            <w14:solidFill>
              <w14:schemeClr w14:val="tx1"/>
            </w14:solidFill>
          </w14:textFill>
        </w:rPr>
        <w:t>项，</w:t>
      </w:r>
      <w:r>
        <w:rPr>
          <w:rFonts w:hint="eastAsia" w:ascii="仿宋_GB2312" w:eastAsia="仿宋_GB2312" w:cs="仿宋_GB2312"/>
          <w:color w:val="000000" w:themeColor="text1"/>
          <w:sz w:val="32"/>
          <w:szCs w:val="32"/>
          <w14:textFill>
            <w14:solidFill>
              <w14:schemeClr w14:val="tx1"/>
            </w14:solidFill>
          </w14:textFill>
        </w:rPr>
        <w:t>创新推行经办服务“新四办”，群众满意达99%以上，医保服务“新四办”获评国家局管理增效案例</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医保经办服务能力不断提升。实现绩效目标。</w:t>
      </w:r>
    </w:p>
    <w:p>
      <w:pPr>
        <w:widowControl w:val="0"/>
        <w:spacing w:line="576" w:lineRule="exact"/>
        <w:ind w:firstLine="640" w:firstLineChars="200"/>
        <w:jc w:val="both"/>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4）医保综合监管能力。成立广元市医疗保障基金监管中心，引进监管人员，充实了监管力量。开展全国第四个医保基金监管宣传月活动，“线上+线下”形式多样的宣传活动，推动形成“维护医保基金人人有责”的良好氛围。聘请第三方机构参与医保基金监管工作，全面提升医保监管能。实现绩效目标。</w:t>
      </w:r>
    </w:p>
    <w:p>
      <w:pPr>
        <w:widowControl w:val="0"/>
        <w:spacing w:line="576" w:lineRule="exact"/>
        <w:ind w:firstLine="640" w:firstLineChars="200"/>
        <w:jc w:val="both"/>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（5）医保宣传能力。市医保局继续与广元广播电视台携手打造专题访谈节目 《 医保在你身边 》 ，宣传医疗保障政策；全年通过国家省市医疗保障局政府网站、政务新媒体等平台主动公开工作动态、政策法规、政策解读、机构职能、公示公告等政府信息382余条，较2021年增长约25%，微信公众号发布信息112条，较2021年增长30%。实现绩效目标。</w:t>
      </w:r>
    </w:p>
    <w:p>
      <w:pPr>
        <w:widowControl w:val="0"/>
        <w:spacing w:line="576" w:lineRule="exact"/>
        <w:ind w:firstLine="640" w:firstLineChars="200"/>
        <w:jc w:val="both"/>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县区以上经办大厅标准化建设完成率</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全市共建成县区以上经办服务大厅8个，全部完成大厅标准化建设，其中市本级医保服务大厅创建全国医疗保障服务示范窗口，旺苍县东河镇便民服务中心创建全国基层医疗保障服务示范点。绩效目标完成。</w:t>
      </w:r>
    </w:p>
    <w:p>
      <w:pPr>
        <w:widowControl w:val="0"/>
        <w:spacing w:line="576" w:lineRule="exact"/>
        <w:ind w:firstLine="640" w:firstLineChars="200"/>
        <w:jc w:val="both"/>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医保经办服务事项清单、操作规范落实情况。全市范围内统一办事指南、事项清单及服务流程，实现同一事项不同地区、线上线下无差别受理、同标准办理。畅通办事渠道，推行医保业务网上办理，实现医保服务“一网通办”，高频医保服务事项“跨省通办”“川内通办”。绩效目标完成。</w:t>
      </w:r>
    </w:p>
    <w:p>
      <w:pPr>
        <w:widowControl w:val="0"/>
        <w:spacing w:line="576" w:lineRule="exact"/>
        <w:ind w:firstLine="640" w:firstLineChars="200"/>
        <w:jc w:val="both"/>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eastAsia="仿宋_GB2312" w:cs="仿宋_GB2312"/>
          <w:color w:val="000000" w:themeColor="text1"/>
          <w:sz w:val="32"/>
          <w:szCs w:val="32"/>
          <w14:textFill>
            <w14:solidFill>
              <w14:schemeClr w14:val="tx1"/>
            </w14:solidFill>
          </w14:textFill>
        </w:rPr>
        <w:t>）按照全省统一的医疗服务价格动态调整机制、每年开展评估。2022年</w:t>
      </w:r>
      <w:r>
        <w:rPr>
          <w:rFonts w:hint="eastAsia" w:ascii="仿宋_GB2312" w:eastAsia="仿宋_GB2312" w:cs="仿宋_GB2312"/>
          <w:color w:val="000000" w:themeColor="text1"/>
          <w:sz w:val="32"/>
          <w:szCs w:val="32"/>
          <w:lang w:val="en-US" w:eastAsia="zh-CN"/>
          <w14:textFill>
            <w14:solidFill>
              <w14:schemeClr w14:val="tx1"/>
            </w14:solidFill>
          </w14:textFill>
        </w:rPr>
        <w:t>9月10日前完成</w:t>
      </w:r>
      <w:r>
        <w:rPr>
          <w:rFonts w:hint="eastAsia" w:ascii="仿宋_GB2312" w:eastAsia="仿宋_GB2312" w:cs="仿宋_GB2312"/>
          <w:color w:val="000000" w:themeColor="text1"/>
          <w:sz w:val="32"/>
          <w:szCs w:val="32"/>
          <w14:textFill>
            <w14:solidFill>
              <w14:schemeClr w14:val="tx1"/>
            </w14:solidFill>
          </w14:textFill>
        </w:rPr>
        <w:t>医疗服务价格动态调整评估，符合调价启动条件</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开展价格调整工作，上调体现技术劳务价值项目价格，优化医疗服务价格结构</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eastAsia="仿宋_GB2312" w:cs="仿宋_GB2312"/>
          <w:color w:val="000000" w:themeColor="text1"/>
          <w:sz w:val="32"/>
          <w:szCs w:val="32"/>
          <w14:textFill>
            <w14:solidFill>
              <w14:schemeClr w14:val="tx1"/>
            </w14:solidFill>
          </w14:textFill>
        </w:rPr>
        <w:t>022年新增医疗服务项目价格22项，调整医疗服务项目价格67项，支持医疗机构高质量发展。实现绩效目标</w:t>
      </w:r>
    </w:p>
    <w:p>
      <w:pPr>
        <w:widowControl w:val="0"/>
        <w:spacing w:line="576" w:lineRule="exact"/>
        <w:ind w:firstLine="640" w:firstLineChars="200"/>
        <w:jc w:val="both"/>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eastAsia="仿宋_GB2312" w:cs="仿宋_GB2312"/>
          <w:color w:val="000000" w:themeColor="text1"/>
          <w:sz w:val="32"/>
          <w:szCs w:val="32"/>
          <w14:textFill>
            <w14:solidFill>
              <w14:schemeClr w14:val="tx1"/>
            </w14:solidFill>
          </w14:textFill>
        </w:rPr>
        <w:t>）原各省份自行增补纳入医保支付药品的消化情况。根据《四川省医疗保障局</w:t>
      </w:r>
      <w:r>
        <w:rPr>
          <w:rFonts w:hint="default" w:ascii="仿宋_GB2312" w:eastAsia="仿宋_GB2312" w:cs="仿宋_GB2312"/>
          <w:color w:val="000000" w:themeColor="text1"/>
          <w:sz w:val="32"/>
          <w:szCs w:val="32"/>
          <w:lang w:val="en-US"/>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四川省人力资源和社会保障厅关于做好我省基本医疗保险、工伤保险和生育保险地方调增乙类药品消化工作的通知》（川医保规〔2022〕8号）文件要求，对于原省增补品种设置报销过渡期（截</w:t>
      </w:r>
      <w:r>
        <w:rPr>
          <w:rFonts w:hint="eastAsia" w:ascii="仿宋_GB2312" w:eastAsia="仿宋_GB2312" w:cs="仿宋_GB2312"/>
          <w:color w:val="000000" w:themeColor="text1"/>
          <w:sz w:val="32"/>
          <w:szCs w:val="32"/>
          <w:lang w:val="en-US" w:eastAsia="zh-CN"/>
          <w14:textFill>
            <w14:solidFill>
              <w14:schemeClr w14:val="tx1"/>
            </w14:solidFill>
          </w14:textFill>
        </w:rPr>
        <w:t>至</w:t>
      </w:r>
      <w:r>
        <w:rPr>
          <w:rFonts w:hint="eastAsia" w:ascii="仿宋_GB2312" w:eastAsia="仿宋_GB2312" w:cs="仿宋_GB2312"/>
          <w:color w:val="000000" w:themeColor="text1"/>
          <w:sz w:val="32"/>
          <w:szCs w:val="32"/>
          <w14:textFill>
            <w14:solidFill>
              <w14:schemeClr w14:val="tx1"/>
            </w14:solidFill>
          </w14:textFill>
        </w:rPr>
        <w:t>2022年12月31日），过渡期内仍按原政策规定执行，过渡期结束后我市基本医疗保险、工伤保险和生育保险基金不再予以支付，做到了100%消化。实现绩效目标。</w:t>
      </w:r>
    </w:p>
    <w:p>
      <w:pPr>
        <w:widowControl w:val="0"/>
        <w:spacing w:line="576" w:lineRule="exact"/>
        <w:ind w:firstLine="640" w:firstLineChars="200"/>
        <w:jc w:val="both"/>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eastAsia="仿宋_GB2312" w:cs="仿宋_GB2312"/>
          <w:color w:val="000000" w:themeColor="text1"/>
          <w:sz w:val="32"/>
          <w:szCs w:val="32"/>
          <w14:textFill>
            <w14:solidFill>
              <w14:schemeClr w14:val="tx1"/>
            </w14:solidFill>
          </w14:textFill>
        </w:rPr>
        <w:t>）国家和省级集中采购药械完成率。持续推动国家、省组织的药品和医用耗材集中带量采购中选结果落地实施，2022年</w:t>
      </w:r>
      <w:r>
        <w:rPr>
          <w:rFonts w:hint="eastAsia" w:ascii="仿宋_GB2312" w:eastAsia="仿宋_GB2312" w:cs="仿宋_GB2312"/>
          <w:color w:val="000000" w:themeColor="text1"/>
          <w:sz w:val="32"/>
          <w:szCs w:val="32"/>
          <w:lang w:val="en-US" w:eastAsia="zh-CN"/>
          <w14:textFill>
            <w14:solidFill>
              <w14:schemeClr w14:val="tx1"/>
            </w14:solidFill>
          </w14:textFill>
        </w:rPr>
        <w:t>末</w:t>
      </w:r>
      <w:r>
        <w:rPr>
          <w:rFonts w:hint="eastAsia" w:ascii="仿宋_GB2312" w:eastAsia="仿宋_GB2312" w:cs="仿宋_GB2312"/>
          <w:color w:val="000000" w:themeColor="text1"/>
          <w:sz w:val="32"/>
          <w:szCs w:val="32"/>
          <w14:textFill>
            <w14:solidFill>
              <w14:schemeClr w14:val="tx1"/>
            </w14:solidFill>
          </w14:textFill>
        </w:rPr>
        <w:t>，我市集中带量采购药品品种达到353个，高值医用耗材达到7类，药械采购完成率达100%。实现绩效目标。</w:t>
      </w:r>
    </w:p>
    <w:p>
      <w:pPr>
        <w:widowControl w:val="0"/>
        <w:spacing w:line="576" w:lineRule="exact"/>
        <w:ind w:firstLine="640" w:firstLineChars="200"/>
        <w:jc w:val="both"/>
        <w:rPr>
          <w:rFonts w:hint="eastAsia" w:ascii="方正楷体简体" w:eastAsia="方正楷体简体" w:cs="仿宋_GB2312"/>
          <w:color w:val="000000" w:themeColor="text1"/>
          <w:sz w:val="32"/>
          <w:szCs w:val="32"/>
          <w14:textFill>
            <w14:solidFill>
              <w14:schemeClr w14:val="tx1"/>
            </w14:solidFill>
          </w14:textFill>
        </w:rPr>
      </w:pPr>
      <w:r>
        <w:rPr>
          <w:rFonts w:hint="eastAsia" w:ascii="方正楷体简体" w:eastAsia="方正楷体简体" w:cs="仿宋_GB2312"/>
          <w:color w:val="000000" w:themeColor="text1"/>
          <w:sz w:val="32"/>
          <w:szCs w:val="32"/>
          <w14:textFill>
            <w14:solidFill>
              <w14:schemeClr w14:val="tx1"/>
            </w14:solidFill>
          </w14:textFill>
        </w:rPr>
        <w:t>（四）满意度指标完成情况分析</w:t>
      </w:r>
    </w:p>
    <w:p>
      <w:pPr>
        <w:widowControl w:val="0"/>
        <w:spacing w:line="576" w:lineRule="exact"/>
        <w:ind w:firstLine="640" w:firstLineChars="200"/>
        <w:jc w:val="both"/>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服务对象满意度指标。2022年我市参保人员医保服务满意度9</w:t>
      </w:r>
      <w:r>
        <w:rPr>
          <w:rFonts w:hint="default" w:ascii="仿宋_GB2312" w:eastAsia="仿宋_GB2312" w:cs="仿宋_GB2312"/>
          <w:color w:val="000000" w:themeColor="text1"/>
          <w:sz w:val="32"/>
          <w:szCs w:val="32"/>
          <w:lang w:val="en-US"/>
          <w14:textFill>
            <w14:solidFill>
              <w14:schemeClr w14:val="tx1"/>
            </w14:solidFill>
          </w14:textFill>
        </w:rPr>
        <w:t>5</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以上</w:t>
      </w:r>
      <w:r>
        <w:rPr>
          <w:rFonts w:hint="eastAsia" w:ascii="仿宋_GB2312" w:eastAsia="仿宋_GB2312" w:cs="仿宋_GB2312"/>
          <w:color w:val="000000" w:themeColor="text1"/>
          <w:sz w:val="32"/>
          <w:szCs w:val="32"/>
          <w14:textFill>
            <w14:solidFill>
              <w14:schemeClr w14:val="tx1"/>
            </w14:solidFill>
          </w14:textFill>
        </w:rPr>
        <w:t>。实现绩效目标。</w:t>
      </w:r>
    </w:p>
    <w:p>
      <w:pPr>
        <w:widowControl w:val="0"/>
        <w:spacing w:line="576" w:lineRule="exact"/>
        <w:ind w:firstLine="640" w:firstLineChars="200"/>
        <w:jc w:val="both"/>
        <w:rPr>
          <w:rFonts w:hint="eastAsia" w:ascii="方正楷体简体" w:eastAsia="方正楷体简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三、下一步计划</w:t>
      </w:r>
    </w:p>
    <w:p>
      <w:pPr>
        <w:widowControl w:val="0"/>
        <w:spacing w:line="576" w:lineRule="exact"/>
        <w:ind w:firstLine="640" w:firstLineChars="200"/>
        <w:jc w:val="both"/>
        <w:rPr>
          <w:rFonts w:hint="eastAsia" w:ascii="仿宋_GB2312" w:eastAsia="仿宋_GB2312" w:cs="仿宋_GB2312"/>
          <w:color w:val="000000" w:themeColor="text1"/>
          <w:sz w:val="32"/>
          <w:szCs w:val="32"/>
          <w:lang w:val="en-US" w:eastAsia="zh-CN"/>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在</w:t>
      </w:r>
      <w:r>
        <w:rPr>
          <w:rFonts w:hint="eastAsia" w:ascii="仿宋_GB2312" w:eastAsia="仿宋_GB2312" w:cs="仿宋_GB2312"/>
          <w:color w:val="000000" w:themeColor="text1"/>
          <w:sz w:val="32"/>
          <w:szCs w:val="32"/>
          <w:lang w:eastAsia="zh-CN"/>
          <w14:textFill>
            <w14:solidFill>
              <w14:schemeClr w14:val="tx1"/>
            </w14:solidFill>
          </w14:textFill>
        </w:rPr>
        <w:t>专项资金</w:t>
      </w:r>
      <w:r>
        <w:rPr>
          <w:rFonts w:hint="eastAsia" w:ascii="仿宋_GB2312" w:eastAsia="仿宋_GB2312" w:cs="仿宋_GB2312"/>
          <w:color w:val="000000" w:themeColor="text1"/>
          <w:sz w:val="32"/>
          <w:szCs w:val="32"/>
          <w14:textFill>
            <w14:solidFill>
              <w14:schemeClr w14:val="tx1"/>
            </w14:solidFill>
          </w14:textFill>
        </w:rPr>
        <w:t>项目投资建设实施上，树立系统思维、前瞻思维，统筹谋划，统筹协调中央补助资金和市本级财政资金预算使用，项目、资金预算进度安排</w:t>
      </w:r>
      <w:r>
        <w:rPr>
          <w:rFonts w:hint="eastAsia" w:ascii="仿宋_GB2312" w:eastAsia="仿宋_GB2312" w:cs="仿宋_GB2312"/>
          <w:color w:val="000000" w:themeColor="text1"/>
          <w:sz w:val="32"/>
          <w:szCs w:val="32"/>
          <w:lang w:eastAsia="zh-CN"/>
          <w14:textFill>
            <w14:solidFill>
              <w14:schemeClr w14:val="tx1"/>
            </w14:solidFill>
          </w14:textFill>
        </w:rPr>
        <w:t>落</w:t>
      </w:r>
      <w:r>
        <w:rPr>
          <w:rFonts w:hint="eastAsia" w:ascii="仿宋_GB2312" w:eastAsia="仿宋_GB2312" w:cs="仿宋_GB2312"/>
          <w:color w:val="000000" w:themeColor="text1"/>
          <w:sz w:val="32"/>
          <w:szCs w:val="32"/>
          <w14:textFill>
            <w14:solidFill>
              <w14:schemeClr w14:val="tx1"/>
            </w14:solidFill>
          </w14:textFill>
        </w:rPr>
        <w:t>细</w:t>
      </w:r>
      <w:r>
        <w:rPr>
          <w:rFonts w:hint="eastAsia" w:ascii="仿宋_GB2312" w:eastAsia="仿宋_GB2312" w:cs="仿宋_GB2312"/>
          <w:color w:val="000000" w:themeColor="text1"/>
          <w:sz w:val="32"/>
          <w:szCs w:val="32"/>
          <w:lang w:eastAsia="zh-CN"/>
          <w14:textFill>
            <w14:solidFill>
              <w14:schemeClr w14:val="tx1"/>
            </w14:solidFill>
          </w14:textFill>
        </w:rPr>
        <w:t>落</w:t>
      </w:r>
      <w:r>
        <w:rPr>
          <w:rFonts w:hint="eastAsia" w:ascii="仿宋_GB2312" w:eastAsia="仿宋_GB2312" w:cs="仿宋_GB2312"/>
          <w:color w:val="000000" w:themeColor="text1"/>
          <w:sz w:val="32"/>
          <w:szCs w:val="32"/>
          <w14:textFill>
            <w14:solidFill>
              <w14:schemeClr w14:val="tx1"/>
            </w14:solidFill>
          </w14:textFill>
        </w:rPr>
        <w:t>实，</w:t>
      </w:r>
      <w:r>
        <w:rPr>
          <w:rFonts w:hint="eastAsia" w:ascii="仿宋_GB2312" w:eastAsia="仿宋_GB2312" w:cs="仿宋_GB2312"/>
          <w:color w:val="000000" w:themeColor="text1"/>
          <w:sz w:val="32"/>
          <w:szCs w:val="32"/>
          <w:lang w:eastAsia="zh-CN"/>
          <w14:textFill>
            <w14:solidFill>
              <w14:schemeClr w14:val="tx1"/>
            </w14:solidFill>
          </w14:textFill>
        </w:rPr>
        <w:t>实施</w:t>
      </w:r>
      <w:r>
        <w:rPr>
          <w:rFonts w:hint="eastAsia" w:ascii="仿宋_GB2312" w:eastAsia="仿宋_GB2312" w:cs="仿宋_GB2312"/>
          <w:color w:val="000000" w:themeColor="text1"/>
          <w:sz w:val="32"/>
          <w:szCs w:val="32"/>
          <w14:textFill>
            <w14:solidFill>
              <w14:schemeClr w14:val="tx1"/>
            </w14:solidFill>
          </w14:textFill>
        </w:rPr>
        <w:t>过程管控、定期调度，</w:t>
      </w:r>
      <w:r>
        <w:rPr>
          <w:rFonts w:hint="eastAsia" w:ascii="仿宋_GB2312" w:eastAsia="仿宋_GB2312" w:cs="仿宋_GB2312"/>
          <w:color w:val="000000" w:themeColor="text1"/>
          <w:sz w:val="32"/>
          <w:szCs w:val="32"/>
          <w:lang w:eastAsia="zh-CN"/>
          <w14:textFill>
            <w14:solidFill>
              <w14:schemeClr w14:val="tx1"/>
            </w14:solidFill>
          </w14:textFill>
        </w:rPr>
        <w:t>提高专项资金</w:t>
      </w:r>
      <w:r>
        <w:rPr>
          <w:rFonts w:hint="eastAsia" w:ascii="仿宋_GB2312" w:eastAsia="仿宋_GB2312" w:cs="仿宋_GB2312"/>
          <w:color w:val="000000" w:themeColor="text1"/>
          <w:sz w:val="32"/>
          <w:szCs w:val="32"/>
          <w14:textFill>
            <w14:solidFill>
              <w14:schemeClr w14:val="tx1"/>
            </w14:solidFill>
          </w14:textFill>
        </w:rPr>
        <w:t>实施进度，确保</w:t>
      </w:r>
      <w:r>
        <w:rPr>
          <w:rFonts w:hint="eastAsia" w:ascii="仿宋_GB2312" w:eastAsia="仿宋_GB2312" w:cs="仿宋_GB2312"/>
          <w:color w:val="000000" w:themeColor="text1"/>
          <w:sz w:val="32"/>
          <w:szCs w:val="32"/>
          <w:lang w:eastAsia="zh-CN"/>
          <w14:textFill>
            <w14:solidFill>
              <w14:schemeClr w14:val="tx1"/>
            </w14:solidFill>
          </w14:textFill>
        </w:rPr>
        <w:t>专项</w:t>
      </w:r>
      <w:r>
        <w:rPr>
          <w:rFonts w:hint="eastAsia" w:ascii="仿宋_GB2312" w:eastAsia="仿宋_GB2312" w:cs="仿宋_GB2312"/>
          <w:color w:val="000000" w:themeColor="text1"/>
          <w:sz w:val="32"/>
          <w:szCs w:val="32"/>
          <w14:textFill>
            <w14:solidFill>
              <w14:schemeClr w14:val="tx1"/>
            </w14:solidFill>
          </w14:textFill>
        </w:rPr>
        <w:t>资金使用发挥实效</w:t>
      </w:r>
      <w:r>
        <w:rPr>
          <w:rFonts w:hint="eastAsia" w:ascii="仿宋_GB2312" w:eastAsia="仿宋_GB2312" w:cs="仿宋_GB2312"/>
          <w:color w:val="000000" w:themeColor="text1"/>
          <w:sz w:val="32"/>
          <w:szCs w:val="32"/>
          <w:lang w:eastAsia="zh-CN"/>
          <w14:textFill>
            <w14:solidFill>
              <w14:schemeClr w14:val="tx1"/>
            </w14:solidFill>
          </w14:textFill>
        </w:rPr>
        <w:t>。</w:t>
      </w:r>
    </w:p>
    <w:p>
      <w:pPr>
        <w:widowControl w:val="0"/>
        <w:spacing w:line="576" w:lineRule="exact"/>
        <w:ind w:firstLine="640" w:firstLineChars="200"/>
        <w:jc w:val="both"/>
        <w:rPr>
          <w:rFonts w:hint="eastAsia"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四、绩效自评结果拟应用和公开情况</w:t>
      </w:r>
    </w:p>
    <w:p>
      <w:pPr>
        <w:widowControl w:val="0"/>
        <w:spacing w:line="576" w:lineRule="exact"/>
        <w:ind w:firstLine="640" w:firstLineChars="200"/>
        <w:jc w:val="both"/>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将此次绩效评价结果作为以后年度资金分配和绩效指标分解细化的依据和参考，更加科学合理、切合实际地设定绩效指标，有效促进资金使用绩效提升。按照要求，及时主动将绩效自评结果在门户网站公开</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接受社会监督。</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p>
    <w:p>
      <w:pPr>
        <w:spacing w:line="64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s="方正小标宋简体"/>
          <w:color w:val="000000" w:themeColor="text1"/>
          <w:sz w:val="44"/>
          <w:szCs w:val="44"/>
          <w14:textFill>
            <w14:solidFill>
              <w14:schemeClr w14:val="tx1"/>
            </w14:solidFill>
          </w14:textFill>
        </w:rPr>
        <w:t>广元市医疗保障局</w:t>
      </w:r>
    </w:p>
    <w:p>
      <w:pPr>
        <w:spacing w:line="64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s="方正小标宋简体"/>
          <w:color w:val="000000" w:themeColor="text1"/>
          <w:spacing w:val="-8"/>
          <w:sz w:val="44"/>
          <w:szCs w:val="44"/>
          <w:lang w:val="en-US" w:eastAsia="zh-CN"/>
          <w14:textFill>
            <w14:solidFill>
              <w14:schemeClr w14:val="tx1"/>
            </w14:solidFill>
          </w14:textFill>
        </w:rPr>
        <w:t>关于</w:t>
      </w:r>
      <w:r>
        <w:rPr>
          <w:rFonts w:hint="eastAsia" w:ascii="方正小标宋简体" w:eastAsia="方正小标宋简体" w:cs="方正小标宋简体"/>
          <w:color w:val="000000" w:themeColor="text1"/>
          <w:spacing w:val="-8"/>
          <w:sz w:val="44"/>
          <w:szCs w:val="44"/>
          <w14:textFill>
            <w14:solidFill>
              <w14:schemeClr w14:val="tx1"/>
            </w14:solidFill>
          </w14:textFill>
        </w:rPr>
        <w:t>城乡居民医疗保险转移支付202</w:t>
      </w:r>
      <w:r>
        <w:rPr>
          <w:rFonts w:hint="eastAsia" w:ascii="方正小标宋简体" w:eastAsia="方正小标宋简体" w:cs="方正小标宋简体"/>
          <w:color w:val="000000" w:themeColor="text1"/>
          <w:spacing w:val="-8"/>
          <w:sz w:val="44"/>
          <w:szCs w:val="44"/>
          <w:lang w:val="en-US" w:eastAsia="zh-CN"/>
          <w14:textFill>
            <w14:solidFill>
              <w14:schemeClr w14:val="tx1"/>
            </w14:solidFill>
          </w14:textFill>
        </w:rPr>
        <w:t>2</w:t>
      </w:r>
      <w:r>
        <w:rPr>
          <w:rFonts w:hint="eastAsia" w:ascii="方正小标宋简体" w:eastAsia="方正小标宋简体" w:cs="方正小标宋简体"/>
          <w:color w:val="000000" w:themeColor="text1"/>
          <w:spacing w:val="-8"/>
          <w:sz w:val="44"/>
          <w:szCs w:val="44"/>
          <w14:textFill>
            <w14:solidFill>
              <w14:schemeClr w14:val="tx1"/>
            </w14:solidFill>
          </w14:textFill>
        </w:rPr>
        <w:t>年度绩效</w:t>
      </w:r>
      <w:r>
        <w:rPr>
          <w:rFonts w:hint="eastAsia" w:ascii="方正小标宋简体" w:eastAsia="方正小标宋简体" w:cs="方正小标宋简体"/>
          <w:color w:val="000000" w:themeColor="text1"/>
          <w:spacing w:val="-8"/>
          <w:sz w:val="44"/>
          <w:szCs w:val="44"/>
          <w:lang w:val="en-US" w:eastAsia="zh-CN"/>
          <w14:textFill>
            <w14:solidFill>
              <w14:schemeClr w14:val="tx1"/>
            </w14:solidFill>
          </w14:textFill>
        </w:rPr>
        <w:t>目标</w:t>
      </w:r>
      <w:r>
        <w:rPr>
          <w:rFonts w:hint="eastAsia" w:ascii="方正小标宋简体" w:eastAsia="方正小标宋简体" w:cs="方正小标宋简体"/>
          <w:color w:val="000000" w:themeColor="text1"/>
          <w:sz w:val="44"/>
          <w:szCs w:val="44"/>
          <w14:textFill>
            <w14:solidFill>
              <w14:schemeClr w14:val="tx1"/>
            </w14:solidFill>
          </w14:textFill>
        </w:rPr>
        <w:t>自评情况的报告</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四川省医疗保障局《关于开展2022年医保转移支付资金绩效评价工作的通知》，我局高度重视，组织专人对2022年全市城乡居民基本医疗保险财政补助资金项目进行全面分析和自评工作。现将该项目资金自评情况报告如下。</w:t>
      </w:r>
    </w:p>
    <w:p>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w:t>
      </w:r>
      <w:r>
        <w:rPr>
          <w:rFonts w:hint="eastAsia" w:ascii="黑体" w:hAnsi="黑体" w:eastAsia="黑体" w:cs="黑体"/>
          <w:color w:val="000000" w:themeColor="text1"/>
          <w:sz w:val="32"/>
          <w:szCs w:val="32"/>
          <w14:textFill>
            <w14:solidFill>
              <w14:schemeClr w14:val="tx1"/>
            </w14:solidFill>
          </w14:textFill>
        </w:rPr>
        <w:t>绩效目标分解下达情况</w:t>
      </w:r>
    </w:p>
    <w:p>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（一）中央下达转移支付预算和绩效目标情况</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14:textFill>
            <w14:solidFill>
              <w14:schemeClr w14:val="tx1"/>
            </w14:solidFill>
          </w14:textFill>
        </w:rPr>
        <w:t>年中央城乡居民医疗保险预算安排</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107032.34</w:t>
      </w:r>
      <w:r>
        <w:rPr>
          <w:rFonts w:hint="eastAsia" w:ascii="仿宋_GB2312" w:hAnsi="仿宋_GB2312" w:eastAsia="仿宋_GB2312" w:cs="仿宋_GB2312"/>
          <w:color w:val="000000" w:themeColor="text1"/>
          <w:sz w:val="32"/>
          <w:szCs w:val="32"/>
          <w14:textFill>
            <w14:solidFill>
              <w14:schemeClr w14:val="tx1"/>
            </w14:solidFill>
          </w14:textFill>
        </w:rPr>
        <w:t>万元。绩效目标参保人数大于等于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223</w:t>
      </w:r>
      <w:r>
        <w:rPr>
          <w:rFonts w:hint="eastAsia" w:ascii="仿宋_GB2312" w:hAnsi="仿宋_GB2312" w:eastAsia="仿宋_GB2312" w:cs="仿宋_GB2312"/>
          <w:color w:val="000000" w:themeColor="text1"/>
          <w:sz w:val="32"/>
          <w:szCs w:val="32"/>
          <w14:textFill>
            <w14:solidFill>
              <w14:schemeClr w14:val="tx1"/>
            </w14:solidFill>
          </w14:textFill>
        </w:rPr>
        <w:t>万人，中央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财政补助标准为488</w:t>
      </w:r>
      <w:r>
        <w:rPr>
          <w:rFonts w:hint="eastAsia" w:ascii="仿宋_GB2312" w:hAnsi="仿宋_GB2312" w:eastAsia="仿宋_GB2312" w:cs="仿宋_GB2312"/>
          <w:color w:val="000000" w:themeColor="text1"/>
          <w:sz w:val="32"/>
          <w:szCs w:val="32"/>
          <w14:textFill>
            <w14:solidFill>
              <w14:schemeClr w14:val="tx1"/>
            </w14:solidFill>
          </w14:textFill>
        </w:rPr>
        <w:t>元/人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地方</w:t>
      </w:r>
      <w:r>
        <w:rPr>
          <w:rFonts w:hint="eastAsia" w:ascii="仿宋_GB2312" w:hAnsi="仿宋_GB2312" w:eastAsia="仿宋_GB2312" w:cs="仿宋_GB2312"/>
          <w:color w:val="000000" w:themeColor="text1"/>
          <w:sz w:val="32"/>
          <w:szCs w:val="32"/>
          <w14:textFill>
            <w14:solidFill>
              <w14:schemeClr w14:val="tx1"/>
            </w14:solidFill>
          </w14:textFill>
        </w:rPr>
        <w:t>资金安排、分解下达预算和绩效目标情况</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 xml:space="preserve"> 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14:textFill>
            <w14:solidFill>
              <w14:schemeClr w14:val="tx1"/>
            </w14:solidFill>
          </w14:textFill>
        </w:rPr>
        <w:t>年市内下达城乡居民医疗保险预算安排</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26997.98</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其中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省级15042.34万元，</w:t>
      </w:r>
      <w:r>
        <w:rPr>
          <w:rFonts w:hint="eastAsia" w:ascii="仿宋_GB2312" w:hAnsi="仿宋_GB2312" w:eastAsia="仿宋_GB2312" w:cs="仿宋_GB2312"/>
          <w:color w:val="000000" w:themeColor="text1"/>
          <w:sz w:val="32"/>
          <w:szCs w:val="32"/>
          <w14:textFill>
            <w14:solidFill>
              <w14:schemeClr w14:val="tx1"/>
            </w14:solidFill>
          </w14:textFill>
        </w:rPr>
        <w:t>市级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1315.59</w:t>
      </w:r>
      <w:r>
        <w:rPr>
          <w:rFonts w:hint="eastAsia" w:ascii="仿宋_GB2312" w:hAnsi="仿宋_GB2312" w:eastAsia="仿宋_GB2312" w:cs="仿宋_GB2312"/>
          <w:color w:val="000000" w:themeColor="text1"/>
          <w:sz w:val="32"/>
          <w:szCs w:val="32"/>
          <w14:textFill>
            <w14:solidFill>
              <w14:schemeClr w14:val="tx1"/>
            </w14:solidFill>
          </w14:textFill>
        </w:rPr>
        <w:t>万元，县级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10640.05</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地方财政补助标准为122</w:t>
      </w:r>
      <w:r>
        <w:rPr>
          <w:rFonts w:hint="eastAsia" w:ascii="仿宋_GB2312" w:hAnsi="仿宋_GB2312" w:eastAsia="仿宋_GB2312" w:cs="仿宋_GB2312"/>
          <w:color w:val="000000" w:themeColor="text1"/>
          <w:sz w:val="32"/>
          <w:szCs w:val="32"/>
          <w14:textFill>
            <w14:solidFill>
              <w14:schemeClr w14:val="tx1"/>
            </w14:solidFill>
          </w14:textFill>
        </w:rPr>
        <w:t>元/人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二、绩效目标完成情况分析</w:t>
      </w:r>
    </w:p>
    <w:p>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（一）资金投入情况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default" w:ascii="仿宋_GB2312" w:hAnsi="仿宋_GB2312" w:eastAsia="仿宋_GB2312" w:cs="仿宋_GB2312"/>
          <w:color w:val="000000" w:themeColor="text1"/>
          <w:sz w:val="32"/>
          <w:szCs w:val="32"/>
          <w:lang w:val="en-US"/>
          <w14:textFill>
            <w14:solidFill>
              <w14:schemeClr w14:val="tx1"/>
            </w14:solidFill>
          </w14:textFill>
        </w:rPr>
        <w:t xml:space="preserve">1. </w:t>
      </w:r>
      <w:r>
        <w:rPr>
          <w:rFonts w:hint="eastAsia" w:ascii="仿宋_GB2312" w:hAnsi="仿宋_GB2312" w:eastAsia="仿宋_GB2312" w:cs="仿宋_GB2312"/>
          <w:color w:val="000000" w:themeColor="text1"/>
          <w:sz w:val="32"/>
          <w:szCs w:val="32"/>
          <w14:textFill>
            <w14:solidFill>
              <w14:schemeClr w14:val="tx1"/>
            </w14:solidFill>
          </w14:textFill>
        </w:rPr>
        <w:t>项目资金到位情况</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一是根据（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川财社</w:t>
      </w:r>
      <w:r>
        <w:rPr>
          <w:rFonts w:hint="eastAsia" w:ascii="仿宋_GB2312" w:eastAsia="仿宋_GB2312"/>
          <w:color w:val="000000" w:themeColor="text1"/>
          <w:sz w:val="32"/>
          <w:szCs w:val="32"/>
          <w14:textFill>
            <w14:solidFill>
              <w14:schemeClr w14:val="tx1"/>
            </w14:solidFill>
          </w14:textFill>
        </w:rPr>
        <w:t>〔202</w:t>
      </w:r>
      <w:r>
        <w:rPr>
          <w:rFonts w:hint="default" w:ascii="仿宋_GB2312" w:eastAsia="仿宋_GB2312"/>
          <w:color w:val="000000" w:themeColor="text1"/>
          <w:sz w:val="32"/>
          <w:szCs w:val="32"/>
          <w:lang w:val="en-US"/>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150</w:t>
      </w:r>
      <w:r>
        <w:rPr>
          <w:rFonts w:hint="eastAsia" w:ascii="仿宋_GB2312" w:hAnsi="仿宋_GB2312" w:eastAsia="仿宋_GB2312" w:cs="仿宋_GB2312"/>
          <w:color w:val="000000" w:themeColor="text1"/>
          <w:sz w:val="32"/>
          <w:szCs w:val="32"/>
          <w14:textFill>
            <w14:solidFill>
              <w14:schemeClr w14:val="tx1"/>
            </w14:solidFill>
          </w14:textFill>
        </w:rPr>
        <w:t>号）文件提前下达中央和省级财政一般性转移资金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107205.84</w:t>
      </w:r>
      <w:r>
        <w:rPr>
          <w:rFonts w:hint="eastAsia" w:ascii="仿宋_GB2312" w:hAnsi="仿宋_GB2312" w:eastAsia="仿宋_GB2312" w:cs="仿宋_GB2312"/>
          <w:color w:val="000000" w:themeColor="text1"/>
          <w:sz w:val="32"/>
          <w:szCs w:val="32"/>
          <w14:textFill>
            <w14:solidFill>
              <w14:schemeClr w14:val="tx1"/>
            </w14:solidFill>
          </w14:textFill>
        </w:rPr>
        <w:t>万元，其中中央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93597.52</w:t>
      </w:r>
      <w:r>
        <w:rPr>
          <w:rFonts w:hint="eastAsia" w:ascii="仿宋_GB2312" w:hAnsi="仿宋_GB2312" w:eastAsia="仿宋_GB2312" w:cs="仿宋_GB2312"/>
          <w:color w:val="000000" w:themeColor="text1"/>
          <w:sz w:val="32"/>
          <w:szCs w:val="32"/>
          <w14:textFill>
            <w14:solidFill>
              <w14:schemeClr w14:val="tx1"/>
            </w14:solidFill>
          </w14:textFill>
        </w:rPr>
        <w:t>万元、省级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13608.32</w:t>
      </w:r>
      <w:r>
        <w:rPr>
          <w:rFonts w:hint="eastAsia" w:ascii="仿宋_GB2312" w:hAnsi="仿宋_GB2312" w:eastAsia="仿宋_GB2312" w:cs="仿宋_GB2312"/>
          <w:color w:val="000000" w:themeColor="text1"/>
          <w:sz w:val="32"/>
          <w:szCs w:val="32"/>
          <w14:textFill>
            <w14:solidFill>
              <w14:schemeClr w14:val="tx1"/>
            </w14:solidFill>
          </w14:textFill>
        </w:rPr>
        <w:t>万元。二是根据（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川</w:t>
      </w:r>
      <w:r>
        <w:rPr>
          <w:rFonts w:hint="eastAsia" w:ascii="仿宋_GB2312" w:hAnsi="仿宋_GB2312" w:eastAsia="仿宋_GB2312" w:cs="仿宋_GB2312"/>
          <w:color w:val="000000" w:themeColor="text1"/>
          <w:sz w:val="32"/>
          <w:szCs w:val="32"/>
          <w14:textFill>
            <w14:solidFill>
              <w14:schemeClr w14:val="tx1"/>
            </w14:solidFill>
          </w14:textFill>
        </w:rPr>
        <w:t>财社</w:t>
      </w:r>
      <w:r>
        <w:rPr>
          <w:rFonts w:hint="eastAsia" w:ascii="仿宋_GB2312" w:eastAsia="仿宋_GB2312"/>
          <w:color w:val="000000" w:themeColor="text1"/>
          <w:sz w:val="32"/>
          <w:szCs w:val="32"/>
          <w14:textFill>
            <w14:solidFill>
              <w14:schemeClr w14:val="tx1"/>
            </w14:solidFill>
          </w14:textFill>
        </w:rPr>
        <w:t>〔202</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92</w:t>
      </w:r>
      <w:r>
        <w:rPr>
          <w:rFonts w:hint="eastAsia" w:ascii="仿宋_GB2312" w:hAnsi="仿宋_GB2312" w:eastAsia="仿宋_GB2312" w:cs="仿宋_GB2312"/>
          <w:color w:val="000000" w:themeColor="text1"/>
          <w:sz w:val="32"/>
          <w:szCs w:val="32"/>
          <w14:textFill>
            <w14:solidFill>
              <w14:schemeClr w14:val="tx1"/>
            </w14:solidFill>
          </w14:textFill>
        </w:rPr>
        <w:t>号）文件下达中央补助资金（第二批）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13324.86</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三是根据（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川</w:t>
      </w:r>
      <w:r>
        <w:rPr>
          <w:rFonts w:hint="eastAsia" w:ascii="仿宋_GB2312" w:hAnsi="仿宋_GB2312" w:eastAsia="仿宋_GB2312" w:cs="仿宋_GB2312"/>
          <w:color w:val="000000" w:themeColor="text1"/>
          <w:sz w:val="32"/>
          <w:szCs w:val="32"/>
          <w14:textFill>
            <w14:solidFill>
              <w14:schemeClr w14:val="tx1"/>
            </w14:solidFill>
          </w14:textFill>
        </w:rPr>
        <w:t>财社</w:t>
      </w:r>
      <w:r>
        <w:rPr>
          <w:rFonts w:hint="eastAsia" w:ascii="仿宋_GB2312" w:eastAsia="仿宋_GB2312"/>
          <w:color w:val="000000" w:themeColor="text1"/>
          <w:sz w:val="32"/>
          <w:szCs w:val="32"/>
          <w14:textFill>
            <w14:solidFill>
              <w14:schemeClr w14:val="tx1"/>
            </w14:solidFill>
          </w14:textFill>
        </w:rPr>
        <w:t>〔202</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180</w:t>
      </w:r>
      <w:r>
        <w:rPr>
          <w:rFonts w:hint="eastAsia" w:ascii="仿宋_GB2312" w:hAnsi="仿宋_GB2312" w:eastAsia="仿宋_GB2312" w:cs="仿宋_GB2312"/>
          <w:color w:val="000000" w:themeColor="text1"/>
          <w:sz w:val="32"/>
          <w:szCs w:val="32"/>
          <w14:textFill>
            <w14:solidFill>
              <w14:schemeClr w14:val="tx1"/>
            </w14:solidFill>
          </w14:textFill>
        </w:rPr>
        <w:t>号）文件下达中央补助资金（第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109.96</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四是</w:t>
      </w:r>
      <w:r>
        <w:rPr>
          <w:rFonts w:hint="eastAsia" w:ascii="仿宋_GB2312" w:hAnsi="仿宋_GB2312" w:eastAsia="仿宋_GB2312" w:cs="仿宋_GB2312"/>
          <w:color w:val="000000" w:themeColor="text1"/>
          <w:sz w:val="32"/>
          <w:szCs w:val="32"/>
          <w14:textFill>
            <w14:solidFill>
              <w14:schemeClr w14:val="tx1"/>
            </w14:solidFill>
          </w14:textFill>
        </w:rPr>
        <w:t>根据（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川</w:t>
      </w:r>
      <w:r>
        <w:rPr>
          <w:rFonts w:hint="eastAsia" w:ascii="仿宋_GB2312" w:hAnsi="仿宋_GB2312" w:eastAsia="仿宋_GB2312" w:cs="仿宋_GB2312"/>
          <w:color w:val="000000" w:themeColor="text1"/>
          <w:sz w:val="32"/>
          <w:szCs w:val="32"/>
          <w14:textFill>
            <w14:solidFill>
              <w14:schemeClr w14:val="tx1"/>
            </w14:solidFill>
          </w14:textFill>
        </w:rPr>
        <w:t>财社</w:t>
      </w:r>
      <w:r>
        <w:rPr>
          <w:rFonts w:hint="eastAsia" w:ascii="仿宋_GB2312" w:eastAsia="仿宋_GB2312"/>
          <w:color w:val="000000" w:themeColor="text1"/>
          <w:sz w:val="32"/>
          <w:szCs w:val="32"/>
          <w14:textFill>
            <w14:solidFill>
              <w14:schemeClr w14:val="tx1"/>
            </w14:solidFill>
          </w14:textFill>
        </w:rPr>
        <w:t>〔202</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165</w:t>
      </w:r>
      <w:r>
        <w:rPr>
          <w:rFonts w:hint="eastAsia" w:ascii="仿宋_GB2312" w:hAnsi="仿宋_GB2312" w:eastAsia="仿宋_GB2312" w:cs="仿宋_GB2312"/>
          <w:color w:val="000000" w:themeColor="text1"/>
          <w:sz w:val="32"/>
          <w:szCs w:val="32"/>
          <w14:textFill>
            <w14:solidFill>
              <w14:schemeClr w14:val="tx1"/>
            </w14:solidFill>
          </w14:textFill>
        </w:rPr>
        <w:t>号）文件下达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省级</w:t>
      </w:r>
      <w:r>
        <w:rPr>
          <w:rFonts w:hint="eastAsia" w:ascii="仿宋_GB2312" w:hAnsi="仿宋_GB2312" w:eastAsia="仿宋_GB2312" w:cs="仿宋_GB2312"/>
          <w:color w:val="000000" w:themeColor="text1"/>
          <w:sz w:val="32"/>
          <w:szCs w:val="32"/>
          <w14:textFill>
            <w14:solidFill>
              <w14:schemeClr w14:val="tx1"/>
            </w14:solidFill>
          </w14:textFill>
        </w:rPr>
        <w:t>（第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批）补助资金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1434.02</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五是根据</w:t>
      </w:r>
      <w:r>
        <w:rPr>
          <w:rFonts w:hint="eastAsia" w:ascii="仿宋_GB2312" w:hAnsi="仿宋_GB2312" w:eastAsia="仿宋_GB2312" w:cs="仿宋_GB2312"/>
          <w:color w:val="000000" w:themeColor="text1"/>
          <w:sz w:val="32"/>
          <w:szCs w:val="32"/>
          <w14:textFill>
            <w14:solidFill>
              <w14:schemeClr w14:val="tx1"/>
            </w14:solidFill>
          </w14:textFill>
        </w:rPr>
        <w:t>（广财社</w:t>
      </w:r>
      <w:r>
        <w:rPr>
          <w:rFonts w:hint="eastAsia" w:ascii="仿宋_GB2312" w:eastAsia="仿宋_GB2312"/>
          <w:color w:val="000000" w:themeColor="text1"/>
          <w:sz w:val="32"/>
          <w:szCs w:val="32"/>
          <w14:textFill>
            <w14:solidFill>
              <w14:schemeClr w14:val="tx1"/>
            </w14:solidFill>
          </w14:textFill>
        </w:rPr>
        <w:t>〔202</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45、109</w:t>
      </w:r>
      <w:r>
        <w:rPr>
          <w:rFonts w:hint="eastAsia" w:ascii="仿宋_GB2312" w:hAnsi="仿宋_GB2312" w:eastAsia="仿宋_GB2312" w:cs="仿宋_GB2312"/>
          <w:color w:val="000000" w:themeColor="text1"/>
          <w:sz w:val="32"/>
          <w:szCs w:val="32"/>
          <w14:textFill>
            <w14:solidFill>
              <w14:schemeClr w14:val="tx1"/>
            </w14:solidFill>
          </w14:textFill>
        </w:rPr>
        <w:t>号）文件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下达</w:t>
      </w:r>
      <w:r>
        <w:rPr>
          <w:rFonts w:hint="eastAsia" w:ascii="仿宋_GB2312" w:hAnsi="仿宋_GB2312" w:eastAsia="仿宋_GB2312" w:cs="仿宋_GB2312"/>
          <w:color w:val="000000" w:themeColor="text1"/>
          <w:sz w:val="32"/>
          <w:szCs w:val="32"/>
          <w14:textFill>
            <w14:solidFill>
              <w14:schemeClr w14:val="tx1"/>
            </w14:solidFill>
          </w14:textFill>
        </w:rPr>
        <w:t>市级补助资金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1315.59</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14:textFill>
            <w14:solidFill>
              <w14:schemeClr w14:val="tx1"/>
            </w14:solidFill>
          </w14:textFill>
        </w:rPr>
        <w:t>是各县级财政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下达县级</w:t>
      </w:r>
      <w:r>
        <w:rPr>
          <w:rFonts w:hint="eastAsia" w:ascii="仿宋_GB2312" w:hAnsi="仿宋_GB2312" w:eastAsia="仿宋_GB2312" w:cs="仿宋_GB2312"/>
          <w:color w:val="000000" w:themeColor="text1"/>
          <w:sz w:val="32"/>
          <w:szCs w:val="32"/>
          <w14:textFill>
            <w14:solidFill>
              <w14:schemeClr w14:val="tx1"/>
            </w14:solidFill>
          </w14:textFill>
        </w:rPr>
        <w:t>补助资金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10640.05</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全年预算下达资金134030.32万元，</w:t>
      </w:r>
      <w:r>
        <w:rPr>
          <w:rFonts w:hint="eastAsia" w:ascii="仿宋_GB2312" w:hAnsi="仿宋_GB2312" w:eastAsia="仿宋_GB2312" w:cs="仿宋_GB2312"/>
          <w:color w:val="000000" w:themeColor="text1"/>
          <w:sz w:val="32"/>
          <w:szCs w:val="32"/>
          <w14:textFill>
            <w14:solidFill>
              <w14:schemeClr w14:val="tx1"/>
            </w14:solidFill>
          </w14:textFill>
        </w:rPr>
        <w:t>各级财政补助资金均在12月底前足额到位，预算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资金</w:t>
      </w:r>
      <w:r>
        <w:rPr>
          <w:rFonts w:hint="eastAsia" w:ascii="仿宋_GB2312" w:hAnsi="仿宋_GB2312" w:eastAsia="仿宋_GB2312" w:cs="仿宋_GB2312"/>
          <w:color w:val="000000" w:themeColor="text1"/>
          <w:sz w:val="32"/>
          <w:szCs w:val="32"/>
          <w14:textFill>
            <w14:solidFill>
              <w14:schemeClr w14:val="tx1"/>
            </w14:solidFill>
          </w14:textFill>
        </w:rPr>
        <w:t>到位率100%</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仿宋_GB2312" w:hAnsi="仿宋_GB2312" w:eastAsia="仿宋_GB2312" w:cs="仿宋_GB2312"/>
          <w:color w:val="000000" w:themeColor="text1"/>
          <w:sz w:val="32"/>
          <w:szCs w:val="32"/>
          <w:lang w:val="en-US"/>
          <w14:textFill>
            <w14:solidFill>
              <w14:schemeClr w14:val="tx1"/>
            </w14:solidFill>
          </w14:textFill>
        </w:rPr>
        <w:t xml:space="preserve">2. </w:t>
      </w:r>
      <w:r>
        <w:rPr>
          <w:rFonts w:hint="eastAsia" w:ascii="仿宋_GB2312" w:hAnsi="仿宋_GB2312" w:eastAsia="仿宋_GB2312" w:cs="仿宋_GB2312"/>
          <w:color w:val="000000" w:themeColor="text1"/>
          <w:sz w:val="32"/>
          <w:szCs w:val="32"/>
          <w14:textFill>
            <w14:solidFill>
              <w14:schemeClr w14:val="tx1"/>
            </w14:solidFill>
          </w14:textFill>
        </w:rPr>
        <w:t>项目资金执行情况</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14:textFill>
            <w14:solidFill>
              <w14:schemeClr w14:val="tx1"/>
            </w14:solidFill>
          </w14:textFill>
        </w:rPr>
        <w:t>年我市享受城乡居民基本医疗保险门诊待遇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295.22</w:t>
      </w:r>
      <w:r>
        <w:rPr>
          <w:rFonts w:hint="eastAsia" w:ascii="仿宋_GB2312" w:hAnsi="仿宋_GB2312" w:eastAsia="仿宋_GB2312" w:cs="仿宋_GB2312"/>
          <w:color w:val="000000" w:themeColor="text1"/>
          <w:sz w:val="32"/>
          <w:szCs w:val="32"/>
          <w14:textFill>
            <w14:solidFill>
              <w14:schemeClr w14:val="tx1"/>
            </w14:solidFill>
          </w14:textFill>
        </w:rPr>
        <w:t>万人次，基金支出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26772.3</w:t>
      </w:r>
      <w:r>
        <w:rPr>
          <w:rFonts w:hint="eastAsia" w:ascii="仿宋_GB2312" w:hAnsi="仿宋_GB2312" w:eastAsia="仿宋_GB2312" w:cs="仿宋_GB2312"/>
          <w:color w:val="000000" w:themeColor="text1"/>
          <w:sz w:val="32"/>
          <w:szCs w:val="32"/>
          <w14:textFill>
            <w14:solidFill>
              <w14:schemeClr w14:val="tx1"/>
            </w14:solidFill>
          </w14:textFill>
        </w:rPr>
        <w:t xml:space="preserve">万元，享受住院待遇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52.1</w:t>
      </w:r>
      <w:r>
        <w:rPr>
          <w:rFonts w:hint="eastAsia" w:ascii="仿宋_GB2312" w:hAnsi="仿宋_GB2312" w:eastAsia="仿宋_GB2312" w:cs="仿宋_GB2312"/>
          <w:color w:val="000000" w:themeColor="text1"/>
          <w:sz w:val="32"/>
          <w:szCs w:val="32"/>
          <w14:textFill>
            <w14:solidFill>
              <w14:schemeClr w14:val="tx1"/>
            </w14:solidFill>
          </w14:textFill>
        </w:rPr>
        <w:t xml:space="preserve">万人次，基金支出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160006.01</w:t>
      </w:r>
      <w:r>
        <w:rPr>
          <w:rFonts w:hint="eastAsia" w:ascii="仿宋_GB2312" w:hAnsi="仿宋_GB2312" w:eastAsia="仿宋_GB2312" w:cs="仿宋_GB2312"/>
          <w:color w:val="000000" w:themeColor="text1"/>
          <w:sz w:val="32"/>
          <w:szCs w:val="32"/>
          <w14:textFill>
            <w14:solidFill>
              <w14:schemeClr w14:val="tx1"/>
            </w14:solidFill>
          </w14:textFill>
        </w:rPr>
        <w:t>万元。购买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城乡居民</w:t>
      </w:r>
      <w:r>
        <w:rPr>
          <w:rFonts w:hint="eastAsia" w:ascii="仿宋_GB2312" w:hAnsi="仿宋_GB2312" w:eastAsia="仿宋_GB2312" w:cs="仿宋_GB2312"/>
          <w:color w:val="000000" w:themeColor="text1"/>
          <w:sz w:val="32"/>
          <w:szCs w:val="32"/>
          <w14:textFill>
            <w14:solidFill>
              <w14:schemeClr w14:val="tx1"/>
            </w14:solidFill>
          </w14:textFill>
        </w:rPr>
        <w:t>大病保险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支出18212.45</w:t>
      </w:r>
      <w:r>
        <w:rPr>
          <w:rFonts w:hint="eastAsia" w:ascii="仿宋_GB2312" w:hAnsi="仿宋_GB2312" w:eastAsia="仿宋_GB2312" w:cs="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仿宋_GB2312" w:hAnsi="仿宋_GB2312" w:eastAsia="仿宋_GB2312" w:cs="仿宋_GB2312"/>
          <w:color w:val="000000" w:themeColor="text1"/>
          <w:sz w:val="32"/>
          <w:szCs w:val="32"/>
          <w:lang w:val="en-US"/>
          <w14:textFill>
            <w14:solidFill>
              <w14:schemeClr w14:val="tx1"/>
            </w14:solidFill>
          </w14:textFill>
        </w:rPr>
        <w:t xml:space="preserve">3. </w:t>
      </w:r>
      <w:r>
        <w:rPr>
          <w:rFonts w:hint="eastAsia" w:ascii="仿宋_GB2312" w:hAnsi="仿宋_GB2312" w:eastAsia="仿宋_GB2312" w:cs="仿宋_GB2312"/>
          <w:color w:val="000000" w:themeColor="text1"/>
          <w:sz w:val="32"/>
          <w:szCs w:val="32"/>
          <w14:textFill>
            <w14:solidFill>
              <w14:schemeClr w14:val="tx1"/>
            </w14:solidFill>
          </w14:textFill>
        </w:rPr>
        <w:t>项目资金管理情况分析</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城乡医疗居民财政补助资金纳入财政专户管理，专款专用，市财政局根据年度预算，按进度拨付医疗保障局。我局财务制度健全，财务管理规范，会计核算真实完整，无违反财务管理、财经纪律情况发生。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（二）总体绩效目标完成情况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14:textFill>
            <w14:solidFill>
              <w14:schemeClr w14:val="tx1"/>
            </w14:solidFill>
          </w14:textFill>
        </w:rPr>
        <w:t>年末全市城乡居民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基本医疗保险</w:t>
      </w:r>
      <w:r>
        <w:rPr>
          <w:rFonts w:hint="eastAsia" w:ascii="仿宋_GB2312" w:hAnsi="仿宋_GB2312" w:eastAsia="仿宋_GB2312" w:cs="仿宋_GB2312"/>
          <w:color w:val="000000" w:themeColor="text1"/>
          <w:sz w:val="32"/>
          <w:szCs w:val="32"/>
          <w14:textFill>
            <w14:solidFill>
              <w14:schemeClr w14:val="tx1"/>
            </w14:solidFill>
          </w14:textFill>
        </w:rPr>
        <w:t>参保人数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223.47万</w:t>
      </w:r>
      <w:r>
        <w:rPr>
          <w:rFonts w:hint="eastAsia" w:ascii="仿宋_GB2312" w:hAnsi="仿宋_GB2312" w:eastAsia="仿宋_GB2312" w:cs="仿宋_GB2312"/>
          <w:color w:val="000000" w:themeColor="text1"/>
          <w:sz w:val="32"/>
          <w:szCs w:val="32"/>
          <w14:textFill>
            <w14:solidFill>
              <w14:schemeClr w14:val="tx1"/>
            </w14:solidFill>
          </w14:textFill>
        </w:rPr>
        <w:t>人，完成参保人数任务，稳步提高待遇保障水平，财政补助资金按时足额到位，实现了基金收支平衡，切实减轻城乡居民参保人员医疗负担，提高参保群众获得感。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三</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绩效指标</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完成情况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数量指标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参保人数。截至 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 xml:space="preserve"> 年末，在经办机构办理参保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登记</w:t>
      </w:r>
      <w:r>
        <w:rPr>
          <w:rFonts w:hint="eastAsia" w:ascii="仿宋_GB2312" w:hAnsi="仿宋_GB2312" w:eastAsia="仿宋_GB2312" w:cs="仿宋_GB2312"/>
          <w:color w:val="000000" w:themeColor="text1"/>
          <w:sz w:val="32"/>
          <w:szCs w:val="32"/>
          <w14:textFill>
            <w14:solidFill>
              <w14:schemeClr w14:val="tx1"/>
            </w14:solidFill>
          </w14:textFill>
        </w:rPr>
        <w:t>并已缴纳当年保费的城乡居民人数为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223.47</w:t>
      </w:r>
      <w:r>
        <w:rPr>
          <w:rFonts w:hint="eastAsia" w:ascii="仿宋_GB2312" w:hAnsi="仿宋_GB2312" w:eastAsia="仿宋_GB2312" w:cs="仿宋_GB2312"/>
          <w:color w:val="000000" w:themeColor="text1"/>
          <w:sz w:val="32"/>
          <w:szCs w:val="32"/>
          <w14:textFill>
            <w14:solidFill>
              <w14:schemeClr w14:val="tx1"/>
            </w14:solidFill>
          </w14:textFill>
        </w:rPr>
        <w:t>万人。实现绩效目标。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各级财政补助标准。202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年城乡居民医保各级财政补助标准达到国家规定的每人每年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610</w:t>
      </w:r>
      <w:r>
        <w:rPr>
          <w:rFonts w:hint="eastAsia" w:ascii="仿宋_GB2312" w:hAnsi="仿宋_GB2312" w:eastAsia="仿宋_GB2312" w:cs="仿宋_GB2312"/>
          <w:color w:val="000000" w:themeColor="text1"/>
          <w:sz w:val="32"/>
          <w:szCs w:val="32"/>
          <w14:textFill>
            <w14:solidFill>
              <w14:schemeClr w14:val="tx1"/>
            </w14:solidFill>
          </w14:textFill>
        </w:rPr>
        <w:t xml:space="preserve"> 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标准</w:t>
      </w:r>
      <w:r>
        <w:rPr>
          <w:rFonts w:hint="eastAsia" w:ascii="仿宋_GB2312" w:hAnsi="仿宋_GB2312" w:eastAsia="仿宋_GB2312" w:cs="仿宋_GB2312"/>
          <w:color w:val="000000" w:themeColor="text1"/>
          <w:sz w:val="32"/>
          <w:szCs w:val="32"/>
          <w14:textFill>
            <w14:solidFill>
              <w14:schemeClr w14:val="tx1"/>
            </w14:solidFill>
          </w14:textFill>
        </w:rPr>
        <w:t>。实现绩效目标。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参保居民个人缴费标准。202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 xml:space="preserve"> 年城乡居民医保个人缴费水平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达到</w:t>
      </w:r>
      <w:r>
        <w:rPr>
          <w:rFonts w:hint="eastAsia" w:ascii="仿宋_GB2312" w:hAnsi="仿宋_GB2312" w:eastAsia="仿宋_GB2312" w:cs="仿宋_GB2312"/>
          <w:color w:val="000000" w:themeColor="text1"/>
          <w:sz w:val="32"/>
          <w:szCs w:val="32"/>
          <w14:textFill>
            <w14:solidFill>
              <w14:schemeClr w14:val="tx1"/>
            </w14:solidFill>
          </w14:textFill>
        </w:rPr>
        <w:t xml:space="preserve">年人均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320</w:t>
      </w:r>
      <w:r>
        <w:rPr>
          <w:rFonts w:hint="eastAsia" w:ascii="仿宋_GB2312" w:hAnsi="仿宋_GB2312" w:eastAsia="仿宋_GB2312" w:cs="仿宋_GB2312"/>
          <w:color w:val="000000" w:themeColor="text1"/>
          <w:sz w:val="32"/>
          <w:szCs w:val="32"/>
          <w14:textFill>
            <w14:solidFill>
              <w14:schemeClr w14:val="tx1"/>
            </w14:solidFill>
          </w14:textFill>
        </w:rPr>
        <w:t>元标准。实现绩效目标。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质量指标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以户籍人口为基础计算的基本医保综合参保率。全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 xml:space="preserve">基本医保综合参保率稳定在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87.29</w:t>
      </w:r>
      <w:r>
        <w:rPr>
          <w:rFonts w:hint="eastAsia" w:ascii="仿宋_GB2312" w:hAnsi="仿宋_GB2312" w:eastAsia="仿宋_GB2312" w:cs="仿宋_GB2312"/>
          <w:color w:val="000000" w:themeColor="text1"/>
          <w:sz w:val="32"/>
          <w:szCs w:val="32"/>
          <w14:textFill>
            <w14:solidFill>
              <w14:schemeClr w14:val="tx1"/>
            </w14:solidFill>
          </w14:textFill>
        </w:rPr>
        <w:t>%以上。实现绩效目标。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以常住人口为基数计算的基本医保综合参保率。全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基本医保综合参保率稳定在 95%以上。实现绩效目标。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虚报参保人数。截至 2021年末，全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统计参保人数与实际参保人数一致，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无虚报</w:t>
      </w:r>
      <w:r>
        <w:rPr>
          <w:rFonts w:hint="eastAsia" w:ascii="仿宋_GB2312" w:hAnsi="仿宋_GB2312" w:eastAsia="仿宋_GB2312" w:cs="仿宋_GB2312"/>
          <w:color w:val="000000" w:themeColor="text1"/>
          <w:sz w:val="32"/>
          <w:szCs w:val="32"/>
          <w14:textFill>
            <w14:solidFill>
              <w14:schemeClr w14:val="tx1"/>
            </w14:solidFill>
          </w14:textFill>
        </w:rPr>
        <w:t>城乡居民参保人数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情况</w:t>
      </w:r>
      <w:r>
        <w:rPr>
          <w:rFonts w:hint="eastAsia" w:ascii="仿宋_GB2312" w:hAnsi="仿宋_GB2312" w:eastAsia="仿宋_GB2312" w:cs="仿宋_GB2312"/>
          <w:color w:val="000000" w:themeColor="text1"/>
          <w:sz w:val="32"/>
          <w:szCs w:val="32"/>
          <w14:textFill>
            <w14:solidFill>
              <w14:schemeClr w14:val="tx1"/>
            </w14:solidFill>
          </w14:textFill>
        </w:rPr>
        <w:t>。实现绩效目标。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参保人政策范围内住院费用报销比例。截至 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年末，我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参保人政策范围内住院费用报销比例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为70%。实现绩效目标。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参保人住院费用实际报销比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例。</w:t>
      </w:r>
      <w:r>
        <w:rPr>
          <w:rFonts w:hint="eastAsia" w:ascii="仿宋_GB2312" w:hAnsi="仿宋_GB2312" w:eastAsia="仿宋_GB2312" w:cs="仿宋_GB2312"/>
          <w:color w:val="000000" w:themeColor="text1"/>
          <w:sz w:val="32"/>
          <w:szCs w:val="32"/>
          <w14:textFill>
            <w14:solidFill>
              <w14:schemeClr w14:val="tx1"/>
            </w14:solidFill>
          </w14:textFill>
        </w:rPr>
        <w:t>我市城乡居民参保人员住院费用实际报销比例为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51.86</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实现绩效目标。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实行 DRG、按病种（组）、按人头付费等支付方式改革。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我市2021年</w:t>
      </w:r>
      <w:r>
        <w:rPr>
          <w:rFonts w:hint="eastAsia" w:ascii="仿宋_GB2312" w:hAnsi="仿宋_GB2312" w:eastAsia="仿宋_GB2312" w:cs="仿宋_GB2312"/>
          <w:color w:val="000000" w:themeColor="text1"/>
          <w:sz w:val="32"/>
          <w:szCs w:val="32"/>
          <w14:textFill>
            <w14:solidFill>
              <w14:schemeClr w14:val="tx1"/>
            </w14:solidFill>
          </w14:textFill>
        </w:rPr>
        <w:t>已实现按 DRG 付费方式实际结算付费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实现绩效目标。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开展门诊统筹。我市2017年已普遍开展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实现绩效目标。</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6"/>
          <w:sz w:val="32"/>
          <w:szCs w:val="32"/>
          <w14:textFill>
            <w14:solidFill>
              <w14:schemeClr w14:val="tx1"/>
            </w14:solidFill>
          </w14:textFill>
        </w:rPr>
        <w:t>基金累计结余可支付月数。截至 202</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6"/>
          <w:sz w:val="32"/>
          <w:szCs w:val="32"/>
          <w14:textFill>
            <w14:solidFill>
              <w14:schemeClr w14:val="tx1"/>
            </w14:solidFill>
          </w14:textFill>
        </w:rPr>
        <w:t xml:space="preserve"> 年末，我</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市</w:t>
      </w:r>
      <w:r>
        <w:rPr>
          <w:rFonts w:hint="eastAsia" w:ascii="仿宋_GB2312" w:hAnsi="仿宋_GB2312" w:eastAsia="仿宋_GB2312" w:cs="仿宋_GB2312"/>
          <w:color w:val="000000" w:themeColor="text1"/>
          <w:spacing w:val="-6"/>
          <w:sz w:val="32"/>
          <w:szCs w:val="32"/>
          <w14:textFill>
            <w14:solidFill>
              <w14:schemeClr w14:val="tx1"/>
            </w14:solidFill>
          </w14:textFill>
        </w:rPr>
        <w:t xml:space="preserve">城乡居民基本医疗保险基金累计结余可支付月数为 </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pacing w:val="-6"/>
          <w:sz w:val="32"/>
          <w:szCs w:val="32"/>
          <w14:textFill>
            <w14:solidFill>
              <w14:schemeClr w14:val="tx1"/>
            </w14:solidFill>
          </w14:textFill>
        </w:rPr>
        <w:t xml:space="preserve"> 个月。实现绩效目标。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时效指标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医疗费用即时结算率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及时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按政策结算</w:t>
      </w:r>
      <w:r>
        <w:rPr>
          <w:rFonts w:hint="eastAsia" w:ascii="仿宋_GB2312" w:hAnsi="仿宋_GB2312" w:eastAsia="仿宋_GB2312" w:cs="仿宋_GB2312"/>
          <w:color w:val="000000" w:themeColor="text1"/>
          <w:sz w:val="32"/>
          <w:szCs w:val="32"/>
          <w14:textFill>
            <w14:solidFill>
              <w14:schemeClr w14:val="tx1"/>
            </w14:solidFill>
          </w14:textFill>
        </w:rPr>
        <w:t>参保人员及定点医疗机构费用，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结算率在95%以上</w:t>
      </w:r>
      <w:r>
        <w:rPr>
          <w:rFonts w:hint="eastAsia" w:ascii="仿宋_GB2312" w:hAnsi="仿宋_GB2312" w:eastAsia="仿宋_GB2312" w:cs="仿宋_GB2312"/>
          <w:color w:val="000000" w:themeColor="text1"/>
          <w:sz w:val="32"/>
          <w:szCs w:val="32"/>
          <w14:textFill>
            <w14:solidFill>
              <w14:schemeClr w14:val="tx1"/>
            </w14:solidFill>
          </w14:textFill>
        </w:rPr>
        <w:t>。实现绩效目标。</w:t>
      </w:r>
    </w:p>
    <w:p>
      <w:pPr>
        <w:keepNext w:val="0"/>
        <w:keepLines w:val="0"/>
        <w:pageBreakBefore w:val="0"/>
        <w:widowControl w:val="0"/>
        <w:numPr>
          <w:ilvl w:val="0"/>
          <w:numId w:val="7"/>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满意度指标</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eastAsia" w:ascii="仿宋_GB2312" w:hAnsi="仿宋_GB2312" w:eastAsia="仿宋_GB2312" w:cs="仿宋_GB2312"/>
          <w:color w:val="000000" w:themeColor="text1"/>
          <w:spacing w:val="-6"/>
          <w:sz w:val="32"/>
          <w:szCs w:val="32"/>
          <w14:textFill>
            <w14:solidFill>
              <w14:schemeClr w14:val="tx1"/>
            </w14:solidFill>
          </w14:textFill>
        </w:rPr>
      </w:pP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我市</w:t>
      </w:r>
      <w:r>
        <w:rPr>
          <w:rFonts w:hint="eastAsia" w:ascii="仿宋_GB2312" w:hAnsi="仿宋_GB2312" w:eastAsia="仿宋_GB2312" w:cs="仿宋_GB2312"/>
          <w:color w:val="000000" w:themeColor="text1"/>
          <w:spacing w:val="-6"/>
          <w:sz w:val="32"/>
          <w:szCs w:val="32"/>
          <w14:textFill>
            <w14:solidFill>
              <w14:schemeClr w14:val="tx1"/>
            </w14:solidFill>
          </w14:textFill>
        </w:rPr>
        <w:t>加强行风建设，规范政务服务事项、简化办事材料清单，方便办事群众</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全市</w:t>
      </w:r>
      <w:r>
        <w:rPr>
          <w:rFonts w:hint="eastAsia" w:ascii="仿宋_GB2312" w:hAnsi="仿宋_GB2312" w:eastAsia="仿宋_GB2312" w:cs="仿宋_GB2312"/>
          <w:color w:val="000000" w:themeColor="text1"/>
          <w:spacing w:val="-6"/>
          <w:sz w:val="32"/>
          <w:szCs w:val="32"/>
          <w14:textFill>
            <w14:solidFill>
              <w14:schemeClr w14:val="tx1"/>
            </w14:solidFill>
          </w14:textFill>
        </w:rPr>
        <w:t>全部实现医保费用“一站式”结算，减轻参保群众的垫支压力，解决参保群众多头跑路的难题。联合税务部门，通过网络、广播、电视、报纸等传播媒体加大参保缴费宣传力度。通过制作、发放宣传手册、资料等方式，宣传异地就医、参保缴费、特殊门诊、住院等医保政策，让参保群众普遍了解医保待遇享受和参保缴费等政策。经行风测评，参保对象满意度达9</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pacing w:val="-6"/>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三、下一步工作打算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pacing w:val="1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（一）加大绩效评价结果运用。</w:t>
      </w:r>
      <w:r>
        <w:rPr>
          <w:rFonts w:hint="eastAsia" w:ascii="仿宋_GB2312" w:hAnsi="仿宋_GB2312" w:eastAsia="仿宋_GB2312" w:cs="仿宋_GB2312"/>
          <w:color w:val="000000" w:themeColor="text1"/>
          <w:spacing w:val="11"/>
          <w:sz w:val="32"/>
          <w:szCs w:val="32"/>
          <w:lang w:val="en-US" w:eastAsia="zh-CN"/>
          <w14:textFill>
            <w14:solidFill>
              <w14:schemeClr w14:val="tx1"/>
            </w14:solidFill>
          </w14:textFill>
        </w:rPr>
        <w:t>城乡居民财政补助资金主要用于保障参保人员医保待遇，绩效评价结果对资金分配的影响不显著。下一步将加强绩效评价结果在经费保障、考核等方面的运用。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（二）加强绩效运行监控。</w:t>
      </w:r>
      <w:r>
        <w:rPr>
          <w:rFonts w:hint="eastAsia" w:ascii="仿宋_GB2312" w:hAnsi="仿宋_GB2312" w:eastAsia="仿宋_GB2312" w:cs="仿宋_GB2312"/>
          <w:color w:val="000000" w:themeColor="text1"/>
          <w:sz w:val="32"/>
          <w:szCs w:val="32"/>
          <w14:textFill>
            <w14:solidFill>
              <w14:schemeClr w14:val="tx1"/>
            </w14:solidFill>
          </w14:textFill>
        </w:rPr>
        <w:t>在基金运行过程中，仍有超预算或预算支出不足的情况，出现阶段性基金呈风险预警状态，下一步健全绩效运行监控机制，确保基金平稳运行。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（三）不断提高绩效管理质量。</w:t>
      </w:r>
      <w:r>
        <w:rPr>
          <w:rFonts w:hint="eastAsia" w:ascii="仿宋_GB2312" w:hAnsi="仿宋_GB2312" w:eastAsia="仿宋_GB2312" w:cs="仿宋_GB2312"/>
          <w:color w:val="000000" w:themeColor="text1"/>
          <w:sz w:val="32"/>
          <w:szCs w:val="32"/>
          <w14:textFill>
            <w14:solidFill>
              <w14:schemeClr w14:val="tx1"/>
            </w14:solidFill>
          </w14:textFill>
        </w:rPr>
        <w:t>一是全面开展绩效评价工作，科学设置可量化、可考核的绩效评价指标体系。二是注重评价结果运用，把绩效评价结果作为资金分配，年度考核等工作的重要内容。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（四）持续打造暖心便民医保服务。</w:t>
      </w:r>
      <w:r>
        <w:rPr>
          <w:rFonts w:hint="eastAsia" w:ascii="仿宋_GB2312" w:hAnsi="仿宋_GB2312" w:eastAsia="仿宋_GB2312" w:cs="仿宋_GB2312"/>
          <w:color w:val="000000" w:themeColor="text1"/>
          <w:sz w:val="32"/>
          <w:szCs w:val="32"/>
          <w14:textFill>
            <w14:solidFill>
              <w14:schemeClr w14:val="tx1"/>
            </w14:solidFill>
          </w14:textFill>
        </w:rPr>
        <w:t>深化放管服改革优化营商环境，全域推开四级医保服务体系建设，推进医保经办管理服务标准化建设,加强医保信息平台运维管理，提高医保公共服务标准化和便捷化水平,改善群众医保服务体验。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spacing w:line="600" w:lineRule="exact"/>
        <w:jc w:val="center"/>
        <w:outlineLvl w:val="0"/>
        <w:rPr>
          <w:rFonts w:hint="eastAsia" w:ascii="黑体" w:hAnsi="黑体" w:eastAsia="黑体"/>
          <w:color w:val="000000" w:themeColor="text1"/>
          <w:sz w:val="44"/>
          <w:szCs w:val="44"/>
          <w:highlight w:val="none"/>
          <w14:textFill>
            <w14:solidFill>
              <w14:schemeClr w14:val="tx1"/>
            </w14:solidFill>
          </w14:textFill>
        </w:rPr>
      </w:pPr>
    </w:p>
    <w:p>
      <w:pPr>
        <w:spacing w:line="600" w:lineRule="exact"/>
        <w:jc w:val="center"/>
        <w:outlineLvl w:val="0"/>
        <w:rPr>
          <w:rFonts w:hint="eastAsia" w:ascii="黑体" w:hAnsi="黑体" w:eastAsia="黑体"/>
          <w:color w:val="000000" w:themeColor="text1"/>
          <w:sz w:val="44"/>
          <w:szCs w:val="44"/>
          <w:highlight w:val="none"/>
          <w14:textFill>
            <w14:solidFill>
              <w14:schemeClr w14:val="tx1"/>
            </w14:solidFill>
          </w14:textFill>
        </w:rPr>
      </w:pPr>
    </w:p>
    <w:p>
      <w:pPr>
        <w:spacing w:line="600" w:lineRule="exact"/>
        <w:jc w:val="center"/>
        <w:outlineLvl w:val="0"/>
        <w:rPr>
          <w:rFonts w:hint="eastAsia" w:ascii="黑体" w:hAnsi="黑体" w:eastAsia="黑体"/>
          <w:color w:val="000000" w:themeColor="text1"/>
          <w:sz w:val="44"/>
          <w:szCs w:val="44"/>
          <w:highlight w:val="none"/>
          <w14:textFill>
            <w14:solidFill>
              <w14:schemeClr w14:val="tx1"/>
            </w14:solidFill>
          </w14:textFill>
        </w:rPr>
      </w:pPr>
    </w:p>
    <w:p>
      <w:pPr>
        <w:spacing w:line="600" w:lineRule="exact"/>
        <w:jc w:val="center"/>
        <w:outlineLvl w:val="0"/>
        <w:rPr>
          <w:rFonts w:hint="eastAsia" w:ascii="黑体" w:hAnsi="黑体" w:eastAsia="黑体"/>
          <w:color w:val="000000" w:themeColor="text1"/>
          <w:sz w:val="44"/>
          <w:szCs w:val="44"/>
          <w:highlight w:val="none"/>
          <w14:textFill>
            <w14:solidFill>
              <w14:schemeClr w14:val="tx1"/>
            </w14:solidFill>
          </w14:textFill>
        </w:rPr>
      </w:pPr>
    </w:p>
    <w:p>
      <w:pPr>
        <w:spacing w:line="600" w:lineRule="exact"/>
        <w:jc w:val="center"/>
        <w:outlineLvl w:val="0"/>
        <w:rPr>
          <w:rFonts w:hint="eastAsia" w:ascii="黑体" w:hAnsi="黑体" w:eastAsia="黑体"/>
          <w:color w:val="000000" w:themeColor="text1"/>
          <w:sz w:val="44"/>
          <w:szCs w:val="44"/>
          <w:highlight w:val="none"/>
          <w14:textFill>
            <w14:solidFill>
              <w14:schemeClr w14:val="tx1"/>
            </w14:solidFill>
          </w14:textFill>
        </w:rPr>
      </w:pPr>
    </w:p>
    <w:p>
      <w:pPr>
        <w:spacing w:line="600" w:lineRule="exact"/>
        <w:jc w:val="center"/>
        <w:outlineLvl w:val="0"/>
        <w:rPr>
          <w:rFonts w:hint="eastAsia" w:ascii="黑体" w:hAnsi="黑体" w:eastAsia="黑体"/>
          <w:color w:val="000000" w:themeColor="text1"/>
          <w:sz w:val="44"/>
          <w:szCs w:val="44"/>
          <w:highlight w:val="none"/>
          <w14:textFill>
            <w14:solidFill>
              <w14:schemeClr w14:val="tx1"/>
            </w14:solidFill>
          </w14:textFill>
        </w:rPr>
      </w:pPr>
    </w:p>
    <w:p>
      <w:pPr>
        <w:spacing w:line="600" w:lineRule="exact"/>
        <w:jc w:val="center"/>
        <w:outlineLvl w:val="0"/>
        <w:rPr>
          <w:rFonts w:hint="eastAsia" w:ascii="黑体" w:hAnsi="黑体" w:eastAsia="黑体"/>
          <w:color w:val="000000" w:themeColor="text1"/>
          <w:sz w:val="44"/>
          <w:szCs w:val="44"/>
          <w:highlight w:val="none"/>
          <w14:textFill>
            <w14:solidFill>
              <w14:schemeClr w14:val="tx1"/>
            </w14:solidFill>
          </w14:textFill>
        </w:rPr>
      </w:pPr>
    </w:p>
    <w:p>
      <w:pPr>
        <w:spacing w:line="600" w:lineRule="exact"/>
        <w:jc w:val="center"/>
        <w:outlineLvl w:val="0"/>
        <w:rPr>
          <w:rFonts w:hint="eastAsia" w:ascii="黑体" w:hAnsi="黑体" w:eastAsia="黑体"/>
          <w:color w:val="000000" w:themeColor="text1"/>
          <w:sz w:val="44"/>
          <w:szCs w:val="44"/>
          <w:highlight w:val="none"/>
          <w14:textFill>
            <w14:solidFill>
              <w14:schemeClr w14:val="tx1"/>
            </w14:solidFill>
          </w14:textFill>
        </w:rPr>
      </w:pPr>
    </w:p>
    <w:p>
      <w:pPr>
        <w:spacing w:line="600" w:lineRule="exact"/>
        <w:jc w:val="center"/>
        <w:outlineLvl w:val="0"/>
        <w:rPr>
          <w:rFonts w:hint="eastAsia" w:ascii="黑体" w:hAnsi="黑体" w:eastAsia="黑体"/>
          <w:color w:val="000000" w:themeColor="text1"/>
          <w:sz w:val="44"/>
          <w:szCs w:val="44"/>
          <w:highlight w:val="none"/>
          <w14:textFill>
            <w14:solidFill>
              <w14:schemeClr w14:val="tx1"/>
            </w14:solidFill>
          </w14:textFill>
        </w:rPr>
      </w:pPr>
    </w:p>
    <w:p>
      <w:pPr>
        <w:spacing w:line="600" w:lineRule="exact"/>
        <w:jc w:val="center"/>
        <w:outlineLvl w:val="0"/>
        <w:rPr>
          <w:rFonts w:hint="eastAsia" w:ascii="黑体" w:hAnsi="黑体" w:eastAsia="黑体"/>
          <w:color w:val="000000" w:themeColor="text1"/>
          <w:sz w:val="44"/>
          <w:szCs w:val="44"/>
          <w:highlight w:val="none"/>
          <w14:textFill>
            <w14:solidFill>
              <w14:schemeClr w14:val="tx1"/>
            </w14:solidFill>
          </w14:textFill>
        </w:rPr>
      </w:pPr>
    </w:p>
    <w:p>
      <w:pPr>
        <w:spacing w:line="600" w:lineRule="exact"/>
        <w:jc w:val="center"/>
        <w:outlineLvl w:val="0"/>
        <w:rPr>
          <w:rFonts w:hint="eastAsia" w:ascii="黑体" w:hAnsi="黑体" w:eastAsia="黑体"/>
          <w:color w:val="000000" w:themeColor="text1"/>
          <w:sz w:val="44"/>
          <w:szCs w:val="44"/>
          <w:highlight w:val="none"/>
          <w14:textFill>
            <w14:solidFill>
              <w14:schemeClr w14:val="tx1"/>
            </w14:solidFill>
          </w14:textFill>
        </w:rPr>
      </w:pPr>
    </w:p>
    <w:p>
      <w:pPr>
        <w:spacing w:line="600" w:lineRule="exact"/>
        <w:jc w:val="center"/>
        <w:outlineLvl w:val="0"/>
        <w:rPr>
          <w:rFonts w:hint="eastAsia" w:ascii="黑体" w:hAnsi="黑体" w:eastAsia="黑体"/>
          <w:color w:val="000000" w:themeColor="text1"/>
          <w:sz w:val="44"/>
          <w:szCs w:val="44"/>
          <w:highlight w:val="none"/>
          <w14:textFill>
            <w14:solidFill>
              <w14:schemeClr w14:val="tx1"/>
            </w14:solidFill>
          </w14:textFill>
        </w:rPr>
      </w:pPr>
    </w:p>
    <w:p>
      <w:pPr>
        <w:spacing w:line="600" w:lineRule="exact"/>
        <w:jc w:val="center"/>
        <w:outlineLvl w:val="0"/>
        <w:rPr>
          <w:rFonts w:hint="eastAsia" w:ascii="黑体" w:hAnsi="黑体" w:eastAsia="黑体"/>
          <w:color w:val="000000" w:themeColor="text1"/>
          <w:sz w:val="44"/>
          <w:szCs w:val="44"/>
          <w:highlight w:val="none"/>
          <w14:textFill>
            <w14:solidFill>
              <w14:schemeClr w14:val="tx1"/>
            </w14:solidFill>
          </w14:textFill>
        </w:rPr>
      </w:pPr>
    </w:p>
    <w:p>
      <w:pPr>
        <w:spacing w:line="600" w:lineRule="exact"/>
        <w:jc w:val="center"/>
        <w:outlineLvl w:val="0"/>
        <w:rPr>
          <w:rFonts w:hint="eastAsia" w:ascii="黑体" w:hAnsi="黑体" w:eastAsia="黑体"/>
          <w:color w:val="000000" w:themeColor="text1"/>
          <w:sz w:val="44"/>
          <w:szCs w:val="4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640" w:lineRule="exact"/>
        <w:jc w:val="center"/>
        <w:textAlignment w:val="auto"/>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广元市医疗保障局</w:t>
      </w:r>
    </w:p>
    <w:p>
      <w:pPr>
        <w:keepNext w:val="0"/>
        <w:keepLines w:val="0"/>
        <w:pageBreakBefore w:val="0"/>
        <w:widowControl/>
        <w:kinsoku/>
        <w:wordWrap/>
        <w:overflowPunct/>
        <w:topLinePunct w:val="0"/>
        <w:autoSpaceDE/>
        <w:autoSpaceDN/>
        <w:bidi w:val="0"/>
        <w:adjustRightInd w:val="0"/>
        <w:snapToGrid w:val="0"/>
        <w:spacing w:line="640" w:lineRule="exact"/>
        <w:jc w:val="center"/>
        <w:textAlignment w:val="auto"/>
        <w:rPr>
          <w:rFonts w:hint="eastAsia"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关于202</w:t>
      </w:r>
      <w:r>
        <w:rPr>
          <w:rFonts w:ascii="方正小标宋简体" w:eastAsia="方正小标宋简体"/>
          <w:color w:val="000000" w:themeColor="text1"/>
          <w:sz w:val="44"/>
          <w:szCs w:val="44"/>
          <w14:textFill>
            <w14:solidFill>
              <w14:schemeClr w14:val="tx1"/>
            </w14:solidFill>
          </w14:textFill>
        </w:rPr>
        <w:t>2</w:t>
      </w:r>
      <w:r>
        <w:rPr>
          <w:rFonts w:hint="eastAsia" w:ascii="方正小标宋简体" w:eastAsia="方正小标宋简体"/>
          <w:color w:val="000000" w:themeColor="text1"/>
          <w:sz w:val="44"/>
          <w:szCs w:val="44"/>
          <w14:textFill>
            <w14:solidFill>
              <w14:schemeClr w14:val="tx1"/>
            </w14:solidFill>
          </w14:textFill>
        </w:rPr>
        <w:t>年度城乡医疗救助财政补助资金</w:t>
      </w:r>
    </w:p>
    <w:p>
      <w:pPr>
        <w:keepNext w:val="0"/>
        <w:keepLines w:val="0"/>
        <w:pageBreakBefore w:val="0"/>
        <w:widowControl/>
        <w:kinsoku/>
        <w:wordWrap/>
        <w:overflowPunct/>
        <w:topLinePunct w:val="0"/>
        <w:autoSpaceDE/>
        <w:autoSpaceDN/>
        <w:bidi w:val="0"/>
        <w:adjustRightInd w:val="0"/>
        <w:snapToGrid w:val="0"/>
        <w:spacing w:line="640" w:lineRule="exact"/>
        <w:jc w:val="center"/>
        <w:textAlignment w:val="auto"/>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绩效</w:t>
      </w:r>
      <w:r>
        <w:rPr>
          <w:rFonts w:ascii="方正小标宋简体" w:eastAsia="方正小标宋简体"/>
          <w:color w:val="000000" w:themeColor="text1"/>
          <w:sz w:val="44"/>
          <w:szCs w:val="44"/>
          <w14:textFill>
            <w14:solidFill>
              <w14:schemeClr w14:val="tx1"/>
            </w14:solidFill>
          </w14:textFill>
        </w:rPr>
        <w:t>目标</w:t>
      </w:r>
      <w:r>
        <w:rPr>
          <w:rFonts w:hint="eastAsia" w:ascii="方正小标宋简体" w:eastAsia="方正小标宋简体"/>
          <w:color w:val="000000" w:themeColor="text1"/>
          <w:sz w:val="44"/>
          <w:szCs w:val="44"/>
          <w14:textFill>
            <w14:solidFill>
              <w14:schemeClr w14:val="tx1"/>
            </w14:solidFill>
          </w14:textFill>
        </w:rPr>
        <w:t>自评</w:t>
      </w:r>
      <w:r>
        <w:rPr>
          <w:rFonts w:hint="eastAsia" w:ascii="方正小标宋简体" w:eastAsia="方正小标宋简体"/>
          <w:color w:val="000000" w:themeColor="text1"/>
          <w:sz w:val="44"/>
          <w:szCs w:val="44"/>
          <w:lang w:val="en-US" w:eastAsia="zh-CN"/>
          <w14:textFill>
            <w14:solidFill>
              <w14:schemeClr w14:val="tx1"/>
            </w14:solidFill>
          </w14:textFill>
        </w:rPr>
        <w:t>的</w:t>
      </w:r>
      <w:r>
        <w:rPr>
          <w:rFonts w:hint="eastAsia" w:ascii="方正小标宋简体" w:eastAsia="方正小标宋简体"/>
          <w:color w:val="000000" w:themeColor="text1"/>
          <w:sz w:val="44"/>
          <w:szCs w:val="44"/>
          <w14:textFill>
            <w14:solidFill>
              <w14:schemeClr w14:val="tx1"/>
            </w14:solidFill>
          </w14:textFill>
        </w:rPr>
        <w:t>报告</w:t>
      </w:r>
    </w:p>
    <w:p>
      <w:pPr>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64" w:firstLineChars="200"/>
        <w:jc w:val="both"/>
        <w:textAlignment w:val="auto"/>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6"/>
          <w:sz w:val="32"/>
          <w:szCs w:val="32"/>
          <w14:textFill>
            <w14:solidFill>
              <w14:schemeClr w14:val="tx1"/>
            </w14:solidFill>
          </w14:textFill>
        </w:rPr>
        <w:t>根据《中共中央 国务院关于全面实施预算绩效管理的意见》《国家医疗保障局关于全面开展医保转移支付资金绩效评价工作的通知》(医保函〔2020〕3号)和《2022年医保转移支付绩效评价工作手册》，我局高度重视，组织专人开展2022年</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度</w:t>
      </w:r>
      <w:r>
        <w:rPr>
          <w:rFonts w:hint="eastAsia" w:ascii="仿宋_GB2312" w:hAnsi="仿宋_GB2312" w:eastAsia="仿宋_GB2312" w:cs="仿宋_GB2312"/>
          <w:color w:val="000000" w:themeColor="text1"/>
          <w:spacing w:val="6"/>
          <w:sz w:val="32"/>
          <w:szCs w:val="32"/>
          <w14:textFill>
            <w14:solidFill>
              <w14:schemeClr w14:val="tx1"/>
            </w14:solidFill>
          </w14:textFill>
        </w:rPr>
        <w:t>全市城乡医疗救助财政补助资金绩效自评工作</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6"/>
          <w:sz w:val="32"/>
          <w:szCs w:val="32"/>
          <w14:textFill>
            <w14:solidFill>
              <w14:schemeClr w14:val="tx1"/>
            </w14:solidFill>
          </w14:textFill>
        </w:rPr>
        <w:t>现将自评情况报告如下</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一、基本情况</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（一）资金到位情况</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2022年度上级财政安排预算17311.06万元，实际到账17311.06万元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其中中央财政补助9225.6万元，省级财政补助8085.46万元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，资金到位率100%</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（二）总体目标完成情况</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4900930</wp:posOffset>
                </wp:positionH>
                <wp:positionV relativeFrom="paragraph">
                  <wp:posOffset>767715</wp:posOffset>
                </wp:positionV>
                <wp:extent cx="931545" cy="306705"/>
                <wp:effectExtent l="0" t="0" r="1905" b="17145"/>
                <wp:wrapNone/>
                <wp:docPr id="17" name="矩形 17"/>
                <wp:cNvGraphicFramePr/>
                <a:graphic xmlns:a="http://schemas.openxmlformats.org/drawingml/2006/main">
                  <a:graphicData uri="http://schemas.microsoft.com/office/word/2010/wordprocessingShape">
                    <wps:wsp>
                      <wps:cNvSpPr/>
                      <wps:spPr>
                        <a:xfrm>
                          <a:off x="5909310" y="9658985"/>
                          <a:ext cx="931545" cy="30670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5.9pt;margin-top:60.45pt;height:24.15pt;width:73.35pt;z-index:251668480;v-text-anchor:middle;mso-width-relative:page;mso-height-relative:page;" fillcolor="#FFFFFF [3212]" filled="t" stroked="f" coordsize="21600,21600" o:gfxdata="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Qq5S+1gAAAAsBAAAPAAAAAAAAAAEAIAAAACIAAABkcnMvZG93bnJldi54bWxQ&#10;SwECFAAUAAAACACHTuJAQNgLx2sCAADBBAAADgAAAAAAAAABACAAAAAlAQAAZHJzL2Uyb0RvYy54&#10;bWxQSwUGAAAAAAYABgBZAQAAAgYAAAAA&#10;">
                <v:fill on="t" focussize="0,0"/>
                <v:stroke on="f" weight="2pt"/>
                <v:imagedata o:title=""/>
                <o:lock v:ext="edit" aspectratio="f"/>
              </v:rect>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w:t>2022年，通过实施城乡医疗救助，开展重特大疾病医疗救助工作，救助对象覆盖低保、特困、纳入监测的易返贫致贫人口、低保边缘家庭成员人口和因病致贫重病患者，重点对象自付费用年度限额内住院救助比例达到85%，符合条件的农村低收入人口资助参保政策覆盖率达99.8%。</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二、绩效指标完成情况</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（一）医疗救助对象人次规模</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救助对象覆盖低保、特困、纳入监测的易返贫致贫人口、低保边缘家庭成员和因病致贫重病患者。</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基</w:t>
      </w:r>
      <w:r>
        <w:rPr>
          <w:rFonts w:hint="eastAsia" w:ascii="楷体_GB2312" w:hAnsi="楷体_GB2312" w:eastAsia="楷体_GB2312" w:cs="楷体_GB2312"/>
          <w:color w:val="000000" w:themeColor="text1"/>
          <w:sz w:val="32"/>
          <w:szCs w:val="32"/>
          <w14:textFill>
            <w14:solidFill>
              <w14:schemeClr w14:val="tx1"/>
            </w14:solidFill>
          </w14:textFill>
        </w:rPr>
        <w:t>金累计结余占筹集基金总额的比重</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2022年基金筹集金额为25503万元，基金累计结余2444万元，基金累计结余占筹集基金总额的比重为9.58%。</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（三）重点救助对象政策范围内住院自付费用年度限额内救助比率</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2022年我市重点救助对象政策范围内住院自付费用年度限额内救助比率为85 %。</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（四）符合资助条件的农村低收入人口资助参保政策覆盖率</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2022年我市资助符合资助条件的农村低收入人口参保覆盖率99.8%以上。</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（五）一站式结算覆盖地区</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广元市医疗保障局等五部门《关于持续做好医疗救助工作的通知》（广医保发〔2020〕21号），我市2022实行医疗救助市级统筹，一站式结算已全面覆盖。</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（六）医疗救助对象覆盖范围</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将符合国家规定的困难群众全部纳入医疗救助对象，低保边缘及因病致贫重病患者标准明确。</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themeColor="text1"/>
          <w:spacing w:val="4"/>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（七）</w:t>
      </w:r>
      <w:r>
        <w:rPr>
          <w:rFonts w:hint="eastAsia" w:ascii="楷体_GB2312" w:hAnsi="楷体_GB2312" w:eastAsia="楷体_GB2312" w:cs="楷体_GB2312"/>
          <w:color w:val="000000" w:themeColor="text1"/>
          <w:spacing w:val="4"/>
          <w:sz w:val="32"/>
          <w:szCs w:val="32"/>
          <w14:textFill>
            <w14:solidFill>
              <w14:schemeClr w14:val="tx1"/>
            </w14:solidFill>
          </w14:textFill>
        </w:rPr>
        <w:t>困难群众看病就医方便程度</w:t>
      </w:r>
      <w:r>
        <w:rPr>
          <w:rFonts w:hint="eastAsia" w:ascii="楷体_GB2312" w:hAnsi="楷体_GB2312" w:eastAsia="楷体_GB2312" w:cs="楷体_GB2312"/>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4"/>
          <w:sz w:val="32"/>
          <w:szCs w:val="32"/>
          <w14:textFill>
            <w14:solidFill>
              <w14:schemeClr w14:val="tx1"/>
            </w14:solidFill>
          </w14:textFill>
        </w:rPr>
        <w:t>医疗救助一站式结算全覆盖，显著提升困难群众看病就医方便程度。</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（八）困难群众就医负担减轻程度</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我市不断健全医疗救助政策，一站式结算全覆盖，提高群众就医便捷度，困难群众就医负担进一步减轻。</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（九）对健全社会救助体系的影响</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2022年我市医疗救助市级统筹的实施，进一步健全我市社会救助体系，显著提高社会救助水平。</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（十）对健全医疗保障体系的作用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2022年我市医疗救助市级统筹的实施，进一步健全我市社会救助体系，医疗保障托底功能成效明显。</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（十一）工作满意度</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2022年，根据各医保经办机构好差评评价和救助对象反馈意见，我市救助对象工作满意度达到</w:t>
      </w:r>
      <w:r>
        <w:rPr>
          <w:rFonts w:hint="default" w:ascii="仿宋_GB2312" w:hAnsi="仿宋_GB2312" w:eastAsia="仿宋_GB2312" w:cs="仿宋_GB2312"/>
          <w:color w:val="000000" w:themeColor="text1"/>
          <w:sz w:val="32"/>
          <w:szCs w:val="32"/>
          <w:lang w:val="en-US"/>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5%以上。</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（十二）政策知晓率</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2022年，资助参保政策覆盖率达99.8%，救助对象政策知晓率较上年大幅提高。</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三、下一步工作打算</w:t>
      </w:r>
    </w:p>
    <w:p>
      <w:pPr>
        <w:pStyle w:val="3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w:t>
      </w:r>
      <w:r>
        <w:rPr>
          <w:rFonts w:hint="eastAsia" w:ascii="楷体_GB2312" w:hAnsi="楷体_GB2312" w:eastAsia="楷体_GB2312" w:cs="楷体_GB2312"/>
          <w:color w:val="000000" w:themeColor="text1"/>
          <w:kern w:val="2"/>
          <w:sz w:val="32"/>
          <w:szCs w:val="32"/>
          <w14:textFill>
            <w14:solidFill>
              <w14:schemeClr w14:val="tx1"/>
            </w14:solidFill>
          </w14:textFill>
        </w:rPr>
        <w:t>进一步完善绩效目标。</w:t>
      </w:r>
      <w:r>
        <w:rPr>
          <w:rFonts w:hint="eastAsia" w:ascii="仿宋_GB2312" w:hAnsi="仿宋_GB2312" w:eastAsia="仿宋_GB2312" w:cs="仿宋_GB2312"/>
          <w:color w:val="000000" w:themeColor="text1"/>
          <w:kern w:val="2"/>
          <w:sz w:val="32"/>
          <w:szCs w:val="32"/>
          <w14:textFill>
            <w14:solidFill>
              <w14:schemeClr w14:val="tx1"/>
            </w14:solidFill>
          </w14:textFill>
        </w:rPr>
        <w:t>2022年，我市实行医疗救助市级统筹，以前的绩效目标已不能完全适应新的基金管理模式，如在县区财政投入、医保结算等方面的绩效指标再细化，目标设置</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将</w:t>
      </w:r>
      <w:r>
        <w:rPr>
          <w:rFonts w:hint="eastAsia" w:ascii="仿宋_GB2312" w:hAnsi="仿宋_GB2312" w:eastAsia="仿宋_GB2312" w:cs="仿宋_GB2312"/>
          <w:color w:val="000000" w:themeColor="text1"/>
          <w:kern w:val="2"/>
          <w:sz w:val="32"/>
          <w:szCs w:val="32"/>
          <w14:textFill>
            <w14:solidFill>
              <w14:schemeClr w14:val="tx1"/>
            </w14:solidFill>
          </w14:textFill>
        </w:rPr>
        <w:t>更科学</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14:textFill>
            <w14:solidFill>
              <w14:schemeClr w14:val="tx1"/>
            </w14:solidFill>
          </w14:textFill>
        </w:rPr>
        <w:t>更易评价。</w:t>
      </w:r>
    </w:p>
    <w:p>
      <w:pPr>
        <w:pStyle w:val="3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（二）进一步加强绩效运行监控。</w:t>
      </w:r>
      <w:r>
        <w:rPr>
          <w:rFonts w:hint="eastAsia" w:ascii="仿宋_GB2312" w:hAnsi="仿宋_GB2312" w:eastAsia="仿宋_GB2312" w:cs="仿宋_GB2312"/>
          <w:color w:val="000000" w:themeColor="text1"/>
          <w:sz w:val="32"/>
          <w:szCs w:val="32"/>
          <w14:textFill>
            <w14:solidFill>
              <w14:schemeClr w14:val="tx1"/>
            </w14:solidFill>
          </w14:textFill>
        </w:rPr>
        <w:t>医疗救助市级统筹后，要按照绩效管理的要求，健全绩效运行监控机制，加强基金预算管理，提高绩效管理水平，防范基金风险。</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（三）持续完善城乡医疗救助政策。</w:t>
      </w:r>
      <w:r>
        <w:rPr>
          <w:rFonts w:hint="eastAsia" w:ascii="仿宋_GB2312" w:hAnsi="仿宋_GB2312" w:eastAsia="仿宋_GB2312" w:cs="仿宋_GB2312"/>
          <w:color w:val="000000" w:themeColor="text1"/>
          <w:sz w:val="32"/>
          <w:szCs w:val="32"/>
          <w14:textFill>
            <w14:solidFill>
              <w14:schemeClr w14:val="tx1"/>
            </w14:solidFill>
          </w14:textFill>
        </w:rPr>
        <w:t>进一步加大医疗救助资金使用的控制，保证资金使用的必要性、合理性。排查医疗救助资金审核过程的风险点，防范资金风险，对医疗救助资金制定合理有效的资金收支方案，提高资金使用效率，切实提高救助水平。</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（三）进一步规范医疗救助流程。</w:t>
      </w:r>
      <w:r>
        <w:rPr>
          <w:rFonts w:hint="eastAsia" w:ascii="仿宋_GB2312" w:hAnsi="仿宋_GB2312" w:eastAsia="仿宋_GB2312" w:cs="仿宋_GB2312"/>
          <w:color w:val="000000" w:themeColor="text1"/>
          <w:sz w:val="32"/>
          <w:szCs w:val="32"/>
          <w14:textFill>
            <w14:solidFill>
              <w14:schemeClr w14:val="tx1"/>
            </w14:solidFill>
          </w14:textFill>
        </w:rPr>
        <w:t>对救助流程中合并或缩短的环节进行综合考虑和修正，进一步提高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医疗</w:t>
      </w:r>
      <w:r>
        <w:rPr>
          <w:rFonts w:hint="eastAsia" w:ascii="仿宋_GB2312" w:hAnsi="仿宋_GB2312" w:eastAsia="仿宋_GB2312" w:cs="仿宋_GB2312"/>
          <w:color w:val="000000" w:themeColor="text1"/>
          <w:sz w:val="32"/>
          <w:szCs w:val="32"/>
          <w14:textFill>
            <w14:solidFill>
              <w14:schemeClr w14:val="tx1"/>
            </w14:solidFill>
          </w14:textFill>
        </w:rPr>
        <w:t>救助对象便捷程度</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最大限度发挥医疗救助的作用。</w:t>
      </w:r>
    </w:p>
    <w:p>
      <w:pPr>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spacing w:line="600" w:lineRule="exact"/>
        <w:jc w:val="center"/>
        <w:outlineLvl w:val="0"/>
        <w:rPr>
          <w:rFonts w:hint="eastAsia" w:ascii="黑体" w:hAnsi="黑体" w:eastAsia="黑体"/>
          <w:color w:val="000000" w:themeColor="text1"/>
          <w:sz w:val="44"/>
          <w:szCs w:val="44"/>
          <w:highlight w:val="none"/>
          <w14:textFill>
            <w14:solidFill>
              <w14:schemeClr w14:val="tx1"/>
            </w14:solidFill>
          </w14:textFill>
        </w:rPr>
      </w:pPr>
    </w:p>
    <w:p>
      <w:pPr>
        <w:spacing w:line="600" w:lineRule="exact"/>
        <w:jc w:val="center"/>
        <w:outlineLvl w:val="0"/>
        <w:rPr>
          <w:rFonts w:hint="eastAsia" w:ascii="黑体" w:hAnsi="黑体" w:eastAsia="黑体"/>
          <w:color w:val="000000" w:themeColor="text1"/>
          <w:sz w:val="44"/>
          <w:szCs w:val="44"/>
          <w:highlight w:val="none"/>
          <w14:textFill>
            <w14:solidFill>
              <w14:schemeClr w14:val="tx1"/>
            </w14:solidFill>
          </w14:textFill>
        </w:rPr>
      </w:pPr>
    </w:p>
    <w:p>
      <w:pPr>
        <w:spacing w:line="600" w:lineRule="exact"/>
        <w:jc w:val="center"/>
        <w:outlineLvl w:val="0"/>
        <w:rPr>
          <w:rFonts w:hint="eastAsia" w:ascii="黑体" w:hAnsi="黑体" w:eastAsia="黑体"/>
          <w:color w:val="000000" w:themeColor="text1"/>
          <w:sz w:val="44"/>
          <w:szCs w:val="44"/>
          <w:highlight w:val="none"/>
          <w14:textFill>
            <w14:solidFill>
              <w14:schemeClr w14:val="tx1"/>
            </w14:solidFill>
          </w14:textFill>
        </w:rPr>
      </w:pPr>
    </w:p>
    <w:p>
      <w:pPr>
        <w:spacing w:line="600" w:lineRule="exact"/>
        <w:jc w:val="center"/>
        <w:outlineLvl w:val="0"/>
        <w:rPr>
          <w:rFonts w:hint="eastAsia" w:ascii="黑体" w:hAnsi="黑体" w:eastAsia="黑体"/>
          <w:color w:val="000000" w:themeColor="text1"/>
          <w:sz w:val="44"/>
          <w:szCs w:val="44"/>
          <w:highlight w:val="none"/>
          <w14:textFill>
            <w14:solidFill>
              <w14:schemeClr w14:val="tx1"/>
            </w14:solidFill>
          </w14:textFill>
        </w:rPr>
      </w:pPr>
    </w:p>
    <w:p>
      <w:pPr>
        <w:spacing w:line="600" w:lineRule="exact"/>
        <w:jc w:val="center"/>
        <w:outlineLvl w:val="0"/>
        <w:rPr>
          <w:rFonts w:hint="eastAsia" w:ascii="黑体" w:hAnsi="黑体" w:eastAsia="黑体"/>
          <w:color w:val="000000" w:themeColor="text1"/>
          <w:sz w:val="44"/>
          <w:szCs w:val="44"/>
          <w:highlight w:val="none"/>
          <w14:textFill>
            <w14:solidFill>
              <w14:schemeClr w14:val="tx1"/>
            </w14:solidFill>
          </w14:textFill>
        </w:rPr>
      </w:pPr>
    </w:p>
    <w:p>
      <w:pPr>
        <w:spacing w:line="600" w:lineRule="exact"/>
        <w:jc w:val="center"/>
        <w:outlineLvl w:val="0"/>
        <w:rPr>
          <w:rFonts w:hint="eastAsia" w:ascii="黑体" w:hAnsi="黑体" w:eastAsia="黑体"/>
          <w:color w:val="000000" w:themeColor="text1"/>
          <w:sz w:val="44"/>
          <w:szCs w:val="44"/>
          <w:highlight w:val="none"/>
          <w14:textFill>
            <w14:solidFill>
              <w14:schemeClr w14:val="tx1"/>
            </w14:solidFill>
          </w14:textFill>
        </w:rPr>
      </w:pPr>
    </w:p>
    <w:p>
      <w:pPr>
        <w:spacing w:line="600" w:lineRule="exact"/>
        <w:jc w:val="center"/>
        <w:outlineLvl w:val="0"/>
        <w:rPr>
          <w:rFonts w:hint="eastAsia" w:ascii="黑体" w:hAnsi="黑体" w:eastAsia="黑体"/>
          <w:color w:val="000000" w:themeColor="text1"/>
          <w:sz w:val="44"/>
          <w:szCs w:val="44"/>
          <w:highlight w:val="none"/>
          <w14:textFill>
            <w14:solidFill>
              <w14:schemeClr w14:val="tx1"/>
            </w14:solidFill>
          </w14:textFill>
        </w:rPr>
      </w:pPr>
    </w:p>
    <w:p>
      <w:pPr>
        <w:spacing w:line="600" w:lineRule="exact"/>
        <w:jc w:val="center"/>
        <w:outlineLvl w:val="0"/>
        <w:rPr>
          <w:rFonts w:hint="eastAsia" w:ascii="黑体" w:hAnsi="黑体" w:eastAsia="黑体"/>
          <w:color w:val="000000" w:themeColor="text1"/>
          <w:sz w:val="44"/>
          <w:szCs w:val="44"/>
          <w:highlight w:val="none"/>
          <w14:textFill>
            <w14:solidFill>
              <w14:schemeClr w14:val="tx1"/>
            </w14:solidFill>
          </w14:textFill>
        </w:rPr>
      </w:pPr>
    </w:p>
    <w:p>
      <w:pPr>
        <w:spacing w:line="600" w:lineRule="exact"/>
        <w:jc w:val="center"/>
        <w:outlineLvl w:val="0"/>
        <w:rPr>
          <w:rFonts w:hint="eastAsia" w:ascii="黑体" w:hAnsi="黑体" w:eastAsia="黑体"/>
          <w:color w:val="000000" w:themeColor="text1"/>
          <w:sz w:val="44"/>
          <w:szCs w:val="44"/>
          <w:highlight w:val="none"/>
          <w14:textFill>
            <w14:solidFill>
              <w14:schemeClr w14:val="tx1"/>
            </w14:solidFill>
          </w14:textFill>
        </w:rPr>
      </w:pPr>
    </w:p>
    <w:p>
      <w:pPr>
        <w:spacing w:line="600" w:lineRule="exact"/>
        <w:jc w:val="center"/>
        <w:outlineLvl w:val="0"/>
        <w:rPr>
          <w:rFonts w:hint="eastAsia" w:ascii="黑体" w:hAnsi="黑体" w:eastAsia="黑体"/>
          <w:color w:val="000000" w:themeColor="text1"/>
          <w:sz w:val="44"/>
          <w:szCs w:val="44"/>
          <w:highlight w:val="none"/>
          <w14:textFill>
            <w14:solidFill>
              <w14:schemeClr w14:val="tx1"/>
            </w14:solidFill>
          </w14:textFill>
        </w:rPr>
      </w:pPr>
    </w:p>
    <w:p>
      <w:pPr>
        <w:spacing w:line="600" w:lineRule="exact"/>
        <w:jc w:val="center"/>
        <w:outlineLvl w:val="0"/>
        <w:rPr>
          <w:rFonts w:hint="eastAsia" w:ascii="黑体" w:hAnsi="黑体" w:eastAsia="黑体"/>
          <w:color w:val="000000" w:themeColor="text1"/>
          <w:sz w:val="44"/>
          <w:szCs w:val="44"/>
          <w:highlight w:val="none"/>
          <w14:textFill>
            <w14:solidFill>
              <w14:schemeClr w14:val="tx1"/>
            </w14:solidFill>
          </w14:textFill>
        </w:rPr>
      </w:pPr>
    </w:p>
    <w:p>
      <w:pPr>
        <w:spacing w:line="600" w:lineRule="exact"/>
        <w:jc w:val="center"/>
        <w:outlineLvl w:val="0"/>
        <w:rPr>
          <w:rFonts w:hint="eastAsia" w:ascii="黑体" w:hAnsi="黑体" w:eastAsia="黑体"/>
          <w:color w:val="000000" w:themeColor="text1"/>
          <w:sz w:val="44"/>
          <w:szCs w:val="44"/>
          <w:highlight w:val="none"/>
          <w14:textFill>
            <w14:solidFill>
              <w14:schemeClr w14:val="tx1"/>
            </w14:solidFill>
          </w14:textFill>
        </w:rPr>
      </w:pPr>
    </w:p>
    <w:p>
      <w:pPr>
        <w:spacing w:line="600" w:lineRule="exact"/>
        <w:jc w:val="center"/>
        <w:outlineLvl w:val="0"/>
        <w:rPr>
          <w:rFonts w:hint="eastAsia" w:ascii="黑体" w:hAnsi="黑体" w:eastAsia="黑体"/>
          <w:color w:val="000000" w:themeColor="text1"/>
          <w:sz w:val="44"/>
          <w:szCs w:val="44"/>
          <w:highlight w:val="none"/>
          <w14:textFill>
            <w14:solidFill>
              <w14:schemeClr w14:val="tx1"/>
            </w14:solidFill>
          </w14:textFill>
        </w:rPr>
      </w:pPr>
    </w:p>
    <w:p>
      <w:pPr>
        <w:spacing w:line="600" w:lineRule="exact"/>
        <w:jc w:val="center"/>
        <w:outlineLvl w:val="0"/>
        <w:rPr>
          <w:rFonts w:hint="eastAsia" w:ascii="黑体" w:hAnsi="黑体" w:eastAsia="黑体"/>
          <w:color w:val="000000" w:themeColor="text1"/>
          <w:sz w:val="44"/>
          <w:szCs w:val="44"/>
          <w:highlight w:val="none"/>
          <w14:textFill>
            <w14:solidFill>
              <w14:schemeClr w14:val="tx1"/>
            </w14:solidFill>
          </w14:textFill>
        </w:rPr>
      </w:pPr>
    </w:p>
    <w:p>
      <w:pPr>
        <w:spacing w:line="600" w:lineRule="exact"/>
        <w:jc w:val="center"/>
        <w:outlineLvl w:val="0"/>
        <w:rPr>
          <w:rFonts w:hint="eastAsia" w:ascii="黑体" w:hAnsi="黑体" w:eastAsia="黑体"/>
          <w:color w:val="000000" w:themeColor="text1"/>
          <w:sz w:val="44"/>
          <w:szCs w:val="44"/>
          <w:highlight w:val="none"/>
          <w14:textFill>
            <w14:solidFill>
              <w14:schemeClr w14:val="tx1"/>
            </w14:solidFill>
          </w14:textFill>
        </w:rPr>
      </w:pPr>
    </w:p>
    <w:p>
      <w:pPr>
        <w:spacing w:line="600" w:lineRule="exact"/>
        <w:jc w:val="center"/>
        <w:outlineLvl w:val="0"/>
        <w:rPr>
          <w:rFonts w:hint="eastAsia" w:ascii="仿宋" w:hAnsi="仿宋" w:eastAsia="仿宋"/>
          <w:b w:val="0"/>
          <w:color w:val="000000" w:themeColor="text1"/>
          <w:highlight w:val="none"/>
          <w14:textFill>
            <w14:solidFill>
              <w14:schemeClr w14:val="tx1"/>
            </w14:solidFill>
          </w14:textFill>
        </w:rPr>
      </w:pPr>
      <w:r>
        <w:rPr>
          <w:rFonts w:hint="eastAsia" w:ascii="黑体" w:hAnsi="黑体" w:eastAsia="黑体"/>
          <w:color w:val="000000" w:themeColor="text1"/>
          <w:sz w:val="44"/>
          <w:szCs w:val="44"/>
          <w:highlight w:val="none"/>
          <w14:textFill>
            <w14:solidFill>
              <w14:schemeClr w14:val="tx1"/>
            </w14:solidFill>
          </w14:textFill>
        </w:rPr>
        <w:t>第</w:t>
      </w:r>
      <w:r>
        <w:rPr>
          <w:rStyle w:val="32"/>
          <w:rFonts w:hint="eastAsia" w:ascii="黑体" w:hAnsi="黑体" w:eastAsia="黑体"/>
          <w:b w:val="0"/>
          <w:color w:val="000000" w:themeColor="text1"/>
          <w:highlight w:val="none"/>
          <w14:textFill>
            <w14:solidFill>
              <w14:schemeClr w14:val="tx1"/>
            </w14:solidFill>
          </w14:textFill>
        </w:rPr>
        <w:t>五部分</w:t>
      </w:r>
      <w:r>
        <w:rPr>
          <w:rStyle w:val="32"/>
          <w:rFonts w:hint="default" w:ascii="黑体" w:hAnsi="黑体" w:eastAsia="黑体"/>
          <w:b w:val="0"/>
          <w:color w:val="000000" w:themeColor="text1"/>
          <w:highlight w:val="none"/>
          <w:lang w:val="en-US"/>
          <w14:textFill>
            <w14:solidFill>
              <w14:schemeClr w14:val="tx1"/>
            </w14:solidFill>
          </w14:textFill>
        </w:rPr>
        <w:t xml:space="preserve">  </w:t>
      </w:r>
      <w:r>
        <w:rPr>
          <w:rStyle w:val="32"/>
          <w:rFonts w:hint="eastAsia" w:ascii="黑体" w:hAnsi="黑体" w:eastAsia="黑体"/>
          <w:b w:val="0"/>
          <w:color w:val="000000" w:themeColor="text1"/>
          <w:highlight w:val="none"/>
          <w14:textFill>
            <w14:solidFill>
              <w14:schemeClr w14:val="tx1"/>
            </w14:solidFill>
          </w14:textFill>
        </w:rPr>
        <w:t>附</w:t>
      </w:r>
      <w:r>
        <w:rPr>
          <w:rStyle w:val="32"/>
          <w:rFonts w:hint="default" w:ascii="黑体" w:hAnsi="黑体" w:eastAsia="黑体"/>
          <w:b w:val="0"/>
          <w:color w:val="000000" w:themeColor="text1"/>
          <w:highlight w:val="none"/>
          <w:lang w:val="en-US"/>
          <w14:textFill>
            <w14:solidFill>
              <w14:schemeClr w14:val="tx1"/>
            </w14:solidFill>
          </w14:textFill>
        </w:rPr>
        <w:t xml:space="preserve">  </w:t>
      </w:r>
      <w:r>
        <w:rPr>
          <w:rStyle w:val="32"/>
          <w:rFonts w:hint="eastAsia" w:ascii="黑体" w:hAnsi="黑体" w:eastAsia="黑体"/>
          <w:b w:val="0"/>
          <w:color w:val="000000" w:themeColor="text1"/>
          <w:highlight w:val="none"/>
          <w14:textFill>
            <w14:solidFill>
              <w14:schemeClr w14:val="tx1"/>
            </w14:solidFill>
          </w14:textFill>
        </w:rPr>
        <w:t>表</w:t>
      </w:r>
      <w:bookmarkEnd w:id="56"/>
      <w:bookmarkEnd w:id="57"/>
      <w:bookmarkStart w:id="58" w:name="_Toc15396619"/>
    </w:p>
    <w:p>
      <w:pPr>
        <w:pStyle w:val="3"/>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color w:val="000000" w:themeColor="text1"/>
          <w:highlight w:val="none"/>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val="0"/>
          <w:color w:val="000000" w:themeColor="text1"/>
          <w:highlight w:val="none"/>
          <w14:textFill>
            <w14:solidFill>
              <w14:schemeClr w14:val="tx1"/>
            </w14:solidFill>
          </w14:textFill>
        </w:rPr>
        <w:t>一、收</w:t>
      </w:r>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入支出决算总表</w:t>
      </w:r>
      <w:bookmarkEnd w:id="58"/>
    </w:p>
    <w:p>
      <w:pPr>
        <w:pStyle w:val="3"/>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bookmarkStart w:id="59" w:name="_Toc15396620"/>
      <w:r>
        <w:rPr>
          <w:rFonts w:hint="eastAsia" w:ascii="仿宋_GB2312" w:hAnsi="仿宋_GB2312" w:eastAsia="仿宋_GB2312" w:cs="仿宋_GB2312"/>
          <w:b w:val="0"/>
          <w:color w:val="000000" w:themeColor="text1"/>
          <w:highlight w:val="none"/>
          <w14:textFill>
            <w14:solidFill>
              <w14:schemeClr w14:val="tx1"/>
            </w14:solidFill>
          </w14:textFill>
        </w:rPr>
        <w:t>二、收</w:t>
      </w:r>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入决算表</w:t>
      </w:r>
      <w:bookmarkEnd w:id="59"/>
    </w:p>
    <w:p>
      <w:pPr>
        <w:pStyle w:val="3"/>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bookmarkStart w:id="60" w:name="_Toc15396621"/>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三、</w:t>
      </w:r>
      <w:r>
        <w:rPr>
          <w:rFonts w:hint="eastAsia" w:ascii="仿宋_GB2312" w:hAnsi="仿宋_GB2312" w:eastAsia="仿宋_GB2312" w:cs="仿宋_GB2312"/>
          <w:b w:val="0"/>
          <w:color w:val="000000" w:themeColor="text1"/>
          <w:highlight w:val="none"/>
          <w14:textFill>
            <w14:solidFill>
              <w14:schemeClr w14:val="tx1"/>
            </w14:solidFill>
          </w14:textFill>
        </w:rPr>
        <w:t>支</w:t>
      </w:r>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出决算表</w:t>
      </w:r>
      <w:bookmarkEnd w:id="60"/>
    </w:p>
    <w:p>
      <w:pPr>
        <w:pStyle w:val="3"/>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color w:val="000000" w:themeColor="text1"/>
          <w:highlight w:val="none"/>
          <w14:textFill>
            <w14:solidFill>
              <w14:schemeClr w14:val="tx1"/>
            </w14:solidFill>
          </w14:textFill>
        </w:rPr>
      </w:pPr>
      <w:bookmarkStart w:id="61" w:name="_Toc15396622"/>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四、</w:t>
      </w:r>
      <w:r>
        <w:rPr>
          <w:rFonts w:hint="eastAsia" w:ascii="仿宋_GB2312" w:hAnsi="仿宋_GB2312" w:eastAsia="仿宋_GB2312" w:cs="仿宋_GB2312"/>
          <w:b w:val="0"/>
          <w:color w:val="000000" w:themeColor="text1"/>
          <w:highlight w:val="none"/>
          <w14:textFill>
            <w14:solidFill>
              <w14:schemeClr w14:val="tx1"/>
            </w14:solidFill>
          </w14:textFill>
        </w:rPr>
        <w:t>财</w:t>
      </w:r>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政拨款收入支出决算总表</w:t>
      </w:r>
      <w:bookmarkEnd w:id="61"/>
    </w:p>
    <w:p>
      <w:pPr>
        <w:pStyle w:val="3"/>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Style w:val="33"/>
          <w:rFonts w:hint="eastAsia" w:ascii="仿宋_GB2312" w:hAnsi="仿宋_GB2312" w:eastAsia="仿宋_GB2312" w:cs="仿宋_GB2312"/>
          <w:b w:val="0"/>
          <w:bCs w:val="0"/>
          <w:color w:val="000000" w:themeColor="text1"/>
          <w:highlight w:val="none"/>
          <w14:textFill>
            <w14:solidFill>
              <w14:schemeClr w14:val="tx1"/>
            </w14:solidFill>
          </w14:textFill>
        </w:rPr>
      </w:pPr>
      <w:bookmarkStart w:id="62" w:name="_Toc15396623"/>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五、</w:t>
      </w:r>
      <w:r>
        <w:rPr>
          <w:rFonts w:hint="eastAsia" w:ascii="仿宋_GB2312" w:hAnsi="仿宋_GB2312" w:eastAsia="仿宋_GB2312" w:cs="仿宋_GB2312"/>
          <w:b w:val="0"/>
          <w:color w:val="000000" w:themeColor="text1"/>
          <w:highlight w:val="none"/>
          <w14:textFill>
            <w14:solidFill>
              <w14:schemeClr w14:val="tx1"/>
            </w14:solidFill>
          </w14:textFill>
        </w:rPr>
        <w:t>财</w:t>
      </w:r>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政拨款支出决算明细表</w:t>
      </w:r>
      <w:bookmarkEnd w:id="62"/>
      <w:bookmarkStart w:id="63" w:name="_Toc15396624"/>
    </w:p>
    <w:p>
      <w:pPr>
        <w:pStyle w:val="3"/>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六、</w:t>
      </w:r>
      <w:r>
        <w:rPr>
          <w:rFonts w:hint="eastAsia" w:ascii="仿宋_GB2312" w:hAnsi="仿宋_GB2312" w:eastAsia="仿宋_GB2312" w:cs="仿宋_GB2312"/>
          <w:b w:val="0"/>
          <w:color w:val="000000" w:themeColor="text1"/>
          <w:highlight w:val="none"/>
          <w14:textFill>
            <w14:solidFill>
              <w14:schemeClr w14:val="tx1"/>
            </w14:solidFill>
          </w14:textFill>
        </w:rPr>
        <w:t>一</w:t>
      </w:r>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般公共预算财政拨款支出决算表</w:t>
      </w:r>
      <w:bookmarkEnd w:id="63"/>
    </w:p>
    <w:p>
      <w:pPr>
        <w:pStyle w:val="3"/>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bookmarkStart w:id="64" w:name="_Toc15396625"/>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七、</w:t>
      </w:r>
      <w:r>
        <w:rPr>
          <w:rFonts w:hint="eastAsia" w:ascii="仿宋_GB2312" w:hAnsi="仿宋_GB2312" w:eastAsia="仿宋_GB2312" w:cs="仿宋_GB2312"/>
          <w:b w:val="0"/>
          <w:color w:val="000000" w:themeColor="text1"/>
          <w:highlight w:val="none"/>
          <w14:textFill>
            <w14:solidFill>
              <w14:schemeClr w14:val="tx1"/>
            </w14:solidFill>
          </w14:textFill>
        </w:rPr>
        <w:t>一</w:t>
      </w:r>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般公共预算财政拨款支出决算明细表</w:t>
      </w:r>
      <w:bookmarkEnd w:id="64"/>
    </w:p>
    <w:p>
      <w:pPr>
        <w:pStyle w:val="3"/>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bookmarkStart w:id="65" w:name="_Toc15396626"/>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八、</w:t>
      </w:r>
      <w:r>
        <w:rPr>
          <w:rFonts w:hint="eastAsia" w:ascii="仿宋_GB2312" w:hAnsi="仿宋_GB2312" w:eastAsia="仿宋_GB2312" w:cs="仿宋_GB2312"/>
          <w:b w:val="0"/>
          <w:color w:val="000000" w:themeColor="text1"/>
          <w:highlight w:val="none"/>
          <w14:textFill>
            <w14:solidFill>
              <w14:schemeClr w14:val="tx1"/>
            </w14:solidFill>
          </w14:textFill>
        </w:rPr>
        <w:t>一</w:t>
      </w:r>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般公共预算财政拨款基本支出决算表</w:t>
      </w:r>
      <w:bookmarkEnd w:id="65"/>
    </w:p>
    <w:p>
      <w:pPr>
        <w:pStyle w:val="3"/>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bookmarkStart w:id="66" w:name="_Toc15396627"/>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九、</w:t>
      </w:r>
      <w:r>
        <w:rPr>
          <w:rFonts w:hint="eastAsia" w:ascii="仿宋_GB2312" w:hAnsi="仿宋_GB2312" w:eastAsia="仿宋_GB2312" w:cs="仿宋_GB2312"/>
          <w:b w:val="0"/>
          <w:color w:val="000000" w:themeColor="text1"/>
          <w:highlight w:val="none"/>
          <w14:textFill>
            <w14:solidFill>
              <w14:schemeClr w14:val="tx1"/>
            </w14:solidFill>
          </w14:textFill>
        </w:rPr>
        <w:t>一</w:t>
      </w:r>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般公共预算财政拨款项目支出决算表</w:t>
      </w:r>
      <w:bookmarkEnd w:id="66"/>
    </w:p>
    <w:p>
      <w:pPr>
        <w:pStyle w:val="3"/>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bookmarkStart w:id="67" w:name="_Toc15396628"/>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十、</w:t>
      </w:r>
      <w:bookmarkEnd w:id="67"/>
      <w:r>
        <w:rPr>
          <w:rFonts w:hint="eastAsia" w:ascii="仿宋_GB2312" w:hAnsi="仿宋_GB2312" w:eastAsia="仿宋_GB2312" w:cs="仿宋_GB2312"/>
          <w:b w:val="0"/>
          <w:color w:val="000000" w:themeColor="text1"/>
          <w:highlight w:val="none"/>
          <w14:textFill>
            <w14:solidFill>
              <w14:schemeClr w14:val="tx1"/>
            </w14:solidFill>
          </w14:textFill>
        </w:rPr>
        <w:t>政</w:t>
      </w:r>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府性基金预算财政拨款收入支出决算表</w:t>
      </w:r>
    </w:p>
    <w:p>
      <w:pPr>
        <w:pStyle w:val="3"/>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bookmarkStart w:id="68" w:name="_Toc15396629"/>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十一、</w:t>
      </w:r>
      <w:bookmarkEnd w:id="68"/>
      <w:r>
        <w:rPr>
          <w:rFonts w:hint="eastAsia" w:ascii="仿宋_GB2312" w:hAnsi="仿宋_GB2312" w:eastAsia="仿宋_GB2312" w:cs="仿宋_GB2312"/>
          <w:b w:val="0"/>
          <w:color w:val="000000" w:themeColor="text1"/>
          <w:highlight w:val="none"/>
          <w14:textFill>
            <w14:solidFill>
              <w14:schemeClr w14:val="tx1"/>
            </w14:solidFill>
          </w14:textFill>
        </w:rPr>
        <w:t>国</w:t>
      </w:r>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有资本经营预算</w:t>
      </w:r>
      <w:r>
        <w:rPr>
          <w:rStyle w:val="33"/>
          <w:rFonts w:hint="eastAsia" w:ascii="仿宋_GB2312" w:hAnsi="仿宋_GB2312" w:eastAsia="仿宋_GB2312" w:cs="仿宋_GB2312"/>
          <w:b w:val="0"/>
          <w:bCs w:val="0"/>
          <w:color w:val="000000" w:themeColor="text1"/>
          <w:highlight w:val="none"/>
          <w:lang w:eastAsia="zh-CN"/>
          <w14:textFill>
            <w14:solidFill>
              <w14:schemeClr w14:val="tx1"/>
            </w14:solidFill>
          </w14:textFill>
        </w:rPr>
        <w:t>财政拨款收入</w:t>
      </w:r>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支出决算表</w:t>
      </w:r>
    </w:p>
    <w:p>
      <w:pPr>
        <w:pStyle w:val="3"/>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000000" w:themeColor="text1"/>
          <w:highlight w:val="none"/>
          <w14:textFill>
            <w14:solidFill>
              <w14:schemeClr w14:val="tx1"/>
            </w14:solidFill>
          </w14:textFill>
        </w:rPr>
      </w:pPr>
      <w:bookmarkStart w:id="69" w:name="_Toc15396630"/>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十二、</w:t>
      </w:r>
      <w:bookmarkEnd w:id="69"/>
      <w:r>
        <w:rPr>
          <w:rStyle w:val="33"/>
          <w:rFonts w:hint="eastAsia" w:ascii="仿宋_GB2312" w:hAnsi="仿宋_GB2312" w:eastAsia="仿宋_GB2312" w:cs="仿宋_GB2312"/>
          <w:b w:val="0"/>
          <w:bCs w:val="0"/>
          <w:color w:val="000000" w:themeColor="text1"/>
          <w:highlight w:val="none"/>
          <w:lang w:eastAsia="zh-CN"/>
          <w14:textFill>
            <w14:solidFill>
              <w14:schemeClr w14:val="tx1"/>
            </w14:solidFill>
          </w14:textFill>
        </w:rPr>
        <w:t>国有资本经营预算财政拨款支出决算表</w:t>
      </w:r>
    </w:p>
    <w:p>
      <w:pPr>
        <w:pStyle w:val="3"/>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000000" w:themeColor="text1"/>
          <w:highlight w:val="none"/>
          <w:lang w:eastAsia="zh-CN"/>
          <w14:textFill>
            <w14:solidFill>
              <w14:schemeClr w14:val="tx1"/>
            </w14:solidFill>
          </w14:textFill>
        </w:rPr>
      </w:pPr>
      <w:bookmarkStart w:id="70" w:name="_Toc15396631"/>
      <w:r>
        <w:rPr>
          <w:rStyle w:val="33"/>
          <w:rFonts w:hint="eastAsia" w:ascii="仿宋_GB2312" w:hAnsi="仿宋_GB2312" w:eastAsia="仿宋_GB2312" w:cs="仿宋_GB2312"/>
          <w:b w:val="0"/>
          <w:bCs w:val="0"/>
          <w:color w:val="000000" w:themeColor="text1"/>
          <w:highlight w:val="none"/>
          <w14:textFill>
            <w14:solidFill>
              <w14:schemeClr w14:val="tx1"/>
            </w14:solidFill>
          </w14:textFill>
        </w:rPr>
        <w:t>十三、</w:t>
      </w:r>
      <w:bookmarkEnd w:id="70"/>
      <w:r>
        <w:rPr>
          <w:rStyle w:val="33"/>
          <w:rFonts w:hint="eastAsia" w:ascii="仿宋_GB2312" w:hAnsi="仿宋_GB2312" w:eastAsia="仿宋_GB2312" w:cs="仿宋_GB2312"/>
          <w:b w:val="0"/>
          <w:bCs w:val="0"/>
          <w:color w:val="000000" w:themeColor="text1"/>
          <w:highlight w:val="none"/>
          <w:lang w:eastAsia="zh-CN"/>
          <w14:textFill>
            <w14:solidFill>
              <w14:schemeClr w14:val="tx1"/>
            </w14:solidFill>
          </w14:textFill>
        </w:rPr>
        <w:t>财政拨款“三公”经费支出决算表</w:t>
      </w:r>
    </w:p>
    <w:sectPr>
      <w:headerReference r:id="rId4" w:type="first"/>
      <w:footerReference r:id="rId6" w:type="first"/>
      <w:headerReference r:id="rId3" w:type="default"/>
      <w:footerReference r:id="rId5"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Liberation Sans">
    <w:altName w:val="Arial"/>
    <w:panose1 w:val="00000000000000000000"/>
    <w:charset w:val="01"/>
    <w:family w:val="swiss"/>
    <w:pitch w:val="default"/>
    <w:sig w:usb0="00000000" w:usb1="00000000" w:usb2="00000000" w:usb3="00000000" w:csb0="00040001" w:csb1="00000000"/>
  </w:font>
  <w:font w:name="Noto Sans CJK SC Regular">
    <w:altName w:val="Arial Unicode MS"/>
    <w:panose1 w:val="00000000000000000000"/>
    <w:charset w:val="01"/>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迷你简小标宋">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8"/>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rPr>
                      <w:t xml:space="preserve"> </w:t>
                    </w:r>
                    <w:r>
                      <w:rPr>
                        <w:rFonts w:hint="eastAsia" w:ascii="宋体" w:hAnsi="宋体" w:eastAsia="宋体" w:cs="宋体"/>
                        <w:sz w:val="28"/>
                        <w:szCs w:val="28"/>
                        <w:lang w:eastAsia="zh-CN"/>
                      </w:rPr>
                      <w:t>—</w:t>
                    </w: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152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573E6"/>
    <w:multiLevelType w:val="singleLevel"/>
    <w:tmpl w:val="B02573E6"/>
    <w:lvl w:ilvl="0" w:tentative="0">
      <w:start w:val="3"/>
      <w:numFmt w:val="chineseCounting"/>
      <w:suff w:val="nothing"/>
      <w:lvlText w:val="（%1）"/>
      <w:lvlJc w:val="left"/>
      <w:rPr>
        <w:rFonts w:hint="eastAsia"/>
      </w:rPr>
    </w:lvl>
  </w:abstractNum>
  <w:abstractNum w:abstractNumId="1">
    <w:nsid w:val="BBA35C71"/>
    <w:multiLevelType w:val="singleLevel"/>
    <w:tmpl w:val="BBA35C71"/>
    <w:lvl w:ilvl="0" w:tentative="0">
      <w:start w:val="2"/>
      <w:numFmt w:val="decimal"/>
      <w:suff w:val="space"/>
      <w:lvlText w:val="%1."/>
      <w:lvlJc w:val="left"/>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2922577E"/>
    <w:multiLevelType w:val="singleLevel"/>
    <w:tmpl w:val="2922577E"/>
    <w:lvl w:ilvl="0" w:tentative="0">
      <w:start w:val="2"/>
      <w:numFmt w:val="decimal"/>
      <w:suff w:val="space"/>
      <w:lvlText w:val="%1."/>
      <w:lvlJc w:val="left"/>
    </w:lvl>
  </w:abstractNum>
  <w:abstractNum w:abstractNumId="6">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6"/>
  </w:num>
  <w:num w:numId="2">
    <w:abstractNumId w:val="4"/>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iNWE5YTAxMGZlNDhhNmRlNGUwZGQ1YjM0NzI3Nm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105B3"/>
    <w:rsid w:val="015975B8"/>
    <w:rsid w:val="02143E91"/>
    <w:rsid w:val="066E0107"/>
    <w:rsid w:val="07996F6E"/>
    <w:rsid w:val="0A2032A3"/>
    <w:rsid w:val="0A8C0C42"/>
    <w:rsid w:val="0C841217"/>
    <w:rsid w:val="0F98263C"/>
    <w:rsid w:val="101860EC"/>
    <w:rsid w:val="108F5D13"/>
    <w:rsid w:val="10C055FF"/>
    <w:rsid w:val="118107EC"/>
    <w:rsid w:val="12274B45"/>
    <w:rsid w:val="137B0AA6"/>
    <w:rsid w:val="138C2CC1"/>
    <w:rsid w:val="13D50BC4"/>
    <w:rsid w:val="15046C6E"/>
    <w:rsid w:val="16BB723D"/>
    <w:rsid w:val="1AD71B4C"/>
    <w:rsid w:val="1BE8440E"/>
    <w:rsid w:val="1BEB0537"/>
    <w:rsid w:val="1D155CEE"/>
    <w:rsid w:val="1DFE1FA0"/>
    <w:rsid w:val="1FF35744"/>
    <w:rsid w:val="21CC5486"/>
    <w:rsid w:val="23860B96"/>
    <w:rsid w:val="240371BF"/>
    <w:rsid w:val="240E5CC6"/>
    <w:rsid w:val="2538775C"/>
    <w:rsid w:val="26C26CF7"/>
    <w:rsid w:val="28397CDC"/>
    <w:rsid w:val="29813F30"/>
    <w:rsid w:val="29FD04D3"/>
    <w:rsid w:val="2C8A61B5"/>
    <w:rsid w:val="2DF04E50"/>
    <w:rsid w:val="2E5A3799"/>
    <w:rsid w:val="2F040D46"/>
    <w:rsid w:val="2FE30054"/>
    <w:rsid w:val="306D4B10"/>
    <w:rsid w:val="319F7F4E"/>
    <w:rsid w:val="32A9493D"/>
    <w:rsid w:val="3304709D"/>
    <w:rsid w:val="33A66308"/>
    <w:rsid w:val="34EC77A1"/>
    <w:rsid w:val="36AA5135"/>
    <w:rsid w:val="37306987"/>
    <w:rsid w:val="376D39B2"/>
    <w:rsid w:val="37E16F03"/>
    <w:rsid w:val="37FF41CE"/>
    <w:rsid w:val="38D469F0"/>
    <w:rsid w:val="3A265085"/>
    <w:rsid w:val="3A9B4763"/>
    <w:rsid w:val="3D98207C"/>
    <w:rsid w:val="3E78745D"/>
    <w:rsid w:val="43BC62B5"/>
    <w:rsid w:val="44E268DA"/>
    <w:rsid w:val="4583699D"/>
    <w:rsid w:val="467B618C"/>
    <w:rsid w:val="4A627F82"/>
    <w:rsid w:val="4B0E749A"/>
    <w:rsid w:val="4B4F25DA"/>
    <w:rsid w:val="4BE068DB"/>
    <w:rsid w:val="4C351649"/>
    <w:rsid w:val="4D577224"/>
    <w:rsid w:val="4DA07F9C"/>
    <w:rsid w:val="4EAB630A"/>
    <w:rsid w:val="4ECE2238"/>
    <w:rsid w:val="4EEA6C06"/>
    <w:rsid w:val="4F992E4A"/>
    <w:rsid w:val="52885D6E"/>
    <w:rsid w:val="537E6D0A"/>
    <w:rsid w:val="576956F6"/>
    <w:rsid w:val="58AC0BF6"/>
    <w:rsid w:val="58EE582A"/>
    <w:rsid w:val="59096793"/>
    <w:rsid w:val="5AF92295"/>
    <w:rsid w:val="5BA466A3"/>
    <w:rsid w:val="5C3A23F1"/>
    <w:rsid w:val="5CD71FC4"/>
    <w:rsid w:val="5E3BD9D7"/>
    <w:rsid w:val="5E7B17AF"/>
    <w:rsid w:val="5EF03B48"/>
    <w:rsid w:val="63487723"/>
    <w:rsid w:val="6697005E"/>
    <w:rsid w:val="679A2115"/>
    <w:rsid w:val="67C61CAF"/>
    <w:rsid w:val="687A1573"/>
    <w:rsid w:val="68EF365D"/>
    <w:rsid w:val="6AD434B1"/>
    <w:rsid w:val="6ADF69B9"/>
    <w:rsid w:val="6C4A05C8"/>
    <w:rsid w:val="6E5E34F1"/>
    <w:rsid w:val="6E7E3605"/>
    <w:rsid w:val="6E8864BA"/>
    <w:rsid w:val="6FF5CC65"/>
    <w:rsid w:val="715C0E4B"/>
    <w:rsid w:val="72734D90"/>
    <w:rsid w:val="72C232B3"/>
    <w:rsid w:val="72CFEC3E"/>
    <w:rsid w:val="73AD73D5"/>
    <w:rsid w:val="73B6EB34"/>
    <w:rsid w:val="744731E5"/>
    <w:rsid w:val="767E397C"/>
    <w:rsid w:val="76B822CB"/>
    <w:rsid w:val="76E3355F"/>
    <w:rsid w:val="778769C8"/>
    <w:rsid w:val="792E27DA"/>
    <w:rsid w:val="79EE5BA4"/>
    <w:rsid w:val="7A894339"/>
    <w:rsid w:val="7BAFB79F"/>
    <w:rsid w:val="7BEB053E"/>
    <w:rsid w:val="7BFE6AF1"/>
    <w:rsid w:val="7CD750DF"/>
    <w:rsid w:val="7D0211AE"/>
    <w:rsid w:val="7DBC785F"/>
    <w:rsid w:val="7E52017D"/>
    <w:rsid w:val="7EBD0EA6"/>
    <w:rsid w:val="7EEF11D3"/>
    <w:rsid w:val="7F2B555A"/>
    <w:rsid w:val="7FA30C79"/>
    <w:rsid w:val="7FB7269E"/>
    <w:rsid w:val="7FC96657"/>
    <w:rsid w:val="D8D6DB89"/>
    <w:rsid w:val="DB6F4CAB"/>
    <w:rsid w:val="DF6F9789"/>
    <w:rsid w:val="E87FDFFA"/>
    <w:rsid w:val="EB2DB28E"/>
    <w:rsid w:val="FE3A5065"/>
    <w:rsid w:val="FE7DB5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rPr>
      <w:rFonts w:ascii="Calibri" w:hAnsi="Calibri" w:cs="Calibri"/>
      <w:szCs w:val="21"/>
    </w:rPr>
  </w:style>
  <w:style w:type="paragraph" w:styleId="6">
    <w:name w:val="Body Text"/>
    <w:basedOn w:val="1"/>
    <w:next w:val="1"/>
    <w:link w:val="29"/>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ody Text Indent 2"/>
    <w:basedOn w:val="1"/>
    <w:qFormat/>
    <w:uiPriority w:val="99"/>
    <w:pPr>
      <w:spacing w:after="120" w:line="480" w:lineRule="auto"/>
      <w:ind w:left="420"/>
    </w:pPr>
  </w:style>
  <w:style w:type="paragraph" w:styleId="10">
    <w:name w:val="Balloon Text"/>
    <w:basedOn w:val="1"/>
    <w:link w:val="35"/>
    <w:semiHidden/>
    <w:unhideWhenUsed/>
    <w:qFormat/>
    <w:uiPriority w:val="99"/>
    <w:rPr>
      <w:sz w:val="18"/>
      <w:szCs w:val="18"/>
    </w:rPr>
  </w:style>
  <w:style w:type="paragraph" w:styleId="11">
    <w:name w:val="footer"/>
    <w:basedOn w:val="1"/>
    <w:next w:val="12"/>
    <w:link w:val="27"/>
    <w:qFormat/>
    <w:uiPriority w:val="99"/>
    <w:pPr>
      <w:tabs>
        <w:tab w:val="center" w:pos="4153"/>
        <w:tab w:val="right" w:pos="8306"/>
      </w:tabs>
      <w:snapToGrid w:val="0"/>
      <w:jc w:val="left"/>
    </w:pPr>
    <w:rPr>
      <w:rFonts w:ascii="Calibri" w:hAnsi="Calibri"/>
      <w:kern w:val="0"/>
      <w:sz w:val="18"/>
      <w:szCs w:val="18"/>
    </w:rPr>
  </w:style>
  <w:style w:type="paragraph" w:styleId="12">
    <w:name w:val="Normal (Web)"/>
    <w:basedOn w:val="1"/>
    <w:next w:val="11"/>
    <w:unhideWhenUsed/>
    <w:qFormat/>
    <w:uiPriority w:val="0"/>
    <w:pPr>
      <w:widowControl/>
      <w:spacing w:before="100" w:beforeAutospacing="1" w:after="100" w:afterAutospacing="1"/>
      <w:jc w:val="left"/>
    </w:pPr>
    <w:rPr>
      <w:rFonts w:ascii="宋体" w:hAnsi="宋体" w:cs="宋体"/>
      <w:kern w:val="0"/>
      <w:sz w:val="24"/>
    </w:rPr>
  </w:style>
  <w:style w:type="paragraph" w:styleId="13">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able of figures"/>
    <w:basedOn w:val="1"/>
    <w:next w:val="1"/>
    <w:qFormat/>
    <w:uiPriority w:val="0"/>
    <w:pPr>
      <w:ind w:left="400" w:leftChars="200" w:hanging="200" w:hangingChars="200"/>
    </w:pPr>
    <w:rPr>
      <w:rFonts w:ascii="Calibri" w:hAnsi="Calibri" w:cs="Calibri"/>
      <w:szCs w:val="21"/>
    </w:rPr>
  </w:style>
  <w:style w:type="paragraph" w:styleId="16">
    <w:name w:val="toc 2"/>
    <w:basedOn w:val="1"/>
    <w:next w:val="1"/>
    <w:unhideWhenUsed/>
    <w:qFormat/>
    <w:uiPriority w:val="39"/>
    <w:pPr>
      <w:tabs>
        <w:tab w:val="right" w:leader="dot" w:pos="8296"/>
      </w:tabs>
      <w:ind w:left="420" w:leftChars="200"/>
    </w:pPr>
  </w:style>
  <w:style w:type="paragraph" w:styleId="17">
    <w:name w:val="annotation subject"/>
    <w:basedOn w:val="5"/>
    <w:next w:val="5"/>
    <w:qFormat/>
    <w:uiPriority w:val="0"/>
    <w:rPr>
      <w:b/>
      <w:bCs/>
    </w:rPr>
  </w:style>
  <w:style w:type="paragraph" w:styleId="18">
    <w:name w:val="Body Text First Indent 2"/>
    <w:basedOn w:val="7"/>
    <w:next w:val="7"/>
    <w:unhideWhenUsed/>
    <w:qFormat/>
    <w:uiPriority w:val="99"/>
    <w:pPr>
      <w:ind w:firstLine="420" w:firstLineChars="200"/>
    </w:p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paragraph" w:customStyle="1" w:styleId="23">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4">
    <w:name w:val="Header Char"/>
    <w:basedOn w:val="20"/>
    <w:semiHidden/>
    <w:qFormat/>
    <w:uiPriority w:val="99"/>
    <w:rPr>
      <w:rFonts w:ascii="Times New Roman" w:hAnsi="Times New Roman"/>
      <w:sz w:val="18"/>
      <w:szCs w:val="18"/>
    </w:rPr>
  </w:style>
  <w:style w:type="character" w:customStyle="1" w:styleId="25">
    <w:name w:val="页眉 Char"/>
    <w:link w:val="13"/>
    <w:semiHidden/>
    <w:qFormat/>
    <w:locked/>
    <w:uiPriority w:val="99"/>
    <w:rPr>
      <w:sz w:val="18"/>
    </w:rPr>
  </w:style>
  <w:style w:type="character" w:customStyle="1" w:styleId="26">
    <w:name w:val="Footer Char"/>
    <w:basedOn w:val="20"/>
    <w:semiHidden/>
    <w:qFormat/>
    <w:uiPriority w:val="99"/>
    <w:rPr>
      <w:rFonts w:ascii="Times New Roman" w:hAnsi="Times New Roman"/>
      <w:sz w:val="18"/>
      <w:szCs w:val="18"/>
    </w:rPr>
  </w:style>
  <w:style w:type="character" w:customStyle="1" w:styleId="27">
    <w:name w:val="页脚 Char"/>
    <w:link w:val="11"/>
    <w:qFormat/>
    <w:locked/>
    <w:uiPriority w:val="99"/>
    <w:rPr>
      <w:sz w:val="18"/>
    </w:rPr>
  </w:style>
  <w:style w:type="character" w:customStyle="1" w:styleId="28">
    <w:name w:val="Body Text Char"/>
    <w:basedOn w:val="20"/>
    <w:semiHidden/>
    <w:qFormat/>
    <w:uiPriority w:val="99"/>
    <w:rPr>
      <w:rFonts w:ascii="Times New Roman" w:hAnsi="Times New Roman"/>
      <w:szCs w:val="24"/>
    </w:rPr>
  </w:style>
  <w:style w:type="character" w:customStyle="1" w:styleId="29">
    <w:name w:val="正文文本 Char"/>
    <w:link w:val="6"/>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Char"/>
    <w:basedOn w:val="20"/>
    <w:link w:val="2"/>
    <w:qFormat/>
    <w:uiPriority w:val="9"/>
    <w:rPr>
      <w:rFonts w:ascii="Times New Roman" w:hAnsi="Times New Roman"/>
      <w:b/>
      <w:bCs/>
      <w:kern w:val="44"/>
      <w:sz w:val="44"/>
      <w:szCs w:val="44"/>
    </w:rPr>
  </w:style>
  <w:style w:type="character" w:customStyle="1" w:styleId="33">
    <w:name w:val="标题 2 Char"/>
    <w:basedOn w:val="20"/>
    <w:link w:val="3"/>
    <w:qFormat/>
    <w:uiPriority w:val="9"/>
    <w:rPr>
      <w:rFonts w:asciiTheme="majorHAnsi" w:hAnsiTheme="majorHAnsi" w:eastAsiaTheme="majorEastAsia" w:cstheme="majorBidi"/>
      <w:b/>
      <w:bCs/>
      <w:kern w:val="2"/>
      <w:sz w:val="32"/>
      <w:szCs w:val="32"/>
    </w:rPr>
  </w:style>
  <w:style w:type="paragraph" w:customStyle="1" w:styleId="34">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0"/>
    <w:link w:val="10"/>
    <w:semiHidden/>
    <w:qFormat/>
    <w:uiPriority w:val="99"/>
    <w:rPr>
      <w:rFonts w:ascii="Times New Roman" w:hAnsi="Times New Roman"/>
      <w:kern w:val="2"/>
      <w:sz w:val="18"/>
      <w:szCs w:val="18"/>
    </w:rPr>
  </w:style>
  <w:style w:type="character" w:customStyle="1" w:styleId="36">
    <w:name w:val="标题 3 Char"/>
    <w:basedOn w:val="20"/>
    <w:link w:val="4"/>
    <w:qFormat/>
    <w:uiPriority w:val="9"/>
    <w:rPr>
      <w:rFonts w:ascii="Times New Roman" w:hAnsi="Times New Roman"/>
      <w:b/>
      <w:bCs/>
      <w:kern w:val="2"/>
      <w:sz w:val="32"/>
      <w:szCs w:val="32"/>
    </w:rPr>
  </w:style>
  <w:style w:type="paragraph" w:customStyle="1" w:styleId="37">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9">
    <w:name w:val="NormalCharacter"/>
    <w:qFormat/>
    <w:uiPriority w:val="0"/>
    <w:rPr>
      <w:kern w:val="2"/>
      <w:sz w:val="21"/>
      <w:szCs w:val="24"/>
      <w:lang w:val="en-US" w:eastAsia="zh-CN" w:bidi="ar-SA"/>
    </w:rPr>
  </w:style>
  <w:style w:type="paragraph" w:customStyle="1" w:styleId="40">
    <w:name w:val="样式 行距: 固定值 28.9 磅"/>
    <w:basedOn w:val="1"/>
    <w:next w:val="41"/>
    <w:qFormat/>
    <w:uiPriority w:val="0"/>
    <w:pPr>
      <w:spacing w:line="578" w:lineRule="exact"/>
    </w:pPr>
    <w:rPr>
      <w:rFonts w:cs="宋体"/>
      <w:szCs w:val="20"/>
      <w:lang w:bidi="ar-SA"/>
    </w:rPr>
  </w:style>
  <w:style w:type="paragraph" w:customStyle="1" w:styleId="41">
    <w:name w:val="Heading"/>
    <w:basedOn w:val="1"/>
    <w:next w:val="6"/>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42">
    <w:name w:val="BodyTextIndent2"/>
    <w:basedOn w:val="1"/>
    <w:qFormat/>
    <w:uiPriority w:val="0"/>
    <w:pPr>
      <w:spacing w:after="120" w:line="480" w:lineRule="auto"/>
      <w:ind w:left="420"/>
      <w:jc w:val="both"/>
      <w:textAlignment w:val="baseline"/>
    </w:pPr>
  </w:style>
  <w:style w:type="character" w:customStyle="1" w:styleId="43">
    <w:name w:val="font61"/>
    <w:basedOn w:val="20"/>
    <w:qFormat/>
    <w:uiPriority w:val="0"/>
    <w:rPr>
      <w:rFonts w:hint="eastAsia" w:ascii="宋体" w:hAnsi="宋体" w:eastAsia="宋体" w:cs="宋体"/>
      <w:color w:val="000000"/>
      <w:sz w:val="18"/>
      <w:szCs w:val="18"/>
      <w:u w:val="none"/>
    </w:rPr>
  </w:style>
  <w:style w:type="character" w:customStyle="1" w:styleId="44">
    <w:name w:val="font51"/>
    <w:basedOn w:val="20"/>
    <w:qFormat/>
    <w:uiPriority w:val="0"/>
    <w:rPr>
      <w:rFonts w:hint="eastAsia" w:ascii="宋体" w:hAnsi="宋体" w:eastAsia="宋体" w:cs="宋体"/>
      <w:color w:val="000000"/>
      <w:sz w:val="18"/>
      <w:szCs w:val="18"/>
      <w:u w:val="none"/>
    </w:rPr>
  </w:style>
  <w:style w:type="character" w:customStyle="1" w:styleId="45">
    <w:name w:val="font71"/>
    <w:basedOn w:val="20"/>
    <w:qFormat/>
    <w:uiPriority w:val="0"/>
    <w:rPr>
      <w:rFonts w:hint="eastAsia" w:ascii="宋体" w:hAnsi="宋体" w:eastAsia="宋体" w:cs="宋体"/>
      <w:color w:val="000000"/>
      <w:sz w:val="18"/>
      <w:szCs w:val="18"/>
      <w:u w:val="none"/>
    </w:rPr>
  </w:style>
  <w:style w:type="paragraph" w:customStyle="1" w:styleId="46">
    <w:name w:val="Char"/>
    <w:basedOn w:val="1"/>
    <w:qFormat/>
    <w:uiPriority w:val="99"/>
    <w:pPr>
      <w:widowControl/>
      <w:spacing w:after="160" w:line="240" w:lineRule="exact"/>
      <w:jc w:val="left"/>
    </w:pPr>
    <w:rPr>
      <w:rFonts w:cs="Times New Roman"/>
      <w:szCs w:val="24"/>
    </w:rPr>
  </w:style>
  <w:style w:type="character" w:customStyle="1" w:styleId="47">
    <w:name w:val="font11"/>
    <w:basedOn w:val="20"/>
    <w:qFormat/>
    <w:uiPriority w:val="0"/>
    <w:rPr>
      <w:rFonts w:hint="eastAsia" w:ascii="宋体" w:hAnsi="宋体" w:eastAsia="宋体" w:cs="宋体"/>
      <w:b/>
      <w:bCs/>
      <w:color w:val="000000"/>
      <w:sz w:val="32"/>
      <w:szCs w:val="32"/>
      <w:u w:val="none"/>
    </w:rPr>
  </w:style>
  <w:style w:type="character" w:customStyle="1" w:styleId="48">
    <w:name w:val="font21"/>
    <w:basedOn w:val="2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036524413687"/>
          <c:y val="0.106910039113429"/>
          <c:w val="0.891118800461361"/>
          <c:h val="0.816531942633638"/>
        </c:manualLayout>
      </c:layout>
      <c:barChart>
        <c:barDir val="col"/>
        <c:grouping val="stacked"/>
        <c:varyColors val="0"/>
        <c:ser>
          <c:idx val="0"/>
          <c:order val="0"/>
          <c:tx>
            <c:strRef>
              <c:f>Sheet1!$B$1</c:f>
              <c:strCache>
                <c:ptCount val="1"/>
                <c:pt idx="0">
                  <c:v>收、支决算总计</c:v>
                </c:pt>
              </c:strCache>
            </c:strRef>
          </c:tx>
          <c:spPr>
            <a:solidFill>
              <a:schemeClr val="accent1"/>
            </a:solidFill>
            <a:ln>
              <a:noFill/>
            </a:ln>
            <a:effectLst/>
          </c:spPr>
          <c:invertIfNegative val="0"/>
          <c:dLbls>
            <c:dLbl>
              <c:idx val="0"/>
              <c:layout>
                <c:manualLayout>
                  <c:x val="0.00743303857490709"/>
                  <c:y val="-0.365058670143416"/>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2529.41万元</a:t>
                    </a:r>
                  </a:p>
                </c:rich>
              </c:tx>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69127258746636"/>
                  <c:y val="-0.262581486310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1714.33万元</a:t>
                    </a:r>
                  </a:p>
                </c:rich>
              </c:tx>
              <c:dLblPos val="ctr"/>
              <c:showLegendKey val="0"/>
              <c:showVal val="1"/>
              <c:showCatName val="0"/>
              <c:showSerName val="0"/>
              <c:showPercent val="0"/>
              <c:showBubbleSize val="0"/>
              <c:extLst>
                <c:ext xmlns:c15="http://schemas.microsoft.com/office/drawing/2012/chart" uri="{CE6537A1-D6FC-4f65-9D91-7224C49458BB}">
                  <c15:layout>
                    <c:manualLayout>
                      <c:w val="0.141355888760733"/>
                      <c:h val="0.156975228161669"/>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2529.41</c:v>
                </c:pt>
                <c:pt idx="1">
                  <c:v>1714.33</c:v>
                </c:pt>
              </c:numCache>
            </c:numRef>
          </c:val>
        </c:ser>
        <c:dLbls>
          <c:showLegendKey val="0"/>
          <c:showVal val="1"/>
          <c:showCatName val="0"/>
          <c:showSerName val="0"/>
          <c:showPercent val="0"/>
          <c:showBubbleSize val="0"/>
        </c:dLbls>
        <c:gapWidth val="150"/>
        <c:overlap val="100"/>
        <c:axId val="192898560"/>
        <c:axId val="192900096"/>
      </c:barChart>
      <c:catAx>
        <c:axId val="1928985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2900096"/>
        <c:crosses val="autoZero"/>
        <c:auto val="1"/>
        <c:lblAlgn val="ctr"/>
        <c:lblOffset val="100"/>
        <c:noMultiLvlLbl val="0"/>
      </c:catAx>
      <c:valAx>
        <c:axId val="192900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2898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8895131086142"/>
          <c:y val="0.0267175572519084"/>
          <c:w val="0.519662921348315"/>
          <c:h val="0.756543075245365"/>
        </c:manualLayout>
      </c:layout>
      <c:pieChart>
        <c:varyColors val="1"/>
        <c:ser>
          <c:idx val="0"/>
          <c:order val="0"/>
          <c:tx>
            <c:strRef>
              <c:f>Sheet1!$B$1</c:f>
              <c:strCache>
                <c:ptCount val="1"/>
                <c:pt idx="0">
                  <c:v>收入</c:v>
                </c:pt>
              </c:strCache>
            </c:strRef>
          </c:tx>
          <c:spPr/>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Pt>
          <c:dLbls>
            <c:delete val="1"/>
          </c:dLbls>
          <c:cat>
            <c:strRef>
              <c:f>Sheet1!$A$2:$A$3</c:f>
              <c:strCache>
                <c:ptCount val="2"/>
                <c:pt idx="0">
                  <c:v>一般公共预算财政拨款收入</c:v>
                </c:pt>
              </c:strCache>
            </c:strRef>
          </c:cat>
          <c:val>
            <c:numRef>
              <c:f>Sheet1!$B$2:$B$3</c:f>
              <c:numCache>
                <c:formatCode>General</c:formatCode>
                <c:ptCount val="2"/>
                <c:pt idx="0">
                  <c:v>1414.42</c:v>
                </c:pt>
              </c:numCache>
            </c:numRef>
          </c:val>
        </c:ser>
        <c:ser>
          <c:idx val="1"/>
          <c:order val="1"/>
          <c:tx>
            <c:strRef>
              <c:f>Sheet1!#REF!</c:f>
              <c:strCache>
                <c:ptCount val="1"/>
                <c:pt idx="0">
                  <c:v/>
                </c:pt>
              </c:strCache>
            </c:strRef>
          </c:tx>
          <c:spPr/>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Sheet1!$A$2:$A$3</c:f>
              <c:strCache>
                <c:ptCount val="2"/>
                <c:pt idx="0">
                  <c:v>一般公共预算财政拨款收入</c:v>
                </c:pt>
              </c:strCache>
            </c:strRef>
          </c:cat>
          <c:val>
            <c:numRef>
              <c:f>Sheet1!#REF!</c:f>
              <c:numCache>
                <c:formatCode>General</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1"/>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zero"/>
    <c:showDLblsOverMax val="0"/>
  </c:chart>
  <c:spPr>
    <a:no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金额</c:v>
                </c:pt>
              </c:strCache>
            </c:strRef>
          </c:tx>
          <c:spPr/>
          <c:explosion val="0"/>
          <c:dPt>
            <c:idx val="0"/>
            <c:bubble3D val="0"/>
            <c:spPr>
              <a:solidFill>
                <a:schemeClr val="accent1"/>
              </a:solidFill>
              <a:ln w="19050">
                <a:solidFill>
                  <a:schemeClr val="lt1"/>
                </a:solidFill>
              </a:ln>
              <a:effectLst/>
            </c:spPr>
          </c:dPt>
          <c:dPt>
            <c:idx val="1"/>
            <c:bubble3D val="0"/>
            <c:spPr>
              <a:solidFill>
                <a:schemeClr val="accent3"/>
              </a:solidFill>
              <a:ln w="19050">
                <a:solidFill>
                  <a:schemeClr val="lt1"/>
                </a:solidFill>
              </a:ln>
              <a:effectLst/>
            </c:spPr>
          </c:dPt>
          <c:dLbls>
            <c:dLbl>
              <c:idx val="0"/>
              <c:layout>
                <c:manualLayout>
                  <c:x val="-0.193591835290135"/>
                  <c:y val="0.0498150997728698"/>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sz="1050">
                        <a:solidFill>
                          <a:schemeClr val="bg1"/>
                        </a:solidFill>
                      </a:rPr>
                      <a:t>768.15</a:t>
                    </a:r>
                    <a:r>
                      <a:rPr sz="1050">
                        <a:solidFill>
                          <a:schemeClr val="bg1"/>
                        </a:solidFill>
                      </a:rPr>
                      <a:t>万元占</a:t>
                    </a:r>
                    <a:r>
                      <a:rPr lang="en-US" altLang="zh-CN" sz="1050">
                        <a:solidFill>
                          <a:schemeClr val="bg1"/>
                        </a:solidFill>
                      </a:rPr>
                      <a:t>44.81%</a:t>
                    </a:r>
                    <a:endParaRPr lang="en-US" altLang="zh-CN" sz="1050">
                      <a:solidFill>
                        <a:schemeClr val="bg1"/>
                      </a:solidFill>
                    </a:endParaRP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93978981253046"/>
                  <c:y val="-0.0769656030068193"/>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sz="1050">
                        <a:solidFill>
                          <a:schemeClr val="bg1"/>
                        </a:solidFill>
                      </a:rPr>
                      <a:t>946.18</a:t>
                    </a:r>
                    <a:r>
                      <a:rPr sz="1050">
                        <a:solidFill>
                          <a:schemeClr val="bg1"/>
                        </a:solidFill>
                      </a:rPr>
                      <a:t>万元</a:t>
                    </a:r>
                    <a:endParaRPr sz="1050">
                      <a:solidFill>
                        <a:schemeClr val="bg1"/>
                      </a:solidFill>
                    </a:endParaRPr>
                  </a:p>
                  <a:p>
                    <a:pPr>
                      <a:defRPr lang="zh-CN" sz="900" b="0" i="0" u="none" strike="noStrike" kern="1200" baseline="0">
                        <a:solidFill>
                          <a:schemeClr val="tx1">
                            <a:lumMod val="75000"/>
                            <a:lumOff val="25000"/>
                          </a:schemeClr>
                        </a:solidFill>
                        <a:latin typeface="+mn-lt"/>
                        <a:ea typeface="+mn-ea"/>
                        <a:cs typeface="+mn-cs"/>
                      </a:defRPr>
                    </a:pPr>
                    <a:r>
                      <a:rPr sz="1050">
                        <a:solidFill>
                          <a:schemeClr val="bg1"/>
                        </a:solidFill>
                      </a:rPr>
                      <a:t>占</a:t>
                    </a:r>
                    <a:r>
                      <a:rPr lang="en-US" altLang="zh-CN" sz="1050">
                        <a:solidFill>
                          <a:schemeClr val="bg1"/>
                        </a:solidFill>
                      </a:rPr>
                      <a:t>55.19%</a:t>
                    </a:r>
                    <a:endParaRPr lang="en-US" altLang="zh-CN" sz="1050">
                      <a:solidFill>
                        <a:schemeClr val="bg1"/>
                      </a:solidFill>
                    </a:endParaRPr>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768.15</c:v>
                </c:pt>
                <c:pt idx="1">
                  <c:v>946.18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293974358974359"/>
          <c:y val="0.84675440553201"/>
          <c:w val="0.391025641025641"/>
          <c:h val="0.12647780504126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367757544887"/>
          <c:y val="0.0351720647773279"/>
          <c:w val="0.891812046351713"/>
          <c:h val="0.789524291497976"/>
        </c:manualLayout>
      </c:layout>
      <c:barChart>
        <c:barDir val="col"/>
        <c:grouping val="stacked"/>
        <c:varyColors val="0"/>
        <c:ser>
          <c:idx val="0"/>
          <c:order val="0"/>
          <c:tx>
            <c:strRef>
              <c:f>Sheet1!$B$1</c:f>
              <c:strCache>
                <c:ptCount val="1"/>
                <c:pt idx="0">
                  <c:v>收、支决算总计</c:v>
                </c:pt>
              </c:strCache>
            </c:strRef>
          </c:tx>
          <c:spPr>
            <a:solidFill>
              <a:schemeClr val="accent1"/>
            </a:solidFill>
            <a:ln>
              <a:noFill/>
            </a:ln>
            <a:effectLst/>
          </c:spPr>
          <c:invertIfNegative val="0"/>
          <c:dLbls>
            <c:dLbl>
              <c:idx val="0"/>
              <c:layout>
                <c:manualLayout>
                  <c:x val="-0.00725837259645995"/>
                  <c:y val="-0.36310728744939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2529.41万元</a:t>
                    </a:r>
                  </a:p>
                </c:rich>
              </c:tx>
              <c:dLblPos val="ctr"/>
              <c:showLegendKey val="0"/>
              <c:showVal val="1"/>
              <c:showCatName val="0"/>
              <c:showSerName val="0"/>
              <c:showPercent val="0"/>
              <c:showBubbleSize val="0"/>
              <c:extLst>
                <c:ext xmlns:c15="http://schemas.microsoft.com/office/drawing/2012/chart" uri="{CE6537A1-D6FC-4f65-9D91-7224C49458BB}">
                  <c15:layout>
                    <c:manualLayout>
                      <c:w val="0.152553164395772"/>
                      <c:h val="0.0594635627530364"/>
                    </c:manualLayout>
                  </c15:layout>
                </c:ext>
              </c:extLst>
            </c:dLbl>
            <c:dLbl>
              <c:idx val="1"/>
              <c:layout>
                <c:manualLayout>
                  <c:x val="0.00458423532407997"/>
                  <c:y val="-0.25860323886639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1714.33万元</a:t>
                    </a:r>
                  </a:p>
                </c:rich>
              </c:tx>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2529.41</c:v>
                </c:pt>
                <c:pt idx="1">
                  <c:v>1714.33</c:v>
                </c:pt>
              </c:numCache>
            </c:numRef>
          </c:val>
        </c:ser>
        <c:dLbls>
          <c:showLegendKey val="0"/>
          <c:showVal val="1"/>
          <c:showCatName val="0"/>
          <c:showSerName val="0"/>
          <c:showPercent val="0"/>
          <c:showBubbleSize val="0"/>
        </c:dLbls>
        <c:gapWidth val="150"/>
        <c:overlap val="100"/>
        <c:axId val="194951808"/>
        <c:axId val="259486080"/>
      </c:barChart>
      <c:catAx>
        <c:axId val="194951808"/>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2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259486080"/>
        <c:crosses val="autoZero"/>
        <c:auto val="1"/>
        <c:lblAlgn val="ctr"/>
        <c:lblOffset val="100"/>
        <c:noMultiLvlLbl val="0"/>
      </c:catAx>
      <c:valAx>
        <c:axId val="259486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49518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Lbl>
              <c:idx val="0"/>
              <c:layout>
                <c:manualLayout>
                  <c:x val="0.00520140316922705"/>
                  <c:y val="-0.082314964261009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1740.44万元</a:t>
                    </a:r>
                  </a:p>
                </c:rich>
              </c:tx>
              <c:dLblPos val="in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338696020321761"/>
                  <c:y val="-0.11505649066174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1714.33万元</a:t>
                    </a:r>
                  </a:p>
                </c:rich>
              </c:tx>
              <c:dLblPos val="inEnd"/>
              <c:showLegendKey val="0"/>
              <c:showVal val="1"/>
              <c:showCatName val="0"/>
              <c:showSerName val="0"/>
              <c:showPercent val="0"/>
              <c:showBubbleSize val="0"/>
              <c:extLst>
                <c:ext xmlns:c15="http://schemas.microsoft.com/office/drawing/2012/chart" uri="{CE6537A1-D6FC-4f65-9D91-7224C49458BB}">
                  <c15:layout>
                    <c:manualLayout>
                      <c:w val="0.134268779484698"/>
                      <c:h val="0.119437399123818"/>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1740.44</c:v>
                </c:pt>
                <c:pt idx="1">
                  <c:v>1714.33</c:v>
                </c:pt>
              </c:numCache>
            </c:numRef>
          </c:val>
        </c:ser>
        <c:dLbls>
          <c:showLegendKey val="0"/>
          <c:showVal val="1"/>
          <c:showCatName val="0"/>
          <c:showSerName val="0"/>
          <c:showPercent val="0"/>
          <c:showBubbleSize val="0"/>
        </c:dLbls>
        <c:gapWidth val="219"/>
        <c:overlap val="-27"/>
        <c:axId val="268116352"/>
        <c:axId val="268117888"/>
      </c:barChart>
      <c:catAx>
        <c:axId val="268116352"/>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200" b="1"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268117888"/>
        <c:crosses val="autoZero"/>
        <c:auto val="1"/>
        <c:lblAlgn val="ctr"/>
        <c:lblOffset val="100"/>
        <c:noMultiLvlLbl val="0"/>
      </c:catAx>
      <c:valAx>
        <c:axId val="268117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8116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3010809385711"/>
          <c:y val="0.00810153929246557"/>
          <c:w val="0.430134458212497"/>
          <c:h val="0.881177423710505"/>
        </c:manualLayout>
      </c:layout>
      <c:pieChart>
        <c:varyColors val="1"/>
        <c:ser>
          <c:idx val="0"/>
          <c:order val="0"/>
          <c:tx>
            <c:strRef>
              <c:f>Sheet1!$B$1</c:f>
              <c:strCache>
                <c:ptCount val="1"/>
                <c:pt idx="0">
                  <c:v>销售额</c:v>
                </c:pt>
              </c:strCache>
            </c:strRef>
          </c:tx>
          <c:spPr/>
          <c:explosion val="0"/>
          <c:dPt>
            <c:idx val="0"/>
            <c:bubble3D val="0"/>
            <c:spPr>
              <a:solidFill>
                <a:schemeClr val="accent6"/>
              </a:solidFill>
              <a:ln w="19050">
                <a:solidFill>
                  <a:schemeClr val="lt1"/>
                </a:solidFill>
              </a:ln>
              <a:effectLst/>
            </c:spPr>
          </c:dPt>
          <c:dPt>
            <c:idx val="1"/>
            <c:bubble3D val="0"/>
            <c:spPr>
              <a:solidFill>
                <a:schemeClr val="accent5"/>
              </a:solidFill>
              <a:ln w="19050">
                <a:solidFill>
                  <a:schemeClr val="lt1"/>
                </a:solidFill>
              </a:ln>
              <a:effectLst/>
            </c:spPr>
          </c:dPt>
          <c:dPt>
            <c:idx val="2"/>
            <c:bubble3D val="0"/>
            <c:spPr>
              <a:solidFill>
                <a:schemeClr val="accent4"/>
              </a:solidFill>
              <a:ln w="19050">
                <a:solidFill>
                  <a:schemeClr val="lt1"/>
                </a:solidFill>
              </a:ln>
              <a:effectLst/>
            </c:spPr>
          </c:dPt>
          <c:dLbls>
            <c:dLbl>
              <c:idx val="0"/>
              <c:layout>
                <c:manualLayout>
                  <c:x val="0.111031617924398"/>
                  <c:y val="0.12233060901661"/>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48.27万元,占 2.82%</a:t>
                    </a:r>
                  </a:p>
                </c:rich>
              </c:tx>
              <c:dLblPos val="bestFit"/>
              <c:showLegendKey val="0"/>
              <c:showVal val="1"/>
              <c:showCatName val="0"/>
              <c:showSerName val="0"/>
              <c:showPercent val="1"/>
              <c:showBubbleSize val="0"/>
              <c:extLst>
                <c:ext xmlns:c15="http://schemas.microsoft.com/office/drawing/2012/chart" uri="{CE6537A1-D6FC-4f65-9D91-7224C49458BB}">
                  <c15:layout>
                    <c:manualLayout>
                      <c:w val="0.249060804229859"/>
                      <c:h val="0.0738201950962299"/>
                    </c:manualLayout>
                  </c15:layout>
                </c:ext>
              </c:extLst>
            </c:dLbl>
            <c:dLbl>
              <c:idx val="1"/>
              <c:layout>
                <c:manualLayout>
                  <c:x val="0.00292979462639836"/>
                  <c:y val="-0.27274345326375"/>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1604.13万元,        </a:t>
                    </a:r>
                  </a:p>
                  <a:p>
                    <a:pPr>
                      <a:defRPr lang="zh-CN" sz="900" b="0" i="0" u="none" strike="noStrike" kern="1200" baseline="0">
                        <a:solidFill>
                          <a:schemeClr val="tx1">
                            <a:lumMod val="75000"/>
                            <a:lumOff val="25000"/>
                          </a:schemeClr>
                        </a:solidFill>
                        <a:latin typeface="+mn-lt"/>
                        <a:ea typeface="+mn-ea"/>
                        <a:cs typeface="+mn-cs"/>
                      </a:defRPr>
                    </a:pPr>
                    <a:r>
                      <a:t> 占93.57%</a:t>
                    </a:r>
                  </a:p>
                </c:rich>
              </c:tx>
              <c:numFmt formatCode="General" sourceLinked="1"/>
              <c:spPr>
                <a:solidFill>
                  <a:schemeClr val="accent5"/>
                </a:solid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extLst>
                <c:ext xmlns:c15="http://schemas.microsoft.com/office/drawing/2012/chart" uri="{CE6537A1-D6FC-4f65-9D91-7224C49458BB}">
                  <c15:layout>
                    <c:manualLayout>
                      <c:w val="0.211492973424238"/>
                      <c:h val="0.211969417347746"/>
                    </c:manualLayout>
                  </c15:layout>
                </c:ext>
              </c:extLst>
            </c:dLbl>
            <c:dLbl>
              <c:idx val="2"/>
              <c:layout>
                <c:manualLayout>
                  <c:x val="-0.105441577587693"/>
                  <c:y val="0.152649617716847"/>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61.93万元, 占3.61%</a:t>
                    </a:r>
                  </a:p>
                </c:rich>
              </c:tx>
              <c:numFmt formatCode="General" sourceLinked="1"/>
              <c:spPr>
                <a:solidFill>
                  <a:schemeClr val="accent4"/>
                </a:solid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extLst>
                <c:ext xmlns:c15="http://schemas.microsoft.com/office/drawing/2012/chart" uri="{CE6537A1-D6FC-4f65-9D91-7224C49458BB}">
                  <c15:layout>
                    <c:manualLayout>
                      <c:w val="0.243912620008348"/>
                      <c:h val="0.0904297389928816"/>
                    </c:manualLayout>
                  </c15:layout>
                </c:ext>
              </c:extLst>
            </c:dLbl>
            <c:spPr>
              <a:solidFill>
                <a:schemeClr val="accent6"/>
              </a:solid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社会保障和就业（类）支出</c:v>
                </c:pt>
                <c:pt idx="1">
                  <c:v>卫生健康支出</c:v>
                </c:pt>
                <c:pt idx="2">
                  <c:v>住房保障支出</c:v>
                </c:pt>
              </c:strCache>
            </c:strRef>
          </c:cat>
          <c:val>
            <c:numRef>
              <c:f>Sheet1!$B$2:$B$4</c:f>
              <c:numCache>
                <c:formatCode>General</c:formatCode>
                <c:ptCount val="3"/>
                <c:pt idx="0">
                  <c:v>48.27</c:v>
                </c:pt>
                <c:pt idx="1">
                  <c:v>1604.13</c:v>
                </c:pt>
                <c:pt idx="2">
                  <c:v>61.93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c:v>
                </c:pt>
              </c:strCache>
            </c:strRef>
          </c:tx>
          <c:spPr/>
          <c:explosion val="0"/>
          <c:dPt>
            <c:idx val="0"/>
            <c:bubble3D val="0"/>
            <c:spPr>
              <a:solidFill>
                <a:schemeClr val="accent1"/>
              </a:solidFill>
              <a:ln>
                <a:solidFill>
                  <a:schemeClr val="bg1"/>
                </a:solidFill>
              </a:ln>
              <a:effectLst/>
            </c:spPr>
          </c:dPt>
          <c:dLbls>
            <c:delete val="1"/>
          </c:dLbls>
          <c:cat>
            <c:strRef>
              <c:f>Sheet1!$A$2</c:f>
              <c:strCache>
                <c:ptCount val="1"/>
                <c:pt idx="0">
                  <c:v>公务接待支出</c:v>
                </c:pt>
              </c:strCache>
            </c:strRef>
          </c:cat>
          <c:val>
            <c:numRef>
              <c:f>Sheet1!$B$2</c:f>
              <c:numCache>
                <c:formatCode>General</c:formatCode>
                <c:ptCount val="1"/>
                <c:pt idx="0">
                  <c:v>100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23</Pages>
  <Words>7861</Words>
  <Characters>8341</Characters>
  <Lines>61</Lines>
  <Paragraphs>17</Paragraphs>
  <TotalTime>9</TotalTime>
  <ScaleCrop>false</ScaleCrop>
  <LinksUpToDate>false</LinksUpToDate>
  <CharactersWithSpaces>8364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&amp; 双儿 &amp;</cp:lastModifiedBy>
  <cp:lastPrinted>2023-09-26T23:53:00Z</cp:lastPrinted>
  <dcterms:modified xsi:type="dcterms:W3CDTF">2023-09-28T03:32:35Z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9B93260FE49E4A9391A8314A4F1F864B</vt:lpwstr>
  </property>
</Properties>
</file>