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color w:val="auto"/>
          <w:sz w:val="21"/>
          <w:szCs w:val="21"/>
          <w:highlight w:val="none"/>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pStyle w:val="2"/>
      </w:pPr>
    </w:p>
    <w:p>
      <w:pPr>
        <w:pStyle w:val="2"/>
      </w:pPr>
    </w:p>
    <w:p>
      <w:pPr>
        <w:pStyle w:val="2"/>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20738"/>
      <w:bookmarkStart w:id="2" w:name="_Toc15377193"/>
      <w:bookmarkStart w:id="3" w:name="_Toc15378441"/>
      <w:bookmarkStart w:id="4" w:name="_Toc15377425"/>
      <w:bookmarkStart w:id="5" w:name="_Toc15396475"/>
      <w:bookmarkStart w:id="6"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7" w:name="_Toc15377426"/>
      <w:bookmarkStart w:id="8" w:name="_Toc15377194"/>
      <w:bookmarkStart w:id="9" w:name="_Toc15378442"/>
      <w:bookmarkStart w:id="10" w:name="_Toc15396476"/>
      <w:bookmarkStart w:id="11" w:name="_Toc15396598"/>
      <w:bookmarkStart w:id="12" w:name="_Toc9006"/>
      <w:r>
        <w:rPr>
          <w:rFonts w:hint="eastAsia" w:ascii="方正小标宋简体" w:hAnsi="方正小标宋简体" w:eastAsia="方正小标宋简体" w:cs="方正小标宋简体"/>
          <w:color w:val="auto"/>
          <w:sz w:val="72"/>
          <w:szCs w:val="72"/>
          <w:highlight w:val="none"/>
          <w:lang w:eastAsia="zh-CN"/>
        </w:rPr>
        <w:t>广元市</w:t>
      </w:r>
      <w:bookmarkEnd w:id="0"/>
      <w:bookmarkStart w:id="13" w:name="_Toc15306268"/>
      <w:r>
        <w:rPr>
          <w:rFonts w:hint="eastAsia" w:ascii="方正小标宋简体" w:hAnsi="方正小标宋简体" w:eastAsia="方正小标宋简体" w:cs="方正小标宋简体"/>
          <w:color w:val="auto"/>
          <w:sz w:val="72"/>
          <w:szCs w:val="72"/>
          <w:highlight w:val="none"/>
          <w:lang w:eastAsia="zh-CN"/>
        </w:rPr>
        <w:t>档案馆部门</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3"/>
      <w:r>
        <w:rPr>
          <w:rFonts w:hint="eastAsia" w:ascii="方正小标宋简体" w:hAnsi="方正小标宋简体" w:eastAsia="方正小标宋简体" w:cs="方正小标宋简体"/>
          <w:color w:val="auto"/>
          <w:sz w:val="72"/>
          <w:szCs w:val="72"/>
          <w:highlight w:val="none"/>
          <w:lang w:eastAsia="zh-CN"/>
        </w:rPr>
        <w:t>公开</w:t>
      </w:r>
      <w:bookmarkEnd w:id="12"/>
    </w:p>
    <w:p>
      <w:pPr>
        <w:pageBreakBefore w:val="0"/>
        <w:widowControl/>
        <w:kinsoku/>
        <w:wordWrap/>
        <w:overflowPunct/>
        <w:topLinePunct w:val="0"/>
        <w:bidi w:val="0"/>
        <w:spacing w:line="560" w:lineRule="exact"/>
        <w:ind w:left="0" w:leftChars="0" w:right="0"/>
        <w:jc w:val="center"/>
        <w:textAlignment w:val="auto"/>
        <w:rPr>
          <w:rFonts w:ascii="方正小标宋简体" w:hAnsi="宋体" w:eastAsia="方正小标宋简体"/>
          <w:color w:val="auto"/>
          <w:sz w:val="36"/>
          <w:szCs w:val="36"/>
          <w:highlight w:val="none"/>
        </w:rPr>
      </w:pPr>
      <w:r>
        <w:rPr>
          <w:rFonts w:ascii="方正小标宋简体" w:hAnsi="宋体" w:eastAsia="方正小标宋简体"/>
          <w:color w:val="auto"/>
          <w:sz w:val="36"/>
          <w:szCs w:val="36"/>
          <w:highlight w:val="none"/>
        </w:rPr>
        <w:br w:type="page"/>
      </w:r>
    </w:p>
    <w:p>
      <w:pPr>
        <w:pageBreakBefore w:val="0"/>
        <w:widowControl/>
        <w:kinsoku/>
        <w:wordWrap/>
        <w:overflowPunct/>
        <w:topLinePunct w:val="0"/>
        <w:bidi w:val="0"/>
        <w:spacing w:line="560" w:lineRule="exact"/>
        <w:ind w:left="0" w:leftChars="0" w:right="0"/>
        <w:jc w:val="center"/>
        <w:textAlignment w:val="auto"/>
        <w:rPr>
          <w:rFonts w:hint="eastAsia" w:ascii="仿宋" w:hAnsi="仿宋" w:eastAsia="仿宋"/>
          <w:b/>
          <w:color w:val="auto"/>
          <w:sz w:val="40"/>
          <w:szCs w:val="40"/>
          <w:highlight w:val="none"/>
        </w:rPr>
      </w:pPr>
      <w:r>
        <w:rPr>
          <w:rFonts w:hint="eastAsia" w:ascii="仿宋" w:hAnsi="仿宋" w:eastAsia="仿宋"/>
          <w:b/>
          <w:color w:val="auto"/>
          <w:sz w:val="40"/>
          <w:szCs w:val="40"/>
          <w:highlight w:val="none"/>
        </w:rPr>
        <w:t>目   录</w:t>
      </w:r>
    </w:p>
    <w:p>
      <w:pPr>
        <w:pageBreakBefore w:val="0"/>
        <w:widowControl/>
        <w:kinsoku/>
        <w:wordWrap/>
        <w:overflowPunct/>
        <w:topLinePunct w:val="0"/>
        <w:bidi w:val="0"/>
        <w:spacing w:line="560" w:lineRule="exact"/>
        <w:ind w:left="0" w:leftChars="0" w:right="0"/>
        <w:jc w:val="center"/>
        <w:textAlignment w:val="auto"/>
        <w:outlineLvl w:val="0"/>
        <w:rPr>
          <w:rFonts w:hint="eastAsia" w:ascii="仿宋" w:hAnsi="仿宋" w:eastAsia="仿宋"/>
          <w:b/>
          <w:color w:val="auto"/>
          <w:sz w:val="24"/>
          <w:highlight w:val="none"/>
        </w:rPr>
      </w:pPr>
      <w:bookmarkStart w:id="14" w:name="_Toc17052"/>
      <w:r>
        <w:rPr>
          <w:rFonts w:hint="eastAsia" w:ascii="仿宋" w:hAnsi="仿宋" w:eastAsia="仿宋"/>
          <w:b/>
          <w:color w:val="auto"/>
          <w:sz w:val="24"/>
          <w:highlight w:val="none"/>
        </w:rPr>
        <w:t>公开时间：2023年10月7日</w:t>
      </w:r>
      <w:bookmarkEnd w:id="14"/>
    </w:p>
    <w:sdt>
      <w:sdtPr>
        <w:rPr>
          <w:rFonts w:ascii="宋体" w:hAnsi="宋体" w:eastAsia="宋体" w:cs="Times New Roman"/>
          <w:kern w:val="2"/>
          <w:sz w:val="21"/>
          <w:szCs w:val="24"/>
          <w:lang w:val="en-US" w:eastAsia="zh-CN" w:bidi="ar-SA"/>
        </w:rPr>
        <w:id w:val="147477556"/>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20"/>
            <w:tabs>
              <w:tab w:val="right" w:leader="dot" w:pos="8845"/>
            </w:tabs>
            <w:rPr>
              <w:b/>
            </w:rPr>
          </w:pPr>
          <w:r>
            <w:fldChar w:fldCharType="begin"/>
          </w:r>
          <w:r>
            <w:instrText xml:space="preserve">TOC \o "1-2" \h \u </w:instrText>
          </w:r>
          <w:r>
            <w:fldChar w:fldCharType="separate"/>
          </w:r>
          <w:r>
            <w:rPr>
              <w:b/>
            </w:rPr>
            <w:fldChar w:fldCharType="begin"/>
          </w:r>
          <w:r>
            <w:rPr>
              <w:b/>
            </w:rPr>
            <w:instrText xml:space="preserve"> HYPERLINK \l _Toc19888 </w:instrText>
          </w:r>
          <w:r>
            <w:rPr>
              <w:b/>
            </w:rPr>
            <w:fldChar w:fldCharType="separate"/>
          </w:r>
          <w:r>
            <w:rPr>
              <w:rFonts w:hint="eastAsia" w:ascii="黑体" w:hAnsi="黑体" w:eastAsia="黑体" w:cs="Times New Roman"/>
              <w:b/>
              <w:bCs w:val="0"/>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_Toc19888 \h </w:instrText>
          </w:r>
          <w:r>
            <w:rPr>
              <w:b/>
            </w:rPr>
            <w:fldChar w:fldCharType="separate"/>
          </w:r>
          <w:r>
            <w:rPr>
              <w:b/>
            </w:rPr>
            <w:t>3</w:t>
          </w:r>
          <w:r>
            <w:rPr>
              <w:b/>
            </w:rPr>
            <w:fldChar w:fldCharType="end"/>
          </w:r>
          <w:r>
            <w:rPr>
              <w:b/>
            </w:rPr>
            <w:fldChar w:fldCharType="end"/>
          </w:r>
        </w:p>
        <w:p>
          <w:pPr>
            <w:pStyle w:val="21"/>
            <w:tabs>
              <w:tab w:val="right" w:leader="dot" w:pos="8845"/>
            </w:tabs>
          </w:pPr>
          <w:r>
            <w:fldChar w:fldCharType="begin"/>
          </w:r>
          <w:r>
            <w:instrText xml:space="preserve"> HYPERLINK \l _Toc11981 </w:instrText>
          </w:r>
          <w:r>
            <w:fldChar w:fldCharType="separate"/>
          </w:r>
          <w:r>
            <w:rPr>
              <w:rFonts w:hint="eastAsia" w:ascii="黑体" w:hAnsi="黑体" w:eastAsia="黑体"/>
              <w:highlight w:val="none"/>
              <w:lang w:eastAsia="zh-CN"/>
            </w:rPr>
            <w:t>一、部门职责</w:t>
          </w:r>
          <w:r>
            <w:tab/>
          </w:r>
          <w:r>
            <w:fldChar w:fldCharType="begin"/>
          </w:r>
          <w:r>
            <w:instrText xml:space="preserve"> PAGEREF _Toc11981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_Toc2329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_Toc2329 \h </w:instrText>
          </w:r>
          <w:r>
            <w:fldChar w:fldCharType="separate"/>
          </w:r>
          <w:r>
            <w:t>3</w:t>
          </w:r>
          <w:r>
            <w:fldChar w:fldCharType="end"/>
          </w:r>
          <w:r>
            <w:fldChar w:fldCharType="end"/>
          </w:r>
        </w:p>
        <w:p>
          <w:pPr>
            <w:pStyle w:val="20"/>
            <w:tabs>
              <w:tab w:val="right" w:leader="dot" w:pos="8845"/>
            </w:tabs>
            <w:rPr>
              <w:b/>
            </w:rPr>
          </w:pPr>
          <w:r>
            <w:rPr>
              <w:b/>
            </w:rPr>
            <w:fldChar w:fldCharType="begin"/>
          </w:r>
          <w:r>
            <w:rPr>
              <w:b/>
            </w:rPr>
            <w:instrText xml:space="preserve"> HYPERLINK \l _Toc13305 </w:instrText>
          </w:r>
          <w:r>
            <w:rPr>
              <w:b/>
            </w:rPr>
            <w:fldChar w:fldCharType="separate"/>
          </w:r>
          <w:r>
            <w:rPr>
              <w:rFonts w:hint="eastAsia" w:ascii="黑体" w:hAnsi="黑体" w:eastAsia="黑体" w:cs="Times New Roman"/>
              <w:b/>
              <w:bCs/>
              <w:highlight w:val="none"/>
            </w:rPr>
            <w:t xml:space="preserve">第二部分 </w:t>
          </w:r>
          <w:r>
            <w:rPr>
              <w:rFonts w:hint="eastAsia" w:ascii="黑体" w:hAnsi="黑体" w:eastAsia="黑体" w:cs="Times New Roman"/>
              <w:b/>
              <w:bCs/>
              <w:highlight w:val="none"/>
              <w:lang w:val="en-US" w:eastAsia="zh-CN"/>
            </w:rPr>
            <w:t>2022年度</w:t>
          </w:r>
          <w:r>
            <w:rPr>
              <w:rFonts w:hint="eastAsia" w:ascii="黑体" w:hAnsi="黑体" w:eastAsia="黑体"/>
              <w:b/>
              <w:bCs/>
              <w:highlight w:val="none"/>
            </w:rPr>
            <w:t>部门决算情况说明</w:t>
          </w:r>
          <w:r>
            <w:rPr>
              <w:b/>
            </w:rPr>
            <w:tab/>
          </w:r>
          <w:r>
            <w:rPr>
              <w:b/>
            </w:rPr>
            <w:fldChar w:fldCharType="begin"/>
          </w:r>
          <w:r>
            <w:rPr>
              <w:b/>
            </w:rPr>
            <w:instrText xml:space="preserve"> PAGEREF _Toc13305 \h </w:instrText>
          </w:r>
          <w:r>
            <w:rPr>
              <w:b/>
            </w:rPr>
            <w:fldChar w:fldCharType="separate"/>
          </w:r>
          <w:r>
            <w:rPr>
              <w:b/>
            </w:rPr>
            <w:t>4</w:t>
          </w:r>
          <w:r>
            <w:rPr>
              <w:b/>
            </w:rPr>
            <w:fldChar w:fldCharType="end"/>
          </w:r>
          <w:r>
            <w:rPr>
              <w:b/>
            </w:rPr>
            <w:fldChar w:fldCharType="end"/>
          </w:r>
        </w:p>
        <w:p>
          <w:pPr>
            <w:pStyle w:val="21"/>
            <w:tabs>
              <w:tab w:val="right" w:leader="dot" w:pos="8845"/>
            </w:tabs>
          </w:pPr>
          <w:r>
            <w:fldChar w:fldCharType="begin"/>
          </w:r>
          <w:r>
            <w:instrText xml:space="preserve"> HYPERLINK \l _Toc30150 </w:instrText>
          </w:r>
          <w:r>
            <w:fldChar w:fldCharType="separate"/>
          </w:r>
          <w:r>
            <w:rPr>
              <w:rFonts w:hint="eastAsia" w:ascii="黑体" w:hAnsi="黑体" w:eastAsia="黑体"/>
              <w:szCs w:val="32"/>
              <w:highlight w:val="none"/>
              <w:lang w:eastAsia="zh-CN"/>
            </w:rPr>
            <w:t>一、</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_Toc30150 \h </w:instrText>
          </w:r>
          <w:r>
            <w:fldChar w:fldCharType="separate"/>
          </w:r>
          <w:r>
            <w:t>4</w:t>
          </w:r>
          <w:r>
            <w:fldChar w:fldCharType="end"/>
          </w:r>
          <w:r>
            <w:fldChar w:fldCharType="end"/>
          </w:r>
        </w:p>
        <w:p>
          <w:pPr>
            <w:pStyle w:val="21"/>
            <w:tabs>
              <w:tab w:val="right" w:leader="dot" w:pos="8845"/>
            </w:tabs>
          </w:pPr>
          <w:r>
            <w:fldChar w:fldCharType="begin"/>
          </w:r>
          <w:r>
            <w:instrText xml:space="preserve"> HYPERLINK \l _Toc24557 </w:instrText>
          </w:r>
          <w:r>
            <w:fldChar w:fldCharType="separate"/>
          </w:r>
          <w:r>
            <w:rPr>
              <w:rFonts w:hint="eastAsia" w:ascii="黑体" w:hAnsi="黑体" w:eastAsia="黑体"/>
              <w:szCs w:val="32"/>
              <w:highlight w:val="none"/>
              <w:lang w:eastAsia="zh-CN"/>
            </w:rPr>
            <w:t>二、</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_Toc24557 \h </w:instrText>
          </w:r>
          <w:r>
            <w:fldChar w:fldCharType="separate"/>
          </w:r>
          <w:r>
            <w:t>4</w:t>
          </w:r>
          <w:r>
            <w:fldChar w:fldCharType="end"/>
          </w:r>
          <w:r>
            <w:fldChar w:fldCharType="end"/>
          </w:r>
        </w:p>
        <w:p>
          <w:pPr>
            <w:pStyle w:val="21"/>
            <w:tabs>
              <w:tab w:val="right" w:leader="dot" w:pos="8845"/>
            </w:tabs>
          </w:pPr>
          <w:r>
            <w:fldChar w:fldCharType="begin"/>
          </w:r>
          <w:r>
            <w:instrText xml:space="preserve"> HYPERLINK \l _Toc24509 </w:instrText>
          </w:r>
          <w:r>
            <w:fldChar w:fldCharType="separate"/>
          </w:r>
          <w:r>
            <w:rPr>
              <w:rFonts w:hint="eastAsia" w:ascii="黑体" w:hAnsi="黑体" w:eastAsia="黑体"/>
              <w:szCs w:val="32"/>
              <w:highlight w:val="none"/>
              <w:lang w:eastAsia="zh-CN"/>
            </w:rPr>
            <w:t>三、</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_Toc24509 \h </w:instrText>
          </w:r>
          <w:r>
            <w:fldChar w:fldCharType="separate"/>
          </w:r>
          <w:r>
            <w:t>5</w:t>
          </w:r>
          <w:r>
            <w:fldChar w:fldCharType="end"/>
          </w:r>
          <w:r>
            <w:fldChar w:fldCharType="end"/>
          </w:r>
        </w:p>
        <w:p>
          <w:pPr>
            <w:pStyle w:val="21"/>
            <w:tabs>
              <w:tab w:val="right" w:leader="dot" w:pos="8845"/>
            </w:tabs>
          </w:pPr>
          <w:r>
            <w:fldChar w:fldCharType="begin"/>
          </w:r>
          <w:r>
            <w:instrText xml:space="preserve"> HYPERLINK \l _Toc32431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_Toc32431 \h </w:instrText>
          </w:r>
          <w:r>
            <w:fldChar w:fldCharType="separate"/>
          </w:r>
          <w:r>
            <w:t>5</w:t>
          </w:r>
          <w:r>
            <w:fldChar w:fldCharType="end"/>
          </w:r>
          <w:r>
            <w:fldChar w:fldCharType="end"/>
          </w:r>
        </w:p>
        <w:p>
          <w:pPr>
            <w:pStyle w:val="21"/>
            <w:tabs>
              <w:tab w:val="right" w:leader="dot" w:pos="8845"/>
            </w:tabs>
          </w:pPr>
          <w:r>
            <w:fldChar w:fldCharType="begin"/>
          </w:r>
          <w:r>
            <w:instrText xml:space="preserve"> HYPERLINK \l _Toc31522 </w:instrText>
          </w:r>
          <w:r>
            <w:fldChar w:fldCharType="separate"/>
          </w:r>
          <w:r>
            <w:rPr>
              <w:rFonts w:hint="eastAsia" w:ascii="黑体" w:hAnsi="黑体" w:eastAsia="黑体"/>
              <w:highlight w:val="none"/>
            </w:rPr>
            <w:t>五、一般公共预算财政拨款支出决算情况说明</w:t>
          </w:r>
          <w:r>
            <w:tab/>
          </w:r>
          <w:r>
            <w:fldChar w:fldCharType="begin"/>
          </w:r>
          <w:r>
            <w:instrText xml:space="preserve"> PAGEREF _Toc31522 \h </w:instrText>
          </w:r>
          <w:r>
            <w:fldChar w:fldCharType="separate"/>
          </w:r>
          <w:r>
            <w:t>6</w:t>
          </w:r>
          <w:r>
            <w:fldChar w:fldCharType="end"/>
          </w:r>
          <w:r>
            <w:fldChar w:fldCharType="end"/>
          </w:r>
        </w:p>
        <w:p>
          <w:pPr>
            <w:pStyle w:val="21"/>
            <w:tabs>
              <w:tab w:val="right" w:leader="dot" w:pos="8845"/>
            </w:tabs>
          </w:pPr>
          <w:r>
            <w:fldChar w:fldCharType="begin"/>
          </w:r>
          <w:r>
            <w:instrText xml:space="preserve"> HYPERLINK \l _Toc19353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_Toc19353 \h </w:instrText>
          </w:r>
          <w:r>
            <w:fldChar w:fldCharType="separate"/>
          </w:r>
          <w:r>
            <w:t>8</w:t>
          </w:r>
          <w:r>
            <w:fldChar w:fldCharType="end"/>
          </w:r>
          <w:r>
            <w:fldChar w:fldCharType="end"/>
          </w:r>
        </w:p>
        <w:p>
          <w:pPr>
            <w:pStyle w:val="21"/>
            <w:tabs>
              <w:tab w:val="right" w:leader="dot" w:pos="8845"/>
            </w:tabs>
          </w:pPr>
          <w:r>
            <w:fldChar w:fldCharType="begin"/>
          </w:r>
          <w:r>
            <w:instrText xml:space="preserve"> HYPERLINK \l _Toc15497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_Toc15497 \h </w:instrText>
          </w:r>
          <w:r>
            <w:fldChar w:fldCharType="separate"/>
          </w:r>
          <w:r>
            <w:t>8</w:t>
          </w:r>
          <w:r>
            <w:fldChar w:fldCharType="end"/>
          </w:r>
          <w:r>
            <w:fldChar w:fldCharType="end"/>
          </w:r>
        </w:p>
        <w:p>
          <w:pPr>
            <w:pStyle w:val="21"/>
            <w:tabs>
              <w:tab w:val="right" w:leader="dot" w:pos="8845"/>
            </w:tabs>
          </w:pPr>
          <w:r>
            <w:fldChar w:fldCharType="begin"/>
          </w:r>
          <w:r>
            <w:instrText xml:space="preserve"> HYPERLINK \l _Toc1932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_Toc1932 \h </w:instrText>
          </w:r>
          <w:r>
            <w:fldChar w:fldCharType="separate"/>
          </w:r>
          <w:r>
            <w:t>10</w:t>
          </w:r>
          <w:r>
            <w:fldChar w:fldCharType="end"/>
          </w:r>
          <w:r>
            <w:fldChar w:fldCharType="end"/>
          </w:r>
        </w:p>
        <w:p>
          <w:pPr>
            <w:pStyle w:val="21"/>
            <w:tabs>
              <w:tab w:val="right" w:leader="dot" w:pos="8845"/>
            </w:tabs>
          </w:pPr>
          <w:r>
            <w:fldChar w:fldCharType="begin"/>
          </w:r>
          <w:r>
            <w:instrText xml:space="preserve"> HYPERLINK \l _Toc18109 </w:instrText>
          </w:r>
          <w:r>
            <w:fldChar w:fldCharType="separate"/>
          </w:r>
          <w:r>
            <w:rPr>
              <w:rFonts w:hint="eastAsia" w:ascii="黑体" w:hAnsi="黑体" w:eastAsia="黑体"/>
              <w:highlight w:val="none"/>
              <w:lang w:eastAsia="zh-CN"/>
            </w:rPr>
            <w:t>九、</w:t>
          </w:r>
          <w:r>
            <w:rPr>
              <w:rFonts w:hint="eastAsia" w:ascii="黑体" w:hAnsi="黑体" w:eastAsia="黑体"/>
              <w:highlight w:val="none"/>
            </w:rPr>
            <w:t>国有资本经营预算支出决算情况说明</w:t>
          </w:r>
          <w:r>
            <w:tab/>
          </w:r>
          <w:r>
            <w:fldChar w:fldCharType="begin"/>
          </w:r>
          <w:r>
            <w:instrText xml:space="preserve"> PAGEREF _Toc18109 \h </w:instrText>
          </w:r>
          <w:r>
            <w:fldChar w:fldCharType="separate"/>
          </w:r>
          <w:r>
            <w:t>10</w:t>
          </w:r>
          <w:r>
            <w:fldChar w:fldCharType="end"/>
          </w:r>
          <w:r>
            <w:fldChar w:fldCharType="end"/>
          </w:r>
        </w:p>
        <w:p>
          <w:pPr>
            <w:pStyle w:val="21"/>
            <w:tabs>
              <w:tab w:val="right" w:leader="dot" w:pos="8845"/>
            </w:tabs>
          </w:pPr>
          <w:r>
            <w:fldChar w:fldCharType="begin"/>
          </w:r>
          <w:r>
            <w:instrText xml:space="preserve"> HYPERLINK \l _Toc31602 </w:instrText>
          </w:r>
          <w:r>
            <w:fldChar w:fldCharType="separate"/>
          </w:r>
          <w:r>
            <w:rPr>
              <w:rFonts w:hint="eastAsia" w:ascii="黑体" w:hAnsi="黑体" w:eastAsia="黑体"/>
              <w:highlight w:val="none"/>
              <w:lang w:eastAsia="zh-CN"/>
            </w:rPr>
            <w:t>十、</w:t>
          </w:r>
          <w:r>
            <w:rPr>
              <w:rFonts w:hint="eastAsia" w:ascii="黑体" w:hAnsi="黑体" w:eastAsia="黑体"/>
              <w:highlight w:val="none"/>
            </w:rPr>
            <w:t>其他重要事项的情况说明</w:t>
          </w:r>
          <w:r>
            <w:tab/>
          </w:r>
          <w:r>
            <w:fldChar w:fldCharType="begin"/>
          </w:r>
          <w:r>
            <w:instrText xml:space="preserve"> PAGEREF _Toc31602 \h </w:instrText>
          </w:r>
          <w:r>
            <w:fldChar w:fldCharType="separate"/>
          </w:r>
          <w:r>
            <w:t>10</w:t>
          </w:r>
          <w:r>
            <w:fldChar w:fldCharType="end"/>
          </w:r>
          <w:r>
            <w:fldChar w:fldCharType="end"/>
          </w:r>
        </w:p>
        <w:p>
          <w:pPr>
            <w:pStyle w:val="20"/>
            <w:tabs>
              <w:tab w:val="right" w:leader="dot" w:pos="8845"/>
            </w:tabs>
            <w:rPr>
              <w:b/>
            </w:rPr>
          </w:pPr>
          <w:r>
            <w:rPr>
              <w:b/>
            </w:rPr>
            <w:fldChar w:fldCharType="begin"/>
          </w:r>
          <w:r>
            <w:rPr>
              <w:b/>
            </w:rPr>
            <w:instrText xml:space="preserve"> HYPERLINK \l _Toc19882 </w:instrText>
          </w:r>
          <w:r>
            <w:rPr>
              <w:b/>
            </w:rPr>
            <w:fldChar w:fldCharType="separate"/>
          </w:r>
          <w:r>
            <w:rPr>
              <w:rFonts w:hint="eastAsia" w:ascii="黑体" w:hAnsi="黑体" w:eastAsia="黑体" w:cs="Times New Roman"/>
              <w:b/>
              <w:highlight w:val="none"/>
              <w:lang w:eastAsia="zh-CN"/>
            </w:rPr>
            <w:t>第三部分</w:t>
          </w:r>
          <w:r>
            <w:rPr>
              <w:rFonts w:hint="eastAsia" w:ascii="黑体" w:hAnsi="黑体" w:eastAsia="黑体" w:cs="Times New Roman"/>
              <w:b/>
              <w:highlight w:val="none"/>
              <w:lang w:val="en-US" w:eastAsia="zh-CN"/>
            </w:rPr>
            <w:t xml:space="preserve">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_Toc19882 \h </w:instrText>
          </w:r>
          <w:r>
            <w:rPr>
              <w:b/>
            </w:rPr>
            <w:fldChar w:fldCharType="separate"/>
          </w:r>
          <w:r>
            <w:rPr>
              <w:b/>
            </w:rPr>
            <w:t>12</w:t>
          </w:r>
          <w:r>
            <w:rPr>
              <w:b/>
            </w:rPr>
            <w:fldChar w:fldCharType="end"/>
          </w:r>
          <w:r>
            <w:rPr>
              <w:b/>
            </w:rPr>
            <w:fldChar w:fldCharType="end"/>
          </w:r>
        </w:p>
        <w:p>
          <w:pPr>
            <w:pStyle w:val="20"/>
            <w:tabs>
              <w:tab w:val="right" w:leader="dot" w:pos="8845"/>
            </w:tabs>
            <w:rPr>
              <w:b/>
            </w:rPr>
          </w:pPr>
          <w:r>
            <w:rPr>
              <w:b/>
            </w:rPr>
            <w:fldChar w:fldCharType="begin"/>
          </w:r>
          <w:r>
            <w:rPr>
              <w:b/>
            </w:rPr>
            <w:instrText xml:space="preserve"> HYPERLINK \l _Toc15523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_Toc15523 \h </w:instrText>
          </w:r>
          <w:r>
            <w:rPr>
              <w:b/>
            </w:rPr>
            <w:fldChar w:fldCharType="separate"/>
          </w:r>
          <w:r>
            <w:rPr>
              <w:b/>
            </w:rPr>
            <w:t>14</w:t>
          </w:r>
          <w:r>
            <w:rPr>
              <w:b/>
            </w:rPr>
            <w:fldChar w:fldCharType="end"/>
          </w:r>
          <w:r>
            <w:rPr>
              <w:b/>
            </w:rPr>
            <w:fldChar w:fldCharType="end"/>
          </w:r>
        </w:p>
        <w:p>
          <w:pPr>
            <w:pStyle w:val="20"/>
            <w:tabs>
              <w:tab w:val="right" w:leader="dot" w:pos="8845"/>
            </w:tabs>
            <w:rPr>
              <w:b/>
            </w:rPr>
          </w:pPr>
          <w:r>
            <w:rPr>
              <w:b/>
            </w:rPr>
            <w:fldChar w:fldCharType="begin"/>
          </w:r>
          <w:r>
            <w:rPr>
              <w:b/>
            </w:rPr>
            <w:instrText xml:space="preserve"> HYPERLINK \l _Toc25666 </w:instrText>
          </w:r>
          <w:r>
            <w:rPr>
              <w:b/>
            </w:rPr>
            <w:fldChar w:fldCharType="separate"/>
          </w:r>
          <w:r>
            <w:rPr>
              <w:rFonts w:hint="eastAsia" w:ascii="黑体" w:hAnsi="黑体" w:eastAsia="黑体"/>
              <w:b/>
              <w:highlight w:val="none"/>
              <w:lang w:val="en-US" w:eastAsia="zh-CN"/>
            </w:rPr>
            <w:t>第五部分</w:t>
          </w:r>
          <w:r>
            <w:rPr>
              <w:rFonts w:hint="eastAsia" w:hAnsi="仿宋_GB2312" w:eastAsia="仿宋_GB2312" w:cs="仿宋_GB2312"/>
              <w:b/>
              <w:szCs w:val="32"/>
              <w:highlight w:val="none"/>
              <w:lang w:val="en-US" w:eastAsia="zh-CN"/>
            </w:rPr>
            <w:t xml:space="preserve"> </w:t>
          </w:r>
          <w:r>
            <w:rPr>
              <w:rFonts w:hint="eastAsia" w:ascii="黑体" w:hAnsi="黑体" w:eastAsia="黑体"/>
              <w:b/>
              <w:highlight w:val="none"/>
            </w:rPr>
            <w:t>附表</w:t>
          </w:r>
          <w:r>
            <w:rPr>
              <w:b/>
            </w:rPr>
            <w:tab/>
          </w:r>
          <w:r>
            <w:rPr>
              <w:b/>
            </w:rPr>
            <w:fldChar w:fldCharType="begin"/>
          </w:r>
          <w:r>
            <w:rPr>
              <w:b/>
            </w:rPr>
            <w:instrText xml:space="preserve"> PAGEREF _Toc25666 \h </w:instrText>
          </w:r>
          <w:r>
            <w:rPr>
              <w:b/>
            </w:rPr>
            <w:fldChar w:fldCharType="separate"/>
          </w:r>
          <w:r>
            <w:rPr>
              <w:b/>
            </w:rPr>
            <w:t>32</w:t>
          </w:r>
          <w:r>
            <w:rPr>
              <w:b/>
            </w:rPr>
            <w:fldChar w:fldCharType="end"/>
          </w:r>
          <w:r>
            <w:rPr>
              <w:b/>
            </w:rPr>
            <w:fldChar w:fldCharType="end"/>
          </w:r>
        </w:p>
        <w:p>
          <w:pPr>
            <w:pStyle w:val="21"/>
            <w:tabs>
              <w:tab w:val="right" w:leader="dot" w:pos="8845"/>
            </w:tabs>
          </w:pPr>
          <w:r>
            <w:fldChar w:fldCharType="begin"/>
          </w:r>
          <w:r>
            <w:instrText xml:space="preserve"> HYPERLINK \l _Toc16096 </w:instrText>
          </w:r>
          <w:r>
            <w:fldChar w:fldCharType="separate"/>
          </w:r>
          <w:r>
            <w:rPr>
              <w:rFonts w:hint="eastAsia" w:ascii="黑体" w:hAnsi="黑体" w:eastAsia="黑体" w:cs="黑体"/>
              <w:highlight w:val="none"/>
            </w:rPr>
            <w:t>一、收</w:t>
          </w:r>
          <w:r>
            <w:rPr>
              <w:rFonts w:hint="eastAsia" w:ascii="黑体" w:hAnsi="黑体" w:eastAsia="黑体" w:cs="黑体"/>
              <w:bCs w:val="0"/>
              <w:highlight w:val="none"/>
            </w:rPr>
            <w:t>入支出决算总表</w:t>
          </w:r>
          <w:r>
            <w:tab/>
          </w:r>
          <w:r>
            <w:fldChar w:fldCharType="begin"/>
          </w:r>
          <w:r>
            <w:instrText xml:space="preserve"> PAGEREF _Toc16096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_Toc20144 </w:instrText>
          </w:r>
          <w:r>
            <w:fldChar w:fldCharType="separate"/>
          </w:r>
          <w:r>
            <w:rPr>
              <w:rFonts w:hint="eastAsia" w:ascii="黑体" w:hAnsi="黑体" w:eastAsia="黑体" w:cs="黑体"/>
              <w:highlight w:val="none"/>
            </w:rPr>
            <w:t>二、收</w:t>
          </w:r>
          <w:r>
            <w:rPr>
              <w:rFonts w:hint="eastAsia" w:ascii="黑体" w:hAnsi="黑体" w:eastAsia="黑体" w:cs="黑体"/>
              <w:bCs w:val="0"/>
              <w:highlight w:val="none"/>
            </w:rPr>
            <w:t>入决算表</w:t>
          </w:r>
          <w:r>
            <w:tab/>
          </w:r>
          <w:r>
            <w:fldChar w:fldCharType="begin"/>
          </w:r>
          <w:r>
            <w:instrText xml:space="preserve"> PAGEREF _Toc20144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_Toc28020 </w:instrText>
          </w:r>
          <w:r>
            <w:fldChar w:fldCharType="separate"/>
          </w:r>
          <w:r>
            <w:rPr>
              <w:rFonts w:hint="eastAsia" w:ascii="黑体" w:hAnsi="黑体" w:eastAsia="黑体" w:cs="黑体"/>
              <w:bCs w:val="0"/>
              <w:highlight w:val="none"/>
            </w:rPr>
            <w:t>三、</w:t>
          </w:r>
          <w:r>
            <w:rPr>
              <w:rFonts w:hint="eastAsia" w:ascii="黑体" w:hAnsi="黑体" w:eastAsia="黑体" w:cs="黑体"/>
              <w:highlight w:val="none"/>
            </w:rPr>
            <w:t>支</w:t>
          </w:r>
          <w:r>
            <w:rPr>
              <w:rFonts w:hint="eastAsia" w:ascii="黑体" w:hAnsi="黑体" w:eastAsia="黑体" w:cs="黑体"/>
              <w:bCs w:val="0"/>
              <w:highlight w:val="none"/>
            </w:rPr>
            <w:t>出决算表</w:t>
          </w:r>
          <w:r>
            <w:tab/>
          </w:r>
          <w:r>
            <w:fldChar w:fldCharType="begin"/>
          </w:r>
          <w:r>
            <w:instrText xml:space="preserve"> PAGEREF _Toc28020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_Toc24319 </w:instrText>
          </w:r>
          <w:r>
            <w:fldChar w:fldCharType="separate"/>
          </w:r>
          <w:r>
            <w:rPr>
              <w:rFonts w:hint="eastAsia" w:ascii="黑体" w:hAnsi="黑体" w:eastAsia="黑体" w:cs="黑体"/>
              <w:bCs w:val="0"/>
              <w:highlight w:val="none"/>
            </w:rPr>
            <w:t>四、</w:t>
          </w:r>
          <w:r>
            <w:rPr>
              <w:rFonts w:hint="eastAsia" w:ascii="黑体" w:hAnsi="黑体" w:eastAsia="黑体" w:cs="黑体"/>
              <w:highlight w:val="none"/>
            </w:rPr>
            <w:t>财</w:t>
          </w:r>
          <w:r>
            <w:rPr>
              <w:rFonts w:hint="eastAsia" w:ascii="黑体" w:hAnsi="黑体" w:eastAsia="黑体" w:cs="黑体"/>
              <w:bCs w:val="0"/>
              <w:highlight w:val="none"/>
            </w:rPr>
            <w:t>政拨款收入支出决算总表</w:t>
          </w:r>
          <w:r>
            <w:tab/>
          </w:r>
          <w:r>
            <w:fldChar w:fldCharType="begin"/>
          </w:r>
          <w:r>
            <w:instrText xml:space="preserve"> PAGEREF _Toc24319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_Toc14221 </w:instrText>
          </w:r>
          <w:r>
            <w:fldChar w:fldCharType="separate"/>
          </w:r>
          <w:r>
            <w:rPr>
              <w:rFonts w:hint="eastAsia" w:ascii="黑体" w:hAnsi="黑体" w:eastAsia="黑体" w:cs="黑体"/>
              <w:bCs w:val="0"/>
              <w:highlight w:val="none"/>
            </w:rPr>
            <w:t>五、</w:t>
          </w:r>
          <w:r>
            <w:rPr>
              <w:rFonts w:hint="eastAsia" w:ascii="黑体" w:hAnsi="黑体" w:eastAsia="黑体" w:cs="黑体"/>
              <w:highlight w:val="none"/>
            </w:rPr>
            <w:t>财</w:t>
          </w:r>
          <w:r>
            <w:rPr>
              <w:rFonts w:hint="eastAsia" w:ascii="黑体" w:hAnsi="黑体" w:eastAsia="黑体" w:cs="黑体"/>
              <w:bCs w:val="0"/>
              <w:highlight w:val="none"/>
            </w:rPr>
            <w:t>政拨款支出决算明细表</w:t>
          </w:r>
          <w:r>
            <w:tab/>
          </w:r>
          <w:r>
            <w:fldChar w:fldCharType="begin"/>
          </w:r>
          <w:r>
            <w:instrText xml:space="preserve"> PAGEREF _Toc14221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_Toc8775 </w:instrText>
          </w:r>
          <w:r>
            <w:fldChar w:fldCharType="separate"/>
          </w:r>
          <w:r>
            <w:rPr>
              <w:rFonts w:hint="eastAsia" w:ascii="黑体" w:hAnsi="黑体" w:eastAsia="黑体" w:cs="黑体"/>
              <w:bCs w:val="0"/>
              <w:highlight w:val="none"/>
            </w:rPr>
            <w:t>六、</w:t>
          </w:r>
          <w:r>
            <w:rPr>
              <w:rFonts w:hint="eastAsia" w:ascii="黑体" w:hAnsi="黑体" w:eastAsia="黑体" w:cs="黑体"/>
              <w:highlight w:val="none"/>
            </w:rPr>
            <w:t>一</w:t>
          </w:r>
          <w:r>
            <w:rPr>
              <w:rFonts w:hint="eastAsia" w:ascii="黑体" w:hAnsi="黑体" w:eastAsia="黑体" w:cs="黑体"/>
              <w:bCs w:val="0"/>
              <w:highlight w:val="none"/>
            </w:rPr>
            <w:t>般公共预算财政拨款支出决算表</w:t>
          </w:r>
          <w:r>
            <w:tab/>
          </w:r>
          <w:r>
            <w:fldChar w:fldCharType="begin"/>
          </w:r>
          <w:r>
            <w:instrText xml:space="preserve"> PAGEREF _Toc8775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_Toc20761 </w:instrText>
          </w:r>
          <w:r>
            <w:fldChar w:fldCharType="separate"/>
          </w:r>
          <w:r>
            <w:rPr>
              <w:rFonts w:hint="eastAsia" w:ascii="黑体" w:hAnsi="黑体" w:eastAsia="黑体" w:cs="黑体"/>
              <w:bCs w:val="0"/>
              <w:highlight w:val="none"/>
            </w:rPr>
            <w:t>七、</w:t>
          </w:r>
          <w:r>
            <w:rPr>
              <w:rFonts w:hint="eastAsia" w:ascii="黑体" w:hAnsi="黑体" w:eastAsia="黑体" w:cs="黑体"/>
              <w:highlight w:val="none"/>
            </w:rPr>
            <w:t>一</w:t>
          </w:r>
          <w:r>
            <w:rPr>
              <w:rFonts w:hint="eastAsia" w:ascii="黑体" w:hAnsi="黑体" w:eastAsia="黑体" w:cs="黑体"/>
              <w:bCs w:val="0"/>
              <w:highlight w:val="none"/>
            </w:rPr>
            <w:t>般公共预算财政拨款支出决算明细表</w:t>
          </w:r>
          <w:r>
            <w:tab/>
          </w:r>
          <w:r>
            <w:fldChar w:fldCharType="begin"/>
          </w:r>
          <w:r>
            <w:instrText xml:space="preserve"> PAGEREF _Toc20761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_Toc21267 </w:instrText>
          </w:r>
          <w:r>
            <w:fldChar w:fldCharType="separate"/>
          </w:r>
          <w:r>
            <w:rPr>
              <w:rFonts w:hint="eastAsia" w:ascii="黑体" w:hAnsi="黑体" w:eastAsia="黑体" w:cs="黑体"/>
              <w:bCs w:val="0"/>
              <w:highlight w:val="none"/>
            </w:rPr>
            <w:t>八、</w:t>
          </w:r>
          <w:r>
            <w:rPr>
              <w:rFonts w:hint="eastAsia" w:ascii="黑体" w:hAnsi="黑体" w:eastAsia="黑体" w:cs="黑体"/>
              <w:highlight w:val="none"/>
            </w:rPr>
            <w:t>一</w:t>
          </w:r>
          <w:r>
            <w:rPr>
              <w:rFonts w:hint="eastAsia" w:ascii="黑体" w:hAnsi="黑体" w:eastAsia="黑体" w:cs="黑体"/>
              <w:bCs w:val="0"/>
              <w:highlight w:val="none"/>
            </w:rPr>
            <w:t>般公共预算财政拨款基本支出决算表</w:t>
          </w:r>
          <w:r>
            <w:tab/>
          </w:r>
          <w:r>
            <w:fldChar w:fldCharType="begin"/>
          </w:r>
          <w:r>
            <w:instrText xml:space="preserve"> PAGEREF _Toc21267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_Toc20356 </w:instrText>
          </w:r>
          <w:r>
            <w:fldChar w:fldCharType="separate"/>
          </w:r>
          <w:r>
            <w:rPr>
              <w:rFonts w:hint="eastAsia" w:ascii="黑体" w:hAnsi="黑体" w:eastAsia="黑体" w:cs="黑体"/>
              <w:bCs w:val="0"/>
              <w:highlight w:val="none"/>
            </w:rPr>
            <w:t>九、</w:t>
          </w:r>
          <w:r>
            <w:rPr>
              <w:rFonts w:hint="eastAsia" w:ascii="黑体" w:hAnsi="黑体" w:eastAsia="黑体" w:cs="黑体"/>
              <w:highlight w:val="none"/>
            </w:rPr>
            <w:t>一</w:t>
          </w:r>
          <w:r>
            <w:rPr>
              <w:rFonts w:hint="eastAsia" w:ascii="黑体" w:hAnsi="黑体" w:eastAsia="黑体" w:cs="黑体"/>
              <w:bCs w:val="0"/>
              <w:highlight w:val="none"/>
            </w:rPr>
            <w:t>般公共预算财政拨款项目支出决算表</w:t>
          </w:r>
          <w:r>
            <w:tab/>
          </w:r>
          <w:r>
            <w:fldChar w:fldCharType="begin"/>
          </w:r>
          <w:r>
            <w:instrText xml:space="preserve"> PAGEREF _Toc20356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_Toc2559 </w:instrText>
          </w:r>
          <w:r>
            <w:fldChar w:fldCharType="separate"/>
          </w:r>
          <w:r>
            <w:rPr>
              <w:rFonts w:hint="eastAsia" w:ascii="黑体" w:hAnsi="黑体" w:eastAsia="黑体" w:cs="黑体"/>
              <w:bCs w:val="0"/>
              <w:highlight w:val="none"/>
            </w:rPr>
            <w:t>十、</w:t>
          </w:r>
          <w:r>
            <w:rPr>
              <w:rFonts w:hint="eastAsia" w:ascii="黑体" w:hAnsi="黑体" w:eastAsia="黑体" w:cs="黑体"/>
              <w:highlight w:val="none"/>
            </w:rPr>
            <w:t>政</w:t>
          </w:r>
          <w:r>
            <w:rPr>
              <w:rFonts w:hint="eastAsia" w:ascii="黑体" w:hAnsi="黑体" w:eastAsia="黑体" w:cs="黑体"/>
              <w:bCs w:val="0"/>
              <w:highlight w:val="none"/>
            </w:rPr>
            <w:t>府性基金预算财政拨款收入支出决算表</w:t>
          </w:r>
          <w:r>
            <w:tab/>
          </w:r>
          <w:r>
            <w:fldChar w:fldCharType="begin"/>
          </w:r>
          <w:r>
            <w:instrText xml:space="preserve"> PAGEREF _Toc2559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_Toc26198 </w:instrText>
          </w:r>
          <w:r>
            <w:fldChar w:fldCharType="separate"/>
          </w:r>
          <w:r>
            <w:rPr>
              <w:rFonts w:hint="eastAsia" w:ascii="黑体" w:hAnsi="黑体" w:eastAsia="黑体" w:cs="黑体"/>
              <w:bCs w:val="0"/>
              <w:highlight w:val="none"/>
            </w:rPr>
            <w:t>十一、</w:t>
          </w:r>
          <w:r>
            <w:rPr>
              <w:rFonts w:hint="eastAsia" w:ascii="黑体" w:hAnsi="黑体" w:eastAsia="黑体" w:cs="黑体"/>
              <w:highlight w:val="none"/>
            </w:rPr>
            <w:t>国</w:t>
          </w:r>
          <w:r>
            <w:rPr>
              <w:rFonts w:hint="eastAsia" w:ascii="黑体" w:hAnsi="黑体" w:eastAsia="黑体" w:cs="黑体"/>
              <w:bCs w:val="0"/>
              <w:highlight w:val="none"/>
            </w:rPr>
            <w:t>有资本经营预算</w:t>
          </w:r>
          <w:r>
            <w:rPr>
              <w:rFonts w:hint="eastAsia" w:ascii="黑体" w:hAnsi="黑体" w:eastAsia="黑体" w:cs="黑体"/>
              <w:bCs w:val="0"/>
              <w:highlight w:val="none"/>
              <w:lang w:eastAsia="zh-CN"/>
            </w:rPr>
            <w:t>财政拨款收入</w:t>
          </w:r>
          <w:r>
            <w:rPr>
              <w:rFonts w:hint="eastAsia" w:ascii="黑体" w:hAnsi="黑体" w:eastAsia="黑体" w:cs="黑体"/>
              <w:bCs w:val="0"/>
              <w:highlight w:val="none"/>
            </w:rPr>
            <w:t>支出决算表</w:t>
          </w:r>
          <w:r>
            <w:tab/>
          </w:r>
          <w:r>
            <w:fldChar w:fldCharType="begin"/>
          </w:r>
          <w:r>
            <w:instrText xml:space="preserve"> PAGEREF _Toc26198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_Toc7271 </w:instrText>
          </w:r>
          <w:r>
            <w:fldChar w:fldCharType="separate"/>
          </w:r>
          <w:r>
            <w:rPr>
              <w:rFonts w:hint="eastAsia" w:ascii="黑体" w:hAnsi="黑体" w:eastAsia="黑体" w:cs="黑体"/>
              <w:bCs w:val="0"/>
              <w:highlight w:val="none"/>
            </w:rPr>
            <w:t>十二、</w:t>
          </w:r>
          <w:r>
            <w:rPr>
              <w:rFonts w:hint="eastAsia" w:ascii="黑体" w:hAnsi="黑体" w:eastAsia="黑体" w:cs="黑体"/>
              <w:bCs w:val="0"/>
              <w:highlight w:val="none"/>
              <w:lang w:eastAsia="zh-CN"/>
            </w:rPr>
            <w:t>国有资本经营预算财政拨款支出决算表</w:t>
          </w:r>
          <w:r>
            <w:tab/>
          </w:r>
          <w:r>
            <w:fldChar w:fldCharType="begin"/>
          </w:r>
          <w:r>
            <w:instrText xml:space="preserve"> PAGEREF _Toc7271 \h </w:instrText>
          </w:r>
          <w:r>
            <w:fldChar w:fldCharType="separate"/>
          </w:r>
          <w:r>
            <w:t>32</w:t>
          </w:r>
          <w:r>
            <w:fldChar w:fldCharType="end"/>
          </w:r>
          <w:r>
            <w:fldChar w:fldCharType="end"/>
          </w:r>
        </w:p>
        <w:p>
          <w:pPr>
            <w:pStyle w:val="21"/>
            <w:tabs>
              <w:tab w:val="right" w:leader="dot" w:pos="8845"/>
            </w:tabs>
          </w:pPr>
          <w:r>
            <w:fldChar w:fldCharType="begin"/>
          </w:r>
          <w:r>
            <w:instrText xml:space="preserve"> HYPERLINK \l _Toc3494 </w:instrText>
          </w:r>
          <w:r>
            <w:fldChar w:fldCharType="separate"/>
          </w:r>
          <w:r>
            <w:rPr>
              <w:rFonts w:hint="eastAsia" w:ascii="黑体" w:hAnsi="黑体" w:eastAsia="黑体" w:cs="黑体"/>
              <w:bCs w:val="0"/>
              <w:highlight w:val="none"/>
            </w:rPr>
            <w:t>十三、</w:t>
          </w:r>
          <w:r>
            <w:rPr>
              <w:rFonts w:hint="eastAsia" w:ascii="黑体" w:hAnsi="黑体" w:eastAsia="黑体" w:cs="黑体"/>
              <w:bCs w:val="0"/>
              <w:highlight w:val="none"/>
              <w:lang w:eastAsia="zh-CN"/>
            </w:rPr>
            <w:t>财政拨款“三公”经费支出决算表</w:t>
          </w:r>
          <w:r>
            <w:tab/>
          </w:r>
          <w:r>
            <w:fldChar w:fldCharType="begin"/>
          </w:r>
          <w:r>
            <w:instrText xml:space="preserve"> PAGEREF _Toc3494 \h </w:instrText>
          </w:r>
          <w:r>
            <w:fldChar w:fldCharType="separate"/>
          </w:r>
          <w:r>
            <w:t>32</w:t>
          </w:r>
          <w:r>
            <w:fldChar w:fldCharType="end"/>
          </w:r>
          <w:r>
            <w:fldChar w:fldCharType="end"/>
          </w:r>
        </w:p>
        <w:p>
          <w:r>
            <w:rPr>
              <w:b/>
            </w:rPr>
            <w:fldChar w:fldCharType="end"/>
          </w:r>
        </w:p>
      </w:sdtContent>
    </w:sdt>
    <w:p>
      <w:pPr>
        <w:pageBreakBefore w:val="0"/>
        <w:widowControl/>
        <w:kinsoku/>
        <w:wordWrap/>
        <w:overflowPunct/>
        <w:topLinePunct w:val="0"/>
        <w:bidi w:val="0"/>
        <w:spacing w:line="560" w:lineRule="exact"/>
        <w:ind w:left="0" w:leftChars="0" w:right="0"/>
        <w:jc w:val="both"/>
        <w:textAlignment w:val="auto"/>
        <w:outlineLvl w:val="0"/>
        <w:rPr>
          <w:rStyle w:val="16"/>
          <w:rFonts w:hint="eastAsia" w:ascii="黑体" w:hAnsi="黑体" w:eastAsia="黑体" w:cs="Times New Roman"/>
          <w:b w:val="0"/>
          <w:bCs w:val="0"/>
          <w:color w:val="auto"/>
          <w:highlight w:val="none"/>
        </w:rPr>
        <w:sectPr>
          <w:headerReference r:id="rId3" w:type="default"/>
          <w:footerReference r:id="rId4" w:type="default"/>
          <w:pgSz w:w="11906" w:h="16838"/>
          <w:pgMar w:top="1440" w:right="1474" w:bottom="1440" w:left="1587" w:header="851" w:footer="992" w:gutter="0"/>
          <w:pgNumType w:fmt="decimal" w:start="1"/>
          <w:cols w:space="720" w:num="1"/>
          <w:titlePg/>
          <w:docGrid w:type="lines" w:linePitch="312" w:charSpace="0"/>
        </w:sectPr>
      </w:pPr>
      <w:bookmarkStart w:id="15" w:name="_Toc19888"/>
    </w:p>
    <w:p>
      <w:pPr>
        <w:pageBreakBefore w:val="0"/>
        <w:widowControl/>
        <w:kinsoku/>
        <w:wordWrap/>
        <w:overflowPunct/>
        <w:topLinePunct w:val="0"/>
        <w:bidi w:val="0"/>
        <w:spacing w:line="560" w:lineRule="exact"/>
        <w:ind w:left="0" w:leftChars="0" w:right="0"/>
        <w:jc w:val="center"/>
        <w:textAlignment w:val="auto"/>
        <w:outlineLvl w:val="0"/>
        <w:rPr>
          <w:rStyle w:val="16"/>
          <w:rFonts w:ascii="黑体" w:hAnsi="黑体" w:eastAsia="黑体"/>
          <w:b/>
          <w:bCs w:val="0"/>
          <w:color w:val="auto"/>
          <w:highlight w:val="none"/>
        </w:rPr>
      </w:pPr>
      <w:r>
        <w:rPr>
          <w:rStyle w:val="16"/>
          <w:rFonts w:hint="eastAsia" w:ascii="黑体" w:hAnsi="黑体" w:eastAsia="黑体" w:cs="Times New Roman"/>
          <w:b w:val="0"/>
          <w:bCs w:val="0"/>
          <w:color w:val="auto"/>
          <w:highlight w:val="none"/>
        </w:rPr>
        <w:t xml:space="preserve">第一部分 </w:t>
      </w:r>
      <w:r>
        <w:rPr>
          <w:rStyle w:val="16"/>
          <w:rFonts w:hint="eastAsia" w:ascii="黑体" w:hAnsi="黑体" w:eastAsia="黑体"/>
          <w:b w:val="0"/>
          <w:bCs w:val="0"/>
          <w:color w:val="auto"/>
          <w:highlight w:val="none"/>
        </w:rPr>
        <w:t>部门概况</w:t>
      </w:r>
      <w:bookmarkEnd w:id="15"/>
    </w:p>
    <w:p>
      <w:pPr>
        <w:pageBreakBefore w:val="0"/>
        <w:widowControl/>
        <w:kinsoku/>
        <w:wordWrap/>
        <w:overflowPunct/>
        <w:topLinePunct w:val="0"/>
        <w:bidi w:val="0"/>
        <w:spacing w:line="560" w:lineRule="exact"/>
        <w:ind w:left="0" w:leftChars="0" w:right="0"/>
        <w:jc w:val="left"/>
        <w:textAlignment w:val="auto"/>
        <w:rPr>
          <w:rFonts w:ascii="黑体" w:eastAsia="黑体"/>
          <w:color w:val="auto"/>
          <w:sz w:val="32"/>
          <w:szCs w:val="32"/>
          <w:highlight w:val="none"/>
        </w:rPr>
      </w:pPr>
    </w:p>
    <w:p>
      <w:pPr>
        <w:pStyle w:val="5"/>
        <w:pageBreakBefore w:val="0"/>
        <w:numPr>
          <w:ilvl w:val="0"/>
          <w:numId w:val="0"/>
        </w:numPr>
        <w:kinsoku/>
        <w:wordWrap/>
        <w:overflowPunct/>
        <w:topLinePunct w:val="0"/>
        <w:bidi w:val="0"/>
        <w:spacing w:before="0" w:after="0" w:line="560" w:lineRule="exact"/>
        <w:ind w:right="0" w:rightChars="0" w:firstLine="640" w:firstLineChars="200"/>
        <w:textAlignment w:val="auto"/>
        <w:rPr>
          <w:rFonts w:hint="eastAsia" w:ascii="黑体" w:hAnsi="黑体" w:eastAsia="黑体"/>
          <w:b w:val="0"/>
          <w:color w:val="auto"/>
          <w:highlight w:val="none"/>
          <w:lang w:eastAsia="zh-CN"/>
        </w:rPr>
      </w:pPr>
      <w:bookmarkStart w:id="16" w:name="_Toc11981"/>
      <w:r>
        <w:rPr>
          <w:rFonts w:hint="eastAsia" w:ascii="黑体" w:hAnsi="黑体" w:eastAsia="黑体"/>
          <w:b w:val="0"/>
          <w:color w:val="auto"/>
          <w:highlight w:val="none"/>
          <w:lang w:eastAsia="zh-CN"/>
        </w:rPr>
        <w:t>一、部门职责</w:t>
      </w:r>
      <w:bookmarkEnd w:id="16"/>
    </w:p>
    <w:p>
      <w:pPr>
        <w:numPr>
          <w:ilvl w:val="0"/>
          <w:numId w:val="0"/>
        </w:numPr>
        <w:ind w:firstLine="640" w:firstLineChars="200"/>
        <w:rPr>
          <w:rFonts w:hint="eastAsia"/>
          <w:lang w:eastAsia="zh-CN"/>
        </w:rPr>
      </w:pPr>
      <w:r>
        <w:rPr>
          <w:rFonts w:hint="eastAsia" w:ascii="仿宋_GB2312" w:hAnsi="仿宋_GB2312" w:eastAsia="仿宋_GB2312" w:cs="仿宋_GB2312"/>
          <w:sz w:val="32"/>
          <w:szCs w:val="32"/>
        </w:rPr>
        <w:t>贯彻落实党的路线方针政策和有关档案管理的法律、法规、规章制度，做好档案“收、管、用”，维护档案完整与安全，保守党和国家秘密。依法接收市级各机关、团体、事业单位、国有企业及其下属单位的档案；</w:t>
      </w:r>
      <w:r>
        <w:rPr>
          <w:rFonts w:hint="eastAsia" w:ascii="仿宋_GB2312" w:hAnsi="仿宋_GB2312" w:eastAsia="仿宋_GB2312" w:cs="仿宋_GB2312"/>
          <w:sz w:val="32"/>
          <w:szCs w:val="32"/>
          <w:lang w:eastAsia="zh-CN"/>
        </w:rPr>
        <w:t>接收</w:t>
      </w:r>
      <w:r>
        <w:rPr>
          <w:rFonts w:hint="eastAsia" w:ascii="仿宋_GB2312" w:hAnsi="仿宋_GB2312" w:eastAsia="仿宋_GB2312" w:cs="仿宋_GB2312"/>
          <w:sz w:val="32"/>
          <w:szCs w:val="32"/>
        </w:rPr>
        <w:t>市级重大活动等形成的档案；征集对国家和社会具有长久保存价值的重要档案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资料，开展主动建档存史工作。组织实施馆藏档案整理、鉴定、保管、保护、解密、划控、开放和销毁工作。负责馆藏档案信息化，</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数字档案馆</w:t>
      </w:r>
      <w:r>
        <w:rPr>
          <w:rFonts w:hint="eastAsia" w:ascii="仿宋_GB2312" w:hAnsi="仿宋_GB2312" w:eastAsia="仿宋_GB2312" w:cs="仿宋_GB2312"/>
          <w:sz w:val="32"/>
          <w:szCs w:val="32"/>
          <w:lang w:eastAsia="zh-CN"/>
        </w:rPr>
        <w:t>试点相关工作</w:t>
      </w:r>
      <w:r>
        <w:rPr>
          <w:rFonts w:hint="eastAsia" w:ascii="仿宋_GB2312" w:hAnsi="仿宋_GB2312" w:eastAsia="仿宋_GB2312" w:cs="仿宋_GB2312"/>
          <w:sz w:val="32"/>
          <w:szCs w:val="32"/>
        </w:rPr>
        <w:t>和市级档案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资料目录中心建设，依法接收电子档案，建立电子文件备份中心，</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数字档案资源安全。开展档案利用工作，依法向社会提供档案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和已公开的现行文件，开展民生档案等跨馆查档服务。负责馆藏档案资源开发工作，开展档案资政服务，编研档案史料，开发档案文化产品，举办档案展览，建设管理爱国主义教育基地，开展档案社会宣传教育。</w:t>
      </w:r>
      <w:r>
        <w:rPr>
          <w:rFonts w:hint="eastAsia" w:ascii="仿宋_GB2312" w:hAnsi="仿宋_GB2312" w:eastAsia="仿宋_GB2312" w:cs="仿宋_GB2312"/>
          <w:sz w:val="32"/>
          <w:szCs w:val="32"/>
          <w:lang w:eastAsia="zh-CN"/>
        </w:rPr>
        <w:t>对县（区）档案馆进行业务指导。</w:t>
      </w:r>
      <w:r>
        <w:rPr>
          <w:rFonts w:hint="eastAsia" w:ascii="仿宋_GB2312" w:hAnsi="仿宋_GB2312" w:eastAsia="仿宋_GB2312" w:cs="仿宋_GB2312"/>
          <w:sz w:val="32"/>
          <w:szCs w:val="32"/>
        </w:rPr>
        <w:t>组织开展档案学术研究、馆际合作和业务交流。完成市委、市政府交办的其他任务。</w:t>
      </w:r>
    </w:p>
    <w:p>
      <w:pPr>
        <w:pStyle w:val="5"/>
        <w:pageBreakBefore w:val="0"/>
        <w:kinsoku/>
        <w:wordWrap/>
        <w:overflowPunct/>
        <w:topLinePunct w:val="0"/>
        <w:bidi w:val="0"/>
        <w:spacing w:before="0" w:after="0" w:line="560" w:lineRule="exact"/>
        <w:ind w:left="0" w:leftChars="0" w:right="0" w:firstLine="640" w:firstLineChars="200"/>
        <w:textAlignment w:val="auto"/>
        <w:rPr>
          <w:rStyle w:val="17"/>
          <w:b w:val="0"/>
          <w:bCs w:val="0"/>
          <w:color w:val="auto"/>
          <w:highlight w:val="none"/>
        </w:rPr>
      </w:pPr>
      <w:bookmarkStart w:id="17" w:name="_Toc2329"/>
      <w:bookmarkStart w:id="18" w:name="_Toc15377200"/>
      <w:bookmarkStart w:id="19"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17"/>
          <w:rFonts w:hint="eastAsia" w:ascii="黑体" w:hAnsi="黑体" w:eastAsia="黑体"/>
          <w:b w:val="0"/>
          <w:bCs w:val="0"/>
          <w:color w:val="auto"/>
          <w:highlight w:val="none"/>
        </w:rPr>
        <w:t>构设置</w:t>
      </w:r>
      <w:bookmarkEnd w:id="17"/>
      <w:bookmarkEnd w:id="18"/>
      <w:bookmarkEnd w:id="19"/>
    </w:p>
    <w:p>
      <w:pPr>
        <w:pStyle w:val="2"/>
        <w:pageBreakBefore w:val="0"/>
        <w:numPr>
          <w:ilvl w:val="0"/>
          <w:numId w:val="0"/>
        </w:numPr>
        <w:kinsoku/>
        <w:wordWrap/>
        <w:overflowPunct/>
        <w:topLinePunct w:val="0"/>
        <w:bidi w:val="0"/>
        <w:adjustRightInd w:val="0"/>
        <w:snapToGrid w:val="0"/>
        <w:spacing w:beforeLines="0" w:line="560" w:lineRule="exact"/>
        <w:ind w:right="0" w:rightChars="0" w:firstLine="640" w:firstLineChars="200"/>
        <w:textAlignment w:val="auto"/>
        <w:outlineLvl w:val="0"/>
        <w:rPr>
          <w:rFonts w:ascii="仿宋" w:hAnsi="仿宋" w:eastAsia="仿宋"/>
          <w:color w:val="auto"/>
          <w:sz w:val="32"/>
          <w:szCs w:val="32"/>
          <w:highlight w:val="none"/>
        </w:rPr>
      </w:pPr>
      <w:bookmarkStart w:id="20" w:name="_Toc13114"/>
      <w:r>
        <w:rPr>
          <w:rFonts w:hint="eastAsia" w:ascii="仿宋_GB2312" w:hAnsi="仿宋_GB2312" w:eastAsia="仿宋_GB2312" w:cs="仿宋_GB2312"/>
          <w:sz w:val="32"/>
          <w:szCs w:val="32"/>
          <w:lang w:eastAsia="zh-CN"/>
        </w:rPr>
        <w:t>市档案馆代管事业</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（市现行文件服务中心）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未独立核算</w:t>
      </w:r>
      <w:r>
        <w:rPr>
          <w:rFonts w:hint="default" w:hAnsi="仿宋_GB2312" w:cs="仿宋_GB2312"/>
          <w:sz w:val="32"/>
          <w:szCs w:val="32"/>
          <w:lang w:eastAsia="zh-CN"/>
          <w:woUserID w:val="1"/>
        </w:rPr>
        <w:t>，无二级预算单位</w:t>
      </w:r>
      <w:r>
        <w:rPr>
          <w:rFonts w:hint="eastAsia" w:ascii="仿宋_GB2312" w:hAnsi="仿宋_GB2312" w:eastAsia="仿宋_GB2312" w:cs="仿宋_GB2312"/>
          <w:sz w:val="32"/>
          <w:szCs w:val="32"/>
          <w:lang w:eastAsia="zh-CN"/>
        </w:rPr>
        <w:t>。</w:t>
      </w:r>
      <w:bookmarkEnd w:id="20"/>
    </w:p>
    <w:p>
      <w:pPr>
        <w:pageBreakBefore w:val="0"/>
        <w:widowControl/>
        <w:kinsoku/>
        <w:wordWrap/>
        <w:overflowPunct/>
        <w:topLinePunct w:val="0"/>
        <w:bidi w:val="0"/>
        <w:spacing w:line="560" w:lineRule="exact"/>
        <w:ind w:left="0" w:leftChars="0" w:right="0"/>
        <w:jc w:val="center"/>
        <w:textAlignment w:val="auto"/>
        <w:outlineLvl w:val="0"/>
        <w:rPr>
          <w:rStyle w:val="16"/>
          <w:rFonts w:ascii="黑体" w:hAnsi="黑体" w:eastAsia="黑体"/>
          <w:b w:val="0"/>
          <w:bCs/>
          <w:color w:val="auto"/>
          <w:highlight w:val="none"/>
        </w:rPr>
      </w:pPr>
      <w:r>
        <w:rPr>
          <w:rFonts w:ascii="仿宋" w:hAnsi="仿宋" w:eastAsia="仿宋"/>
          <w:color w:val="auto"/>
          <w:sz w:val="32"/>
          <w:szCs w:val="32"/>
          <w:highlight w:val="none"/>
        </w:rPr>
        <w:br w:type="page"/>
      </w:r>
      <w:bookmarkStart w:id="21" w:name="_Toc15396602"/>
      <w:bookmarkStart w:id="22" w:name="_Toc15377204"/>
      <w:bookmarkStart w:id="23" w:name="_Toc13305"/>
      <w:r>
        <w:rPr>
          <w:rStyle w:val="16"/>
          <w:rFonts w:hint="eastAsia" w:ascii="黑体" w:hAnsi="黑体" w:eastAsia="黑体" w:cs="Times New Roman"/>
          <w:b w:val="0"/>
          <w:bCs/>
          <w:color w:val="auto"/>
          <w:highlight w:val="none"/>
        </w:rPr>
        <w:t xml:space="preserve">第二部分 </w:t>
      </w:r>
      <w:r>
        <w:rPr>
          <w:rStyle w:val="16"/>
          <w:rFonts w:hint="eastAsia" w:ascii="黑体" w:hAnsi="黑体" w:eastAsia="黑体" w:cs="Times New Roman"/>
          <w:b w:val="0"/>
          <w:bCs/>
          <w:color w:val="auto"/>
          <w:highlight w:val="none"/>
          <w:lang w:val="en-US" w:eastAsia="zh-CN"/>
        </w:rPr>
        <w:t>2022年度</w:t>
      </w:r>
      <w:r>
        <w:rPr>
          <w:rStyle w:val="16"/>
          <w:rFonts w:hint="eastAsia" w:ascii="黑体" w:hAnsi="黑体" w:eastAsia="黑体"/>
          <w:b w:val="0"/>
          <w:bCs/>
          <w:color w:val="auto"/>
          <w:highlight w:val="none"/>
        </w:rPr>
        <w:t>部门决算情况说明</w:t>
      </w:r>
      <w:bookmarkEnd w:id="21"/>
      <w:bookmarkEnd w:id="22"/>
      <w:bookmarkEnd w:id="23"/>
    </w:p>
    <w:p>
      <w:pPr>
        <w:pageBreakBefore w:val="0"/>
        <w:kinsoku/>
        <w:wordWrap/>
        <w:overflowPunct/>
        <w:topLinePunct w:val="0"/>
        <w:bidi w:val="0"/>
        <w:spacing w:line="560" w:lineRule="exact"/>
        <w:ind w:left="0" w:leftChars="0" w:right="0"/>
        <w:textAlignment w:val="auto"/>
        <w:rPr>
          <w:color w:val="auto"/>
          <w:highlight w:val="none"/>
        </w:rPr>
      </w:pPr>
    </w:p>
    <w:p>
      <w:pPr>
        <w:pStyle w:val="18"/>
        <w:pageBreakBefore w:val="0"/>
        <w:numPr>
          <w:ilvl w:val="0"/>
          <w:numId w:val="0"/>
        </w:numPr>
        <w:kinsoku/>
        <w:wordWrap/>
        <w:overflowPunct/>
        <w:topLinePunct w:val="0"/>
        <w:bidi w:val="0"/>
        <w:spacing w:line="560" w:lineRule="exact"/>
        <w:ind w:right="0" w:rightChars="0" w:firstLine="640" w:firstLineChars="200"/>
        <w:textAlignment w:val="auto"/>
        <w:outlineLvl w:val="1"/>
        <w:rPr>
          <w:rStyle w:val="17"/>
          <w:rFonts w:ascii="黑体" w:hAnsi="黑体" w:eastAsia="黑体"/>
          <w:b w:val="0"/>
          <w:color w:val="auto"/>
          <w:highlight w:val="none"/>
        </w:rPr>
      </w:pPr>
      <w:bookmarkStart w:id="24" w:name="_Toc15377205"/>
      <w:bookmarkStart w:id="25" w:name="_Toc30150"/>
      <w:bookmarkStart w:id="26" w:name="_Toc15396603"/>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17"/>
          <w:rFonts w:hint="eastAsia" w:ascii="黑体" w:hAnsi="黑体" w:eastAsia="黑体"/>
          <w:b w:val="0"/>
          <w:color w:val="auto"/>
          <w:highlight w:val="none"/>
        </w:rPr>
        <w:t>入支出决算总体情况说明</w:t>
      </w:r>
      <w:bookmarkEnd w:id="24"/>
      <w:bookmarkEnd w:id="25"/>
      <w:bookmarkEnd w:id="26"/>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771.64</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85.12</w:t>
      </w:r>
      <w:r>
        <w:rPr>
          <w:rFonts w:hint="eastAsia" w:ascii="仿宋_GB2312" w:hAnsi="仿宋_GB2312" w:eastAsia="仿宋_GB2312" w:cs="仿宋_GB2312"/>
          <w:color w:val="auto"/>
          <w:sz w:val="32"/>
          <w:szCs w:val="32"/>
          <w:highlight w:val="none"/>
        </w:rPr>
        <w:t>万元，增</w:t>
      </w:r>
      <w:r>
        <w:rPr>
          <w:rFonts w:hint="eastAsia" w:ascii="仿宋_GB2312" w:hAnsi="仿宋_GB2312" w:eastAsia="仿宋_GB2312" w:cs="仿宋_GB2312"/>
          <w:color w:val="auto"/>
          <w:sz w:val="32"/>
          <w:szCs w:val="32"/>
          <w:highlight w:val="none"/>
          <w:lang w:val="en-US" w:eastAsia="zh-CN"/>
        </w:rPr>
        <w:t>长12.40%。主要变动原因是本年度人员增加、晋级，导致人员经费增加。</w:t>
      </w:r>
    </w:p>
    <w:p>
      <w:pPr>
        <w:pStyle w:val="2"/>
        <w:jc w:val="center"/>
        <w:rPr>
          <w:rFonts w:hint="eastAsia" w:eastAsia="仿宋"/>
          <w:lang w:eastAsia="zh-CN"/>
        </w:rPr>
      </w:pPr>
      <w:bookmarkStart w:id="27" w:name="_Toc15377206"/>
      <w:bookmarkStart w:id="28" w:name="_Toc15396604"/>
      <w:r>
        <w:rPr>
          <w:rFonts w:hint="eastAsia" w:eastAsia="仿宋"/>
          <w:lang w:eastAsia="zh-CN"/>
        </w:rPr>
        <w:drawing>
          <wp:inline distT="0" distB="0" distL="114300" distR="114300">
            <wp:extent cx="4157980" cy="2593340"/>
            <wp:effectExtent l="4445" t="4445" r="9525" b="1206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8"/>
        <w:pageBreakBefore w:val="0"/>
        <w:numPr>
          <w:ilvl w:val="0"/>
          <w:numId w:val="0"/>
        </w:numPr>
        <w:kinsoku/>
        <w:wordWrap/>
        <w:overflowPunct/>
        <w:topLinePunct w:val="0"/>
        <w:bidi w:val="0"/>
        <w:spacing w:line="560" w:lineRule="exact"/>
        <w:ind w:right="0" w:rightChars="0" w:firstLine="640" w:firstLineChars="200"/>
        <w:textAlignment w:val="auto"/>
        <w:outlineLvl w:val="1"/>
        <w:rPr>
          <w:rStyle w:val="17"/>
          <w:rFonts w:ascii="黑体" w:hAnsi="黑体" w:eastAsia="黑体"/>
          <w:b w:val="0"/>
          <w:color w:val="auto"/>
          <w:highlight w:val="none"/>
        </w:rPr>
      </w:pPr>
      <w:bookmarkStart w:id="29" w:name="_Toc24557"/>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17"/>
          <w:rFonts w:hint="eastAsia" w:ascii="黑体" w:hAnsi="黑体" w:eastAsia="黑体"/>
          <w:b w:val="0"/>
          <w:color w:val="auto"/>
          <w:highlight w:val="none"/>
        </w:rPr>
        <w:t>入决算情况说明</w:t>
      </w:r>
      <w:bookmarkEnd w:id="27"/>
      <w:bookmarkEnd w:id="28"/>
      <w:bookmarkEnd w:id="29"/>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758.65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745.73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98.3</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12.93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1.70</w:t>
      </w:r>
      <w:r>
        <w:rPr>
          <w:rFonts w:hint="eastAsia" w:ascii="仿宋_GB2312" w:hAnsi="仿宋_GB2312" w:eastAsia="仿宋_GB2312" w:cs="仿宋_GB2312"/>
          <w:color w:val="auto"/>
          <w:sz w:val="32"/>
          <w:szCs w:val="32"/>
          <w:highlight w:val="none"/>
        </w:rPr>
        <w:t>%。</w:t>
      </w:r>
    </w:p>
    <w:p>
      <w:pPr>
        <w:pStyle w:val="2"/>
        <w:jc w:val="center"/>
        <w:rPr>
          <w:rFonts w:hint="eastAsia" w:ascii="黑体" w:hAnsi="黑体" w:eastAsia="黑体"/>
          <w:color w:val="auto"/>
          <w:sz w:val="32"/>
          <w:szCs w:val="32"/>
          <w:highlight w:val="none"/>
          <w:lang w:eastAsia="zh-CN"/>
        </w:rPr>
      </w:pPr>
      <w:bookmarkStart w:id="30" w:name="_Toc15396605"/>
      <w:bookmarkStart w:id="31" w:name="_Toc15377207"/>
      <w:r>
        <w:rPr>
          <w:rFonts w:hint="eastAsia" w:eastAsia="仿宋"/>
          <w:lang w:eastAsia="zh-CN"/>
        </w:rPr>
        <w:drawing>
          <wp:inline distT="0" distB="0" distL="114300" distR="114300">
            <wp:extent cx="4017645" cy="1887855"/>
            <wp:effectExtent l="4445" t="5080" r="6985" b="1206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18"/>
        <w:pageBreakBefore w:val="0"/>
        <w:numPr>
          <w:ilvl w:val="0"/>
          <w:numId w:val="0"/>
        </w:numPr>
        <w:kinsoku/>
        <w:wordWrap/>
        <w:overflowPunct/>
        <w:topLinePunct w:val="0"/>
        <w:bidi w:val="0"/>
        <w:spacing w:line="560" w:lineRule="exact"/>
        <w:ind w:left="-720" w:leftChars="0" w:right="0" w:rightChars="0" w:firstLine="1280" w:firstLineChars="400"/>
        <w:textAlignment w:val="auto"/>
        <w:outlineLvl w:val="1"/>
        <w:rPr>
          <w:rStyle w:val="17"/>
          <w:rFonts w:ascii="黑体" w:hAnsi="黑体" w:eastAsia="黑体"/>
          <w:b w:val="0"/>
          <w:color w:val="auto"/>
          <w:highlight w:val="none"/>
        </w:rPr>
      </w:pPr>
      <w:bookmarkStart w:id="32" w:name="_Toc24509"/>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17"/>
          <w:rFonts w:hint="eastAsia" w:ascii="黑体" w:hAnsi="黑体" w:eastAsia="黑体"/>
          <w:b w:val="0"/>
          <w:color w:val="auto"/>
          <w:highlight w:val="none"/>
        </w:rPr>
        <w:t>出决算情况说明</w:t>
      </w:r>
      <w:bookmarkEnd w:id="30"/>
      <w:bookmarkEnd w:id="31"/>
      <w:bookmarkEnd w:id="32"/>
    </w:p>
    <w:p>
      <w:pPr>
        <w:pageBreakBefore w:val="0"/>
        <w:kinsoku/>
        <w:wordWrap/>
        <w:overflowPunct/>
        <w:topLinePunct w:val="0"/>
        <w:bidi w:val="0"/>
        <w:spacing w:line="560" w:lineRule="exact"/>
        <w:ind w:left="0" w:leftChars="0" w:right="0" w:firstLine="640" w:firstLineChars="200"/>
        <w:textAlignment w:val="auto"/>
        <w:rPr>
          <w:rFonts w:hint="eastAsia" w:eastAsia="仿宋"/>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771.62</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650.95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84.36</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120.66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15.64</w:t>
      </w:r>
      <w:r>
        <w:rPr>
          <w:rFonts w:hint="eastAsia" w:ascii="仿宋_GB2312" w:hAnsi="仿宋_GB2312" w:eastAsia="仿宋_GB2312" w:cs="仿宋_GB2312"/>
          <w:color w:val="auto"/>
          <w:sz w:val="32"/>
          <w:szCs w:val="32"/>
          <w:highlight w:val="none"/>
        </w:rPr>
        <w:t>%。</w:t>
      </w:r>
      <w:bookmarkStart w:id="33" w:name="_Toc15396606"/>
      <w:bookmarkStart w:id="34" w:name="_Toc15377208"/>
    </w:p>
    <w:p>
      <w:pPr>
        <w:pStyle w:val="2"/>
        <w:jc w:val="center"/>
        <w:rPr>
          <w:rFonts w:hint="eastAsia" w:eastAsia="仿宋"/>
          <w:lang w:eastAsia="zh-CN"/>
        </w:rPr>
      </w:pPr>
      <w:r>
        <w:rPr>
          <w:rFonts w:hint="eastAsia" w:eastAsia="仿宋"/>
          <w:lang w:eastAsia="zh-CN"/>
        </w:rPr>
        <w:drawing>
          <wp:inline distT="0" distB="0" distL="114300" distR="114300">
            <wp:extent cx="4208780" cy="2487295"/>
            <wp:effectExtent l="4445" t="4445" r="15875" b="2286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560" w:lineRule="exact"/>
        <w:ind w:left="0" w:leftChars="0" w:right="0" w:firstLine="640" w:firstLineChars="200"/>
        <w:textAlignment w:val="auto"/>
        <w:outlineLvl w:val="1"/>
        <w:rPr>
          <w:rStyle w:val="17"/>
          <w:rFonts w:ascii="黑体" w:hAnsi="黑体" w:eastAsia="黑体"/>
          <w:b w:val="0"/>
          <w:color w:val="auto"/>
          <w:highlight w:val="none"/>
        </w:rPr>
      </w:pPr>
      <w:bookmarkStart w:id="35" w:name="_Toc32431"/>
      <w:r>
        <w:rPr>
          <w:rFonts w:hint="eastAsia" w:ascii="黑体" w:hAnsi="黑体" w:eastAsia="黑体"/>
          <w:color w:val="auto"/>
          <w:sz w:val="32"/>
          <w:szCs w:val="32"/>
          <w:highlight w:val="none"/>
        </w:rPr>
        <w:t>四、财</w:t>
      </w:r>
      <w:r>
        <w:rPr>
          <w:rStyle w:val="17"/>
          <w:rFonts w:hint="eastAsia" w:ascii="黑体" w:hAnsi="黑体" w:eastAsia="黑体"/>
          <w:b w:val="0"/>
          <w:color w:val="auto"/>
          <w:highlight w:val="none"/>
        </w:rPr>
        <w:t>政拨款收入支出决算总体情况说明</w:t>
      </w:r>
      <w:bookmarkEnd w:id="33"/>
      <w:bookmarkEnd w:id="34"/>
      <w:bookmarkEnd w:id="35"/>
    </w:p>
    <w:p>
      <w:pPr>
        <w:pageBreakBefore w:val="0"/>
        <w:kinsoku/>
        <w:wordWrap/>
        <w:overflowPunct/>
        <w:topLinePunct w:val="0"/>
        <w:bidi w:val="0"/>
        <w:spacing w:line="560" w:lineRule="exact"/>
        <w:ind w:left="0" w:leftChars="0" w:right="0" w:firstLine="640" w:firstLineChars="200"/>
        <w:textAlignment w:val="auto"/>
        <w:rPr>
          <w:rFonts w:hint="eastAsia" w:eastAsia="仿宋"/>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752.42</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89.93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13.57</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本年度人员增加、晋级，导致人员经费增加。</w:t>
      </w:r>
      <w:bookmarkStart w:id="36" w:name="_Toc15396607"/>
      <w:bookmarkStart w:id="37" w:name="_Toc15377209"/>
    </w:p>
    <w:p>
      <w:pPr>
        <w:pStyle w:val="2"/>
        <w:jc w:val="center"/>
        <w:rPr>
          <w:rFonts w:hint="eastAsia" w:eastAsia="仿宋"/>
          <w:lang w:eastAsia="zh-CN"/>
        </w:rPr>
      </w:pPr>
      <w:r>
        <w:rPr>
          <w:rFonts w:hint="eastAsia" w:eastAsia="仿宋"/>
          <w:lang w:eastAsia="zh-CN"/>
        </w:rPr>
        <w:drawing>
          <wp:inline distT="0" distB="0" distL="114300" distR="114300">
            <wp:extent cx="4157980" cy="2593340"/>
            <wp:effectExtent l="4445" t="4445" r="9525" b="1206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560" w:lineRule="exact"/>
        <w:ind w:left="0" w:leftChars="0" w:right="0" w:firstLine="640" w:firstLineChars="200"/>
        <w:textAlignment w:val="auto"/>
        <w:outlineLvl w:val="1"/>
        <w:rPr>
          <w:rStyle w:val="17"/>
          <w:rFonts w:ascii="黑体" w:hAnsi="黑体" w:eastAsia="黑体"/>
          <w:b w:val="0"/>
          <w:color w:val="auto"/>
          <w:highlight w:val="none"/>
        </w:rPr>
      </w:pPr>
      <w:bookmarkStart w:id="38" w:name="_Toc31522"/>
      <w:r>
        <w:rPr>
          <w:rStyle w:val="17"/>
          <w:rFonts w:hint="eastAsia" w:ascii="黑体" w:hAnsi="黑体" w:eastAsia="黑体"/>
          <w:b w:val="0"/>
          <w:color w:val="auto"/>
          <w:highlight w:val="none"/>
        </w:rPr>
        <w:t>五、一般公共预算财政拨款支出决算情况说明</w:t>
      </w:r>
      <w:bookmarkEnd w:id="36"/>
      <w:bookmarkEnd w:id="37"/>
      <w:bookmarkEnd w:id="38"/>
    </w:p>
    <w:p>
      <w:pPr>
        <w:pageBreakBefore w:val="0"/>
        <w:kinsoku/>
        <w:wordWrap/>
        <w:overflowPunct/>
        <w:topLinePunct w:val="0"/>
        <w:bidi w:val="0"/>
        <w:spacing w:line="560" w:lineRule="exact"/>
        <w:ind w:left="0" w:leftChars="0" w:right="0" w:firstLine="641" w:firstLineChars="200"/>
        <w:textAlignment w:val="auto"/>
        <w:outlineLvl w:val="2"/>
        <w:rPr>
          <w:rFonts w:hint="eastAsia" w:ascii="楷体_GB2312" w:hAnsi="楷体_GB2312" w:eastAsia="楷体_GB2312" w:cs="楷体_GB2312"/>
          <w:b/>
          <w:bCs w:val="0"/>
          <w:color w:val="auto"/>
          <w:sz w:val="32"/>
          <w:szCs w:val="32"/>
          <w:highlight w:val="none"/>
        </w:rPr>
      </w:pPr>
      <w:bookmarkStart w:id="39" w:name="_Toc15377210"/>
      <w:r>
        <w:rPr>
          <w:rFonts w:hint="eastAsia" w:ascii="楷体_GB2312" w:hAnsi="楷体_GB2312" w:eastAsia="楷体_GB2312" w:cs="楷体_GB2312"/>
          <w:b/>
          <w:bCs w:val="0"/>
          <w:color w:val="auto"/>
          <w:sz w:val="32"/>
          <w:szCs w:val="32"/>
          <w:highlight w:val="none"/>
        </w:rPr>
        <w:t>（一）一般公共预算财政拨款支出决算总体情况</w:t>
      </w:r>
      <w:bookmarkEnd w:id="39"/>
    </w:p>
    <w:p>
      <w:pPr>
        <w:pageBreakBefore w:val="0"/>
        <w:kinsoku/>
        <w:wordWrap/>
        <w:overflowPunct/>
        <w:topLinePunct w:val="0"/>
        <w:bidi w:val="0"/>
        <w:spacing w:line="560" w:lineRule="exact"/>
        <w:ind w:left="0" w:leftChars="0" w:right="0" w:firstLine="640" w:firstLineChars="200"/>
        <w:textAlignment w:val="auto"/>
        <w:rPr>
          <w:rFonts w:hint="eastAsia" w:eastAsia="仿宋"/>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752.42</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97.51</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96.62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14.73</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本年度人员增加、晋级，导致人员经费增加。</w:t>
      </w:r>
    </w:p>
    <w:p>
      <w:pPr>
        <w:pStyle w:val="2"/>
        <w:jc w:val="center"/>
        <w:rPr>
          <w:rFonts w:hint="eastAsia" w:eastAsia="仿宋"/>
          <w:lang w:eastAsia="zh-CN"/>
        </w:rPr>
      </w:pPr>
      <w:r>
        <w:rPr>
          <w:rFonts w:hint="eastAsia" w:eastAsia="仿宋"/>
          <w:lang w:eastAsia="zh-CN"/>
        </w:rPr>
        <w:drawing>
          <wp:inline distT="0" distB="0" distL="114300" distR="114300">
            <wp:extent cx="4176395" cy="2537460"/>
            <wp:effectExtent l="4445" t="5080" r="10160" b="101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560" w:lineRule="exact"/>
        <w:ind w:left="0" w:leftChars="0" w:right="0" w:firstLine="641" w:firstLineChars="200"/>
        <w:textAlignment w:val="auto"/>
        <w:outlineLvl w:val="2"/>
        <w:rPr>
          <w:rFonts w:hint="eastAsia" w:ascii="楷体_GB2312" w:hAnsi="楷体_GB2312" w:eastAsia="楷体_GB2312" w:cs="楷体_GB2312"/>
          <w:b/>
          <w:color w:val="auto"/>
          <w:sz w:val="32"/>
          <w:szCs w:val="32"/>
          <w:highlight w:val="none"/>
        </w:rPr>
      </w:pPr>
      <w:bookmarkStart w:id="40" w:name="_Toc15377211"/>
      <w:r>
        <w:rPr>
          <w:rFonts w:hint="eastAsia" w:ascii="楷体_GB2312" w:hAnsi="楷体_GB2312" w:eastAsia="楷体_GB2312" w:cs="楷体_GB2312"/>
          <w:b/>
          <w:color w:val="auto"/>
          <w:sz w:val="32"/>
          <w:szCs w:val="32"/>
          <w:highlight w:val="none"/>
        </w:rPr>
        <w:t>（二）一般公共预算财政拨款支出决算结构情况</w:t>
      </w:r>
      <w:bookmarkEnd w:id="40"/>
    </w:p>
    <w:p>
      <w:pPr>
        <w:pageBreakBefore w:val="0"/>
        <w:kinsoku/>
        <w:wordWrap/>
        <w:overflowPunct/>
        <w:topLinePunct w:val="0"/>
        <w:bidi w:val="0"/>
        <w:spacing w:line="560" w:lineRule="exact"/>
        <w:ind w:left="0" w:leftChars="0" w:right="0" w:firstLine="640" w:firstLineChars="200"/>
        <w:textAlignment w:val="auto"/>
        <w:rPr>
          <w:rFonts w:hint="eastAsia" w:eastAsia="仿宋"/>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752.42</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color w:val="auto"/>
          <w:sz w:val="32"/>
          <w:szCs w:val="32"/>
          <w:highlight w:val="none"/>
        </w:rPr>
        <w:t>一般公共服务</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649.06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86.26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40.8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5.42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18.54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2.46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44.02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5.85</w:t>
      </w:r>
      <w:r>
        <w:rPr>
          <w:rFonts w:hint="eastAsia" w:ascii="仿宋_GB2312" w:hAnsi="仿宋_GB2312" w:eastAsia="仿宋_GB2312" w:cs="仿宋_GB2312"/>
          <w:color w:val="auto"/>
          <w:sz w:val="32"/>
          <w:szCs w:val="32"/>
          <w:highlight w:val="none"/>
        </w:rPr>
        <w:t>%。</w:t>
      </w:r>
    </w:p>
    <w:p>
      <w:pPr>
        <w:pStyle w:val="2"/>
        <w:jc w:val="center"/>
        <w:rPr>
          <w:rFonts w:hint="eastAsia" w:eastAsia="仿宋"/>
          <w:lang w:eastAsia="zh-CN"/>
        </w:rPr>
      </w:pPr>
      <w:r>
        <w:rPr>
          <w:rFonts w:hint="eastAsia" w:eastAsia="仿宋"/>
          <w:lang w:eastAsia="zh-CN"/>
        </w:rPr>
        <w:drawing>
          <wp:inline distT="0" distB="0" distL="114300" distR="114300">
            <wp:extent cx="4110990" cy="2428240"/>
            <wp:effectExtent l="4445" t="4445" r="18415" b="571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topLinePunct w:val="0"/>
        <w:bidi w:val="0"/>
        <w:spacing w:line="560" w:lineRule="exact"/>
        <w:ind w:left="0" w:leftChars="0" w:right="0" w:firstLine="641" w:firstLineChars="200"/>
        <w:textAlignment w:val="auto"/>
        <w:outlineLvl w:val="2"/>
        <w:rPr>
          <w:rFonts w:hint="eastAsia" w:ascii="楷体_GB2312" w:hAnsi="楷体_GB2312" w:eastAsia="楷体_GB2312" w:cs="楷体_GB2312"/>
          <w:b/>
          <w:color w:val="auto"/>
          <w:sz w:val="32"/>
          <w:szCs w:val="32"/>
          <w:highlight w:val="none"/>
        </w:rPr>
      </w:pPr>
      <w:bookmarkStart w:id="41" w:name="_Toc15377212"/>
      <w:r>
        <w:rPr>
          <w:rFonts w:hint="eastAsia" w:ascii="楷体_GB2312" w:hAnsi="楷体_GB2312" w:eastAsia="楷体_GB2312" w:cs="楷体_GB2312"/>
          <w:b/>
          <w:color w:val="auto"/>
          <w:sz w:val="32"/>
          <w:szCs w:val="32"/>
          <w:highlight w:val="none"/>
        </w:rPr>
        <w:t>（三）一般公共预算财政拨款支出决算具体情况</w:t>
      </w:r>
      <w:bookmarkEnd w:id="41"/>
    </w:p>
    <w:p>
      <w:pPr>
        <w:pageBreakBefore w:val="0"/>
        <w:kinsoku/>
        <w:wordWrap/>
        <w:overflowPunct/>
        <w:topLinePunct w:val="0"/>
        <w:bidi w:val="0"/>
        <w:spacing w:line="560" w:lineRule="exact"/>
        <w:ind w:left="0" w:leftChars="0" w:right="0" w:firstLine="640" w:firstLineChars="200"/>
        <w:textAlignment w:val="auto"/>
        <w:outlineLvl w:val="1"/>
        <w:rPr>
          <w:rFonts w:ascii="仿宋" w:hAnsi="仿宋" w:eastAsia="仿宋"/>
          <w:color w:val="auto"/>
          <w:sz w:val="32"/>
          <w:szCs w:val="32"/>
          <w:highlight w:val="none"/>
        </w:rPr>
      </w:pPr>
      <w:bookmarkStart w:id="42" w:name="_Toc15377444"/>
      <w:bookmarkStart w:id="43" w:name="_Toc15378460"/>
      <w:bookmarkStart w:id="44" w:name="_Toc15377213"/>
      <w:bookmarkStart w:id="45" w:name="_Toc7327"/>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22</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752.42</w:t>
      </w:r>
      <w:r>
        <w:rPr>
          <w:rFonts w:hint="eastAsia" w:ascii="仿宋_GB2312" w:hAnsi="仿宋_GB2312" w:eastAsia="仿宋_GB2312" w:cs="仿宋_GB2312"/>
          <w:b/>
          <w:color w:val="auto"/>
          <w:sz w:val="32"/>
          <w:szCs w:val="32"/>
          <w:highlight w:val="none"/>
        </w:rPr>
        <w:t>，完成预算</w:t>
      </w:r>
      <w:r>
        <w:rPr>
          <w:rFonts w:hint="eastAsia" w:ascii="仿宋_GB2312" w:hAnsi="仿宋_GB2312" w:eastAsia="仿宋_GB2312" w:cs="仿宋_GB2312"/>
          <w:b/>
          <w:color w:val="auto"/>
          <w:sz w:val="32"/>
          <w:szCs w:val="32"/>
          <w:highlight w:val="none"/>
          <w:lang w:val="en-US" w:eastAsia="zh-CN"/>
        </w:rPr>
        <w:t>100</w:t>
      </w:r>
      <w:r>
        <w:rPr>
          <w:rFonts w:hint="eastAsia" w:ascii="仿宋_GB2312" w:hAnsi="仿宋_GB2312" w:eastAsia="仿宋_GB2312" w:cs="仿宋_GB2312"/>
          <w:b/>
          <w:color w:val="auto"/>
          <w:sz w:val="32"/>
          <w:szCs w:val="32"/>
          <w:highlight w:val="none"/>
        </w:rPr>
        <w:t>%。其中：</w:t>
      </w:r>
      <w:bookmarkEnd w:id="42"/>
      <w:bookmarkEnd w:id="43"/>
      <w:bookmarkEnd w:id="44"/>
      <w:bookmarkEnd w:id="45"/>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1.一般公共服务（类）</w:t>
      </w:r>
      <w:r>
        <w:rPr>
          <w:rFonts w:hint="eastAsia" w:ascii="仿宋_GB2312" w:hAnsi="仿宋_GB2312" w:eastAsia="仿宋_GB2312" w:cs="仿宋_GB2312"/>
          <w:b/>
          <w:color w:val="auto"/>
          <w:sz w:val="32"/>
          <w:szCs w:val="32"/>
          <w:highlight w:val="none"/>
          <w:lang w:val="en-US" w:eastAsia="zh-CN"/>
        </w:rPr>
        <w:t>档案事务（款）行政运行（项）：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436.41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0" w:firstLineChars="200"/>
        <w:textAlignment w:val="auto"/>
        <w:rPr>
          <w:rStyle w:val="14"/>
          <w:rFonts w:hint="eastAsia" w:ascii="仿宋" w:hAnsi="仿宋" w:eastAsia="仿宋" w:cs="Times New Roman"/>
          <w:b w:val="0"/>
          <w:bCs/>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2.</w:t>
      </w:r>
      <w:r>
        <w:rPr>
          <w:rFonts w:hint="eastAsia" w:ascii="仿宋_GB2312" w:hAnsi="仿宋_GB2312" w:eastAsia="仿宋_GB2312" w:cs="仿宋_GB2312"/>
          <w:b/>
          <w:color w:val="auto"/>
          <w:sz w:val="32"/>
          <w:szCs w:val="32"/>
          <w:highlight w:val="none"/>
          <w:lang w:val="en-US" w:eastAsia="zh-CN"/>
        </w:rPr>
        <w:t>一般公共服务（类）档案事务（款）档案馆（项）：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212.65</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0" w:firstLineChars="200"/>
        <w:textAlignment w:val="auto"/>
        <w:rPr>
          <w:rFonts w:ascii="仿宋" w:hAnsi="仿宋" w:eastAsia="仿宋"/>
          <w:b/>
          <w:color w:val="auto"/>
          <w:sz w:val="32"/>
          <w:szCs w:val="32"/>
          <w:highlight w:val="none"/>
        </w:rPr>
      </w:pPr>
      <w:r>
        <w:rPr>
          <w:rFonts w:hint="eastAsia" w:ascii="仿宋_GB2312" w:hAnsi="仿宋_GB2312" w:eastAsia="仿宋_GB2312" w:cs="仿宋_GB2312"/>
          <w:b/>
          <w:color w:val="auto"/>
          <w:sz w:val="32"/>
          <w:szCs w:val="32"/>
          <w:highlight w:val="none"/>
        </w:rPr>
        <w:t>3.</w:t>
      </w:r>
      <w:r>
        <w:rPr>
          <w:rFonts w:hint="eastAsia" w:ascii="仿宋_GB2312" w:hAnsi="仿宋_GB2312" w:eastAsia="仿宋_GB2312" w:cs="仿宋_GB2312"/>
          <w:b/>
          <w:color w:val="auto"/>
          <w:sz w:val="32"/>
          <w:szCs w:val="32"/>
          <w:highlight w:val="none"/>
          <w:lang w:val="en-US" w:eastAsia="zh-CN"/>
        </w:rPr>
        <w:t>社会保障和就业（类）行政事业单位养老（款）机关事业单位基本养老保险缴费（项）：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34.31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4.</w:t>
      </w:r>
      <w:r>
        <w:rPr>
          <w:rFonts w:hint="eastAsia" w:ascii="仿宋_GB2312" w:hAnsi="仿宋_GB2312" w:eastAsia="仿宋_GB2312" w:cs="仿宋_GB2312"/>
          <w:b/>
          <w:color w:val="auto"/>
          <w:sz w:val="32"/>
          <w:szCs w:val="32"/>
          <w:highlight w:val="none"/>
          <w:lang w:val="en-US" w:eastAsia="zh-CN"/>
        </w:rPr>
        <w:t>社会保障和就业（类）行政事业单位养老（款）机关事业单位职业年金缴费（项）：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5.18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0" w:firstLineChars="200"/>
        <w:textAlignment w:val="auto"/>
        <w:rPr>
          <w:rFonts w:ascii="仿宋" w:hAnsi="仿宋" w:eastAsia="仿宋"/>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5.社会保障和就业（类）其他社会保障和就业（款）其他社会保障和就业（项）：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0" w:firstLineChars="200"/>
        <w:textAlignment w:val="auto"/>
        <w:rPr>
          <w:rFonts w:ascii="仿宋" w:hAnsi="仿宋" w:eastAsia="仿宋"/>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6.卫生健康（类）行政事业单位医疗（款）事业单位医疗（项）：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18.54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p>
    <w:p>
      <w:pPr>
        <w:pageBreakBefore w:val="0"/>
        <w:kinsoku/>
        <w:wordWrap/>
        <w:overflowPunct/>
        <w:topLinePunct w:val="0"/>
        <w:bidi w:val="0"/>
        <w:spacing w:line="560" w:lineRule="exact"/>
        <w:ind w:left="0" w:leftChars="0" w:right="0" w:firstLine="640" w:firstLineChars="200"/>
        <w:textAlignment w:val="auto"/>
        <w:rPr>
          <w:rFonts w:hint="eastAsia" w:ascii="黑体" w:eastAsia="黑体"/>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7.住房保障（类）住房改革（款）住房公积金（项）：</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44.02</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决算数与预算数持平。</w:t>
      </w:r>
      <w:bookmarkStart w:id="46" w:name="_Toc15377214"/>
      <w:bookmarkStart w:id="47" w:name="_Toc15396608"/>
    </w:p>
    <w:p>
      <w:pPr>
        <w:pageBreakBefore w:val="0"/>
        <w:tabs>
          <w:tab w:val="right" w:pos="8306"/>
        </w:tabs>
        <w:kinsoku/>
        <w:wordWrap/>
        <w:overflowPunct/>
        <w:topLinePunct w:val="0"/>
        <w:bidi w:val="0"/>
        <w:spacing w:line="560" w:lineRule="exact"/>
        <w:ind w:left="0" w:leftChars="0" w:right="0" w:firstLine="640"/>
        <w:textAlignment w:val="auto"/>
        <w:outlineLvl w:val="1"/>
        <w:rPr>
          <w:rStyle w:val="17"/>
          <w:color w:val="auto"/>
          <w:highlight w:val="none"/>
        </w:rPr>
      </w:pPr>
      <w:bookmarkStart w:id="48" w:name="_Toc19353"/>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般公共预算财政拨款基本支出决算情况说明</w:t>
      </w:r>
      <w:bookmarkEnd w:id="46"/>
      <w:bookmarkEnd w:id="47"/>
      <w:bookmarkEnd w:id="48"/>
      <w:r>
        <w:rPr>
          <w:rStyle w:val="17"/>
          <w:rFonts w:ascii="黑体" w:hAnsi="黑体" w:eastAsia="黑体"/>
          <w:b w:val="0"/>
          <w:color w:val="auto"/>
          <w:highlight w:val="none"/>
        </w:rPr>
        <w:tab/>
      </w:r>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650.95</w:t>
      </w:r>
      <w:r>
        <w:rPr>
          <w:rFonts w:hint="eastAsia" w:ascii="仿宋_GB2312" w:hAnsi="仿宋_GB2312" w:eastAsia="仿宋_GB2312" w:cs="仿宋_GB2312"/>
          <w:color w:val="auto"/>
          <w:sz w:val="32"/>
          <w:szCs w:val="32"/>
          <w:highlight w:val="none"/>
        </w:rPr>
        <w:t>万元，其中：</w:t>
      </w:r>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574.66</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rPr>
        <w:t>其他社会保障缴费、住房公积金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其他工资福利支出、生活补助。</w:t>
      </w:r>
    </w:p>
    <w:p>
      <w:pPr>
        <w:pageBreakBefore w:val="0"/>
        <w:kinsoku/>
        <w:wordWrap/>
        <w:overflowPunct/>
        <w:topLinePunct w:val="0"/>
        <w:bidi w:val="0"/>
        <w:spacing w:line="560" w:lineRule="exact"/>
        <w:ind w:left="0" w:leftChars="0" w:right="0" w:firstLine="640" w:firstLineChars="200"/>
        <w:textAlignment w:val="auto"/>
        <w:rPr>
          <w:rFonts w:hint="eastAsia" w:ascii="黑体" w:eastAsia="黑体"/>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76.29</w:t>
      </w:r>
      <w:r>
        <w:rPr>
          <w:rFonts w:hint="eastAsia" w:ascii="仿宋_GB2312" w:hAnsi="仿宋_GB2312" w:eastAsia="仿宋_GB2312" w:cs="仿宋_GB2312"/>
          <w:color w:val="auto"/>
          <w:sz w:val="32"/>
          <w:szCs w:val="32"/>
          <w:highlight w:val="none"/>
        </w:rPr>
        <w:t>万元，主要包括：办公费、印刷费、差旅费、会议费、培训费、公务接待费、劳务费、工会经费、福利费、公务用车运行维护费、其他交通费</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rPr>
        <w:t>、其他商品和服务支出。</w:t>
      </w:r>
      <w:bookmarkStart w:id="49" w:name="_Toc15377215"/>
      <w:bookmarkStart w:id="50" w:name="_Toc15396609"/>
    </w:p>
    <w:p>
      <w:pPr>
        <w:pageBreakBefore w:val="0"/>
        <w:kinsoku/>
        <w:wordWrap/>
        <w:overflowPunct/>
        <w:topLinePunct w:val="0"/>
        <w:bidi w:val="0"/>
        <w:spacing w:line="560" w:lineRule="exact"/>
        <w:ind w:left="0" w:leftChars="0" w:right="0" w:firstLine="640"/>
        <w:textAlignment w:val="auto"/>
        <w:outlineLvl w:val="1"/>
        <w:rPr>
          <w:rStyle w:val="17"/>
          <w:rFonts w:ascii="黑体" w:hAnsi="黑体" w:eastAsia="黑体"/>
          <w:b w:val="0"/>
          <w:color w:val="auto"/>
          <w:highlight w:val="none"/>
        </w:rPr>
      </w:pPr>
      <w:bookmarkStart w:id="51" w:name="_Toc15497"/>
      <w:r>
        <w:rPr>
          <w:rFonts w:hint="eastAsia" w:ascii="黑体" w:eastAsia="黑体"/>
          <w:color w:val="auto"/>
          <w:sz w:val="32"/>
          <w:szCs w:val="32"/>
          <w:highlight w:val="none"/>
        </w:rPr>
        <w:t>七、</w:t>
      </w:r>
      <w:r>
        <w:rPr>
          <w:rStyle w:val="17"/>
          <w:rFonts w:hint="eastAsia" w:ascii="黑体" w:hAnsi="黑体" w:eastAsia="黑体"/>
          <w:b w:val="0"/>
          <w:color w:val="auto"/>
          <w:highlight w:val="none"/>
        </w:rPr>
        <w:t>财政拨款</w:t>
      </w:r>
      <w:r>
        <w:rPr>
          <w:rStyle w:val="17"/>
          <w:rFonts w:hint="eastAsia" w:ascii="黑体" w:hAnsi="黑体" w:eastAsia="黑体"/>
          <w:color w:val="auto"/>
          <w:highlight w:val="none"/>
        </w:rPr>
        <w:t>“</w:t>
      </w:r>
      <w:r>
        <w:rPr>
          <w:rStyle w:val="17"/>
          <w:rFonts w:hint="eastAsia" w:ascii="黑体" w:hAnsi="黑体" w:eastAsia="黑体"/>
          <w:b w:val="0"/>
          <w:color w:val="auto"/>
          <w:highlight w:val="none"/>
        </w:rPr>
        <w:t>三公”经费支出决算情况说明</w:t>
      </w:r>
      <w:bookmarkEnd w:id="49"/>
      <w:bookmarkEnd w:id="50"/>
      <w:bookmarkEnd w:id="51"/>
    </w:p>
    <w:p>
      <w:pPr>
        <w:pageBreakBefore w:val="0"/>
        <w:kinsoku/>
        <w:wordWrap/>
        <w:overflowPunct/>
        <w:topLinePunct w:val="0"/>
        <w:bidi w:val="0"/>
        <w:spacing w:line="560" w:lineRule="exact"/>
        <w:ind w:left="0" w:leftChars="0" w:right="0" w:firstLine="641" w:firstLineChars="200"/>
        <w:textAlignment w:val="auto"/>
        <w:outlineLvl w:val="2"/>
        <w:rPr>
          <w:rFonts w:hint="eastAsia" w:ascii="楷体_GB2312" w:hAnsi="楷体_GB2312" w:eastAsia="楷体_GB2312" w:cs="楷体_GB2312"/>
          <w:b/>
          <w:color w:val="auto"/>
          <w:sz w:val="32"/>
          <w:szCs w:val="32"/>
          <w:highlight w:val="none"/>
        </w:rPr>
      </w:pPr>
      <w:bookmarkStart w:id="52" w:name="_Toc15377216"/>
      <w:r>
        <w:rPr>
          <w:rFonts w:hint="eastAsia" w:ascii="楷体_GB2312" w:hAnsi="楷体_GB2312" w:eastAsia="楷体_GB2312" w:cs="楷体_GB2312"/>
          <w:b/>
          <w:color w:val="auto"/>
          <w:sz w:val="32"/>
          <w:szCs w:val="32"/>
          <w:highlight w:val="none"/>
        </w:rPr>
        <w:t>（一）“三公”经费财政拨款支出决算总体情况说明</w:t>
      </w:r>
      <w:bookmarkEnd w:id="52"/>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1.18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16.86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auto"/>
          <w:sz w:val="32"/>
          <w:szCs w:val="32"/>
          <w:highlight w:val="none"/>
          <w:lang w:val="en-US" w:eastAsia="zh-CN"/>
        </w:rPr>
        <w:t>减少1.56万元，下降56.93%。</w:t>
      </w:r>
      <w:r>
        <w:rPr>
          <w:rFonts w:hint="eastAsia" w:ascii="仿宋_GB2312" w:hAnsi="仿宋_GB2312" w:eastAsia="仿宋_GB2312" w:cs="仿宋_GB2312"/>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lang w:eastAsia="zh-CN"/>
        </w:rPr>
        <w:t>受疫情影响减少公务接待及公车使用，加强“三公”经费管理，厉行节俭</w:t>
      </w:r>
      <w:r>
        <w:rPr>
          <w:rFonts w:hint="eastAsia" w:ascii="仿宋_GB2312" w:hAnsi="仿宋_GB2312" w:eastAsia="仿宋_GB2312" w:cs="仿宋_GB2312"/>
          <w:color w:val="auto"/>
          <w:sz w:val="32"/>
          <w:szCs w:val="32"/>
          <w:highlight w:val="none"/>
        </w:rPr>
        <w:t>。</w:t>
      </w:r>
    </w:p>
    <w:p>
      <w:pPr>
        <w:pageBreakBefore w:val="0"/>
        <w:kinsoku/>
        <w:wordWrap/>
        <w:overflowPunct/>
        <w:topLinePunct w:val="0"/>
        <w:bidi w:val="0"/>
        <w:spacing w:line="560" w:lineRule="exact"/>
        <w:ind w:left="0" w:leftChars="0" w:right="0" w:firstLine="641" w:firstLineChars="200"/>
        <w:textAlignment w:val="auto"/>
        <w:outlineLvl w:val="2"/>
        <w:rPr>
          <w:rFonts w:hint="eastAsia" w:ascii="楷体_GB2312" w:hAnsi="楷体_GB2312" w:eastAsia="楷体_GB2312" w:cs="楷体_GB2312"/>
          <w:b/>
          <w:color w:val="auto"/>
          <w:sz w:val="32"/>
          <w:szCs w:val="32"/>
          <w:highlight w:val="none"/>
        </w:rPr>
      </w:pPr>
      <w:bookmarkStart w:id="53" w:name="_Toc15377217"/>
      <w:r>
        <w:rPr>
          <w:rFonts w:hint="eastAsia" w:ascii="楷体_GB2312" w:hAnsi="楷体_GB2312" w:eastAsia="楷体_GB2312" w:cs="楷体_GB2312"/>
          <w:b/>
          <w:color w:val="auto"/>
          <w:sz w:val="32"/>
          <w:szCs w:val="32"/>
          <w:highlight w:val="none"/>
        </w:rPr>
        <w:t>（二）“三公”经费财政拨款支出决算具体情况说明</w:t>
      </w:r>
      <w:bookmarkEnd w:id="53"/>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84.75</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0.18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15.25</w:t>
      </w:r>
      <w:r>
        <w:rPr>
          <w:rFonts w:hint="eastAsia" w:ascii="仿宋_GB2312" w:hAnsi="仿宋_GB2312" w:eastAsia="仿宋_GB2312" w:cs="仿宋_GB2312"/>
          <w:color w:val="auto"/>
          <w:sz w:val="32"/>
          <w:szCs w:val="32"/>
          <w:highlight w:val="none"/>
        </w:rPr>
        <w:t>%。具体情况如下：</w:t>
      </w:r>
    </w:p>
    <w:p>
      <w:pPr>
        <w:pStyle w:val="11"/>
        <w:ind w:left="0" w:leftChars="0" w:firstLine="0" w:firstLineChars="0"/>
        <w:jc w:val="center"/>
        <w:rPr>
          <w:rFonts w:hint="eastAsia" w:eastAsia="仿宋"/>
          <w:lang w:eastAsia="zh-CN"/>
        </w:rPr>
      </w:pPr>
      <w:r>
        <w:rPr>
          <w:rFonts w:hint="eastAsia" w:eastAsia="仿宋"/>
          <w:lang w:eastAsia="zh-CN"/>
        </w:rPr>
        <w:drawing>
          <wp:inline distT="0" distB="0" distL="114300" distR="114300">
            <wp:extent cx="4197350" cy="2513965"/>
            <wp:effectExtent l="4445" t="4445" r="8255"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ageBreakBefore w:val="0"/>
        <w:kinsoku/>
        <w:wordWrap/>
        <w:overflowPunct/>
        <w:topLinePunct w:val="0"/>
        <w:bidi w:val="0"/>
        <w:spacing w:line="560" w:lineRule="exact"/>
        <w:ind w:left="0" w:leftChars="0" w:righ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1.因公出国（境）经费支出</w:t>
      </w:r>
      <w:r>
        <w:rPr>
          <w:rFonts w:hint="eastAsia" w:ascii="仿宋_GB2312" w:hAnsi="仿宋_GB2312" w:eastAsia="仿宋_GB2312" w:cs="仿宋_GB2312"/>
          <w:color w:val="auto"/>
          <w:sz w:val="32"/>
          <w:szCs w:val="32"/>
          <w:highlight w:val="none"/>
          <w:lang w:val="en-US" w:eastAsia="zh-CN"/>
        </w:rPr>
        <w:t>0万元，年初未安排预算。因公出国（境）支出决算较2021年无变化。</w:t>
      </w:r>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2.公务用车购置及运行维护费支出</w:t>
      </w:r>
      <w:r>
        <w:rPr>
          <w:rFonts w:hint="eastAsia" w:ascii="仿宋_GB2312" w:hAnsi="仿宋_GB2312" w:eastAsia="仿宋_GB2312" w:cs="仿宋_GB2312"/>
          <w:color w:val="auto"/>
          <w:sz w:val="32"/>
          <w:szCs w:val="32"/>
          <w:highlight w:val="none"/>
          <w:lang w:val="en-US" w:eastAsia="zh-CN"/>
        </w:rPr>
        <w:t>1万元，完成预算25%。公务用车购置及运行维护费支出决算比2021年减少1.27万元，下降55.95%。主要原因是</w:t>
      </w:r>
      <w:r>
        <w:rPr>
          <w:rFonts w:hint="eastAsia" w:ascii="仿宋_GB2312" w:hAnsi="仿宋_GB2312" w:eastAsia="仿宋_GB2312" w:cs="仿宋_GB2312"/>
          <w:color w:val="auto"/>
          <w:sz w:val="32"/>
          <w:szCs w:val="32"/>
          <w:highlight w:val="none"/>
          <w:lang w:eastAsia="zh-CN"/>
        </w:rPr>
        <w:t>受疫情影响，单位进一步加强公务用车管理，减少公务外出活动</w:t>
      </w:r>
      <w:r>
        <w:rPr>
          <w:rFonts w:hint="eastAsia" w:ascii="仿宋_GB2312" w:hAnsi="仿宋_GB2312" w:eastAsia="仿宋_GB2312" w:cs="仿宋_GB2312"/>
          <w:color w:val="auto"/>
          <w:sz w:val="32"/>
          <w:szCs w:val="32"/>
          <w:highlight w:val="none"/>
          <w:lang w:val="en-US" w:eastAsia="zh-CN"/>
        </w:rPr>
        <w:t>。</w:t>
      </w:r>
    </w:p>
    <w:p>
      <w:pPr>
        <w:pageBreakBefore w:val="0"/>
        <w:kinsoku/>
        <w:wordWrap/>
        <w:overflowPunct/>
        <w:topLinePunct w:val="0"/>
        <w:bidi w:val="0"/>
        <w:spacing w:line="560" w:lineRule="exact"/>
        <w:ind w:left="0" w:leftChars="0" w:righ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0万元。现有车辆车况良好，未达到更换标准及年限，全年未购置公务用车。截至2022年12月底，单位共有公务用车1辆，其中：轿车1辆。</w:t>
      </w:r>
    </w:p>
    <w:p>
      <w:pPr>
        <w:pageBreakBefore w:val="0"/>
        <w:kinsoku/>
        <w:wordWrap/>
        <w:overflowPunct/>
        <w:topLinePunct w:val="0"/>
        <w:bidi w:val="0"/>
        <w:spacing w:line="560" w:lineRule="exact"/>
        <w:ind w:left="0" w:leftChars="0" w:right="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公务用车运行维护费支出</w:t>
      </w:r>
      <w:r>
        <w:rPr>
          <w:rFonts w:hint="eastAsia" w:ascii="仿宋_GB2312" w:hAnsi="仿宋_GB2312" w:eastAsia="仿宋_GB2312" w:cs="仿宋_GB2312"/>
          <w:color w:val="auto"/>
          <w:sz w:val="32"/>
          <w:szCs w:val="32"/>
          <w:highlight w:val="none"/>
          <w:lang w:val="en-US" w:eastAsia="zh-CN"/>
        </w:rPr>
        <w:t>1万元。主要用于集体下乡帮扶及调研出差等所需的公务用车燃料费、维修费、过路过桥费、保险费等支出。</w:t>
      </w:r>
    </w:p>
    <w:p>
      <w:pPr>
        <w:pageBreakBefore w:val="0"/>
        <w:kinsoku/>
        <w:wordWrap/>
        <w:overflowPunct/>
        <w:topLinePunct w:val="0"/>
        <w:bidi w:val="0"/>
        <w:spacing w:line="560" w:lineRule="exact"/>
        <w:ind w:left="0" w:leftChars="0" w:right="0" w:firstLine="640"/>
        <w:textAlignment w:val="auto"/>
        <w:rPr>
          <w:rFonts w:ascii="仿宋_GB2312" w:eastAsia="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3.公务接待费支出</w:t>
      </w:r>
      <w:r>
        <w:rPr>
          <w:rFonts w:hint="eastAsia" w:ascii="仿宋_GB2312" w:hAnsi="仿宋_GB2312" w:eastAsia="仿宋_GB2312" w:cs="仿宋_GB2312"/>
          <w:color w:val="auto"/>
          <w:sz w:val="32"/>
          <w:szCs w:val="32"/>
          <w:highlight w:val="none"/>
          <w:lang w:val="en-US" w:eastAsia="zh-CN"/>
        </w:rPr>
        <w:t>0.18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年减少</w:t>
      </w:r>
      <w:r>
        <w:rPr>
          <w:rFonts w:hint="eastAsia" w:ascii="仿宋_GB2312" w:hAnsi="仿宋_GB2312" w:eastAsia="仿宋_GB2312" w:cs="仿宋_GB2312"/>
          <w:color w:val="auto"/>
          <w:sz w:val="32"/>
          <w:szCs w:val="32"/>
          <w:highlight w:val="none"/>
          <w:lang w:val="en-US" w:eastAsia="zh-CN"/>
        </w:rPr>
        <w:t>0.29</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61.70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受疫情影响，公务接待活动减少。其中：</w:t>
      </w:r>
    </w:p>
    <w:p>
      <w:pPr>
        <w:pageBreakBefore w:val="0"/>
        <w:kinsoku/>
        <w:wordWrap/>
        <w:overflowPunct/>
        <w:topLinePunct w:val="0"/>
        <w:bidi w:val="0"/>
        <w:spacing w:line="560" w:lineRule="exact"/>
        <w:ind w:left="0" w:leftChars="0" w:right="0" w:firstLine="640"/>
        <w:textAlignment w:val="auto"/>
        <w:rPr>
          <w:rFonts w:ascii="仿宋_GB2312" w:eastAsia="仿宋_GB2312"/>
          <w:color w:val="FF0000"/>
          <w:sz w:val="32"/>
          <w:szCs w:val="32"/>
          <w:highlight w:val="none"/>
        </w:rPr>
      </w:pPr>
      <w:r>
        <w:rPr>
          <w:rFonts w:hint="eastAsia" w:ascii="仿宋_GB2312" w:hAnsi="仿宋_GB2312" w:eastAsia="仿宋_GB2312" w:cs="仿宋_GB2312"/>
          <w:b/>
          <w:bCs/>
          <w:color w:val="auto"/>
          <w:sz w:val="32"/>
          <w:szCs w:val="32"/>
          <w:highlight w:val="none"/>
          <w:lang w:val="en-US" w:eastAsia="zh-CN"/>
        </w:rPr>
        <w:t>国内公务接待支出</w:t>
      </w:r>
      <w:r>
        <w:rPr>
          <w:rFonts w:hint="eastAsia" w:ascii="仿宋_GB2312" w:hAnsi="仿宋_GB2312" w:eastAsia="仿宋_GB2312" w:cs="仿宋_GB2312"/>
          <w:color w:val="auto"/>
          <w:sz w:val="32"/>
          <w:szCs w:val="32"/>
          <w:highlight w:val="none"/>
          <w:lang w:val="en-US" w:eastAsia="zh-CN"/>
        </w:rPr>
        <w:t>0.18</w:t>
      </w:r>
      <w:r>
        <w:rPr>
          <w:rFonts w:hint="eastAsia" w:ascii="仿宋_GB2312" w:hAnsi="仿宋_GB2312" w:eastAsia="仿宋_GB2312" w:cs="仿宋_GB2312"/>
          <w:color w:val="auto"/>
          <w:sz w:val="32"/>
          <w:szCs w:val="32"/>
          <w:highlight w:val="none"/>
        </w:rPr>
        <w:t>万元，主要用于执行公务、开展业务活动开支的交通费、住宿费、用餐费等。</w:t>
      </w:r>
      <w:r>
        <w:rPr>
          <w:rFonts w:hint="eastAsia" w:ascii="仿宋_GB2312" w:eastAsia="仿宋_GB2312"/>
          <w:color w:val="auto"/>
          <w:sz w:val="32"/>
          <w:szCs w:val="32"/>
          <w:highlight w:val="none"/>
        </w:rPr>
        <w:t>国内公务接待</w:t>
      </w:r>
      <w:r>
        <w:rPr>
          <w:rFonts w:hint="default" w:ascii="仿宋_GB2312" w:eastAsia="仿宋_GB2312"/>
          <w:color w:val="auto"/>
          <w:sz w:val="32"/>
          <w:szCs w:val="32"/>
          <w:highlight w:val="none"/>
          <w:lang w:val="en"/>
        </w:rPr>
        <w:t>3</w:t>
      </w:r>
      <w:r>
        <w:rPr>
          <w:rFonts w:hint="eastAsia" w:ascii="仿宋_GB2312" w:eastAsia="仿宋_GB2312"/>
          <w:color w:val="auto"/>
          <w:sz w:val="32"/>
          <w:szCs w:val="32"/>
          <w:highlight w:val="none"/>
        </w:rPr>
        <w:t>批次，</w:t>
      </w:r>
      <w:r>
        <w:rPr>
          <w:rFonts w:hint="default" w:ascii="仿宋_GB2312" w:eastAsia="仿宋_GB2312"/>
          <w:color w:val="auto"/>
          <w:sz w:val="32"/>
          <w:szCs w:val="32"/>
          <w:highlight w:val="none"/>
          <w:lang w:val="en"/>
        </w:rPr>
        <w:t>10</w:t>
      </w:r>
      <w:r>
        <w:rPr>
          <w:rFonts w:hint="eastAsia" w:ascii="仿宋_GB2312" w:eastAsia="仿宋_GB2312"/>
          <w:color w:val="auto"/>
          <w:sz w:val="32"/>
          <w:szCs w:val="32"/>
          <w:highlight w:val="none"/>
        </w:rPr>
        <w:t>人次（不包括陪同人员），共计支出</w:t>
      </w:r>
      <w:r>
        <w:rPr>
          <w:rFonts w:hint="default" w:ascii="仿宋_GB2312" w:eastAsia="仿宋_GB2312"/>
          <w:color w:val="auto"/>
          <w:sz w:val="32"/>
          <w:szCs w:val="32"/>
          <w:highlight w:val="none"/>
          <w:lang w:val="en"/>
        </w:rPr>
        <w:t>0.18</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剑阁县档案馆数字化加工参观学习接待费</w:t>
      </w:r>
      <w:r>
        <w:rPr>
          <w:rFonts w:hint="eastAsia" w:ascii="仿宋_GB2312" w:eastAsia="仿宋_GB2312"/>
          <w:color w:val="auto"/>
          <w:sz w:val="32"/>
          <w:szCs w:val="32"/>
          <w:highlight w:val="none"/>
          <w:lang w:val="en-US" w:eastAsia="zh-CN"/>
        </w:rPr>
        <w:t>500元，数字档案馆建设方案论证会接待费540元，省档案馆来广开展档案编研工作专题调研接待费735元</w:t>
      </w:r>
      <w:r>
        <w:rPr>
          <w:rFonts w:hint="eastAsia" w:ascii="仿宋_GB2312" w:eastAsia="仿宋_GB2312"/>
          <w:color w:val="auto"/>
          <w:sz w:val="32"/>
          <w:szCs w:val="32"/>
          <w:highlight w:val="none"/>
        </w:rPr>
        <w:t>。</w:t>
      </w:r>
    </w:p>
    <w:p>
      <w:pPr>
        <w:pageBreakBefore w:val="0"/>
        <w:kinsoku/>
        <w:wordWrap/>
        <w:overflowPunct/>
        <w:topLinePunct w:val="0"/>
        <w:bidi w:val="0"/>
        <w:spacing w:line="560" w:lineRule="exact"/>
        <w:ind w:left="0" w:leftChars="0" w:right="0" w:firstLine="640" w:firstLineChars="200"/>
        <w:textAlignment w:val="auto"/>
        <w:rPr>
          <w:rFonts w:hint="eastAsia" w:ascii="黑体" w:eastAsia="黑体"/>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外事接待支出</w:t>
      </w:r>
      <w:r>
        <w:rPr>
          <w:rFonts w:hint="eastAsia" w:ascii="仿宋_GB2312" w:hAnsi="仿宋_GB2312" w:eastAsia="仿宋_GB2312" w:cs="仿宋_GB2312"/>
          <w:color w:val="auto"/>
          <w:sz w:val="32"/>
          <w:szCs w:val="32"/>
          <w:highlight w:val="none"/>
          <w:lang w:val="en-US" w:eastAsia="zh-CN"/>
        </w:rPr>
        <w:t>0万元，年初未安排预算。外事接待支出决算较2021年无变化。</w:t>
      </w:r>
      <w:bookmarkStart w:id="54" w:name="_Toc15396610"/>
      <w:bookmarkStart w:id="55" w:name="_Toc15377218"/>
    </w:p>
    <w:p>
      <w:pPr>
        <w:pageBreakBefore w:val="0"/>
        <w:kinsoku/>
        <w:wordWrap/>
        <w:overflowPunct/>
        <w:topLinePunct w:val="0"/>
        <w:bidi w:val="0"/>
        <w:spacing w:line="560" w:lineRule="exact"/>
        <w:ind w:left="0" w:leftChars="0" w:right="0" w:firstLine="640"/>
        <w:textAlignment w:val="auto"/>
        <w:outlineLvl w:val="1"/>
        <w:rPr>
          <w:rStyle w:val="17"/>
          <w:rFonts w:ascii="黑体" w:hAnsi="黑体" w:eastAsia="黑体"/>
          <w:color w:val="auto"/>
          <w:highlight w:val="none"/>
        </w:rPr>
      </w:pPr>
      <w:bookmarkStart w:id="56" w:name="_Toc1932"/>
      <w:r>
        <w:rPr>
          <w:rFonts w:hint="eastAsia" w:ascii="黑体" w:eastAsia="黑体"/>
          <w:color w:val="auto"/>
          <w:sz w:val="32"/>
          <w:szCs w:val="32"/>
          <w:highlight w:val="none"/>
        </w:rPr>
        <w:t>八、</w:t>
      </w:r>
      <w:r>
        <w:rPr>
          <w:rStyle w:val="17"/>
          <w:rFonts w:hint="eastAsia" w:ascii="黑体" w:hAnsi="黑体" w:eastAsia="黑体"/>
          <w:b w:val="0"/>
          <w:color w:val="auto"/>
          <w:highlight w:val="none"/>
        </w:rPr>
        <w:t>政府性基金预算支出决算情况说明</w:t>
      </w:r>
      <w:bookmarkEnd w:id="54"/>
      <w:bookmarkEnd w:id="55"/>
      <w:bookmarkEnd w:id="56"/>
    </w:p>
    <w:p>
      <w:pPr>
        <w:pageBreakBefore w:val="0"/>
        <w:kinsoku/>
        <w:wordWrap/>
        <w:overflowPunct/>
        <w:topLinePunct w:val="0"/>
        <w:bidi w:val="0"/>
        <w:spacing w:line="560" w:lineRule="exact"/>
        <w:ind w:left="0" w:leftChars="0" w:right="0" w:firstLine="640" w:firstLineChars="200"/>
        <w:textAlignment w:val="auto"/>
        <w:rPr>
          <w:rStyle w:val="17"/>
          <w:rFonts w:hint="eastAsia" w:ascii="黑体" w:hAnsi="黑体" w:eastAsia="黑体"/>
          <w:b w:val="0"/>
          <w:color w:val="auto"/>
          <w:highlight w:val="none"/>
          <w:lang w:eastAsia="zh-CN"/>
        </w:rPr>
      </w:pPr>
      <w:r>
        <w:rPr>
          <w:rFonts w:hint="eastAsia" w:ascii="仿宋_GB2312" w:hAnsi="仿宋_GB2312" w:eastAsia="仿宋_GB2312" w:cs="仿宋_GB2312"/>
          <w:color w:val="auto"/>
          <w:sz w:val="32"/>
          <w:szCs w:val="32"/>
          <w:highlight w:val="none"/>
          <w:lang w:val="en-US" w:eastAsia="zh-CN"/>
        </w:rPr>
        <w:t>2022年政府性基金预算财政拨款支出0万元，年初未安排预算。</w:t>
      </w:r>
      <w:bookmarkStart w:id="57" w:name="_Toc15377219"/>
      <w:bookmarkStart w:id="58" w:name="_Toc15396611"/>
      <w:r>
        <w:rPr>
          <w:rFonts w:hint="eastAsia" w:ascii="仿宋_GB2312" w:hAnsi="仿宋_GB2312" w:eastAsia="仿宋_GB2312" w:cs="仿宋_GB2312"/>
          <w:b w:val="0"/>
          <w:bCs w:val="0"/>
          <w:color w:val="000000"/>
          <w:sz w:val="32"/>
          <w:szCs w:val="32"/>
          <w:lang w:val="en-US" w:eastAsia="zh-CN"/>
        </w:rPr>
        <w:t>2022年本单位未在政府性基金预算拨款安排“三公经费”支出。</w:t>
      </w:r>
    </w:p>
    <w:p>
      <w:pPr>
        <w:pageBreakBefore w:val="0"/>
        <w:numPr>
          <w:ilvl w:val="0"/>
          <w:numId w:val="0"/>
        </w:numPr>
        <w:kinsoku/>
        <w:wordWrap/>
        <w:overflowPunct/>
        <w:topLinePunct w:val="0"/>
        <w:bidi w:val="0"/>
        <w:spacing w:line="560" w:lineRule="exact"/>
        <w:ind w:left="640" w:leftChars="0" w:right="0" w:rightChars="0"/>
        <w:textAlignment w:val="auto"/>
        <w:outlineLvl w:val="1"/>
        <w:rPr>
          <w:rStyle w:val="17"/>
          <w:rFonts w:ascii="黑体" w:hAnsi="黑体" w:eastAsia="黑体"/>
          <w:b w:val="0"/>
          <w:color w:val="auto"/>
          <w:highlight w:val="none"/>
        </w:rPr>
      </w:pPr>
      <w:bookmarkStart w:id="59" w:name="_Toc18109"/>
      <w:r>
        <w:rPr>
          <w:rStyle w:val="17"/>
          <w:rFonts w:hint="eastAsia" w:ascii="黑体" w:hAnsi="黑体" w:eastAsia="黑体"/>
          <w:b w:val="0"/>
          <w:color w:val="auto"/>
          <w:highlight w:val="none"/>
          <w:lang w:eastAsia="zh-CN"/>
        </w:rPr>
        <w:t>九、</w:t>
      </w:r>
      <w:r>
        <w:rPr>
          <w:rStyle w:val="17"/>
          <w:rFonts w:hint="eastAsia" w:ascii="黑体" w:hAnsi="黑体" w:eastAsia="黑体"/>
          <w:b w:val="0"/>
          <w:color w:val="auto"/>
          <w:highlight w:val="none"/>
        </w:rPr>
        <w:t>国有资本经营预算支出决算情况说明</w:t>
      </w:r>
      <w:bookmarkEnd w:id="57"/>
      <w:bookmarkEnd w:id="58"/>
      <w:bookmarkEnd w:id="59"/>
    </w:p>
    <w:p>
      <w:pPr>
        <w:pageBreakBefore w:val="0"/>
        <w:kinsoku/>
        <w:wordWrap/>
        <w:overflowPunct/>
        <w:topLinePunct w:val="0"/>
        <w:bidi w:val="0"/>
        <w:spacing w:line="560" w:lineRule="exact"/>
        <w:ind w:left="0" w:leftChars="0" w:right="0" w:firstLine="640"/>
        <w:textAlignment w:val="auto"/>
        <w:rPr>
          <w:rStyle w:val="17"/>
          <w:rFonts w:hint="eastAsia" w:ascii="黑体" w:hAnsi="黑体" w:eastAsia="黑体"/>
          <w:b w:val="0"/>
          <w:color w:val="auto"/>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年初未安排预算。</w:t>
      </w:r>
      <w:bookmarkStart w:id="60" w:name="_Toc15396612"/>
      <w:bookmarkStart w:id="61" w:name="_Toc15377221"/>
    </w:p>
    <w:p>
      <w:pPr>
        <w:pageBreakBefore w:val="0"/>
        <w:numPr>
          <w:ilvl w:val="0"/>
          <w:numId w:val="0"/>
        </w:numPr>
        <w:kinsoku/>
        <w:wordWrap/>
        <w:overflowPunct/>
        <w:topLinePunct w:val="0"/>
        <w:bidi w:val="0"/>
        <w:spacing w:line="560" w:lineRule="exact"/>
        <w:ind w:left="640" w:leftChars="0" w:right="0" w:rightChars="0"/>
        <w:textAlignment w:val="auto"/>
        <w:outlineLvl w:val="1"/>
        <w:rPr>
          <w:rStyle w:val="17"/>
          <w:rFonts w:hint="eastAsia" w:ascii="黑体" w:hAnsi="黑体" w:eastAsia="黑体"/>
          <w:b w:val="0"/>
          <w:color w:val="auto"/>
          <w:highlight w:val="none"/>
        </w:rPr>
      </w:pPr>
      <w:bookmarkStart w:id="62" w:name="_Toc31602"/>
      <w:r>
        <w:rPr>
          <w:rStyle w:val="17"/>
          <w:rFonts w:hint="eastAsia" w:ascii="黑体" w:hAnsi="黑体" w:eastAsia="黑体"/>
          <w:b w:val="0"/>
          <w:color w:val="auto"/>
          <w:highlight w:val="none"/>
          <w:lang w:eastAsia="zh-CN"/>
        </w:rPr>
        <w:t>十、</w:t>
      </w:r>
      <w:r>
        <w:rPr>
          <w:rStyle w:val="17"/>
          <w:rFonts w:hint="eastAsia" w:ascii="黑体" w:hAnsi="黑体" w:eastAsia="黑体"/>
          <w:b w:val="0"/>
          <w:color w:val="auto"/>
          <w:highlight w:val="none"/>
        </w:rPr>
        <w:t>其他重要事项的情况说明</w:t>
      </w:r>
      <w:bookmarkEnd w:id="60"/>
      <w:bookmarkEnd w:id="61"/>
      <w:bookmarkEnd w:id="62"/>
    </w:p>
    <w:p>
      <w:pPr>
        <w:pageBreakBefore w:val="0"/>
        <w:kinsoku/>
        <w:wordWrap/>
        <w:overflowPunct/>
        <w:topLinePunct w:val="0"/>
        <w:bidi w:val="0"/>
        <w:spacing w:line="560" w:lineRule="exact"/>
        <w:ind w:left="0" w:leftChars="0" w:right="0" w:firstLine="641" w:firstLineChars="200"/>
        <w:textAlignment w:val="auto"/>
        <w:outlineLvl w:val="2"/>
        <w:rPr>
          <w:rFonts w:hint="eastAsia" w:ascii="楷体_GB2312" w:hAnsi="楷体_GB2312" w:eastAsia="楷体_GB2312" w:cs="楷体_GB2312"/>
          <w:color w:val="auto"/>
          <w:sz w:val="32"/>
          <w:szCs w:val="32"/>
          <w:highlight w:val="none"/>
        </w:rPr>
      </w:pPr>
      <w:bookmarkStart w:id="63" w:name="_Toc15377222"/>
      <w:r>
        <w:rPr>
          <w:rFonts w:hint="eastAsia" w:ascii="楷体_GB2312" w:hAnsi="楷体_GB2312" w:eastAsia="楷体_GB2312" w:cs="楷体_GB2312"/>
          <w:b/>
          <w:color w:val="auto"/>
          <w:sz w:val="32"/>
          <w:szCs w:val="32"/>
          <w:highlight w:val="none"/>
        </w:rPr>
        <w:t>（一）机关运行经费支出情况</w:t>
      </w:r>
      <w:bookmarkEnd w:id="63"/>
    </w:p>
    <w:p>
      <w:pPr>
        <w:pageBreakBefore w:val="0"/>
        <w:kinsoku/>
        <w:wordWrap/>
        <w:overflowPunct/>
        <w:topLinePunct w:val="0"/>
        <w:bidi w:val="0"/>
        <w:spacing w:line="560" w:lineRule="exact"/>
        <w:ind w:left="0" w:leftChars="0" w:right="0" w:firstLine="640" w:firstLineChars="200"/>
        <w:textAlignment w:val="auto"/>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市档案馆</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76.29</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0.63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0.81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default" w:ascii="仿宋_GB2312" w:eastAsia="仿宋_GB2312"/>
          <w:color w:val="auto"/>
          <w:sz w:val="32"/>
          <w:szCs w:val="32"/>
          <w:highlight w:val="none"/>
          <w:woUserID w:val="1"/>
        </w:rPr>
        <w:t>厉行节约</w:t>
      </w:r>
      <w:r>
        <w:rPr>
          <w:rFonts w:hint="eastAsia" w:ascii="仿宋_GB2312" w:eastAsia="仿宋_GB2312"/>
          <w:color w:val="auto"/>
          <w:sz w:val="32"/>
          <w:szCs w:val="32"/>
          <w:highlight w:val="none"/>
          <w:lang w:eastAsia="zh-CN"/>
        </w:rPr>
        <w:t>。</w:t>
      </w:r>
    </w:p>
    <w:p>
      <w:pPr>
        <w:pageBreakBefore w:val="0"/>
        <w:kinsoku/>
        <w:wordWrap/>
        <w:overflowPunct/>
        <w:topLinePunct w:val="0"/>
        <w:bidi w:val="0"/>
        <w:spacing w:line="560" w:lineRule="exact"/>
        <w:ind w:left="0" w:leftChars="0" w:right="0" w:firstLine="641" w:firstLineChars="200"/>
        <w:textAlignment w:val="auto"/>
        <w:outlineLvl w:val="2"/>
        <w:rPr>
          <w:rFonts w:hint="eastAsia" w:ascii="楷体_GB2312" w:hAnsi="楷体_GB2312" w:eastAsia="楷体_GB2312" w:cs="楷体_GB2312"/>
          <w:b/>
          <w:color w:val="auto"/>
          <w:sz w:val="32"/>
          <w:szCs w:val="32"/>
          <w:highlight w:val="none"/>
        </w:rPr>
      </w:pPr>
      <w:bookmarkStart w:id="64" w:name="_Toc15377223"/>
      <w:r>
        <w:rPr>
          <w:rFonts w:hint="eastAsia" w:ascii="楷体_GB2312" w:hAnsi="楷体_GB2312" w:eastAsia="楷体_GB2312" w:cs="楷体_GB2312"/>
          <w:b/>
          <w:color w:val="auto"/>
          <w:sz w:val="32"/>
          <w:szCs w:val="32"/>
          <w:highlight w:val="none"/>
        </w:rPr>
        <w:t>（二）政府采购支出情况</w:t>
      </w:r>
      <w:bookmarkEnd w:id="64"/>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仿宋_GB2312" w:eastAsia="仿宋_GB2312"/>
          <w:b w:val="0"/>
          <w:bCs w:val="0"/>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市档案馆</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0.28</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0.28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购买空调</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b w:val="0"/>
          <w:bCs w:val="0"/>
          <w:color w:val="auto"/>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woUserID w:val="1"/>
        </w:rPr>
        <w:t>其中：授予小微企业合同金额0万元，占政府采购支出总额的0%。</w:t>
      </w:r>
      <w:bookmarkStart w:id="228" w:name="_GoBack"/>
      <w:bookmarkEnd w:id="228"/>
    </w:p>
    <w:p>
      <w:pPr>
        <w:pageBreakBefore w:val="0"/>
        <w:kinsoku/>
        <w:wordWrap/>
        <w:overflowPunct/>
        <w:topLinePunct w:val="0"/>
        <w:bidi w:val="0"/>
        <w:spacing w:line="560" w:lineRule="exact"/>
        <w:ind w:left="0" w:leftChars="0" w:right="0" w:firstLine="641" w:firstLineChars="200"/>
        <w:textAlignment w:val="auto"/>
        <w:outlineLvl w:val="2"/>
        <w:rPr>
          <w:rFonts w:hint="eastAsia" w:ascii="楷体_GB2312" w:hAnsi="楷体_GB2312" w:eastAsia="楷体_GB2312" w:cs="楷体_GB2312"/>
          <w:b/>
          <w:bCs/>
          <w:color w:val="auto"/>
          <w:sz w:val="32"/>
          <w:szCs w:val="32"/>
          <w:highlight w:val="none"/>
        </w:rPr>
      </w:pPr>
      <w:bookmarkStart w:id="65" w:name="_Toc15377224"/>
      <w:r>
        <w:rPr>
          <w:rFonts w:hint="eastAsia" w:ascii="楷体_GB2312" w:hAnsi="楷体_GB2312" w:eastAsia="楷体_GB2312" w:cs="楷体_GB2312"/>
          <w:b/>
          <w:bCs/>
          <w:color w:val="auto"/>
          <w:sz w:val="32"/>
          <w:szCs w:val="32"/>
          <w:highlight w:val="none"/>
        </w:rPr>
        <w:t>（三）国有资产占有使用情况</w:t>
      </w:r>
      <w:bookmarkEnd w:id="65"/>
    </w:p>
    <w:p>
      <w:pPr>
        <w:pageBreakBefore w:val="0"/>
        <w:kinsoku/>
        <w:wordWrap/>
        <w:overflowPunct/>
        <w:topLinePunct w:val="0"/>
        <w:autoSpaceDE w:val="0"/>
        <w:autoSpaceDN w:val="0"/>
        <w:bidi w:val="0"/>
        <w:adjustRightInd w:val="0"/>
        <w:spacing w:line="560" w:lineRule="exact"/>
        <w:ind w:left="0" w:leftChars="0" w:right="0" w:firstLine="640" w:firstLineChars="200"/>
        <w:jc w:val="left"/>
        <w:textAlignment w:val="auto"/>
        <w:rPr>
          <w:rFonts w:ascii="仿宋" w:hAnsi="仿宋" w:eastAsia="仿宋"/>
          <w:b w:val="0"/>
          <w:bCs w:val="0"/>
          <w:color w:val="auto"/>
          <w:sz w:val="32"/>
          <w:szCs w:val="32"/>
          <w:highlight w:val="none"/>
        </w:rPr>
      </w:pPr>
      <w:r>
        <w:rPr>
          <w:rFonts w:hint="eastAsia" w:ascii="仿宋_GB2312" w:eastAsia="仿宋_GB2312"/>
          <w:b w:val="0"/>
          <w:bCs w:val="0"/>
          <w:color w:val="auto"/>
          <w:sz w:val="32"/>
          <w:szCs w:val="32"/>
          <w:highlight w:val="none"/>
        </w:rPr>
        <w:t>截至</w:t>
      </w:r>
      <w:r>
        <w:rPr>
          <w:rFonts w:ascii="仿宋_GB2312" w:eastAsia="仿宋_GB2312"/>
          <w:b w:val="0"/>
          <w:bCs w:val="0"/>
          <w:color w:val="auto"/>
          <w:sz w:val="32"/>
          <w:szCs w:val="32"/>
          <w:highlight w:val="none"/>
        </w:rPr>
        <w:t>20</w:t>
      </w:r>
      <w:r>
        <w:rPr>
          <w:rFonts w:hint="eastAsia" w:ascii="仿宋_GB2312" w:eastAsia="仿宋_GB2312"/>
          <w:b w:val="0"/>
          <w:bCs w:val="0"/>
          <w:color w:val="auto"/>
          <w:sz w:val="32"/>
          <w:szCs w:val="32"/>
          <w:highlight w:val="none"/>
          <w:lang w:val="en-US" w:eastAsia="zh-CN"/>
        </w:rPr>
        <w:t>22</w:t>
      </w:r>
      <w:r>
        <w:rPr>
          <w:rFonts w:hint="eastAsia" w:ascii="仿宋_GB2312" w:eastAsia="仿宋_GB2312"/>
          <w:b w:val="0"/>
          <w:bCs w:val="0"/>
          <w:color w:val="auto"/>
          <w:sz w:val="32"/>
          <w:szCs w:val="32"/>
          <w:highlight w:val="none"/>
        </w:rPr>
        <w:t>年</w:t>
      </w:r>
      <w:r>
        <w:rPr>
          <w:rFonts w:ascii="仿宋_GB2312" w:eastAsia="仿宋_GB2312"/>
          <w:b w:val="0"/>
          <w:bCs w:val="0"/>
          <w:color w:val="auto"/>
          <w:sz w:val="32"/>
          <w:szCs w:val="32"/>
          <w:highlight w:val="none"/>
        </w:rPr>
        <w:t>12</w:t>
      </w:r>
      <w:r>
        <w:rPr>
          <w:rFonts w:hint="eastAsia" w:ascii="仿宋_GB2312" w:eastAsia="仿宋_GB2312"/>
          <w:b w:val="0"/>
          <w:bCs w:val="0"/>
          <w:color w:val="auto"/>
          <w:sz w:val="32"/>
          <w:szCs w:val="32"/>
          <w:highlight w:val="none"/>
        </w:rPr>
        <w:t>月</w:t>
      </w:r>
      <w:r>
        <w:rPr>
          <w:rFonts w:ascii="仿宋_GB2312" w:eastAsia="仿宋_GB2312"/>
          <w:b w:val="0"/>
          <w:bCs w:val="0"/>
          <w:color w:val="auto"/>
          <w:sz w:val="32"/>
          <w:szCs w:val="32"/>
          <w:highlight w:val="none"/>
        </w:rPr>
        <w:t>31</w:t>
      </w:r>
      <w:r>
        <w:rPr>
          <w:rFonts w:hint="eastAsia" w:ascii="仿宋_GB2312" w:eastAsia="仿宋_GB2312"/>
          <w:b w:val="0"/>
          <w:bCs w:val="0"/>
          <w:color w:val="auto"/>
          <w:sz w:val="32"/>
          <w:szCs w:val="32"/>
          <w:highlight w:val="none"/>
        </w:rPr>
        <w:t>日，</w:t>
      </w:r>
      <w:r>
        <w:rPr>
          <w:rFonts w:hint="eastAsia" w:ascii="仿宋_GB2312" w:eastAsia="仿宋_GB2312"/>
          <w:b w:val="0"/>
          <w:bCs w:val="0"/>
          <w:color w:val="auto"/>
          <w:sz w:val="32"/>
          <w:szCs w:val="32"/>
          <w:highlight w:val="none"/>
          <w:lang w:eastAsia="zh-CN"/>
        </w:rPr>
        <w:t>市档案馆</w:t>
      </w:r>
      <w:r>
        <w:rPr>
          <w:rFonts w:hint="eastAsia" w:ascii="仿宋_GB2312" w:eastAsia="仿宋_GB2312"/>
          <w:b w:val="0"/>
          <w:bCs w:val="0"/>
          <w:color w:val="auto"/>
          <w:sz w:val="32"/>
          <w:szCs w:val="32"/>
          <w:highlight w:val="none"/>
        </w:rPr>
        <w:t>共有车辆</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辆，其中：应急保障用车</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辆</w:t>
      </w:r>
      <w:r>
        <w:rPr>
          <w:rFonts w:hint="eastAsia" w:ascii="仿宋_GB2312" w:eastAsia="仿宋_GB2312"/>
          <w:b w:val="0"/>
          <w:bCs w:val="0"/>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r>
        <w:rPr>
          <w:rFonts w:hint="eastAsia" w:ascii="仿宋_GB2312" w:eastAsia="仿宋_GB2312"/>
          <w:b w:val="0"/>
          <w:bCs w:val="0"/>
          <w:color w:val="auto"/>
          <w:sz w:val="32"/>
          <w:szCs w:val="32"/>
          <w:highlight w:val="none"/>
        </w:rPr>
        <w:t>单价</w:t>
      </w:r>
      <w:r>
        <w:rPr>
          <w:rFonts w:ascii="仿宋_GB2312" w:eastAsia="仿宋_GB2312"/>
          <w:b w:val="0"/>
          <w:bCs w:val="0"/>
          <w:color w:val="auto"/>
          <w:sz w:val="32"/>
          <w:szCs w:val="32"/>
          <w:highlight w:val="none"/>
        </w:rPr>
        <w:t>100</w:t>
      </w:r>
      <w:r>
        <w:rPr>
          <w:rFonts w:hint="eastAsia" w:ascii="仿宋_GB2312" w:eastAsia="仿宋_GB2312"/>
          <w:b w:val="0"/>
          <w:bCs w:val="0"/>
          <w:color w:val="auto"/>
          <w:sz w:val="32"/>
          <w:szCs w:val="32"/>
          <w:highlight w:val="none"/>
        </w:rPr>
        <w:t>万元以上专用设备</w:t>
      </w:r>
      <w:r>
        <w:rPr>
          <w:rFonts w:hint="eastAsia" w:ascii="仿宋_GB2312" w:eastAsia="仿宋_GB2312"/>
          <w:b w:val="0"/>
          <w:bCs w:val="0"/>
          <w:color w:val="auto"/>
          <w:sz w:val="32"/>
          <w:szCs w:val="32"/>
          <w:highlight w:val="none"/>
          <w:lang w:val="en-US" w:eastAsia="zh-CN"/>
        </w:rPr>
        <w:t>1</w:t>
      </w:r>
      <w:r>
        <w:rPr>
          <w:rFonts w:hint="eastAsia" w:ascii="仿宋_GB2312" w:eastAsia="仿宋_GB2312"/>
          <w:b w:val="0"/>
          <w:bCs w:val="0"/>
          <w:color w:val="auto"/>
          <w:sz w:val="32"/>
          <w:szCs w:val="32"/>
          <w:highlight w:val="none"/>
        </w:rPr>
        <w:t>台（套）。</w:t>
      </w:r>
    </w:p>
    <w:p>
      <w:pPr>
        <w:pageBreakBefore w:val="0"/>
        <w:kinsoku/>
        <w:wordWrap/>
        <w:overflowPunct/>
        <w:topLinePunct w:val="0"/>
        <w:bidi w:val="0"/>
        <w:spacing w:line="560" w:lineRule="exact"/>
        <w:ind w:left="0" w:leftChars="0" w:right="0" w:firstLine="641"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（四）预算绩效管理情况</w:t>
      </w:r>
    </w:p>
    <w:p>
      <w:pPr>
        <w:pageBreakBefore w:val="0"/>
        <w:widowControl/>
        <w:kinsoku/>
        <w:wordWrap/>
        <w:overflowPunct/>
        <w:topLinePunct w:val="0"/>
        <w:bidi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大楼运行维护项目、乡村振兴战略帮扶队项目、档案保管保护与开发项目、档案规范工作经费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个项目开展绩效监控。</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rPr>
        <w:t>组织对2022年度一般公共预算开展绩效自评，形成</w:t>
      </w:r>
      <w:r>
        <w:rPr>
          <w:rFonts w:hint="eastAsia" w:ascii="仿宋_GB2312" w:hAnsi="仿宋_GB2312" w:eastAsia="仿宋_GB2312" w:cs="仿宋_GB2312"/>
          <w:color w:val="auto"/>
          <w:sz w:val="32"/>
          <w:szCs w:val="32"/>
          <w:highlight w:val="none"/>
          <w:lang w:eastAsia="zh-CN"/>
        </w:rPr>
        <w:t>广元市档案馆</w:t>
      </w:r>
      <w:r>
        <w:rPr>
          <w:rFonts w:hint="eastAsia" w:ascii="仿宋_GB2312" w:hAnsi="仿宋_GB2312" w:eastAsia="仿宋_GB2312" w:cs="仿宋_GB2312"/>
          <w:color w:val="auto"/>
          <w:sz w:val="32"/>
          <w:szCs w:val="32"/>
          <w:highlight w:val="none"/>
        </w:rPr>
        <w:t>部门整体（含部门预算项目）绩效自评报告，其中，</w:t>
      </w:r>
      <w:r>
        <w:rPr>
          <w:rFonts w:hint="eastAsia" w:ascii="仿宋_GB2312" w:hAnsi="仿宋_GB2312" w:eastAsia="仿宋_GB2312" w:cs="仿宋_GB2312"/>
          <w:color w:val="auto"/>
          <w:sz w:val="32"/>
          <w:szCs w:val="32"/>
          <w:highlight w:val="none"/>
          <w:lang w:eastAsia="zh-CN"/>
        </w:rPr>
        <w:t>广元市档案馆</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全年人员类支出保障了单位职工薪金及福利待遇按时足额发放，运转类支出保证了部门正常运行和日常工作的正常开展，特定目标类支出保障了档案重点业务工作的开展，基本达到预期绩效目标。</w:t>
      </w:r>
      <w:r>
        <w:rPr>
          <w:rFonts w:hint="eastAsia" w:ascii="仿宋_GB2312" w:hAnsi="仿宋_GB2312" w:eastAsia="仿宋_GB2312" w:cs="仿宋_GB2312"/>
          <w:color w:val="auto"/>
          <w:sz w:val="32"/>
          <w:szCs w:val="32"/>
          <w:highlight w:val="none"/>
        </w:rPr>
        <w:t>绩效自评报告详见附件。</w:t>
      </w:r>
    </w:p>
    <w:p>
      <w:pPr>
        <w:pageBreakBefore w:val="0"/>
        <w:widowControl/>
        <w:kinsoku/>
        <w:wordWrap/>
        <w:overflowPunct/>
        <w:topLinePunct w:val="0"/>
        <w:bidi w:val="0"/>
        <w:spacing w:line="560" w:lineRule="exact"/>
        <w:ind w:left="0" w:leftChars="0" w:right="0" w:firstLine="640" w:firstLineChars="200"/>
        <w:jc w:val="center"/>
        <w:textAlignment w:val="auto"/>
        <w:outlineLvl w:val="0"/>
        <w:rPr>
          <w:rStyle w:val="16"/>
          <w:rFonts w:ascii="黑体" w:hAnsi="黑体" w:eastAsia="黑体"/>
          <w:b w:val="0"/>
          <w:color w:val="auto"/>
          <w:highlight w:val="none"/>
        </w:rPr>
      </w:pPr>
      <w:r>
        <w:rPr>
          <w:rFonts w:ascii="仿宋_GB2312" w:eastAsia="仿宋_GB2312"/>
          <w:b/>
          <w:color w:val="auto"/>
          <w:sz w:val="32"/>
          <w:szCs w:val="32"/>
          <w:highlight w:val="yellow"/>
        </w:rPr>
        <w:br w:type="page"/>
      </w:r>
      <w:bookmarkStart w:id="66" w:name="_Toc15377225"/>
      <w:bookmarkStart w:id="67" w:name="_Toc15396613"/>
      <w:bookmarkStart w:id="68" w:name="_Toc19882"/>
      <w:r>
        <w:rPr>
          <w:rStyle w:val="16"/>
          <w:rFonts w:hint="eastAsia" w:ascii="黑体" w:hAnsi="黑体" w:eastAsia="黑体" w:cs="Times New Roman"/>
          <w:b w:val="0"/>
          <w:color w:val="auto"/>
          <w:highlight w:val="none"/>
          <w:lang w:eastAsia="zh-CN"/>
        </w:rPr>
        <w:t>第三部分</w:t>
      </w:r>
      <w:r>
        <w:rPr>
          <w:rStyle w:val="16"/>
          <w:rFonts w:hint="eastAsia" w:ascii="黑体" w:hAnsi="黑体" w:eastAsia="黑体" w:cs="Times New Roman"/>
          <w:b w:val="0"/>
          <w:color w:val="auto"/>
          <w:highlight w:val="none"/>
          <w:lang w:val="en-US" w:eastAsia="zh-CN"/>
        </w:rPr>
        <w:t xml:space="preserve"> </w:t>
      </w:r>
      <w:r>
        <w:rPr>
          <w:rFonts w:hint="eastAsia" w:ascii="黑体" w:hAnsi="黑体" w:eastAsia="黑体"/>
          <w:color w:val="auto"/>
          <w:sz w:val="44"/>
          <w:szCs w:val="44"/>
          <w:highlight w:val="none"/>
        </w:rPr>
        <w:t>名</w:t>
      </w:r>
      <w:r>
        <w:rPr>
          <w:rStyle w:val="16"/>
          <w:rFonts w:hint="eastAsia" w:ascii="黑体" w:hAnsi="黑体" w:eastAsia="黑体"/>
          <w:b w:val="0"/>
          <w:color w:val="auto"/>
          <w:highlight w:val="none"/>
        </w:rPr>
        <w:t>词解释</w:t>
      </w:r>
      <w:bookmarkEnd w:id="66"/>
      <w:bookmarkEnd w:id="67"/>
      <w:bookmarkEnd w:id="68"/>
    </w:p>
    <w:p>
      <w:pPr>
        <w:pageBreakBefore w:val="0"/>
        <w:kinsoku/>
        <w:wordWrap/>
        <w:overflowPunct/>
        <w:topLinePunct w:val="0"/>
        <w:bidi w:val="0"/>
        <w:spacing w:line="560" w:lineRule="exact"/>
        <w:ind w:left="0" w:leftChars="0" w:right="0"/>
        <w:jc w:val="left"/>
        <w:textAlignment w:val="auto"/>
        <w:rPr>
          <w:rFonts w:ascii="宋体"/>
          <w:b/>
          <w:color w:val="auto"/>
          <w:sz w:val="44"/>
          <w:szCs w:val="44"/>
          <w:highlight w:val="none"/>
        </w:rPr>
      </w:pPr>
    </w:p>
    <w:p>
      <w:pPr>
        <w:pStyle w:val="19"/>
        <w:keepNext w:val="0"/>
        <w:keepLines w:val="0"/>
        <w:pageBreakBefore w:val="0"/>
        <w:widowControl w:val="0"/>
        <w:numPr>
          <w:ilvl w:val="0"/>
          <w:numId w:val="0"/>
        </w:numPr>
        <w:kinsoku/>
        <w:wordWrap/>
        <w:overflowPunct/>
        <w:topLinePunct w:val="0"/>
        <w:bidi w:val="0"/>
        <w:snapToGrid/>
        <w:spacing w:line="558" w:lineRule="exact"/>
        <w:ind w:firstLine="640" w:firstLineChars="200"/>
        <w:textAlignment w:val="auto"/>
        <w:outlineLvl w:val="1"/>
        <w:rPr>
          <w:rFonts w:hint="eastAsia" w:ascii="仿宋_GB2312" w:eastAsia="仿宋_GB2312"/>
          <w:color w:val="auto"/>
          <w:sz w:val="32"/>
          <w:szCs w:val="32"/>
          <w:highlight w:val="none"/>
          <w:lang w:eastAsia="zh-CN"/>
        </w:rPr>
      </w:pPr>
      <w:bookmarkStart w:id="69" w:name="_Toc28777"/>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财政拨款收入：指</w:t>
      </w:r>
      <w:r>
        <w:rPr>
          <w:rFonts w:hint="eastAsia" w:ascii="仿宋_GB2312" w:eastAsia="仿宋_GB2312"/>
          <w:color w:val="auto"/>
          <w:sz w:val="32"/>
          <w:szCs w:val="32"/>
          <w:highlight w:val="none"/>
          <w:lang w:eastAsia="zh-CN"/>
        </w:rPr>
        <w:t>市级财政当年拨付的资金。</w:t>
      </w:r>
      <w:bookmarkEnd w:id="69"/>
    </w:p>
    <w:p>
      <w:pPr>
        <w:pStyle w:val="19"/>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银行利息收入</w:t>
      </w:r>
      <w:r>
        <w:rPr>
          <w:rFonts w:hint="eastAsia" w:ascii="仿宋_GB2312" w:eastAsia="仿宋_GB2312"/>
          <w:color w:val="auto"/>
          <w:sz w:val="32"/>
          <w:szCs w:val="32"/>
          <w:highlight w:val="none"/>
        </w:rPr>
        <w:t>等。</w:t>
      </w:r>
    </w:p>
    <w:p>
      <w:pPr>
        <w:pStyle w:val="19"/>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p>
    <w:p>
      <w:pPr>
        <w:pStyle w:val="19"/>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5.一般公共服务（类）档案事务（款）行政运行（项）：指单位的人员工资及日常工作基本支出。</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6.一般公共服务（类）档案事务（款）档案馆（项）：指</w:t>
      </w:r>
      <w:r>
        <w:rPr>
          <w:rFonts w:hint="eastAsia" w:hAnsi="仿宋_GB2312" w:eastAsia="仿宋_GB2312" w:cs="仿宋_GB2312"/>
          <w:color w:val="auto"/>
          <w:kern w:val="2"/>
          <w:sz w:val="32"/>
          <w:szCs w:val="32"/>
          <w:lang w:val="en-US" w:eastAsia="zh-CN" w:bidi="ar-SA"/>
        </w:rPr>
        <w:t>档案综合大楼运行、</w:t>
      </w:r>
      <w:r>
        <w:rPr>
          <w:rFonts w:hint="eastAsia" w:ascii="仿宋_GB2312" w:hAnsi="仿宋_GB2312" w:eastAsia="仿宋_GB2312" w:cs="仿宋_GB2312"/>
          <w:color w:val="auto"/>
          <w:kern w:val="2"/>
          <w:sz w:val="32"/>
          <w:szCs w:val="32"/>
          <w:lang w:val="en-US" w:eastAsia="zh-CN" w:bidi="ar-SA"/>
        </w:rPr>
        <w:t>档案资料征集，档案保护、编纂，档案信息资源开发、提供、利用，档案馆设备购置、维护，档案陈列展览等方面支出。</w:t>
      </w:r>
    </w:p>
    <w:p>
      <w:pPr>
        <w:keepNext w:val="0"/>
        <w:keepLines w:val="0"/>
        <w:pageBreakBefore w:val="0"/>
        <w:widowControl w:val="0"/>
        <w:kinsoku/>
        <w:wordWrap/>
        <w:overflowPunct/>
        <w:topLinePunct w:val="0"/>
        <w:bidi w:val="0"/>
        <w:snapToGrid/>
        <w:spacing w:line="558"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7.社会保障和就业（类）行政事业单位养老支出（款）机关事业单位基本养老保险缴费支出（项）：</w:t>
      </w:r>
      <w:r>
        <w:rPr>
          <w:rFonts w:hint="eastAsia" w:ascii="仿宋_GB2312" w:hAnsi="仿宋_GB2312" w:eastAsia="仿宋_GB2312" w:cs="仿宋_GB2312"/>
          <w:sz w:val="32"/>
          <w:szCs w:val="32"/>
          <w:lang w:eastAsia="zh-CN"/>
        </w:rPr>
        <w:t>指机关事业单位实施养老保险制度由</w:t>
      </w:r>
      <w:r>
        <w:rPr>
          <w:rFonts w:hint="eastAsia" w:ascii="仿宋_GB2312" w:hAnsi="仿宋_GB2312" w:eastAsia="仿宋_GB2312" w:cs="仿宋_GB2312"/>
          <w:color w:val="auto"/>
          <w:kern w:val="2"/>
          <w:sz w:val="32"/>
          <w:szCs w:val="32"/>
          <w:lang w:val="en-US" w:eastAsia="zh-CN" w:bidi="ar-SA"/>
        </w:rPr>
        <w:t>单位实际缴纳的基本养老保险费支出。</w:t>
      </w:r>
    </w:p>
    <w:p>
      <w:pPr>
        <w:pStyle w:val="11"/>
        <w:keepNext w:val="0"/>
        <w:keepLines w:val="0"/>
        <w:pageBreakBefore w:val="0"/>
        <w:widowControl w:val="0"/>
        <w:kinsoku/>
        <w:wordWrap/>
        <w:overflowPunct/>
        <w:topLinePunct w:val="0"/>
        <w:bidi w:val="0"/>
        <w:snapToGrid/>
        <w:spacing w:after="0" w:line="558" w:lineRule="exact"/>
        <w:ind w:left="0" w:leftChars="0" w:firstLine="640" w:firstLineChars="200"/>
        <w:textAlignment w:val="auto"/>
        <w:rPr>
          <w:rFonts w:ascii="仿宋_GB2312" w:eastAsia="仿宋_GB2312"/>
          <w:color w:val="auto"/>
          <w:sz w:val="32"/>
          <w:szCs w:val="32"/>
          <w:highlight w:val="none"/>
        </w:rPr>
      </w:pPr>
      <w:r>
        <w:rPr>
          <w:rFonts w:hint="eastAsia"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社会保障和就业（类）行政事业单位</w:t>
      </w:r>
      <w:r>
        <w:rPr>
          <w:rFonts w:hint="eastAsia" w:ascii="仿宋_GB2312" w:hAnsi="仿宋_GB2312" w:eastAsia="仿宋_GB2312" w:cs="仿宋_GB2312"/>
          <w:color w:val="auto"/>
          <w:kern w:val="2"/>
          <w:sz w:val="32"/>
          <w:szCs w:val="32"/>
          <w:lang w:val="en-US" w:eastAsia="zh-CN" w:bidi="ar-SA"/>
        </w:rPr>
        <w:t>养老支出</w:t>
      </w:r>
      <w:r>
        <w:rPr>
          <w:rFonts w:hint="eastAsia" w:ascii="仿宋_GB2312" w:hAnsi="仿宋_GB2312" w:eastAsia="仿宋_GB2312" w:cs="仿宋_GB2312"/>
          <w:sz w:val="32"/>
          <w:szCs w:val="32"/>
        </w:rPr>
        <w:t>（款）机关事业单位</w:t>
      </w:r>
      <w:r>
        <w:rPr>
          <w:rFonts w:hint="eastAsia" w:ascii="仿宋_GB2312" w:hAnsi="仿宋_GB2312" w:eastAsia="仿宋_GB2312" w:cs="仿宋_GB2312"/>
          <w:sz w:val="32"/>
          <w:szCs w:val="32"/>
          <w:lang w:eastAsia="zh-CN"/>
        </w:rPr>
        <w:t>职业年金缴费支出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：指机关事业单位实施养老保险制度由单位实际缴纳的职业年金支出。</w:t>
      </w:r>
    </w:p>
    <w:p>
      <w:pPr>
        <w:pageBreakBefore w:val="0"/>
        <w:kinsoku/>
        <w:wordWrap/>
        <w:overflowPunct/>
        <w:topLinePunct w:val="0"/>
        <w:bidi w:val="0"/>
        <w:spacing w:line="560"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社会保障和就业（类）</w:t>
      </w:r>
      <w:r>
        <w:rPr>
          <w:rFonts w:hint="eastAsia" w:ascii="仿宋_GB2312" w:hAnsi="仿宋_GB2312" w:eastAsia="仿宋_GB2312" w:cs="仿宋_GB2312"/>
          <w:sz w:val="32"/>
          <w:szCs w:val="32"/>
          <w:lang w:eastAsia="zh-CN"/>
        </w:rPr>
        <w:t>其他社会保障和就业（款）其他社会保障和就业</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：专指除养老、医疗以外的其他用于社会保障和就业方面的支出，例如失业保险、工伤保险等。</w:t>
      </w:r>
    </w:p>
    <w:p>
      <w:pPr>
        <w:pageBreakBefore w:val="0"/>
        <w:kinsoku/>
        <w:wordWrap/>
        <w:overflowPunct/>
        <w:topLinePunct w:val="0"/>
        <w:bidi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（款）事业单位医疗（项）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指单位为职工缴纳</w:t>
      </w:r>
      <w:r>
        <w:rPr>
          <w:rFonts w:hint="eastAsia" w:ascii="仿宋_GB2312" w:hAnsi="仿宋_GB2312" w:eastAsia="仿宋_GB2312" w:cs="仿宋_GB2312"/>
          <w:sz w:val="32"/>
          <w:szCs w:val="32"/>
          <w:lang w:eastAsia="zh-CN"/>
        </w:rPr>
        <w:t>的基本医疗保险缴费经费</w:t>
      </w:r>
      <w:r>
        <w:rPr>
          <w:rFonts w:hint="eastAsia" w:ascii="仿宋_GB2312" w:hAnsi="仿宋_GB2312" w:eastAsia="仿宋_GB2312" w:cs="仿宋_GB2312"/>
          <w:sz w:val="32"/>
          <w:szCs w:val="32"/>
        </w:rPr>
        <w:t>。</w:t>
      </w:r>
    </w:p>
    <w:p>
      <w:pPr>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hAnsi="仿宋_GB2312" w:eastAsia="仿宋_GB2312" w:cs="仿宋_GB2312"/>
          <w:sz w:val="32"/>
          <w:szCs w:val="32"/>
        </w:rPr>
        <w:t>住房保障（类）住房改革（款）住房公积金（项）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行政事业</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按人力资源和社会保障部、财政部规定的基本工资和津贴补贴以及规定比例</w:t>
      </w:r>
      <w:r>
        <w:rPr>
          <w:rFonts w:hint="eastAsia" w:ascii="仿宋_GB2312" w:hAnsi="仿宋_GB2312" w:eastAsia="仿宋_GB2312" w:cs="仿宋_GB2312"/>
          <w:sz w:val="32"/>
          <w:szCs w:val="32"/>
        </w:rPr>
        <w:t>为职工缴纳的住房公积金。</w:t>
      </w:r>
    </w:p>
    <w:p>
      <w:pPr>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p>
    <w:p>
      <w:pPr>
        <w:pStyle w:val="19"/>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9"/>
        <w:pageBreakBefore w:val="0"/>
        <w:kinsoku/>
        <w:wordWrap/>
        <w:overflowPunct/>
        <w:topLinePunct w:val="0"/>
        <w:bidi w:val="0"/>
        <w:spacing w:line="560" w:lineRule="exact"/>
        <w:ind w:left="0" w:leftChars="0" w:right="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机关运行经费：为保障行政单位（含参照公务员法管理的事业单位）运行用于购买货物和服务的各项资金，包括办公及印刷费、差旅费、会议费、</w:t>
      </w:r>
      <w:r>
        <w:rPr>
          <w:rFonts w:hint="eastAsia" w:ascii="仿宋_GB2312" w:eastAsia="仿宋_GB2312"/>
          <w:color w:val="auto"/>
          <w:sz w:val="32"/>
          <w:szCs w:val="32"/>
          <w:highlight w:val="none"/>
          <w:lang w:eastAsia="zh-CN"/>
        </w:rPr>
        <w:t>培训费、</w:t>
      </w:r>
      <w:r>
        <w:rPr>
          <w:rFonts w:hint="eastAsia" w:ascii="仿宋_GB2312" w:eastAsia="仿宋_GB2312"/>
          <w:color w:val="auto"/>
          <w:sz w:val="32"/>
          <w:szCs w:val="32"/>
          <w:highlight w:val="none"/>
        </w:rPr>
        <w:t>福利费、</w:t>
      </w:r>
      <w:r>
        <w:rPr>
          <w:rFonts w:hint="eastAsia" w:ascii="仿宋_GB2312" w:eastAsia="仿宋_GB2312"/>
          <w:color w:val="auto"/>
          <w:sz w:val="32"/>
          <w:szCs w:val="32"/>
          <w:highlight w:val="none"/>
          <w:lang w:eastAsia="zh-CN"/>
        </w:rPr>
        <w:t>劳务费、公务接待费、</w:t>
      </w:r>
      <w:r>
        <w:rPr>
          <w:rFonts w:hint="eastAsia" w:ascii="仿宋_GB2312" w:eastAsia="仿宋_GB2312"/>
          <w:color w:val="auto"/>
          <w:sz w:val="32"/>
          <w:szCs w:val="32"/>
          <w:highlight w:val="none"/>
        </w:rPr>
        <w:t>公务用车运行维护费以及其他费用。</w:t>
      </w:r>
    </w:p>
    <w:p>
      <w:pPr>
        <w:pageBreakBefore w:val="0"/>
        <w:kinsoku/>
        <w:wordWrap/>
        <w:overflowPunct/>
        <w:topLinePunct w:val="0"/>
        <w:bidi w:val="0"/>
        <w:spacing w:line="560" w:lineRule="exact"/>
        <w:ind w:left="0" w:leftChars="0" w:right="0"/>
        <w:jc w:val="center"/>
        <w:textAlignment w:val="auto"/>
        <w:outlineLvl w:val="0"/>
        <w:rPr>
          <w:rStyle w:val="16"/>
          <w:rFonts w:hint="eastAsia" w:ascii="黑体" w:hAnsi="黑体" w:eastAsia="黑体"/>
          <w:b w:val="0"/>
          <w:color w:val="auto"/>
          <w:highlight w:val="none"/>
          <w:lang w:eastAsia="zh-CN"/>
        </w:rPr>
      </w:pPr>
      <w:bookmarkStart w:id="70" w:name="_Toc15377226"/>
      <w:r>
        <w:rPr>
          <w:rFonts w:ascii="宋体"/>
          <w:b/>
          <w:color w:val="auto"/>
          <w:sz w:val="44"/>
          <w:szCs w:val="44"/>
          <w:highlight w:val="none"/>
        </w:rPr>
        <w:br w:type="page"/>
      </w:r>
      <w:bookmarkStart w:id="71" w:name="_Toc15523"/>
      <w:bookmarkStart w:id="72" w:name="_Toc15396614"/>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四部分 附件</w:t>
      </w:r>
      <w:bookmarkEnd w:id="71"/>
      <w:bookmarkEnd w:id="72"/>
    </w:p>
    <w:p>
      <w:pPr>
        <w:keepNext w:val="0"/>
        <w:keepLines w:val="0"/>
        <w:pageBreakBefore w:val="0"/>
        <w:kinsoku/>
        <w:wordWrap/>
        <w:overflowPunct/>
        <w:topLinePunct w:val="0"/>
        <w:autoSpaceDE/>
        <w:autoSpaceDN/>
        <w:bidi w:val="0"/>
        <w:spacing w:line="560" w:lineRule="exact"/>
        <w:ind w:left="0" w:leftChars="0" w:right="0"/>
        <w:jc w:val="left"/>
        <w:textAlignment w:val="auto"/>
        <w:outlineLvl w:val="1"/>
        <w:rPr>
          <w:rFonts w:hint="eastAsia" w:ascii="黑体" w:hAnsi="黑体" w:eastAsia="黑体" w:cs="黑体"/>
          <w:color w:val="auto"/>
          <w:sz w:val="32"/>
          <w:szCs w:val="32"/>
          <w:highlight w:val="none"/>
          <w:lang w:val="en-US" w:eastAsia="zh-CN"/>
        </w:rPr>
      </w:pPr>
      <w:bookmarkStart w:id="73" w:name="_Toc30849"/>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73"/>
    </w:p>
    <w:p>
      <w:pPr>
        <w:pStyle w:val="11"/>
      </w:pPr>
    </w:p>
    <w:p>
      <w:pPr>
        <w:keepNext w:val="0"/>
        <w:keepLines w:val="0"/>
        <w:pageBreakBefore w:val="0"/>
        <w:widowControl w:val="0"/>
        <w:kinsoku/>
        <w:wordWrap/>
        <w:overflowPunct/>
        <w:topLinePunct w:val="0"/>
        <w:autoSpaceDE/>
        <w:autoSpaceDN/>
        <w:bidi w:val="0"/>
        <w:spacing w:line="560" w:lineRule="exact"/>
        <w:ind w:leftChars="0"/>
        <w:contextualSpacing/>
        <w:jc w:val="center"/>
        <w:textAlignment w:val="auto"/>
        <w:rPr>
          <w:rFonts w:hint="eastAsia" w:ascii="方正小标宋简体" w:hAnsi="方正小标宋简体" w:eastAsia="方正小标宋简体" w:cs="方正小标宋简体"/>
          <w:b w:val="0"/>
          <w:bCs w:val="0"/>
          <w:spacing w:val="-20"/>
          <w:sz w:val="44"/>
          <w:szCs w:val="44"/>
          <w:highlight w:val="none"/>
          <w:shd w:val="clear" w:color="auto" w:fill="FFFFFF"/>
          <w:lang w:eastAsia="zh-CN"/>
        </w:rPr>
      </w:pPr>
      <w:bookmarkStart w:id="74" w:name="_Toc2027894685_WPSOffice_Level2"/>
      <w:bookmarkStart w:id="75" w:name="_Toc1109348497_WPSOffice_Level2"/>
      <w:r>
        <w:rPr>
          <w:rFonts w:hint="eastAsia" w:ascii="方正小标宋简体" w:hAnsi="方正小标宋简体" w:eastAsia="方正小标宋简体" w:cs="方正小标宋简体"/>
          <w:b w:val="0"/>
          <w:bCs w:val="0"/>
          <w:spacing w:val="-20"/>
          <w:sz w:val="44"/>
          <w:szCs w:val="44"/>
          <w:highlight w:val="none"/>
          <w:shd w:val="clear" w:color="auto" w:fill="FFFFFF"/>
        </w:rPr>
        <w:t>20</w:t>
      </w:r>
      <w:r>
        <w:rPr>
          <w:rFonts w:hint="eastAsia" w:ascii="方正小标宋简体" w:hAnsi="方正小标宋简体" w:eastAsia="方正小标宋简体" w:cs="方正小标宋简体"/>
          <w:b w:val="0"/>
          <w:bCs w:val="0"/>
          <w:spacing w:val="-20"/>
          <w:sz w:val="44"/>
          <w:szCs w:val="44"/>
          <w:highlight w:val="none"/>
          <w:shd w:val="clear" w:color="auto" w:fill="FFFFFF"/>
          <w:lang w:val="en-US" w:eastAsia="zh-CN"/>
        </w:rPr>
        <w:t>23</w:t>
      </w:r>
      <w:r>
        <w:rPr>
          <w:rFonts w:hint="eastAsia" w:ascii="方正小标宋简体" w:hAnsi="方正小标宋简体" w:eastAsia="方正小标宋简体" w:cs="方正小标宋简体"/>
          <w:b w:val="0"/>
          <w:bCs w:val="0"/>
          <w:spacing w:val="-20"/>
          <w:sz w:val="44"/>
          <w:szCs w:val="44"/>
          <w:highlight w:val="none"/>
          <w:shd w:val="clear" w:color="auto" w:fill="FFFFFF"/>
        </w:rPr>
        <w:t>年</w:t>
      </w:r>
      <w:r>
        <w:rPr>
          <w:rFonts w:hint="eastAsia" w:ascii="方正小标宋简体" w:hAnsi="方正小标宋简体" w:eastAsia="方正小标宋简体" w:cs="方正小标宋简体"/>
          <w:b w:val="0"/>
          <w:bCs w:val="0"/>
          <w:spacing w:val="-20"/>
          <w:sz w:val="44"/>
          <w:szCs w:val="44"/>
          <w:highlight w:val="none"/>
          <w:shd w:val="clear" w:color="auto" w:fill="FFFFFF"/>
          <w:lang w:eastAsia="zh-CN"/>
        </w:rPr>
        <w:t>广元市档案馆</w:t>
      </w:r>
      <w:r>
        <w:rPr>
          <w:rFonts w:hint="eastAsia" w:ascii="方正小标宋简体" w:hAnsi="方正小标宋简体" w:eastAsia="方正小标宋简体" w:cs="方正小标宋简体"/>
          <w:b w:val="0"/>
          <w:bCs w:val="0"/>
          <w:spacing w:val="-20"/>
          <w:sz w:val="44"/>
          <w:szCs w:val="44"/>
          <w:highlight w:val="none"/>
          <w:shd w:val="clear" w:color="auto" w:fill="FFFFFF"/>
        </w:rPr>
        <w:t>部门整体</w:t>
      </w:r>
      <w:r>
        <w:rPr>
          <w:rFonts w:hint="eastAsia" w:ascii="方正小标宋简体" w:hAnsi="方正小标宋简体" w:eastAsia="方正小标宋简体" w:cs="方正小标宋简体"/>
          <w:b w:val="0"/>
          <w:bCs w:val="0"/>
          <w:spacing w:val="-20"/>
          <w:sz w:val="44"/>
          <w:szCs w:val="44"/>
          <w:highlight w:val="none"/>
          <w:shd w:val="clear" w:color="auto" w:fill="FFFFFF"/>
          <w:lang w:eastAsia="zh-CN"/>
        </w:rPr>
        <w:t>支出</w:t>
      </w:r>
      <w:r>
        <w:rPr>
          <w:rFonts w:hint="eastAsia" w:ascii="方正小标宋简体" w:hAnsi="方正小标宋简体" w:eastAsia="方正小标宋简体" w:cs="方正小标宋简体"/>
          <w:b w:val="0"/>
          <w:bCs w:val="0"/>
          <w:spacing w:val="-20"/>
          <w:sz w:val="44"/>
          <w:szCs w:val="44"/>
          <w:highlight w:val="none"/>
          <w:shd w:val="clear" w:color="auto" w:fill="FFFFFF"/>
        </w:rPr>
        <w:t>绩效</w:t>
      </w:r>
      <w:r>
        <w:rPr>
          <w:rFonts w:hint="eastAsia" w:ascii="方正小标宋简体" w:hAnsi="方正小标宋简体" w:eastAsia="方正小标宋简体" w:cs="方正小标宋简体"/>
          <w:b w:val="0"/>
          <w:bCs w:val="0"/>
          <w:spacing w:val="-20"/>
          <w:sz w:val="44"/>
          <w:szCs w:val="44"/>
          <w:highlight w:val="none"/>
          <w:shd w:val="clear" w:color="auto" w:fill="FFFFFF"/>
          <w:lang w:eastAsia="zh-CN"/>
        </w:rPr>
        <w:t>自评</w:t>
      </w:r>
      <w:r>
        <w:rPr>
          <w:rFonts w:hint="eastAsia" w:ascii="方正小标宋简体" w:hAnsi="方正小标宋简体" w:eastAsia="方正小标宋简体" w:cs="方正小标宋简体"/>
          <w:b w:val="0"/>
          <w:bCs w:val="0"/>
          <w:spacing w:val="-20"/>
          <w:sz w:val="44"/>
          <w:szCs w:val="44"/>
          <w:highlight w:val="none"/>
          <w:shd w:val="clear" w:color="auto" w:fill="FFFFFF"/>
        </w:rPr>
        <w:t>报告</w:t>
      </w:r>
      <w:bookmarkEnd w:id="74"/>
      <w:bookmarkEnd w:id="75"/>
    </w:p>
    <w:p>
      <w:pPr>
        <w:keepNext w:val="0"/>
        <w:keepLines w:val="0"/>
        <w:pageBreakBefore w:val="0"/>
        <w:widowControl w:val="0"/>
        <w:kinsoku/>
        <w:wordWrap/>
        <w:overflowPunct/>
        <w:topLinePunct w:val="0"/>
        <w:autoSpaceDE/>
        <w:autoSpaceDN/>
        <w:bidi w:val="0"/>
        <w:adjustRightInd w:val="0"/>
        <w:snapToGrid w:val="0"/>
        <w:spacing w:line="560" w:lineRule="exact"/>
        <w:ind w:leftChars="0"/>
        <w:contextualSpacing/>
        <w:jc w:val="left"/>
        <w:textAlignment w:val="auto"/>
        <w:rPr>
          <w:rFonts w:ascii="黑体" w:hAnsi="宋体" w:eastAsia="黑体" w:cs="宋体"/>
          <w:b w:val="0"/>
          <w:bCs w:val="0"/>
          <w:color w:val="000000"/>
          <w:kern w:val="0"/>
          <w:sz w:val="24"/>
          <w:szCs w:val="32"/>
          <w:highlight w:val="none"/>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b w:val="0"/>
          <w:bCs w:val="0"/>
          <w:color w:val="000000"/>
          <w:kern w:val="0"/>
          <w:sz w:val="32"/>
          <w:szCs w:val="32"/>
          <w:highlight w:val="none"/>
          <w:shd w:val="clear" w:color="auto" w:fill="FFFFFF"/>
          <w:lang w:val="zh-CN"/>
        </w:rPr>
      </w:pPr>
      <w:bookmarkStart w:id="76" w:name="_Toc26998"/>
      <w:bookmarkStart w:id="77" w:name="_Toc412287793_WPSOffice_Level2"/>
      <w:bookmarkStart w:id="78" w:name="_Toc1699122074_WPSOffice_Level2"/>
      <w:r>
        <w:rPr>
          <w:rFonts w:hint="eastAsia" w:ascii="黑体" w:hAnsi="宋体" w:eastAsia="黑体" w:cs="宋体"/>
          <w:b w:val="0"/>
          <w:bCs w:val="0"/>
          <w:color w:val="000000"/>
          <w:kern w:val="0"/>
          <w:sz w:val="32"/>
          <w:szCs w:val="32"/>
          <w:highlight w:val="none"/>
          <w:shd w:val="clear" w:color="auto" w:fill="FFFFFF"/>
          <w:lang w:val="zh-CN"/>
        </w:rPr>
        <w:t>一、部门（单位）基本情况</w:t>
      </w:r>
      <w:bookmarkEnd w:id="76"/>
      <w:bookmarkEnd w:id="77"/>
      <w:bookmarkEnd w:id="78"/>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（一）机构组成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eastAsia="仿宋_GB2312"/>
          <w:sz w:val="32"/>
          <w:szCs w:val="32"/>
          <w:lang w:val="en-US" w:eastAsia="zh-CN"/>
        </w:rPr>
      </w:pPr>
      <w:r>
        <w:rPr>
          <w:rFonts w:hint="eastAsia" w:ascii="仿宋_GB2312" w:hAnsi="仿宋_GB2312" w:eastAsia="仿宋_GB2312" w:cs="仿宋_GB2312"/>
          <w:color w:val="000000"/>
          <w:kern w:val="0"/>
          <w:sz w:val="32"/>
          <w:szCs w:val="32"/>
          <w:shd w:val="clear" w:color="auto" w:fill="FFFFFF"/>
          <w:lang w:val="zh-CN"/>
        </w:rPr>
        <w:t>广元市档案馆为市委直属事业单位（参照公务员法管理），</w:t>
      </w:r>
      <w:r>
        <w:rPr>
          <w:rFonts w:hint="eastAsia" w:ascii="仿宋_GB2312" w:hAnsi="仿宋_GB2312" w:eastAsia="仿宋_GB2312" w:cs="仿宋_GB2312"/>
          <w:color w:val="000000"/>
          <w:kern w:val="0"/>
          <w:sz w:val="32"/>
          <w:szCs w:val="32"/>
        </w:rPr>
        <w:t>内设一室六科</w:t>
      </w:r>
      <w:r>
        <w:rPr>
          <w:rFonts w:hint="eastAsia" w:ascii="仿宋_GB2312" w:hAnsi="仿宋_GB2312" w:eastAsia="仿宋_GB2312" w:cs="仿宋_GB2312"/>
          <w:color w:val="000000"/>
          <w:kern w:val="0"/>
          <w:sz w:val="32"/>
          <w:szCs w:val="32"/>
          <w:lang w:eastAsia="zh-CN"/>
        </w:rPr>
        <w:t>，即办公室、接收征集科、保管保护科、编研开发科、宣传文化科、服务利用科、信息技术科。</w:t>
      </w:r>
      <w:r>
        <w:rPr>
          <w:rFonts w:hint="eastAsia" w:ascii="仿宋_GB2312" w:hAnsi="仿宋_GB2312" w:eastAsia="仿宋_GB2312" w:cs="仿宋_GB2312"/>
          <w:color w:val="000000"/>
          <w:kern w:val="0"/>
          <w:sz w:val="32"/>
          <w:szCs w:val="32"/>
          <w:shd w:val="clear" w:color="auto" w:fill="FFFFFF"/>
          <w:lang w:val="zh-CN"/>
        </w:rPr>
        <w:t>代管</w:t>
      </w:r>
      <w:r>
        <w:rPr>
          <w:rFonts w:hint="eastAsia" w:ascii="仿宋_GB2312" w:hAnsi="仿宋_GB2312" w:eastAsia="仿宋_GB2312" w:cs="仿宋_GB2312"/>
          <w:color w:val="000000"/>
          <w:kern w:val="0"/>
          <w:sz w:val="32"/>
          <w:szCs w:val="32"/>
          <w:shd w:val="clear" w:color="auto" w:fill="FFFFFF"/>
          <w:lang w:val="en-US" w:eastAsia="zh-CN"/>
        </w:rPr>
        <w:t>市现行文件服务中心，未独立核算。</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（二）机构职能和人员概况</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lang w:val="en-US" w:eastAsia="zh-CN"/>
        </w:rPr>
        <w:t>1.机构职能。</w:t>
      </w:r>
      <w:r>
        <w:rPr>
          <w:rFonts w:hint="eastAsia" w:ascii="仿宋_GB2312" w:hAnsi="仿宋_GB2312" w:eastAsia="仿宋_GB2312" w:cs="仿宋_GB2312"/>
          <w:b w:val="0"/>
          <w:bCs w:val="0"/>
          <w:sz w:val="32"/>
          <w:szCs w:val="32"/>
        </w:rPr>
        <w:t>贯</w:t>
      </w:r>
      <w:r>
        <w:rPr>
          <w:rFonts w:hint="eastAsia" w:ascii="仿宋_GB2312" w:hAnsi="仿宋_GB2312" w:eastAsia="仿宋_GB2312" w:cs="仿宋_GB2312"/>
          <w:sz w:val="32"/>
          <w:szCs w:val="32"/>
        </w:rPr>
        <w:t>彻落实党的路线方针政策和有关档案管理的法律、法规、规章制度，做好档案“收、管、用”，维护档案完整与安全，保守党和国家秘密。依法接收市级各机关、团体、事业单位、国有企业及其下属单位的档案；</w:t>
      </w:r>
      <w:r>
        <w:rPr>
          <w:rFonts w:hint="eastAsia" w:ascii="仿宋_GB2312" w:hAnsi="仿宋_GB2312" w:eastAsia="仿宋_GB2312" w:cs="仿宋_GB2312"/>
          <w:sz w:val="32"/>
          <w:szCs w:val="32"/>
          <w:lang w:eastAsia="zh-CN"/>
        </w:rPr>
        <w:t>接收</w:t>
      </w:r>
      <w:r>
        <w:rPr>
          <w:rFonts w:hint="eastAsia" w:ascii="仿宋_GB2312" w:hAnsi="仿宋_GB2312" w:eastAsia="仿宋_GB2312" w:cs="仿宋_GB2312"/>
          <w:sz w:val="32"/>
          <w:szCs w:val="32"/>
        </w:rPr>
        <w:t>市级重大活动等形成的档案；征集对国家和社会具有长久保存价值的重要档案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资料，开展主动建档存史工作。组织实施馆藏档案整理、鉴定、保管、保护、解密、划控、开放和销毁工作。负责馆藏档案信息化，</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数字档案馆和市级档案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资料目录中心建设，依法接收电子档案，建立电子文件备份中心，</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数字档案资源安全。开展档案利用工作，依法向社会提供档案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和已公开的现行文件，开展民生档案等跨馆查档服务。负责馆藏档案资源开发工作，开展档案资政服务，编研档案史料，开发档案文化产品，举办档案展览，建设管理爱国主义教育基地，开展档案社会宣传教育。</w:t>
      </w:r>
      <w:r>
        <w:rPr>
          <w:rFonts w:hint="eastAsia" w:ascii="仿宋_GB2312" w:hAnsi="仿宋_GB2312" w:eastAsia="仿宋_GB2312" w:cs="仿宋_GB2312"/>
          <w:sz w:val="32"/>
          <w:szCs w:val="32"/>
          <w:lang w:eastAsia="zh-CN"/>
        </w:rPr>
        <w:t>对县（区）档案馆业务进行指导。</w:t>
      </w:r>
      <w:r>
        <w:rPr>
          <w:rFonts w:hint="eastAsia" w:ascii="仿宋_GB2312" w:hAnsi="仿宋_GB2312" w:eastAsia="仿宋_GB2312" w:cs="仿宋_GB2312"/>
          <w:sz w:val="32"/>
          <w:szCs w:val="32"/>
        </w:rPr>
        <w:t>组织开展档案学术研究、馆际合作和业务交流。完成市委、市政府交办的其他任务。</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color w:val="000000"/>
          <w:kern w:val="0"/>
          <w:sz w:val="32"/>
          <w:szCs w:val="32"/>
          <w:shd w:val="clear" w:color="auto" w:fill="FFFFFF"/>
          <w:lang w:val="en-US" w:eastAsia="zh-CN"/>
        </w:rPr>
        <w:t>2.</w:t>
      </w:r>
      <w:r>
        <w:rPr>
          <w:rFonts w:hint="eastAsia" w:ascii="仿宋_GB2312" w:hAnsi="仿宋_GB2312" w:eastAsia="仿宋_GB2312" w:cs="仿宋_GB2312"/>
          <w:b w:val="0"/>
          <w:bCs w:val="0"/>
          <w:color w:val="000000"/>
          <w:kern w:val="0"/>
          <w:sz w:val="32"/>
          <w:szCs w:val="32"/>
          <w:shd w:val="clear" w:color="auto" w:fill="FFFFFF"/>
          <w:lang w:val="zh-CN"/>
        </w:rPr>
        <w:t>人员概况。</w:t>
      </w:r>
      <w:r>
        <w:rPr>
          <w:rFonts w:hint="eastAsia" w:ascii="仿宋_GB2312" w:hAnsi="仿宋_GB2312" w:eastAsia="仿宋_GB2312" w:cs="仿宋_GB2312"/>
          <w:color w:val="000000"/>
          <w:kern w:val="0"/>
          <w:sz w:val="32"/>
          <w:szCs w:val="32"/>
          <w:shd w:val="clear" w:color="auto" w:fill="FFFFFF"/>
          <w:lang w:val="zh-CN"/>
        </w:rPr>
        <w:t>广元市档</w:t>
      </w:r>
      <w:r>
        <w:rPr>
          <w:rFonts w:hint="eastAsia" w:ascii="仿宋_GB2312" w:hAnsi="仿宋_GB2312" w:eastAsia="仿宋_GB2312" w:cs="仿宋_GB2312"/>
          <w:b w:val="0"/>
          <w:bCs w:val="0"/>
          <w:color w:val="000000"/>
          <w:kern w:val="0"/>
          <w:sz w:val="32"/>
          <w:szCs w:val="32"/>
          <w:shd w:val="clear" w:color="auto" w:fill="FFFFFF"/>
          <w:lang w:val="zh-CN"/>
        </w:rPr>
        <w:t>案馆参公事业编制数</w:t>
      </w:r>
      <w:r>
        <w:rPr>
          <w:rFonts w:hint="eastAsia" w:ascii="仿宋_GB2312" w:hAnsi="仿宋_GB2312" w:eastAsia="仿宋_GB2312" w:cs="仿宋_GB2312"/>
          <w:b w:val="0"/>
          <w:bCs w:val="0"/>
          <w:color w:val="000000"/>
          <w:kern w:val="0"/>
          <w:sz w:val="32"/>
          <w:szCs w:val="32"/>
          <w:shd w:val="clear" w:color="auto" w:fill="FFFFFF"/>
          <w:lang w:val="en-US" w:eastAsia="zh-CN"/>
        </w:rPr>
        <w:t>22个，工勤事业编制数2个，代管单位市</w:t>
      </w:r>
      <w:r>
        <w:rPr>
          <w:rFonts w:hint="eastAsia" w:ascii="仿宋_GB2312" w:hAnsi="仿宋_GB2312" w:eastAsia="仿宋_GB2312" w:cs="仿宋_GB2312"/>
          <w:color w:val="000000"/>
          <w:kern w:val="0"/>
          <w:sz w:val="32"/>
          <w:szCs w:val="32"/>
          <w:shd w:val="clear" w:color="auto" w:fill="FFFFFF"/>
          <w:lang w:val="en-US" w:eastAsia="zh-CN"/>
        </w:rPr>
        <w:t>现行文件服务中心事业编制数8个。</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lang w:val="en-US" w:eastAsia="zh-CN"/>
        </w:rPr>
        <w:t>2022年12月31日，</w:t>
      </w:r>
      <w:r>
        <w:rPr>
          <w:rFonts w:hint="eastAsia" w:ascii="仿宋_GB2312" w:hAnsi="仿宋_GB2312" w:eastAsia="仿宋_GB2312" w:cs="仿宋_GB2312"/>
          <w:color w:val="000000"/>
          <w:kern w:val="0"/>
          <w:sz w:val="32"/>
          <w:szCs w:val="32"/>
        </w:rPr>
        <w:t>实</w:t>
      </w:r>
      <w:r>
        <w:rPr>
          <w:rFonts w:hint="eastAsia" w:ascii="仿宋_GB2312" w:hAnsi="仿宋_GB2312" w:eastAsia="仿宋_GB2312" w:cs="仿宋_GB2312"/>
          <w:color w:val="000000"/>
          <w:kern w:val="0"/>
          <w:sz w:val="32"/>
          <w:szCs w:val="32"/>
          <w:lang w:eastAsia="zh-CN"/>
        </w:rPr>
        <w:t>有</w:t>
      </w:r>
      <w:r>
        <w:rPr>
          <w:rFonts w:hint="eastAsia" w:ascii="仿宋_GB2312" w:hAnsi="仿宋_GB2312" w:eastAsia="仿宋_GB2312" w:cs="仿宋_GB2312"/>
          <w:color w:val="000000"/>
          <w:kern w:val="0"/>
          <w:sz w:val="32"/>
          <w:szCs w:val="32"/>
        </w:rPr>
        <w:t>在职人员</w:t>
      </w:r>
      <w:r>
        <w:rPr>
          <w:rFonts w:hint="eastAsia" w:ascii="仿宋_GB2312" w:hAnsi="仿宋_GB2312" w:eastAsia="仿宋_GB2312" w:cs="仿宋_GB2312"/>
          <w:color w:val="000000"/>
          <w:kern w:val="0"/>
          <w:sz w:val="32"/>
          <w:szCs w:val="32"/>
          <w:lang w:val="en-US" w:eastAsia="zh-CN"/>
        </w:rPr>
        <w:t>32</w:t>
      </w:r>
      <w:r>
        <w:rPr>
          <w:rFonts w:hint="eastAsia" w:ascii="仿宋_GB2312" w:hAnsi="仿宋_GB2312" w:eastAsia="仿宋_GB2312" w:cs="仿宋_GB2312"/>
          <w:color w:val="000000"/>
          <w:kern w:val="0"/>
          <w:sz w:val="32"/>
          <w:szCs w:val="32"/>
        </w:rPr>
        <w:t>人，</w:t>
      </w:r>
      <w:r>
        <w:rPr>
          <w:rFonts w:hint="eastAsia" w:ascii="仿宋_GB2312" w:hAnsi="仿宋_GB2312" w:eastAsia="仿宋_GB2312" w:cs="仿宋_GB2312"/>
          <w:color w:val="000000"/>
          <w:kern w:val="0"/>
          <w:sz w:val="32"/>
          <w:szCs w:val="32"/>
          <w:lang w:val="en-US" w:eastAsia="zh-CN"/>
        </w:rPr>
        <w:t>其中参公事业人员23人，其他事业人员8人，工勤人员1人。</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（三）年度主要工作任务</w:t>
      </w:r>
    </w:p>
    <w:p>
      <w:pPr>
        <w:keepNext w:val="0"/>
        <w:keepLines w:val="0"/>
        <w:pageBreakBefore w:val="0"/>
        <w:widowControl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一是加快推进数字档案馆建设。做好全文数据库清理及数据资源维护。二是加强档案接收征集和开放审核。完善档案接收名册，有序做好市级机构改革单位和国有改制企业档案接收进馆；启动馆藏档案开放审核。三是提高档案规范化管理水平。做好数字化加工，完成寄存档案整理上架和民国档案著录。四是切实优化服务方式。积极推进“一网通办”数据共享开发和全市8个国家综合档案馆信息资源共享，完成市政务数据共享开放任务，拓展民生档案“异地查档、跨馆服务”，提升档案利用服务水平。五是深化档案编研开发。稳步推进《抗日战争档案汇编（四）》编纂；创新推进《李申夫军事函札》考释迈出实质性步伐。六是打造档案宣传品牌。积极参与、创新开展“喜迎二十大·档案颂辉煌”主题宣传活动；做好“6·9”国际档案日宣传活动；加快推进爱教基地修订完善工作。七是坚决守住档案安全底线。积极组织消防应急演练，开展安全隐患排查，做好档案库房温湿度监测、消防、安防等系统检查维护工作，持续开展档案异地异质备份。</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（四）部门整体支出绩效目标</w:t>
      </w:r>
    </w:p>
    <w:p>
      <w:pPr>
        <w:pStyle w:val="11"/>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zh-CN" w:eastAsia="zh-CN" w:bidi="ar-SA"/>
        </w:rPr>
      </w:pPr>
      <w:r>
        <w:rPr>
          <w:rFonts w:hint="eastAsia" w:ascii="仿宋_GB2312" w:hAnsi="仿宋_GB2312" w:eastAsia="仿宋_GB2312" w:cs="仿宋_GB2312"/>
          <w:b w:val="0"/>
          <w:bCs w:val="0"/>
          <w:color w:val="000000"/>
          <w:kern w:val="0"/>
          <w:sz w:val="32"/>
          <w:szCs w:val="32"/>
          <w:shd w:val="clear" w:color="auto" w:fill="FFFFFF"/>
          <w:lang w:val="zh-CN" w:eastAsia="zh-CN" w:bidi="ar-SA"/>
        </w:rPr>
        <w:t>我馆部门整体支出</w:t>
      </w:r>
      <w:r>
        <w:rPr>
          <w:rFonts w:hint="eastAsia" w:ascii="仿宋_GB2312" w:hAnsi="仿宋_GB2312" w:eastAsia="仿宋_GB2312" w:cs="仿宋_GB2312"/>
          <w:b w:val="0"/>
          <w:bCs w:val="0"/>
          <w:color w:val="000000"/>
          <w:kern w:val="0"/>
          <w:sz w:val="32"/>
          <w:szCs w:val="32"/>
          <w:shd w:val="clear" w:color="auto" w:fill="FFFFFF"/>
          <w:lang w:val="en-US" w:eastAsia="zh-CN" w:bidi="ar-SA"/>
        </w:rPr>
        <w:t>从数量指标、质量指标、时效指标、成本指标、社会效益指标、可持续影响、满意度指标6个方面对部门整体支出编制绩效目标，并将其作为全年预算执行及开展绩效监控、绩效自评和绩效评价的重要依据。</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outlineLvl w:val="1"/>
        <w:rPr>
          <w:rFonts w:ascii="黑体" w:hAnsi="宋体" w:eastAsia="黑体" w:cs="宋体"/>
          <w:b w:val="0"/>
          <w:bCs w:val="0"/>
          <w:color w:val="000000"/>
          <w:kern w:val="0"/>
          <w:sz w:val="32"/>
          <w:szCs w:val="32"/>
          <w:highlight w:val="none"/>
          <w:shd w:val="clear" w:color="auto" w:fill="FFFFFF"/>
        </w:rPr>
      </w:pPr>
      <w:bookmarkStart w:id="79" w:name="_Toc434033057_WPSOffice_Level2"/>
      <w:bookmarkStart w:id="80" w:name="_Toc638012656_WPSOffice_Level2"/>
      <w:bookmarkStart w:id="81" w:name="_Toc22112"/>
      <w:r>
        <w:rPr>
          <w:rFonts w:hint="eastAsia" w:ascii="黑体" w:hAnsi="宋体" w:eastAsia="黑体" w:cs="宋体"/>
          <w:b w:val="0"/>
          <w:bCs w:val="0"/>
          <w:color w:val="000000"/>
          <w:kern w:val="0"/>
          <w:sz w:val="32"/>
          <w:szCs w:val="32"/>
          <w:highlight w:val="none"/>
          <w:shd w:val="clear" w:color="auto" w:fill="FFFFFF"/>
        </w:rPr>
        <w:t>二、</w:t>
      </w:r>
      <w:r>
        <w:rPr>
          <w:rFonts w:hint="eastAsia" w:ascii="黑体" w:hAnsi="宋体" w:eastAsia="黑体" w:cs="宋体"/>
          <w:b w:val="0"/>
          <w:bCs w:val="0"/>
          <w:color w:val="000000"/>
          <w:kern w:val="0"/>
          <w:sz w:val="32"/>
          <w:szCs w:val="32"/>
          <w:highlight w:val="none"/>
          <w:shd w:val="clear" w:color="auto" w:fill="FFFFFF"/>
          <w:lang w:eastAsia="zh-CN"/>
        </w:rPr>
        <w:t>部门</w:t>
      </w:r>
      <w:r>
        <w:rPr>
          <w:rFonts w:hint="eastAsia" w:ascii="黑体" w:hAnsi="宋体" w:eastAsia="黑体" w:cs="宋体"/>
          <w:b w:val="0"/>
          <w:bCs w:val="0"/>
          <w:color w:val="000000"/>
          <w:kern w:val="0"/>
          <w:sz w:val="32"/>
          <w:szCs w:val="32"/>
          <w:highlight w:val="none"/>
          <w:shd w:val="clear" w:color="auto" w:fill="FFFFFF"/>
        </w:rPr>
        <w:t>资金收支情况</w:t>
      </w:r>
      <w:bookmarkEnd w:id="79"/>
      <w:bookmarkEnd w:id="80"/>
      <w:bookmarkEnd w:id="81"/>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（一）部门总体收支情况。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1.部门总体收入情况</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rPr>
        <w:t>本年收入合计758.65万元。</w:t>
      </w:r>
      <w:r>
        <w:rPr>
          <w:rFonts w:hint="eastAsia" w:ascii="仿宋_GB2312" w:hAnsi="仿宋_GB2312" w:eastAsia="仿宋_GB2312" w:cs="仿宋_GB2312"/>
          <w:color w:val="auto"/>
          <w:sz w:val="32"/>
          <w:szCs w:val="32"/>
          <w:highlight w:val="none"/>
        </w:rPr>
        <w:t>其中：一般公共预算财政拨款收入</w:t>
      </w:r>
      <w:r>
        <w:rPr>
          <w:rFonts w:hint="eastAsia" w:ascii="仿宋_GB2312" w:hAnsi="仿宋_GB2312" w:eastAsia="仿宋_GB2312" w:cs="仿宋_GB2312"/>
          <w:color w:val="auto"/>
          <w:sz w:val="32"/>
          <w:szCs w:val="32"/>
          <w:highlight w:val="none"/>
          <w:lang w:val="en-US" w:eastAsia="zh-CN"/>
        </w:rPr>
        <w:t>745.73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98.30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12.92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1.70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2.部门总体支出情况</w:t>
      </w:r>
    </w:p>
    <w:p>
      <w:pPr>
        <w:pStyle w:val="11"/>
        <w:keepNext w:val="0"/>
        <w:keepLines w:val="0"/>
        <w:pageBreakBefore w:val="0"/>
        <w:widowControl w:val="0"/>
        <w:kinsoku/>
        <w:wordWrap/>
        <w:overflowPunct/>
        <w:topLinePunct w:val="0"/>
        <w:autoSpaceDE/>
        <w:autoSpaceDN/>
        <w:bidi w:val="0"/>
        <w:adjustRightIn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rPr>
        <w:t>本年支出合计771.61万元</w:t>
      </w:r>
      <w:r>
        <w:rPr>
          <w:rFonts w:hint="eastAsia"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其中：基本支出650.95万元，占84.36%；项目支出120.66万元，占15.64%。</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3.部门总体结转结余情况</w:t>
      </w:r>
    </w:p>
    <w:p>
      <w:pPr>
        <w:pStyle w:val="11"/>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年初结转结余12.98万元，其中6.69万元为</w:t>
      </w:r>
      <w:r>
        <w:rPr>
          <w:rFonts w:hint="eastAsia" w:ascii="仿宋_GB2312" w:hAnsi="仿宋_GB2312" w:eastAsia="仿宋_GB2312" w:cs="仿宋_GB2312"/>
          <w:color w:val="auto"/>
          <w:sz w:val="32"/>
          <w:szCs w:val="32"/>
          <w:highlight w:val="none"/>
        </w:rPr>
        <w:t>一般公共预算财政拨款</w:t>
      </w:r>
      <w:r>
        <w:rPr>
          <w:rFonts w:hint="eastAsia" w:ascii="仿宋_GB2312" w:hAnsi="仿宋_GB2312" w:eastAsia="仿宋_GB2312" w:cs="仿宋_GB2312"/>
          <w:sz w:val="32"/>
          <w:szCs w:val="32"/>
          <w:lang w:val="en-US" w:eastAsia="zh-CN"/>
        </w:rPr>
        <w:t>结转，6.29万元为代管资金项目结转，年末项目经费结余0.72万元，已被财政收回，代管资金项目结余0.02万元。</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（二）部门财政拨款收支情况。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1.部门财政拨款收入情况</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rPr>
        <w:t>本年财政拨款收入合计745.73万元，均为本级财政拨款收入。</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2.部门财政拨款支出情况</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本年财政拨款支出合计752.42万元，其中：基本支出650.95万元，占86.51%；项目支出101.47万元，占13.49%。</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3.部门财政拨款结转结余情况</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年初结转结余6.69万元，年末无结转结余。</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outlineLvl w:val="1"/>
        <w:rPr>
          <w:rFonts w:ascii="黑体" w:hAnsi="宋体" w:eastAsia="黑体" w:cs="宋体"/>
          <w:b w:val="0"/>
          <w:bCs w:val="0"/>
          <w:color w:val="000000"/>
          <w:kern w:val="0"/>
          <w:sz w:val="32"/>
          <w:szCs w:val="32"/>
          <w:highlight w:val="none"/>
          <w:shd w:val="clear" w:color="auto" w:fill="FFFFFF"/>
        </w:rPr>
      </w:pPr>
      <w:bookmarkStart w:id="82" w:name="_Toc2075432694_WPSOffice_Level2"/>
      <w:bookmarkStart w:id="83" w:name="_Toc1064499722_WPSOffice_Level2"/>
      <w:bookmarkStart w:id="84" w:name="_Toc2034"/>
      <w:r>
        <w:rPr>
          <w:rFonts w:hint="eastAsia" w:ascii="黑体" w:hAnsi="宋体" w:eastAsia="黑体" w:cs="宋体"/>
          <w:b w:val="0"/>
          <w:bCs w:val="0"/>
          <w:color w:val="000000"/>
          <w:kern w:val="0"/>
          <w:sz w:val="32"/>
          <w:szCs w:val="32"/>
          <w:highlight w:val="none"/>
          <w:shd w:val="clear" w:color="auto" w:fill="FFFFFF"/>
        </w:rPr>
        <w:t>三、</w:t>
      </w:r>
      <w:r>
        <w:rPr>
          <w:rFonts w:hint="eastAsia" w:ascii="黑体" w:hAnsi="宋体" w:eastAsia="黑体" w:cs="宋体"/>
          <w:b w:val="0"/>
          <w:bCs w:val="0"/>
          <w:color w:val="000000"/>
          <w:kern w:val="0"/>
          <w:sz w:val="32"/>
          <w:szCs w:val="32"/>
          <w:highlight w:val="none"/>
          <w:u w:val="none"/>
          <w:shd w:val="clear" w:color="auto" w:fill="FFFFFF"/>
        </w:rPr>
        <w:t>部门整体绩效</w:t>
      </w:r>
      <w:r>
        <w:rPr>
          <w:rFonts w:hint="eastAsia" w:ascii="黑体" w:hAnsi="宋体" w:eastAsia="黑体" w:cs="宋体"/>
          <w:b w:val="0"/>
          <w:bCs w:val="0"/>
          <w:color w:val="000000"/>
          <w:kern w:val="0"/>
          <w:sz w:val="32"/>
          <w:szCs w:val="32"/>
          <w:highlight w:val="none"/>
          <w:u w:val="none"/>
          <w:shd w:val="clear" w:color="auto" w:fill="FFFFFF"/>
          <w:lang w:eastAsia="zh-CN"/>
        </w:rPr>
        <w:t>分析</w:t>
      </w:r>
      <w:bookmarkEnd w:id="82"/>
      <w:bookmarkEnd w:id="83"/>
      <w:bookmarkEnd w:id="84"/>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宋体" w:cs="宋体"/>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（一）部门预算项目绩效分析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FF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1.人员类项目绩效分析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人员类项目包含工资性支出和离退休费支出，</w:t>
      </w:r>
      <w:r>
        <w:rPr>
          <w:rFonts w:hint="eastAsia" w:ascii="仿宋_GB2312" w:hAnsi="仿宋_GB2312" w:eastAsia="仿宋_GB2312" w:cs="仿宋_GB2312"/>
          <w:b w:val="0"/>
          <w:bCs w:val="0"/>
          <w:color w:val="000000"/>
          <w:kern w:val="0"/>
          <w:sz w:val="32"/>
          <w:szCs w:val="32"/>
          <w:shd w:val="clear" w:color="auto" w:fill="FFFFFF"/>
          <w:lang w:val="en-US" w:eastAsia="zh-CN" w:bidi="ar-SA"/>
        </w:rPr>
        <w:t>从数量指标、时效指标、经济效益指标3个方面编制绩效目标，</w:t>
      </w:r>
      <w:r>
        <w:rPr>
          <w:rFonts w:hint="eastAsia" w:ascii="仿宋_GB2312" w:hAnsi="仿宋_GB2312" w:eastAsia="仿宋_GB2312" w:cs="仿宋_GB2312"/>
          <w:sz w:val="32"/>
          <w:szCs w:val="32"/>
          <w:lang w:val="en-US" w:eastAsia="zh-CN"/>
        </w:rPr>
        <w:t>按照“优先保障、严格标准、综合预算”的要求，根据定员情况和国家、省、市确定的工资、津贴补贴、社会保障等相关政策计算编制人员支出预算，</w:t>
      </w:r>
      <w:r>
        <w:rPr>
          <w:rFonts w:hint="eastAsia" w:ascii="仿宋_GB2312" w:hAnsi="仿宋_GB2312" w:eastAsia="仿宋_GB2312" w:cs="仿宋_GB2312"/>
          <w:b w:val="0"/>
          <w:bCs w:val="0"/>
          <w:sz w:val="32"/>
          <w:szCs w:val="32"/>
          <w:lang w:val="en-US" w:eastAsia="zh-CN"/>
        </w:rPr>
        <w:t>预算执行进度在6月、9月、11月分别为47.54%、68.81%、84.33%，全年预算执行进度为100%，无违规违纪问题发生</w:t>
      </w:r>
      <w:r>
        <w:rPr>
          <w:rFonts w:hint="eastAsia" w:ascii="仿宋_GB2312" w:hAnsi="仿宋_GB2312" w:eastAsia="仿宋_GB2312" w:cs="仿宋_GB2312"/>
          <w:b w:val="0"/>
          <w:bCs w:val="0"/>
          <w:color w:val="000000"/>
          <w:kern w:val="0"/>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2.运转类项目绩效分析</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运转类项目包含定额公用经费、日常公用经费和其他公用经费，</w:t>
      </w:r>
      <w:r>
        <w:rPr>
          <w:rFonts w:hint="eastAsia" w:ascii="仿宋_GB2312" w:hAnsi="仿宋_GB2312" w:eastAsia="仿宋_GB2312" w:cs="仿宋_GB2312"/>
          <w:b w:val="0"/>
          <w:bCs w:val="0"/>
          <w:color w:val="000000"/>
          <w:kern w:val="0"/>
          <w:sz w:val="32"/>
          <w:szCs w:val="32"/>
          <w:shd w:val="clear" w:color="auto" w:fill="FFFFFF"/>
          <w:lang w:val="en-US" w:eastAsia="zh-CN" w:bidi="ar-SA"/>
        </w:rPr>
        <w:t>从质量指标、数量指标、经济效益指标3个方面编制绩效目标，</w:t>
      </w:r>
      <w:r>
        <w:rPr>
          <w:rFonts w:hint="eastAsia" w:ascii="仿宋_GB2312" w:hAnsi="仿宋_GB2312" w:eastAsia="仿宋_GB2312" w:cs="仿宋_GB2312"/>
          <w:sz w:val="32"/>
          <w:szCs w:val="32"/>
          <w:lang w:val="en-US" w:eastAsia="zh-CN"/>
        </w:rPr>
        <w:t>按照“综合预算、定额管理”的要求，根据定员情况、职能职责和事业发展需要综合编制日常公用支出预算，</w:t>
      </w:r>
      <w:r>
        <w:rPr>
          <w:rFonts w:hint="eastAsia" w:ascii="仿宋_GB2312" w:hAnsi="仿宋_GB2312" w:eastAsia="仿宋_GB2312" w:cs="仿宋_GB2312"/>
          <w:sz w:val="32"/>
          <w:szCs w:val="32"/>
        </w:rPr>
        <w:t>严控“三公经费”</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一般性支出</w:t>
      </w:r>
      <w:r>
        <w:rPr>
          <w:rFonts w:hint="eastAsia" w:ascii="仿宋_GB2312" w:hAnsi="仿宋_GB2312" w:eastAsia="仿宋_GB2312" w:cs="仿宋_GB2312"/>
          <w:sz w:val="32"/>
          <w:szCs w:val="32"/>
          <w:lang w:eastAsia="zh-CN"/>
        </w:rPr>
        <w:t>预算，预算执行进度</w:t>
      </w:r>
      <w:r>
        <w:rPr>
          <w:rFonts w:hint="eastAsia" w:ascii="仿宋_GB2312" w:hAnsi="仿宋_GB2312" w:eastAsia="仿宋_GB2312" w:cs="仿宋_GB2312"/>
          <w:b w:val="0"/>
          <w:bCs w:val="0"/>
          <w:sz w:val="32"/>
          <w:szCs w:val="32"/>
          <w:lang w:val="en-US" w:eastAsia="zh-CN"/>
        </w:rPr>
        <w:t>在6月、9月、11月分别为49.78%、73.37%、82.36%，全年预算执行进度为100%，无违规违纪问题发生</w:t>
      </w:r>
      <w:r>
        <w:rPr>
          <w:rFonts w:hint="eastAsia" w:ascii="仿宋_GB2312" w:hAnsi="仿宋_GB2312" w:eastAsia="仿宋_GB2312" w:cs="仿宋_GB2312"/>
          <w:b w:val="0"/>
          <w:bCs w:val="0"/>
          <w:color w:val="000000"/>
          <w:kern w:val="0"/>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3.特定目标类项目绩效分析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特定目标类项目全部为部门预算项目，共计4个，分别为大楼运行维护项目，档案规范工作经费，档案保管保护与开发项目、乡村振兴战略帮扶队项目，</w:t>
      </w:r>
      <w:r>
        <w:rPr>
          <w:rFonts w:hint="eastAsia" w:ascii="仿宋_GB2312" w:hAnsi="仿宋_GB2312" w:eastAsia="仿宋_GB2312" w:cs="仿宋_GB2312"/>
          <w:sz w:val="32"/>
          <w:szCs w:val="32"/>
          <w:lang w:val="en-US" w:eastAsia="zh-CN"/>
        </w:rPr>
        <w:t>依据市委、市政府确定的经济社会发展规划、部门职能职责及事业发展规划等要求，严格按照预算绩效管理要求</w:t>
      </w:r>
      <w:r>
        <w:rPr>
          <w:rFonts w:hint="eastAsia" w:ascii="仿宋_GB2312" w:hAnsi="仿宋_GB2312" w:eastAsia="仿宋_GB2312" w:cs="仿宋_GB2312"/>
          <w:b w:val="0"/>
          <w:bCs w:val="0"/>
          <w:color w:val="000000"/>
          <w:kern w:val="0"/>
          <w:sz w:val="32"/>
          <w:szCs w:val="32"/>
          <w:shd w:val="clear" w:color="auto" w:fill="FFFFFF"/>
          <w:lang w:val="en-US" w:eastAsia="zh-CN" w:bidi="ar-SA"/>
        </w:rPr>
        <w:t>从数量指标、成本指标、质量指标、时效指标、社会效益指标、可持续发展指标、满意度指标7个方面编制绩效目标，</w:t>
      </w:r>
      <w:r>
        <w:rPr>
          <w:rFonts w:hint="eastAsia" w:ascii="仿宋_GB2312" w:hAnsi="仿宋_GB2312" w:eastAsia="仿宋_GB2312" w:cs="仿宋_GB2312"/>
          <w:sz w:val="32"/>
          <w:szCs w:val="32"/>
          <w:lang w:val="en-US" w:eastAsia="zh-CN"/>
        </w:rPr>
        <w:t>在产出、效益、满意度等方面合理细化、量化绩效目标，科学准确编制项目支出预算。</w:t>
      </w:r>
      <w:r>
        <w:rPr>
          <w:rFonts w:hint="eastAsia" w:ascii="仿宋_GB2312" w:hAnsi="仿宋_GB2312" w:eastAsia="仿宋_GB2312" w:cs="仿宋_GB2312"/>
          <w:sz w:val="32"/>
          <w:szCs w:val="32"/>
          <w:lang w:eastAsia="zh-CN"/>
        </w:rPr>
        <w:t>预算执行进度</w:t>
      </w:r>
      <w:r>
        <w:rPr>
          <w:rFonts w:hint="eastAsia" w:ascii="仿宋_GB2312" w:hAnsi="仿宋_GB2312" w:eastAsia="仿宋_GB2312" w:cs="仿宋_GB2312"/>
          <w:b w:val="0"/>
          <w:bCs w:val="0"/>
          <w:sz w:val="32"/>
          <w:szCs w:val="32"/>
          <w:lang w:val="en-US" w:eastAsia="zh-CN"/>
        </w:rPr>
        <w:t>在6月、9月、11月分别为39.77%、81.63%、90.88%，全年预算执行进度为99.28%，其中大楼运行维护项目产生0.72万元的资金结余，资金结余率为0.01。全年无违规违纪问题发生</w:t>
      </w:r>
      <w:r>
        <w:rPr>
          <w:rFonts w:hint="eastAsia" w:ascii="仿宋_GB2312" w:hAnsi="仿宋_GB2312" w:eastAsia="仿宋_GB2312" w:cs="仿宋_GB2312"/>
          <w:b w:val="0"/>
          <w:bCs w:val="0"/>
          <w:color w:val="000000"/>
          <w:kern w:val="0"/>
          <w:sz w:val="32"/>
          <w:szCs w:val="32"/>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（二）部门整体履职绩效分析。</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sz w:val="32"/>
          <w:szCs w:val="32"/>
          <w:lang w:val="zh-CN"/>
        </w:rPr>
      </w:pPr>
      <w:r>
        <w:rPr>
          <w:rFonts w:hint="eastAsia" w:ascii="仿宋_GB2312" w:hAnsi="仿宋_GB2312" w:eastAsia="仿宋_GB2312" w:cs="仿宋_GB2312"/>
          <w:sz w:val="32"/>
          <w:szCs w:val="32"/>
          <w:lang w:val="zh-CN"/>
        </w:rPr>
        <w:t>本年度</w:t>
      </w:r>
      <w:r>
        <w:rPr>
          <w:rFonts w:hint="eastAsia" w:ascii="仿宋_GB2312" w:hAnsi="仿宋_GB2312" w:eastAsia="仿宋_GB2312" w:cs="仿宋_GB2312"/>
          <w:b w:val="0"/>
          <w:bCs w:val="0"/>
          <w:sz w:val="32"/>
          <w:szCs w:val="32"/>
          <w:lang w:val="en-US" w:eastAsia="zh-CN"/>
        </w:rPr>
        <w:t>我馆认真贯彻落实国家</w:t>
      </w:r>
      <w:r>
        <w:rPr>
          <w:rFonts w:hint="eastAsia" w:ascii="仿宋_GB2312" w:hAnsi="仿宋_GB2312" w:eastAsia="仿宋_GB2312" w:cs="仿宋_GB2312"/>
          <w:sz w:val="32"/>
          <w:szCs w:val="32"/>
          <w:lang w:val="en-US" w:eastAsia="zh-CN"/>
        </w:rPr>
        <w:t>、省档案局、省档案馆和市委、市政府的安排部署，依据市委、市政府确定的经济社会发展规划、部门职能职责及事业发展规划等要求，严格按照预算绩效管理要求编制部门绩效目标，将绩效目标纳入馆务会集体决策范围，认真细化、量化各项绩效指标，并严格按照预期目标完成绩效目标工作。严格按照</w:t>
      </w:r>
      <w:r>
        <w:rPr>
          <w:rFonts w:hint="eastAsia" w:ascii="仿宋_GB2312" w:hAnsi="仿宋_GB2312" w:eastAsia="仿宋_GB2312" w:cs="仿宋_GB2312"/>
          <w:b w:val="0"/>
          <w:bCs w:val="0"/>
          <w:sz w:val="32"/>
          <w:szCs w:val="32"/>
          <w:lang w:val="en-US" w:eastAsia="zh-CN"/>
        </w:rPr>
        <w:t>市财政局要求开展本部门预算执行动态监控、中期评估、绩效跟踪监控管理工作，主动开展日常预算执行监控，随时关注各项目执行进程，定期向馆领导汇报预算执行进度，对重大项目实行全程跟踪监控；针对执行进度较慢的项目积极查找原因，督促预算执行，预算执行情况较上年有了极大改善，基本完成年初既定事项。全年</w:t>
      </w:r>
      <w:r>
        <w:rPr>
          <w:rFonts w:hint="eastAsia" w:ascii="仿宋_GB2312" w:hAnsi="仿宋_GB2312" w:eastAsia="仿宋_GB2312" w:cs="仿宋_GB2312"/>
          <w:sz w:val="32"/>
          <w:szCs w:val="32"/>
          <w:lang w:val="zh-CN"/>
        </w:rPr>
        <w:t>按月足额发放单位职工薪金及福利待遇，基本满足公务运行各项支出，保障了机关工作正常开展，档案馆大楼全年无任何安全事故发生，按期完成档案清理整理、著录、开发利用和征集鉴定，按时发放第一书记及驻村工作队员生活补贴，保障了日常办公需要。全年绩效目标基本完成。</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（三）结果应用情况。</w:t>
      </w:r>
    </w:p>
    <w:p>
      <w:pPr>
        <w:pStyle w:val="11"/>
        <w:keepNext w:val="0"/>
        <w:keepLines w:val="0"/>
        <w:pageBreakBefore w:val="0"/>
        <w:widowControl w:val="0"/>
        <w:kinsoku/>
        <w:wordWrap/>
        <w:overflowPunct/>
        <w:topLinePunct w:val="0"/>
        <w:autoSpaceDE/>
        <w:autoSpaceDN/>
        <w:bidi w:val="0"/>
        <w:adjustRightInd/>
        <w:snapToGrid/>
        <w:spacing w:after="0" w:line="560" w:lineRule="exact"/>
        <w:ind w:leftChars="0"/>
        <w:textAlignment w:val="auto"/>
        <w:rPr>
          <w:rFonts w:hint="eastAsia"/>
          <w:sz w:val="32"/>
          <w:szCs w:val="32"/>
          <w:lang w:val="zh-CN"/>
        </w:rPr>
      </w:pPr>
      <w:r>
        <w:rPr>
          <w:rFonts w:hint="eastAsia" w:ascii="仿宋_GB2312" w:hAnsi="仿宋_GB2312" w:eastAsia="仿宋_GB2312" w:cs="仿宋_GB2312"/>
          <w:b w:val="0"/>
          <w:bCs w:val="0"/>
          <w:sz w:val="32"/>
          <w:szCs w:val="32"/>
          <w:lang w:val="en-US" w:eastAsia="zh-CN"/>
        </w:rPr>
        <w:t>我馆严格按照市财政局要求，随预算向社会公开部门绩效目标，按照绩效评价结果及时指导相关项目的执行方向、进度。采取比较法，对比年初绩效目标，按照有关标准办法，评价各项目产出效益情况，指导次年预算项目编制，并将各科室绩效自评纳入考核体系，建立单位内部预算与绩效挂钩机制。对绩效管理过程中出现的问题及时整改，不断完善我馆绩效管理制度。</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自评质量。</w:t>
      </w:r>
    </w:p>
    <w:p>
      <w:pPr>
        <w:pStyle w:val="11"/>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firstLineChars="200"/>
        <w:textAlignment w:val="auto"/>
        <w:rPr>
          <w:rFonts w:hint="default"/>
          <w:b w:val="0"/>
          <w:bCs w:val="0"/>
          <w:color w:val="FF0000"/>
          <w:sz w:val="32"/>
          <w:szCs w:val="32"/>
          <w:highlight w:val="none"/>
          <w:lang w:val="en-US" w:eastAsia="zh-CN"/>
        </w:rPr>
      </w:pPr>
      <w:r>
        <w:rPr>
          <w:rFonts w:hint="eastAsia" w:ascii="仿宋_GB2312" w:hAnsi="仿宋_GB2312" w:eastAsia="仿宋_GB2312" w:cs="仿宋_GB2312"/>
          <w:b w:val="0"/>
          <w:bCs w:val="0"/>
          <w:sz w:val="32"/>
          <w:szCs w:val="32"/>
          <w:lang w:val="en" w:eastAsia="zh-CN"/>
        </w:rPr>
        <w:t>我馆认真落实预算绩效评价主体责任，严格对标对表</w:t>
      </w:r>
      <w:r>
        <w:rPr>
          <w:rFonts w:hint="eastAsia" w:ascii="仿宋_GB2312" w:hAnsi="仿宋_GB2312" w:eastAsia="仿宋_GB2312" w:cs="仿宋_GB2312"/>
          <w:b w:val="0"/>
          <w:bCs w:val="0"/>
          <w:sz w:val="32"/>
          <w:szCs w:val="32"/>
          <w:lang w:val="en-US" w:eastAsia="zh-CN"/>
        </w:rPr>
        <w:t>2023年市级部门整体支出绩效评价指标体系，扎实开展绩效自评工作，力求自评准确度达100%。</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outlineLvl w:val="1"/>
        <w:rPr>
          <w:rFonts w:ascii="黑体" w:hAnsi="宋体" w:eastAsia="黑体" w:cs="宋体"/>
          <w:b w:val="0"/>
          <w:bCs w:val="0"/>
          <w:color w:val="000000"/>
          <w:kern w:val="0"/>
          <w:sz w:val="32"/>
          <w:szCs w:val="32"/>
          <w:highlight w:val="none"/>
          <w:shd w:val="clear" w:color="auto" w:fill="FFFFFF"/>
        </w:rPr>
      </w:pPr>
      <w:bookmarkStart w:id="85" w:name="_Toc1785682899_WPSOffice_Level2"/>
      <w:bookmarkStart w:id="86" w:name="_Toc526204442_WPSOffice_Level2"/>
      <w:bookmarkStart w:id="87" w:name="_Toc9016"/>
      <w:r>
        <w:rPr>
          <w:rFonts w:hint="eastAsia" w:ascii="黑体" w:hAnsi="宋体" w:eastAsia="黑体" w:cs="宋体"/>
          <w:b w:val="0"/>
          <w:bCs w:val="0"/>
          <w:color w:val="000000"/>
          <w:kern w:val="0"/>
          <w:sz w:val="32"/>
          <w:szCs w:val="32"/>
          <w:highlight w:val="none"/>
          <w:shd w:val="clear" w:color="auto" w:fill="FFFFFF"/>
        </w:rPr>
        <w:t>四、评价结论及建议</w:t>
      </w:r>
      <w:bookmarkEnd w:id="85"/>
      <w:bookmarkEnd w:id="86"/>
      <w:bookmarkEnd w:id="87"/>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（一）评价结论。</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sz w:val="32"/>
          <w:szCs w:val="32"/>
          <w:lang w:val="en-US" w:eastAsia="zh-CN"/>
        </w:rPr>
        <w:t>本年度我馆部门整体支出绩效评价自评结果得分98分，全年人员类支出保障了单位职工薪金及福利待遇按时足额发放，运转类支出保证了部门正常运行和日常工作的正常开展，特定目标类支出保障了档案重点业务工作的开展，基本达到预期绩效目标。</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（二）存在问题。</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sz w:val="32"/>
          <w:szCs w:val="32"/>
          <w:lang w:val="zh-CN"/>
        </w:rPr>
      </w:pPr>
      <w:r>
        <w:rPr>
          <w:rFonts w:hint="eastAsia" w:ascii="仿宋_GB2312" w:hAnsi="仿宋_GB2312" w:eastAsia="仿宋_GB2312" w:cs="仿宋_GB2312"/>
          <w:b w:val="0"/>
          <w:bCs w:val="0"/>
          <w:sz w:val="32"/>
          <w:szCs w:val="32"/>
          <w:lang w:val="zh-CN" w:eastAsia="zh-CN"/>
        </w:rPr>
        <w:t>绩效管理工作与预算管理工作衔接不到位，项目绩效目标编报质量有待提升，绩效评价结果运用有待加强。</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（三）改进建议。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en-US" w:eastAsia="zh-CN"/>
        </w:rPr>
        <w:t>1.提高预算绩效目标编制科学性和准确性。认真贯彻执行预算编制有关规定，进一步加强业务科室与财务部门的协作，结合工作计划，统筹考虑上年结转结余及项目绩效完成情况，按照“干多少事，花多少钱”的原则，根据“任务栏、时间表、标准值、成绩单”等绩效目标指标和指标值进行严格测算，进一步细化量化绩效目标指标值，提高预算绩效目标编制的科学性和准确性。</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en-US" w:eastAsia="zh-CN"/>
        </w:rPr>
        <w:t>2.加强预算执行监控，提高财政资金使用绩效。进一步加强预算执行监控，动态了解和掌握项目资金使用、项目实施管理以及绩效目标实现程度等，定期向馆领导和馆务会汇报预算执行进度，针对执行进度较慢的项目积极查找原因，督促预算执行；在项目执行过程中发现实际情况与预期绩效目标发生偏差时，及时根据相关规定对项目预算和绩效指标作出切合实际的调整，保证项目计划的整体实施效果，加快预算执行进度，确保年度绩效目标实现。</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Chars="0"/>
        <w:textAlignment w:val="auto"/>
        <w:outlineLvl w:val="1"/>
        <w:rPr>
          <w:rFonts w:hint="eastAsia" w:ascii="黑体" w:hAnsi="黑体" w:eastAsia="黑体" w:cs="黑体"/>
          <w:sz w:val="32"/>
          <w:szCs w:val="32"/>
          <w:lang w:val="en-US" w:eastAsia="zh-CN"/>
        </w:rPr>
      </w:pPr>
      <w:bookmarkStart w:id="88" w:name="_Toc13987"/>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End w:id="88"/>
    </w:p>
    <w:p>
      <w:pPr>
        <w:pStyle w:val="11"/>
        <w:keepNext w:val="0"/>
        <w:keepLines w:val="0"/>
        <w:pageBreakBefore w:val="0"/>
        <w:widowControl w:val="0"/>
        <w:kinsoku/>
        <w:wordWrap/>
        <w:overflowPunct/>
        <w:topLinePunct w:val="0"/>
        <w:autoSpaceDE/>
        <w:autoSpaceDN/>
        <w:bidi w:val="0"/>
        <w:textAlignment w:val="auto"/>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jc w:val="center"/>
        <w:textAlignment w:val="auto"/>
        <w:rPr>
          <w:sz w:val="44"/>
          <w:szCs w:val="44"/>
        </w:rPr>
      </w:pPr>
      <w:bookmarkStart w:id="89" w:name="_Toc507696545_WPSOffice_Level2"/>
      <w:bookmarkStart w:id="90" w:name="_Toc348689743_WPSOffice_Level2"/>
      <w:r>
        <w:rPr>
          <w:rFonts w:ascii="方正小标宋简体" w:hAnsi="方正小标宋简体" w:eastAsia="方正小标宋简体" w:cs="方正小标宋简体"/>
          <w:color w:val="000000"/>
          <w:kern w:val="0"/>
          <w:sz w:val="44"/>
          <w:szCs w:val="44"/>
          <w:lang w:val="en-US" w:eastAsia="zh-CN" w:bidi="ar"/>
        </w:rPr>
        <w:t>202</w:t>
      </w:r>
      <w:r>
        <w:rPr>
          <w:rFonts w:hint="eastAsia" w:ascii="方正小标宋简体" w:hAnsi="方正小标宋简体" w:eastAsia="方正小标宋简体" w:cs="方正小标宋简体"/>
          <w:color w:val="000000"/>
          <w:kern w:val="0"/>
          <w:sz w:val="44"/>
          <w:szCs w:val="44"/>
          <w:lang w:val="en-US" w:eastAsia="zh-CN" w:bidi="ar"/>
        </w:rPr>
        <w:t>3</w:t>
      </w:r>
      <w:r>
        <w:rPr>
          <w:rFonts w:ascii="方正小标宋简体" w:hAnsi="方正小标宋简体" w:eastAsia="方正小标宋简体" w:cs="方正小标宋简体"/>
          <w:color w:val="000000"/>
          <w:kern w:val="0"/>
          <w:sz w:val="44"/>
          <w:szCs w:val="44"/>
          <w:lang w:val="en-US" w:eastAsia="zh-CN" w:bidi="ar"/>
        </w:rPr>
        <w:t>年部门预算项目支出绩效自评报告</w:t>
      </w:r>
      <w:bookmarkEnd w:id="89"/>
      <w:bookmarkEnd w:id="90"/>
    </w:p>
    <w:p>
      <w:pPr>
        <w:keepNext w:val="0"/>
        <w:keepLines w:val="0"/>
        <w:pageBreakBefore w:val="0"/>
        <w:widowControl w:val="0"/>
        <w:suppressLineNumbers w:val="0"/>
        <w:kinsoku/>
        <w:wordWrap/>
        <w:overflowPunct/>
        <w:topLinePunct w:val="0"/>
        <w:autoSpaceDE/>
        <w:autoSpaceDN/>
        <w:bidi w:val="0"/>
        <w:spacing w:line="560" w:lineRule="exact"/>
        <w:ind w:left="0" w:leftChars="0"/>
        <w:jc w:val="center"/>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（大楼运行维护项目）</w:t>
      </w:r>
    </w:p>
    <w:p>
      <w:pPr>
        <w:pStyle w:val="11"/>
        <w:keepNext w:val="0"/>
        <w:keepLines w:val="0"/>
        <w:pageBreakBefore w:val="0"/>
        <w:widowControl w:val="0"/>
        <w:kinsoku/>
        <w:wordWrap/>
        <w:overflowPunct/>
        <w:topLinePunct w:val="0"/>
        <w:autoSpaceDE/>
        <w:autoSpaceDN/>
        <w:bidi w:val="0"/>
        <w:spacing w:after="0" w:line="560" w:lineRule="exact"/>
        <w:ind w:leftChars="0"/>
        <w:textAlignment w:val="auto"/>
        <w:rPr>
          <w:rFonts w:hint="eastAsia"/>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91" w:name="_Toc2082080663_WPSOffice_Level2"/>
      <w:bookmarkStart w:id="92" w:name="_Toc1222350552_WPSOffice_Level2"/>
      <w:bookmarkStart w:id="93" w:name="_Toc11546"/>
      <w:r>
        <w:rPr>
          <w:rFonts w:ascii="黑体" w:hAnsi="宋体" w:eastAsia="黑体" w:cs="黑体"/>
          <w:b w:val="0"/>
          <w:bCs w:val="0"/>
          <w:color w:val="000000"/>
          <w:kern w:val="0"/>
          <w:sz w:val="32"/>
          <w:szCs w:val="32"/>
          <w:lang w:val="en-US" w:eastAsia="zh-CN" w:bidi="ar"/>
        </w:rPr>
        <w:t>一、基本情况</w:t>
      </w:r>
      <w:bookmarkEnd w:id="91"/>
      <w:bookmarkEnd w:id="92"/>
      <w:bookmarkEnd w:id="93"/>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bidi="ar"/>
        </w:rPr>
        <w:t>（一）项目概况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大楼运行维护</w:t>
      </w:r>
      <w:r>
        <w:rPr>
          <w:rFonts w:ascii="仿宋_GB2312" w:hAnsi="宋体" w:eastAsia="仿宋_GB2312" w:cs="仿宋_GB2312"/>
          <w:color w:val="000000"/>
          <w:kern w:val="0"/>
          <w:sz w:val="32"/>
          <w:szCs w:val="32"/>
          <w:lang w:val="en-US" w:eastAsia="zh-CN" w:bidi="ar"/>
        </w:rPr>
        <w:t>项目是</w:t>
      </w:r>
      <w:r>
        <w:rPr>
          <w:rFonts w:hint="eastAsia" w:ascii="仿宋_GB2312" w:hAnsi="宋体" w:eastAsia="仿宋_GB2312" w:cs="仿宋_GB2312"/>
          <w:color w:val="000000"/>
          <w:kern w:val="0"/>
          <w:sz w:val="32"/>
          <w:szCs w:val="32"/>
          <w:lang w:val="en-US" w:eastAsia="zh-CN" w:bidi="ar"/>
        </w:rPr>
        <w:t>我</w:t>
      </w:r>
      <w:r>
        <w:rPr>
          <w:rFonts w:ascii="仿宋_GB2312" w:hAnsi="宋体" w:eastAsia="仿宋_GB2312" w:cs="仿宋_GB2312"/>
          <w:color w:val="000000"/>
          <w:kern w:val="0"/>
          <w:sz w:val="32"/>
          <w:szCs w:val="32"/>
          <w:lang w:val="en-US" w:eastAsia="zh-CN" w:bidi="ar"/>
        </w:rPr>
        <w:t>馆常年延续性项目，</w:t>
      </w:r>
      <w:r>
        <w:rPr>
          <w:rFonts w:hint="eastAsia" w:ascii="仿宋_GB2312" w:hAnsi="宋体" w:eastAsia="仿宋_GB2312" w:cs="仿宋_GB2312"/>
          <w:color w:val="000000"/>
          <w:kern w:val="0"/>
          <w:sz w:val="32"/>
          <w:szCs w:val="32"/>
          <w:lang w:val="en-US" w:eastAsia="zh-CN" w:bidi="ar"/>
        </w:rPr>
        <w:t>大楼2014年投入使用，总共15层，1层为查阅大厅，二层为爱教基地和多功能会议厅，3-5层为办公用房，6层为业务用房，7层为市纪委监委、市委组织部档案部门，8层为市自然资源局档案部门，9-15层为档案馆库房。因大楼日常管理维护开支较大，我馆于2014年9月联合原市纪委、市委组织部、原市国土局向市政府报请解决大楼运行经费，得以立项。项目主要用于大楼的日常管理，重点是库房区的安全维护。</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 xml:space="preserve">（二）项目实施情况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color w:val="000000"/>
          <w:kern w:val="0"/>
          <w:sz w:val="32"/>
          <w:szCs w:val="32"/>
          <w:lang w:val="en-US" w:eastAsia="zh-CN" w:bidi="ar"/>
        </w:rPr>
        <w:t>大楼管理规范有序，项目实施过程中控制电、水、网等常规成本支出，优先保证库房的维修维护。今年</w:t>
      </w:r>
      <w:r>
        <w:rPr>
          <w:rFonts w:hint="eastAsia" w:ascii="仿宋_GB2312" w:hAnsi="宋体" w:eastAsia="仿宋_GB2312" w:cs="仿宋_GB2312"/>
          <w:b w:val="0"/>
          <w:bCs w:val="0"/>
          <w:color w:val="000000"/>
          <w:kern w:val="0"/>
          <w:sz w:val="32"/>
          <w:szCs w:val="32"/>
          <w:lang w:val="en-US" w:eastAsia="zh-CN" w:bidi="ar"/>
        </w:rPr>
        <w:t>重点增加了对档案馆墙面返销、消防设施设备维修更换等问题的解决。</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bidi="ar"/>
        </w:rPr>
        <w:t>（三）资金投入使用情况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大楼运行维护项目年度安排预算49.5万元，均为财政拨款资金，预算执行数48.78万元，预算执行率98.55%，结余资金为政府采购预算0.72万元，主要是因疫情影响，年底未及时开展政府采购，导致结余产生。</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bidi="ar"/>
        </w:rPr>
        <w:t>（四）项目绩效目标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大楼运行维护项目年度目标为实现档案馆大楼整体平稳安全高效运行，保证工作正常开展。年初我馆从数量指标、质量指标、时效指标、成本指标、社会效益指标、可持续影响指标、满意度指标7个方面制定大楼运行维护项目绩效目标，并将其作为组织项目预算执行及开展绩效监控、绩效自评和绩效评价的重要依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94" w:name="_Toc346450878_WPSOffice_Level2"/>
      <w:bookmarkStart w:id="95" w:name="_Toc1650287982_WPSOffice_Level2"/>
      <w:bookmarkStart w:id="96" w:name="_Toc22078"/>
      <w:r>
        <w:rPr>
          <w:rFonts w:hint="eastAsia" w:ascii="黑体" w:hAnsi="宋体" w:eastAsia="黑体" w:cs="黑体"/>
          <w:b w:val="0"/>
          <w:bCs w:val="0"/>
          <w:color w:val="000000"/>
          <w:kern w:val="0"/>
          <w:sz w:val="32"/>
          <w:szCs w:val="32"/>
          <w:lang w:val="en-US" w:eastAsia="zh-CN" w:bidi="ar"/>
        </w:rPr>
        <w:t>二、评价工作开展情况</w:t>
      </w:r>
      <w:bookmarkEnd w:id="94"/>
      <w:bookmarkEnd w:id="95"/>
      <w:bookmarkEnd w:id="96"/>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按照文件要求，市档案馆对照年初绩效目标开展了自评，基本完成年初各项目标。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97" w:name="_Toc1514932483_WPSOffice_Level2"/>
      <w:bookmarkStart w:id="98" w:name="_Toc1067800638_WPSOffice_Level2"/>
      <w:bookmarkStart w:id="99" w:name="_Toc6441"/>
      <w:r>
        <w:rPr>
          <w:rFonts w:hint="eastAsia" w:ascii="黑体" w:hAnsi="宋体" w:eastAsia="黑体" w:cs="黑体"/>
          <w:b w:val="0"/>
          <w:bCs w:val="0"/>
          <w:color w:val="000000"/>
          <w:kern w:val="0"/>
          <w:sz w:val="32"/>
          <w:szCs w:val="32"/>
          <w:lang w:val="en-US" w:eastAsia="zh-CN" w:bidi="ar"/>
        </w:rPr>
        <w:t>三、综合评价结论</w:t>
      </w:r>
      <w:bookmarkEnd w:id="97"/>
      <w:bookmarkEnd w:id="98"/>
      <w:bookmarkEnd w:id="99"/>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市档案馆档案馆大楼运行支出绩效自评得分99.8分，今年</w:t>
      </w:r>
      <w:r>
        <w:rPr>
          <w:rFonts w:hint="eastAsia" w:ascii="仿宋_GB2312" w:hAnsi="宋体" w:eastAsia="仿宋_GB2312" w:cs="仿宋_GB2312"/>
          <w:b w:val="0"/>
          <w:bCs w:val="0"/>
          <w:color w:val="000000"/>
          <w:kern w:val="0"/>
          <w:sz w:val="32"/>
          <w:szCs w:val="32"/>
          <w:lang w:val="en-US" w:eastAsia="zh-CN" w:bidi="ar"/>
        </w:rPr>
        <w:t>重点增加了对档案馆墙面返销、消防设施设备故障等问题的处理，保证了实体档案的安全，确保日常工作正常开展</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00" w:name="_Toc1445615705_WPSOffice_Level2"/>
      <w:bookmarkStart w:id="101" w:name="_Toc10643"/>
      <w:bookmarkStart w:id="102" w:name="_Toc318736347_WPSOffice_Level2"/>
      <w:r>
        <w:rPr>
          <w:rFonts w:hint="eastAsia" w:ascii="黑体" w:hAnsi="宋体" w:eastAsia="黑体" w:cs="黑体"/>
          <w:b w:val="0"/>
          <w:bCs w:val="0"/>
          <w:color w:val="000000"/>
          <w:kern w:val="0"/>
          <w:sz w:val="32"/>
          <w:szCs w:val="32"/>
          <w:lang w:val="en-US" w:eastAsia="zh-CN" w:bidi="ar"/>
        </w:rPr>
        <w:t>四、绩效评价分析</w:t>
      </w:r>
      <w:bookmarkEnd w:id="100"/>
      <w:bookmarkEnd w:id="101"/>
      <w:bookmarkEnd w:id="102"/>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ascii="楷体_GB2312" w:hAnsi="宋体" w:eastAsia="楷体_GB2312" w:cs="楷体_GB2312"/>
          <w:b w:val="0"/>
          <w:bCs w:val="0"/>
          <w:color w:val="000000"/>
          <w:kern w:val="0"/>
          <w:sz w:val="32"/>
          <w:szCs w:val="32"/>
          <w:lang w:val="en-US" w:eastAsia="zh-CN" w:bidi="ar"/>
        </w:rPr>
        <w:t>（一）项目决策情况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大楼运行维护项目的设立经过严格评估论证与部门职责相符，属于公共财政支持范围，与相关部门同类项目或部门内部项目不重复。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（二）项目管理情况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color w:val="000000"/>
          <w:kern w:val="0"/>
          <w:sz w:val="32"/>
          <w:szCs w:val="32"/>
          <w:lang w:val="en-US" w:eastAsia="zh-CN" w:bidi="ar"/>
        </w:rPr>
        <w:t>大楼运行维护项目的方案制定、采购、实施、验收等工作</w:t>
      </w:r>
      <w:r>
        <w:rPr>
          <w:rFonts w:hint="eastAsia" w:ascii="仿宋_GB2312" w:hAnsi="宋体" w:eastAsia="仿宋_GB2312" w:cs="仿宋_GB2312"/>
          <w:b w:val="0"/>
          <w:bCs w:val="0"/>
          <w:color w:val="000000"/>
          <w:kern w:val="0"/>
          <w:sz w:val="32"/>
          <w:szCs w:val="32"/>
          <w:lang w:val="en-US" w:eastAsia="zh-CN" w:bidi="ar"/>
        </w:rPr>
        <w:t>严格执行相关制度规定；在项目实施过程中不定期开展检查监督，对发现的问题及时进行督促整改；项目资金使用符合相关财务管理制度规定，预算执行率98.55%。</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（三）项目产出情况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我馆定期开展安全检查，解决了大楼存在的安全隐患。全年大楼管理规范有序，保证了基本运转，未发生任何安全事故。</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（四）项目效益情况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sz w:val="32"/>
          <w:szCs w:val="32"/>
          <w:lang w:val="en-US"/>
        </w:rPr>
      </w:pPr>
      <w:r>
        <w:rPr>
          <w:rFonts w:hint="eastAsia" w:ascii="仿宋_GB2312" w:hAnsi="宋体" w:eastAsia="仿宋_GB2312" w:cs="仿宋_GB2312"/>
          <w:color w:val="000000"/>
          <w:kern w:val="0"/>
          <w:sz w:val="32"/>
          <w:szCs w:val="32"/>
          <w:lang w:val="en-US" w:eastAsia="zh-CN" w:bidi="ar"/>
        </w:rPr>
        <w:t>保证了大楼正常运转，延长了大楼使用寿命，加强了国有资产管理。全年未发生任何安全事故，做到维护档案绝对安全，为档案工作正常开展提供了有力保障。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03" w:name="_Toc1438163407_WPSOffice_Level2"/>
      <w:bookmarkStart w:id="104" w:name="_Toc1581662885_WPSOffice_Level2"/>
      <w:bookmarkStart w:id="105" w:name="_Toc28742"/>
      <w:r>
        <w:rPr>
          <w:rFonts w:hint="eastAsia" w:ascii="黑体" w:hAnsi="宋体" w:eastAsia="黑体" w:cs="黑体"/>
          <w:b w:val="0"/>
          <w:bCs w:val="0"/>
          <w:color w:val="000000"/>
          <w:kern w:val="0"/>
          <w:sz w:val="32"/>
          <w:szCs w:val="32"/>
          <w:lang w:val="en-US" w:eastAsia="zh-CN" w:bidi="ar"/>
        </w:rPr>
        <w:t>五、存在主要问题</w:t>
      </w:r>
      <w:bookmarkEnd w:id="103"/>
      <w:bookmarkEnd w:id="104"/>
      <w:bookmarkEnd w:id="105"/>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对项目绩效管理工作认识不够，绩效意识不强，对项目绩效指标的设置还不够准确，未完全实现对项目预算执行的动态监控，导致项目完成后出现资金结余情况。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06" w:name="_Toc95856174_WPSOffice_Level2"/>
      <w:bookmarkStart w:id="107" w:name="_Toc705073286_WPSOffice_Level2"/>
      <w:bookmarkStart w:id="108" w:name="_Toc27143"/>
      <w:r>
        <w:rPr>
          <w:rFonts w:hint="eastAsia" w:ascii="黑体" w:hAnsi="宋体" w:eastAsia="黑体" w:cs="黑体"/>
          <w:b w:val="0"/>
          <w:bCs w:val="0"/>
          <w:color w:val="000000"/>
          <w:kern w:val="0"/>
          <w:sz w:val="32"/>
          <w:szCs w:val="32"/>
          <w:lang w:val="en-US" w:eastAsia="zh-CN" w:bidi="ar"/>
        </w:rPr>
        <w:t>六、相关措施建议</w:t>
      </w:r>
      <w:bookmarkEnd w:id="106"/>
      <w:bookmarkEnd w:id="107"/>
      <w:bookmarkEnd w:id="108"/>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加强项目绩效宣传，按照“谁要钱，谁负责”原则，提高项目执行部门的绩效管理意识，把绩效理念融入项目执行的全过程，动态了解和掌握项目资金使用、项目实施管理以及绩效目标实现程度。</w:t>
      </w:r>
    </w:p>
    <w:p>
      <w:pPr>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jc w:val="center"/>
        <w:textAlignment w:val="auto"/>
        <w:rPr>
          <w:sz w:val="44"/>
          <w:szCs w:val="44"/>
        </w:rPr>
      </w:pPr>
      <w:bookmarkStart w:id="109" w:name="_Toc241064600_WPSOffice_Level2"/>
      <w:bookmarkStart w:id="110" w:name="_Toc1274362322_WPSOffice_Level2"/>
      <w:r>
        <w:rPr>
          <w:rFonts w:ascii="方正小标宋简体" w:hAnsi="方正小标宋简体" w:eastAsia="方正小标宋简体" w:cs="方正小标宋简体"/>
          <w:color w:val="000000"/>
          <w:kern w:val="0"/>
          <w:sz w:val="44"/>
          <w:szCs w:val="44"/>
          <w:lang w:val="en-US" w:eastAsia="zh-CN" w:bidi="ar"/>
        </w:rPr>
        <w:t>202</w:t>
      </w:r>
      <w:r>
        <w:rPr>
          <w:rFonts w:hint="eastAsia" w:ascii="方正小标宋简体" w:hAnsi="方正小标宋简体" w:eastAsia="方正小标宋简体" w:cs="方正小标宋简体"/>
          <w:color w:val="000000"/>
          <w:kern w:val="0"/>
          <w:sz w:val="44"/>
          <w:szCs w:val="44"/>
          <w:lang w:val="en-US" w:eastAsia="zh-CN" w:bidi="ar"/>
        </w:rPr>
        <w:t>3</w:t>
      </w:r>
      <w:r>
        <w:rPr>
          <w:rFonts w:ascii="方正小标宋简体" w:hAnsi="方正小标宋简体" w:eastAsia="方正小标宋简体" w:cs="方正小标宋简体"/>
          <w:color w:val="000000"/>
          <w:kern w:val="0"/>
          <w:sz w:val="44"/>
          <w:szCs w:val="44"/>
          <w:lang w:val="en-US" w:eastAsia="zh-CN" w:bidi="ar"/>
        </w:rPr>
        <w:t>年部门预算项目支出绩效自评报告</w:t>
      </w:r>
      <w:bookmarkEnd w:id="109"/>
      <w:bookmarkEnd w:id="110"/>
    </w:p>
    <w:p>
      <w:pPr>
        <w:keepNext w:val="0"/>
        <w:keepLines w:val="0"/>
        <w:pageBreakBefore w:val="0"/>
        <w:widowControl w:val="0"/>
        <w:suppressLineNumbers w:val="0"/>
        <w:kinsoku/>
        <w:wordWrap/>
        <w:overflowPunct/>
        <w:topLinePunct w:val="0"/>
        <w:autoSpaceDE/>
        <w:autoSpaceDN/>
        <w:bidi w:val="0"/>
        <w:spacing w:line="560" w:lineRule="exact"/>
        <w:ind w:left="0" w:leftChars="0"/>
        <w:jc w:val="center"/>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（乡村振兴战略帮扶队项目）</w:t>
      </w:r>
    </w:p>
    <w:p>
      <w:pPr>
        <w:pStyle w:val="11"/>
        <w:keepNext w:val="0"/>
        <w:keepLines w:val="0"/>
        <w:pageBreakBefore w:val="0"/>
        <w:widowControl w:val="0"/>
        <w:kinsoku/>
        <w:wordWrap/>
        <w:overflowPunct/>
        <w:topLinePunct w:val="0"/>
        <w:autoSpaceDE/>
        <w:autoSpaceDN/>
        <w:bidi w:val="0"/>
        <w:spacing w:after="0" w:line="560" w:lineRule="exact"/>
        <w:ind w:leftChars="0"/>
        <w:textAlignment w:val="auto"/>
        <w:rPr>
          <w:rFonts w:hint="eastAsia"/>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11" w:name="_Toc1563799174_WPSOffice_Level2"/>
      <w:bookmarkStart w:id="112" w:name="_Toc1890653829_WPSOffice_Level2"/>
      <w:bookmarkStart w:id="113" w:name="_Toc12836"/>
      <w:r>
        <w:rPr>
          <w:rFonts w:ascii="黑体" w:hAnsi="宋体" w:eastAsia="黑体" w:cs="黑体"/>
          <w:b w:val="0"/>
          <w:bCs w:val="0"/>
          <w:color w:val="000000"/>
          <w:kern w:val="0"/>
          <w:sz w:val="32"/>
          <w:szCs w:val="32"/>
          <w:lang w:val="en-US" w:eastAsia="zh-CN" w:bidi="ar"/>
        </w:rPr>
        <w:t>一、基本情况</w:t>
      </w:r>
      <w:bookmarkEnd w:id="111"/>
      <w:bookmarkEnd w:id="112"/>
      <w:bookmarkEnd w:id="113"/>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0"/>
        <w:rPr>
          <w:b w:val="0"/>
          <w:bCs w:val="0"/>
          <w:sz w:val="32"/>
          <w:szCs w:val="32"/>
        </w:rPr>
      </w:pPr>
      <w:bookmarkStart w:id="114" w:name="_Toc7393"/>
      <w:bookmarkStart w:id="115" w:name="_Toc21976"/>
      <w:bookmarkStart w:id="116" w:name="_Toc18160"/>
      <w:bookmarkStart w:id="117" w:name="_Toc22139"/>
      <w:r>
        <w:rPr>
          <w:rFonts w:ascii="楷体" w:hAnsi="楷体" w:eastAsia="楷体" w:cs="楷体"/>
          <w:b w:val="0"/>
          <w:bCs w:val="0"/>
          <w:color w:val="000000"/>
          <w:kern w:val="0"/>
          <w:sz w:val="32"/>
          <w:szCs w:val="32"/>
          <w:lang w:val="en-US" w:eastAsia="zh-CN" w:bidi="ar"/>
        </w:rPr>
        <w:t>（一）项目概况</w:t>
      </w:r>
      <w:bookmarkEnd w:id="114"/>
      <w:bookmarkEnd w:id="115"/>
      <w:bookmarkEnd w:id="116"/>
      <w:bookmarkEnd w:id="117"/>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乡村振兴战略帮扶队项目是我馆按照《中共四川省委组织部关于印发〈四川省贫困村第一书记及驻村工作队队员管理办法&gt;的通知》（川组通〔2018〕65号）文件中生活补助的规定申报的专项资金，我馆共计一个结对帮扶村，派驻一位驻村书记和一位工作队员，经费主要用于保障我馆驻村第一书记及驻村工作队员生活补助及公用经费支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0"/>
        <w:rPr>
          <w:rFonts w:hint="eastAsia" w:ascii="楷体" w:hAnsi="楷体" w:eastAsia="楷体" w:cs="楷体"/>
          <w:b w:val="0"/>
          <w:bCs w:val="0"/>
          <w:color w:val="000000"/>
          <w:kern w:val="0"/>
          <w:sz w:val="32"/>
          <w:szCs w:val="32"/>
          <w:lang w:val="en-US" w:eastAsia="zh-CN" w:bidi="ar"/>
        </w:rPr>
      </w:pPr>
      <w:bookmarkStart w:id="118" w:name="_Toc23191"/>
      <w:bookmarkStart w:id="119" w:name="_Toc10721"/>
      <w:bookmarkStart w:id="120" w:name="_Toc1391"/>
      <w:bookmarkStart w:id="121" w:name="_Toc16765"/>
      <w:r>
        <w:rPr>
          <w:rFonts w:hint="eastAsia" w:ascii="楷体" w:hAnsi="楷体" w:eastAsia="楷体" w:cs="楷体"/>
          <w:b w:val="0"/>
          <w:bCs w:val="0"/>
          <w:color w:val="000000"/>
          <w:kern w:val="0"/>
          <w:sz w:val="32"/>
          <w:szCs w:val="32"/>
          <w:lang w:val="en-US" w:eastAsia="zh-CN" w:bidi="ar"/>
        </w:rPr>
        <w:t>（二）项目实施情况</w:t>
      </w:r>
      <w:bookmarkEnd w:id="118"/>
      <w:bookmarkEnd w:id="119"/>
      <w:bookmarkEnd w:id="120"/>
      <w:bookmarkEnd w:id="121"/>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我馆按照报账制方式，第一书记及驻村队员每月按照考勤天数报销生活补贴，凭票据实报销实际产生的日常公用经费。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0"/>
        <w:rPr>
          <w:b w:val="0"/>
          <w:bCs w:val="0"/>
          <w:sz w:val="32"/>
          <w:szCs w:val="32"/>
        </w:rPr>
      </w:pPr>
      <w:bookmarkStart w:id="122" w:name="_Toc6123"/>
      <w:bookmarkStart w:id="123" w:name="_Toc15693"/>
      <w:bookmarkStart w:id="124" w:name="_Toc15198"/>
      <w:bookmarkStart w:id="125" w:name="_Toc25637"/>
      <w:r>
        <w:rPr>
          <w:rFonts w:hint="eastAsia" w:ascii="楷体" w:hAnsi="楷体" w:eastAsia="楷体" w:cs="楷体"/>
          <w:b w:val="0"/>
          <w:bCs w:val="0"/>
          <w:color w:val="000000"/>
          <w:kern w:val="0"/>
          <w:sz w:val="32"/>
          <w:szCs w:val="32"/>
          <w:lang w:val="en-US" w:eastAsia="zh-CN" w:bidi="ar"/>
        </w:rPr>
        <w:t>（三）资金投入使用情况</w:t>
      </w:r>
      <w:bookmarkEnd w:id="122"/>
      <w:bookmarkEnd w:id="123"/>
      <w:bookmarkEnd w:id="124"/>
      <w:bookmarkEnd w:id="125"/>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乡村振兴战略帮扶队项目年度安排预算3.64万元，均为财政拨款资金，预算执行数3.64万元，预算执行率为100%。</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0"/>
        <w:rPr>
          <w:b w:val="0"/>
          <w:bCs w:val="0"/>
          <w:sz w:val="32"/>
          <w:szCs w:val="32"/>
        </w:rPr>
      </w:pPr>
      <w:bookmarkStart w:id="126" w:name="_Toc22687"/>
      <w:bookmarkStart w:id="127" w:name="_Toc28478"/>
      <w:bookmarkStart w:id="128" w:name="_Toc13654"/>
      <w:bookmarkStart w:id="129" w:name="_Toc23032"/>
      <w:r>
        <w:rPr>
          <w:rFonts w:hint="eastAsia" w:ascii="楷体" w:hAnsi="楷体" w:eastAsia="楷体" w:cs="楷体"/>
          <w:b w:val="0"/>
          <w:bCs w:val="0"/>
          <w:color w:val="000000"/>
          <w:kern w:val="0"/>
          <w:sz w:val="32"/>
          <w:szCs w:val="32"/>
          <w:lang w:val="en-US" w:eastAsia="zh-CN" w:bidi="ar"/>
        </w:rPr>
        <w:t>（四）项目绩效目标</w:t>
      </w:r>
      <w:bookmarkEnd w:id="126"/>
      <w:bookmarkEnd w:id="127"/>
      <w:bookmarkEnd w:id="128"/>
      <w:bookmarkEnd w:id="129"/>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乡村振兴战略帮扶队项目年度目标为推动农村工作发展。从数量指标、质量指标、时效指标、成本指标、可持续发展指标、满意度指标6个方面编制绩效目标，并将其作为组织项目预算执行及开展绩效监控、绩效自评和绩效评价的重要依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30" w:name="_Toc961322749_WPSOffice_Level2"/>
      <w:bookmarkStart w:id="131" w:name="_Toc20835"/>
      <w:bookmarkStart w:id="132" w:name="_Toc1348328970_WPSOffice_Level2"/>
      <w:bookmarkStart w:id="133" w:name="_Toc16685"/>
      <w:bookmarkStart w:id="134" w:name="_Toc23156"/>
      <w:bookmarkStart w:id="135" w:name="_Toc22586"/>
      <w:r>
        <w:rPr>
          <w:rFonts w:hint="eastAsia" w:ascii="黑体" w:hAnsi="宋体" w:eastAsia="黑体" w:cs="黑体"/>
          <w:b w:val="0"/>
          <w:bCs w:val="0"/>
          <w:color w:val="000000"/>
          <w:kern w:val="0"/>
          <w:sz w:val="32"/>
          <w:szCs w:val="32"/>
          <w:lang w:val="en-US" w:eastAsia="zh-CN" w:bidi="ar"/>
        </w:rPr>
        <w:t>二、评价工作开展情况</w:t>
      </w:r>
      <w:bookmarkEnd w:id="130"/>
      <w:bookmarkEnd w:id="131"/>
      <w:bookmarkEnd w:id="132"/>
      <w:bookmarkEnd w:id="133"/>
      <w:bookmarkEnd w:id="134"/>
      <w:bookmarkEnd w:id="135"/>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按照文件要求，我馆对照年初绩效目标开展了自评，基本完成年初各项目标。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36" w:name="_Toc2021673452_WPSOffice_Level2"/>
      <w:bookmarkStart w:id="137" w:name="_Toc11459"/>
      <w:bookmarkStart w:id="138" w:name="_Toc1157"/>
      <w:bookmarkStart w:id="139" w:name="_Toc18859"/>
      <w:bookmarkStart w:id="140" w:name="_Toc601416872_WPSOffice_Level2"/>
      <w:bookmarkStart w:id="141" w:name="_Toc11700"/>
      <w:r>
        <w:rPr>
          <w:rFonts w:hint="eastAsia" w:ascii="黑体" w:hAnsi="宋体" w:eastAsia="黑体" w:cs="黑体"/>
          <w:b w:val="0"/>
          <w:bCs w:val="0"/>
          <w:color w:val="000000"/>
          <w:kern w:val="0"/>
          <w:sz w:val="32"/>
          <w:szCs w:val="32"/>
          <w:lang w:val="en-US" w:eastAsia="zh-CN" w:bidi="ar"/>
        </w:rPr>
        <w:t>三、综合评价结论</w:t>
      </w:r>
      <w:bookmarkEnd w:id="136"/>
      <w:bookmarkEnd w:id="137"/>
      <w:bookmarkEnd w:id="138"/>
      <w:bookmarkEnd w:id="139"/>
      <w:bookmarkEnd w:id="140"/>
      <w:bookmarkEnd w:id="141"/>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乡村振兴战略帮扶队项目支出绩效自评得分为100分，项目预算支出基本保证第一书记及驻村队员的生活补助及公费支出。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42" w:name="_Toc3507"/>
      <w:bookmarkStart w:id="143" w:name="_Toc43681897_WPSOffice_Level2"/>
      <w:bookmarkStart w:id="144" w:name="_Toc32214"/>
      <w:bookmarkStart w:id="145" w:name="_Toc31917"/>
      <w:bookmarkStart w:id="146" w:name="_Toc608360808_WPSOffice_Level2"/>
      <w:bookmarkStart w:id="147" w:name="_Toc9241"/>
      <w:r>
        <w:rPr>
          <w:rFonts w:hint="eastAsia" w:ascii="黑体" w:hAnsi="宋体" w:eastAsia="黑体" w:cs="黑体"/>
          <w:b w:val="0"/>
          <w:bCs w:val="0"/>
          <w:color w:val="000000"/>
          <w:kern w:val="0"/>
          <w:sz w:val="32"/>
          <w:szCs w:val="32"/>
          <w:lang w:val="en-US" w:eastAsia="zh-CN" w:bidi="ar"/>
        </w:rPr>
        <w:t>四、绩效评价分析</w:t>
      </w:r>
      <w:bookmarkEnd w:id="142"/>
      <w:bookmarkEnd w:id="143"/>
      <w:bookmarkEnd w:id="144"/>
      <w:bookmarkEnd w:id="145"/>
      <w:bookmarkEnd w:id="146"/>
      <w:bookmarkEnd w:id="147"/>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ascii="楷体_GB2312" w:hAnsi="宋体" w:eastAsia="楷体_GB2312" w:cs="楷体_GB2312"/>
          <w:b w:val="0"/>
          <w:bCs w:val="0"/>
          <w:color w:val="000000"/>
          <w:kern w:val="0"/>
          <w:sz w:val="32"/>
          <w:szCs w:val="32"/>
          <w:lang w:val="en-US" w:eastAsia="zh-CN" w:bidi="ar"/>
        </w:rPr>
        <w:t>（一）项目决策情况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乡村振兴战略帮扶队项目属于财政定额安排在每个单位的专项经费，主要用于支持弥补各单位驻村帮扶人员、公用经费支出，体现了本地财政对脱贫攻坚国家重大决策的落实。</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（二）项目管理情况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我馆根据驻村工作队实际情况，在保障基本生活补贴及正常工作开展的基础上，厉行节俭，严控其他支出，做到了专款专用。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（三）项目产出情况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乡村振兴战略帮扶队项目为第一书记和工作队员购买人身意外保险2份，提供体检2人，保障租房支出，按需提供办公用品，报销2人在途差旅费以及工作期间的生活补贴，不够部分从我馆公用经费中列支。</w:t>
      </w:r>
      <w:r>
        <w:rPr>
          <w:rFonts w:hint="eastAsia" w:ascii="仿宋_GB2312" w:hAnsi="宋体" w:eastAsia="仿宋_GB2312" w:cs="仿宋_GB2312"/>
          <w:b w:val="0"/>
          <w:bCs w:val="0"/>
          <w:color w:val="000000"/>
          <w:kern w:val="0"/>
          <w:sz w:val="32"/>
          <w:szCs w:val="32"/>
          <w:lang w:val="en-US"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（四）项目效益情况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乡村振兴战略帮扶队项目基本保证了驻村工作队的合理支出，为开展驻村帮扶工作提供了保障。全年工作队</w:t>
      </w:r>
      <w:r>
        <w:rPr>
          <w:rFonts w:hint="eastAsia" w:ascii="仿宋_GB2312" w:hAnsi="宋体" w:eastAsia="仿宋_GB2312" w:cs="仿宋_GB2312"/>
          <w:b w:val="0"/>
          <w:bCs w:val="0"/>
          <w:color w:val="000000"/>
          <w:kern w:val="0"/>
          <w:sz w:val="32"/>
          <w:szCs w:val="32"/>
          <w:lang w:val="ru-RU" w:eastAsia="zh-CN" w:bidi="ar"/>
        </w:rPr>
        <w:t>助力贫困户增产增收，实现稳定收入。</w:t>
      </w:r>
      <w:r>
        <w:rPr>
          <w:rFonts w:hint="eastAsia" w:ascii="仿宋_GB2312" w:hAnsi="宋体" w:eastAsia="仿宋_GB2312" w:cs="仿宋_GB2312"/>
          <w:b w:val="0"/>
          <w:bCs w:val="0"/>
          <w:color w:val="000000"/>
          <w:kern w:val="0"/>
          <w:sz w:val="32"/>
          <w:szCs w:val="32"/>
          <w:lang w:val="en-US" w:eastAsia="zh-CN" w:bidi="ar"/>
        </w:rPr>
        <w:t>全年未收到贫困户不满意投诉，群众口碑较好。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48" w:name="_Toc1232148357_WPSOffice_Level2"/>
      <w:bookmarkStart w:id="149" w:name="_Toc8200"/>
      <w:bookmarkStart w:id="150" w:name="_Toc10693"/>
      <w:bookmarkStart w:id="151" w:name="_Toc1109630226_WPSOffice_Level2"/>
      <w:bookmarkStart w:id="152" w:name="_Toc26686"/>
      <w:bookmarkStart w:id="153" w:name="_Toc16731"/>
      <w:r>
        <w:rPr>
          <w:rFonts w:hint="eastAsia" w:ascii="黑体" w:hAnsi="宋体" w:eastAsia="黑体" w:cs="黑体"/>
          <w:b w:val="0"/>
          <w:bCs w:val="0"/>
          <w:color w:val="000000"/>
          <w:kern w:val="0"/>
          <w:sz w:val="32"/>
          <w:szCs w:val="32"/>
          <w:lang w:val="en-US" w:eastAsia="zh-CN" w:bidi="ar"/>
        </w:rPr>
        <w:t>五、存在主要问题</w:t>
      </w:r>
      <w:bookmarkEnd w:id="148"/>
      <w:bookmarkEnd w:id="149"/>
      <w:bookmarkEnd w:id="150"/>
      <w:bookmarkEnd w:id="151"/>
      <w:bookmarkEnd w:id="152"/>
      <w:bookmarkEnd w:id="153"/>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54" w:name="_Toc18029"/>
      <w:bookmarkStart w:id="155" w:name="_Toc17166"/>
      <w:bookmarkStart w:id="156" w:name="_Toc1931333405_WPSOffice_Level2"/>
      <w:bookmarkStart w:id="157" w:name="_Toc4539"/>
      <w:bookmarkStart w:id="158" w:name="_Toc1546745825_WPSOffice_Level2"/>
      <w:bookmarkStart w:id="159" w:name="_Toc31086"/>
      <w:r>
        <w:rPr>
          <w:rFonts w:hint="eastAsia" w:ascii="黑体" w:hAnsi="宋体" w:eastAsia="黑体" w:cs="黑体"/>
          <w:b w:val="0"/>
          <w:bCs w:val="0"/>
          <w:color w:val="000000"/>
          <w:kern w:val="0"/>
          <w:sz w:val="32"/>
          <w:szCs w:val="32"/>
          <w:lang w:val="en-US" w:eastAsia="zh-CN" w:bidi="ar"/>
        </w:rPr>
        <w:t>六、相关措施建议</w:t>
      </w:r>
      <w:bookmarkEnd w:id="154"/>
      <w:bookmarkEnd w:id="155"/>
      <w:bookmarkEnd w:id="156"/>
      <w:bookmarkEnd w:id="157"/>
      <w:bookmarkEnd w:id="158"/>
      <w:bookmarkEnd w:id="159"/>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无。</w:t>
      </w:r>
    </w:p>
    <w:p>
      <w:pPr>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jc w:val="center"/>
        <w:textAlignment w:val="auto"/>
        <w:rPr>
          <w:sz w:val="44"/>
          <w:szCs w:val="44"/>
        </w:rPr>
      </w:pPr>
      <w:bookmarkStart w:id="160" w:name="_Toc1000267107_WPSOffice_Level2"/>
      <w:bookmarkStart w:id="161" w:name="_Toc1108660148_WPSOffice_Level2"/>
      <w:r>
        <w:rPr>
          <w:rFonts w:ascii="方正小标宋简体" w:hAnsi="方正小标宋简体" w:eastAsia="方正小标宋简体" w:cs="方正小标宋简体"/>
          <w:color w:val="000000"/>
          <w:kern w:val="0"/>
          <w:sz w:val="44"/>
          <w:szCs w:val="44"/>
          <w:lang w:val="en-US" w:eastAsia="zh-CN" w:bidi="ar"/>
        </w:rPr>
        <w:t>202</w:t>
      </w:r>
      <w:r>
        <w:rPr>
          <w:rFonts w:hint="eastAsia" w:ascii="方正小标宋简体" w:hAnsi="方正小标宋简体" w:eastAsia="方正小标宋简体" w:cs="方正小标宋简体"/>
          <w:color w:val="000000"/>
          <w:kern w:val="0"/>
          <w:sz w:val="44"/>
          <w:szCs w:val="44"/>
          <w:lang w:val="en-US" w:eastAsia="zh-CN" w:bidi="ar"/>
        </w:rPr>
        <w:t>3</w:t>
      </w:r>
      <w:r>
        <w:rPr>
          <w:rFonts w:ascii="方正小标宋简体" w:hAnsi="方正小标宋简体" w:eastAsia="方正小标宋简体" w:cs="方正小标宋简体"/>
          <w:color w:val="000000"/>
          <w:kern w:val="0"/>
          <w:sz w:val="44"/>
          <w:szCs w:val="44"/>
          <w:lang w:val="en-US" w:eastAsia="zh-CN" w:bidi="ar"/>
        </w:rPr>
        <w:t>年部门预算项目支出绩效自评报告</w:t>
      </w:r>
      <w:bookmarkEnd w:id="160"/>
      <w:bookmarkEnd w:id="161"/>
    </w:p>
    <w:p>
      <w:pPr>
        <w:keepNext w:val="0"/>
        <w:keepLines w:val="0"/>
        <w:pageBreakBefore w:val="0"/>
        <w:widowControl w:val="0"/>
        <w:suppressLineNumbers w:val="0"/>
        <w:kinsoku/>
        <w:wordWrap/>
        <w:overflowPunct/>
        <w:topLinePunct w:val="0"/>
        <w:autoSpaceDE/>
        <w:autoSpaceDN/>
        <w:bidi w:val="0"/>
        <w:spacing w:line="560" w:lineRule="exact"/>
        <w:ind w:left="0" w:leftChars="0"/>
        <w:jc w:val="center"/>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（档案保管保护与开发项目）</w:t>
      </w:r>
    </w:p>
    <w:p>
      <w:pPr>
        <w:pStyle w:val="11"/>
        <w:keepNext w:val="0"/>
        <w:keepLines w:val="0"/>
        <w:pageBreakBefore w:val="0"/>
        <w:widowControl w:val="0"/>
        <w:kinsoku/>
        <w:wordWrap/>
        <w:overflowPunct/>
        <w:topLinePunct w:val="0"/>
        <w:autoSpaceDE/>
        <w:autoSpaceDN/>
        <w:bidi w:val="0"/>
        <w:spacing w:after="0" w:line="560" w:lineRule="exact"/>
        <w:ind w:leftChars="0"/>
        <w:textAlignment w:val="auto"/>
        <w:rPr>
          <w:rFonts w:hint="eastAsia" w:ascii="楷体_GB2312" w:hAnsi="楷体_GB2312" w:eastAsia="楷体_GB2312" w:cs="楷体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62" w:name="_Toc432756851_WPSOffice_Level2"/>
      <w:bookmarkStart w:id="163" w:name="_Toc11806"/>
      <w:bookmarkStart w:id="164" w:name="_Toc1597916917_WPSOffice_Level2"/>
      <w:r>
        <w:rPr>
          <w:rFonts w:ascii="黑体" w:hAnsi="宋体" w:eastAsia="黑体" w:cs="黑体"/>
          <w:b w:val="0"/>
          <w:bCs w:val="0"/>
          <w:color w:val="000000"/>
          <w:kern w:val="0"/>
          <w:sz w:val="32"/>
          <w:szCs w:val="32"/>
          <w:lang w:val="en-US" w:eastAsia="zh-CN" w:bidi="ar"/>
        </w:rPr>
        <w:t>一、基本情况</w:t>
      </w:r>
      <w:bookmarkEnd w:id="162"/>
      <w:bookmarkEnd w:id="163"/>
      <w:bookmarkEnd w:id="164"/>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ascii="楷体" w:hAnsi="楷体" w:eastAsia="楷体" w:cs="楷体"/>
          <w:b w:val="0"/>
          <w:bCs w:val="0"/>
          <w:color w:val="000000"/>
          <w:kern w:val="0"/>
          <w:sz w:val="32"/>
          <w:szCs w:val="32"/>
          <w:lang w:val="en-US" w:eastAsia="zh-CN" w:bidi="ar"/>
        </w:rPr>
        <w:t>（一）项目概况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eastAsia="仿宋_GB2312"/>
          <w:b w:val="0"/>
          <w:bCs w:val="0"/>
          <w:sz w:val="32"/>
          <w:szCs w:val="32"/>
          <w:lang w:eastAsia="zh-CN"/>
        </w:rPr>
      </w:pPr>
      <w:r>
        <w:rPr>
          <w:rFonts w:hint="eastAsia" w:ascii="仿宋_GB2312" w:hAnsi="宋体" w:eastAsia="仿宋_GB2312" w:cs="仿宋_GB2312"/>
          <w:b w:val="0"/>
          <w:bCs w:val="0"/>
          <w:color w:val="000000"/>
          <w:kern w:val="0"/>
          <w:sz w:val="32"/>
          <w:szCs w:val="32"/>
          <w:lang w:val="en-US" w:eastAsia="zh-CN" w:bidi="ar"/>
        </w:rPr>
        <w:t>档案保管保护与开发项目是市</w:t>
      </w:r>
      <w:r>
        <w:rPr>
          <w:rFonts w:ascii="仿宋_GB2312" w:hAnsi="宋体" w:eastAsia="仿宋_GB2312" w:cs="仿宋_GB2312"/>
          <w:b w:val="0"/>
          <w:bCs w:val="0"/>
          <w:color w:val="000000"/>
          <w:kern w:val="0"/>
          <w:sz w:val="32"/>
          <w:szCs w:val="32"/>
          <w:lang w:val="en-US" w:eastAsia="zh-CN" w:bidi="ar"/>
        </w:rPr>
        <w:t>档案馆常年延续性项目，</w:t>
      </w:r>
      <w:r>
        <w:rPr>
          <w:rFonts w:hint="eastAsia" w:ascii="仿宋_GB2312" w:hAnsi="宋体" w:eastAsia="仿宋_GB2312" w:cs="仿宋_GB2312"/>
          <w:b w:val="0"/>
          <w:bCs w:val="0"/>
          <w:color w:val="000000"/>
          <w:kern w:val="0"/>
          <w:sz w:val="32"/>
          <w:szCs w:val="32"/>
          <w:lang w:val="en-US" w:eastAsia="zh-CN" w:bidi="ar"/>
        </w:rPr>
        <w:t>根据《档案法》等法律法规要求设立，重点用于实体、电子档案的安全保护，档案的</w:t>
      </w:r>
      <w:r>
        <w:rPr>
          <w:rFonts w:hint="eastAsia" w:ascii="仿宋_GB2312" w:hAnsi="仿宋_GB2312" w:eastAsia="仿宋_GB2312" w:cs="仿宋_GB2312"/>
          <w:b w:val="0"/>
          <w:bCs w:val="0"/>
          <w:sz w:val="32"/>
          <w:szCs w:val="32"/>
        </w:rPr>
        <w:t>整理、鉴定、保管、保护、解密、划控、开放和销毁工作</w:t>
      </w:r>
      <w:r>
        <w:rPr>
          <w:rFonts w:hint="eastAsia" w:ascii="仿宋_GB2312" w:hAnsi="仿宋_GB2312" w:eastAsia="仿宋_GB2312" w:cs="仿宋_GB2312"/>
          <w:b w:val="0"/>
          <w:bCs w:val="0"/>
          <w:sz w:val="32"/>
          <w:szCs w:val="32"/>
          <w:lang w:eastAsia="zh-CN"/>
        </w:rPr>
        <w:t>等具体业务工作，今年的重点任务是部分档案数字化加工、目录数据库维护升级、档案库房设施设备维护更新、民国档案著录和编研开发。</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（二）项目实施情况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b w:val="0"/>
          <w:bCs w:val="0"/>
          <w:sz w:val="32"/>
          <w:szCs w:val="32"/>
          <w:lang w:val="en-US" w:eastAsia="zh-CN"/>
        </w:rPr>
      </w:pPr>
      <w:r>
        <w:rPr>
          <w:rFonts w:hint="eastAsia" w:ascii="仿宋_GB2312" w:hAnsi="宋体" w:eastAsia="仿宋_GB2312" w:cs="仿宋_GB2312"/>
          <w:b w:val="0"/>
          <w:bCs w:val="0"/>
          <w:color w:val="000000"/>
          <w:kern w:val="0"/>
          <w:sz w:val="32"/>
          <w:szCs w:val="32"/>
          <w:lang w:val="en-US" w:eastAsia="zh-CN" w:bidi="ar"/>
        </w:rPr>
        <w:t>档案保管保护与开发项目</w:t>
      </w:r>
      <w:r>
        <w:rPr>
          <w:rFonts w:ascii="仿宋_GB2312" w:hAnsi="宋体" w:eastAsia="仿宋_GB2312" w:cs="仿宋_GB2312"/>
          <w:b w:val="0"/>
          <w:bCs w:val="0"/>
          <w:color w:val="000000"/>
          <w:kern w:val="0"/>
          <w:sz w:val="32"/>
          <w:szCs w:val="32"/>
          <w:lang w:val="en-US" w:eastAsia="zh-CN" w:bidi="ar"/>
        </w:rPr>
        <w:t>相关工作有序开展，</w:t>
      </w:r>
      <w:r>
        <w:rPr>
          <w:rFonts w:hint="eastAsia" w:ascii="仿宋_GB2312" w:hAnsi="宋体" w:eastAsia="仿宋_GB2312" w:cs="仿宋_GB2312"/>
          <w:b w:val="0"/>
          <w:bCs w:val="0"/>
          <w:color w:val="000000"/>
          <w:kern w:val="0"/>
          <w:sz w:val="32"/>
          <w:szCs w:val="32"/>
          <w:lang w:val="en-US" w:eastAsia="zh-CN" w:bidi="ar"/>
        </w:rPr>
        <w:t>按照既定绩效目标逐步完成，基本保障了档案库房的安全运转。</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 w:hAnsi="楷体" w:eastAsia="楷体" w:cs="楷体"/>
          <w:b w:val="0"/>
          <w:bCs w:val="0"/>
          <w:color w:val="000000"/>
          <w:kern w:val="0"/>
          <w:sz w:val="32"/>
          <w:szCs w:val="32"/>
          <w:lang w:val="en-US" w:eastAsia="zh-CN" w:bidi="ar"/>
        </w:rPr>
        <w:t xml:space="preserve">（三）资金投入使用情况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档案保管保护与开发项目年度安排预算36.58万元，均为财政拨款资金，预算执行数36.58万元，预算执行率为100%。</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 w:hAnsi="楷体" w:eastAsia="楷体" w:cs="楷体"/>
          <w:b w:val="0"/>
          <w:bCs w:val="0"/>
          <w:color w:val="000000"/>
          <w:kern w:val="0"/>
          <w:sz w:val="32"/>
          <w:szCs w:val="32"/>
          <w:lang w:val="en-US" w:eastAsia="zh-CN" w:bidi="ar"/>
        </w:rPr>
        <w:t>（四）项目绩效目标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档案保管保护与开发项目年度目标为充分利用档案资源服务社会。从数量指标、质量指标、时效指标、成本指标、可持续发展指标、满意度指标6个方面编制绩效目标，将其作为组织项目预算执行及开展绩效监控、绩效自评和绩效评价的重要依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65" w:name="_Toc1372935711_WPSOffice_Level2"/>
      <w:bookmarkStart w:id="166" w:name="_Toc624144185_WPSOffice_Level2"/>
      <w:bookmarkStart w:id="167" w:name="_Toc5129"/>
      <w:r>
        <w:rPr>
          <w:rFonts w:hint="eastAsia" w:ascii="黑体" w:hAnsi="宋体" w:eastAsia="黑体" w:cs="黑体"/>
          <w:b w:val="0"/>
          <w:bCs w:val="0"/>
          <w:color w:val="000000"/>
          <w:kern w:val="0"/>
          <w:sz w:val="32"/>
          <w:szCs w:val="32"/>
          <w:lang w:val="en-US" w:eastAsia="zh-CN" w:bidi="ar"/>
        </w:rPr>
        <w:t>二、评价工作开展情况</w:t>
      </w:r>
      <w:bookmarkEnd w:id="165"/>
      <w:bookmarkEnd w:id="166"/>
      <w:bookmarkEnd w:id="167"/>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按照文件要求，市档案馆对照年初绩效目标开展了自评，基本完成年初各项目标。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68" w:name="_Toc194226145_WPSOffice_Level2"/>
      <w:bookmarkStart w:id="169" w:name="_Toc2073424308_WPSOffice_Level2"/>
      <w:bookmarkStart w:id="170" w:name="_Toc17989"/>
      <w:r>
        <w:rPr>
          <w:rFonts w:hint="eastAsia" w:ascii="黑体" w:hAnsi="宋体" w:eastAsia="黑体" w:cs="黑体"/>
          <w:b w:val="0"/>
          <w:bCs w:val="0"/>
          <w:color w:val="000000"/>
          <w:kern w:val="0"/>
          <w:sz w:val="32"/>
          <w:szCs w:val="32"/>
          <w:lang w:val="en-US" w:eastAsia="zh-CN" w:bidi="ar"/>
        </w:rPr>
        <w:t>三、综合评价结论</w:t>
      </w:r>
      <w:bookmarkEnd w:id="168"/>
      <w:bookmarkEnd w:id="169"/>
      <w:bookmarkEnd w:id="170"/>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档案保管保护与开发项目支出绩效自评得分100分，基本完成年初绩效目标。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71" w:name="_Toc29638"/>
      <w:bookmarkStart w:id="172" w:name="_Toc2137374775_WPSOffice_Level2"/>
      <w:bookmarkStart w:id="173" w:name="_Toc1837728105_WPSOffice_Level2"/>
      <w:r>
        <w:rPr>
          <w:rFonts w:hint="eastAsia" w:ascii="黑体" w:hAnsi="宋体" w:eastAsia="黑体" w:cs="黑体"/>
          <w:b w:val="0"/>
          <w:bCs w:val="0"/>
          <w:color w:val="000000"/>
          <w:kern w:val="0"/>
          <w:sz w:val="32"/>
          <w:szCs w:val="32"/>
          <w:lang w:val="en-US" w:eastAsia="zh-CN" w:bidi="ar"/>
        </w:rPr>
        <w:t>四、绩效评价分析</w:t>
      </w:r>
      <w:bookmarkEnd w:id="171"/>
      <w:bookmarkEnd w:id="172"/>
      <w:bookmarkEnd w:id="173"/>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ascii="楷体_GB2312" w:hAnsi="宋体" w:eastAsia="楷体_GB2312" w:cs="楷体_GB2312"/>
          <w:b w:val="0"/>
          <w:bCs w:val="0"/>
          <w:color w:val="000000"/>
          <w:kern w:val="0"/>
          <w:sz w:val="32"/>
          <w:szCs w:val="32"/>
          <w:lang w:val="en-US" w:eastAsia="zh-CN" w:bidi="ar"/>
        </w:rPr>
        <w:t xml:space="preserve">（一）项目决策情况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color w:val="auto"/>
          <w:sz w:val="32"/>
          <w:szCs w:val="32"/>
        </w:rPr>
      </w:pPr>
      <w:r>
        <w:rPr>
          <w:rFonts w:hint="eastAsia" w:ascii="仿宋_GB2312" w:hAnsi="宋体" w:eastAsia="仿宋_GB2312" w:cs="仿宋_GB2312"/>
          <w:b w:val="0"/>
          <w:bCs w:val="0"/>
          <w:color w:val="000000"/>
          <w:kern w:val="0"/>
          <w:sz w:val="32"/>
          <w:szCs w:val="32"/>
          <w:lang w:val="en-US" w:eastAsia="zh-CN" w:bidi="ar"/>
        </w:rPr>
        <w:t>档案保管保护与开发项目</w:t>
      </w:r>
      <w:r>
        <w:rPr>
          <w:rFonts w:hint="eastAsia" w:ascii="仿宋_GB2312" w:hAnsi="宋体" w:eastAsia="仿宋_GB2312" w:cs="仿宋_GB2312"/>
          <w:b w:val="0"/>
          <w:bCs w:val="0"/>
          <w:color w:val="auto"/>
          <w:kern w:val="0"/>
          <w:sz w:val="32"/>
          <w:szCs w:val="32"/>
          <w:lang w:val="en-US" w:eastAsia="zh-CN" w:bidi="ar"/>
        </w:rPr>
        <w:t>的设立经过严格评估论证与部门职责相符，属于公共财政支持范围，与相关部门同类项目或部门内部项目不重复。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（二）项目管理情况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 xml:space="preserve">项目资金预算批复以后，按照绩效目标，我馆明确责任科室，分解各重点任务，项目执行过程中，由办公室牵头对各项目的实施进度、内容、支出情况进行监控，将结果及时上报分管领导和主管领导，保证项目按照绩效目标有序进行。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（三）项目产出情况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档案保管保护与开发项目严格按照档案各项业务标准制定项目方案，基本完成各项产出目标，较好完成了项目绩效目标要求。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（四）项目效益情况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通过对档案的接受征集、保管保护和开发利用，有利于丰富馆藏资源，进一步提升档案资源的利用率，延长档案的使用寿命，能够使档案更好的为群众服务，为下一步档案信息化建设奠定了基础，极大地促进了档案事业的发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74" w:name="_Toc1555191747_WPSOffice_Level2"/>
      <w:bookmarkStart w:id="175" w:name="_Toc3603"/>
      <w:bookmarkStart w:id="176" w:name="_Toc58318963_WPSOffice_Level2"/>
      <w:r>
        <w:rPr>
          <w:rFonts w:hint="eastAsia" w:ascii="黑体" w:hAnsi="宋体" w:eastAsia="黑体" w:cs="黑体"/>
          <w:b w:val="0"/>
          <w:bCs w:val="0"/>
          <w:color w:val="000000"/>
          <w:kern w:val="0"/>
          <w:sz w:val="32"/>
          <w:szCs w:val="32"/>
          <w:lang w:val="en-US" w:eastAsia="zh-CN" w:bidi="ar"/>
        </w:rPr>
        <w:t>五、存在主要问题</w:t>
      </w:r>
      <w:bookmarkEnd w:id="174"/>
      <w:bookmarkEnd w:id="175"/>
      <w:bookmarkEnd w:id="176"/>
      <w:r>
        <w:rPr>
          <w:rFonts w:hint="eastAsia" w:ascii="黑体" w:hAnsi="宋体" w:eastAsia="黑体" w:cs="黑体"/>
          <w:b w:val="0"/>
          <w:bCs w:val="0"/>
          <w:color w:val="000000"/>
          <w:kern w:val="0"/>
          <w:sz w:val="32"/>
          <w:szCs w:val="32"/>
          <w:lang w:val="en-US" w:eastAsia="zh-CN" w:bidi="ar"/>
        </w:rPr>
        <w:t xml:space="preserve"> </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77" w:name="_Toc1297812762_WPSOffice_Level2"/>
      <w:bookmarkStart w:id="178" w:name="_Toc1469173202_WPSOffice_Level2"/>
      <w:bookmarkStart w:id="179" w:name="_Toc18539"/>
      <w:r>
        <w:rPr>
          <w:rFonts w:hint="eastAsia" w:ascii="黑体" w:hAnsi="宋体" w:eastAsia="黑体" w:cs="黑体"/>
          <w:b w:val="0"/>
          <w:bCs w:val="0"/>
          <w:color w:val="000000"/>
          <w:kern w:val="0"/>
          <w:sz w:val="32"/>
          <w:szCs w:val="32"/>
          <w:lang w:val="en-US" w:eastAsia="zh-CN" w:bidi="ar"/>
        </w:rPr>
        <w:t>六、相关措施建议</w:t>
      </w:r>
      <w:bookmarkEnd w:id="177"/>
      <w:bookmarkEnd w:id="178"/>
      <w:bookmarkEnd w:id="179"/>
      <w:r>
        <w:rPr>
          <w:rFonts w:hint="eastAsia" w:ascii="黑体" w:hAnsi="宋体" w:eastAsia="黑体" w:cs="黑体"/>
          <w:b w:val="0"/>
          <w:bCs w:val="0"/>
          <w:color w:val="000000"/>
          <w:kern w:val="0"/>
          <w:sz w:val="32"/>
          <w:szCs w:val="32"/>
          <w:lang w:val="en-US" w:eastAsia="zh-CN" w:bidi="ar"/>
        </w:rPr>
        <w:t xml:space="preserve"> </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无。</w:t>
      </w:r>
    </w:p>
    <w:p>
      <w:pPr>
        <w:rPr>
          <w:sz w:val="32"/>
          <w:szCs w:val="32"/>
        </w:rPr>
      </w:pPr>
      <w:r>
        <w:rPr>
          <w:sz w:val="32"/>
          <w:szCs w:val="32"/>
        </w:rPr>
        <w:br w:type="page"/>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jc w:val="center"/>
        <w:textAlignment w:val="auto"/>
        <w:rPr>
          <w:sz w:val="44"/>
          <w:szCs w:val="44"/>
        </w:rPr>
      </w:pPr>
      <w:bookmarkStart w:id="180" w:name="_Toc1172355512_WPSOffice_Level2"/>
      <w:bookmarkStart w:id="181" w:name="_Toc1547307618_WPSOffice_Level2"/>
      <w:r>
        <w:rPr>
          <w:rFonts w:ascii="方正小标宋简体" w:hAnsi="方正小标宋简体" w:eastAsia="方正小标宋简体" w:cs="方正小标宋简体"/>
          <w:color w:val="000000"/>
          <w:kern w:val="0"/>
          <w:sz w:val="44"/>
          <w:szCs w:val="44"/>
          <w:lang w:val="en-US" w:eastAsia="zh-CN" w:bidi="ar"/>
        </w:rPr>
        <w:t>202</w:t>
      </w:r>
      <w:r>
        <w:rPr>
          <w:rFonts w:hint="eastAsia" w:ascii="方正小标宋简体" w:hAnsi="方正小标宋简体" w:eastAsia="方正小标宋简体" w:cs="方正小标宋简体"/>
          <w:color w:val="000000"/>
          <w:kern w:val="0"/>
          <w:sz w:val="44"/>
          <w:szCs w:val="44"/>
          <w:lang w:val="en-US" w:eastAsia="zh-CN" w:bidi="ar"/>
        </w:rPr>
        <w:t>3</w:t>
      </w:r>
      <w:r>
        <w:rPr>
          <w:rFonts w:ascii="方正小标宋简体" w:hAnsi="方正小标宋简体" w:eastAsia="方正小标宋简体" w:cs="方正小标宋简体"/>
          <w:color w:val="000000"/>
          <w:kern w:val="0"/>
          <w:sz w:val="44"/>
          <w:szCs w:val="44"/>
          <w:lang w:val="en-US" w:eastAsia="zh-CN" w:bidi="ar"/>
        </w:rPr>
        <w:t>年部门预算项目支出绩效自评报告</w:t>
      </w:r>
      <w:bookmarkEnd w:id="180"/>
      <w:bookmarkEnd w:id="181"/>
    </w:p>
    <w:p>
      <w:pPr>
        <w:keepNext w:val="0"/>
        <w:keepLines w:val="0"/>
        <w:pageBreakBefore w:val="0"/>
        <w:widowControl w:val="0"/>
        <w:suppressLineNumbers w:val="0"/>
        <w:kinsoku/>
        <w:wordWrap/>
        <w:overflowPunct/>
        <w:topLinePunct w:val="0"/>
        <w:autoSpaceDE/>
        <w:autoSpaceDN/>
        <w:bidi w:val="0"/>
        <w:spacing w:line="560" w:lineRule="exact"/>
        <w:ind w:left="0" w:leftChars="0"/>
        <w:jc w:val="center"/>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（档案规范工作经费）</w:t>
      </w:r>
    </w:p>
    <w:p>
      <w:pPr>
        <w:pStyle w:val="11"/>
        <w:keepNext w:val="0"/>
        <w:keepLines w:val="0"/>
        <w:pageBreakBefore w:val="0"/>
        <w:widowControl w:val="0"/>
        <w:kinsoku/>
        <w:wordWrap/>
        <w:overflowPunct/>
        <w:topLinePunct w:val="0"/>
        <w:autoSpaceDE/>
        <w:autoSpaceDN/>
        <w:bidi w:val="0"/>
        <w:spacing w:after="0" w:line="560" w:lineRule="exact"/>
        <w:ind w:leftChars="0"/>
        <w:textAlignment w:val="auto"/>
        <w:rPr>
          <w:rFonts w:hint="eastAsia" w:ascii="楷体_GB2312" w:hAnsi="楷体_GB2312" w:eastAsia="楷体_GB2312" w:cs="楷体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82" w:name="_Toc639749913_WPSOffice_Level2"/>
      <w:bookmarkStart w:id="183" w:name="_Toc26779"/>
      <w:bookmarkStart w:id="184" w:name="_Toc1811590744_WPSOffice_Level2"/>
      <w:r>
        <w:rPr>
          <w:rFonts w:ascii="黑体" w:hAnsi="宋体" w:eastAsia="黑体" w:cs="黑体"/>
          <w:b w:val="0"/>
          <w:bCs w:val="0"/>
          <w:color w:val="000000"/>
          <w:kern w:val="0"/>
          <w:sz w:val="32"/>
          <w:szCs w:val="32"/>
          <w:lang w:val="en-US" w:eastAsia="zh-CN" w:bidi="ar"/>
        </w:rPr>
        <w:t>一、基本情况</w:t>
      </w:r>
      <w:bookmarkEnd w:id="182"/>
      <w:bookmarkEnd w:id="183"/>
      <w:bookmarkEnd w:id="184"/>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ascii="楷体" w:hAnsi="楷体" w:eastAsia="楷体" w:cs="楷体"/>
          <w:b w:val="0"/>
          <w:bCs w:val="0"/>
          <w:color w:val="000000"/>
          <w:kern w:val="0"/>
          <w:sz w:val="32"/>
          <w:szCs w:val="32"/>
          <w:lang w:val="en-US" w:eastAsia="zh-CN" w:bidi="ar"/>
        </w:rPr>
        <w:t>（一）项目概况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eastAsia="仿宋_GB2312"/>
          <w:b w:val="0"/>
          <w:bCs w:val="0"/>
          <w:sz w:val="32"/>
          <w:szCs w:val="32"/>
          <w:lang w:eastAsia="zh-CN"/>
        </w:rPr>
      </w:pPr>
      <w:r>
        <w:rPr>
          <w:rFonts w:hint="eastAsia" w:ascii="仿宋_GB2312" w:hAnsi="宋体" w:eastAsia="仿宋_GB2312" w:cs="仿宋_GB2312"/>
          <w:b w:val="0"/>
          <w:bCs w:val="0"/>
          <w:color w:val="000000"/>
          <w:kern w:val="0"/>
          <w:sz w:val="32"/>
          <w:szCs w:val="32"/>
          <w:lang w:val="en-US" w:eastAsia="zh-CN" w:bidi="ar"/>
        </w:rPr>
        <w:t>档案规范工作经费是我馆根据档案业务工作实际情况，申请用于寄存档案规范化整理的项目经费，重点用于寄存会计档案的清理整理</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（二）项目实施情况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对14楼库房存放的约12万卷会计类档案开展了清理整理和排序上架工作。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 w:hAnsi="楷体" w:eastAsia="楷体" w:cs="楷体"/>
          <w:b w:val="0"/>
          <w:bCs w:val="0"/>
          <w:color w:val="000000"/>
          <w:kern w:val="0"/>
          <w:sz w:val="32"/>
          <w:szCs w:val="32"/>
          <w:lang w:val="en-US" w:eastAsia="zh-CN" w:bidi="ar"/>
        </w:rPr>
        <w:t>（三）资金投入使用情况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档案规范工作经费年度安排预10万元，均为财政拨款资金，预算执行数10万元，预算执行率为100%。</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 w:hAnsi="楷体" w:eastAsia="楷体" w:cs="楷体"/>
          <w:b w:val="0"/>
          <w:bCs w:val="0"/>
          <w:color w:val="000000"/>
          <w:kern w:val="0"/>
          <w:sz w:val="32"/>
          <w:szCs w:val="32"/>
          <w:lang w:val="en-US" w:eastAsia="zh-CN" w:bidi="ar"/>
        </w:rPr>
        <w:t>（四）项目绩效目标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档案规范工作经费年度目标为规范整理档案，实现安全保管，充分发挥社会功能。在编制项目绩效目标时从数量指标、质量指标、时效指标、成本指标、可持续发展指标、满意度指标6个方面全面细化指标，并将其作为组织项目预算执行及开展绩效监控、绩效自评和绩效评价的重要依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85" w:name="_Toc1426995485_WPSOffice_Level2"/>
      <w:bookmarkStart w:id="186" w:name="_Toc55088132_WPSOffice_Level2"/>
      <w:bookmarkStart w:id="187" w:name="_Toc6553"/>
      <w:r>
        <w:rPr>
          <w:rFonts w:hint="eastAsia" w:ascii="黑体" w:hAnsi="宋体" w:eastAsia="黑体" w:cs="黑体"/>
          <w:b w:val="0"/>
          <w:bCs w:val="0"/>
          <w:color w:val="000000"/>
          <w:kern w:val="0"/>
          <w:sz w:val="32"/>
          <w:szCs w:val="32"/>
          <w:lang w:val="en-US" w:eastAsia="zh-CN" w:bidi="ar"/>
        </w:rPr>
        <w:t>二、评价工作开展情况</w:t>
      </w:r>
      <w:bookmarkEnd w:id="185"/>
      <w:bookmarkEnd w:id="186"/>
      <w:bookmarkEnd w:id="187"/>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按照文件要求，市档案馆对照年初绩效目标开展了自评，基本完成年初各项目标。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88" w:name="_Toc1821054421_WPSOffice_Level2"/>
      <w:bookmarkStart w:id="189" w:name="_Toc1320415354_WPSOffice_Level2"/>
      <w:bookmarkStart w:id="190" w:name="_Toc5221"/>
      <w:r>
        <w:rPr>
          <w:rFonts w:hint="eastAsia" w:ascii="黑体" w:hAnsi="宋体" w:eastAsia="黑体" w:cs="黑体"/>
          <w:b w:val="0"/>
          <w:bCs w:val="0"/>
          <w:color w:val="000000"/>
          <w:kern w:val="0"/>
          <w:sz w:val="32"/>
          <w:szCs w:val="32"/>
          <w:lang w:val="en-US" w:eastAsia="zh-CN" w:bidi="ar"/>
        </w:rPr>
        <w:t>三、综合评价结论</w:t>
      </w:r>
      <w:bookmarkEnd w:id="188"/>
      <w:bookmarkEnd w:id="189"/>
      <w:bookmarkEnd w:id="190"/>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档案规范工作经费支出绩效自评得分100分，基本完成年初绩效目标。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b w:val="0"/>
          <w:bCs w:val="0"/>
          <w:sz w:val="32"/>
          <w:szCs w:val="32"/>
        </w:rPr>
      </w:pPr>
      <w:bookmarkStart w:id="191" w:name="_Toc29533"/>
      <w:bookmarkStart w:id="192" w:name="_Toc496821385_WPSOffice_Level2"/>
      <w:bookmarkStart w:id="193" w:name="_Toc1624129809_WPSOffice_Level2"/>
      <w:r>
        <w:rPr>
          <w:rFonts w:hint="eastAsia" w:ascii="黑体" w:hAnsi="宋体" w:eastAsia="黑体" w:cs="黑体"/>
          <w:b w:val="0"/>
          <w:bCs w:val="0"/>
          <w:color w:val="000000"/>
          <w:kern w:val="0"/>
          <w:sz w:val="32"/>
          <w:szCs w:val="32"/>
          <w:lang w:val="en-US" w:eastAsia="zh-CN" w:bidi="ar"/>
        </w:rPr>
        <w:t>四、绩效评价分析</w:t>
      </w:r>
      <w:bookmarkEnd w:id="191"/>
      <w:bookmarkEnd w:id="192"/>
      <w:bookmarkEnd w:id="193"/>
      <w:r>
        <w:rPr>
          <w:rFonts w:hint="eastAsia" w:ascii="黑体" w:hAnsi="宋体" w:eastAsia="黑体" w:cs="黑体"/>
          <w:b w:val="0"/>
          <w:bCs w:val="0"/>
          <w:color w:val="00000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ascii="楷体_GB2312" w:hAnsi="宋体" w:eastAsia="楷体_GB2312" w:cs="楷体_GB2312"/>
          <w:b w:val="0"/>
          <w:bCs w:val="0"/>
          <w:color w:val="000000"/>
          <w:kern w:val="0"/>
          <w:sz w:val="32"/>
          <w:szCs w:val="32"/>
          <w:lang w:val="en-US" w:eastAsia="zh-CN" w:bidi="ar"/>
        </w:rPr>
        <w:t xml:space="preserve">（一）项目决策情况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color w:val="auto"/>
          <w:sz w:val="32"/>
          <w:szCs w:val="32"/>
        </w:rPr>
      </w:pPr>
      <w:r>
        <w:rPr>
          <w:rFonts w:hint="eastAsia" w:ascii="仿宋_GB2312" w:hAnsi="宋体" w:eastAsia="仿宋_GB2312" w:cs="仿宋_GB2312"/>
          <w:b w:val="0"/>
          <w:bCs w:val="0"/>
          <w:color w:val="000000"/>
          <w:kern w:val="0"/>
          <w:sz w:val="32"/>
          <w:szCs w:val="32"/>
          <w:lang w:val="en-US" w:eastAsia="zh-CN" w:bidi="ar"/>
        </w:rPr>
        <w:t>档案规范工作经费</w:t>
      </w:r>
      <w:r>
        <w:rPr>
          <w:rFonts w:hint="eastAsia" w:ascii="仿宋_GB2312" w:hAnsi="宋体" w:eastAsia="仿宋_GB2312" w:cs="仿宋_GB2312"/>
          <w:b w:val="0"/>
          <w:bCs w:val="0"/>
          <w:color w:val="auto"/>
          <w:kern w:val="0"/>
          <w:sz w:val="32"/>
          <w:szCs w:val="32"/>
          <w:lang w:val="en-US" w:eastAsia="zh-CN" w:bidi="ar"/>
        </w:rPr>
        <w:t>的设立经过严格评估论证与部门职责相符，属于公共财政支持范围，与相关部门同类项目或部门内部项目不重复。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b w:val="0"/>
          <w:bCs w:val="0"/>
          <w:sz w:val="32"/>
          <w:szCs w:val="32"/>
        </w:rPr>
      </w:pPr>
      <w:r>
        <w:rPr>
          <w:rFonts w:hint="eastAsia" w:ascii="楷体_GB2312" w:hAnsi="宋体" w:eastAsia="楷体_GB2312" w:cs="楷体_GB2312"/>
          <w:b w:val="0"/>
          <w:bCs w:val="0"/>
          <w:color w:val="000000"/>
          <w:kern w:val="0"/>
          <w:sz w:val="32"/>
          <w:szCs w:val="32"/>
          <w:lang w:val="en-US" w:eastAsia="zh-CN" w:bidi="ar"/>
        </w:rPr>
        <w:t>（二）项目管理情况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档案规范整理严格按照档案业务规范标准执行，在项目实施过程中不定期开展检查监督，动态监控项目预算执行情况，</w:t>
      </w:r>
      <w:r>
        <w:rPr>
          <w:rFonts w:hint="eastAsia" w:ascii="仿宋_GB2312" w:hAnsi="宋体" w:eastAsia="仿宋_GB2312" w:cs="仿宋_GB2312"/>
          <w:b w:val="0"/>
          <w:bCs w:val="0"/>
          <w:color w:val="000000"/>
          <w:kern w:val="0"/>
          <w:sz w:val="32"/>
          <w:szCs w:val="32"/>
          <w:lang w:val="en-US" w:eastAsia="zh-CN" w:bidi="ar"/>
        </w:rPr>
        <w:t>保证项目按照绩效目标有序进行。</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（三）项目产出情况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完成了寄存会计档案清理整理，解决了长期以来存在的安全隐患问题。</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（四）项目效益情况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通过对档案的规范化整理，消除了存在的安全隐患，提高了档案查阅效率，提升了档案利用率，有利于进一步发挥档案资政育人的社会功能，更好地利用档案资源服务社会。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94" w:name="_Toc388860334_WPSOffice_Level2"/>
      <w:bookmarkStart w:id="195" w:name="_Toc1106549282_WPSOffice_Level2"/>
      <w:bookmarkStart w:id="196" w:name="_Toc15951"/>
      <w:r>
        <w:rPr>
          <w:rFonts w:hint="eastAsia" w:ascii="黑体" w:hAnsi="宋体" w:eastAsia="黑体" w:cs="黑体"/>
          <w:b w:val="0"/>
          <w:bCs w:val="0"/>
          <w:color w:val="000000"/>
          <w:kern w:val="0"/>
          <w:sz w:val="32"/>
          <w:szCs w:val="32"/>
          <w:lang w:val="en-US" w:eastAsia="zh-CN" w:bidi="ar"/>
        </w:rPr>
        <w:t>五、存在主要问题</w:t>
      </w:r>
      <w:bookmarkEnd w:id="194"/>
      <w:bookmarkEnd w:id="195"/>
      <w:bookmarkEnd w:id="196"/>
      <w:r>
        <w:rPr>
          <w:rFonts w:hint="eastAsia" w:ascii="黑体" w:hAnsi="宋体" w:eastAsia="黑体" w:cs="黑体"/>
          <w:b w:val="0"/>
          <w:bCs w:val="0"/>
          <w:color w:val="000000"/>
          <w:kern w:val="0"/>
          <w:sz w:val="32"/>
          <w:szCs w:val="32"/>
          <w:lang w:val="en-US" w:eastAsia="zh-CN" w:bidi="ar"/>
        </w:rPr>
        <w:t xml:space="preserve"> </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无。</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eastAsia" w:ascii="黑体" w:hAnsi="宋体" w:eastAsia="黑体" w:cs="黑体"/>
          <w:b w:val="0"/>
          <w:bCs w:val="0"/>
          <w:color w:val="000000"/>
          <w:kern w:val="0"/>
          <w:sz w:val="32"/>
          <w:szCs w:val="32"/>
          <w:lang w:val="en-US" w:eastAsia="zh-CN" w:bidi="ar"/>
        </w:rPr>
      </w:pPr>
      <w:bookmarkStart w:id="197" w:name="_Toc25626"/>
      <w:bookmarkStart w:id="198" w:name="_Toc1715973852_WPSOffice_Level2"/>
      <w:bookmarkStart w:id="199" w:name="_Toc1732703147_WPSOffice_Level2"/>
      <w:r>
        <w:rPr>
          <w:rFonts w:hint="eastAsia" w:ascii="黑体" w:hAnsi="宋体" w:eastAsia="黑体" w:cs="黑体"/>
          <w:b w:val="0"/>
          <w:bCs w:val="0"/>
          <w:color w:val="000000"/>
          <w:kern w:val="0"/>
          <w:sz w:val="32"/>
          <w:szCs w:val="32"/>
          <w:lang w:val="en-US" w:eastAsia="zh-CN" w:bidi="ar"/>
        </w:rPr>
        <w:t>六、相关措施建议</w:t>
      </w:r>
      <w:bookmarkEnd w:id="197"/>
      <w:bookmarkEnd w:id="198"/>
      <w:bookmarkEnd w:id="199"/>
      <w:r>
        <w:rPr>
          <w:rFonts w:hint="eastAsia" w:ascii="黑体" w:hAnsi="宋体" w:eastAsia="黑体" w:cs="黑体"/>
          <w:b w:val="0"/>
          <w:bCs w:val="0"/>
          <w:color w:val="000000"/>
          <w:kern w:val="0"/>
          <w:sz w:val="32"/>
          <w:szCs w:val="32"/>
          <w:lang w:val="en-US" w:eastAsia="zh-CN" w:bidi="ar"/>
        </w:rPr>
        <w:t xml:space="preserve"> </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b w:val="0"/>
          <w:bCs w:val="0"/>
          <w:sz w:val="32"/>
          <w:szCs w:val="32"/>
        </w:rPr>
      </w:pPr>
      <w:r>
        <w:rPr>
          <w:rFonts w:hint="eastAsia" w:ascii="仿宋_GB2312" w:hAnsi="宋体" w:eastAsia="仿宋_GB2312" w:cs="仿宋_GB2312"/>
          <w:b w:val="0"/>
          <w:bCs w:val="0"/>
          <w:color w:val="000000"/>
          <w:kern w:val="0"/>
          <w:sz w:val="32"/>
          <w:szCs w:val="32"/>
          <w:lang w:val="en-US" w:eastAsia="zh-CN" w:bidi="ar"/>
        </w:rPr>
        <w:t>无。</w:t>
      </w:r>
    </w:p>
    <w:p>
      <w:pPr>
        <w:pStyle w:val="11"/>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楷体_GB2312" w:hAnsi="楷体_GB2312" w:eastAsia="楷体_GB2312" w:cs="楷体_GB2312"/>
          <w:color w:val="000000"/>
          <w:kern w:val="0"/>
          <w:sz w:val="32"/>
          <w:szCs w:val="32"/>
          <w:lang w:val="en-US" w:eastAsia="zh-CN" w:bidi="ar"/>
        </w:rPr>
      </w:pPr>
    </w:p>
    <w:p>
      <w:pPr>
        <w:pStyle w:val="11"/>
        <w:keepNext w:val="0"/>
        <w:keepLines w:val="0"/>
        <w:pageBreakBefore w:val="0"/>
        <w:numPr>
          <w:ilvl w:val="0"/>
          <w:numId w:val="0"/>
        </w:numPr>
        <w:kinsoku/>
        <w:wordWrap/>
        <w:overflowPunct/>
        <w:topLinePunct w:val="0"/>
        <w:autoSpaceDE/>
        <w:autoSpaceDN/>
        <w:bidi w:val="0"/>
        <w:spacing w:after="0" w:line="560" w:lineRule="exact"/>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p>
      <w:pPr>
        <w:pStyle w:val="11"/>
        <w:keepNext w:val="0"/>
        <w:keepLines w:val="0"/>
        <w:pageBreakBefore w:val="0"/>
        <w:numPr>
          <w:ilvl w:val="0"/>
          <w:numId w:val="0"/>
        </w:numPr>
        <w:kinsoku/>
        <w:wordWrap/>
        <w:overflowPunct/>
        <w:topLinePunct w:val="0"/>
        <w:autoSpaceDE/>
        <w:autoSpaceDN/>
        <w:bidi w:val="0"/>
        <w:spacing w:after="0" w:line="560" w:lineRule="exact"/>
        <w:ind w:right="0" w:rightChars="0"/>
        <w:jc w:val="center"/>
        <w:textAlignment w:val="auto"/>
        <w:outlineLvl w:val="0"/>
        <w:rPr>
          <w:rStyle w:val="16"/>
          <w:rFonts w:hint="eastAsia" w:ascii="黑体" w:hAnsi="黑体" w:eastAsia="黑体"/>
          <w:b w:val="0"/>
          <w:color w:val="auto"/>
          <w:highlight w:val="none"/>
        </w:rPr>
      </w:pPr>
      <w:r>
        <w:rPr>
          <w:rFonts w:hint="eastAsia" w:ascii="仿宋_GB2312" w:hAnsi="仿宋_GB2312" w:eastAsia="仿宋_GB2312" w:cs="仿宋_GB2312"/>
          <w:color w:val="auto"/>
          <w:sz w:val="32"/>
          <w:szCs w:val="32"/>
          <w:highlight w:val="none"/>
          <w:lang w:val="en-US" w:eastAsia="zh-CN"/>
        </w:rPr>
        <w:br w:type="page"/>
      </w:r>
      <w:bookmarkStart w:id="200" w:name="_Toc15396618"/>
      <w:bookmarkStart w:id="201" w:name="_Toc25666"/>
      <w:r>
        <w:rPr>
          <w:rStyle w:val="16"/>
          <w:rFonts w:hint="eastAsia" w:ascii="黑体" w:hAnsi="黑体" w:eastAsia="黑体"/>
          <w:b w:val="0"/>
          <w:color w:val="auto"/>
          <w:highlight w:val="none"/>
          <w:lang w:val="en-US" w:eastAsia="zh-CN"/>
        </w:rPr>
        <w:t>第五部分</w:t>
      </w:r>
      <w:r>
        <w:rPr>
          <w:rFonts w:hint="eastAsia" w:hAnsi="仿宋_GB2312" w:eastAsia="仿宋_GB2312" w:cs="仿宋_GB2312"/>
          <w:color w:val="auto"/>
          <w:sz w:val="32"/>
          <w:szCs w:val="32"/>
          <w:highlight w:val="none"/>
          <w:lang w:val="en-US" w:eastAsia="zh-CN"/>
        </w:rPr>
        <w:t xml:space="preserve"> </w:t>
      </w:r>
      <w:r>
        <w:rPr>
          <w:rStyle w:val="16"/>
          <w:rFonts w:hint="eastAsia" w:ascii="黑体" w:hAnsi="黑体" w:eastAsia="黑体"/>
          <w:b w:val="0"/>
          <w:color w:val="auto"/>
          <w:highlight w:val="none"/>
        </w:rPr>
        <w:t>附表</w:t>
      </w:r>
      <w:bookmarkEnd w:id="70"/>
      <w:bookmarkEnd w:id="200"/>
      <w:bookmarkEnd w:id="201"/>
      <w:bookmarkStart w:id="202" w:name="_Toc15396619"/>
    </w:p>
    <w:p>
      <w:pPr>
        <w:pStyle w:val="11"/>
        <w:keepNext w:val="0"/>
        <w:keepLines w:val="0"/>
        <w:pageBreakBefore w:val="0"/>
        <w:numPr>
          <w:ilvl w:val="0"/>
          <w:numId w:val="0"/>
        </w:numPr>
        <w:kinsoku/>
        <w:wordWrap/>
        <w:overflowPunct/>
        <w:topLinePunct w:val="0"/>
        <w:autoSpaceDE/>
        <w:autoSpaceDN/>
        <w:bidi w:val="0"/>
        <w:spacing w:after="0" w:line="560" w:lineRule="exact"/>
        <w:ind w:right="0" w:rightChars="0"/>
        <w:jc w:val="both"/>
        <w:textAlignment w:val="auto"/>
        <w:rPr>
          <w:rStyle w:val="16"/>
          <w:rFonts w:hint="eastAsia" w:ascii="黑体" w:hAnsi="黑体" w:eastAsia="黑体"/>
          <w:b w:val="0"/>
          <w:color w:val="auto"/>
          <w:highlight w:val="none"/>
        </w:rPr>
      </w:pPr>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03" w:name="_Toc16096"/>
      <w:r>
        <w:rPr>
          <w:rFonts w:hint="eastAsia" w:ascii="黑体" w:hAnsi="黑体" w:eastAsia="黑体" w:cs="黑体"/>
          <w:b w:val="0"/>
          <w:color w:val="auto"/>
          <w:highlight w:val="none"/>
        </w:rPr>
        <w:t>一、收</w:t>
      </w:r>
      <w:r>
        <w:rPr>
          <w:rStyle w:val="17"/>
          <w:rFonts w:hint="eastAsia" w:ascii="黑体" w:hAnsi="黑体" w:eastAsia="黑体" w:cs="黑体"/>
          <w:b w:val="0"/>
          <w:bCs w:val="0"/>
          <w:color w:val="auto"/>
          <w:highlight w:val="none"/>
        </w:rPr>
        <w:t>入支出决算总表</w:t>
      </w:r>
      <w:bookmarkEnd w:id="202"/>
      <w:bookmarkEnd w:id="203"/>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04" w:name="_Toc15396620"/>
      <w:bookmarkStart w:id="205" w:name="_Toc20144"/>
      <w:r>
        <w:rPr>
          <w:rFonts w:hint="eastAsia" w:ascii="黑体" w:hAnsi="黑体" w:eastAsia="黑体" w:cs="黑体"/>
          <w:b w:val="0"/>
          <w:color w:val="auto"/>
          <w:highlight w:val="none"/>
        </w:rPr>
        <w:t>二、收</w:t>
      </w:r>
      <w:r>
        <w:rPr>
          <w:rStyle w:val="17"/>
          <w:rFonts w:hint="eastAsia" w:ascii="黑体" w:hAnsi="黑体" w:eastAsia="黑体" w:cs="黑体"/>
          <w:b w:val="0"/>
          <w:bCs w:val="0"/>
          <w:color w:val="auto"/>
          <w:highlight w:val="none"/>
        </w:rPr>
        <w:t>入决算表</w:t>
      </w:r>
      <w:bookmarkEnd w:id="204"/>
      <w:bookmarkEnd w:id="205"/>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06" w:name="_Toc15396621"/>
      <w:bookmarkStart w:id="207" w:name="_Toc28020"/>
      <w:r>
        <w:rPr>
          <w:rStyle w:val="17"/>
          <w:rFonts w:hint="eastAsia" w:ascii="黑体" w:hAnsi="黑体" w:eastAsia="黑体" w:cs="黑体"/>
          <w:b w:val="0"/>
          <w:bCs w:val="0"/>
          <w:color w:val="auto"/>
          <w:highlight w:val="none"/>
        </w:rPr>
        <w:t>三、</w:t>
      </w:r>
      <w:r>
        <w:rPr>
          <w:rFonts w:hint="eastAsia" w:ascii="黑体" w:hAnsi="黑体" w:eastAsia="黑体" w:cs="黑体"/>
          <w:b w:val="0"/>
          <w:color w:val="auto"/>
          <w:highlight w:val="none"/>
        </w:rPr>
        <w:t>支</w:t>
      </w:r>
      <w:r>
        <w:rPr>
          <w:rStyle w:val="17"/>
          <w:rFonts w:hint="eastAsia" w:ascii="黑体" w:hAnsi="黑体" w:eastAsia="黑体" w:cs="黑体"/>
          <w:b w:val="0"/>
          <w:bCs w:val="0"/>
          <w:color w:val="auto"/>
          <w:highlight w:val="none"/>
        </w:rPr>
        <w:t>出决算表</w:t>
      </w:r>
      <w:bookmarkEnd w:id="206"/>
      <w:bookmarkEnd w:id="207"/>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b w:val="0"/>
          <w:color w:val="auto"/>
          <w:highlight w:val="none"/>
        </w:rPr>
      </w:pPr>
      <w:bookmarkStart w:id="208" w:name="_Toc15396622"/>
      <w:bookmarkStart w:id="209" w:name="_Toc24319"/>
      <w:r>
        <w:rPr>
          <w:rStyle w:val="17"/>
          <w:rFonts w:hint="eastAsia" w:ascii="黑体" w:hAnsi="黑体" w:eastAsia="黑体" w:cs="黑体"/>
          <w:b w:val="0"/>
          <w:bCs w:val="0"/>
          <w:color w:val="auto"/>
          <w:highlight w:val="none"/>
        </w:rPr>
        <w:t>四、</w:t>
      </w:r>
      <w:r>
        <w:rPr>
          <w:rFonts w:hint="eastAsia" w:ascii="黑体" w:hAnsi="黑体" w:eastAsia="黑体" w:cs="黑体"/>
          <w:b w:val="0"/>
          <w:color w:val="auto"/>
          <w:highlight w:val="none"/>
        </w:rPr>
        <w:t>财</w:t>
      </w:r>
      <w:r>
        <w:rPr>
          <w:rStyle w:val="17"/>
          <w:rFonts w:hint="eastAsia" w:ascii="黑体" w:hAnsi="黑体" w:eastAsia="黑体" w:cs="黑体"/>
          <w:b w:val="0"/>
          <w:bCs w:val="0"/>
          <w:color w:val="auto"/>
          <w:highlight w:val="none"/>
        </w:rPr>
        <w:t>政拨款收入支出决算总表</w:t>
      </w:r>
      <w:bookmarkEnd w:id="208"/>
      <w:bookmarkEnd w:id="209"/>
    </w:p>
    <w:p>
      <w:pPr>
        <w:pStyle w:val="5"/>
        <w:pageBreakBefore w:val="0"/>
        <w:kinsoku/>
        <w:wordWrap/>
        <w:overflowPunct/>
        <w:topLinePunct w:val="0"/>
        <w:bidi w:val="0"/>
        <w:spacing w:before="0" w:after="0" w:line="560" w:lineRule="exact"/>
        <w:ind w:left="0" w:leftChars="0" w:right="0"/>
        <w:textAlignment w:val="auto"/>
        <w:rPr>
          <w:rStyle w:val="17"/>
          <w:rFonts w:hint="eastAsia" w:ascii="黑体" w:hAnsi="黑体" w:eastAsia="黑体" w:cs="黑体"/>
          <w:b w:val="0"/>
          <w:bCs w:val="0"/>
          <w:color w:val="auto"/>
          <w:highlight w:val="none"/>
        </w:rPr>
      </w:pPr>
      <w:bookmarkStart w:id="210" w:name="_Toc15396623"/>
      <w:bookmarkStart w:id="211" w:name="_Toc14221"/>
      <w:r>
        <w:rPr>
          <w:rStyle w:val="17"/>
          <w:rFonts w:hint="eastAsia" w:ascii="黑体" w:hAnsi="黑体" w:eastAsia="黑体" w:cs="黑体"/>
          <w:b w:val="0"/>
          <w:bCs w:val="0"/>
          <w:color w:val="auto"/>
          <w:highlight w:val="none"/>
        </w:rPr>
        <w:t>五、</w:t>
      </w:r>
      <w:r>
        <w:rPr>
          <w:rFonts w:hint="eastAsia" w:ascii="黑体" w:hAnsi="黑体" w:eastAsia="黑体" w:cs="黑体"/>
          <w:b w:val="0"/>
          <w:color w:val="auto"/>
          <w:highlight w:val="none"/>
        </w:rPr>
        <w:t>财</w:t>
      </w:r>
      <w:r>
        <w:rPr>
          <w:rStyle w:val="17"/>
          <w:rFonts w:hint="eastAsia" w:ascii="黑体" w:hAnsi="黑体" w:eastAsia="黑体" w:cs="黑体"/>
          <w:b w:val="0"/>
          <w:bCs w:val="0"/>
          <w:color w:val="auto"/>
          <w:highlight w:val="none"/>
        </w:rPr>
        <w:t>政拨款支出决算明细表</w:t>
      </w:r>
      <w:bookmarkEnd w:id="210"/>
      <w:bookmarkEnd w:id="211"/>
      <w:bookmarkStart w:id="212" w:name="_Toc15396624"/>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13" w:name="_Toc8775"/>
      <w:r>
        <w:rPr>
          <w:rStyle w:val="17"/>
          <w:rFonts w:hint="eastAsia" w:ascii="黑体" w:hAnsi="黑体" w:eastAsia="黑体" w:cs="黑体"/>
          <w:b w:val="0"/>
          <w:bCs w:val="0"/>
          <w:color w:val="auto"/>
          <w:highlight w:val="none"/>
        </w:rPr>
        <w:t>六、</w:t>
      </w:r>
      <w:r>
        <w:rPr>
          <w:rFonts w:hint="eastAsia" w:ascii="黑体" w:hAnsi="黑体" w:eastAsia="黑体" w:cs="黑体"/>
          <w:b w:val="0"/>
          <w:color w:val="auto"/>
          <w:highlight w:val="none"/>
        </w:rPr>
        <w:t>一</w:t>
      </w:r>
      <w:r>
        <w:rPr>
          <w:rStyle w:val="17"/>
          <w:rFonts w:hint="eastAsia" w:ascii="黑体" w:hAnsi="黑体" w:eastAsia="黑体" w:cs="黑体"/>
          <w:b w:val="0"/>
          <w:bCs w:val="0"/>
          <w:color w:val="auto"/>
          <w:highlight w:val="none"/>
        </w:rPr>
        <w:t>般公共预算财政拨款支出决算表</w:t>
      </w:r>
      <w:bookmarkEnd w:id="212"/>
      <w:bookmarkEnd w:id="213"/>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14" w:name="_Toc20761"/>
      <w:bookmarkStart w:id="215" w:name="_Toc15396625"/>
      <w:r>
        <w:rPr>
          <w:rStyle w:val="17"/>
          <w:rFonts w:hint="eastAsia" w:ascii="黑体" w:hAnsi="黑体" w:eastAsia="黑体" w:cs="黑体"/>
          <w:b w:val="0"/>
          <w:bCs w:val="0"/>
          <w:color w:val="auto"/>
          <w:highlight w:val="none"/>
        </w:rPr>
        <w:t>七、</w:t>
      </w:r>
      <w:r>
        <w:rPr>
          <w:rFonts w:hint="eastAsia" w:ascii="黑体" w:hAnsi="黑体" w:eastAsia="黑体" w:cs="黑体"/>
          <w:b w:val="0"/>
          <w:color w:val="auto"/>
          <w:highlight w:val="none"/>
        </w:rPr>
        <w:t>一</w:t>
      </w:r>
      <w:r>
        <w:rPr>
          <w:rStyle w:val="17"/>
          <w:rFonts w:hint="eastAsia" w:ascii="黑体" w:hAnsi="黑体" w:eastAsia="黑体" w:cs="黑体"/>
          <w:b w:val="0"/>
          <w:bCs w:val="0"/>
          <w:color w:val="auto"/>
          <w:highlight w:val="none"/>
        </w:rPr>
        <w:t>般公共预算财政拨款支出决算明细表</w:t>
      </w:r>
      <w:bookmarkEnd w:id="214"/>
      <w:bookmarkEnd w:id="215"/>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16" w:name="_Toc21267"/>
      <w:bookmarkStart w:id="217" w:name="_Toc15396626"/>
      <w:r>
        <w:rPr>
          <w:rStyle w:val="17"/>
          <w:rFonts w:hint="eastAsia" w:ascii="黑体" w:hAnsi="黑体" w:eastAsia="黑体" w:cs="黑体"/>
          <w:b w:val="0"/>
          <w:bCs w:val="0"/>
          <w:color w:val="auto"/>
          <w:highlight w:val="none"/>
        </w:rPr>
        <w:t>八、</w:t>
      </w:r>
      <w:r>
        <w:rPr>
          <w:rFonts w:hint="eastAsia" w:ascii="黑体" w:hAnsi="黑体" w:eastAsia="黑体" w:cs="黑体"/>
          <w:b w:val="0"/>
          <w:color w:val="auto"/>
          <w:highlight w:val="none"/>
        </w:rPr>
        <w:t>一</w:t>
      </w:r>
      <w:r>
        <w:rPr>
          <w:rStyle w:val="17"/>
          <w:rFonts w:hint="eastAsia" w:ascii="黑体" w:hAnsi="黑体" w:eastAsia="黑体" w:cs="黑体"/>
          <w:b w:val="0"/>
          <w:bCs w:val="0"/>
          <w:color w:val="auto"/>
          <w:highlight w:val="none"/>
        </w:rPr>
        <w:t>般公共预算财政拨款基本支出决算表</w:t>
      </w:r>
      <w:bookmarkEnd w:id="216"/>
      <w:bookmarkEnd w:id="217"/>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18" w:name="_Toc20356"/>
      <w:bookmarkStart w:id="219" w:name="_Toc15396627"/>
      <w:r>
        <w:rPr>
          <w:rStyle w:val="17"/>
          <w:rFonts w:hint="eastAsia" w:ascii="黑体" w:hAnsi="黑体" w:eastAsia="黑体" w:cs="黑体"/>
          <w:b w:val="0"/>
          <w:bCs w:val="0"/>
          <w:color w:val="auto"/>
          <w:highlight w:val="none"/>
        </w:rPr>
        <w:t>九、</w:t>
      </w:r>
      <w:r>
        <w:rPr>
          <w:rFonts w:hint="eastAsia" w:ascii="黑体" w:hAnsi="黑体" w:eastAsia="黑体" w:cs="黑体"/>
          <w:b w:val="0"/>
          <w:color w:val="auto"/>
          <w:highlight w:val="none"/>
        </w:rPr>
        <w:t>一</w:t>
      </w:r>
      <w:r>
        <w:rPr>
          <w:rStyle w:val="17"/>
          <w:rFonts w:hint="eastAsia" w:ascii="黑体" w:hAnsi="黑体" w:eastAsia="黑体" w:cs="黑体"/>
          <w:b w:val="0"/>
          <w:bCs w:val="0"/>
          <w:color w:val="auto"/>
          <w:highlight w:val="none"/>
        </w:rPr>
        <w:t>般公共预算财政拨款项目支出决算表</w:t>
      </w:r>
      <w:bookmarkEnd w:id="218"/>
      <w:bookmarkEnd w:id="219"/>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20" w:name="_Toc15396628"/>
      <w:bookmarkStart w:id="221" w:name="_Toc2559"/>
      <w:r>
        <w:rPr>
          <w:rStyle w:val="17"/>
          <w:rFonts w:hint="eastAsia" w:ascii="黑体" w:hAnsi="黑体" w:eastAsia="黑体" w:cs="黑体"/>
          <w:b w:val="0"/>
          <w:bCs w:val="0"/>
          <w:color w:val="auto"/>
          <w:highlight w:val="none"/>
        </w:rPr>
        <w:t>十、</w:t>
      </w:r>
      <w:bookmarkEnd w:id="220"/>
      <w:r>
        <w:rPr>
          <w:rFonts w:hint="eastAsia" w:ascii="黑体" w:hAnsi="黑体" w:eastAsia="黑体" w:cs="黑体"/>
          <w:b w:val="0"/>
          <w:color w:val="auto"/>
          <w:highlight w:val="none"/>
        </w:rPr>
        <w:t>政</w:t>
      </w:r>
      <w:r>
        <w:rPr>
          <w:rStyle w:val="17"/>
          <w:rFonts w:hint="eastAsia" w:ascii="黑体" w:hAnsi="黑体" w:eastAsia="黑体" w:cs="黑体"/>
          <w:b w:val="0"/>
          <w:bCs w:val="0"/>
          <w:color w:val="auto"/>
          <w:highlight w:val="none"/>
        </w:rPr>
        <w:t>府性基金预算财政拨款收入支出决算表</w:t>
      </w:r>
      <w:bookmarkEnd w:id="221"/>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22" w:name="_Toc15396629"/>
      <w:bookmarkStart w:id="223" w:name="_Toc26198"/>
      <w:r>
        <w:rPr>
          <w:rStyle w:val="17"/>
          <w:rFonts w:hint="eastAsia" w:ascii="黑体" w:hAnsi="黑体" w:eastAsia="黑体" w:cs="黑体"/>
          <w:b w:val="0"/>
          <w:bCs w:val="0"/>
          <w:color w:val="auto"/>
          <w:highlight w:val="none"/>
        </w:rPr>
        <w:t>十一、</w:t>
      </w:r>
      <w:bookmarkEnd w:id="222"/>
      <w:r>
        <w:rPr>
          <w:rFonts w:hint="eastAsia" w:ascii="黑体" w:hAnsi="黑体" w:eastAsia="黑体" w:cs="黑体"/>
          <w:b w:val="0"/>
          <w:color w:val="auto"/>
          <w:highlight w:val="none"/>
        </w:rPr>
        <w:t>国</w:t>
      </w:r>
      <w:r>
        <w:rPr>
          <w:rStyle w:val="17"/>
          <w:rFonts w:hint="eastAsia" w:ascii="黑体" w:hAnsi="黑体" w:eastAsia="黑体" w:cs="黑体"/>
          <w:b w:val="0"/>
          <w:bCs w:val="0"/>
          <w:color w:val="auto"/>
          <w:highlight w:val="none"/>
        </w:rPr>
        <w:t>有资本经营预算</w:t>
      </w:r>
      <w:r>
        <w:rPr>
          <w:rStyle w:val="17"/>
          <w:rFonts w:hint="eastAsia" w:ascii="黑体" w:hAnsi="黑体" w:eastAsia="黑体" w:cs="黑体"/>
          <w:b w:val="0"/>
          <w:bCs w:val="0"/>
          <w:color w:val="auto"/>
          <w:highlight w:val="none"/>
          <w:lang w:eastAsia="zh-CN"/>
        </w:rPr>
        <w:t>财政拨款收入</w:t>
      </w:r>
      <w:r>
        <w:rPr>
          <w:rStyle w:val="17"/>
          <w:rFonts w:hint="eastAsia" w:ascii="黑体" w:hAnsi="黑体" w:eastAsia="黑体" w:cs="黑体"/>
          <w:b w:val="0"/>
          <w:bCs w:val="0"/>
          <w:color w:val="auto"/>
          <w:highlight w:val="none"/>
        </w:rPr>
        <w:t>支出决算表</w:t>
      </w:r>
      <w:bookmarkEnd w:id="223"/>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rPr>
      </w:pPr>
      <w:bookmarkStart w:id="224" w:name="_Toc15396630"/>
      <w:bookmarkStart w:id="225" w:name="_Toc7271"/>
      <w:r>
        <w:rPr>
          <w:rStyle w:val="17"/>
          <w:rFonts w:hint="eastAsia" w:ascii="黑体" w:hAnsi="黑体" w:eastAsia="黑体" w:cs="黑体"/>
          <w:b w:val="0"/>
          <w:bCs w:val="0"/>
          <w:color w:val="auto"/>
          <w:highlight w:val="none"/>
        </w:rPr>
        <w:t>十二、</w:t>
      </w:r>
      <w:bookmarkEnd w:id="224"/>
      <w:r>
        <w:rPr>
          <w:rStyle w:val="17"/>
          <w:rFonts w:hint="eastAsia" w:ascii="黑体" w:hAnsi="黑体" w:eastAsia="黑体" w:cs="黑体"/>
          <w:b w:val="0"/>
          <w:bCs w:val="0"/>
          <w:color w:val="auto"/>
          <w:highlight w:val="none"/>
          <w:lang w:eastAsia="zh-CN"/>
        </w:rPr>
        <w:t>国有资本经营预算财政拨款支出决算表</w:t>
      </w:r>
      <w:bookmarkEnd w:id="225"/>
    </w:p>
    <w:p>
      <w:pPr>
        <w:pStyle w:val="5"/>
        <w:pageBreakBefore w:val="0"/>
        <w:kinsoku/>
        <w:wordWrap/>
        <w:overflowPunct/>
        <w:topLinePunct w:val="0"/>
        <w:bidi w:val="0"/>
        <w:spacing w:before="0" w:after="0" w:line="560" w:lineRule="exact"/>
        <w:ind w:left="0" w:leftChars="0" w:right="0"/>
        <w:textAlignment w:val="auto"/>
        <w:rPr>
          <w:rFonts w:hint="eastAsia" w:ascii="黑体" w:hAnsi="黑体" w:eastAsia="黑体" w:cs="黑体"/>
          <w:color w:val="auto"/>
          <w:highlight w:val="none"/>
          <w:lang w:eastAsia="zh-CN"/>
        </w:rPr>
      </w:pPr>
      <w:bookmarkStart w:id="226" w:name="_Toc15396631"/>
      <w:bookmarkStart w:id="227" w:name="_Toc3494"/>
      <w:r>
        <w:rPr>
          <w:rStyle w:val="17"/>
          <w:rFonts w:hint="eastAsia" w:ascii="黑体" w:hAnsi="黑体" w:eastAsia="黑体" w:cs="黑体"/>
          <w:b w:val="0"/>
          <w:bCs w:val="0"/>
          <w:color w:val="auto"/>
          <w:highlight w:val="none"/>
        </w:rPr>
        <w:t>十三、</w:t>
      </w:r>
      <w:bookmarkEnd w:id="226"/>
      <w:r>
        <w:rPr>
          <w:rStyle w:val="17"/>
          <w:rFonts w:hint="eastAsia" w:ascii="黑体" w:hAnsi="黑体" w:eastAsia="黑体" w:cs="黑体"/>
          <w:b w:val="0"/>
          <w:bCs w:val="0"/>
          <w:color w:val="auto"/>
          <w:highlight w:val="none"/>
          <w:lang w:eastAsia="zh-CN"/>
        </w:rPr>
        <w:t>财政拨款“三公”经费支出决算表</w:t>
      </w:r>
      <w:bookmarkEnd w:id="227"/>
    </w:p>
    <w:p>
      <w:pPr>
        <w:pageBreakBefore w:val="0"/>
        <w:kinsoku/>
        <w:wordWrap/>
        <w:overflowPunct/>
        <w:topLinePunct w:val="0"/>
        <w:bidi w:val="0"/>
        <w:spacing w:line="560" w:lineRule="exact"/>
        <w:ind w:left="0" w:leftChars="0" w:right="0"/>
        <w:textAlignment w:val="auto"/>
      </w:pPr>
    </w:p>
    <w:sectPr>
      <w:footerReference r:id="rId6" w:type="first"/>
      <w:footerReference r:id="rId5" w:type="default"/>
      <w:pgSz w:w="11906" w:h="16838"/>
      <w:pgMar w:top="1440" w:right="1474" w:bottom="1440" w:left="158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2010600030101010101"/>
    <w:charset w:val="00"/>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libri Light">
    <w:altName w:val="Arial"/>
    <w:panose1 w:val="020F0302020204030204"/>
    <w:charset w:val="00"/>
    <w:family w:val="auto"/>
    <w:pitch w:val="default"/>
    <w:sig w:usb0="00000000" w:usb1="00000000" w:usb2="00000009" w:usb3="00000000" w:csb0="200001FF" w:csb1="00000000"/>
  </w:font>
  <w:font w:name="仿宋_GB2312">
    <w:altName w:val="Arial"/>
    <w:panose1 w:val="02010609030101010101"/>
    <w:charset w:val="86"/>
    <w:family w:val="modern"/>
    <w:pitch w:val="default"/>
    <w:sig w:usb0="00000000" w:usb1="00000000" w:usb2="00000010" w:usb3="00000000" w:csb0="00040000" w:csb1="00000000"/>
  </w:font>
  <w:font w:name="仿宋">
    <w:altName w:val="Arial"/>
    <w:panose1 w:val="02010609060101010101"/>
    <w:charset w:val="86"/>
    <w:family w:val="auto"/>
    <w:pitch w:val="default"/>
    <w:sig w:usb0="00000000" w:usb1="00000000" w:usb2="00000016" w:usb3="00000000" w:csb0="00040001" w:csb1="00000000"/>
  </w:font>
  <w:font w:name="方正小标宋简体">
    <w:altName w:val="Arial"/>
    <w:panose1 w:val="02000000000000000000"/>
    <w:charset w:val="86"/>
    <w:family w:val="script"/>
    <w:pitch w:val="default"/>
    <w:sig w:usb0="00000000" w:usb1="0000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方正仿宋_GBK">
    <w:altName w:val="Arial"/>
    <w:panose1 w:val="00000000000000000000"/>
    <w:charset w:val="00"/>
    <w:family w:val="auto"/>
    <w:pitch w:val="default"/>
    <w:sig w:usb0="00000000" w:usb1="00000000" w:usb2="00000000" w:usb3="00000000" w:csb0="00000000" w:csb1="00000000"/>
  </w:font>
  <w:font w:name="方正小标宋_GBK">
    <w:altName w:val="Arial"/>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Arial"/>
    <w:panose1 w:val="02010609030101010101"/>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AClSD0MgIAAGEEAAAOAAAAZHJzL2Uyb0RvYy54bWytVM2O0zAQviPx&#10;DpbvNGkRq27VdFW2KkKq2JUWxNl1nCaS/2S7TcoDwBtw4sKd5+pz8NlpumjhsAcuztgz/sbfNzOZ&#10;33RKkoNwvjG6oONRTonQ3JSN3hX008f1qyklPjBdMmm0KOhReHqzePli3tqZmJjayFI4AhDtZ60t&#10;aB2CnWWZ57VQzI+MFRrOyjjFArZul5WOtUBXMpvk+VXWGldaZ7jwHqer3knPiO45gKaqGi5Whu+V&#10;0KFHdUKyAEq+bqyni/TaqhI83FWVF4HIgoJpSCuSwN7GNVvM2WznmK0bfn4Ce84TnnBSrNFIeoFa&#10;scDI3jV/QamGO+NNFUbcqKwnkhQBi3H+RJuHmlmRuEBqby+i+/8Hyz8c7h1pyoJeU6KZQsFP37+d&#10;fvw6/fxKrqM8rfUzRD1YxIXurenQNMO5x2Fk3VVOxS/4EPgh7vEirugC4fHSdDKd5nBx+IYN8LPH&#10;69b58E4YRaJRUIfqJVHZYeNDHzqExGzarBspUwWlJm1Br16/ydOFiwfgUiNHJNE/Nlqh23ZnZltT&#10;HkHMmb4zvOXrBsk3zId75tAKeDCGJdxhqaRBEnO2KKmN+/Kv8xiPCsFLSYvWKqjGJFEi32tUDoBh&#10;MNxgbAdD79WtQa+OMYSWJxMXXJCDWTmjPmOCljEHXExzZCpoGMzb0Lc3JpCL5TIF7a1rdnV/AX1n&#10;WdjoB8tjmiikt8t9gJhJ4yhQr8pZN3ReqtJ5SmJr/7lPUY9/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0lY7goBAAAFAQAADwAAAAAAAAABACAAAAAiAAAAZHJzL2Rvd25yZXYueG1sUEsBAhQA&#10;FAAAAAgAh07iQAKVIPQyAgAAYQQAAA4AAAAAAAAAAQAgAAAAWQEAAGRycy9lMm9Eb2MueG1sUEsF&#10;BgAAAAAGAAYAWQEAAP0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EF323"/>
    <w:multiLevelType w:val="singleLevel"/>
    <w:tmpl w:val="DEBEF32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FED9B95D"/>
    <w:rsid w:val="0E6A4CF0"/>
    <w:rsid w:val="3B4D67D0"/>
    <w:rsid w:val="3FFB3573"/>
    <w:rsid w:val="55D302E7"/>
    <w:rsid w:val="5A3B7E07"/>
    <w:rsid w:val="5B3FCEB3"/>
    <w:rsid w:val="5D5A6970"/>
    <w:rsid w:val="5DFF1601"/>
    <w:rsid w:val="67BA9E06"/>
    <w:rsid w:val="7EF9532F"/>
    <w:rsid w:val="7EFABD23"/>
    <w:rsid w:val="7FEDD8DB"/>
    <w:rsid w:val="A7F3761F"/>
    <w:rsid w:val="B63FDBA8"/>
    <w:rsid w:val="BDD64659"/>
    <w:rsid w:val="EDFF8643"/>
    <w:rsid w:val="FBE7EE4A"/>
    <w:rsid w:val="FED9B95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7"/>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beforeLines="30"/>
    </w:pPr>
    <w:rPr>
      <w:rFonts w:ascii="仿宋_GB2312" w:eastAsia="仿宋_GB2312"/>
      <w:kern w:val="0"/>
      <w:sz w:val="30"/>
    </w:rPr>
  </w:style>
  <w:style w:type="paragraph" w:styleId="3">
    <w:name w:val="Plain Text"/>
    <w:basedOn w:val="1"/>
    <w:qFormat/>
    <w:uiPriority w:val="99"/>
    <w:rPr>
      <w:rFonts w:ascii="宋体" w:hAnsi="Courier New" w:cs="宋体"/>
    </w:rPr>
  </w:style>
  <w:style w:type="paragraph" w:styleId="6">
    <w:name w:val="Body Text Indent"/>
    <w:basedOn w:val="1"/>
    <w:qFormat/>
    <w:uiPriority w:val="0"/>
    <w:pPr>
      <w:spacing w:after="120"/>
      <w:ind w:leftChars="200"/>
    </w:pPr>
    <w:rPr>
      <w:rFonts w:ascii="仿宋_GB2312"/>
      <w:szCs w:val="32"/>
    </w:rPr>
  </w:style>
  <w:style w:type="paragraph" w:styleId="7">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99"/>
    <w:rPr>
      <w:b/>
    </w:rPr>
  </w:style>
  <w:style w:type="character" w:styleId="15">
    <w:name w:val="Hyperlink"/>
    <w:basedOn w:val="13"/>
    <w:unhideWhenUsed/>
    <w:qFormat/>
    <w:uiPriority w:val="99"/>
    <w:rPr>
      <w:color w:val="0563C1"/>
      <w:u w:val="single"/>
    </w:rPr>
  </w:style>
  <w:style w:type="character" w:customStyle="1" w:styleId="16">
    <w:name w:val="标题 1 Char"/>
    <w:basedOn w:val="13"/>
    <w:link w:val="4"/>
    <w:qFormat/>
    <w:uiPriority w:val="9"/>
    <w:rPr>
      <w:b/>
      <w:bCs/>
      <w:kern w:val="44"/>
      <w:sz w:val="44"/>
      <w:szCs w:val="44"/>
    </w:rPr>
  </w:style>
  <w:style w:type="character" w:customStyle="1" w:styleId="17">
    <w:name w:val="标题 2 Char"/>
    <w:basedOn w:val="13"/>
    <w:link w:val="5"/>
    <w:qFormat/>
    <w:uiPriority w:val="9"/>
    <w:rPr>
      <w:rFonts w:ascii="Calibri Light" w:hAnsi="Calibri Light" w:eastAsia="宋体" w:cs="Times New Roman"/>
      <w:b/>
      <w:bCs/>
      <w:sz w:val="32"/>
      <w:szCs w:val="32"/>
    </w:rPr>
  </w:style>
  <w:style w:type="paragraph" w:styleId="18">
    <w:name w:val="List Paragraph"/>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WPSOffice手动目录 1"/>
    <w:qFormat/>
    <w:uiPriority w:val="0"/>
    <w:pPr>
      <w:ind w:leftChars="0"/>
    </w:pPr>
    <w:rPr>
      <w:rFonts w:ascii="Calibri" w:hAnsi="Calibri" w:eastAsia="宋体" w:cs="Times New Roman"/>
      <w:sz w:val="20"/>
      <w:szCs w:val="20"/>
    </w:rPr>
  </w:style>
  <w:style w:type="paragraph" w:customStyle="1" w:styleId="21">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1</a:t>
            </a:r>
            <a:r>
              <a:rPr altLang="en-US" sz="1000"/>
              <a:t>：收、支决算总计变动情况图</a:t>
            </a:r>
            <a:endParaRPr altLang="en-US" sz="10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2021年</c:v>
                </c:pt>
                <c:pt idx="1">
                  <c:v>2022年</c:v>
                </c:pt>
                <c:pt idx="2">
                  <c:v>单位：万元</c:v>
                </c:pt>
              </c:strCache>
            </c:strRef>
          </c:cat>
          <c:val>
            <c:numRef>
              <c:f>Sheet1!$B$2:$B$4</c:f>
              <c:numCache>
                <c:formatCode>General</c:formatCode>
                <c:ptCount val="3"/>
                <c:pt idx="0">
                  <c:v>686.52</c:v>
                </c:pt>
                <c:pt idx="1">
                  <c:v>771.64</c:v>
                </c:pt>
              </c:numCache>
            </c:numRef>
          </c:val>
        </c:ser>
        <c:dLbls>
          <c:showLegendKey val="0"/>
          <c:showVal val="1"/>
          <c:showCatName val="0"/>
          <c:showSerName val="0"/>
          <c:showPercent val="0"/>
          <c:showBubbleSize val="0"/>
        </c:dLbls>
        <c:gapWidth val="219"/>
        <c:overlap val="-27"/>
        <c:axId val="624558679"/>
        <c:axId val="276358642"/>
      </c:barChart>
      <c:catAx>
        <c:axId val="6245586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6358642"/>
        <c:crosses val="autoZero"/>
        <c:auto val="1"/>
        <c:lblAlgn val="ctr"/>
        <c:lblOffset val="100"/>
        <c:noMultiLvlLbl val="0"/>
      </c:catAx>
      <c:valAx>
        <c:axId val="276358642"/>
        <c:scaling>
          <c:orientation val="minMax"/>
          <c:max val="900"/>
          <c:min val="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558679"/>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2</a:t>
            </a:r>
            <a:r>
              <a:rPr altLang="en-US" sz="1000"/>
              <a:t>：收入决算结构图</a:t>
            </a:r>
            <a:endParaRPr altLang="en-US" sz="1000"/>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745.73</c:v>
                </c:pt>
                <c:pt idx="1">
                  <c:v>12.93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3</a:t>
            </a:r>
            <a:r>
              <a:rPr altLang="en-US" sz="1000"/>
              <a:t>：支出决算结构图</a:t>
            </a:r>
            <a:endParaRPr altLang="en-US" sz="1000"/>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650.95</c:v>
                </c:pt>
                <c:pt idx="1">
                  <c:v>120.66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4</a:t>
            </a:r>
            <a:r>
              <a:rPr altLang="en-US" sz="1000"/>
              <a:t>：财政拨款收、支决算总计变动情况图</a:t>
            </a:r>
            <a:endParaRPr altLang="en-US" sz="10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2021年</c:v>
                </c:pt>
                <c:pt idx="1">
                  <c:v>2022年</c:v>
                </c:pt>
                <c:pt idx="2">
                  <c:v>单位：万元</c:v>
                </c:pt>
              </c:strCache>
            </c:strRef>
          </c:cat>
          <c:val>
            <c:numRef>
              <c:f>Sheet1!$B$2:$B$4</c:f>
              <c:numCache>
                <c:formatCode>General</c:formatCode>
                <c:ptCount val="3"/>
                <c:pt idx="0">
                  <c:v>662.49</c:v>
                </c:pt>
                <c:pt idx="1">
                  <c:v>752.42</c:v>
                </c:pt>
              </c:numCache>
            </c:numRef>
          </c:val>
        </c:ser>
        <c:dLbls>
          <c:showLegendKey val="0"/>
          <c:showVal val="1"/>
          <c:showCatName val="0"/>
          <c:showSerName val="0"/>
          <c:showPercent val="0"/>
          <c:showBubbleSize val="0"/>
        </c:dLbls>
        <c:gapWidth val="219"/>
        <c:overlap val="-27"/>
        <c:axId val="624558679"/>
        <c:axId val="276358642"/>
      </c:barChart>
      <c:catAx>
        <c:axId val="6245586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6358642"/>
        <c:crosses val="autoZero"/>
        <c:auto val="1"/>
        <c:lblAlgn val="ctr"/>
        <c:lblOffset val="100"/>
        <c:noMultiLvlLbl val="0"/>
      </c:catAx>
      <c:valAx>
        <c:axId val="276358642"/>
        <c:scaling>
          <c:orientation val="minMax"/>
          <c:max val="900"/>
          <c:min val="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558679"/>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ea"/>
                <a:ea typeface="+mn-ea"/>
                <a:cs typeface="+mn-ea"/>
                <a:sym typeface="+mn-ea"/>
              </a:defRPr>
            </a:pPr>
            <a:r>
              <a:rPr sz="1000">
                <a:latin typeface="+mn-ea"/>
                <a:ea typeface="+mn-ea"/>
                <a:cs typeface="+mn-ea"/>
                <a:sym typeface="+mn-ea"/>
              </a:rPr>
              <a:t>图</a:t>
            </a:r>
            <a:r>
              <a:rPr lang="en-US" altLang="zh-CN" sz="1000">
                <a:latin typeface="+mn-ea"/>
                <a:ea typeface="+mn-ea"/>
                <a:cs typeface="+mn-ea"/>
                <a:sym typeface="+mn-ea"/>
              </a:rPr>
              <a:t>5</a:t>
            </a:r>
            <a:r>
              <a:rPr altLang="en-US" sz="1000">
                <a:latin typeface="+mn-ea"/>
                <a:ea typeface="+mn-ea"/>
                <a:cs typeface="+mn-ea"/>
                <a:sym typeface="+mn-ea"/>
              </a:rPr>
              <a:t>：一般公共预算财政拨款支出决算变动情况表</a:t>
            </a:r>
            <a:endParaRPr altLang="en-US" sz="1000">
              <a:latin typeface="+mn-ea"/>
              <a:ea typeface="+mn-ea"/>
              <a:cs typeface="+mn-ea"/>
              <a:sym typeface="+mn-ea"/>
            </a:endParaRPr>
          </a:p>
        </c:rich>
      </c:tx>
      <c:layout/>
      <c:overlay val="0"/>
      <c:spPr>
        <a:noFill/>
        <a:ln>
          <a:noFill/>
        </a:ln>
        <a:effectLst/>
      </c:spPr>
    </c:title>
    <c:autoTitleDeleted val="0"/>
    <c:plotArea>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Sheet1!$A$1:$A$3</c:f>
              <c:strCache>
                <c:ptCount val="3"/>
                <c:pt idx="0">
                  <c:v>2021年</c:v>
                </c:pt>
                <c:pt idx="1">
                  <c:v>2022年</c:v>
                </c:pt>
                <c:pt idx="2">
                  <c:v>单位：万元</c:v>
                </c:pt>
              </c:strCache>
            </c:strRef>
          </c:cat>
          <c:val>
            <c:numRef>
              <c:f>Sheet1!$B$1:$B$3</c:f>
              <c:numCache>
                <c:formatCode>General</c:formatCode>
                <c:ptCount val="3"/>
                <c:pt idx="0">
                  <c:v>655.8</c:v>
                </c:pt>
                <c:pt idx="1">
                  <c:v>752.42</c:v>
                </c:pt>
              </c:numCache>
            </c:numRef>
          </c:val>
        </c:ser>
        <c:dLbls>
          <c:showLegendKey val="0"/>
          <c:showVal val="1"/>
          <c:showCatName val="0"/>
          <c:showSerName val="0"/>
          <c:showPercent val="0"/>
          <c:showBubbleSize val="0"/>
        </c:dLbls>
        <c:gapWidth val="219"/>
        <c:overlap val="-27"/>
        <c:axId val="880020952"/>
        <c:axId val="908582063"/>
      </c:barChart>
      <c:catAx>
        <c:axId val="8800209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8582063"/>
        <c:crosses val="autoZero"/>
        <c:auto val="1"/>
        <c:lblAlgn val="ctr"/>
        <c:lblOffset val="100"/>
        <c:noMultiLvlLbl val="0"/>
      </c:catAx>
      <c:valAx>
        <c:axId val="908582063"/>
        <c:scaling>
          <c:orientation val="minMax"/>
          <c:max val="900"/>
          <c:min val="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0020952"/>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ea"/>
                <a:ea typeface="+mn-ea"/>
                <a:cs typeface="+mn-ea"/>
                <a:sym typeface="+mn-ea"/>
              </a:defRPr>
            </a:pPr>
            <a:r>
              <a:rPr sz="1000">
                <a:latin typeface="+mn-ea"/>
                <a:ea typeface="+mn-ea"/>
                <a:cs typeface="+mn-ea"/>
                <a:sym typeface="+mn-ea"/>
              </a:rPr>
              <a:t>图</a:t>
            </a:r>
            <a:r>
              <a:rPr lang="en-US" altLang="zh-CN" sz="1000">
                <a:latin typeface="+mn-ea"/>
                <a:ea typeface="+mn-ea"/>
                <a:cs typeface="+mn-ea"/>
                <a:sym typeface="+mn-ea"/>
              </a:rPr>
              <a:t>6</a:t>
            </a:r>
            <a:r>
              <a:rPr altLang="en-US" sz="1000">
                <a:latin typeface="+mn-ea"/>
                <a:ea typeface="+mn-ea"/>
                <a:cs typeface="+mn-ea"/>
                <a:sym typeface="+mn-ea"/>
              </a:rPr>
              <a:t>：一般公共预算财政拨款支出决算结构图</a:t>
            </a:r>
            <a:endParaRPr altLang="en-US" sz="1000">
              <a:latin typeface="+mn-ea"/>
              <a:ea typeface="+mn-ea"/>
              <a:cs typeface="+mn-ea"/>
              <a:sym typeface="+mn-ea"/>
            </a:endParaRP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explosion val="1"/>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dLbls>
            <c:dLbl>
              <c:idx val="1"/>
              <c:layout>
                <c:manualLayout>
                  <c:x val="-0.107367402869579"/>
                  <c:y val="0.10370575221238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706109946799936"/>
                  <c:y val="0"/>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31065613412865"/>
                  <c:y val="0"/>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649.06</c:v>
                </c:pt>
                <c:pt idx="1">
                  <c:v>40.8</c:v>
                </c:pt>
                <c:pt idx="2">
                  <c:v>18.54</c:v>
                </c:pt>
                <c:pt idx="3">
                  <c:v>44.02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图</a:t>
            </a:r>
            <a:r>
              <a:rPr lang="en-US" altLang="zh-CN" sz="1000"/>
              <a:t>7</a:t>
            </a:r>
            <a:r>
              <a:rPr altLang="en-US" sz="1000"/>
              <a:t>：“三公”经费财政拨款支出结构图</a:t>
            </a:r>
            <a:endParaRPr altLang="en-US" sz="1000"/>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1</c:v>
                </c:pt>
                <c:pt idx="1">
                  <c:v>0.18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 WWO_wpscloud_20230921224350-945aa172bf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2023-09-21T07:35:00Z</dcterms:created>
  <dc:creator>user</dc:creator>
  <cp:lastModifiedBy>玖千余为春秋</cp:lastModifiedBy>
  <cp:lastPrinted>2023-09-26T01:57:00Z</cp:lastPrinted>
  <dcterms:modified xsi:type="dcterms:W3CDTF">2023-09-27T21:03:11Z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45452444CF6D40A2ACFC6DC6D808D4F7_12</vt:lpwstr>
  </property>
</Properties>
</file>