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18" w:rsidRDefault="003C6718">
      <w:pPr>
        <w:spacing w:line="576" w:lineRule="exact"/>
        <w:jc w:val="center"/>
        <w:rPr>
          <w:rFonts w:ascii="方正小标宋简体" w:eastAsia="方正小标宋简体" w:hAnsi="宋体"/>
          <w:sz w:val="72"/>
          <w:szCs w:val="72"/>
        </w:rPr>
      </w:pPr>
      <w:bookmarkStart w:id="0" w:name="_Toc15377193"/>
      <w:bookmarkStart w:id="1" w:name="_Toc15378441"/>
      <w:bookmarkStart w:id="2" w:name="_Toc15377425"/>
      <w:bookmarkStart w:id="3" w:name="_Toc15396597"/>
      <w:bookmarkStart w:id="4" w:name="_Toc15396475"/>
      <w:bookmarkStart w:id="5" w:name="_Toc15306267"/>
    </w:p>
    <w:p w:rsidR="003C6718" w:rsidRDefault="003C6718">
      <w:pPr>
        <w:spacing w:line="576" w:lineRule="exact"/>
        <w:jc w:val="center"/>
        <w:rPr>
          <w:rFonts w:ascii="方正小标宋简体" w:eastAsia="方正小标宋简体" w:hAnsi="宋体"/>
          <w:sz w:val="72"/>
          <w:szCs w:val="72"/>
        </w:rPr>
      </w:pPr>
    </w:p>
    <w:p w:rsidR="003C6718" w:rsidRDefault="003C6718">
      <w:pPr>
        <w:spacing w:line="576" w:lineRule="exact"/>
        <w:jc w:val="center"/>
        <w:rPr>
          <w:rFonts w:ascii="方正小标宋简体" w:eastAsia="方正小标宋简体" w:hAnsi="宋体"/>
          <w:sz w:val="72"/>
          <w:szCs w:val="72"/>
        </w:rPr>
      </w:pPr>
    </w:p>
    <w:p w:rsidR="003C6718" w:rsidRDefault="003C6718">
      <w:pPr>
        <w:spacing w:line="360" w:lineRule="auto"/>
        <w:jc w:val="center"/>
        <w:rPr>
          <w:rFonts w:ascii="方正小标宋简体" w:eastAsia="方正小标宋简体" w:hAnsi="宋体"/>
          <w:sz w:val="72"/>
          <w:szCs w:val="72"/>
        </w:rPr>
      </w:pPr>
    </w:p>
    <w:p w:rsidR="003C6718" w:rsidRDefault="00E83E6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6769"/>
      <w:bookmarkStart w:id="7" w:name="_Toc5225"/>
      <w:bookmarkStart w:id="8" w:name="_Toc24960"/>
      <w:bookmarkStart w:id="9" w:name="_Toc18001"/>
      <w:bookmarkStart w:id="10" w:name="_Toc319"/>
      <w:bookmarkStart w:id="11" w:name="_Toc2670"/>
      <w:bookmarkStart w:id="12" w:name="_Toc20027"/>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bookmarkEnd w:id="6"/>
      <w:bookmarkEnd w:id="7"/>
      <w:bookmarkEnd w:id="8"/>
      <w:bookmarkEnd w:id="9"/>
      <w:bookmarkEnd w:id="10"/>
      <w:bookmarkEnd w:id="11"/>
      <w:bookmarkEnd w:id="12"/>
    </w:p>
    <w:p w:rsidR="003C6718" w:rsidRDefault="00E83E6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3" w:name="_Toc6649"/>
      <w:bookmarkStart w:id="14" w:name="_Toc28290"/>
      <w:bookmarkStart w:id="15" w:name="_Toc5800"/>
      <w:bookmarkStart w:id="16" w:name="_Toc23881"/>
      <w:bookmarkStart w:id="17" w:name="_Toc13802"/>
      <w:bookmarkStart w:id="18" w:name="_Toc35"/>
      <w:bookmarkStart w:id="19" w:name="_Toc15396598"/>
      <w:bookmarkStart w:id="20" w:name="_Toc15377194"/>
      <w:bookmarkStart w:id="21" w:name="_Toc15378442"/>
      <w:bookmarkStart w:id="22" w:name="_Toc15396476"/>
      <w:bookmarkStart w:id="23" w:name="_Toc15377426"/>
      <w:bookmarkStart w:id="24" w:name="_Toc13891"/>
      <w:r>
        <w:rPr>
          <w:rFonts w:ascii="方正小标宋简体" w:eastAsia="方正小标宋简体" w:hAnsi="方正小标宋简体" w:cs="方正小标宋简体" w:hint="eastAsia"/>
          <w:sz w:val="72"/>
          <w:szCs w:val="72"/>
        </w:rPr>
        <w:t>广元市</w:t>
      </w:r>
      <w:bookmarkStart w:id="25" w:name="_Toc15306268"/>
      <w:bookmarkEnd w:id="5"/>
      <w:r>
        <w:rPr>
          <w:rFonts w:ascii="方正小标宋简体" w:eastAsia="方正小标宋简体" w:hAnsi="方正小标宋简体" w:cs="方正小标宋简体" w:hint="eastAsia"/>
          <w:sz w:val="72"/>
          <w:szCs w:val="72"/>
        </w:rPr>
        <w:t>国土空间</w:t>
      </w:r>
      <w:bookmarkEnd w:id="13"/>
      <w:bookmarkEnd w:id="14"/>
      <w:bookmarkEnd w:id="15"/>
      <w:bookmarkEnd w:id="16"/>
      <w:bookmarkEnd w:id="17"/>
    </w:p>
    <w:p w:rsidR="003C6718" w:rsidRDefault="00E83E6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26" w:name="_Toc110"/>
      <w:bookmarkStart w:id="27" w:name="_Toc13268"/>
      <w:bookmarkStart w:id="28" w:name="_Toc12241"/>
      <w:bookmarkStart w:id="29" w:name="_Toc26077"/>
      <w:bookmarkStart w:id="30" w:name="_Toc575"/>
      <w:r>
        <w:rPr>
          <w:rFonts w:ascii="方正小标宋简体" w:eastAsia="方正小标宋简体" w:hAnsi="方正小标宋简体" w:cs="方正小标宋简体" w:hint="eastAsia"/>
          <w:sz w:val="72"/>
          <w:szCs w:val="72"/>
        </w:rPr>
        <w:t>规划编制研究中心部门决算</w:t>
      </w:r>
      <w:bookmarkEnd w:id="18"/>
      <w:bookmarkEnd w:id="19"/>
      <w:bookmarkEnd w:id="20"/>
      <w:bookmarkEnd w:id="21"/>
      <w:bookmarkEnd w:id="22"/>
      <w:bookmarkEnd w:id="23"/>
      <w:bookmarkEnd w:id="24"/>
      <w:bookmarkEnd w:id="25"/>
      <w:bookmarkEnd w:id="26"/>
      <w:bookmarkEnd w:id="27"/>
      <w:bookmarkEnd w:id="28"/>
      <w:bookmarkEnd w:id="29"/>
      <w:bookmarkEnd w:id="30"/>
    </w:p>
    <w:p w:rsidR="003C6718" w:rsidRDefault="00E83E62">
      <w:pPr>
        <w:pStyle w:val="a3"/>
        <w:spacing w:before="93"/>
        <w:jc w:val="center"/>
        <w:rPr>
          <w:rFonts w:eastAsia="方正小标宋简体"/>
        </w:rPr>
      </w:pPr>
      <w:r>
        <w:rPr>
          <w:rFonts w:ascii="方正小标宋简体" w:eastAsia="方正小标宋简体" w:hAnsi="方正小标宋简体" w:cs="方正小标宋简体" w:hint="eastAsia"/>
          <w:sz w:val="72"/>
          <w:szCs w:val="72"/>
        </w:rPr>
        <w:t>（部门）</w:t>
      </w:r>
    </w:p>
    <w:p w:rsidR="003C6718" w:rsidRDefault="00E83E62">
      <w:pPr>
        <w:widowControl/>
        <w:spacing w:line="576" w:lineRule="exact"/>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3C6718" w:rsidRDefault="003C6718">
      <w:pPr>
        <w:pStyle w:val="10"/>
        <w:spacing w:before="0" w:line="576" w:lineRule="exact"/>
      </w:pPr>
    </w:p>
    <w:p w:rsidR="003C6718" w:rsidRDefault="00E83E62">
      <w:pPr>
        <w:pStyle w:val="10"/>
        <w:spacing w:before="0" w:line="576" w:lineRule="exact"/>
      </w:pPr>
      <w:r>
        <w:rPr>
          <w:rFonts w:hint="eastAsia"/>
        </w:rPr>
        <w:t>公开时间：2023年10月7日</w:t>
      </w:r>
    </w:p>
    <w:p w:rsidR="003C6718" w:rsidRDefault="003C6718">
      <w:pPr>
        <w:pStyle w:val="10"/>
        <w:tabs>
          <w:tab w:val="clear" w:pos="8296"/>
          <w:tab w:val="right" w:leader="dot" w:pos="8845"/>
        </w:tabs>
        <w:rPr>
          <w:rFonts w:cs="仿宋"/>
        </w:rPr>
      </w:pPr>
      <w:r>
        <w:rPr>
          <w:rFonts w:cs="仿宋" w:hint="eastAsia"/>
        </w:rPr>
        <w:fldChar w:fldCharType="begin"/>
      </w:r>
      <w:r w:rsidR="00E83E62">
        <w:rPr>
          <w:rFonts w:cs="仿宋" w:hint="eastAsia"/>
        </w:rPr>
        <w:instrText xml:space="preserve">TOC \o "1-2" \h \u </w:instrText>
      </w:r>
      <w:r>
        <w:rPr>
          <w:rFonts w:cs="仿宋" w:hint="eastAsia"/>
        </w:rPr>
        <w:fldChar w:fldCharType="separate"/>
      </w:r>
    </w:p>
    <w:p w:rsidR="003C6718" w:rsidRDefault="003C6718">
      <w:pPr>
        <w:pStyle w:val="10"/>
        <w:tabs>
          <w:tab w:val="clear" w:pos="8296"/>
          <w:tab w:val="right" w:leader="dot" w:pos="8845"/>
        </w:tabs>
        <w:rPr>
          <w:rFonts w:cs="仿宋"/>
        </w:rPr>
      </w:pPr>
      <w:hyperlink w:anchor="_Toc9576" w:history="1">
        <w:r w:rsidR="00E83E62">
          <w:rPr>
            <w:rFonts w:cs="仿宋" w:hint="eastAsia"/>
          </w:rPr>
          <w:t>第一部分 部门概况</w:t>
        </w:r>
        <w:r w:rsidR="00E83E62">
          <w:rPr>
            <w:rFonts w:cs="仿宋" w:hint="eastAsia"/>
          </w:rPr>
          <w:tab/>
        </w:r>
        <w:r>
          <w:rPr>
            <w:rFonts w:cs="仿宋" w:hint="eastAsia"/>
          </w:rPr>
          <w:fldChar w:fldCharType="begin"/>
        </w:r>
        <w:r w:rsidR="00E83E62">
          <w:rPr>
            <w:rFonts w:cs="仿宋" w:hint="eastAsia"/>
          </w:rPr>
          <w:instrText xml:space="preserve"> PAGEREF _Toc9576 \h </w:instrText>
        </w:r>
        <w:r>
          <w:rPr>
            <w:rFonts w:cs="仿宋" w:hint="eastAsia"/>
          </w:rPr>
        </w:r>
        <w:r>
          <w:rPr>
            <w:rFonts w:cs="仿宋" w:hint="eastAsia"/>
          </w:rPr>
          <w:fldChar w:fldCharType="separate"/>
        </w:r>
        <w:r w:rsidR="00E83E62">
          <w:rPr>
            <w:rFonts w:cs="仿宋" w:hint="eastAsia"/>
          </w:rPr>
          <w:t>1</w:t>
        </w:r>
        <w:r>
          <w:rPr>
            <w:rFonts w:cs="仿宋" w:hint="eastAsia"/>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3240" w:history="1">
        <w:r w:rsidR="00E83E62">
          <w:rPr>
            <w:rFonts w:ascii="仿宋" w:eastAsia="仿宋" w:hAnsi="仿宋" w:cs="仿宋" w:hint="eastAsia"/>
            <w:sz w:val="28"/>
            <w:szCs w:val="28"/>
          </w:rPr>
          <w:t>一、基本职能及主要工作</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_Toc13240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5764" w:history="1">
        <w:r w:rsidR="00E83E62">
          <w:rPr>
            <w:rFonts w:ascii="仿宋" w:eastAsia="仿宋" w:hAnsi="仿宋" w:cs="仿宋" w:hint="eastAsia"/>
            <w:sz w:val="28"/>
            <w:szCs w:val="28"/>
          </w:rPr>
          <w:t>二、机构设置</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_Toc25764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7</w:t>
        </w:r>
        <w:r>
          <w:rPr>
            <w:rFonts w:ascii="仿宋" w:eastAsia="仿宋" w:hAnsi="仿宋" w:cs="仿宋" w:hint="eastAsia"/>
            <w:sz w:val="28"/>
            <w:szCs w:val="28"/>
          </w:rPr>
          <w:fldChar w:fldCharType="end"/>
        </w:r>
      </w:hyperlink>
    </w:p>
    <w:p w:rsidR="003C6718" w:rsidRDefault="003C6718">
      <w:pPr>
        <w:pStyle w:val="10"/>
        <w:tabs>
          <w:tab w:val="clear" w:pos="8296"/>
          <w:tab w:val="right" w:leader="dot" w:pos="8845"/>
        </w:tabs>
        <w:rPr>
          <w:rFonts w:cs="仿宋"/>
        </w:rPr>
      </w:pPr>
      <w:hyperlink w:anchor="_Toc13881" w:history="1">
        <w:r w:rsidR="00E83E62">
          <w:rPr>
            <w:rFonts w:cs="仿宋" w:hint="eastAsia"/>
          </w:rPr>
          <w:t>第二部分 2022年度</w:t>
        </w:r>
        <w:r w:rsidR="00E83E62">
          <w:rPr>
            <w:rFonts w:cs="仿宋" w:hint="eastAsia"/>
            <w:bCs/>
          </w:rPr>
          <w:t>部门决算情况说明</w:t>
        </w:r>
        <w:r w:rsidR="00E83E62">
          <w:rPr>
            <w:rFonts w:cs="仿宋" w:hint="eastAsia"/>
          </w:rPr>
          <w:tab/>
        </w:r>
        <w:r>
          <w:rPr>
            <w:rFonts w:cs="仿宋" w:hint="eastAsia"/>
          </w:rPr>
          <w:fldChar w:fldCharType="begin"/>
        </w:r>
        <w:r w:rsidR="00E83E62">
          <w:rPr>
            <w:rFonts w:cs="仿宋" w:hint="eastAsia"/>
          </w:rPr>
          <w:instrText xml:space="preserve"> PAGEREF _Toc13881 \h </w:instrText>
        </w:r>
        <w:r>
          <w:rPr>
            <w:rFonts w:cs="仿宋" w:hint="eastAsia"/>
          </w:rPr>
        </w:r>
        <w:r>
          <w:rPr>
            <w:rFonts w:cs="仿宋" w:hint="eastAsia"/>
          </w:rPr>
          <w:fldChar w:fldCharType="separate"/>
        </w:r>
        <w:r w:rsidR="00E83E62">
          <w:rPr>
            <w:rFonts w:cs="仿宋" w:hint="eastAsia"/>
          </w:rPr>
          <w:t>8</w:t>
        </w:r>
        <w:r>
          <w:rPr>
            <w:rFonts w:cs="仿宋" w:hint="eastAsia"/>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7809" w:history="1">
        <w:r w:rsidR="00E83E62">
          <w:rPr>
            <w:rFonts w:ascii="仿宋" w:eastAsia="仿宋" w:hAnsi="仿宋" w:cs="仿宋" w:hint="eastAsia"/>
            <w:sz w:val="28"/>
            <w:szCs w:val="28"/>
          </w:rPr>
          <w:t>一、收入支出决算总体情况说明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_Toc27809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8</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32611" w:history="1">
        <w:r w:rsidR="00E83E62">
          <w:rPr>
            <w:rFonts w:ascii="仿宋" w:eastAsia="仿宋" w:hAnsi="仿宋" w:cs="仿宋" w:hint="eastAsia"/>
            <w:sz w:val="28"/>
            <w:szCs w:val="28"/>
          </w:rPr>
          <w:t>二、 收入决算情况说明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_Toc32611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8</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6092" w:history="1">
        <w:r w:rsidR="00E83E62">
          <w:rPr>
            <w:rFonts w:ascii="仿宋" w:eastAsia="仿宋" w:hAnsi="仿宋" w:cs="仿宋" w:hint="eastAsia"/>
            <w:sz w:val="28"/>
            <w:szCs w:val="28"/>
          </w:rPr>
          <w:t>三、支出决算情况说明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_Toc16092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6733" w:history="1">
        <w:r w:rsidR="00E83E62">
          <w:rPr>
            <w:rFonts w:ascii="仿宋" w:eastAsia="仿宋" w:hAnsi="仿宋" w:cs="仿宋" w:hint="eastAsia"/>
            <w:sz w:val="28"/>
            <w:szCs w:val="28"/>
          </w:rPr>
          <w:t>四、财政拨款收入支出决算总体情况说明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_Toc26733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10</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4512" w:history="1">
        <w:r w:rsidR="00E83E62">
          <w:rPr>
            <w:rFonts w:ascii="仿宋" w:eastAsia="仿宋" w:hAnsi="仿宋" w:cs="仿宋" w:hint="eastAsia"/>
            <w:sz w:val="28"/>
            <w:szCs w:val="28"/>
          </w:rPr>
          <w:t>五、一般公共预算财政拨款支出决算情况说明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_Toc4512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10</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31876" w:history="1">
        <w:r w:rsidR="00E83E62">
          <w:rPr>
            <w:rFonts w:ascii="仿宋" w:eastAsia="仿宋" w:hAnsi="仿宋" w:cs="仿宋" w:hint="eastAsia"/>
            <w:sz w:val="28"/>
            <w:szCs w:val="28"/>
          </w:rPr>
          <w:t>六、一般公共预算财政拨款基本支出决算情况说明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_Toc31876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12</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6189" w:history="1">
        <w:r w:rsidR="00E83E62">
          <w:rPr>
            <w:rFonts w:ascii="仿宋" w:eastAsia="仿宋" w:hAnsi="仿宋" w:cs="仿宋" w:hint="eastAsia"/>
            <w:sz w:val="28"/>
            <w:szCs w:val="28"/>
          </w:rPr>
          <w:t>七、“三公”经费财政拨款支出决算情况说明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_Toc26189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13</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0422" w:history="1">
        <w:r w:rsidR="00E83E62">
          <w:rPr>
            <w:rFonts w:ascii="仿宋" w:eastAsia="仿宋" w:hAnsi="仿宋" w:cs="仿宋" w:hint="eastAsia"/>
            <w:sz w:val="28"/>
            <w:szCs w:val="28"/>
          </w:rPr>
          <w:t>八、政府性基金预算支出决算情况说明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_Toc20422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7724" w:history="1">
        <w:r w:rsidR="00E83E62">
          <w:rPr>
            <w:rFonts w:ascii="仿宋" w:eastAsia="仿宋" w:hAnsi="仿宋" w:cs="仿宋" w:hint="eastAsia"/>
            <w:sz w:val="28"/>
            <w:szCs w:val="28"/>
          </w:rPr>
          <w:t>九、 国有资本经营预算支出决算情况说明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_Toc27724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5492" w:history="1">
        <w:r w:rsidR="00E83E62">
          <w:rPr>
            <w:rFonts w:ascii="仿宋" w:eastAsia="仿宋" w:hAnsi="仿宋" w:cs="仿宋" w:hint="eastAsia"/>
            <w:sz w:val="28"/>
            <w:szCs w:val="28"/>
          </w:rPr>
          <w:t>十、 其他重要事项的情况说明</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_Toc25492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3C6718" w:rsidRDefault="003C6718">
      <w:pPr>
        <w:pStyle w:val="10"/>
        <w:tabs>
          <w:tab w:val="clear" w:pos="8296"/>
          <w:tab w:val="right" w:leader="dot" w:pos="8845"/>
        </w:tabs>
        <w:rPr>
          <w:rFonts w:cs="仿宋"/>
        </w:rPr>
      </w:pPr>
      <w:hyperlink w:anchor="_Toc10366" w:history="1">
        <w:r w:rsidR="00E83E62">
          <w:rPr>
            <w:rFonts w:cs="仿宋" w:hint="eastAsia"/>
          </w:rPr>
          <w:t>第三部分 名词解释</w:t>
        </w:r>
        <w:r w:rsidR="00E83E62">
          <w:rPr>
            <w:rFonts w:cs="仿宋" w:hint="eastAsia"/>
          </w:rPr>
          <w:tab/>
        </w:r>
        <w:r>
          <w:rPr>
            <w:rFonts w:cs="仿宋" w:hint="eastAsia"/>
          </w:rPr>
          <w:fldChar w:fldCharType="begin"/>
        </w:r>
        <w:r w:rsidR="00E83E62">
          <w:rPr>
            <w:rFonts w:cs="仿宋" w:hint="eastAsia"/>
          </w:rPr>
          <w:instrText xml:space="preserve"> PAGEREF _Toc10366 \h </w:instrText>
        </w:r>
        <w:r>
          <w:rPr>
            <w:rFonts w:cs="仿宋" w:hint="eastAsia"/>
          </w:rPr>
        </w:r>
        <w:r>
          <w:rPr>
            <w:rFonts w:cs="仿宋" w:hint="eastAsia"/>
          </w:rPr>
          <w:fldChar w:fldCharType="separate"/>
        </w:r>
        <w:r w:rsidR="00E83E62">
          <w:rPr>
            <w:rFonts w:cs="仿宋" w:hint="eastAsia"/>
          </w:rPr>
          <w:t>16</w:t>
        </w:r>
        <w:r>
          <w:rPr>
            <w:rFonts w:cs="仿宋" w:hint="eastAsia"/>
          </w:rPr>
          <w:fldChar w:fldCharType="end"/>
        </w:r>
      </w:hyperlink>
    </w:p>
    <w:p w:rsidR="003C6718" w:rsidRDefault="003C6718">
      <w:pPr>
        <w:pStyle w:val="10"/>
        <w:tabs>
          <w:tab w:val="clear" w:pos="8296"/>
          <w:tab w:val="right" w:leader="dot" w:pos="8845"/>
        </w:tabs>
        <w:rPr>
          <w:rFonts w:cs="仿宋"/>
        </w:rPr>
      </w:pPr>
      <w:hyperlink w:anchor="_Toc17865" w:history="1">
        <w:r w:rsidR="00E83E62">
          <w:rPr>
            <w:rFonts w:cs="仿宋" w:hint="eastAsia"/>
          </w:rPr>
          <w:t>第四部分 附件</w:t>
        </w:r>
        <w:r w:rsidR="00E83E62">
          <w:rPr>
            <w:rFonts w:cs="仿宋" w:hint="eastAsia"/>
          </w:rPr>
          <w:tab/>
        </w:r>
        <w:r>
          <w:rPr>
            <w:rFonts w:cs="仿宋" w:hint="eastAsia"/>
          </w:rPr>
          <w:fldChar w:fldCharType="begin"/>
        </w:r>
        <w:r w:rsidR="00E83E62">
          <w:rPr>
            <w:rFonts w:cs="仿宋" w:hint="eastAsia"/>
          </w:rPr>
          <w:instrText xml:space="preserve"> PAGEREF _Toc17865 \h </w:instrText>
        </w:r>
        <w:r>
          <w:rPr>
            <w:rFonts w:cs="仿宋" w:hint="eastAsia"/>
          </w:rPr>
        </w:r>
        <w:r>
          <w:rPr>
            <w:rFonts w:cs="仿宋" w:hint="eastAsia"/>
          </w:rPr>
          <w:fldChar w:fldCharType="separate"/>
        </w:r>
        <w:r w:rsidR="00E83E62">
          <w:rPr>
            <w:rFonts w:cs="仿宋" w:hint="eastAsia"/>
          </w:rPr>
          <w:t>18</w:t>
        </w:r>
        <w:r>
          <w:rPr>
            <w:rFonts w:cs="仿宋" w:hint="eastAsia"/>
          </w:rPr>
          <w:fldChar w:fldCharType="end"/>
        </w:r>
      </w:hyperlink>
    </w:p>
    <w:p w:rsidR="003C6718" w:rsidRDefault="003C6718">
      <w:pPr>
        <w:pStyle w:val="10"/>
        <w:tabs>
          <w:tab w:val="clear" w:pos="8296"/>
          <w:tab w:val="right" w:leader="dot" w:pos="8845"/>
        </w:tabs>
        <w:rPr>
          <w:rFonts w:cs="仿宋"/>
        </w:rPr>
      </w:pPr>
      <w:hyperlink w:anchor="_Toc14712" w:history="1">
        <w:r w:rsidR="00E83E62">
          <w:rPr>
            <w:rFonts w:cs="仿宋" w:hint="eastAsia"/>
          </w:rPr>
          <w:t>第五部分 附表</w:t>
        </w:r>
        <w:r w:rsidR="00E83E62">
          <w:rPr>
            <w:rFonts w:cs="仿宋" w:hint="eastAsia"/>
          </w:rPr>
          <w:tab/>
        </w:r>
        <w:r>
          <w:rPr>
            <w:rFonts w:cs="仿宋" w:hint="eastAsia"/>
          </w:rPr>
          <w:fldChar w:fldCharType="begin"/>
        </w:r>
        <w:r w:rsidR="00E83E62">
          <w:rPr>
            <w:rFonts w:cs="仿宋" w:hint="eastAsia"/>
          </w:rPr>
          <w:instrText xml:space="preserve"> PAGEREF _Toc14712 \h </w:instrText>
        </w:r>
        <w:r>
          <w:rPr>
            <w:rFonts w:cs="仿宋" w:hint="eastAsia"/>
          </w:rPr>
        </w:r>
        <w:r>
          <w:rPr>
            <w:rFonts w:cs="仿宋" w:hint="eastAsia"/>
          </w:rPr>
          <w:fldChar w:fldCharType="separate"/>
        </w:r>
        <w:r w:rsidR="00E83E62">
          <w:rPr>
            <w:rFonts w:cs="仿宋" w:hint="eastAsia"/>
          </w:rPr>
          <w:t>39</w:t>
        </w:r>
        <w:r>
          <w:rPr>
            <w:rFonts w:cs="仿宋" w:hint="eastAsia"/>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32680" w:history="1">
        <w:r w:rsidR="00E83E62">
          <w:rPr>
            <w:rFonts w:ascii="仿宋" w:eastAsia="仿宋" w:hAnsi="仿宋" w:cs="仿宋" w:hint="eastAsia"/>
            <w:sz w:val="28"/>
            <w:szCs w:val="28"/>
          </w:rPr>
          <w:t>一、收入支出决算总表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_Toc32680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32139" w:history="1">
        <w:r w:rsidR="00E83E62">
          <w:rPr>
            <w:rFonts w:ascii="仿宋" w:eastAsia="仿宋" w:hAnsi="仿宋" w:cs="仿宋" w:hint="eastAsia"/>
            <w:sz w:val="28"/>
            <w:szCs w:val="28"/>
          </w:rPr>
          <w:t>二、收入决算表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_Toc32139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3821" w:history="1">
        <w:r w:rsidR="00E83E62">
          <w:rPr>
            <w:rFonts w:ascii="仿宋" w:eastAsia="仿宋" w:hAnsi="仿宋" w:cs="仿宋" w:hint="eastAsia"/>
            <w:sz w:val="28"/>
            <w:szCs w:val="28"/>
          </w:rPr>
          <w:t>三、支出决算表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_Toc13821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9465" w:history="1">
        <w:r w:rsidR="00E83E62">
          <w:rPr>
            <w:rFonts w:ascii="仿宋" w:eastAsia="仿宋" w:hAnsi="仿宋" w:cs="仿宋" w:hint="eastAsia"/>
            <w:sz w:val="28"/>
            <w:szCs w:val="28"/>
          </w:rPr>
          <w:t>四、财政拨款收入支出决算总表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_Toc19465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731" w:history="1">
        <w:r w:rsidR="00E83E62">
          <w:rPr>
            <w:rFonts w:ascii="仿宋" w:eastAsia="仿宋" w:hAnsi="仿宋" w:cs="仿宋" w:hint="eastAsia"/>
            <w:sz w:val="28"/>
            <w:szCs w:val="28"/>
          </w:rPr>
          <w:t>五、财政拨款支出决算明细表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_Toc2731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0386" w:history="1">
        <w:r w:rsidR="00E83E62">
          <w:rPr>
            <w:rFonts w:ascii="仿宋" w:eastAsia="仿宋" w:hAnsi="仿宋" w:cs="仿宋" w:hint="eastAsia"/>
            <w:sz w:val="28"/>
            <w:szCs w:val="28"/>
          </w:rPr>
          <w:t>六、一般公共预算财政拨款支出决算表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_Toc20386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3469" w:history="1">
        <w:r w:rsidR="00E83E62">
          <w:rPr>
            <w:rFonts w:ascii="仿宋" w:eastAsia="仿宋" w:hAnsi="仿宋" w:cs="仿宋" w:hint="eastAsia"/>
            <w:sz w:val="28"/>
            <w:szCs w:val="28"/>
          </w:rPr>
          <w:t>七、一般公共预算财政拨款支出决算明细表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_Toc13469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725" w:history="1">
        <w:r w:rsidR="00E83E62">
          <w:rPr>
            <w:rFonts w:ascii="仿宋" w:eastAsia="仿宋" w:hAnsi="仿宋" w:cs="仿宋" w:hint="eastAsia"/>
            <w:sz w:val="28"/>
            <w:szCs w:val="28"/>
          </w:rPr>
          <w:t>八、一般公共预算财政拨款基本支出决算表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_Toc1725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30488" w:history="1">
        <w:r w:rsidR="00E83E62">
          <w:rPr>
            <w:rFonts w:ascii="仿宋" w:eastAsia="仿宋" w:hAnsi="仿宋" w:cs="仿宋" w:hint="eastAsia"/>
            <w:sz w:val="28"/>
            <w:szCs w:val="28"/>
          </w:rPr>
          <w:t>九、一般公共预算财政拨款项目支出决算表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_Toc30488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9703" w:history="1">
        <w:r w:rsidR="00E83E62">
          <w:rPr>
            <w:rFonts w:ascii="仿宋" w:eastAsia="仿宋" w:hAnsi="仿宋" w:cs="仿宋" w:hint="eastAsia"/>
            <w:sz w:val="28"/>
            <w:szCs w:val="28"/>
          </w:rPr>
          <w:t>十、一般公共预算财政拨款“三公”经费支出决算表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_Toc29703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9627" w:history="1">
        <w:r w:rsidR="00E83E62">
          <w:rPr>
            <w:rFonts w:ascii="仿宋" w:eastAsia="仿宋" w:hAnsi="仿宋" w:cs="仿宋" w:hint="eastAsia"/>
            <w:sz w:val="28"/>
            <w:szCs w:val="28"/>
          </w:rPr>
          <w:t>十一、政府性基金预算财政拨款收入支出决算表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_Toc19627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6650" w:history="1">
        <w:r w:rsidR="00E83E62">
          <w:rPr>
            <w:rFonts w:ascii="仿宋" w:eastAsia="仿宋" w:hAnsi="仿宋" w:cs="仿宋" w:hint="eastAsia"/>
            <w:sz w:val="28"/>
            <w:szCs w:val="28"/>
          </w:rPr>
          <w:t>十二、政府性基金预算财政拨款“三公”经费支出决算表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_Toc26650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10918" w:history="1">
        <w:r w:rsidR="00E83E62">
          <w:rPr>
            <w:rFonts w:ascii="仿宋" w:eastAsia="仿宋" w:hAnsi="仿宋" w:cs="仿宋" w:hint="eastAsia"/>
            <w:sz w:val="28"/>
            <w:szCs w:val="28"/>
          </w:rPr>
          <w:t>十三、国有资本经营预算财政拨款收入支出决算表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_Toc10918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pStyle w:val="20"/>
        <w:tabs>
          <w:tab w:val="clear" w:pos="8296"/>
          <w:tab w:val="right" w:leader="dot" w:pos="8845"/>
        </w:tabs>
        <w:rPr>
          <w:rFonts w:ascii="仿宋" w:eastAsia="仿宋" w:hAnsi="仿宋" w:cs="仿宋"/>
          <w:sz w:val="28"/>
          <w:szCs w:val="28"/>
        </w:rPr>
      </w:pPr>
      <w:hyperlink w:anchor="_Toc21923" w:history="1">
        <w:r w:rsidR="00E83E62">
          <w:rPr>
            <w:rFonts w:ascii="仿宋" w:eastAsia="仿宋" w:hAnsi="仿宋" w:cs="仿宋" w:hint="eastAsia"/>
            <w:sz w:val="28"/>
            <w:szCs w:val="28"/>
          </w:rPr>
          <w:t>十四、国有资本经营预算财政拨款支出决算表</w:t>
        </w:r>
        <w:r w:rsidR="00E83E62">
          <w:rPr>
            <w:rFonts w:ascii="仿宋" w:eastAsia="仿宋" w:hAnsi="仿宋" w:cs="仿宋" w:hint="eastAsia"/>
            <w:sz w:val="28"/>
            <w:szCs w:val="28"/>
          </w:rPr>
          <w:tab/>
        </w:r>
        <w:r>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 PAGEREF _Toc21923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E83E62">
          <w:rPr>
            <w:rFonts w:ascii="仿宋" w:eastAsia="仿宋" w:hAnsi="仿宋" w:cs="仿宋" w:hint="eastAsia"/>
            <w:sz w:val="28"/>
            <w:szCs w:val="28"/>
          </w:rPr>
          <w:t>39</w:t>
        </w:r>
        <w:r>
          <w:rPr>
            <w:rFonts w:ascii="仿宋" w:eastAsia="仿宋" w:hAnsi="仿宋" w:cs="仿宋" w:hint="eastAsia"/>
            <w:sz w:val="28"/>
            <w:szCs w:val="28"/>
          </w:rPr>
          <w:fldChar w:fldCharType="end"/>
        </w:r>
      </w:hyperlink>
    </w:p>
    <w:p w:rsidR="003C6718" w:rsidRDefault="003C6718">
      <w:pPr>
        <w:jc w:val="center"/>
        <w:rPr>
          <w:rFonts w:ascii="宋体" w:hAnsi="宋体" w:cs="宋体"/>
          <w:sz w:val="28"/>
          <w:szCs w:val="28"/>
        </w:rPr>
      </w:pPr>
      <w:r>
        <w:rPr>
          <w:rFonts w:ascii="仿宋" w:eastAsia="仿宋" w:hAnsi="仿宋" w:cs="仿宋" w:hint="eastAsia"/>
          <w:sz w:val="28"/>
          <w:szCs w:val="28"/>
        </w:rPr>
        <w:fldChar w:fldCharType="end"/>
      </w:r>
    </w:p>
    <w:p w:rsidR="003C6718" w:rsidRDefault="003C6718">
      <w:pPr>
        <w:pStyle w:val="WPSOffice1"/>
        <w:tabs>
          <w:tab w:val="right" w:leader="dot" w:pos="8845"/>
        </w:tabs>
        <w:rPr>
          <w:rFonts w:ascii="仿宋" w:eastAsia="仿宋" w:hAnsi="仿宋" w:cs="仿宋"/>
          <w:sz w:val="28"/>
          <w:szCs w:val="28"/>
        </w:rPr>
      </w:pPr>
      <w:r w:rsidRPr="003C6718">
        <w:rPr>
          <w:rFonts w:ascii="仿宋" w:eastAsia="仿宋" w:hAnsi="仿宋" w:cs="仿宋" w:hint="eastAsia"/>
          <w:sz w:val="28"/>
          <w:szCs w:val="28"/>
        </w:rPr>
        <w:fldChar w:fldCharType="begin"/>
      </w:r>
      <w:r w:rsidR="00E83E62">
        <w:rPr>
          <w:rFonts w:ascii="仿宋" w:eastAsia="仿宋" w:hAnsi="仿宋" w:cs="仿宋" w:hint="eastAsia"/>
          <w:sz w:val="28"/>
          <w:szCs w:val="28"/>
        </w:rPr>
        <w:instrText xml:space="preserve">TOC \o "1-2" \h \u </w:instrText>
      </w:r>
      <w:r w:rsidRPr="003C6718">
        <w:rPr>
          <w:rFonts w:ascii="仿宋" w:eastAsia="仿宋" w:hAnsi="仿宋" w:cs="仿宋" w:hint="eastAsia"/>
          <w:sz w:val="28"/>
          <w:szCs w:val="28"/>
        </w:rPr>
        <w:fldChar w:fldCharType="separate"/>
      </w:r>
    </w:p>
    <w:p w:rsidR="003C6718" w:rsidRDefault="003C6718">
      <w:pPr>
        <w:rPr>
          <w:rFonts w:ascii="仿宋" w:eastAsia="仿宋" w:hAnsi="仿宋" w:cs="仿宋"/>
          <w:sz w:val="28"/>
          <w:szCs w:val="28"/>
        </w:rPr>
      </w:pPr>
      <w:r>
        <w:rPr>
          <w:rFonts w:ascii="仿宋" w:eastAsia="仿宋" w:hAnsi="仿宋" w:cs="仿宋" w:hint="eastAsia"/>
          <w:sz w:val="28"/>
          <w:szCs w:val="28"/>
        </w:rPr>
        <w:fldChar w:fldCharType="end"/>
      </w:r>
    </w:p>
    <w:p w:rsidR="003C6718" w:rsidRDefault="003C6718">
      <w:pPr>
        <w:spacing w:line="576" w:lineRule="exact"/>
      </w:pPr>
    </w:p>
    <w:p w:rsidR="003C6718" w:rsidRDefault="003C6718">
      <w:pPr>
        <w:pStyle w:val="a3"/>
        <w:spacing w:before="93"/>
      </w:pPr>
    </w:p>
    <w:p w:rsidR="003C6718" w:rsidRDefault="003C6718">
      <w:pPr>
        <w:pStyle w:val="1"/>
        <w:spacing w:before="0" w:after="0" w:line="576" w:lineRule="exact"/>
        <w:jc w:val="center"/>
        <w:rPr>
          <w:rFonts w:ascii="黑体" w:eastAsia="黑体" w:hAnsi="黑体"/>
          <w:b w:val="0"/>
        </w:rPr>
        <w:sectPr w:rsidR="003C6718">
          <w:headerReference w:type="default" r:id="rId8"/>
          <w:footerReference w:type="default" r:id="rId9"/>
          <w:pgSz w:w="11906" w:h="16838"/>
          <w:pgMar w:top="2098" w:right="1474" w:bottom="1984" w:left="1587" w:header="851" w:footer="1559" w:gutter="0"/>
          <w:pgNumType w:start="1"/>
          <w:cols w:space="720"/>
          <w:titlePg/>
          <w:docGrid w:type="lines" w:linePitch="312"/>
        </w:sectPr>
      </w:pPr>
      <w:bookmarkStart w:id="31" w:name="_Toc26028"/>
      <w:bookmarkStart w:id="32" w:name="_Toc23179"/>
      <w:bookmarkStart w:id="33" w:name="_Toc29198"/>
      <w:bookmarkStart w:id="34" w:name="_Toc24886"/>
      <w:bookmarkStart w:id="35" w:name="_Toc9576"/>
      <w:bookmarkStart w:id="36" w:name="_Toc15377196"/>
      <w:bookmarkStart w:id="37" w:name="_Toc15396599"/>
    </w:p>
    <w:p w:rsidR="003C6718" w:rsidRDefault="00E83E62">
      <w:pPr>
        <w:pStyle w:val="1"/>
        <w:spacing w:before="0" w:after="0" w:line="560" w:lineRule="exact"/>
        <w:jc w:val="center"/>
        <w:rPr>
          <w:rFonts w:ascii="黑体" w:eastAsia="黑体"/>
          <w:sz w:val="32"/>
          <w:szCs w:val="32"/>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31"/>
      <w:bookmarkEnd w:id="32"/>
      <w:bookmarkEnd w:id="33"/>
      <w:bookmarkEnd w:id="34"/>
      <w:bookmarkEnd w:id="35"/>
      <w:bookmarkEnd w:id="36"/>
      <w:bookmarkEnd w:id="37"/>
    </w:p>
    <w:p w:rsidR="003C6718" w:rsidRDefault="003C6718">
      <w:pPr>
        <w:pStyle w:val="2"/>
        <w:spacing w:before="0" w:after="0" w:line="560" w:lineRule="exact"/>
        <w:rPr>
          <w:rFonts w:ascii="黑体" w:eastAsia="黑体" w:hAnsi="黑体"/>
          <w:b w:val="0"/>
        </w:rPr>
      </w:pPr>
      <w:bookmarkStart w:id="38" w:name="_Toc15396600"/>
      <w:bookmarkStart w:id="39" w:name="_Toc15377197"/>
    </w:p>
    <w:p w:rsidR="003C6718" w:rsidRDefault="00E83E62">
      <w:pPr>
        <w:pStyle w:val="2"/>
        <w:spacing w:before="0" w:after="0" w:line="560" w:lineRule="exact"/>
        <w:ind w:firstLineChars="200" w:firstLine="640"/>
        <w:rPr>
          <w:rStyle w:val="2Char"/>
          <w:rFonts w:ascii="仿宋" w:eastAsia="仿宋" w:hAnsi="仿宋"/>
        </w:rPr>
      </w:pPr>
      <w:bookmarkStart w:id="40" w:name="_Toc20152"/>
      <w:bookmarkStart w:id="41" w:name="_Toc16754"/>
      <w:bookmarkStart w:id="42" w:name="_Toc13240"/>
      <w:bookmarkStart w:id="43" w:name="_Toc11406"/>
      <w:bookmarkStart w:id="44" w:name="_Toc8311"/>
      <w:r>
        <w:rPr>
          <w:rFonts w:ascii="黑体" w:eastAsia="黑体" w:hAnsi="黑体" w:hint="eastAsia"/>
          <w:b w:val="0"/>
        </w:rPr>
        <w:t>一、基</w:t>
      </w:r>
      <w:r>
        <w:rPr>
          <w:rStyle w:val="2Char"/>
          <w:rFonts w:ascii="黑体" w:eastAsia="黑体" w:hAnsi="黑体" w:hint="eastAsia"/>
        </w:rPr>
        <w:t>本职能及主要工作</w:t>
      </w:r>
      <w:bookmarkEnd w:id="38"/>
      <w:bookmarkEnd w:id="39"/>
      <w:bookmarkEnd w:id="40"/>
      <w:bookmarkEnd w:id="41"/>
      <w:bookmarkEnd w:id="42"/>
      <w:bookmarkEnd w:id="43"/>
      <w:bookmarkEnd w:id="44"/>
    </w:p>
    <w:p w:rsidR="003C6718" w:rsidRDefault="00E83E62">
      <w:pPr>
        <w:pStyle w:val="a3"/>
        <w:adjustRightInd w:val="0"/>
        <w:snapToGrid w:val="0"/>
        <w:spacing w:beforeLines="0" w:line="560" w:lineRule="exact"/>
        <w:ind w:firstLineChars="210" w:firstLine="675"/>
        <w:outlineLvl w:val="2"/>
        <w:rPr>
          <w:rFonts w:ascii="楷体_GB2312" w:eastAsia="楷体_GB2312" w:hAnsi="楷体_GB2312" w:cs="楷体_GB2312"/>
          <w:b/>
          <w:sz w:val="32"/>
          <w:szCs w:val="32"/>
        </w:rPr>
      </w:pPr>
      <w:bookmarkStart w:id="45" w:name="_Toc15378445"/>
      <w:bookmarkStart w:id="46" w:name="_Toc15377198"/>
      <w:r>
        <w:rPr>
          <w:rFonts w:ascii="楷体_GB2312" w:eastAsia="楷体_GB2312" w:hAnsi="楷体_GB2312" w:cs="楷体_GB2312" w:hint="eastAsia"/>
          <w:b/>
          <w:sz w:val="32"/>
          <w:szCs w:val="32"/>
        </w:rPr>
        <w:t>（一）主要职能。</w:t>
      </w:r>
    </w:p>
    <w:bookmarkEnd w:id="45"/>
    <w:bookmarkEnd w:id="46"/>
    <w:p w:rsidR="003C6718" w:rsidRDefault="00E83E6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贯彻执行国家、省、市有关国土空间规划编制管理的方针、政策和法律、法规；承担市国土空间发展战略规划、公共政策、项目和计划的研究；</w:t>
      </w:r>
      <w:proofErr w:type="gramStart"/>
      <w:r>
        <w:rPr>
          <w:rFonts w:ascii="仿宋_GB2312" w:eastAsia="仿宋_GB2312" w:hAnsi="仿宋_GB2312" w:cs="仿宋_GB2312" w:hint="eastAsia"/>
          <w:sz w:val="32"/>
          <w:szCs w:val="32"/>
        </w:rPr>
        <w:t>拟订市</w:t>
      </w:r>
      <w:proofErr w:type="gramEnd"/>
      <w:r>
        <w:rPr>
          <w:rFonts w:ascii="仿宋_GB2312" w:eastAsia="仿宋_GB2312" w:hAnsi="仿宋_GB2312" w:cs="仿宋_GB2312" w:hint="eastAsia"/>
          <w:sz w:val="32"/>
          <w:szCs w:val="32"/>
        </w:rPr>
        <w:t>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w:t>
      </w:r>
      <w:bookmarkStart w:id="47" w:name="_GoBack"/>
      <w:bookmarkEnd w:id="47"/>
      <w:r>
        <w:rPr>
          <w:rFonts w:ascii="仿宋_GB2312" w:eastAsia="仿宋_GB2312" w:hAnsi="仿宋_GB2312" w:cs="仿宋_GB2312" w:hint="eastAsia"/>
          <w:sz w:val="32"/>
          <w:szCs w:val="32"/>
        </w:rPr>
        <w:t>址、论证、规划设计前期研究和规划设计方案审查。负责市国土空间规划信息数据平台实施维护和国土空间总体规划、详细规划等数据更新工作。完成市委、市政府和市自然资源局交办的其他任务。</w:t>
      </w:r>
    </w:p>
    <w:p w:rsidR="003C6718" w:rsidRDefault="00E83E62">
      <w:pPr>
        <w:pStyle w:val="a3"/>
        <w:adjustRightInd w:val="0"/>
        <w:snapToGrid w:val="0"/>
        <w:spacing w:beforeLines="0" w:line="560" w:lineRule="exact"/>
        <w:ind w:firstLineChars="210" w:firstLine="675"/>
        <w:outlineLvl w:val="2"/>
        <w:rPr>
          <w:rFonts w:ascii="楷体_GB2312" w:eastAsia="楷体_GB2312" w:hAnsi="楷体_GB2312" w:cs="楷体_GB2312"/>
          <w:b/>
          <w:sz w:val="32"/>
          <w:szCs w:val="32"/>
        </w:rPr>
      </w:pPr>
      <w:bookmarkStart w:id="48" w:name="_Toc15377199"/>
      <w:bookmarkStart w:id="49" w:name="_Toc15378446"/>
      <w:r>
        <w:rPr>
          <w:rFonts w:ascii="楷体_GB2312" w:eastAsia="楷体_GB2312" w:hAnsi="楷体_GB2312" w:cs="楷体_GB2312" w:hint="eastAsia"/>
          <w:b/>
          <w:sz w:val="32"/>
          <w:szCs w:val="32"/>
        </w:rPr>
        <w:t>（二）2022年重点工作完成情况。</w:t>
      </w:r>
      <w:bookmarkEnd w:id="48"/>
      <w:bookmarkEnd w:id="49"/>
    </w:p>
    <w:p w:rsidR="003C6718" w:rsidRDefault="00E83E62">
      <w:pPr>
        <w:spacing w:line="560" w:lineRule="exact"/>
        <w:ind w:firstLineChars="200" w:firstLine="640"/>
        <w:rPr>
          <w:rFonts w:ascii="仿宋_GB2312" w:eastAsia="仿宋_GB2312" w:hAnsi="仿宋_GB2312" w:cs="仿宋_GB2312"/>
          <w:sz w:val="32"/>
          <w:szCs w:val="32"/>
        </w:rPr>
      </w:pPr>
      <w:bookmarkStart w:id="50" w:name="_Toc26608"/>
      <w:bookmarkStart w:id="51" w:name="_Toc1578"/>
      <w:bookmarkStart w:id="52" w:name="_Toc15396601"/>
      <w:bookmarkStart w:id="53" w:name="_Toc15377200"/>
      <w:bookmarkStart w:id="54" w:name="_Toc24746"/>
      <w:bookmarkStart w:id="55" w:name="_Toc15858"/>
      <w:r>
        <w:rPr>
          <w:rFonts w:ascii="楷体_GB2312" w:eastAsia="楷体_GB2312" w:hint="eastAsia"/>
          <w:sz w:val="32"/>
          <w:szCs w:val="32"/>
        </w:rPr>
        <w:t>1.强化规划引领，全面开展规划编制研究。</w:t>
      </w:r>
      <w:r>
        <w:rPr>
          <w:rFonts w:ascii="仿宋_GB2312" w:eastAsia="仿宋_GB2312" w:hint="eastAsia"/>
          <w:b/>
          <w:sz w:val="32"/>
          <w:szCs w:val="32"/>
        </w:rPr>
        <w:t>一是</w:t>
      </w:r>
      <w:r>
        <w:rPr>
          <w:rFonts w:ascii="仿宋_GB2312" w:eastAsia="仿宋_GB2312" w:hint="eastAsia"/>
          <w:sz w:val="32"/>
          <w:szCs w:val="32"/>
        </w:rPr>
        <w:t>积极参与推进“三区三线”划定和国土空间总体规划编制工作，加快推进第</w:t>
      </w:r>
      <w:r>
        <w:rPr>
          <w:rFonts w:ascii="仿宋_GB2312" w:eastAsia="仿宋_GB2312" w:hint="eastAsia"/>
          <w:sz w:val="32"/>
          <w:szCs w:val="32"/>
        </w:rPr>
        <w:lastRenderedPageBreak/>
        <w:t>一批次15个乡镇片区规划编制。</w:t>
      </w:r>
      <w:r>
        <w:rPr>
          <w:rFonts w:ascii="仿宋_GB2312" w:eastAsia="仿宋_GB2312" w:hint="eastAsia"/>
          <w:b/>
          <w:sz w:val="32"/>
          <w:szCs w:val="32"/>
        </w:rPr>
        <w:t>二是</w:t>
      </w:r>
      <w:r>
        <w:rPr>
          <w:rFonts w:ascii="仿宋_GB2312" w:eastAsia="仿宋_GB2312" w:hint="eastAsia"/>
          <w:sz w:val="32"/>
          <w:szCs w:val="32"/>
        </w:rPr>
        <w:t>完成《2021年度广元市国土空间规划城市体检报告》和2017</w:t>
      </w:r>
      <w:proofErr w:type="gramStart"/>
      <w:r>
        <w:rPr>
          <w:rFonts w:ascii="仿宋_GB2312" w:eastAsia="仿宋_GB2312" w:hint="eastAsia"/>
          <w:sz w:val="32"/>
          <w:szCs w:val="32"/>
        </w:rPr>
        <w:t>版城市控规</w:t>
      </w:r>
      <w:proofErr w:type="gramEnd"/>
      <w:r>
        <w:rPr>
          <w:rFonts w:ascii="仿宋_GB2312" w:eastAsia="仿宋_GB2312" w:hint="eastAsia"/>
          <w:sz w:val="32"/>
          <w:szCs w:val="32"/>
        </w:rPr>
        <w:t>遗留问题处置，启动《2022年度广元市国土空间规划城市体检报告》编制。</w:t>
      </w:r>
      <w:r>
        <w:rPr>
          <w:rFonts w:ascii="仿宋_GB2312" w:eastAsia="仿宋_GB2312" w:hint="eastAsia"/>
          <w:b/>
          <w:sz w:val="32"/>
          <w:szCs w:val="32"/>
        </w:rPr>
        <w:t>三是</w:t>
      </w:r>
      <w:r>
        <w:rPr>
          <w:rFonts w:ascii="仿宋_GB2312" w:eastAsia="仿宋_GB2312" w:hint="eastAsia"/>
          <w:sz w:val="32"/>
          <w:szCs w:val="32"/>
        </w:rPr>
        <w:t>完成</w:t>
      </w:r>
      <w:r>
        <w:rPr>
          <w:rFonts w:ascii="仿宋_GB2312" w:eastAsia="仿宋_GB2312" w:hAnsi="仿宋_GB2312" w:cs="仿宋_GB2312" w:hint="eastAsia"/>
          <w:sz w:val="32"/>
          <w:szCs w:val="32"/>
        </w:rPr>
        <w:t>广元市历史文化名城保护规划（2017-2035）修编并获省政府批复。</w:t>
      </w:r>
      <w:r>
        <w:rPr>
          <w:rFonts w:ascii="仿宋_GB2312" w:eastAsia="仿宋_GB2312" w:hAnsi="仿宋_GB2312" w:cs="仿宋_GB2312" w:hint="eastAsia"/>
          <w:b/>
          <w:sz w:val="32"/>
          <w:szCs w:val="32"/>
        </w:rPr>
        <w:t>四是</w:t>
      </w:r>
      <w:r>
        <w:rPr>
          <w:rFonts w:ascii="仿宋_GB2312" w:eastAsia="仿宋_GB2312" w:hAnsi="仿宋_GB2312" w:cs="仿宋_GB2312" w:hint="eastAsia"/>
          <w:sz w:val="32"/>
          <w:szCs w:val="32"/>
        </w:rPr>
        <w:t>完成“女儿节”永久会址概念规划、</w:t>
      </w:r>
      <w:r>
        <w:rPr>
          <w:rFonts w:ascii="仿宋_GB2312" w:eastAsia="仿宋_GB2312" w:hAnsi="CESI仿宋-GB2312" w:cs="CESI仿宋-GB2312" w:hint="eastAsia"/>
          <w:sz w:val="32"/>
          <w:szCs w:val="32"/>
        </w:rPr>
        <w:t>中心城区充电桩规划、户外广告规划等8个专项规划方案编制。启动了照明专项规划、停车场规划</w:t>
      </w:r>
      <w:r>
        <w:rPr>
          <w:rFonts w:ascii="仿宋_GB2312" w:eastAsia="仿宋_GB2312" w:hAnsi="宋体" w:hint="eastAsia"/>
          <w:sz w:val="32"/>
          <w:szCs w:val="32"/>
        </w:rPr>
        <w:t>、石龙工业园策划及概念规划、盘龙空港产业园策划及概念规划</w:t>
      </w:r>
      <w:r>
        <w:rPr>
          <w:rFonts w:ascii="仿宋_GB2312" w:eastAsia="仿宋_GB2312" w:hAnsi="CESI仿宋-GB2312" w:cs="CESI仿宋-GB2312" w:hint="eastAsia"/>
          <w:sz w:val="32"/>
          <w:szCs w:val="32"/>
        </w:rPr>
        <w:t>等规划编制。</w:t>
      </w:r>
      <w:r>
        <w:rPr>
          <w:rFonts w:ascii="仿宋_GB2312" w:eastAsia="仿宋_GB2312" w:hAnsi="CESI仿宋-GB2312" w:cs="CESI仿宋-GB2312" w:hint="eastAsia"/>
          <w:b/>
          <w:sz w:val="32"/>
          <w:szCs w:val="32"/>
        </w:rPr>
        <w:t>五是</w:t>
      </w:r>
      <w:r>
        <w:rPr>
          <w:rFonts w:ascii="仿宋_GB2312" w:eastAsia="仿宋_GB2312" w:hAnsi="CESI仿宋-GB2312" w:cs="CESI仿宋-GB2312" w:hint="eastAsia"/>
          <w:sz w:val="32"/>
          <w:szCs w:val="32"/>
        </w:rPr>
        <w:t>开展中心城区部分地块控</w:t>
      </w:r>
      <w:proofErr w:type="gramStart"/>
      <w:r>
        <w:rPr>
          <w:rFonts w:ascii="仿宋_GB2312" w:eastAsia="仿宋_GB2312" w:hAnsi="CESI仿宋-GB2312" w:cs="CESI仿宋-GB2312" w:hint="eastAsia"/>
          <w:sz w:val="32"/>
          <w:szCs w:val="32"/>
        </w:rPr>
        <w:t>规</w:t>
      </w:r>
      <w:proofErr w:type="gramEnd"/>
      <w:r>
        <w:rPr>
          <w:rFonts w:ascii="仿宋_GB2312" w:eastAsia="仿宋_GB2312" w:hAnsi="CESI仿宋-GB2312" w:cs="CESI仿宋-GB2312" w:hint="eastAsia"/>
          <w:sz w:val="32"/>
          <w:szCs w:val="32"/>
        </w:rPr>
        <w:t>调整，完成行政中心周边地块和雪峰片区、工农片区部分地块等5项控</w:t>
      </w:r>
      <w:proofErr w:type="gramStart"/>
      <w:r>
        <w:rPr>
          <w:rFonts w:ascii="仿宋_GB2312" w:eastAsia="仿宋_GB2312" w:hAnsi="CESI仿宋-GB2312" w:cs="CESI仿宋-GB2312" w:hint="eastAsia"/>
          <w:sz w:val="32"/>
          <w:szCs w:val="32"/>
        </w:rPr>
        <w:t>规</w:t>
      </w:r>
      <w:proofErr w:type="gramEnd"/>
      <w:r>
        <w:rPr>
          <w:rFonts w:ascii="仿宋_GB2312" w:eastAsia="仿宋_GB2312" w:hAnsi="CESI仿宋-GB2312" w:cs="CESI仿宋-GB2312" w:hint="eastAsia"/>
          <w:sz w:val="32"/>
          <w:szCs w:val="32"/>
        </w:rPr>
        <w:t>调整工作。启动了大</w:t>
      </w:r>
      <w:proofErr w:type="gramStart"/>
      <w:r>
        <w:rPr>
          <w:rFonts w:ascii="仿宋_GB2312" w:eastAsia="仿宋_GB2312" w:hAnsi="CESI仿宋-GB2312" w:cs="CESI仿宋-GB2312" w:hint="eastAsia"/>
          <w:sz w:val="32"/>
          <w:szCs w:val="32"/>
        </w:rPr>
        <w:t>石前进</w:t>
      </w:r>
      <w:proofErr w:type="gramEnd"/>
      <w:r>
        <w:rPr>
          <w:rFonts w:ascii="仿宋_GB2312" w:eastAsia="仿宋_GB2312" w:hAnsi="CESI仿宋-GB2312" w:cs="CESI仿宋-GB2312" w:hint="eastAsia"/>
          <w:sz w:val="32"/>
          <w:szCs w:val="32"/>
        </w:rPr>
        <w:t>片区控</w:t>
      </w:r>
      <w:proofErr w:type="gramStart"/>
      <w:r>
        <w:rPr>
          <w:rFonts w:ascii="仿宋_GB2312" w:eastAsia="仿宋_GB2312" w:hAnsi="CESI仿宋-GB2312" w:cs="CESI仿宋-GB2312" w:hint="eastAsia"/>
          <w:sz w:val="32"/>
          <w:szCs w:val="32"/>
        </w:rPr>
        <w:t>规</w:t>
      </w:r>
      <w:proofErr w:type="gramEnd"/>
      <w:r>
        <w:rPr>
          <w:rFonts w:ascii="仿宋_GB2312" w:eastAsia="仿宋_GB2312" w:hAnsi="CESI仿宋-GB2312" w:cs="CESI仿宋-GB2312" w:hint="eastAsia"/>
          <w:sz w:val="32"/>
          <w:szCs w:val="32"/>
        </w:rPr>
        <w:t>调整及城市设计、凤凰山棚户区控</w:t>
      </w:r>
      <w:proofErr w:type="gramStart"/>
      <w:r>
        <w:rPr>
          <w:rFonts w:ascii="仿宋_GB2312" w:eastAsia="仿宋_GB2312" w:hAnsi="CESI仿宋-GB2312" w:cs="CESI仿宋-GB2312" w:hint="eastAsia"/>
          <w:sz w:val="32"/>
          <w:szCs w:val="32"/>
        </w:rPr>
        <w:t>规</w:t>
      </w:r>
      <w:proofErr w:type="gramEnd"/>
      <w:r>
        <w:rPr>
          <w:rFonts w:ascii="仿宋_GB2312" w:eastAsia="仿宋_GB2312" w:hAnsi="CESI仿宋-GB2312" w:cs="CESI仿宋-GB2312" w:hint="eastAsia"/>
          <w:sz w:val="32"/>
          <w:szCs w:val="32"/>
        </w:rPr>
        <w:t>调整工作。</w:t>
      </w:r>
      <w:r>
        <w:rPr>
          <w:rFonts w:ascii="仿宋_GB2312" w:eastAsia="仿宋_GB2312" w:hAnsi="CESI仿宋-GB2312" w:cs="CESI仿宋-GB2312" w:hint="eastAsia"/>
          <w:b/>
          <w:sz w:val="32"/>
          <w:szCs w:val="32"/>
        </w:rPr>
        <w:t>六</w:t>
      </w:r>
      <w:r>
        <w:rPr>
          <w:rFonts w:ascii="仿宋_GB2312" w:eastAsia="仿宋_GB2312" w:hint="eastAsia"/>
          <w:b/>
          <w:sz w:val="32"/>
          <w:szCs w:val="32"/>
        </w:rPr>
        <w:t>是</w:t>
      </w:r>
      <w:r>
        <w:rPr>
          <w:rFonts w:ascii="仿宋_GB2312" w:eastAsia="仿宋_GB2312" w:hint="eastAsia"/>
          <w:sz w:val="32"/>
          <w:szCs w:val="32"/>
        </w:rPr>
        <w:t>高质量开展规划研究。结合广元市城市发展方向，完成广元市城市性质研究并形成《广元市城市性质研究报告》，开展了</w:t>
      </w:r>
      <w:r>
        <w:rPr>
          <w:rFonts w:ascii="仿宋_GB2312" w:eastAsia="仿宋_GB2312" w:hAnsi="宋体" w:hint="eastAsia"/>
          <w:sz w:val="32"/>
          <w:szCs w:val="32"/>
        </w:rPr>
        <w:t>城市记忆、国土空间规划、口袋公园、城区公厕、</w:t>
      </w:r>
      <w:r>
        <w:rPr>
          <w:rFonts w:ascii="仿宋_GB2312" w:eastAsia="仿宋_GB2312" w:hAnsi="仿宋_GB2312" w:cs="仿宋_GB2312" w:hint="eastAsia"/>
          <w:sz w:val="32"/>
          <w:szCs w:val="32"/>
        </w:rPr>
        <w:t>体育公园布局布点研究</w:t>
      </w:r>
      <w:r>
        <w:rPr>
          <w:rFonts w:ascii="仿宋_GB2312" w:eastAsia="仿宋_GB2312" w:hint="eastAsia"/>
          <w:sz w:val="32"/>
          <w:szCs w:val="32"/>
        </w:rPr>
        <w:t>。为优化我市滨水空间及其周边空间布局结构、加强历史文化遗产传承保护和城市风貌塑造，启动了</w:t>
      </w:r>
      <w:bookmarkStart w:id="56" w:name="_Hlk119919702"/>
      <w:r>
        <w:rPr>
          <w:rFonts w:ascii="仿宋_GB2312" w:eastAsia="仿宋_GB2312" w:hint="eastAsia"/>
          <w:sz w:val="32"/>
          <w:szCs w:val="32"/>
        </w:rPr>
        <w:t>嘉陵江、南河</w:t>
      </w:r>
      <w:bookmarkEnd w:id="56"/>
      <w:r>
        <w:rPr>
          <w:rFonts w:ascii="仿宋_GB2312" w:eastAsia="仿宋_GB2312" w:hint="eastAsia"/>
          <w:sz w:val="32"/>
          <w:szCs w:val="32"/>
        </w:rPr>
        <w:t>片区</w:t>
      </w:r>
      <w:proofErr w:type="gramStart"/>
      <w:r>
        <w:rPr>
          <w:rFonts w:ascii="仿宋_GB2312" w:eastAsia="仿宋_GB2312" w:hint="eastAsia"/>
          <w:sz w:val="32"/>
          <w:szCs w:val="32"/>
        </w:rPr>
        <w:t>两江四岸</w:t>
      </w:r>
      <w:proofErr w:type="gramEnd"/>
      <w:r>
        <w:rPr>
          <w:rFonts w:ascii="仿宋_GB2312" w:eastAsia="仿宋_GB2312" w:hint="eastAsia"/>
          <w:sz w:val="32"/>
          <w:szCs w:val="32"/>
        </w:rPr>
        <w:t>滨水空间规划研究工作。</w:t>
      </w:r>
    </w:p>
    <w:p w:rsidR="003C6718" w:rsidRDefault="00E83E62">
      <w:pPr>
        <w:spacing w:line="560" w:lineRule="exact"/>
        <w:ind w:firstLineChars="200" w:firstLine="640"/>
        <w:rPr>
          <w:rFonts w:ascii="仿宋_GB2312" w:eastAsia="仿宋_GB2312" w:hAnsi="仿宋" w:cs="楷体_GB2312"/>
          <w:bCs/>
          <w:sz w:val="32"/>
          <w:szCs w:val="32"/>
        </w:rPr>
      </w:pPr>
      <w:r>
        <w:rPr>
          <w:rFonts w:ascii="楷体_GB2312" w:eastAsia="楷体_GB2312" w:hint="eastAsia"/>
          <w:sz w:val="32"/>
          <w:szCs w:val="32"/>
        </w:rPr>
        <w:t>2.强化要素保障，全方面做好规划服务保障。</w:t>
      </w:r>
      <w:r>
        <w:rPr>
          <w:rFonts w:ascii="仿宋_GB2312" w:eastAsia="仿宋_GB2312" w:hAnsi="仿宋_GB2312" w:cs="仿宋_GB2312" w:hint="eastAsia"/>
          <w:b/>
          <w:sz w:val="32"/>
          <w:szCs w:val="32"/>
        </w:rPr>
        <w:t>一是</w:t>
      </w:r>
      <w:r>
        <w:rPr>
          <w:rFonts w:ascii="仿宋_GB2312" w:eastAsia="仿宋_GB2312" w:hint="eastAsia"/>
          <w:sz w:val="32"/>
          <w:szCs w:val="32"/>
        </w:rPr>
        <w:t>优化营商环境。先后制定出台了《规划服务“八项制度”》《全面落实规划服务“八项制度”责任清单》和《规划助企纾困促发展活动方案》，大力推行“请进来、走出去”服务方式，着力打通服务企业、服务项目的“最后一公里”。截至12月底，开展“规划助企</w:t>
      </w:r>
      <w:proofErr w:type="gramStart"/>
      <w:r>
        <w:rPr>
          <w:rFonts w:ascii="仿宋_GB2312" w:eastAsia="仿宋_GB2312" w:hint="eastAsia"/>
          <w:sz w:val="32"/>
          <w:szCs w:val="32"/>
        </w:rPr>
        <w:t>纾</w:t>
      </w:r>
      <w:proofErr w:type="gramEnd"/>
      <w:r>
        <w:rPr>
          <w:rFonts w:ascii="仿宋_GB2312" w:eastAsia="仿宋_GB2312" w:hint="eastAsia"/>
          <w:sz w:val="32"/>
          <w:szCs w:val="32"/>
        </w:rPr>
        <w:t>困促发展”活动19期，帮助领地集团、万达实验学校等40</w:t>
      </w:r>
      <w:r>
        <w:rPr>
          <w:rFonts w:ascii="仿宋_GB2312" w:eastAsia="仿宋_GB2312" w:hint="eastAsia"/>
          <w:sz w:val="32"/>
          <w:szCs w:val="32"/>
        </w:rPr>
        <w:lastRenderedPageBreak/>
        <w:t>余家企业、单位和群众，解决项目规划方面问题60余个，提出工作建议50余条。</w:t>
      </w:r>
      <w:r>
        <w:rPr>
          <w:rFonts w:ascii="仿宋_GB2312" w:eastAsia="仿宋_GB2312" w:hint="eastAsia"/>
          <w:b/>
          <w:sz w:val="32"/>
          <w:szCs w:val="32"/>
        </w:rPr>
        <w:t>二是</w:t>
      </w:r>
      <w:r>
        <w:rPr>
          <w:rFonts w:ascii="仿宋_GB2312" w:eastAsia="仿宋_GB2312" w:hAnsi="仿宋_GB2312" w:cs="仿宋_GB2312" w:hint="eastAsia"/>
          <w:sz w:val="32"/>
          <w:szCs w:val="32"/>
        </w:rPr>
        <w:t>全力抓好地方政府专项</w:t>
      </w:r>
      <w:proofErr w:type="gramStart"/>
      <w:r>
        <w:rPr>
          <w:rFonts w:ascii="仿宋_GB2312" w:eastAsia="仿宋_GB2312" w:hAnsi="宋体" w:cs="宋体" w:hint="eastAsia"/>
          <w:kern w:val="0"/>
          <w:sz w:val="32"/>
          <w:szCs w:val="32"/>
        </w:rPr>
        <w:t>债项目</w:t>
      </w:r>
      <w:proofErr w:type="gramEnd"/>
      <w:r>
        <w:rPr>
          <w:rFonts w:ascii="仿宋_GB2312" w:eastAsia="仿宋_GB2312" w:hAnsi="宋体" w:cs="宋体" w:hint="eastAsia"/>
          <w:kern w:val="0"/>
          <w:sz w:val="32"/>
          <w:szCs w:val="32"/>
        </w:rPr>
        <w:t>规划服务保障和重点产业项目规划服务，制定了《支持2022年地方政府专项债及中省预算内项目申报工作的九条措施》和</w:t>
      </w:r>
      <w:r>
        <w:rPr>
          <w:rFonts w:ascii="仿宋_GB2312" w:eastAsia="仿宋_GB2312" w:hint="eastAsia"/>
          <w:sz w:val="32"/>
          <w:szCs w:val="32"/>
        </w:rPr>
        <w:t>《拼经济搞建设强化重点产业项目规划要素保障八条措施》，建立了服务项目每周一会商、每月一调度、每月一通报的“三个一”运行机制</w:t>
      </w:r>
      <w:r>
        <w:rPr>
          <w:rFonts w:ascii="仿宋_GB2312" w:eastAsia="仿宋_GB2312" w:hAnsi="宋体" w:cs="宋体" w:hint="eastAsia"/>
          <w:kern w:val="0"/>
          <w:sz w:val="32"/>
          <w:szCs w:val="32"/>
        </w:rPr>
        <w:t>。</w:t>
      </w:r>
      <w:r>
        <w:rPr>
          <w:rFonts w:ascii="仿宋_GB2312" w:eastAsia="仿宋_GB2312" w:hint="eastAsia"/>
          <w:b/>
          <w:sz w:val="32"/>
          <w:szCs w:val="32"/>
        </w:rPr>
        <w:t>三是</w:t>
      </w:r>
      <w:r>
        <w:rPr>
          <w:rFonts w:ascii="仿宋_GB2312" w:eastAsia="仿宋_GB2312" w:hint="eastAsia"/>
          <w:sz w:val="32"/>
          <w:szCs w:val="32"/>
        </w:rPr>
        <w:t>建立建设项目即报即审模式，完成安全坝修建性详细规划、</w:t>
      </w:r>
      <w:r>
        <w:rPr>
          <w:rFonts w:ascii="仿宋_GB2312" w:eastAsia="仿宋_GB2312" w:hAnsi="仿宋" w:cs="宋体" w:hint="eastAsia"/>
          <w:kern w:val="0"/>
          <w:sz w:val="32"/>
          <w:szCs w:val="32"/>
        </w:rPr>
        <w:t>黑石坡</w:t>
      </w:r>
      <w:proofErr w:type="gramStart"/>
      <w:r>
        <w:rPr>
          <w:rFonts w:ascii="仿宋_GB2312" w:eastAsia="仿宋_GB2312" w:hAnsi="仿宋" w:cs="宋体" w:hint="eastAsia"/>
          <w:kern w:val="0"/>
          <w:sz w:val="32"/>
          <w:szCs w:val="32"/>
        </w:rPr>
        <w:t>森林康养生态</w:t>
      </w:r>
      <w:proofErr w:type="gramEnd"/>
      <w:r>
        <w:rPr>
          <w:rFonts w:ascii="仿宋_GB2312" w:eastAsia="仿宋_GB2312" w:hAnsi="仿宋" w:cs="宋体" w:hint="eastAsia"/>
          <w:kern w:val="0"/>
          <w:sz w:val="32"/>
          <w:szCs w:val="32"/>
        </w:rPr>
        <w:t>旅游</w:t>
      </w:r>
      <w:proofErr w:type="gramStart"/>
      <w:r>
        <w:rPr>
          <w:rFonts w:ascii="仿宋_GB2312" w:eastAsia="仿宋_GB2312" w:hAnsi="仿宋" w:cs="宋体" w:hint="eastAsia"/>
          <w:kern w:val="0"/>
          <w:sz w:val="32"/>
          <w:szCs w:val="32"/>
        </w:rPr>
        <w:t>园规</w:t>
      </w:r>
      <w:proofErr w:type="gramEnd"/>
      <w:r>
        <w:rPr>
          <w:rFonts w:ascii="仿宋_GB2312" w:eastAsia="仿宋_GB2312" w:hAnsi="仿宋" w:cs="宋体" w:hint="eastAsia"/>
          <w:kern w:val="0"/>
          <w:sz w:val="32"/>
          <w:szCs w:val="32"/>
        </w:rPr>
        <w:t>划方案、</w:t>
      </w:r>
      <w:r>
        <w:rPr>
          <w:rFonts w:ascii="仿宋_GB2312" w:eastAsia="仿宋_GB2312" w:hint="eastAsia"/>
          <w:sz w:val="32"/>
          <w:szCs w:val="32"/>
        </w:rPr>
        <w:t>三江</w:t>
      </w:r>
      <w:proofErr w:type="gramStart"/>
      <w:r>
        <w:rPr>
          <w:rFonts w:ascii="仿宋_GB2312" w:eastAsia="仿宋_GB2312" w:hint="eastAsia"/>
          <w:sz w:val="32"/>
          <w:szCs w:val="32"/>
        </w:rPr>
        <w:t>职教园</w:t>
      </w:r>
      <w:proofErr w:type="gramEnd"/>
      <w:r>
        <w:rPr>
          <w:rFonts w:ascii="仿宋_GB2312" w:eastAsia="仿宋_GB2312" w:hint="eastAsia"/>
          <w:sz w:val="32"/>
          <w:szCs w:val="32"/>
        </w:rPr>
        <w:t>策划方案、</w:t>
      </w:r>
      <w:r>
        <w:rPr>
          <w:rFonts w:ascii="仿宋_GB2312" w:eastAsia="仿宋_GB2312" w:hAnsi="宋体" w:hint="eastAsia"/>
          <w:sz w:val="32"/>
          <w:szCs w:val="32"/>
        </w:rPr>
        <w:t>市委党校、金九路、利州东路二段、长征文化公园</w:t>
      </w:r>
      <w:r>
        <w:rPr>
          <w:rFonts w:ascii="仿宋_GB2312" w:eastAsia="仿宋_GB2312" w:hint="eastAsia"/>
          <w:sz w:val="32"/>
          <w:szCs w:val="32"/>
        </w:rPr>
        <w:t>等40余个重点项目规划方案审查，完成</w:t>
      </w:r>
      <w:r>
        <w:rPr>
          <w:rFonts w:ascii="仿宋_GB2312" w:eastAsia="仿宋_GB2312" w:hAnsi="仿宋" w:cs="宋体" w:hint="eastAsia"/>
          <w:kern w:val="0"/>
          <w:sz w:val="32"/>
          <w:szCs w:val="32"/>
        </w:rPr>
        <w:t>和成</w:t>
      </w:r>
      <w:proofErr w:type="gramStart"/>
      <w:r>
        <w:rPr>
          <w:rFonts w:ascii="仿宋_GB2312" w:eastAsia="仿宋_GB2312" w:hAnsi="仿宋" w:cs="宋体" w:hint="eastAsia"/>
          <w:kern w:val="0"/>
          <w:sz w:val="32"/>
          <w:szCs w:val="32"/>
        </w:rPr>
        <w:t>锦绣等</w:t>
      </w:r>
      <w:proofErr w:type="gramEnd"/>
      <w:r>
        <w:rPr>
          <w:rFonts w:ascii="仿宋_GB2312" w:eastAsia="仿宋_GB2312" w:hAnsi="仿宋" w:cs="宋体" w:hint="eastAsia"/>
          <w:kern w:val="0"/>
          <w:sz w:val="32"/>
          <w:szCs w:val="32"/>
        </w:rPr>
        <w:t>20余个建筑设计方案审查，</w:t>
      </w:r>
      <w:r>
        <w:rPr>
          <w:rStyle w:val="NormalCharacter"/>
          <w:rFonts w:ascii="仿宋_GB2312" w:eastAsia="仿宋_GB2312" w:hint="eastAsia"/>
          <w:sz w:val="32"/>
          <w:szCs w:val="32"/>
        </w:rPr>
        <w:t>共组织</w:t>
      </w:r>
      <w:proofErr w:type="gramStart"/>
      <w:r>
        <w:rPr>
          <w:rStyle w:val="NormalCharacter"/>
          <w:rFonts w:ascii="仿宋_GB2312" w:eastAsia="仿宋_GB2312" w:hint="eastAsia"/>
          <w:sz w:val="32"/>
          <w:szCs w:val="32"/>
        </w:rPr>
        <w:t>召开市专委</w:t>
      </w:r>
      <w:proofErr w:type="gramEnd"/>
      <w:r>
        <w:rPr>
          <w:rStyle w:val="NormalCharacter"/>
          <w:rFonts w:ascii="仿宋_GB2312" w:eastAsia="仿宋_GB2312" w:hint="eastAsia"/>
          <w:sz w:val="32"/>
          <w:szCs w:val="32"/>
        </w:rPr>
        <w:t>会45期、审查项目160个，市</w:t>
      </w:r>
      <w:proofErr w:type="gramStart"/>
      <w:r>
        <w:rPr>
          <w:rStyle w:val="NormalCharacter"/>
          <w:rFonts w:ascii="仿宋_GB2312" w:eastAsia="仿宋_GB2312" w:hint="eastAsia"/>
          <w:sz w:val="32"/>
          <w:szCs w:val="32"/>
        </w:rPr>
        <w:t>规</w:t>
      </w:r>
      <w:proofErr w:type="gramEnd"/>
      <w:r>
        <w:rPr>
          <w:rStyle w:val="NormalCharacter"/>
          <w:rFonts w:ascii="仿宋_GB2312" w:eastAsia="仿宋_GB2312" w:hint="eastAsia"/>
          <w:sz w:val="32"/>
          <w:szCs w:val="32"/>
        </w:rPr>
        <w:t>委会16期、审查项目80余个，</w:t>
      </w:r>
      <w:r>
        <w:rPr>
          <w:rStyle w:val="NormalCharacter"/>
          <w:rFonts w:ascii="仿宋_GB2312" w:eastAsia="仿宋_GB2312" w:hAnsi="仿宋" w:cs="仿宋" w:hint="eastAsia"/>
          <w:sz w:val="32"/>
          <w:szCs w:val="32"/>
        </w:rPr>
        <w:t>通过率达到90%以上</w:t>
      </w:r>
      <w:r>
        <w:rPr>
          <w:rStyle w:val="NormalCharacter"/>
          <w:rFonts w:ascii="仿宋_GB2312" w:eastAsia="仿宋_GB2312" w:hint="eastAsia"/>
          <w:sz w:val="32"/>
          <w:szCs w:val="32"/>
        </w:rPr>
        <w:t>。</w:t>
      </w:r>
      <w:r>
        <w:rPr>
          <w:rStyle w:val="NormalCharacter"/>
          <w:rFonts w:ascii="仿宋_GB2312" w:eastAsia="仿宋_GB2312" w:hint="eastAsia"/>
          <w:b/>
          <w:sz w:val="32"/>
          <w:szCs w:val="32"/>
        </w:rPr>
        <w:t>四是</w:t>
      </w:r>
      <w:r>
        <w:rPr>
          <w:rStyle w:val="NormalCharacter"/>
          <w:rFonts w:ascii="仿宋_GB2312" w:eastAsia="仿宋_GB2312" w:hint="eastAsia"/>
          <w:sz w:val="32"/>
          <w:szCs w:val="32"/>
        </w:rPr>
        <w:t>完成</w:t>
      </w:r>
      <w:r>
        <w:rPr>
          <w:rFonts w:ascii="仿宋_GB2312" w:eastAsia="仿宋_GB2312" w:hAnsi="CESI仿宋-GB2312" w:cs="CESI仿宋-GB2312" w:hint="eastAsia"/>
          <w:sz w:val="32"/>
          <w:szCs w:val="32"/>
        </w:rPr>
        <w:t>821</w:t>
      </w:r>
      <w:proofErr w:type="gramStart"/>
      <w:r>
        <w:rPr>
          <w:rFonts w:ascii="仿宋_GB2312" w:eastAsia="仿宋_GB2312" w:hAnsi="CESI仿宋-GB2312" w:cs="CESI仿宋-GB2312" w:hint="eastAsia"/>
          <w:sz w:val="32"/>
          <w:szCs w:val="32"/>
        </w:rPr>
        <w:t>厂铁路</w:t>
      </w:r>
      <w:proofErr w:type="gramEnd"/>
      <w:r>
        <w:rPr>
          <w:rFonts w:ascii="仿宋_GB2312" w:eastAsia="仿宋_GB2312" w:hAnsi="CESI仿宋-GB2312" w:cs="CESI仿宋-GB2312" w:hint="eastAsia"/>
          <w:sz w:val="32"/>
          <w:szCs w:val="32"/>
        </w:rPr>
        <w:t>迁建、</w:t>
      </w:r>
      <w:r>
        <w:rPr>
          <w:rFonts w:ascii="仿宋_GB2312" w:eastAsia="仿宋_GB2312" w:hAnsi="宋体" w:cs="宋体" w:hint="eastAsia"/>
          <w:kern w:val="0"/>
          <w:sz w:val="32"/>
          <w:szCs w:val="32"/>
        </w:rPr>
        <w:t>博物馆搬迁、广元铁路综合物流基地、</w:t>
      </w:r>
      <w:proofErr w:type="gramStart"/>
      <w:r>
        <w:rPr>
          <w:rFonts w:ascii="仿宋_GB2312" w:eastAsia="仿宋_GB2312" w:hAnsi="宋体" w:cs="宋体" w:hint="eastAsia"/>
          <w:kern w:val="0"/>
          <w:sz w:val="32"/>
          <w:szCs w:val="32"/>
        </w:rPr>
        <w:t>广汇物流</w:t>
      </w:r>
      <w:proofErr w:type="gramEnd"/>
      <w:r>
        <w:rPr>
          <w:rFonts w:ascii="仿宋_GB2312" w:eastAsia="仿宋_GB2312" w:hAnsi="宋体" w:cs="宋体" w:hint="eastAsia"/>
          <w:kern w:val="0"/>
          <w:sz w:val="32"/>
          <w:szCs w:val="32"/>
        </w:rPr>
        <w:t>基地、</w:t>
      </w:r>
      <w:r>
        <w:rPr>
          <w:rFonts w:ascii="仿宋_GB2312" w:eastAsia="仿宋_GB2312" w:hAnsi="仿宋_GB2312" w:cs="仿宋_GB2312" w:hint="eastAsia"/>
          <w:kern w:val="0"/>
          <w:sz w:val="32"/>
          <w:szCs w:val="32"/>
        </w:rPr>
        <w:t>方舱隔离点、大型货运（危货）车辆停车场</w:t>
      </w:r>
      <w:r>
        <w:rPr>
          <w:rFonts w:ascii="仿宋_GB2312" w:eastAsia="仿宋_GB2312" w:hint="eastAsia"/>
          <w:sz w:val="32"/>
          <w:szCs w:val="32"/>
        </w:rPr>
        <w:t>、雪峰公墓、广元监狱新增用</w:t>
      </w:r>
      <w:r>
        <w:rPr>
          <w:rFonts w:ascii="仿宋_GB2312" w:eastAsia="仿宋_GB2312" w:hAnsi="仿宋_GB2312" w:cs="仿宋_GB2312" w:hint="eastAsia"/>
          <w:sz w:val="32"/>
          <w:szCs w:val="32"/>
        </w:rPr>
        <w:t>等15个项目规划</w:t>
      </w:r>
      <w:r>
        <w:rPr>
          <w:rFonts w:ascii="仿宋_GB2312" w:eastAsia="仿宋_GB2312" w:hint="eastAsia"/>
          <w:sz w:val="32"/>
          <w:szCs w:val="32"/>
        </w:rPr>
        <w:t>选址以及</w:t>
      </w:r>
      <w:r>
        <w:rPr>
          <w:rFonts w:ascii="仿宋_GB2312" w:eastAsia="仿宋_GB2312" w:hAnsi="宋体" w:cs="宋体" w:hint="eastAsia"/>
          <w:kern w:val="0"/>
          <w:sz w:val="32"/>
          <w:szCs w:val="32"/>
        </w:rPr>
        <w:t>黑石坡游客接待中心、</w:t>
      </w:r>
      <w:r>
        <w:rPr>
          <w:rFonts w:ascii="仿宋_GB2312" w:eastAsia="仿宋_GB2312" w:hAnsi="仿宋_GB2312" w:cs="仿宋_GB2312" w:hint="eastAsia"/>
          <w:sz w:val="32"/>
          <w:szCs w:val="32"/>
        </w:rPr>
        <w:t>广元动车所存车场（场站部分）</w:t>
      </w:r>
      <w:r>
        <w:rPr>
          <w:rFonts w:ascii="仿宋_GB2312" w:eastAsia="仿宋_GB2312" w:hAnsi="宋体" w:cs="宋体" w:hint="eastAsia"/>
          <w:kern w:val="0"/>
          <w:sz w:val="32"/>
          <w:szCs w:val="32"/>
        </w:rPr>
        <w:t>等70余个地块规划条件和用地工作图出具。对</w:t>
      </w:r>
      <w:r>
        <w:rPr>
          <w:rFonts w:ascii="仿宋_GB2312" w:eastAsia="仿宋_GB2312" w:hAnsi="仿宋_GB2312" w:cs="仿宋_GB2312" w:hint="eastAsia"/>
          <w:kern w:val="0"/>
          <w:sz w:val="32"/>
          <w:szCs w:val="32"/>
        </w:rPr>
        <w:t>马家坡限价商品房、百草园</w:t>
      </w:r>
      <w:proofErr w:type="gramStart"/>
      <w:r>
        <w:rPr>
          <w:rFonts w:ascii="仿宋_GB2312" w:eastAsia="仿宋_GB2312" w:hAnsi="仿宋_GB2312" w:cs="仿宋_GB2312" w:hint="eastAsia"/>
          <w:kern w:val="0"/>
          <w:sz w:val="32"/>
          <w:szCs w:val="32"/>
        </w:rPr>
        <w:t>东侧已报征土地</w:t>
      </w:r>
      <w:proofErr w:type="gramEnd"/>
      <w:r>
        <w:rPr>
          <w:rFonts w:ascii="仿宋_GB2312" w:eastAsia="仿宋_GB2312" w:hAnsi="宋体" w:cs="宋体" w:hint="eastAsia"/>
          <w:kern w:val="0"/>
          <w:sz w:val="32"/>
          <w:szCs w:val="32"/>
        </w:rPr>
        <w:t>等8个地块规划指标进行了论证，完成</w:t>
      </w:r>
      <w:r>
        <w:rPr>
          <w:rFonts w:ascii="仿宋_GB2312" w:eastAsia="仿宋_GB2312" w:hAnsi="仿宋_GB2312" w:cs="仿宋_GB2312" w:hint="eastAsia"/>
          <w:kern w:val="0"/>
          <w:sz w:val="32"/>
          <w:szCs w:val="32"/>
        </w:rPr>
        <w:t>2023年经营性用地规划条件及土地</w:t>
      </w:r>
      <w:proofErr w:type="gramStart"/>
      <w:r>
        <w:rPr>
          <w:rFonts w:ascii="仿宋_GB2312" w:eastAsia="仿宋_GB2312" w:hAnsi="仿宋_GB2312" w:cs="仿宋_GB2312" w:hint="eastAsia"/>
          <w:kern w:val="0"/>
          <w:sz w:val="32"/>
          <w:szCs w:val="32"/>
        </w:rPr>
        <w:t>报征红</w:t>
      </w:r>
      <w:proofErr w:type="gramEnd"/>
      <w:r>
        <w:rPr>
          <w:rFonts w:ascii="仿宋_GB2312" w:eastAsia="仿宋_GB2312" w:hAnsi="仿宋_GB2312" w:cs="仿宋_GB2312" w:hint="eastAsia"/>
          <w:kern w:val="0"/>
          <w:sz w:val="32"/>
          <w:szCs w:val="32"/>
        </w:rPr>
        <w:t>线图和</w:t>
      </w:r>
      <w:proofErr w:type="gramStart"/>
      <w:r>
        <w:rPr>
          <w:rFonts w:ascii="仿宋_GB2312" w:eastAsia="仿宋_GB2312" w:hint="eastAsia"/>
          <w:sz w:val="32"/>
          <w:szCs w:val="32"/>
        </w:rPr>
        <w:t>央、</w:t>
      </w:r>
      <w:proofErr w:type="gramEnd"/>
      <w:r>
        <w:rPr>
          <w:rFonts w:ascii="仿宋_GB2312" w:eastAsia="仿宋_GB2312" w:hint="eastAsia"/>
          <w:sz w:val="32"/>
          <w:szCs w:val="32"/>
        </w:rPr>
        <w:t>省发债项目建设用地选址及用地红线图</w:t>
      </w:r>
      <w:r>
        <w:rPr>
          <w:rFonts w:ascii="仿宋_GB2312" w:eastAsia="仿宋_GB2312" w:hAnsi="仿宋_GB2312" w:cs="仿宋_GB2312" w:hint="eastAsia"/>
          <w:kern w:val="0"/>
          <w:sz w:val="32"/>
          <w:szCs w:val="32"/>
        </w:rPr>
        <w:t>出具。</w:t>
      </w:r>
      <w:r>
        <w:rPr>
          <w:rFonts w:ascii="仿宋_GB2312" w:eastAsia="仿宋_GB2312" w:hAnsi="宋体" w:cs="宋体" w:hint="eastAsia"/>
          <w:b/>
          <w:kern w:val="0"/>
          <w:sz w:val="32"/>
          <w:szCs w:val="32"/>
        </w:rPr>
        <w:t>五是</w:t>
      </w:r>
      <w:r>
        <w:rPr>
          <w:rFonts w:ascii="仿宋_GB2312" w:eastAsia="仿宋_GB2312" w:hAnsi="宋体" w:cs="宋体" w:hint="eastAsia"/>
          <w:kern w:val="0"/>
          <w:sz w:val="32"/>
          <w:szCs w:val="32"/>
        </w:rPr>
        <w:t>全力推进工业园区建设</w:t>
      </w:r>
      <w:r>
        <w:rPr>
          <w:rFonts w:ascii="仿宋_GB2312" w:eastAsia="仿宋_GB2312" w:hAnsi="黑体" w:hint="eastAsia"/>
          <w:bCs/>
          <w:sz w:val="32"/>
          <w:szCs w:val="32"/>
        </w:rPr>
        <w:t>。按照工业强市、园区拓展的要求。</w:t>
      </w:r>
      <w:r>
        <w:rPr>
          <w:rFonts w:ascii="仿宋_GB2312" w:eastAsia="仿宋_GB2312" w:hAnsi="仿宋" w:cs="仿宋_GB2312" w:hint="eastAsia"/>
          <w:sz w:val="32"/>
          <w:szCs w:val="32"/>
        </w:rPr>
        <w:t>全面启动</w:t>
      </w:r>
      <w:r>
        <w:rPr>
          <w:rFonts w:ascii="仿宋_GB2312" w:eastAsia="仿宋_GB2312" w:hAnsi="黑体" w:hint="eastAsia"/>
          <w:bCs/>
          <w:sz w:val="32"/>
          <w:szCs w:val="32"/>
        </w:rPr>
        <w:t>《下西片区城市更新策划及概念规划》</w:t>
      </w:r>
      <w:r>
        <w:rPr>
          <w:rFonts w:ascii="仿宋_GB2312" w:eastAsia="仿宋_GB2312" w:hAnsi="仿宋" w:cs="仿宋_GB2312" w:hint="eastAsia"/>
          <w:sz w:val="32"/>
          <w:szCs w:val="32"/>
        </w:rPr>
        <w:t>《秦巴生物医药产业园策划及概念规划》等的规划编制工作，完成了下西</w:t>
      </w:r>
      <w:proofErr w:type="gramStart"/>
      <w:r>
        <w:rPr>
          <w:rFonts w:ascii="仿宋_GB2312" w:eastAsia="仿宋_GB2312" w:hAnsi="仿宋" w:cs="仿宋_GB2312" w:hint="eastAsia"/>
          <w:sz w:val="32"/>
          <w:szCs w:val="32"/>
        </w:rPr>
        <w:t>产城融</w:t>
      </w:r>
      <w:r>
        <w:rPr>
          <w:rFonts w:ascii="仿宋_GB2312" w:eastAsia="仿宋_GB2312" w:hAnsi="仿宋" w:cs="仿宋_GB2312" w:hint="eastAsia"/>
          <w:sz w:val="32"/>
          <w:szCs w:val="32"/>
        </w:rPr>
        <w:lastRenderedPageBreak/>
        <w:t>合</w:t>
      </w:r>
      <w:proofErr w:type="gramEnd"/>
      <w:r>
        <w:rPr>
          <w:rFonts w:ascii="仿宋_GB2312" w:eastAsia="仿宋_GB2312" w:hAnsi="仿宋" w:cs="仿宋_GB2312" w:hint="eastAsia"/>
          <w:sz w:val="32"/>
          <w:szCs w:val="32"/>
        </w:rPr>
        <w:t>园、袁家</w:t>
      </w:r>
      <w:proofErr w:type="gramStart"/>
      <w:r>
        <w:rPr>
          <w:rFonts w:ascii="仿宋_GB2312" w:eastAsia="仿宋_GB2312" w:hAnsi="仿宋" w:cs="仿宋_GB2312" w:hint="eastAsia"/>
          <w:sz w:val="32"/>
          <w:szCs w:val="32"/>
        </w:rPr>
        <w:t>坝铝产业</w:t>
      </w:r>
      <w:proofErr w:type="gramEnd"/>
      <w:r>
        <w:rPr>
          <w:rFonts w:ascii="仿宋_GB2312" w:eastAsia="仿宋_GB2312" w:hAnsi="仿宋" w:cs="仿宋_GB2312" w:hint="eastAsia"/>
          <w:sz w:val="32"/>
          <w:szCs w:val="32"/>
        </w:rPr>
        <w:t>园、秦巴生物产业园、空港产业园、石龙</w:t>
      </w:r>
      <w:proofErr w:type="gramStart"/>
      <w:r>
        <w:rPr>
          <w:rFonts w:ascii="仿宋_GB2312" w:eastAsia="仿宋_GB2312" w:hAnsi="仿宋" w:cs="仿宋_GB2312" w:hint="eastAsia"/>
          <w:sz w:val="32"/>
          <w:szCs w:val="32"/>
        </w:rPr>
        <w:t>工业园五大</w:t>
      </w:r>
      <w:proofErr w:type="gramEnd"/>
      <w:r>
        <w:rPr>
          <w:rFonts w:ascii="仿宋_GB2312" w:eastAsia="仿宋_GB2312" w:hAnsi="仿宋" w:cs="仿宋_GB2312" w:hint="eastAsia"/>
          <w:sz w:val="32"/>
          <w:szCs w:val="32"/>
        </w:rPr>
        <w:t>园区的</w:t>
      </w:r>
      <w:r>
        <w:rPr>
          <w:rFonts w:ascii="仿宋_GB2312" w:eastAsia="仿宋_GB2312" w:hAnsi="黑体" w:hint="eastAsia"/>
          <w:sz w:val="32"/>
          <w:szCs w:val="32"/>
        </w:rPr>
        <w:t>土地利用及规划布局图</w:t>
      </w:r>
      <w:proofErr w:type="gramStart"/>
      <w:r>
        <w:rPr>
          <w:rFonts w:ascii="仿宋_GB2312" w:eastAsia="仿宋_GB2312" w:hAnsi="黑体" w:hint="eastAsia"/>
          <w:sz w:val="32"/>
          <w:szCs w:val="32"/>
        </w:rPr>
        <w:t>和广汇物流</w:t>
      </w:r>
      <w:proofErr w:type="gramEnd"/>
      <w:r>
        <w:rPr>
          <w:rFonts w:ascii="仿宋_GB2312" w:eastAsia="仿宋_GB2312" w:hAnsi="黑体" w:hint="eastAsia"/>
          <w:sz w:val="32"/>
          <w:szCs w:val="32"/>
        </w:rPr>
        <w:t>基地、</w:t>
      </w:r>
      <w:r>
        <w:rPr>
          <w:rFonts w:ascii="仿宋_GB2312" w:eastAsia="仿宋_GB2312" w:hAnsi="仿宋" w:cs="楷体_GB2312" w:hint="eastAsia"/>
          <w:bCs/>
          <w:sz w:val="32"/>
          <w:szCs w:val="32"/>
        </w:rPr>
        <w:t>机场改扩建、</w:t>
      </w:r>
      <w:r>
        <w:rPr>
          <w:rFonts w:ascii="仿宋_GB2312" w:eastAsia="仿宋_GB2312" w:hAnsi="黑体" w:hint="eastAsia"/>
          <w:sz w:val="32"/>
          <w:szCs w:val="32"/>
        </w:rPr>
        <w:t>水乐园、湖北石美、龙浩航校总部基地等重大招商引资项目选址、规划论证及方案审查等工作</w:t>
      </w:r>
      <w:r>
        <w:rPr>
          <w:rFonts w:ascii="仿宋_GB2312" w:eastAsia="仿宋_GB2312" w:hAnsi="仿宋" w:cs="楷体_GB2312" w:hint="eastAsia"/>
          <w:bCs/>
          <w:sz w:val="32"/>
          <w:szCs w:val="32"/>
        </w:rPr>
        <w:t>。</w:t>
      </w:r>
    </w:p>
    <w:p w:rsidR="003C6718" w:rsidRDefault="00E83E62">
      <w:pPr>
        <w:widowControl/>
        <w:spacing w:line="560" w:lineRule="exact"/>
        <w:jc w:val="left"/>
        <w:rPr>
          <w:rFonts w:ascii="仿宋_GB2312" w:eastAsia="仿宋_GB2312" w:hAnsi="CESI仿宋-GB2312" w:cs="CESI仿宋-GB2312"/>
          <w:sz w:val="32"/>
          <w:szCs w:val="32"/>
        </w:rPr>
      </w:pPr>
      <w:r>
        <w:rPr>
          <w:rFonts w:ascii="楷体_GB2312" w:eastAsia="楷体_GB2312" w:hAnsi="黑体" w:hint="eastAsia"/>
          <w:sz w:val="32"/>
          <w:szCs w:val="32"/>
        </w:rPr>
        <w:t>3.深入</w:t>
      </w:r>
      <w:proofErr w:type="gramStart"/>
      <w:r>
        <w:rPr>
          <w:rFonts w:ascii="楷体_GB2312" w:eastAsia="楷体_GB2312" w:hAnsi="黑体" w:hint="eastAsia"/>
          <w:sz w:val="32"/>
          <w:szCs w:val="32"/>
        </w:rPr>
        <w:t>践行</w:t>
      </w:r>
      <w:proofErr w:type="gramEnd"/>
      <w:r>
        <w:rPr>
          <w:rFonts w:ascii="楷体_GB2312" w:eastAsia="楷体_GB2312" w:hAnsi="黑体" w:hint="eastAsia"/>
          <w:sz w:val="32"/>
          <w:szCs w:val="32"/>
        </w:rPr>
        <w:t>为民办实事服务宗旨，真情真意惠民生。</w:t>
      </w:r>
      <w:r>
        <w:rPr>
          <w:rFonts w:ascii="仿宋_GB2312" w:eastAsia="仿宋_GB2312" w:hint="eastAsia"/>
          <w:b/>
          <w:sz w:val="32"/>
          <w:szCs w:val="32"/>
        </w:rPr>
        <w:t>一是</w:t>
      </w:r>
      <w:r>
        <w:rPr>
          <w:rFonts w:ascii="仿宋_GB2312" w:eastAsia="仿宋_GB2312" w:hint="eastAsia"/>
          <w:sz w:val="32"/>
          <w:szCs w:val="32"/>
        </w:rPr>
        <w:t>实施城市更新，以规划助</w:t>
      </w:r>
      <w:proofErr w:type="gramStart"/>
      <w:r>
        <w:rPr>
          <w:rFonts w:ascii="仿宋_GB2312" w:eastAsia="仿宋_GB2312" w:hint="eastAsia"/>
          <w:sz w:val="32"/>
          <w:szCs w:val="32"/>
        </w:rPr>
        <w:t>推城市</w:t>
      </w:r>
      <w:proofErr w:type="gramEnd"/>
      <w:r>
        <w:rPr>
          <w:rFonts w:ascii="仿宋_GB2312" w:eastAsia="仿宋_GB2312" w:hint="eastAsia"/>
          <w:sz w:val="32"/>
          <w:szCs w:val="32"/>
        </w:rPr>
        <w:t>品质提升。</w:t>
      </w:r>
      <w:r>
        <w:rPr>
          <w:rFonts w:ascii="仿宋_GB2312" w:eastAsia="仿宋_GB2312" w:hAnsi="仿宋_GB2312" w:cs="仿宋_GB2312" w:hint="eastAsia"/>
          <w:bCs/>
          <w:sz w:val="32"/>
          <w:szCs w:val="32"/>
        </w:rPr>
        <w:t>高水平开展规划设计。</w:t>
      </w:r>
      <w:r>
        <w:rPr>
          <w:rFonts w:ascii="仿宋_GB2312" w:eastAsia="仿宋_GB2312" w:hAnsi="仿宋_GB2312" w:cs="仿宋_GB2312" w:hint="eastAsia"/>
          <w:sz w:val="32"/>
          <w:szCs w:val="32"/>
        </w:rPr>
        <w:t>完成老城城市更新改造规划和广元市</w:t>
      </w:r>
      <w:proofErr w:type="gramStart"/>
      <w:r>
        <w:rPr>
          <w:rFonts w:ascii="仿宋_GB2312" w:eastAsia="仿宋_GB2312" w:hAnsi="仿宋_GB2312" w:cs="仿宋_GB2312" w:hint="eastAsia"/>
          <w:sz w:val="32"/>
          <w:szCs w:val="32"/>
        </w:rPr>
        <w:t>两江四岸</w:t>
      </w:r>
      <w:proofErr w:type="gramEnd"/>
      <w:r>
        <w:rPr>
          <w:rFonts w:ascii="仿宋_GB2312" w:eastAsia="仿宋_GB2312" w:hAnsi="仿宋_GB2312" w:cs="仿宋_GB2312" w:hint="eastAsia"/>
          <w:sz w:val="32"/>
          <w:szCs w:val="32"/>
        </w:rPr>
        <w:t>详细城市设计编制工作，并</w:t>
      </w:r>
      <w:r>
        <w:rPr>
          <w:rFonts w:ascii="仿宋_GB2312" w:eastAsia="仿宋_GB2312" w:hAnsi="仿宋" w:cs="仿宋_GB2312" w:hint="eastAsia"/>
          <w:color w:val="000000"/>
          <w:sz w:val="32"/>
          <w:szCs w:val="32"/>
        </w:rPr>
        <w:t>按照“统一规划、分步实施、突出重点”的原则，第一阶段先行启动上下河街一体化打造及利州</w:t>
      </w:r>
      <w:proofErr w:type="gramStart"/>
      <w:r>
        <w:rPr>
          <w:rFonts w:ascii="仿宋_GB2312" w:eastAsia="仿宋_GB2312" w:hAnsi="仿宋" w:cs="仿宋_GB2312" w:hint="eastAsia"/>
          <w:color w:val="000000"/>
          <w:sz w:val="32"/>
          <w:szCs w:val="32"/>
        </w:rPr>
        <w:t>东路平</w:t>
      </w:r>
      <w:proofErr w:type="gramEnd"/>
      <w:r>
        <w:rPr>
          <w:rFonts w:ascii="仿宋_GB2312" w:eastAsia="仿宋_GB2312" w:hAnsi="仿宋" w:cs="仿宋_GB2312" w:hint="eastAsia"/>
          <w:color w:val="000000"/>
          <w:sz w:val="32"/>
          <w:szCs w:val="32"/>
        </w:rPr>
        <w:t>桥段建筑风貌塑造、铁桥桥头公园改造、光亮工程设计。</w:t>
      </w:r>
      <w:r>
        <w:rPr>
          <w:rFonts w:ascii="仿宋_GB2312" w:eastAsia="仿宋_GB2312" w:hAnsi="仿宋" w:cs="仿宋_GB2312" w:hint="eastAsia"/>
          <w:b/>
          <w:color w:val="000000"/>
          <w:sz w:val="32"/>
          <w:szCs w:val="32"/>
        </w:rPr>
        <w:t>二是</w:t>
      </w:r>
      <w:r>
        <w:rPr>
          <w:rFonts w:ascii="仿宋_GB2312" w:eastAsia="仿宋_GB2312" w:hAnsi="仿宋_GB2312" w:cs="仿宋_GB2312" w:hint="eastAsia"/>
          <w:bCs/>
          <w:sz w:val="32"/>
          <w:szCs w:val="32"/>
        </w:rPr>
        <w:t>加快提升城市环境品质。</w:t>
      </w:r>
      <w:r>
        <w:rPr>
          <w:rFonts w:ascii="仿宋_GB2312" w:eastAsia="仿宋_GB2312" w:hint="eastAsia"/>
          <w:sz w:val="32"/>
          <w:szCs w:val="32"/>
        </w:rPr>
        <w:t>围绕街道宜人尺度、绿化共享、慢行空间、特色风貌等方面，注重街道景观一体化提升，高水平指导完成</w:t>
      </w:r>
      <w:proofErr w:type="gramStart"/>
      <w:r>
        <w:rPr>
          <w:rFonts w:ascii="仿宋_GB2312" w:eastAsia="仿宋_GB2312" w:hint="eastAsia"/>
          <w:sz w:val="32"/>
          <w:szCs w:val="32"/>
        </w:rPr>
        <w:t>苴</w:t>
      </w:r>
      <w:proofErr w:type="gramEnd"/>
      <w:r>
        <w:rPr>
          <w:rFonts w:ascii="仿宋_GB2312" w:eastAsia="仿宋_GB2312" w:hint="eastAsia"/>
          <w:sz w:val="32"/>
          <w:szCs w:val="32"/>
        </w:rPr>
        <w:t>国路、利州东路、蜀门北路、电子路等城市道路改造提升方案设计。</w:t>
      </w:r>
      <w:r>
        <w:rPr>
          <w:rFonts w:ascii="仿宋_GB2312" w:eastAsia="仿宋_GB2312" w:hint="eastAsia"/>
          <w:b/>
          <w:bCs/>
          <w:sz w:val="32"/>
          <w:szCs w:val="32"/>
        </w:rPr>
        <w:t>三是</w:t>
      </w:r>
      <w:r>
        <w:rPr>
          <w:rFonts w:ascii="仿宋_GB2312" w:eastAsia="仿宋_GB2312" w:hint="eastAsia"/>
          <w:bCs/>
          <w:sz w:val="32"/>
          <w:szCs w:val="32"/>
        </w:rPr>
        <w:t>积极推进海绵城市建设。</w:t>
      </w:r>
      <w:r>
        <w:rPr>
          <w:rFonts w:ascii="仿宋_GB2312" w:eastAsia="仿宋_GB2312" w:hAnsi="CESI仿宋-GB2312" w:cs="CESI仿宋-GB2312" w:hint="eastAsia"/>
          <w:sz w:val="32"/>
          <w:szCs w:val="32"/>
        </w:rPr>
        <w:t>加强地块使用源头管控，</w:t>
      </w:r>
      <w:r>
        <w:rPr>
          <w:rFonts w:ascii="仿宋_GB2312" w:eastAsia="仿宋_GB2312" w:hAnsi="CESI仿宋-GB2312" w:cs="CESI仿宋-GB2312"/>
          <w:sz w:val="32"/>
          <w:szCs w:val="32"/>
        </w:rPr>
        <w:t>将海绵城市建设要求纳入建设项目用地规划设计条件，</w:t>
      </w:r>
      <w:r>
        <w:rPr>
          <w:rFonts w:ascii="仿宋_GB2312" w:eastAsia="仿宋_GB2312" w:hAnsi="CESI仿宋-GB2312" w:cs="CESI仿宋-GB2312" w:hint="eastAsia"/>
          <w:sz w:val="32"/>
          <w:szCs w:val="32"/>
        </w:rPr>
        <w:t>要求同项目其他设施</w:t>
      </w:r>
      <w:r>
        <w:rPr>
          <w:rFonts w:ascii="仿宋_GB2312" w:eastAsia="仿宋_GB2312" w:hAnsi="CESI仿宋-GB2312" w:cs="CESI仿宋-GB2312"/>
          <w:sz w:val="32"/>
          <w:szCs w:val="32"/>
        </w:rPr>
        <w:t>同步设计。</w:t>
      </w:r>
      <w:r>
        <w:rPr>
          <w:rFonts w:ascii="仿宋_GB2312" w:eastAsia="仿宋_GB2312" w:hAnsi="CESI仿宋-GB2312" w:cs="CESI仿宋-GB2312" w:hint="eastAsia"/>
          <w:sz w:val="32"/>
          <w:szCs w:val="32"/>
        </w:rPr>
        <w:t>加强建筑与小区设计管控，在建筑设计方案审查时，要求建筑项目落实海绵城市设计理念，编制海绵城市设计说明专章。</w:t>
      </w:r>
      <w:r>
        <w:rPr>
          <w:rFonts w:ascii="仿宋_GB2312" w:eastAsia="仿宋_GB2312" w:hAnsi="仿宋" w:cs="宋体" w:hint="eastAsia"/>
          <w:b/>
          <w:kern w:val="0"/>
          <w:sz w:val="32"/>
          <w:szCs w:val="32"/>
        </w:rPr>
        <w:t>四</w:t>
      </w:r>
      <w:r>
        <w:rPr>
          <w:rFonts w:ascii="仿宋_GB2312" w:eastAsia="仿宋_GB2312" w:hAnsi="宋体" w:cs="宋体" w:hint="eastAsia"/>
          <w:b/>
          <w:kern w:val="0"/>
          <w:sz w:val="32"/>
          <w:szCs w:val="32"/>
        </w:rPr>
        <w:t>是</w:t>
      </w:r>
      <w:r>
        <w:rPr>
          <w:rFonts w:ascii="仿宋_GB2312" w:eastAsia="仿宋_GB2312" w:hAnsi="宋体" w:cs="宋体" w:hint="eastAsia"/>
          <w:kern w:val="0"/>
          <w:sz w:val="32"/>
          <w:szCs w:val="32"/>
        </w:rPr>
        <w:t>全力化解规划历史遗留问题。</w:t>
      </w:r>
      <w:r>
        <w:rPr>
          <w:rFonts w:ascii="仿宋_GB2312" w:eastAsia="仿宋_GB2312" w:hAnsi="仿宋" w:cs="宋体" w:hint="eastAsia"/>
          <w:kern w:val="0"/>
          <w:sz w:val="32"/>
          <w:szCs w:val="32"/>
        </w:rPr>
        <w:t>全面加强棚改旧改历史遗留问题处置，根据《广元市主城区棚户区及旧城改造项目涉及规划相关遗留问题处置意见》，针对目前未完工的凤凰山棚户区、新民棚户区、</w:t>
      </w:r>
      <w:proofErr w:type="gramStart"/>
      <w:r>
        <w:rPr>
          <w:rFonts w:ascii="仿宋_GB2312" w:eastAsia="仿宋_GB2312" w:hAnsi="仿宋" w:cs="宋体" w:hint="eastAsia"/>
          <w:kern w:val="0"/>
          <w:sz w:val="32"/>
          <w:szCs w:val="32"/>
        </w:rPr>
        <w:t>豪泰棚户区</w:t>
      </w:r>
      <w:proofErr w:type="gramEnd"/>
      <w:r>
        <w:rPr>
          <w:rFonts w:ascii="仿宋_GB2312" w:eastAsia="仿宋_GB2312" w:hAnsi="仿宋" w:cs="宋体" w:hint="eastAsia"/>
          <w:kern w:val="0"/>
          <w:sz w:val="32"/>
          <w:szCs w:val="32"/>
        </w:rPr>
        <w:t>、人才市场棚户区、义乌小商品城B幢</w:t>
      </w:r>
      <w:proofErr w:type="gramStart"/>
      <w:r>
        <w:rPr>
          <w:rFonts w:ascii="仿宋_GB2312" w:eastAsia="仿宋_GB2312" w:hAnsi="仿宋" w:cs="宋体" w:hint="eastAsia"/>
          <w:kern w:val="0"/>
          <w:sz w:val="32"/>
          <w:szCs w:val="32"/>
        </w:rPr>
        <w:t>等棚改</w:t>
      </w:r>
      <w:proofErr w:type="gramEnd"/>
      <w:r>
        <w:rPr>
          <w:rFonts w:ascii="仿宋_GB2312" w:eastAsia="仿宋_GB2312" w:hAnsi="仿宋" w:cs="宋体" w:hint="eastAsia"/>
          <w:kern w:val="0"/>
          <w:sz w:val="32"/>
          <w:szCs w:val="32"/>
        </w:rPr>
        <w:t>旧改项目存在的问题进行了详细梳理并提出处理意见。完成原司</w:t>
      </w:r>
      <w:r>
        <w:rPr>
          <w:rFonts w:ascii="仿宋_GB2312" w:eastAsia="仿宋_GB2312" w:hAnsi="仿宋" w:cs="宋体" w:hint="eastAsia"/>
          <w:kern w:val="0"/>
          <w:sz w:val="32"/>
          <w:szCs w:val="32"/>
        </w:rPr>
        <w:lastRenderedPageBreak/>
        <w:t>法局办公楼改造、</w:t>
      </w:r>
      <w:proofErr w:type="gramStart"/>
      <w:r>
        <w:rPr>
          <w:rFonts w:ascii="仿宋_GB2312" w:eastAsia="仿宋_GB2312" w:hAnsi="仿宋" w:cs="宋体" w:hint="eastAsia"/>
          <w:kern w:val="0"/>
          <w:sz w:val="32"/>
          <w:szCs w:val="32"/>
        </w:rPr>
        <w:t>苴</w:t>
      </w:r>
      <w:proofErr w:type="gramEnd"/>
      <w:r>
        <w:rPr>
          <w:rFonts w:ascii="仿宋_GB2312" w:eastAsia="仿宋_GB2312" w:hAnsi="仿宋" w:cs="宋体" w:hint="eastAsia"/>
          <w:kern w:val="0"/>
          <w:sz w:val="32"/>
          <w:szCs w:val="32"/>
        </w:rPr>
        <w:t>国市场改造、丝绸小区改造、</w:t>
      </w:r>
      <w:proofErr w:type="gramStart"/>
      <w:r>
        <w:rPr>
          <w:rFonts w:ascii="仿宋_GB2312" w:eastAsia="仿宋_GB2312" w:hAnsi="仿宋" w:cs="宋体" w:hint="eastAsia"/>
          <w:kern w:val="0"/>
          <w:sz w:val="32"/>
          <w:szCs w:val="32"/>
        </w:rPr>
        <w:t>香颂湾项目商</w:t>
      </w:r>
      <w:proofErr w:type="gramEnd"/>
      <w:r>
        <w:rPr>
          <w:rFonts w:ascii="仿宋_GB2312" w:eastAsia="仿宋_GB2312" w:hAnsi="仿宋" w:cs="宋体" w:hint="eastAsia"/>
          <w:kern w:val="0"/>
          <w:sz w:val="32"/>
          <w:szCs w:val="32"/>
        </w:rPr>
        <w:t>改住等项目建筑规划设计方案研究并上报市政府。</w:t>
      </w:r>
      <w:r>
        <w:rPr>
          <w:rFonts w:ascii="仿宋_GB2312" w:eastAsia="仿宋_GB2312" w:hAnsi="仿宋" w:cs="宋体" w:hint="eastAsia"/>
          <w:b/>
          <w:kern w:val="0"/>
          <w:sz w:val="32"/>
          <w:szCs w:val="32"/>
        </w:rPr>
        <w:t>五是</w:t>
      </w:r>
      <w:r>
        <w:rPr>
          <w:rFonts w:ascii="仿宋_GB2312" w:eastAsia="仿宋_GB2312" w:hAnsi="Arial" w:cs="Arial" w:hint="eastAsia"/>
          <w:sz w:val="32"/>
          <w:szCs w:val="32"/>
        </w:rPr>
        <w:t>走好网上群众路线。</w:t>
      </w:r>
      <w:r>
        <w:rPr>
          <w:rFonts w:ascii="仿宋_GB2312" w:eastAsia="仿宋_GB2312" w:hAnsi="仿宋_GB2312" w:cs="仿宋_GB2312" w:hint="eastAsia"/>
          <w:sz w:val="32"/>
          <w:szCs w:val="32"/>
        </w:rPr>
        <w:t>完成12345政务服务热线、麻辣社区、大话利州论坛、书记市长信箱、领导信箱等群众来电信访处理200余件，</w:t>
      </w:r>
      <w:r>
        <w:rPr>
          <w:rFonts w:ascii="仿宋_GB2312" w:eastAsia="仿宋_GB2312" w:hAnsi="仿宋_GB2312" w:cs="仿宋_GB2312" w:hint="eastAsia"/>
          <w:sz w:val="32"/>
          <w:szCs w:val="32"/>
          <w:shd w:val="clear" w:color="auto" w:fill="FFFFFF"/>
        </w:rPr>
        <w:t>现场处置万缘古堰社区、</w:t>
      </w:r>
      <w:proofErr w:type="gramStart"/>
      <w:r>
        <w:rPr>
          <w:rFonts w:ascii="仿宋_GB2312" w:eastAsia="仿宋_GB2312" w:hAnsi="仿宋_GB2312" w:cs="仿宋_GB2312" w:hint="eastAsia"/>
          <w:sz w:val="32"/>
          <w:szCs w:val="32"/>
          <w:shd w:val="clear" w:color="auto" w:fill="FFFFFF"/>
        </w:rPr>
        <w:t>邦泰天</w:t>
      </w:r>
      <w:proofErr w:type="gramEnd"/>
      <w:r>
        <w:rPr>
          <w:rFonts w:ascii="仿宋_GB2312" w:eastAsia="仿宋_GB2312" w:hAnsi="仿宋_GB2312" w:cs="仿宋_GB2312" w:hint="eastAsia"/>
          <w:sz w:val="32"/>
          <w:szCs w:val="32"/>
          <w:shd w:val="clear" w:color="auto" w:fill="FFFFFF"/>
        </w:rPr>
        <w:t>誉西区、东环明珠、</w:t>
      </w:r>
      <w:proofErr w:type="gramStart"/>
      <w:r>
        <w:rPr>
          <w:rFonts w:ascii="仿宋_GB2312" w:eastAsia="仿宋_GB2312" w:hAnsi="仿宋_GB2312" w:cs="仿宋_GB2312" w:hint="eastAsia"/>
          <w:sz w:val="32"/>
          <w:szCs w:val="32"/>
          <w:shd w:val="clear" w:color="auto" w:fill="FFFFFF"/>
        </w:rPr>
        <w:t>天悦府二</w:t>
      </w:r>
      <w:proofErr w:type="gramEnd"/>
      <w:r>
        <w:rPr>
          <w:rFonts w:ascii="仿宋_GB2312" w:eastAsia="仿宋_GB2312" w:hAnsi="仿宋_GB2312" w:cs="仿宋_GB2312" w:hint="eastAsia"/>
          <w:sz w:val="32"/>
          <w:szCs w:val="32"/>
          <w:shd w:val="clear" w:color="auto" w:fill="FFFFFF"/>
        </w:rPr>
        <w:t>期等群体性信访。</w:t>
      </w:r>
    </w:p>
    <w:p w:rsidR="003C6718" w:rsidRDefault="00E83E62">
      <w:pPr>
        <w:spacing w:line="560" w:lineRule="exact"/>
        <w:jc w:val="left"/>
        <w:rPr>
          <w:rFonts w:ascii="方正小标宋_GBK" w:eastAsia="方正小标宋_GBK"/>
          <w:color w:val="000000"/>
          <w:sz w:val="44"/>
          <w:szCs w:val="44"/>
        </w:rPr>
      </w:pPr>
      <w:r>
        <w:rPr>
          <w:rFonts w:ascii="楷体_GB2312" w:eastAsia="楷体_GB2312" w:hint="eastAsia"/>
          <w:sz w:val="32"/>
          <w:szCs w:val="32"/>
        </w:rPr>
        <w:t>4.强化全生命周期管控，进一步提升工程项目规划质效。</w:t>
      </w:r>
      <w:r>
        <w:rPr>
          <w:rFonts w:ascii="仿宋_GB2312" w:eastAsia="仿宋_GB2312" w:hint="eastAsia"/>
          <w:b/>
          <w:sz w:val="32"/>
          <w:szCs w:val="32"/>
        </w:rPr>
        <w:t>一是</w:t>
      </w:r>
      <w:r>
        <w:rPr>
          <w:rFonts w:ascii="仿宋_GB2312" w:eastAsia="仿宋_GB2312" w:hint="eastAsia"/>
          <w:sz w:val="32"/>
          <w:szCs w:val="32"/>
        </w:rPr>
        <w:t>试点推进乡村（社区）责任规划师</w:t>
      </w:r>
      <w:r>
        <w:rPr>
          <w:rFonts w:ascii="仿宋_GB2312" w:eastAsia="仿宋_GB2312" w:hAnsi="宋体" w:hint="eastAsia"/>
          <w:sz w:val="32"/>
          <w:szCs w:val="32"/>
        </w:rPr>
        <w:t>，</w:t>
      </w:r>
      <w:r>
        <w:rPr>
          <w:rFonts w:ascii="仿宋_GB2312" w:eastAsia="仿宋_GB2312" w:hint="eastAsia"/>
          <w:sz w:val="32"/>
          <w:szCs w:val="32"/>
        </w:rPr>
        <w:t>为相关规划的编制、审查、审批提供专业技术支撑。</w:t>
      </w:r>
      <w:r>
        <w:rPr>
          <w:rFonts w:ascii="仿宋_GB2312" w:eastAsia="仿宋_GB2312" w:hint="eastAsia"/>
          <w:b/>
          <w:sz w:val="32"/>
          <w:szCs w:val="32"/>
        </w:rPr>
        <w:t>二是</w:t>
      </w:r>
      <w:proofErr w:type="gramStart"/>
      <w:r>
        <w:rPr>
          <w:rFonts w:ascii="仿宋_GB2312" w:eastAsia="仿宋_GB2312" w:hint="eastAsia"/>
          <w:b/>
          <w:sz w:val="32"/>
          <w:szCs w:val="32"/>
        </w:rPr>
        <w:t>突出专</w:t>
      </w:r>
      <w:proofErr w:type="gramEnd"/>
      <w:r>
        <w:rPr>
          <w:rFonts w:ascii="仿宋_GB2312" w:eastAsia="仿宋_GB2312" w:hint="eastAsia"/>
          <w:b/>
          <w:sz w:val="32"/>
          <w:szCs w:val="32"/>
        </w:rPr>
        <w:t>委会专家管理。</w:t>
      </w:r>
      <w:r>
        <w:rPr>
          <w:rFonts w:ascii="仿宋_GB2312" w:eastAsia="仿宋_GB2312" w:hint="eastAsia"/>
          <w:sz w:val="32"/>
          <w:szCs w:val="32"/>
        </w:rPr>
        <w:t>面向全社会各界征集规划、建筑、园林等12个专业类别专家</w:t>
      </w:r>
      <w:r>
        <w:rPr>
          <w:rFonts w:ascii="仿宋_GB2312" w:eastAsia="仿宋_GB2312" w:hAnsi="仿宋_GB2312" w:cs="仿宋_GB2312" w:hint="eastAsia"/>
          <w:sz w:val="32"/>
          <w:szCs w:val="32"/>
        </w:rPr>
        <w:t>119名，建立完善了专家资源库，</w:t>
      </w:r>
      <w:r>
        <w:rPr>
          <w:rFonts w:ascii="仿宋_GB2312" w:eastAsia="仿宋_GB2312" w:hAnsi="楷体" w:hint="eastAsia"/>
          <w:sz w:val="32"/>
          <w:szCs w:val="32"/>
        </w:rPr>
        <w:t>制定了《广元市国土空间规划专业委员会专家管理办法》，规范了专家管理。</w:t>
      </w:r>
      <w:r>
        <w:rPr>
          <w:rFonts w:ascii="仿宋_GB2312" w:eastAsia="仿宋_GB2312" w:hAnsi="仿宋" w:cs="仿宋" w:hint="eastAsia"/>
          <w:b/>
          <w:sz w:val="32"/>
          <w:szCs w:val="32"/>
        </w:rPr>
        <w:t>三是</w:t>
      </w:r>
      <w:r>
        <w:rPr>
          <w:rFonts w:ascii="仿宋_GB2312" w:eastAsia="仿宋_GB2312" w:hint="eastAsia"/>
          <w:sz w:val="32"/>
          <w:szCs w:val="32"/>
        </w:rPr>
        <w:t>进一步加强和规范合同管理，印发了《</w:t>
      </w:r>
      <w:r>
        <w:rPr>
          <w:rFonts w:ascii="仿宋_GB2312" w:eastAsia="仿宋_GB2312" w:hint="eastAsia"/>
          <w:color w:val="000000"/>
          <w:sz w:val="32"/>
          <w:szCs w:val="32"/>
        </w:rPr>
        <w:t>关于进一步规范合同管理的通知》，</w:t>
      </w:r>
      <w:r>
        <w:rPr>
          <w:rFonts w:ascii="仿宋_GB2312" w:eastAsia="仿宋_GB2312" w:hint="eastAsia"/>
          <w:sz w:val="32"/>
          <w:szCs w:val="32"/>
        </w:rPr>
        <w:t>合同签订前必须经法律顾问进行合法性审查，同时实行先审批后签订合同制度，对合同档案管理及履约管理进行了规范。</w:t>
      </w:r>
      <w:r>
        <w:rPr>
          <w:rFonts w:ascii="仿宋_GB2312" w:eastAsia="仿宋_GB2312" w:hAnsi="楷体" w:hint="eastAsia"/>
          <w:b/>
          <w:sz w:val="32"/>
          <w:szCs w:val="32"/>
        </w:rPr>
        <w:t>四是</w:t>
      </w:r>
      <w:r>
        <w:rPr>
          <w:rFonts w:ascii="仿宋_GB2312" w:eastAsia="仿宋_GB2312" w:hint="eastAsia"/>
          <w:sz w:val="32"/>
          <w:szCs w:val="32"/>
        </w:rPr>
        <w:t>健全项目规划管理制度。</w:t>
      </w:r>
      <w:r>
        <w:rPr>
          <w:rFonts w:ascii="仿宋_GB2312" w:eastAsia="仿宋_GB2312" w:hAnsi="楷体" w:hint="eastAsia"/>
          <w:sz w:val="32"/>
          <w:szCs w:val="32"/>
        </w:rPr>
        <w:t>启动了</w:t>
      </w:r>
      <w:r>
        <w:rPr>
          <w:rFonts w:ascii="仿宋_GB2312" w:eastAsia="仿宋_GB2312" w:hAnsi="仿宋" w:cs="宋体" w:hint="eastAsia"/>
          <w:kern w:val="0"/>
          <w:sz w:val="32"/>
          <w:szCs w:val="32"/>
        </w:rPr>
        <w:t>《广元市国土空间规划管理办法》《建设工程全过程规划管理办法》《广元市建设工程设计文件编制管理规定》等内控制度文件拟订工作。</w:t>
      </w:r>
    </w:p>
    <w:p w:rsidR="003C6718" w:rsidRDefault="00E83E62">
      <w:pPr>
        <w:spacing w:line="560" w:lineRule="exact"/>
        <w:ind w:firstLineChars="200" w:firstLine="640"/>
        <w:rPr>
          <w:rFonts w:ascii="仿宋_GB2312" w:eastAsia="仿宋_GB2312"/>
          <w:sz w:val="32"/>
          <w:szCs w:val="32"/>
        </w:rPr>
      </w:pPr>
      <w:r>
        <w:rPr>
          <w:rFonts w:ascii="楷体_GB2312" w:eastAsia="楷体_GB2312" w:hint="eastAsia"/>
          <w:sz w:val="32"/>
          <w:szCs w:val="32"/>
        </w:rPr>
        <w:t>5.强化精细化管理，全面加强机关建设。</w:t>
      </w:r>
      <w:r>
        <w:rPr>
          <w:rFonts w:ascii="仿宋_GB2312" w:eastAsia="仿宋_GB2312" w:hint="eastAsia"/>
          <w:b/>
          <w:sz w:val="32"/>
          <w:szCs w:val="32"/>
        </w:rPr>
        <w:t>一是</w:t>
      </w:r>
      <w:r>
        <w:rPr>
          <w:rFonts w:ascii="仿宋_GB2312" w:eastAsia="仿宋_GB2312" w:hAnsi="仿宋" w:cs="仿宋" w:hint="eastAsia"/>
          <w:sz w:val="32"/>
          <w:szCs w:val="32"/>
        </w:rPr>
        <w:t>组织开展党的二十大精神以及习近平来川视察重要指示精神学习，制定了学习宣传方案和工作责任清单。</w:t>
      </w:r>
      <w:r>
        <w:rPr>
          <w:rFonts w:ascii="仿宋_GB2312" w:eastAsia="仿宋_GB2312" w:hint="eastAsia"/>
          <w:b/>
          <w:sz w:val="32"/>
          <w:szCs w:val="32"/>
        </w:rPr>
        <w:t>二是</w:t>
      </w:r>
      <w:r>
        <w:rPr>
          <w:rFonts w:ascii="仿宋_GB2312" w:eastAsia="仿宋_GB2312" w:hAnsi="仿宋" w:cs="黑体" w:hint="eastAsia"/>
          <w:bCs/>
          <w:sz w:val="32"/>
          <w:szCs w:val="32"/>
        </w:rPr>
        <w:t>认真做好疫情防控工作，落实疫情期间值班值守、防护物资储备、消杀防疫和下沉网格、社区、</w:t>
      </w:r>
      <w:r>
        <w:rPr>
          <w:rFonts w:ascii="仿宋_GB2312" w:eastAsia="仿宋_GB2312" w:hAnsi="仿宋" w:cs="黑体" w:hint="eastAsia"/>
          <w:bCs/>
          <w:sz w:val="32"/>
          <w:szCs w:val="32"/>
        </w:rPr>
        <w:lastRenderedPageBreak/>
        <w:t>上西火车站开展值守等工作，严格落实疫情防控相关政策要求。</w:t>
      </w:r>
      <w:r>
        <w:rPr>
          <w:rFonts w:ascii="仿宋_GB2312" w:eastAsia="仿宋_GB2312" w:hint="eastAsia"/>
          <w:b/>
          <w:sz w:val="32"/>
          <w:szCs w:val="32"/>
        </w:rPr>
        <w:t>三是</w:t>
      </w:r>
      <w:r>
        <w:rPr>
          <w:rFonts w:ascii="仿宋_GB2312" w:eastAsia="仿宋_GB2312" w:hint="eastAsia"/>
          <w:sz w:val="32"/>
          <w:szCs w:val="32"/>
        </w:rPr>
        <w:t>持续深化纪律作风整顿。</w:t>
      </w:r>
      <w:r>
        <w:rPr>
          <w:rFonts w:ascii="仿宋_GB2312" w:eastAsia="仿宋_GB2312" w:hAnsi="仿宋" w:hint="eastAsia"/>
          <w:sz w:val="32"/>
          <w:szCs w:val="32"/>
        </w:rPr>
        <w:t>开展了自然资源领域突出问题系统治理工作，</w:t>
      </w:r>
      <w:r>
        <w:rPr>
          <w:rFonts w:ascii="仿宋_GB2312" w:eastAsia="仿宋_GB2312" w:hint="eastAsia"/>
          <w:sz w:val="32"/>
          <w:szCs w:val="32"/>
        </w:rPr>
        <w:t>成立工作领导小组，制定《持续深化干部纪律作风整顿工作方案》，</w:t>
      </w:r>
      <w:r>
        <w:rPr>
          <w:rFonts w:ascii="仿宋_GB2312" w:eastAsia="仿宋_GB2312" w:hAnsi="仿宋_GB2312" w:cs="仿宋_GB2312" w:hint="eastAsia"/>
          <w:sz w:val="32"/>
          <w:szCs w:val="32"/>
        </w:rPr>
        <w:t>组织干部职工对照12项整治内容及“李维君广瑞商务综合楼”涉及问题，</w:t>
      </w:r>
      <w:r>
        <w:rPr>
          <w:rFonts w:ascii="仿宋_GB2312" w:eastAsia="仿宋_GB2312" w:hint="eastAsia"/>
          <w:sz w:val="32"/>
          <w:szCs w:val="32"/>
        </w:rPr>
        <w:t>在2021年排查整治的基础上进一步</w:t>
      </w:r>
      <w:r>
        <w:rPr>
          <w:rFonts w:ascii="仿宋_GB2312" w:eastAsia="仿宋_GB2312" w:hAnsi="仿宋_GB2312" w:cs="仿宋_GB2312" w:hint="eastAsia"/>
          <w:sz w:val="32"/>
          <w:szCs w:val="32"/>
        </w:rPr>
        <w:t>梳理排查9个方面123个问题，建立问题</w:t>
      </w:r>
      <w:proofErr w:type="gramStart"/>
      <w:r>
        <w:rPr>
          <w:rFonts w:ascii="仿宋_GB2312" w:eastAsia="仿宋_GB2312" w:hAnsi="仿宋_GB2312" w:cs="仿宋_GB2312" w:hint="eastAsia"/>
          <w:bCs/>
          <w:sz w:val="32"/>
          <w:szCs w:val="32"/>
        </w:rPr>
        <w:t>整改台</w:t>
      </w:r>
      <w:proofErr w:type="gramEnd"/>
      <w:r>
        <w:rPr>
          <w:rFonts w:ascii="仿宋_GB2312" w:eastAsia="仿宋_GB2312" w:hAnsi="仿宋_GB2312" w:cs="仿宋_GB2312" w:hint="eastAsia"/>
          <w:bCs/>
          <w:sz w:val="32"/>
          <w:szCs w:val="32"/>
        </w:rPr>
        <w:t>账，已全部完成</w:t>
      </w:r>
      <w:r>
        <w:rPr>
          <w:rFonts w:ascii="仿宋_GB2312" w:eastAsia="仿宋_GB2312" w:hAnsi="仿宋_GB2312" w:cs="仿宋_GB2312" w:hint="eastAsia"/>
          <w:sz w:val="32"/>
          <w:szCs w:val="32"/>
        </w:rPr>
        <w:t>整改。</w:t>
      </w:r>
      <w:r>
        <w:rPr>
          <w:rFonts w:ascii="仿宋_GB2312" w:eastAsia="仿宋_GB2312" w:hAnsi="仿宋_GB2312" w:cs="仿宋_GB2312" w:hint="eastAsia"/>
          <w:b/>
          <w:sz w:val="32"/>
          <w:szCs w:val="32"/>
        </w:rPr>
        <w:t>四是</w:t>
      </w:r>
      <w:r>
        <w:rPr>
          <w:rFonts w:ascii="仿宋_GB2312" w:eastAsia="仿宋_GB2312" w:hAnsi="楷体" w:hint="eastAsia"/>
          <w:sz w:val="32"/>
          <w:szCs w:val="32"/>
        </w:rPr>
        <w:t>加强廉政教育，通过主任办公会、干部职工大会、党员大会及专题会议等方式，组织党员干部学习</w:t>
      </w:r>
      <w:r>
        <w:rPr>
          <w:rFonts w:ascii="仿宋_GB2312" w:eastAsia="仿宋_GB2312" w:hint="eastAsia"/>
          <w:sz w:val="32"/>
          <w:szCs w:val="32"/>
        </w:rPr>
        <w:t>党纪法规和</w:t>
      </w:r>
      <w:r>
        <w:rPr>
          <w:rFonts w:ascii="仿宋_GB2312" w:eastAsia="仿宋_GB2312" w:hAnsi="黑体" w:cs="仿宋_GB2312" w:hint="eastAsia"/>
          <w:sz w:val="32"/>
          <w:szCs w:val="32"/>
        </w:rPr>
        <w:t>廉政准则等文件精神</w:t>
      </w:r>
      <w:r>
        <w:rPr>
          <w:rFonts w:ascii="仿宋_GB2312" w:eastAsia="仿宋_GB2312" w:hint="eastAsia"/>
          <w:sz w:val="32"/>
          <w:szCs w:val="32"/>
        </w:rPr>
        <w:t>，开展了联系家属廉政谈话，观看</w:t>
      </w:r>
      <w:r>
        <w:rPr>
          <w:rFonts w:ascii="仿宋_GB2312" w:eastAsia="仿宋_GB2312" w:hAnsi="仿宋_GB2312" w:cs="仿宋_GB2312" w:hint="eastAsia"/>
          <w:sz w:val="32"/>
          <w:szCs w:val="32"/>
        </w:rPr>
        <w:t>警示教育片</w:t>
      </w:r>
      <w:r>
        <w:rPr>
          <w:rStyle w:val="bjh-p"/>
          <w:rFonts w:ascii="仿宋_GB2312" w:eastAsia="仿宋_GB2312" w:hAnsi="Arial" w:cs="Arial" w:hint="eastAsia"/>
          <w:sz w:val="32"/>
          <w:szCs w:val="32"/>
        </w:rPr>
        <w:t>《家道》</w:t>
      </w:r>
      <w:r>
        <w:rPr>
          <w:rFonts w:ascii="仿宋_GB2312" w:eastAsia="仿宋_GB2312" w:hint="eastAsia"/>
          <w:sz w:val="32"/>
          <w:szCs w:val="32"/>
        </w:rPr>
        <w:t>，参观李榕家风馆（广元市法纪教育基地），强化党员干部廉洁自律意识，增强拒腐防变能力</w:t>
      </w:r>
      <w:r>
        <w:rPr>
          <w:rFonts w:ascii="仿宋_GB2312" w:eastAsia="仿宋_GB2312" w:hAnsi="楷体" w:hint="eastAsia"/>
          <w:sz w:val="32"/>
          <w:szCs w:val="32"/>
        </w:rPr>
        <w:t>，时刻保持思想警醒。</w:t>
      </w:r>
      <w:r>
        <w:rPr>
          <w:rFonts w:ascii="仿宋_GB2312" w:eastAsia="仿宋_GB2312" w:hint="eastAsia"/>
          <w:b/>
          <w:sz w:val="32"/>
          <w:szCs w:val="32"/>
        </w:rPr>
        <w:t>五是</w:t>
      </w:r>
      <w:r>
        <w:rPr>
          <w:rFonts w:ascii="仿宋_GB2312" w:eastAsia="仿宋_GB2312" w:hint="eastAsia"/>
          <w:sz w:val="32"/>
          <w:szCs w:val="32"/>
        </w:rPr>
        <w:t>健全完善内控管理制度。</w:t>
      </w:r>
      <w:r>
        <w:rPr>
          <w:rFonts w:ascii="仿宋_GB2312" w:eastAsia="仿宋_GB2312" w:hAnsi="仿宋_GB2312" w:cs="仿宋_GB2312" w:hint="eastAsia"/>
          <w:bCs/>
          <w:sz w:val="32"/>
          <w:szCs w:val="32"/>
        </w:rPr>
        <w:t>先后制定《主任办公会议规则》《请销假制度》《请示报告制度》《差旅费管理制度》《公务接待制度》等12项规章制度，</w:t>
      </w:r>
      <w:r>
        <w:rPr>
          <w:rFonts w:ascii="仿宋_GB2312" w:eastAsia="仿宋_GB2312" w:hAnsi="仿宋" w:hint="eastAsia"/>
          <w:sz w:val="32"/>
          <w:szCs w:val="32"/>
        </w:rPr>
        <w:t>印制了机关内部管理制度手册。</w:t>
      </w:r>
      <w:r>
        <w:rPr>
          <w:rFonts w:ascii="仿宋_GB2312" w:eastAsia="仿宋_GB2312" w:hAnsi="仿宋_GB2312" w:cs="仿宋_GB2312" w:hint="eastAsia"/>
          <w:bCs/>
          <w:sz w:val="32"/>
          <w:szCs w:val="32"/>
        </w:rPr>
        <w:t>完成了</w:t>
      </w:r>
      <w:r>
        <w:rPr>
          <w:rFonts w:ascii="仿宋_GB2312" w:eastAsia="仿宋_GB2312" w:hAnsi="仿宋_GB2312" w:cs="仿宋_GB2312" w:hint="eastAsia"/>
          <w:sz w:val="32"/>
          <w:szCs w:val="32"/>
          <w:shd w:val="clear" w:color="auto" w:fill="FFFFFF"/>
        </w:rPr>
        <w:t>历史遗留档案</w:t>
      </w:r>
      <w:r>
        <w:rPr>
          <w:rFonts w:ascii="仿宋_GB2312" w:eastAsia="仿宋_GB2312" w:hAnsi="仿宋_GB2312" w:cs="仿宋_GB2312" w:hint="eastAsia"/>
          <w:bCs/>
          <w:sz w:val="32"/>
          <w:szCs w:val="32"/>
        </w:rPr>
        <w:t>整理归档和电子化扫描工作。</w:t>
      </w:r>
      <w:r>
        <w:rPr>
          <w:rFonts w:ascii="仿宋_GB2312" w:eastAsia="仿宋_GB2312" w:hAnsi="仿宋_GB2312" w:cs="仿宋_GB2312" w:hint="eastAsia"/>
          <w:b/>
          <w:bCs/>
          <w:snapToGrid w:val="0"/>
          <w:sz w:val="32"/>
          <w:szCs w:val="32"/>
        </w:rPr>
        <w:t>六是</w:t>
      </w:r>
      <w:r>
        <w:rPr>
          <w:rFonts w:ascii="仿宋_GB2312" w:eastAsia="仿宋_GB2312" w:hAnsi="仿宋_GB2312" w:cs="仿宋_GB2312" w:hint="eastAsia"/>
          <w:bCs/>
          <w:snapToGrid w:val="0"/>
          <w:sz w:val="32"/>
          <w:szCs w:val="32"/>
        </w:rPr>
        <w:t>提升干部队伍综合素质。</w:t>
      </w:r>
      <w:r>
        <w:rPr>
          <w:rFonts w:ascii="仿宋_GB2312" w:eastAsia="仿宋_GB2312" w:hint="eastAsia"/>
          <w:sz w:val="32"/>
          <w:szCs w:val="32"/>
        </w:rPr>
        <w:t>完成第十四批高层次引进人才工作，并根据岗位空缺情况，</w:t>
      </w:r>
      <w:proofErr w:type="gramStart"/>
      <w:r>
        <w:rPr>
          <w:rFonts w:ascii="仿宋_GB2312" w:eastAsia="仿宋_GB2312" w:hAnsi="Calibri" w:hint="eastAsia"/>
          <w:sz w:val="32"/>
          <w:szCs w:val="32"/>
        </w:rPr>
        <w:t>本着人岗相适</w:t>
      </w:r>
      <w:proofErr w:type="gramEnd"/>
      <w:r>
        <w:rPr>
          <w:rFonts w:ascii="仿宋_GB2312" w:eastAsia="仿宋_GB2312" w:hAnsi="Calibri" w:hint="eastAsia"/>
          <w:sz w:val="32"/>
          <w:szCs w:val="32"/>
        </w:rPr>
        <w:t>、人尽其才和</w:t>
      </w:r>
      <w:r>
        <w:rPr>
          <w:rFonts w:ascii="仿宋_GB2312" w:eastAsia="仿宋_GB2312" w:hint="eastAsia"/>
          <w:sz w:val="32"/>
          <w:szCs w:val="32"/>
        </w:rPr>
        <w:t>充分调动干部干事创业激情</w:t>
      </w:r>
      <w:r>
        <w:rPr>
          <w:rFonts w:ascii="仿宋_GB2312" w:eastAsia="仿宋_GB2312" w:hAnsi="Calibri" w:hint="eastAsia"/>
          <w:sz w:val="32"/>
          <w:szCs w:val="32"/>
        </w:rPr>
        <w:t>的原则，</w:t>
      </w:r>
      <w:r>
        <w:rPr>
          <w:rFonts w:ascii="仿宋_GB2312" w:eastAsia="仿宋_GB2312" w:hint="eastAsia"/>
          <w:sz w:val="32"/>
          <w:szCs w:val="32"/>
        </w:rPr>
        <w:t>适时充实调配干部并对部分科室人员进行了优化调整。</w:t>
      </w:r>
      <w:r>
        <w:rPr>
          <w:rFonts w:ascii="仿宋_GB2312" w:eastAsia="仿宋_GB2312" w:hAnsi="仿宋_GB2312" w:cs="仿宋_GB2312" w:hint="eastAsia"/>
          <w:bCs/>
          <w:snapToGrid w:val="0"/>
          <w:sz w:val="32"/>
          <w:szCs w:val="32"/>
        </w:rPr>
        <w:t>制定了《“规划微课堂”活动实施方案》，成功举办“规划微课堂”7期、</w:t>
      </w:r>
      <w:r>
        <w:rPr>
          <w:rFonts w:ascii="仿宋_GB2312" w:eastAsia="仿宋_GB2312" w:hint="eastAsia"/>
          <w:sz w:val="32"/>
          <w:szCs w:val="32"/>
        </w:rPr>
        <w:t xml:space="preserve">“国土空间规划大讲堂”3期，组织开展国土空间规划、城乡规划基础理论、普通话及仪表礼仪、乡村振兴、心理压力调适等培训，受到多方好评。 </w:t>
      </w:r>
    </w:p>
    <w:p w:rsidR="003C6718" w:rsidRDefault="00E83E62">
      <w:pPr>
        <w:spacing w:line="560" w:lineRule="exact"/>
        <w:ind w:firstLineChars="200" w:firstLine="640"/>
      </w:pPr>
      <w:r>
        <w:rPr>
          <w:rFonts w:ascii="楷体_GB2312" w:eastAsia="楷体_GB2312" w:hAnsi="仿宋" w:hint="eastAsia"/>
          <w:sz w:val="32"/>
          <w:szCs w:val="32"/>
        </w:rPr>
        <w:lastRenderedPageBreak/>
        <w:t>6.突出帮扶实效，助力乡村振兴。</w:t>
      </w:r>
      <w:r>
        <w:rPr>
          <w:rFonts w:ascii="仿宋_GB2312" w:eastAsia="仿宋_GB2312" w:hAnsi="仿宋" w:hint="eastAsia"/>
          <w:b/>
          <w:sz w:val="32"/>
          <w:szCs w:val="32"/>
        </w:rPr>
        <w:t>一是</w:t>
      </w:r>
      <w:r>
        <w:rPr>
          <w:rFonts w:ascii="仿宋_GB2312" w:eastAsia="仿宋_GB2312" w:hAnsi="仿宋" w:hint="eastAsia"/>
          <w:sz w:val="32"/>
          <w:szCs w:val="32"/>
        </w:rPr>
        <w:t>持续做好</w:t>
      </w:r>
      <w:r>
        <w:rPr>
          <w:rFonts w:ascii="仿宋_GB2312" w:eastAsia="仿宋_GB2312" w:hAnsi="宋体" w:hint="eastAsia"/>
          <w:sz w:val="32"/>
          <w:szCs w:val="32"/>
        </w:rPr>
        <w:t>昭化区清水镇石庙村巩固脱贫攻坚成果同乡村振兴有效衔接期间结对帮扶工作，</w:t>
      </w:r>
      <w:r>
        <w:rPr>
          <w:rFonts w:ascii="仿宋_GB2312" w:eastAsia="仿宋_GB2312" w:hAnsi="仿宋" w:hint="eastAsia"/>
          <w:sz w:val="32"/>
          <w:szCs w:val="32"/>
        </w:rPr>
        <w:t>重新调整了第一书记，组建成立了乡村</w:t>
      </w:r>
      <w:r>
        <w:rPr>
          <w:rFonts w:ascii="仿宋_GB2312" w:eastAsia="仿宋_GB2312" w:hint="eastAsia"/>
          <w:sz w:val="32"/>
          <w:szCs w:val="32"/>
        </w:rPr>
        <w:t>振兴驻村帮扶工作队，印发了《广元市国土空间规划编制研究中心关于做好昭化区清水镇石庙村乡村振兴结对帮扶工作的通知》《昭化区清水镇石庙村巩固脱贫攻坚成果同乡村振兴有效衔接期间结对帮扶措施》，组织结对帮扶干部开展三次“三同”活动。</w:t>
      </w:r>
      <w:r>
        <w:rPr>
          <w:rFonts w:ascii="仿宋_GB2312" w:eastAsia="仿宋_GB2312" w:hint="eastAsia"/>
          <w:b/>
          <w:sz w:val="32"/>
          <w:szCs w:val="32"/>
        </w:rPr>
        <w:t>二是</w:t>
      </w:r>
      <w:r>
        <w:rPr>
          <w:rFonts w:ascii="仿宋_GB2312" w:eastAsia="仿宋_GB2312" w:hint="eastAsia"/>
          <w:sz w:val="32"/>
          <w:szCs w:val="32"/>
        </w:rPr>
        <w:t>开展了返贫排查摸底和</w:t>
      </w:r>
      <w:r>
        <w:rPr>
          <w:rFonts w:ascii="仿宋_GB2312" w:eastAsia="仿宋_GB2312" w:cs="仿宋_GB2312" w:hint="eastAsia"/>
          <w:sz w:val="32"/>
          <w:szCs w:val="32"/>
        </w:rPr>
        <w:t>重大疾病、伤残、因学致贫等重点人群帮扶，</w:t>
      </w:r>
      <w:r>
        <w:rPr>
          <w:rFonts w:ascii="仿宋_GB2312" w:eastAsia="仿宋_GB2312" w:hAnsi="仿宋_GB2312" w:cs="仿宋_GB2312" w:hint="eastAsia"/>
          <w:sz w:val="32"/>
          <w:szCs w:val="32"/>
        </w:rPr>
        <w:t>建立了关爱基金和结对动态监测机制。</w:t>
      </w:r>
      <w:r>
        <w:rPr>
          <w:rFonts w:ascii="仿宋_GB2312" w:eastAsia="仿宋_GB2312" w:hAnsi="仿宋_GB2312" w:cs="仿宋_GB2312" w:hint="eastAsia"/>
          <w:b/>
          <w:sz w:val="32"/>
          <w:szCs w:val="32"/>
        </w:rPr>
        <w:t>三是</w:t>
      </w:r>
      <w:r>
        <w:rPr>
          <w:rFonts w:ascii="仿宋_GB2312" w:eastAsia="仿宋_GB2312" w:hAnsi="仿宋" w:cs="仿宋" w:hint="eastAsia"/>
          <w:sz w:val="32"/>
          <w:szCs w:val="32"/>
        </w:rPr>
        <w:t>指导昭化区将清水镇纳入</w:t>
      </w:r>
      <w:proofErr w:type="gramStart"/>
      <w:r>
        <w:rPr>
          <w:rFonts w:ascii="仿宋_GB2312" w:eastAsia="仿宋_GB2312" w:hAnsi="仿宋" w:cs="仿宋" w:hint="eastAsia"/>
          <w:sz w:val="32"/>
          <w:szCs w:val="32"/>
        </w:rPr>
        <w:t>卫子农文旅</w:t>
      </w:r>
      <w:proofErr w:type="gramEnd"/>
      <w:r>
        <w:rPr>
          <w:rFonts w:ascii="仿宋_GB2312" w:eastAsia="仿宋_GB2312" w:hAnsi="仿宋" w:cs="仿宋" w:hint="eastAsia"/>
          <w:sz w:val="32"/>
          <w:szCs w:val="32"/>
        </w:rPr>
        <w:t>片区统筹规划，结合资源禀赋和现有产业基础，科学分析产业定位，优化布局配置资源。</w:t>
      </w:r>
      <w:r>
        <w:rPr>
          <w:rFonts w:ascii="仿宋_GB2312" w:eastAsia="仿宋_GB2312" w:cs="仿宋_GB2312" w:hint="eastAsia"/>
          <w:b/>
          <w:sz w:val="32"/>
          <w:szCs w:val="32"/>
        </w:rPr>
        <w:t>四是</w:t>
      </w:r>
      <w:r>
        <w:rPr>
          <w:rFonts w:ascii="仿宋_GB2312" w:eastAsia="仿宋_GB2312" w:cs="仿宋_GB2312" w:hint="eastAsia"/>
          <w:sz w:val="32"/>
          <w:szCs w:val="32"/>
        </w:rPr>
        <w:t>持续</w:t>
      </w:r>
      <w:r>
        <w:rPr>
          <w:rFonts w:ascii="仿宋_GB2312" w:eastAsia="仿宋_GB2312" w:hAnsi="黑体" w:cs="黑体" w:hint="eastAsia"/>
          <w:sz w:val="32"/>
          <w:szCs w:val="32"/>
        </w:rPr>
        <w:t>开展“以购代扶”活动。</w:t>
      </w:r>
      <w:r>
        <w:rPr>
          <w:rFonts w:ascii="仿宋_GB2312" w:eastAsia="仿宋_GB2312" w:hAnsi="仿宋_GB2312" w:cs="仿宋_GB2312" w:hint="eastAsia"/>
          <w:sz w:val="32"/>
          <w:szCs w:val="32"/>
        </w:rPr>
        <w:t>动员全中心干部职工通过驻村工作队代销或联系帮扶户购买土鸡、</w:t>
      </w:r>
      <w:r>
        <w:rPr>
          <w:rFonts w:ascii="仿宋_GB2312" w:eastAsia="仿宋_GB2312" w:cs="仿宋_GB2312" w:hint="eastAsia"/>
          <w:sz w:val="32"/>
          <w:szCs w:val="32"/>
        </w:rPr>
        <w:t>猕猴桃、耙</w:t>
      </w:r>
      <w:proofErr w:type="gramStart"/>
      <w:r>
        <w:rPr>
          <w:rFonts w:ascii="仿宋_GB2312" w:eastAsia="仿宋_GB2312" w:cs="仿宋_GB2312" w:hint="eastAsia"/>
          <w:sz w:val="32"/>
          <w:szCs w:val="32"/>
        </w:rPr>
        <w:t>耙</w:t>
      </w:r>
      <w:proofErr w:type="gramEnd"/>
      <w:r>
        <w:rPr>
          <w:rFonts w:ascii="仿宋_GB2312" w:eastAsia="仿宋_GB2312" w:cs="仿宋_GB2312" w:hint="eastAsia"/>
          <w:sz w:val="32"/>
          <w:szCs w:val="32"/>
        </w:rPr>
        <w:t>柑等农产品</w:t>
      </w:r>
      <w:r>
        <w:rPr>
          <w:rFonts w:ascii="仿宋_GB2312" w:eastAsia="仿宋_GB2312" w:hAnsi="仿宋_GB2312" w:cs="仿宋_GB2312" w:hint="eastAsia"/>
          <w:sz w:val="32"/>
          <w:szCs w:val="32"/>
        </w:rPr>
        <w:t>，采购金额约1.8万元。</w:t>
      </w:r>
    </w:p>
    <w:p w:rsidR="003C6718" w:rsidRDefault="00E83E62">
      <w:pPr>
        <w:pStyle w:val="2"/>
        <w:spacing w:before="0" w:after="0" w:line="560" w:lineRule="exact"/>
        <w:ind w:firstLineChars="200" w:firstLine="640"/>
        <w:rPr>
          <w:rFonts w:ascii="黑体" w:eastAsia="黑体" w:hAnsi="黑体"/>
          <w:b w:val="0"/>
        </w:rPr>
      </w:pPr>
      <w:bookmarkStart w:id="57" w:name="_Toc25764"/>
      <w:r>
        <w:rPr>
          <w:rFonts w:ascii="黑体" w:eastAsia="黑体" w:hAnsi="黑体" w:hint="eastAsia"/>
          <w:b w:val="0"/>
        </w:rPr>
        <w:t>二、机构设置</w:t>
      </w:r>
      <w:bookmarkEnd w:id="50"/>
      <w:bookmarkEnd w:id="51"/>
      <w:bookmarkEnd w:id="52"/>
      <w:bookmarkEnd w:id="53"/>
      <w:bookmarkEnd w:id="54"/>
      <w:bookmarkEnd w:id="55"/>
      <w:bookmarkEnd w:id="57"/>
    </w:p>
    <w:p w:rsidR="003C6718" w:rsidRDefault="00E83E6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广元市国土空间规划编制研究中心下属二级单位1个，其中行政单位0个，参照公务员法管理的事业单位</w:t>
      </w:r>
      <w:r>
        <w:rPr>
          <w:rFonts w:ascii="仿宋_GB2312" w:eastAsia="仿宋_GB2312" w:hAnsi="仿宋_GB2312" w:cs="仿宋_GB2312" w:hint="eastAsia"/>
          <w:bCs/>
          <w:sz w:val="32"/>
          <w:szCs w:val="32"/>
        </w:rPr>
        <w:t>0</w:t>
      </w:r>
      <w:r>
        <w:rPr>
          <w:rFonts w:ascii="仿宋_GB2312" w:eastAsia="仿宋_GB2312" w:hAnsi="仿宋_GB2312" w:cs="仿宋_GB2312" w:hint="eastAsia"/>
          <w:sz w:val="32"/>
          <w:szCs w:val="32"/>
        </w:rPr>
        <w:t>个，其他事业单位1个。</w:t>
      </w:r>
    </w:p>
    <w:p w:rsidR="003C6718" w:rsidRDefault="00E83E62">
      <w:pPr>
        <w:pStyle w:val="a3"/>
        <w:adjustRightInd w:val="0"/>
        <w:snapToGrid w:val="0"/>
        <w:spacing w:beforeLines="0" w:line="560" w:lineRule="exact"/>
        <w:ind w:firstLineChars="210" w:firstLine="672"/>
        <w:rPr>
          <w:rFonts w:hAnsi="仿宋_GB2312" w:cs="仿宋_GB2312"/>
          <w:sz w:val="32"/>
          <w:szCs w:val="32"/>
        </w:rPr>
      </w:pPr>
      <w:r>
        <w:rPr>
          <w:rFonts w:hAnsi="仿宋_GB2312" w:cs="仿宋_GB2312" w:hint="eastAsia"/>
          <w:sz w:val="32"/>
          <w:szCs w:val="32"/>
        </w:rPr>
        <w:t>纳入广元市国土空间规划编制研究中心2021年度部门决算编制范围的二级预算单位包括：</w:t>
      </w:r>
    </w:p>
    <w:p w:rsidR="003C6718" w:rsidRDefault="00E83E62">
      <w:pPr>
        <w:pStyle w:val="a3"/>
        <w:adjustRightInd w:val="0"/>
        <w:snapToGrid w:val="0"/>
        <w:spacing w:beforeLines="0" w:line="560" w:lineRule="exact"/>
        <w:ind w:firstLineChars="210" w:firstLine="672"/>
        <w:rPr>
          <w:rFonts w:hAnsi="仿宋_GB2312" w:cs="仿宋_GB2312"/>
          <w:sz w:val="32"/>
          <w:szCs w:val="32"/>
        </w:rPr>
      </w:pPr>
      <w:r>
        <w:rPr>
          <w:rFonts w:hAnsi="仿宋_GB2312" w:cs="仿宋_GB2312" w:hint="eastAsia"/>
          <w:sz w:val="32"/>
          <w:szCs w:val="32"/>
        </w:rPr>
        <w:t>1.广元市国土空间规划编制研究中心</w:t>
      </w:r>
    </w:p>
    <w:p w:rsidR="003C6718" w:rsidRDefault="00E83E62">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2.广元经济技术开发区国土空间规划编制研究中心</w:t>
      </w:r>
    </w:p>
    <w:p w:rsidR="003C6718" w:rsidRDefault="00E83E62">
      <w:pPr>
        <w:widowControl/>
        <w:spacing w:line="576" w:lineRule="exact"/>
        <w:ind w:firstLineChars="200" w:firstLine="640"/>
        <w:jc w:val="left"/>
        <w:rPr>
          <w:rFonts w:ascii="黑体" w:eastAsia="黑体" w:hAnsi="黑体"/>
        </w:rPr>
      </w:pPr>
      <w:r>
        <w:rPr>
          <w:rFonts w:ascii="仿宋" w:eastAsia="仿宋" w:hAnsi="仿宋"/>
          <w:sz w:val="32"/>
          <w:szCs w:val="32"/>
        </w:rPr>
        <w:br w:type="page"/>
      </w:r>
      <w:bookmarkStart w:id="58" w:name="_Toc25790"/>
      <w:bookmarkStart w:id="59" w:name="_Toc3228"/>
      <w:bookmarkStart w:id="60" w:name="_Toc22090"/>
      <w:bookmarkStart w:id="61" w:name="_Toc13881"/>
      <w:bookmarkStart w:id="62" w:name="_Toc15396602"/>
      <w:bookmarkStart w:id="63" w:name="_Toc15377204"/>
      <w:bookmarkStart w:id="64" w:name="_Toc1341"/>
    </w:p>
    <w:p w:rsidR="003C6718" w:rsidRDefault="00E83E62">
      <w:pPr>
        <w:pStyle w:val="1"/>
        <w:spacing w:before="0" w:after="0" w:line="576" w:lineRule="exact"/>
        <w:jc w:val="center"/>
        <w:rPr>
          <w:rStyle w:val="1Char"/>
          <w:rFonts w:ascii="黑体" w:eastAsia="黑体" w:hAnsi="黑体"/>
          <w:bCs/>
        </w:rPr>
      </w:pPr>
      <w:r>
        <w:rPr>
          <w:rFonts w:ascii="黑体" w:eastAsia="黑体" w:hAnsi="黑体" w:hint="eastAsia"/>
          <w:b w:val="0"/>
        </w:rPr>
        <w:t>第二部分 2022年度</w:t>
      </w:r>
      <w:r>
        <w:rPr>
          <w:rStyle w:val="1Char"/>
          <w:rFonts w:ascii="黑体" w:eastAsia="黑体" w:hAnsi="黑体" w:hint="eastAsia"/>
          <w:bCs/>
        </w:rPr>
        <w:t>部门决算情况说明</w:t>
      </w:r>
      <w:bookmarkEnd w:id="58"/>
      <w:bookmarkEnd w:id="59"/>
      <w:bookmarkEnd w:id="60"/>
      <w:bookmarkEnd w:id="61"/>
      <w:bookmarkEnd w:id="62"/>
      <w:bookmarkEnd w:id="63"/>
      <w:bookmarkEnd w:id="64"/>
    </w:p>
    <w:p w:rsidR="003C6718" w:rsidRDefault="003C6718">
      <w:pPr>
        <w:spacing w:line="576" w:lineRule="exact"/>
      </w:pPr>
    </w:p>
    <w:p w:rsidR="003C6718" w:rsidRDefault="00E83E62">
      <w:pPr>
        <w:pStyle w:val="11"/>
        <w:spacing w:line="576" w:lineRule="exact"/>
        <w:ind w:firstLine="640"/>
        <w:outlineLvl w:val="1"/>
        <w:rPr>
          <w:rStyle w:val="2Char"/>
          <w:rFonts w:ascii="黑体" w:eastAsia="黑体" w:hAnsi="黑体"/>
          <w:b w:val="0"/>
        </w:rPr>
      </w:pPr>
      <w:bookmarkStart w:id="65" w:name="_Toc27809"/>
      <w:bookmarkStart w:id="66" w:name="_Toc15377205"/>
      <w:bookmarkStart w:id="67" w:name="_Toc10931"/>
      <w:bookmarkStart w:id="68" w:name="_Toc15396603"/>
      <w:bookmarkStart w:id="69" w:name="_Toc20450"/>
      <w:bookmarkStart w:id="70" w:name="_Toc28569"/>
      <w:bookmarkStart w:id="71" w:name="_Toc22503"/>
      <w:r>
        <w:rPr>
          <w:rFonts w:ascii="黑体" w:eastAsia="黑体" w:hAnsi="黑体" w:hint="eastAsia"/>
          <w:sz w:val="32"/>
          <w:szCs w:val="32"/>
        </w:rPr>
        <w:t>一、收</w:t>
      </w:r>
      <w:r>
        <w:rPr>
          <w:rStyle w:val="2Char"/>
          <w:rFonts w:ascii="黑体" w:eastAsia="黑体" w:hAnsi="黑体" w:hint="eastAsia"/>
          <w:b w:val="0"/>
        </w:rPr>
        <w:t>入支出决算总体情况说明</w:t>
      </w:r>
      <w:bookmarkEnd w:id="65"/>
      <w:bookmarkEnd w:id="66"/>
      <w:bookmarkEnd w:id="67"/>
      <w:bookmarkEnd w:id="68"/>
      <w:bookmarkEnd w:id="69"/>
      <w:bookmarkEnd w:id="70"/>
      <w:bookmarkEnd w:id="71"/>
    </w:p>
    <w:p w:rsidR="003C6718" w:rsidRDefault="00E83E62">
      <w:pPr>
        <w:keepNext/>
        <w:keepLines/>
        <w:spacing w:line="576" w:lineRule="exact"/>
        <w:ind w:firstLine="640"/>
        <w:rPr>
          <w:rFonts w:ascii="仿宋_GB2312" w:eastAsia="仿宋_GB2312" w:hAnsi="仿宋_GB2312"/>
          <w:color w:val="000000"/>
          <w:sz w:val="32"/>
          <w:lang w:val="zh-CN"/>
        </w:rPr>
      </w:pPr>
      <w:r>
        <w:rPr>
          <w:rFonts w:ascii="仿宋_GB2312" w:eastAsia="仿宋_GB2312" w:hAnsi="仿宋_GB2312" w:hint="eastAsia"/>
          <w:color w:val="000000"/>
          <w:sz w:val="32"/>
          <w:lang w:val="zh-CN"/>
        </w:rPr>
        <w:t>2022年度收、支总计1,345.33万元。与2021年相比，收、支总计各减少</w:t>
      </w:r>
      <w:r>
        <w:rPr>
          <w:rFonts w:ascii="仿宋_GB2312" w:eastAsia="仿宋_GB2312" w:hAnsi="仿宋_GB2312" w:hint="eastAsia"/>
          <w:color w:val="000000"/>
          <w:sz w:val="32"/>
        </w:rPr>
        <w:t>40.31</w:t>
      </w:r>
      <w:r>
        <w:rPr>
          <w:rFonts w:ascii="仿宋_GB2312" w:eastAsia="仿宋_GB2312" w:hAnsi="仿宋_GB2312" w:hint="eastAsia"/>
          <w:color w:val="000000"/>
          <w:sz w:val="32"/>
          <w:lang w:val="zh-CN"/>
        </w:rPr>
        <w:t>万元，下降</w:t>
      </w:r>
      <w:r>
        <w:rPr>
          <w:rFonts w:ascii="仿宋_GB2312" w:eastAsia="仿宋_GB2312" w:hAnsi="仿宋_GB2312" w:hint="eastAsia"/>
          <w:color w:val="000000"/>
          <w:sz w:val="32"/>
        </w:rPr>
        <w:t>2.91</w:t>
      </w:r>
      <w:r>
        <w:rPr>
          <w:rFonts w:ascii="仿宋_GB2312" w:eastAsia="仿宋_GB2312" w:hAnsi="仿宋_GB2312" w:hint="eastAsia"/>
          <w:color w:val="000000"/>
          <w:sz w:val="32"/>
          <w:lang w:val="zh-CN"/>
        </w:rPr>
        <w:t>%。主要变动原因是</w:t>
      </w:r>
      <w:r>
        <w:rPr>
          <w:rFonts w:ascii="仿宋_GB2312" w:eastAsia="仿宋_GB2312" w:hAnsi="仿宋_GB2312" w:hint="eastAsia"/>
          <w:color w:val="000000"/>
          <w:sz w:val="32"/>
        </w:rPr>
        <w:t>财政结转资金减少</w:t>
      </w:r>
      <w:r>
        <w:rPr>
          <w:rFonts w:ascii="仿宋_GB2312" w:eastAsia="仿宋_GB2312" w:hAnsi="仿宋_GB2312" w:hint="eastAsia"/>
          <w:color w:val="000000"/>
          <w:sz w:val="32"/>
          <w:lang w:val="zh-CN"/>
        </w:rPr>
        <w:t>。</w:t>
      </w:r>
    </w:p>
    <w:p w:rsidR="003C6718" w:rsidRDefault="003C6718">
      <w:pPr>
        <w:pStyle w:val="a3"/>
        <w:spacing w:before="93"/>
        <w:jc w:val="center"/>
        <w:rPr>
          <w:rFonts w:hAnsi="仿宋_GB2312" w:cs="仿宋_GB2312"/>
          <w:sz w:val="32"/>
          <w:szCs w:val="32"/>
        </w:rPr>
      </w:pPr>
      <w:r w:rsidRPr="003C6718">
        <w:rPr>
          <w:rFonts w:hAnsi="仿宋_GB2312" w:cs="仿宋_GB231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1" style="width:348.8pt;height:216.95pt">
            <v:imagedata r:id="rId10" o:title="图片1"/>
          </v:shape>
        </w:pict>
      </w:r>
    </w:p>
    <w:p w:rsidR="003C6718" w:rsidRDefault="00E83E62">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图1：收、支决算总计变动情况图</w:t>
      </w:r>
    </w:p>
    <w:p w:rsidR="003C6718" w:rsidRDefault="003C6718">
      <w:pPr>
        <w:spacing w:line="576" w:lineRule="exact"/>
        <w:jc w:val="center"/>
        <w:rPr>
          <w:rFonts w:ascii="仿宋_GB2312" w:eastAsia="仿宋_GB2312" w:hAnsi="仿宋_GB2312" w:cs="仿宋_GB2312"/>
          <w:sz w:val="32"/>
          <w:szCs w:val="32"/>
        </w:rPr>
      </w:pPr>
    </w:p>
    <w:p w:rsidR="003C6718" w:rsidRDefault="00E83E62">
      <w:pPr>
        <w:pStyle w:val="11"/>
        <w:numPr>
          <w:ilvl w:val="0"/>
          <w:numId w:val="1"/>
        </w:numPr>
        <w:spacing w:line="576" w:lineRule="exact"/>
        <w:ind w:firstLine="640"/>
        <w:outlineLvl w:val="1"/>
        <w:rPr>
          <w:rStyle w:val="2Char"/>
          <w:rFonts w:ascii="黑体" w:eastAsia="黑体" w:hAnsi="黑体"/>
          <w:b w:val="0"/>
        </w:rPr>
      </w:pPr>
      <w:bookmarkStart w:id="72" w:name="_Toc14560"/>
      <w:bookmarkStart w:id="73" w:name="_Toc15396604"/>
      <w:bookmarkStart w:id="74" w:name="_Toc15377206"/>
      <w:bookmarkStart w:id="75" w:name="_Toc32611"/>
      <w:bookmarkStart w:id="76" w:name="_Toc4338"/>
      <w:bookmarkStart w:id="77" w:name="_Toc22630"/>
      <w:bookmarkStart w:id="78" w:name="_Toc5295"/>
      <w:r>
        <w:rPr>
          <w:rStyle w:val="2Char"/>
          <w:rFonts w:ascii="黑体" w:eastAsia="黑体" w:hAnsi="黑体" w:hint="eastAsia"/>
          <w:b w:val="0"/>
        </w:rPr>
        <w:t>收入决算情况说明</w:t>
      </w:r>
      <w:bookmarkEnd w:id="72"/>
      <w:bookmarkEnd w:id="73"/>
      <w:bookmarkEnd w:id="74"/>
      <w:bookmarkEnd w:id="75"/>
      <w:bookmarkEnd w:id="76"/>
      <w:bookmarkEnd w:id="77"/>
      <w:bookmarkEnd w:id="78"/>
    </w:p>
    <w:p w:rsidR="003C6718" w:rsidRDefault="00E83E62">
      <w:pPr>
        <w:keepNext/>
        <w:keepLines/>
        <w:spacing w:line="576" w:lineRule="exact"/>
        <w:ind w:firstLine="640"/>
        <w:rPr>
          <w:rFonts w:ascii="仿宋_GB2312" w:eastAsia="仿宋_GB2312" w:hAnsi="仿宋_GB2312"/>
          <w:color w:val="000000"/>
          <w:sz w:val="32"/>
          <w:lang w:val="zh-CN"/>
        </w:rPr>
      </w:pPr>
      <w:r>
        <w:rPr>
          <w:rFonts w:ascii="仿宋_GB2312" w:eastAsia="仿宋_GB2312" w:hAnsi="仿宋_GB2312" w:hint="eastAsia"/>
          <w:color w:val="000000"/>
          <w:sz w:val="32"/>
          <w:lang w:val="zh-CN"/>
        </w:rPr>
        <w:t>2022年本年收入合计1,156.93万元，其中：一般公共预算财政拨款收入958.3万元，占82.8%；政府性基金预算财政拨款收入179.22万元，占15.5%；其他收入19.41万元，占1.7%。</w:t>
      </w:r>
    </w:p>
    <w:p w:rsidR="003C6718" w:rsidRDefault="003C6718">
      <w:pPr>
        <w:pStyle w:val="11"/>
        <w:spacing w:line="576" w:lineRule="exact"/>
        <w:ind w:firstLineChars="0" w:firstLine="0"/>
        <w:outlineLvl w:val="1"/>
        <w:rPr>
          <w:rStyle w:val="2Char"/>
          <w:rFonts w:ascii="黑体" w:eastAsia="黑体" w:hAnsi="黑体"/>
          <w:b w:val="0"/>
        </w:rPr>
      </w:pPr>
    </w:p>
    <w:p w:rsidR="003C6718" w:rsidRDefault="003C6718">
      <w:pPr>
        <w:pStyle w:val="a3"/>
        <w:spacing w:before="93"/>
        <w:ind w:firstLineChars="200" w:firstLine="640"/>
        <w:jc w:val="left"/>
        <w:rPr>
          <w:sz w:val="32"/>
          <w:szCs w:val="32"/>
        </w:rPr>
      </w:pPr>
      <w:r w:rsidRPr="003C6718">
        <w:rPr>
          <w:sz w:val="32"/>
          <w:szCs w:val="32"/>
        </w:rPr>
        <w:lastRenderedPageBreak/>
        <w:pict>
          <v:shape id="_x0000_i1026" type="#_x0000_t75" alt="图片2" style="width:359.05pt;height:198.25pt">
            <v:imagedata r:id="rId11" o:title="图片2"/>
          </v:shape>
        </w:pict>
      </w:r>
    </w:p>
    <w:p w:rsidR="003C6718" w:rsidRDefault="00E83E62">
      <w:pPr>
        <w:spacing w:line="600" w:lineRule="exact"/>
        <w:jc w:val="center"/>
        <w:rPr>
          <w:rFonts w:ascii="仿宋_GB2312" w:eastAsia="仿宋_GB2312"/>
          <w:sz w:val="32"/>
          <w:szCs w:val="32"/>
        </w:rPr>
      </w:pPr>
      <w:r>
        <w:rPr>
          <w:rFonts w:ascii="仿宋" w:eastAsia="仿宋" w:hAnsi="仿宋" w:hint="eastAsia"/>
          <w:sz w:val="32"/>
          <w:szCs w:val="32"/>
        </w:rPr>
        <w:t>图2：收入决算结构图</w:t>
      </w:r>
    </w:p>
    <w:p w:rsidR="003C6718" w:rsidRDefault="003C6718">
      <w:pPr>
        <w:pStyle w:val="11"/>
        <w:spacing w:line="576" w:lineRule="exact"/>
        <w:ind w:firstLine="640"/>
        <w:outlineLvl w:val="1"/>
        <w:rPr>
          <w:rStyle w:val="2Char"/>
          <w:rFonts w:ascii="黑体" w:eastAsia="黑体" w:hAnsi="黑体"/>
          <w:b w:val="0"/>
        </w:rPr>
      </w:pPr>
      <w:bookmarkStart w:id="79" w:name="_Toc27316"/>
      <w:bookmarkStart w:id="80" w:name="_Toc15396605"/>
      <w:bookmarkStart w:id="81" w:name="_Toc16092"/>
      <w:bookmarkStart w:id="82" w:name="_Toc32515"/>
      <w:bookmarkStart w:id="83" w:name="_Toc22528"/>
      <w:bookmarkStart w:id="84" w:name="_Toc15377207"/>
      <w:bookmarkStart w:id="85" w:name="_Toc17566"/>
    </w:p>
    <w:p w:rsidR="003C6718" w:rsidRDefault="00E83E62">
      <w:pPr>
        <w:pStyle w:val="11"/>
        <w:spacing w:line="576" w:lineRule="exact"/>
        <w:ind w:firstLine="640"/>
        <w:outlineLvl w:val="1"/>
        <w:rPr>
          <w:rStyle w:val="2Char"/>
          <w:rFonts w:ascii="黑体" w:eastAsia="黑体" w:hAnsi="黑体"/>
          <w:b w:val="0"/>
        </w:rPr>
      </w:pPr>
      <w:r>
        <w:rPr>
          <w:rStyle w:val="2Char"/>
          <w:rFonts w:ascii="黑体" w:eastAsia="黑体" w:hAnsi="黑体" w:hint="eastAsia"/>
          <w:b w:val="0"/>
        </w:rPr>
        <w:t>三、支出决算情况说明</w:t>
      </w:r>
      <w:bookmarkEnd w:id="79"/>
      <w:bookmarkEnd w:id="80"/>
      <w:bookmarkEnd w:id="81"/>
      <w:bookmarkEnd w:id="82"/>
      <w:bookmarkEnd w:id="83"/>
      <w:bookmarkEnd w:id="84"/>
      <w:bookmarkEnd w:id="85"/>
    </w:p>
    <w:p w:rsidR="003C6718" w:rsidRDefault="00E83E62">
      <w:pPr>
        <w:spacing w:line="576" w:lineRule="exact"/>
        <w:ind w:firstLineChars="200" w:firstLine="640"/>
        <w:outlineLvl w:val="1"/>
        <w:rPr>
          <w:rFonts w:ascii="仿宋_GB2312" w:eastAsia="仿宋_GB2312" w:hAnsi="仿宋_GB2312" w:cs="仿宋_GB2312"/>
          <w:sz w:val="32"/>
          <w:szCs w:val="32"/>
          <w:shd w:val="pct10" w:color="auto" w:fill="FFFFFF"/>
        </w:rPr>
      </w:pPr>
      <w:bookmarkStart w:id="86" w:name="_Toc3107"/>
      <w:r>
        <w:rPr>
          <w:rFonts w:ascii="仿宋_GB2312" w:eastAsia="仿宋_GB2312" w:hAnsi="仿宋_GB2312" w:hint="eastAsia"/>
          <w:color w:val="000000"/>
          <w:sz w:val="32"/>
          <w:lang w:val="zh-CN"/>
        </w:rPr>
        <w:t>2022年本年支出合计1,328.2万元，其中：基本支出981.39万元，占73.9%；项目支出346.81万元，占26.1%。</w:t>
      </w:r>
      <w:bookmarkEnd w:id="86"/>
    </w:p>
    <w:p w:rsidR="003C6718" w:rsidRDefault="003C6718">
      <w:pPr>
        <w:pStyle w:val="a3"/>
        <w:spacing w:before="93"/>
        <w:jc w:val="center"/>
      </w:pPr>
      <w:r>
        <w:pict>
          <v:shape id="_x0000_i1027" type="#_x0000_t75" alt="图片3" style="width:388.05pt;height:209.45pt">
            <v:imagedata r:id="rId12" o:title="图片3"/>
          </v:shape>
        </w:pict>
      </w:r>
    </w:p>
    <w:p w:rsidR="003C6718" w:rsidRDefault="00E83E62">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图3：支出决算结构图</w:t>
      </w:r>
    </w:p>
    <w:p w:rsidR="003C6718" w:rsidRDefault="00E83E62">
      <w:pPr>
        <w:rPr>
          <w:rFonts w:ascii="仿宋_GB2312" w:eastAsia="仿宋_GB2312"/>
          <w:sz w:val="32"/>
          <w:szCs w:val="32"/>
        </w:rPr>
      </w:pPr>
      <w:r>
        <w:rPr>
          <w:rFonts w:ascii="仿宋_GB2312" w:eastAsia="仿宋_GB2312"/>
          <w:sz w:val="32"/>
          <w:szCs w:val="32"/>
        </w:rPr>
        <w:br w:type="page"/>
      </w:r>
    </w:p>
    <w:p w:rsidR="003C6718" w:rsidRDefault="00E83E62">
      <w:pPr>
        <w:spacing w:line="576" w:lineRule="exact"/>
        <w:ind w:firstLineChars="200" w:firstLine="640"/>
        <w:outlineLvl w:val="1"/>
        <w:rPr>
          <w:rStyle w:val="2Char"/>
          <w:rFonts w:ascii="黑体" w:eastAsia="黑体" w:hAnsi="黑体"/>
          <w:b w:val="0"/>
        </w:rPr>
      </w:pPr>
      <w:bookmarkStart w:id="87" w:name="_Toc23076"/>
      <w:bookmarkStart w:id="88" w:name="_Toc31232"/>
      <w:bookmarkStart w:id="89" w:name="_Toc15377208"/>
      <w:bookmarkStart w:id="90" w:name="_Toc26733"/>
      <w:bookmarkStart w:id="91" w:name="_Toc1428"/>
      <w:bookmarkStart w:id="92" w:name="_Toc15396606"/>
      <w:bookmarkStart w:id="93" w:name="_Toc2208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87"/>
      <w:bookmarkEnd w:id="88"/>
      <w:bookmarkEnd w:id="89"/>
      <w:bookmarkEnd w:id="90"/>
      <w:bookmarkEnd w:id="91"/>
      <w:bookmarkEnd w:id="92"/>
      <w:bookmarkEnd w:id="93"/>
    </w:p>
    <w:p w:rsidR="003C6718" w:rsidRDefault="00E83E62">
      <w:pPr>
        <w:spacing w:line="576" w:lineRule="exact"/>
        <w:ind w:firstLine="640"/>
        <w:rPr>
          <w:rFonts w:ascii="仿宋_GB2312" w:eastAsia="仿宋_GB2312" w:hAnsi="仿宋_GB2312" w:cs="仿宋_GB2312"/>
          <w:sz w:val="32"/>
          <w:szCs w:val="32"/>
        </w:rPr>
      </w:pPr>
      <w:r>
        <w:rPr>
          <w:rFonts w:ascii="仿宋_GB2312" w:eastAsia="仿宋_GB2312" w:hAnsi="仿宋_GB2312" w:hint="eastAsia"/>
          <w:color w:val="000000"/>
          <w:sz w:val="32"/>
          <w:lang w:val="zh-CN"/>
        </w:rPr>
        <w:t>2022年财政拨款收、支总计1,289.49万元。与2021年相比，财政拨款收、支总计各增加</w:t>
      </w:r>
      <w:r>
        <w:rPr>
          <w:rFonts w:ascii="仿宋_GB2312" w:eastAsia="仿宋_GB2312" w:hAnsi="仿宋_GB2312" w:hint="eastAsia"/>
          <w:color w:val="000000"/>
          <w:sz w:val="32"/>
        </w:rPr>
        <w:t>417.47</w:t>
      </w:r>
      <w:r>
        <w:rPr>
          <w:rFonts w:ascii="仿宋_GB2312" w:eastAsia="仿宋_GB2312" w:hAnsi="仿宋_GB2312" w:hint="eastAsia"/>
          <w:color w:val="000000"/>
          <w:sz w:val="32"/>
          <w:lang w:val="zh-CN"/>
        </w:rPr>
        <w:t>万元，增长</w:t>
      </w:r>
      <w:r>
        <w:rPr>
          <w:rFonts w:ascii="仿宋_GB2312" w:eastAsia="仿宋_GB2312" w:hAnsi="仿宋_GB2312" w:hint="eastAsia"/>
          <w:color w:val="000000"/>
          <w:sz w:val="32"/>
        </w:rPr>
        <w:t>47.87</w:t>
      </w:r>
      <w:r>
        <w:rPr>
          <w:rFonts w:ascii="仿宋_GB2312" w:eastAsia="仿宋_GB2312" w:hAnsi="仿宋_GB2312" w:hint="eastAsia"/>
          <w:color w:val="000000"/>
          <w:sz w:val="32"/>
          <w:lang w:val="zh-CN"/>
        </w:rPr>
        <w:t>%。主要变动原因是</w:t>
      </w:r>
      <w:r>
        <w:rPr>
          <w:rFonts w:ascii="仿宋_GB2312" w:eastAsia="仿宋_GB2312" w:hAnsi="仿宋_GB2312" w:hint="eastAsia"/>
          <w:color w:val="000000"/>
          <w:sz w:val="32"/>
        </w:rPr>
        <w:t>项目资金增加</w:t>
      </w:r>
      <w:r>
        <w:rPr>
          <w:rFonts w:ascii="仿宋_GB2312" w:eastAsia="仿宋_GB2312" w:hAnsi="仿宋_GB2312" w:hint="eastAsia"/>
          <w:color w:val="000000"/>
          <w:sz w:val="32"/>
          <w:lang w:val="zh-CN"/>
        </w:rPr>
        <w:t>。</w:t>
      </w:r>
      <w:r>
        <w:rPr>
          <w:rFonts w:ascii="仿宋_GB2312" w:eastAsia="仿宋_GB2312" w:hAnsi="仿宋_GB2312" w:cs="仿宋_GB2312" w:hint="eastAsia"/>
          <w:sz w:val="32"/>
          <w:szCs w:val="32"/>
        </w:rPr>
        <w:t>主要变动原因一是2022年在职人数较2021年增加2人；二是2022年财政拨入规划设计专项资金。</w:t>
      </w:r>
    </w:p>
    <w:p w:rsidR="003C6718" w:rsidRDefault="003C6718">
      <w:pPr>
        <w:pStyle w:val="a3"/>
        <w:spacing w:before="93"/>
        <w:jc w:val="center"/>
        <w:rPr>
          <w:rFonts w:ascii="仿宋" w:eastAsia="仿宋" w:hAnsi="仿宋"/>
          <w:sz w:val="32"/>
          <w:szCs w:val="32"/>
        </w:rPr>
      </w:pPr>
      <w:r w:rsidRPr="003C6718">
        <w:rPr>
          <w:rFonts w:ascii="仿宋" w:eastAsia="仿宋" w:hAnsi="仿宋"/>
          <w:sz w:val="32"/>
          <w:szCs w:val="32"/>
        </w:rPr>
        <w:pict>
          <v:shape id="_x0000_i1028" type="#_x0000_t75" alt="图片4" style="width:412.35pt;height:203.85pt">
            <v:imagedata r:id="rId13" o:title="图片4"/>
          </v:shape>
        </w:pict>
      </w:r>
    </w:p>
    <w:p w:rsidR="003C6718" w:rsidRDefault="00E83E62">
      <w:pPr>
        <w:spacing w:line="576" w:lineRule="exact"/>
        <w:jc w:val="center"/>
        <w:rPr>
          <w:rFonts w:ascii="仿宋" w:eastAsia="仿宋" w:hAnsi="仿宋"/>
          <w:b/>
          <w:sz w:val="32"/>
          <w:szCs w:val="32"/>
        </w:rPr>
      </w:pPr>
      <w:r>
        <w:rPr>
          <w:rFonts w:ascii="仿宋" w:eastAsia="仿宋" w:hAnsi="仿宋" w:hint="eastAsia"/>
          <w:sz w:val="32"/>
          <w:szCs w:val="32"/>
        </w:rPr>
        <w:t>图4：财政拨款收、支决算总计变动情况</w:t>
      </w:r>
    </w:p>
    <w:p w:rsidR="003C6718" w:rsidRDefault="003C6718">
      <w:pPr>
        <w:spacing w:line="576" w:lineRule="exact"/>
        <w:ind w:firstLineChars="200" w:firstLine="640"/>
        <w:outlineLvl w:val="1"/>
        <w:rPr>
          <w:rFonts w:ascii="黑体" w:eastAsia="黑体" w:hAnsi="黑体"/>
          <w:sz w:val="32"/>
          <w:szCs w:val="32"/>
        </w:rPr>
      </w:pPr>
      <w:bookmarkStart w:id="94" w:name="_Toc15377209"/>
      <w:bookmarkStart w:id="95" w:name="_Toc23879"/>
      <w:bookmarkStart w:id="96" w:name="_Toc15396607"/>
      <w:bookmarkStart w:id="97" w:name="_Toc15186"/>
      <w:bookmarkStart w:id="98" w:name="_Toc4512"/>
      <w:bookmarkStart w:id="99" w:name="_Toc10163"/>
      <w:bookmarkStart w:id="100" w:name="_Toc21886"/>
    </w:p>
    <w:p w:rsidR="003C6718" w:rsidRDefault="00E83E62">
      <w:pPr>
        <w:spacing w:line="576" w:lineRule="exact"/>
        <w:ind w:firstLineChars="200" w:firstLine="640"/>
        <w:outlineLvl w:val="1"/>
        <w:rPr>
          <w:rStyle w:val="2Char"/>
          <w:rFonts w:ascii="黑体" w:eastAsia="黑体" w:hAnsi="黑体"/>
          <w:b w:val="0"/>
        </w:rPr>
      </w:pPr>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94"/>
      <w:bookmarkEnd w:id="95"/>
      <w:bookmarkEnd w:id="96"/>
      <w:bookmarkEnd w:id="97"/>
      <w:bookmarkEnd w:id="98"/>
      <w:bookmarkEnd w:id="99"/>
      <w:bookmarkEnd w:id="100"/>
    </w:p>
    <w:p w:rsidR="003C6718" w:rsidRDefault="00E83E62" w:rsidP="003C6718">
      <w:pPr>
        <w:spacing w:line="576" w:lineRule="exact"/>
        <w:ind w:firstLineChars="200" w:firstLine="640"/>
        <w:outlineLvl w:val="2"/>
        <w:rPr>
          <w:rFonts w:ascii="仿宋" w:eastAsia="仿宋" w:hAnsi="仿宋"/>
          <w:b/>
          <w:sz w:val="32"/>
          <w:szCs w:val="32"/>
        </w:rPr>
      </w:pPr>
      <w:bookmarkStart w:id="101" w:name="_Toc15377210"/>
      <w:r>
        <w:rPr>
          <w:rFonts w:ascii="仿宋" w:eastAsia="仿宋" w:hAnsi="仿宋" w:hint="eastAsia"/>
          <w:b/>
          <w:sz w:val="32"/>
          <w:szCs w:val="32"/>
        </w:rPr>
        <w:t>（一）一般公共预算财政拨款支出决算总体情况</w:t>
      </w:r>
      <w:bookmarkEnd w:id="101"/>
      <w:r>
        <w:rPr>
          <w:rFonts w:ascii="仿宋" w:eastAsia="仿宋" w:hAnsi="仿宋" w:hint="eastAsia"/>
          <w:b/>
          <w:sz w:val="32"/>
          <w:szCs w:val="32"/>
        </w:rPr>
        <w:t>。</w:t>
      </w:r>
    </w:p>
    <w:p w:rsidR="003C6718" w:rsidRDefault="00E83E62">
      <w:pPr>
        <w:spacing w:line="576" w:lineRule="exact"/>
        <w:ind w:firstLine="640"/>
        <w:rPr>
          <w:rFonts w:ascii="仿宋_GB2312" w:eastAsia="仿宋_GB2312" w:hAnsi="仿宋_GB2312" w:cs="仿宋_GB2312"/>
          <w:sz w:val="32"/>
          <w:szCs w:val="32"/>
        </w:rPr>
      </w:pPr>
      <w:r>
        <w:rPr>
          <w:rFonts w:ascii="仿宋_GB2312" w:eastAsia="仿宋_GB2312" w:hAnsi="仿宋_GB2312" w:hint="eastAsia"/>
          <w:color w:val="000000"/>
          <w:sz w:val="32"/>
          <w:lang w:val="zh-CN"/>
        </w:rPr>
        <w:t>2022年一般公共预算财政拨款支出965.87万元，占本年支出合计的72.7%。与2021年相比，一般公共预算财政拨款支出增加</w:t>
      </w:r>
      <w:r>
        <w:rPr>
          <w:rFonts w:ascii="仿宋_GB2312" w:eastAsia="仿宋_GB2312" w:hAnsi="仿宋_GB2312" w:hint="eastAsia"/>
          <w:color w:val="000000"/>
          <w:sz w:val="32"/>
        </w:rPr>
        <w:t>261.42</w:t>
      </w:r>
      <w:r>
        <w:rPr>
          <w:rFonts w:ascii="仿宋_GB2312" w:eastAsia="仿宋_GB2312" w:hAnsi="仿宋_GB2312" w:hint="eastAsia"/>
          <w:color w:val="000000"/>
          <w:sz w:val="32"/>
          <w:lang w:val="zh-CN"/>
        </w:rPr>
        <w:t>万元，增长</w:t>
      </w:r>
      <w:r>
        <w:rPr>
          <w:rFonts w:ascii="仿宋_GB2312" w:eastAsia="仿宋_GB2312" w:hAnsi="仿宋_GB2312" w:hint="eastAsia"/>
          <w:color w:val="000000"/>
          <w:sz w:val="32"/>
        </w:rPr>
        <w:t>37.12</w:t>
      </w:r>
      <w:r>
        <w:rPr>
          <w:rFonts w:ascii="仿宋_GB2312" w:eastAsia="仿宋_GB2312" w:hAnsi="仿宋_GB2312" w:hint="eastAsia"/>
          <w:color w:val="000000"/>
          <w:sz w:val="32"/>
          <w:lang w:val="zh-CN"/>
        </w:rPr>
        <w:t>%。</w:t>
      </w:r>
      <w:r>
        <w:rPr>
          <w:rFonts w:ascii="仿宋_GB2312" w:eastAsia="仿宋_GB2312" w:hAnsi="仿宋_GB2312" w:cs="仿宋_GB2312" w:hint="eastAsia"/>
          <w:sz w:val="32"/>
          <w:szCs w:val="32"/>
        </w:rPr>
        <w:t>主要变动原因一是2022年在职人数较2021年增加2人；二是2022年财政拨入规划设计专项</w:t>
      </w:r>
      <w:r>
        <w:rPr>
          <w:rFonts w:ascii="仿宋_GB2312" w:eastAsia="仿宋_GB2312" w:hAnsi="仿宋_GB2312" w:cs="仿宋_GB2312" w:hint="eastAsia"/>
          <w:sz w:val="32"/>
          <w:szCs w:val="32"/>
        </w:rPr>
        <w:lastRenderedPageBreak/>
        <w:t>资金。</w:t>
      </w:r>
    </w:p>
    <w:p w:rsidR="003C6718" w:rsidRDefault="003C6718">
      <w:pPr>
        <w:jc w:val="center"/>
        <w:rPr>
          <w:rFonts w:ascii="仿宋" w:eastAsia="仿宋" w:hAnsi="仿宋"/>
          <w:sz w:val="32"/>
          <w:szCs w:val="32"/>
        </w:rPr>
      </w:pPr>
      <w:r w:rsidRPr="003C6718">
        <w:rPr>
          <w:rFonts w:ascii="仿宋" w:eastAsia="仿宋" w:hAnsi="仿宋"/>
          <w:sz w:val="32"/>
          <w:szCs w:val="32"/>
        </w:rPr>
        <w:pict>
          <v:shape id="_x0000_i1029" type="#_x0000_t75" alt="图片5" style="width:378.7pt;height:174.85pt">
            <v:imagedata r:id="rId14" o:title="图片5"/>
          </v:shape>
        </w:pict>
      </w:r>
    </w:p>
    <w:p w:rsidR="003C6718" w:rsidRDefault="00E83E62">
      <w:pPr>
        <w:spacing w:line="576" w:lineRule="exact"/>
        <w:jc w:val="center"/>
        <w:rPr>
          <w:rFonts w:ascii="仿宋" w:eastAsia="仿宋" w:hAnsi="仿宋"/>
          <w:sz w:val="32"/>
          <w:szCs w:val="32"/>
        </w:rPr>
      </w:pPr>
      <w:r>
        <w:rPr>
          <w:rFonts w:ascii="仿宋" w:eastAsia="仿宋" w:hAnsi="仿宋" w:hint="eastAsia"/>
          <w:sz w:val="32"/>
          <w:szCs w:val="32"/>
        </w:rPr>
        <w:t>图5：一般公共预算财政拨款支出决算变动情况</w:t>
      </w:r>
    </w:p>
    <w:p w:rsidR="003C6718" w:rsidRDefault="003C6718">
      <w:pPr>
        <w:spacing w:line="576" w:lineRule="exact"/>
        <w:ind w:firstLineChars="200" w:firstLine="640"/>
        <w:rPr>
          <w:rFonts w:ascii="仿宋" w:eastAsia="仿宋" w:hAnsi="仿宋"/>
          <w:sz w:val="32"/>
          <w:szCs w:val="32"/>
        </w:rPr>
      </w:pPr>
    </w:p>
    <w:p w:rsidR="003C6718" w:rsidRDefault="00E83E62" w:rsidP="003C6718">
      <w:pPr>
        <w:numPr>
          <w:ilvl w:val="0"/>
          <w:numId w:val="2"/>
        </w:numPr>
        <w:spacing w:line="576" w:lineRule="exact"/>
        <w:ind w:firstLineChars="200" w:firstLine="640"/>
        <w:outlineLvl w:val="2"/>
        <w:rPr>
          <w:rFonts w:ascii="仿宋_GB2312" w:eastAsia="仿宋_GB2312" w:hAnsi="仿宋_GB2312"/>
          <w:color w:val="000000"/>
          <w:sz w:val="32"/>
          <w:lang w:val="zh-CN"/>
        </w:rPr>
      </w:pPr>
      <w:bookmarkStart w:id="102" w:name="_Toc15377211"/>
      <w:r>
        <w:rPr>
          <w:rFonts w:ascii="仿宋" w:eastAsia="仿宋" w:hAnsi="仿宋" w:hint="eastAsia"/>
          <w:b/>
          <w:sz w:val="32"/>
          <w:szCs w:val="32"/>
        </w:rPr>
        <w:t>一般公共预算财政拨款支出决算结构情况</w:t>
      </w:r>
      <w:bookmarkEnd w:id="102"/>
      <w:r>
        <w:rPr>
          <w:rFonts w:ascii="仿宋" w:eastAsia="仿宋" w:hAnsi="仿宋" w:hint="eastAsia"/>
          <w:b/>
          <w:sz w:val="32"/>
          <w:szCs w:val="32"/>
        </w:rPr>
        <w:t>。</w:t>
      </w:r>
    </w:p>
    <w:p w:rsidR="003C6718" w:rsidRDefault="00E83E62">
      <w:pPr>
        <w:spacing w:line="576" w:lineRule="exact"/>
        <w:ind w:firstLineChars="200" w:firstLine="640"/>
        <w:outlineLvl w:val="2"/>
        <w:rPr>
          <w:rFonts w:ascii="仿宋_GB2312" w:eastAsia="仿宋_GB2312" w:hAnsi="仿宋_GB2312"/>
          <w:color w:val="000000"/>
          <w:sz w:val="32"/>
          <w:lang w:val="zh-CN"/>
        </w:rPr>
      </w:pPr>
      <w:r>
        <w:rPr>
          <w:rFonts w:ascii="仿宋_GB2312" w:eastAsia="仿宋_GB2312" w:hAnsi="仿宋_GB2312" w:hint="eastAsia"/>
          <w:color w:val="000000"/>
          <w:sz w:val="32"/>
          <w:lang w:val="zh-CN"/>
        </w:rPr>
        <w:t>2022年一般公共预算财政拨款支出</w:t>
      </w:r>
      <w:r>
        <w:rPr>
          <w:rFonts w:ascii="仿宋_GB2312" w:eastAsia="仿宋_GB2312" w:hAnsi="仿宋_GB2312" w:hint="eastAsia"/>
          <w:color w:val="000000"/>
          <w:sz w:val="32"/>
        </w:rPr>
        <w:t>965.87</w:t>
      </w:r>
      <w:r>
        <w:rPr>
          <w:rFonts w:ascii="仿宋_GB2312" w:eastAsia="仿宋_GB2312" w:hAnsi="仿宋_GB2312" w:hint="eastAsia"/>
          <w:color w:val="000000"/>
          <w:sz w:val="32"/>
          <w:lang w:val="zh-CN"/>
        </w:rPr>
        <w:t>万元，主要用于以下方面:社会保障和就业支出76.75万元，占7.9%；卫生健康支出31.14万元，占3.2%；城乡社区支出782.58万元，占81%；住房保障支出75.4万元，占7.8%。</w:t>
      </w:r>
    </w:p>
    <w:p w:rsidR="003C6718" w:rsidRDefault="003C6718">
      <w:pPr>
        <w:keepNext/>
        <w:keepLines/>
        <w:ind w:firstLine="640"/>
        <w:jc w:val="center"/>
        <w:rPr>
          <w:rFonts w:ascii="仿宋" w:eastAsia="仿宋" w:hAnsi="仿宋"/>
          <w:sz w:val="32"/>
          <w:szCs w:val="32"/>
        </w:rPr>
      </w:pPr>
      <w:r w:rsidRPr="003C6718">
        <w:rPr>
          <w:rFonts w:ascii="仿宋_GB2312" w:eastAsia="仿宋_GB2312" w:hAnsi="仿宋_GB2312"/>
          <w:color w:val="000000"/>
          <w:sz w:val="32"/>
          <w:lang w:val="zh-CN"/>
        </w:rPr>
        <w:pict>
          <v:shape id="_x0000_i1030" type="#_x0000_t75" alt="图片6" style="width:299.2pt;height:176.75pt">
            <v:imagedata r:id="rId15" o:title="图片6"/>
          </v:shape>
        </w:pict>
      </w:r>
    </w:p>
    <w:p w:rsidR="003C6718" w:rsidRDefault="00E83E62">
      <w:pPr>
        <w:spacing w:line="576" w:lineRule="exact"/>
        <w:jc w:val="center"/>
        <w:rPr>
          <w:rFonts w:ascii="仿宋" w:eastAsia="仿宋" w:hAnsi="仿宋"/>
          <w:sz w:val="32"/>
          <w:szCs w:val="32"/>
        </w:rPr>
      </w:pPr>
      <w:r>
        <w:rPr>
          <w:rFonts w:ascii="仿宋" w:eastAsia="仿宋" w:hAnsi="仿宋" w:hint="eastAsia"/>
          <w:sz w:val="32"/>
          <w:szCs w:val="32"/>
        </w:rPr>
        <w:t>图6：一般公共预算财政拨款支出决算结构</w:t>
      </w:r>
    </w:p>
    <w:p w:rsidR="003C6718" w:rsidRDefault="00E83E62">
      <w:pPr>
        <w:spacing w:line="520" w:lineRule="exact"/>
        <w:ind w:firstLineChars="200" w:firstLine="643"/>
        <w:outlineLvl w:val="2"/>
        <w:rPr>
          <w:rFonts w:ascii="仿宋_GB2312" w:eastAsia="仿宋_GB2312" w:hAnsi="仿宋_GB2312" w:cs="仿宋_GB2312"/>
          <w:b/>
          <w:sz w:val="32"/>
          <w:szCs w:val="32"/>
        </w:rPr>
      </w:pPr>
      <w:bookmarkStart w:id="103" w:name="_Toc15377212"/>
      <w:r>
        <w:rPr>
          <w:rFonts w:ascii="仿宋_GB2312" w:eastAsia="仿宋_GB2312" w:hAnsi="仿宋_GB2312" w:cs="仿宋_GB2312" w:hint="eastAsia"/>
          <w:b/>
          <w:sz w:val="32"/>
          <w:szCs w:val="32"/>
        </w:rPr>
        <w:lastRenderedPageBreak/>
        <w:t>（三）一般公共预算财政拨款支出决算具体情况</w:t>
      </w:r>
      <w:bookmarkEnd w:id="103"/>
      <w:r>
        <w:rPr>
          <w:rFonts w:ascii="仿宋_GB2312" w:eastAsia="仿宋_GB2312" w:hAnsi="仿宋_GB2312" w:cs="仿宋_GB2312" w:hint="eastAsia"/>
          <w:b/>
          <w:sz w:val="32"/>
          <w:szCs w:val="32"/>
        </w:rPr>
        <w:t>。</w:t>
      </w:r>
    </w:p>
    <w:p w:rsidR="003C6718" w:rsidRDefault="00E83E62">
      <w:pPr>
        <w:spacing w:line="520" w:lineRule="exact"/>
        <w:ind w:firstLineChars="200" w:firstLine="643"/>
        <w:outlineLvl w:val="2"/>
        <w:rPr>
          <w:rFonts w:ascii="仿宋_GB2312" w:eastAsia="仿宋_GB2312" w:hAnsi="仿宋_GB2312" w:cs="仿宋_GB2312"/>
          <w:color w:val="FF0000"/>
          <w:sz w:val="32"/>
          <w:szCs w:val="32"/>
        </w:rPr>
      </w:pPr>
      <w:bookmarkStart w:id="104" w:name="_Toc15378460"/>
      <w:bookmarkStart w:id="105" w:name="_Toc15377213"/>
      <w:bookmarkStart w:id="106" w:name="_Toc15377444"/>
      <w:r>
        <w:rPr>
          <w:rFonts w:ascii="仿宋_GB2312" w:eastAsia="仿宋_GB2312" w:hAnsi="仿宋_GB2312" w:cs="仿宋_GB2312" w:hint="eastAsia"/>
          <w:b/>
          <w:color w:val="000000"/>
          <w:sz w:val="32"/>
          <w:lang w:val="zh-CN"/>
        </w:rPr>
        <w:t>2022年一般公共预算支出决算数为</w:t>
      </w:r>
      <w:r>
        <w:rPr>
          <w:rFonts w:ascii="仿宋_GB2312" w:eastAsia="仿宋_GB2312" w:hAnsi="仿宋_GB2312" w:cs="仿宋_GB2312" w:hint="eastAsia"/>
          <w:b/>
          <w:color w:val="000000"/>
          <w:sz w:val="32"/>
        </w:rPr>
        <w:t>965.87</w:t>
      </w:r>
      <w:r>
        <w:rPr>
          <w:rFonts w:ascii="仿宋_GB2312" w:eastAsia="仿宋_GB2312" w:hAnsi="仿宋_GB2312" w:cs="仿宋_GB2312" w:hint="eastAsia"/>
          <w:b/>
          <w:color w:val="000000"/>
          <w:sz w:val="32"/>
          <w:lang w:val="zh-CN"/>
        </w:rPr>
        <w:t>万元</w:t>
      </w:r>
      <w:r>
        <w:rPr>
          <w:rFonts w:ascii="仿宋_GB2312" w:eastAsia="仿宋_GB2312" w:hAnsi="仿宋_GB2312" w:cs="仿宋_GB2312" w:hint="eastAsia"/>
          <w:color w:val="000000"/>
          <w:sz w:val="32"/>
          <w:lang w:val="zh-CN"/>
        </w:rPr>
        <w:t>，</w:t>
      </w:r>
      <w:r>
        <w:rPr>
          <w:rFonts w:ascii="仿宋_GB2312" w:eastAsia="仿宋_GB2312" w:hAnsi="仿宋_GB2312" w:cs="仿宋_GB2312" w:hint="eastAsia"/>
          <w:b/>
          <w:color w:val="000000"/>
          <w:sz w:val="32"/>
          <w:lang w:val="zh-CN"/>
        </w:rPr>
        <w:t>完成预算97</w:t>
      </w:r>
      <w:r>
        <w:rPr>
          <w:rFonts w:ascii="仿宋_GB2312" w:eastAsia="仿宋_GB2312" w:hAnsi="仿宋_GB2312" w:cs="仿宋_GB2312" w:hint="eastAsia"/>
          <w:b/>
          <w:color w:val="000000"/>
          <w:sz w:val="32"/>
        </w:rPr>
        <w:t>.7</w:t>
      </w:r>
      <w:r>
        <w:rPr>
          <w:rFonts w:ascii="仿宋_GB2312" w:eastAsia="仿宋_GB2312" w:hAnsi="仿宋_GB2312" w:cs="仿宋_GB2312" w:hint="eastAsia"/>
          <w:b/>
          <w:color w:val="000000"/>
          <w:sz w:val="32"/>
          <w:lang w:val="zh-CN"/>
        </w:rPr>
        <w:t>%，</w:t>
      </w:r>
      <w:r>
        <w:rPr>
          <w:rStyle w:val="a7"/>
          <w:rFonts w:ascii="仿宋_GB2312" w:eastAsia="仿宋_GB2312" w:hAnsi="仿宋_GB2312" w:cs="仿宋_GB2312" w:hint="eastAsia"/>
          <w:bCs/>
          <w:sz w:val="32"/>
          <w:szCs w:val="32"/>
        </w:rPr>
        <w:t>其中：</w:t>
      </w:r>
      <w:bookmarkEnd w:id="104"/>
      <w:bookmarkEnd w:id="105"/>
      <w:bookmarkEnd w:id="106"/>
    </w:p>
    <w:p w:rsidR="003C6718" w:rsidRDefault="00E83E62">
      <w:pPr>
        <w:spacing w:line="520" w:lineRule="exact"/>
        <w:ind w:firstLineChars="200" w:firstLine="643"/>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Cs/>
          <w:color w:val="000000"/>
          <w:sz w:val="32"/>
          <w:szCs w:val="32"/>
        </w:rPr>
        <w:t>1.社会保障和就业支出（类）行政事业单位养老支出（款）机关事业单位基本养老保险缴费支出（项）:</w:t>
      </w:r>
      <w:r>
        <w:rPr>
          <w:rStyle w:val="a7"/>
          <w:rFonts w:ascii="仿宋_GB2312" w:eastAsia="仿宋_GB2312" w:hAnsi="仿宋_GB2312" w:cs="仿宋_GB2312" w:hint="eastAsia"/>
          <w:b w:val="0"/>
          <w:bCs/>
          <w:color w:val="000000"/>
          <w:sz w:val="32"/>
          <w:szCs w:val="32"/>
        </w:rPr>
        <w:t>支出决算为57.13万元，完成预算100%</w:t>
      </w:r>
      <w:r>
        <w:rPr>
          <w:rStyle w:val="a7"/>
          <w:rFonts w:ascii="仿宋_GB2312" w:eastAsia="仿宋_GB2312" w:hAnsi="仿宋_GB2312" w:cs="仿宋_GB2312" w:hint="eastAsia"/>
          <w:b w:val="0"/>
          <w:bCs/>
          <w:sz w:val="32"/>
          <w:szCs w:val="32"/>
        </w:rPr>
        <w:t>；</w:t>
      </w:r>
      <w:r>
        <w:rPr>
          <w:rStyle w:val="a7"/>
          <w:rFonts w:ascii="仿宋_GB2312" w:eastAsia="仿宋_GB2312" w:hAnsi="仿宋_GB2312" w:cs="仿宋_GB2312" w:hint="eastAsia"/>
          <w:bCs/>
          <w:color w:val="000000"/>
          <w:sz w:val="32"/>
          <w:szCs w:val="32"/>
        </w:rPr>
        <w:t>社会保障和就业支出（类）行政事业单位养老支出（款）机关事业单位职业年金缴费支出（项）:</w:t>
      </w:r>
      <w:r>
        <w:rPr>
          <w:rStyle w:val="a7"/>
          <w:rFonts w:ascii="仿宋_GB2312" w:eastAsia="仿宋_GB2312" w:hAnsi="仿宋_GB2312" w:cs="仿宋_GB2312" w:hint="eastAsia"/>
          <w:b w:val="0"/>
          <w:bCs/>
          <w:color w:val="000000"/>
          <w:sz w:val="32"/>
          <w:szCs w:val="32"/>
        </w:rPr>
        <w:t>支出决算为9.95万元，完成预算100%</w:t>
      </w:r>
      <w:r>
        <w:rPr>
          <w:rStyle w:val="a7"/>
          <w:rFonts w:ascii="仿宋_GB2312" w:eastAsia="仿宋_GB2312" w:hAnsi="仿宋_GB2312" w:cs="仿宋_GB2312" w:hint="eastAsia"/>
          <w:b w:val="0"/>
          <w:bCs/>
          <w:sz w:val="32"/>
          <w:szCs w:val="32"/>
        </w:rPr>
        <w:t>；</w:t>
      </w:r>
      <w:r>
        <w:rPr>
          <w:rStyle w:val="a7"/>
          <w:rFonts w:ascii="仿宋_GB2312" w:eastAsia="仿宋_GB2312" w:hAnsi="仿宋_GB2312" w:cs="仿宋_GB2312" w:hint="eastAsia"/>
          <w:bCs/>
          <w:color w:val="000000"/>
          <w:sz w:val="32"/>
          <w:szCs w:val="32"/>
        </w:rPr>
        <w:t>社会保障和就业支出（类）其他社会和保障就业支出（款）其他社会和保障就业支出（项）:</w:t>
      </w:r>
      <w:r>
        <w:rPr>
          <w:rStyle w:val="a7"/>
          <w:rFonts w:ascii="仿宋_GB2312" w:eastAsia="仿宋_GB2312" w:hAnsi="仿宋_GB2312" w:cs="仿宋_GB2312" w:hint="eastAsia"/>
          <w:b w:val="0"/>
          <w:bCs/>
          <w:color w:val="000000"/>
          <w:sz w:val="32"/>
          <w:szCs w:val="32"/>
        </w:rPr>
        <w:t>支出决算为9.67万元，完成预算100%。</w:t>
      </w:r>
    </w:p>
    <w:p w:rsidR="003C6718" w:rsidRDefault="00E83E62">
      <w:pPr>
        <w:spacing w:line="520" w:lineRule="exact"/>
        <w:ind w:firstLineChars="200" w:firstLine="643"/>
        <w:rPr>
          <w:rFonts w:ascii="仿宋_GB2312" w:eastAsia="仿宋_GB2312" w:hAnsi="仿宋_GB2312" w:cs="仿宋_GB2312"/>
          <w:b/>
          <w:sz w:val="32"/>
          <w:szCs w:val="32"/>
        </w:rPr>
      </w:pPr>
      <w:r>
        <w:rPr>
          <w:rStyle w:val="a7"/>
          <w:rFonts w:ascii="仿宋_GB2312" w:eastAsia="仿宋_GB2312" w:hAnsi="仿宋_GB2312" w:cs="仿宋_GB2312" w:hint="eastAsia"/>
          <w:bCs/>
          <w:sz w:val="32"/>
          <w:szCs w:val="32"/>
        </w:rPr>
        <w:t>2.</w:t>
      </w:r>
      <w:r>
        <w:rPr>
          <w:rStyle w:val="a7"/>
          <w:rFonts w:ascii="仿宋_GB2312" w:eastAsia="仿宋_GB2312" w:hAnsi="仿宋_GB2312" w:cs="仿宋_GB2312" w:hint="eastAsia"/>
          <w:bCs/>
          <w:color w:val="000000"/>
          <w:sz w:val="32"/>
          <w:szCs w:val="32"/>
        </w:rPr>
        <w:t>卫生健康支出（类）行政事业单位医疗（款）事业单位医疗（项）</w:t>
      </w:r>
      <w:r>
        <w:rPr>
          <w:rStyle w:val="a7"/>
          <w:rFonts w:ascii="仿宋_GB2312" w:eastAsia="仿宋_GB2312" w:hAnsi="仿宋_GB2312" w:cs="仿宋_GB2312" w:hint="eastAsia"/>
          <w:bCs/>
          <w:sz w:val="32"/>
          <w:szCs w:val="32"/>
        </w:rPr>
        <w:t>:</w:t>
      </w:r>
      <w:r>
        <w:rPr>
          <w:rStyle w:val="a7"/>
          <w:rFonts w:ascii="仿宋_GB2312" w:eastAsia="仿宋_GB2312" w:hAnsi="仿宋_GB2312" w:cs="仿宋_GB2312" w:hint="eastAsia"/>
          <w:b w:val="0"/>
          <w:bCs/>
          <w:sz w:val="32"/>
          <w:szCs w:val="32"/>
        </w:rPr>
        <w:t>支出决算为31.14万元，完成预算100%。</w:t>
      </w:r>
    </w:p>
    <w:p w:rsidR="003C6718" w:rsidRDefault="00E83E62">
      <w:pPr>
        <w:spacing w:line="520" w:lineRule="exact"/>
        <w:ind w:firstLineChars="200" w:firstLine="643"/>
        <w:rPr>
          <w:rFonts w:ascii="仿宋_GB2312" w:eastAsia="仿宋_GB2312" w:hAnsi="仿宋_GB2312" w:cs="仿宋_GB2312"/>
          <w:b/>
          <w:sz w:val="32"/>
          <w:szCs w:val="32"/>
        </w:rPr>
      </w:pPr>
      <w:r>
        <w:rPr>
          <w:rStyle w:val="a7"/>
          <w:rFonts w:ascii="仿宋_GB2312" w:eastAsia="仿宋_GB2312" w:hAnsi="仿宋_GB2312" w:cs="仿宋_GB2312" w:hint="eastAsia"/>
          <w:bCs/>
          <w:sz w:val="32"/>
          <w:szCs w:val="32"/>
        </w:rPr>
        <w:t>3.</w:t>
      </w:r>
      <w:r>
        <w:rPr>
          <w:rStyle w:val="a7"/>
          <w:rFonts w:ascii="仿宋_GB2312" w:eastAsia="仿宋_GB2312" w:hAnsi="仿宋_GB2312" w:cs="仿宋_GB2312" w:hint="eastAsia"/>
          <w:bCs/>
          <w:color w:val="000000"/>
          <w:sz w:val="32"/>
          <w:szCs w:val="32"/>
        </w:rPr>
        <w:t>城乡社区（类）城乡社区规划与管理（款）城乡社区</w:t>
      </w:r>
      <w:r>
        <w:rPr>
          <w:rStyle w:val="a7"/>
          <w:rFonts w:ascii="仿宋_GB2312" w:eastAsia="仿宋_GB2312" w:hAnsi="仿宋_GB2312" w:cs="仿宋_GB2312" w:hint="eastAsia"/>
          <w:bCs/>
          <w:sz w:val="32"/>
          <w:szCs w:val="32"/>
        </w:rPr>
        <w:t>规划与管理（项）:</w:t>
      </w:r>
      <w:r>
        <w:rPr>
          <w:rStyle w:val="a7"/>
          <w:rFonts w:ascii="仿宋_GB2312" w:eastAsia="仿宋_GB2312" w:hAnsi="仿宋_GB2312" w:cs="仿宋_GB2312" w:hint="eastAsia"/>
          <w:b w:val="0"/>
          <w:bCs/>
          <w:sz w:val="32"/>
          <w:szCs w:val="32"/>
        </w:rPr>
        <w:t>支出决算为782.58万元，完成预算97.7%，决算数小于预算数的主要原因是剩余部分采购指标及未支付完毕的部分基本支出。</w:t>
      </w:r>
    </w:p>
    <w:p w:rsidR="003C6718" w:rsidRDefault="00E83E62">
      <w:pPr>
        <w:spacing w:line="520" w:lineRule="exact"/>
        <w:ind w:firstLineChars="200" w:firstLine="643"/>
        <w:rPr>
          <w:rFonts w:ascii="仿宋_GB2312" w:eastAsia="仿宋_GB2312" w:hAnsi="仿宋_GB2312" w:cs="仿宋_GB2312"/>
          <w:b/>
          <w:sz w:val="32"/>
          <w:szCs w:val="32"/>
        </w:rPr>
      </w:pPr>
      <w:r>
        <w:rPr>
          <w:rStyle w:val="a7"/>
          <w:rFonts w:ascii="仿宋_GB2312" w:eastAsia="仿宋_GB2312" w:hAnsi="仿宋_GB2312" w:cs="仿宋_GB2312" w:hint="eastAsia"/>
          <w:bCs/>
          <w:sz w:val="32"/>
          <w:szCs w:val="32"/>
        </w:rPr>
        <w:t>4.</w:t>
      </w:r>
      <w:r>
        <w:rPr>
          <w:rStyle w:val="a7"/>
          <w:rFonts w:ascii="仿宋_GB2312" w:eastAsia="仿宋_GB2312" w:hAnsi="仿宋_GB2312" w:cs="仿宋_GB2312" w:hint="eastAsia"/>
          <w:bCs/>
          <w:color w:val="000000"/>
          <w:sz w:val="32"/>
          <w:szCs w:val="32"/>
        </w:rPr>
        <w:t>住房保障（类）住房改革支出（款）住房公积金（项）</w:t>
      </w:r>
      <w:r>
        <w:rPr>
          <w:rStyle w:val="a7"/>
          <w:rFonts w:ascii="仿宋_GB2312" w:eastAsia="仿宋_GB2312" w:hAnsi="仿宋_GB2312" w:cs="仿宋_GB2312" w:hint="eastAsia"/>
          <w:bCs/>
          <w:sz w:val="32"/>
          <w:szCs w:val="32"/>
        </w:rPr>
        <w:t>:</w:t>
      </w:r>
      <w:r>
        <w:rPr>
          <w:rStyle w:val="a7"/>
          <w:rFonts w:ascii="仿宋_GB2312" w:eastAsia="仿宋_GB2312" w:hAnsi="仿宋_GB2312" w:cs="仿宋_GB2312" w:hint="eastAsia"/>
          <w:b w:val="0"/>
          <w:bCs/>
          <w:sz w:val="32"/>
          <w:szCs w:val="32"/>
        </w:rPr>
        <w:t>支出决算为75.4万元，完成预算100%。</w:t>
      </w:r>
    </w:p>
    <w:p w:rsidR="003C6718" w:rsidRDefault="00E83E62">
      <w:pPr>
        <w:tabs>
          <w:tab w:val="right" w:pos="8306"/>
        </w:tabs>
        <w:spacing w:line="520" w:lineRule="exact"/>
        <w:ind w:firstLineChars="200" w:firstLine="640"/>
        <w:outlineLvl w:val="1"/>
        <w:rPr>
          <w:rStyle w:val="2Char"/>
          <w:rFonts w:ascii="仿宋_GB2312" w:eastAsia="仿宋_GB2312" w:hAnsi="仿宋_GB2312" w:cs="仿宋_GB2312"/>
        </w:rPr>
      </w:pPr>
      <w:bookmarkStart w:id="107" w:name="_Toc15396608"/>
      <w:bookmarkStart w:id="108" w:name="_Toc15377214"/>
      <w:bookmarkStart w:id="109" w:name="_Toc31876"/>
      <w:bookmarkStart w:id="110" w:name="_Toc1463"/>
      <w:bookmarkStart w:id="111" w:name="_Toc26748"/>
      <w:bookmarkStart w:id="112" w:name="_Toc6506"/>
      <w:bookmarkStart w:id="113" w:name="_Toc5353"/>
      <w:r>
        <w:rPr>
          <w:rFonts w:ascii="仿宋_GB2312" w:eastAsia="仿宋_GB2312" w:hAnsi="仿宋_GB2312" w:cs="仿宋_GB2312" w:hint="eastAsia"/>
          <w:sz w:val="32"/>
          <w:szCs w:val="32"/>
        </w:rPr>
        <w:t>六</w:t>
      </w:r>
      <w:r>
        <w:rPr>
          <w:rFonts w:ascii="仿宋_GB2312" w:eastAsia="仿宋_GB2312" w:hAnsi="仿宋_GB2312" w:cs="仿宋_GB2312" w:hint="eastAsia"/>
          <w:b/>
          <w:sz w:val="32"/>
          <w:szCs w:val="32"/>
        </w:rPr>
        <w:t>、一</w:t>
      </w:r>
      <w:r>
        <w:rPr>
          <w:rStyle w:val="2Char"/>
          <w:rFonts w:ascii="仿宋_GB2312" w:eastAsia="仿宋_GB2312" w:hAnsi="仿宋_GB2312" w:cs="仿宋_GB2312" w:hint="eastAsia"/>
          <w:b w:val="0"/>
        </w:rPr>
        <w:t>般公共预算财政拨款基本支出决算情况说明</w:t>
      </w:r>
      <w:bookmarkEnd w:id="107"/>
      <w:bookmarkEnd w:id="108"/>
      <w:bookmarkEnd w:id="109"/>
      <w:bookmarkEnd w:id="110"/>
      <w:bookmarkEnd w:id="111"/>
      <w:bookmarkEnd w:id="112"/>
      <w:bookmarkEnd w:id="113"/>
      <w:r>
        <w:rPr>
          <w:rStyle w:val="2Char"/>
          <w:rFonts w:ascii="仿宋_GB2312" w:eastAsia="仿宋_GB2312" w:hAnsi="仿宋_GB2312" w:cs="仿宋_GB2312" w:hint="eastAsia"/>
          <w:b w:val="0"/>
        </w:rPr>
        <w:tab/>
      </w:r>
    </w:p>
    <w:p w:rsidR="003C6718" w:rsidRDefault="00E83E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2022年一般公共预算财政拨款基本支出734.75万元，其中：</w:t>
      </w:r>
    </w:p>
    <w:p w:rsidR="003C6718" w:rsidRDefault="00E83E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837.67万元，主要包括：基本工资、津贴补贴、奖金、绩效工资、机关事业单位基本养老保险缴费、职业年金缴费、职工基本医疗保险缴费、其他社会保障缴费、其他工资福利支出、奖励金、生活补助、住房公积金、其他对个人和家庭的补</w:t>
      </w:r>
      <w:r>
        <w:rPr>
          <w:rFonts w:ascii="仿宋_GB2312" w:eastAsia="仿宋_GB2312" w:hAnsi="仿宋_GB2312" w:cs="仿宋_GB2312" w:hint="eastAsia"/>
          <w:sz w:val="32"/>
          <w:szCs w:val="32"/>
        </w:rPr>
        <w:lastRenderedPageBreak/>
        <w:t>助支出等。</w:t>
      </w:r>
      <w:r>
        <w:rPr>
          <w:rFonts w:ascii="仿宋_GB2312" w:eastAsia="仿宋_GB2312" w:hAnsi="仿宋_GB2312" w:cs="仿宋_GB2312" w:hint="eastAsia"/>
          <w:sz w:val="32"/>
          <w:szCs w:val="32"/>
        </w:rPr>
        <w:br/>
        <w:t xml:space="preserve">　　公用经费128.2万元，主要包括：办公费、印刷费、水费、电费、邮电费、物业管理费、差旅费、维修（护）费、租赁费、会议费、培训费、公务接待费、劳务费、工会经费、福利费、其他交通费、其他商品和服务支出、办公设备购置等。</w:t>
      </w:r>
    </w:p>
    <w:p w:rsidR="003C6718" w:rsidRDefault="00E83E62">
      <w:pPr>
        <w:spacing w:line="520" w:lineRule="exact"/>
        <w:ind w:firstLineChars="200" w:firstLine="640"/>
        <w:outlineLvl w:val="1"/>
        <w:rPr>
          <w:rStyle w:val="2Char"/>
          <w:rFonts w:ascii="仿宋_GB2312" w:eastAsia="仿宋_GB2312" w:hAnsi="仿宋_GB2312" w:cs="仿宋_GB2312"/>
          <w:b w:val="0"/>
        </w:rPr>
      </w:pPr>
      <w:bookmarkStart w:id="114" w:name="_Toc15377215"/>
      <w:bookmarkStart w:id="115" w:name="_Toc18483"/>
      <w:bookmarkStart w:id="116" w:name="_Toc17107"/>
      <w:bookmarkStart w:id="117" w:name="_Toc20254"/>
      <w:bookmarkStart w:id="118" w:name="_Toc15396609"/>
      <w:bookmarkStart w:id="119" w:name="_Toc8681"/>
      <w:bookmarkStart w:id="120" w:name="_Toc26189"/>
      <w:r>
        <w:rPr>
          <w:rFonts w:ascii="仿宋_GB2312" w:eastAsia="仿宋_GB2312" w:hAnsi="仿宋_GB2312" w:cs="仿宋_GB2312" w:hint="eastAsia"/>
          <w:sz w:val="32"/>
          <w:szCs w:val="32"/>
        </w:rPr>
        <w:t>七、</w:t>
      </w:r>
      <w:r>
        <w:rPr>
          <w:rStyle w:val="2Char"/>
          <w:rFonts w:ascii="仿宋_GB2312" w:eastAsia="仿宋_GB2312" w:hAnsi="仿宋_GB2312" w:cs="仿宋_GB2312" w:hint="eastAsia"/>
        </w:rPr>
        <w:t>“</w:t>
      </w:r>
      <w:r>
        <w:rPr>
          <w:rStyle w:val="2Char"/>
          <w:rFonts w:ascii="仿宋_GB2312" w:eastAsia="仿宋_GB2312" w:hAnsi="仿宋_GB2312" w:cs="仿宋_GB2312" w:hint="eastAsia"/>
          <w:b w:val="0"/>
        </w:rPr>
        <w:t>三公”经费财政拨款支出决算情况说明</w:t>
      </w:r>
      <w:bookmarkEnd w:id="114"/>
      <w:bookmarkEnd w:id="115"/>
      <w:bookmarkEnd w:id="116"/>
      <w:bookmarkEnd w:id="117"/>
      <w:bookmarkEnd w:id="118"/>
      <w:bookmarkEnd w:id="119"/>
      <w:bookmarkEnd w:id="120"/>
    </w:p>
    <w:p w:rsidR="003C6718" w:rsidRDefault="00E83E62">
      <w:pPr>
        <w:spacing w:line="520" w:lineRule="exact"/>
        <w:ind w:firstLineChars="200" w:firstLine="643"/>
        <w:outlineLvl w:val="2"/>
        <w:rPr>
          <w:rFonts w:ascii="仿宋_GB2312" w:eastAsia="仿宋_GB2312" w:hAnsi="仿宋_GB2312" w:cs="仿宋_GB2312"/>
          <w:b/>
          <w:sz w:val="32"/>
          <w:szCs w:val="32"/>
        </w:rPr>
      </w:pPr>
      <w:bookmarkStart w:id="121" w:name="_Toc15377216"/>
      <w:r>
        <w:rPr>
          <w:rFonts w:ascii="仿宋_GB2312" w:eastAsia="仿宋_GB2312" w:hAnsi="仿宋_GB2312" w:cs="仿宋_GB2312" w:hint="eastAsia"/>
          <w:b/>
          <w:sz w:val="32"/>
          <w:szCs w:val="32"/>
        </w:rPr>
        <w:t>（一）“三公”经费财政拨款支出决算总体情况说明</w:t>
      </w:r>
      <w:bookmarkEnd w:id="121"/>
    </w:p>
    <w:p w:rsidR="003C6718" w:rsidRDefault="00E83E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2022年“三公”经费财政拨款支出决算为0.15万元，完成预算6.8%，</w:t>
      </w:r>
      <w:r>
        <w:rPr>
          <w:rFonts w:ascii="仿宋_GB2312" w:eastAsia="仿宋_GB2312" w:hAnsi="仿宋_GB2312" w:cs="仿宋_GB2312" w:hint="eastAsia"/>
          <w:color w:val="000000"/>
          <w:sz w:val="32"/>
          <w:lang w:val="zh-CN"/>
        </w:rPr>
        <w:t>较上年减少</w:t>
      </w:r>
      <w:r>
        <w:rPr>
          <w:rFonts w:ascii="仿宋_GB2312" w:eastAsia="仿宋_GB2312" w:hAnsi="仿宋_GB2312" w:cs="仿宋_GB2312" w:hint="eastAsia"/>
          <w:color w:val="000000"/>
          <w:sz w:val="32"/>
        </w:rPr>
        <w:t>0.07</w:t>
      </w:r>
      <w:r>
        <w:rPr>
          <w:rFonts w:ascii="仿宋_GB2312" w:eastAsia="仿宋_GB2312" w:hAnsi="仿宋_GB2312" w:cs="仿宋_GB2312" w:hint="eastAsia"/>
          <w:color w:val="000000"/>
          <w:sz w:val="32"/>
          <w:lang w:val="zh-CN"/>
        </w:rPr>
        <w:t>万元，</w:t>
      </w:r>
      <w:r>
        <w:rPr>
          <w:rFonts w:ascii="仿宋_GB2312" w:eastAsia="仿宋_GB2312" w:hAnsi="仿宋_GB2312" w:cs="仿宋_GB2312" w:hint="eastAsia"/>
          <w:sz w:val="32"/>
          <w:szCs w:val="32"/>
        </w:rPr>
        <w:t>决算数小于预算数的主要原因：一是</w:t>
      </w:r>
      <w:r>
        <w:rPr>
          <w:rFonts w:ascii="仿宋_GB2312" w:eastAsia="仿宋_GB2312" w:hAnsi="仿宋_GB2312" w:cs="仿宋_GB2312" w:hint="eastAsia"/>
          <w:color w:val="000000"/>
          <w:sz w:val="32"/>
          <w:szCs w:val="32"/>
        </w:rPr>
        <w:t>按照市委市政府要求厉行节约压减经费支出；二是因疫情影响减少接待次数。</w:t>
      </w:r>
    </w:p>
    <w:p w:rsidR="003C6718" w:rsidRDefault="00E83E62">
      <w:pPr>
        <w:spacing w:line="520" w:lineRule="exact"/>
        <w:ind w:firstLineChars="200" w:firstLine="643"/>
        <w:outlineLvl w:val="2"/>
        <w:rPr>
          <w:rFonts w:ascii="仿宋_GB2312" w:eastAsia="仿宋_GB2312" w:hAnsi="仿宋_GB2312" w:cs="仿宋_GB2312"/>
          <w:b/>
          <w:sz w:val="32"/>
          <w:szCs w:val="32"/>
        </w:rPr>
      </w:pPr>
      <w:bookmarkStart w:id="122" w:name="_Toc15377217"/>
      <w:r>
        <w:rPr>
          <w:rFonts w:ascii="仿宋_GB2312" w:eastAsia="仿宋_GB2312" w:hAnsi="仿宋_GB2312" w:cs="仿宋_GB2312" w:hint="eastAsia"/>
          <w:b/>
          <w:sz w:val="32"/>
          <w:szCs w:val="32"/>
        </w:rPr>
        <w:t>（二）“三公”经费财政拨款支出决算具体情况说明</w:t>
      </w:r>
      <w:bookmarkEnd w:id="122"/>
    </w:p>
    <w:p w:rsidR="003C6718" w:rsidRDefault="00E83E6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2022年“三公”经费财政拨款支出决算中，因公出国（境）费支出决算0万元，占0%；公务用车购置及运行维护费支出决算0万元，占0%；公务接待费支出决算0.15万元，占100%。具体情况如下：</w:t>
      </w:r>
    </w:p>
    <w:p w:rsidR="003C6718" w:rsidRDefault="003C6718">
      <w:pPr>
        <w:pStyle w:val="a3"/>
        <w:spacing w:before="93"/>
        <w:jc w:val="center"/>
        <w:rPr>
          <w:rFonts w:ascii="仿宋" w:eastAsia="仿宋" w:hAnsi="仿宋"/>
          <w:sz w:val="32"/>
          <w:szCs w:val="32"/>
        </w:rPr>
      </w:pPr>
      <w:r w:rsidRPr="003C6718">
        <w:rPr>
          <w:rFonts w:ascii="仿宋" w:eastAsia="仿宋" w:hAnsi="仿宋"/>
          <w:sz w:val="32"/>
          <w:szCs w:val="32"/>
        </w:rPr>
        <w:pict>
          <v:shape id="_x0000_i1031" type="#_x0000_t75" alt="图片7" style="width:302.05pt;height:180.45pt">
            <v:imagedata r:id="rId16" o:title="图片7"/>
          </v:shape>
        </w:pict>
      </w:r>
    </w:p>
    <w:p w:rsidR="003C6718" w:rsidRDefault="00E83E62">
      <w:pPr>
        <w:spacing w:line="576" w:lineRule="exact"/>
        <w:jc w:val="center"/>
        <w:rPr>
          <w:rFonts w:ascii="仿宋" w:eastAsia="仿宋" w:hAnsi="仿宋"/>
          <w:sz w:val="32"/>
          <w:szCs w:val="32"/>
        </w:rPr>
      </w:pPr>
      <w:r>
        <w:rPr>
          <w:rFonts w:ascii="仿宋" w:eastAsia="仿宋" w:hAnsi="仿宋" w:hint="eastAsia"/>
          <w:sz w:val="32"/>
          <w:szCs w:val="32"/>
        </w:rPr>
        <w:t>图7：“三公”经费财政拨款支出结构</w:t>
      </w:r>
    </w:p>
    <w:p w:rsidR="003C6718" w:rsidRDefault="00E83E62">
      <w:pPr>
        <w:spacing w:line="576" w:lineRule="exact"/>
        <w:ind w:firstLineChars="200" w:firstLine="643"/>
        <w:rPr>
          <w:rStyle w:val="a7"/>
          <w:rFonts w:ascii="仿宋" w:eastAsia="仿宋" w:hAnsi="仿宋" w:cs="仿宋"/>
          <w:b w:val="0"/>
          <w:bCs/>
          <w:color w:val="000000"/>
          <w:sz w:val="32"/>
          <w:szCs w:val="32"/>
        </w:rPr>
      </w:pPr>
      <w:r>
        <w:rPr>
          <w:rFonts w:ascii="仿宋_GB2312" w:eastAsia="仿宋_GB2312"/>
          <w:b/>
          <w:sz w:val="32"/>
          <w:szCs w:val="32"/>
        </w:rPr>
        <w:lastRenderedPageBreak/>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7"/>
          <w:rFonts w:ascii="仿宋" w:eastAsia="仿宋" w:hAnsi="仿宋" w:cs="仿宋" w:hint="eastAsia"/>
          <w:b w:val="0"/>
          <w:bCs/>
          <w:color w:val="000000"/>
          <w:sz w:val="32"/>
          <w:szCs w:val="32"/>
        </w:rPr>
        <w:t>年初未安排预算，较2021年无变化。</w:t>
      </w:r>
    </w:p>
    <w:p w:rsidR="003C6718" w:rsidRDefault="00E83E62">
      <w:pPr>
        <w:spacing w:line="576" w:lineRule="exact"/>
        <w:ind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w:t>
      </w:r>
      <w:r>
        <w:rPr>
          <w:rStyle w:val="a7"/>
          <w:rFonts w:ascii="仿宋" w:eastAsia="仿宋" w:hAnsi="仿宋" w:cs="仿宋" w:hint="eastAsia"/>
          <w:b w:val="0"/>
          <w:bCs/>
          <w:color w:val="000000"/>
          <w:sz w:val="32"/>
          <w:szCs w:val="32"/>
        </w:rPr>
        <w:t>年初未安排预算。</w:t>
      </w: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月底，单位共有公务用车0辆。</w:t>
      </w:r>
      <w:r>
        <w:rPr>
          <w:rFonts w:ascii="仿宋_GB2312" w:eastAsia="仿宋_GB2312" w:hint="eastAsia"/>
          <w:b/>
          <w:sz w:val="32"/>
          <w:szCs w:val="32"/>
        </w:rPr>
        <w:t>公务用车运行维护费支出</w:t>
      </w:r>
      <w:r>
        <w:rPr>
          <w:rFonts w:ascii="仿宋_GB2312" w:eastAsia="仿宋_GB2312" w:hint="eastAsia"/>
          <w:sz w:val="32"/>
          <w:szCs w:val="32"/>
        </w:rPr>
        <w:t>0万元。</w:t>
      </w:r>
    </w:p>
    <w:p w:rsidR="003C6718" w:rsidRDefault="00E83E62">
      <w:pPr>
        <w:spacing w:line="576"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0.15万元，完成预算6.8</w:t>
      </w:r>
      <w:r>
        <w:rPr>
          <w:rFonts w:ascii="仿宋_GB2312" w:eastAsia="仿宋_GB2312"/>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21年减少0.07万元，减少31</w:t>
      </w:r>
      <w:r>
        <w:rPr>
          <w:rFonts w:ascii="仿宋_GB2312" w:eastAsia="仿宋_GB2312"/>
          <w:sz w:val="32"/>
          <w:szCs w:val="32"/>
        </w:rPr>
        <w:t>%</w:t>
      </w:r>
      <w:r>
        <w:rPr>
          <w:rFonts w:ascii="仿宋_GB2312" w:eastAsia="仿宋_GB2312" w:hint="eastAsia"/>
          <w:sz w:val="32"/>
          <w:szCs w:val="32"/>
        </w:rPr>
        <w:t>。主要原因是</w:t>
      </w:r>
      <w:r>
        <w:rPr>
          <w:rFonts w:ascii="仿宋" w:eastAsia="仿宋" w:hAnsi="仿宋" w:hint="eastAsia"/>
          <w:color w:val="000000"/>
          <w:sz w:val="32"/>
          <w:szCs w:val="32"/>
        </w:rPr>
        <w:t>因疫情影响减少接待次数</w:t>
      </w:r>
      <w:r>
        <w:rPr>
          <w:rFonts w:ascii="仿宋_GB2312" w:eastAsia="仿宋_GB2312" w:hint="eastAsia"/>
          <w:sz w:val="32"/>
          <w:szCs w:val="32"/>
        </w:rPr>
        <w:t>。其中：</w:t>
      </w:r>
    </w:p>
    <w:p w:rsidR="003C6718" w:rsidRDefault="00E83E62">
      <w:pPr>
        <w:spacing w:line="576"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0.15</w:t>
      </w:r>
      <w:r>
        <w:rPr>
          <w:rFonts w:ascii="仿宋_GB2312" w:eastAsia="仿宋_GB2312" w:hint="eastAsia"/>
          <w:sz w:val="32"/>
          <w:szCs w:val="32"/>
        </w:rPr>
        <w:t>万元，</w:t>
      </w:r>
      <w:r>
        <w:rPr>
          <w:rFonts w:ascii="仿宋" w:eastAsia="仿宋" w:hAnsi="仿宋" w:cs="仿宋" w:hint="eastAsia"/>
          <w:sz w:val="32"/>
          <w:szCs w:val="32"/>
        </w:rPr>
        <w:t>主要用于执行公务、开展业务活动开支的用餐费。国内公务接待1批次，15</w:t>
      </w:r>
      <w:r>
        <w:rPr>
          <w:rFonts w:ascii="仿宋_GB2312" w:eastAsia="仿宋_GB2312" w:hint="eastAsia"/>
          <w:sz w:val="32"/>
          <w:szCs w:val="32"/>
        </w:rPr>
        <w:t>人次（包括陪同人员），共计支出0.15万元，具体内容包括：</w:t>
      </w:r>
      <w:proofErr w:type="gramStart"/>
      <w:r>
        <w:rPr>
          <w:rFonts w:ascii="仿宋_GB2312" w:eastAsia="仿宋_GB2312" w:hint="eastAsia"/>
          <w:sz w:val="32"/>
          <w:szCs w:val="32"/>
        </w:rPr>
        <w:t>接待省住建</w:t>
      </w:r>
      <w:proofErr w:type="gramEnd"/>
      <w:r>
        <w:rPr>
          <w:rFonts w:ascii="仿宋_GB2312" w:eastAsia="仿宋_GB2312" w:hint="eastAsia"/>
          <w:sz w:val="32"/>
          <w:szCs w:val="32"/>
        </w:rPr>
        <w:t>厅等相关单位来</w:t>
      </w:r>
      <w:proofErr w:type="gramStart"/>
      <w:r>
        <w:rPr>
          <w:rFonts w:ascii="仿宋_GB2312" w:eastAsia="仿宋_GB2312" w:hint="eastAsia"/>
          <w:sz w:val="32"/>
          <w:szCs w:val="32"/>
        </w:rPr>
        <w:t>广指导</w:t>
      </w:r>
      <w:proofErr w:type="gramEnd"/>
      <w:r>
        <w:rPr>
          <w:rFonts w:ascii="仿宋_GB2312" w:eastAsia="仿宋_GB2312" w:hint="eastAsia"/>
          <w:sz w:val="32"/>
          <w:szCs w:val="32"/>
        </w:rPr>
        <w:t>工作。</w:t>
      </w:r>
    </w:p>
    <w:p w:rsidR="003C6718" w:rsidRDefault="00E83E62" w:rsidP="003C6718">
      <w:pPr>
        <w:spacing w:line="576" w:lineRule="exact"/>
        <w:ind w:firstLineChars="200" w:firstLine="640"/>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3C6718" w:rsidRDefault="00E83E62">
      <w:pPr>
        <w:spacing w:line="576" w:lineRule="exact"/>
        <w:ind w:firstLine="640"/>
        <w:outlineLvl w:val="1"/>
        <w:rPr>
          <w:rStyle w:val="2Char"/>
          <w:rFonts w:ascii="黑体" w:eastAsia="黑体" w:hAnsi="黑体"/>
        </w:rPr>
      </w:pPr>
      <w:bookmarkStart w:id="123" w:name="_Toc20422"/>
      <w:bookmarkStart w:id="124" w:name="_Toc25935"/>
      <w:bookmarkStart w:id="125" w:name="_Toc23592"/>
      <w:bookmarkStart w:id="126" w:name="_Toc15377218"/>
      <w:bookmarkStart w:id="127" w:name="_Toc10120"/>
      <w:bookmarkStart w:id="128" w:name="_Toc17733"/>
      <w:bookmarkStart w:id="129" w:name="_Toc15396610"/>
      <w:r>
        <w:rPr>
          <w:rFonts w:ascii="黑体" w:eastAsia="黑体" w:hint="eastAsia"/>
          <w:sz w:val="32"/>
          <w:szCs w:val="32"/>
        </w:rPr>
        <w:t>八、</w:t>
      </w:r>
      <w:r>
        <w:rPr>
          <w:rStyle w:val="2Char"/>
          <w:rFonts w:ascii="黑体" w:eastAsia="黑体" w:hAnsi="黑体" w:hint="eastAsia"/>
          <w:b w:val="0"/>
        </w:rPr>
        <w:t>政府性基金预算支出决算情况说明</w:t>
      </w:r>
      <w:bookmarkEnd w:id="123"/>
      <w:bookmarkEnd w:id="124"/>
      <w:bookmarkEnd w:id="125"/>
      <w:bookmarkEnd w:id="126"/>
      <w:bookmarkEnd w:id="127"/>
      <w:bookmarkEnd w:id="128"/>
      <w:bookmarkEnd w:id="129"/>
    </w:p>
    <w:p w:rsidR="003C6718" w:rsidRDefault="00E83E62">
      <w:pPr>
        <w:spacing w:line="576" w:lineRule="exact"/>
        <w:ind w:firstLine="640"/>
      </w:pPr>
      <w:r>
        <w:rPr>
          <w:rFonts w:ascii="仿宋_GB2312" w:eastAsia="仿宋_GB2312"/>
          <w:sz w:val="32"/>
          <w:szCs w:val="32"/>
        </w:rPr>
        <w:t>20</w:t>
      </w:r>
      <w:r>
        <w:rPr>
          <w:rFonts w:ascii="仿宋_GB2312" w:eastAsia="仿宋_GB2312" w:hint="eastAsia"/>
          <w:sz w:val="32"/>
          <w:szCs w:val="32"/>
        </w:rPr>
        <w:t>22年政府性基金预算财政拨款支出</w:t>
      </w:r>
      <w:r>
        <w:rPr>
          <w:rFonts w:ascii="仿宋_GB2312" w:eastAsia="仿宋_GB2312" w:hAnsi="仿宋_GB2312" w:hint="eastAsia"/>
          <w:color w:val="000000"/>
          <w:sz w:val="32"/>
          <w:lang w:val="zh-CN"/>
        </w:rPr>
        <w:t>321.85</w:t>
      </w:r>
      <w:r>
        <w:rPr>
          <w:rFonts w:ascii="仿宋_GB2312" w:eastAsia="仿宋_GB2312" w:hint="eastAsia"/>
          <w:sz w:val="32"/>
          <w:szCs w:val="32"/>
        </w:rPr>
        <w:t>万元，</w:t>
      </w:r>
      <w:r>
        <w:rPr>
          <w:rFonts w:ascii="仿宋" w:eastAsia="仿宋" w:hAnsi="仿宋" w:hint="eastAsia"/>
          <w:color w:val="000000"/>
          <w:sz w:val="32"/>
          <w:szCs w:val="32"/>
        </w:rPr>
        <w:t>2022年本单位未在政府性基金预算拨款安排“三公经费”支出。</w:t>
      </w:r>
    </w:p>
    <w:p w:rsidR="003C6718" w:rsidRDefault="00E83E62">
      <w:pPr>
        <w:numPr>
          <w:ilvl w:val="0"/>
          <w:numId w:val="3"/>
        </w:numPr>
        <w:spacing w:line="576" w:lineRule="exact"/>
        <w:ind w:firstLine="640"/>
        <w:outlineLvl w:val="1"/>
        <w:rPr>
          <w:rStyle w:val="2Char"/>
          <w:rFonts w:ascii="黑体" w:eastAsia="黑体" w:hAnsi="黑体"/>
          <w:b w:val="0"/>
        </w:rPr>
      </w:pPr>
      <w:bookmarkStart w:id="130" w:name="_Toc599"/>
      <w:bookmarkStart w:id="131" w:name="_Toc27724"/>
      <w:bookmarkStart w:id="132" w:name="_Toc2494"/>
      <w:bookmarkStart w:id="133" w:name="_Toc15377219"/>
      <w:bookmarkStart w:id="134" w:name="_Toc15396611"/>
      <w:bookmarkStart w:id="135" w:name="_Toc29974"/>
      <w:bookmarkStart w:id="136" w:name="_Toc8198"/>
      <w:r>
        <w:rPr>
          <w:rStyle w:val="2Char"/>
          <w:rFonts w:ascii="黑体" w:eastAsia="黑体" w:hAnsi="黑体" w:hint="eastAsia"/>
          <w:b w:val="0"/>
        </w:rPr>
        <w:t>国有资本经营预算支出决算情况说明</w:t>
      </w:r>
      <w:bookmarkEnd w:id="130"/>
      <w:bookmarkEnd w:id="131"/>
      <w:bookmarkEnd w:id="132"/>
      <w:bookmarkEnd w:id="133"/>
      <w:bookmarkEnd w:id="134"/>
      <w:bookmarkEnd w:id="135"/>
      <w:bookmarkEnd w:id="136"/>
    </w:p>
    <w:p w:rsidR="003C6718" w:rsidRDefault="00E83E62">
      <w:pPr>
        <w:spacing w:line="576" w:lineRule="exact"/>
        <w:ind w:firstLine="640"/>
      </w:pPr>
      <w:r>
        <w:rPr>
          <w:rFonts w:ascii="仿宋_GB2312" w:eastAsia="仿宋_GB2312"/>
          <w:sz w:val="32"/>
          <w:szCs w:val="32"/>
        </w:rPr>
        <w:t>20</w:t>
      </w:r>
      <w:r>
        <w:rPr>
          <w:rFonts w:ascii="仿宋_GB2312" w:eastAsia="仿宋_GB2312" w:hint="eastAsia"/>
          <w:sz w:val="32"/>
          <w:szCs w:val="32"/>
        </w:rPr>
        <w:t>22年国有资本经营预算财政拨款支出0万元。</w:t>
      </w:r>
      <w:bookmarkStart w:id="137" w:name="_Toc15377221"/>
      <w:bookmarkStart w:id="138" w:name="_Toc15396612"/>
    </w:p>
    <w:p w:rsidR="003C6718" w:rsidRDefault="00E83E62">
      <w:pPr>
        <w:numPr>
          <w:ilvl w:val="0"/>
          <w:numId w:val="3"/>
        </w:numPr>
        <w:spacing w:line="576" w:lineRule="exact"/>
        <w:ind w:firstLine="640"/>
        <w:outlineLvl w:val="1"/>
        <w:rPr>
          <w:rStyle w:val="2Char"/>
          <w:rFonts w:ascii="黑体" w:eastAsia="黑体" w:hAnsi="黑体"/>
          <w:b w:val="0"/>
        </w:rPr>
      </w:pPr>
      <w:bookmarkStart w:id="139" w:name="_Toc17862"/>
      <w:bookmarkStart w:id="140" w:name="_Toc16322"/>
      <w:bookmarkStart w:id="141" w:name="_Toc1576"/>
      <w:bookmarkStart w:id="142" w:name="_Toc25492"/>
      <w:bookmarkStart w:id="143" w:name="_Toc28465"/>
      <w:r>
        <w:rPr>
          <w:rStyle w:val="2Char"/>
          <w:rFonts w:ascii="黑体" w:eastAsia="黑体" w:hAnsi="黑体" w:hint="eastAsia"/>
          <w:b w:val="0"/>
        </w:rPr>
        <w:t>其他重要事项的情况说明</w:t>
      </w:r>
      <w:bookmarkEnd w:id="137"/>
      <w:bookmarkEnd w:id="138"/>
      <w:bookmarkEnd w:id="139"/>
      <w:bookmarkEnd w:id="140"/>
      <w:bookmarkEnd w:id="141"/>
      <w:bookmarkEnd w:id="142"/>
      <w:bookmarkEnd w:id="143"/>
    </w:p>
    <w:p w:rsidR="003C6718" w:rsidRDefault="00E83E62" w:rsidP="003C6718">
      <w:pPr>
        <w:spacing w:line="576" w:lineRule="exact"/>
        <w:ind w:firstLineChars="200" w:firstLine="640"/>
        <w:outlineLvl w:val="2"/>
        <w:rPr>
          <w:rFonts w:ascii="仿宋" w:eastAsia="仿宋" w:hAnsi="仿宋"/>
          <w:sz w:val="32"/>
          <w:szCs w:val="32"/>
        </w:rPr>
      </w:pPr>
      <w:bookmarkStart w:id="144" w:name="_Toc15377222"/>
      <w:r>
        <w:rPr>
          <w:rFonts w:ascii="仿宋" w:eastAsia="仿宋" w:hAnsi="仿宋" w:hint="eastAsia"/>
          <w:b/>
          <w:sz w:val="32"/>
          <w:szCs w:val="32"/>
        </w:rPr>
        <w:t>（一）机关运行经费支出情况</w:t>
      </w:r>
      <w:bookmarkEnd w:id="144"/>
    </w:p>
    <w:p w:rsidR="003C6718" w:rsidRDefault="00E83E62">
      <w:pPr>
        <w:autoSpaceDE w:val="0"/>
        <w:autoSpaceDN w:val="0"/>
        <w:adjustRightInd w:val="0"/>
        <w:spacing w:line="576" w:lineRule="exact"/>
        <w:ind w:firstLineChars="200" w:firstLine="640"/>
        <w:jc w:val="left"/>
        <w:outlineLvl w:val="2"/>
        <w:rPr>
          <w:rFonts w:ascii="仿宋" w:eastAsia="仿宋" w:hAnsi="仿宋"/>
          <w:sz w:val="32"/>
          <w:szCs w:val="32"/>
        </w:rPr>
      </w:pPr>
      <w:bookmarkStart w:id="145" w:name="_Toc15377223"/>
      <w:r>
        <w:rPr>
          <w:rFonts w:ascii="仿宋" w:eastAsia="仿宋" w:hAnsi="仿宋" w:hint="eastAsia"/>
          <w:sz w:val="32"/>
          <w:szCs w:val="32"/>
        </w:rPr>
        <w:t xml:space="preserve">2022年未发生机关运行经费支出，与2021年决算数持平。    </w:t>
      </w:r>
    </w:p>
    <w:p w:rsidR="003C6718" w:rsidRDefault="00E83E62" w:rsidP="003C6718">
      <w:pPr>
        <w:autoSpaceDE w:val="0"/>
        <w:autoSpaceDN w:val="0"/>
        <w:adjustRightInd w:val="0"/>
        <w:spacing w:line="576" w:lineRule="exact"/>
        <w:ind w:firstLineChars="200" w:firstLine="640"/>
        <w:jc w:val="left"/>
        <w:outlineLvl w:val="2"/>
        <w:rPr>
          <w:rFonts w:ascii="仿宋" w:eastAsia="仿宋" w:hAnsi="仿宋"/>
          <w:b/>
          <w:sz w:val="32"/>
          <w:szCs w:val="32"/>
        </w:rPr>
      </w:pPr>
      <w:r>
        <w:rPr>
          <w:rFonts w:ascii="仿宋" w:eastAsia="仿宋" w:hAnsi="仿宋" w:hint="eastAsia"/>
          <w:b/>
          <w:sz w:val="32"/>
          <w:szCs w:val="32"/>
        </w:rPr>
        <w:lastRenderedPageBreak/>
        <w:t>（二）政府采购支出情况</w:t>
      </w:r>
      <w:bookmarkEnd w:id="145"/>
    </w:p>
    <w:p w:rsidR="003C6718" w:rsidRDefault="00E83E62">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22年，广元市国土空间规划编制研究中心部门政府采购支出总额6.9万元，广元市国土空间规划编制研究中心支出5.26万元，广元经济技术开发区国土空间规划编制研究中心支出1.64万元，其中：</w:t>
      </w:r>
      <w:r>
        <w:rPr>
          <w:rFonts w:ascii="仿宋_GB2312" w:eastAsia="仿宋_GB2312" w:hAnsi="仿宋_GB2312" w:hint="eastAsia"/>
          <w:color w:val="000000"/>
          <w:sz w:val="32"/>
          <w:lang w:val="zh-CN"/>
        </w:rPr>
        <w:t>政府采购货物支出5.26万元</w:t>
      </w:r>
      <w:r>
        <w:rPr>
          <w:rFonts w:ascii="仿宋_GB2312" w:eastAsia="仿宋_GB2312" w:hint="eastAsia"/>
          <w:sz w:val="32"/>
          <w:szCs w:val="32"/>
        </w:rPr>
        <w:t>。主要用于办公相关设备采购。授予中小企业合同金额5.26万元，占政府采购支出总额的100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合同金额5.26万元，占政府采购支出总额的100</w:t>
      </w:r>
      <w:r>
        <w:rPr>
          <w:rFonts w:ascii="仿宋_GB2312" w:eastAsia="仿宋_GB2312"/>
          <w:sz w:val="32"/>
          <w:szCs w:val="32"/>
        </w:rPr>
        <w:t>%</w:t>
      </w:r>
      <w:r>
        <w:rPr>
          <w:rFonts w:ascii="仿宋_GB2312" w:eastAsia="仿宋_GB2312" w:hint="eastAsia"/>
          <w:sz w:val="32"/>
          <w:szCs w:val="32"/>
        </w:rPr>
        <w:t>。</w:t>
      </w:r>
    </w:p>
    <w:p w:rsidR="003C6718" w:rsidRDefault="00E83E62" w:rsidP="003C6718">
      <w:pPr>
        <w:autoSpaceDE w:val="0"/>
        <w:autoSpaceDN w:val="0"/>
        <w:adjustRightInd w:val="0"/>
        <w:spacing w:line="576" w:lineRule="exact"/>
        <w:ind w:firstLineChars="200" w:firstLine="640"/>
        <w:jc w:val="left"/>
        <w:outlineLvl w:val="2"/>
        <w:rPr>
          <w:rFonts w:ascii="仿宋" w:eastAsia="仿宋" w:hAnsi="仿宋"/>
          <w:b/>
          <w:sz w:val="32"/>
          <w:szCs w:val="32"/>
        </w:rPr>
      </w:pPr>
      <w:bookmarkStart w:id="146" w:name="_Toc15377224"/>
      <w:r>
        <w:rPr>
          <w:rFonts w:ascii="仿宋" w:eastAsia="仿宋" w:hAnsi="仿宋" w:hint="eastAsia"/>
          <w:b/>
          <w:sz w:val="32"/>
          <w:szCs w:val="32"/>
        </w:rPr>
        <w:t>（三）国有资产占有使用情况</w:t>
      </w:r>
      <w:bookmarkEnd w:id="146"/>
    </w:p>
    <w:p w:rsidR="003C6718" w:rsidRDefault="00E83E62">
      <w:pPr>
        <w:autoSpaceDE w:val="0"/>
        <w:autoSpaceDN w:val="0"/>
        <w:adjustRightInd w:val="0"/>
        <w:spacing w:line="576"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日，共有车辆0辆。单价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万元以上专用设备0台（套）。</w:t>
      </w:r>
    </w:p>
    <w:p w:rsidR="003C6718" w:rsidRDefault="00E83E62" w:rsidP="003C6718">
      <w:pPr>
        <w:autoSpaceDE w:val="0"/>
        <w:autoSpaceDN w:val="0"/>
        <w:adjustRightInd w:val="0"/>
        <w:spacing w:line="576" w:lineRule="exact"/>
        <w:ind w:firstLineChars="200" w:firstLine="640"/>
        <w:jc w:val="left"/>
        <w:outlineLvl w:val="2"/>
        <w:rPr>
          <w:rFonts w:ascii="仿宋" w:eastAsia="仿宋" w:hAnsi="仿宋"/>
          <w:b/>
          <w:sz w:val="32"/>
          <w:szCs w:val="32"/>
        </w:rPr>
      </w:pPr>
      <w:bookmarkStart w:id="147" w:name="_Toc1813"/>
      <w:bookmarkStart w:id="148" w:name="_Toc32070"/>
      <w:bookmarkStart w:id="149" w:name="_Toc26278"/>
      <w:bookmarkStart w:id="150" w:name="_Toc15523"/>
      <w:r>
        <w:rPr>
          <w:rFonts w:ascii="仿宋" w:eastAsia="仿宋" w:hAnsi="仿宋" w:hint="eastAsia"/>
          <w:b/>
          <w:sz w:val="32"/>
          <w:szCs w:val="32"/>
        </w:rPr>
        <w:t>（四）预算绩效管理情况</w:t>
      </w:r>
      <w:bookmarkEnd w:id="147"/>
      <w:bookmarkEnd w:id="148"/>
      <w:bookmarkEnd w:id="149"/>
      <w:bookmarkEnd w:id="150"/>
    </w:p>
    <w:p w:rsidR="003C6718" w:rsidRDefault="00E83E62">
      <w:pPr>
        <w:spacing w:line="576" w:lineRule="exact"/>
        <w:ind w:firstLineChars="200" w:firstLine="640"/>
        <w:outlineLvl w:val="1"/>
      </w:pPr>
      <w:bookmarkStart w:id="151" w:name="_Toc11966"/>
      <w:bookmarkStart w:id="152" w:name="_Toc20513"/>
      <w:bookmarkStart w:id="153" w:name="_Toc12311"/>
      <w:bookmarkStart w:id="154" w:name="_Toc13001"/>
      <w:bookmarkStart w:id="155" w:name="_Toc25307"/>
      <w:bookmarkStart w:id="156" w:name="_Toc30532"/>
      <w:r>
        <w:rPr>
          <w:rFonts w:ascii="仿宋_GB2312" w:eastAsia="仿宋_GB2312" w:hAnsi="仿宋_GB2312" w:cs="仿宋_GB2312" w:hint="eastAsia"/>
          <w:sz w:val="32"/>
          <w:szCs w:val="32"/>
        </w:rPr>
        <w:t>根据预算绩效管理要求，本部门在2022年度预算编制阶段，组织对“规划编制设计费”1个项目开展了预算事前绩效评估，对6个项目编制了绩效目标，预算执行过程中，选取6个项目开展绩效监控，年终执行完毕后，对1个项目开展了绩效自评。同时，本部门对2022年部门整体开展绩效自评，《2022年广元市国土空间规划编制研究中心部门整体绩效评价报告》见附件（第四部分）。</w:t>
      </w:r>
      <w:bookmarkEnd w:id="151"/>
      <w:bookmarkEnd w:id="152"/>
      <w:bookmarkEnd w:id="153"/>
      <w:bookmarkEnd w:id="154"/>
      <w:bookmarkEnd w:id="155"/>
      <w:bookmarkEnd w:id="156"/>
    </w:p>
    <w:p w:rsidR="003C6718" w:rsidRDefault="00E83E62">
      <w:pPr>
        <w:spacing w:line="500" w:lineRule="exact"/>
        <w:jc w:val="center"/>
        <w:rPr>
          <w:rStyle w:val="1Char"/>
          <w:rFonts w:ascii="黑体" w:eastAsia="黑体" w:hAnsi="黑体"/>
          <w:b w:val="0"/>
        </w:rPr>
      </w:pPr>
      <w:bookmarkStart w:id="157" w:name="_Toc10219"/>
      <w:bookmarkStart w:id="158" w:name="_Toc14681"/>
      <w:bookmarkStart w:id="159" w:name="_Toc15377225"/>
      <w:bookmarkStart w:id="160" w:name="_Toc27638"/>
      <w:bookmarkStart w:id="161" w:name="_Toc15396613"/>
      <w:bookmarkStart w:id="162" w:name="_Toc10366"/>
      <w:bookmarkStart w:id="163" w:name="_Toc24345"/>
      <w:bookmarkStart w:id="164" w:name="_Toc23390"/>
      <w:r>
        <w:rPr>
          <w:rFonts w:ascii="黑体" w:eastAsia="黑体" w:hAnsi="黑体" w:hint="eastAsia"/>
          <w:sz w:val="44"/>
          <w:szCs w:val="44"/>
        </w:rPr>
        <w:br w:type="page"/>
      </w:r>
      <w:r>
        <w:rPr>
          <w:rFonts w:ascii="黑体" w:eastAsia="黑体" w:hAnsi="黑体" w:hint="eastAsia"/>
          <w:sz w:val="44"/>
          <w:szCs w:val="44"/>
        </w:rPr>
        <w:lastRenderedPageBreak/>
        <w:t>第三部分名</w:t>
      </w:r>
      <w:r>
        <w:rPr>
          <w:rStyle w:val="1Char"/>
          <w:rFonts w:ascii="黑体" w:eastAsia="黑体" w:hAnsi="黑体" w:hint="eastAsia"/>
          <w:b w:val="0"/>
        </w:rPr>
        <w:t>词解释</w:t>
      </w:r>
      <w:bookmarkEnd w:id="157"/>
      <w:bookmarkEnd w:id="158"/>
      <w:bookmarkEnd w:id="159"/>
      <w:bookmarkEnd w:id="160"/>
      <w:bookmarkEnd w:id="161"/>
      <w:bookmarkEnd w:id="162"/>
      <w:bookmarkEnd w:id="163"/>
      <w:bookmarkEnd w:id="164"/>
    </w:p>
    <w:p w:rsidR="003C6718" w:rsidRDefault="003C6718">
      <w:pPr>
        <w:spacing w:line="500" w:lineRule="exact"/>
        <w:jc w:val="left"/>
        <w:rPr>
          <w:rFonts w:ascii="宋体"/>
          <w:b/>
          <w:sz w:val="44"/>
          <w:szCs w:val="44"/>
        </w:rPr>
      </w:pPr>
    </w:p>
    <w:p w:rsidR="003C6718" w:rsidRDefault="00E83E62">
      <w:pPr>
        <w:pStyle w:val="Default"/>
        <w:spacing w:line="500" w:lineRule="exact"/>
        <w:ind w:firstLineChars="200" w:firstLine="640"/>
        <w:jc w:val="both"/>
        <w:rPr>
          <w:rFonts w:hAnsi="仿宋"/>
          <w:sz w:val="32"/>
          <w:szCs w:val="32"/>
        </w:rPr>
      </w:pPr>
      <w:bookmarkStart w:id="165" w:name="_Toc15396614"/>
      <w:bookmarkStart w:id="166" w:name="_Toc15377226"/>
      <w:r>
        <w:rPr>
          <w:rFonts w:hAnsi="仿宋" w:hint="eastAsia"/>
          <w:sz w:val="32"/>
          <w:szCs w:val="32"/>
        </w:rPr>
        <w:t>1.财政拨款收入：指单位从同级财政部门取得的财政预算资金。</w:t>
      </w:r>
    </w:p>
    <w:p w:rsidR="003C6718" w:rsidRDefault="00E83E62">
      <w:pPr>
        <w:pStyle w:val="Default"/>
        <w:spacing w:line="500" w:lineRule="exact"/>
        <w:ind w:firstLineChars="200" w:firstLine="640"/>
        <w:jc w:val="both"/>
        <w:rPr>
          <w:rFonts w:hAnsi="仿宋"/>
          <w:sz w:val="32"/>
          <w:szCs w:val="32"/>
        </w:rPr>
      </w:pPr>
      <w:r>
        <w:rPr>
          <w:rFonts w:hAnsi="仿宋" w:hint="eastAsia"/>
          <w:sz w:val="32"/>
          <w:szCs w:val="32"/>
        </w:rPr>
        <w:t>2.其他收入：指单位取得的除上述收入以外的各项收入，主要用于核算银行存款收入。</w:t>
      </w:r>
    </w:p>
    <w:p w:rsidR="003C6718" w:rsidRDefault="00E83E62">
      <w:pPr>
        <w:pStyle w:val="Default"/>
        <w:spacing w:line="500" w:lineRule="exact"/>
        <w:ind w:firstLineChars="200" w:firstLine="640"/>
        <w:jc w:val="both"/>
        <w:rPr>
          <w:rFonts w:hAnsi="仿宋"/>
          <w:sz w:val="32"/>
          <w:szCs w:val="32"/>
        </w:rPr>
      </w:pPr>
      <w:r>
        <w:rPr>
          <w:rFonts w:hAnsi="仿宋" w:hint="eastAsia"/>
          <w:sz w:val="32"/>
          <w:szCs w:val="32"/>
        </w:rPr>
        <w:t>3.年初结转和结余：指以前年度尚未完成、结转到本年按有关规定继续使用的资金。</w:t>
      </w:r>
    </w:p>
    <w:p w:rsidR="003C6718" w:rsidRDefault="00E83E62">
      <w:pPr>
        <w:pStyle w:val="Default"/>
        <w:spacing w:line="500" w:lineRule="exact"/>
        <w:ind w:firstLineChars="200" w:firstLine="640"/>
        <w:jc w:val="both"/>
        <w:rPr>
          <w:rFonts w:hAnsi="仿宋"/>
          <w:sz w:val="32"/>
          <w:szCs w:val="32"/>
        </w:rPr>
      </w:pPr>
      <w:r>
        <w:rPr>
          <w:rFonts w:hAnsi="仿宋" w:hint="eastAsia"/>
          <w:sz w:val="32"/>
          <w:szCs w:val="32"/>
        </w:rPr>
        <w:t>4、年末结转和结余：指单位按有关规定结转到下年或以后年度继续使用的资金。</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Style w:val="a7"/>
          <w:rFonts w:ascii="仿宋" w:eastAsia="仿宋" w:hAnsi="仿宋" w:cs="仿宋" w:hint="eastAsia"/>
          <w:b w:val="0"/>
          <w:bCs/>
          <w:color w:val="000000"/>
          <w:sz w:val="32"/>
          <w:szCs w:val="32"/>
        </w:rPr>
        <w:t>社会保障和就业支出（类）</w:t>
      </w:r>
      <w:r>
        <w:rPr>
          <w:rFonts w:ascii="仿宋" w:eastAsia="仿宋" w:hAnsi="仿宋" w:cs="仿宋" w:hint="eastAsia"/>
          <w:color w:val="000000"/>
          <w:kern w:val="0"/>
          <w:sz w:val="32"/>
          <w:szCs w:val="32"/>
        </w:rPr>
        <w:t>行政事业单位养老支出（</w:t>
      </w:r>
      <w:r>
        <w:rPr>
          <w:rStyle w:val="a7"/>
          <w:rFonts w:ascii="仿宋" w:eastAsia="仿宋" w:hAnsi="仿宋" w:cs="仿宋" w:hint="eastAsia"/>
          <w:b w:val="0"/>
          <w:bCs/>
          <w:color w:val="000000"/>
          <w:sz w:val="32"/>
          <w:szCs w:val="32"/>
        </w:rPr>
        <w:t>款）机关事业单位基本养老保险缴费支出（项）</w:t>
      </w:r>
      <w:r>
        <w:rPr>
          <w:rFonts w:ascii="仿宋" w:eastAsia="仿宋" w:hAnsi="仿宋" w:cs="仿宋" w:hint="eastAsia"/>
          <w:color w:val="000000"/>
          <w:sz w:val="32"/>
          <w:szCs w:val="32"/>
        </w:rPr>
        <w:t>：指反映机关事业单位实施养老保险制度由单位缴纳的基本养老保险支出。</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Pr>
          <w:rStyle w:val="a7"/>
          <w:rFonts w:ascii="仿宋" w:eastAsia="仿宋" w:hAnsi="仿宋" w:cs="仿宋" w:hint="eastAsia"/>
          <w:b w:val="0"/>
          <w:bCs/>
          <w:color w:val="000000"/>
          <w:sz w:val="32"/>
          <w:szCs w:val="32"/>
        </w:rPr>
        <w:t>卫生健康支出（类）行政事业单位医疗（款）事业单位医疗（项）</w:t>
      </w:r>
      <w:r>
        <w:rPr>
          <w:rFonts w:ascii="仿宋" w:eastAsia="仿宋" w:hAnsi="仿宋" w:cs="仿宋" w:hint="eastAsia"/>
          <w:color w:val="000000"/>
          <w:sz w:val="32"/>
          <w:szCs w:val="32"/>
        </w:rPr>
        <w:t>：指反映财政部门集中安排的事业单位基本医疗保险缴费经费，未参加医疗保险的事业单位的公费医疗经费，按国家规定享受离休人员待遇的医疗经费。</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Pr>
          <w:rStyle w:val="a7"/>
          <w:rFonts w:ascii="仿宋" w:eastAsia="仿宋" w:hAnsi="仿宋" w:cs="仿宋" w:hint="eastAsia"/>
          <w:b w:val="0"/>
          <w:bCs/>
          <w:color w:val="000000"/>
          <w:sz w:val="32"/>
          <w:szCs w:val="32"/>
        </w:rPr>
        <w:t>城乡社区（类）城乡社区规划与管理（款）城乡社区规划与管理（项）</w:t>
      </w:r>
      <w:r>
        <w:rPr>
          <w:rFonts w:ascii="仿宋" w:eastAsia="仿宋" w:hAnsi="仿宋" w:cs="仿宋" w:hint="eastAsia"/>
          <w:color w:val="000000"/>
          <w:sz w:val="32"/>
          <w:szCs w:val="32"/>
        </w:rPr>
        <w:t>：指反映城乡社区、名胜风景区、防灾减灾、历史名城规划制定与管理方面的支出。</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8.</w:t>
      </w:r>
      <w:r>
        <w:rPr>
          <w:rStyle w:val="a7"/>
          <w:rFonts w:ascii="仿宋" w:eastAsia="仿宋" w:hAnsi="仿宋" w:cs="仿宋" w:hint="eastAsia"/>
          <w:b w:val="0"/>
          <w:bCs/>
          <w:sz w:val="32"/>
          <w:szCs w:val="32"/>
        </w:rPr>
        <w:t>住房保障</w:t>
      </w:r>
      <w:r>
        <w:rPr>
          <w:rStyle w:val="a7"/>
          <w:rFonts w:ascii="仿宋" w:eastAsia="仿宋" w:hAnsi="仿宋" w:cs="仿宋" w:hint="eastAsia"/>
          <w:b w:val="0"/>
          <w:bCs/>
          <w:color w:val="000000"/>
          <w:sz w:val="32"/>
          <w:szCs w:val="32"/>
        </w:rPr>
        <w:t>（类）住房改革支出（款）住房公积金（项）</w:t>
      </w:r>
      <w:r>
        <w:rPr>
          <w:rFonts w:ascii="仿宋" w:eastAsia="仿宋" w:hAnsi="仿宋" w:cs="仿宋" w:hint="eastAsia"/>
          <w:color w:val="000000"/>
          <w:sz w:val="32"/>
          <w:szCs w:val="32"/>
        </w:rPr>
        <w:t>：指反映行政事业单位按人力资源和社会保障部、财政部规定的基本工资和津贴补贴以及规定比例为职工缴纳住房公积金。</w:t>
      </w:r>
    </w:p>
    <w:p w:rsidR="003C6718" w:rsidRDefault="00E83E62" w:rsidP="003C6718">
      <w:pPr>
        <w:pStyle w:val="Default"/>
        <w:spacing w:line="500" w:lineRule="exact"/>
        <w:ind w:firstLineChars="200" w:firstLine="480"/>
        <w:rPr>
          <w:rStyle w:val="a7"/>
          <w:rFonts w:ascii="仿宋_GB2312" w:eastAsia="仿宋_GB2312" w:hAnsi="仿宋_GB2312" w:cs="仿宋_GB2312"/>
          <w:b w:val="0"/>
          <w:sz w:val="32"/>
          <w:szCs w:val="32"/>
        </w:rPr>
      </w:pPr>
      <w:r>
        <w:rPr>
          <w:rStyle w:val="a7"/>
          <w:rFonts w:hint="eastAsia"/>
          <w:bCs/>
          <w:kern w:val="2"/>
        </w:rPr>
        <w:t>9.</w:t>
      </w:r>
      <w:r>
        <w:rPr>
          <w:rStyle w:val="a7"/>
          <w:rFonts w:hAnsi="仿宋" w:hint="eastAsia"/>
          <w:b w:val="0"/>
          <w:bCs/>
          <w:color w:val="auto"/>
          <w:kern w:val="2"/>
          <w:sz w:val="32"/>
          <w:szCs w:val="32"/>
        </w:rPr>
        <w:t>城乡社区（类）农业土地开发资金安排的支出（款）农业土地开发资金安排的支出（项）：指反</w:t>
      </w:r>
      <w:r>
        <w:rPr>
          <w:rStyle w:val="a7"/>
          <w:rFonts w:hAnsi="仿宋" w:hint="eastAsia"/>
          <w:b w:val="0"/>
          <w:bCs/>
          <w:sz w:val="32"/>
          <w:szCs w:val="32"/>
        </w:rPr>
        <w:t>映</w:t>
      </w:r>
      <w:r>
        <w:rPr>
          <w:rFonts w:hAnsi="仿宋" w:hint="eastAsia"/>
          <w:sz w:val="32"/>
          <w:szCs w:val="32"/>
        </w:rPr>
        <w:t>城乡社区</w:t>
      </w:r>
      <w:r>
        <w:rPr>
          <w:rStyle w:val="a7"/>
          <w:rFonts w:hAnsi="仿宋" w:hint="eastAsia"/>
          <w:b w:val="0"/>
          <w:bCs/>
          <w:sz w:val="32"/>
          <w:szCs w:val="32"/>
        </w:rPr>
        <w:t>农业土地开发支</w:t>
      </w:r>
      <w:r>
        <w:rPr>
          <w:rStyle w:val="a7"/>
          <w:rFonts w:hAnsi="仿宋" w:hint="eastAsia"/>
          <w:b w:val="0"/>
          <w:bCs/>
          <w:sz w:val="32"/>
          <w:szCs w:val="32"/>
        </w:rPr>
        <w:lastRenderedPageBreak/>
        <w:t>出。</w:t>
      </w:r>
      <w:r>
        <w:rPr>
          <w:rFonts w:hAnsi="仿宋" w:hint="eastAsia"/>
          <w:kern w:val="2"/>
          <w:sz w:val="32"/>
          <w:szCs w:val="32"/>
        </w:rPr>
        <w:t>城区社区支出（类）国有土地使用权出让安排的支出（款）土地出让支出（项）：指出让前发生的土地出让业务支出。</w:t>
      </w:r>
    </w:p>
    <w:p w:rsidR="003C6718" w:rsidRDefault="00E83E62">
      <w:pPr>
        <w:spacing w:line="500" w:lineRule="exact"/>
        <w:ind w:firstLineChars="200" w:firstLine="640"/>
        <w:rPr>
          <w:rFonts w:ascii="仿宋" w:eastAsia="仿宋" w:hAnsi="仿宋" w:cs="仿宋"/>
          <w:color w:val="000000"/>
          <w:sz w:val="32"/>
          <w:szCs w:val="32"/>
        </w:rPr>
      </w:pPr>
      <w:r>
        <w:rPr>
          <w:rStyle w:val="a7"/>
          <w:rFonts w:ascii="仿宋" w:eastAsia="仿宋" w:hAnsi="仿宋" w:cs="仿宋" w:hint="eastAsia"/>
          <w:b w:val="0"/>
          <w:bCs/>
          <w:color w:val="000000"/>
          <w:sz w:val="32"/>
          <w:szCs w:val="32"/>
        </w:rPr>
        <w:t>10.</w:t>
      </w:r>
      <w:r>
        <w:rPr>
          <w:rFonts w:ascii="仿宋" w:eastAsia="仿宋" w:hAnsi="仿宋" w:cs="仿宋" w:hint="eastAsia"/>
          <w:color w:val="000000"/>
          <w:sz w:val="32"/>
          <w:szCs w:val="32"/>
        </w:rPr>
        <w:t>社会保障和就业支出（类）行政事业单位养老支出（款）机关事业单位职业年金缴费支出（项）:指反映机关事业单位实施养老保险制度由单位缴纳的职业年金支出。</w:t>
      </w:r>
    </w:p>
    <w:p w:rsidR="003C6718" w:rsidRDefault="00E83E62">
      <w:pPr>
        <w:spacing w:line="500" w:lineRule="exact"/>
        <w:ind w:firstLineChars="200" w:firstLine="640"/>
        <w:rPr>
          <w:rStyle w:val="a7"/>
          <w:rFonts w:ascii="仿宋" w:eastAsia="仿宋" w:hAnsi="仿宋" w:cs="仿宋"/>
          <w:b w:val="0"/>
          <w:bCs/>
          <w:color w:val="000000"/>
          <w:sz w:val="32"/>
          <w:szCs w:val="32"/>
        </w:rPr>
      </w:pPr>
      <w:r>
        <w:rPr>
          <w:rFonts w:ascii="仿宋" w:eastAsia="仿宋" w:hAnsi="仿宋" w:cs="仿宋" w:hint="eastAsia"/>
          <w:color w:val="000000"/>
          <w:sz w:val="32"/>
          <w:szCs w:val="32"/>
        </w:rPr>
        <w:t>11.社会保障和就业支出（类）其他社会和保障就业支出（款）其他社会和保障就业支出（项）指反映机关事业单位实施指反映机关事业单位实施保险制度由单位缴纳的其他社会和保障就业支出。</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12.基本支出：指为保障机构正常运转、完成日常工作任务而发生的人员支出和公用支出。</w:t>
      </w:r>
    </w:p>
    <w:p w:rsidR="003C6718" w:rsidRDefault="00E83E62">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13.项目支出：指在基本支出之外为完成特定行政任务和事业发展目标所发生的支出。</w:t>
      </w:r>
    </w:p>
    <w:p w:rsidR="003C6718" w:rsidRDefault="00E83E62">
      <w:pPr>
        <w:pStyle w:val="Default"/>
        <w:spacing w:line="500" w:lineRule="exact"/>
        <w:ind w:firstLineChars="200" w:firstLine="640"/>
        <w:jc w:val="both"/>
        <w:rPr>
          <w:rFonts w:hAnsi="仿宋"/>
          <w:sz w:val="32"/>
          <w:szCs w:val="32"/>
        </w:rPr>
      </w:pPr>
      <w:r>
        <w:rPr>
          <w:rFonts w:hAnsi="仿宋" w:hint="eastAsia"/>
          <w:sz w:val="32"/>
          <w:szCs w:val="32"/>
        </w:rPr>
        <w:t>14.“三公”经费：指部门用财政拨款安排的因公出国（境）费、公务用车购置及运行费和公务接待费。其中，因公出国（境）</w:t>
      </w:r>
      <w:proofErr w:type="gramStart"/>
      <w:r>
        <w:rPr>
          <w:rFonts w:hAnsi="仿宋" w:hint="eastAsia"/>
          <w:sz w:val="32"/>
          <w:szCs w:val="32"/>
        </w:rPr>
        <w:t>费反映</w:t>
      </w:r>
      <w:proofErr w:type="gramEnd"/>
      <w:r>
        <w:rPr>
          <w:rFonts w:hAnsi="仿宋" w:hint="eastAsia"/>
          <w:sz w:val="32"/>
          <w:szCs w:val="32"/>
        </w:rPr>
        <w:t>单位公务出国（境）的国际旅费、国外城市间交通费、住宿费、伙食费、培训费、公杂费等支出；公务用车购置及运行</w:t>
      </w:r>
      <w:proofErr w:type="gramStart"/>
      <w:r>
        <w:rPr>
          <w:rFonts w:hAnsi="仿宋" w:hint="eastAsia"/>
          <w:sz w:val="32"/>
          <w:szCs w:val="32"/>
        </w:rPr>
        <w:t>费反映</w:t>
      </w:r>
      <w:proofErr w:type="gramEnd"/>
      <w:r>
        <w:rPr>
          <w:rFonts w:hAnsi="仿宋" w:hint="eastAsia"/>
          <w:sz w:val="32"/>
          <w:szCs w:val="32"/>
        </w:rPr>
        <w:t>单位公务用车车辆购置支出（</w:t>
      </w:r>
      <w:proofErr w:type="gramStart"/>
      <w:r>
        <w:rPr>
          <w:rFonts w:hAnsi="仿宋" w:hint="eastAsia"/>
          <w:sz w:val="32"/>
          <w:szCs w:val="32"/>
        </w:rPr>
        <w:t>含车辆</w:t>
      </w:r>
      <w:proofErr w:type="gramEnd"/>
      <w:r>
        <w:rPr>
          <w:rFonts w:hAnsi="仿宋" w:hint="eastAsia"/>
          <w:sz w:val="32"/>
          <w:szCs w:val="32"/>
        </w:rPr>
        <w:t>购置税）及租用费、燃料费、维修费、过路过桥费、保险费等支出；公务接待</w:t>
      </w:r>
      <w:proofErr w:type="gramStart"/>
      <w:r>
        <w:rPr>
          <w:rFonts w:hAnsi="仿宋" w:hint="eastAsia"/>
          <w:sz w:val="32"/>
          <w:szCs w:val="32"/>
        </w:rPr>
        <w:t>费反映</w:t>
      </w:r>
      <w:proofErr w:type="gramEnd"/>
      <w:r>
        <w:rPr>
          <w:rFonts w:hAnsi="仿宋" w:hint="eastAsia"/>
          <w:sz w:val="32"/>
          <w:szCs w:val="32"/>
        </w:rPr>
        <w:t>单位按规定开支的各类公务接待（含外宾接待）支出。</w:t>
      </w:r>
    </w:p>
    <w:p w:rsidR="003C6718" w:rsidRDefault="00E83E62">
      <w:pPr>
        <w:pStyle w:val="Default"/>
        <w:spacing w:line="500" w:lineRule="exact"/>
        <w:ind w:firstLineChars="200" w:firstLine="640"/>
        <w:jc w:val="both"/>
        <w:rPr>
          <w:rFonts w:hAnsi="仿宋"/>
          <w:sz w:val="32"/>
          <w:szCs w:val="32"/>
        </w:rPr>
      </w:pPr>
      <w:r>
        <w:rPr>
          <w:rFonts w:hAnsi="仿宋" w:hint="eastAsia"/>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67" w:name="_Toc17548"/>
      <w:bookmarkStart w:id="168" w:name="_Toc17865"/>
      <w:bookmarkStart w:id="169" w:name="_Toc22663"/>
      <w:bookmarkStart w:id="170" w:name="_Toc20001"/>
      <w:bookmarkStart w:id="171" w:name="_Toc30782"/>
      <w:bookmarkStart w:id="172" w:name="_Toc26741"/>
    </w:p>
    <w:p w:rsidR="003C6718" w:rsidRDefault="00E83E62">
      <w:pPr>
        <w:pStyle w:val="Default"/>
        <w:spacing w:line="500" w:lineRule="exact"/>
        <w:jc w:val="center"/>
        <w:rPr>
          <w:rStyle w:val="1Char"/>
          <w:rFonts w:ascii="黑体" w:eastAsia="黑体" w:hAnsi="黑体" w:cs="Times New Roman"/>
          <w:b w:val="0"/>
        </w:rPr>
      </w:pPr>
      <w:r>
        <w:rPr>
          <w:rFonts w:hAnsi="仿宋" w:hint="eastAsia"/>
          <w:sz w:val="32"/>
          <w:szCs w:val="32"/>
        </w:rPr>
        <w:br w:type="page"/>
      </w:r>
      <w:r>
        <w:rPr>
          <w:rStyle w:val="1Char"/>
          <w:rFonts w:ascii="黑体" w:eastAsia="黑体" w:hAnsi="黑体" w:cs="Times New Roman" w:hint="eastAsia"/>
          <w:b w:val="0"/>
        </w:rPr>
        <w:lastRenderedPageBreak/>
        <w:t>第四部分附件</w:t>
      </w:r>
      <w:bookmarkEnd w:id="165"/>
      <w:bookmarkEnd w:id="167"/>
      <w:bookmarkEnd w:id="168"/>
      <w:bookmarkEnd w:id="169"/>
      <w:bookmarkEnd w:id="170"/>
      <w:bookmarkEnd w:id="171"/>
      <w:bookmarkEnd w:id="172"/>
    </w:p>
    <w:p w:rsidR="003C6718" w:rsidRDefault="003C6718">
      <w:pPr>
        <w:spacing w:line="576" w:lineRule="exact"/>
        <w:ind w:leftChars="150" w:left="315"/>
        <w:outlineLvl w:val="0"/>
        <w:rPr>
          <w:rStyle w:val="1Char"/>
          <w:rFonts w:ascii="黑体" w:eastAsia="黑体" w:hAnsi="黑体"/>
          <w:b w:val="0"/>
        </w:rPr>
      </w:pPr>
    </w:p>
    <w:p w:rsidR="003C6718" w:rsidRDefault="00E83E62">
      <w:pPr>
        <w:spacing w:line="576" w:lineRule="exact"/>
        <w:jc w:val="center"/>
        <w:rPr>
          <w:rFonts w:ascii="方正小标宋简体" w:eastAsia="方正小标宋简体" w:hAnsi="宋体"/>
          <w:kern w:val="0"/>
          <w:sz w:val="40"/>
          <w:szCs w:val="44"/>
        </w:rPr>
      </w:pPr>
      <w:r>
        <w:rPr>
          <w:rFonts w:ascii="方正小标宋简体" w:eastAsia="方正小标宋简体" w:hAnsi="宋体" w:hint="eastAsia"/>
          <w:kern w:val="0"/>
          <w:sz w:val="40"/>
          <w:szCs w:val="44"/>
        </w:rPr>
        <w:t>2022年广元市国土空间规划编制研究中心</w:t>
      </w:r>
    </w:p>
    <w:p w:rsidR="003C6718" w:rsidRDefault="00E83E62">
      <w:pPr>
        <w:spacing w:line="576" w:lineRule="exact"/>
        <w:jc w:val="center"/>
        <w:rPr>
          <w:rFonts w:ascii="方正小标宋简体" w:eastAsia="方正小标宋简体" w:hAnsi="宋体"/>
          <w:kern w:val="0"/>
          <w:sz w:val="40"/>
          <w:szCs w:val="44"/>
        </w:rPr>
      </w:pPr>
      <w:r>
        <w:rPr>
          <w:rFonts w:ascii="方正小标宋简体" w:eastAsia="方正小标宋简体" w:hAnsi="宋体" w:hint="eastAsia"/>
          <w:kern w:val="0"/>
          <w:sz w:val="40"/>
          <w:szCs w:val="44"/>
        </w:rPr>
        <w:t>部门整体绩效评价报告</w:t>
      </w:r>
    </w:p>
    <w:p w:rsidR="003C6718" w:rsidRDefault="003C6718">
      <w:pPr>
        <w:spacing w:line="576" w:lineRule="exact"/>
        <w:jc w:val="center"/>
        <w:rPr>
          <w:rFonts w:ascii="方正小标宋简体" w:eastAsia="方正小标宋简体" w:hAnsi="宋体"/>
          <w:kern w:val="0"/>
          <w:sz w:val="40"/>
          <w:szCs w:val="44"/>
        </w:rPr>
      </w:pPr>
    </w:p>
    <w:p w:rsidR="003C6718" w:rsidRDefault="00E83E62">
      <w:pPr>
        <w:adjustRightInd w:val="0"/>
        <w:snapToGrid w:val="0"/>
        <w:spacing w:line="576" w:lineRule="exact"/>
        <w:ind w:firstLineChars="200" w:firstLine="640"/>
        <w:contextualSpacing/>
        <w:jc w:val="left"/>
        <w:rPr>
          <w:rFonts w:ascii="黑体" w:eastAsia="黑体" w:hAnsi="黑体" w:cs="宋体"/>
          <w:kern w:val="0"/>
          <w:sz w:val="32"/>
          <w:szCs w:val="32"/>
          <w:shd w:val="clear" w:color="auto" w:fill="FFFFFF"/>
          <w:lang w:val="zh-CN"/>
        </w:rPr>
      </w:pPr>
      <w:r>
        <w:rPr>
          <w:rFonts w:ascii="黑体" w:eastAsia="黑体" w:hAnsi="黑体" w:cs="宋体" w:hint="eastAsia"/>
          <w:kern w:val="0"/>
          <w:sz w:val="32"/>
          <w:szCs w:val="32"/>
          <w:shd w:val="clear" w:color="auto" w:fill="FFFFFF"/>
          <w:lang w:val="zh-CN"/>
        </w:rPr>
        <w:t>一、部门（单位）基本情况</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（一）机构组成。</w:t>
      </w:r>
      <w:r>
        <w:rPr>
          <w:rFonts w:ascii="仿宋_GB2312" w:eastAsia="仿宋_GB2312" w:hAnsi="黑体" w:cs="宋体" w:hint="eastAsia"/>
          <w:b/>
          <w:kern w:val="0"/>
          <w:sz w:val="32"/>
          <w:szCs w:val="32"/>
          <w:shd w:val="clear" w:color="auto" w:fill="FFFFFF"/>
          <w:lang w:val="zh-CN"/>
        </w:rPr>
        <w:t>市国土空间规划编制研究中心（市本级）。</w:t>
      </w:r>
      <w:r>
        <w:rPr>
          <w:rFonts w:ascii="仿宋_GB2312" w:eastAsia="仿宋_GB2312" w:hint="eastAsia"/>
          <w:sz w:val="32"/>
          <w:szCs w:val="32"/>
        </w:rPr>
        <w:t>2020年9月，市城乡规划局更名为市国土空间规划编制研究中心，</w:t>
      </w:r>
      <w:r>
        <w:rPr>
          <w:rFonts w:ascii="仿宋_GB2312" w:eastAsia="仿宋_GB2312" w:hAnsi="仿宋" w:cs="仿宋" w:hint="eastAsia"/>
          <w:sz w:val="32"/>
          <w:szCs w:val="32"/>
        </w:rPr>
        <w:t>2021年</w:t>
      </w:r>
      <w:r>
        <w:rPr>
          <w:rFonts w:ascii="仿宋_GB2312" w:eastAsia="仿宋_GB2312" w:hAnsi="仿宋" w:hint="eastAsia"/>
          <w:sz w:val="32"/>
          <w:szCs w:val="32"/>
        </w:rPr>
        <w:t>2月3日挂牌。按照“三定”方案，负责市级国土空间规划编制、技术审查、规划研究等工作，下设综合科、规划编制事务科、用地规划事务科、建筑规划事务科、市政规划事务科、村镇规划事务科、联合审查科、信息数据科8个科室。</w:t>
      </w:r>
      <w:r>
        <w:rPr>
          <w:rFonts w:ascii="仿宋_GB2312" w:eastAsia="仿宋_GB2312" w:hAnsi="黑体" w:cs="宋体" w:hint="eastAsia"/>
          <w:b/>
          <w:kern w:val="0"/>
          <w:sz w:val="32"/>
          <w:szCs w:val="32"/>
          <w:shd w:val="clear" w:color="auto" w:fill="FFFFFF"/>
          <w:lang w:val="zh-CN"/>
        </w:rPr>
        <w:t>广元经济技术开发区国土空间规划编制研究中心（局属二级单位）</w:t>
      </w:r>
      <w:r>
        <w:rPr>
          <w:rFonts w:ascii="仿宋_GB2312" w:eastAsia="仿宋_GB2312" w:hAnsi="仿宋" w:hint="eastAsia"/>
          <w:sz w:val="32"/>
          <w:szCs w:val="32"/>
        </w:rPr>
        <w:t>2021年1月，市城乡规划局经济技术开发区分局更名为广元经济技术开发区国土空间规划编制研究中心，为市自然资源局管理的公益一类事业单位。目前，由市国土空间规划编制研究中心代管。</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（二）机构职能和人员概况。</w:t>
      </w:r>
      <w:r>
        <w:rPr>
          <w:rFonts w:ascii="仿宋_GB2312" w:eastAsia="仿宋_GB2312" w:hAnsi="黑体" w:cs="宋体" w:hint="eastAsia"/>
          <w:b/>
          <w:kern w:val="0"/>
          <w:sz w:val="32"/>
          <w:szCs w:val="32"/>
          <w:shd w:val="clear" w:color="auto" w:fill="FFFFFF"/>
          <w:lang w:val="zh-CN"/>
        </w:rPr>
        <w:t>市国土空间规划编制研究中心（市本级）</w:t>
      </w:r>
      <w:r>
        <w:rPr>
          <w:rFonts w:ascii="仿宋_GB2312" w:eastAsia="仿宋_GB2312" w:hAnsi="宋体" w:cs="宋体" w:hint="eastAsia"/>
          <w:kern w:val="0"/>
          <w:sz w:val="32"/>
          <w:szCs w:val="32"/>
          <w:shd w:val="clear" w:color="auto" w:fill="FFFFFF"/>
          <w:lang w:val="zh-CN"/>
        </w:rPr>
        <w:t>贯彻执行国家、</w:t>
      </w:r>
      <w:r>
        <w:rPr>
          <w:rFonts w:ascii="仿宋_GB2312" w:eastAsia="仿宋_GB2312" w:hAnsi="仿宋" w:hint="eastAsia"/>
          <w:sz w:val="32"/>
          <w:szCs w:val="32"/>
          <w:lang w:val="zh-CN"/>
        </w:rPr>
        <w:t>省、市有关国土空间规划管理的方针、政策和法律、法规；承担市国土空间发展战略规划、公共政策、项目和计划的研究；</w:t>
      </w:r>
      <w:proofErr w:type="gramStart"/>
      <w:r>
        <w:rPr>
          <w:rFonts w:ascii="仿宋_GB2312" w:eastAsia="仿宋_GB2312" w:hAnsi="仿宋" w:hint="eastAsia"/>
          <w:sz w:val="32"/>
          <w:szCs w:val="32"/>
          <w:lang w:val="zh-CN"/>
        </w:rPr>
        <w:t>拟订市</w:t>
      </w:r>
      <w:proofErr w:type="gramEnd"/>
      <w:r>
        <w:rPr>
          <w:rFonts w:ascii="仿宋_GB2312" w:eastAsia="仿宋_GB2312" w:hAnsi="仿宋" w:hint="eastAsia"/>
          <w:sz w:val="32"/>
          <w:szCs w:val="32"/>
          <w:lang w:val="zh-CN"/>
        </w:rPr>
        <w:t>国土空间规划管理相关技术标准和技术规定；受市人民政府或市自然资源局委托，组织编制、维护市</w:t>
      </w:r>
      <w:r>
        <w:rPr>
          <w:rFonts w:ascii="仿宋_GB2312" w:eastAsia="仿宋_GB2312" w:hAnsi="仿宋" w:hint="eastAsia"/>
          <w:sz w:val="32"/>
          <w:szCs w:val="32"/>
          <w:lang w:val="zh-CN"/>
        </w:rPr>
        <w:lastRenderedPageBreak/>
        <w:t>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址、论证、规划设计前期研究和规划设计方案审查；负责市国</w:t>
      </w:r>
      <w:r>
        <w:rPr>
          <w:rFonts w:ascii="仿宋_GB2312" w:eastAsia="仿宋_GB2312" w:hAnsi="宋体" w:cs="宋体" w:hint="eastAsia"/>
          <w:kern w:val="0"/>
          <w:sz w:val="32"/>
          <w:szCs w:val="32"/>
          <w:shd w:val="clear" w:color="auto" w:fill="FFFFFF"/>
          <w:lang w:val="zh-CN"/>
        </w:rPr>
        <w:t>土空间规划信息数据平台实施维护和国土空间总体规划、详细规划等数据更新工作；完成市委、市政府和市自然资源局交办的其他任务。</w:t>
      </w:r>
      <w:r>
        <w:rPr>
          <w:rFonts w:ascii="仿宋_GB2312" w:eastAsia="仿宋_GB2312" w:hAnsi="黑体" w:cs="宋体" w:hint="eastAsia"/>
          <w:b/>
          <w:kern w:val="0"/>
          <w:sz w:val="32"/>
          <w:szCs w:val="32"/>
          <w:shd w:val="clear" w:color="auto" w:fill="FFFFFF"/>
          <w:lang w:val="zh-CN"/>
        </w:rPr>
        <w:t>广元经济技术开发区国土空间规划编制研究中心（局属二级单位）。</w:t>
      </w:r>
      <w:r>
        <w:rPr>
          <w:rFonts w:ascii="仿宋_GB2312" w:eastAsia="仿宋_GB2312" w:cs="仿宋_GB2312" w:hint="eastAsia"/>
          <w:kern w:val="0"/>
          <w:sz w:val="32"/>
          <w:szCs w:val="32"/>
        </w:rPr>
        <w:t>受市自然资源局、辖区人民政府委托，组织编制本辖区国土空间规划、城市设计、概念规划等；负责指定管辖范围内的项目选址、规划设计前期研究和规划设计方案审查；承担辖区规划管理审批相关事务工作。</w:t>
      </w:r>
    </w:p>
    <w:p w:rsidR="003C6718" w:rsidRDefault="00E83E62">
      <w:pPr>
        <w:spacing w:line="576" w:lineRule="exact"/>
        <w:ind w:firstLineChars="200" w:firstLine="640"/>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截止2022年末，市国土空间规划中心编制人数38人，实际在职人数3</w:t>
      </w:r>
      <w:r>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lang w:val="zh-CN"/>
        </w:rPr>
        <w:t>人；经开区国土空间规划中心编制人数18人，实际在职人数13人。</w:t>
      </w:r>
    </w:p>
    <w:p w:rsidR="003C6718" w:rsidRDefault="00E83E62">
      <w:pPr>
        <w:spacing w:line="576" w:lineRule="exact"/>
        <w:ind w:firstLineChars="200" w:firstLine="643"/>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（三）年度主要工作任务。</w:t>
      </w:r>
      <w:r>
        <w:rPr>
          <w:rFonts w:ascii="仿宋_GB2312" w:eastAsia="仿宋_GB2312" w:hAnsi="仿宋" w:hint="eastAsia"/>
          <w:sz w:val="32"/>
          <w:szCs w:val="32"/>
          <w:lang w:val="zh-CN"/>
        </w:rPr>
        <w:t>完成广元市东坝片区DB（I.A）-c-05-5、DB（I.A）-c-07-1地块调整论证报告，提升行政中心景观形象，改善片区停车问题。完成2021年度广元市国土空间规划城市体检报告，</w:t>
      </w:r>
      <w:proofErr w:type="gramStart"/>
      <w:r>
        <w:rPr>
          <w:rFonts w:ascii="仿宋_GB2312" w:eastAsia="仿宋_GB2312" w:hAnsi="仿宋" w:hint="eastAsia"/>
          <w:sz w:val="32"/>
          <w:szCs w:val="32"/>
          <w:lang w:val="zh-CN"/>
        </w:rPr>
        <w:t>研</w:t>
      </w:r>
      <w:proofErr w:type="gramEnd"/>
      <w:r>
        <w:rPr>
          <w:rFonts w:ascii="仿宋_GB2312" w:eastAsia="仿宋_GB2312" w:hAnsi="仿宋" w:hint="eastAsia"/>
          <w:sz w:val="32"/>
          <w:szCs w:val="32"/>
          <w:lang w:val="zh-CN"/>
        </w:rPr>
        <w:t>判城市规划问题，提出应对策略，为国土</w:t>
      </w:r>
      <w:r>
        <w:rPr>
          <w:rFonts w:ascii="仿宋_GB2312" w:eastAsia="仿宋_GB2312" w:hAnsi="仿宋" w:hint="eastAsia"/>
          <w:sz w:val="32"/>
          <w:szCs w:val="32"/>
          <w:lang w:val="zh-CN"/>
        </w:rPr>
        <w:lastRenderedPageBreak/>
        <w:t>空间规划编制提供支撑。完成广元市城南、城西、城东片区控制性详细规划合同遗留问题处置，收集最新阶段规划成果，为下一步详细规划编制提供支撑，严格按照法定程序启动中心城区控</w:t>
      </w:r>
      <w:proofErr w:type="gramStart"/>
      <w:r>
        <w:rPr>
          <w:rFonts w:ascii="仿宋_GB2312" w:eastAsia="仿宋_GB2312" w:hAnsi="仿宋" w:hint="eastAsia"/>
          <w:sz w:val="32"/>
          <w:szCs w:val="32"/>
          <w:lang w:val="zh-CN"/>
        </w:rPr>
        <w:t>规</w:t>
      </w:r>
      <w:proofErr w:type="gramEnd"/>
      <w:r>
        <w:rPr>
          <w:rFonts w:ascii="仿宋_GB2312" w:eastAsia="仿宋_GB2312" w:hAnsi="仿宋" w:hint="eastAsia"/>
          <w:sz w:val="32"/>
          <w:szCs w:val="32"/>
          <w:lang w:val="zh-CN"/>
        </w:rPr>
        <w:t>调整、专项规划调整、总体规划调整。完成广元市历史文化名城修编及老城片区改造规划设计。精心组织、筹备和服务于市</w:t>
      </w:r>
      <w:proofErr w:type="gramStart"/>
      <w:r>
        <w:rPr>
          <w:rFonts w:ascii="仿宋_GB2312" w:eastAsia="仿宋_GB2312" w:hAnsi="仿宋" w:hint="eastAsia"/>
          <w:sz w:val="32"/>
          <w:szCs w:val="32"/>
          <w:lang w:val="zh-CN"/>
        </w:rPr>
        <w:t>规</w:t>
      </w:r>
      <w:proofErr w:type="gramEnd"/>
      <w:r>
        <w:rPr>
          <w:rFonts w:ascii="仿宋_GB2312" w:eastAsia="仿宋_GB2312" w:hAnsi="仿宋" w:hint="eastAsia"/>
          <w:sz w:val="32"/>
          <w:szCs w:val="32"/>
          <w:lang w:val="zh-CN"/>
        </w:rPr>
        <w:t>委会会议，及时对市</w:t>
      </w:r>
      <w:proofErr w:type="gramStart"/>
      <w:r>
        <w:rPr>
          <w:rFonts w:ascii="仿宋_GB2312" w:eastAsia="仿宋_GB2312" w:hAnsi="仿宋" w:hint="eastAsia"/>
          <w:sz w:val="32"/>
          <w:szCs w:val="32"/>
          <w:lang w:val="zh-CN"/>
        </w:rPr>
        <w:t>规</w:t>
      </w:r>
      <w:proofErr w:type="gramEnd"/>
      <w:r>
        <w:rPr>
          <w:rFonts w:ascii="仿宋_GB2312" w:eastAsia="仿宋_GB2312" w:hAnsi="仿宋" w:hint="eastAsia"/>
          <w:sz w:val="32"/>
          <w:szCs w:val="32"/>
          <w:lang w:val="zh-CN"/>
        </w:rPr>
        <w:t>委会成员进行调整、充实，根据专业性质不同增加相关行业的专家委员。进一步延伸专委会审查深度，根据项目建设需要适时筹备专委会和</w:t>
      </w:r>
      <w:proofErr w:type="gramStart"/>
      <w:r>
        <w:rPr>
          <w:rFonts w:ascii="仿宋_GB2312" w:eastAsia="仿宋_GB2312" w:hAnsi="仿宋" w:hint="eastAsia"/>
          <w:sz w:val="32"/>
          <w:szCs w:val="32"/>
          <w:lang w:val="zh-CN"/>
        </w:rPr>
        <w:t>规委</w:t>
      </w:r>
      <w:proofErr w:type="gramEnd"/>
      <w:r>
        <w:rPr>
          <w:rFonts w:ascii="仿宋_GB2312" w:eastAsia="仿宋_GB2312" w:hAnsi="仿宋" w:hint="eastAsia"/>
          <w:sz w:val="32"/>
          <w:szCs w:val="32"/>
          <w:lang w:val="zh-CN"/>
        </w:rPr>
        <w:t>会，服务广元国土空间规划建设，做好项目要素保障等。</w:t>
      </w:r>
    </w:p>
    <w:p w:rsidR="003C6718" w:rsidRDefault="00E83E62">
      <w:pPr>
        <w:spacing w:line="576" w:lineRule="exact"/>
        <w:ind w:firstLineChars="200" w:firstLine="643"/>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（四）部门整体支出绩效目标。</w:t>
      </w:r>
      <w:r>
        <w:rPr>
          <w:rFonts w:ascii="仿宋_GB2312" w:eastAsia="仿宋_GB2312" w:hAnsi="仿宋" w:hint="eastAsia"/>
          <w:sz w:val="32"/>
          <w:szCs w:val="32"/>
          <w:lang w:val="zh-CN"/>
        </w:rPr>
        <w:t>2022年12月31日前，实现召开市</w:t>
      </w:r>
      <w:proofErr w:type="gramStart"/>
      <w:r>
        <w:rPr>
          <w:rFonts w:ascii="仿宋_GB2312" w:eastAsia="仿宋_GB2312" w:hAnsi="仿宋" w:hint="eastAsia"/>
          <w:sz w:val="32"/>
          <w:szCs w:val="32"/>
          <w:lang w:val="zh-CN"/>
        </w:rPr>
        <w:t>规</w:t>
      </w:r>
      <w:proofErr w:type="gramEnd"/>
      <w:r>
        <w:rPr>
          <w:rFonts w:ascii="仿宋_GB2312" w:eastAsia="仿宋_GB2312" w:hAnsi="仿宋" w:hint="eastAsia"/>
          <w:sz w:val="32"/>
          <w:szCs w:val="32"/>
          <w:lang w:val="zh-CN"/>
        </w:rPr>
        <w:t>委会10期、</w:t>
      </w:r>
      <w:proofErr w:type="gramStart"/>
      <w:r>
        <w:rPr>
          <w:rFonts w:ascii="仿宋_GB2312" w:eastAsia="仿宋_GB2312" w:hAnsi="仿宋" w:hint="eastAsia"/>
          <w:sz w:val="32"/>
          <w:szCs w:val="32"/>
          <w:lang w:val="zh-CN"/>
        </w:rPr>
        <w:t>市专委</w:t>
      </w:r>
      <w:proofErr w:type="gramEnd"/>
      <w:r>
        <w:rPr>
          <w:rFonts w:ascii="仿宋_GB2312" w:eastAsia="仿宋_GB2312" w:hAnsi="仿宋" w:hint="eastAsia"/>
          <w:sz w:val="32"/>
          <w:szCs w:val="32"/>
          <w:lang w:val="zh-CN"/>
        </w:rPr>
        <w:t>会40期，审查项目规划设计方案180个；召开工业项目方案技术审查会6期；中心城区控制性详细规划调整1个；专项规划调整2个；完成2022年昭化区清水镇石庙村乡村55户结对帮扶振兴任务。</w:t>
      </w:r>
    </w:p>
    <w:p w:rsidR="003C6718" w:rsidRDefault="00E83E62">
      <w:pPr>
        <w:adjustRightInd w:val="0"/>
        <w:snapToGrid w:val="0"/>
        <w:spacing w:line="576" w:lineRule="exact"/>
        <w:ind w:firstLineChars="200" w:firstLine="640"/>
        <w:contextualSpacing/>
        <w:jc w:val="left"/>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二、部门资金收支情况</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（一）部门总体收支情况</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1.部门总体收入情况。</w:t>
      </w:r>
      <w:r>
        <w:rPr>
          <w:rFonts w:ascii="仿宋_GB2312" w:eastAsia="仿宋_GB2312" w:hAnsi="仿宋" w:hint="eastAsia"/>
          <w:sz w:val="32"/>
          <w:szCs w:val="32"/>
          <w:lang w:val="zh-CN"/>
        </w:rPr>
        <w:t>202</w:t>
      </w:r>
      <w:r>
        <w:rPr>
          <w:rFonts w:ascii="仿宋_GB2312" w:eastAsia="仿宋_GB2312" w:hAnsi="仿宋" w:hint="eastAsia"/>
          <w:sz w:val="32"/>
          <w:szCs w:val="32"/>
        </w:rPr>
        <w:t>2</w:t>
      </w:r>
      <w:r>
        <w:rPr>
          <w:rFonts w:ascii="仿宋_GB2312" w:eastAsia="仿宋_GB2312" w:hAnsi="仿宋" w:hint="eastAsia"/>
          <w:sz w:val="32"/>
          <w:szCs w:val="32"/>
          <w:lang w:val="zh-CN"/>
        </w:rPr>
        <w:t>年初结转结余</w:t>
      </w:r>
      <w:r>
        <w:rPr>
          <w:rFonts w:ascii="仿宋_GB2312" w:eastAsia="仿宋_GB2312" w:hAnsi="仿宋" w:hint="eastAsia"/>
          <w:sz w:val="32"/>
          <w:szCs w:val="32"/>
        </w:rPr>
        <w:t>188.40</w:t>
      </w:r>
      <w:r>
        <w:rPr>
          <w:rFonts w:ascii="仿宋_GB2312" w:eastAsia="仿宋_GB2312" w:hAnsi="仿宋" w:hint="eastAsia"/>
          <w:sz w:val="32"/>
          <w:szCs w:val="32"/>
          <w:lang w:val="zh-CN"/>
        </w:rPr>
        <w:t>万元，本年收入合计</w:t>
      </w:r>
      <w:r>
        <w:rPr>
          <w:rFonts w:ascii="仿宋_GB2312" w:eastAsia="仿宋_GB2312" w:hAnsi="仿宋" w:hint="eastAsia"/>
          <w:sz w:val="32"/>
          <w:szCs w:val="32"/>
        </w:rPr>
        <w:t>1156.93</w:t>
      </w:r>
      <w:r>
        <w:rPr>
          <w:rFonts w:ascii="仿宋_GB2312" w:eastAsia="仿宋_GB2312" w:hAnsi="仿宋" w:hint="eastAsia"/>
          <w:sz w:val="32"/>
          <w:szCs w:val="32"/>
          <w:lang w:val="zh-CN"/>
        </w:rPr>
        <w:t>万元，其中：一般公共预算财政拨款收入</w:t>
      </w:r>
      <w:r>
        <w:rPr>
          <w:rFonts w:ascii="仿宋_GB2312" w:eastAsia="仿宋_GB2312" w:hAnsi="仿宋" w:hint="eastAsia"/>
          <w:sz w:val="32"/>
          <w:szCs w:val="32"/>
        </w:rPr>
        <w:t>958.30</w:t>
      </w:r>
      <w:r>
        <w:rPr>
          <w:rFonts w:ascii="仿宋_GB2312" w:eastAsia="仿宋_GB2312" w:hAnsi="仿宋" w:hint="eastAsia"/>
          <w:sz w:val="32"/>
          <w:szCs w:val="32"/>
          <w:lang w:val="zh-CN"/>
        </w:rPr>
        <w:t>万元，占</w:t>
      </w:r>
      <w:r>
        <w:rPr>
          <w:rFonts w:ascii="仿宋_GB2312" w:eastAsia="仿宋_GB2312" w:hAnsi="仿宋" w:hint="eastAsia"/>
          <w:sz w:val="32"/>
          <w:szCs w:val="32"/>
        </w:rPr>
        <w:t>82.83</w:t>
      </w:r>
      <w:r>
        <w:rPr>
          <w:rFonts w:ascii="仿宋_GB2312" w:eastAsia="仿宋_GB2312" w:hAnsi="仿宋" w:hint="eastAsia"/>
          <w:sz w:val="32"/>
          <w:szCs w:val="32"/>
          <w:lang w:val="zh-CN"/>
        </w:rPr>
        <w:t>%；政府性基金预算财政拨款收入</w:t>
      </w:r>
      <w:r>
        <w:rPr>
          <w:rFonts w:ascii="仿宋_GB2312" w:eastAsia="仿宋_GB2312" w:hAnsi="仿宋" w:hint="eastAsia"/>
          <w:sz w:val="32"/>
          <w:szCs w:val="32"/>
        </w:rPr>
        <w:t>179.22</w:t>
      </w:r>
      <w:r>
        <w:rPr>
          <w:rFonts w:ascii="仿宋_GB2312" w:eastAsia="仿宋_GB2312" w:hAnsi="仿宋" w:hint="eastAsia"/>
          <w:sz w:val="32"/>
          <w:szCs w:val="32"/>
          <w:lang w:val="zh-CN"/>
        </w:rPr>
        <w:t>万元，占</w:t>
      </w:r>
      <w:r>
        <w:rPr>
          <w:rFonts w:ascii="仿宋_GB2312" w:eastAsia="仿宋_GB2312" w:hAnsi="仿宋" w:hint="eastAsia"/>
          <w:sz w:val="32"/>
          <w:szCs w:val="32"/>
        </w:rPr>
        <w:t>15.49</w:t>
      </w:r>
      <w:r>
        <w:rPr>
          <w:rFonts w:ascii="仿宋_GB2312" w:eastAsia="仿宋_GB2312" w:hAnsi="仿宋" w:hint="eastAsia"/>
          <w:sz w:val="32"/>
          <w:szCs w:val="32"/>
          <w:lang w:val="zh-CN"/>
        </w:rPr>
        <w:t>%；其他收入</w:t>
      </w:r>
      <w:r>
        <w:rPr>
          <w:rFonts w:ascii="仿宋_GB2312" w:eastAsia="仿宋_GB2312" w:hAnsi="仿宋" w:hint="eastAsia"/>
          <w:sz w:val="32"/>
          <w:szCs w:val="32"/>
        </w:rPr>
        <w:t>19.41</w:t>
      </w:r>
      <w:r>
        <w:rPr>
          <w:rFonts w:ascii="仿宋_GB2312" w:eastAsia="仿宋_GB2312" w:hAnsi="仿宋" w:hint="eastAsia"/>
          <w:sz w:val="32"/>
          <w:szCs w:val="32"/>
          <w:lang w:val="zh-CN"/>
        </w:rPr>
        <w:t>万元，占</w:t>
      </w:r>
      <w:r>
        <w:rPr>
          <w:rFonts w:ascii="仿宋_GB2312" w:eastAsia="仿宋_GB2312" w:hAnsi="仿宋" w:hint="eastAsia"/>
          <w:sz w:val="32"/>
          <w:szCs w:val="32"/>
        </w:rPr>
        <w:t>1.68</w:t>
      </w:r>
      <w:r>
        <w:rPr>
          <w:rFonts w:ascii="仿宋_GB2312" w:eastAsia="仿宋_GB2312" w:hAnsi="仿宋" w:hint="eastAsia"/>
          <w:sz w:val="32"/>
          <w:szCs w:val="32"/>
          <w:lang w:val="zh-CN"/>
        </w:rPr>
        <w:t>%。</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2.部门总体支出情况。</w:t>
      </w:r>
      <w:r>
        <w:rPr>
          <w:rFonts w:ascii="仿宋_GB2312" w:eastAsia="仿宋_GB2312" w:cs="仿宋_GB2312" w:hint="eastAsia"/>
          <w:sz w:val="32"/>
          <w:szCs w:val="32"/>
        </w:rPr>
        <w:t>2022年本年支出合计1328.2万元，其中：基本支出981.39万元，占72.9%；项目支出346.81万元，</w:t>
      </w:r>
      <w:r>
        <w:rPr>
          <w:rFonts w:ascii="仿宋_GB2312" w:eastAsia="仿宋_GB2312" w:cs="仿宋_GB2312" w:hint="eastAsia"/>
          <w:sz w:val="32"/>
          <w:szCs w:val="32"/>
        </w:rPr>
        <w:lastRenderedPageBreak/>
        <w:t>占27.1%。</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3.部门总体结转结余情况。</w:t>
      </w:r>
      <w:r>
        <w:rPr>
          <w:rFonts w:ascii="仿宋_GB2312" w:eastAsia="仿宋_GB2312" w:cs="仿宋_GB2312" w:hint="eastAsia"/>
          <w:sz w:val="32"/>
          <w:szCs w:val="32"/>
        </w:rPr>
        <w:t>年末财政拨款结转结余17.13万元，其中基本支出结转1.1万元，项目支出结转16.03万元。</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（二）部门财政拨款收支情况</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kern w:val="0"/>
          <w:sz w:val="32"/>
          <w:szCs w:val="32"/>
          <w:shd w:val="clear" w:color="auto" w:fill="FFFFFF"/>
        </w:rPr>
        <w:t>1.部门财政拨款收入情况。</w:t>
      </w:r>
      <w:r>
        <w:rPr>
          <w:rFonts w:ascii="仿宋_GB2312" w:eastAsia="仿宋_GB2312" w:hAnsi="仿宋" w:hint="eastAsia"/>
          <w:sz w:val="32"/>
          <w:szCs w:val="32"/>
        </w:rPr>
        <w:t>2022</w:t>
      </w:r>
      <w:r>
        <w:rPr>
          <w:rFonts w:ascii="仿宋_GB2312" w:eastAsia="仿宋_GB2312" w:hAnsi="仿宋" w:hint="eastAsia"/>
          <w:sz w:val="32"/>
          <w:szCs w:val="32"/>
          <w:lang w:val="zh-CN"/>
        </w:rPr>
        <w:t>年收入</w:t>
      </w:r>
      <w:r>
        <w:rPr>
          <w:rFonts w:ascii="仿宋_GB2312" w:eastAsia="仿宋_GB2312" w:hAnsi="仿宋" w:hint="eastAsia"/>
          <w:sz w:val="32"/>
          <w:szCs w:val="32"/>
        </w:rPr>
        <w:t>1137.52</w:t>
      </w:r>
      <w:r>
        <w:rPr>
          <w:rFonts w:ascii="仿宋_GB2312" w:eastAsia="仿宋_GB2312" w:hAnsi="仿宋" w:hint="eastAsia"/>
          <w:sz w:val="32"/>
          <w:szCs w:val="32"/>
          <w:lang w:val="zh-CN"/>
        </w:rPr>
        <w:t>万元，其中一般公共预算财政拨款收入</w:t>
      </w:r>
      <w:r>
        <w:rPr>
          <w:rFonts w:ascii="仿宋_GB2312" w:eastAsia="仿宋_GB2312" w:hAnsi="仿宋" w:hint="eastAsia"/>
          <w:sz w:val="32"/>
          <w:szCs w:val="32"/>
        </w:rPr>
        <w:t>958.30</w:t>
      </w:r>
      <w:r>
        <w:rPr>
          <w:rFonts w:ascii="仿宋_GB2312" w:eastAsia="仿宋_GB2312" w:hAnsi="仿宋" w:hint="eastAsia"/>
          <w:sz w:val="32"/>
          <w:szCs w:val="32"/>
          <w:lang w:val="zh-CN"/>
        </w:rPr>
        <w:t>万元，占</w:t>
      </w:r>
      <w:r>
        <w:rPr>
          <w:rFonts w:ascii="仿宋_GB2312" w:eastAsia="仿宋_GB2312" w:hAnsi="仿宋" w:hint="eastAsia"/>
          <w:sz w:val="32"/>
          <w:szCs w:val="32"/>
        </w:rPr>
        <w:t>84.24</w:t>
      </w:r>
      <w:r>
        <w:rPr>
          <w:rFonts w:ascii="仿宋_GB2312" w:eastAsia="仿宋_GB2312" w:hAnsi="仿宋" w:hint="eastAsia"/>
          <w:sz w:val="32"/>
          <w:szCs w:val="32"/>
          <w:lang w:val="zh-CN"/>
        </w:rPr>
        <w:t>%；政府性基金预算财政拨款收入</w:t>
      </w:r>
      <w:r>
        <w:rPr>
          <w:rFonts w:ascii="仿宋_GB2312" w:eastAsia="仿宋_GB2312" w:hAnsi="仿宋" w:hint="eastAsia"/>
          <w:sz w:val="32"/>
          <w:szCs w:val="32"/>
        </w:rPr>
        <w:t>179.22</w:t>
      </w:r>
      <w:r>
        <w:rPr>
          <w:rFonts w:ascii="仿宋_GB2312" w:eastAsia="仿宋_GB2312" w:hAnsi="仿宋" w:hint="eastAsia"/>
          <w:sz w:val="32"/>
          <w:szCs w:val="32"/>
          <w:lang w:val="zh-CN"/>
        </w:rPr>
        <w:t>万元，占</w:t>
      </w:r>
      <w:r>
        <w:rPr>
          <w:rFonts w:ascii="仿宋_GB2312" w:eastAsia="仿宋_GB2312" w:hAnsi="仿宋" w:hint="eastAsia"/>
          <w:sz w:val="32"/>
          <w:szCs w:val="32"/>
        </w:rPr>
        <w:t>15.76</w:t>
      </w:r>
      <w:r>
        <w:rPr>
          <w:rFonts w:ascii="仿宋_GB2312" w:eastAsia="仿宋_GB2312" w:hAnsi="仿宋" w:hint="eastAsia"/>
          <w:sz w:val="32"/>
          <w:szCs w:val="32"/>
          <w:lang w:val="zh-CN"/>
        </w:rPr>
        <w:t>%</w:t>
      </w:r>
      <w:r>
        <w:rPr>
          <w:rFonts w:ascii="仿宋_GB2312" w:eastAsia="仿宋_GB2312" w:cs="仿宋_GB2312" w:hint="eastAsia"/>
          <w:sz w:val="32"/>
          <w:szCs w:val="32"/>
        </w:rPr>
        <w:t>。</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kern w:val="0"/>
          <w:sz w:val="32"/>
          <w:szCs w:val="32"/>
          <w:shd w:val="clear" w:color="auto" w:fill="FFFFFF"/>
        </w:rPr>
        <w:t>2.部门财政拨款支出情况。</w:t>
      </w:r>
      <w:r>
        <w:rPr>
          <w:rFonts w:ascii="仿宋_GB2312" w:eastAsia="仿宋_GB2312" w:hAnsi="仿宋" w:hint="eastAsia"/>
          <w:sz w:val="32"/>
          <w:szCs w:val="32"/>
        </w:rPr>
        <w:t>2022年本年支出合计1328.19万元，其中：基本支出981.39万元，占73.89%；项目支出346.80万元，占26.11%。</w:t>
      </w:r>
    </w:p>
    <w:p w:rsidR="003C6718" w:rsidRDefault="00E83E62">
      <w:pPr>
        <w:adjustRightInd w:val="0"/>
        <w:snapToGrid w:val="0"/>
        <w:spacing w:line="576" w:lineRule="exact"/>
        <w:ind w:firstLineChars="200" w:firstLine="643"/>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kern w:val="0"/>
          <w:sz w:val="32"/>
          <w:szCs w:val="32"/>
          <w:shd w:val="clear" w:color="auto" w:fill="FFFFFF"/>
        </w:rPr>
        <w:t>3.部门</w:t>
      </w:r>
      <w:r>
        <w:rPr>
          <w:rFonts w:eastAsia="仿宋_GB2312" w:hAnsi="仿宋_GB2312" w:cs="仿宋_GB2312" w:hint="eastAsia"/>
          <w:b/>
          <w:kern w:val="0"/>
          <w:sz w:val="32"/>
          <w:szCs w:val="32"/>
          <w:shd w:val="clear" w:color="auto" w:fill="FFFFFF"/>
        </w:rPr>
        <w:t>财政拨款结转结余情况。</w:t>
      </w:r>
      <w:r>
        <w:rPr>
          <w:rFonts w:ascii="仿宋_GB2312" w:eastAsia="仿宋_GB2312" w:hAnsi="仿宋" w:hint="eastAsia"/>
          <w:sz w:val="32"/>
          <w:szCs w:val="32"/>
        </w:rPr>
        <w:t>2022年末财政拨款结转结余2.87万元，其中基本支出结转1.1万元，项目支出结余1.77万元（2022年底财政已收回）。</w:t>
      </w:r>
    </w:p>
    <w:p w:rsidR="003C6718" w:rsidRDefault="00E83E62">
      <w:pPr>
        <w:adjustRightInd w:val="0"/>
        <w:snapToGrid w:val="0"/>
        <w:spacing w:line="576" w:lineRule="exact"/>
        <w:ind w:firstLineChars="200" w:firstLine="640"/>
        <w:contextualSpacing/>
        <w:jc w:val="left"/>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三、部门整体绩效分析</w:t>
      </w:r>
    </w:p>
    <w:p w:rsidR="003C6718" w:rsidRDefault="00E83E62">
      <w:pPr>
        <w:adjustRightInd w:val="0"/>
        <w:snapToGrid w:val="0"/>
        <w:spacing w:line="576" w:lineRule="exact"/>
        <w:ind w:firstLineChars="200" w:firstLine="643"/>
        <w:contextualSpacing/>
        <w:jc w:val="left"/>
        <w:rPr>
          <w:rFonts w:ascii="楷体_GB2312" w:eastAsia="楷体_GB2312" w:hAnsi="宋体" w:cs="宋体"/>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（一）部门预算项目绩效分析</w:t>
      </w:r>
    </w:p>
    <w:p w:rsidR="003C6718" w:rsidRDefault="00E83E62">
      <w:pPr>
        <w:adjustRightInd w:val="0"/>
        <w:snapToGrid w:val="0"/>
        <w:spacing w:line="576" w:lineRule="exact"/>
        <w:ind w:firstLineChars="200" w:firstLine="643"/>
        <w:contextualSpacing/>
        <w:rPr>
          <w:rFonts w:ascii="仿宋_GB2312" w:eastAsia="仿宋_GB2312" w:hAnsi="宋体" w:cs="宋体"/>
          <w:color w:val="FF0000"/>
          <w:kern w:val="0"/>
          <w:sz w:val="32"/>
          <w:szCs w:val="32"/>
          <w:shd w:val="clear" w:color="auto" w:fill="FFFFFF"/>
        </w:rPr>
      </w:pPr>
      <w:r>
        <w:rPr>
          <w:rFonts w:ascii="仿宋_GB2312" w:eastAsia="仿宋_GB2312" w:hAnsi="宋体" w:cs="宋体" w:hint="eastAsia"/>
          <w:b/>
          <w:kern w:val="0"/>
          <w:sz w:val="32"/>
          <w:szCs w:val="32"/>
          <w:shd w:val="clear" w:color="auto" w:fill="FFFFFF"/>
        </w:rPr>
        <w:t>1.人员类项目绩效分析。</w:t>
      </w:r>
      <w:r>
        <w:rPr>
          <w:rFonts w:ascii="仿宋_GB2312" w:eastAsia="仿宋_GB2312" w:hAnsi="宋体" w:cs="宋体" w:hint="eastAsia"/>
          <w:sz w:val="32"/>
          <w:szCs w:val="32"/>
          <w:shd w:val="clear" w:color="auto" w:fill="FFFFFF"/>
          <w:lang w:val="zh-CN"/>
        </w:rPr>
        <w:t>2022年预算人数51人</w:t>
      </w:r>
      <w:r>
        <w:rPr>
          <w:rFonts w:ascii="仿宋_GB2312" w:eastAsia="仿宋_GB2312" w:hAnsi="宋体" w:cs="宋体" w:hint="eastAsia"/>
          <w:kern w:val="0"/>
          <w:sz w:val="32"/>
          <w:szCs w:val="32"/>
          <w:shd w:val="clear" w:color="auto" w:fill="FFFFFF"/>
        </w:rPr>
        <w:t>，年初经市人大常委会批复人员经费预算574.99万元，年中追加预算263.52万元，调整后本年预算合计838.51万元；本年支出838.51万元，预算执行100%。其中，</w:t>
      </w:r>
      <w:r>
        <w:rPr>
          <w:rFonts w:ascii="仿宋_GB2312" w:eastAsia="仿宋_GB2312" w:hAnsi="宋体" w:cs="宋体" w:hint="eastAsia"/>
          <w:sz w:val="32"/>
          <w:szCs w:val="32"/>
          <w:shd w:val="clear" w:color="auto" w:fill="FFFFFF"/>
          <w:lang w:val="zh-CN"/>
        </w:rPr>
        <w:t>市国土空间规划中心预算人数38人</w:t>
      </w:r>
      <w:r>
        <w:rPr>
          <w:rFonts w:ascii="仿宋_GB2312" w:eastAsia="仿宋_GB2312" w:hAnsi="宋体" w:cs="宋体" w:hint="eastAsia"/>
          <w:kern w:val="0"/>
          <w:sz w:val="32"/>
          <w:szCs w:val="32"/>
          <w:shd w:val="clear" w:color="auto" w:fill="FFFFFF"/>
        </w:rPr>
        <w:t>，年初经市人大常委会批复人员经费预算424.64万元，年中追加预算203.24万元，调整后本年预算合计627.88万元，本年支出627.88万元，预算执行100%；</w:t>
      </w:r>
      <w:r>
        <w:rPr>
          <w:rFonts w:ascii="仿宋_GB2312" w:eastAsia="仿宋_GB2312" w:hAnsi="宋体" w:cs="宋体" w:hint="eastAsia"/>
          <w:sz w:val="32"/>
          <w:szCs w:val="32"/>
          <w:shd w:val="clear" w:color="auto" w:fill="FFFFFF"/>
          <w:lang w:val="zh-CN"/>
        </w:rPr>
        <w:t>经开区国土空间规划中心预</w:t>
      </w:r>
      <w:r>
        <w:rPr>
          <w:rFonts w:ascii="仿宋_GB2312" w:eastAsia="仿宋_GB2312" w:hAnsi="宋体" w:cs="宋体" w:hint="eastAsia"/>
          <w:sz w:val="32"/>
          <w:szCs w:val="32"/>
          <w:shd w:val="clear" w:color="auto" w:fill="FFFFFF"/>
          <w:lang w:val="zh-CN"/>
        </w:rPr>
        <w:lastRenderedPageBreak/>
        <w:t>算人数13人</w:t>
      </w:r>
      <w:r>
        <w:rPr>
          <w:rFonts w:ascii="仿宋_GB2312" w:eastAsia="仿宋_GB2312" w:hAnsi="宋体" w:cs="宋体" w:hint="eastAsia"/>
          <w:kern w:val="0"/>
          <w:sz w:val="32"/>
          <w:szCs w:val="32"/>
          <w:shd w:val="clear" w:color="auto" w:fill="FFFFFF"/>
        </w:rPr>
        <w:t>，年初经市人大常委会批复人员经费预算150.35万元，年中追加预算60.28万元，调整后本年预算合计210.63万元，本年支出210.63万元，预算执行100%。</w:t>
      </w:r>
    </w:p>
    <w:p w:rsidR="003C6718" w:rsidRDefault="00E83E62">
      <w:pPr>
        <w:adjustRightInd w:val="0"/>
        <w:snapToGrid w:val="0"/>
        <w:spacing w:line="576" w:lineRule="exact"/>
        <w:ind w:firstLineChars="200" w:firstLine="643"/>
        <w:contextualSpacing/>
        <w:rPr>
          <w:rFonts w:ascii="仿宋_GB2312" w:eastAsia="仿宋_GB2312" w:hAnsi="宋体" w:cs="宋体"/>
          <w:kern w:val="0"/>
          <w:sz w:val="32"/>
          <w:szCs w:val="32"/>
          <w:shd w:val="clear" w:color="auto" w:fill="FFFFFF"/>
        </w:rPr>
      </w:pPr>
      <w:r>
        <w:rPr>
          <w:rFonts w:ascii="仿宋_GB2312" w:eastAsia="仿宋_GB2312" w:hAnsi="宋体" w:cs="宋体" w:hint="eastAsia"/>
          <w:b/>
          <w:kern w:val="0"/>
          <w:sz w:val="32"/>
          <w:szCs w:val="32"/>
          <w:shd w:val="clear" w:color="auto" w:fill="FFFFFF"/>
        </w:rPr>
        <w:t>2.运转类项目绩效分析。</w:t>
      </w:r>
      <w:r>
        <w:rPr>
          <w:rFonts w:ascii="仿宋_GB2312" w:eastAsia="仿宋_GB2312" w:hAnsi="宋体" w:cs="宋体" w:hint="eastAsia"/>
          <w:kern w:val="0"/>
          <w:sz w:val="32"/>
          <w:szCs w:val="32"/>
          <w:shd w:val="clear" w:color="auto" w:fill="FFFFFF"/>
        </w:rPr>
        <w:t>2022年年初经市人大常委会批复公用经费预算91.16万元，本年支出91.16万元，预算执行100%。其中，市国土空间规划中心年初经市人大常委会批复公用经费预算66.99万元，本年支出66.99万元，预算执行100%；</w:t>
      </w:r>
      <w:r>
        <w:rPr>
          <w:rFonts w:ascii="仿宋_GB2312" w:eastAsia="仿宋_GB2312" w:hAnsi="宋体" w:cs="宋体" w:hint="eastAsia"/>
          <w:sz w:val="32"/>
          <w:szCs w:val="32"/>
          <w:shd w:val="clear" w:color="auto" w:fill="FFFFFF"/>
          <w:lang w:val="zh-CN"/>
        </w:rPr>
        <w:t>经开区国土空间规划中心</w:t>
      </w:r>
      <w:r>
        <w:rPr>
          <w:rFonts w:ascii="仿宋_GB2312" w:eastAsia="仿宋_GB2312" w:hAnsi="宋体" w:cs="宋体" w:hint="eastAsia"/>
          <w:kern w:val="0"/>
          <w:sz w:val="32"/>
          <w:szCs w:val="32"/>
          <w:shd w:val="clear" w:color="auto" w:fill="FFFFFF"/>
        </w:rPr>
        <w:t>年初经市人大常委会批复公用经费预算24.17万元，本年支出24.17万元，预算执行100%；</w:t>
      </w:r>
    </w:p>
    <w:p w:rsidR="003C6718" w:rsidRDefault="00E83E62">
      <w:pPr>
        <w:adjustRightInd w:val="0"/>
        <w:snapToGrid w:val="0"/>
        <w:spacing w:line="576" w:lineRule="exact"/>
        <w:ind w:firstLineChars="200" w:firstLine="643"/>
        <w:contextualSpacing/>
        <w:jc w:val="left"/>
        <w:rPr>
          <w:rFonts w:eastAsia="仿宋_GB2312"/>
          <w:b/>
          <w:sz w:val="32"/>
          <w:lang w:val="zh-CN"/>
        </w:rPr>
      </w:pPr>
      <w:r>
        <w:rPr>
          <w:rFonts w:ascii="仿宋_GB2312" w:eastAsia="仿宋_GB2312" w:hAnsi="宋体" w:cs="宋体" w:hint="eastAsia"/>
          <w:b/>
          <w:kern w:val="0"/>
          <w:sz w:val="32"/>
          <w:szCs w:val="32"/>
          <w:shd w:val="clear" w:color="auto" w:fill="FFFFFF"/>
        </w:rPr>
        <w:t>3.特定目标类项目绩效分析</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（1）部门绩效目标制定。</w:t>
      </w:r>
      <w:r>
        <w:rPr>
          <w:rFonts w:ascii="仿宋_GB2312" w:eastAsia="仿宋_GB2312" w:hAnsi="宋体" w:cs="宋体" w:hint="eastAsia"/>
          <w:kern w:val="0"/>
          <w:sz w:val="32"/>
          <w:szCs w:val="32"/>
          <w:shd w:val="clear" w:color="auto" w:fill="FFFFFF"/>
          <w:lang w:val="zh-CN"/>
        </w:rPr>
        <w:t>我中心202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年初部门整体预算绩效共设置</w:t>
      </w:r>
      <w:r>
        <w:rPr>
          <w:rFonts w:ascii="仿宋_GB2312" w:eastAsia="仿宋_GB2312" w:hAnsi="宋体" w:cs="宋体" w:hint="eastAsia"/>
          <w:kern w:val="0"/>
          <w:sz w:val="32"/>
          <w:szCs w:val="32"/>
          <w:shd w:val="clear" w:color="auto" w:fill="FFFFFF"/>
        </w:rPr>
        <w:t>4</w:t>
      </w:r>
      <w:r>
        <w:rPr>
          <w:rFonts w:ascii="仿宋_GB2312" w:eastAsia="仿宋_GB2312" w:hAnsi="宋体" w:cs="宋体" w:hint="eastAsia"/>
          <w:kern w:val="0"/>
          <w:sz w:val="32"/>
          <w:szCs w:val="32"/>
          <w:shd w:val="clear" w:color="auto" w:fill="FFFFFF"/>
          <w:lang w:val="zh-CN"/>
        </w:rPr>
        <w:t>个绩效目标，年初结转项目“规划设计专项资金”</w:t>
      </w:r>
      <w:r>
        <w:rPr>
          <w:rFonts w:ascii="仿宋_GB2312" w:eastAsia="仿宋_GB2312" w:hAnsi="宋体" w:cs="宋体" w:hint="eastAsia"/>
          <w:kern w:val="0"/>
          <w:sz w:val="32"/>
          <w:szCs w:val="32"/>
          <w:shd w:val="clear" w:color="auto" w:fill="FFFFFF"/>
        </w:rPr>
        <w:t>1个，年中追加预算项目一个“规划编制设计费”，</w:t>
      </w:r>
      <w:r>
        <w:rPr>
          <w:rFonts w:ascii="仿宋_GB2312" w:eastAsia="仿宋_GB2312" w:hAnsi="宋体" w:cs="宋体" w:hint="eastAsia"/>
          <w:kern w:val="0"/>
          <w:sz w:val="32"/>
          <w:szCs w:val="32"/>
          <w:shd w:val="clear" w:color="auto" w:fill="FFFFFF"/>
          <w:lang w:val="zh-CN"/>
        </w:rPr>
        <w:t>截止</w:t>
      </w:r>
      <w:r>
        <w:rPr>
          <w:rFonts w:ascii="仿宋_GB2312" w:eastAsia="仿宋_GB2312" w:hAnsi="宋体" w:cs="宋体" w:hint="eastAsia"/>
          <w:kern w:val="0"/>
          <w:sz w:val="32"/>
          <w:szCs w:val="32"/>
          <w:shd w:val="clear" w:color="auto" w:fill="FFFFFF"/>
        </w:rPr>
        <w:t>2022年底所设6个项目</w:t>
      </w:r>
      <w:r>
        <w:rPr>
          <w:rFonts w:ascii="仿宋_GB2312" w:eastAsia="仿宋_GB2312" w:hAnsi="宋体" w:cs="宋体" w:hint="eastAsia"/>
          <w:kern w:val="0"/>
          <w:sz w:val="32"/>
          <w:szCs w:val="32"/>
          <w:shd w:val="clear" w:color="auto" w:fill="FFFFFF"/>
          <w:lang w:val="zh-CN"/>
        </w:rPr>
        <w:t>目标均已完成。</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w:t>
      </w:r>
      <w:proofErr w:type="gramStart"/>
      <w:r>
        <w:rPr>
          <w:rFonts w:ascii="仿宋_GB2312" w:eastAsia="仿宋_GB2312" w:hAnsi="宋体" w:cs="宋体" w:hint="eastAsia"/>
          <w:kern w:val="0"/>
          <w:sz w:val="32"/>
          <w:szCs w:val="32"/>
          <w:shd w:val="clear" w:color="auto" w:fill="FFFFFF"/>
          <w:lang w:val="zh-CN"/>
        </w:rPr>
        <w:t>一</w:t>
      </w:r>
      <w:proofErr w:type="gramEnd"/>
      <w:r>
        <w:rPr>
          <w:rFonts w:ascii="仿宋_GB2312" w:eastAsia="仿宋_GB2312" w:hAnsi="宋体" w:cs="宋体" w:hint="eastAsia"/>
          <w:kern w:val="0"/>
          <w:sz w:val="32"/>
          <w:szCs w:val="32"/>
          <w:shd w:val="clear" w:color="auto" w:fill="FFFFFF"/>
          <w:lang w:val="zh-CN"/>
        </w:rPr>
        <w:t>：完成指标</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sz w:val="32"/>
        </w:rPr>
      </w:pPr>
      <w:r>
        <w:rPr>
          <w:rFonts w:ascii="仿宋_GB2312" w:eastAsia="仿宋_GB2312" w:hAnsi="宋体" w:cs="宋体" w:hint="eastAsia"/>
          <w:kern w:val="0"/>
          <w:sz w:val="32"/>
          <w:szCs w:val="32"/>
          <w:shd w:val="clear" w:color="auto" w:fill="FFFFFF"/>
          <w:lang w:val="zh-CN"/>
        </w:rPr>
        <w:t>数量指标:</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个专项规划“规划设计专项资金”；</w:t>
      </w:r>
      <w:proofErr w:type="gramStart"/>
      <w:r>
        <w:rPr>
          <w:rFonts w:ascii="仿宋_GB2312" w:eastAsia="仿宋_GB2312" w:hAnsi="宋体" w:cs="宋体" w:hint="eastAsia"/>
          <w:kern w:val="0"/>
          <w:sz w:val="32"/>
          <w:szCs w:val="32"/>
          <w:shd w:val="clear" w:color="auto" w:fill="FFFFFF"/>
          <w:lang w:val="zh-CN"/>
        </w:rPr>
        <w:t>召开市专委</w:t>
      </w:r>
      <w:proofErr w:type="gramEnd"/>
      <w:r>
        <w:rPr>
          <w:rFonts w:ascii="仿宋_GB2312" w:eastAsia="仿宋_GB2312" w:hAnsi="宋体" w:cs="宋体" w:hint="eastAsia"/>
          <w:kern w:val="0"/>
          <w:sz w:val="32"/>
          <w:szCs w:val="32"/>
          <w:shd w:val="clear" w:color="auto" w:fill="FFFFFF"/>
          <w:lang w:val="zh-CN"/>
        </w:rPr>
        <w:t>会</w:t>
      </w:r>
      <w:r>
        <w:rPr>
          <w:rFonts w:ascii="仿宋_GB2312" w:eastAsia="仿宋_GB2312" w:hint="eastAsia"/>
          <w:sz w:val="32"/>
          <w:szCs w:val="32"/>
        </w:rPr>
        <w:t>45</w:t>
      </w:r>
      <w:r>
        <w:rPr>
          <w:rFonts w:ascii="仿宋_GB2312" w:eastAsia="仿宋_GB2312" w:hAnsi="宋体" w:cs="宋体" w:hint="eastAsia"/>
          <w:kern w:val="0"/>
          <w:sz w:val="32"/>
          <w:szCs w:val="32"/>
          <w:shd w:val="clear" w:color="auto" w:fill="FFFFFF"/>
        </w:rPr>
        <w:t>期，</w:t>
      </w:r>
      <w:r>
        <w:rPr>
          <w:rFonts w:ascii="仿宋_GB2312" w:eastAsia="仿宋_GB2312" w:hAnsi="宋体" w:hint="eastAsia"/>
          <w:sz w:val="32"/>
        </w:rPr>
        <w:t>审查项目规划设计方案</w:t>
      </w:r>
      <w:r>
        <w:rPr>
          <w:rFonts w:ascii="仿宋_GB2312" w:eastAsia="仿宋_GB2312" w:hint="eastAsia"/>
          <w:sz w:val="32"/>
          <w:szCs w:val="32"/>
        </w:rPr>
        <w:t>160</w:t>
      </w:r>
      <w:r>
        <w:rPr>
          <w:rFonts w:ascii="仿宋_GB2312" w:eastAsia="仿宋_GB2312" w:hAnsi="宋体" w:hint="eastAsia"/>
          <w:sz w:val="32"/>
        </w:rPr>
        <w:t>个；</w:t>
      </w:r>
      <w:r>
        <w:rPr>
          <w:rFonts w:ascii="仿宋_GB2312" w:eastAsia="仿宋_GB2312" w:hAnsi="宋体" w:cs="宋体" w:hint="eastAsia"/>
          <w:kern w:val="0"/>
          <w:sz w:val="32"/>
          <w:szCs w:val="32"/>
          <w:shd w:val="clear" w:color="auto" w:fill="FFFFFF"/>
        </w:rPr>
        <w:t>筹备市</w:t>
      </w:r>
      <w:proofErr w:type="gramStart"/>
      <w:r>
        <w:rPr>
          <w:rFonts w:ascii="仿宋_GB2312" w:eastAsia="仿宋_GB2312" w:hAnsi="宋体" w:cs="宋体" w:hint="eastAsia"/>
          <w:kern w:val="0"/>
          <w:sz w:val="32"/>
          <w:szCs w:val="32"/>
          <w:shd w:val="clear" w:color="auto" w:fill="FFFFFF"/>
        </w:rPr>
        <w:t>规</w:t>
      </w:r>
      <w:proofErr w:type="gramEnd"/>
      <w:r>
        <w:rPr>
          <w:rFonts w:ascii="仿宋_GB2312" w:eastAsia="仿宋_GB2312" w:hAnsi="宋体" w:cs="宋体" w:hint="eastAsia"/>
          <w:kern w:val="0"/>
          <w:sz w:val="32"/>
          <w:szCs w:val="32"/>
          <w:shd w:val="clear" w:color="auto" w:fill="FFFFFF"/>
        </w:rPr>
        <w:t>委会16期</w:t>
      </w:r>
      <w:r>
        <w:rPr>
          <w:rFonts w:ascii="仿宋_GB2312" w:eastAsia="仿宋_GB2312" w:hAnsi="宋体" w:cs="宋体" w:hint="eastAsia"/>
          <w:kern w:val="0"/>
          <w:sz w:val="32"/>
          <w:szCs w:val="32"/>
          <w:shd w:val="clear" w:color="auto" w:fill="FFFFFF"/>
          <w:lang w:val="zh-CN"/>
        </w:rPr>
        <w:t>，</w:t>
      </w:r>
      <w:r>
        <w:rPr>
          <w:rFonts w:ascii="仿宋_GB2312" w:eastAsia="仿宋_GB2312" w:hAnsi="宋体" w:hint="eastAsia"/>
          <w:sz w:val="32"/>
        </w:rPr>
        <w:t>审议项目规划设计方案</w:t>
      </w:r>
      <w:r>
        <w:rPr>
          <w:rFonts w:ascii="仿宋_GB2312" w:eastAsia="仿宋_GB2312" w:hint="eastAsia"/>
          <w:sz w:val="32"/>
          <w:szCs w:val="32"/>
        </w:rPr>
        <w:t>80余</w:t>
      </w:r>
      <w:r>
        <w:rPr>
          <w:rFonts w:ascii="仿宋_GB2312" w:eastAsia="仿宋_GB2312" w:hAnsi="宋体" w:hint="eastAsia"/>
          <w:sz w:val="32"/>
        </w:rPr>
        <w:t>个；</w:t>
      </w:r>
      <w:r>
        <w:rPr>
          <w:rFonts w:ascii="仿宋_GB2312" w:eastAsia="仿宋_GB2312" w:hint="eastAsia"/>
          <w:sz w:val="32"/>
          <w:szCs w:val="32"/>
        </w:rPr>
        <w:t>召开9期工业项目方案技术审查会、完成对40个项目规划设计方案进行审查；</w:t>
      </w:r>
      <w:r>
        <w:rPr>
          <w:rFonts w:ascii="仿宋_GB2312" w:eastAsia="仿宋_GB2312" w:hAnsi="宋体" w:hint="eastAsia"/>
          <w:sz w:val="32"/>
        </w:rPr>
        <w:t>完成5个中心城区地块控制性详细规划调整；完成8项专项规划编制或调整；完成1个村乡村振兴工作。</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时效指标：按期完成率100%，按进度完成。</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lastRenderedPageBreak/>
        <w:t>成本指标：</w:t>
      </w:r>
      <w:proofErr w:type="gramStart"/>
      <w:r>
        <w:rPr>
          <w:rFonts w:ascii="仿宋_GB2312" w:eastAsia="仿宋_GB2312" w:hAnsi="宋体" w:cs="宋体" w:hint="eastAsia"/>
          <w:kern w:val="0"/>
          <w:sz w:val="32"/>
          <w:szCs w:val="32"/>
          <w:shd w:val="clear" w:color="auto" w:fill="FFFFFF"/>
          <w:lang w:val="zh-CN"/>
        </w:rPr>
        <w:t>我部门</w:t>
      </w:r>
      <w:proofErr w:type="gramEnd"/>
      <w:r>
        <w:rPr>
          <w:rFonts w:ascii="仿宋_GB2312" w:eastAsia="仿宋_GB2312" w:hAnsi="宋体" w:cs="宋体" w:hint="eastAsia"/>
          <w:kern w:val="0"/>
          <w:sz w:val="32"/>
          <w:szCs w:val="32"/>
          <w:shd w:val="clear" w:color="auto" w:fill="FFFFFF"/>
        </w:rPr>
        <w:t>6个项目成本支出389.15万元，涉及规</w:t>
      </w:r>
      <w:r>
        <w:rPr>
          <w:rFonts w:ascii="仿宋_GB2312" w:eastAsia="仿宋_GB2312" w:hAnsi="宋体" w:cs="宋体" w:hint="eastAsia"/>
          <w:kern w:val="0"/>
          <w:sz w:val="32"/>
          <w:szCs w:val="32"/>
          <w:shd w:val="clear" w:color="auto" w:fill="FFFFFF"/>
          <w:lang w:val="zh-CN"/>
        </w:rPr>
        <w:t>划编制设计费支出、网络运行维护费、租车差旅费、图纸打印办公费等，结余项目资金1.77万元，2022年底已由财政收回。</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目标二：效益指标</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社会效益指标：增强了城市规划的科学性和权威性，服务了广元城乡规划建设，做好了项目要素保障。</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目标三：满意度指标</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满意度指标：工作质量得到相关单位认可，助力了经济社会发展、城市建设和乡村振兴。</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（2）目标实现。</w:t>
      </w:r>
      <w:r>
        <w:rPr>
          <w:rFonts w:ascii="仿宋_GB2312" w:eastAsia="仿宋_GB2312" w:hAnsi="宋体" w:cs="宋体" w:hint="eastAsia"/>
          <w:kern w:val="0"/>
          <w:sz w:val="32"/>
          <w:szCs w:val="32"/>
          <w:shd w:val="clear" w:color="auto" w:fill="FFFFFF"/>
          <w:lang w:val="zh-CN"/>
        </w:rPr>
        <w:t>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年度部门整体支出绩效目标指标已全部完成。</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（3）支出控制。</w:t>
      </w:r>
      <w:r>
        <w:rPr>
          <w:rFonts w:ascii="仿宋_GB2312" w:eastAsia="仿宋_GB2312" w:hAnsi="宋体" w:cs="宋体" w:hint="eastAsia"/>
          <w:kern w:val="0"/>
          <w:sz w:val="32"/>
          <w:szCs w:val="32"/>
          <w:shd w:val="clear" w:color="auto" w:fill="FFFFFF"/>
          <w:lang w:val="zh-CN"/>
        </w:rPr>
        <w:t>与年初预算持平，无偏差。</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（4）及时处置。</w:t>
      </w:r>
      <w:r>
        <w:rPr>
          <w:rFonts w:ascii="仿宋_GB2312" w:eastAsia="仿宋_GB2312" w:hAnsi="宋体" w:cs="宋体" w:hint="eastAsia"/>
          <w:kern w:val="0"/>
          <w:sz w:val="32"/>
          <w:szCs w:val="32"/>
          <w:shd w:val="clear" w:color="auto" w:fill="FFFFFF"/>
          <w:lang w:val="zh-CN"/>
        </w:rPr>
        <w:t>在预算执行过程中未调整预算项目，年度预算执行收支平衡。</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（5）执行进度。</w:t>
      </w:r>
      <w:r>
        <w:rPr>
          <w:rFonts w:ascii="仿宋_GB2312" w:eastAsia="仿宋_GB2312" w:hAnsi="宋体" w:cs="宋体" w:hint="eastAsia"/>
          <w:kern w:val="0"/>
          <w:sz w:val="32"/>
          <w:szCs w:val="32"/>
          <w:shd w:val="clear" w:color="auto" w:fill="FFFFFF"/>
          <w:lang w:val="zh-CN"/>
        </w:rPr>
        <w:t>截止202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w:t>
      </w:r>
      <w:r>
        <w:rPr>
          <w:rFonts w:ascii="仿宋_GB2312" w:eastAsia="仿宋_GB2312" w:hAnsi="宋体" w:cs="宋体" w:hint="eastAsia"/>
          <w:kern w:val="0"/>
          <w:sz w:val="32"/>
          <w:szCs w:val="32"/>
          <w:shd w:val="clear" w:color="auto" w:fill="FFFFFF"/>
        </w:rPr>
        <w:t>12</w:t>
      </w:r>
      <w:r>
        <w:rPr>
          <w:rFonts w:ascii="仿宋_GB2312" w:eastAsia="仿宋_GB2312" w:hAnsi="宋体" w:cs="宋体" w:hint="eastAsia"/>
          <w:kern w:val="0"/>
          <w:sz w:val="32"/>
          <w:szCs w:val="32"/>
          <w:shd w:val="clear" w:color="auto" w:fill="FFFFFF"/>
          <w:lang w:val="zh-CN"/>
        </w:rPr>
        <w:t>月实际支出</w:t>
      </w:r>
      <w:r>
        <w:rPr>
          <w:rFonts w:ascii="仿宋_GB2312" w:eastAsia="仿宋_GB2312" w:hAnsi="宋体" w:cs="宋体" w:hint="eastAsia"/>
          <w:kern w:val="0"/>
          <w:sz w:val="32"/>
          <w:szCs w:val="32"/>
          <w:shd w:val="clear" w:color="auto" w:fill="FFFFFF"/>
        </w:rPr>
        <w:t>373.55</w:t>
      </w:r>
      <w:r>
        <w:rPr>
          <w:rFonts w:ascii="仿宋_GB2312" w:eastAsia="仿宋_GB2312" w:hAnsi="宋体" w:cs="宋体" w:hint="eastAsia"/>
          <w:kern w:val="0"/>
          <w:sz w:val="32"/>
          <w:szCs w:val="32"/>
          <w:shd w:val="clear" w:color="auto" w:fill="FFFFFF"/>
          <w:lang w:val="zh-CN"/>
        </w:rPr>
        <w:t>万元，支出进度达到</w:t>
      </w:r>
      <w:r>
        <w:rPr>
          <w:rFonts w:ascii="仿宋_GB2312" w:eastAsia="仿宋_GB2312" w:hAnsi="宋体" w:cs="宋体" w:hint="eastAsia"/>
          <w:kern w:val="0"/>
          <w:sz w:val="32"/>
          <w:szCs w:val="32"/>
          <w:shd w:val="clear" w:color="auto" w:fill="FFFFFF"/>
        </w:rPr>
        <w:t>99.41</w:t>
      </w:r>
      <w:r>
        <w:rPr>
          <w:rFonts w:ascii="仿宋_GB2312" w:eastAsia="仿宋_GB2312" w:hAnsi="宋体" w:cs="宋体" w:hint="eastAsia"/>
          <w:kern w:val="0"/>
          <w:sz w:val="32"/>
          <w:szCs w:val="32"/>
          <w:shd w:val="clear" w:color="auto" w:fill="FFFFFF"/>
          <w:lang w:val="zh-CN"/>
        </w:rPr>
        <w:t>%。因“规划设计专项资金”项目属于政府采购，需根据采购中标金额支付，结余</w:t>
      </w:r>
      <w:r>
        <w:rPr>
          <w:rFonts w:ascii="仿宋_GB2312" w:eastAsia="仿宋_GB2312" w:hAnsi="宋体" w:cs="宋体" w:hint="eastAsia"/>
          <w:kern w:val="0"/>
          <w:sz w:val="32"/>
          <w:szCs w:val="32"/>
          <w:shd w:val="clear" w:color="auto" w:fill="FFFFFF"/>
        </w:rPr>
        <w:t>1.77万元</w:t>
      </w:r>
      <w:r>
        <w:rPr>
          <w:rFonts w:ascii="仿宋_GB2312" w:eastAsia="仿宋_GB2312" w:hAnsi="宋体" w:cs="宋体" w:hint="eastAsia"/>
          <w:kern w:val="0"/>
          <w:sz w:val="32"/>
          <w:szCs w:val="32"/>
          <w:shd w:val="clear" w:color="auto" w:fill="FFFFFF"/>
          <w:lang w:val="zh-CN"/>
        </w:rPr>
        <w:t>。</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（6）预算完成情况。</w:t>
      </w:r>
      <w:r>
        <w:rPr>
          <w:rFonts w:ascii="仿宋_GB2312" w:eastAsia="仿宋_GB2312" w:hAnsi="宋体" w:cs="宋体" w:hint="eastAsia"/>
          <w:kern w:val="0"/>
          <w:sz w:val="32"/>
          <w:szCs w:val="32"/>
          <w:shd w:val="clear" w:color="auto" w:fill="FFFFFF"/>
          <w:lang w:val="zh-CN"/>
        </w:rPr>
        <w:t>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年初结转</w:t>
      </w:r>
      <w:r>
        <w:rPr>
          <w:rFonts w:ascii="仿宋_GB2312" w:eastAsia="仿宋_GB2312" w:hAnsi="宋体" w:cs="宋体" w:hint="eastAsia"/>
          <w:kern w:val="0"/>
          <w:sz w:val="32"/>
          <w:szCs w:val="32"/>
          <w:shd w:val="clear" w:color="auto" w:fill="FFFFFF"/>
        </w:rPr>
        <w:t>144.4万元，年初</w:t>
      </w:r>
      <w:r>
        <w:rPr>
          <w:rFonts w:ascii="仿宋_GB2312" w:eastAsia="仿宋_GB2312" w:hAnsi="宋体" w:cs="宋体" w:hint="eastAsia"/>
          <w:kern w:val="0"/>
          <w:sz w:val="32"/>
          <w:szCs w:val="32"/>
          <w:shd w:val="clear" w:color="auto" w:fill="FFFFFF"/>
          <w:lang w:val="zh-CN"/>
        </w:rPr>
        <w:t>预算</w:t>
      </w:r>
      <w:r>
        <w:rPr>
          <w:rFonts w:ascii="仿宋_GB2312" w:eastAsia="仿宋_GB2312" w:hAnsi="宋体" w:cs="宋体" w:hint="eastAsia"/>
          <w:kern w:val="0"/>
          <w:sz w:val="32"/>
          <w:szCs w:val="32"/>
          <w:shd w:val="clear" w:color="auto" w:fill="FFFFFF"/>
        </w:rPr>
        <w:t>52.13</w:t>
      </w:r>
      <w:r>
        <w:rPr>
          <w:rFonts w:ascii="仿宋_GB2312" w:eastAsia="仿宋_GB2312" w:hAnsi="宋体" w:cs="宋体" w:hint="eastAsia"/>
          <w:kern w:val="0"/>
          <w:sz w:val="32"/>
          <w:szCs w:val="32"/>
          <w:shd w:val="clear" w:color="auto" w:fill="FFFFFF"/>
          <w:lang w:val="zh-CN"/>
        </w:rPr>
        <w:t>万元，追加</w:t>
      </w:r>
      <w:r>
        <w:rPr>
          <w:rFonts w:ascii="仿宋_GB2312" w:eastAsia="仿宋_GB2312" w:hAnsi="宋体" w:cs="宋体" w:hint="eastAsia"/>
          <w:kern w:val="0"/>
          <w:sz w:val="32"/>
          <w:szCs w:val="32"/>
          <w:shd w:val="clear" w:color="auto" w:fill="FFFFFF"/>
        </w:rPr>
        <w:t>179.22</w:t>
      </w:r>
      <w:r>
        <w:rPr>
          <w:rFonts w:ascii="仿宋_GB2312" w:eastAsia="仿宋_GB2312" w:hAnsi="宋体" w:cs="宋体" w:hint="eastAsia"/>
          <w:kern w:val="0"/>
          <w:sz w:val="32"/>
          <w:szCs w:val="32"/>
          <w:shd w:val="clear" w:color="auto" w:fill="FFFFFF"/>
          <w:lang w:val="zh-CN"/>
        </w:rPr>
        <w:t>万元。实际支出</w:t>
      </w:r>
      <w:r>
        <w:rPr>
          <w:rFonts w:ascii="仿宋_GB2312" w:eastAsia="仿宋_GB2312" w:hAnsi="宋体" w:cs="宋体" w:hint="eastAsia"/>
          <w:kern w:val="0"/>
          <w:sz w:val="32"/>
          <w:szCs w:val="32"/>
          <w:shd w:val="clear" w:color="auto" w:fill="FFFFFF"/>
        </w:rPr>
        <w:t>373.55</w:t>
      </w:r>
      <w:r>
        <w:rPr>
          <w:rFonts w:ascii="仿宋_GB2312" w:eastAsia="仿宋_GB2312" w:hAnsi="宋体" w:cs="宋体" w:hint="eastAsia"/>
          <w:kern w:val="0"/>
          <w:sz w:val="32"/>
          <w:szCs w:val="32"/>
          <w:shd w:val="clear" w:color="auto" w:fill="FFFFFF"/>
          <w:lang w:val="zh-CN"/>
        </w:rPr>
        <w:t>万元，总体支出执行进度</w:t>
      </w:r>
      <w:r>
        <w:rPr>
          <w:rFonts w:ascii="仿宋_GB2312" w:eastAsia="仿宋_GB2312" w:hAnsi="宋体" w:cs="宋体" w:hint="eastAsia"/>
          <w:kern w:val="0"/>
          <w:sz w:val="32"/>
          <w:szCs w:val="32"/>
          <w:shd w:val="clear" w:color="auto" w:fill="FFFFFF"/>
        </w:rPr>
        <w:t>99.41</w:t>
      </w:r>
      <w:r>
        <w:rPr>
          <w:rFonts w:ascii="仿宋_GB2312" w:eastAsia="仿宋_GB2312" w:hAnsi="宋体" w:cs="宋体" w:hint="eastAsia"/>
          <w:kern w:val="0"/>
          <w:sz w:val="32"/>
          <w:szCs w:val="32"/>
          <w:shd w:val="clear" w:color="auto" w:fill="FFFFFF"/>
          <w:lang w:val="zh-CN"/>
        </w:rPr>
        <w:t>%。</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b/>
          <w:kern w:val="0"/>
          <w:sz w:val="32"/>
          <w:szCs w:val="32"/>
          <w:shd w:val="clear" w:color="auto" w:fill="FFFFFF"/>
          <w:lang w:val="zh-CN"/>
        </w:rPr>
        <w:t>（7）资金结余率。</w:t>
      </w:r>
      <w:r>
        <w:rPr>
          <w:rFonts w:ascii="仿宋_GB2312" w:eastAsia="仿宋_GB2312" w:hAnsi="宋体" w:cs="宋体" w:hint="eastAsia"/>
          <w:kern w:val="0"/>
          <w:sz w:val="32"/>
          <w:szCs w:val="32"/>
          <w:shd w:val="clear" w:color="auto" w:fill="FFFFFF"/>
          <w:lang w:val="zh-CN"/>
        </w:rPr>
        <w:t>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年我中心部门预算项目</w:t>
      </w:r>
      <w:r>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lang w:val="zh-CN"/>
        </w:rPr>
        <w:t>个，包含公用经费、政府购买服务，资金结余率</w:t>
      </w:r>
      <w:r>
        <w:rPr>
          <w:rFonts w:ascii="仿宋_GB2312" w:eastAsia="仿宋_GB2312" w:hAnsi="宋体" w:cs="宋体" w:hint="eastAsia"/>
          <w:kern w:val="0"/>
          <w:sz w:val="32"/>
          <w:szCs w:val="32"/>
          <w:shd w:val="clear" w:color="auto" w:fill="FFFFFF"/>
        </w:rPr>
        <w:t>0</w:t>
      </w:r>
      <w:r>
        <w:rPr>
          <w:rFonts w:ascii="仿宋_GB2312" w:eastAsia="仿宋_GB2312" w:hAnsi="宋体" w:cs="宋体" w:hint="eastAsia"/>
          <w:kern w:val="0"/>
          <w:sz w:val="32"/>
          <w:szCs w:val="32"/>
          <w:shd w:val="clear" w:color="auto" w:fill="FFFFFF"/>
          <w:lang w:val="zh-CN"/>
        </w:rPr>
        <w:t>。</w:t>
      </w:r>
    </w:p>
    <w:p w:rsidR="003C6718" w:rsidRDefault="00E83E62">
      <w:pPr>
        <w:adjustRightInd w:val="0"/>
        <w:snapToGrid w:val="0"/>
        <w:spacing w:line="576" w:lineRule="exact"/>
        <w:ind w:firstLineChars="200" w:firstLine="643"/>
        <w:contextualSpacing/>
        <w:jc w:val="left"/>
        <w:rPr>
          <w:rFonts w:ascii="仿宋_GB2312" w:eastAsia="仿宋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lastRenderedPageBreak/>
        <w:t>（二）部门整体履职绩效分析。</w:t>
      </w:r>
      <w:r>
        <w:rPr>
          <w:rFonts w:ascii="仿宋_GB2312" w:eastAsia="仿宋_GB2312" w:hAnsi="宋体" w:cs="宋体" w:hint="eastAsia"/>
          <w:kern w:val="0"/>
          <w:sz w:val="32"/>
          <w:szCs w:val="32"/>
          <w:shd w:val="clear" w:color="auto" w:fill="FFFFFF"/>
          <w:lang w:val="zh-CN"/>
        </w:rPr>
        <w:t>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我中心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（三）结果应用情况</w:t>
      </w:r>
    </w:p>
    <w:p w:rsidR="003C6718" w:rsidRDefault="00E83E62">
      <w:pPr>
        <w:widowControl/>
        <w:adjustRightInd w:val="0"/>
        <w:snapToGrid w:val="0"/>
        <w:spacing w:line="576" w:lineRule="exact"/>
        <w:ind w:firstLineChars="200" w:firstLine="643"/>
        <w:contextualSpacing/>
        <w:jc w:val="left"/>
        <w:rPr>
          <w:rFonts w:ascii="仿宋_GB2312" w:eastAsia="仿宋_GB2312" w:cs="仿宋_GB2312"/>
          <w:kern w:val="0"/>
          <w:sz w:val="32"/>
          <w:szCs w:val="32"/>
        </w:rPr>
      </w:pPr>
      <w:r>
        <w:rPr>
          <w:rFonts w:ascii="仿宋_GB2312" w:eastAsia="仿宋_GB2312" w:cs="仿宋_GB2312" w:hint="eastAsia"/>
          <w:b/>
          <w:kern w:val="0"/>
          <w:sz w:val="32"/>
          <w:szCs w:val="32"/>
        </w:rPr>
        <w:t>1.内部应用。</w:t>
      </w:r>
      <w:r>
        <w:rPr>
          <w:rFonts w:ascii="仿宋_GB2312" w:eastAsia="仿宋_GB2312" w:cs="仿宋_GB2312" w:hint="eastAsia"/>
          <w:kern w:val="0"/>
          <w:sz w:val="32"/>
          <w:szCs w:val="32"/>
        </w:rPr>
        <w:t>通过强化预算编制和执行，规范项目实施。全面完成各项目标任务，助推国土空间规划编制管理工作，进一步提升城市规划建设水平。</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仿宋_GB2312" w:eastAsia="仿宋_GB2312" w:cs="仿宋_GB2312" w:hint="eastAsia"/>
          <w:b/>
          <w:kern w:val="0"/>
          <w:sz w:val="32"/>
          <w:szCs w:val="32"/>
        </w:rPr>
        <w:t>2.公开情况。</w:t>
      </w:r>
      <w:r>
        <w:rPr>
          <w:rFonts w:ascii="仿宋_GB2312" w:eastAsia="仿宋_GB2312" w:cs="仿宋_GB2312" w:hint="eastAsia"/>
          <w:kern w:val="0"/>
          <w:sz w:val="32"/>
          <w:szCs w:val="32"/>
        </w:rPr>
        <w:t>2022年部门预算及绩效信息按照市财政要求，按时在单位</w:t>
      </w:r>
      <w:proofErr w:type="gramStart"/>
      <w:r>
        <w:rPr>
          <w:rFonts w:ascii="仿宋_GB2312" w:eastAsia="仿宋_GB2312" w:cs="仿宋_GB2312" w:hint="eastAsia"/>
          <w:kern w:val="0"/>
          <w:sz w:val="32"/>
          <w:szCs w:val="32"/>
        </w:rPr>
        <w:t>官网予以</w:t>
      </w:r>
      <w:proofErr w:type="gramEnd"/>
      <w:r>
        <w:rPr>
          <w:rFonts w:ascii="仿宋_GB2312" w:eastAsia="仿宋_GB2312" w:cs="仿宋_GB2312" w:hint="eastAsia"/>
          <w:kern w:val="0"/>
          <w:sz w:val="32"/>
          <w:szCs w:val="32"/>
        </w:rPr>
        <w:t>公开。2022年预算编制说明在2021年3月04日公开。2022年决算编制说明尚未公开。</w:t>
      </w:r>
    </w:p>
    <w:p w:rsidR="003C6718" w:rsidRDefault="00E83E62">
      <w:pPr>
        <w:widowControl/>
        <w:adjustRightInd w:val="0"/>
        <w:snapToGrid w:val="0"/>
        <w:spacing w:line="576"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（四）自评质量。</w:t>
      </w:r>
      <w:r>
        <w:rPr>
          <w:rFonts w:ascii="仿宋_GB2312" w:eastAsia="仿宋_GB2312" w:cs="仿宋_GB2312" w:hint="eastAsia"/>
          <w:kern w:val="0"/>
          <w:sz w:val="32"/>
          <w:szCs w:val="32"/>
        </w:rPr>
        <w:t>广元市国土空间规划编制研究中心部门整体支出自评得分与</w:t>
      </w:r>
      <w:proofErr w:type="gramStart"/>
      <w:r>
        <w:rPr>
          <w:rFonts w:ascii="仿宋_GB2312" w:eastAsia="仿宋_GB2312" w:cs="仿宋_GB2312" w:hint="eastAsia"/>
          <w:kern w:val="0"/>
          <w:sz w:val="32"/>
          <w:szCs w:val="32"/>
        </w:rPr>
        <w:t>评价组抽查</w:t>
      </w:r>
      <w:proofErr w:type="gramEnd"/>
      <w:r>
        <w:rPr>
          <w:rFonts w:ascii="仿宋_GB2312" w:eastAsia="仿宋_GB2312" w:cs="仿宋_GB2312" w:hint="eastAsia"/>
          <w:kern w:val="0"/>
          <w:sz w:val="32"/>
          <w:szCs w:val="32"/>
        </w:rPr>
        <w:t>得分差异在5%以内。</w:t>
      </w:r>
    </w:p>
    <w:p w:rsidR="003C6718" w:rsidRDefault="00E83E62">
      <w:pPr>
        <w:adjustRightInd w:val="0"/>
        <w:snapToGrid w:val="0"/>
        <w:spacing w:line="576" w:lineRule="exact"/>
        <w:ind w:firstLineChars="200" w:firstLine="640"/>
        <w:contextualSpacing/>
        <w:jc w:val="left"/>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t>四、评价结论及建议</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（一）评价结论。</w:t>
      </w:r>
      <w:r>
        <w:rPr>
          <w:rFonts w:ascii="仿宋_GB2312" w:eastAsia="仿宋_GB2312" w:hAnsi="宋体" w:cs="宋体" w:hint="eastAsia"/>
          <w:kern w:val="0"/>
          <w:sz w:val="32"/>
          <w:szCs w:val="32"/>
          <w:shd w:val="clear" w:color="auto" w:fill="FFFFFF"/>
          <w:lang w:val="zh-CN"/>
        </w:rPr>
        <w:t>总体来说，我中心202</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lang w:val="zh-CN"/>
        </w:rPr>
        <w:t>年部门整体支出情况良好，项目决策符合国家政策方针，管理符合相关制度。从预算到执行和收入、支出等，都严格按相关制度要求进行，全年收支平衡。有效保证了机构运转，圆满完成了上级下达的目标任务。</w:t>
      </w:r>
    </w:p>
    <w:p w:rsidR="003C6718" w:rsidRDefault="00E83E62">
      <w:pPr>
        <w:adjustRightInd w:val="0"/>
        <w:snapToGrid w:val="0"/>
        <w:spacing w:line="576" w:lineRule="exact"/>
        <w:ind w:left="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（二）存在问题</w:t>
      </w:r>
    </w:p>
    <w:p w:rsidR="003C6718" w:rsidRDefault="00E83E62">
      <w:pPr>
        <w:widowControl/>
        <w:adjustRightInd w:val="0"/>
        <w:snapToGrid w:val="0"/>
        <w:spacing w:line="576" w:lineRule="exact"/>
        <w:ind w:firstLineChars="200" w:firstLine="640"/>
        <w:contextualSpacing/>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1.部分绩效指标及目标值有待进一步细化和量化。</w:t>
      </w:r>
    </w:p>
    <w:p w:rsidR="003C6718" w:rsidRDefault="00E83E62">
      <w:pPr>
        <w:widowControl/>
        <w:adjustRightInd w:val="0"/>
        <w:snapToGrid w:val="0"/>
        <w:spacing w:line="576" w:lineRule="exact"/>
        <w:ind w:firstLineChars="200" w:firstLine="640"/>
        <w:contextualSpacing/>
        <w:jc w:val="left"/>
        <w:rPr>
          <w:rFonts w:ascii="仿宋_GB2312" w:eastAsia="仿宋_GB2312" w:cs="仿宋_GB2312"/>
          <w:kern w:val="0"/>
          <w:sz w:val="32"/>
          <w:szCs w:val="32"/>
        </w:rPr>
      </w:pPr>
      <w:r>
        <w:rPr>
          <w:rFonts w:ascii="仿宋_GB2312" w:eastAsia="仿宋_GB2312" w:cs="仿宋_GB2312" w:hint="eastAsia"/>
          <w:kern w:val="0"/>
          <w:sz w:val="32"/>
          <w:szCs w:val="32"/>
        </w:rPr>
        <w:t>2.尚未针对绩效考评制定比较明确的实施细则，有待进一步完善。</w:t>
      </w:r>
    </w:p>
    <w:p w:rsidR="003C6718" w:rsidRDefault="00E83E62">
      <w:pPr>
        <w:spacing w:line="576"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3.绩效评价工作仍然存在财务</w:t>
      </w:r>
      <w:proofErr w:type="gramStart"/>
      <w:r>
        <w:rPr>
          <w:rFonts w:ascii="仿宋_GB2312" w:eastAsia="仿宋_GB2312" w:cs="仿宋_GB2312" w:hint="eastAsia"/>
          <w:kern w:val="0"/>
          <w:sz w:val="32"/>
          <w:szCs w:val="32"/>
        </w:rPr>
        <w:t>热业务冷</w:t>
      </w:r>
      <w:proofErr w:type="gramEnd"/>
      <w:r>
        <w:rPr>
          <w:rFonts w:ascii="仿宋_GB2312" w:eastAsia="仿宋_GB2312" w:cs="仿宋_GB2312" w:hint="eastAsia"/>
          <w:kern w:val="0"/>
          <w:sz w:val="32"/>
          <w:szCs w:val="32"/>
        </w:rPr>
        <w:t>的现象，有待进一步明确细化部门内部分工，理顺部门内部绩效工作机制。</w:t>
      </w:r>
    </w:p>
    <w:p w:rsidR="003C6718" w:rsidRDefault="00E83E62">
      <w:pPr>
        <w:adjustRightInd w:val="0"/>
        <w:snapToGrid w:val="0"/>
        <w:spacing w:line="576" w:lineRule="exact"/>
        <w:ind w:firstLineChars="200" w:firstLine="643"/>
        <w:contextualSpacing/>
        <w:jc w:val="left"/>
        <w:rPr>
          <w:rFonts w:ascii="楷体_GB2312" w:eastAsia="楷体_GB2312" w:hAnsi="楷体_GB2312" w:cs="楷体_GB2312"/>
          <w:b/>
          <w:kern w:val="0"/>
          <w:sz w:val="32"/>
          <w:szCs w:val="32"/>
          <w:shd w:val="clear" w:color="auto" w:fill="FFFFFF"/>
          <w:lang w:val="zh-CN"/>
        </w:rPr>
      </w:pPr>
      <w:r>
        <w:rPr>
          <w:rFonts w:ascii="楷体_GB2312" w:eastAsia="楷体_GB2312" w:hAnsi="楷体_GB2312" w:cs="楷体_GB2312" w:hint="eastAsia"/>
          <w:b/>
          <w:kern w:val="0"/>
          <w:sz w:val="32"/>
          <w:szCs w:val="32"/>
          <w:shd w:val="clear" w:color="auto" w:fill="FFFFFF"/>
          <w:lang w:val="zh-CN"/>
        </w:rPr>
        <w:t>（三）改进建议</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cs="仿宋_GB2312" w:hint="eastAsia"/>
          <w:kern w:val="0"/>
          <w:sz w:val="32"/>
          <w:szCs w:val="32"/>
        </w:rPr>
        <w:t>1.</w:t>
      </w:r>
      <w:r>
        <w:rPr>
          <w:rFonts w:ascii="仿宋_GB2312" w:eastAsia="仿宋_GB2312" w:hAnsi="宋体" w:cs="宋体"/>
          <w:kern w:val="0"/>
          <w:sz w:val="32"/>
          <w:szCs w:val="32"/>
          <w:shd w:val="clear" w:color="auto" w:fill="FFFFFF"/>
        </w:rPr>
        <w:t>科学合理地设置绩效指标，提高预算绩效指标的针对性和可测性，充分发挥预算绩效目标管理的导向作用。</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cs="仿宋_GB2312" w:hint="eastAsia"/>
          <w:kern w:val="0"/>
          <w:sz w:val="32"/>
          <w:szCs w:val="32"/>
        </w:rPr>
        <w:t>2.</w:t>
      </w:r>
      <w:r>
        <w:rPr>
          <w:rFonts w:ascii="仿宋_GB2312" w:eastAsia="仿宋_GB2312" w:hAnsi="宋体" w:cs="宋体"/>
          <w:kern w:val="0"/>
          <w:sz w:val="32"/>
          <w:szCs w:val="32"/>
          <w:shd w:val="clear" w:color="auto" w:fill="FFFFFF"/>
        </w:rPr>
        <w:t>将预算编制与部门工作有机结合，进一步强化预算执行，提升财政资金使用效益。</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pPr>
      <w:r>
        <w:rPr>
          <w:rFonts w:ascii="仿宋_GB2312" w:eastAsia="仿宋_GB2312" w:cs="仿宋_GB2312" w:hint="eastAsia"/>
          <w:kern w:val="0"/>
          <w:sz w:val="32"/>
          <w:szCs w:val="32"/>
        </w:rPr>
        <w:t>3.</w:t>
      </w:r>
      <w:r>
        <w:rPr>
          <w:rFonts w:ascii="仿宋_GB2312" w:eastAsia="仿宋_GB2312" w:hAnsi="宋体" w:cs="宋体"/>
          <w:kern w:val="0"/>
          <w:sz w:val="32"/>
          <w:szCs w:val="32"/>
          <w:shd w:val="clear" w:color="auto" w:fill="FFFFFF"/>
        </w:rPr>
        <w:t>建立和</w:t>
      </w:r>
      <w:proofErr w:type="gramStart"/>
      <w:r>
        <w:rPr>
          <w:rFonts w:ascii="仿宋_GB2312" w:eastAsia="仿宋_GB2312" w:hAnsi="宋体" w:cs="宋体"/>
          <w:kern w:val="0"/>
          <w:sz w:val="32"/>
          <w:szCs w:val="32"/>
          <w:shd w:val="clear" w:color="auto" w:fill="FFFFFF"/>
        </w:rPr>
        <w:t>完善部门</w:t>
      </w:r>
      <w:proofErr w:type="gramEnd"/>
      <w:r>
        <w:rPr>
          <w:rFonts w:ascii="仿宋_GB2312" w:eastAsia="仿宋_GB2312" w:hAnsi="宋体" w:cs="宋体"/>
          <w:kern w:val="0"/>
          <w:sz w:val="32"/>
          <w:szCs w:val="32"/>
          <w:shd w:val="clear" w:color="auto" w:fill="FFFFFF"/>
        </w:rPr>
        <w:t>整体支出绩效考评实施细则，提高预算绩效管理水平。</w:t>
      </w:r>
    </w:p>
    <w:p w:rsidR="003C6718" w:rsidRDefault="00E83E62">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rPr>
        <w:sectPr w:rsidR="003C6718">
          <w:footerReference w:type="default" r:id="rId17"/>
          <w:footerReference w:type="first" r:id="rId18"/>
          <w:pgSz w:w="11906" w:h="16838"/>
          <w:pgMar w:top="2098" w:right="1474" w:bottom="1984" w:left="1587" w:header="851" w:footer="1559" w:gutter="0"/>
          <w:pgNumType w:start="1"/>
          <w:cols w:space="0"/>
          <w:docGrid w:type="lines" w:linePitch="312"/>
        </w:sectPr>
      </w:pPr>
      <w:r>
        <w:rPr>
          <w:rFonts w:ascii="仿宋_GB2312" w:eastAsia="仿宋_GB2312" w:cs="仿宋_GB2312" w:hint="eastAsia"/>
          <w:kern w:val="0"/>
          <w:sz w:val="32"/>
          <w:szCs w:val="32"/>
        </w:rPr>
        <w:t>4.</w:t>
      </w:r>
      <w:r>
        <w:rPr>
          <w:rFonts w:ascii="仿宋_GB2312" w:eastAsia="仿宋_GB2312" w:hAnsi="宋体" w:cs="宋体"/>
          <w:kern w:val="0"/>
          <w:sz w:val="32"/>
          <w:szCs w:val="32"/>
          <w:shd w:val="clear" w:color="auto" w:fill="FFFFFF"/>
        </w:rPr>
        <w:t>做好基础信息的收集和分析工作，建立相关数据库，为绩效指标值的设置提供有益参考。</w:t>
      </w:r>
      <w:bookmarkEnd w:id="166"/>
    </w:p>
    <w:p w:rsidR="003C6718" w:rsidRDefault="003C6718">
      <w:pPr>
        <w:widowControl/>
        <w:adjustRightInd w:val="0"/>
        <w:snapToGrid w:val="0"/>
        <w:spacing w:line="20" w:lineRule="exact"/>
        <w:ind w:firstLineChars="200" w:firstLine="880"/>
        <w:contextualSpacing/>
        <w:jc w:val="left"/>
        <w:rPr>
          <w:rFonts w:ascii="方正小标宋简体" w:eastAsia="方正小标宋简体" w:hAnsi="方正小标宋简体" w:cs="方正小标宋简体"/>
          <w:color w:val="000000"/>
          <w:kern w:val="0"/>
          <w:sz w:val="44"/>
          <w:szCs w:val="44"/>
        </w:rPr>
      </w:pPr>
    </w:p>
    <w:p w:rsidR="003C6718" w:rsidRDefault="003C6718">
      <w:pPr>
        <w:widowControl/>
        <w:adjustRightInd w:val="0"/>
        <w:snapToGrid w:val="0"/>
        <w:spacing w:line="20" w:lineRule="exact"/>
        <w:ind w:firstLineChars="200" w:firstLine="880"/>
        <w:contextualSpacing/>
        <w:jc w:val="left"/>
        <w:rPr>
          <w:rFonts w:ascii="方正小标宋简体" w:eastAsia="方正小标宋简体" w:hAnsi="方正小标宋简体" w:cs="方正小标宋简体"/>
          <w:color w:val="000000"/>
          <w:kern w:val="0"/>
          <w:sz w:val="44"/>
          <w:szCs w:val="44"/>
        </w:rPr>
      </w:pPr>
    </w:p>
    <w:p w:rsidR="003C6718" w:rsidRDefault="00E83E62">
      <w:pPr>
        <w:widowControl/>
        <w:adjustRightInd w:val="0"/>
        <w:snapToGrid w:val="0"/>
        <w:spacing w:line="576" w:lineRule="exact"/>
        <w:contextualSpacing/>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部门整体支出绩效目标自评表（2022年度）</w:t>
      </w:r>
    </w:p>
    <w:tbl>
      <w:tblPr>
        <w:tblW w:w="21783" w:type="dxa"/>
        <w:tblInd w:w="93" w:type="dxa"/>
        <w:tblLayout w:type="fixed"/>
        <w:tblLook w:val="04A0"/>
      </w:tblPr>
      <w:tblGrid>
        <w:gridCol w:w="717"/>
        <w:gridCol w:w="2042"/>
        <w:gridCol w:w="2202"/>
        <w:gridCol w:w="2430"/>
        <w:gridCol w:w="236"/>
        <w:gridCol w:w="1558"/>
        <w:gridCol w:w="236"/>
        <w:gridCol w:w="1273"/>
        <w:gridCol w:w="2217"/>
        <w:gridCol w:w="115"/>
        <w:gridCol w:w="1750"/>
        <w:gridCol w:w="2858"/>
        <w:gridCol w:w="7"/>
        <w:gridCol w:w="845"/>
        <w:gridCol w:w="240"/>
        <w:gridCol w:w="1354"/>
        <w:gridCol w:w="240"/>
        <w:gridCol w:w="1463"/>
      </w:tblGrid>
      <w:tr w:rsidR="003C6718" w:rsidTr="004670AB">
        <w:trPr>
          <w:trHeight w:val="425"/>
        </w:trPr>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部门名称</w:t>
            </w:r>
          </w:p>
        </w:tc>
        <w:tc>
          <w:tcPr>
            <w:tcW w:w="1902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广元市国土空间规划编制研究中心</w:t>
            </w:r>
          </w:p>
        </w:tc>
      </w:tr>
      <w:tr w:rsidR="003C6718" w:rsidTr="004670AB">
        <w:trPr>
          <w:trHeight w:val="425"/>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年度</w:t>
            </w:r>
            <w:r>
              <w:rPr>
                <w:rFonts w:ascii="仿宋_GB2312" w:eastAsia="仿宋_GB2312" w:hAnsi="仿宋_GB2312" w:cs="仿宋_GB2312" w:hint="eastAsia"/>
                <w:color w:val="000000"/>
                <w:kern w:val="0"/>
                <w:sz w:val="24"/>
                <w:lang/>
              </w:rPr>
              <w:br/>
              <w:t>主要</w:t>
            </w:r>
            <w:r>
              <w:rPr>
                <w:rFonts w:ascii="仿宋_GB2312" w:eastAsia="仿宋_GB2312" w:hAnsi="仿宋_GB2312" w:cs="仿宋_GB2312" w:hint="eastAsia"/>
                <w:color w:val="000000"/>
                <w:kern w:val="0"/>
                <w:sz w:val="24"/>
                <w:lang/>
              </w:rPr>
              <w:br/>
              <w:t>任务</w:t>
            </w: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任务名称</w:t>
            </w:r>
          </w:p>
        </w:tc>
        <w:tc>
          <w:tcPr>
            <w:tcW w:w="46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主要内容</w:t>
            </w:r>
          </w:p>
        </w:tc>
        <w:tc>
          <w:tcPr>
            <w:tcW w:w="73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预算金额（万元）</w:t>
            </w:r>
          </w:p>
        </w:tc>
        <w:tc>
          <w:tcPr>
            <w:tcW w:w="70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实际执行（万元）</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46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总额</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财政拨款</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其他资金</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总额</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财政拨款</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其他资金</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rPr>
              <w:t>规委会专委</w:t>
            </w:r>
            <w:proofErr w:type="gramEnd"/>
            <w:r>
              <w:rPr>
                <w:rFonts w:ascii="仿宋_GB2312" w:eastAsia="仿宋_GB2312" w:hAnsi="仿宋_GB2312" w:cs="仿宋_GB2312" w:hint="eastAsia"/>
                <w:color w:val="000000"/>
                <w:kern w:val="0"/>
                <w:sz w:val="24"/>
                <w:lang/>
              </w:rPr>
              <w:t>会工作经费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rPr>
              <w:t>召开市专委</w:t>
            </w:r>
            <w:proofErr w:type="gramEnd"/>
            <w:r>
              <w:rPr>
                <w:rFonts w:ascii="仿宋_GB2312" w:eastAsia="仿宋_GB2312" w:hAnsi="仿宋_GB2312" w:cs="仿宋_GB2312" w:hint="eastAsia"/>
                <w:color w:val="000000"/>
                <w:kern w:val="0"/>
                <w:sz w:val="24"/>
                <w:lang/>
              </w:rPr>
              <w:t>会、筹备市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委会的工作经费</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29.5</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29.5</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29.5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29.5</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国土空间规划编制工作经费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开展国土空间规划编制的工作经费</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乡村振兴工作经费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乡村振兴驻村工作人员工作经费</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1.82</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1.82</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1.82</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1.82</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工业项目方案技术审查工作经费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召开工业项目方案技术审查会的工作经费</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0.81</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0.81</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0.81</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0.81</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规划编制设计费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开展规划编制的技术服务费用</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179.216</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179.216</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179.216</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179.216</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规划设计专项资金</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开展历史文化名称保护规划方案修编和老城更新规划的编制经费</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160</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160</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Pr="00E83E62" w:rsidRDefault="00E83E62">
            <w:pPr>
              <w:widowControl/>
              <w:spacing w:line="280" w:lineRule="exact"/>
              <w:jc w:val="center"/>
              <w:textAlignment w:val="center"/>
              <w:rPr>
                <w:rFonts w:ascii="仿宋_GB2312" w:eastAsia="仿宋_GB2312" w:hAnsi="仿宋_GB2312" w:cs="仿宋_GB2312"/>
                <w:color w:val="000000"/>
                <w:kern w:val="0"/>
                <w:sz w:val="24"/>
                <w:lang/>
              </w:rPr>
            </w:pPr>
            <w:r w:rsidRPr="00E83E62">
              <w:rPr>
                <w:rFonts w:ascii="仿宋_GB2312" w:eastAsia="仿宋_GB2312" w:hAnsi="仿宋_GB2312" w:cs="仿宋_GB2312" w:hint="eastAsia"/>
                <w:color w:val="000000"/>
                <w:kern w:val="0"/>
                <w:sz w:val="24"/>
                <w:lang/>
              </w:rPr>
              <w:t>157.8</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157.8</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人员类项目经费</w:t>
            </w:r>
          </w:p>
        </w:tc>
        <w:tc>
          <w:tcPr>
            <w:tcW w:w="4632" w:type="dxa"/>
            <w:gridSpan w:val="2"/>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用于职工个人方面的费用开支。</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574.99</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574.99</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574.99</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574.99</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运转类项目经费</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保障其机构正常运转，完成日常工作任务。</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91.16</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91.16</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91.16</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91.16</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6674" w:type="dxa"/>
            <w:gridSpan w:val="3"/>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金额合计</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1057.496</w:t>
            </w:r>
          </w:p>
        </w:tc>
        <w:tc>
          <w:tcPr>
            <w:tcW w:w="38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391.346</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c>
          <w:tcPr>
            <w:tcW w:w="37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1055.296</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1055.296</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0</w:t>
            </w:r>
          </w:p>
        </w:tc>
      </w:tr>
      <w:tr w:rsidR="003C6718" w:rsidTr="004670AB">
        <w:trPr>
          <w:trHeight w:val="425"/>
        </w:trPr>
        <w:tc>
          <w:tcPr>
            <w:tcW w:w="717" w:type="dxa"/>
            <w:vMerge w:val="restart"/>
            <w:tcBorders>
              <w:top w:val="nil"/>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年度</w:t>
            </w:r>
            <w:r>
              <w:rPr>
                <w:rFonts w:ascii="仿宋_GB2312" w:eastAsia="仿宋_GB2312" w:hAnsi="仿宋_GB2312" w:cs="仿宋_GB2312" w:hint="eastAsia"/>
                <w:color w:val="000000"/>
                <w:kern w:val="0"/>
                <w:sz w:val="24"/>
                <w:lang/>
              </w:rPr>
              <w:br/>
              <w:t>总体</w:t>
            </w:r>
            <w:r>
              <w:rPr>
                <w:rFonts w:ascii="仿宋_GB2312" w:eastAsia="仿宋_GB2312" w:hAnsi="仿宋_GB2312" w:cs="仿宋_GB2312" w:hint="eastAsia"/>
                <w:color w:val="000000"/>
                <w:kern w:val="0"/>
                <w:sz w:val="24"/>
                <w:lang/>
              </w:rPr>
              <w:br/>
              <w:t>目标</w:t>
            </w:r>
          </w:p>
        </w:tc>
        <w:tc>
          <w:tcPr>
            <w:tcW w:w="8468" w:type="dxa"/>
            <w:gridSpan w:val="5"/>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预期目标</w:t>
            </w:r>
          </w:p>
        </w:tc>
        <w:tc>
          <w:tcPr>
            <w:tcW w:w="1259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实际完成目标</w:t>
            </w:r>
          </w:p>
        </w:tc>
      </w:tr>
      <w:tr w:rsidR="003C6718" w:rsidTr="004670AB">
        <w:trPr>
          <w:trHeight w:val="425"/>
        </w:trPr>
        <w:tc>
          <w:tcPr>
            <w:tcW w:w="717"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84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top"/>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2022年12月31日前，实现召开市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委会10期、</w:t>
            </w:r>
            <w:proofErr w:type="gramStart"/>
            <w:r>
              <w:rPr>
                <w:rFonts w:ascii="仿宋_GB2312" w:eastAsia="仿宋_GB2312" w:hAnsi="仿宋_GB2312" w:cs="仿宋_GB2312" w:hint="eastAsia"/>
                <w:color w:val="000000"/>
                <w:kern w:val="0"/>
                <w:sz w:val="24"/>
                <w:lang/>
              </w:rPr>
              <w:t>市专委</w:t>
            </w:r>
            <w:proofErr w:type="gramEnd"/>
            <w:r>
              <w:rPr>
                <w:rFonts w:ascii="仿宋_GB2312" w:eastAsia="仿宋_GB2312" w:hAnsi="仿宋_GB2312" w:cs="仿宋_GB2312" w:hint="eastAsia"/>
                <w:color w:val="000000"/>
                <w:kern w:val="0"/>
                <w:sz w:val="24"/>
                <w:lang/>
              </w:rPr>
              <w:t>会40期，审查项目规划设计方案180个；召开工业项目方案技术审查会6期；中心城区控制性详细规划调整1个；专项规划调整2个；完成2022年昭化区清水镇石庙村乡村55户结对帮扶振兴任务。完成控制性详细规划编制3个、中心城区控制性详细规划调整7块、总体规划调整2项、专项规划编制1项、雕塑方案编制1项、城市体检报告1个。完成《广元历史文化名城保护规划（2017-2035）》修编和老城片区城市更新综合提升改造规划编制。</w:t>
            </w:r>
          </w:p>
        </w:tc>
        <w:tc>
          <w:tcPr>
            <w:tcW w:w="1259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top"/>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rPr>
              <w:t>召开市专委</w:t>
            </w:r>
            <w:proofErr w:type="gramEnd"/>
            <w:r>
              <w:rPr>
                <w:rFonts w:ascii="仿宋_GB2312" w:eastAsia="仿宋_GB2312" w:hAnsi="仿宋_GB2312" w:cs="仿宋_GB2312" w:hint="eastAsia"/>
                <w:color w:val="000000"/>
                <w:kern w:val="0"/>
                <w:sz w:val="24"/>
                <w:lang/>
              </w:rPr>
              <w:t>会45期，审查项目规划设计方案160个；筹备市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16期，审议项目规划设计方案80余个；召开9期工业项目方案技术审查会、完成对40个项目规划设计方案进行审查；完成5个中心城区地块控制性详细规划调整；完成8项专项规划编制或调整；完成1个村乡村振兴工作。完成2项总体规划调整、3个片区控制性详细规划编制合同终止协议签订和</w:t>
            </w:r>
            <w:proofErr w:type="gramStart"/>
            <w:r>
              <w:rPr>
                <w:rFonts w:ascii="仿宋_GB2312" w:eastAsia="仿宋_GB2312" w:hAnsi="仿宋_GB2312" w:cs="仿宋_GB2312" w:hint="eastAsia"/>
                <w:color w:val="000000"/>
                <w:kern w:val="0"/>
                <w:sz w:val="24"/>
                <w:lang/>
              </w:rPr>
              <w:t>尾款</w:t>
            </w:r>
            <w:proofErr w:type="gramEnd"/>
            <w:r>
              <w:rPr>
                <w:rFonts w:ascii="仿宋_GB2312" w:eastAsia="仿宋_GB2312" w:hAnsi="仿宋_GB2312" w:cs="仿宋_GB2312" w:hint="eastAsia"/>
                <w:color w:val="000000"/>
                <w:kern w:val="0"/>
                <w:sz w:val="24"/>
                <w:lang/>
              </w:rPr>
              <w:t>支付，完成7个中心城区控制性详细规划调整、1个专项规划编制、1个雕塑方案编制和1个城市体检报告编制工作。《广元历史文化名城保护规划（2017-2035）》修编方案获省政府批复，老城片区城市更新综合提升改造规划通过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委会审议。</w:t>
            </w:r>
          </w:p>
        </w:tc>
      </w:tr>
      <w:tr w:rsidR="003C6718" w:rsidTr="004670AB">
        <w:trPr>
          <w:trHeight w:val="425"/>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年</w:t>
            </w:r>
            <w:r>
              <w:rPr>
                <w:rFonts w:ascii="仿宋_GB2312" w:eastAsia="仿宋_GB2312" w:hAnsi="仿宋_GB2312" w:cs="仿宋_GB2312" w:hint="eastAsia"/>
                <w:color w:val="000000"/>
                <w:kern w:val="0"/>
                <w:sz w:val="24"/>
                <w:lang/>
              </w:rPr>
              <w:br/>
              <w:t>度</w:t>
            </w:r>
            <w:r>
              <w:rPr>
                <w:rFonts w:ascii="仿宋_GB2312" w:eastAsia="仿宋_GB2312" w:hAnsi="仿宋_GB2312" w:cs="仿宋_GB2312" w:hint="eastAsia"/>
                <w:color w:val="000000"/>
                <w:kern w:val="0"/>
                <w:sz w:val="24"/>
                <w:lang/>
              </w:rPr>
              <w:br/>
              <w:t>绩</w:t>
            </w:r>
            <w:r>
              <w:rPr>
                <w:rFonts w:ascii="仿宋_GB2312" w:eastAsia="仿宋_GB2312" w:hAnsi="仿宋_GB2312" w:cs="仿宋_GB2312" w:hint="eastAsia"/>
                <w:color w:val="000000"/>
                <w:kern w:val="0"/>
                <w:sz w:val="24"/>
                <w:lang/>
              </w:rPr>
              <w:br/>
              <w:t>效</w:t>
            </w:r>
            <w:r>
              <w:rPr>
                <w:rFonts w:ascii="仿宋_GB2312" w:eastAsia="仿宋_GB2312" w:hAnsi="仿宋_GB2312" w:cs="仿宋_GB2312" w:hint="eastAsia"/>
                <w:color w:val="000000"/>
                <w:kern w:val="0"/>
                <w:sz w:val="24"/>
                <w:lang/>
              </w:rPr>
              <w:br/>
              <w:t>指</w:t>
            </w:r>
            <w:r>
              <w:rPr>
                <w:rFonts w:ascii="仿宋_GB2312" w:eastAsia="仿宋_GB2312" w:hAnsi="仿宋_GB2312" w:cs="仿宋_GB2312" w:hint="eastAsia"/>
                <w:color w:val="000000"/>
                <w:kern w:val="0"/>
                <w:sz w:val="24"/>
                <w:lang/>
              </w:rPr>
              <w:br/>
              <w:t>标</w:t>
            </w: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年</w:t>
            </w:r>
            <w:r>
              <w:rPr>
                <w:rFonts w:ascii="仿宋_GB2312" w:eastAsia="仿宋_GB2312" w:hAnsi="仿宋_GB2312" w:cs="仿宋_GB2312" w:hint="eastAsia"/>
                <w:color w:val="000000"/>
                <w:kern w:val="0"/>
                <w:sz w:val="24"/>
                <w:lang/>
              </w:rPr>
              <w:br/>
              <w:t>度</w:t>
            </w:r>
            <w:r>
              <w:rPr>
                <w:rFonts w:ascii="仿宋_GB2312" w:eastAsia="仿宋_GB2312" w:hAnsi="仿宋_GB2312" w:cs="仿宋_GB2312" w:hint="eastAsia"/>
                <w:color w:val="000000"/>
                <w:kern w:val="0"/>
                <w:sz w:val="24"/>
                <w:lang/>
              </w:rPr>
              <w:br/>
              <w:t>绩</w:t>
            </w:r>
            <w:r>
              <w:rPr>
                <w:rFonts w:ascii="仿宋_GB2312" w:eastAsia="仿宋_GB2312" w:hAnsi="仿宋_GB2312" w:cs="仿宋_GB2312" w:hint="eastAsia"/>
                <w:color w:val="000000"/>
                <w:kern w:val="0"/>
                <w:sz w:val="24"/>
                <w:lang/>
              </w:rPr>
              <w:br/>
              <w:t>效</w:t>
            </w:r>
            <w:r>
              <w:rPr>
                <w:rFonts w:ascii="仿宋_GB2312" w:eastAsia="仿宋_GB2312" w:hAnsi="仿宋_GB2312" w:cs="仿宋_GB2312" w:hint="eastAsia"/>
                <w:color w:val="000000"/>
                <w:kern w:val="0"/>
                <w:sz w:val="24"/>
                <w:lang/>
              </w:rPr>
              <w:br/>
              <w:t>指</w:t>
            </w:r>
            <w:r>
              <w:rPr>
                <w:rFonts w:ascii="仿宋_GB2312" w:eastAsia="仿宋_GB2312" w:hAnsi="仿宋_GB2312" w:cs="仿宋_GB2312" w:hint="eastAsia"/>
                <w:color w:val="000000"/>
                <w:kern w:val="0"/>
                <w:sz w:val="24"/>
                <w:lang/>
              </w:rPr>
              <w:br/>
              <w:t>标</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lastRenderedPageBreak/>
              <w:t>一级指标</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二级指标</w:t>
            </w: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三级指标</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指标值（包含数字及文字描述）</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实际完成指标值（包含数字及文字描述）</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部门自评得分</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财政部门科室复评得分</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未完成原因及改进措施</w:t>
            </w: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产出指标</w:t>
            </w: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产出指标</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数量指标</w:t>
            </w: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p w:rsidR="003C6718" w:rsidRDefault="00E83E62">
            <w:pPr>
              <w:widowControl/>
              <w:spacing w:line="280" w:lineRule="exact"/>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数量指标</w:t>
            </w:r>
          </w:p>
          <w:p w:rsidR="003C6718" w:rsidRDefault="003C6718">
            <w:pPr>
              <w:widowControl/>
              <w:spacing w:line="280" w:lineRule="exact"/>
              <w:jc w:val="center"/>
              <w:textAlignment w:val="center"/>
              <w:rPr>
                <w:rFonts w:ascii="仿宋_GB2312" w:eastAsia="仿宋_GB2312" w:hAnsi="仿宋_GB2312" w:cs="仿宋_GB2312"/>
                <w:color w:val="000000"/>
                <w:kern w:val="0"/>
                <w:sz w:val="24"/>
                <w:lang/>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lastRenderedPageBreak/>
              <w:t xml:space="preserve"> 指标1：召开</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全年召开10期</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筹备市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委会16期</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指标2：召开专委会</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全年召开40期</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kern w:val="0"/>
                <w:sz w:val="24"/>
                <w:lang/>
              </w:rPr>
              <w:t>召开市专委</w:t>
            </w:r>
            <w:proofErr w:type="gramEnd"/>
            <w:r>
              <w:rPr>
                <w:rFonts w:ascii="仿宋_GB2312" w:eastAsia="仿宋_GB2312" w:hAnsi="仿宋_GB2312" w:cs="仿宋_GB2312" w:hint="eastAsia"/>
                <w:color w:val="000000"/>
                <w:kern w:val="0"/>
                <w:sz w:val="24"/>
                <w:lang/>
              </w:rPr>
              <w:t>会45期</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指标3：专项规划调整</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全年调整2项专项规划</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完成8项专项规划编制或调整</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指标4：中心城区控制性详细规划调整</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1个</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完成5个中心城区地块控制性详细规划调整</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指标5：结对帮扶村、户</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1村55户</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完成1个村乡村振兴工作</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指标6：召开工业项目方案技术审查会</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6期/年</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召开9期工业项目方案技术审查会</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pPr>
              <w:widowControl/>
              <w:spacing w:line="36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指标7：开展规划编制</w:t>
            </w:r>
          </w:p>
        </w:tc>
        <w:tc>
          <w:tcPr>
            <w:tcW w:w="52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控制性详细规划编制3个、中心城区控制性详细规划调整7块、总体规划调整2项、专项规划编制1项、雕塑方案编制1项、城市体检报告1个</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完成2项总体规划调整、3个片区控制性详细规划编制合同终止协议签订和</w:t>
            </w:r>
            <w:proofErr w:type="gramStart"/>
            <w:r>
              <w:rPr>
                <w:rFonts w:ascii="仿宋_GB2312" w:eastAsia="仿宋_GB2312" w:hAnsi="仿宋_GB2312" w:cs="仿宋_GB2312" w:hint="eastAsia"/>
                <w:color w:val="000000"/>
                <w:kern w:val="0"/>
                <w:sz w:val="24"/>
                <w:lang/>
              </w:rPr>
              <w:t>尾款</w:t>
            </w:r>
            <w:proofErr w:type="gramEnd"/>
            <w:r>
              <w:rPr>
                <w:rFonts w:ascii="仿宋_GB2312" w:eastAsia="仿宋_GB2312" w:hAnsi="仿宋_GB2312" w:cs="仿宋_GB2312" w:hint="eastAsia"/>
                <w:color w:val="000000"/>
                <w:kern w:val="0"/>
                <w:sz w:val="24"/>
                <w:lang/>
              </w:rPr>
              <w:t>支付，完成7个中心城区控制性详细规划调整、1个专项规划编制、1个雕塑方案编制和1个城市体检报告编制工作</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指标8：开展专项规划编制</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《广元历史文化名城保护规划（2017-2035）》修编1个，老城片区城市更新综合提升改造规划1个</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《广元历史文化名城保护规划（2017-2035）》修编方案获省政府批复，老城片区城市更新综合提升改造规划通过市</w:t>
            </w:r>
            <w:proofErr w:type="gramStart"/>
            <w:r>
              <w:rPr>
                <w:rFonts w:ascii="仿宋_GB2312" w:eastAsia="仿宋_GB2312" w:hAnsi="仿宋_GB2312" w:cs="仿宋_GB2312" w:hint="eastAsia"/>
                <w:color w:val="000000"/>
                <w:kern w:val="0"/>
                <w:sz w:val="24"/>
                <w:lang/>
              </w:rPr>
              <w:t>规</w:t>
            </w:r>
            <w:proofErr w:type="gramEnd"/>
            <w:r>
              <w:rPr>
                <w:rFonts w:ascii="仿宋_GB2312" w:eastAsia="仿宋_GB2312" w:hAnsi="仿宋_GB2312" w:cs="仿宋_GB2312" w:hint="eastAsia"/>
                <w:color w:val="000000"/>
                <w:kern w:val="0"/>
                <w:sz w:val="24"/>
                <w:lang/>
              </w:rPr>
              <w:t>委会审议</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质量指标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指标1：方案审查</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180个</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280余个</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时效指标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指标1：完成时间</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2022年12月31日</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2022年12月31日</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成本指标</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成本指标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指标1：规划设计费</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339.216万元</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337.016万元</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指标2：工作经费</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52.13万元</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52.13万元</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效益指标</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经济效益</w:t>
            </w:r>
            <w:r>
              <w:rPr>
                <w:rFonts w:ascii="仿宋_GB2312" w:eastAsia="仿宋_GB2312" w:hAnsi="仿宋_GB2312" w:cs="仿宋_GB2312" w:hint="eastAsia"/>
                <w:color w:val="000000"/>
                <w:kern w:val="0"/>
                <w:sz w:val="24"/>
                <w:lang/>
              </w:rPr>
              <w:br/>
              <w:t>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指标1：对经济发展影响</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提供规划要素保障</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加强了全市重点项目规划要素服务保障，助</w:t>
            </w:r>
            <w:proofErr w:type="gramStart"/>
            <w:r>
              <w:rPr>
                <w:rFonts w:ascii="仿宋_GB2312" w:eastAsia="仿宋_GB2312" w:hAnsi="仿宋_GB2312" w:cs="仿宋_GB2312" w:hint="eastAsia"/>
                <w:color w:val="000000"/>
                <w:kern w:val="0"/>
                <w:sz w:val="24"/>
                <w:lang/>
              </w:rPr>
              <w:t>推全市</w:t>
            </w:r>
            <w:proofErr w:type="gramEnd"/>
            <w:r>
              <w:rPr>
                <w:rFonts w:ascii="仿宋_GB2312" w:eastAsia="仿宋_GB2312" w:hAnsi="仿宋_GB2312" w:cs="仿宋_GB2312" w:hint="eastAsia"/>
                <w:color w:val="000000"/>
                <w:kern w:val="0"/>
                <w:sz w:val="24"/>
                <w:lang/>
              </w:rPr>
              <w:t>经济社会高质量发展。</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仿宋_GB2312" w:eastAsia="仿宋_GB2312" w:hAnsi="仿宋_GB2312" w:cs="仿宋_GB2312"/>
                <w:color w:val="000000"/>
                <w:sz w:val="24"/>
              </w:rPr>
            </w:pP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社会效益</w:t>
            </w:r>
            <w:r>
              <w:rPr>
                <w:rFonts w:ascii="仿宋_GB2312" w:eastAsia="仿宋_GB2312" w:hAnsi="仿宋_GB2312" w:cs="仿宋_GB2312" w:hint="eastAsia"/>
                <w:color w:val="000000"/>
                <w:kern w:val="0"/>
                <w:sz w:val="24"/>
                <w:lang/>
              </w:rPr>
              <w:br/>
              <w:t>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指标1：对城市建设的影响</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通过规划指引，完善城市功能，优化基础设施和公共服务设施，提升人居环境。</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增强了城市规划的科学性和权威性，服务了广元城乡规划建设，做好了项目要素保障。</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仿宋_GB2312" w:eastAsia="仿宋_GB2312" w:hAnsi="仿宋_GB2312" w:cs="仿宋_GB2312"/>
                <w:color w:val="000000"/>
                <w:sz w:val="24"/>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指标2：对农村生活水平的影响</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提升石庙</w:t>
            </w:r>
            <w:proofErr w:type="gramStart"/>
            <w:r>
              <w:rPr>
                <w:rFonts w:ascii="仿宋_GB2312" w:eastAsia="仿宋_GB2312" w:hAnsi="仿宋_GB2312" w:cs="仿宋_GB2312" w:hint="eastAsia"/>
                <w:color w:val="000000"/>
                <w:kern w:val="0"/>
                <w:sz w:val="24"/>
                <w:lang/>
              </w:rPr>
              <w:t>村</w:t>
            </w:r>
            <w:proofErr w:type="gramEnd"/>
            <w:r>
              <w:rPr>
                <w:rFonts w:ascii="仿宋_GB2312" w:eastAsia="仿宋_GB2312" w:hAnsi="仿宋_GB2312" w:cs="仿宋_GB2312" w:hint="eastAsia"/>
                <w:color w:val="000000"/>
                <w:kern w:val="0"/>
                <w:sz w:val="24"/>
                <w:lang/>
              </w:rPr>
              <w:t>村民生活水平。</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完成2022年昭化区清水镇石庙村55户结对帮扶振兴任务，通过结对帮扶改善居民生活环境、增加收入等。</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仿宋_GB2312" w:eastAsia="仿宋_GB2312" w:hAnsi="仿宋_GB2312" w:cs="仿宋_GB2312"/>
                <w:color w:val="000000"/>
                <w:sz w:val="24"/>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生态效益</w:t>
            </w:r>
            <w:r>
              <w:rPr>
                <w:rFonts w:ascii="仿宋_GB2312" w:eastAsia="仿宋_GB2312" w:hAnsi="仿宋_GB2312" w:cs="仿宋_GB2312" w:hint="eastAsia"/>
                <w:color w:val="000000"/>
                <w:kern w:val="0"/>
                <w:sz w:val="24"/>
                <w:lang/>
              </w:rPr>
              <w:br/>
              <w:t>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指标1：对城市生态的影响</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加强历史文化名城保护，提升城市品质。</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优化城市结构，完善功能配套，提升城市品质，强化广元自然山水格局保护。</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仿宋_GB2312" w:eastAsia="仿宋_GB2312" w:hAnsi="仿宋_GB2312" w:cs="仿宋_GB2312"/>
                <w:color w:val="000000"/>
                <w:sz w:val="24"/>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可持续影响</w:t>
            </w:r>
            <w:r>
              <w:rPr>
                <w:rFonts w:ascii="仿宋_GB2312" w:eastAsia="仿宋_GB2312" w:hAnsi="仿宋_GB2312" w:cs="仿宋_GB2312" w:hint="eastAsia"/>
                <w:color w:val="000000"/>
                <w:kern w:val="0"/>
                <w:sz w:val="24"/>
                <w:lang/>
              </w:rPr>
              <w:br/>
              <w:t>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指标1：对城市规划的影响</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对广元市规划编制提供研究基础，为规划管理和城市建设提供法定依据。</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增强了城市规划的科学性和权威性，服务了广元城乡规划建设，做好了项目要素保障。</w:t>
            </w: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3C6718" w:rsidTr="004670AB">
        <w:trPr>
          <w:trHeight w:val="425"/>
        </w:trPr>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c>
          <w:tcPr>
            <w:tcW w:w="2042"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满意度</w:t>
            </w:r>
            <w:r>
              <w:rPr>
                <w:rFonts w:ascii="仿宋_GB2312" w:eastAsia="仿宋_GB2312" w:hAnsi="仿宋_GB2312" w:cs="仿宋_GB2312" w:hint="eastAsia"/>
                <w:color w:val="000000"/>
                <w:kern w:val="0"/>
                <w:sz w:val="24"/>
                <w:lang/>
              </w:rPr>
              <w:br/>
              <w:t>指标</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满意度指标</w:t>
            </w:r>
          </w:p>
        </w:tc>
        <w:tc>
          <w:tcPr>
            <w:tcW w:w="4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 xml:space="preserve"> 指标1：工作质量</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得到相关单位认可。</w:t>
            </w:r>
          </w:p>
        </w:tc>
        <w:tc>
          <w:tcPr>
            <w:tcW w:w="47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工作质量得到相关单位认可，助力了经社会发展、城市建设和乡村振兴。</w:t>
            </w:r>
          </w:p>
        </w:tc>
        <w:tc>
          <w:tcPr>
            <w:tcW w:w="109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3C6718" w:rsidRDefault="00E83E62">
            <w:pPr>
              <w:widowControl/>
              <w:spacing w:line="28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5</w:t>
            </w:r>
          </w:p>
        </w:tc>
        <w:tc>
          <w:tcPr>
            <w:tcW w:w="159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C6718" w:rsidRDefault="0028029E" w:rsidP="0028029E">
            <w:pPr>
              <w:widowControl/>
              <w:spacing w:line="28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1463" w:type="dxa"/>
            <w:tcBorders>
              <w:top w:val="single" w:sz="4" w:space="0" w:color="000000"/>
              <w:left w:val="single" w:sz="4" w:space="0" w:color="auto"/>
              <w:bottom w:val="single" w:sz="4" w:space="0" w:color="000000"/>
              <w:right w:val="single" w:sz="4" w:space="0" w:color="000000"/>
            </w:tcBorders>
            <w:shd w:val="clear" w:color="auto" w:fill="auto"/>
            <w:vAlign w:val="center"/>
          </w:tcPr>
          <w:p w:rsidR="003C6718" w:rsidRDefault="003C6718" w:rsidP="0028029E">
            <w:pPr>
              <w:widowControl/>
              <w:spacing w:line="280" w:lineRule="exact"/>
              <w:jc w:val="center"/>
              <w:rPr>
                <w:rFonts w:ascii="仿宋_GB2312" w:eastAsia="仿宋_GB2312" w:hAnsi="仿宋_GB2312" w:cs="仿宋_GB2312"/>
                <w:color w:val="000000"/>
                <w:sz w:val="24"/>
              </w:rPr>
            </w:pPr>
          </w:p>
        </w:tc>
      </w:tr>
      <w:tr w:rsidR="004670AB" w:rsidTr="004670AB">
        <w:trPr>
          <w:trHeight w:val="425"/>
        </w:trPr>
        <w:tc>
          <w:tcPr>
            <w:tcW w:w="17641" w:type="dxa"/>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4670AB" w:rsidRDefault="004670AB" w:rsidP="004670AB">
            <w:pPr>
              <w:widowControl/>
              <w:spacing w:line="360" w:lineRule="exact"/>
              <w:jc w:val="center"/>
              <w:textAlignment w:val="center"/>
              <w:rPr>
                <w:rFonts w:ascii="仿宋_GB2312" w:eastAsia="仿宋_GB2312" w:hAnsi="仿宋_GB2312" w:cs="仿宋_GB2312" w:hint="eastAsia"/>
                <w:color w:val="000000"/>
                <w:kern w:val="0"/>
                <w:sz w:val="24"/>
                <w:lang/>
              </w:rPr>
            </w:pPr>
            <w:r>
              <w:rPr>
                <w:rFonts w:ascii="仿宋_GB2312" w:eastAsia="仿宋_GB2312" w:hAnsi="仿宋_GB2312" w:cs="仿宋_GB2312" w:hint="eastAsia"/>
                <w:color w:val="000000"/>
                <w:kern w:val="0"/>
                <w:sz w:val="24"/>
                <w:lang/>
              </w:rPr>
              <w:t>合计</w:t>
            </w:r>
          </w:p>
        </w:tc>
        <w:tc>
          <w:tcPr>
            <w:tcW w:w="108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670AB" w:rsidRDefault="004670AB" w:rsidP="00230F86">
            <w:pPr>
              <w:widowControl/>
              <w:spacing w:line="360" w:lineRule="exact"/>
              <w:jc w:val="center"/>
              <w:textAlignment w:val="center"/>
              <w:rPr>
                <w:rFonts w:ascii="仿宋_GB2312" w:eastAsia="仿宋_GB2312" w:hAnsi="仿宋_GB2312" w:cs="仿宋_GB2312" w:hint="eastAsia"/>
                <w:color w:val="000000"/>
                <w:kern w:val="0"/>
                <w:sz w:val="24"/>
                <w:lang/>
              </w:rPr>
            </w:pPr>
            <w:r>
              <w:rPr>
                <w:rFonts w:ascii="仿宋_GB2312" w:eastAsia="仿宋_GB2312" w:hAnsi="仿宋_GB2312" w:cs="仿宋_GB2312" w:hint="eastAsia"/>
                <w:color w:val="000000"/>
                <w:kern w:val="0"/>
                <w:sz w:val="24"/>
                <w:lang/>
              </w:rPr>
              <w:t>100</w:t>
            </w:r>
          </w:p>
        </w:tc>
        <w:tc>
          <w:tcPr>
            <w:tcW w:w="159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670AB" w:rsidRDefault="004670AB" w:rsidP="00230F86">
            <w:pPr>
              <w:widowControl/>
              <w:spacing w:line="360" w:lineRule="exact"/>
              <w:jc w:val="center"/>
              <w:textAlignment w:val="center"/>
              <w:rPr>
                <w:rFonts w:ascii="仿宋_GB2312" w:eastAsia="仿宋_GB2312" w:hAnsi="仿宋_GB2312" w:cs="仿宋_GB2312" w:hint="eastAsia"/>
                <w:color w:val="000000"/>
                <w:kern w:val="0"/>
                <w:sz w:val="24"/>
                <w:lang/>
              </w:rPr>
            </w:pPr>
            <w:r>
              <w:rPr>
                <w:rFonts w:ascii="仿宋_GB2312" w:eastAsia="仿宋_GB2312" w:hAnsi="仿宋_GB2312" w:cs="仿宋_GB2312" w:hint="eastAsia"/>
                <w:color w:val="000000"/>
                <w:kern w:val="0"/>
                <w:sz w:val="24"/>
                <w:lang/>
              </w:rPr>
              <w:t>96</w:t>
            </w:r>
          </w:p>
        </w:tc>
        <w:tc>
          <w:tcPr>
            <w:tcW w:w="1463" w:type="dxa"/>
            <w:tcBorders>
              <w:top w:val="single" w:sz="4" w:space="0" w:color="000000"/>
              <w:left w:val="single" w:sz="4" w:space="0" w:color="auto"/>
              <w:bottom w:val="single" w:sz="4" w:space="0" w:color="000000"/>
              <w:right w:val="single" w:sz="4" w:space="0" w:color="000000"/>
            </w:tcBorders>
            <w:shd w:val="clear" w:color="auto" w:fill="auto"/>
            <w:vAlign w:val="center"/>
          </w:tcPr>
          <w:p w:rsidR="004670AB" w:rsidRDefault="004670AB">
            <w:pPr>
              <w:widowControl/>
              <w:spacing w:line="360" w:lineRule="exact"/>
              <w:jc w:val="left"/>
              <w:textAlignment w:val="center"/>
              <w:rPr>
                <w:rFonts w:ascii="仿宋_GB2312" w:eastAsia="仿宋_GB2312" w:hAnsi="仿宋_GB2312" w:cs="仿宋_GB2312" w:hint="eastAsia"/>
                <w:color w:val="000000"/>
                <w:kern w:val="0"/>
                <w:sz w:val="24"/>
                <w:lang/>
              </w:rPr>
            </w:pPr>
          </w:p>
        </w:tc>
      </w:tr>
      <w:tr w:rsidR="003C6718" w:rsidTr="004670AB">
        <w:trPr>
          <w:trHeight w:val="425"/>
        </w:trPr>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部门（单位）自评结论</w:t>
            </w:r>
          </w:p>
        </w:tc>
        <w:tc>
          <w:tcPr>
            <w:tcW w:w="1902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总体来说，我中心2022年部门整体支出情况良好，项目决策符合国家政策方针，管理符合相关制度。从预算到执行和收入、支出等，都严格按相关制度要求进行，全年收支平衡。有效保证了机构运转，圆满完成了上级下达的目标任务。</w:t>
            </w:r>
          </w:p>
        </w:tc>
      </w:tr>
      <w:tr w:rsidR="003C6718" w:rsidTr="004670AB">
        <w:trPr>
          <w:trHeight w:val="425"/>
        </w:trPr>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部门（单位）自评存在问题</w:t>
            </w:r>
          </w:p>
        </w:tc>
        <w:tc>
          <w:tcPr>
            <w:tcW w:w="1902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1.部分绩效指标及目标值有待进一步细化和量化。</w:t>
            </w:r>
            <w:r>
              <w:rPr>
                <w:rFonts w:ascii="仿宋_GB2312" w:eastAsia="仿宋_GB2312" w:hAnsi="仿宋_GB2312" w:cs="仿宋_GB2312" w:hint="eastAsia"/>
                <w:color w:val="000000"/>
                <w:kern w:val="0"/>
                <w:sz w:val="24"/>
                <w:lang/>
              </w:rPr>
              <w:br/>
              <w:t>2.尚未针对绩效考评制定比较明确的实施细则，有待进一步完善。</w:t>
            </w:r>
            <w:r>
              <w:rPr>
                <w:rFonts w:ascii="仿宋_GB2312" w:eastAsia="仿宋_GB2312" w:hAnsi="仿宋_GB2312" w:cs="仿宋_GB2312" w:hint="eastAsia"/>
                <w:color w:val="000000"/>
                <w:kern w:val="0"/>
                <w:sz w:val="24"/>
                <w:lang/>
              </w:rPr>
              <w:br/>
              <w:t>3.绩效评价工作仍然存在财务</w:t>
            </w:r>
            <w:proofErr w:type="gramStart"/>
            <w:r>
              <w:rPr>
                <w:rFonts w:ascii="仿宋_GB2312" w:eastAsia="仿宋_GB2312" w:hAnsi="仿宋_GB2312" w:cs="仿宋_GB2312" w:hint="eastAsia"/>
                <w:color w:val="000000"/>
                <w:kern w:val="0"/>
                <w:sz w:val="24"/>
                <w:lang/>
              </w:rPr>
              <w:t>热业务冷</w:t>
            </w:r>
            <w:proofErr w:type="gramEnd"/>
            <w:r>
              <w:rPr>
                <w:rFonts w:ascii="仿宋_GB2312" w:eastAsia="仿宋_GB2312" w:hAnsi="仿宋_GB2312" w:cs="仿宋_GB2312" w:hint="eastAsia"/>
                <w:color w:val="000000"/>
                <w:kern w:val="0"/>
                <w:sz w:val="24"/>
                <w:lang/>
              </w:rPr>
              <w:t>的现象，有待进一步明确细化部门内部分工，理顺部门内部绩效工作机制。</w:t>
            </w:r>
          </w:p>
        </w:tc>
      </w:tr>
      <w:tr w:rsidR="003C6718" w:rsidTr="004670AB">
        <w:trPr>
          <w:trHeight w:val="425"/>
        </w:trPr>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部门（单位）自</w:t>
            </w:r>
            <w:proofErr w:type="gramStart"/>
            <w:r>
              <w:rPr>
                <w:rFonts w:ascii="仿宋_GB2312" w:eastAsia="仿宋_GB2312" w:hAnsi="仿宋_GB2312" w:cs="仿宋_GB2312" w:hint="eastAsia"/>
                <w:color w:val="000000"/>
                <w:kern w:val="0"/>
                <w:sz w:val="24"/>
                <w:lang/>
              </w:rPr>
              <w:t>评改进措施</w:t>
            </w:r>
            <w:proofErr w:type="gramEnd"/>
          </w:p>
        </w:tc>
        <w:tc>
          <w:tcPr>
            <w:tcW w:w="1902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1.科学合理地设置绩效指标，提高预算绩效指标的针对性和可测性，充分发挥预算绩效目标管理的导向作用。</w:t>
            </w:r>
            <w:r>
              <w:rPr>
                <w:rFonts w:ascii="仿宋_GB2312" w:eastAsia="仿宋_GB2312" w:hAnsi="仿宋_GB2312" w:cs="仿宋_GB2312" w:hint="eastAsia"/>
                <w:color w:val="000000"/>
                <w:kern w:val="0"/>
                <w:sz w:val="24"/>
                <w:lang/>
              </w:rPr>
              <w:br/>
              <w:t>2.将预算编制与部门工作有机结合，进一步强化预算执行，提升财政资金使用效益。</w:t>
            </w:r>
            <w:r>
              <w:rPr>
                <w:rFonts w:ascii="仿宋_GB2312" w:eastAsia="仿宋_GB2312" w:hAnsi="仿宋_GB2312" w:cs="仿宋_GB2312" w:hint="eastAsia"/>
                <w:color w:val="000000"/>
                <w:kern w:val="0"/>
                <w:sz w:val="24"/>
                <w:lang/>
              </w:rPr>
              <w:br/>
              <w:t>3.建立和</w:t>
            </w:r>
            <w:proofErr w:type="gramStart"/>
            <w:r>
              <w:rPr>
                <w:rFonts w:ascii="仿宋_GB2312" w:eastAsia="仿宋_GB2312" w:hAnsi="仿宋_GB2312" w:cs="仿宋_GB2312" w:hint="eastAsia"/>
                <w:color w:val="000000"/>
                <w:kern w:val="0"/>
                <w:sz w:val="24"/>
                <w:lang/>
              </w:rPr>
              <w:t>完善部门</w:t>
            </w:r>
            <w:proofErr w:type="gramEnd"/>
            <w:r>
              <w:rPr>
                <w:rFonts w:ascii="仿宋_GB2312" w:eastAsia="仿宋_GB2312" w:hAnsi="仿宋_GB2312" w:cs="仿宋_GB2312" w:hint="eastAsia"/>
                <w:color w:val="000000"/>
                <w:kern w:val="0"/>
                <w:sz w:val="24"/>
                <w:lang/>
              </w:rPr>
              <w:t>整体支出绩效考评实施细则，提高预算绩效管理水平。</w:t>
            </w:r>
            <w:r>
              <w:rPr>
                <w:rFonts w:ascii="仿宋_GB2312" w:eastAsia="仿宋_GB2312" w:hAnsi="仿宋_GB2312" w:cs="仿宋_GB2312" w:hint="eastAsia"/>
                <w:color w:val="000000"/>
                <w:kern w:val="0"/>
                <w:sz w:val="24"/>
                <w:lang/>
              </w:rPr>
              <w:br/>
              <w:t>4.做好基础信息的收集和分析工作，建立相关数据库，为绩效指标值的设置提供有益参考。</w:t>
            </w:r>
          </w:p>
        </w:tc>
      </w:tr>
      <w:tr w:rsidR="003C6718" w:rsidTr="004670AB">
        <w:trPr>
          <w:trHeight w:val="425"/>
        </w:trPr>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财政部门对口科室复评结论及整改要求</w:t>
            </w:r>
          </w:p>
        </w:tc>
        <w:tc>
          <w:tcPr>
            <w:tcW w:w="1902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left"/>
              <w:rPr>
                <w:rFonts w:ascii="仿宋_GB2312" w:eastAsia="仿宋_GB2312" w:hAnsi="仿宋_GB2312" w:cs="仿宋_GB2312"/>
                <w:color w:val="000000"/>
                <w:sz w:val="24"/>
              </w:rPr>
            </w:pPr>
          </w:p>
        </w:tc>
      </w:tr>
      <w:tr w:rsidR="003C6718" w:rsidTr="004670AB">
        <w:trPr>
          <w:trHeight w:val="425"/>
        </w:trPr>
        <w:tc>
          <w:tcPr>
            <w:tcW w:w="1069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单位项目负责人：</w:t>
            </w:r>
          </w:p>
        </w:tc>
        <w:tc>
          <w:tcPr>
            <w:tcW w:w="1108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单位财务负责人：</w:t>
            </w:r>
          </w:p>
        </w:tc>
      </w:tr>
      <w:tr w:rsidR="003C6718" w:rsidTr="004670AB">
        <w:trPr>
          <w:trHeight w:val="425"/>
        </w:trPr>
        <w:tc>
          <w:tcPr>
            <w:tcW w:w="1069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部门项目负责人：</w:t>
            </w:r>
          </w:p>
        </w:tc>
        <w:tc>
          <w:tcPr>
            <w:tcW w:w="1108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部门财务负责人：</w:t>
            </w:r>
          </w:p>
        </w:tc>
      </w:tr>
      <w:tr w:rsidR="003C6718">
        <w:trPr>
          <w:trHeight w:val="425"/>
        </w:trPr>
        <w:tc>
          <w:tcPr>
            <w:tcW w:w="2178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财政部门科室负责人：</w:t>
            </w:r>
          </w:p>
        </w:tc>
      </w:tr>
    </w:tbl>
    <w:p w:rsidR="003C6718" w:rsidRDefault="00E83E62">
      <w:pPr>
        <w:widowControl/>
        <w:adjustRightInd w:val="0"/>
        <w:snapToGrid w:val="0"/>
        <w:spacing w:line="576" w:lineRule="exact"/>
        <w:contextualSpacing/>
        <w:rPr>
          <w:rFonts w:ascii="方正小标宋简体" w:eastAsia="方正小标宋简体" w:hAnsi="方正小标宋简体" w:cs="方正小标宋简体"/>
          <w:color w:val="000000"/>
          <w:kern w:val="0"/>
          <w:sz w:val="44"/>
          <w:szCs w:val="44"/>
        </w:rPr>
      </w:pPr>
      <w:r>
        <w:rPr>
          <w:rFonts w:ascii="宋体" w:hAnsi="宋体" w:cs="宋体" w:hint="eastAsia"/>
          <w:color w:val="000000"/>
          <w:kern w:val="0"/>
          <w:sz w:val="22"/>
          <w:szCs w:val="22"/>
          <w:lang/>
        </w:rPr>
        <w:t>注：部门整体支出绩效目标自评表在年度预算执行完毕后填报。</w:t>
      </w:r>
    </w:p>
    <w:p w:rsidR="003C6718" w:rsidRDefault="003C6718">
      <w:pPr>
        <w:widowControl/>
        <w:adjustRightInd w:val="0"/>
        <w:snapToGrid w:val="0"/>
        <w:spacing w:line="576" w:lineRule="exact"/>
        <w:contextualSpacing/>
        <w:jc w:val="center"/>
        <w:rPr>
          <w:rFonts w:ascii="方正小标宋简体" w:eastAsia="方正小标宋简体" w:hAnsi="方正小标宋简体" w:cs="方正小标宋简体"/>
          <w:color w:val="000000"/>
          <w:kern w:val="0"/>
          <w:sz w:val="44"/>
          <w:szCs w:val="44"/>
        </w:rPr>
        <w:sectPr w:rsidR="003C6718">
          <w:footerReference w:type="default" r:id="rId19"/>
          <w:pgSz w:w="23811" w:h="16838" w:orient="landscape"/>
          <w:pgMar w:top="1134" w:right="1134" w:bottom="1134" w:left="1134" w:header="851" w:footer="850" w:gutter="0"/>
          <w:pgNumType w:start="26"/>
          <w:cols w:space="0"/>
          <w:docGrid w:type="lines" w:linePitch="315"/>
        </w:sectPr>
      </w:pPr>
    </w:p>
    <w:p w:rsidR="003C6718" w:rsidRDefault="00E83E62">
      <w:pPr>
        <w:widowControl/>
        <w:spacing w:line="540" w:lineRule="exact"/>
        <w:contextualSpacing/>
        <w:jc w:val="center"/>
        <w:rPr>
          <w:rFonts w:ascii="方正小标宋_GBK" w:eastAsia="方正小标宋_GBK" w:hAnsi="方正小标宋简体" w:cs="方正小标宋简体"/>
          <w:bCs/>
          <w:sz w:val="44"/>
          <w:szCs w:val="44"/>
          <w:shd w:val="clear" w:color="auto" w:fill="FFFFFF"/>
        </w:rPr>
      </w:pPr>
      <w:r>
        <w:rPr>
          <w:rFonts w:ascii="方正小标宋_GBK" w:eastAsia="方正小标宋_GBK" w:hAnsi="方正小标宋简体" w:cs="方正小标宋简体" w:hint="eastAsia"/>
          <w:bCs/>
          <w:sz w:val="44"/>
          <w:szCs w:val="44"/>
          <w:shd w:val="clear" w:color="auto" w:fill="FFFFFF"/>
        </w:rPr>
        <w:lastRenderedPageBreak/>
        <w:t>广元市国土空间规划编制研究中心</w:t>
      </w:r>
    </w:p>
    <w:p w:rsidR="003C6718" w:rsidRDefault="00E83E62">
      <w:pPr>
        <w:widowControl/>
        <w:adjustRightInd w:val="0"/>
        <w:snapToGrid w:val="0"/>
        <w:spacing w:line="540" w:lineRule="exact"/>
        <w:contextualSpacing/>
        <w:jc w:val="center"/>
        <w:rPr>
          <w:rFonts w:ascii="方正小标宋_GBK" w:eastAsia="方正小标宋_GBK" w:hAnsi="方正小标宋简体" w:cs="方正小标宋简体"/>
          <w:bCs/>
          <w:sz w:val="44"/>
          <w:szCs w:val="44"/>
          <w:shd w:val="clear" w:color="auto" w:fill="FFFFFF"/>
        </w:rPr>
      </w:pPr>
      <w:r>
        <w:rPr>
          <w:rFonts w:ascii="方正小标宋_GBK" w:eastAsia="方正小标宋_GBK" w:hAnsi="方正小标宋简体" w:cs="方正小标宋简体" w:hint="eastAsia"/>
          <w:bCs/>
          <w:sz w:val="44"/>
          <w:szCs w:val="44"/>
          <w:shd w:val="clear" w:color="auto" w:fill="FFFFFF"/>
        </w:rPr>
        <w:t>2023年市级专项资金预算项目“规划编制</w:t>
      </w:r>
    </w:p>
    <w:p w:rsidR="003C6718" w:rsidRDefault="00E83E62">
      <w:pPr>
        <w:widowControl/>
        <w:adjustRightInd w:val="0"/>
        <w:snapToGrid w:val="0"/>
        <w:spacing w:line="540" w:lineRule="exact"/>
        <w:contextualSpacing/>
        <w:jc w:val="center"/>
        <w:rPr>
          <w:rFonts w:ascii="方正小标宋_GBK" w:eastAsia="方正小标宋_GBK" w:hAnsi="方正小标宋简体" w:cs="方正小标宋简体"/>
          <w:bCs/>
          <w:sz w:val="44"/>
          <w:szCs w:val="44"/>
          <w:shd w:val="clear" w:color="auto" w:fill="FFFFFF"/>
        </w:rPr>
      </w:pPr>
      <w:r>
        <w:rPr>
          <w:rFonts w:ascii="方正小标宋_GBK" w:eastAsia="方正小标宋_GBK" w:hAnsi="方正小标宋简体" w:cs="方正小标宋简体" w:hint="eastAsia"/>
          <w:bCs/>
          <w:sz w:val="44"/>
          <w:szCs w:val="44"/>
          <w:shd w:val="clear" w:color="auto" w:fill="FFFFFF"/>
        </w:rPr>
        <w:t>设计费</w:t>
      </w:r>
      <w:proofErr w:type="gramStart"/>
      <w:r>
        <w:rPr>
          <w:rFonts w:ascii="方正小标宋_GBK" w:eastAsia="方正小标宋_GBK" w:hAnsi="方正小标宋简体" w:cs="方正小标宋简体" w:hint="eastAsia"/>
          <w:bCs/>
          <w:sz w:val="44"/>
          <w:szCs w:val="44"/>
          <w:shd w:val="clear" w:color="auto" w:fill="FFFFFF"/>
        </w:rPr>
        <w:t>”</w:t>
      </w:r>
      <w:proofErr w:type="gramEnd"/>
      <w:r>
        <w:rPr>
          <w:rFonts w:ascii="方正小标宋_GBK" w:eastAsia="方正小标宋_GBK" w:hAnsi="方正小标宋简体" w:cs="方正小标宋简体" w:hint="eastAsia"/>
          <w:bCs/>
          <w:sz w:val="44"/>
          <w:szCs w:val="44"/>
          <w:shd w:val="clear" w:color="auto" w:fill="FFFFFF"/>
        </w:rPr>
        <w:t>支出绩效自评报告</w:t>
      </w:r>
    </w:p>
    <w:p w:rsidR="003C6718" w:rsidRDefault="003C6718">
      <w:pPr>
        <w:spacing w:line="540" w:lineRule="exact"/>
        <w:ind w:firstLineChars="200" w:firstLine="643"/>
        <w:contextualSpacing/>
        <w:rPr>
          <w:rFonts w:ascii="黑体" w:eastAsia="黑体" w:hAnsi="宋体" w:cs="宋体"/>
          <w:b/>
          <w:color w:val="000000"/>
          <w:kern w:val="0"/>
          <w:sz w:val="32"/>
          <w:szCs w:val="32"/>
          <w:shd w:val="clear" w:color="auto" w:fill="FFFFFF"/>
        </w:rPr>
      </w:pPr>
    </w:p>
    <w:p w:rsidR="003C6718" w:rsidRDefault="00E83E62">
      <w:pPr>
        <w:spacing w:line="540" w:lineRule="exact"/>
        <w:ind w:firstLineChars="200" w:firstLine="640"/>
        <w:rPr>
          <w:rFonts w:ascii="黑体" w:eastAsia="黑体" w:hAnsi="黑体"/>
          <w:kern w:val="0"/>
          <w:sz w:val="32"/>
          <w:szCs w:val="32"/>
        </w:rPr>
      </w:pPr>
      <w:r>
        <w:rPr>
          <w:rFonts w:ascii="黑体" w:eastAsia="黑体" w:hAnsi="黑体" w:hint="eastAsia"/>
          <w:kern w:val="0"/>
          <w:sz w:val="32"/>
          <w:szCs w:val="32"/>
        </w:rPr>
        <w:t>一、项目概况</w:t>
      </w:r>
    </w:p>
    <w:p w:rsidR="003C6718" w:rsidRDefault="00E83E62">
      <w:pPr>
        <w:spacing w:line="540" w:lineRule="exact"/>
        <w:ind w:firstLineChars="200" w:firstLine="643"/>
        <w:rPr>
          <w:rFonts w:ascii="楷体_GB2312" w:eastAsia="楷体_GB2312"/>
          <w:b/>
          <w:sz w:val="32"/>
          <w:szCs w:val="32"/>
        </w:rPr>
      </w:pPr>
      <w:r>
        <w:rPr>
          <w:rFonts w:ascii="楷体_GB2312" w:eastAsia="楷体_GB2312" w:hint="eastAsia"/>
          <w:b/>
          <w:sz w:val="32"/>
          <w:szCs w:val="32"/>
        </w:rPr>
        <w:t>（一）项目基本情况</w:t>
      </w:r>
    </w:p>
    <w:p w:rsidR="003C6718" w:rsidRDefault="00E83E62">
      <w:pPr>
        <w:autoSpaceDE w:val="0"/>
        <w:autoSpaceDN w:val="0"/>
        <w:adjustRightInd w:val="0"/>
        <w:spacing w:line="540" w:lineRule="exact"/>
        <w:ind w:firstLineChars="200" w:firstLine="643"/>
        <w:jc w:val="left"/>
        <w:rPr>
          <w:rFonts w:ascii="仿宋_GB2312" w:eastAsia="仿宋_GB2312" w:hAnsi="仿宋_GB2312" w:cs="仿宋_GB2312"/>
          <w:sz w:val="32"/>
          <w:lang w:val="zh-CN"/>
        </w:rPr>
      </w:pPr>
      <w:r>
        <w:rPr>
          <w:rFonts w:ascii="仿宋_GB2312" w:eastAsia="仿宋_GB2312" w:hAnsi="仿宋_GB2312" w:cs="仿宋_GB2312" w:hint="eastAsia"/>
          <w:b/>
          <w:sz w:val="32"/>
        </w:rPr>
        <w:t>1.职能职责。</w:t>
      </w:r>
      <w:r>
        <w:rPr>
          <w:rFonts w:ascii="仿宋_GB2312" w:eastAsia="仿宋_GB2312" w:hAnsi="仿宋_GB2312" w:cs="仿宋_GB2312" w:hint="eastAsia"/>
          <w:sz w:val="32"/>
        </w:rPr>
        <w:t>承担市国土空间发展战略规划、公共政策、项目和计划的研究；</w:t>
      </w:r>
      <w:proofErr w:type="gramStart"/>
      <w:r>
        <w:rPr>
          <w:rFonts w:ascii="仿宋_GB2312" w:eastAsia="仿宋_GB2312" w:hAnsi="仿宋_GB2312" w:cs="仿宋_GB2312" w:hint="eastAsia"/>
          <w:sz w:val="32"/>
        </w:rPr>
        <w:t>拟订市</w:t>
      </w:r>
      <w:proofErr w:type="gramEnd"/>
      <w:r>
        <w:rPr>
          <w:rFonts w:ascii="仿宋_GB2312" w:eastAsia="仿宋_GB2312" w:hAnsi="仿宋_GB2312" w:cs="仿宋_GB2312" w:hint="eastAsia"/>
          <w:sz w:val="32"/>
        </w:rPr>
        <w:t>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w:t>
      </w:r>
      <w:r>
        <w:rPr>
          <w:rFonts w:ascii="仿宋" w:eastAsia="仿宋" w:hAnsi="仿宋" w:hint="eastAsia"/>
          <w:sz w:val="32"/>
        </w:rPr>
        <w:t>。</w:t>
      </w:r>
    </w:p>
    <w:p w:rsidR="003C6718" w:rsidRDefault="00E83E62">
      <w:pPr>
        <w:spacing w:line="54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sz w:val="32"/>
        </w:rPr>
        <w:t>2.</w:t>
      </w:r>
      <w:r>
        <w:rPr>
          <w:rFonts w:ascii="仿宋_GB2312" w:eastAsia="仿宋_GB2312" w:hAnsi="仿宋_GB2312" w:cs="仿宋_GB2312" w:hint="eastAsia"/>
          <w:b/>
          <w:kern w:val="0"/>
          <w:sz w:val="32"/>
          <w:szCs w:val="32"/>
          <w:shd w:val="clear" w:color="auto" w:fill="FFFFFF"/>
          <w:lang w:val="zh-CN"/>
        </w:rPr>
        <w:t>项目立项、资金申报的依据。</w:t>
      </w:r>
      <w:r>
        <w:rPr>
          <w:rFonts w:ascii="仿宋_GB2312" w:eastAsia="仿宋_GB2312" w:hAnsi="仿宋_GB2312" w:cs="仿宋_GB2312" w:hint="eastAsia"/>
          <w:sz w:val="32"/>
        </w:rPr>
        <w:t>按照《中共中央、国务院关于建立国土空间规划体系并监督实施的若干意见》（中发</w:t>
      </w:r>
      <w:r>
        <w:rPr>
          <w:rFonts w:ascii="仿宋_GB2312" w:eastAsia="仿宋_GB2312" w:hAnsi="仿宋_GB2312" w:cs="仿宋_GB2312" w:hint="eastAsia"/>
          <w:color w:val="000000"/>
          <w:sz w:val="32"/>
        </w:rPr>
        <w:t>〔</w:t>
      </w:r>
      <w:r>
        <w:rPr>
          <w:rFonts w:ascii="仿宋_GB2312" w:eastAsia="仿宋_GB2312" w:hAnsi="仿宋_GB2312" w:cs="仿宋_GB2312" w:hint="eastAsia"/>
          <w:sz w:val="32"/>
        </w:rPr>
        <w:t>2019</w:t>
      </w:r>
      <w:r>
        <w:rPr>
          <w:rFonts w:ascii="仿宋_GB2312" w:eastAsia="仿宋_GB2312" w:hAnsi="仿宋_GB2312" w:cs="仿宋_GB2312" w:hint="eastAsia"/>
          <w:color w:val="000000"/>
          <w:sz w:val="32"/>
        </w:rPr>
        <w:t>〕</w:t>
      </w:r>
      <w:r>
        <w:rPr>
          <w:rFonts w:ascii="仿宋_GB2312" w:eastAsia="仿宋_GB2312" w:hAnsi="仿宋_GB2312" w:cs="仿宋_GB2312" w:hint="eastAsia"/>
          <w:sz w:val="32"/>
        </w:rPr>
        <w:t>18号）、《中共四川省委办公厅、四川省人民政府办公厅关于印发&lt;四川省建立国土空</w:t>
      </w:r>
      <w:r>
        <w:rPr>
          <w:rFonts w:ascii="仿宋_GB2312" w:eastAsia="仿宋_GB2312" w:hAnsi="仿宋_GB2312" w:cs="仿宋_GB2312" w:hint="eastAsia"/>
          <w:spacing w:val="-20"/>
          <w:sz w:val="32"/>
        </w:rPr>
        <w:t>间</w:t>
      </w:r>
      <w:r>
        <w:rPr>
          <w:rFonts w:ascii="仿宋_GB2312" w:eastAsia="仿宋_GB2312" w:hAnsi="仿宋_GB2312" w:cs="仿宋_GB2312" w:hint="eastAsia"/>
          <w:spacing w:val="-8"/>
          <w:sz w:val="32"/>
        </w:rPr>
        <w:t>规划体系并监督实施的实施方案&gt;的通知》（</w:t>
      </w:r>
      <w:proofErr w:type="gramStart"/>
      <w:r>
        <w:rPr>
          <w:rFonts w:ascii="仿宋_GB2312" w:eastAsia="仿宋_GB2312" w:hAnsi="仿宋_GB2312" w:cs="仿宋_GB2312" w:hint="eastAsia"/>
          <w:spacing w:val="-20"/>
          <w:sz w:val="32"/>
        </w:rPr>
        <w:t>川委厅</w:t>
      </w:r>
      <w:proofErr w:type="gramEnd"/>
      <w:r>
        <w:rPr>
          <w:rFonts w:ascii="仿宋_GB2312" w:eastAsia="仿宋_GB2312" w:hAnsi="仿宋_GB2312" w:cs="仿宋_GB2312" w:hint="eastAsia"/>
          <w:color w:val="000000"/>
          <w:sz w:val="32"/>
        </w:rPr>
        <w:t>〔</w:t>
      </w:r>
      <w:r>
        <w:rPr>
          <w:rFonts w:ascii="仿宋_GB2312" w:eastAsia="仿宋_GB2312" w:hAnsi="仿宋_GB2312" w:cs="仿宋_GB2312" w:hint="eastAsia"/>
          <w:sz w:val="32"/>
        </w:rPr>
        <w:t>2020</w:t>
      </w:r>
      <w:r>
        <w:rPr>
          <w:rFonts w:ascii="仿宋_GB2312" w:eastAsia="仿宋_GB2312" w:hAnsi="仿宋_GB2312" w:cs="仿宋_GB2312" w:hint="eastAsia"/>
          <w:color w:val="000000"/>
          <w:sz w:val="32"/>
        </w:rPr>
        <w:t>〕</w:t>
      </w:r>
      <w:r>
        <w:rPr>
          <w:rFonts w:ascii="仿宋_GB2312" w:eastAsia="仿宋_GB2312" w:hAnsi="仿宋_GB2312" w:cs="仿宋_GB2312" w:hint="eastAsia"/>
          <w:sz w:val="32"/>
        </w:rPr>
        <w:t>8号）文件要求，为解决历史遗留规划编制问题，保障2022年相关规划的编制，我中心年初申报“规划编制设计费”项目，主要用于国土空间各类规划编制，</w:t>
      </w:r>
      <w:r>
        <w:rPr>
          <w:rFonts w:ascii="仿宋_GB2312" w:eastAsia="仿宋_GB2312" w:hAnsi="仿宋_GB2312" w:cs="仿宋_GB2312" w:hint="eastAsia"/>
          <w:color w:val="000000"/>
          <w:sz w:val="32"/>
        </w:rPr>
        <w:t>项目</w:t>
      </w:r>
      <w:r>
        <w:rPr>
          <w:rFonts w:ascii="仿宋_GB2312" w:eastAsia="仿宋_GB2312" w:hAnsi="仿宋_GB2312" w:cs="仿宋_GB2312" w:hint="eastAsia"/>
          <w:color w:val="000000"/>
          <w:sz w:val="32"/>
          <w:lang w:val="zh-CN"/>
        </w:rPr>
        <w:t>资金年初纳</w:t>
      </w:r>
      <w:r>
        <w:rPr>
          <w:rFonts w:ascii="仿宋_GB2312" w:eastAsia="仿宋_GB2312" w:hAnsi="仿宋_GB2312" w:cs="仿宋_GB2312" w:hint="eastAsia"/>
          <w:sz w:val="32"/>
          <w:lang w:val="zh-CN"/>
        </w:rPr>
        <w:t>入部门预算，由中心领导审核报市财政局审批，经市人大常委会批准下达</w:t>
      </w:r>
      <w:r>
        <w:rPr>
          <w:rFonts w:ascii="仿宋_GB2312" w:eastAsia="仿宋_GB2312" w:hAnsi="仿宋_GB2312" w:cs="仿宋_GB2312" w:hint="eastAsia"/>
          <w:sz w:val="32"/>
        </w:rPr>
        <w:t>179.216万元。</w:t>
      </w:r>
    </w:p>
    <w:p w:rsidR="003C6718" w:rsidRDefault="00E83E62">
      <w:pPr>
        <w:adjustRightInd w:val="0"/>
        <w:snapToGrid w:val="0"/>
        <w:spacing w:line="540" w:lineRule="exact"/>
        <w:ind w:firstLineChars="200" w:firstLine="643"/>
        <w:rPr>
          <w:rFonts w:ascii="仿宋_GB2312" w:eastAsia="仿宋_GB2312" w:hAnsi="宋体"/>
          <w:sz w:val="32"/>
          <w:lang w:val="zh-CN"/>
        </w:rPr>
      </w:pPr>
      <w:r>
        <w:rPr>
          <w:rFonts w:ascii="仿宋_GB2312" w:eastAsia="仿宋_GB2312" w:hAnsi="宋体" w:hint="eastAsia"/>
          <w:b/>
          <w:sz w:val="32"/>
        </w:rPr>
        <w:lastRenderedPageBreak/>
        <w:t>3.</w:t>
      </w:r>
      <w:r>
        <w:rPr>
          <w:rFonts w:ascii="仿宋_GB2312" w:eastAsia="仿宋_GB2312" w:hAnsi="宋体" w:hint="eastAsia"/>
          <w:b/>
          <w:sz w:val="32"/>
          <w:lang w:val="zh-CN"/>
        </w:rPr>
        <w:t>资金管理办法制定情况。</w:t>
      </w:r>
      <w:r>
        <w:rPr>
          <w:rFonts w:ascii="仿宋_GB2312" w:eastAsia="仿宋_GB2312" w:hAnsi="宋体" w:hint="eastAsia"/>
          <w:sz w:val="32"/>
        </w:rPr>
        <w:t>严格按照《广元市自然资源局财务管理制度（修订）》加强制度管理，规范使用资金。</w:t>
      </w:r>
      <w:r>
        <w:rPr>
          <w:rFonts w:ascii="仿宋_GB2312" w:eastAsia="仿宋_GB2312" w:hAnsi="宋体" w:hint="eastAsia"/>
          <w:sz w:val="32"/>
          <w:lang w:val="zh-CN"/>
        </w:rPr>
        <w:t>资金支持范围，主要用于开展规划编制工作。</w:t>
      </w:r>
    </w:p>
    <w:p w:rsidR="003C6718" w:rsidRDefault="00E83E62">
      <w:pPr>
        <w:spacing w:line="540" w:lineRule="exact"/>
        <w:ind w:firstLineChars="200" w:firstLine="643"/>
        <w:rPr>
          <w:rFonts w:ascii="仿宋_GB2312" w:eastAsia="仿宋_GB2312"/>
          <w:kern w:val="0"/>
          <w:sz w:val="32"/>
          <w:szCs w:val="32"/>
        </w:rPr>
      </w:pPr>
      <w:r>
        <w:rPr>
          <w:rFonts w:ascii="仿宋_GB2312" w:eastAsia="仿宋_GB2312" w:hAnsi="宋体" w:hint="eastAsia"/>
          <w:b/>
          <w:sz w:val="32"/>
        </w:rPr>
        <w:t>4.资金分配的原则及考虑因素。</w:t>
      </w:r>
      <w:r>
        <w:rPr>
          <w:rFonts w:ascii="仿宋_GB2312" w:eastAsia="仿宋_GB2312" w:hAnsi="仿宋" w:hint="eastAsia"/>
          <w:kern w:val="0"/>
          <w:sz w:val="32"/>
          <w:szCs w:val="32"/>
        </w:rPr>
        <w:t>该项目考虑规划方案编制的特殊性，约定按照各项目进度，采用分期付款方式，分阶段支付费用。</w:t>
      </w:r>
    </w:p>
    <w:p w:rsidR="003C6718" w:rsidRDefault="00E83E62">
      <w:pPr>
        <w:adjustRightInd w:val="0"/>
        <w:snapToGrid w:val="0"/>
        <w:spacing w:line="540" w:lineRule="exact"/>
        <w:ind w:firstLineChars="200" w:firstLine="643"/>
        <w:rPr>
          <w:rFonts w:ascii="楷体_GB2312" w:eastAsia="楷体_GB2312"/>
          <w:b/>
          <w:sz w:val="32"/>
          <w:szCs w:val="32"/>
        </w:rPr>
      </w:pPr>
      <w:r>
        <w:rPr>
          <w:rFonts w:ascii="楷体_GB2312" w:eastAsia="楷体_GB2312" w:hint="eastAsia"/>
          <w:b/>
          <w:sz w:val="32"/>
          <w:szCs w:val="32"/>
        </w:rPr>
        <w:t>（二）项目绩效目标</w:t>
      </w:r>
    </w:p>
    <w:p w:rsidR="003C6718" w:rsidRDefault="00E83E62">
      <w:pPr>
        <w:widowControl/>
        <w:spacing w:line="540" w:lineRule="exact"/>
        <w:ind w:firstLineChars="200" w:firstLine="643"/>
        <w:rPr>
          <w:rFonts w:ascii="仿宋_GB2312" w:eastAsia="仿宋_GB2312" w:hAnsi="宋体"/>
          <w:sz w:val="32"/>
          <w:lang w:val="zh-CN"/>
        </w:rPr>
      </w:pPr>
      <w:r>
        <w:rPr>
          <w:rFonts w:ascii="仿宋_GB2312" w:eastAsia="仿宋_GB2312" w:hAnsi="宋体" w:hint="eastAsia"/>
          <w:b/>
          <w:sz w:val="32"/>
        </w:rPr>
        <w:t>1.</w:t>
      </w:r>
      <w:r>
        <w:rPr>
          <w:rFonts w:ascii="仿宋_GB2312" w:eastAsia="仿宋_GB2312" w:hAnsi="宋体" w:hint="eastAsia"/>
          <w:b/>
          <w:sz w:val="32"/>
          <w:lang w:val="zh-CN"/>
        </w:rPr>
        <w:t>项目主要内容。</w:t>
      </w:r>
      <w:r>
        <w:rPr>
          <w:rFonts w:ascii="仿宋_GB2312" w:eastAsia="仿宋_GB2312" w:hAnsi="宋体" w:hint="eastAsia"/>
          <w:sz w:val="32"/>
          <w:lang w:val="zh-CN"/>
        </w:rPr>
        <w:t>完成广元市东坝片区DB（I.A）-c-05-5、DB（I.A）-c-07-1地块调整论证报告，提升行政中心景观形象，改善片区停车问题；完成2021年度广元市国土空间规划城市体检报告，</w:t>
      </w:r>
      <w:proofErr w:type="gramStart"/>
      <w:r>
        <w:rPr>
          <w:rFonts w:ascii="仿宋_GB2312" w:eastAsia="仿宋_GB2312" w:hAnsi="宋体" w:hint="eastAsia"/>
          <w:sz w:val="32"/>
          <w:lang w:val="zh-CN"/>
        </w:rPr>
        <w:t>研</w:t>
      </w:r>
      <w:proofErr w:type="gramEnd"/>
      <w:r>
        <w:rPr>
          <w:rFonts w:ascii="仿宋_GB2312" w:eastAsia="仿宋_GB2312" w:hAnsi="宋体" w:hint="eastAsia"/>
          <w:sz w:val="32"/>
          <w:lang w:val="zh-CN"/>
        </w:rPr>
        <w:t>判城市规划问题，提出应对策略，为国土空间规划编制提供支撑；完成广元市城南、城西、城东片区控制性详细规划合同遗留问题处置，收集最新阶段规划成果，为下一步详细规划编制提供支撑，严格按照法定程序启动中心城区控</w:t>
      </w:r>
      <w:proofErr w:type="gramStart"/>
      <w:r>
        <w:rPr>
          <w:rFonts w:ascii="仿宋_GB2312" w:eastAsia="仿宋_GB2312" w:hAnsi="宋体" w:hint="eastAsia"/>
          <w:sz w:val="32"/>
          <w:lang w:val="zh-CN"/>
        </w:rPr>
        <w:t>规</w:t>
      </w:r>
      <w:proofErr w:type="gramEnd"/>
      <w:r>
        <w:rPr>
          <w:rFonts w:ascii="仿宋_GB2312" w:eastAsia="仿宋_GB2312" w:hAnsi="宋体" w:hint="eastAsia"/>
          <w:sz w:val="32"/>
          <w:lang w:val="zh-CN"/>
        </w:rPr>
        <w:t>调整、专项规划调整、总体规划调整。</w:t>
      </w:r>
    </w:p>
    <w:p w:rsidR="003C6718" w:rsidRDefault="00E83E62">
      <w:pPr>
        <w:widowControl/>
        <w:spacing w:line="540" w:lineRule="exact"/>
        <w:ind w:firstLineChars="200" w:firstLine="643"/>
        <w:rPr>
          <w:rFonts w:ascii="仿宋_GB2312" w:eastAsia="仿宋_GB2312" w:hAnsi="宋体" w:cs="仿宋_GB2312"/>
          <w:color w:val="000000"/>
          <w:kern w:val="0"/>
          <w:sz w:val="32"/>
          <w:szCs w:val="32"/>
        </w:rPr>
      </w:pPr>
      <w:r>
        <w:rPr>
          <w:rFonts w:ascii="仿宋_GB2312" w:eastAsia="仿宋_GB2312" w:hAnsi="宋体" w:hint="eastAsia"/>
          <w:b/>
          <w:sz w:val="32"/>
        </w:rPr>
        <w:t>2.项目应实现的具体绩效目标。</w:t>
      </w:r>
      <w:r>
        <w:rPr>
          <w:rFonts w:ascii="仿宋_GB2312" w:eastAsia="仿宋_GB2312" w:hAnsi="宋体" w:cs="仿宋_GB2312" w:hint="eastAsia"/>
          <w:color w:val="000000"/>
          <w:kern w:val="0"/>
          <w:sz w:val="32"/>
          <w:szCs w:val="32"/>
        </w:rPr>
        <w:t>2022年12月31日前，完成控制性详细规划编制3个、中心城区控制性详细规划调整7块、总体规划调整2项、专项规划编制1项、雕塑方案编制1项、城市体检报告1个。</w:t>
      </w:r>
    </w:p>
    <w:p w:rsidR="003C6718" w:rsidRDefault="00E83E62">
      <w:pPr>
        <w:widowControl/>
        <w:spacing w:line="540" w:lineRule="exact"/>
        <w:ind w:firstLineChars="200" w:firstLine="643"/>
        <w:rPr>
          <w:rFonts w:ascii="仿宋_GB2312" w:eastAsia="仿宋_GB2312" w:hAnsi="宋体" w:cs="仿宋_GB2312"/>
          <w:color w:val="000000"/>
          <w:kern w:val="0"/>
          <w:sz w:val="32"/>
          <w:szCs w:val="32"/>
        </w:rPr>
      </w:pPr>
      <w:r>
        <w:rPr>
          <w:rFonts w:ascii="仿宋_GB2312" w:eastAsia="仿宋_GB2312" w:hAnsi="宋体" w:hint="eastAsia"/>
          <w:b/>
          <w:sz w:val="32"/>
        </w:rPr>
        <w:t>3.申报内容是否与实际相符。</w:t>
      </w:r>
      <w:r>
        <w:rPr>
          <w:rFonts w:ascii="仿宋_GB2312" w:eastAsia="仿宋_GB2312" w:hAnsi="宋体" w:cs="仿宋_GB2312" w:hint="eastAsia"/>
          <w:color w:val="000000"/>
          <w:kern w:val="0"/>
          <w:sz w:val="32"/>
          <w:szCs w:val="32"/>
        </w:rPr>
        <w:t>该项目申报内容与实际工作内容、项目绩效目标完成情况和经费用途相符，申报绩效目标合理可行。</w:t>
      </w:r>
    </w:p>
    <w:p w:rsidR="003C6718" w:rsidRDefault="00E83E62">
      <w:pPr>
        <w:adjustRightInd w:val="0"/>
        <w:snapToGrid w:val="0"/>
        <w:spacing w:line="540" w:lineRule="exact"/>
        <w:ind w:firstLineChars="200" w:firstLine="643"/>
        <w:rPr>
          <w:rFonts w:ascii="仿宋_GB2312" w:eastAsia="仿宋_GB2312" w:hAnsi="宋体"/>
          <w:sz w:val="32"/>
          <w:lang w:val="zh-CN"/>
        </w:rPr>
      </w:pPr>
      <w:r>
        <w:rPr>
          <w:rFonts w:ascii="楷体_GB2312" w:eastAsia="楷体_GB2312" w:hint="eastAsia"/>
          <w:b/>
          <w:sz w:val="32"/>
          <w:szCs w:val="32"/>
        </w:rPr>
        <w:t>（三）项目自评步骤及方法。</w:t>
      </w:r>
      <w:r>
        <w:rPr>
          <w:rFonts w:ascii="仿宋_GB2312" w:eastAsia="仿宋_GB2312" w:hAnsi="宋体" w:hint="eastAsia"/>
          <w:sz w:val="32"/>
          <w:lang w:val="zh-CN"/>
        </w:rPr>
        <w:t>对照《2023年市级专项预算</w:t>
      </w:r>
      <w:r>
        <w:rPr>
          <w:rFonts w:ascii="仿宋_GB2312" w:eastAsia="仿宋_GB2312" w:hAnsi="宋体" w:hint="eastAsia"/>
          <w:sz w:val="32"/>
          <w:lang w:val="zh-CN"/>
        </w:rPr>
        <w:lastRenderedPageBreak/>
        <w:t>项目支出绩效评价指标体系》，对202</w:t>
      </w:r>
      <w:r>
        <w:rPr>
          <w:rFonts w:ascii="仿宋_GB2312" w:eastAsia="仿宋_GB2312" w:hAnsi="宋体" w:hint="eastAsia"/>
          <w:sz w:val="32"/>
        </w:rPr>
        <w:t>2</w:t>
      </w:r>
      <w:r>
        <w:rPr>
          <w:rFonts w:ascii="仿宋_GB2312" w:eastAsia="仿宋_GB2312" w:hAnsi="宋体" w:hint="eastAsia"/>
          <w:sz w:val="32"/>
          <w:lang w:val="zh-CN"/>
        </w:rPr>
        <w:t>年预算编制和执行情况、财政资金收支管理情况以及项目资金管理情况逐一核实、打分。</w:t>
      </w:r>
    </w:p>
    <w:p w:rsidR="003C6718" w:rsidRDefault="00E83E62">
      <w:pPr>
        <w:spacing w:line="540" w:lineRule="exact"/>
        <w:ind w:firstLineChars="200" w:firstLine="640"/>
        <w:rPr>
          <w:rFonts w:ascii="黑体" w:eastAsia="黑体" w:hAnsi="黑体"/>
          <w:kern w:val="0"/>
          <w:sz w:val="32"/>
          <w:szCs w:val="32"/>
        </w:rPr>
      </w:pPr>
      <w:r>
        <w:rPr>
          <w:rFonts w:ascii="黑体" w:eastAsia="黑体" w:hAnsi="黑体" w:hint="eastAsia"/>
          <w:kern w:val="0"/>
          <w:sz w:val="32"/>
          <w:szCs w:val="32"/>
        </w:rPr>
        <w:t>二、项目资金申报及使用情况</w:t>
      </w:r>
    </w:p>
    <w:p w:rsidR="003C6718" w:rsidRDefault="00E83E62">
      <w:pPr>
        <w:adjustRightInd w:val="0"/>
        <w:snapToGrid w:val="0"/>
        <w:spacing w:line="540" w:lineRule="exact"/>
        <w:ind w:firstLine="720"/>
        <w:rPr>
          <w:rFonts w:ascii="仿宋_GB2312" w:eastAsia="仿宋_GB2312" w:hAnsi="宋体"/>
          <w:sz w:val="32"/>
        </w:rPr>
      </w:pPr>
      <w:r>
        <w:rPr>
          <w:rFonts w:ascii="楷体_GB2312" w:eastAsia="楷体_GB2312" w:hint="eastAsia"/>
          <w:b/>
          <w:sz w:val="32"/>
          <w:szCs w:val="32"/>
        </w:rPr>
        <w:t>（一）项目资金申报及批复情况。</w:t>
      </w:r>
      <w:r>
        <w:rPr>
          <w:rFonts w:ascii="仿宋_GB2312" w:eastAsia="仿宋_GB2312" w:hAnsi="宋体" w:hint="eastAsia"/>
          <w:sz w:val="32"/>
          <w:lang w:val="zh-CN"/>
        </w:rPr>
        <w:t>该项目资金年初纳入部门预算，由中心领导审核报市财政局审批，经市人大常委会批准下达</w:t>
      </w:r>
      <w:r>
        <w:rPr>
          <w:rFonts w:ascii="仿宋_GB2312" w:eastAsia="仿宋_GB2312" w:hAnsi="仿宋_GB2312" w:cs="仿宋_GB2312" w:hint="eastAsia"/>
          <w:sz w:val="32"/>
        </w:rPr>
        <w:t>179.216</w:t>
      </w:r>
      <w:r>
        <w:rPr>
          <w:rFonts w:ascii="仿宋_GB2312" w:eastAsia="仿宋_GB2312" w:hAnsi="宋体" w:hint="eastAsia"/>
          <w:sz w:val="32"/>
        </w:rPr>
        <w:t>万元，当年无</w:t>
      </w:r>
      <w:r>
        <w:rPr>
          <w:rFonts w:ascii="仿宋_GB2312" w:eastAsia="仿宋_GB2312" w:hAnsi="宋体" w:hint="eastAsia"/>
          <w:sz w:val="32"/>
          <w:lang w:val="zh-CN"/>
        </w:rPr>
        <w:t>预算调整</w:t>
      </w:r>
      <w:r>
        <w:rPr>
          <w:rFonts w:ascii="仿宋_GB2312" w:eastAsia="仿宋_GB2312" w:hAnsi="宋体" w:hint="eastAsia"/>
          <w:sz w:val="32"/>
        </w:rPr>
        <w:t>。</w:t>
      </w:r>
    </w:p>
    <w:p w:rsidR="003C6718" w:rsidRDefault="00E83E62">
      <w:pPr>
        <w:adjustRightInd w:val="0"/>
        <w:snapToGrid w:val="0"/>
        <w:spacing w:line="540" w:lineRule="exact"/>
        <w:ind w:firstLine="720"/>
        <w:rPr>
          <w:rFonts w:ascii="楷体_GB2312" w:eastAsia="楷体_GB2312"/>
          <w:b/>
          <w:sz w:val="32"/>
          <w:szCs w:val="32"/>
        </w:rPr>
      </w:pPr>
      <w:r>
        <w:rPr>
          <w:rFonts w:ascii="楷体_GB2312" w:eastAsia="楷体_GB2312" w:hint="eastAsia"/>
          <w:b/>
          <w:sz w:val="32"/>
          <w:szCs w:val="32"/>
        </w:rPr>
        <w:t>（二）资金计划、到位及使用情况</w:t>
      </w:r>
    </w:p>
    <w:p w:rsidR="003C6718" w:rsidRDefault="00E83E62">
      <w:pPr>
        <w:adjustRightInd w:val="0"/>
        <w:snapToGrid w:val="0"/>
        <w:spacing w:line="540" w:lineRule="exact"/>
        <w:ind w:firstLineChars="200" w:firstLine="643"/>
        <w:rPr>
          <w:rFonts w:ascii="仿宋_GB2312" w:eastAsia="仿宋_GB2312" w:hAnsi="宋体"/>
          <w:sz w:val="32"/>
          <w:lang w:val="zh-CN"/>
        </w:rPr>
      </w:pPr>
      <w:r>
        <w:rPr>
          <w:rFonts w:ascii="仿宋_GB2312" w:eastAsia="仿宋_GB2312" w:hint="eastAsia"/>
          <w:b/>
          <w:sz w:val="32"/>
          <w:szCs w:val="32"/>
        </w:rPr>
        <w:t>1.资金计划。</w:t>
      </w:r>
      <w:r>
        <w:rPr>
          <w:rFonts w:ascii="仿宋_GB2312" w:eastAsia="仿宋_GB2312" w:hAnsi="宋体" w:hint="eastAsia"/>
          <w:sz w:val="32"/>
          <w:lang w:val="zh-CN"/>
        </w:rPr>
        <w:t>年初预算</w:t>
      </w:r>
      <w:r>
        <w:rPr>
          <w:rFonts w:ascii="仿宋_GB2312" w:eastAsia="仿宋_GB2312" w:hAnsi="仿宋_GB2312" w:cs="仿宋_GB2312" w:hint="eastAsia"/>
          <w:sz w:val="32"/>
        </w:rPr>
        <w:t>179.216</w:t>
      </w:r>
      <w:r>
        <w:rPr>
          <w:rFonts w:ascii="仿宋_GB2312" w:eastAsia="仿宋_GB2312" w:hAnsi="宋体" w:hint="eastAsia"/>
          <w:sz w:val="32"/>
          <w:lang w:val="zh-CN"/>
        </w:rPr>
        <w:t>万元，其中中央、省财政资金0万元，市财政资金</w:t>
      </w:r>
      <w:r>
        <w:rPr>
          <w:rFonts w:ascii="仿宋_GB2312" w:eastAsia="仿宋_GB2312" w:hAnsi="仿宋_GB2312" w:cs="仿宋_GB2312" w:hint="eastAsia"/>
          <w:sz w:val="32"/>
        </w:rPr>
        <w:t>179.216</w:t>
      </w:r>
      <w:r>
        <w:rPr>
          <w:rFonts w:ascii="仿宋_GB2312" w:eastAsia="仿宋_GB2312" w:hAnsi="宋体" w:hint="eastAsia"/>
          <w:sz w:val="32"/>
          <w:lang w:val="zh-CN"/>
        </w:rPr>
        <w:t>万元，项目单位自筹资金0万元，其他渠道资金0万元。</w:t>
      </w:r>
    </w:p>
    <w:p w:rsidR="003C6718" w:rsidRDefault="00E83E62">
      <w:pPr>
        <w:adjustRightInd w:val="0"/>
        <w:snapToGrid w:val="0"/>
        <w:spacing w:line="540" w:lineRule="exact"/>
        <w:ind w:firstLineChars="200" w:firstLine="643"/>
        <w:rPr>
          <w:rFonts w:ascii="仿宋_GB2312" w:eastAsia="仿宋_GB2312" w:hAnsi="宋体"/>
          <w:sz w:val="32"/>
          <w:lang w:val="zh-CN"/>
        </w:rPr>
      </w:pPr>
      <w:r>
        <w:rPr>
          <w:rFonts w:ascii="仿宋_GB2312" w:eastAsia="仿宋_GB2312" w:hint="eastAsia"/>
          <w:b/>
          <w:sz w:val="32"/>
          <w:szCs w:val="32"/>
        </w:rPr>
        <w:t>2.资金到位。</w:t>
      </w:r>
      <w:r>
        <w:rPr>
          <w:rFonts w:ascii="仿宋_GB2312" w:eastAsia="仿宋_GB2312" w:hAnsi="宋体" w:hint="eastAsia"/>
          <w:sz w:val="32"/>
          <w:lang w:val="zh-CN"/>
        </w:rPr>
        <w:t>该项目资金到位</w:t>
      </w:r>
      <w:r>
        <w:rPr>
          <w:rFonts w:ascii="仿宋_GB2312" w:eastAsia="仿宋_GB2312" w:hAnsi="仿宋_GB2312" w:cs="仿宋_GB2312" w:hint="eastAsia"/>
          <w:sz w:val="32"/>
        </w:rPr>
        <w:t>179.216</w:t>
      </w:r>
      <w:r>
        <w:rPr>
          <w:rFonts w:ascii="仿宋_GB2312" w:eastAsia="仿宋_GB2312" w:hAnsi="宋体" w:hint="eastAsia"/>
          <w:sz w:val="32"/>
        </w:rPr>
        <w:t>万元</w:t>
      </w:r>
      <w:r>
        <w:rPr>
          <w:rFonts w:ascii="仿宋_GB2312" w:eastAsia="仿宋_GB2312" w:hAnsi="宋体" w:hint="eastAsia"/>
          <w:sz w:val="32"/>
          <w:lang w:val="zh-CN"/>
        </w:rPr>
        <w:t>。其中中央、省财政资金</w:t>
      </w:r>
      <w:r>
        <w:rPr>
          <w:rFonts w:ascii="仿宋_GB2312" w:eastAsia="仿宋_GB2312" w:hAnsi="宋体" w:hint="eastAsia"/>
          <w:sz w:val="32"/>
        </w:rPr>
        <w:t>0万元，</w:t>
      </w:r>
      <w:r>
        <w:rPr>
          <w:rFonts w:ascii="仿宋_GB2312" w:eastAsia="仿宋_GB2312" w:hAnsi="宋体" w:hint="eastAsia"/>
          <w:sz w:val="32"/>
          <w:lang w:val="zh-CN"/>
        </w:rPr>
        <w:t>市财政资金</w:t>
      </w:r>
      <w:r>
        <w:rPr>
          <w:rFonts w:ascii="仿宋_GB2312" w:eastAsia="仿宋_GB2312" w:hAnsi="仿宋_GB2312" w:cs="仿宋_GB2312" w:hint="eastAsia"/>
          <w:sz w:val="32"/>
        </w:rPr>
        <w:t>179.216</w:t>
      </w:r>
      <w:r>
        <w:rPr>
          <w:rFonts w:ascii="仿宋_GB2312" w:eastAsia="仿宋_GB2312" w:hAnsi="宋体" w:hint="eastAsia"/>
          <w:sz w:val="32"/>
        </w:rPr>
        <w:t>万元</w:t>
      </w:r>
      <w:r>
        <w:rPr>
          <w:rFonts w:ascii="仿宋_GB2312" w:eastAsia="仿宋_GB2312" w:hAnsi="宋体" w:hint="eastAsia"/>
          <w:sz w:val="32"/>
          <w:lang w:val="zh-CN"/>
        </w:rPr>
        <w:t>，项目单位自筹资金</w:t>
      </w:r>
      <w:r>
        <w:rPr>
          <w:rFonts w:ascii="仿宋_GB2312" w:eastAsia="仿宋_GB2312" w:hAnsi="宋体" w:hint="eastAsia"/>
          <w:sz w:val="32"/>
        </w:rPr>
        <w:t>0万元，</w:t>
      </w:r>
      <w:r>
        <w:rPr>
          <w:rFonts w:ascii="仿宋_GB2312" w:eastAsia="仿宋_GB2312" w:hAnsi="宋体" w:hint="eastAsia"/>
          <w:sz w:val="32"/>
          <w:lang w:val="zh-CN"/>
        </w:rPr>
        <w:t>其他渠道资金</w:t>
      </w:r>
      <w:r>
        <w:rPr>
          <w:rFonts w:ascii="仿宋_GB2312" w:eastAsia="仿宋_GB2312" w:hAnsi="宋体" w:hint="eastAsia"/>
          <w:sz w:val="32"/>
        </w:rPr>
        <w:t>0万元</w:t>
      </w:r>
      <w:r>
        <w:rPr>
          <w:rFonts w:ascii="仿宋_GB2312" w:eastAsia="仿宋_GB2312" w:hAnsi="宋体" w:hint="eastAsia"/>
          <w:sz w:val="32"/>
          <w:lang w:val="zh-CN"/>
        </w:rPr>
        <w:t>。</w:t>
      </w:r>
    </w:p>
    <w:p w:rsidR="003C6718" w:rsidRDefault="00E83E62">
      <w:pPr>
        <w:adjustRightInd w:val="0"/>
        <w:snapToGrid w:val="0"/>
        <w:spacing w:line="540" w:lineRule="exact"/>
        <w:ind w:firstLine="720"/>
        <w:rPr>
          <w:rFonts w:ascii="仿宋_GB2312" w:eastAsia="仿宋_GB2312" w:hAnsi="宋体"/>
          <w:sz w:val="32"/>
          <w:lang w:val="zh-CN"/>
        </w:rPr>
      </w:pPr>
      <w:r>
        <w:rPr>
          <w:rFonts w:ascii="仿宋_GB2312" w:eastAsia="仿宋_GB2312" w:hint="eastAsia"/>
          <w:b/>
          <w:sz w:val="32"/>
          <w:szCs w:val="32"/>
        </w:rPr>
        <w:t>3.资金使用。</w:t>
      </w:r>
      <w:r>
        <w:rPr>
          <w:rFonts w:ascii="仿宋_GB2312" w:eastAsia="仿宋_GB2312" w:hAnsi="宋体" w:hint="eastAsia"/>
          <w:sz w:val="32"/>
          <w:lang w:val="zh-CN"/>
        </w:rPr>
        <w:t>截止评价时该项目支出</w:t>
      </w:r>
      <w:r>
        <w:rPr>
          <w:rFonts w:ascii="仿宋_GB2312" w:eastAsia="仿宋_GB2312" w:hAnsi="仿宋_GB2312" w:cs="仿宋_GB2312" w:hint="eastAsia"/>
          <w:sz w:val="32"/>
        </w:rPr>
        <w:t>179.216</w:t>
      </w:r>
      <w:r>
        <w:rPr>
          <w:rFonts w:ascii="仿宋_GB2312" w:eastAsia="仿宋_GB2312" w:hAnsi="宋体" w:hint="eastAsia"/>
          <w:sz w:val="32"/>
        </w:rPr>
        <w:t>万元，预算完成率100%。</w:t>
      </w:r>
      <w:r>
        <w:rPr>
          <w:rFonts w:ascii="仿宋_GB2312" w:eastAsia="仿宋_GB2312" w:hAnsi="宋体" w:hint="eastAsia"/>
          <w:sz w:val="32"/>
          <w:lang w:val="zh-CN"/>
        </w:rPr>
        <w:t>资金使用安全，符合规定，资金支付范围、支付标准、支付进度、支付依据等合</w:t>
      </w:r>
      <w:proofErr w:type="gramStart"/>
      <w:r>
        <w:rPr>
          <w:rFonts w:ascii="仿宋_GB2312" w:eastAsia="仿宋_GB2312" w:hAnsi="宋体" w:hint="eastAsia"/>
          <w:sz w:val="32"/>
          <w:lang w:val="zh-CN"/>
        </w:rPr>
        <w:t>规</w:t>
      </w:r>
      <w:proofErr w:type="gramEnd"/>
      <w:r>
        <w:rPr>
          <w:rFonts w:ascii="仿宋_GB2312" w:eastAsia="仿宋_GB2312" w:hAnsi="宋体" w:hint="eastAsia"/>
          <w:sz w:val="32"/>
          <w:lang w:val="zh-CN"/>
        </w:rPr>
        <w:t>合法，与预算相符。</w:t>
      </w:r>
    </w:p>
    <w:p w:rsidR="003C6718" w:rsidRDefault="00E83E62">
      <w:pPr>
        <w:adjustRightInd w:val="0"/>
        <w:snapToGrid w:val="0"/>
        <w:spacing w:line="540" w:lineRule="exact"/>
        <w:ind w:firstLine="720"/>
        <w:rPr>
          <w:rFonts w:ascii="仿宋_GB2312" w:eastAsia="仿宋_GB2312" w:hAnsi="宋体"/>
          <w:sz w:val="32"/>
          <w:lang w:val="zh-CN"/>
        </w:rPr>
      </w:pPr>
      <w:r>
        <w:rPr>
          <w:rFonts w:ascii="楷体_GB2312" w:eastAsia="楷体_GB2312" w:hint="eastAsia"/>
          <w:b/>
          <w:sz w:val="32"/>
          <w:szCs w:val="32"/>
        </w:rPr>
        <w:t>（三）项目财务管理情况。</w:t>
      </w:r>
      <w:r>
        <w:rPr>
          <w:rFonts w:ascii="仿宋_GB2312" w:eastAsia="仿宋_GB2312" w:hint="eastAsia"/>
          <w:sz w:val="32"/>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rsidR="003C6718" w:rsidRDefault="00E83E62">
      <w:pPr>
        <w:spacing w:line="540" w:lineRule="exact"/>
        <w:ind w:firstLineChars="200" w:firstLine="640"/>
        <w:rPr>
          <w:rFonts w:ascii="黑体" w:eastAsia="黑体" w:hAnsi="黑体"/>
          <w:kern w:val="0"/>
          <w:sz w:val="32"/>
          <w:szCs w:val="32"/>
        </w:rPr>
      </w:pPr>
      <w:r>
        <w:rPr>
          <w:rFonts w:ascii="黑体" w:eastAsia="黑体" w:hAnsi="黑体" w:hint="eastAsia"/>
          <w:kern w:val="0"/>
          <w:sz w:val="32"/>
          <w:szCs w:val="32"/>
        </w:rPr>
        <w:t>三、项目实施及管理情况</w:t>
      </w:r>
    </w:p>
    <w:p w:rsidR="003C6718" w:rsidRDefault="00E83E62">
      <w:pPr>
        <w:adjustRightInd w:val="0"/>
        <w:snapToGrid w:val="0"/>
        <w:spacing w:line="540" w:lineRule="exact"/>
        <w:ind w:firstLine="720"/>
        <w:rPr>
          <w:rFonts w:ascii="仿宋_GB2312" w:eastAsia="仿宋_GB2312"/>
          <w:sz w:val="32"/>
          <w:lang w:val="zh-CN"/>
        </w:rPr>
      </w:pPr>
      <w:r>
        <w:rPr>
          <w:rFonts w:ascii="楷体_GB2312" w:eastAsia="楷体_GB2312" w:hint="eastAsia"/>
          <w:b/>
          <w:sz w:val="32"/>
          <w:szCs w:val="32"/>
        </w:rPr>
        <w:lastRenderedPageBreak/>
        <w:t>（一）项目组织架构及实施流程。</w:t>
      </w:r>
      <w:r>
        <w:rPr>
          <w:rFonts w:ascii="仿宋_GB2312" w:eastAsia="仿宋_GB2312" w:hint="eastAsia"/>
          <w:sz w:val="32"/>
          <w:lang w:val="zh-CN"/>
        </w:rPr>
        <w:t>该项目主要用于维护</w:t>
      </w:r>
      <w:r>
        <w:rPr>
          <w:rFonts w:ascii="仿宋_GB2312" w:eastAsia="仿宋_GB2312" w:hAnsi="宋体" w:hint="eastAsia"/>
          <w:sz w:val="32"/>
          <w:lang w:val="zh-CN"/>
        </w:rPr>
        <w:t>国土空间规划编制工作</w:t>
      </w:r>
      <w:r>
        <w:rPr>
          <w:rFonts w:ascii="仿宋_GB2312" w:eastAsia="仿宋_GB2312" w:hint="eastAsia"/>
          <w:sz w:val="32"/>
          <w:lang w:val="zh-CN"/>
        </w:rPr>
        <w:t>日常运转，项目支付纳入部门预算统一核算监督，按照单位业务流程完成年初项目计划，按照单位财务管理制度支付资金，全年无招投标及政府采购支付情况。</w:t>
      </w:r>
    </w:p>
    <w:p w:rsidR="003C6718" w:rsidRDefault="00E83E62">
      <w:pPr>
        <w:adjustRightInd w:val="0"/>
        <w:snapToGrid w:val="0"/>
        <w:spacing w:line="540" w:lineRule="exact"/>
        <w:ind w:firstLine="720"/>
        <w:rPr>
          <w:rFonts w:ascii="仿宋_GB2312" w:eastAsia="仿宋_GB2312" w:hAnsi="宋体"/>
          <w:sz w:val="32"/>
          <w:lang w:val="zh-CN"/>
        </w:rPr>
      </w:pPr>
      <w:r>
        <w:rPr>
          <w:rFonts w:ascii="楷体_GB2312" w:eastAsia="楷体_GB2312" w:hint="eastAsia"/>
          <w:b/>
          <w:sz w:val="32"/>
          <w:szCs w:val="32"/>
        </w:rPr>
        <w:t>（二）项目管理情况。</w:t>
      </w:r>
      <w:r>
        <w:rPr>
          <w:rFonts w:ascii="仿宋_GB2312" w:eastAsia="仿宋_GB2312" w:hint="eastAsia"/>
          <w:sz w:val="32"/>
          <w:lang w:val="zh-CN"/>
        </w:rPr>
        <w:t>我中心严格按照</w:t>
      </w:r>
      <w:proofErr w:type="gramStart"/>
      <w:r>
        <w:rPr>
          <w:rFonts w:ascii="仿宋_GB2312" w:eastAsia="仿宋_GB2312" w:hint="eastAsia"/>
          <w:sz w:val="32"/>
          <w:lang w:val="zh-CN"/>
        </w:rPr>
        <w:t>代管部</w:t>
      </w:r>
      <w:proofErr w:type="gramEnd"/>
      <w:r>
        <w:rPr>
          <w:rFonts w:ascii="仿宋_GB2312" w:eastAsia="仿宋_GB2312" w:hint="eastAsia"/>
          <w:sz w:val="32"/>
          <w:lang w:val="zh-CN"/>
        </w:rPr>
        <w:t>门市自然资源局《广元市自然资源局财务管理制度（修订）》加强制度管理，规范使用资金，为项目资金的使用管理提供制度保障。全年无招投标及政府采购支付情况。</w:t>
      </w:r>
    </w:p>
    <w:p w:rsidR="003C6718" w:rsidRDefault="00E83E62">
      <w:pPr>
        <w:spacing w:line="540" w:lineRule="exact"/>
        <w:ind w:firstLineChars="200" w:firstLine="643"/>
        <w:rPr>
          <w:rFonts w:ascii="仿宋_GB2312" w:eastAsia="仿宋_GB2312"/>
          <w:sz w:val="32"/>
          <w:szCs w:val="32"/>
        </w:rPr>
      </w:pPr>
      <w:r>
        <w:rPr>
          <w:rFonts w:ascii="楷体_GB2312" w:eastAsia="楷体_GB2312" w:hint="eastAsia"/>
          <w:b/>
          <w:sz w:val="32"/>
          <w:szCs w:val="32"/>
        </w:rPr>
        <w:t>（三）项目监管情况。</w:t>
      </w:r>
      <w:r>
        <w:rPr>
          <w:rFonts w:ascii="仿宋_GB2312" w:eastAsia="仿宋_GB2312" w:hint="eastAsia"/>
          <w:sz w:val="32"/>
          <w:szCs w:val="32"/>
        </w:rPr>
        <w:t>项目申报通过中心主任办公会讨论研究后，上报</w:t>
      </w:r>
      <w:r>
        <w:rPr>
          <w:rFonts w:ascii="仿宋_GB2312" w:eastAsia="仿宋_GB2312" w:hint="eastAsia"/>
          <w:sz w:val="32"/>
          <w:lang w:val="zh-CN"/>
        </w:rPr>
        <w:t>市自然资源</w:t>
      </w:r>
      <w:r>
        <w:rPr>
          <w:rFonts w:ascii="仿宋_GB2312" w:eastAsia="仿宋_GB2312" w:hint="eastAsia"/>
          <w:sz w:val="32"/>
          <w:szCs w:val="32"/>
        </w:rPr>
        <w:t>局党委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rsidR="003C6718" w:rsidRDefault="00E83E62">
      <w:pPr>
        <w:spacing w:line="540" w:lineRule="exact"/>
        <w:ind w:firstLineChars="200" w:firstLine="640"/>
        <w:rPr>
          <w:rFonts w:ascii="黑体" w:eastAsia="黑体" w:hAnsi="黑体"/>
          <w:kern w:val="0"/>
          <w:sz w:val="32"/>
          <w:szCs w:val="32"/>
        </w:rPr>
      </w:pPr>
      <w:r>
        <w:rPr>
          <w:rFonts w:ascii="黑体" w:eastAsia="黑体" w:hAnsi="黑体" w:hint="eastAsia"/>
          <w:kern w:val="0"/>
          <w:sz w:val="32"/>
          <w:szCs w:val="32"/>
        </w:rPr>
        <w:t>四、项目绩效情况</w:t>
      </w:r>
    </w:p>
    <w:p w:rsidR="003C6718" w:rsidRDefault="00E83E62">
      <w:pPr>
        <w:widowControl/>
        <w:spacing w:line="540" w:lineRule="exact"/>
        <w:ind w:firstLineChars="200" w:firstLine="643"/>
        <w:rPr>
          <w:rFonts w:ascii="仿宋_GB2312" w:eastAsia="仿宋_GB2312" w:hAnsi="宋体" w:cs="仿宋_GB2312"/>
          <w:color w:val="000000"/>
          <w:kern w:val="0"/>
          <w:sz w:val="32"/>
          <w:szCs w:val="32"/>
        </w:rPr>
      </w:pPr>
      <w:r>
        <w:rPr>
          <w:rFonts w:ascii="楷体_GB2312" w:eastAsia="楷体_GB2312" w:hint="eastAsia"/>
          <w:b/>
          <w:sz w:val="32"/>
          <w:szCs w:val="32"/>
        </w:rPr>
        <w:t>（一）项目完成情况。</w:t>
      </w:r>
      <w:r>
        <w:rPr>
          <w:rFonts w:eastAsia="仿宋_GB2312" w:hint="eastAsia"/>
          <w:sz w:val="32"/>
          <w:szCs w:val="32"/>
        </w:rPr>
        <w:t>全面完成年初目标计划，</w:t>
      </w:r>
      <w:r>
        <w:rPr>
          <w:rFonts w:ascii="仿宋_GB2312" w:eastAsia="仿宋_GB2312" w:hAnsi="宋体" w:cs="仿宋_GB2312" w:hint="eastAsia"/>
          <w:color w:val="000000"/>
          <w:kern w:val="0"/>
          <w:sz w:val="32"/>
          <w:szCs w:val="32"/>
        </w:rPr>
        <w:t>完成2项总体规划调整、3个片区控制性详细规划编制合同终止协议签订和</w:t>
      </w:r>
      <w:proofErr w:type="gramStart"/>
      <w:r>
        <w:rPr>
          <w:rFonts w:ascii="仿宋_GB2312" w:eastAsia="仿宋_GB2312" w:hAnsi="宋体" w:cs="仿宋_GB2312" w:hint="eastAsia"/>
          <w:color w:val="000000"/>
          <w:kern w:val="0"/>
          <w:sz w:val="32"/>
          <w:szCs w:val="32"/>
        </w:rPr>
        <w:t>尾款</w:t>
      </w:r>
      <w:proofErr w:type="gramEnd"/>
      <w:r>
        <w:rPr>
          <w:rFonts w:ascii="仿宋_GB2312" w:eastAsia="仿宋_GB2312" w:hAnsi="宋体" w:cs="仿宋_GB2312" w:hint="eastAsia"/>
          <w:color w:val="000000"/>
          <w:kern w:val="0"/>
          <w:sz w:val="32"/>
          <w:szCs w:val="32"/>
        </w:rPr>
        <w:t>支付，完成7个中心城区控制性详细规划调整、1个专项规划编制、1个雕塑方案编制和1个城市体检报告编制工作。</w:t>
      </w:r>
    </w:p>
    <w:p w:rsidR="003C6718" w:rsidRDefault="00E83E62">
      <w:pPr>
        <w:adjustRightInd w:val="0"/>
        <w:snapToGrid w:val="0"/>
        <w:spacing w:line="540" w:lineRule="exact"/>
        <w:ind w:firstLineChars="200" w:firstLine="643"/>
        <w:rPr>
          <w:rFonts w:eastAsia="仿宋_GB2312" w:hAnsi="宋体" w:cs="仿宋_GB2312"/>
          <w:color w:val="000000"/>
          <w:sz w:val="32"/>
          <w:szCs w:val="32"/>
        </w:rPr>
      </w:pPr>
      <w:r>
        <w:rPr>
          <w:rFonts w:ascii="楷体_GB2312" w:eastAsia="楷体_GB2312" w:hint="eastAsia"/>
          <w:b/>
          <w:sz w:val="32"/>
          <w:szCs w:val="32"/>
        </w:rPr>
        <w:t>（二）项目效益情况。</w:t>
      </w:r>
      <w:r>
        <w:rPr>
          <w:rFonts w:eastAsia="仿宋_GB2312" w:hAnsi="宋体" w:cs="仿宋_GB2312" w:hint="eastAsia"/>
          <w:color w:val="000000"/>
          <w:sz w:val="32"/>
          <w:szCs w:val="32"/>
        </w:rPr>
        <w:t>从社会效益和</w:t>
      </w:r>
      <w:proofErr w:type="gramStart"/>
      <w:r>
        <w:rPr>
          <w:rFonts w:eastAsia="仿宋_GB2312" w:hAnsi="宋体" w:cs="仿宋_GB2312" w:hint="eastAsia"/>
          <w:color w:val="000000"/>
          <w:sz w:val="32"/>
          <w:szCs w:val="32"/>
        </w:rPr>
        <w:t>可</w:t>
      </w:r>
      <w:proofErr w:type="gramEnd"/>
      <w:r>
        <w:rPr>
          <w:rFonts w:eastAsia="仿宋_GB2312" w:hAnsi="宋体" w:cs="仿宋_GB2312" w:hint="eastAsia"/>
          <w:color w:val="000000"/>
          <w:sz w:val="32"/>
          <w:szCs w:val="32"/>
        </w:rPr>
        <w:t>持续影响效益上看，</w:t>
      </w:r>
      <w:r>
        <w:rPr>
          <w:rFonts w:eastAsia="仿宋_GB2312" w:hint="eastAsia"/>
          <w:color w:val="000000"/>
          <w:sz w:val="32"/>
          <w:szCs w:val="32"/>
        </w:rPr>
        <w:t>通过规划指引，完善城市功能，优化基础设施和公共服务设施，提升人居环境</w:t>
      </w:r>
      <w:r>
        <w:rPr>
          <w:rFonts w:eastAsia="仿宋_GB2312" w:hAnsi="仿宋" w:cs="仿宋" w:hint="eastAsia"/>
          <w:sz w:val="32"/>
          <w:szCs w:val="32"/>
        </w:rPr>
        <w:t>，对广元市规划编制提供研究基础，为规划管理和城市建设提供法定依据</w:t>
      </w:r>
      <w:r>
        <w:rPr>
          <w:rFonts w:eastAsia="仿宋_GB2312" w:hAnsi="宋体" w:cs="仿宋_GB2312" w:hint="eastAsia"/>
          <w:color w:val="000000"/>
          <w:sz w:val="32"/>
          <w:szCs w:val="32"/>
        </w:rPr>
        <w:t>具有长期影响。</w:t>
      </w:r>
    </w:p>
    <w:p w:rsidR="003C6718" w:rsidRDefault="00E83E62">
      <w:pPr>
        <w:adjustRightInd w:val="0"/>
        <w:snapToGrid w:val="0"/>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五、评价结论及建议</w:t>
      </w:r>
    </w:p>
    <w:p w:rsidR="003C6718" w:rsidRDefault="00E83E62">
      <w:pPr>
        <w:adjustRightInd w:val="0"/>
        <w:snapToGrid w:val="0"/>
        <w:spacing w:line="540" w:lineRule="exact"/>
        <w:ind w:firstLineChars="200" w:firstLine="643"/>
        <w:rPr>
          <w:rFonts w:ascii="仿宋_GB2312" w:eastAsia="仿宋_GB2312" w:hAnsi="宋体"/>
          <w:sz w:val="32"/>
          <w:bdr w:val="single" w:sz="4" w:space="0" w:color="auto"/>
          <w:lang w:val="zh-CN"/>
        </w:rPr>
      </w:pPr>
      <w:r>
        <w:rPr>
          <w:rFonts w:ascii="楷体_GB2312" w:eastAsia="楷体_GB2312" w:hint="eastAsia"/>
          <w:b/>
          <w:sz w:val="32"/>
          <w:szCs w:val="32"/>
        </w:rPr>
        <w:t>（一）评价结论。</w:t>
      </w:r>
      <w:r>
        <w:rPr>
          <w:rFonts w:ascii="仿宋_GB2312" w:eastAsia="仿宋_GB2312" w:hAnsi="宋体" w:hint="eastAsia"/>
          <w:sz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rsidR="003C6718" w:rsidRDefault="00E83E62">
      <w:pPr>
        <w:adjustRightInd w:val="0"/>
        <w:snapToGrid w:val="0"/>
        <w:spacing w:line="540" w:lineRule="exact"/>
        <w:ind w:firstLineChars="200" w:firstLine="643"/>
        <w:rPr>
          <w:rFonts w:ascii="仿宋_GB2312" w:eastAsia="仿宋_GB2312" w:hAnsi="宋体"/>
          <w:sz w:val="32"/>
          <w:lang w:val="zh-CN"/>
        </w:rPr>
      </w:pPr>
      <w:r>
        <w:rPr>
          <w:rFonts w:ascii="楷体_GB2312" w:eastAsia="楷体_GB2312" w:hint="eastAsia"/>
          <w:b/>
          <w:sz w:val="32"/>
          <w:szCs w:val="32"/>
        </w:rPr>
        <w:t>（二）存在的问题。</w:t>
      </w:r>
      <w:r>
        <w:rPr>
          <w:rFonts w:ascii="仿宋_GB2312" w:eastAsia="仿宋_GB2312" w:hAnsi="楷体" w:cs="仿宋_GB2312" w:hint="eastAsia"/>
          <w:sz w:val="32"/>
        </w:rPr>
        <w:t>规划项目的特点是规划控制，实施过程长，经济效益、社会效益以及其他效益体现不明显，因此绩效评价工作需特殊处理。</w:t>
      </w:r>
    </w:p>
    <w:p w:rsidR="003C6718" w:rsidRDefault="00E83E62">
      <w:pPr>
        <w:spacing w:line="540" w:lineRule="exact"/>
        <w:ind w:firstLineChars="200" w:firstLine="643"/>
        <w:rPr>
          <w:rFonts w:ascii="楷体_GB2312" w:eastAsia="楷体_GB2312"/>
          <w:b/>
          <w:sz w:val="32"/>
          <w:szCs w:val="32"/>
        </w:rPr>
      </w:pPr>
      <w:r>
        <w:rPr>
          <w:rFonts w:ascii="楷体_GB2312" w:eastAsia="楷体_GB2312" w:hint="eastAsia"/>
          <w:b/>
          <w:sz w:val="32"/>
          <w:szCs w:val="32"/>
        </w:rPr>
        <w:t>（三）相关建议</w:t>
      </w:r>
    </w:p>
    <w:p w:rsidR="003C6718" w:rsidRDefault="00E83E62">
      <w:pPr>
        <w:spacing w:line="540" w:lineRule="exact"/>
        <w:ind w:firstLineChars="200" w:firstLine="640"/>
        <w:rPr>
          <w:rFonts w:ascii="仿宋_GB2312" w:eastAsia="仿宋_GB2312"/>
          <w:sz w:val="32"/>
        </w:rPr>
      </w:pPr>
      <w:r>
        <w:rPr>
          <w:rFonts w:ascii="仿宋_GB2312" w:eastAsia="仿宋_GB2312" w:hint="eastAsia"/>
          <w:sz w:val="32"/>
        </w:rPr>
        <w:t>1.对仅纳入部门预算核算、未达到一定资金规模且项目内容主要用于支持单位运转的小型项目，开展项目绩效评价时应区别于基建预算的大型项目，对照《2023年市级专项预算项目支出绩效评价指标体系》大部分评分项也不适用于此类项目，建议简化此类项目绩效评价。</w:t>
      </w:r>
    </w:p>
    <w:p w:rsidR="003C6718" w:rsidRDefault="00E83E62">
      <w:pPr>
        <w:spacing w:line="540" w:lineRule="exact"/>
        <w:ind w:firstLineChars="200" w:firstLine="640"/>
        <w:rPr>
          <w:rFonts w:ascii="仿宋_GB2312" w:eastAsia="仿宋_GB2312"/>
          <w:sz w:val="32"/>
        </w:rPr>
        <w:sectPr w:rsidR="003C6718">
          <w:footerReference w:type="default" r:id="rId20"/>
          <w:pgSz w:w="11905" w:h="16838"/>
          <w:pgMar w:top="2098" w:right="1474" w:bottom="1984" w:left="1587" w:header="851" w:footer="1559" w:gutter="0"/>
          <w:pgNumType w:start="28"/>
          <w:cols w:space="0"/>
          <w:docGrid w:type="lines" w:linePitch="315"/>
        </w:sectPr>
      </w:pPr>
      <w:r>
        <w:rPr>
          <w:rFonts w:ascii="仿宋_GB2312" w:eastAsia="仿宋_GB2312" w:hint="eastAsia"/>
          <w:sz w:val="32"/>
        </w:rPr>
        <w:t>2.进一步建立长效机制，落实好财政项目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rsidR="003C6718" w:rsidRDefault="00E83E62">
      <w:pPr>
        <w:pStyle w:val="a3"/>
        <w:spacing w:beforeLines="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lastRenderedPageBreak/>
        <w:t>部门预算、专项资金预算项目支出绩效目标自评表（2022年度）</w:t>
      </w:r>
    </w:p>
    <w:tbl>
      <w:tblPr>
        <w:tblW w:w="21499" w:type="dxa"/>
        <w:tblInd w:w="93" w:type="dxa"/>
        <w:tblLook w:val="04A0"/>
      </w:tblPr>
      <w:tblGrid>
        <w:gridCol w:w="1500"/>
        <w:gridCol w:w="1625"/>
        <w:gridCol w:w="1325"/>
        <w:gridCol w:w="2275"/>
        <w:gridCol w:w="1250"/>
        <w:gridCol w:w="1875"/>
        <w:gridCol w:w="1100"/>
        <w:gridCol w:w="1850"/>
        <w:gridCol w:w="1000"/>
        <w:gridCol w:w="1675"/>
        <w:gridCol w:w="1845"/>
        <w:gridCol w:w="4179"/>
      </w:tblGrid>
      <w:tr w:rsidR="003C6718">
        <w:trPr>
          <w:trHeight w:val="295"/>
        </w:trPr>
        <w:tc>
          <w:tcPr>
            <w:tcW w:w="3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b/>
                <w:bCs/>
                <w:color w:val="000000"/>
                <w:szCs w:val="21"/>
              </w:rPr>
            </w:pPr>
            <w:r>
              <w:rPr>
                <w:rFonts w:ascii="宋体" w:hAnsi="宋体" w:cs="宋体" w:hint="eastAsia"/>
                <w:b/>
                <w:bCs/>
                <w:color w:val="000000"/>
                <w:kern w:val="0"/>
                <w:szCs w:val="21"/>
              </w:rPr>
              <w:t>项目名称</w:t>
            </w:r>
          </w:p>
        </w:tc>
        <w:tc>
          <w:tcPr>
            <w:tcW w:w="1837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规划编制设计费</w:t>
            </w:r>
          </w:p>
        </w:tc>
      </w:tr>
      <w:tr w:rsidR="003C6718">
        <w:trPr>
          <w:trHeight w:val="295"/>
        </w:trPr>
        <w:tc>
          <w:tcPr>
            <w:tcW w:w="3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b/>
                <w:bCs/>
                <w:color w:val="000000"/>
                <w:szCs w:val="21"/>
              </w:rPr>
            </w:pPr>
            <w:r>
              <w:rPr>
                <w:rFonts w:ascii="宋体" w:hAnsi="宋体" w:cs="宋体" w:hint="eastAsia"/>
                <w:b/>
                <w:bCs/>
                <w:color w:val="000000"/>
                <w:kern w:val="0"/>
                <w:szCs w:val="21"/>
              </w:rPr>
              <w:t>主管部门（盖章）</w:t>
            </w:r>
          </w:p>
        </w:tc>
        <w:tc>
          <w:tcPr>
            <w:tcW w:w="78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广元市国土空间规划编制研究中心</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实施单位 （盖章）</w:t>
            </w:r>
          </w:p>
        </w:tc>
        <w:tc>
          <w:tcPr>
            <w:tcW w:w="8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广元市国土空间规划编制研究中心</w:t>
            </w:r>
          </w:p>
        </w:tc>
      </w:tr>
      <w:tr w:rsidR="003C6718">
        <w:trPr>
          <w:trHeight w:val="295"/>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b/>
                <w:bCs/>
                <w:color w:val="000000"/>
                <w:szCs w:val="21"/>
              </w:rPr>
            </w:pPr>
            <w:r>
              <w:rPr>
                <w:rFonts w:ascii="宋体" w:hAnsi="宋体" w:cs="宋体" w:hint="eastAsia"/>
                <w:b/>
                <w:bCs/>
                <w:color w:val="000000"/>
                <w:kern w:val="0"/>
                <w:szCs w:val="21"/>
              </w:rPr>
              <w:t>项目基本情况</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b/>
                <w:bCs/>
                <w:color w:val="000000"/>
                <w:szCs w:val="21"/>
              </w:rPr>
            </w:pPr>
            <w:r>
              <w:rPr>
                <w:rFonts w:ascii="宋体" w:hAnsi="宋体" w:cs="宋体" w:hint="eastAsia"/>
                <w:b/>
                <w:bCs/>
                <w:color w:val="000000"/>
                <w:kern w:val="0"/>
                <w:szCs w:val="21"/>
              </w:rPr>
              <w:t>1.项目年度目标完成情况</w:t>
            </w:r>
          </w:p>
        </w:tc>
        <w:tc>
          <w:tcPr>
            <w:tcW w:w="78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项目年度目标</w:t>
            </w:r>
          </w:p>
        </w:tc>
        <w:tc>
          <w:tcPr>
            <w:tcW w:w="1054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年度目标完成情况</w:t>
            </w:r>
          </w:p>
        </w:tc>
      </w:tr>
      <w:tr w:rsidR="003C6718">
        <w:trPr>
          <w:trHeight w:val="864"/>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b/>
                <w:bCs/>
                <w:color w:val="000000"/>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b/>
                <w:bCs/>
                <w:color w:val="000000"/>
                <w:szCs w:val="21"/>
              </w:rPr>
            </w:pPr>
          </w:p>
        </w:tc>
        <w:tc>
          <w:tcPr>
            <w:tcW w:w="78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2022年12月31日前，完成控制性详细规划编制3个、中心城区控制性详细规划调整7块、总体规划调整2项、专项规划编制1项、雕塑方案编制1项、城市体检报告1个。</w:t>
            </w:r>
          </w:p>
        </w:tc>
        <w:tc>
          <w:tcPr>
            <w:tcW w:w="1054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全面完成年初目标计划，完成2项总体规划调整、3个片区控制性详细规划编制合同终止协议签订和</w:t>
            </w:r>
            <w:proofErr w:type="gramStart"/>
            <w:r>
              <w:rPr>
                <w:rFonts w:ascii="宋体" w:hAnsi="宋体" w:cs="宋体" w:hint="eastAsia"/>
                <w:color w:val="000000"/>
                <w:kern w:val="0"/>
                <w:szCs w:val="21"/>
              </w:rPr>
              <w:t>尾款</w:t>
            </w:r>
            <w:proofErr w:type="gramEnd"/>
            <w:r>
              <w:rPr>
                <w:rFonts w:ascii="宋体" w:hAnsi="宋体" w:cs="宋体" w:hint="eastAsia"/>
                <w:color w:val="000000"/>
                <w:kern w:val="0"/>
                <w:szCs w:val="21"/>
              </w:rPr>
              <w:t>支付，完成7个中心城区控制性详细规划调整、1个专项规划编制、1个雕塑方案编制和1个城市体检报告编制工作。</w:t>
            </w:r>
          </w:p>
        </w:tc>
      </w:tr>
      <w:tr w:rsidR="003C6718">
        <w:trPr>
          <w:trHeight w:val="864"/>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b/>
                <w:bCs/>
                <w:color w:val="000000"/>
                <w:szCs w:val="21"/>
              </w:rPr>
            </w:pPr>
            <w:r>
              <w:rPr>
                <w:rFonts w:ascii="宋体" w:hAnsi="宋体" w:cs="宋体" w:hint="eastAsia"/>
                <w:b/>
                <w:bCs/>
                <w:color w:val="000000"/>
                <w:kern w:val="0"/>
                <w:szCs w:val="21"/>
              </w:rPr>
              <w:t>2.项目实施内容及过程概述</w:t>
            </w:r>
          </w:p>
        </w:tc>
        <w:tc>
          <w:tcPr>
            <w:tcW w:w="1837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完成广元市东坝片区DB（I.A）-c-05-5、DB（I.A）-c-07-1地块调整论证报告，提升行政中心景观形象，改善片区停车问题；完成2021年度广元市国土空间规划城市体检报告，</w:t>
            </w:r>
            <w:proofErr w:type="gramStart"/>
            <w:r>
              <w:rPr>
                <w:rFonts w:ascii="宋体" w:hAnsi="宋体" w:cs="宋体" w:hint="eastAsia"/>
                <w:color w:val="000000"/>
                <w:kern w:val="0"/>
                <w:szCs w:val="21"/>
              </w:rPr>
              <w:t>研</w:t>
            </w:r>
            <w:proofErr w:type="gramEnd"/>
            <w:r>
              <w:rPr>
                <w:rFonts w:ascii="宋体" w:hAnsi="宋体" w:cs="宋体" w:hint="eastAsia"/>
                <w:color w:val="000000"/>
                <w:kern w:val="0"/>
                <w:szCs w:val="21"/>
              </w:rPr>
              <w:t>判城市规划问题，提出应对策略，为国土空间规划编制提供支撑；完成广元市城南、城西、城东片区控制性详细规划合同遗留问题处置，收集最新阶段规划成果，为下一步详细规划编制提供支撑，严格按照法定程序启动中心城区控</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调整、专项规划调整、总体规划调整。</w:t>
            </w:r>
          </w:p>
        </w:tc>
      </w:tr>
      <w:tr w:rsidR="003C6718">
        <w:trPr>
          <w:trHeight w:val="579"/>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预算执行情况（10分）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rPr>
              <w:t>年度预算数</w:t>
            </w:r>
          </w:p>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（万元）</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年初预算</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调整</w:t>
            </w:r>
            <w:proofErr w:type="gramStart"/>
            <w:r>
              <w:rPr>
                <w:rFonts w:ascii="宋体" w:hAnsi="宋体" w:cs="宋体" w:hint="eastAsia"/>
                <w:b/>
                <w:bCs/>
                <w:color w:val="000000"/>
                <w:kern w:val="0"/>
                <w:szCs w:val="21"/>
              </w:rPr>
              <w:t>后预算</w:t>
            </w:r>
            <w:proofErr w:type="gramEnd"/>
            <w:r>
              <w:rPr>
                <w:rFonts w:ascii="宋体" w:hAnsi="宋体" w:cs="宋体" w:hint="eastAsia"/>
                <w:b/>
                <w:bCs/>
                <w:color w:val="000000"/>
                <w:kern w:val="0"/>
                <w:szCs w:val="21"/>
              </w:rPr>
              <w:t>数</w:t>
            </w: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预算执行数</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预算执行率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权重%</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部门自评得分</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财政部门科室复评得分</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原因</w:t>
            </w: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总额</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1.预算执行率=预算执行数/调整</w:t>
            </w:r>
            <w:proofErr w:type="gramStart"/>
            <w:r>
              <w:rPr>
                <w:rFonts w:ascii="宋体" w:hAnsi="宋体" w:cs="宋体" w:hint="eastAsia"/>
                <w:color w:val="000000"/>
                <w:kern w:val="0"/>
                <w:szCs w:val="21"/>
              </w:rPr>
              <w:t>后预算</w:t>
            </w:r>
            <w:proofErr w:type="gramEnd"/>
            <w:r>
              <w:rPr>
                <w:rFonts w:ascii="宋体" w:hAnsi="宋体" w:cs="宋体" w:hint="eastAsia"/>
                <w:color w:val="000000"/>
                <w:kern w:val="0"/>
                <w:szCs w:val="21"/>
              </w:rPr>
              <w:t>数，预算执行率未达到90%的需说明原因（100字以内）;2.年中发生预算调整的（追加或调减）,应单独说明理由；3.其他资金包括、社会投入资金、银行贷款.</w:t>
            </w: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其中：财政资金</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财政专户管理资金</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单位资金</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其他资金</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2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color w:val="000000"/>
                <w:szCs w:val="21"/>
              </w:rPr>
            </w:pPr>
          </w:p>
        </w:tc>
      </w:tr>
      <w:tr w:rsidR="003C6718">
        <w:trPr>
          <w:trHeight w:val="579"/>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绩效指标（90分）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一级指标</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二级指标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指标性质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指标值</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度量单位</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完成值</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权重</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部门自评得分</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财政部门科室复评得分</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未完成原因分析</w:t>
            </w: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val="restart"/>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产出指标</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数量指标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控制性详细规划编制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中心城区控制性详细规划调整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总体规划调整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项</w:t>
            </w:r>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专项规划编制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项</w:t>
            </w:r>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雕塑方案编制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项</w:t>
            </w:r>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城市体检报告</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1850" w:type="dxa"/>
            <w:tcBorders>
              <w:top w:val="single" w:sz="4" w:space="0" w:color="000000"/>
              <w:left w:val="single" w:sz="4" w:space="0" w:color="000000"/>
              <w:bottom w:val="single" w:sz="4" w:space="0" w:color="000000"/>
              <w:right w:val="nil"/>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质量指标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规划方案</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通过专委会、</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委会、常务会审查</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通过专委会、</w:t>
            </w:r>
            <w:proofErr w:type="gramStart"/>
            <w:r>
              <w:rPr>
                <w:rFonts w:ascii="宋体" w:hAnsi="宋体" w:cs="宋体" w:hint="eastAsia"/>
                <w:color w:val="000000"/>
                <w:kern w:val="0"/>
                <w:szCs w:val="21"/>
              </w:rPr>
              <w:t>规</w:t>
            </w:r>
            <w:proofErr w:type="gramEnd"/>
            <w:r>
              <w:rPr>
                <w:rFonts w:ascii="宋体" w:hAnsi="宋体" w:cs="宋体" w:hint="eastAsia"/>
                <w:color w:val="000000"/>
                <w:kern w:val="0"/>
                <w:szCs w:val="21"/>
              </w:rPr>
              <w:t>委会、常务会审查</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时效指标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完成时间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年</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nil"/>
              <w:left w:val="single" w:sz="4" w:space="0" w:color="000000"/>
              <w:bottom w:val="nil"/>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成本指标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规划设计费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万元</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179.216</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效益指标</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社会效益指标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对城市建设影响</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年</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可持续影响指标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对城市规划影响</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年</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579"/>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满意度指标</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服务对象满意度指标</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相关部门通过率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Style w:val="font61"/>
                <w:rFonts w:hint="default"/>
                <w:sz w:val="21"/>
                <w:szCs w:val="21"/>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90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99</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widowControl/>
              <w:spacing w:line="280" w:lineRule="exact"/>
              <w:jc w:val="center"/>
              <w:rPr>
                <w:rFonts w:ascii="宋体" w:hAnsi="宋体" w:cs="宋体"/>
                <w:color w:val="000000"/>
                <w:szCs w:val="21"/>
              </w:rPr>
            </w:pPr>
            <w:r>
              <w:rPr>
                <w:rFonts w:ascii="宋体" w:hAnsi="宋体" w:cs="宋体" w:hint="eastAsia"/>
                <w:color w:val="000000"/>
                <w:szCs w:val="21"/>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b/>
                <w:bCs/>
                <w:color w:val="000000"/>
                <w:szCs w:val="21"/>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jc w:val="center"/>
              <w:rPr>
                <w:rFonts w:ascii="宋体" w:hAnsi="宋体" w:cs="宋体"/>
                <w:color w:val="000000"/>
                <w:szCs w:val="21"/>
              </w:rPr>
            </w:pPr>
          </w:p>
        </w:tc>
      </w:tr>
      <w:tr w:rsidR="003C6718">
        <w:trPr>
          <w:trHeight w:val="295"/>
        </w:trPr>
        <w:tc>
          <w:tcPr>
            <w:tcW w:w="128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合计</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9E009F" w:rsidP="009E009F">
            <w:pPr>
              <w:widowControl/>
              <w:spacing w:line="280" w:lineRule="exact"/>
              <w:jc w:val="center"/>
              <w:rPr>
                <w:rFonts w:ascii="宋体" w:hAnsi="宋体" w:cs="宋体"/>
                <w:color w:val="000000"/>
                <w:szCs w:val="21"/>
              </w:rPr>
            </w:pPr>
            <w:r>
              <w:rPr>
                <w:rFonts w:ascii="宋体" w:hAnsi="宋体" w:cs="宋体" w:hint="eastAsia"/>
                <w:color w:val="000000"/>
                <w:szCs w:val="21"/>
              </w:rPr>
              <w:t>100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280" w:lineRule="exact"/>
              <w:rPr>
                <w:rFonts w:ascii="宋体" w:hAnsi="宋体" w:cs="宋体"/>
                <w:color w:val="000000"/>
                <w:szCs w:val="21"/>
              </w:rPr>
            </w:pPr>
          </w:p>
        </w:tc>
      </w:tr>
      <w:tr w:rsidR="003C6718">
        <w:trPr>
          <w:trHeight w:val="579"/>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部门（单位）自评结论</w:t>
            </w:r>
          </w:p>
        </w:tc>
        <w:tc>
          <w:tcPr>
            <w:tcW w:w="1999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tc>
      </w:tr>
      <w:tr w:rsidR="003C6718">
        <w:trPr>
          <w:trHeight w:val="579"/>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部门（单位）自评存在问题</w:t>
            </w:r>
          </w:p>
        </w:tc>
        <w:tc>
          <w:tcPr>
            <w:tcW w:w="1999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规划项目的特点是规划控制，实施过程长，经济效益、社会效益以及其他效益体现不明显，因此绩效评价工作需特殊处理。</w:t>
            </w:r>
          </w:p>
        </w:tc>
      </w:tr>
      <w:tr w:rsidR="003C6718">
        <w:trPr>
          <w:trHeight w:val="590"/>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部门（单位）自</w:t>
            </w:r>
            <w:proofErr w:type="gramStart"/>
            <w:r>
              <w:rPr>
                <w:rFonts w:ascii="宋体" w:hAnsi="宋体" w:cs="宋体" w:hint="eastAsia"/>
                <w:b/>
                <w:bCs/>
                <w:color w:val="000000"/>
                <w:kern w:val="0"/>
                <w:szCs w:val="21"/>
              </w:rPr>
              <w:t>评改进措施</w:t>
            </w:r>
            <w:proofErr w:type="gramEnd"/>
          </w:p>
        </w:tc>
        <w:tc>
          <w:tcPr>
            <w:tcW w:w="1999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rPr>
              <w:t>对仅纳入部门预算核算、未达到一定资金规模且项目内容主要用于支持单位运转的小型项目，开展项目绩效评价时应区别于基建预算的大型项目，建议简化此类项目绩效评价。进一步建立长效机制，落实好财政</w:t>
            </w:r>
            <w:proofErr w:type="gramStart"/>
            <w:r>
              <w:rPr>
                <w:rFonts w:ascii="宋体" w:hAnsi="宋体" w:cs="宋体" w:hint="eastAsia"/>
                <w:color w:val="000000"/>
                <w:kern w:val="0"/>
                <w:szCs w:val="21"/>
              </w:rPr>
              <w:t>项资金</w:t>
            </w:r>
            <w:proofErr w:type="gramEnd"/>
            <w:r>
              <w:rPr>
                <w:rFonts w:ascii="宋体" w:hAnsi="宋体" w:cs="宋体" w:hint="eastAsia"/>
                <w:color w:val="000000"/>
                <w:kern w:val="0"/>
                <w:szCs w:val="21"/>
              </w:rPr>
              <w:t>的管理和使用，通过项目为载体发挥巨大的社会价值，继续探索好的做法，抓好项目后续管理工作，加强部门预算整体绩效管理的指导和培训，增强提高绩效管理业务人员绩效管理能力、专业素质和思想水平。</w:t>
            </w:r>
          </w:p>
        </w:tc>
      </w:tr>
    </w:tbl>
    <w:p w:rsidR="003C6718" w:rsidRDefault="00E83E62">
      <w:pPr>
        <w:spacing w:line="240" w:lineRule="atLeast"/>
        <w:jc w:val="center"/>
        <w:rPr>
          <w:rFonts w:ascii="方正小标宋简体" w:eastAsia="方正小标宋简体" w:hAnsi="方正小标宋简体" w:cs="方正小标宋简体"/>
          <w:color w:val="000000"/>
          <w:kern w:val="0"/>
          <w:sz w:val="44"/>
          <w:szCs w:val="44"/>
          <w:lang w:val="zh-CN"/>
        </w:rPr>
      </w:pPr>
      <w:r>
        <w:rPr>
          <w:rFonts w:ascii="方正小标宋简体" w:eastAsia="方正小标宋简体" w:hAnsi="方正小标宋简体" w:cs="方正小标宋简体" w:hint="eastAsia"/>
          <w:color w:val="000000"/>
          <w:kern w:val="0"/>
          <w:sz w:val="44"/>
          <w:szCs w:val="44"/>
          <w:lang w:val="zh-CN"/>
        </w:rPr>
        <w:lastRenderedPageBreak/>
        <w:t>部门预算、专项资金预算项目支出绩效目标自评表（2022年度）</w:t>
      </w:r>
    </w:p>
    <w:tbl>
      <w:tblPr>
        <w:tblW w:w="21399" w:type="dxa"/>
        <w:tblInd w:w="93" w:type="dxa"/>
        <w:tblLook w:val="04A0"/>
      </w:tblPr>
      <w:tblGrid>
        <w:gridCol w:w="2230"/>
        <w:gridCol w:w="2313"/>
        <w:gridCol w:w="2089"/>
        <w:gridCol w:w="2271"/>
        <w:gridCol w:w="749"/>
        <w:gridCol w:w="1216"/>
        <w:gridCol w:w="834"/>
        <w:gridCol w:w="1500"/>
        <w:gridCol w:w="1175"/>
        <w:gridCol w:w="1236"/>
        <w:gridCol w:w="1743"/>
        <w:gridCol w:w="4043"/>
      </w:tblGrid>
      <w:tr w:rsidR="003C6718">
        <w:trPr>
          <w:trHeight w:val="170"/>
        </w:trPr>
        <w:tc>
          <w:tcPr>
            <w:tcW w:w="4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项目名称</w:t>
            </w:r>
          </w:p>
        </w:tc>
        <w:tc>
          <w:tcPr>
            <w:tcW w:w="1685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rPr>
              <w:t>规委会专委</w:t>
            </w:r>
            <w:proofErr w:type="gramEnd"/>
            <w:r>
              <w:rPr>
                <w:rFonts w:ascii="宋体" w:hAnsi="宋体" w:cs="宋体" w:hint="eastAsia"/>
                <w:color w:val="000000"/>
                <w:kern w:val="0"/>
                <w:sz w:val="24"/>
              </w:rPr>
              <w:t>会工作经费</w:t>
            </w:r>
          </w:p>
        </w:tc>
      </w:tr>
      <w:tr w:rsidR="003C6718">
        <w:trPr>
          <w:trHeight w:val="170"/>
        </w:trPr>
        <w:tc>
          <w:tcPr>
            <w:tcW w:w="4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主管部门（盖章）</w:t>
            </w:r>
          </w:p>
        </w:tc>
        <w:tc>
          <w:tcPr>
            <w:tcW w:w="71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实施单位 （盖章）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r>
      <w:tr w:rsidR="003C6718">
        <w:trPr>
          <w:trHeight w:val="170"/>
        </w:trPr>
        <w:tc>
          <w:tcPr>
            <w:tcW w:w="2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项目基本情况</w:t>
            </w:r>
          </w:p>
        </w:tc>
        <w:tc>
          <w:tcPr>
            <w:tcW w:w="2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1.项目年度目标完成情况</w:t>
            </w:r>
          </w:p>
        </w:tc>
        <w:tc>
          <w:tcPr>
            <w:tcW w:w="71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项目年度目标</w:t>
            </w:r>
          </w:p>
        </w:tc>
        <w:tc>
          <w:tcPr>
            <w:tcW w:w="96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年度目标完成情况</w:t>
            </w: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71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项目应实现2022年12月31日前，筹备</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委会10期，召开专委会40期，完成对180余个项目设计方案的审查。</w:t>
            </w:r>
          </w:p>
        </w:tc>
        <w:tc>
          <w:tcPr>
            <w:tcW w:w="96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全面完成年初目标计划，全年</w:t>
            </w:r>
            <w:proofErr w:type="gramStart"/>
            <w:r>
              <w:rPr>
                <w:rFonts w:ascii="宋体" w:hAnsi="宋体" w:cs="宋体" w:hint="eastAsia"/>
                <w:color w:val="000000"/>
                <w:kern w:val="0"/>
                <w:sz w:val="24"/>
              </w:rPr>
              <w:t>召开市专委</w:t>
            </w:r>
            <w:proofErr w:type="gramEnd"/>
            <w:r>
              <w:rPr>
                <w:rFonts w:ascii="宋体" w:hAnsi="宋体" w:cs="宋体" w:hint="eastAsia"/>
                <w:color w:val="000000"/>
                <w:kern w:val="0"/>
                <w:sz w:val="24"/>
              </w:rPr>
              <w:t>会45期、审查项目规划设计方案160个；筹备市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委会16期、审议项目规划设计方案80余个。</w:t>
            </w: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2.项目实施内容及过程概述</w:t>
            </w:r>
          </w:p>
        </w:tc>
        <w:tc>
          <w:tcPr>
            <w:tcW w:w="1685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该项目用于</w:t>
            </w:r>
            <w:proofErr w:type="gramStart"/>
            <w:r>
              <w:rPr>
                <w:rFonts w:ascii="宋体" w:hAnsi="宋体" w:cs="宋体" w:hint="eastAsia"/>
                <w:color w:val="000000"/>
                <w:kern w:val="0"/>
                <w:sz w:val="24"/>
              </w:rPr>
              <w:t>保障市专</w:t>
            </w:r>
            <w:proofErr w:type="gramEnd"/>
            <w:r>
              <w:rPr>
                <w:rFonts w:ascii="宋体" w:hAnsi="宋体" w:cs="宋体" w:hint="eastAsia"/>
                <w:color w:val="000000"/>
                <w:kern w:val="0"/>
                <w:sz w:val="24"/>
              </w:rPr>
              <w:t>委会、</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委会办公室职责履行，确保</w:t>
            </w:r>
            <w:proofErr w:type="gramStart"/>
            <w:r>
              <w:rPr>
                <w:rFonts w:ascii="宋体" w:hAnsi="宋体" w:cs="宋体" w:hint="eastAsia"/>
                <w:color w:val="000000"/>
                <w:kern w:val="0"/>
                <w:sz w:val="24"/>
              </w:rPr>
              <w:t>每次市专委</w:t>
            </w:r>
            <w:proofErr w:type="gramEnd"/>
            <w:r>
              <w:rPr>
                <w:rFonts w:ascii="宋体" w:hAnsi="宋体" w:cs="宋体" w:hint="eastAsia"/>
                <w:color w:val="000000"/>
                <w:kern w:val="0"/>
                <w:sz w:val="24"/>
              </w:rPr>
              <w:t>会、市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委会会议完满完成，确保及时对市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委会成员进行调整、充实。进一步</w:t>
            </w:r>
            <w:proofErr w:type="gramStart"/>
            <w:r>
              <w:rPr>
                <w:rFonts w:ascii="宋体" w:hAnsi="宋体" w:cs="宋体" w:hint="eastAsia"/>
                <w:color w:val="000000"/>
                <w:kern w:val="0"/>
                <w:sz w:val="24"/>
              </w:rPr>
              <w:t>延伸市专</w:t>
            </w:r>
            <w:proofErr w:type="gramEnd"/>
            <w:r>
              <w:rPr>
                <w:rFonts w:ascii="宋体" w:hAnsi="宋体" w:cs="宋体" w:hint="eastAsia"/>
                <w:color w:val="000000"/>
                <w:kern w:val="0"/>
                <w:sz w:val="24"/>
              </w:rPr>
              <w:t>委会、市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委会审查深度，推行“并联审查”，建立“小批量、多频次”审查机制，根据项目建设需要适时</w:t>
            </w:r>
            <w:proofErr w:type="gramStart"/>
            <w:r>
              <w:rPr>
                <w:rFonts w:ascii="宋体" w:hAnsi="宋体" w:cs="宋体" w:hint="eastAsia"/>
                <w:color w:val="000000"/>
                <w:kern w:val="0"/>
                <w:sz w:val="24"/>
              </w:rPr>
              <w:t>召开市专委</w:t>
            </w:r>
            <w:proofErr w:type="gramEnd"/>
            <w:r>
              <w:rPr>
                <w:rFonts w:ascii="宋体" w:hAnsi="宋体" w:cs="宋体" w:hint="eastAsia"/>
                <w:color w:val="000000"/>
                <w:kern w:val="0"/>
                <w:sz w:val="24"/>
              </w:rPr>
              <w:t>会和筹备市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委会，更好服务广元规划建设，做好项目要素保障</w:t>
            </w:r>
          </w:p>
        </w:tc>
      </w:tr>
      <w:tr w:rsidR="003C6718">
        <w:trPr>
          <w:trHeight w:val="170"/>
        </w:trPr>
        <w:tc>
          <w:tcPr>
            <w:tcW w:w="2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预算执行情况（10分）</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年度预算数（万元）</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年初预算</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调整</w:t>
            </w:r>
            <w:proofErr w:type="gramStart"/>
            <w:r>
              <w:rPr>
                <w:rFonts w:ascii="宋体" w:hAnsi="宋体" w:cs="宋体" w:hint="eastAsia"/>
                <w:b/>
                <w:bCs/>
                <w:color w:val="000000"/>
                <w:kern w:val="0"/>
                <w:sz w:val="24"/>
              </w:rPr>
              <w:t>后预算</w:t>
            </w:r>
            <w:proofErr w:type="gramEnd"/>
            <w:r>
              <w:rPr>
                <w:rFonts w:ascii="宋体" w:hAnsi="宋体" w:cs="宋体" w:hint="eastAsia"/>
                <w:b/>
                <w:bCs/>
                <w:color w:val="000000"/>
                <w:kern w:val="0"/>
                <w:sz w:val="24"/>
              </w:rPr>
              <w:t>数</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预算执行率</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原因</w:t>
            </w: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总额</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30.00</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29.50</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29.50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10</w:t>
            </w:r>
          </w:p>
        </w:tc>
        <w:tc>
          <w:tcPr>
            <w:tcW w:w="4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1.预算执行率=预算执行数/调整</w:t>
            </w:r>
            <w:proofErr w:type="gramStart"/>
            <w:r>
              <w:rPr>
                <w:rFonts w:ascii="宋体" w:hAnsi="宋体" w:cs="宋体" w:hint="eastAsia"/>
                <w:color w:val="000000"/>
                <w:kern w:val="0"/>
                <w:sz w:val="24"/>
              </w:rPr>
              <w:t>后预算</w:t>
            </w:r>
            <w:proofErr w:type="gramEnd"/>
            <w:r>
              <w:rPr>
                <w:rFonts w:ascii="宋体" w:hAnsi="宋体" w:cs="宋体" w:hint="eastAsia"/>
                <w:color w:val="000000"/>
                <w:kern w:val="0"/>
                <w:sz w:val="24"/>
              </w:rPr>
              <w:t>数，预算执行率未达到90%的需说明原因（100字以内）;2.年中发生预算调整的（追加或调减）,应单独说明理由；3.其他资金包括、社会投入资金、银行贷款.</w:t>
            </w: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其中：财政资金</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30.00</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29.50</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29.50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财政专户管理资金</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0.00</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单位资金</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其他资金</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170"/>
        </w:trPr>
        <w:tc>
          <w:tcPr>
            <w:tcW w:w="2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绩效指标（90分）</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一级指标</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二级指标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三级指标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指标性质</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指标值</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度量单位</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完成值</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未完成原因分析</w:t>
            </w: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产出指标</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数量指标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召开</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期/年</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10</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召开专委会</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40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期/年</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20</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质量指标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方案审查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rPr>
              <w:t>个</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240</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20</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时效指标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完成时间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vMerge w:val="restart"/>
            <w:tcBorders>
              <w:top w:val="nil"/>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成本指标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印刷费</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1.47</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1C254A" w:rsidTr="00996E3C">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2089" w:type="dxa"/>
            <w:vMerge/>
            <w:tcBorders>
              <w:top w:val="nil"/>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电费</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2.78</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743" w:type="dxa"/>
            <w:vMerge w:val="restart"/>
            <w:tcBorders>
              <w:top w:val="single" w:sz="4" w:space="0" w:color="000000"/>
              <w:left w:val="single" w:sz="4" w:space="0" w:color="000000"/>
              <w:right w:val="single" w:sz="4" w:space="0" w:color="000000"/>
            </w:tcBorders>
            <w:shd w:val="clear" w:color="auto" w:fill="auto"/>
            <w:vAlign w:val="center"/>
          </w:tcPr>
          <w:p w:rsidR="001C254A" w:rsidRDefault="001C254A" w:rsidP="00996E3C">
            <w:pPr>
              <w:jc w:val="center"/>
              <w:rPr>
                <w:rFonts w:ascii="宋体" w:hAnsi="宋体" w:cs="宋体"/>
                <w:color w:val="000000"/>
                <w:sz w:val="24"/>
              </w:rPr>
            </w:pPr>
            <w:r>
              <w:rPr>
                <w:rFonts w:ascii="宋体" w:hAnsi="宋体" w:cs="宋体" w:hint="eastAsia"/>
                <w:color w:val="000000"/>
                <w:sz w:val="24"/>
              </w:rPr>
              <w:t>10</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r>
      <w:tr w:rsidR="001C254A" w:rsidTr="00996E3C">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2089" w:type="dxa"/>
            <w:vMerge/>
            <w:tcBorders>
              <w:top w:val="nil"/>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邮电费</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1C254A" w:rsidRDefault="001C254A">
            <w:pPr>
              <w:widowControl/>
              <w:jc w:val="center"/>
              <w:textAlignment w:val="center"/>
              <w:rPr>
                <w:rFonts w:ascii="宋体" w:hAnsi="宋体" w:cs="宋体"/>
                <w:color w:val="000000"/>
                <w:sz w:val="24"/>
              </w:rPr>
            </w:pPr>
            <w:r>
              <w:rPr>
                <w:rFonts w:ascii="宋体" w:hAnsi="宋体" w:cs="宋体" w:hint="eastAsia"/>
                <w:color w:val="000000"/>
                <w:kern w:val="0"/>
                <w:sz w:val="24"/>
              </w:rPr>
              <w:t>13.16</w:t>
            </w: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1743" w:type="dxa"/>
            <w:vMerge/>
            <w:tcBorders>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54A" w:rsidRDefault="001C254A">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维修维护购置费</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3.39</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差旅费租车费</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7.18</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办公费租赁等费用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C6718" w:rsidRDefault="003C6718">
            <w:pPr>
              <w:rPr>
                <w:rFonts w:ascii="宋体" w:hAnsi="宋体" w:cs="宋体"/>
                <w:color w:val="000000"/>
                <w:sz w:val="24"/>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50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1.66</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可持续影响指标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对城市规划影响</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2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服务对象满意度指标</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通过相关部门认可通过率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pPr>
              <w:jc w:val="center"/>
              <w:rPr>
                <w:rFonts w:ascii="宋体" w:hAnsi="宋体" w:cs="宋体"/>
                <w:color w:val="000000"/>
                <w:sz w:val="24"/>
              </w:rPr>
            </w:pPr>
            <w:r>
              <w:rPr>
                <w:rFonts w:ascii="宋体" w:hAnsi="宋体" w:cs="宋体" w:hint="eastAsia"/>
                <w:color w:val="000000"/>
                <w:sz w:val="24"/>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70"/>
        </w:trPr>
        <w:tc>
          <w:tcPr>
            <w:tcW w:w="132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合计</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A47972" w:rsidP="00A47972">
            <w:pPr>
              <w:jc w:val="center"/>
              <w:rPr>
                <w:rFonts w:ascii="宋体" w:hAnsi="宋体" w:cs="宋体"/>
                <w:color w:val="000000"/>
                <w:sz w:val="24"/>
              </w:rPr>
            </w:pPr>
            <w:r>
              <w:rPr>
                <w:rFonts w:ascii="宋体" w:hAnsi="宋体" w:cs="宋体" w:hint="eastAsia"/>
                <w:color w:val="000000"/>
                <w:sz w:val="24"/>
              </w:rPr>
              <w:t>100</w:t>
            </w:r>
          </w:p>
        </w:tc>
        <w:tc>
          <w:tcPr>
            <w:tcW w:w="4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170"/>
        </w:trPr>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部门（单位）自评结论</w:t>
            </w:r>
          </w:p>
        </w:tc>
        <w:tc>
          <w:tcPr>
            <w:tcW w:w="1916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tc>
      </w:tr>
      <w:tr w:rsidR="003C6718">
        <w:trPr>
          <w:trHeight w:val="170"/>
        </w:trPr>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部门（单位）自评存在问题</w:t>
            </w:r>
          </w:p>
        </w:tc>
        <w:tc>
          <w:tcPr>
            <w:tcW w:w="1916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绩效目标编制有待进一步完善，绩效目标缺乏数量指标和时效指标，完善绩效目标的编制，在编制绩效目标时应对绩效指标进行进一步量化，设立清晰、具体可以衡量的绩效指标，以便于进行绩效考核。</w:t>
            </w:r>
          </w:p>
        </w:tc>
      </w:tr>
      <w:tr w:rsidR="003C6718">
        <w:trPr>
          <w:trHeight w:val="170"/>
        </w:trPr>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w:t>
            </w:r>
            <w:proofErr w:type="gramStart"/>
            <w:r>
              <w:rPr>
                <w:rFonts w:ascii="宋体" w:hAnsi="宋体" w:cs="宋体" w:hint="eastAsia"/>
                <w:b/>
                <w:bCs/>
                <w:color w:val="000000"/>
                <w:kern w:val="0"/>
                <w:sz w:val="24"/>
              </w:rPr>
              <w:t>评改进措施</w:t>
            </w:r>
            <w:proofErr w:type="gramEnd"/>
          </w:p>
        </w:tc>
        <w:tc>
          <w:tcPr>
            <w:tcW w:w="1916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对仅纳入部门预算核算、未达到一定资金规模且项目内容主要用于支持单位运转的小型项目，开展项目绩效评价时应区别于基建预算的大型项目，建议简化此类项目绩效评价。进一步建立长效机制，落实好财政</w:t>
            </w:r>
            <w:proofErr w:type="gramStart"/>
            <w:r>
              <w:rPr>
                <w:rFonts w:ascii="宋体" w:hAnsi="宋体" w:cs="宋体" w:hint="eastAsia"/>
                <w:color w:val="000000"/>
                <w:kern w:val="0"/>
                <w:sz w:val="24"/>
              </w:rPr>
              <w:t>项资金</w:t>
            </w:r>
            <w:proofErr w:type="gramEnd"/>
            <w:r>
              <w:rPr>
                <w:rFonts w:ascii="宋体" w:hAnsi="宋体" w:cs="宋体" w:hint="eastAsia"/>
                <w:color w:val="000000"/>
                <w:kern w:val="0"/>
                <w:sz w:val="24"/>
              </w:rPr>
              <w:t>的管理和使用，通过项目为载体发挥巨大的社会价值，继续探索好的做法，抓好项目后续管理工作，加强部门预算整体绩效管理的指导和培训，增强提高绩效管理业务人员绩效管理能力、专业素质和思想水平。</w:t>
            </w:r>
          </w:p>
        </w:tc>
      </w:tr>
    </w:tbl>
    <w:p w:rsidR="003C6718" w:rsidRDefault="00E83E62">
      <w:pPr>
        <w:spacing w:line="240" w:lineRule="atLeast"/>
        <w:jc w:val="center"/>
        <w:rPr>
          <w:rFonts w:ascii="方正小标宋简体" w:eastAsia="方正小标宋简体" w:hAnsi="方正小标宋简体" w:cs="方正小标宋简体"/>
          <w:color w:val="000000"/>
          <w:kern w:val="0"/>
          <w:sz w:val="44"/>
          <w:szCs w:val="44"/>
          <w:lang w:val="zh-CN"/>
        </w:rPr>
      </w:pPr>
      <w:r>
        <w:rPr>
          <w:rFonts w:ascii="方正小标宋简体" w:eastAsia="方正小标宋简体" w:hAnsi="方正小标宋简体" w:cs="方正小标宋简体" w:hint="eastAsia"/>
          <w:color w:val="000000"/>
          <w:kern w:val="0"/>
          <w:sz w:val="44"/>
          <w:szCs w:val="44"/>
        </w:rPr>
        <w:lastRenderedPageBreak/>
        <w:t>部门预算、专项资金预算项目支出绩效目标自评表（2022年度）</w:t>
      </w:r>
    </w:p>
    <w:tbl>
      <w:tblPr>
        <w:tblW w:w="21359" w:type="dxa"/>
        <w:tblInd w:w="93" w:type="dxa"/>
        <w:tblLook w:val="04A0"/>
      </w:tblPr>
      <w:tblGrid>
        <w:gridCol w:w="2276"/>
        <w:gridCol w:w="2358"/>
        <w:gridCol w:w="1913"/>
        <w:gridCol w:w="2156"/>
        <w:gridCol w:w="704"/>
        <w:gridCol w:w="1671"/>
        <w:gridCol w:w="708"/>
        <w:gridCol w:w="1470"/>
        <w:gridCol w:w="1047"/>
        <w:gridCol w:w="1289"/>
        <w:gridCol w:w="1571"/>
        <w:gridCol w:w="4196"/>
      </w:tblGrid>
      <w:tr w:rsidR="003C6718">
        <w:trPr>
          <w:trHeight w:val="339"/>
        </w:trPr>
        <w:tc>
          <w:tcPr>
            <w:tcW w:w="4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项目名称</w:t>
            </w:r>
          </w:p>
        </w:tc>
        <w:tc>
          <w:tcPr>
            <w:tcW w:w="167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国土空间规划编制工作经费</w:t>
            </w:r>
          </w:p>
        </w:tc>
      </w:tr>
      <w:tr w:rsidR="003C6718">
        <w:trPr>
          <w:trHeight w:val="669"/>
        </w:trPr>
        <w:tc>
          <w:tcPr>
            <w:tcW w:w="4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主管部门（盖章）</w:t>
            </w:r>
          </w:p>
        </w:tc>
        <w:tc>
          <w:tcPr>
            <w:tcW w:w="7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实施单位 （盖章）</w:t>
            </w:r>
          </w:p>
        </w:tc>
        <w:tc>
          <w:tcPr>
            <w:tcW w:w="8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r>
      <w:tr w:rsidR="003C6718">
        <w:trPr>
          <w:trHeight w:val="339"/>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项目基本情况</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1.项目年度目标完成情况</w:t>
            </w:r>
          </w:p>
        </w:tc>
        <w:tc>
          <w:tcPr>
            <w:tcW w:w="7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项目年度目标</w:t>
            </w:r>
          </w:p>
        </w:tc>
        <w:tc>
          <w:tcPr>
            <w:tcW w:w="95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年度目标完成情况</w:t>
            </w:r>
          </w:p>
        </w:tc>
      </w:tr>
      <w:tr w:rsidR="003C6718">
        <w:trPr>
          <w:trHeight w:val="66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7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项目应实现2022年12月31日前，完成1个中心城区控制性详细规划调整、完成2项专项规划调整。</w:t>
            </w:r>
          </w:p>
        </w:tc>
        <w:tc>
          <w:tcPr>
            <w:tcW w:w="95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完成5个中心城区控制性详细规划调整、完成8项专项规划调整。</w:t>
            </w:r>
          </w:p>
        </w:tc>
      </w:tr>
      <w:tr w:rsidR="003C6718">
        <w:trPr>
          <w:trHeight w:val="66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2.项目实施内容及过程概述</w:t>
            </w:r>
          </w:p>
        </w:tc>
        <w:tc>
          <w:tcPr>
            <w:tcW w:w="167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认真履行规划编制职能职责，严格按照法定程序开展中心城区控</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调整、专项规划调整、总体规划调整。邀请组织相关专家对项目进行现场踏勘指导，对经济技术指标充分论证，增强城市规划的科学性和权威性，服务广元城乡规划建设，做好项目要素保障。</w:t>
            </w:r>
          </w:p>
        </w:tc>
      </w:tr>
      <w:tr w:rsidR="003C6718">
        <w:trPr>
          <w:trHeight w:val="669"/>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预算执行情况（10分）</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年度预算数（万元）</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年初预算</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调整</w:t>
            </w:r>
            <w:proofErr w:type="gramStart"/>
            <w:r>
              <w:rPr>
                <w:rFonts w:ascii="宋体" w:hAnsi="宋体" w:cs="宋体" w:hint="eastAsia"/>
                <w:b/>
                <w:bCs/>
                <w:color w:val="000000"/>
                <w:kern w:val="0"/>
                <w:sz w:val="24"/>
              </w:rPr>
              <w:t>后预算</w:t>
            </w:r>
            <w:proofErr w:type="gramEnd"/>
            <w:r>
              <w:rPr>
                <w:rFonts w:ascii="宋体" w:hAnsi="宋体" w:cs="宋体" w:hint="eastAsia"/>
                <w:b/>
                <w:bCs/>
                <w:color w:val="000000"/>
                <w:kern w:val="0"/>
                <w:sz w:val="24"/>
              </w:rPr>
              <w:t>数</w:t>
            </w: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预算执行数</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预算执行率</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原因</w:t>
            </w: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总额</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1.预算执行率=预算执行数/调整</w:t>
            </w:r>
            <w:proofErr w:type="gramStart"/>
            <w:r>
              <w:rPr>
                <w:rFonts w:ascii="宋体" w:hAnsi="宋体" w:cs="宋体" w:hint="eastAsia"/>
                <w:color w:val="000000"/>
                <w:kern w:val="0"/>
                <w:sz w:val="24"/>
              </w:rPr>
              <w:t>后预算</w:t>
            </w:r>
            <w:proofErr w:type="gramEnd"/>
            <w:r>
              <w:rPr>
                <w:rFonts w:ascii="宋体" w:hAnsi="宋体" w:cs="宋体" w:hint="eastAsia"/>
                <w:color w:val="000000"/>
                <w:kern w:val="0"/>
                <w:sz w:val="24"/>
              </w:rPr>
              <w:t>数，预算执行率未达到90%的需说明原因（100字以内）;2.年中发生预算调整的（追加或调减）,应单独说明理由；3.其他资金包括、社会投入资金、银行贷款.</w:t>
            </w: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其中：财政资金</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财政专户管理资金</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0.00</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单位资金</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27"/>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其他资金</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69"/>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绩效指标（90分）</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一级指标</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二级指标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三级指标</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指标性质</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度量单位</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完成值</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产出指标</w:t>
            </w:r>
          </w:p>
        </w:tc>
        <w:tc>
          <w:tcPr>
            <w:tcW w:w="1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数量指标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专项规划调整</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项</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66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中心城区控制性详细规划调整</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块</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20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时效指标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完成时间</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vMerge w:val="restart"/>
            <w:tcBorders>
              <w:top w:val="nil"/>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成本指标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印刷费</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7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6.3</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培训费</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7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0.64</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差旅费租车费</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7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9.22</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C6718" w:rsidRDefault="003C6718">
            <w:pPr>
              <w:rPr>
                <w:rFonts w:ascii="宋体" w:hAnsi="宋体" w:cs="宋体"/>
                <w:color w:val="000000"/>
                <w:sz w:val="24"/>
              </w:rPr>
            </w:pPr>
          </w:p>
        </w:tc>
      </w:tr>
      <w:tr w:rsidR="003C6718">
        <w:trPr>
          <w:trHeight w:val="33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vMerge/>
            <w:tcBorders>
              <w:top w:val="nil"/>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办公等费用</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70"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3.98</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998"/>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可持续影响指标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优化广元城市规划建设、提升城市形象</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5</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669"/>
        </w:trPr>
        <w:tc>
          <w:tcPr>
            <w:tcW w:w="2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服务对象满意度指标</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相关部门通过率</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5</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9"/>
        </w:trPr>
        <w:tc>
          <w:tcPr>
            <w:tcW w:w="132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合计</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rsidP="002D4E3D">
            <w:pPr>
              <w:jc w:val="center"/>
              <w:rPr>
                <w:rFonts w:ascii="宋体" w:hAnsi="宋体" w:cs="宋体"/>
                <w:color w:val="000000"/>
                <w:sz w:val="24"/>
              </w:rPr>
            </w:pPr>
            <w:r>
              <w:rPr>
                <w:rFonts w:ascii="宋体" w:hAnsi="宋体" w:cs="宋体" w:hint="eastAsia"/>
                <w:color w:val="000000"/>
                <w:sz w:val="24"/>
              </w:rPr>
              <w:t>100</w:t>
            </w:r>
          </w:p>
        </w:tc>
        <w:tc>
          <w:tcPr>
            <w:tcW w:w="4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69"/>
        </w:trPr>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部门（单位）自评结论</w:t>
            </w:r>
          </w:p>
        </w:tc>
        <w:tc>
          <w:tcPr>
            <w:tcW w:w="190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tc>
      </w:tr>
      <w:tr w:rsidR="003C6718">
        <w:trPr>
          <w:trHeight w:val="669"/>
        </w:trPr>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部门（单位）自评存在问题</w:t>
            </w:r>
          </w:p>
        </w:tc>
        <w:tc>
          <w:tcPr>
            <w:tcW w:w="190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规划项目的特点是规划控制，实施过程长，经济效益、社会效益以及其他效益体现不明显，因此绩效评价工作需特殊处理。</w:t>
            </w:r>
          </w:p>
        </w:tc>
      </w:tr>
      <w:tr w:rsidR="003C6718">
        <w:trPr>
          <w:trHeight w:val="1009"/>
        </w:trPr>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w:t>
            </w:r>
            <w:proofErr w:type="gramStart"/>
            <w:r>
              <w:rPr>
                <w:rFonts w:ascii="宋体" w:hAnsi="宋体" w:cs="宋体" w:hint="eastAsia"/>
                <w:b/>
                <w:bCs/>
                <w:color w:val="000000"/>
                <w:kern w:val="0"/>
                <w:sz w:val="24"/>
              </w:rPr>
              <w:t>评改进措施</w:t>
            </w:r>
            <w:proofErr w:type="gramEnd"/>
          </w:p>
        </w:tc>
        <w:tc>
          <w:tcPr>
            <w:tcW w:w="190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对仅纳入部门预算核算、未达到一定资金规模且项目内容主要用于支持单位运转的小型项目，开展项目绩效评价时应区别于基建预算的大型项目，建议简化此类项目绩效评价。进一步建立长效机制，落实好财政</w:t>
            </w:r>
            <w:proofErr w:type="gramStart"/>
            <w:r>
              <w:rPr>
                <w:rFonts w:ascii="宋体" w:hAnsi="宋体" w:cs="宋体" w:hint="eastAsia"/>
                <w:color w:val="000000"/>
                <w:kern w:val="0"/>
                <w:sz w:val="24"/>
              </w:rPr>
              <w:t>项资金</w:t>
            </w:r>
            <w:proofErr w:type="gramEnd"/>
            <w:r>
              <w:rPr>
                <w:rFonts w:ascii="宋体" w:hAnsi="宋体" w:cs="宋体" w:hint="eastAsia"/>
                <w:color w:val="000000"/>
                <w:kern w:val="0"/>
                <w:sz w:val="24"/>
              </w:rPr>
              <w:t>的管理和使用，通过项目为载体发挥巨大的社会价值，继续探索好的做法，抓好项目后续管理工作，加强部门预算整体绩效管理的指导和培训，增强提高绩效管理业务人员绩效管理能力、专业素质和思想水平。</w:t>
            </w:r>
          </w:p>
        </w:tc>
      </w:tr>
    </w:tbl>
    <w:p w:rsidR="003C6718" w:rsidRDefault="00E83E62">
      <w:pPr>
        <w:spacing w:line="240" w:lineRule="atLeast"/>
        <w:jc w:val="center"/>
        <w:rPr>
          <w:rFonts w:ascii="方正小标宋简体" w:eastAsia="方正小标宋简体" w:hAnsi="方正小标宋简体" w:cs="方正小标宋简体"/>
          <w:color w:val="000000"/>
          <w:kern w:val="0"/>
          <w:sz w:val="44"/>
          <w:szCs w:val="44"/>
          <w:lang w:val="zh-CN"/>
        </w:rPr>
      </w:pPr>
      <w:r>
        <w:rPr>
          <w:rFonts w:ascii="方正小标宋简体" w:eastAsia="方正小标宋简体" w:hAnsi="方正小标宋简体" w:cs="方正小标宋简体" w:hint="eastAsia"/>
          <w:color w:val="000000"/>
          <w:kern w:val="0"/>
          <w:sz w:val="44"/>
          <w:szCs w:val="44"/>
        </w:rPr>
        <w:lastRenderedPageBreak/>
        <w:t>部门预算、专项资金预算项目支出绩效目标自评表（2022年度）</w:t>
      </w:r>
    </w:p>
    <w:tbl>
      <w:tblPr>
        <w:tblW w:w="21419" w:type="dxa"/>
        <w:tblInd w:w="93" w:type="dxa"/>
        <w:tblLook w:val="04A0"/>
      </w:tblPr>
      <w:tblGrid>
        <w:gridCol w:w="2296"/>
        <w:gridCol w:w="2382"/>
        <w:gridCol w:w="1931"/>
        <w:gridCol w:w="2176"/>
        <w:gridCol w:w="710"/>
        <w:gridCol w:w="1685"/>
        <w:gridCol w:w="718"/>
        <w:gridCol w:w="1483"/>
        <w:gridCol w:w="1056"/>
        <w:gridCol w:w="1300"/>
        <w:gridCol w:w="1585"/>
        <w:gridCol w:w="4097"/>
      </w:tblGrid>
      <w:tr w:rsidR="003C6718">
        <w:trPr>
          <w:trHeight w:val="371"/>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项目名称</w:t>
            </w:r>
          </w:p>
        </w:tc>
        <w:tc>
          <w:tcPr>
            <w:tcW w:w="167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乡村振兴工作经费</w:t>
            </w:r>
          </w:p>
        </w:tc>
      </w:tr>
      <w:tr w:rsidR="003C6718">
        <w:trPr>
          <w:trHeight w:val="722"/>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主管部门（盖章）</w:t>
            </w:r>
          </w:p>
        </w:tc>
        <w:tc>
          <w:tcPr>
            <w:tcW w:w="72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实施单位 （盖章）</w:t>
            </w:r>
          </w:p>
        </w:tc>
        <w:tc>
          <w:tcPr>
            <w:tcW w:w="80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r>
      <w:tr w:rsidR="003C6718">
        <w:trPr>
          <w:trHeight w:val="371"/>
        </w:trPr>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项目基本情况</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1.项目年度目标完成情况</w:t>
            </w:r>
          </w:p>
        </w:tc>
        <w:tc>
          <w:tcPr>
            <w:tcW w:w="72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项目年度目标</w:t>
            </w:r>
          </w:p>
        </w:tc>
        <w:tc>
          <w:tcPr>
            <w:tcW w:w="9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年度目标完成情况</w:t>
            </w:r>
          </w:p>
        </w:tc>
      </w:tr>
      <w:tr w:rsidR="003C6718">
        <w:trPr>
          <w:trHeight w:val="722"/>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72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完成2022年昭化区清水镇石庙村55户结对帮扶振兴任务，通过结对帮扶改善居民生活环境、增加收入等。</w:t>
            </w:r>
          </w:p>
        </w:tc>
        <w:tc>
          <w:tcPr>
            <w:tcW w:w="9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通过针对帮扶，完成2022年昭化区清水镇石庙村55户结对帮扶振兴任务，通过结对帮扶改善居民生活环境、增加收入等。</w:t>
            </w:r>
          </w:p>
        </w:tc>
      </w:tr>
      <w:tr w:rsidR="003C6718">
        <w:trPr>
          <w:trHeight w:val="722"/>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2.项目实施内容及过程概述</w:t>
            </w:r>
          </w:p>
        </w:tc>
        <w:tc>
          <w:tcPr>
            <w:tcW w:w="167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2022年是巩固脱贫攻坚成果同乡村振兴有效衔接的关键之年，按照市委市政府安排部署，巩固脱贫成果，接续乡村振兴，提升帮扶质效，全面做好昭化区清水镇石庙村2022年结对帮扶振兴工作。</w:t>
            </w:r>
          </w:p>
        </w:tc>
      </w:tr>
      <w:tr w:rsidR="003C6718">
        <w:trPr>
          <w:trHeight w:val="722"/>
        </w:trPr>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预算执行情况（10分）</w:t>
            </w: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年度预算数（万元）</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年初预算</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调整</w:t>
            </w:r>
            <w:proofErr w:type="gramStart"/>
            <w:r>
              <w:rPr>
                <w:rFonts w:ascii="宋体" w:hAnsi="宋体" w:cs="宋体" w:hint="eastAsia"/>
                <w:b/>
                <w:bCs/>
                <w:color w:val="000000"/>
                <w:kern w:val="0"/>
                <w:sz w:val="24"/>
              </w:rPr>
              <w:t>后预算</w:t>
            </w:r>
            <w:proofErr w:type="gramEnd"/>
            <w:r>
              <w:rPr>
                <w:rFonts w:ascii="宋体" w:hAnsi="宋体" w:cs="宋体" w:hint="eastAsia"/>
                <w:b/>
                <w:bCs/>
                <w:color w:val="000000"/>
                <w:kern w:val="0"/>
                <w:sz w:val="24"/>
              </w:rPr>
              <w:t>数</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预算执行数</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预算执行率</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原因</w:t>
            </w: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总额</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10</w:t>
            </w:r>
          </w:p>
        </w:tc>
        <w:tc>
          <w:tcPr>
            <w:tcW w:w="4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1.预算执行率=预算执行数/调整</w:t>
            </w:r>
            <w:proofErr w:type="gramStart"/>
            <w:r>
              <w:rPr>
                <w:rFonts w:ascii="宋体" w:hAnsi="宋体" w:cs="宋体" w:hint="eastAsia"/>
                <w:color w:val="000000"/>
                <w:kern w:val="0"/>
                <w:sz w:val="24"/>
              </w:rPr>
              <w:t>后预算</w:t>
            </w:r>
            <w:proofErr w:type="gramEnd"/>
            <w:r>
              <w:rPr>
                <w:rFonts w:ascii="宋体" w:hAnsi="宋体" w:cs="宋体" w:hint="eastAsia"/>
                <w:color w:val="000000"/>
                <w:kern w:val="0"/>
                <w:sz w:val="24"/>
              </w:rPr>
              <w:t>数，预算执行率未达到90%的需说明原因（100字以内）;2.年中发生预算调整的（追加或调减）,应单独说明理由；3.其他资金包括、社会投入资金、银行贷款.</w:t>
            </w: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其中：财政资金</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财政专户管理资金</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0.00</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单位资金</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78"/>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其他资金</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722"/>
        </w:trPr>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绩效指标（90分）</w:t>
            </w: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一级指标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二级指标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三级指标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指标性质</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指标值</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度量单位</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完成值</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vMerge w:val="restart"/>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产出指标</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数量指标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结对帮扶户</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55</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20</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结对帮扶村</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rPr>
              <w:t>个</w:t>
            </w:r>
            <w:proofErr w:type="gramEnd"/>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20</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质量指标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时效指标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完成时间</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20</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722"/>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931" w:type="dxa"/>
            <w:tcBorders>
              <w:top w:val="nil"/>
              <w:left w:val="single" w:sz="4" w:space="0" w:color="000000"/>
              <w:bottom w:val="nil"/>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成本指标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驻村帮扶人员生活补助</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83" w:type="dxa"/>
            <w:tcBorders>
              <w:top w:val="single" w:sz="4" w:space="0" w:color="000000"/>
              <w:left w:val="nil"/>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20</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71"/>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社会效益指标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农村生活水平</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5</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722"/>
        </w:trPr>
        <w:tc>
          <w:tcPr>
            <w:tcW w:w="2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服务对象满意度指标</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群众满意度</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pPr>
              <w:jc w:val="center"/>
              <w:rPr>
                <w:rFonts w:ascii="宋体" w:hAnsi="宋体" w:cs="宋体"/>
                <w:color w:val="000000"/>
                <w:sz w:val="24"/>
              </w:rPr>
            </w:pPr>
            <w:r>
              <w:rPr>
                <w:rFonts w:ascii="宋体" w:hAnsi="宋体" w:cs="宋体" w:hint="eastAsia"/>
                <w:color w:val="000000"/>
                <w:sz w:val="24"/>
              </w:rPr>
              <w:t>5</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71"/>
        </w:trPr>
        <w:tc>
          <w:tcPr>
            <w:tcW w:w="1338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合计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2D4E3D" w:rsidP="002D4E3D">
            <w:pPr>
              <w:jc w:val="center"/>
              <w:rPr>
                <w:rFonts w:ascii="宋体" w:hAnsi="宋体" w:cs="宋体"/>
                <w:color w:val="000000"/>
                <w:sz w:val="24"/>
              </w:rPr>
            </w:pPr>
            <w:r>
              <w:rPr>
                <w:rFonts w:ascii="宋体" w:hAnsi="宋体" w:cs="宋体" w:hint="eastAsia"/>
                <w:color w:val="000000"/>
                <w:sz w:val="24"/>
              </w:rPr>
              <w:t>100</w:t>
            </w:r>
          </w:p>
        </w:tc>
        <w:tc>
          <w:tcPr>
            <w:tcW w:w="4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722"/>
        </w:trPr>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部门（单位）自评结论</w:t>
            </w:r>
          </w:p>
        </w:tc>
        <w:tc>
          <w:tcPr>
            <w:tcW w:w="191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我中心预算编制完整，预算执行到位，做到了财务公开、会计核算真实、规范，没有截留、挪用财政资金、擅自扩大或缩小资金使用范围、改变资金用途等现象，未在项目申报中弄虚作假，套取财政资金，保证了专款专用。</w:t>
            </w:r>
          </w:p>
        </w:tc>
      </w:tr>
      <w:tr w:rsidR="003C6718">
        <w:trPr>
          <w:trHeight w:val="722"/>
        </w:trPr>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部门（单位）自评存在问题</w:t>
            </w:r>
          </w:p>
        </w:tc>
        <w:tc>
          <w:tcPr>
            <w:tcW w:w="191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乡村振兴资金投入需求较大，年初预算下达资金不足，在确保该项工作顺利进行的情况下，只能用单位工作经费弥补，严重挤压单位基本运转经费。</w:t>
            </w:r>
          </w:p>
        </w:tc>
      </w:tr>
      <w:tr w:rsidR="003C6718">
        <w:trPr>
          <w:trHeight w:val="744"/>
        </w:trPr>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w:t>
            </w:r>
            <w:proofErr w:type="gramStart"/>
            <w:r>
              <w:rPr>
                <w:rFonts w:ascii="宋体" w:hAnsi="宋体" w:cs="宋体" w:hint="eastAsia"/>
                <w:b/>
                <w:bCs/>
                <w:color w:val="000000"/>
                <w:kern w:val="0"/>
                <w:sz w:val="24"/>
              </w:rPr>
              <w:t>评改进措施</w:t>
            </w:r>
            <w:proofErr w:type="gramEnd"/>
          </w:p>
        </w:tc>
        <w:tc>
          <w:tcPr>
            <w:tcW w:w="191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对仅纳入部门预算核算、未达到一定资金规模且项目内容主要用于支持单位运转的小型项目，开展项目绩效评价时应区别于基建预算的大型项目，对照《2023年市级专项预算项目支出绩效评价指标体系》大部分评分项也不适用于此类项目，建议简化此类项目绩效评价。</w:t>
            </w:r>
          </w:p>
        </w:tc>
      </w:tr>
    </w:tbl>
    <w:p w:rsidR="003C6718" w:rsidRDefault="003C6718">
      <w:pPr>
        <w:spacing w:line="240" w:lineRule="atLeast"/>
        <w:jc w:val="left"/>
        <w:rPr>
          <w:rFonts w:ascii="仿宋_GB2312" w:eastAsia="仿宋_GB2312" w:hAnsi="仿宋_GB2312" w:cs="仿宋_GB2312"/>
          <w:sz w:val="32"/>
          <w:szCs w:val="32"/>
          <w:lang w:val="zh-CN"/>
        </w:rPr>
      </w:pPr>
    </w:p>
    <w:p w:rsidR="003C6718" w:rsidRDefault="003C6718">
      <w:pPr>
        <w:spacing w:line="240" w:lineRule="atLeast"/>
        <w:jc w:val="left"/>
        <w:rPr>
          <w:rFonts w:ascii="仿宋_GB2312" w:eastAsia="仿宋_GB2312" w:hAnsi="仿宋_GB2312" w:cs="仿宋_GB2312"/>
          <w:sz w:val="32"/>
          <w:szCs w:val="32"/>
          <w:lang w:val="zh-CN"/>
        </w:rPr>
        <w:sectPr w:rsidR="003C6718">
          <w:footerReference w:type="default" r:id="rId21"/>
          <w:footerReference w:type="first" r:id="rId22"/>
          <w:pgSz w:w="23811" w:h="16838" w:orient="landscape"/>
          <w:pgMar w:top="1134" w:right="1134" w:bottom="1134" w:left="1134" w:header="851" w:footer="850" w:gutter="0"/>
          <w:pgNumType w:start="33"/>
          <w:cols w:space="0"/>
          <w:docGrid w:type="lines" w:linePitch="315"/>
        </w:sectPr>
      </w:pPr>
    </w:p>
    <w:p w:rsidR="003C6718" w:rsidRDefault="00E83E62">
      <w:pPr>
        <w:spacing w:line="240" w:lineRule="atLeas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部门预算、专项资金预算项目支出绩效目标自评表（2022年度）</w:t>
      </w:r>
    </w:p>
    <w:tbl>
      <w:tblPr>
        <w:tblW w:w="21359" w:type="dxa"/>
        <w:tblInd w:w="93" w:type="dxa"/>
        <w:tblLook w:val="04A0"/>
      </w:tblPr>
      <w:tblGrid>
        <w:gridCol w:w="1953"/>
        <w:gridCol w:w="2707"/>
        <w:gridCol w:w="2147"/>
        <w:gridCol w:w="1985"/>
        <w:gridCol w:w="709"/>
        <w:gridCol w:w="1681"/>
        <w:gridCol w:w="712"/>
        <w:gridCol w:w="1478"/>
        <w:gridCol w:w="1053"/>
        <w:gridCol w:w="1296"/>
        <w:gridCol w:w="1580"/>
        <w:gridCol w:w="4058"/>
      </w:tblGrid>
      <w:tr w:rsidR="003C6718">
        <w:trPr>
          <w:trHeight w:val="340"/>
        </w:trPr>
        <w:tc>
          <w:tcPr>
            <w:tcW w:w="4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b/>
                <w:bCs/>
                <w:color w:val="000000"/>
                <w:sz w:val="24"/>
              </w:rPr>
            </w:pPr>
            <w:r>
              <w:rPr>
                <w:rFonts w:ascii="宋体" w:hAnsi="宋体" w:cs="宋体" w:hint="eastAsia"/>
                <w:b/>
                <w:bCs/>
                <w:color w:val="000000"/>
                <w:kern w:val="0"/>
                <w:sz w:val="24"/>
              </w:rPr>
              <w:t>项目名称</w:t>
            </w:r>
          </w:p>
        </w:tc>
        <w:tc>
          <w:tcPr>
            <w:tcW w:w="166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工业项目方案技术审查工作经费</w:t>
            </w:r>
          </w:p>
        </w:tc>
      </w:tr>
      <w:tr w:rsidR="003C6718">
        <w:trPr>
          <w:trHeight w:val="340"/>
        </w:trPr>
        <w:tc>
          <w:tcPr>
            <w:tcW w:w="4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b/>
                <w:bCs/>
                <w:color w:val="000000"/>
                <w:sz w:val="24"/>
              </w:rPr>
            </w:pPr>
            <w:r>
              <w:rPr>
                <w:rFonts w:ascii="宋体" w:hAnsi="宋体" w:cs="宋体" w:hint="eastAsia"/>
                <w:b/>
                <w:bCs/>
                <w:color w:val="000000"/>
                <w:kern w:val="0"/>
                <w:sz w:val="24"/>
              </w:rPr>
              <w:t>主管部门（盖章）</w:t>
            </w:r>
          </w:p>
        </w:tc>
        <w:tc>
          <w:tcPr>
            <w:tcW w:w="72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实施单位 （盖章）</w:t>
            </w:r>
          </w:p>
        </w:tc>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广元经济技术开发区国土空间规划编制研究中心</w:t>
            </w:r>
          </w:p>
        </w:tc>
      </w:tr>
      <w:tr w:rsidR="003C6718">
        <w:trPr>
          <w:trHeight w:val="34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b/>
                <w:bCs/>
                <w:color w:val="000000"/>
                <w:sz w:val="24"/>
              </w:rPr>
            </w:pPr>
            <w:r>
              <w:rPr>
                <w:rFonts w:ascii="宋体" w:hAnsi="宋体" w:cs="宋体" w:hint="eastAsia"/>
                <w:b/>
                <w:bCs/>
                <w:color w:val="000000"/>
                <w:kern w:val="0"/>
                <w:sz w:val="24"/>
              </w:rPr>
              <w:t>项目基本情况</w:t>
            </w:r>
          </w:p>
        </w:tc>
        <w:tc>
          <w:tcPr>
            <w:tcW w:w="2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b/>
                <w:bCs/>
                <w:color w:val="000000"/>
                <w:sz w:val="24"/>
              </w:rPr>
            </w:pPr>
            <w:r>
              <w:rPr>
                <w:rFonts w:ascii="宋体" w:hAnsi="宋体" w:cs="宋体" w:hint="eastAsia"/>
                <w:b/>
                <w:bCs/>
                <w:color w:val="000000"/>
                <w:kern w:val="0"/>
                <w:sz w:val="24"/>
              </w:rPr>
              <w:t>1.项目年度目标完成情况</w:t>
            </w:r>
          </w:p>
        </w:tc>
        <w:tc>
          <w:tcPr>
            <w:tcW w:w="72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项目年度目标</w:t>
            </w:r>
          </w:p>
        </w:tc>
        <w:tc>
          <w:tcPr>
            <w:tcW w:w="94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年度目标完成情况</w:t>
            </w: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b/>
                <w:bCs/>
                <w:color w:val="000000"/>
                <w:sz w:val="24"/>
              </w:rPr>
            </w:pPr>
          </w:p>
        </w:tc>
        <w:tc>
          <w:tcPr>
            <w:tcW w:w="2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b/>
                <w:bCs/>
                <w:color w:val="000000"/>
                <w:sz w:val="24"/>
              </w:rPr>
            </w:pPr>
          </w:p>
        </w:tc>
        <w:tc>
          <w:tcPr>
            <w:tcW w:w="72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项目应实现2022年12月31日前，完成召开6期工业项目方案技术审查会，对</w:t>
            </w:r>
            <w:proofErr w:type="gramStart"/>
            <w:r>
              <w:rPr>
                <w:rFonts w:ascii="宋体" w:hAnsi="宋体" w:cs="宋体" w:hint="eastAsia"/>
                <w:color w:val="000000"/>
                <w:kern w:val="0"/>
                <w:sz w:val="24"/>
              </w:rPr>
              <w:t>24余个</w:t>
            </w:r>
            <w:proofErr w:type="gramEnd"/>
            <w:r>
              <w:rPr>
                <w:rFonts w:ascii="宋体" w:hAnsi="宋体" w:cs="宋体" w:hint="eastAsia"/>
                <w:color w:val="000000"/>
                <w:kern w:val="0"/>
                <w:sz w:val="24"/>
              </w:rPr>
              <w:t>项目规划设计方案进行审查。</w:t>
            </w:r>
          </w:p>
        </w:tc>
        <w:tc>
          <w:tcPr>
            <w:tcW w:w="94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召开9期工业项目方案技术审查会、完成对40个项目规划设计方案进行审查。</w:t>
            </w: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b/>
                <w:bCs/>
                <w:color w:val="000000"/>
                <w:sz w:val="24"/>
              </w:rPr>
            </w:pPr>
            <w:r>
              <w:rPr>
                <w:rFonts w:ascii="宋体" w:hAnsi="宋体" w:cs="宋体" w:hint="eastAsia"/>
                <w:b/>
                <w:bCs/>
                <w:color w:val="000000"/>
                <w:kern w:val="0"/>
                <w:sz w:val="24"/>
              </w:rPr>
              <w:t>2.项目实施内容及过程概述</w:t>
            </w:r>
          </w:p>
        </w:tc>
        <w:tc>
          <w:tcPr>
            <w:tcW w:w="166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立足经开区规划设计工作，邀请组织相关专家对项目规划设计方案进行审查，增强城市规划的科学性和权威性，服务广元城乡规划建设，做好项目要素保障。</w:t>
            </w:r>
          </w:p>
        </w:tc>
      </w:tr>
      <w:tr w:rsidR="003C6718">
        <w:trPr>
          <w:trHeight w:val="34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预算执行情况（10分）</w:t>
            </w: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年度预算数（万元）</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年初预算</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调整</w:t>
            </w:r>
            <w:proofErr w:type="gramStart"/>
            <w:r>
              <w:rPr>
                <w:rFonts w:ascii="宋体" w:hAnsi="宋体" w:cs="宋体" w:hint="eastAsia"/>
                <w:b/>
                <w:bCs/>
                <w:color w:val="000000"/>
                <w:kern w:val="0"/>
                <w:sz w:val="24"/>
              </w:rPr>
              <w:t>后预算</w:t>
            </w:r>
            <w:proofErr w:type="gramEnd"/>
            <w:r>
              <w:rPr>
                <w:rFonts w:ascii="宋体" w:hAnsi="宋体" w:cs="宋体" w:hint="eastAsia"/>
                <w:b/>
                <w:bCs/>
                <w:color w:val="000000"/>
                <w:kern w:val="0"/>
                <w:sz w:val="24"/>
              </w:rPr>
              <w:t>数</w:t>
            </w: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预算执行数</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预算执行率</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原因</w:t>
            </w: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总额</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10</w:t>
            </w:r>
          </w:p>
        </w:tc>
        <w:tc>
          <w:tcPr>
            <w:tcW w:w="40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1.预算执行率=预算执行数/调整</w:t>
            </w:r>
            <w:proofErr w:type="gramStart"/>
            <w:r>
              <w:rPr>
                <w:rFonts w:ascii="宋体" w:hAnsi="宋体" w:cs="宋体" w:hint="eastAsia"/>
                <w:color w:val="000000"/>
                <w:kern w:val="0"/>
                <w:sz w:val="24"/>
              </w:rPr>
              <w:t>后预算</w:t>
            </w:r>
            <w:proofErr w:type="gramEnd"/>
            <w:r>
              <w:rPr>
                <w:rFonts w:ascii="宋体" w:hAnsi="宋体" w:cs="宋体" w:hint="eastAsia"/>
                <w:color w:val="000000"/>
                <w:kern w:val="0"/>
                <w:sz w:val="24"/>
              </w:rPr>
              <w:t>数，预算执行率未达到90%的需说明原因（100字以内）;2.年中发生预算调整的（追加或调减）,应单独说明理由；3.其他资金包括、社会投入资金、银行贷款.</w:t>
            </w: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其中：财政资金</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财政专户管理资金</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单位资金</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其他资金</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3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4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color w:val="000000"/>
                <w:sz w:val="24"/>
              </w:rPr>
            </w:pPr>
          </w:p>
        </w:tc>
      </w:tr>
      <w:tr w:rsidR="003C6718">
        <w:trPr>
          <w:trHeight w:val="34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绩效指标（90分）</w:t>
            </w: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一级指标</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二级指标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指标性质</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指标值</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度量单位</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完成值</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未完成原因分析</w:t>
            </w: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vMerge w:val="restart"/>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产出指标</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数量指标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召开工业项目方案技术审查会</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6</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期/年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20</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质量指标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工业项目方案技术审查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24</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proofErr w:type="gramStart"/>
            <w:r>
              <w:rPr>
                <w:rFonts w:ascii="宋体" w:hAnsi="宋体" w:cs="宋体" w:hint="eastAsia"/>
                <w:color w:val="000000"/>
                <w:kern w:val="0"/>
                <w:sz w:val="24"/>
              </w:rPr>
              <w:t>个</w:t>
            </w:r>
            <w:proofErr w:type="gramEnd"/>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40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20</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时效指标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完成时间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20</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c>
          <w:tcPr>
            <w:tcW w:w="2147" w:type="dxa"/>
            <w:tcBorders>
              <w:top w:val="nil"/>
              <w:left w:val="single" w:sz="4" w:space="0" w:color="000000"/>
              <w:bottom w:val="nil"/>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成本指标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印刷等费用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0.81</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20</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社会效益指标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对城市规划的影响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年</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5</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5</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b/>
                <w:bCs/>
                <w:color w:val="000000"/>
                <w:sz w:val="24"/>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服务对象满意度指标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相关部门通过率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90</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99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5</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pPr>
              <w:widowControl/>
              <w:spacing w:line="360" w:lineRule="exact"/>
              <w:jc w:val="center"/>
              <w:rPr>
                <w:rFonts w:ascii="宋体" w:hAnsi="宋体" w:cs="宋体"/>
                <w:color w:val="000000"/>
                <w:sz w:val="24"/>
              </w:rPr>
            </w:pPr>
            <w:r>
              <w:rPr>
                <w:rFonts w:ascii="宋体" w:hAnsi="宋体" w:cs="宋体" w:hint="eastAsia"/>
                <w:color w:val="000000"/>
                <w:sz w:val="24"/>
              </w:rPr>
              <w:t>5</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jc w:val="center"/>
              <w:rPr>
                <w:rFonts w:ascii="宋体" w:hAnsi="宋体" w:cs="宋体"/>
                <w:color w:val="000000"/>
                <w:sz w:val="24"/>
              </w:rPr>
            </w:pPr>
          </w:p>
        </w:tc>
      </w:tr>
      <w:tr w:rsidR="003C6718">
        <w:trPr>
          <w:trHeight w:val="340"/>
        </w:trPr>
        <w:tc>
          <w:tcPr>
            <w:tcW w:w="1337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合计</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rPr>
              <w:t>100</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45225F" w:rsidP="0045225F">
            <w:pPr>
              <w:widowControl/>
              <w:spacing w:line="360" w:lineRule="exact"/>
              <w:jc w:val="center"/>
              <w:rPr>
                <w:rFonts w:ascii="宋体" w:hAnsi="宋体" w:cs="宋体"/>
                <w:color w:val="000000"/>
                <w:sz w:val="24"/>
              </w:rPr>
            </w:pPr>
            <w:r>
              <w:rPr>
                <w:rFonts w:ascii="宋体" w:hAnsi="宋体" w:cs="宋体" w:hint="eastAsia"/>
                <w:color w:val="000000"/>
                <w:sz w:val="24"/>
              </w:rPr>
              <w:t>100</w:t>
            </w:r>
          </w:p>
        </w:tc>
        <w:tc>
          <w:tcPr>
            <w:tcW w:w="4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widowControl/>
              <w:spacing w:line="360" w:lineRule="exact"/>
              <w:rPr>
                <w:rFonts w:ascii="宋体" w:hAnsi="宋体" w:cs="宋体"/>
                <w:color w:val="000000"/>
                <w:sz w:val="24"/>
              </w:rPr>
            </w:pPr>
          </w:p>
        </w:tc>
      </w:tr>
      <w:tr w:rsidR="003C6718">
        <w:trPr>
          <w:trHeight w:val="340"/>
        </w:trPr>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部门（单位）自评结论</w:t>
            </w:r>
          </w:p>
        </w:tc>
        <w:tc>
          <w:tcPr>
            <w:tcW w:w="194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tc>
      </w:tr>
      <w:tr w:rsidR="003C6718">
        <w:trPr>
          <w:trHeight w:val="340"/>
        </w:trPr>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部门（单位）自评存在问题</w:t>
            </w:r>
          </w:p>
        </w:tc>
        <w:tc>
          <w:tcPr>
            <w:tcW w:w="194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经济效益、社会效益以及其他效益体现不明显，因此绩效评价工作需特殊处理。</w:t>
            </w:r>
          </w:p>
        </w:tc>
      </w:tr>
      <w:tr w:rsidR="003C6718">
        <w:trPr>
          <w:trHeight w:val="340"/>
        </w:trPr>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center"/>
              <w:textAlignment w:val="center"/>
              <w:rPr>
                <w:rFonts w:ascii="宋体" w:hAnsi="宋体" w:cs="宋体"/>
                <w:b/>
                <w:bCs/>
                <w:color w:val="000000"/>
                <w:sz w:val="24"/>
              </w:rPr>
            </w:pPr>
            <w:r>
              <w:rPr>
                <w:rFonts w:ascii="宋体" w:hAnsi="宋体" w:cs="宋体" w:hint="eastAsia"/>
                <w:b/>
                <w:bCs/>
                <w:color w:val="000000"/>
                <w:kern w:val="0"/>
                <w:sz w:val="24"/>
              </w:rPr>
              <w:t>部门（单位）自</w:t>
            </w:r>
            <w:proofErr w:type="gramStart"/>
            <w:r>
              <w:rPr>
                <w:rFonts w:ascii="宋体" w:hAnsi="宋体" w:cs="宋体" w:hint="eastAsia"/>
                <w:b/>
                <w:bCs/>
                <w:color w:val="000000"/>
                <w:kern w:val="0"/>
                <w:sz w:val="24"/>
              </w:rPr>
              <w:t>评改进措施</w:t>
            </w:r>
            <w:proofErr w:type="gramEnd"/>
          </w:p>
        </w:tc>
        <w:tc>
          <w:tcPr>
            <w:tcW w:w="1940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spacing w:line="360" w:lineRule="exact"/>
              <w:jc w:val="left"/>
              <w:textAlignment w:val="center"/>
              <w:rPr>
                <w:rFonts w:ascii="宋体" w:hAnsi="宋体" w:cs="宋体"/>
                <w:color w:val="000000"/>
                <w:sz w:val="24"/>
              </w:rPr>
            </w:pPr>
            <w:r>
              <w:rPr>
                <w:rFonts w:ascii="宋体" w:hAnsi="宋体" w:cs="宋体" w:hint="eastAsia"/>
                <w:color w:val="000000"/>
                <w:kern w:val="0"/>
                <w:sz w:val="24"/>
              </w:rPr>
              <w:t>对仅纳入部门预算核算、未达到一定资金规模且项目内容主要用于支持单位运转的小型项目，开展项目绩效评价时应区别于基建预算的大型项目，对照《2023年市级专项预算项目支出绩效评价指标体系》大部分评分项也不适用于此类项目，建议简化此类项目绩效评价。</w:t>
            </w:r>
          </w:p>
        </w:tc>
      </w:tr>
    </w:tbl>
    <w:p w:rsidR="003C6718" w:rsidRDefault="003C6718">
      <w:pPr>
        <w:spacing w:line="576" w:lineRule="exact"/>
        <w:ind w:firstLineChars="200" w:firstLine="640"/>
        <w:rPr>
          <w:rFonts w:ascii="仿宋_GB2312" w:eastAsia="仿宋_GB2312"/>
          <w:sz w:val="32"/>
        </w:rPr>
      </w:pPr>
    </w:p>
    <w:p w:rsidR="003C6718" w:rsidRDefault="00E83E62">
      <w:pPr>
        <w:spacing w:line="240" w:lineRule="atLeas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部门预算、专项资金预算项目支出绩效目标自评表（2022年度）</w:t>
      </w:r>
    </w:p>
    <w:tbl>
      <w:tblPr>
        <w:tblW w:w="21519" w:type="dxa"/>
        <w:tblInd w:w="93" w:type="dxa"/>
        <w:tblLook w:val="04A0"/>
      </w:tblPr>
      <w:tblGrid>
        <w:gridCol w:w="2311"/>
        <w:gridCol w:w="2393"/>
        <w:gridCol w:w="2168"/>
        <w:gridCol w:w="2004"/>
        <w:gridCol w:w="715"/>
        <w:gridCol w:w="1697"/>
        <w:gridCol w:w="718"/>
        <w:gridCol w:w="1493"/>
        <w:gridCol w:w="1063"/>
        <w:gridCol w:w="1309"/>
        <w:gridCol w:w="1595"/>
        <w:gridCol w:w="4053"/>
      </w:tblGrid>
      <w:tr w:rsidR="003C6718">
        <w:trPr>
          <w:trHeight w:val="358"/>
        </w:trPr>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项目名称</w:t>
            </w:r>
          </w:p>
        </w:tc>
        <w:tc>
          <w:tcPr>
            <w:tcW w:w="168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规划设计专项资金</w:t>
            </w:r>
          </w:p>
        </w:tc>
      </w:tr>
      <w:tr w:rsidR="003C6718">
        <w:trPr>
          <w:trHeight w:val="658"/>
        </w:trPr>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主管部门（盖章）</w:t>
            </w:r>
          </w:p>
        </w:tc>
        <w:tc>
          <w:tcPr>
            <w:tcW w:w="7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实施单位 （盖章）</w:t>
            </w:r>
          </w:p>
        </w:tc>
        <w:tc>
          <w:tcPr>
            <w:tcW w:w="8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广元市国土空间规划编制研究中心</w:t>
            </w:r>
          </w:p>
        </w:tc>
      </w:tr>
      <w:tr w:rsidR="003C6718">
        <w:trPr>
          <w:trHeight w:val="334"/>
        </w:trPr>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项目基本情况</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1.项目年度目标完成情况</w:t>
            </w:r>
          </w:p>
        </w:tc>
        <w:tc>
          <w:tcPr>
            <w:tcW w:w="7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项目年度目标</w:t>
            </w:r>
          </w:p>
        </w:tc>
        <w:tc>
          <w:tcPr>
            <w:tcW w:w="95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年度目标完成情况</w:t>
            </w:r>
          </w:p>
        </w:tc>
      </w:tr>
      <w:tr w:rsidR="003C6718">
        <w:trPr>
          <w:trHeight w:val="658"/>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73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完成《广元历史文化名城保护规划（2017-2035）》修编和老城片区城市更新综合提升改造规划编制。</w:t>
            </w:r>
          </w:p>
        </w:tc>
        <w:tc>
          <w:tcPr>
            <w:tcW w:w="95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《广元历史文化名城保护规划（2017-2035）》修编方案获省政府批复，老城片区城市更新综合提升改造规划通过市</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委会审议。</w:t>
            </w:r>
          </w:p>
        </w:tc>
      </w:tr>
      <w:tr w:rsidR="003C6718">
        <w:trPr>
          <w:trHeight w:val="982"/>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b/>
                <w:bCs/>
                <w:color w:val="000000"/>
                <w:sz w:val="24"/>
              </w:rPr>
            </w:pPr>
            <w:r>
              <w:rPr>
                <w:rFonts w:ascii="宋体" w:hAnsi="宋体" w:cs="宋体" w:hint="eastAsia"/>
                <w:b/>
                <w:bCs/>
                <w:color w:val="000000"/>
                <w:kern w:val="0"/>
                <w:sz w:val="24"/>
              </w:rPr>
              <w:t>2.项目实施内容及过程概述</w:t>
            </w:r>
          </w:p>
        </w:tc>
        <w:tc>
          <w:tcPr>
            <w:tcW w:w="168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按照中办国办印发的《关于在城乡建设中加强历史文化保护传承的意见》，对新时代城乡建设中加强历史文化保护传承提出的新要求，处理好城市开发与历史文化遗产保护的关系，传承和发展广元历史文化名城价值特色及内涵，完善历史文化保护内容及传承体系。深入贯彻落实市第八次党代会精神，围绕加快建设“美丽广元、幸福家园”目标，推进落实市委市政府关于创建全国文明城市要求，优化城市结构，完善功能配套，提升城市品质，科学推进老城片区城市更新。</w:t>
            </w:r>
          </w:p>
        </w:tc>
      </w:tr>
      <w:tr w:rsidR="003C6718">
        <w:trPr>
          <w:trHeight w:val="658"/>
        </w:trPr>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预算执行情况（10分）</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年度预算数（万元）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年初预算</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调整</w:t>
            </w:r>
            <w:proofErr w:type="gramStart"/>
            <w:r>
              <w:rPr>
                <w:rFonts w:ascii="宋体" w:hAnsi="宋体" w:cs="宋体" w:hint="eastAsia"/>
                <w:b/>
                <w:bCs/>
                <w:color w:val="000000"/>
                <w:kern w:val="0"/>
                <w:sz w:val="24"/>
              </w:rPr>
              <w:t>后预算</w:t>
            </w:r>
            <w:proofErr w:type="gramEnd"/>
            <w:r>
              <w:rPr>
                <w:rFonts w:ascii="宋体" w:hAnsi="宋体" w:cs="宋体" w:hint="eastAsia"/>
                <w:b/>
                <w:bCs/>
                <w:color w:val="000000"/>
                <w:kern w:val="0"/>
                <w:sz w:val="24"/>
              </w:rPr>
              <w:t>数</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预算执行数</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预算执行率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原因</w:t>
            </w: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总额</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160.00</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160.00</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157.80</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98.60%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财政2021年下拨160万元，采购中标金额为157.8万元，截止2022年底支付完结，结余资金财政已收回。</w:t>
            </w: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其中：财政资金</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160.00</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160.00</w:t>
            </w: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157.80</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98.60%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财政专户管理资金</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单位资金</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其他资金</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69"/>
        </w:trPr>
        <w:tc>
          <w:tcPr>
            <w:tcW w:w="2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绩效指标（90分）</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一级指标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二级指标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三级指标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指标性质</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指标值</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度量单位</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完成值</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权重</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部门自评得分</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财政部门科室复评得分</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未完成原因分析</w:t>
            </w: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val="restart"/>
            <w:tcBorders>
              <w:top w:val="single" w:sz="4" w:space="0" w:color="000000"/>
              <w:left w:val="single" w:sz="4" w:space="0" w:color="000000"/>
              <w:bottom w:val="nil"/>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产出指标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数量指标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规划编制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rPr>
              <w:t>个</w:t>
            </w:r>
            <w:proofErr w:type="gramEnd"/>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1630"/>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质量指标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规划方案</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通过专委会、</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委会、常务会审查和省政府审批</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通过专委会、</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委会、常务会审查和省政府审批</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4"/>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时效指标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完成时间</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42"/>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tcBorders>
              <w:top w:val="single" w:sz="4" w:space="0" w:color="000000"/>
              <w:left w:val="single" w:sz="4" w:space="0" w:color="000000"/>
              <w:bottom w:val="nil"/>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68" w:type="dxa"/>
            <w:tcBorders>
              <w:top w:val="nil"/>
              <w:left w:val="single" w:sz="4" w:space="0" w:color="000000"/>
              <w:bottom w:val="nil"/>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成本指标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规划设计费</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157.8</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万元</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157.8</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658"/>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社会效益指标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对城市生态的影响</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42"/>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可持续影响指标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对城市规划影响</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年</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658"/>
        </w:trPr>
        <w:tc>
          <w:tcPr>
            <w:tcW w:w="23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b/>
                <w:bCs/>
                <w:color w:val="000000"/>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服务对象满意度指标</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相关部门通过率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jc w:val="center"/>
              <w:rPr>
                <w:rFonts w:ascii="宋体" w:hAnsi="宋体" w:cs="宋体"/>
                <w:color w:val="000000"/>
                <w:sz w:val="24"/>
              </w:rPr>
            </w:pPr>
          </w:p>
        </w:tc>
      </w:tr>
      <w:tr w:rsidR="003C6718">
        <w:trPr>
          <w:trHeight w:val="334"/>
        </w:trPr>
        <w:tc>
          <w:tcPr>
            <w:tcW w:w="1349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合计</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3C6718">
            <w:pPr>
              <w:rPr>
                <w:rFonts w:ascii="宋体" w:hAnsi="宋体" w:cs="宋体"/>
                <w:color w:val="000000"/>
                <w:sz w:val="24"/>
              </w:rPr>
            </w:pPr>
          </w:p>
        </w:tc>
      </w:tr>
      <w:tr w:rsidR="003C6718">
        <w:trPr>
          <w:trHeight w:val="658"/>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部门（单位）自评结论</w:t>
            </w:r>
          </w:p>
        </w:tc>
        <w:tc>
          <w:tcPr>
            <w:tcW w:w="1920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tc>
      </w:tr>
      <w:tr w:rsidR="003C6718">
        <w:trPr>
          <w:trHeight w:val="658"/>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部门（单位）自评存在问题</w:t>
            </w:r>
          </w:p>
        </w:tc>
        <w:tc>
          <w:tcPr>
            <w:tcW w:w="1920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规划项目的特点是规划控制，实施过程长，经济效益、社会效益以及其他效益体现不明显，因此绩效评价工作需特殊处理。</w:t>
            </w:r>
          </w:p>
        </w:tc>
      </w:tr>
      <w:tr w:rsidR="003C6718">
        <w:trPr>
          <w:trHeight w:val="992"/>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center"/>
              <w:textAlignment w:val="center"/>
              <w:rPr>
                <w:rFonts w:ascii="宋体" w:hAnsi="宋体" w:cs="宋体"/>
                <w:b/>
                <w:bCs/>
                <w:color w:val="000000"/>
                <w:sz w:val="24"/>
              </w:rPr>
            </w:pPr>
            <w:r>
              <w:rPr>
                <w:rFonts w:ascii="宋体" w:hAnsi="宋体" w:cs="宋体" w:hint="eastAsia"/>
                <w:b/>
                <w:bCs/>
                <w:color w:val="000000"/>
                <w:kern w:val="0"/>
                <w:sz w:val="24"/>
              </w:rPr>
              <w:t>部门（单位）自</w:t>
            </w:r>
            <w:proofErr w:type="gramStart"/>
            <w:r>
              <w:rPr>
                <w:rFonts w:ascii="宋体" w:hAnsi="宋体" w:cs="宋体" w:hint="eastAsia"/>
                <w:b/>
                <w:bCs/>
                <w:color w:val="000000"/>
                <w:kern w:val="0"/>
                <w:sz w:val="24"/>
              </w:rPr>
              <w:t>评改进措施</w:t>
            </w:r>
            <w:proofErr w:type="gramEnd"/>
          </w:p>
        </w:tc>
        <w:tc>
          <w:tcPr>
            <w:tcW w:w="1920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C6718" w:rsidRDefault="00E83E62">
            <w:pPr>
              <w:widowControl/>
              <w:jc w:val="left"/>
              <w:textAlignment w:val="center"/>
              <w:rPr>
                <w:rFonts w:ascii="宋体" w:hAnsi="宋体" w:cs="宋体"/>
                <w:color w:val="000000"/>
                <w:sz w:val="24"/>
              </w:rPr>
            </w:pPr>
            <w:r>
              <w:rPr>
                <w:rFonts w:ascii="宋体" w:hAnsi="宋体" w:cs="宋体" w:hint="eastAsia"/>
                <w:color w:val="000000"/>
                <w:kern w:val="0"/>
                <w:sz w:val="24"/>
              </w:rPr>
              <w:t>对仅纳入部门预算核算、未达到一定资金规模且项目内容主要用于支持单位运转的小型项目，开展项目绩效评价时应区别于基建预算的大型项目，建议简化此类项目绩效评价。进一步建立长效机制，落实好财政</w:t>
            </w:r>
            <w:proofErr w:type="gramStart"/>
            <w:r>
              <w:rPr>
                <w:rFonts w:ascii="宋体" w:hAnsi="宋体" w:cs="宋体" w:hint="eastAsia"/>
                <w:color w:val="000000"/>
                <w:kern w:val="0"/>
                <w:sz w:val="24"/>
              </w:rPr>
              <w:t>项资金</w:t>
            </w:r>
            <w:proofErr w:type="gramEnd"/>
            <w:r>
              <w:rPr>
                <w:rFonts w:ascii="宋体" w:hAnsi="宋体" w:cs="宋体" w:hint="eastAsia"/>
                <w:color w:val="000000"/>
                <w:kern w:val="0"/>
                <w:sz w:val="24"/>
              </w:rPr>
              <w:t>的管理和使用，通过项目为载体发挥巨大的社会价值，继续探索好的做法，抓好项目后续管理工作，加强部门预算整体绩效管理的指导和培训，增强提高绩效管理业务人员绩效管理能力、专业素质和思想水平。</w:t>
            </w:r>
          </w:p>
        </w:tc>
      </w:tr>
    </w:tbl>
    <w:p w:rsidR="003C6718" w:rsidRDefault="003C6718">
      <w:pPr>
        <w:spacing w:line="20" w:lineRule="exact"/>
        <w:ind w:firstLineChars="200" w:firstLine="640"/>
        <w:rPr>
          <w:rFonts w:ascii="仿宋_GB2312" w:eastAsia="仿宋_GB2312"/>
          <w:sz w:val="32"/>
        </w:rPr>
      </w:pPr>
    </w:p>
    <w:p w:rsidR="003C6718" w:rsidRDefault="003C6718">
      <w:pPr>
        <w:spacing w:line="20" w:lineRule="exact"/>
        <w:ind w:firstLineChars="200" w:firstLine="640"/>
        <w:rPr>
          <w:rFonts w:ascii="仿宋_GB2312" w:eastAsia="仿宋_GB2312"/>
          <w:sz w:val="32"/>
        </w:rPr>
        <w:sectPr w:rsidR="003C6718">
          <w:footerReference w:type="default" r:id="rId23"/>
          <w:pgSz w:w="23811" w:h="16838" w:orient="landscape"/>
          <w:pgMar w:top="1134" w:right="1134" w:bottom="1134" w:left="1134" w:header="851" w:footer="850" w:gutter="0"/>
          <w:pgNumType w:start="37"/>
          <w:cols w:space="0"/>
          <w:docGrid w:type="lines" w:linePitch="315"/>
        </w:sectPr>
      </w:pPr>
    </w:p>
    <w:p w:rsidR="003C6718" w:rsidRDefault="00E83E62">
      <w:pPr>
        <w:spacing w:line="576" w:lineRule="exact"/>
        <w:jc w:val="center"/>
        <w:outlineLvl w:val="0"/>
        <w:rPr>
          <w:rFonts w:ascii="仿宋" w:eastAsia="仿宋" w:hAnsi="仿宋"/>
        </w:rPr>
      </w:pPr>
      <w:bookmarkStart w:id="173" w:name="_Toc8069"/>
      <w:bookmarkStart w:id="174" w:name="_Toc14712"/>
      <w:bookmarkStart w:id="175" w:name="_Toc3168"/>
      <w:bookmarkStart w:id="176" w:name="_Toc29495"/>
      <w:bookmarkStart w:id="177" w:name="_Toc10108"/>
      <w:bookmarkStart w:id="178" w:name="_Toc7468"/>
      <w:bookmarkStart w:id="179" w:name="_Toc15396618"/>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180" w:name="_Toc15396619"/>
      <w:bookmarkEnd w:id="173"/>
      <w:bookmarkEnd w:id="174"/>
      <w:bookmarkEnd w:id="175"/>
      <w:bookmarkEnd w:id="176"/>
      <w:bookmarkEnd w:id="177"/>
      <w:bookmarkEnd w:id="178"/>
      <w:bookmarkEnd w:id="179"/>
    </w:p>
    <w:p w:rsidR="003C6718" w:rsidRDefault="003C6718">
      <w:pPr>
        <w:pStyle w:val="2"/>
        <w:spacing w:before="0" w:after="0" w:line="576" w:lineRule="exact"/>
        <w:rPr>
          <w:rFonts w:ascii="仿宋" w:eastAsia="仿宋" w:hAnsi="仿宋"/>
          <w:b w:val="0"/>
        </w:rPr>
      </w:pPr>
      <w:bookmarkStart w:id="181" w:name="_Toc23117"/>
      <w:bookmarkStart w:id="182" w:name="_Toc32680"/>
      <w:bookmarkStart w:id="183" w:name="_Toc19186"/>
      <w:bookmarkStart w:id="184" w:name="_Toc13853"/>
      <w:bookmarkStart w:id="185" w:name="_Toc19752"/>
      <w:bookmarkStart w:id="186" w:name="_Toc4029"/>
    </w:p>
    <w:p w:rsidR="003C6718" w:rsidRDefault="00E83E62">
      <w:pPr>
        <w:pStyle w:val="2"/>
        <w:spacing w:before="0" w:after="0" w:line="576" w:lineRule="exact"/>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180"/>
      <w:bookmarkEnd w:id="181"/>
      <w:bookmarkEnd w:id="182"/>
      <w:bookmarkEnd w:id="183"/>
      <w:bookmarkEnd w:id="184"/>
      <w:bookmarkEnd w:id="185"/>
      <w:bookmarkEnd w:id="186"/>
    </w:p>
    <w:p w:rsidR="003C6718" w:rsidRDefault="00E83E62">
      <w:pPr>
        <w:pStyle w:val="2"/>
        <w:spacing w:before="0" w:after="0" w:line="576" w:lineRule="exact"/>
        <w:rPr>
          <w:rFonts w:ascii="仿宋" w:eastAsia="仿宋" w:hAnsi="仿宋"/>
        </w:rPr>
      </w:pPr>
      <w:bookmarkStart w:id="187" w:name="_Toc11722"/>
      <w:bookmarkStart w:id="188" w:name="_Toc15164"/>
      <w:bookmarkStart w:id="189" w:name="_Toc22045"/>
      <w:bookmarkStart w:id="190" w:name="_Toc234"/>
      <w:bookmarkStart w:id="191" w:name="_Toc15396620"/>
      <w:bookmarkStart w:id="192" w:name="_Toc32139"/>
      <w:bookmarkStart w:id="193" w:name="_Toc29193"/>
      <w:r>
        <w:rPr>
          <w:rFonts w:ascii="仿宋" w:eastAsia="仿宋" w:hAnsi="仿宋" w:hint="eastAsia"/>
          <w:b w:val="0"/>
        </w:rPr>
        <w:t>二、收</w:t>
      </w:r>
      <w:r>
        <w:rPr>
          <w:rStyle w:val="2Char"/>
          <w:rFonts w:ascii="仿宋" w:eastAsia="仿宋" w:hAnsi="仿宋" w:hint="eastAsia"/>
        </w:rPr>
        <w:t>入决算表</w:t>
      </w:r>
      <w:bookmarkEnd w:id="187"/>
      <w:bookmarkEnd w:id="188"/>
      <w:bookmarkEnd w:id="189"/>
      <w:bookmarkEnd w:id="190"/>
      <w:bookmarkEnd w:id="191"/>
      <w:bookmarkEnd w:id="192"/>
      <w:bookmarkEnd w:id="193"/>
    </w:p>
    <w:p w:rsidR="003C6718" w:rsidRDefault="00E83E62">
      <w:pPr>
        <w:pStyle w:val="2"/>
        <w:spacing w:before="0" w:after="0" w:line="576" w:lineRule="exact"/>
        <w:rPr>
          <w:rFonts w:ascii="仿宋" w:eastAsia="仿宋" w:hAnsi="仿宋"/>
        </w:rPr>
      </w:pPr>
      <w:bookmarkStart w:id="194" w:name="_Toc16760"/>
      <w:bookmarkStart w:id="195" w:name="_Toc28119"/>
      <w:bookmarkStart w:id="196" w:name="_Toc13821"/>
      <w:bookmarkStart w:id="197" w:name="_Toc15396621"/>
      <w:bookmarkStart w:id="198" w:name="_Toc28090"/>
      <w:bookmarkStart w:id="199" w:name="_Toc21640"/>
      <w:bookmarkStart w:id="200" w:name="_Toc22163"/>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94"/>
      <w:bookmarkEnd w:id="195"/>
      <w:bookmarkEnd w:id="196"/>
      <w:bookmarkEnd w:id="197"/>
      <w:bookmarkEnd w:id="198"/>
      <w:bookmarkEnd w:id="199"/>
      <w:bookmarkEnd w:id="200"/>
    </w:p>
    <w:p w:rsidR="003C6718" w:rsidRDefault="00E83E62">
      <w:pPr>
        <w:pStyle w:val="2"/>
        <w:spacing w:before="0" w:after="0" w:line="576" w:lineRule="exact"/>
        <w:rPr>
          <w:rFonts w:ascii="仿宋" w:eastAsia="仿宋" w:hAnsi="仿宋"/>
          <w:b w:val="0"/>
        </w:rPr>
      </w:pPr>
      <w:bookmarkStart w:id="201" w:name="_Toc27380"/>
      <w:bookmarkStart w:id="202" w:name="_Toc12717"/>
      <w:bookmarkStart w:id="203" w:name="_Toc8346"/>
      <w:bookmarkStart w:id="204" w:name="_Toc19465"/>
      <w:bookmarkStart w:id="205" w:name="_Toc12490"/>
      <w:bookmarkStart w:id="206" w:name="_Toc15396622"/>
      <w:bookmarkStart w:id="207" w:name="_Toc4351"/>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201"/>
      <w:bookmarkEnd w:id="202"/>
      <w:bookmarkEnd w:id="203"/>
      <w:bookmarkEnd w:id="204"/>
      <w:bookmarkEnd w:id="205"/>
      <w:bookmarkEnd w:id="206"/>
      <w:bookmarkEnd w:id="207"/>
    </w:p>
    <w:p w:rsidR="003C6718" w:rsidRDefault="00E83E62">
      <w:pPr>
        <w:pStyle w:val="2"/>
        <w:spacing w:before="0" w:after="0" w:line="576" w:lineRule="exact"/>
        <w:rPr>
          <w:rStyle w:val="2Char"/>
          <w:rFonts w:ascii="仿宋" w:eastAsia="仿宋" w:hAnsi="仿宋"/>
        </w:rPr>
      </w:pPr>
      <w:bookmarkStart w:id="208" w:name="_Toc2731"/>
      <w:bookmarkStart w:id="209" w:name="_Toc22206"/>
      <w:bookmarkStart w:id="210" w:name="_Toc10067"/>
      <w:bookmarkStart w:id="211" w:name="_Toc15396623"/>
      <w:bookmarkStart w:id="212" w:name="_Toc10388"/>
      <w:bookmarkStart w:id="213" w:name="_Toc18486"/>
      <w:bookmarkStart w:id="214" w:name="_Toc1366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215" w:name="_Toc15396624"/>
      <w:bookmarkEnd w:id="208"/>
      <w:bookmarkEnd w:id="209"/>
      <w:bookmarkEnd w:id="210"/>
      <w:bookmarkEnd w:id="211"/>
      <w:bookmarkEnd w:id="212"/>
      <w:bookmarkEnd w:id="213"/>
      <w:bookmarkEnd w:id="214"/>
    </w:p>
    <w:p w:rsidR="003C6718" w:rsidRDefault="00E83E62">
      <w:pPr>
        <w:pStyle w:val="2"/>
        <w:spacing w:before="0" w:after="0" w:line="576" w:lineRule="exact"/>
        <w:rPr>
          <w:rFonts w:ascii="仿宋" w:eastAsia="仿宋" w:hAnsi="仿宋"/>
        </w:rPr>
      </w:pPr>
      <w:bookmarkStart w:id="216" w:name="_Toc20386"/>
      <w:bookmarkStart w:id="217" w:name="_Toc27947"/>
      <w:bookmarkStart w:id="218" w:name="_Toc16783"/>
      <w:bookmarkStart w:id="219" w:name="_Toc20345"/>
      <w:bookmarkStart w:id="220" w:name="_Toc20874"/>
      <w:bookmarkStart w:id="221" w:name="_Toc10377"/>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215"/>
      <w:bookmarkEnd w:id="216"/>
      <w:bookmarkEnd w:id="217"/>
      <w:bookmarkEnd w:id="218"/>
      <w:bookmarkEnd w:id="219"/>
      <w:bookmarkEnd w:id="220"/>
      <w:bookmarkEnd w:id="221"/>
    </w:p>
    <w:p w:rsidR="003C6718" w:rsidRDefault="00E83E62">
      <w:pPr>
        <w:pStyle w:val="2"/>
        <w:spacing w:before="0" w:after="0" w:line="576" w:lineRule="exact"/>
        <w:rPr>
          <w:rFonts w:ascii="仿宋" w:eastAsia="仿宋" w:hAnsi="仿宋"/>
        </w:rPr>
      </w:pPr>
      <w:bookmarkStart w:id="222" w:name="_Toc17299"/>
      <w:bookmarkStart w:id="223" w:name="_Toc24277"/>
      <w:bookmarkStart w:id="224" w:name="_Toc15396625"/>
      <w:bookmarkStart w:id="225" w:name="_Toc20668"/>
      <w:bookmarkStart w:id="226" w:name="_Toc13469"/>
      <w:bookmarkStart w:id="227" w:name="_Toc596"/>
      <w:bookmarkStart w:id="228" w:name="_Toc6160"/>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222"/>
      <w:bookmarkEnd w:id="223"/>
      <w:bookmarkEnd w:id="224"/>
      <w:bookmarkEnd w:id="225"/>
      <w:bookmarkEnd w:id="226"/>
      <w:bookmarkEnd w:id="227"/>
      <w:bookmarkEnd w:id="228"/>
    </w:p>
    <w:p w:rsidR="003C6718" w:rsidRDefault="00E83E62">
      <w:pPr>
        <w:pStyle w:val="2"/>
        <w:spacing w:before="0" w:after="0" w:line="576" w:lineRule="exact"/>
        <w:rPr>
          <w:rFonts w:ascii="仿宋" w:eastAsia="仿宋" w:hAnsi="仿宋"/>
        </w:rPr>
      </w:pPr>
      <w:bookmarkStart w:id="229" w:name="_Toc10297"/>
      <w:bookmarkStart w:id="230" w:name="_Toc15396626"/>
      <w:bookmarkStart w:id="231" w:name="_Toc26419"/>
      <w:bookmarkStart w:id="232" w:name="_Toc388"/>
      <w:bookmarkStart w:id="233" w:name="_Toc3671"/>
      <w:bookmarkStart w:id="234" w:name="_Toc9451"/>
      <w:bookmarkStart w:id="235" w:name="_Toc1725"/>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229"/>
      <w:bookmarkEnd w:id="230"/>
      <w:bookmarkEnd w:id="231"/>
      <w:bookmarkEnd w:id="232"/>
      <w:bookmarkEnd w:id="233"/>
      <w:bookmarkEnd w:id="234"/>
      <w:bookmarkEnd w:id="235"/>
    </w:p>
    <w:p w:rsidR="003C6718" w:rsidRDefault="00E83E62">
      <w:pPr>
        <w:pStyle w:val="2"/>
        <w:spacing w:before="0" w:after="0" w:line="576" w:lineRule="exact"/>
        <w:rPr>
          <w:rFonts w:ascii="仿宋" w:eastAsia="仿宋" w:hAnsi="仿宋"/>
        </w:rPr>
      </w:pPr>
      <w:bookmarkStart w:id="236" w:name="_Toc373"/>
      <w:bookmarkStart w:id="237" w:name="_Toc14797"/>
      <w:bookmarkStart w:id="238" w:name="_Toc30488"/>
      <w:bookmarkStart w:id="239" w:name="_Toc12202"/>
      <w:bookmarkStart w:id="240" w:name="_Toc15396627"/>
      <w:bookmarkStart w:id="241" w:name="_Toc29171"/>
      <w:bookmarkStart w:id="242" w:name="_Toc8186"/>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236"/>
      <w:bookmarkEnd w:id="237"/>
      <w:bookmarkEnd w:id="238"/>
      <w:bookmarkEnd w:id="239"/>
      <w:bookmarkEnd w:id="240"/>
      <w:bookmarkEnd w:id="241"/>
      <w:bookmarkEnd w:id="242"/>
    </w:p>
    <w:p w:rsidR="003C6718" w:rsidRDefault="00E83E62">
      <w:pPr>
        <w:pStyle w:val="2"/>
        <w:spacing w:before="0" w:after="0" w:line="576" w:lineRule="exact"/>
        <w:rPr>
          <w:rFonts w:ascii="仿宋" w:eastAsia="仿宋" w:hAnsi="仿宋"/>
        </w:rPr>
      </w:pPr>
      <w:bookmarkStart w:id="243" w:name="_Toc8933"/>
      <w:bookmarkStart w:id="244" w:name="_Toc16695"/>
      <w:bookmarkStart w:id="245" w:name="_Toc29703"/>
      <w:bookmarkStart w:id="246" w:name="_Toc20797"/>
      <w:bookmarkStart w:id="247" w:name="_Toc15396628"/>
      <w:bookmarkStart w:id="248" w:name="_Toc4489"/>
      <w:bookmarkStart w:id="249" w:name="_Toc30284"/>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243"/>
      <w:bookmarkEnd w:id="244"/>
      <w:bookmarkEnd w:id="245"/>
      <w:bookmarkEnd w:id="246"/>
      <w:bookmarkEnd w:id="247"/>
      <w:bookmarkEnd w:id="248"/>
      <w:bookmarkEnd w:id="249"/>
    </w:p>
    <w:p w:rsidR="003C6718" w:rsidRDefault="00E83E62">
      <w:pPr>
        <w:pStyle w:val="2"/>
        <w:spacing w:before="0" w:after="0" w:line="576" w:lineRule="exact"/>
        <w:rPr>
          <w:rFonts w:ascii="仿宋" w:eastAsia="仿宋" w:hAnsi="仿宋"/>
        </w:rPr>
      </w:pPr>
      <w:bookmarkStart w:id="250" w:name="_Toc19627"/>
      <w:bookmarkStart w:id="251" w:name="_Toc6312"/>
      <w:bookmarkStart w:id="252" w:name="_Toc29664"/>
      <w:bookmarkStart w:id="253" w:name="_Toc15396629"/>
      <w:bookmarkStart w:id="254" w:name="_Toc5945"/>
      <w:bookmarkStart w:id="255" w:name="_Toc10655"/>
      <w:bookmarkStart w:id="256" w:name="_Toc12130"/>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250"/>
      <w:bookmarkEnd w:id="251"/>
      <w:bookmarkEnd w:id="252"/>
      <w:bookmarkEnd w:id="253"/>
      <w:bookmarkEnd w:id="254"/>
      <w:bookmarkEnd w:id="255"/>
      <w:bookmarkEnd w:id="256"/>
    </w:p>
    <w:p w:rsidR="003C6718" w:rsidRDefault="00E83E62">
      <w:pPr>
        <w:pStyle w:val="2"/>
        <w:spacing w:before="0" w:after="0" w:line="576" w:lineRule="exact"/>
        <w:rPr>
          <w:rFonts w:ascii="仿宋" w:eastAsia="仿宋" w:hAnsi="仿宋"/>
        </w:rPr>
      </w:pPr>
      <w:bookmarkStart w:id="257" w:name="_Toc26650"/>
      <w:bookmarkStart w:id="258" w:name="_Toc15396630"/>
      <w:bookmarkStart w:id="259" w:name="_Toc21814"/>
      <w:bookmarkStart w:id="260" w:name="_Toc15602"/>
      <w:bookmarkStart w:id="261" w:name="_Toc4550"/>
      <w:bookmarkStart w:id="262" w:name="_Toc26626"/>
      <w:bookmarkStart w:id="263" w:name="_Toc1281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257"/>
      <w:bookmarkEnd w:id="258"/>
      <w:bookmarkEnd w:id="259"/>
      <w:bookmarkEnd w:id="260"/>
      <w:bookmarkEnd w:id="261"/>
      <w:bookmarkEnd w:id="262"/>
      <w:bookmarkEnd w:id="263"/>
    </w:p>
    <w:p w:rsidR="003C6718" w:rsidRDefault="00E83E62">
      <w:pPr>
        <w:pStyle w:val="2"/>
        <w:spacing w:before="0" w:after="0" w:line="576" w:lineRule="exact"/>
        <w:rPr>
          <w:rStyle w:val="2Char"/>
          <w:rFonts w:ascii="仿宋" w:eastAsia="仿宋" w:hAnsi="仿宋"/>
        </w:rPr>
      </w:pPr>
      <w:bookmarkStart w:id="264" w:name="_Toc12620"/>
      <w:bookmarkStart w:id="265" w:name="_Toc15396631"/>
      <w:bookmarkStart w:id="266" w:name="_Toc10918"/>
      <w:bookmarkStart w:id="267" w:name="_Toc21412"/>
      <w:bookmarkStart w:id="268" w:name="_Toc30100"/>
      <w:bookmarkStart w:id="269" w:name="_Toc28643"/>
      <w:bookmarkStart w:id="270" w:name="_Toc19202"/>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264"/>
      <w:bookmarkEnd w:id="265"/>
      <w:bookmarkEnd w:id="266"/>
      <w:bookmarkEnd w:id="267"/>
      <w:bookmarkEnd w:id="268"/>
      <w:bookmarkEnd w:id="269"/>
      <w:bookmarkEnd w:id="270"/>
    </w:p>
    <w:p w:rsidR="003C6718" w:rsidRDefault="00E83E62">
      <w:pPr>
        <w:spacing w:line="576" w:lineRule="exact"/>
        <w:rPr>
          <w:rFonts w:eastAsia="仿宋"/>
        </w:rPr>
      </w:pPr>
      <w:bookmarkStart w:id="271" w:name="_Toc9731"/>
      <w:bookmarkStart w:id="272" w:name="_Toc10996"/>
      <w:bookmarkStart w:id="273" w:name="_Toc1495"/>
      <w:bookmarkStart w:id="274" w:name="_Toc29000"/>
      <w:bookmarkStart w:id="275" w:name="_Toc25832"/>
      <w:bookmarkStart w:id="276" w:name="_Toc21923"/>
      <w:r>
        <w:rPr>
          <w:rStyle w:val="2Char"/>
          <w:rFonts w:ascii="仿宋" w:eastAsia="仿宋" w:hAnsi="仿宋" w:hint="eastAsia"/>
          <w:b w:val="0"/>
          <w:bCs w:val="0"/>
        </w:rPr>
        <w:t>十四、国有资本经营预算财政拨款支出决算表</w:t>
      </w:r>
      <w:bookmarkEnd w:id="271"/>
      <w:bookmarkEnd w:id="272"/>
      <w:bookmarkEnd w:id="273"/>
      <w:bookmarkEnd w:id="274"/>
      <w:bookmarkEnd w:id="275"/>
      <w:bookmarkEnd w:id="276"/>
    </w:p>
    <w:p w:rsidR="003C6718" w:rsidRDefault="003C6718">
      <w:pPr>
        <w:spacing w:line="576" w:lineRule="exact"/>
        <w:rPr>
          <w:rFonts w:eastAsia="仿宋"/>
        </w:rPr>
      </w:pPr>
    </w:p>
    <w:p w:rsidR="003C6718" w:rsidRDefault="003C6718">
      <w:pPr>
        <w:spacing w:line="576" w:lineRule="exact"/>
        <w:rPr>
          <w:rFonts w:eastAsia="仿宋"/>
        </w:rPr>
      </w:pPr>
    </w:p>
    <w:sectPr w:rsidR="003C6718" w:rsidSect="003C6718">
      <w:footerReference w:type="default" r:id="rId24"/>
      <w:pgSz w:w="11905" w:h="16838"/>
      <w:pgMar w:top="2098" w:right="1474" w:bottom="1984" w:left="1587" w:header="851" w:footer="1559" w:gutter="0"/>
      <w:pgNumType w:start="39"/>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E62" w:rsidRDefault="00E83E62" w:rsidP="003C6718">
      <w:r>
        <w:separator/>
      </w:r>
    </w:p>
  </w:endnote>
  <w:endnote w:type="continuationSeparator" w:id="1">
    <w:p w:rsidR="00E83E62" w:rsidRDefault="00E83E62" w:rsidP="003C6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00000000" w:usb1="00000000" w:usb2="00000010" w:usb3="00000000" w:csb0="0004000F" w:csb1="00000000"/>
  </w:font>
  <w:font w:name="Arial">
    <w:panose1 w:val="020B0604020202020204"/>
    <w:charset w:val="00"/>
    <w:family w:val="swiss"/>
    <w:pitch w:val="variable"/>
    <w:sig w:usb0="20002A87" w:usb1="80000000" w:usb2="00000008" w:usb3="00000000" w:csb0="000001FF" w:csb1="00000000"/>
  </w:font>
  <w:font w:name="方正小标宋_GBK">
    <w:altName w:val="Arial Unicode MS"/>
    <w:charset w:val="86"/>
    <w:family w:val="script"/>
    <w:pitch w:val="default"/>
    <w:sig w:usb0="00000000" w:usb1="080E0000" w:usb2="00000000" w:usb3="00000000" w:csb0="00040000" w:csb1="00000000"/>
  </w:font>
  <w:font w:name="楷体">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p>
  <w:p w:rsidR="00E83E62" w:rsidRDefault="00E83E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_x0000_s4097" type="#_x0000_t202" style="position:absolute;left:0;text-align:left;margin-left:104pt;margin-top:0;width:2in;height:2in;z-index:251654656;mso-wrap-style:none;mso-position-horizontal:outside;mso-position-horizontal-relative:margin;mso-width-relative:page;mso-height-relative:page" filled="f" stroked="f">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AD59C8">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_x0000_s4098" type="#_x0000_t202" style="position:absolute;left:0;text-align:left;margin-left:104pt;margin-top:0;width:2in;height:2in;z-index:251655680;mso-wrap-style:none;mso-position-horizontal:outside;mso-position-horizontal-relative:margin;mso-width-relative:page;mso-height-relative:page" filled="f" stroked="f">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AD59C8">
                  <w:rPr>
                    <w:rFonts w:ascii="宋体" w:hAnsi="宋体" w:cs="宋体"/>
                    <w:noProof/>
                    <w:sz w:val="28"/>
                    <w:szCs w:val="28"/>
                  </w:rPr>
                  <w:t>26</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_x0000_s4103" type="#_x0000_t202" style="position:absolute;left:0;text-align:left;margin-left:104pt;margin-top:0;width:2in;height:2in;z-index:251656704;mso-wrap-style:none;mso-position-horizontal:outside;mso-position-horizontal-relative:margin;mso-width-relative:page;mso-height-relative:page" filled="f" stroked="f">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AD59C8">
                  <w:rPr>
                    <w:rFonts w:ascii="宋体" w:hAnsi="宋体" w:cs="宋体"/>
                    <w:noProof/>
                    <w:sz w:val="28"/>
                    <w:szCs w:val="28"/>
                  </w:rPr>
                  <w:t>28</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文本框 12" o:spid="_x0000_s4100" type="#_x0000_t202" style="position:absolute;left:0;text-align:left;margin-left:104pt;margin-top:0;width:2in;height:2in;z-index:25165875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AD59C8">
                  <w:rPr>
                    <w:rFonts w:ascii="宋体" w:hAnsi="宋体" w:cs="宋体"/>
                    <w:noProof/>
                    <w:sz w:val="28"/>
                    <w:szCs w:val="28"/>
                  </w:rPr>
                  <w:t>33</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pPr>
    <w:r>
      <w:pict>
        <v:shapetype id="_x0000_t202" coordsize="21600,21600" o:spt="202" path="m,l,21600r21600,l21600,xe">
          <v:stroke joinstyle="miter"/>
          <v:path gradientshapeok="t" o:connecttype="rect"/>
        </v:shapetype>
        <v:shape id="文本框 13" o:spid="_x0000_s4099" type="#_x0000_t202" style="position:absolute;margin-left:104pt;margin-top:0;width:2in;height:2in;z-index:25165772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fit-shape-to-text:t" inset="0,0,0,0">
            <w:txbxContent>
              <w:p w:rsidR="00E83E62" w:rsidRDefault="00E83E62">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32</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_x0000_s4101" type="#_x0000_t202" style="position:absolute;left:0;text-align:left;margin-left:104pt;margin-top:0;width:2in;height:2in;z-index:25165977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026EF5">
                  <w:rPr>
                    <w:rFonts w:ascii="宋体" w:hAnsi="宋体" w:cs="宋体"/>
                    <w:noProof/>
                    <w:sz w:val="28"/>
                    <w:szCs w:val="28"/>
                  </w:rPr>
                  <w:t>37</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5"/>
      <w:jc w:val="center"/>
    </w:pPr>
    <w:r>
      <w:pict>
        <v:shapetype id="_x0000_t202" coordsize="21600,21600" o:spt="202" path="m,l,21600r21600,l21600,xe">
          <v:stroke joinstyle="miter"/>
          <v:path gradientshapeok="t" o:connecttype="rect"/>
        </v:shapetype>
        <v:shape id="_x0000_s4102" type="#_x0000_t202" style="position:absolute;left:0;text-align:left;margin-left:104pt;margin-top:0;width:2in;height:2in;z-index:25166080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E83E62" w:rsidRDefault="00E83E62">
                <w:pPr>
                  <w:pStyle w:val="a5"/>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026EF5">
                  <w:rPr>
                    <w:rFonts w:ascii="宋体" w:hAnsi="宋体" w:cs="宋体"/>
                    <w:noProof/>
                    <w:sz w:val="28"/>
                    <w:szCs w:val="28"/>
                  </w:rPr>
                  <w:t>39</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p w:rsidR="00E83E62" w:rsidRDefault="00E83E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E62" w:rsidRDefault="00E83E62" w:rsidP="003C6718">
      <w:r>
        <w:separator/>
      </w:r>
    </w:p>
  </w:footnote>
  <w:footnote w:type="continuationSeparator" w:id="1">
    <w:p w:rsidR="00E83E62" w:rsidRDefault="00E83E62" w:rsidP="003C6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62" w:rsidRDefault="00E83E6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82C3A"/>
    <w:multiLevelType w:val="singleLevel"/>
    <w:tmpl w:val="95582C3A"/>
    <w:lvl w:ilvl="0">
      <w:start w:val="2"/>
      <w:numFmt w:val="chineseCounting"/>
      <w:suff w:val="nothing"/>
      <w:lvlText w:val="%1、"/>
      <w:lvlJc w:val="left"/>
      <w:rPr>
        <w:rFonts w:hint="eastAsia"/>
      </w:rPr>
    </w:lvl>
  </w:abstractNum>
  <w:abstractNum w:abstractNumId="1">
    <w:nsid w:val="B9B41BA1"/>
    <w:multiLevelType w:val="singleLevel"/>
    <w:tmpl w:val="B9B41BA1"/>
    <w:lvl w:ilvl="0">
      <w:start w:val="2"/>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pPr>
        <w:ind w:left="-10"/>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oNotTrackMoves/>
  <w:defaultTabStop w:val="420"/>
  <w:drawingGridHorizontalSpacing w:val="105"/>
  <w:drawingGridVerticalSpacing w:val="158"/>
  <w:displayVerticalDrawingGridEvery w:val="2"/>
  <w:noPunctuationKerning/>
  <w:characterSpacingControl w:val="compressPunctuation"/>
  <w:hdrShapeDefaults>
    <o:shapedefaults v:ext="edit" spidmax="5129"/>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GFjOTA5YzdkNTcxNWY5NDczYTIzM2U4MzRlOWJjYjgifQ=="/>
  </w:docVars>
  <w:rsids>
    <w:rsidRoot w:val="00F1361C"/>
    <w:rsid w:val="9FA9232A"/>
    <w:rsid w:val="B3FBAAAD"/>
    <w:rsid w:val="D67D5315"/>
    <w:rsid w:val="D8D6DB89"/>
    <w:rsid w:val="DB6F4CAB"/>
    <w:rsid w:val="DF6F9789"/>
    <w:rsid w:val="FFF711AB"/>
    <w:rsid w:val="00014407"/>
    <w:rsid w:val="000222C6"/>
    <w:rsid w:val="0002549F"/>
    <w:rsid w:val="00026EF5"/>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254A"/>
    <w:rsid w:val="001D7531"/>
    <w:rsid w:val="001E737D"/>
    <w:rsid w:val="001F0592"/>
    <w:rsid w:val="001F7506"/>
    <w:rsid w:val="002006CD"/>
    <w:rsid w:val="00202B36"/>
    <w:rsid w:val="00204B7A"/>
    <w:rsid w:val="00204CDE"/>
    <w:rsid w:val="0021101A"/>
    <w:rsid w:val="00220536"/>
    <w:rsid w:val="00230F86"/>
    <w:rsid w:val="00235629"/>
    <w:rsid w:val="00260C38"/>
    <w:rsid w:val="002616C0"/>
    <w:rsid w:val="00265372"/>
    <w:rsid w:val="002662AA"/>
    <w:rsid w:val="0028029E"/>
    <w:rsid w:val="00280496"/>
    <w:rsid w:val="00294DC9"/>
    <w:rsid w:val="00295495"/>
    <w:rsid w:val="002A31DE"/>
    <w:rsid w:val="002A41C6"/>
    <w:rsid w:val="002B2613"/>
    <w:rsid w:val="002D4E3D"/>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6718"/>
    <w:rsid w:val="003C7B60"/>
    <w:rsid w:val="003D0C0F"/>
    <w:rsid w:val="003D1FB2"/>
    <w:rsid w:val="003D66DA"/>
    <w:rsid w:val="003E1310"/>
    <w:rsid w:val="003E6F55"/>
    <w:rsid w:val="00406254"/>
    <w:rsid w:val="004223DE"/>
    <w:rsid w:val="00434489"/>
    <w:rsid w:val="00437085"/>
    <w:rsid w:val="00443880"/>
    <w:rsid w:val="004464F4"/>
    <w:rsid w:val="0045225F"/>
    <w:rsid w:val="004670AB"/>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5378"/>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467E"/>
    <w:rsid w:val="007770C3"/>
    <w:rsid w:val="00784D24"/>
    <w:rsid w:val="00785FBA"/>
    <w:rsid w:val="00786E4A"/>
    <w:rsid w:val="007875EB"/>
    <w:rsid w:val="0079426B"/>
    <w:rsid w:val="007D099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114"/>
    <w:rsid w:val="009B4EAE"/>
    <w:rsid w:val="009B7573"/>
    <w:rsid w:val="009C22F4"/>
    <w:rsid w:val="009C2A4B"/>
    <w:rsid w:val="009C2E98"/>
    <w:rsid w:val="009D3447"/>
    <w:rsid w:val="009D4711"/>
    <w:rsid w:val="009E009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972"/>
    <w:rsid w:val="00A56DF2"/>
    <w:rsid w:val="00A56E6E"/>
    <w:rsid w:val="00A67AB5"/>
    <w:rsid w:val="00A733B2"/>
    <w:rsid w:val="00A741C2"/>
    <w:rsid w:val="00A846FF"/>
    <w:rsid w:val="00A91760"/>
    <w:rsid w:val="00A93B00"/>
    <w:rsid w:val="00A93C21"/>
    <w:rsid w:val="00AB64C9"/>
    <w:rsid w:val="00AC3C6A"/>
    <w:rsid w:val="00AD5620"/>
    <w:rsid w:val="00AD59C8"/>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3BCE"/>
    <w:rsid w:val="00C87FD8"/>
    <w:rsid w:val="00C91381"/>
    <w:rsid w:val="00C91CBB"/>
    <w:rsid w:val="00CB4E70"/>
    <w:rsid w:val="00CC09B6"/>
    <w:rsid w:val="00CC666F"/>
    <w:rsid w:val="00CD1E3F"/>
    <w:rsid w:val="00CD2FDE"/>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0B83"/>
    <w:rsid w:val="00E01053"/>
    <w:rsid w:val="00E07ACF"/>
    <w:rsid w:val="00E331A1"/>
    <w:rsid w:val="00E33202"/>
    <w:rsid w:val="00E336A9"/>
    <w:rsid w:val="00E472B1"/>
    <w:rsid w:val="00E50624"/>
    <w:rsid w:val="00E568DF"/>
    <w:rsid w:val="00E64269"/>
    <w:rsid w:val="00E82267"/>
    <w:rsid w:val="00E83E62"/>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5FD"/>
    <w:rsid w:val="00FD3CC1"/>
    <w:rsid w:val="00FF1E02"/>
    <w:rsid w:val="00FF30B4"/>
    <w:rsid w:val="01405CB5"/>
    <w:rsid w:val="01974A72"/>
    <w:rsid w:val="024F56D9"/>
    <w:rsid w:val="0293426A"/>
    <w:rsid w:val="02CF14AA"/>
    <w:rsid w:val="02F6136A"/>
    <w:rsid w:val="034F5D29"/>
    <w:rsid w:val="036B5FCD"/>
    <w:rsid w:val="03D62FC9"/>
    <w:rsid w:val="03D96696"/>
    <w:rsid w:val="03F35D89"/>
    <w:rsid w:val="04044A83"/>
    <w:rsid w:val="047D1717"/>
    <w:rsid w:val="04B65AC7"/>
    <w:rsid w:val="063574ED"/>
    <w:rsid w:val="066E0107"/>
    <w:rsid w:val="06D27E9C"/>
    <w:rsid w:val="06FA0DFD"/>
    <w:rsid w:val="073C456C"/>
    <w:rsid w:val="07572B98"/>
    <w:rsid w:val="07824101"/>
    <w:rsid w:val="07996F6E"/>
    <w:rsid w:val="07C766CF"/>
    <w:rsid w:val="088521A6"/>
    <w:rsid w:val="08B50556"/>
    <w:rsid w:val="08D05DA9"/>
    <w:rsid w:val="091755A7"/>
    <w:rsid w:val="09EE1557"/>
    <w:rsid w:val="0A175F9F"/>
    <w:rsid w:val="0A2032A3"/>
    <w:rsid w:val="0AB1291A"/>
    <w:rsid w:val="0AC027B0"/>
    <w:rsid w:val="0AEE3D69"/>
    <w:rsid w:val="0B212BCE"/>
    <w:rsid w:val="0B480119"/>
    <w:rsid w:val="0BEC359B"/>
    <w:rsid w:val="0BF10AA0"/>
    <w:rsid w:val="0C004E10"/>
    <w:rsid w:val="0C02422A"/>
    <w:rsid w:val="0C653200"/>
    <w:rsid w:val="0C7358DA"/>
    <w:rsid w:val="0CDC6727"/>
    <w:rsid w:val="0D5D7F7A"/>
    <w:rsid w:val="0DB7190D"/>
    <w:rsid w:val="0F164D4D"/>
    <w:rsid w:val="0F4A7B25"/>
    <w:rsid w:val="101860EC"/>
    <w:rsid w:val="10C055FF"/>
    <w:rsid w:val="11591A84"/>
    <w:rsid w:val="115F7210"/>
    <w:rsid w:val="11655896"/>
    <w:rsid w:val="118107EC"/>
    <w:rsid w:val="12184440"/>
    <w:rsid w:val="121A7943"/>
    <w:rsid w:val="12557610"/>
    <w:rsid w:val="12E3158A"/>
    <w:rsid w:val="12F96AB4"/>
    <w:rsid w:val="13052DC4"/>
    <w:rsid w:val="131555DD"/>
    <w:rsid w:val="13486D30"/>
    <w:rsid w:val="13D50BC4"/>
    <w:rsid w:val="13F16B7D"/>
    <w:rsid w:val="14697B69"/>
    <w:rsid w:val="14902E96"/>
    <w:rsid w:val="155D6391"/>
    <w:rsid w:val="156E7A6A"/>
    <w:rsid w:val="15F55695"/>
    <w:rsid w:val="15F9112A"/>
    <w:rsid w:val="164B3423"/>
    <w:rsid w:val="16547C2D"/>
    <w:rsid w:val="16853C7F"/>
    <w:rsid w:val="16B6041B"/>
    <w:rsid w:val="16BB723D"/>
    <w:rsid w:val="16E00551"/>
    <w:rsid w:val="175B6261"/>
    <w:rsid w:val="178033FE"/>
    <w:rsid w:val="17A36DC6"/>
    <w:rsid w:val="1812470B"/>
    <w:rsid w:val="187831B6"/>
    <w:rsid w:val="188A6953"/>
    <w:rsid w:val="189B0DEC"/>
    <w:rsid w:val="18A43C7A"/>
    <w:rsid w:val="19800165"/>
    <w:rsid w:val="19A33B9D"/>
    <w:rsid w:val="19B802BF"/>
    <w:rsid w:val="19C9185E"/>
    <w:rsid w:val="19D3216D"/>
    <w:rsid w:val="19FE0A33"/>
    <w:rsid w:val="1A78681D"/>
    <w:rsid w:val="1A8E0352"/>
    <w:rsid w:val="1AF84F97"/>
    <w:rsid w:val="1B0B3181"/>
    <w:rsid w:val="1B1F438E"/>
    <w:rsid w:val="1B6D1F0E"/>
    <w:rsid w:val="1B86412F"/>
    <w:rsid w:val="1BE8440E"/>
    <w:rsid w:val="1BE85FD5"/>
    <w:rsid w:val="1BF146E6"/>
    <w:rsid w:val="1C9F7D02"/>
    <w:rsid w:val="1D155CEE"/>
    <w:rsid w:val="1D5B3CB8"/>
    <w:rsid w:val="1E3B5B2B"/>
    <w:rsid w:val="1E685864"/>
    <w:rsid w:val="1FE223DD"/>
    <w:rsid w:val="200C5ECA"/>
    <w:rsid w:val="20805846"/>
    <w:rsid w:val="20982E05"/>
    <w:rsid w:val="209E0C02"/>
    <w:rsid w:val="212152E8"/>
    <w:rsid w:val="217649F2"/>
    <w:rsid w:val="218D7E9A"/>
    <w:rsid w:val="228E65E4"/>
    <w:rsid w:val="22A12A16"/>
    <w:rsid w:val="22FA25EF"/>
    <w:rsid w:val="23050980"/>
    <w:rsid w:val="234F08C0"/>
    <w:rsid w:val="236B4CE3"/>
    <w:rsid w:val="23860B96"/>
    <w:rsid w:val="23953EC0"/>
    <w:rsid w:val="23D137A1"/>
    <w:rsid w:val="240371BF"/>
    <w:rsid w:val="252B33D9"/>
    <w:rsid w:val="25F8629A"/>
    <w:rsid w:val="270678D7"/>
    <w:rsid w:val="270E3C60"/>
    <w:rsid w:val="273E22EF"/>
    <w:rsid w:val="274B1605"/>
    <w:rsid w:val="274D4B08"/>
    <w:rsid w:val="276E08C0"/>
    <w:rsid w:val="27F751B9"/>
    <w:rsid w:val="280B3FC1"/>
    <w:rsid w:val="2827226D"/>
    <w:rsid w:val="284113D3"/>
    <w:rsid w:val="287610F2"/>
    <w:rsid w:val="28EA7DAC"/>
    <w:rsid w:val="291C1880"/>
    <w:rsid w:val="29FD04D3"/>
    <w:rsid w:val="2A8E045D"/>
    <w:rsid w:val="2B0B32AA"/>
    <w:rsid w:val="2B2955B1"/>
    <w:rsid w:val="2B2F7FE6"/>
    <w:rsid w:val="2B642A3F"/>
    <w:rsid w:val="2B914808"/>
    <w:rsid w:val="2BB51544"/>
    <w:rsid w:val="2BBC6951"/>
    <w:rsid w:val="2BC43D5D"/>
    <w:rsid w:val="2BCD6BEB"/>
    <w:rsid w:val="2BD51A79"/>
    <w:rsid w:val="2C344819"/>
    <w:rsid w:val="2C3F712F"/>
    <w:rsid w:val="2C63508D"/>
    <w:rsid w:val="2C8A61B5"/>
    <w:rsid w:val="2CA55BDF"/>
    <w:rsid w:val="2CB6149A"/>
    <w:rsid w:val="2D2F0F51"/>
    <w:rsid w:val="2D6D0C73"/>
    <w:rsid w:val="2DBA5111"/>
    <w:rsid w:val="2DC518B5"/>
    <w:rsid w:val="2DE47F8D"/>
    <w:rsid w:val="2DF04E50"/>
    <w:rsid w:val="2E2A66CA"/>
    <w:rsid w:val="2E48446E"/>
    <w:rsid w:val="2E7D06D3"/>
    <w:rsid w:val="2F513F2E"/>
    <w:rsid w:val="2FF40F03"/>
    <w:rsid w:val="30252571"/>
    <w:rsid w:val="30347DA4"/>
    <w:rsid w:val="305E0BE8"/>
    <w:rsid w:val="30B43B75"/>
    <w:rsid w:val="30B97FFD"/>
    <w:rsid w:val="311822EF"/>
    <w:rsid w:val="315E6398"/>
    <w:rsid w:val="319F7F4E"/>
    <w:rsid w:val="31A237FE"/>
    <w:rsid w:val="32E2418A"/>
    <w:rsid w:val="32F8632E"/>
    <w:rsid w:val="332B3CDC"/>
    <w:rsid w:val="339B7340"/>
    <w:rsid w:val="33B4426B"/>
    <w:rsid w:val="34E56399"/>
    <w:rsid w:val="34F57284"/>
    <w:rsid w:val="34F65DF3"/>
    <w:rsid w:val="359F7AA1"/>
    <w:rsid w:val="36471B1F"/>
    <w:rsid w:val="36A003AE"/>
    <w:rsid w:val="36A77D38"/>
    <w:rsid w:val="36AA5135"/>
    <w:rsid w:val="36ED3925"/>
    <w:rsid w:val="37757EA8"/>
    <w:rsid w:val="378035E9"/>
    <w:rsid w:val="37C33A32"/>
    <w:rsid w:val="37E16F03"/>
    <w:rsid w:val="37F5545C"/>
    <w:rsid w:val="389F7E39"/>
    <w:rsid w:val="38C0691B"/>
    <w:rsid w:val="39BA6041"/>
    <w:rsid w:val="39C656D7"/>
    <w:rsid w:val="39EB6D4A"/>
    <w:rsid w:val="3A28654C"/>
    <w:rsid w:val="3ADD4E9F"/>
    <w:rsid w:val="3B3742B4"/>
    <w:rsid w:val="3B4667ED"/>
    <w:rsid w:val="3BEE5FE1"/>
    <w:rsid w:val="3BF85CB6"/>
    <w:rsid w:val="3C6E5CF0"/>
    <w:rsid w:val="3D8A7087"/>
    <w:rsid w:val="3D98207C"/>
    <w:rsid w:val="3E390C7A"/>
    <w:rsid w:val="3E6842C3"/>
    <w:rsid w:val="3E7D40AA"/>
    <w:rsid w:val="3E824F32"/>
    <w:rsid w:val="3EC978AA"/>
    <w:rsid w:val="3EE023E4"/>
    <w:rsid w:val="3EE06334"/>
    <w:rsid w:val="3F7349CA"/>
    <w:rsid w:val="3FF077F6"/>
    <w:rsid w:val="40452EED"/>
    <w:rsid w:val="40A75C9F"/>
    <w:rsid w:val="41666FD7"/>
    <w:rsid w:val="42287095"/>
    <w:rsid w:val="42376048"/>
    <w:rsid w:val="42454447"/>
    <w:rsid w:val="42B65CB1"/>
    <w:rsid w:val="42E046F5"/>
    <w:rsid w:val="42ED13DD"/>
    <w:rsid w:val="43140575"/>
    <w:rsid w:val="43433AB3"/>
    <w:rsid w:val="441930C8"/>
    <w:rsid w:val="446908C9"/>
    <w:rsid w:val="44E268DA"/>
    <w:rsid w:val="45456FB2"/>
    <w:rsid w:val="456B71F2"/>
    <w:rsid w:val="458B3B0F"/>
    <w:rsid w:val="460F188E"/>
    <w:rsid w:val="46100A37"/>
    <w:rsid w:val="461F4717"/>
    <w:rsid w:val="462036D5"/>
    <w:rsid w:val="46803DD6"/>
    <w:rsid w:val="46816D3A"/>
    <w:rsid w:val="468808C3"/>
    <w:rsid w:val="46E83A48"/>
    <w:rsid w:val="472707CD"/>
    <w:rsid w:val="472E48D4"/>
    <w:rsid w:val="48176428"/>
    <w:rsid w:val="48765EF0"/>
    <w:rsid w:val="49086B1B"/>
    <w:rsid w:val="49295994"/>
    <w:rsid w:val="492C413F"/>
    <w:rsid w:val="49303592"/>
    <w:rsid w:val="499F0E56"/>
    <w:rsid w:val="4A136C16"/>
    <w:rsid w:val="4A627F82"/>
    <w:rsid w:val="4A6E3785"/>
    <w:rsid w:val="4A7F2511"/>
    <w:rsid w:val="4A873352"/>
    <w:rsid w:val="4A8E6560"/>
    <w:rsid w:val="4B143DF0"/>
    <w:rsid w:val="4B4F25DA"/>
    <w:rsid w:val="4B597A3E"/>
    <w:rsid w:val="4B857FDF"/>
    <w:rsid w:val="4BB20860"/>
    <w:rsid w:val="4BC66911"/>
    <w:rsid w:val="4BE068DB"/>
    <w:rsid w:val="4BF21EC3"/>
    <w:rsid w:val="4BFB2271"/>
    <w:rsid w:val="4C796657"/>
    <w:rsid w:val="4D5015E7"/>
    <w:rsid w:val="4D53256B"/>
    <w:rsid w:val="4D577224"/>
    <w:rsid w:val="4D700028"/>
    <w:rsid w:val="4DE6755C"/>
    <w:rsid w:val="4E2305F0"/>
    <w:rsid w:val="4E6A7B35"/>
    <w:rsid w:val="4EAB630A"/>
    <w:rsid w:val="4EC73B91"/>
    <w:rsid w:val="4ECE2238"/>
    <w:rsid w:val="4FC235E9"/>
    <w:rsid w:val="4FEF31B4"/>
    <w:rsid w:val="50355FCF"/>
    <w:rsid w:val="505B24E3"/>
    <w:rsid w:val="50A770DF"/>
    <w:rsid w:val="515404FD"/>
    <w:rsid w:val="515B2E61"/>
    <w:rsid w:val="517E0251"/>
    <w:rsid w:val="51FE3C0C"/>
    <w:rsid w:val="526C4D2E"/>
    <w:rsid w:val="528D1027"/>
    <w:rsid w:val="52F61A46"/>
    <w:rsid w:val="52FB2C81"/>
    <w:rsid w:val="53292F0F"/>
    <w:rsid w:val="53607807"/>
    <w:rsid w:val="536166CE"/>
    <w:rsid w:val="53682BBC"/>
    <w:rsid w:val="53D53D51"/>
    <w:rsid w:val="53FE5EDD"/>
    <w:rsid w:val="54795826"/>
    <w:rsid w:val="54F372B3"/>
    <w:rsid w:val="551F5152"/>
    <w:rsid w:val="5533088A"/>
    <w:rsid w:val="553B58E4"/>
    <w:rsid w:val="5645418D"/>
    <w:rsid w:val="569C60AA"/>
    <w:rsid w:val="569E4FA0"/>
    <w:rsid w:val="56D65686"/>
    <w:rsid w:val="56FC06FF"/>
    <w:rsid w:val="57044ED0"/>
    <w:rsid w:val="57235785"/>
    <w:rsid w:val="573C440F"/>
    <w:rsid w:val="579F72CD"/>
    <w:rsid w:val="57C25403"/>
    <w:rsid w:val="5843585C"/>
    <w:rsid w:val="58722B28"/>
    <w:rsid w:val="58C625B2"/>
    <w:rsid w:val="58C75B40"/>
    <w:rsid w:val="59587923"/>
    <w:rsid w:val="59AD15AB"/>
    <w:rsid w:val="59BE699D"/>
    <w:rsid w:val="59F477A1"/>
    <w:rsid w:val="5A650D5A"/>
    <w:rsid w:val="5ACD71C7"/>
    <w:rsid w:val="5AF92295"/>
    <w:rsid w:val="5B443C4B"/>
    <w:rsid w:val="5B9C20DB"/>
    <w:rsid w:val="5BBF6B72"/>
    <w:rsid w:val="5BC93EA4"/>
    <w:rsid w:val="5C001E00"/>
    <w:rsid w:val="5C0F6B97"/>
    <w:rsid w:val="5C121D1A"/>
    <w:rsid w:val="5C23571B"/>
    <w:rsid w:val="5CD71FC4"/>
    <w:rsid w:val="5D3F1487"/>
    <w:rsid w:val="5E224A77"/>
    <w:rsid w:val="5E79378D"/>
    <w:rsid w:val="5E7D6299"/>
    <w:rsid w:val="5E8A6AE7"/>
    <w:rsid w:val="5EF430D7"/>
    <w:rsid w:val="5EFA4FE0"/>
    <w:rsid w:val="5F2345A8"/>
    <w:rsid w:val="5F644B92"/>
    <w:rsid w:val="5FDF198D"/>
    <w:rsid w:val="5FEA0B84"/>
    <w:rsid w:val="5FFBBE8C"/>
    <w:rsid w:val="60741838"/>
    <w:rsid w:val="60AA37E9"/>
    <w:rsid w:val="60BA4265"/>
    <w:rsid w:val="60DA41F1"/>
    <w:rsid w:val="61CB4DFE"/>
    <w:rsid w:val="62612D73"/>
    <w:rsid w:val="629C2F58"/>
    <w:rsid w:val="62CC4571"/>
    <w:rsid w:val="62F23D84"/>
    <w:rsid w:val="630D670F"/>
    <w:rsid w:val="631344AF"/>
    <w:rsid w:val="631D58D9"/>
    <w:rsid w:val="63392A57"/>
    <w:rsid w:val="636225DE"/>
    <w:rsid w:val="63FE7312"/>
    <w:rsid w:val="63FF63A4"/>
    <w:rsid w:val="649B4C1C"/>
    <w:rsid w:val="64AD61BC"/>
    <w:rsid w:val="656520E7"/>
    <w:rsid w:val="66376316"/>
    <w:rsid w:val="674A3201"/>
    <w:rsid w:val="677221C7"/>
    <w:rsid w:val="67BC3137"/>
    <w:rsid w:val="685272C6"/>
    <w:rsid w:val="696D3286"/>
    <w:rsid w:val="69EC15D6"/>
    <w:rsid w:val="6A2353BE"/>
    <w:rsid w:val="6A34069C"/>
    <w:rsid w:val="6B344DF0"/>
    <w:rsid w:val="6B635940"/>
    <w:rsid w:val="6C206234"/>
    <w:rsid w:val="6C4A05C8"/>
    <w:rsid w:val="6CBC5B71"/>
    <w:rsid w:val="6D150A76"/>
    <w:rsid w:val="6D59546B"/>
    <w:rsid w:val="6D8952C5"/>
    <w:rsid w:val="6DB4096C"/>
    <w:rsid w:val="6DBF5F5C"/>
    <w:rsid w:val="6E360C61"/>
    <w:rsid w:val="6E4B1B00"/>
    <w:rsid w:val="6E70494A"/>
    <w:rsid w:val="6E7E3605"/>
    <w:rsid w:val="6EE34C25"/>
    <w:rsid w:val="6F783447"/>
    <w:rsid w:val="6F8B248C"/>
    <w:rsid w:val="6FCE4AF0"/>
    <w:rsid w:val="6FEF2100"/>
    <w:rsid w:val="6FF5CC65"/>
    <w:rsid w:val="70481945"/>
    <w:rsid w:val="70893AA1"/>
    <w:rsid w:val="71267CAF"/>
    <w:rsid w:val="715C0E4B"/>
    <w:rsid w:val="722978DD"/>
    <w:rsid w:val="723039E4"/>
    <w:rsid w:val="72734D90"/>
    <w:rsid w:val="72DE2883"/>
    <w:rsid w:val="72EB4117"/>
    <w:rsid w:val="73065FC6"/>
    <w:rsid w:val="738E514E"/>
    <w:rsid w:val="73AD73D5"/>
    <w:rsid w:val="73B6EB34"/>
    <w:rsid w:val="73D36613"/>
    <w:rsid w:val="74092195"/>
    <w:rsid w:val="74292E19"/>
    <w:rsid w:val="74B41184"/>
    <w:rsid w:val="74E36C10"/>
    <w:rsid w:val="75A82D16"/>
    <w:rsid w:val="75B07E05"/>
    <w:rsid w:val="75C15E3F"/>
    <w:rsid w:val="75D373DE"/>
    <w:rsid w:val="76232660"/>
    <w:rsid w:val="7648159B"/>
    <w:rsid w:val="765C7DD7"/>
    <w:rsid w:val="774175B4"/>
    <w:rsid w:val="77B57B27"/>
    <w:rsid w:val="788719AE"/>
    <w:rsid w:val="78C728B3"/>
    <w:rsid w:val="78CB70BB"/>
    <w:rsid w:val="78ED61EF"/>
    <w:rsid w:val="793F707A"/>
    <w:rsid w:val="794C37FB"/>
    <w:rsid w:val="798A03F3"/>
    <w:rsid w:val="798DE8E7"/>
    <w:rsid w:val="79956784"/>
    <w:rsid w:val="79EE5BA4"/>
    <w:rsid w:val="79F0141C"/>
    <w:rsid w:val="7A163A0F"/>
    <w:rsid w:val="7A32769F"/>
    <w:rsid w:val="7A7E7D69"/>
    <w:rsid w:val="7A894339"/>
    <w:rsid w:val="7AD87AFF"/>
    <w:rsid w:val="7AFD02D5"/>
    <w:rsid w:val="7C117EC2"/>
    <w:rsid w:val="7C60211A"/>
    <w:rsid w:val="7C823954"/>
    <w:rsid w:val="7CA771C1"/>
    <w:rsid w:val="7D0A03B5"/>
    <w:rsid w:val="7D7809E9"/>
    <w:rsid w:val="7DBF2109"/>
    <w:rsid w:val="7DC6090E"/>
    <w:rsid w:val="7E1322BB"/>
    <w:rsid w:val="7E7A3A8F"/>
    <w:rsid w:val="7EEF11D3"/>
    <w:rsid w:val="7F1E0D19"/>
    <w:rsid w:val="7F4D1868"/>
    <w:rsid w:val="7FA30C79"/>
    <w:rsid w:val="7FC250AB"/>
    <w:rsid w:val="7FC96657"/>
    <w:rsid w:val="7FFDF33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9"/>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718"/>
    <w:pPr>
      <w:widowControl w:val="0"/>
      <w:jc w:val="both"/>
    </w:pPr>
    <w:rPr>
      <w:kern w:val="2"/>
      <w:sz w:val="21"/>
      <w:szCs w:val="24"/>
    </w:rPr>
  </w:style>
  <w:style w:type="paragraph" w:styleId="1">
    <w:name w:val="heading 1"/>
    <w:basedOn w:val="a"/>
    <w:next w:val="a"/>
    <w:link w:val="1Char"/>
    <w:uiPriority w:val="9"/>
    <w:qFormat/>
    <w:rsid w:val="003C67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C6718"/>
    <w:pPr>
      <w:keepNext/>
      <w:keepLines/>
      <w:spacing w:before="260" w:after="260" w:line="416" w:lineRule="auto"/>
      <w:outlineLvl w:val="1"/>
    </w:pPr>
    <w:rPr>
      <w:rFonts w:ascii="Cambria" w:hAnsi="Cambria" w:cs="黑体"/>
      <w:b/>
      <w:bCs/>
      <w:sz w:val="32"/>
      <w:szCs w:val="32"/>
    </w:rPr>
  </w:style>
  <w:style w:type="paragraph" w:styleId="3">
    <w:name w:val="heading 3"/>
    <w:basedOn w:val="a"/>
    <w:next w:val="a"/>
    <w:link w:val="3Char"/>
    <w:uiPriority w:val="9"/>
    <w:unhideWhenUsed/>
    <w:qFormat/>
    <w:rsid w:val="003C67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C6718"/>
    <w:pPr>
      <w:spacing w:beforeLines="30"/>
    </w:pPr>
    <w:rPr>
      <w:rFonts w:ascii="仿宋_GB2312" w:eastAsia="仿宋_GB2312"/>
      <w:kern w:val="0"/>
      <w:sz w:val="24"/>
      <w:szCs w:val="20"/>
    </w:rPr>
  </w:style>
  <w:style w:type="paragraph" w:styleId="30">
    <w:name w:val="toc 3"/>
    <w:basedOn w:val="a"/>
    <w:next w:val="a"/>
    <w:uiPriority w:val="39"/>
    <w:unhideWhenUsed/>
    <w:qFormat/>
    <w:rsid w:val="003C6718"/>
    <w:pPr>
      <w:tabs>
        <w:tab w:val="right" w:leader="dot" w:pos="8296"/>
      </w:tabs>
      <w:ind w:leftChars="400" w:left="840"/>
    </w:pPr>
  </w:style>
  <w:style w:type="paragraph" w:styleId="a4">
    <w:name w:val="Balloon Text"/>
    <w:basedOn w:val="a"/>
    <w:link w:val="Char0"/>
    <w:uiPriority w:val="99"/>
    <w:unhideWhenUsed/>
    <w:qFormat/>
    <w:rsid w:val="003C6718"/>
    <w:rPr>
      <w:sz w:val="18"/>
      <w:szCs w:val="18"/>
    </w:rPr>
  </w:style>
  <w:style w:type="paragraph" w:styleId="a5">
    <w:name w:val="footer"/>
    <w:basedOn w:val="a"/>
    <w:link w:val="Char1"/>
    <w:uiPriority w:val="99"/>
    <w:qFormat/>
    <w:rsid w:val="003C6718"/>
    <w:pPr>
      <w:tabs>
        <w:tab w:val="center" w:pos="4153"/>
        <w:tab w:val="right" w:pos="8306"/>
      </w:tabs>
      <w:snapToGrid w:val="0"/>
      <w:jc w:val="left"/>
    </w:pPr>
    <w:rPr>
      <w:kern w:val="0"/>
      <w:sz w:val="18"/>
      <w:szCs w:val="20"/>
    </w:rPr>
  </w:style>
  <w:style w:type="paragraph" w:styleId="a6">
    <w:name w:val="header"/>
    <w:basedOn w:val="a"/>
    <w:link w:val="Char2"/>
    <w:uiPriority w:val="99"/>
    <w:semiHidden/>
    <w:qFormat/>
    <w:rsid w:val="003C6718"/>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unhideWhenUsed/>
    <w:qFormat/>
    <w:rsid w:val="003C6718"/>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3C6718"/>
    <w:pPr>
      <w:tabs>
        <w:tab w:val="right" w:leader="dot" w:pos="8296"/>
      </w:tabs>
      <w:ind w:leftChars="200" w:left="420"/>
    </w:pPr>
  </w:style>
  <w:style w:type="character" w:styleId="a7">
    <w:name w:val="Strong"/>
    <w:basedOn w:val="a0"/>
    <w:uiPriority w:val="99"/>
    <w:qFormat/>
    <w:rsid w:val="003C6718"/>
    <w:rPr>
      <w:b/>
    </w:rPr>
  </w:style>
  <w:style w:type="character" w:styleId="a8">
    <w:name w:val="Hyperlink"/>
    <w:basedOn w:val="a0"/>
    <w:uiPriority w:val="99"/>
    <w:unhideWhenUsed/>
    <w:qFormat/>
    <w:rsid w:val="003C6718"/>
    <w:rPr>
      <w:color w:val="0000FF"/>
      <w:u w:val="single"/>
    </w:rPr>
  </w:style>
  <w:style w:type="paragraph" w:customStyle="1" w:styleId="Default">
    <w:name w:val="Default"/>
    <w:uiPriority w:val="99"/>
    <w:qFormat/>
    <w:rsid w:val="003C6718"/>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3C6718"/>
    <w:pPr>
      <w:ind w:firstLineChars="200" w:firstLine="420"/>
    </w:pPr>
  </w:style>
  <w:style w:type="paragraph" w:customStyle="1" w:styleId="TOC1">
    <w:name w:val="TOC 标题1"/>
    <w:basedOn w:val="1"/>
    <w:next w:val="a"/>
    <w:uiPriority w:val="39"/>
    <w:unhideWhenUsed/>
    <w:qFormat/>
    <w:rsid w:val="003C6718"/>
    <w:pPr>
      <w:widowControl/>
      <w:spacing w:before="480" w:after="0" w:line="276" w:lineRule="auto"/>
      <w:jc w:val="left"/>
      <w:outlineLvl w:val="9"/>
    </w:pPr>
    <w:rPr>
      <w:rFonts w:ascii="Cambria" w:hAnsi="Cambria" w:cs="黑体"/>
      <w:color w:val="365F90"/>
      <w:kern w:val="0"/>
      <w:sz w:val="28"/>
      <w:szCs w:val="28"/>
    </w:rPr>
  </w:style>
  <w:style w:type="paragraph" w:customStyle="1" w:styleId="TOC2">
    <w:name w:val="TOC 标题2"/>
    <w:basedOn w:val="1"/>
    <w:next w:val="a"/>
    <w:uiPriority w:val="39"/>
    <w:unhideWhenUsed/>
    <w:qFormat/>
    <w:rsid w:val="003C6718"/>
    <w:pPr>
      <w:widowControl/>
      <w:spacing w:before="480" w:after="0" w:line="276" w:lineRule="auto"/>
      <w:jc w:val="left"/>
      <w:outlineLvl w:val="9"/>
    </w:pPr>
    <w:rPr>
      <w:rFonts w:ascii="Cambria" w:hAnsi="Cambria" w:cs="黑体"/>
      <w:color w:val="365F90"/>
      <w:kern w:val="0"/>
      <w:sz w:val="28"/>
      <w:szCs w:val="28"/>
    </w:rPr>
  </w:style>
  <w:style w:type="character" w:customStyle="1" w:styleId="HeaderChar">
    <w:name w:val="Header Char"/>
    <w:basedOn w:val="a0"/>
    <w:uiPriority w:val="99"/>
    <w:semiHidden/>
    <w:qFormat/>
    <w:rsid w:val="003C6718"/>
    <w:rPr>
      <w:rFonts w:ascii="Times New Roman" w:hAnsi="Times New Roman"/>
      <w:sz w:val="18"/>
      <w:szCs w:val="18"/>
    </w:rPr>
  </w:style>
  <w:style w:type="character" w:customStyle="1" w:styleId="Char2">
    <w:name w:val="页眉 Char"/>
    <w:link w:val="a6"/>
    <w:uiPriority w:val="99"/>
    <w:semiHidden/>
    <w:qFormat/>
    <w:locked/>
    <w:rsid w:val="003C6718"/>
    <w:rPr>
      <w:sz w:val="18"/>
    </w:rPr>
  </w:style>
  <w:style w:type="character" w:customStyle="1" w:styleId="FooterChar">
    <w:name w:val="Footer Char"/>
    <w:basedOn w:val="a0"/>
    <w:uiPriority w:val="99"/>
    <w:semiHidden/>
    <w:qFormat/>
    <w:rsid w:val="003C6718"/>
    <w:rPr>
      <w:rFonts w:ascii="Times New Roman" w:hAnsi="Times New Roman"/>
      <w:sz w:val="18"/>
      <w:szCs w:val="18"/>
    </w:rPr>
  </w:style>
  <w:style w:type="character" w:customStyle="1" w:styleId="Char1">
    <w:name w:val="页脚 Char"/>
    <w:link w:val="a5"/>
    <w:uiPriority w:val="99"/>
    <w:qFormat/>
    <w:locked/>
    <w:rsid w:val="003C6718"/>
    <w:rPr>
      <w:sz w:val="18"/>
    </w:rPr>
  </w:style>
  <w:style w:type="character" w:customStyle="1" w:styleId="BodyTextChar">
    <w:name w:val="Body Text Char"/>
    <w:basedOn w:val="a0"/>
    <w:uiPriority w:val="99"/>
    <w:semiHidden/>
    <w:qFormat/>
    <w:rsid w:val="003C6718"/>
    <w:rPr>
      <w:rFonts w:ascii="Times New Roman" w:hAnsi="Times New Roman"/>
      <w:szCs w:val="24"/>
    </w:rPr>
  </w:style>
  <w:style w:type="character" w:customStyle="1" w:styleId="Char">
    <w:name w:val="正文文本 Char"/>
    <w:link w:val="a3"/>
    <w:uiPriority w:val="99"/>
    <w:qFormat/>
    <w:locked/>
    <w:rsid w:val="003C6718"/>
    <w:rPr>
      <w:rFonts w:ascii="仿宋_GB2312" w:eastAsia="仿宋_GB2312" w:hAnsi="Times New Roman"/>
      <w:sz w:val="24"/>
    </w:rPr>
  </w:style>
  <w:style w:type="character" w:customStyle="1" w:styleId="1Char">
    <w:name w:val="标题 1 Char"/>
    <w:basedOn w:val="a0"/>
    <w:link w:val="1"/>
    <w:uiPriority w:val="9"/>
    <w:qFormat/>
    <w:rsid w:val="003C6718"/>
    <w:rPr>
      <w:rFonts w:ascii="Times New Roman" w:hAnsi="Times New Roman"/>
      <w:b/>
      <w:bCs/>
      <w:kern w:val="44"/>
      <w:sz w:val="44"/>
      <w:szCs w:val="44"/>
    </w:rPr>
  </w:style>
  <w:style w:type="character" w:customStyle="1" w:styleId="2Char">
    <w:name w:val="标题 2 Char"/>
    <w:basedOn w:val="a0"/>
    <w:link w:val="2"/>
    <w:uiPriority w:val="9"/>
    <w:qFormat/>
    <w:rsid w:val="003C6718"/>
    <w:rPr>
      <w:rFonts w:ascii="Cambria" w:eastAsia="宋体" w:hAnsi="Cambria" w:cs="黑体"/>
      <w:b/>
      <w:bCs/>
      <w:kern w:val="2"/>
      <w:sz w:val="32"/>
      <w:szCs w:val="32"/>
    </w:rPr>
  </w:style>
  <w:style w:type="character" w:customStyle="1" w:styleId="Char0">
    <w:name w:val="批注框文本 Char"/>
    <w:basedOn w:val="a0"/>
    <w:link w:val="a4"/>
    <w:uiPriority w:val="99"/>
    <w:semiHidden/>
    <w:qFormat/>
    <w:rsid w:val="003C6718"/>
    <w:rPr>
      <w:rFonts w:ascii="Times New Roman" w:hAnsi="Times New Roman"/>
      <w:kern w:val="2"/>
      <w:sz w:val="18"/>
      <w:szCs w:val="18"/>
    </w:rPr>
  </w:style>
  <w:style w:type="character" w:customStyle="1" w:styleId="3Char">
    <w:name w:val="标题 3 Char"/>
    <w:basedOn w:val="a0"/>
    <w:link w:val="3"/>
    <w:uiPriority w:val="9"/>
    <w:qFormat/>
    <w:rsid w:val="003C6718"/>
    <w:rPr>
      <w:rFonts w:ascii="Times New Roman" w:hAnsi="Times New Roman"/>
      <w:b/>
      <w:bCs/>
      <w:kern w:val="2"/>
      <w:sz w:val="32"/>
      <w:szCs w:val="32"/>
    </w:rPr>
  </w:style>
  <w:style w:type="paragraph" w:customStyle="1" w:styleId="WPSOffice1">
    <w:name w:val="WPSOffice手动目录 1"/>
    <w:qFormat/>
    <w:rsid w:val="003C6718"/>
  </w:style>
  <w:style w:type="paragraph" w:customStyle="1" w:styleId="WPSOffice2">
    <w:name w:val="WPSOffice手动目录 2"/>
    <w:qFormat/>
    <w:rsid w:val="003C6718"/>
    <w:pPr>
      <w:ind w:leftChars="200" w:left="200"/>
    </w:pPr>
  </w:style>
  <w:style w:type="character" w:customStyle="1" w:styleId="NormalCharacter">
    <w:name w:val="NormalCharacter"/>
    <w:qFormat/>
    <w:rsid w:val="003C6718"/>
  </w:style>
  <w:style w:type="character" w:customStyle="1" w:styleId="bjh-p">
    <w:name w:val="bjh-p"/>
    <w:qFormat/>
    <w:rsid w:val="003C6718"/>
  </w:style>
  <w:style w:type="character" w:customStyle="1" w:styleId="font71">
    <w:name w:val="font71"/>
    <w:basedOn w:val="a0"/>
    <w:qFormat/>
    <w:rsid w:val="003C6718"/>
    <w:rPr>
      <w:rFonts w:ascii="宋体" w:eastAsia="宋体" w:hAnsi="宋体" w:cs="宋体" w:hint="eastAsia"/>
      <w:color w:val="000000"/>
      <w:sz w:val="18"/>
      <w:szCs w:val="18"/>
      <w:u w:val="none"/>
    </w:rPr>
  </w:style>
  <w:style w:type="character" w:customStyle="1" w:styleId="font61">
    <w:name w:val="font61"/>
    <w:basedOn w:val="a0"/>
    <w:qFormat/>
    <w:rsid w:val="003C6718"/>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Info spid="_x0000_s4103"/>
    <customShpInfo spid="_x0000_s4100"/>
    <customShpInfo spid="_x0000_s4099"/>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4402</Words>
  <Characters>25094</Characters>
  <Application>Microsoft Office Word</Application>
  <DocSecurity>0</DocSecurity>
  <Lines>209</Lines>
  <Paragraphs>58</Paragraphs>
  <ScaleCrop>false</ScaleCrop>
  <Company>四川省财政厅</Company>
  <LinksUpToDate>false</LinksUpToDate>
  <CharactersWithSpaces>29438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吴征</cp:lastModifiedBy>
  <cp:revision>17</cp:revision>
  <cp:lastPrinted>2022-09-26T10:11:00Z</cp:lastPrinted>
  <dcterms:created xsi:type="dcterms:W3CDTF">2020-08-06T17:49:00Z</dcterms:created>
  <dcterms:modified xsi:type="dcterms:W3CDTF">2023-10-07T08:40:00Z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71EE4C5B63CC42F888BCD11980679D2B</vt:lpwstr>
  </property>
</Properties>
</file>