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spacing w:line="600" w:lineRule="exact"/>
        <w:jc w:val="center"/>
        <w:outlineLvl w:val="9"/>
        <w:rPr>
          <w:rFonts w:ascii="方正小标宋简体" w:hAnsi="宋体" w:eastAsia="方正小标宋简体"/>
          <w:color w:val="auto"/>
          <w:sz w:val="72"/>
          <w:szCs w:val="72"/>
          <w:highlight w:val="none"/>
        </w:rPr>
      </w:pPr>
      <w:bookmarkStart w:id="0" w:name="_Toc15377425"/>
      <w:bookmarkStart w:id="1" w:name="_Toc15396475"/>
      <w:bookmarkStart w:id="2" w:name="_Toc15378441"/>
      <w:bookmarkStart w:id="3" w:name="_Toc15377193"/>
      <w:bookmarkStart w:id="4" w:name="_Toc15396597"/>
      <w:bookmarkStart w:id="5" w:name="_Toc15306267"/>
    </w:p>
    <w:p>
      <w:pPr>
        <w:shd w:val="clear"/>
        <w:spacing w:line="600" w:lineRule="exact"/>
        <w:jc w:val="center"/>
        <w:outlineLvl w:val="9"/>
        <w:rPr>
          <w:rFonts w:ascii="方正小标宋简体" w:hAnsi="宋体" w:eastAsia="方正小标宋简体"/>
          <w:color w:val="auto"/>
          <w:sz w:val="72"/>
          <w:szCs w:val="72"/>
          <w:highlight w:val="none"/>
        </w:rPr>
      </w:pPr>
    </w:p>
    <w:p>
      <w:pPr>
        <w:shd w:val="clear"/>
        <w:spacing w:line="600" w:lineRule="exact"/>
        <w:jc w:val="center"/>
        <w:outlineLvl w:val="9"/>
        <w:rPr>
          <w:rFonts w:ascii="方正小标宋简体" w:hAnsi="宋体" w:eastAsia="方正小标宋简体"/>
          <w:color w:val="auto"/>
          <w:sz w:val="72"/>
          <w:szCs w:val="72"/>
          <w:highlight w:val="none"/>
        </w:rPr>
      </w:pPr>
    </w:p>
    <w:p>
      <w:pPr>
        <w:shd w:val="clear"/>
        <w:adjustRightInd w:val="0"/>
        <w:snapToGrid w:val="0"/>
        <w:spacing w:line="360" w:lineRule="auto"/>
        <w:jc w:val="center"/>
        <w:outlineLvl w:val="0"/>
        <w:rPr>
          <w:rFonts w:hint="eastAsia" w:ascii="方正小标宋简体" w:hAnsi="方正小标宋简体" w:eastAsia="方正小标宋简体" w:cs="方正小标宋简体"/>
          <w:color w:val="auto"/>
          <w:sz w:val="72"/>
          <w:szCs w:val="72"/>
          <w:highlight w:val="none"/>
        </w:rPr>
      </w:pPr>
      <w:bookmarkStart w:id="6" w:name="_Toc2244"/>
      <w:bookmarkStart w:id="7" w:name="_Toc4600"/>
      <w:r>
        <w:rPr>
          <w:rFonts w:hint="eastAsia" w:ascii="方正小标宋简体" w:hAnsi="方正小标宋简体" w:eastAsia="方正小标宋简体" w:cs="方正小标宋简体"/>
          <w:color w:val="auto"/>
          <w:sz w:val="72"/>
          <w:szCs w:val="72"/>
          <w:highlight w:val="none"/>
        </w:rPr>
        <w:t>20</w:t>
      </w:r>
      <w:r>
        <w:rPr>
          <w:rFonts w:hint="eastAsia" w:ascii="方正小标宋简体" w:hAnsi="方正小标宋简体" w:eastAsia="方正小标宋简体" w:cs="方正小标宋简体"/>
          <w:color w:val="auto"/>
          <w:sz w:val="72"/>
          <w:szCs w:val="72"/>
          <w:highlight w:val="none"/>
          <w:lang w:val="en-US" w:eastAsia="zh-CN"/>
        </w:rPr>
        <w:t>22</w:t>
      </w:r>
      <w:r>
        <w:rPr>
          <w:rFonts w:hint="eastAsia" w:ascii="方正小标宋简体" w:hAnsi="方正小标宋简体" w:eastAsia="方正小标宋简体" w:cs="方正小标宋简体"/>
          <w:color w:val="auto"/>
          <w:sz w:val="72"/>
          <w:szCs w:val="72"/>
          <w:highlight w:val="none"/>
        </w:rPr>
        <w:t>年度</w:t>
      </w:r>
      <w:bookmarkEnd w:id="0"/>
      <w:bookmarkEnd w:id="1"/>
      <w:bookmarkEnd w:id="2"/>
      <w:bookmarkEnd w:id="3"/>
      <w:bookmarkEnd w:id="4"/>
      <w:bookmarkEnd w:id="6"/>
      <w:bookmarkEnd w:id="7"/>
    </w:p>
    <w:p>
      <w:pPr>
        <w:shd w:val="clear"/>
        <w:adjustRightInd w:val="0"/>
        <w:snapToGrid w:val="0"/>
        <w:spacing w:line="360" w:lineRule="auto"/>
        <w:jc w:val="center"/>
        <w:outlineLvl w:val="0"/>
        <w:rPr>
          <w:rFonts w:hint="eastAsia" w:ascii="方正小标宋简体" w:hAnsi="方正小标宋简体" w:eastAsia="方正小标宋简体" w:cs="方正小标宋简体"/>
          <w:color w:val="auto"/>
          <w:sz w:val="72"/>
          <w:szCs w:val="72"/>
          <w:highlight w:val="none"/>
        </w:rPr>
      </w:pPr>
      <w:bookmarkStart w:id="8" w:name="_Toc15377194"/>
      <w:bookmarkStart w:id="9" w:name="_Toc15396598"/>
      <w:bookmarkStart w:id="10" w:name="_Toc15378442"/>
      <w:bookmarkStart w:id="11" w:name="_Toc15377426"/>
      <w:bookmarkStart w:id="12" w:name="_Toc14599"/>
      <w:bookmarkStart w:id="13" w:name="_Toc24326"/>
      <w:bookmarkStart w:id="14" w:name="_Toc15396476"/>
      <w:r>
        <w:rPr>
          <w:rFonts w:hint="eastAsia" w:ascii="方正小标宋简体" w:hAnsi="方正小标宋简体" w:eastAsia="方正小标宋简体" w:cs="方正小标宋简体"/>
          <w:color w:val="auto"/>
          <w:sz w:val="72"/>
          <w:szCs w:val="72"/>
          <w:highlight w:val="none"/>
          <w:lang w:eastAsia="zh-CN"/>
        </w:rPr>
        <w:t>广元市</w:t>
      </w:r>
      <w:bookmarkEnd w:id="5"/>
      <w:bookmarkStart w:id="15" w:name="_Toc15306268"/>
      <w:r>
        <w:rPr>
          <w:rFonts w:hint="eastAsia" w:ascii="方正小标宋简体" w:hAnsi="方正小标宋简体" w:eastAsia="方正小标宋简体" w:cs="方正小标宋简体"/>
          <w:color w:val="auto"/>
          <w:sz w:val="72"/>
          <w:szCs w:val="72"/>
          <w:highlight w:val="none"/>
          <w:lang w:eastAsia="zh-CN"/>
        </w:rPr>
        <w:t>住房公积金管理中心</w:t>
      </w:r>
      <w:r>
        <w:rPr>
          <w:rFonts w:hint="eastAsia" w:ascii="方正小标宋简体" w:hAnsi="方正小标宋简体" w:eastAsia="方正小标宋简体" w:cs="方正小标宋简体"/>
          <w:color w:val="auto"/>
          <w:sz w:val="72"/>
          <w:szCs w:val="72"/>
          <w:highlight w:val="none"/>
        </w:rPr>
        <w:t>部门决算</w:t>
      </w:r>
      <w:bookmarkEnd w:id="8"/>
      <w:bookmarkEnd w:id="9"/>
      <w:bookmarkEnd w:id="10"/>
      <w:bookmarkEnd w:id="11"/>
      <w:bookmarkEnd w:id="12"/>
      <w:bookmarkEnd w:id="13"/>
      <w:bookmarkEnd w:id="14"/>
      <w:bookmarkEnd w:id="15"/>
    </w:p>
    <w:p>
      <w:pPr>
        <w:widowControl/>
        <w:shd w:val="clear"/>
        <w:jc w:val="center"/>
        <w:rPr>
          <w:rFonts w:hint="eastAsia" w:ascii="黑体" w:hAnsi="黑体" w:eastAsia="黑体"/>
          <w:color w:val="auto"/>
          <w:sz w:val="48"/>
          <w:szCs w:val="48"/>
          <w:highlight w:val="none"/>
        </w:rPr>
        <w:sectPr>
          <w:headerReference r:id="rId3" w:type="default"/>
          <w:footerReference r:id="rId4" w:type="default"/>
          <w:pgSz w:w="11906" w:h="16838"/>
          <w:pgMar w:top="2098" w:right="1474" w:bottom="1984" w:left="1587" w:header="851" w:footer="992" w:gutter="0"/>
          <w:pgNumType w:fmt="decimal" w:start="1"/>
          <w:cols w:space="425" w:num="1"/>
          <w:titlePg/>
          <w:docGrid w:type="lines" w:linePitch="312" w:charSpace="0"/>
        </w:sectPr>
      </w:pPr>
    </w:p>
    <w:p>
      <w:pPr>
        <w:widowControl/>
        <w:shd w:val="clear"/>
        <w:jc w:val="center"/>
        <w:rPr>
          <w:rFonts w:ascii="黑体" w:hAnsi="黑体" w:eastAsia="黑体" w:cstheme="minorBidi"/>
          <w:color w:val="auto"/>
          <w:sz w:val="28"/>
          <w:szCs w:val="28"/>
          <w:highlight w:val="none"/>
        </w:rPr>
      </w:pPr>
      <w:r>
        <w:rPr>
          <w:rFonts w:hint="eastAsia" w:ascii="黑体" w:hAnsi="黑体" w:eastAsia="黑体"/>
          <w:color w:val="auto"/>
          <w:sz w:val="48"/>
          <w:szCs w:val="48"/>
          <w:highlight w:val="none"/>
        </w:rPr>
        <w:t>目录</w:t>
      </w:r>
    </w:p>
    <w:p>
      <w:pPr>
        <w:pStyle w:val="12"/>
        <w:shd w:val="clear"/>
        <w:rPr>
          <w:color w:val="auto"/>
          <w:highlight w:val="none"/>
        </w:rPr>
      </w:pPr>
      <w:r>
        <w:rPr>
          <w:rFonts w:hint="eastAsia"/>
          <w:color w:val="auto"/>
          <w:highlight w:val="none"/>
        </w:rPr>
        <w:t>公开时间：20</w:t>
      </w:r>
      <w:r>
        <w:rPr>
          <w:rFonts w:hint="eastAsia"/>
          <w:color w:val="auto"/>
          <w:highlight w:val="none"/>
          <w:lang w:val="en-US" w:eastAsia="zh-CN"/>
        </w:rPr>
        <w:t>23</w:t>
      </w:r>
      <w:r>
        <w:rPr>
          <w:rFonts w:hint="eastAsia"/>
          <w:color w:val="auto"/>
          <w:highlight w:val="none"/>
        </w:rPr>
        <w:t>年</w:t>
      </w:r>
      <w:r>
        <w:rPr>
          <w:rFonts w:hint="eastAsia"/>
          <w:color w:val="auto"/>
          <w:highlight w:val="none"/>
          <w:lang w:val="en-US" w:eastAsia="zh-CN"/>
        </w:rPr>
        <w:t>10</w:t>
      </w:r>
      <w:r>
        <w:rPr>
          <w:rFonts w:hint="eastAsia"/>
          <w:color w:val="auto"/>
          <w:highlight w:val="none"/>
        </w:rPr>
        <w:t>月</w:t>
      </w:r>
      <w:r>
        <w:rPr>
          <w:rFonts w:hint="eastAsia"/>
          <w:color w:val="auto"/>
          <w:highlight w:val="none"/>
          <w:lang w:val="en-US" w:eastAsia="zh-CN"/>
        </w:rPr>
        <w:t>7</w:t>
      </w:r>
      <w:r>
        <w:rPr>
          <w:rFonts w:hint="eastAsia"/>
          <w:color w:val="auto"/>
          <w:highlight w:val="none"/>
        </w:rPr>
        <w:t>日</w:t>
      </w:r>
    </w:p>
    <w:sdt>
      <w:sdtPr>
        <w:rPr>
          <w:rFonts w:ascii="宋体" w:hAnsi="宋体" w:eastAsia="宋体" w:cs="Times New Roman"/>
          <w:color w:val="auto"/>
          <w:kern w:val="2"/>
          <w:sz w:val="21"/>
          <w:szCs w:val="24"/>
          <w:highlight w:val="none"/>
          <w:lang w:val="en-US" w:eastAsia="zh-CN" w:bidi="ar-SA"/>
        </w:rPr>
        <w:id w:val="147464226"/>
        <w15:color w:val="DBDBDB"/>
        <w:docPartObj>
          <w:docPartGallery w:val="Table of Contents"/>
          <w:docPartUnique/>
        </w:docPartObj>
      </w:sdtPr>
      <w:sdtEndPr>
        <w:rPr>
          <w:rFonts w:ascii="Times New Roman" w:hAnsi="Times New Roman" w:eastAsia="宋体" w:cs="Times New Roman"/>
          <w:b/>
          <w:color w:val="auto"/>
          <w:kern w:val="2"/>
          <w:sz w:val="21"/>
          <w:szCs w:val="24"/>
          <w:highlight w:val="none"/>
          <w:lang w:val="en-US" w:eastAsia="zh-CN" w:bidi="ar-SA"/>
        </w:rPr>
      </w:sdtEndPr>
      <w:sdtContent>
        <w:p>
          <w:pPr>
            <w:shd w:val="clear"/>
            <w:spacing w:before="0" w:beforeLines="0" w:after="0" w:afterLines="0" w:line="240" w:lineRule="auto"/>
            <w:ind w:left="0" w:leftChars="0" w:right="0" w:rightChars="0" w:firstLine="0" w:firstLineChars="0"/>
            <w:jc w:val="center"/>
            <w:rPr>
              <w:color w:val="auto"/>
              <w:highlight w:val="none"/>
            </w:rPr>
          </w:pPr>
          <w:bookmarkStart w:id="207" w:name="_GoBack"/>
          <w:bookmarkEnd w:id="207"/>
        </w:p>
        <w:p>
          <w:pPr>
            <w:pStyle w:val="12"/>
            <w:keepNext w:val="0"/>
            <w:keepLines w:val="0"/>
            <w:pageBreakBefore w:val="0"/>
            <w:widowControl w:val="0"/>
            <w:shd w:val="clear"/>
            <w:tabs>
              <w:tab w:val="right" w:leader="dot" w:pos="8845"/>
              <w:tab w:val="clear" w:pos="8296"/>
            </w:tabs>
            <w:kinsoku/>
            <w:wordWrap/>
            <w:overflowPunct/>
            <w:topLinePunct w:val="0"/>
            <w:autoSpaceDE/>
            <w:autoSpaceDN/>
            <w:bidi w:val="0"/>
            <w:adjustRightInd/>
            <w:snapToGrid/>
            <w:spacing w:line="340" w:lineRule="exact"/>
            <w:textAlignment w:val="auto"/>
            <w:rPr>
              <w:color w:val="auto"/>
              <w:highlight w:val="none"/>
            </w:rPr>
          </w:pPr>
          <w:r>
            <w:rPr>
              <w:color w:val="auto"/>
              <w:highlight w:val="none"/>
            </w:rPr>
            <w:fldChar w:fldCharType="begin"/>
          </w:r>
          <w:r>
            <w:rPr>
              <w:color w:val="auto"/>
              <w:highlight w:val="none"/>
            </w:rPr>
            <w:instrText xml:space="preserve">TOC \o "1-2" \h \u </w:instrText>
          </w:r>
          <w:r>
            <w:rPr>
              <w:color w:val="auto"/>
              <w:highlight w:val="none"/>
            </w:rPr>
            <w:fldChar w:fldCharType="separate"/>
          </w:r>
          <w:r>
            <w:rPr>
              <w:color w:val="auto"/>
              <w:highlight w:val="none"/>
            </w:rPr>
            <w:fldChar w:fldCharType="begin"/>
          </w:r>
          <w:r>
            <w:rPr>
              <w:color w:val="auto"/>
              <w:highlight w:val="none"/>
            </w:rPr>
            <w:instrText xml:space="preserve"> HYPERLINK \l _Toc18401 </w:instrText>
          </w:r>
          <w:r>
            <w:rPr>
              <w:color w:val="auto"/>
              <w:highlight w:val="none"/>
            </w:rPr>
            <w:fldChar w:fldCharType="separate"/>
          </w:r>
          <w:r>
            <w:rPr>
              <w:rFonts w:hint="eastAsia" w:ascii="方正小标宋_GBK" w:hAnsi="方正小标宋_GBK" w:eastAsia="方正小标宋_GBK" w:cs="方正小标宋_GBK"/>
              <w:color w:val="auto"/>
              <w:szCs w:val="44"/>
              <w:highlight w:val="none"/>
            </w:rPr>
            <w:t>第一部分 部门概况</w:t>
          </w:r>
          <w:r>
            <w:rPr>
              <w:color w:val="auto"/>
              <w:highlight w:val="none"/>
            </w:rPr>
            <w:tab/>
          </w:r>
          <w:r>
            <w:rPr>
              <w:color w:val="auto"/>
              <w:highlight w:val="none"/>
            </w:rPr>
            <w:fldChar w:fldCharType="begin"/>
          </w:r>
          <w:r>
            <w:rPr>
              <w:color w:val="auto"/>
              <w:highlight w:val="none"/>
            </w:rPr>
            <w:instrText xml:space="preserve"> PAGEREF _Toc18401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pPr>
            <w:pStyle w:val="14"/>
            <w:keepNext w:val="0"/>
            <w:keepLines w:val="0"/>
            <w:pageBreakBefore w:val="0"/>
            <w:widowControl w:val="0"/>
            <w:shd w:val="clear"/>
            <w:tabs>
              <w:tab w:val="right" w:leader="dot" w:pos="8845"/>
              <w:tab w:val="clear" w:pos="8296"/>
            </w:tabs>
            <w:kinsoku/>
            <w:wordWrap/>
            <w:overflowPunct/>
            <w:topLinePunct w:val="0"/>
            <w:autoSpaceDE/>
            <w:autoSpaceDN/>
            <w:bidi w:val="0"/>
            <w:adjustRightInd/>
            <w:snapToGrid/>
            <w:spacing w:line="340" w:lineRule="exact"/>
            <w:textAlignment w:val="auto"/>
            <w:rPr>
              <w:color w:val="auto"/>
              <w:highlight w:val="none"/>
            </w:rPr>
          </w:pPr>
          <w:r>
            <w:rPr>
              <w:color w:val="auto"/>
              <w:highlight w:val="none"/>
            </w:rPr>
            <w:fldChar w:fldCharType="begin"/>
          </w:r>
          <w:r>
            <w:rPr>
              <w:color w:val="auto"/>
              <w:highlight w:val="none"/>
            </w:rPr>
            <w:instrText xml:space="preserve"> HYPERLINK \l _Toc24015 </w:instrText>
          </w:r>
          <w:r>
            <w:rPr>
              <w:color w:val="auto"/>
              <w:highlight w:val="none"/>
            </w:rPr>
            <w:fldChar w:fldCharType="separate"/>
          </w:r>
          <w:r>
            <w:rPr>
              <w:rFonts w:hint="eastAsia" w:ascii="黑体" w:hAnsi="黑体" w:eastAsia="黑体" w:cs="黑体"/>
              <w:color w:val="auto"/>
              <w:szCs w:val="32"/>
              <w:highlight w:val="none"/>
            </w:rPr>
            <w:t>一、基本职能及主要工作</w:t>
          </w:r>
          <w:r>
            <w:rPr>
              <w:color w:val="auto"/>
              <w:highlight w:val="none"/>
            </w:rPr>
            <w:tab/>
          </w:r>
          <w:r>
            <w:rPr>
              <w:color w:val="auto"/>
              <w:highlight w:val="none"/>
            </w:rPr>
            <w:fldChar w:fldCharType="begin"/>
          </w:r>
          <w:r>
            <w:rPr>
              <w:color w:val="auto"/>
              <w:highlight w:val="none"/>
            </w:rPr>
            <w:instrText xml:space="preserve"> PAGEREF _Toc24015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pPr>
            <w:pStyle w:val="14"/>
            <w:keepNext w:val="0"/>
            <w:keepLines w:val="0"/>
            <w:pageBreakBefore w:val="0"/>
            <w:widowControl w:val="0"/>
            <w:shd w:val="clear"/>
            <w:tabs>
              <w:tab w:val="right" w:leader="dot" w:pos="8845"/>
              <w:tab w:val="clear" w:pos="8296"/>
            </w:tabs>
            <w:kinsoku/>
            <w:wordWrap/>
            <w:overflowPunct/>
            <w:topLinePunct w:val="0"/>
            <w:autoSpaceDE/>
            <w:autoSpaceDN/>
            <w:bidi w:val="0"/>
            <w:adjustRightInd/>
            <w:snapToGrid/>
            <w:spacing w:line="340" w:lineRule="exact"/>
            <w:textAlignment w:val="auto"/>
            <w:rPr>
              <w:color w:val="auto"/>
              <w:highlight w:val="none"/>
            </w:rPr>
          </w:pPr>
          <w:r>
            <w:rPr>
              <w:color w:val="auto"/>
              <w:highlight w:val="none"/>
            </w:rPr>
            <w:fldChar w:fldCharType="begin"/>
          </w:r>
          <w:r>
            <w:rPr>
              <w:color w:val="auto"/>
              <w:highlight w:val="none"/>
            </w:rPr>
            <w:instrText xml:space="preserve"> HYPERLINK \l _Toc2805 </w:instrText>
          </w:r>
          <w:r>
            <w:rPr>
              <w:color w:val="auto"/>
              <w:highlight w:val="none"/>
            </w:rPr>
            <w:fldChar w:fldCharType="separate"/>
          </w:r>
          <w:r>
            <w:rPr>
              <w:rFonts w:hint="eastAsia" w:ascii="黑体" w:hAnsi="黑体" w:eastAsia="黑体" w:cs="黑体"/>
              <w:color w:val="auto"/>
              <w:szCs w:val="32"/>
              <w:highlight w:val="none"/>
            </w:rPr>
            <w:t>二、机构设置</w:t>
          </w:r>
          <w:r>
            <w:rPr>
              <w:color w:val="auto"/>
              <w:highlight w:val="none"/>
            </w:rPr>
            <w:tab/>
          </w:r>
          <w:r>
            <w:rPr>
              <w:color w:val="auto"/>
              <w:highlight w:val="none"/>
            </w:rPr>
            <w:fldChar w:fldCharType="begin"/>
          </w:r>
          <w:r>
            <w:rPr>
              <w:color w:val="auto"/>
              <w:highlight w:val="none"/>
            </w:rPr>
            <w:instrText xml:space="preserve"> PAGEREF _Toc2805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pPr>
            <w:pStyle w:val="12"/>
            <w:keepNext w:val="0"/>
            <w:keepLines w:val="0"/>
            <w:pageBreakBefore w:val="0"/>
            <w:widowControl w:val="0"/>
            <w:shd w:val="clear"/>
            <w:tabs>
              <w:tab w:val="right" w:leader="dot" w:pos="8845"/>
              <w:tab w:val="clear" w:pos="8296"/>
            </w:tabs>
            <w:kinsoku/>
            <w:wordWrap/>
            <w:overflowPunct/>
            <w:topLinePunct w:val="0"/>
            <w:autoSpaceDE/>
            <w:autoSpaceDN/>
            <w:bidi w:val="0"/>
            <w:adjustRightInd/>
            <w:snapToGrid/>
            <w:spacing w:line="340" w:lineRule="exact"/>
            <w:textAlignment w:val="auto"/>
            <w:rPr>
              <w:color w:val="auto"/>
              <w:highlight w:val="none"/>
            </w:rPr>
          </w:pPr>
          <w:r>
            <w:rPr>
              <w:color w:val="auto"/>
              <w:highlight w:val="none"/>
            </w:rPr>
            <w:fldChar w:fldCharType="begin"/>
          </w:r>
          <w:r>
            <w:rPr>
              <w:color w:val="auto"/>
              <w:highlight w:val="none"/>
            </w:rPr>
            <w:instrText xml:space="preserve"> HYPERLINK \l _Toc18984 </w:instrText>
          </w:r>
          <w:r>
            <w:rPr>
              <w:color w:val="auto"/>
              <w:highlight w:val="none"/>
            </w:rPr>
            <w:fldChar w:fldCharType="separate"/>
          </w:r>
          <w:r>
            <w:rPr>
              <w:rFonts w:hint="eastAsia" w:ascii="方正小标宋_GBK" w:hAnsi="方正小标宋_GBK" w:eastAsia="方正小标宋_GBK" w:cs="方正小标宋_GBK"/>
              <w:color w:val="auto"/>
              <w:szCs w:val="44"/>
              <w:highlight w:val="none"/>
            </w:rPr>
            <w:t xml:space="preserve">第二部分 </w:t>
          </w:r>
          <w:r>
            <w:rPr>
              <w:rFonts w:hint="eastAsia" w:ascii="方正小标宋_GBK" w:hAnsi="方正小标宋_GBK" w:eastAsia="方正小标宋_GBK" w:cs="方正小标宋_GBK"/>
              <w:color w:val="auto"/>
              <w:szCs w:val="44"/>
              <w:highlight w:val="none"/>
              <w:lang w:val="en-US" w:eastAsia="zh-CN"/>
            </w:rPr>
            <w:t>2022年度</w:t>
          </w:r>
          <w:r>
            <w:rPr>
              <w:rFonts w:hint="eastAsia" w:ascii="方正小标宋_GBK" w:hAnsi="方正小标宋_GBK" w:eastAsia="方正小标宋_GBK" w:cs="方正小标宋_GBK"/>
              <w:color w:val="auto"/>
              <w:szCs w:val="44"/>
              <w:highlight w:val="none"/>
            </w:rPr>
            <w:t>部门决算情况说明</w:t>
          </w:r>
          <w:r>
            <w:rPr>
              <w:color w:val="auto"/>
              <w:highlight w:val="none"/>
            </w:rPr>
            <w:tab/>
          </w:r>
          <w:r>
            <w:rPr>
              <w:color w:val="auto"/>
              <w:highlight w:val="none"/>
            </w:rPr>
            <w:fldChar w:fldCharType="begin"/>
          </w:r>
          <w:r>
            <w:rPr>
              <w:color w:val="auto"/>
              <w:highlight w:val="none"/>
            </w:rPr>
            <w:instrText xml:space="preserve"> PAGEREF _Toc18984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pPr>
            <w:pStyle w:val="14"/>
            <w:keepNext w:val="0"/>
            <w:keepLines w:val="0"/>
            <w:pageBreakBefore w:val="0"/>
            <w:widowControl w:val="0"/>
            <w:shd w:val="clear"/>
            <w:tabs>
              <w:tab w:val="right" w:leader="dot" w:pos="8845"/>
              <w:tab w:val="clear" w:pos="8296"/>
            </w:tabs>
            <w:kinsoku/>
            <w:wordWrap/>
            <w:overflowPunct/>
            <w:topLinePunct w:val="0"/>
            <w:autoSpaceDE/>
            <w:autoSpaceDN/>
            <w:bidi w:val="0"/>
            <w:adjustRightInd/>
            <w:snapToGrid/>
            <w:spacing w:line="340" w:lineRule="exact"/>
            <w:textAlignment w:val="auto"/>
            <w:rPr>
              <w:color w:val="auto"/>
              <w:highlight w:val="none"/>
            </w:rPr>
          </w:pPr>
          <w:r>
            <w:rPr>
              <w:color w:val="auto"/>
              <w:highlight w:val="none"/>
            </w:rPr>
            <w:fldChar w:fldCharType="begin"/>
          </w:r>
          <w:r>
            <w:rPr>
              <w:color w:val="auto"/>
              <w:highlight w:val="none"/>
            </w:rPr>
            <w:instrText xml:space="preserve"> HYPERLINK \l _Toc15950 </w:instrText>
          </w:r>
          <w:r>
            <w:rPr>
              <w:color w:val="auto"/>
              <w:highlight w:val="none"/>
            </w:rPr>
            <w:fldChar w:fldCharType="separate"/>
          </w:r>
          <w:r>
            <w:rPr>
              <w:rFonts w:hint="default" w:ascii="黑体" w:hAnsi="黑体" w:eastAsia="黑体"/>
              <w:color w:val="auto"/>
              <w:highlight w:val="none"/>
            </w:rPr>
            <w:t xml:space="preserve">一、 </w:t>
          </w:r>
          <w:r>
            <w:rPr>
              <w:rFonts w:hint="eastAsia" w:ascii="黑体" w:hAnsi="黑体" w:eastAsia="黑体"/>
              <w:color w:val="auto"/>
              <w:szCs w:val="32"/>
              <w:highlight w:val="none"/>
            </w:rPr>
            <w:t>收</w:t>
          </w:r>
          <w:r>
            <w:rPr>
              <w:rFonts w:hint="eastAsia" w:ascii="黑体" w:hAnsi="黑体" w:eastAsia="黑体"/>
              <w:color w:val="auto"/>
              <w:highlight w:val="none"/>
            </w:rPr>
            <w:t>入支出决算总体情况说明</w:t>
          </w:r>
          <w:r>
            <w:rPr>
              <w:color w:val="auto"/>
              <w:highlight w:val="none"/>
            </w:rPr>
            <w:tab/>
          </w:r>
          <w:r>
            <w:rPr>
              <w:color w:val="auto"/>
              <w:highlight w:val="none"/>
            </w:rPr>
            <w:fldChar w:fldCharType="begin"/>
          </w:r>
          <w:r>
            <w:rPr>
              <w:color w:val="auto"/>
              <w:highlight w:val="none"/>
            </w:rPr>
            <w:instrText xml:space="preserve"> PAGEREF _Toc15950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pPr>
            <w:pStyle w:val="14"/>
            <w:keepNext w:val="0"/>
            <w:keepLines w:val="0"/>
            <w:pageBreakBefore w:val="0"/>
            <w:widowControl w:val="0"/>
            <w:shd w:val="clear"/>
            <w:tabs>
              <w:tab w:val="right" w:leader="dot" w:pos="8845"/>
              <w:tab w:val="clear" w:pos="8296"/>
            </w:tabs>
            <w:kinsoku/>
            <w:wordWrap/>
            <w:overflowPunct/>
            <w:topLinePunct w:val="0"/>
            <w:autoSpaceDE/>
            <w:autoSpaceDN/>
            <w:bidi w:val="0"/>
            <w:adjustRightInd/>
            <w:snapToGrid/>
            <w:spacing w:line="340" w:lineRule="exact"/>
            <w:textAlignment w:val="auto"/>
            <w:rPr>
              <w:color w:val="auto"/>
              <w:highlight w:val="none"/>
            </w:rPr>
          </w:pPr>
          <w:r>
            <w:rPr>
              <w:color w:val="auto"/>
              <w:highlight w:val="none"/>
            </w:rPr>
            <w:fldChar w:fldCharType="begin"/>
          </w:r>
          <w:r>
            <w:rPr>
              <w:color w:val="auto"/>
              <w:highlight w:val="none"/>
            </w:rPr>
            <w:instrText xml:space="preserve"> HYPERLINK \l _Toc31631 </w:instrText>
          </w:r>
          <w:r>
            <w:rPr>
              <w:color w:val="auto"/>
              <w:highlight w:val="none"/>
            </w:rPr>
            <w:fldChar w:fldCharType="separate"/>
          </w:r>
          <w:r>
            <w:rPr>
              <w:rFonts w:hint="default" w:ascii="黑体" w:hAnsi="黑体" w:eastAsia="黑体"/>
              <w:color w:val="auto"/>
              <w:highlight w:val="none"/>
            </w:rPr>
            <w:t xml:space="preserve">二、 </w:t>
          </w:r>
          <w:r>
            <w:rPr>
              <w:rFonts w:hint="eastAsia" w:ascii="黑体" w:hAnsi="黑体" w:eastAsia="黑体"/>
              <w:color w:val="auto"/>
              <w:szCs w:val="32"/>
              <w:highlight w:val="none"/>
            </w:rPr>
            <w:t>收</w:t>
          </w:r>
          <w:r>
            <w:rPr>
              <w:rFonts w:hint="eastAsia" w:ascii="黑体" w:hAnsi="黑体" w:eastAsia="黑体"/>
              <w:color w:val="auto"/>
              <w:highlight w:val="none"/>
            </w:rPr>
            <w:t>入决算情况说明</w:t>
          </w:r>
          <w:r>
            <w:rPr>
              <w:color w:val="auto"/>
              <w:highlight w:val="none"/>
            </w:rPr>
            <w:tab/>
          </w:r>
          <w:r>
            <w:rPr>
              <w:color w:val="auto"/>
              <w:highlight w:val="none"/>
            </w:rPr>
            <w:fldChar w:fldCharType="begin"/>
          </w:r>
          <w:r>
            <w:rPr>
              <w:color w:val="auto"/>
              <w:highlight w:val="none"/>
            </w:rPr>
            <w:instrText xml:space="preserve"> PAGEREF _Toc31631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pPr>
            <w:pStyle w:val="14"/>
            <w:keepNext w:val="0"/>
            <w:keepLines w:val="0"/>
            <w:pageBreakBefore w:val="0"/>
            <w:widowControl w:val="0"/>
            <w:shd w:val="clear"/>
            <w:tabs>
              <w:tab w:val="right" w:leader="dot" w:pos="8845"/>
              <w:tab w:val="clear" w:pos="8296"/>
            </w:tabs>
            <w:kinsoku/>
            <w:wordWrap/>
            <w:overflowPunct/>
            <w:topLinePunct w:val="0"/>
            <w:autoSpaceDE/>
            <w:autoSpaceDN/>
            <w:bidi w:val="0"/>
            <w:adjustRightInd/>
            <w:snapToGrid/>
            <w:spacing w:line="340" w:lineRule="exact"/>
            <w:textAlignment w:val="auto"/>
            <w:rPr>
              <w:color w:val="auto"/>
              <w:highlight w:val="none"/>
            </w:rPr>
          </w:pPr>
          <w:r>
            <w:rPr>
              <w:color w:val="auto"/>
              <w:highlight w:val="none"/>
            </w:rPr>
            <w:fldChar w:fldCharType="begin"/>
          </w:r>
          <w:r>
            <w:rPr>
              <w:color w:val="auto"/>
              <w:highlight w:val="none"/>
            </w:rPr>
            <w:instrText xml:space="preserve"> HYPERLINK \l _Toc4886 </w:instrText>
          </w:r>
          <w:r>
            <w:rPr>
              <w:color w:val="auto"/>
              <w:highlight w:val="none"/>
            </w:rPr>
            <w:fldChar w:fldCharType="separate"/>
          </w:r>
          <w:r>
            <w:rPr>
              <w:rFonts w:hint="default" w:ascii="黑体" w:hAnsi="黑体" w:eastAsia="黑体"/>
              <w:color w:val="auto"/>
              <w:highlight w:val="none"/>
            </w:rPr>
            <w:t xml:space="preserve">三、 </w:t>
          </w:r>
          <w:r>
            <w:rPr>
              <w:rFonts w:hint="eastAsia" w:ascii="黑体" w:hAnsi="黑体" w:eastAsia="黑体"/>
              <w:color w:val="auto"/>
              <w:szCs w:val="32"/>
              <w:highlight w:val="none"/>
            </w:rPr>
            <w:t>支</w:t>
          </w:r>
          <w:r>
            <w:rPr>
              <w:rFonts w:hint="eastAsia" w:ascii="黑体" w:hAnsi="黑体" w:eastAsia="黑体"/>
              <w:color w:val="auto"/>
              <w:highlight w:val="none"/>
            </w:rPr>
            <w:t>出决算情况说明</w:t>
          </w:r>
          <w:r>
            <w:rPr>
              <w:color w:val="auto"/>
              <w:highlight w:val="none"/>
            </w:rPr>
            <w:tab/>
          </w:r>
          <w:r>
            <w:rPr>
              <w:color w:val="auto"/>
              <w:highlight w:val="none"/>
            </w:rPr>
            <w:fldChar w:fldCharType="begin"/>
          </w:r>
          <w:r>
            <w:rPr>
              <w:color w:val="auto"/>
              <w:highlight w:val="none"/>
            </w:rPr>
            <w:instrText xml:space="preserve"> PAGEREF _Toc4886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pPr>
            <w:pStyle w:val="14"/>
            <w:keepNext w:val="0"/>
            <w:keepLines w:val="0"/>
            <w:pageBreakBefore w:val="0"/>
            <w:widowControl w:val="0"/>
            <w:shd w:val="clear"/>
            <w:tabs>
              <w:tab w:val="right" w:leader="dot" w:pos="8845"/>
              <w:tab w:val="clear" w:pos="8296"/>
            </w:tabs>
            <w:kinsoku/>
            <w:wordWrap/>
            <w:overflowPunct/>
            <w:topLinePunct w:val="0"/>
            <w:autoSpaceDE/>
            <w:autoSpaceDN/>
            <w:bidi w:val="0"/>
            <w:adjustRightInd/>
            <w:snapToGrid/>
            <w:spacing w:line="340" w:lineRule="exact"/>
            <w:textAlignment w:val="auto"/>
            <w:rPr>
              <w:color w:val="auto"/>
              <w:highlight w:val="none"/>
            </w:rPr>
          </w:pPr>
          <w:r>
            <w:rPr>
              <w:color w:val="auto"/>
              <w:highlight w:val="none"/>
            </w:rPr>
            <w:fldChar w:fldCharType="begin"/>
          </w:r>
          <w:r>
            <w:rPr>
              <w:color w:val="auto"/>
              <w:highlight w:val="none"/>
            </w:rPr>
            <w:instrText xml:space="preserve"> HYPERLINK \l _Toc13147 </w:instrText>
          </w:r>
          <w:r>
            <w:rPr>
              <w:color w:val="auto"/>
              <w:highlight w:val="none"/>
            </w:rPr>
            <w:fldChar w:fldCharType="separate"/>
          </w:r>
          <w:r>
            <w:rPr>
              <w:rFonts w:hint="eastAsia" w:ascii="黑体" w:hAnsi="黑体" w:eastAsia="黑体"/>
              <w:color w:val="auto"/>
              <w:szCs w:val="32"/>
              <w:highlight w:val="none"/>
            </w:rPr>
            <w:t>四、财</w:t>
          </w:r>
          <w:r>
            <w:rPr>
              <w:rFonts w:hint="eastAsia" w:ascii="黑体" w:hAnsi="黑体" w:eastAsia="黑体"/>
              <w:color w:val="auto"/>
              <w:highlight w:val="none"/>
            </w:rPr>
            <w:t>政拨款收入支出决算总体情况说明</w:t>
          </w:r>
          <w:r>
            <w:rPr>
              <w:color w:val="auto"/>
              <w:highlight w:val="none"/>
            </w:rPr>
            <w:tab/>
          </w:r>
          <w:r>
            <w:rPr>
              <w:color w:val="auto"/>
              <w:highlight w:val="none"/>
            </w:rPr>
            <w:fldChar w:fldCharType="begin"/>
          </w:r>
          <w:r>
            <w:rPr>
              <w:color w:val="auto"/>
              <w:highlight w:val="none"/>
            </w:rPr>
            <w:instrText xml:space="preserve"> PAGEREF _Toc13147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14"/>
            <w:keepNext w:val="0"/>
            <w:keepLines w:val="0"/>
            <w:pageBreakBefore w:val="0"/>
            <w:widowControl w:val="0"/>
            <w:shd w:val="clear"/>
            <w:tabs>
              <w:tab w:val="right" w:leader="dot" w:pos="8845"/>
              <w:tab w:val="clear" w:pos="8296"/>
            </w:tabs>
            <w:kinsoku/>
            <w:wordWrap/>
            <w:overflowPunct/>
            <w:topLinePunct w:val="0"/>
            <w:autoSpaceDE/>
            <w:autoSpaceDN/>
            <w:bidi w:val="0"/>
            <w:adjustRightInd/>
            <w:snapToGrid/>
            <w:spacing w:line="340" w:lineRule="exact"/>
            <w:textAlignment w:val="auto"/>
            <w:rPr>
              <w:color w:val="auto"/>
              <w:highlight w:val="none"/>
            </w:rPr>
          </w:pPr>
          <w:r>
            <w:rPr>
              <w:color w:val="auto"/>
              <w:highlight w:val="none"/>
            </w:rPr>
            <w:fldChar w:fldCharType="begin"/>
          </w:r>
          <w:r>
            <w:rPr>
              <w:color w:val="auto"/>
              <w:highlight w:val="none"/>
            </w:rPr>
            <w:instrText xml:space="preserve"> HYPERLINK \l _Toc1593 </w:instrText>
          </w:r>
          <w:r>
            <w:rPr>
              <w:color w:val="auto"/>
              <w:highlight w:val="none"/>
            </w:rPr>
            <w:fldChar w:fldCharType="separate"/>
          </w:r>
          <w:r>
            <w:rPr>
              <w:rFonts w:hint="eastAsia" w:ascii="黑体" w:hAnsi="黑体" w:eastAsia="黑体"/>
              <w:color w:val="auto"/>
              <w:szCs w:val="32"/>
              <w:highlight w:val="none"/>
            </w:rPr>
            <w:t>五、一</w:t>
          </w:r>
          <w:r>
            <w:rPr>
              <w:rFonts w:hint="eastAsia" w:ascii="黑体" w:hAnsi="黑体" w:eastAsia="黑体"/>
              <w:color w:val="auto"/>
              <w:highlight w:val="none"/>
            </w:rPr>
            <w:t>般公共预算财政拨款支出决算情况说明</w:t>
          </w:r>
          <w:r>
            <w:rPr>
              <w:color w:val="auto"/>
              <w:highlight w:val="none"/>
            </w:rPr>
            <w:tab/>
          </w:r>
          <w:r>
            <w:rPr>
              <w:color w:val="auto"/>
              <w:highlight w:val="none"/>
            </w:rPr>
            <w:fldChar w:fldCharType="begin"/>
          </w:r>
          <w:r>
            <w:rPr>
              <w:color w:val="auto"/>
              <w:highlight w:val="none"/>
            </w:rPr>
            <w:instrText xml:space="preserve"> PAGEREF _Toc1593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14"/>
            <w:keepNext w:val="0"/>
            <w:keepLines w:val="0"/>
            <w:pageBreakBefore w:val="0"/>
            <w:widowControl w:val="0"/>
            <w:shd w:val="clear"/>
            <w:tabs>
              <w:tab w:val="right" w:leader="dot" w:pos="8845"/>
              <w:tab w:val="clear" w:pos="8296"/>
            </w:tabs>
            <w:kinsoku/>
            <w:wordWrap/>
            <w:overflowPunct/>
            <w:topLinePunct w:val="0"/>
            <w:autoSpaceDE/>
            <w:autoSpaceDN/>
            <w:bidi w:val="0"/>
            <w:adjustRightInd/>
            <w:snapToGrid/>
            <w:spacing w:line="340" w:lineRule="exact"/>
            <w:textAlignment w:val="auto"/>
            <w:rPr>
              <w:color w:val="auto"/>
              <w:highlight w:val="none"/>
            </w:rPr>
          </w:pPr>
          <w:r>
            <w:rPr>
              <w:color w:val="auto"/>
              <w:highlight w:val="none"/>
            </w:rPr>
            <w:fldChar w:fldCharType="begin"/>
          </w:r>
          <w:r>
            <w:rPr>
              <w:color w:val="auto"/>
              <w:highlight w:val="none"/>
            </w:rPr>
            <w:instrText xml:space="preserve"> HYPERLINK \l _Toc13736 </w:instrText>
          </w:r>
          <w:r>
            <w:rPr>
              <w:color w:val="auto"/>
              <w:highlight w:val="none"/>
            </w:rPr>
            <w:fldChar w:fldCharType="separate"/>
          </w:r>
          <w:r>
            <w:rPr>
              <w:rFonts w:hint="eastAsia" w:ascii="黑体" w:eastAsia="黑体"/>
              <w:color w:val="auto"/>
              <w:szCs w:val="32"/>
              <w:highlight w:val="none"/>
            </w:rPr>
            <w:t>六、</w:t>
          </w:r>
          <w:r>
            <w:rPr>
              <w:rFonts w:hint="eastAsia" w:ascii="黑体" w:hAnsi="黑体" w:eastAsia="黑体"/>
              <w:color w:val="auto"/>
              <w:szCs w:val="32"/>
              <w:highlight w:val="none"/>
            </w:rPr>
            <w:t>一</w:t>
          </w:r>
          <w:r>
            <w:rPr>
              <w:rFonts w:hint="eastAsia" w:ascii="黑体" w:hAnsi="黑体" w:eastAsia="黑体"/>
              <w:color w:val="auto"/>
              <w:highlight w:val="none"/>
            </w:rPr>
            <w:t>般公共预算财政拨款基本支出决算情况说明</w:t>
          </w:r>
          <w:r>
            <w:rPr>
              <w:color w:val="auto"/>
              <w:highlight w:val="none"/>
            </w:rPr>
            <w:tab/>
          </w:r>
          <w:r>
            <w:rPr>
              <w:color w:val="auto"/>
              <w:highlight w:val="none"/>
            </w:rPr>
            <w:fldChar w:fldCharType="begin"/>
          </w:r>
          <w:r>
            <w:rPr>
              <w:color w:val="auto"/>
              <w:highlight w:val="none"/>
            </w:rPr>
            <w:instrText xml:space="preserve"> PAGEREF _Toc13736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pPr>
            <w:pStyle w:val="14"/>
            <w:keepNext w:val="0"/>
            <w:keepLines w:val="0"/>
            <w:pageBreakBefore w:val="0"/>
            <w:widowControl w:val="0"/>
            <w:shd w:val="clear"/>
            <w:tabs>
              <w:tab w:val="right" w:leader="dot" w:pos="8845"/>
              <w:tab w:val="clear" w:pos="8296"/>
            </w:tabs>
            <w:kinsoku/>
            <w:wordWrap/>
            <w:overflowPunct/>
            <w:topLinePunct w:val="0"/>
            <w:autoSpaceDE/>
            <w:autoSpaceDN/>
            <w:bidi w:val="0"/>
            <w:adjustRightInd/>
            <w:snapToGrid/>
            <w:spacing w:line="340" w:lineRule="exact"/>
            <w:textAlignment w:val="auto"/>
            <w:rPr>
              <w:color w:val="auto"/>
              <w:highlight w:val="none"/>
            </w:rPr>
          </w:pPr>
          <w:r>
            <w:rPr>
              <w:color w:val="auto"/>
              <w:highlight w:val="none"/>
            </w:rPr>
            <w:fldChar w:fldCharType="begin"/>
          </w:r>
          <w:r>
            <w:rPr>
              <w:color w:val="auto"/>
              <w:highlight w:val="none"/>
            </w:rPr>
            <w:instrText xml:space="preserve"> HYPERLINK \l _Toc16719 </w:instrText>
          </w:r>
          <w:r>
            <w:rPr>
              <w:color w:val="auto"/>
              <w:highlight w:val="none"/>
            </w:rPr>
            <w:fldChar w:fldCharType="separate"/>
          </w:r>
          <w:r>
            <w:rPr>
              <w:rFonts w:hint="eastAsia" w:ascii="黑体" w:eastAsia="黑体"/>
              <w:color w:val="auto"/>
              <w:szCs w:val="32"/>
              <w:highlight w:val="none"/>
            </w:rPr>
            <w:t>七、</w:t>
          </w:r>
          <w:r>
            <w:rPr>
              <w:rFonts w:hint="eastAsia" w:ascii="黑体" w:hAnsi="黑体" w:eastAsia="黑体"/>
              <w:color w:val="auto"/>
              <w:highlight w:val="none"/>
            </w:rPr>
            <w:t>财政拨款“三公”经费支出决算情况说明</w:t>
          </w:r>
          <w:r>
            <w:rPr>
              <w:color w:val="auto"/>
              <w:highlight w:val="none"/>
            </w:rPr>
            <w:tab/>
          </w:r>
          <w:r>
            <w:rPr>
              <w:color w:val="auto"/>
              <w:highlight w:val="none"/>
            </w:rPr>
            <w:fldChar w:fldCharType="begin"/>
          </w:r>
          <w:r>
            <w:rPr>
              <w:color w:val="auto"/>
              <w:highlight w:val="none"/>
            </w:rPr>
            <w:instrText xml:space="preserve"> PAGEREF _Toc16719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pPr>
            <w:pStyle w:val="14"/>
            <w:keepNext w:val="0"/>
            <w:keepLines w:val="0"/>
            <w:pageBreakBefore w:val="0"/>
            <w:widowControl w:val="0"/>
            <w:shd w:val="clear"/>
            <w:tabs>
              <w:tab w:val="right" w:leader="dot" w:pos="8845"/>
              <w:tab w:val="clear" w:pos="8296"/>
            </w:tabs>
            <w:kinsoku/>
            <w:wordWrap/>
            <w:overflowPunct/>
            <w:topLinePunct w:val="0"/>
            <w:autoSpaceDE/>
            <w:autoSpaceDN/>
            <w:bidi w:val="0"/>
            <w:adjustRightInd/>
            <w:snapToGrid/>
            <w:spacing w:line="340" w:lineRule="exact"/>
            <w:textAlignment w:val="auto"/>
            <w:rPr>
              <w:color w:val="auto"/>
              <w:highlight w:val="none"/>
            </w:rPr>
          </w:pPr>
          <w:r>
            <w:rPr>
              <w:color w:val="auto"/>
              <w:highlight w:val="none"/>
            </w:rPr>
            <w:fldChar w:fldCharType="begin"/>
          </w:r>
          <w:r>
            <w:rPr>
              <w:color w:val="auto"/>
              <w:highlight w:val="none"/>
            </w:rPr>
            <w:instrText xml:space="preserve"> HYPERLINK \l _Toc6071 </w:instrText>
          </w:r>
          <w:r>
            <w:rPr>
              <w:color w:val="auto"/>
              <w:highlight w:val="none"/>
            </w:rPr>
            <w:fldChar w:fldCharType="separate"/>
          </w:r>
          <w:r>
            <w:rPr>
              <w:rFonts w:hint="eastAsia" w:ascii="黑体" w:eastAsia="黑体"/>
              <w:color w:val="auto"/>
              <w:szCs w:val="32"/>
              <w:highlight w:val="none"/>
            </w:rPr>
            <w:t>八、</w:t>
          </w:r>
          <w:r>
            <w:rPr>
              <w:rFonts w:hint="eastAsia" w:ascii="黑体" w:hAnsi="黑体" w:eastAsia="黑体"/>
              <w:color w:val="auto"/>
              <w:highlight w:val="none"/>
            </w:rPr>
            <w:t>政府性基金预算支出决算情况说明</w:t>
          </w:r>
          <w:r>
            <w:rPr>
              <w:color w:val="auto"/>
              <w:highlight w:val="none"/>
            </w:rPr>
            <w:tab/>
          </w:r>
          <w:r>
            <w:rPr>
              <w:color w:val="auto"/>
              <w:highlight w:val="none"/>
            </w:rPr>
            <w:fldChar w:fldCharType="begin"/>
          </w:r>
          <w:r>
            <w:rPr>
              <w:color w:val="auto"/>
              <w:highlight w:val="none"/>
            </w:rPr>
            <w:instrText xml:space="preserve"> PAGEREF _Toc6071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pPr>
            <w:pStyle w:val="14"/>
            <w:keepNext w:val="0"/>
            <w:keepLines w:val="0"/>
            <w:pageBreakBefore w:val="0"/>
            <w:widowControl w:val="0"/>
            <w:shd w:val="clear"/>
            <w:tabs>
              <w:tab w:val="right" w:leader="dot" w:pos="8845"/>
              <w:tab w:val="clear" w:pos="8296"/>
            </w:tabs>
            <w:kinsoku/>
            <w:wordWrap/>
            <w:overflowPunct/>
            <w:topLinePunct w:val="0"/>
            <w:autoSpaceDE/>
            <w:autoSpaceDN/>
            <w:bidi w:val="0"/>
            <w:adjustRightInd/>
            <w:snapToGrid/>
            <w:spacing w:line="340" w:lineRule="exact"/>
            <w:textAlignment w:val="auto"/>
            <w:rPr>
              <w:color w:val="auto"/>
              <w:highlight w:val="none"/>
            </w:rPr>
          </w:pPr>
          <w:r>
            <w:rPr>
              <w:color w:val="auto"/>
              <w:highlight w:val="none"/>
            </w:rPr>
            <w:fldChar w:fldCharType="begin"/>
          </w:r>
          <w:r>
            <w:rPr>
              <w:color w:val="auto"/>
              <w:highlight w:val="none"/>
            </w:rPr>
            <w:instrText xml:space="preserve"> HYPERLINK \l _Toc17624 </w:instrText>
          </w:r>
          <w:r>
            <w:rPr>
              <w:color w:val="auto"/>
              <w:highlight w:val="none"/>
            </w:rPr>
            <w:fldChar w:fldCharType="separate"/>
          </w:r>
          <w:r>
            <w:rPr>
              <w:rFonts w:hint="eastAsia" w:ascii="黑体" w:hAnsi="黑体" w:eastAsia="黑体"/>
              <w:color w:val="auto"/>
              <w:highlight w:val="none"/>
            </w:rPr>
            <w:t xml:space="preserve">九、 </w:t>
          </w:r>
          <w:r>
            <w:rPr>
              <w:rFonts w:hint="eastAsia" w:ascii="黑体" w:hAnsi="黑体" w:eastAsia="黑体"/>
              <w:color w:val="auto"/>
              <w:highlight w:val="none"/>
            </w:rPr>
            <w:t>国有资本经营预算支出决算情况说明</w:t>
          </w:r>
          <w:r>
            <w:rPr>
              <w:color w:val="auto"/>
              <w:highlight w:val="none"/>
            </w:rPr>
            <w:tab/>
          </w:r>
          <w:r>
            <w:rPr>
              <w:color w:val="auto"/>
              <w:highlight w:val="none"/>
            </w:rPr>
            <w:fldChar w:fldCharType="begin"/>
          </w:r>
          <w:r>
            <w:rPr>
              <w:color w:val="auto"/>
              <w:highlight w:val="none"/>
            </w:rPr>
            <w:instrText xml:space="preserve"> PAGEREF _Toc17624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pPr>
            <w:pStyle w:val="14"/>
            <w:keepNext w:val="0"/>
            <w:keepLines w:val="0"/>
            <w:pageBreakBefore w:val="0"/>
            <w:widowControl w:val="0"/>
            <w:shd w:val="clear"/>
            <w:tabs>
              <w:tab w:val="right" w:leader="dot" w:pos="8845"/>
              <w:tab w:val="clear" w:pos="8296"/>
            </w:tabs>
            <w:kinsoku/>
            <w:wordWrap/>
            <w:overflowPunct/>
            <w:topLinePunct w:val="0"/>
            <w:autoSpaceDE/>
            <w:autoSpaceDN/>
            <w:bidi w:val="0"/>
            <w:adjustRightInd/>
            <w:snapToGrid/>
            <w:spacing w:line="340" w:lineRule="exact"/>
            <w:textAlignment w:val="auto"/>
            <w:rPr>
              <w:color w:val="auto"/>
              <w:highlight w:val="none"/>
            </w:rPr>
          </w:pPr>
          <w:r>
            <w:rPr>
              <w:color w:val="auto"/>
              <w:highlight w:val="none"/>
            </w:rPr>
            <w:fldChar w:fldCharType="begin"/>
          </w:r>
          <w:r>
            <w:rPr>
              <w:color w:val="auto"/>
              <w:highlight w:val="none"/>
            </w:rPr>
            <w:instrText xml:space="preserve"> HYPERLINK \l _Toc5908 </w:instrText>
          </w:r>
          <w:r>
            <w:rPr>
              <w:color w:val="auto"/>
              <w:highlight w:val="none"/>
            </w:rPr>
            <w:fldChar w:fldCharType="separate"/>
          </w:r>
          <w:r>
            <w:rPr>
              <w:rFonts w:hint="eastAsia" w:ascii="黑体" w:hAnsi="黑体" w:eastAsia="黑体"/>
              <w:color w:val="auto"/>
              <w:highlight w:val="none"/>
            </w:rPr>
            <w:t xml:space="preserve">十、 </w:t>
          </w:r>
          <w:r>
            <w:rPr>
              <w:rFonts w:hint="eastAsia" w:ascii="黑体" w:hAnsi="黑体" w:eastAsia="黑体"/>
              <w:color w:val="auto"/>
              <w:highlight w:val="none"/>
            </w:rPr>
            <w:t>其他重要事项的情况说明</w:t>
          </w:r>
          <w:r>
            <w:rPr>
              <w:color w:val="auto"/>
              <w:highlight w:val="none"/>
            </w:rPr>
            <w:tab/>
          </w:r>
          <w:r>
            <w:rPr>
              <w:color w:val="auto"/>
              <w:highlight w:val="none"/>
            </w:rPr>
            <w:fldChar w:fldCharType="begin"/>
          </w:r>
          <w:r>
            <w:rPr>
              <w:color w:val="auto"/>
              <w:highlight w:val="none"/>
            </w:rPr>
            <w:instrText xml:space="preserve"> PAGEREF _Toc5908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pPr>
            <w:pStyle w:val="12"/>
            <w:keepNext w:val="0"/>
            <w:keepLines w:val="0"/>
            <w:pageBreakBefore w:val="0"/>
            <w:widowControl w:val="0"/>
            <w:shd w:val="clear"/>
            <w:tabs>
              <w:tab w:val="right" w:leader="dot" w:pos="8845"/>
              <w:tab w:val="clear" w:pos="8296"/>
            </w:tabs>
            <w:kinsoku/>
            <w:wordWrap/>
            <w:overflowPunct/>
            <w:topLinePunct w:val="0"/>
            <w:autoSpaceDE/>
            <w:autoSpaceDN/>
            <w:bidi w:val="0"/>
            <w:adjustRightInd/>
            <w:snapToGrid/>
            <w:spacing w:line="340" w:lineRule="exact"/>
            <w:textAlignment w:val="auto"/>
            <w:rPr>
              <w:color w:val="auto"/>
              <w:highlight w:val="none"/>
            </w:rPr>
          </w:pPr>
          <w:r>
            <w:rPr>
              <w:color w:val="auto"/>
              <w:highlight w:val="none"/>
            </w:rPr>
            <w:fldChar w:fldCharType="begin"/>
          </w:r>
          <w:r>
            <w:rPr>
              <w:color w:val="auto"/>
              <w:highlight w:val="none"/>
            </w:rPr>
            <w:instrText xml:space="preserve"> HYPERLINK \l _Toc4978 </w:instrText>
          </w:r>
          <w:r>
            <w:rPr>
              <w:color w:val="auto"/>
              <w:highlight w:val="none"/>
            </w:rPr>
            <w:fldChar w:fldCharType="separate"/>
          </w:r>
          <w:r>
            <w:rPr>
              <w:rFonts w:hint="eastAsia" w:ascii="方正小标宋_GBK" w:hAnsi="方正小标宋_GBK" w:eastAsia="方正小标宋_GBK" w:cs="方正小标宋_GBK"/>
              <w:color w:val="auto"/>
              <w:highlight w:val="none"/>
            </w:rPr>
            <w:t xml:space="preserve">第三部分 </w:t>
          </w:r>
          <w:r>
            <w:rPr>
              <w:rFonts w:hint="eastAsia" w:ascii="方正小标宋_GBK" w:hAnsi="方正小标宋_GBK" w:eastAsia="方正小标宋_GBK" w:cs="方正小标宋_GBK"/>
              <w:color w:val="auto"/>
              <w:szCs w:val="44"/>
              <w:highlight w:val="none"/>
            </w:rPr>
            <w:t>名</w:t>
          </w:r>
          <w:r>
            <w:rPr>
              <w:rFonts w:hint="eastAsia" w:ascii="方正小标宋_GBK" w:hAnsi="方正小标宋_GBK" w:eastAsia="方正小标宋_GBK" w:cs="方正小标宋_GBK"/>
              <w:color w:val="auto"/>
              <w:highlight w:val="none"/>
            </w:rPr>
            <w:t>词解释</w:t>
          </w:r>
          <w:r>
            <w:rPr>
              <w:color w:val="auto"/>
              <w:highlight w:val="none"/>
            </w:rPr>
            <w:tab/>
          </w:r>
          <w:r>
            <w:rPr>
              <w:color w:val="auto"/>
              <w:highlight w:val="none"/>
            </w:rPr>
            <w:fldChar w:fldCharType="begin"/>
          </w:r>
          <w:r>
            <w:rPr>
              <w:color w:val="auto"/>
              <w:highlight w:val="none"/>
            </w:rPr>
            <w:instrText xml:space="preserve"> PAGEREF _Toc4978 \h </w:instrText>
          </w:r>
          <w:r>
            <w:rPr>
              <w:color w:val="auto"/>
              <w:highlight w:val="none"/>
            </w:rPr>
            <w:fldChar w:fldCharType="separate"/>
          </w:r>
          <w:r>
            <w:rPr>
              <w:color w:val="auto"/>
              <w:highlight w:val="none"/>
            </w:rPr>
            <w:t>11</w:t>
          </w:r>
          <w:r>
            <w:rPr>
              <w:color w:val="auto"/>
              <w:highlight w:val="none"/>
            </w:rPr>
            <w:fldChar w:fldCharType="end"/>
          </w:r>
          <w:r>
            <w:rPr>
              <w:color w:val="auto"/>
              <w:highlight w:val="none"/>
            </w:rPr>
            <w:fldChar w:fldCharType="end"/>
          </w:r>
        </w:p>
        <w:p>
          <w:pPr>
            <w:pStyle w:val="12"/>
            <w:keepNext w:val="0"/>
            <w:keepLines w:val="0"/>
            <w:pageBreakBefore w:val="0"/>
            <w:widowControl w:val="0"/>
            <w:shd w:val="clear"/>
            <w:tabs>
              <w:tab w:val="right" w:leader="dot" w:pos="8845"/>
              <w:tab w:val="clear" w:pos="8296"/>
            </w:tabs>
            <w:kinsoku/>
            <w:wordWrap/>
            <w:overflowPunct/>
            <w:topLinePunct w:val="0"/>
            <w:autoSpaceDE/>
            <w:autoSpaceDN/>
            <w:bidi w:val="0"/>
            <w:adjustRightInd/>
            <w:snapToGrid/>
            <w:spacing w:line="340" w:lineRule="exact"/>
            <w:textAlignment w:val="auto"/>
            <w:rPr>
              <w:color w:val="auto"/>
              <w:highlight w:val="none"/>
            </w:rPr>
          </w:pPr>
          <w:r>
            <w:rPr>
              <w:color w:val="auto"/>
              <w:highlight w:val="none"/>
            </w:rPr>
            <w:fldChar w:fldCharType="begin"/>
          </w:r>
          <w:r>
            <w:rPr>
              <w:color w:val="auto"/>
              <w:highlight w:val="none"/>
            </w:rPr>
            <w:instrText xml:space="preserve"> HYPERLINK \l _Toc31288 </w:instrText>
          </w:r>
          <w:r>
            <w:rPr>
              <w:color w:val="auto"/>
              <w:highlight w:val="none"/>
            </w:rPr>
            <w:fldChar w:fldCharType="separate"/>
          </w:r>
          <w:r>
            <w:rPr>
              <w:rFonts w:hint="eastAsia" w:ascii="黑体" w:hAnsi="黑体" w:eastAsia="黑体"/>
              <w:color w:val="auto"/>
              <w:szCs w:val="44"/>
              <w:highlight w:val="none"/>
            </w:rPr>
            <w:t>第</w:t>
          </w:r>
          <w:r>
            <w:rPr>
              <w:rFonts w:hint="eastAsia" w:ascii="黑体" w:hAnsi="黑体" w:eastAsia="黑体"/>
              <w:color w:val="auto"/>
              <w:highlight w:val="none"/>
            </w:rPr>
            <w:t>四部分 附件</w:t>
          </w:r>
          <w:r>
            <w:rPr>
              <w:color w:val="auto"/>
              <w:highlight w:val="none"/>
            </w:rPr>
            <w:tab/>
          </w:r>
          <w:r>
            <w:rPr>
              <w:color w:val="auto"/>
              <w:highlight w:val="none"/>
            </w:rPr>
            <w:fldChar w:fldCharType="begin"/>
          </w:r>
          <w:r>
            <w:rPr>
              <w:color w:val="auto"/>
              <w:highlight w:val="none"/>
            </w:rPr>
            <w:instrText xml:space="preserve"> PAGEREF _Toc31288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pPr>
            <w:pStyle w:val="12"/>
            <w:keepNext w:val="0"/>
            <w:keepLines w:val="0"/>
            <w:pageBreakBefore w:val="0"/>
            <w:widowControl w:val="0"/>
            <w:shd w:val="clear"/>
            <w:tabs>
              <w:tab w:val="right" w:leader="dot" w:pos="8845"/>
              <w:tab w:val="clear" w:pos="8296"/>
            </w:tabs>
            <w:kinsoku/>
            <w:wordWrap/>
            <w:overflowPunct/>
            <w:topLinePunct w:val="0"/>
            <w:autoSpaceDE/>
            <w:autoSpaceDN/>
            <w:bidi w:val="0"/>
            <w:adjustRightInd/>
            <w:snapToGrid/>
            <w:spacing w:line="340" w:lineRule="exact"/>
            <w:textAlignment w:val="auto"/>
            <w:rPr>
              <w:color w:val="auto"/>
              <w:highlight w:val="none"/>
            </w:rPr>
          </w:pPr>
          <w:r>
            <w:rPr>
              <w:color w:val="auto"/>
              <w:highlight w:val="none"/>
            </w:rPr>
            <w:fldChar w:fldCharType="begin"/>
          </w:r>
          <w:r>
            <w:rPr>
              <w:color w:val="auto"/>
              <w:highlight w:val="none"/>
            </w:rPr>
            <w:instrText xml:space="preserve"> HYPERLINK \l _Toc25966 </w:instrText>
          </w:r>
          <w:r>
            <w:rPr>
              <w:color w:val="auto"/>
              <w:highlight w:val="none"/>
            </w:rPr>
            <w:fldChar w:fldCharType="separate"/>
          </w:r>
          <w:r>
            <w:rPr>
              <w:rFonts w:hint="eastAsia" w:ascii="方正小标宋_GBK" w:hAnsi="方正小标宋_GBK" w:eastAsia="方正小标宋_GBK" w:cs="方正小标宋_GBK"/>
              <w:color w:val="auto"/>
              <w:szCs w:val="44"/>
              <w:highlight w:val="none"/>
              <w:lang w:eastAsia="zh-CN"/>
            </w:rPr>
            <w:t>第五部分</w:t>
          </w:r>
          <w:r>
            <w:rPr>
              <w:rFonts w:hint="eastAsia" w:ascii="方正小标宋_GBK" w:hAnsi="方正小标宋_GBK" w:eastAsia="方正小标宋_GBK" w:cs="方正小标宋_GBK"/>
              <w:color w:val="auto"/>
              <w:szCs w:val="44"/>
              <w:highlight w:val="none"/>
              <w:lang w:val="en-US" w:eastAsia="zh-CN"/>
            </w:rPr>
            <w:t xml:space="preserve"> </w:t>
          </w:r>
          <w:r>
            <w:rPr>
              <w:rFonts w:hint="eastAsia" w:ascii="方正小标宋_GBK" w:hAnsi="方正小标宋_GBK" w:eastAsia="方正小标宋_GBK" w:cs="方正小标宋_GBK"/>
              <w:color w:val="auto"/>
              <w:szCs w:val="44"/>
              <w:highlight w:val="none"/>
            </w:rPr>
            <w:t>附表</w:t>
          </w:r>
          <w:r>
            <w:rPr>
              <w:color w:val="auto"/>
              <w:highlight w:val="none"/>
            </w:rPr>
            <w:tab/>
          </w:r>
          <w:r>
            <w:rPr>
              <w:color w:val="auto"/>
              <w:highlight w:val="none"/>
            </w:rPr>
            <w:fldChar w:fldCharType="begin"/>
          </w:r>
          <w:r>
            <w:rPr>
              <w:color w:val="auto"/>
              <w:highlight w:val="none"/>
            </w:rPr>
            <w:instrText xml:space="preserve"> PAGEREF _Toc25966 \h </w:instrText>
          </w:r>
          <w:r>
            <w:rPr>
              <w:color w:val="auto"/>
              <w:highlight w:val="none"/>
            </w:rPr>
            <w:fldChar w:fldCharType="separate"/>
          </w:r>
          <w:r>
            <w:rPr>
              <w:color w:val="auto"/>
              <w:highlight w:val="none"/>
            </w:rPr>
            <w:t>88</w:t>
          </w:r>
          <w:r>
            <w:rPr>
              <w:color w:val="auto"/>
              <w:highlight w:val="none"/>
            </w:rPr>
            <w:fldChar w:fldCharType="end"/>
          </w:r>
          <w:r>
            <w:rPr>
              <w:color w:val="auto"/>
              <w:highlight w:val="none"/>
            </w:rPr>
            <w:fldChar w:fldCharType="end"/>
          </w:r>
        </w:p>
        <w:p>
          <w:pPr>
            <w:pStyle w:val="14"/>
            <w:keepNext w:val="0"/>
            <w:keepLines w:val="0"/>
            <w:pageBreakBefore w:val="0"/>
            <w:widowControl w:val="0"/>
            <w:shd w:val="clear"/>
            <w:tabs>
              <w:tab w:val="right" w:leader="dot" w:pos="8845"/>
              <w:tab w:val="clear" w:pos="8296"/>
            </w:tabs>
            <w:kinsoku/>
            <w:wordWrap/>
            <w:overflowPunct/>
            <w:topLinePunct w:val="0"/>
            <w:autoSpaceDE/>
            <w:autoSpaceDN/>
            <w:bidi w:val="0"/>
            <w:adjustRightInd/>
            <w:snapToGrid/>
            <w:spacing w:line="340" w:lineRule="exact"/>
            <w:textAlignment w:val="auto"/>
            <w:rPr>
              <w:color w:val="auto"/>
              <w:highlight w:val="none"/>
            </w:rPr>
          </w:pPr>
          <w:r>
            <w:rPr>
              <w:color w:val="auto"/>
              <w:highlight w:val="none"/>
            </w:rPr>
            <w:fldChar w:fldCharType="begin"/>
          </w:r>
          <w:r>
            <w:rPr>
              <w:color w:val="auto"/>
              <w:highlight w:val="none"/>
            </w:rPr>
            <w:instrText xml:space="preserve"> HYPERLINK \l _Toc3935 </w:instrText>
          </w:r>
          <w:r>
            <w:rPr>
              <w:color w:val="auto"/>
              <w:highlight w:val="none"/>
            </w:rPr>
            <w:fldChar w:fldCharType="separate"/>
          </w:r>
          <w:r>
            <w:rPr>
              <w:rFonts w:hint="eastAsia"/>
              <w:color w:val="auto"/>
              <w:highlight w:val="none"/>
            </w:rPr>
            <w:t>一、收入支出决算总表</w:t>
          </w:r>
          <w:r>
            <w:rPr>
              <w:color w:val="auto"/>
              <w:highlight w:val="none"/>
            </w:rPr>
            <w:tab/>
          </w:r>
          <w:r>
            <w:rPr>
              <w:color w:val="auto"/>
              <w:highlight w:val="none"/>
            </w:rPr>
            <w:fldChar w:fldCharType="begin"/>
          </w:r>
          <w:r>
            <w:rPr>
              <w:color w:val="auto"/>
              <w:highlight w:val="none"/>
            </w:rPr>
            <w:instrText xml:space="preserve"> PAGEREF _Toc3935 \h </w:instrText>
          </w:r>
          <w:r>
            <w:rPr>
              <w:color w:val="auto"/>
              <w:highlight w:val="none"/>
            </w:rPr>
            <w:fldChar w:fldCharType="separate"/>
          </w:r>
          <w:r>
            <w:rPr>
              <w:color w:val="auto"/>
              <w:highlight w:val="none"/>
            </w:rPr>
            <w:t>88</w:t>
          </w:r>
          <w:r>
            <w:rPr>
              <w:color w:val="auto"/>
              <w:highlight w:val="none"/>
            </w:rPr>
            <w:fldChar w:fldCharType="end"/>
          </w:r>
          <w:r>
            <w:rPr>
              <w:color w:val="auto"/>
              <w:highlight w:val="none"/>
            </w:rPr>
            <w:fldChar w:fldCharType="end"/>
          </w:r>
        </w:p>
        <w:p>
          <w:pPr>
            <w:pStyle w:val="14"/>
            <w:keepNext w:val="0"/>
            <w:keepLines w:val="0"/>
            <w:pageBreakBefore w:val="0"/>
            <w:widowControl w:val="0"/>
            <w:shd w:val="clear"/>
            <w:tabs>
              <w:tab w:val="right" w:leader="dot" w:pos="8845"/>
              <w:tab w:val="clear" w:pos="8296"/>
            </w:tabs>
            <w:kinsoku/>
            <w:wordWrap/>
            <w:overflowPunct/>
            <w:topLinePunct w:val="0"/>
            <w:autoSpaceDE/>
            <w:autoSpaceDN/>
            <w:bidi w:val="0"/>
            <w:adjustRightInd/>
            <w:snapToGrid/>
            <w:spacing w:line="340" w:lineRule="exact"/>
            <w:textAlignment w:val="auto"/>
            <w:rPr>
              <w:color w:val="auto"/>
              <w:highlight w:val="none"/>
            </w:rPr>
          </w:pPr>
          <w:r>
            <w:rPr>
              <w:color w:val="auto"/>
              <w:highlight w:val="none"/>
            </w:rPr>
            <w:fldChar w:fldCharType="begin"/>
          </w:r>
          <w:r>
            <w:rPr>
              <w:color w:val="auto"/>
              <w:highlight w:val="none"/>
            </w:rPr>
            <w:instrText xml:space="preserve"> HYPERLINK \l _Toc6190 </w:instrText>
          </w:r>
          <w:r>
            <w:rPr>
              <w:color w:val="auto"/>
              <w:highlight w:val="none"/>
            </w:rPr>
            <w:fldChar w:fldCharType="separate"/>
          </w:r>
          <w:r>
            <w:rPr>
              <w:rFonts w:hint="eastAsia"/>
              <w:color w:val="auto"/>
              <w:highlight w:val="none"/>
            </w:rPr>
            <w:t>二、收入决算表</w:t>
          </w:r>
          <w:r>
            <w:rPr>
              <w:color w:val="auto"/>
              <w:highlight w:val="none"/>
            </w:rPr>
            <w:tab/>
          </w:r>
          <w:r>
            <w:rPr>
              <w:color w:val="auto"/>
              <w:highlight w:val="none"/>
            </w:rPr>
            <w:fldChar w:fldCharType="begin"/>
          </w:r>
          <w:r>
            <w:rPr>
              <w:color w:val="auto"/>
              <w:highlight w:val="none"/>
            </w:rPr>
            <w:instrText xml:space="preserve"> PAGEREF _Toc6190 \h </w:instrText>
          </w:r>
          <w:r>
            <w:rPr>
              <w:color w:val="auto"/>
              <w:highlight w:val="none"/>
            </w:rPr>
            <w:fldChar w:fldCharType="separate"/>
          </w:r>
          <w:r>
            <w:rPr>
              <w:color w:val="auto"/>
              <w:highlight w:val="none"/>
            </w:rPr>
            <w:t>88</w:t>
          </w:r>
          <w:r>
            <w:rPr>
              <w:color w:val="auto"/>
              <w:highlight w:val="none"/>
            </w:rPr>
            <w:fldChar w:fldCharType="end"/>
          </w:r>
          <w:r>
            <w:rPr>
              <w:color w:val="auto"/>
              <w:highlight w:val="none"/>
            </w:rPr>
            <w:fldChar w:fldCharType="end"/>
          </w:r>
        </w:p>
        <w:p>
          <w:pPr>
            <w:pStyle w:val="14"/>
            <w:keepNext w:val="0"/>
            <w:keepLines w:val="0"/>
            <w:pageBreakBefore w:val="0"/>
            <w:widowControl w:val="0"/>
            <w:shd w:val="clear"/>
            <w:tabs>
              <w:tab w:val="right" w:leader="dot" w:pos="8845"/>
              <w:tab w:val="clear" w:pos="8296"/>
            </w:tabs>
            <w:kinsoku/>
            <w:wordWrap/>
            <w:overflowPunct/>
            <w:topLinePunct w:val="0"/>
            <w:autoSpaceDE/>
            <w:autoSpaceDN/>
            <w:bidi w:val="0"/>
            <w:adjustRightInd/>
            <w:snapToGrid/>
            <w:spacing w:line="340" w:lineRule="exact"/>
            <w:textAlignment w:val="auto"/>
            <w:rPr>
              <w:color w:val="auto"/>
              <w:highlight w:val="none"/>
            </w:rPr>
          </w:pPr>
          <w:r>
            <w:rPr>
              <w:color w:val="auto"/>
              <w:highlight w:val="none"/>
            </w:rPr>
            <w:fldChar w:fldCharType="begin"/>
          </w:r>
          <w:r>
            <w:rPr>
              <w:color w:val="auto"/>
              <w:highlight w:val="none"/>
            </w:rPr>
            <w:instrText xml:space="preserve"> HYPERLINK \l _Toc15114 </w:instrText>
          </w:r>
          <w:r>
            <w:rPr>
              <w:color w:val="auto"/>
              <w:highlight w:val="none"/>
            </w:rPr>
            <w:fldChar w:fldCharType="separate"/>
          </w:r>
          <w:r>
            <w:rPr>
              <w:rFonts w:hint="eastAsia"/>
              <w:color w:val="auto"/>
              <w:highlight w:val="none"/>
            </w:rPr>
            <w:t>三、支出决算表</w:t>
          </w:r>
          <w:r>
            <w:rPr>
              <w:color w:val="auto"/>
              <w:highlight w:val="none"/>
            </w:rPr>
            <w:tab/>
          </w:r>
          <w:r>
            <w:rPr>
              <w:color w:val="auto"/>
              <w:highlight w:val="none"/>
            </w:rPr>
            <w:fldChar w:fldCharType="begin"/>
          </w:r>
          <w:r>
            <w:rPr>
              <w:color w:val="auto"/>
              <w:highlight w:val="none"/>
            </w:rPr>
            <w:instrText xml:space="preserve"> PAGEREF _Toc15114 \h </w:instrText>
          </w:r>
          <w:r>
            <w:rPr>
              <w:color w:val="auto"/>
              <w:highlight w:val="none"/>
            </w:rPr>
            <w:fldChar w:fldCharType="separate"/>
          </w:r>
          <w:r>
            <w:rPr>
              <w:color w:val="auto"/>
              <w:highlight w:val="none"/>
            </w:rPr>
            <w:t>88</w:t>
          </w:r>
          <w:r>
            <w:rPr>
              <w:color w:val="auto"/>
              <w:highlight w:val="none"/>
            </w:rPr>
            <w:fldChar w:fldCharType="end"/>
          </w:r>
          <w:r>
            <w:rPr>
              <w:color w:val="auto"/>
              <w:highlight w:val="none"/>
            </w:rPr>
            <w:fldChar w:fldCharType="end"/>
          </w:r>
        </w:p>
        <w:p>
          <w:pPr>
            <w:pStyle w:val="14"/>
            <w:keepNext w:val="0"/>
            <w:keepLines w:val="0"/>
            <w:pageBreakBefore w:val="0"/>
            <w:widowControl w:val="0"/>
            <w:shd w:val="clear"/>
            <w:tabs>
              <w:tab w:val="right" w:leader="dot" w:pos="8845"/>
              <w:tab w:val="clear" w:pos="8296"/>
            </w:tabs>
            <w:kinsoku/>
            <w:wordWrap/>
            <w:overflowPunct/>
            <w:topLinePunct w:val="0"/>
            <w:autoSpaceDE/>
            <w:autoSpaceDN/>
            <w:bidi w:val="0"/>
            <w:adjustRightInd/>
            <w:snapToGrid/>
            <w:spacing w:line="340" w:lineRule="exact"/>
            <w:textAlignment w:val="auto"/>
            <w:rPr>
              <w:color w:val="auto"/>
              <w:highlight w:val="none"/>
            </w:rPr>
          </w:pPr>
          <w:r>
            <w:rPr>
              <w:color w:val="auto"/>
              <w:highlight w:val="none"/>
            </w:rPr>
            <w:fldChar w:fldCharType="begin"/>
          </w:r>
          <w:r>
            <w:rPr>
              <w:color w:val="auto"/>
              <w:highlight w:val="none"/>
            </w:rPr>
            <w:instrText xml:space="preserve"> HYPERLINK \l _Toc26380 </w:instrText>
          </w:r>
          <w:r>
            <w:rPr>
              <w:color w:val="auto"/>
              <w:highlight w:val="none"/>
            </w:rPr>
            <w:fldChar w:fldCharType="separate"/>
          </w:r>
          <w:r>
            <w:rPr>
              <w:rFonts w:hint="eastAsia"/>
              <w:color w:val="auto"/>
              <w:highlight w:val="none"/>
            </w:rPr>
            <w:t>四、财政拨款收入支出决算总表</w:t>
          </w:r>
          <w:r>
            <w:rPr>
              <w:color w:val="auto"/>
              <w:highlight w:val="none"/>
            </w:rPr>
            <w:tab/>
          </w:r>
          <w:r>
            <w:rPr>
              <w:color w:val="auto"/>
              <w:highlight w:val="none"/>
            </w:rPr>
            <w:fldChar w:fldCharType="begin"/>
          </w:r>
          <w:r>
            <w:rPr>
              <w:color w:val="auto"/>
              <w:highlight w:val="none"/>
            </w:rPr>
            <w:instrText xml:space="preserve"> PAGEREF _Toc26380 \h </w:instrText>
          </w:r>
          <w:r>
            <w:rPr>
              <w:color w:val="auto"/>
              <w:highlight w:val="none"/>
            </w:rPr>
            <w:fldChar w:fldCharType="separate"/>
          </w:r>
          <w:r>
            <w:rPr>
              <w:color w:val="auto"/>
              <w:highlight w:val="none"/>
            </w:rPr>
            <w:t>88</w:t>
          </w:r>
          <w:r>
            <w:rPr>
              <w:color w:val="auto"/>
              <w:highlight w:val="none"/>
            </w:rPr>
            <w:fldChar w:fldCharType="end"/>
          </w:r>
          <w:r>
            <w:rPr>
              <w:color w:val="auto"/>
              <w:highlight w:val="none"/>
            </w:rPr>
            <w:fldChar w:fldCharType="end"/>
          </w:r>
        </w:p>
        <w:p>
          <w:pPr>
            <w:pStyle w:val="14"/>
            <w:keepNext w:val="0"/>
            <w:keepLines w:val="0"/>
            <w:pageBreakBefore w:val="0"/>
            <w:widowControl w:val="0"/>
            <w:shd w:val="clear"/>
            <w:tabs>
              <w:tab w:val="right" w:leader="dot" w:pos="8845"/>
              <w:tab w:val="clear" w:pos="8296"/>
            </w:tabs>
            <w:kinsoku/>
            <w:wordWrap/>
            <w:overflowPunct/>
            <w:topLinePunct w:val="0"/>
            <w:autoSpaceDE/>
            <w:autoSpaceDN/>
            <w:bidi w:val="0"/>
            <w:adjustRightInd/>
            <w:snapToGrid/>
            <w:spacing w:line="340" w:lineRule="exact"/>
            <w:textAlignment w:val="auto"/>
            <w:rPr>
              <w:color w:val="auto"/>
              <w:highlight w:val="none"/>
            </w:rPr>
          </w:pPr>
          <w:r>
            <w:rPr>
              <w:color w:val="auto"/>
              <w:highlight w:val="none"/>
            </w:rPr>
            <w:fldChar w:fldCharType="begin"/>
          </w:r>
          <w:r>
            <w:rPr>
              <w:color w:val="auto"/>
              <w:highlight w:val="none"/>
            </w:rPr>
            <w:instrText xml:space="preserve"> HYPERLINK \l _Toc32755 </w:instrText>
          </w:r>
          <w:r>
            <w:rPr>
              <w:color w:val="auto"/>
              <w:highlight w:val="none"/>
            </w:rPr>
            <w:fldChar w:fldCharType="separate"/>
          </w:r>
          <w:r>
            <w:rPr>
              <w:rFonts w:hint="eastAsia"/>
              <w:color w:val="auto"/>
              <w:highlight w:val="none"/>
            </w:rPr>
            <w:t>五、财政拨款支出决算明细表</w:t>
          </w:r>
          <w:r>
            <w:rPr>
              <w:color w:val="auto"/>
              <w:highlight w:val="none"/>
            </w:rPr>
            <w:tab/>
          </w:r>
          <w:r>
            <w:rPr>
              <w:color w:val="auto"/>
              <w:highlight w:val="none"/>
            </w:rPr>
            <w:fldChar w:fldCharType="begin"/>
          </w:r>
          <w:r>
            <w:rPr>
              <w:color w:val="auto"/>
              <w:highlight w:val="none"/>
            </w:rPr>
            <w:instrText xml:space="preserve"> PAGEREF _Toc32755 \h </w:instrText>
          </w:r>
          <w:r>
            <w:rPr>
              <w:color w:val="auto"/>
              <w:highlight w:val="none"/>
            </w:rPr>
            <w:fldChar w:fldCharType="separate"/>
          </w:r>
          <w:r>
            <w:rPr>
              <w:color w:val="auto"/>
              <w:highlight w:val="none"/>
            </w:rPr>
            <w:t>88</w:t>
          </w:r>
          <w:r>
            <w:rPr>
              <w:color w:val="auto"/>
              <w:highlight w:val="none"/>
            </w:rPr>
            <w:fldChar w:fldCharType="end"/>
          </w:r>
          <w:r>
            <w:rPr>
              <w:color w:val="auto"/>
              <w:highlight w:val="none"/>
            </w:rPr>
            <w:fldChar w:fldCharType="end"/>
          </w:r>
        </w:p>
        <w:p>
          <w:pPr>
            <w:pStyle w:val="14"/>
            <w:keepNext w:val="0"/>
            <w:keepLines w:val="0"/>
            <w:pageBreakBefore w:val="0"/>
            <w:widowControl w:val="0"/>
            <w:shd w:val="clear"/>
            <w:tabs>
              <w:tab w:val="right" w:leader="dot" w:pos="8845"/>
              <w:tab w:val="clear" w:pos="8296"/>
            </w:tabs>
            <w:kinsoku/>
            <w:wordWrap/>
            <w:overflowPunct/>
            <w:topLinePunct w:val="0"/>
            <w:autoSpaceDE/>
            <w:autoSpaceDN/>
            <w:bidi w:val="0"/>
            <w:adjustRightInd/>
            <w:snapToGrid/>
            <w:spacing w:line="340" w:lineRule="exact"/>
            <w:textAlignment w:val="auto"/>
            <w:rPr>
              <w:color w:val="auto"/>
              <w:highlight w:val="none"/>
            </w:rPr>
          </w:pPr>
          <w:r>
            <w:rPr>
              <w:color w:val="auto"/>
              <w:highlight w:val="none"/>
            </w:rPr>
            <w:fldChar w:fldCharType="begin"/>
          </w:r>
          <w:r>
            <w:rPr>
              <w:color w:val="auto"/>
              <w:highlight w:val="none"/>
            </w:rPr>
            <w:instrText xml:space="preserve"> HYPERLINK \l _Toc3692 </w:instrText>
          </w:r>
          <w:r>
            <w:rPr>
              <w:color w:val="auto"/>
              <w:highlight w:val="none"/>
            </w:rPr>
            <w:fldChar w:fldCharType="separate"/>
          </w:r>
          <w:r>
            <w:rPr>
              <w:rFonts w:hint="eastAsia"/>
              <w:color w:val="auto"/>
              <w:highlight w:val="none"/>
            </w:rPr>
            <w:t>六、一般公共预算财政拨款支出决算表</w:t>
          </w:r>
          <w:r>
            <w:rPr>
              <w:color w:val="auto"/>
              <w:highlight w:val="none"/>
            </w:rPr>
            <w:tab/>
          </w:r>
          <w:r>
            <w:rPr>
              <w:color w:val="auto"/>
              <w:highlight w:val="none"/>
            </w:rPr>
            <w:fldChar w:fldCharType="begin"/>
          </w:r>
          <w:r>
            <w:rPr>
              <w:color w:val="auto"/>
              <w:highlight w:val="none"/>
            </w:rPr>
            <w:instrText xml:space="preserve"> PAGEREF _Toc3692 \h </w:instrText>
          </w:r>
          <w:r>
            <w:rPr>
              <w:color w:val="auto"/>
              <w:highlight w:val="none"/>
            </w:rPr>
            <w:fldChar w:fldCharType="separate"/>
          </w:r>
          <w:r>
            <w:rPr>
              <w:color w:val="auto"/>
              <w:highlight w:val="none"/>
            </w:rPr>
            <w:t>88</w:t>
          </w:r>
          <w:r>
            <w:rPr>
              <w:color w:val="auto"/>
              <w:highlight w:val="none"/>
            </w:rPr>
            <w:fldChar w:fldCharType="end"/>
          </w:r>
          <w:r>
            <w:rPr>
              <w:color w:val="auto"/>
              <w:highlight w:val="none"/>
            </w:rPr>
            <w:fldChar w:fldCharType="end"/>
          </w:r>
        </w:p>
        <w:p>
          <w:pPr>
            <w:pStyle w:val="14"/>
            <w:keepNext w:val="0"/>
            <w:keepLines w:val="0"/>
            <w:pageBreakBefore w:val="0"/>
            <w:widowControl w:val="0"/>
            <w:shd w:val="clear"/>
            <w:tabs>
              <w:tab w:val="right" w:leader="dot" w:pos="8845"/>
              <w:tab w:val="clear" w:pos="8296"/>
            </w:tabs>
            <w:kinsoku/>
            <w:wordWrap/>
            <w:overflowPunct/>
            <w:topLinePunct w:val="0"/>
            <w:autoSpaceDE/>
            <w:autoSpaceDN/>
            <w:bidi w:val="0"/>
            <w:adjustRightInd/>
            <w:snapToGrid/>
            <w:spacing w:line="340" w:lineRule="exact"/>
            <w:textAlignment w:val="auto"/>
            <w:rPr>
              <w:color w:val="auto"/>
              <w:highlight w:val="none"/>
            </w:rPr>
          </w:pPr>
          <w:r>
            <w:rPr>
              <w:color w:val="auto"/>
              <w:highlight w:val="none"/>
            </w:rPr>
            <w:fldChar w:fldCharType="begin"/>
          </w:r>
          <w:r>
            <w:rPr>
              <w:color w:val="auto"/>
              <w:highlight w:val="none"/>
            </w:rPr>
            <w:instrText xml:space="preserve"> HYPERLINK \l _Toc1957 </w:instrText>
          </w:r>
          <w:r>
            <w:rPr>
              <w:color w:val="auto"/>
              <w:highlight w:val="none"/>
            </w:rPr>
            <w:fldChar w:fldCharType="separate"/>
          </w:r>
          <w:r>
            <w:rPr>
              <w:rFonts w:hint="eastAsia"/>
              <w:color w:val="auto"/>
              <w:highlight w:val="none"/>
            </w:rPr>
            <w:t>七、一般公共预算财政拨款支出决算明细表</w:t>
          </w:r>
          <w:r>
            <w:rPr>
              <w:color w:val="auto"/>
              <w:highlight w:val="none"/>
            </w:rPr>
            <w:tab/>
          </w:r>
          <w:r>
            <w:rPr>
              <w:color w:val="auto"/>
              <w:highlight w:val="none"/>
            </w:rPr>
            <w:fldChar w:fldCharType="begin"/>
          </w:r>
          <w:r>
            <w:rPr>
              <w:color w:val="auto"/>
              <w:highlight w:val="none"/>
            </w:rPr>
            <w:instrText xml:space="preserve"> PAGEREF _Toc1957 \h </w:instrText>
          </w:r>
          <w:r>
            <w:rPr>
              <w:color w:val="auto"/>
              <w:highlight w:val="none"/>
            </w:rPr>
            <w:fldChar w:fldCharType="separate"/>
          </w:r>
          <w:r>
            <w:rPr>
              <w:color w:val="auto"/>
              <w:highlight w:val="none"/>
            </w:rPr>
            <w:t>88</w:t>
          </w:r>
          <w:r>
            <w:rPr>
              <w:color w:val="auto"/>
              <w:highlight w:val="none"/>
            </w:rPr>
            <w:fldChar w:fldCharType="end"/>
          </w:r>
          <w:r>
            <w:rPr>
              <w:color w:val="auto"/>
              <w:highlight w:val="none"/>
            </w:rPr>
            <w:fldChar w:fldCharType="end"/>
          </w:r>
        </w:p>
        <w:p>
          <w:pPr>
            <w:pStyle w:val="14"/>
            <w:keepNext w:val="0"/>
            <w:keepLines w:val="0"/>
            <w:pageBreakBefore w:val="0"/>
            <w:widowControl w:val="0"/>
            <w:shd w:val="clear"/>
            <w:tabs>
              <w:tab w:val="right" w:leader="dot" w:pos="8845"/>
              <w:tab w:val="clear" w:pos="8296"/>
            </w:tabs>
            <w:kinsoku/>
            <w:wordWrap/>
            <w:overflowPunct/>
            <w:topLinePunct w:val="0"/>
            <w:autoSpaceDE/>
            <w:autoSpaceDN/>
            <w:bidi w:val="0"/>
            <w:adjustRightInd/>
            <w:snapToGrid/>
            <w:spacing w:line="340" w:lineRule="exact"/>
            <w:textAlignment w:val="auto"/>
            <w:rPr>
              <w:color w:val="auto"/>
              <w:highlight w:val="none"/>
            </w:rPr>
          </w:pPr>
          <w:r>
            <w:rPr>
              <w:color w:val="auto"/>
              <w:highlight w:val="none"/>
            </w:rPr>
            <w:fldChar w:fldCharType="begin"/>
          </w:r>
          <w:r>
            <w:rPr>
              <w:color w:val="auto"/>
              <w:highlight w:val="none"/>
            </w:rPr>
            <w:instrText xml:space="preserve"> HYPERLINK \l _Toc23930 </w:instrText>
          </w:r>
          <w:r>
            <w:rPr>
              <w:color w:val="auto"/>
              <w:highlight w:val="none"/>
            </w:rPr>
            <w:fldChar w:fldCharType="separate"/>
          </w:r>
          <w:r>
            <w:rPr>
              <w:rFonts w:hint="eastAsia"/>
              <w:color w:val="auto"/>
              <w:highlight w:val="none"/>
            </w:rPr>
            <w:t>八、一般公共预算财政拨款基本支出决算</w:t>
          </w:r>
          <w:r>
            <w:rPr>
              <w:rFonts w:hint="eastAsia"/>
              <w:color w:val="auto"/>
              <w:highlight w:val="none"/>
              <w:lang w:eastAsia="zh-CN"/>
            </w:rPr>
            <w:t>明细</w:t>
          </w:r>
          <w:r>
            <w:rPr>
              <w:rFonts w:hint="eastAsia"/>
              <w:color w:val="auto"/>
              <w:highlight w:val="none"/>
            </w:rPr>
            <w:t>表</w:t>
          </w:r>
          <w:r>
            <w:rPr>
              <w:color w:val="auto"/>
              <w:highlight w:val="none"/>
            </w:rPr>
            <w:tab/>
          </w:r>
          <w:r>
            <w:rPr>
              <w:color w:val="auto"/>
              <w:highlight w:val="none"/>
            </w:rPr>
            <w:fldChar w:fldCharType="begin"/>
          </w:r>
          <w:r>
            <w:rPr>
              <w:color w:val="auto"/>
              <w:highlight w:val="none"/>
            </w:rPr>
            <w:instrText xml:space="preserve"> PAGEREF _Toc23930 \h </w:instrText>
          </w:r>
          <w:r>
            <w:rPr>
              <w:color w:val="auto"/>
              <w:highlight w:val="none"/>
            </w:rPr>
            <w:fldChar w:fldCharType="separate"/>
          </w:r>
          <w:r>
            <w:rPr>
              <w:color w:val="auto"/>
              <w:highlight w:val="none"/>
            </w:rPr>
            <w:t>88</w:t>
          </w:r>
          <w:r>
            <w:rPr>
              <w:color w:val="auto"/>
              <w:highlight w:val="none"/>
            </w:rPr>
            <w:fldChar w:fldCharType="end"/>
          </w:r>
          <w:r>
            <w:rPr>
              <w:color w:val="auto"/>
              <w:highlight w:val="none"/>
            </w:rPr>
            <w:fldChar w:fldCharType="end"/>
          </w:r>
        </w:p>
        <w:p>
          <w:pPr>
            <w:pStyle w:val="14"/>
            <w:keepNext w:val="0"/>
            <w:keepLines w:val="0"/>
            <w:pageBreakBefore w:val="0"/>
            <w:widowControl w:val="0"/>
            <w:shd w:val="clear"/>
            <w:tabs>
              <w:tab w:val="right" w:leader="dot" w:pos="8845"/>
              <w:tab w:val="clear" w:pos="8296"/>
            </w:tabs>
            <w:kinsoku/>
            <w:wordWrap/>
            <w:overflowPunct/>
            <w:topLinePunct w:val="0"/>
            <w:autoSpaceDE/>
            <w:autoSpaceDN/>
            <w:bidi w:val="0"/>
            <w:adjustRightInd/>
            <w:snapToGrid/>
            <w:spacing w:line="340" w:lineRule="exact"/>
            <w:textAlignment w:val="auto"/>
            <w:rPr>
              <w:color w:val="auto"/>
              <w:highlight w:val="none"/>
            </w:rPr>
          </w:pPr>
          <w:r>
            <w:rPr>
              <w:color w:val="auto"/>
              <w:highlight w:val="none"/>
            </w:rPr>
            <w:fldChar w:fldCharType="begin"/>
          </w:r>
          <w:r>
            <w:rPr>
              <w:color w:val="auto"/>
              <w:highlight w:val="none"/>
            </w:rPr>
            <w:instrText xml:space="preserve"> HYPERLINK \l _Toc18729 </w:instrText>
          </w:r>
          <w:r>
            <w:rPr>
              <w:color w:val="auto"/>
              <w:highlight w:val="none"/>
            </w:rPr>
            <w:fldChar w:fldCharType="separate"/>
          </w:r>
          <w:r>
            <w:rPr>
              <w:rFonts w:hint="eastAsia"/>
              <w:color w:val="auto"/>
              <w:highlight w:val="none"/>
            </w:rPr>
            <w:t>九、一般公共预算财政拨款项目支出决算表</w:t>
          </w:r>
          <w:r>
            <w:rPr>
              <w:color w:val="auto"/>
              <w:highlight w:val="none"/>
            </w:rPr>
            <w:tab/>
          </w:r>
          <w:r>
            <w:rPr>
              <w:color w:val="auto"/>
              <w:highlight w:val="none"/>
            </w:rPr>
            <w:fldChar w:fldCharType="begin"/>
          </w:r>
          <w:r>
            <w:rPr>
              <w:color w:val="auto"/>
              <w:highlight w:val="none"/>
            </w:rPr>
            <w:instrText xml:space="preserve"> PAGEREF _Toc18729 \h </w:instrText>
          </w:r>
          <w:r>
            <w:rPr>
              <w:color w:val="auto"/>
              <w:highlight w:val="none"/>
            </w:rPr>
            <w:fldChar w:fldCharType="separate"/>
          </w:r>
          <w:r>
            <w:rPr>
              <w:color w:val="auto"/>
              <w:highlight w:val="none"/>
            </w:rPr>
            <w:t>88</w:t>
          </w:r>
          <w:r>
            <w:rPr>
              <w:color w:val="auto"/>
              <w:highlight w:val="none"/>
            </w:rPr>
            <w:fldChar w:fldCharType="end"/>
          </w:r>
          <w:r>
            <w:rPr>
              <w:color w:val="auto"/>
              <w:highlight w:val="none"/>
            </w:rPr>
            <w:fldChar w:fldCharType="end"/>
          </w:r>
        </w:p>
        <w:p>
          <w:pPr>
            <w:pStyle w:val="14"/>
            <w:keepNext w:val="0"/>
            <w:keepLines w:val="0"/>
            <w:pageBreakBefore w:val="0"/>
            <w:widowControl w:val="0"/>
            <w:shd w:val="clear"/>
            <w:tabs>
              <w:tab w:val="right" w:leader="dot" w:pos="8845"/>
              <w:tab w:val="clear" w:pos="8296"/>
            </w:tabs>
            <w:kinsoku/>
            <w:wordWrap/>
            <w:overflowPunct/>
            <w:topLinePunct w:val="0"/>
            <w:autoSpaceDE/>
            <w:autoSpaceDN/>
            <w:bidi w:val="0"/>
            <w:adjustRightInd/>
            <w:snapToGrid/>
            <w:spacing w:line="340" w:lineRule="exact"/>
            <w:textAlignment w:val="auto"/>
            <w:rPr>
              <w:color w:val="auto"/>
              <w:highlight w:val="none"/>
            </w:rPr>
          </w:pPr>
          <w:r>
            <w:rPr>
              <w:color w:val="auto"/>
              <w:highlight w:val="none"/>
            </w:rPr>
            <w:fldChar w:fldCharType="begin"/>
          </w:r>
          <w:r>
            <w:rPr>
              <w:color w:val="auto"/>
              <w:highlight w:val="none"/>
            </w:rPr>
            <w:instrText xml:space="preserve"> HYPERLINK \l _Toc27011 </w:instrText>
          </w:r>
          <w:r>
            <w:rPr>
              <w:color w:val="auto"/>
              <w:highlight w:val="none"/>
            </w:rPr>
            <w:fldChar w:fldCharType="separate"/>
          </w:r>
          <w:r>
            <w:rPr>
              <w:rFonts w:hint="eastAsia"/>
              <w:color w:val="auto"/>
              <w:highlight w:val="none"/>
            </w:rPr>
            <w:t>十、政府性基金预算财政拨款收入支出决算表</w:t>
          </w:r>
          <w:r>
            <w:rPr>
              <w:color w:val="auto"/>
              <w:highlight w:val="none"/>
            </w:rPr>
            <w:tab/>
          </w:r>
          <w:r>
            <w:rPr>
              <w:color w:val="auto"/>
              <w:highlight w:val="none"/>
            </w:rPr>
            <w:fldChar w:fldCharType="begin"/>
          </w:r>
          <w:r>
            <w:rPr>
              <w:color w:val="auto"/>
              <w:highlight w:val="none"/>
            </w:rPr>
            <w:instrText xml:space="preserve"> PAGEREF _Toc27011 \h </w:instrText>
          </w:r>
          <w:r>
            <w:rPr>
              <w:color w:val="auto"/>
              <w:highlight w:val="none"/>
            </w:rPr>
            <w:fldChar w:fldCharType="separate"/>
          </w:r>
          <w:r>
            <w:rPr>
              <w:color w:val="auto"/>
              <w:highlight w:val="none"/>
            </w:rPr>
            <w:t>88</w:t>
          </w:r>
          <w:r>
            <w:rPr>
              <w:color w:val="auto"/>
              <w:highlight w:val="none"/>
            </w:rPr>
            <w:fldChar w:fldCharType="end"/>
          </w:r>
          <w:r>
            <w:rPr>
              <w:color w:val="auto"/>
              <w:highlight w:val="none"/>
            </w:rPr>
            <w:fldChar w:fldCharType="end"/>
          </w:r>
        </w:p>
        <w:p>
          <w:pPr>
            <w:pStyle w:val="14"/>
            <w:keepNext w:val="0"/>
            <w:keepLines w:val="0"/>
            <w:pageBreakBefore w:val="0"/>
            <w:widowControl w:val="0"/>
            <w:shd w:val="clear"/>
            <w:tabs>
              <w:tab w:val="right" w:leader="dot" w:pos="8845"/>
              <w:tab w:val="clear" w:pos="8296"/>
            </w:tabs>
            <w:kinsoku/>
            <w:wordWrap/>
            <w:overflowPunct/>
            <w:topLinePunct w:val="0"/>
            <w:autoSpaceDE/>
            <w:autoSpaceDN/>
            <w:bidi w:val="0"/>
            <w:adjustRightInd/>
            <w:snapToGrid/>
            <w:spacing w:line="340" w:lineRule="exact"/>
            <w:textAlignment w:val="auto"/>
            <w:rPr>
              <w:color w:val="auto"/>
              <w:highlight w:val="none"/>
            </w:rPr>
          </w:pPr>
          <w:r>
            <w:rPr>
              <w:color w:val="auto"/>
              <w:highlight w:val="none"/>
            </w:rPr>
            <w:fldChar w:fldCharType="begin"/>
          </w:r>
          <w:r>
            <w:rPr>
              <w:color w:val="auto"/>
              <w:highlight w:val="none"/>
            </w:rPr>
            <w:instrText xml:space="preserve"> HYPERLINK \l _Toc7539 </w:instrText>
          </w:r>
          <w:r>
            <w:rPr>
              <w:color w:val="auto"/>
              <w:highlight w:val="none"/>
            </w:rPr>
            <w:fldChar w:fldCharType="separate"/>
          </w:r>
          <w:r>
            <w:rPr>
              <w:rFonts w:hint="eastAsia"/>
              <w:color w:val="auto"/>
              <w:highlight w:val="none"/>
            </w:rPr>
            <w:t>十一、国有资本经营预算财政拨款收入支出决算表</w:t>
          </w:r>
          <w:r>
            <w:rPr>
              <w:color w:val="auto"/>
              <w:highlight w:val="none"/>
            </w:rPr>
            <w:tab/>
          </w:r>
          <w:r>
            <w:rPr>
              <w:color w:val="auto"/>
              <w:highlight w:val="none"/>
            </w:rPr>
            <w:fldChar w:fldCharType="begin"/>
          </w:r>
          <w:r>
            <w:rPr>
              <w:color w:val="auto"/>
              <w:highlight w:val="none"/>
            </w:rPr>
            <w:instrText xml:space="preserve"> PAGEREF _Toc7539 \h </w:instrText>
          </w:r>
          <w:r>
            <w:rPr>
              <w:color w:val="auto"/>
              <w:highlight w:val="none"/>
            </w:rPr>
            <w:fldChar w:fldCharType="separate"/>
          </w:r>
          <w:r>
            <w:rPr>
              <w:color w:val="auto"/>
              <w:highlight w:val="none"/>
            </w:rPr>
            <w:t>88</w:t>
          </w:r>
          <w:r>
            <w:rPr>
              <w:color w:val="auto"/>
              <w:highlight w:val="none"/>
            </w:rPr>
            <w:fldChar w:fldCharType="end"/>
          </w:r>
          <w:r>
            <w:rPr>
              <w:color w:val="auto"/>
              <w:highlight w:val="none"/>
            </w:rPr>
            <w:fldChar w:fldCharType="end"/>
          </w:r>
        </w:p>
        <w:p>
          <w:pPr>
            <w:pStyle w:val="14"/>
            <w:keepNext w:val="0"/>
            <w:keepLines w:val="0"/>
            <w:pageBreakBefore w:val="0"/>
            <w:widowControl w:val="0"/>
            <w:shd w:val="clear"/>
            <w:tabs>
              <w:tab w:val="right" w:leader="dot" w:pos="8845"/>
              <w:tab w:val="clear" w:pos="8296"/>
            </w:tabs>
            <w:kinsoku/>
            <w:wordWrap/>
            <w:overflowPunct/>
            <w:topLinePunct w:val="0"/>
            <w:autoSpaceDE/>
            <w:autoSpaceDN/>
            <w:bidi w:val="0"/>
            <w:adjustRightInd/>
            <w:snapToGrid/>
            <w:spacing w:line="340" w:lineRule="exact"/>
            <w:textAlignment w:val="auto"/>
            <w:rPr>
              <w:color w:val="auto"/>
              <w:highlight w:val="none"/>
            </w:rPr>
          </w:pPr>
          <w:r>
            <w:rPr>
              <w:color w:val="auto"/>
              <w:highlight w:val="none"/>
            </w:rPr>
            <w:fldChar w:fldCharType="begin"/>
          </w:r>
          <w:r>
            <w:rPr>
              <w:color w:val="auto"/>
              <w:highlight w:val="none"/>
            </w:rPr>
            <w:instrText xml:space="preserve"> HYPERLINK \l _Toc17690 </w:instrText>
          </w:r>
          <w:r>
            <w:rPr>
              <w:color w:val="auto"/>
              <w:highlight w:val="none"/>
            </w:rPr>
            <w:fldChar w:fldCharType="separate"/>
          </w:r>
          <w:r>
            <w:rPr>
              <w:rFonts w:hint="eastAsia"/>
              <w:color w:val="auto"/>
              <w:highlight w:val="none"/>
            </w:rPr>
            <w:t>十二、</w:t>
          </w:r>
          <w:r>
            <w:rPr>
              <w:rFonts w:hint="eastAsia"/>
              <w:color w:val="auto"/>
              <w:highlight w:val="none"/>
              <w:lang w:val="en-US" w:eastAsia="zh-CN"/>
            </w:rPr>
            <w:t>国有资本经营预算财政拨款支出决算表</w:t>
          </w:r>
          <w:r>
            <w:rPr>
              <w:color w:val="auto"/>
              <w:highlight w:val="none"/>
            </w:rPr>
            <w:tab/>
          </w:r>
          <w:r>
            <w:rPr>
              <w:color w:val="auto"/>
              <w:highlight w:val="none"/>
            </w:rPr>
            <w:fldChar w:fldCharType="begin"/>
          </w:r>
          <w:r>
            <w:rPr>
              <w:color w:val="auto"/>
              <w:highlight w:val="none"/>
            </w:rPr>
            <w:instrText xml:space="preserve"> PAGEREF _Toc17690 \h </w:instrText>
          </w:r>
          <w:r>
            <w:rPr>
              <w:color w:val="auto"/>
              <w:highlight w:val="none"/>
            </w:rPr>
            <w:fldChar w:fldCharType="separate"/>
          </w:r>
          <w:r>
            <w:rPr>
              <w:color w:val="auto"/>
              <w:highlight w:val="none"/>
            </w:rPr>
            <w:t>88</w:t>
          </w:r>
          <w:r>
            <w:rPr>
              <w:color w:val="auto"/>
              <w:highlight w:val="none"/>
            </w:rPr>
            <w:fldChar w:fldCharType="end"/>
          </w:r>
          <w:r>
            <w:rPr>
              <w:color w:val="auto"/>
              <w:highlight w:val="none"/>
            </w:rPr>
            <w:fldChar w:fldCharType="end"/>
          </w:r>
        </w:p>
        <w:p>
          <w:pPr>
            <w:pStyle w:val="14"/>
            <w:keepNext w:val="0"/>
            <w:keepLines w:val="0"/>
            <w:pageBreakBefore w:val="0"/>
            <w:widowControl w:val="0"/>
            <w:shd w:val="clear"/>
            <w:tabs>
              <w:tab w:val="right" w:leader="dot" w:pos="8845"/>
              <w:tab w:val="clear" w:pos="8296"/>
            </w:tabs>
            <w:kinsoku/>
            <w:wordWrap/>
            <w:overflowPunct/>
            <w:topLinePunct w:val="0"/>
            <w:autoSpaceDE/>
            <w:autoSpaceDN/>
            <w:bidi w:val="0"/>
            <w:adjustRightInd/>
            <w:snapToGrid/>
            <w:spacing w:line="340" w:lineRule="exact"/>
            <w:textAlignment w:val="auto"/>
            <w:rPr>
              <w:color w:val="auto"/>
              <w:highlight w:val="none"/>
            </w:rPr>
          </w:pPr>
          <w:r>
            <w:rPr>
              <w:color w:val="auto"/>
              <w:highlight w:val="none"/>
            </w:rPr>
            <w:fldChar w:fldCharType="begin"/>
          </w:r>
          <w:r>
            <w:rPr>
              <w:color w:val="auto"/>
              <w:highlight w:val="none"/>
            </w:rPr>
            <w:instrText xml:space="preserve"> HYPERLINK \l _Toc15473 </w:instrText>
          </w:r>
          <w:r>
            <w:rPr>
              <w:color w:val="auto"/>
              <w:highlight w:val="none"/>
            </w:rPr>
            <w:fldChar w:fldCharType="separate"/>
          </w:r>
          <w:r>
            <w:rPr>
              <w:rFonts w:hint="eastAsia"/>
              <w:color w:val="auto"/>
              <w:highlight w:val="none"/>
            </w:rPr>
            <w:t>十三、财政拨款“三公”经费支出决算表</w:t>
          </w:r>
          <w:r>
            <w:rPr>
              <w:color w:val="auto"/>
              <w:highlight w:val="none"/>
            </w:rPr>
            <w:tab/>
          </w:r>
          <w:r>
            <w:rPr>
              <w:color w:val="auto"/>
              <w:highlight w:val="none"/>
            </w:rPr>
            <w:fldChar w:fldCharType="begin"/>
          </w:r>
          <w:r>
            <w:rPr>
              <w:color w:val="auto"/>
              <w:highlight w:val="none"/>
            </w:rPr>
            <w:instrText xml:space="preserve"> PAGEREF _Toc15473 \h </w:instrText>
          </w:r>
          <w:r>
            <w:rPr>
              <w:color w:val="auto"/>
              <w:highlight w:val="none"/>
            </w:rPr>
            <w:fldChar w:fldCharType="separate"/>
          </w:r>
          <w:r>
            <w:rPr>
              <w:color w:val="auto"/>
              <w:highlight w:val="none"/>
            </w:rPr>
            <w:t>88</w:t>
          </w:r>
          <w:r>
            <w:rPr>
              <w:color w:val="auto"/>
              <w:highlight w:val="none"/>
            </w:rPr>
            <w:fldChar w:fldCharType="end"/>
          </w:r>
          <w:r>
            <w:rPr>
              <w:color w:val="auto"/>
              <w:highlight w:val="none"/>
            </w:rPr>
            <w:fldChar w:fldCharType="end"/>
          </w:r>
        </w:p>
        <w:p>
          <w:pPr>
            <w:keepNext w:val="0"/>
            <w:keepLines w:val="0"/>
            <w:pageBreakBefore w:val="0"/>
            <w:widowControl w:val="0"/>
            <w:shd w:val="clear"/>
            <w:kinsoku/>
            <w:wordWrap/>
            <w:overflowPunct/>
            <w:topLinePunct w:val="0"/>
            <w:autoSpaceDE/>
            <w:autoSpaceDN/>
            <w:bidi w:val="0"/>
            <w:adjustRightInd/>
            <w:snapToGrid/>
            <w:spacing w:line="340" w:lineRule="exact"/>
            <w:textAlignment w:val="auto"/>
            <w:rPr>
              <w:color w:val="auto"/>
              <w:highlight w:val="none"/>
            </w:rPr>
          </w:pPr>
          <w:r>
            <w:rPr>
              <w:color w:val="auto"/>
              <w:highlight w:val="none"/>
            </w:rPr>
            <w:fldChar w:fldCharType="end"/>
          </w:r>
        </w:p>
      </w:sdtContent>
    </w:sdt>
    <w:p>
      <w:pPr>
        <w:keepNext w:val="0"/>
        <w:keepLines w:val="0"/>
        <w:pageBreakBefore w:val="0"/>
        <w:widowControl w:val="0"/>
        <w:shd w:val="clear"/>
        <w:kinsoku/>
        <w:wordWrap/>
        <w:overflowPunct/>
        <w:topLinePunct w:val="0"/>
        <w:autoSpaceDE/>
        <w:autoSpaceDN/>
        <w:bidi w:val="0"/>
        <w:adjustRightInd/>
        <w:snapToGrid/>
        <w:spacing w:line="0" w:lineRule="atLeast"/>
        <w:jc w:val="center"/>
        <w:textAlignment w:val="auto"/>
        <w:outlineLvl w:val="0"/>
        <w:rPr>
          <w:rFonts w:hint="eastAsia" w:ascii="方正小标宋_GBK" w:hAnsi="方正小标宋_GBK" w:eastAsia="方正小标宋_GBK" w:cs="方正小标宋_GBK"/>
          <w:color w:val="auto"/>
          <w:sz w:val="44"/>
          <w:szCs w:val="44"/>
          <w:highlight w:val="none"/>
        </w:rPr>
        <w:sectPr>
          <w:footerReference r:id="rId6" w:type="first"/>
          <w:footerReference r:id="rId5" w:type="default"/>
          <w:pgSz w:w="11906" w:h="16838"/>
          <w:pgMar w:top="2098" w:right="1474" w:bottom="1984" w:left="1587" w:header="851" w:footer="992" w:gutter="0"/>
          <w:pgNumType w:fmt="decimal"/>
          <w:cols w:space="425" w:num="1"/>
          <w:docGrid w:type="lines" w:linePitch="312" w:charSpace="0"/>
        </w:sectPr>
      </w:pPr>
      <w:bookmarkStart w:id="16" w:name="_Toc18401"/>
      <w:bookmarkStart w:id="17" w:name="_Toc15396599"/>
      <w:bookmarkStart w:id="18" w:name="_Toc15377196"/>
    </w:p>
    <w:p>
      <w:pPr>
        <w:keepNext w:val="0"/>
        <w:keepLines w:val="0"/>
        <w:pageBreakBefore w:val="0"/>
        <w:widowControl w:val="0"/>
        <w:shd w:val="clear"/>
        <w:kinsoku/>
        <w:wordWrap/>
        <w:overflowPunct/>
        <w:topLinePunct w:val="0"/>
        <w:autoSpaceDE/>
        <w:autoSpaceDN/>
        <w:bidi w:val="0"/>
        <w:adjustRightInd/>
        <w:snapToGrid/>
        <w:spacing w:line="0" w:lineRule="atLeast"/>
        <w:jc w:val="center"/>
        <w:textAlignment w:val="auto"/>
        <w:outlineLvl w:val="0"/>
        <w:rPr>
          <w:rFonts w:hint="eastAsia" w:ascii="方正小标宋_GBK" w:hAnsi="方正小标宋_GBK" w:eastAsia="方正小标宋_GBK" w:cs="方正小标宋_GBK"/>
          <w:color w:val="auto"/>
          <w:sz w:val="44"/>
          <w:szCs w:val="44"/>
          <w:highlight w:val="none"/>
        </w:rPr>
      </w:pPr>
      <w:r>
        <w:rPr>
          <w:rFonts w:hint="eastAsia" w:ascii="方正小标宋_GBK" w:hAnsi="方正小标宋_GBK" w:eastAsia="方正小标宋_GBK" w:cs="方正小标宋_GBK"/>
          <w:color w:val="auto"/>
          <w:sz w:val="44"/>
          <w:szCs w:val="44"/>
          <w:highlight w:val="none"/>
        </w:rPr>
        <w:t>第一部分 部门概况</w:t>
      </w:r>
      <w:bookmarkEnd w:id="16"/>
    </w:p>
    <w:p>
      <w:pPr>
        <w:keepNext w:val="0"/>
        <w:keepLines w:val="0"/>
        <w:pageBreakBefore w:val="0"/>
        <w:widowControl w:val="0"/>
        <w:shd w:val="clear"/>
        <w:kinsoku/>
        <w:wordWrap/>
        <w:overflowPunct/>
        <w:topLinePunct w:val="0"/>
        <w:autoSpaceDE/>
        <w:autoSpaceDN/>
        <w:bidi w:val="0"/>
        <w:adjustRightInd/>
        <w:snapToGrid/>
        <w:spacing w:line="560" w:lineRule="exact"/>
        <w:textAlignment w:val="auto"/>
        <w:rPr>
          <w:color w:val="auto"/>
          <w:highlight w:val="none"/>
        </w:rPr>
      </w:pP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outlineLvl w:val="1"/>
        <w:rPr>
          <w:rFonts w:hint="eastAsia" w:ascii="黑体" w:hAnsi="黑体" w:eastAsia="黑体" w:cs="黑体"/>
          <w:color w:val="auto"/>
          <w:sz w:val="32"/>
          <w:szCs w:val="32"/>
          <w:highlight w:val="none"/>
        </w:rPr>
      </w:pPr>
      <w:bookmarkStart w:id="19" w:name="_Toc24015"/>
      <w:r>
        <w:rPr>
          <w:rFonts w:hint="eastAsia" w:ascii="黑体" w:hAnsi="黑体" w:eastAsia="黑体" w:cs="黑体"/>
          <w:color w:val="auto"/>
          <w:sz w:val="32"/>
          <w:szCs w:val="32"/>
          <w:highlight w:val="none"/>
        </w:rPr>
        <w:t>一、基本职能及主要工作</w:t>
      </w:r>
      <w:bookmarkEnd w:id="19"/>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bookmarkStart w:id="20" w:name="_Toc15378445"/>
      <w:bookmarkStart w:id="21" w:name="_Toc15377198"/>
      <w:r>
        <w:rPr>
          <w:rFonts w:hint="eastAsia" w:ascii="楷体_GB2312" w:hAnsi="楷体_GB2312" w:eastAsia="楷体_GB2312" w:cs="楷体_GB2312"/>
          <w:color w:val="auto"/>
          <w:sz w:val="32"/>
          <w:szCs w:val="32"/>
          <w:highlight w:val="none"/>
        </w:rPr>
        <w:t>（一）主要职能。</w:t>
      </w:r>
      <w:bookmarkEnd w:id="20"/>
      <w:bookmarkEnd w:id="21"/>
      <w:bookmarkStart w:id="22" w:name="_Toc15378446"/>
      <w:bookmarkStart w:id="23" w:name="_Toc15377199"/>
      <w:r>
        <w:rPr>
          <w:rFonts w:hint="eastAsia" w:ascii="仿宋_GB2312" w:hAnsi="仿宋_GB2312" w:eastAsia="仿宋_GB2312" w:cs="仿宋_GB2312"/>
          <w:color w:val="auto"/>
          <w:sz w:val="32"/>
          <w:szCs w:val="32"/>
          <w:highlight w:val="none"/>
        </w:rPr>
        <w:t>广元市住房公积金管理中心（以下简称市公积金中心）主要负责全市住房公积金的计划编制和归集、管理、使用等职责。</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楷体_GB2312" w:hAnsi="楷体_GB2312" w:eastAsia="楷体_GB2312" w:cs="楷体_GB2312"/>
          <w:color w:val="auto"/>
          <w:sz w:val="32"/>
          <w:szCs w:val="32"/>
          <w:highlight w:val="none"/>
        </w:rPr>
        <w:t>（二）202</w:t>
      </w:r>
      <w:r>
        <w:rPr>
          <w:rFonts w:hint="eastAsia" w:ascii="楷体_GB2312" w:hAnsi="楷体_GB2312" w:eastAsia="楷体_GB2312" w:cs="楷体_GB2312"/>
          <w:color w:val="auto"/>
          <w:sz w:val="32"/>
          <w:szCs w:val="32"/>
          <w:highlight w:val="none"/>
          <w:lang w:val="en-US" w:eastAsia="zh-CN"/>
        </w:rPr>
        <w:t>2</w:t>
      </w:r>
      <w:r>
        <w:rPr>
          <w:rFonts w:hint="eastAsia" w:ascii="楷体_GB2312" w:hAnsi="楷体_GB2312" w:eastAsia="楷体_GB2312" w:cs="楷体_GB2312"/>
          <w:color w:val="auto"/>
          <w:sz w:val="32"/>
          <w:szCs w:val="32"/>
          <w:highlight w:val="none"/>
        </w:rPr>
        <w:t>年重点工作完成情况。</w:t>
      </w:r>
      <w:bookmarkEnd w:id="22"/>
      <w:bookmarkEnd w:id="23"/>
      <w:r>
        <w:rPr>
          <w:rFonts w:hint="eastAsia" w:ascii="仿宋_GB2312" w:hAnsi="仿宋_GB2312" w:eastAsia="仿宋_GB2312" w:cs="仿宋_GB2312"/>
          <w:color w:val="auto"/>
          <w:sz w:val="32"/>
          <w:szCs w:val="32"/>
          <w:highlight w:val="none"/>
        </w:rPr>
        <w:t>202</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年，全市住房公积金管理工作在市委市政府的坚强领导下，坚持以服务“住有所居”为主题，以风险防控、保值增值为重点，以打造川内最优营商环境窗口单位为目标，以奋勇争先、提档进位为导向，以大力实施“服务优质、智慧公积金、机关党建、制度建设、能力提升、品牌创建”“六大工程”为载体，积极推动广元公积金管理工作高质量发展。</w:t>
      </w:r>
      <w:r>
        <w:rPr>
          <w:rFonts w:hint="eastAsia" w:ascii="仿宋_GB2312" w:hAnsi="仿宋_GB2312" w:eastAsia="仿宋_GB2312" w:cs="仿宋_GB2312"/>
          <w:color w:val="auto"/>
          <w:sz w:val="32"/>
          <w:szCs w:val="32"/>
          <w:highlight w:val="none"/>
          <w:lang w:eastAsia="zh-CN"/>
        </w:rPr>
        <w:t>全年</w:t>
      </w:r>
      <w:r>
        <w:rPr>
          <w:rFonts w:hint="eastAsia" w:ascii="仿宋_GB2312" w:hAnsi="仿宋_GB2312" w:eastAsia="仿宋_GB2312" w:cs="仿宋_GB2312"/>
          <w:color w:val="auto"/>
          <w:sz w:val="32"/>
          <w:szCs w:val="32"/>
          <w:highlight w:val="none"/>
          <w:lang w:val="zh-CN" w:eastAsia="zh-CN"/>
        </w:rPr>
        <w:t>完成归集目标</w:t>
      </w:r>
      <w:r>
        <w:rPr>
          <w:rFonts w:hint="eastAsia" w:ascii="仿宋_GB2312" w:hAnsi="仿宋_GB2312" w:eastAsia="仿宋_GB2312" w:cs="仿宋_GB2312"/>
          <w:color w:val="auto"/>
          <w:sz w:val="32"/>
          <w:szCs w:val="32"/>
          <w:highlight w:val="none"/>
          <w:lang w:val="en-US" w:eastAsia="zh-CN"/>
        </w:rPr>
        <w:t>30.66</w:t>
      </w:r>
      <w:r>
        <w:rPr>
          <w:rFonts w:hint="eastAsia" w:ascii="仿宋_GB2312" w:hAnsi="仿宋_GB2312" w:eastAsia="仿宋_GB2312" w:cs="仿宋_GB2312"/>
          <w:color w:val="auto"/>
          <w:sz w:val="32"/>
          <w:szCs w:val="32"/>
          <w:highlight w:val="none"/>
          <w:lang w:val="zh-CN" w:eastAsia="zh-CN"/>
        </w:rPr>
        <w:t>亿元，提取目标</w:t>
      </w:r>
      <w:r>
        <w:rPr>
          <w:rFonts w:hint="eastAsia" w:ascii="仿宋_GB2312" w:hAnsi="仿宋_GB2312" w:eastAsia="仿宋_GB2312" w:cs="仿宋_GB2312"/>
          <w:color w:val="auto"/>
          <w:sz w:val="32"/>
          <w:szCs w:val="32"/>
          <w:highlight w:val="none"/>
          <w:lang w:val="en-US" w:eastAsia="zh-CN"/>
        </w:rPr>
        <w:t>19.76</w:t>
      </w:r>
      <w:r>
        <w:rPr>
          <w:rFonts w:hint="eastAsia" w:ascii="仿宋_GB2312" w:hAnsi="仿宋_GB2312" w:eastAsia="仿宋_GB2312" w:cs="仿宋_GB2312"/>
          <w:color w:val="auto"/>
          <w:sz w:val="32"/>
          <w:szCs w:val="32"/>
          <w:highlight w:val="none"/>
          <w:lang w:val="zh-CN" w:eastAsia="zh-CN"/>
        </w:rPr>
        <w:t>亿元；完成信贷专项业务工作，信贷发放，楼盘备案管理、贷后管理；“跨省通办”川渝通办工作；促进住房消费、确保资金安全，资金安全运营、提高公积金资金使用效益，上缴增值收益</w:t>
      </w:r>
      <w:r>
        <w:rPr>
          <w:rFonts w:hint="eastAsia" w:ascii="仿宋_GB2312" w:hAnsi="仿宋_GB2312" w:eastAsia="仿宋_GB2312" w:cs="仿宋_GB2312"/>
          <w:color w:val="auto"/>
          <w:sz w:val="32"/>
          <w:szCs w:val="32"/>
          <w:highlight w:val="none"/>
          <w:lang w:val="en-US" w:eastAsia="zh-CN"/>
        </w:rPr>
        <w:t>1.11亿元，</w:t>
      </w:r>
      <w:r>
        <w:rPr>
          <w:rFonts w:hint="eastAsia" w:ascii="仿宋_GB2312" w:hAnsi="仿宋_GB2312" w:eastAsia="仿宋_GB2312" w:cs="仿宋_GB2312"/>
          <w:color w:val="auto"/>
          <w:sz w:val="32"/>
          <w:szCs w:val="32"/>
          <w:highlight w:val="none"/>
          <w:lang w:val="zh-CN" w:eastAsia="zh-CN"/>
        </w:rPr>
        <w:t>服务当地缴存职工、促进当地房地产行业健康有序发展；优化营商环境，提升优质服务。</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outlineLvl w:val="1"/>
        <w:rPr>
          <w:rFonts w:hint="eastAsia" w:ascii="黑体" w:hAnsi="黑体" w:eastAsia="黑体" w:cs="黑体"/>
          <w:color w:val="auto"/>
          <w:sz w:val="32"/>
          <w:szCs w:val="32"/>
          <w:highlight w:val="none"/>
        </w:rPr>
      </w:pPr>
      <w:bookmarkStart w:id="24" w:name="_Toc2805"/>
      <w:r>
        <w:rPr>
          <w:rFonts w:hint="eastAsia" w:ascii="黑体" w:hAnsi="黑体" w:eastAsia="黑体" w:cs="黑体"/>
          <w:color w:val="auto"/>
          <w:sz w:val="32"/>
          <w:szCs w:val="32"/>
          <w:highlight w:val="none"/>
        </w:rPr>
        <w:t>二、机构设置</w:t>
      </w:r>
      <w:bookmarkEnd w:id="24"/>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广元市住房公积金管理中心为市人民政府直属正县级事业单位。内设办公室、稽核科、会计科、信贷业务科、资金归集科、信息技术科六个科室，下设苍溪县、旺苍县、剑阁县、青川县、朝天区、昭化区、利州区和宝轮8个管理部。</w:t>
      </w:r>
    </w:p>
    <w:p>
      <w:pPr>
        <w:keepNext w:val="0"/>
        <w:keepLines w:val="0"/>
        <w:pageBreakBefore w:val="0"/>
        <w:widowControl w:val="0"/>
        <w:shd w:val="clear"/>
        <w:kinsoku/>
        <w:wordWrap/>
        <w:overflowPunct/>
        <w:topLinePunct w:val="0"/>
        <w:autoSpaceDE/>
        <w:autoSpaceDN/>
        <w:bidi w:val="0"/>
        <w:adjustRightInd/>
        <w:snapToGrid/>
        <w:spacing w:line="560" w:lineRule="exact"/>
        <w:ind w:firstLine="800" w:firstLineChars="25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市公积金中心为财政补助事业单位，单位预算级次为一级，无下属二级单位。</w:t>
      </w:r>
    </w:p>
    <w:p>
      <w:pPr>
        <w:pStyle w:val="2"/>
        <w:shd w:val="clear"/>
        <w:rPr>
          <w:rFonts w:hint="eastAsia"/>
          <w:color w:val="auto"/>
          <w:highlight w:val="none"/>
        </w:rPr>
      </w:pPr>
    </w:p>
    <w:bookmarkEnd w:id="17"/>
    <w:bookmarkEnd w:id="18"/>
    <w:p>
      <w:pPr>
        <w:keepNext w:val="0"/>
        <w:keepLines w:val="0"/>
        <w:pageBreakBefore w:val="0"/>
        <w:widowControl w:val="0"/>
        <w:shd w:val="clear"/>
        <w:kinsoku/>
        <w:wordWrap/>
        <w:overflowPunct/>
        <w:topLinePunct w:val="0"/>
        <w:autoSpaceDE/>
        <w:autoSpaceDN/>
        <w:bidi w:val="0"/>
        <w:adjustRightInd/>
        <w:snapToGrid/>
        <w:spacing w:line="0" w:lineRule="atLeast"/>
        <w:jc w:val="center"/>
        <w:textAlignment w:val="auto"/>
        <w:outlineLvl w:val="0"/>
        <w:rPr>
          <w:rFonts w:hint="eastAsia" w:ascii="方正小标宋_GBK" w:hAnsi="方正小标宋_GBK" w:eastAsia="方正小标宋_GBK" w:cs="方正小标宋_GBK"/>
          <w:color w:val="auto"/>
          <w:sz w:val="44"/>
          <w:szCs w:val="44"/>
          <w:highlight w:val="none"/>
        </w:rPr>
      </w:pPr>
      <w:bookmarkStart w:id="25" w:name="_Toc15396602"/>
      <w:bookmarkStart w:id="26" w:name="_Toc15377204"/>
      <w:bookmarkStart w:id="27" w:name="_Toc18984"/>
      <w:r>
        <w:rPr>
          <w:rFonts w:hint="eastAsia" w:ascii="方正小标宋_GBK" w:hAnsi="方正小标宋_GBK" w:eastAsia="方正小标宋_GBK" w:cs="方正小标宋_GBK"/>
          <w:color w:val="auto"/>
          <w:sz w:val="44"/>
          <w:szCs w:val="44"/>
          <w:highlight w:val="none"/>
        </w:rPr>
        <w:t xml:space="preserve">第二部分 </w:t>
      </w:r>
      <w:r>
        <w:rPr>
          <w:rFonts w:hint="eastAsia" w:ascii="方正小标宋_GBK" w:hAnsi="方正小标宋_GBK" w:eastAsia="方正小标宋_GBK" w:cs="方正小标宋_GBK"/>
          <w:color w:val="auto"/>
          <w:sz w:val="44"/>
          <w:szCs w:val="44"/>
          <w:highlight w:val="none"/>
          <w:lang w:val="en-US" w:eastAsia="zh-CN"/>
        </w:rPr>
        <w:t>2022年度</w:t>
      </w:r>
      <w:r>
        <w:rPr>
          <w:rFonts w:hint="eastAsia" w:ascii="方正小标宋_GBK" w:hAnsi="方正小标宋_GBK" w:eastAsia="方正小标宋_GBK" w:cs="方正小标宋_GBK"/>
          <w:color w:val="auto"/>
          <w:sz w:val="44"/>
          <w:szCs w:val="44"/>
          <w:highlight w:val="none"/>
        </w:rPr>
        <w:t>部门决算情况说明</w:t>
      </w:r>
      <w:bookmarkEnd w:id="25"/>
      <w:bookmarkEnd w:id="26"/>
      <w:bookmarkEnd w:id="27"/>
    </w:p>
    <w:p>
      <w:pPr>
        <w:keepNext w:val="0"/>
        <w:keepLines w:val="0"/>
        <w:pageBreakBefore w:val="0"/>
        <w:widowControl w:val="0"/>
        <w:shd w:val="clear"/>
        <w:kinsoku/>
        <w:wordWrap/>
        <w:overflowPunct/>
        <w:topLinePunct w:val="0"/>
        <w:autoSpaceDE/>
        <w:autoSpaceDN/>
        <w:bidi w:val="0"/>
        <w:adjustRightInd/>
        <w:snapToGrid/>
        <w:spacing w:line="560" w:lineRule="exact"/>
        <w:textAlignment w:val="auto"/>
        <w:rPr>
          <w:color w:val="auto"/>
          <w:highlight w:val="none"/>
        </w:rPr>
      </w:pPr>
    </w:p>
    <w:p>
      <w:pPr>
        <w:pStyle w:val="31"/>
        <w:keepNext w:val="0"/>
        <w:keepLines w:val="0"/>
        <w:pageBreakBefore w:val="0"/>
        <w:widowControl w:val="0"/>
        <w:numPr>
          <w:ilvl w:val="0"/>
          <w:numId w:val="1"/>
        </w:numPr>
        <w:shd w:val="clear"/>
        <w:kinsoku/>
        <w:wordWrap/>
        <w:overflowPunct/>
        <w:topLinePunct w:val="0"/>
        <w:autoSpaceDE/>
        <w:autoSpaceDN/>
        <w:bidi w:val="0"/>
        <w:adjustRightInd/>
        <w:snapToGrid/>
        <w:spacing w:line="560" w:lineRule="exact"/>
        <w:ind w:firstLineChars="0"/>
        <w:textAlignment w:val="auto"/>
        <w:outlineLvl w:val="1"/>
        <w:rPr>
          <w:rStyle w:val="22"/>
          <w:rFonts w:ascii="黑体" w:hAnsi="黑体" w:eastAsia="黑体"/>
          <w:b w:val="0"/>
          <w:color w:val="auto"/>
          <w:highlight w:val="none"/>
        </w:rPr>
      </w:pPr>
      <w:bookmarkStart w:id="28" w:name="_Toc15950"/>
      <w:bookmarkStart w:id="29" w:name="_Toc15396603"/>
      <w:bookmarkStart w:id="30" w:name="_Toc15377205"/>
      <w:r>
        <w:rPr>
          <w:rFonts w:hint="eastAsia" w:ascii="黑体" w:hAnsi="黑体" w:eastAsia="黑体"/>
          <w:color w:val="auto"/>
          <w:sz w:val="32"/>
          <w:szCs w:val="32"/>
          <w:highlight w:val="none"/>
        </w:rPr>
        <w:t>收</w:t>
      </w:r>
      <w:r>
        <w:rPr>
          <w:rStyle w:val="22"/>
          <w:rFonts w:hint="eastAsia" w:ascii="黑体" w:hAnsi="黑体" w:eastAsia="黑体"/>
          <w:b w:val="0"/>
          <w:color w:val="auto"/>
          <w:highlight w:val="none"/>
        </w:rPr>
        <w:t>入支出决算总体情况说明</w:t>
      </w:r>
      <w:bookmarkEnd w:id="28"/>
      <w:bookmarkEnd w:id="29"/>
      <w:bookmarkEnd w:id="30"/>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color w:val="auto"/>
          <w:highlight w:val="none"/>
          <w:lang w:eastAsia="zh-CN"/>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22</w:t>
      </w:r>
      <w:r>
        <w:rPr>
          <w:rFonts w:hint="eastAsia" w:ascii="仿宋_GB2312" w:hAnsi="仿宋_GB2312" w:eastAsia="仿宋_GB2312" w:cs="仿宋_GB2312"/>
          <w:color w:val="auto"/>
          <w:sz w:val="32"/>
          <w:szCs w:val="32"/>
          <w:highlight w:val="none"/>
        </w:rPr>
        <w:t>年度收、支总计</w:t>
      </w:r>
      <w:r>
        <w:rPr>
          <w:rFonts w:hint="eastAsia" w:ascii="仿宋_GB2312" w:hAnsi="仿宋_GB2312" w:eastAsia="仿宋_GB2312" w:cs="仿宋_GB2312"/>
          <w:color w:val="auto"/>
          <w:sz w:val="32"/>
          <w:szCs w:val="32"/>
          <w:highlight w:val="none"/>
          <w:lang w:val="en-US" w:eastAsia="zh-CN"/>
        </w:rPr>
        <w:t>1537.38</w:t>
      </w:r>
      <w:r>
        <w:rPr>
          <w:rFonts w:hint="eastAsia" w:ascii="仿宋_GB2312" w:hAnsi="仿宋_GB2312" w:eastAsia="仿宋_GB2312" w:cs="仿宋_GB2312"/>
          <w:color w:val="auto"/>
          <w:sz w:val="32"/>
          <w:szCs w:val="32"/>
          <w:highlight w:val="none"/>
        </w:rPr>
        <w:t>万元。与20</w:t>
      </w: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年相比，收、支总计各增加</w:t>
      </w:r>
      <w:r>
        <w:rPr>
          <w:rFonts w:hint="eastAsia" w:ascii="仿宋_GB2312" w:hAnsi="仿宋_GB2312" w:eastAsia="仿宋_GB2312" w:cs="仿宋_GB2312"/>
          <w:color w:val="auto"/>
          <w:sz w:val="32"/>
          <w:szCs w:val="32"/>
          <w:highlight w:val="none"/>
          <w:lang w:val="en-US" w:eastAsia="zh-CN"/>
        </w:rPr>
        <w:t>177.9</w:t>
      </w:r>
      <w:r>
        <w:rPr>
          <w:rFonts w:hint="eastAsia" w:ascii="仿宋_GB2312" w:hAnsi="仿宋_GB2312" w:eastAsia="仿宋_GB2312" w:cs="仿宋_GB2312"/>
          <w:color w:val="auto"/>
          <w:sz w:val="32"/>
          <w:szCs w:val="32"/>
          <w:highlight w:val="none"/>
        </w:rPr>
        <w:t>万元，增长</w:t>
      </w:r>
      <w:r>
        <w:rPr>
          <w:rFonts w:hint="eastAsia" w:ascii="仿宋_GB2312" w:hAnsi="仿宋_GB2312" w:eastAsia="仿宋_GB2312" w:cs="仿宋_GB2312"/>
          <w:color w:val="auto"/>
          <w:sz w:val="32"/>
          <w:szCs w:val="32"/>
          <w:highlight w:val="none"/>
          <w:lang w:val="en-US" w:eastAsia="zh-CN"/>
        </w:rPr>
        <w:t>13.09</w:t>
      </w:r>
      <w:r>
        <w:rPr>
          <w:rFonts w:hint="eastAsia" w:ascii="仿宋_GB2312" w:hAnsi="仿宋_GB2312" w:eastAsia="仿宋_GB2312" w:cs="仿宋_GB2312"/>
          <w:color w:val="auto"/>
          <w:sz w:val="32"/>
          <w:szCs w:val="32"/>
          <w:highlight w:val="none"/>
        </w:rPr>
        <w:t>%。主要变动原因</w:t>
      </w:r>
      <w:r>
        <w:rPr>
          <w:rFonts w:hint="eastAsia" w:ascii="仿宋_GB2312" w:hAnsi="仿宋_GB2312" w:eastAsia="仿宋_GB2312" w:cs="仿宋_GB2312"/>
          <w:color w:val="auto"/>
          <w:sz w:val="32"/>
          <w:szCs w:val="32"/>
          <w:highlight w:val="none"/>
          <w:lang w:val="en-US" w:eastAsia="zh-CN"/>
        </w:rPr>
        <w:t>是人员经费标准正常提升和新增公积金业务终端开发项目</w:t>
      </w:r>
      <w:r>
        <w:rPr>
          <w:rFonts w:hint="eastAsia" w:ascii="仿宋_GB2312" w:hAnsi="仿宋_GB2312" w:eastAsia="仿宋_GB2312" w:cs="仿宋_GB2312"/>
          <w:color w:val="auto"/>
          <w:sz w:val="32"/>
          <w:szCs w:val="32"/>
          <w:highlight w:val="none"/>
          <w:lang w:eastAsia="zh-CN"/>
        </w:rPr>
        <w:t>。</w:t>
      </w:r>
    </w:p>
    <w:p>
      <w:pPr>
        <w:pStyle w:val="6"/>
        <w:shd w:val="clear"/>
        <w:spacing w:before="93"/>
        <w:jc w:val="center"/>
        <w:rPr>
          <w:color w:val="auto"/>
          <w:highlight w:val="none"/>
        </w:rPr>
      </w:pPr>
      <w:r>
        <w:rPr>
          <w:rFonts w:hint="eastAsia"/>
          <w:color w:val="auto"/>
          <w:highlight w:val="none"/>
        </w:rPr>
        <w:drawing>
          <wp:inline distT="0" distB="0" distL="0" distR="0">
            <wp:extent cx="4688840" cy="2633980"/>
            <wp:effectExtent l="4445" t="4445" r="12065" b="952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pPr>
        <w:pStyle w:val="6"/>
        <w:shd w:val="clear"/>
        <w:spacing w:before="93"/>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图 1：收、支决算总计变动情况图（单位：万元）</w:t>
      </w:r>
    </w:p>
    <w:p>
      <w:pPr>
        <w:pStyle w:val="31"/>
        <w:numPr>
          <w:ilvl w:val="0"/>
          <w:numId w:val="1"/>
        </w:numPr>
        <w:shd w:val="clear"/>
        <w:spacing w:line="600" w:lineRule="exact"/>
        <w:ind w:firstLineChars="0"/>
        <w:outlineLvl w:val="1"/>
        <w:rPr>
          <w:rStyle w:val="22"/>
          <w:rFonts w:ascii="黑体" w:hAnsi="黑体" w:eastAsia="黑体"/>
          <w:b w:val="0"/>
          <w:color w:val="auto"/>
          <w:highlight w:val="none"/>
        </w:rPr>
      </w:pPr>
      <w:bookmarkStart w:id="31" w:name="_Toc31631"/>
      <w:bookmarkStart w:id="32" w:name="_Toc15396604"/>
      <w:bookmarkStart w:id="33" w:name="_Toc15377206"/>
      <w:r>
        <w:rPr>
          <w:rFonts w:hint="eastAsia" w:ascii="黑体" w:hAnsi="黑体" w:eastAsia="黑体"/>
          <w:color w:val="auto"/>
          <w:sz w:val="32"/>
          <w:szCs w:val="32"/>
          <w:highlight w:val="none"/>
        </w:rPr>
        <w:t>收</w:t>
      </w:r>
      <w:r>
        <w:rPr>
          <w:rStyle w:val="22"/>
          <w:rFonts w:hint="eastAsia" w:ascii="黑体" w:hAnsi="黑体" w:eastAsia="黑体"/>
          <w:b w:val="0"/>
          <w:color w:val="auto"/>
          <w:highlight w:val="none"/>
        </w:rPr>
        <w:t>入决算情况说明</w:t>
      </w:r>
      <w:bookmarkEnd w:id="31"/>
      <w:bookmarkEnd w:id="32"/>
      <w:bookmarkEnd w:id="33"/>
    </w:p>
    <w:p>
      <w:pPr>
        <w:shd w:val="clear"/>
        <w:spacing w:line="600" w:lineRule="exact"/>
        <w:ind w:firstLine="640" w:firstLineChars="200"/>
        <w:outlineLvl w:val="1"/>
        <w:rPr>
          <w:rFonts w:hint="eastAsia"/>
          <w:color w:val="auto"/>
          <w:highlight w:val="none"/>
        </w:rPr>
      </w:pPr>
      <w:bookmarkStart w:id="34" w:name="_Toc10722"/>
      <w:bookmarkStart w:id="35" w:name="_Toc11910"/>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22</w:t>
      </w:r>
      <w:r>
        <w:rPr>
          <w:rFonts w:hint="eastAsia" w:ascii="仿宋_GB2312" w:hAnsi="仿宋_GB2312" w:eastAsia="仿宋_GB2312" w:cs="仿宋_GB2312"/>
          <w:color w:val="auto"/>
          <w:sz w:val="32"/>
          <w:szCs w:val="32"/>
          <w:highlight w:val="none"/>
        </w:rPr>
        <w:t>年本年收入合计</w:t>
      </w:r>
      <w:r>
        <w:rPr>
          <w:rFonts w:hint="eastAsia" w:ascii="仿宋_GB2312" w:hAnsi="仿宋_GB2312" w:eastAsia="仿宋_GB2312" w:cs="仿宋_GB2312"/>
          <w:color w:val="auto"/>
          <w:sz w:val="32"/>
          <w:szCs w:val="32"/>
          <w:highlight w:val="none"/>
          <w:lang w:val="en-US" w:eastAsia="zh-CN"/>
        </w:rPr>
        <w:t>1487.39</w:t>
      </w:r>
      <w:r>
        <w:rPr>
          <w:rFonts w:hint="eastAsia" w:ascii="仿宋_GB2312" w:hAnsi="仿宋_GB2312" w:eastAsia="仿宋_GB2312" w:cs="仿宋_GB2312"/>
          <w:color w:val="auto"/>
          <w:sz w:val="32"/>
          <w:szCs w:val="32"/>
          <w:highlight w:val="none"/>
        </w:rPr>
        <w:t>万元，其中：一般公共预算财政拨款收入</w:t>
      </w:r>
      <w:r>
        <w:rPr>
          <w:rFonts w:hint="eastAsia" w:ascii="仿宋_GB2312" w:hAnsi="仿宋_GB2312" w:eastAsia="仿宋_GB2312" w:cs="仿宋_GB2312"/>
          <w:color w:val="auto"/>
          <w:sz w:val="32"/>
          <w:szCs w:val="32"/>
          <w:highlight w:val="none"/>
          <w:lang w:val="en-US" w:eastAsia="zh-CN"/>
        </w:rPr>
        <w:t>1477.37</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99.33</w:t>
      </w:r>
      <w:r>
        <w:rPr>
          <w:rFonts w:hint="eastAsia" w:ascii="仿宋_GB2312" w:hAnsi="仿宋_GB2312" w:eastAsia="仿宋_GB2312" w:cs="仿宋_GB2312"/>
          <w:color w:val="auto"/>
          <w:sz w:val="32"/>
          <w:szCs w:val="32"/>
          <w:highlight w:val="none"/>
        </w:rPr>
        <w:t>%；其他收入</w:t>
      </w:r>
      <w:r>
        <w:rPr>
          <w:rFonts w:hint="eastAsia" w:ascii="仿宋_GB2312" w:hAnsi="仿宋_GB2312" w:eastAsia="仿宋_GB2312" w:cs="仿宋_GB2312"/>
          <w:color w:val="auto"/>
          <w:sz w:val="32"/>
          <w:szCs w:val="32"/>
          <w:highlight w:val="none"/>
          <w:lang w:val="en-US" w:eastAsia="zh-CN"/>
        </w:rPr>
        <w:t>10.02</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0.67</w:t>
      </w:r>
      <w:r>
        <w:rPr>
          <w:rFonts w:hint="eastAsia" w:ascii="仿宋_GB2312" w:hAnsi="仿宋_GB2312" w:eastAsia="仿宋_GB2312" w:cs="仿宋_GB2312"/>
          <w:color w:val="auto"/>
          <w:sz w:val="32"/>
          <w:szCs w:val="32"/>
          <w:highlight w:val="none"/>
        </w:rPr>
        <w:t>%。</w:t>
      </w:r>
      <w:bookmarkEnd w:id="34"/>
      <w:bookmarkEnd w:id="35"/>
    </w:p>
    <w:p>
      <w:pPr>
        <w:shd w:val="clear"/>
        <w:jc w:val="center"/>
        <w:rPr>
          <w:rFonts w:ascii="仿宋" w:hAnsi="仿宋" w:eastAsia="仿宋"/>
          <w:color w:val="auto"/>
          <w:sz w:val="32"/>
          <w:szCs w:val="32"/>
          <w:highlight w:val="none"/>
        </w:rPr>
      </w:pPr>
      <w:r>
        <w:rPr>
          <w:rFonts w:ascii="仿宋" w:hAnsi="仿宋" w:eastAsia="仿宋"/>
          <w:color w:val="auto"/>
          <w:sz w:val="32"/>
          <w:szCs w:val="32"/>
          <w:highlight w:val="none"/>
        </w:rPr>
        <w:drawing>
          <wp:inline distT="0" distB="0" distL="0" distR="0">
            <wp:extent cx="4252595" cy="2421890"/>
            <wp:effectExtent l="4445" t="4445" r="10160" b="12065"/>
            <wp:docPr id="11"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pPr>
        <w:shd w:val="clear"/>
        <w:spacing w:line="600" w:lineRule="exact"/>
        <w:ind w:firstLine="560" w:firstLineChars="200"/>
        <w:jc w:val="center"/>
        <w:rPr>
          <w:rFonts w:hint="eastAsia"/>
          <w:color w:val="auto"/>
          <w:highlight w:val="none"/>
        </w:rPr>
      </w:pPr>
      <w:r>
        <w:rPr>
          <w:rFonts w:hint="eastAsia" w:ascii="仿宋_GB2312" w:hAnsi="仿宋_GB2312" w:eastAsia="仿宋_GB2312" w:cs="仿宋_GB2312"/>
          <w:color w:val="auto"/>
          <w:sz w:val="28"/>
          <w:szCs w:val="28"/>
          <w:highlight w:val="none"/>
        </w:rPr>
        <w:t>图2：收入决算结构</w:t>
      </w:r>
      <w:r>
        <w:rPr>
          <w:rFonts w:hint="eastAsia" w:ascii="仿宋_GB2312" w:hAnsi="仿宋_GB2312" w:eastAsia="仿宋_GB2312" w:cs="仿宋_GB2312"/>
          <w:color w:val="auto"/>
          <w:sz w:val="28"/>
          <w:szCs w:val="28"/>
          <w:highlight w:val="none"/>
          <w:lang w:eastAsia="zh-CN"/>
        </w:rPr>
        <w:t>图（单位：万元）</w:t>
      </w:r>
    </w:p>
    <w:p>
      <w:pPr>
        <w:pStyle w:val="31"/>
        <w:keepNext w:val="0"/>
        <w:keepLines w:val="0"/>
        <w:pageBreakBefore w:val="0"/>
        <w:widowControl w:val="0"/>
        <w:numPr>
          <w:ilvl w:val="0"/>
          <w:numId w:val="1"/>
        </w:numPr>
        <w:shd w:val="clear"/>
        <w:kinsoku/>
        <w:wordWrap/>
        <w:overflowPunct/>
        <w:topLinePunct w:val="0"/>
        <w:bidi w:val="0"/>
        <w:snapToGrid/>
        <w:spacing w:line="560" w:lineRule="exact"/>
        <w:ind w:firstLineChars="0"/>
        <w:textAlignment w:val="auto"/>
        <w:outlineLvl w:val="1"/>
        <w:rPr>
          <w:rStyle w:val="22"/>
          <w:rFonts w:ascii="黑体" w:hAnsi="黑体" w:eastAsia="黑体"/>
          <w:b w:val="0"/>
          <w:color w:val="auto"/>
          <w:highlight w:val="none"/>
        </w:rPr>
      </w:pPr>
      <w:bookmarkStart w:id="36" w:name="_Toc15377207"/>
      <w:bookmarkStart w:id="37" w:name="_Toc4886"/>
      <w:bookmarkStart w:id="38" w:name="_Toc15396605"/>
      <w:r>
        <w:rPr>
          <w:rFonts w:hint="eastAsia" w:ascii="黑体" w:hAnsi="黑体" w:eastAsia="黑体"/>
          <w:color w:val="auto"/>
          <w:sz w:val="32"/>
          <w:szCs w:val="32"/>
          <w:highlight w:val="none"/>
        </w:rPr>
        <w:t>支</w:t>
      </w:r>
      <w:r>
        <w:rPr>
          <w:rStyle w:val="22"/>
          <w:rFonts w:hint="eastAsia" w:ascii="黑体" w:hAnsi="黑体" w:eastAsia="黑体"/>
          <w:b w:val="0"/>
          <w:color w:val="auto"/>
          <w:highlight w:val="none"/>
        </w:rPr>
        <w:t>出决算情况说明</w:t>
      </w:r>
      <w:bookmarkEnd w:id="36"/>
      <w:bookmarkEnd w:id="37"/>
      <w:bookmarkEnd w:id="38"/>
    </w:p>
    <w:p>
      <w:pPr>
        <w:keepNext w:val="0"/>
        <w:keepLines w:val="0"/>
        <w:pageBreakBefore w:val="0"/>
        <w:widowControl w:val="0"/>
        <w:shd w:val="clear"/>
        <w:kinsoku/>
        <w:wordWrap/>
        <w:overflowPunct/>
        <w:topLinePunct w:val="0"/>
        <w:bidi w:val="0"/>
        <w:snapToGrid/>
        <w:spacing w:line="560" w:lineRule="exact"/>
        <w:ind w:firstLine="640" w:firstLineChars="200"/>
        <w:textAlignment w:val="auto"/>
        <w:outlineLvl w:val="1"/>
        <w:rPr>
          <w:rFonts w:hint="eastAsia" w:ascii="仿宋_GB2312" w:hAnsi="仿宋_GB2312" w:eastAsia="仿宋_GB2312" w:cs="仿宋_GB2312"/>
          <w:color w:val="auto"/>
          <w:sz w:val="32"/>
          <w:szCs w:val="32"/>
          <w:highlight w:val="none"/>
          <w:lang w:eastAsia="zh-CN"/>
        </w:rPr>
      </w:pPr>
      <w:bookmarkStart w:id="39" w:name="_Toc25425"/>
      <w:bookmarkStart w:id="40" w:name="_Toc18343"/>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22</w:t>
      </w:r>
      <w:r>
        <w:rPr>
          <w:rFonts w:hint="eastAsia" w:ascii="仿宋_GB2312" w:hAnsi="仿宋_GB2312" w:eastAsia="仿宋_GB2312" w:cs="仿宋_GB2312"/>
          <w:color w:val="auto"/>
          <w:sz w:val="32"/>
          <w:szCs w:val="32"/>
          <w:highlight w:val="none"/>
        </w:rPr>
        <w:t>年本年支出合计</w:t>
      </w:r>
      <w:r>
        <w:rPr>
          <w:rFonts w:hint="eastAsia" w:ascii="仿宋_GB2312" w:hAnsi="仿宋_GB2312" w:eastAsia="仿宋_GB2312" w:cs="仿宋_GB2312"/>
          <w:color w:val="auto"/>
          <w:sz w:val="32"/>
          <w:szCs w:val="32"/>
          <w:highlight w:val="none"/>
          <w:lang w:val="en-US" w:eastAsia="zh-CN"/>
        </w:rPr>
        <w:t>1537.38</w:t>
      </w:r>
      <w:r>
        <w:rPr>
          <w:rFonts w:hint="eastAsia" w:ascii="仿宋_GB2312" w:hAnsi="仿宋_GB2312" w:eastAsia="仿宋_GB2312" w:cs="仿宋_GB2312"/>
          <w:color w:val="auto"/>
          <w:sz w:val="32"/>
          <w:szCs w:val="32"/>
          <w:highlight w:val="none"/>
        </w:rPr>
        <w:t>万元，其中：基本支出</w:t>
      </w:r>
      <w:r>
        <w:rPr>
          <w:rFonts w:hint="eastAsia" w:ascii="仿宋_GB2312" w:hAnsi="仿宋_GB2312" w:eastAsia="仿宋_GB2312" w:cs="仿宋_GB2312"/>
          <w:color w:val="auto"/>
          <w:sz w:val="32"/>
          <w:szCs w:val="32"/>
          <w:highlight w:val="none"/>
          <w:lang w:val="en-US" w:eastAsia="zh-CN"/>
        </w:rPr>
        <w:t>1240.35</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80.68</w:t>
      </w:r>
      <w:r>
        <w:rPr>
          <w:rFonts w:hint="eastAsia" w:ascii="仿宋_GB2312" w:hAnsi="仿宋_GB2312" w:eastAsia="仿宋_GB2312" w:cs="仿宋_GB2312"/>
          <w:color w:val="auto"/>
          <w:sz w:val="32"/>
          <w:szCs w:val="32"/>
          <w:highlight w:val="none"/>
        </w:rPr>
        <w:t>%；项目支出</w:t>
      </w:r>
      <w:r>
        <w:rPr>
          <w:rFonts w:hint="eastAsia" w:ascii="仿宋_GB2312" w:hAnsi="仿宋_GB2312" w:eastAsia="仿宋_GB2312" w:cs="仿宋_GB2312"/>
          <w:color w:val="auto"/>
          <w:sz w:val="32"/>
          <w:szCs w:val="32"/>
          <w:highlight w:val="none"/>
          <w:lang w:val="en-US" w:eastAsia="zh-CN"/>
        </w:rPr>
        <w:t>297.02</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19.32</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无上缴上级支出；无经营支出；无对附属单位补助支出。</w:t>
      </w:r>
      <w:bookmarkEnd w:id="39"/>
      <w:bookmarkEnd w:id="40"/>
    </w:p>
    <w:p>
      <w:pPr>
        <w:pStyle w:val="6"/>
        <w:shd w:val="clear"/>
        <w:spacing w:before="93"/>
        <w:jc w:val="center"/>
        <w:rPr>
          <w:color w:val="auto"/>
          <w:highlight w:val="none"/>
        </w:rPr>
      </w:pPr>
      <w:r>
        <w:rPr>
          <w:rFonts w:hint="eastAsia" w:ascii="仿宋" w:hAnsi="仿宋" w:eastAsia="仿宋"/>
          <w:b/>
          <w:color w:val="auto"/>
          <w:sz w:val="32"/>
          <w:szCs w:val="32"/>
          <w:highlight w:val="none"/>
        </w:rPr>
        <w:drawing>
          <wp:inline distT="0" distB="0" distL="0" distR="0">
            <wp:extent cx="4474210" cy="2483485"/>
            <wp:effectExtent l="4445" t="5080" r="17145" b="6985"/>
            <wp:docPr id="13"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pPr>
        <w:shd w:val="clear"/>
        <w:spacing w:line="600" w:lineRule="exact"/>
        <w:ind w:firstLine="560" w:firstLineChars="200"/>
        <w:jc w:val="center"/>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rPr>
        <w:t>图3：支出决算结构图</w:t>
      </w:r>
      <w:r>
        <w:rPr>
          <w:rFonts w:hint="eastAsia" w:ascii="仿宋_GB2312" w:hAnsi="仿宋_GB2312" w:eastAsia="仿宋_GB2312" w:cs="仿宋_GB2312"/>
          <w:color w:val="auto"/>
          <w:sz w:val="28"/>
          <w:szCs w:val="28"/>
          <w:highlight w:val="none"/>
          <w:lang w:eastAsia="zh-CN"/>
        </w:rPr>
        <w:t>（单位：万元）</w:t>
      </w:r>
    </w:p>
    <w:p>
      <w:pPr>
        <w:pStyle w:val="2"/>
        <w:shd w:val="clear"/>
        <w:rPr>
          <w:rFonts w:hint="eastAsia"/>
          <w:color w:val="auto"/>
          <w:highlight w:val="none"/>
        </w:rPr>
      </w:pP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outlineLvl w:val="1"/>
        <w:rPr>
          <w:rStyle w:val="22"/>
          <w:rFonts w:ascii="黑体" w:hAnsi="黑体" w:eastAsia="黑体"/>
          <w:b w:val="0"/>
          <w:color w:val="auto"/>
          <w:highlight w:val="none"/>
        </w:rPr>
      </w:pPr>
      <w:bookmarkStart w:id="41" w:name="_Toc15396606"/>
      <w:bookmarkStart w:id="42" w:name="_Toc15377208"/>
      <w:bookmarkStart w:id="43" w:name="_Toc13147"/>
      <w:r>
        <w:rPr>
          <w:rFonts w:hint="eastAsia" w:ascii="黑体" w:hAnsi="黑体" w:eastAsia="黑体"/>
          <w:color w:val="auto"/>
          <w:sz w:val="32"/>
          <w:szCs w:val="32"/>
          <w:highlight w:val="none"/>
        </w:rPr>
        <w:t>四、财</w:t>
      </w:r>
      <w:r>
        <w:rPr>
          <w:rStyle w:val="22"/>
          <w:rFonts w:hint="eastAsia" w:ascii="黑体" w:hAnsi="黑体" w:eastAsia="黑体"/>
          <w:b w:val="0"/>
          <w:color w:val="auto"/>
          <w:highlight w:val="none"/>
        </w:rPr>
        <w:t>政拨款收入支出决算总体情况说明</w:t>
      </w:r>
      <w:bookmarkEnd w:id="41"/>
      <w:bookmarkEnd w:id="42"/>
      <w:bookmarkEnd w:id="43"/>
    </w:p>
    <w:p>
      <w:pPr>
        <w:keepNext w:val="0"/>
        <w:keepLines w:val="0"/>
        <w:pageBreakBefore w:val="0"/>
        <w:widowControl w:val="0"/>
        <w:shd w:val="clear"/>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22</w:t>
      </w:r>
      <w:r>
        <w:rPr>
          <w:rFonts w:hint="eastAsia" w:ascii="仿宋_GB2312" w:hAnsi="仿宋_GB2312" w:eastAsia="仿宋_GB2312" w:cs="仿宋_GB2312"/>
          <w:color w:val="auto"/>
          <w:sz w:val="32"/>
          <w:szCs w:val="32"/>
          <w:highlight w:val="none"/>
        </w:rPr>
        <w:t>年财政拨款收、支总计</w:t>
      </w:r>
      <w:r>
        <w:rPr>
          <w:rFonts w:hint="eastAsia" w:ascii="仿宋_GB2312" w:hAnsi="仿宋_GB2312" w:eastAsia="仿宋_GB2312" w:cs="仿宋_GB2312"/>
          <w:color w:val="auto"/>
          <w:sz w:val="32"/>
          <w:szCs w:val="32"/>
          <w:highlight w:val="none"/>
          <w:lang w:val="en-US" w:eastAsia="zh-CN"/>
        </w:rPr>
        <w:t>1,527.35</w:t>
      </w:r>
      <w:r>
        <w:rPr>
          <w:rFonts w:hint="eastAsia" w:ascii="仿宋_GB2312" w:hAnsi="仿宋_GB2312" w:eastAsia="仿宋_GB2312" w:cs="仿宋_GB2312"/>
          <w:color w:val="auto"/>
          <w:sz w:val="32"/>
          <w:szCs w:val="32"/>
          <w:highlight w:val="none"/>
        </w:rPr>
        <w:t>万元。与20</w:t>
      </w: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年相比，财政拨款收、支总计各增加</w:t>
      </w:r>
      <w:r>
        <w:rPr>
          <w:rFonts w:hint="eastAsia" w:ascii="仿宋_GB2312" w:hAnsi="仿宋_GB2312" w:eastAsia="仿宋_GB2312" w:cs="仿宋_GB2312"/>
          <w:color w:val="auto"/>
          <w:sz w:val="32"/>
          <w:szCs w:val="32"/>
          <w:highlight w:val="none"/>
          <w:lang w:val="en-US" w:eastAsia="zh-CN"/>
        </w:rPr>
        <w:t>184.05</w:t>
      </w:r>
      <w:r>
        <w:rPr>
          <w:rFonts w:hint="eastAsia" w:ascii="仿宋_GB2312" w:hAnsi="仿宋_GB2312" w:eastAsia="仿宋_GB2312" w:cs="仿宋_GB2312"/>
          <w:color w:val="auto"/>
          <w:sz w:val="32"/>
          <w:szCs w:val="32"/>
          <w:highlight w:val="none"/>
        </w:rPr>
        <w:t>万元，增长</w:t>
      </w:r>
      <w:r>
        <w:rPr>
          <w:rFonts w:hint="eastAsia" w:ascii="仿宋_GB2312" w:hAnsi="仿宋_GB2312" w:eastAsia="仿宋_GB2312" w:cs="仿宋_GB2312"/>
          <w:color w:val="auto"/>
          <w:sz w:val="32"/>
          <w:szCs w:val="32"/>
          <w:highlight w:val="none"/>
          <w:lang w:val="en-US" w:eastAsia="zh-CN"/>
        </w:rPr>
        <w:t>13.7</w:t>
      </w:r>
      <w:r>
        <w:rPr>
          <w:rFonts w:hint="eastAsia" w:ascii="仿宋_GB2312" w:hAnsi="仿宋_GB2312" w:eastAsia="仿宋_GB2312" w:cs="仿宋_GB2312"/>
          <w:color w:val="auto"/>
          <w:sz w:val="32"/>
          <w:szCs w:val="32"/>
          <w:highlight w:val="none"/>
        </w:rPr>
        <w:t>%。主要变动原因</w:t>
      </w:r>
      <w:r>
        <w:rPr>
          <w:rFonts w:hint="eastAsia" w:ascii="仿宋_GB2312" w:hAnsi="仿宋_GB2312" w:eastAsia="仿宋_GB2312" w:cs="仿宋_GB2312"/>
          <w:color w:val="auto"/>
          <w:sz w:val="32"/>
          <w:szCs w:val="32"/>
          <w:highlight w:val="none"/>
          <w:lang w:val="en-US" w:eastAsia="zh-CN"/>
        </w:rPr>
        <w:t>是人员经费标准正常提升和新增公积金业务终端开发项目</w:t>
      </w:r>
      <w:r>
        <w:rPr>
          <w:rFonts w:hint="eastAsia" w:ascii="仿宋_GB2312" w:hAnsi="仿宋_GB2312" w:eastAsia="仿宋_GB2312" w:cs="仿宋_GB2312"/>
          <w:color w:val="auto"/>
          <w:sz w:val="32"/>
          <w:szCs w:val="32"/>
          <w:highlight w:val="none"/>
          <w:lang w:eastAsia="zh-CN"/>
        </w:rPr>
        <w:t>。</w:t>
      </w:r>
    </w:p>
    <w:p>
      <w:pPr>
        <w:pStyle w:val="2"/>
        <w:shd w:val="clear"/>
        <w:jc w:val="center"/>
        <w:rPr>
          <w:color w:val="auto"/>
          <w:highlight w:val="none"/>
        </w:rPr>
      </w:pPr>
      <w:r>
        <w:rPr>
          <w:color w:val="auto"/>
          <w:highlight w:val="none"/>
        </w:rPr>
        <w:drawing>
          <wp:inline distT="0" distB="0" distL="114300" distR="114300">
            <wp:extent cx="3790950" cy="2352675"/>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0"/>
                    <a:stretch>
                      <a:fillRect/>
                    </a:stretch>
                  </pic:blipFill>
                  <pic:spPr>
                    <a:xfrm>
                      <a:off x="0" y="0"/>
                      <a:ext cx="3790950" cy="2352675"/>
                    </a:xfrm>
                    <a:prstGeom prst="rect">
                      <a:avLst/>
                    </a:prstGeom>
                    <a:noFill/>
                    <a:ln>
                      <a:noFill/>
                    </a:ln>
                  </pic:spPr>
                </pic:pic>
              </a:graphicData>
            </a:graphic>
          </wp:inline>
        </w:drawing>
      </w:r>
    </w:p>
    <w:p>
      <w:pPr>
        <w:shd w:val="clear"/>
        <w:spacing w:line="600" w:lineRule="exact"/>
        <w:ind w:firstLine="560" w:firstLineChars="200"/>
        <w:jc w:val="center"/>
        <w:rPr>
          <w:rFonts w:hint="eastAsia"/>
          <w:color w:val="auto"/>
          <w:highlight w:val="none"/>
        </w:rPr>
      </w:pPr>
      <w:r>
        <w:rPr>
          <w:rFonts w:hint="eastAsia" w:ascii="仿宋_GB2312" w:hAnsi="仿宋_GB2312" w:eastAsia="仿宋_GB2312" w:cs="仿宋_GB2312"/>
          <w:color w:val="auto"/>
          <w:sz w:val="28"/>
          <w:szCs w:val="28"/>
          <w:highlight w:val="none"/>
        </w:rPr>
        <w:t>图4：财政拨款收、支决算总计变动情况</w:t>
      </w:r>
      <w:r>
        <w:rPr>
          <w:rFonts w:hint="eastAsia" w:ascii="仿宋_GB2312" w:hAnsi="仿宋_GB2312" w:eastAsia="仿宋_GB2312" w:cs="仿宋_GB2312"/>
          <w:color w:val="auto"/>
          <w:sz w:val="28"/>
          <w:szCs w:val="28"/>
          <w:highlight w:val="none"/>
          <w:lang w:eastAsia="zh-CN"/>
        </w:rPr>
        <w:t>图（单位：万元）</w:t>
      </w:r>
    </w:p>
    <w:p>
      <w:pPr>
        <w:keepNext w:val="0"/>
        <w:keepLines w:val="0"/>
        <w:pageBreakBefore w:val="0"/>
        <w:widowControl w:val="0"/>
        <w:shd w:val="clear"/>
        <w:kinsoku/>
        <w:wordWrap/>
        <w:overflowPunct/>
        <w:topLinePunct w:val="0"/>
        <w:bidi w:val="0"/>
        <w:snapToGrid/>
        <w:spacing w:line="560" w:lineRule="exact"/>
        <w:ind w:firstLine="640" w:firstLineChars="200"/>
        <w:textAlignment w:val="auto"/>
        <w:outlineLvl w:val="1"/>
        <w:rPr>
          <w:rStyle w:val="22"/>
          <w:rFonts w:ascii="黑体" w:hAnsi="黑体" w:eastAsia="黑体"/>
          <w:b w:val="0"/>
          <w:color w:val="auto"/>
          <w:highlight w:val="none"/>
        </w:rPr>
      </w:pPr>
      <w:bookmarkStart w:id="44" w:name="_Toc15396607"/>
      <w:bookmarkStart w:id="45" w:name="_Toc15377209"/>
      <w:bookmarkStart w:id="46" w:name="_Toc1593"/>
      <w:r>
        <w:rPr>
          <w:rFonts w:hint="eastAsia" w:ascii="黑体" w:hAnsi="黑体" w:eastAsia="黑体"/>
          <w:color w:val="auto"/>
          <w:sz w:val="32"/>
          <w:szCs w:val="32"/>
          <w:highlight w:val="none"/>
        </w:rPr>
        <w:t>五、</w:t>
      </w:r>
      <w:r>
        <w:rPr>
          <w:rFonts w:hint="eastAsia" w:ascii="黑体" w:hAnsi="黑体" w:eastAsia="黑体"/>
          <w:b/>
          <w:color w:val="auto"/>
          <w:sz w:val="32"/>
          <w:szCs w:val="32"/>
          <w:highlight w:val="none"/>
        </w:rPr>
        <w:t>一</w:t>
      </w:r>
      <w:r>
        <w:rPr>
          <w:rStyle w:val="22"/>
          <w:rFonts w:hint="eastAsia" w:ascii="黑体" w:hAnsi="黑体" w:eastAsia="黑体"/>
          <w:b w:val="0"/>
          <w:color w:val="auto"/>
          <w:highlight w:val="none"/>
        </w:rPr>
        <w:t>般公共预算财政拨款支出决算情况说明</w:t>
      </w:r>
      <w:bookmarkEnd w:id="44"/>
      <w:bookmarkEnd w:id="45"/>
      <w:bookmarkEnd w:id="46"/>
    </w:p>
    <w:p>
      <w:pPr>
        <w:keepNext w:val="0"/>
        <w:keepLines w:val="0"/>
        <w:pageBreakBefore w:val="0"/>
        <w:widowControl w:val="0"/>
        <w:shd w:val="clear"/>
        <w:kinsoku/>
        <w:wordWrap/>
        <w:overflowPunct/>
        <w:topLinePunct w:val="0"/>
        <w:bidi w:val="0"/>
        <w:snapToGrid/>
        <w:spacing w:line="560" w:lineRule="exact"/>
        <w:ind w:firstLine="640" w:firstLineChars="200"/>
        <w:textAlignment w:val="auto"/>
        <w:outlineLvl w:val="2"/>
        <w:rPr>
          <w:rFonts w:hint="eastAsia" w:ascii="楷体_GB2312" w:hAnsi="楷体_GB2312" w:eastAsia="楷体_GB2312" w:cs="楷体_GB2312"/>
          <w:b w:val="0"/>
          <w:bCs/>
          <w:color w:val="auto"/>
          <w:sz w:val="32"/>
          <w:szCs w:val="32"/>
          <w:highlight w:val="none"/>
        </w:rPr>
      </w:pPr>
      <w:bookmarkStart w:id="47" w:name="_Toc15377210"/>
      <w:r>
        <w:rPr>
          <w:rFonts w:hint="eastAsia" w:ascii="楷体_GB2312" w:hAnsi="楷体_GB2312" w:eastAsia="楷体_GB2312" w:cs="楷体_GB2312"/>
          <w:b w:val="0"/>
          <w:bCs/>
          <w:color w:val="auto"/>
          <w:sz w:val="32"/>
          <w:szCs w:val="32"/>
          <w:highlight w:val="none"/>
        </w:rPr>
        <w:t>（一）一般公共预算财政拨款支出决算总体情况</w:t>
      </w:r>
      <w:bookmarkEnd w:id="47"/>
    </w:p>
    <w:p>
      <w:pPr>
        <w:keepNext w:val="0"/>
        <w:keepLines w:val="0"/>
        <w:pageBreakBefore w:val="0"/>
        <w:widowControl w:val="0"/>
        <w:shd w:val="clear"/>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22</w:t>
      </w:r>
      <w:r>
        <w:rPr>
          <w:rFonts w:hint="eastAsia" w:ascii="仿宋_GB2312" w:hAnsi="仿宋_GB2312" w:eastAsia="仿宋_GB2312" w:cs="仿宋_GB2312"/>
          <w:color w:val="auto"/>
          <w:sz w:val="32"/>
          <w:szCs w:val="32"/>
          <w:highlight w:val="none"/>
        </w:rPr>
        <w:t>年一般公共预算财政拨款支出</w:t>
      </w:r>
      <w:r>
        <w:rPr>
          <w:rFonts w:hint="eastAsia" w:ascii="仿宋_GB2312" w:hAnsi="仿宋_GB2312" w:eastAsia="仿宋_GB2312" w:cs="仿宋_GB2312"/>
          <w:color w:val="auto"/>
          <w:sz w:val="32"/>
          <w:szCs w:val="32"/>
          <w:highlight w:val="none"/>
          <w:lang w:val="en-US" w:eastAsia="zh-CN"/>
        </w:rPr>
        <w:t>1527.35</w:t>
      </w:r>
      <w:r>
        <w:rPr>
          <w:rFonts w:hint="eastAsia" w:ascii="仿宋_GB2312" w:hAnsi="仿宋_GB2312" w:eastAsia="仿宋_GB2312" w:cs="仿宋_GB2312"/>
          <w:color w:val="auto"/>
          <w:sz w:val="32"/>
          <w:szCs w:val="32"/>
          <w:highlight w:val="none"/>
        </w:rPr>
        <w:t>万元，占本年支出合计的</w:t>
      </w:r>
      <w:r>
        <w:rPr>
          <w:rFonts w:hint="eastAsia" w:ascii="仿宋_GB2312" w:hAnsi="仿宋_GB2312" w:eastAsia="仿宋_GB2312" w:cs="仿宋_GB2312"/>
          <w:color w:val="auto"/>
          <w:sz w:val="32"/>
          <w:szCs w:val="32"/>
          <w:highlight w:val="none"/>
          <w:lang w:val="en-US" w:eastAsia="zh-CN"/>
        </w:rPr>
        <w:t>99.35</w:t>
      </w:r>
      <w:r>
        <w:rPr>
          <w:rFonts w:hint="eastAsia" w:ascii="仿宋_GB2312" w:hAnsi="仿宋_GB2312" w:eastAsia="仿宋_GB2312" w:cs="仿宋_GB2312"/>
          <w:color w:val="auto"/>
          <w:sz w:val="32"/>
          <w:szCs w:val="32"/>
          <w:highlight w:val="none"/>
        </w:rPr>
        <w:t>%。与20</w:t>
      </w: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年相比，一般公共预算财政拨款</w:t>
      </w:r>
      <w:r>
        <w:rPr>
          <w:rFonts w:hint="eastAsia" w:ascii="仿宋_GB2312" w:hAnsi="仿宋_GB2312" w:eastAsia="仿宋_GB2312" w:cs="仿宋_GB2312"/>
          <w:color w:val="auto"/>
          <w:sz w:val="32"/>
          <w:szCs w:val="32"/>
          <w:highlight w:val="none"/>
          <w:lang w:eastAsia="zh-CN"/>
        </w:rPr>
        <w:t>支出</w:t>
      </w:r>
      <w:r>
        <w:rPr>
          <w:rFonts w:hint="eastAsia" w:ascii="仿宋_GB2312" w:hAnsi="仿宋_GB2312" w:eastAsia="仿宋_GB2312" w:cs="仿宋_GB2312"/>
          <w:color w:val="auto"/>
          <w:sz w:val="32"/>
          <w:szCs w:val="32"/>
          <w:highlight w:val="none"/>
        </w:rPr>
        <w:t>增加</w:t>
      </w:r>
      <w:r>
        <w:rPr>
          <w:rFonts w:hint="eastAsia" w:ascii="仿宋_GB2312" w:hAnsi="仿宋_GB2312" w:eastAsia="仿宋_GB2312" w:cs="仿宋_GB2312"/>
          <w:color w:val="auto"/>
          <w:sz w:val="32"/>
          <w:szCs w:val="32"/>
          <w:highlight w:val="none"/>
          <w:lang w:val="en-US" w:eastAsia="zh-CN"/>
        </w:rPr>
        <w:t>234.94</w:t>
      </w:r>
      <w:r>
        <w:rPr>
          <w:rFonts w:hint="eastAsia" w:ascii="仿宋_GB2312" w:hAnsi="仿宋_GB2312" w:eastAsia="仿宋_GB2312" w:cs="仿宋_GB2312"/>
          <w:color w:val="auto"/>
          <w:sz w:val="32"/>
          <w:szCs w:val="32"/>
          <w:highlight w:val="none"/>
        </w:rPr>
        <w:t>万元，增长</w:t>
      </w:r>
      <w:r>
        <w:rPr>
          <w:rFonts w:hint="eastAsia" w:ascii="仿宋_GB2312" w:hAnsi="仿宋_GB2312" w:eastAsia="仿宋_GB2312" w:cs="仿宋_GB2312"/>
          <w:color w:val="auto"/>
          <w:sz w:val="32"/>
          <w:szCs w:val="32"/>
          <w:highlight w:val="none"/>
          <w:lang w:val="en-US" w:eastAsia="zh-CN"/>
        </w:rPr>
        <w:t>18.18</w:t>
      </w:r>
      <w:r>
        <w:rPr>
          <w:rFonts w:hint="eastAsia" w:ascii="仿宋_GB2312" w:hAnsi="仿宋_GB2312" w:eastAsia="仿宋_GB2312" w:cs="仿宋_GB2312"/>
          <w:color w:val="auto"/>
          <w:sz w:val="32"/>
          <w:szCs w:val="32"/>
          <w:highlight w:val="none"/>
        </w:rPr>
        <w:t>%。主要变动原因</w:t>
      </w:r>
      <w:r>
        <w:rPr>
          <w:rFonts w:hint="eastAsia" w:ascii="仿宋_GB2312" w:hAnsi="仿宋_GB2312" w:eastAsia="仿宋_GB2312" w:cs="仿宋_GB2312"/>
          <w:color w:val="auto"/>
          <w:sz w:val="32"/>
          <w:szCs w:val="32"/>
          <w:highlight w:val="none"/>
          <w:lang w:val="en-US" w:eastAsia="zh-CN"/>
        </w:rPr>
        <w:t>是人员经费标准正常提升和新增公积金业务终端开发项目</w:t>
      </w:r>
      <w:r>
        <w:rPr>
          <w:rFonts w:hint="eastAsia" w:ascii="仿宋_GB2312" w:hAnsi="仿宋_GB2312" w:eastAsia="仿宋_GB2312" w:cs="仿宋_GB2312"/>
          <w:color w:val="auto"/>
          <w:sz w:val="32"/>
          <w:szCs w:val="32"/>
          <w:highlight w:val="none"/>
          <w:lang w:eastAsia="zh-CN"/>
        </w:rPr>
        <w:t>。</w:t>
      </w:r>
    </w:p>
    <w:p>
      <w:pPr>
        <w:pStyle w:val="2"/>
        <w:shd w:val="clear"/>
        <w:rPr>
          <w:rFonts w:hint="eastAsia"/>
          <w:color w:val="auto"/>
          <w:highlight w:val="none"/>
        </w:rPr>
      </w:pPr>
    </w:p>
    <w:p>
      <w:pPr>
        <w:pStyle w:val="6"/>
        <w:shd w:val="clear"/>
        <w:spacing w:before="93"/>
        <w:jc w:val="center"/>
        <w:rPr>
          <w:color w:val="auto"/>
          <w:highlight w:val="none"/>
        </w:rPr>
      </w:pPr>
      <w:r>
        <w:rPr>
          <w:rFonts w:hint="eastAsia" w:ascii="仿宋" w:hAnsi="仿宋" w:eastAsia="仿宋"/>
          <w:color w:val="auto"/>
          <w:sz w:val="32"/>
          <w:szCs w:val="32"/>
          <w:highlight w:val="none"/>
        </w:rPr>
        <w:drawing>
          <wp:inline distT="0" distB="0" distL="0" distR="0">
            <wp:extent cx="4950460" cy="2101215"/>
            <wp:effectExtent l="4445" t="4445" r="17145" b="8890"/>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pPr>
        <w:shd w:val="clear"/>
        <w:spacing w:line="600" w:lineRule="exact"/>
        <w:ind w:firstLine="560" w:firstLineChars="200"/>
        <w:jc w:val="center"/>
        <w:rPr>
          <w:rFonts w:hint="eastAsia"/>
          <w:color w:val="auto"/>
          <w:highlight w:val="none"/>
        </w:rPr>
      </w:pPr>
      <w:r>
        <w:rPr>
          <w:rFonts w:hint="eastAsia" w:ascii="仿宋_GB2312" w:hAnsi="仿宋_GB2312" w:eastAsia="仿宋_GB2312" w:cs="仿宋_GB2312"/>
          <w:color w:val="auto"/>
          <w:sz w:val="28"/>
          <w:szCs w:val="28"/>
          <w:highlight w:val="none"/>
        </w:rPr>
        <w:t>图5：一般公共预算财政拨款支出决算变动情况</w:t>
      </w:r>
      <w:r>
        <w:rPr>
          <w:rFonts w:hint="eastAsia" w:ascii="仿宋_GB2312" w:hAnsi="仿宋_GB2312" w:eastAsia="仿宋_GB2312" w:cs="仿宋_GB2312"/>
          <w:color w:val="auto"/>
          <w:sz w:val="28"/>
          <w:szCs w:val="28"/>
          <w:highlight w:val="none"/>
          <w:lang w:eastAsia="zh-CN"/>
        </w:rPr>
        <w:t>图（单位：万元）</w:t>
      </w:r>
    </w:p>
    <w:p>
      <w:pPr>
        <w:keepNext w:val="0"/>
        <w:keepLines w:val="0"/>
        <w:pageBreakBefore w:val="0"/>
        <w:widowControl w:val="0"/>
        <w:shd w:val="clear"/>
        <w:kinsoku/>
        <w:wordWrap/>
        <w:overflowPunct/>
        <w:topLinePunct w:val="0"/>
        <w:bidi w:val="0"/>
        <w:snapToGrid/>
        <w:spacing w:line="560" w:lineRule="exact"/>
        <w:ind w:firstLine="640" w:firstLineChars="200"/>
        <w:textAlignment w:val="auto"/>
        <w:outlineLvl w:val="2"/>
        <w:rPr>
          <w:rFonts w:hint="eastAsia" w:ascii="楷体_GB2312" w:hAnsi="楷体_GB2312" w:eastAsia="楷体_GB2312" w:cs="楷体_GB2312"/>
          <w:b w:val="0"/>
          <w:bCs/>
          <w:color w:val="auto"/>
          <w:sz w:val="32"/>
          <w:szCs w:val="32"/>
          <w:highlight w:val="none"/>
        </w:rPr>
      </w:pPr>
      <w:bookmarkStart w:id="48" w:name="_Toc15377211"/>
      <w:r>
        <w:rPr>
          <w:rFonts w:hint="eastAsia" w:ascii="楷体_GB2312" w:hAnsi="楷体_GB2312" w:eastAsia="楷体_GB2312" w:cs="楷体_GB2312"/>
          <w:b w:val="0"/>
          <w:bCs/>
          <w:color w:val="auto"/>
          <w:sz w:val="32"/>
          <w:szCs w:val="32"/>
          <w:highlight w:val="none"/>
        </w:rPr>
        <w:t>（二）一般公共预算财政拨款支出决算结构情况</w:t>
      </w:r>
      <w:bookmarkEnd w:id="48"/>
    </w:p>
    <w:p>
      <w:pPr>
        <w:keepNext w:val="0"/>
        <w:keepLines w:val="0"/>
        <w:pageBreakBefore w:val="0"/>
        <w:widowControl w:val="0"/>
        <w:shd w:val="clear"/>
        <w:kinsoku/>
        <w:wordWrap/>
        <w:overflowPunct/>
        <w:topLinePunct w:val="0"/>
        <w:bidi w:val="0"/>
        <w:snapToGrid/>
        <w:spacing w:line="560" w:lineRule="exact"/>
        <w:ind w:firstLine="64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202</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年一般公共预算财政拨款支出1</w:t>
      </w:r>
      <w:r>
        <w:rPr>
          <w:rFonts w:hint="eastAsia" w:ascii="仿宋_GB2312" w:hAnsi="仿宋_GB2312" w:eastAsia="仿宋_GB2312" w:cs="仿宋_GB2312"/>
          <w:color w:val="auto"/>
          <w:sz w:val="32"/>
          <w:szCs w:val="32"/>
          <w:highlight w:val="none"/>
          <w:lang w:val="en-US" w:eastAsia="zh-CN"/>
        </w:rPr>
        <w:t>527</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35</w:t>
      </w:r>
      <w:r>
        <w:rPr>
          <w:rFonts w:hint="eastAsia" w:ascii="仿宋_GB2312" w:hAnsi="仿宋_GB2312" w:eastAsia="仿宋_GB2312" w:cs="仿宋_GB2312"/>
          <w:color w:val="auto"/>
          <w:sz w:val="32"/>
          <w:szCs w:val="32"/>
          <w:highlight w:val="none"/>
        </w:rPr>
        <w:t>万元，主要用于以下方</w:t>
      </w:r>
      <w:r>
        <w:rPr>
          <w:rFonts w:hint="eastAsia" w:ascii="仿宋_GB2312" w:hAnsi="仿宋_GB2312" w:eastAsia="仿宋_GB2312" w:cs="仿宋_GB2312"/>
          <w:strike w:val="0"/>
          <w:dstrike w:val="0"/>
          <w:color w:val="auto"/>
          <w:sz w:val="32"/>
          <w:szCs w:val="32"/>
          <w:highlight w:val="none"/>
        </w:rPr>
        <w:t>面</w:t>
      </w:r>
      <w:r>
        <w:rPr>
          <w:rFonts w:hint="eastAsia" w:ascii="仿宋_GB2312" w:hAnsi="仿宋_GB2312" w:eastAsia="仿宋_GB2312" w:cs="仿宋_GB2312"/>
          <w:strike w:val="0"/>
          <w:dstrike w:val="0"/>
          <w:color w:val="auto"/>
          <w:sz w:val="32"/>
          <w:szCs w:val="32"/>
          <w:highlight w:val="none"/>
          <w:lang w:eastAsia="zh-CN"/>
        </w:rPr>
        <w:t>：</w:t>
      </w:r>
      <w:r>
        <w:rPr>
          <w:rFonts w:hint="eastAsia" w:ascii="仿宋_GB2312" w:hAnsi="仿宋_GB2312" w:eastAsia="仿宋_GB2312" w:cs="仿宋_GB2312"/>
          <w:strike w:val="0"/>
          <w:dstrike w:val="0"/>
          <w:color w:val="auto"/>
          <w:sz w:val="32"/>
          <w:szCs w:val="32"/>
          <w:highlight w:val="none"/>
        </w:rPr>
        <w:t xml:space="preserve"> 社会保障和就业（类）支出</w:t>
      </w:r>
      <w:r>
        <w:rPr>
          <w:rFonts w:hint="eastAsia" w:ascii="仿宋_GB2312" w:hAnsi="仿宋_GB2312" w:eastAsia="仿宋_GB2312" w:cs="仿宋_GB2312"/>
          <w:strike w:val="0"/>
          <w:dstrike w:val="0"/>
          <w:color w:val="auto"/>
          <w:sz w:val="32"/>
          <w:szCs w:val="32"/>
          <w:highlight w:val="none"/>
          <w:lang w:val="en-US" w:eastAsia="zh-CN"/>
        </w:rPr>
        <w:t>69.72</w:t>
      </w:r>
      <w:r>
        <w:rPr>
          <w:rFonts w:hint="eastAsia" w:ascii="仿宋_GB2312" w:hAnsi="仿宋_GB2312" w:eastAsia="仿宋_GB2312" w:cs="仿宋_GB2312"/>
          <w:strike w:val="0"/>
          <w:dstrike w:val="0"/>
          <w:color w:val="auto"/>
          <w:sz w:val="32"/>
          <w:szCs w:val="32"/>
          <w:highlight w:val="none"/>
        </w:rPr>
        <w:t>万元，占</w:t>
      </w:r>
      <w:r>
        <w:rPr>
          <w:rFonts w:hint="eastAsia" w:ascii="仿宋_GB2312" w:hAnsi="仿宋_GB2312" w:eastAsia="仿宋_GB2312" w:cs="仿宋_GB2312"/>
          <w:strike w:val="0"/>
          <w:dstrike w:val="0"/>
          <w:color w:val="auto"/>
          <w:sz w:val="32"/>
          <w:szCs w:val="32"/>
          <w:highlight w:val="none"/>
          <w:lang w:val="en-US" w:eastAsia="zh-CN"/>
        </w:rPr>
        <w:t>4.56</w:t>
      </w:r>
      <w:r>
        <w:rPr>
          <w:rFonts w:hint="eastAsia" w:ascii="仿宋_GB2312" w:hAnsi="仿宋_GB2312" w:eastAsia="仿宋_GB2312" w:cs="仿宋_GB2312"/>
          <w:strike w:val="0"/>
          <w:dstrike w:val="0"/>
          <w:color w:val="auto"/>
          <w:sz w:val="32"/>
          <w:szCs w:val="32"/>
          <w:highlight w:val="none"/>
        </w:rPr>
        <w:t>%；卫生健康（类）支出</w:t>
      </w:r>
      <w:r>
        <w:rPr>
          <w:rFonts w:hint="eastAsia" w:ascii="仿宋_GB2312" w:hAnsi="仿宋_GB2312" w:eastAsia="仿宋_GB2312" w:cs="仿宋_GB2312"/>
          <w:strike w:val="0"/>
          <w:dstrike w:val="0"/>
          <w:color w:val="auto"/>
          <w:sz w:val="32"/>
          <w:szCs w:val="32"/>
          <w:highlight w:val="none"/>
          <w:lang w:val="en-US" w:eastAsia="zh-CN"/>
        </w:rPr>
        <w:t>35.25</w:t>
      </w:r>
      <w:r>
        <w:rPr>
          <w:rFonts w:hint="eastAsia" w:ascii="仿宋_GB2312" w:hAnsi="仿宋_GB2312" w:eastAsia="仿宋_GB2312" w:cs="仿宋_GB2312"/>
          <w:strike w:val="0"/>
          <w:dstrike w:val="0"/>
          <w:color w:val="auto"/>
          <w:sz w:val="32"/>
          <w:szCs w:val="32"/>
          <w:highlight w:val="none"/>
        </w:rPr>
        <w:t>万元，占</w:t>
      </w:r>
      <w:r>
        <w:rPr>
          <w:rFonts w:hint="eastAsia" w:ascii="仿宋_GB2312" w:hAnsi="仿宋_GB2312" w:eastAsia="仿宋_GB2312" w:cs="仿宋_GB2312"/>
          <w:strike w:val="0"/>
          <w:dstrike w:val="0"/>
          <w:color w:val="auto"/>
          <w:sz w:val="32"/>
          <w:szCs w:val="32"/>
          <w:highlight w:val="none"/>
          <w:lang w:val="en-US" w:eastAsia="zh-CN"/>
        </w:rPr>
        <w:t>2.31</w:t>
      </w:r>
      <w:r>
        <w:rPr>
          <w:rFonts w:hint="eastAsia" w:ascii="仿宋_GB2312" w:hAnsi="仿宋_GB2312" w:eastAsia="仿宋_GB2312" w:cs="仿宋_GB2312"/>
          <w:strike w:val="0"/>
          <w:dstrike w:val="0"/>
          <w:color w:val="auto"/>
          <w:sz w:val="32"/>
          <w:szCs w:val="32"/>
          <w:highlight w:val="none"/>
        </w:rPr>
        <w:t>%；住房保障（类）支出</w:t>
      </w:r>
      <w:r>
        <w:rPr>
          <w:rFonts w:hint="eastAsia" w:ascii="仿宋_GB2312" w:hAnsi="仿宋_GB2312" w:eastAsia="仿宋_GB2312" w:cs="仿宋_GB2312"/>
          <w:strike w:val="0"/>
          <w:dstrike w:val="0"/>
          <w:color w:val="auto"/>
          <w:sz w:val="32"/>
          <w:szCs w:val="32"/>
          <w:highlight w:val="none"/>
          <w:lang w:val="en-US" w:eastAsia="zh-CN"/>
        </w:rPr>
        <w:t>1422.38</w:t>
      </w:r>
      <w:r>
        <w:rPr>
          <w:rFonts w:hint="eastAsia" w:ascii="仿宋_GB2312" w:hAnsi="仿宋_GB2312" w:eastAsia="仿宋_GB2312" w:cs="仿宋_GB2312"/>
          <w:strike w:val="0"/>
          <w:dstrike w:val="0"/>
          <w:color w:val="auto"/>
          <w:sz w:val="32"/>
          <w:szCs w:val="32"/>
          <w:highlight w:val="none"/>
        </w:rPr>
        <w:t>万元，占</w:t>
      </w:r>
      <w:r>
        <w:rPr>
          <w:rFonts w:hint="eastAsia" w:ascii="仿宋_GB2312" w:hAnsi="仿宋_GB2312" w:eastAsia="仿宋_GB2312" w:cs="仿宋_GB2312"/>
          <w:strike w:val="0"/>
          <w:dstrike w:val="0"/>
          <w:color w:val="auto"/>
          <w:sz w:val="32"/>
          <w:szCs w:val="32"/>
          <w:highlight w:val="none"/>
          <w:lang w:val="en-US" w:eastAsia="zh-CN"/>
        </w:rPr>
        <w:t>93.13</w:t>
      </w:r>
      <w:r>
        <w:rPr>
          <w:rFonts w:hint="eastAsia" w:ascii="仿宋_GB2312" w:hAnsi="仿宋_GB2312" w:eastAsia="仿宋_GB2312" w:cs="仿宋_GB2312"/>
          <w:strike w:val="0"/>
          <w:dstrike w:val="0"/>
          <w:color w:val="auto"/>
          <w:sz w:val="32"/>
          <w:szCs w:val="32"/>
          <w:highlight w:val="none"/>
        </w:rPr>
        <w:t>%。</w:t>
      </w:r>
    </w:p>
    <w:p>
      <w:pPr>
        <w:pStyle w:val="6"/>
        <w:shd w:val="clear"/>
        <w:spacing w:before="93"/>
        <w:rPr>
          <w:color w:val="auto"/>
          <w:highlight w:val="none"/>
        </w:rPr>
      </w:pPr>
      <w:r>
        <w:rPr>
          <w:rFonts w:hint="eastAsia" w:ascii="仿宋" w:hAnsi="仿宋" w:eastAsia="仿宋"/>
          <w:b/>
          <w:color w:val="auto"/>
          <w:sz w:val="32"/>
          <w:szCs w:val="32"/>
          <w:highlight w:val="none"/>
        </w:rPr>
        <w:drawing>
          <wp:inline distT="0" distB="0" distL="0" distR="0">
            <wp:extent cx="5274310" cy="2605405"/>
            <wp:effectExtent l="19050" t="0" r="21590" b="4176"/>
            <wp:docPr id="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pPr>
        <w:shd w:val="clear"/>
        <w:spacing w:line="600" w:lineRule="exact"/>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图6</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一般公共预算财政拨款支出决算结构</w:t>
      </w:r>
      <w:r>
        <w:rPr>
          <w:rFonts w:hint="eastAsia" w:ascii="仿宋_GB2312" w:hAnsi="仿宋_GB2312" w:eastAsia="仿宋_GB2312" w:cs="仿宋_GB2312"/>
          <w:color w:val="auto"/>
          <w:sz w:val="28"/>
          <w:szCs w:val="28"/>
          <w:highlight w:val="none"/>
          <w:lang w:eastAsia="zh-CN"/>
        </w:rPr>
        <w:t>图（单位：万元）</w:t>
      </w:r>
    </w:p>
    <w:p>
      <w:pPr>
        <w:keepNext w:val="0"/>
        <w:keepLines w:val="0"/>
        <w:pageBreakBefore w:val="0"/>
        <w:widowControl w:val="0"/>
        <w:shd w:val="clear"/>
        <w:kinsoku/>
        <w:wordWrap/>
        <w:overflowPunct/>
        <w:topLinePunct w:val="0"/>
        <w:autoSpaceDE/>
        <w:autoSpaceDN/>
        <w:bidi w:val="0"/>
        <w:adjustRightInd/>
        <w:snapToGrid/>
        <w:spacing w:line="560" w:lineRule="exact"/>
        <w:textAlignment w:val="auto"/>
        <w:rPr>
          <w:rFonts w:ascii="仿宋" w:hAnsi="仿宋" w:eastAsia="仿宋"/>
          <w:color w:val="auto"/>
          <w:sz w:val="32"/>
          <w:szCs w:val="32"/>
          <w:highlight w:val="none"/>
        </w:rPr>
      </w:pP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outlineLvl w:val="2"/>
        <w:rPr>
          <w:rFonts w:hint="eastAsia" w:ascii="楷体_GB2312" w:hAnsi="楷体_GB2312" w:eastAsia="楷体_GB2312" w:cs="楷体_GB2312"/>
          <w:b w:val="0"/>
          <w:bCs/>
          <w:color w:val="auto"/>
          <w:sz w:val="32"/>
          <w:szCs w:val="32"/>
          <w:highlight w:val="none"/>
        </w:rPr>
      </w:pPr>
      <w:bookmarkStart w:id="49" w:name="_Toc15377212"/>
      <w:r>
        <w:rPr>
          <w:rFonts w:hint="eastAsia" w:ascii="楷体_GB2312" w:hAnsi="楷体_GB2312" w:eastAsia="楷体_GB2312" w:cs="楷体_GB2312"/>
          <w:b w:val="0"/>
          <w:bCs/>
          <w:color w:val="auto"/>
          <w:sz w:val="32"/>
          <w:szCs w:val="32"/>
          <w:highlight w:val="none"/>
        </w:rPr>
        <w:t>（三）一般公共预算财政拨款支出决算具体情况</w:t>
      </w:r>
      <w:bookmarkEnd w:id="49"/>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color w:val="auto"/>
          <w:sz w:val="32"/>
          <w:szCs w:val="32"/>
          <w:highlight w:val="none"/>
        </w:rPr>
      </w:pPr>
      <w:bookmarkStart w:id="50" w:name="_Toc15378460"/>
      <w:bookmarkStart w:id="51" w:name="_Toc15377444"/>
      <w:bookmarkStart w:id="52" w:name="_Toc15377213"/>
      <w:bookmarkStart w:id="53" w:name="_Toc2742"/>
      <w:bookmarkStart w:id="54" w:name="_Toc29981"/>
      <w:r>
        <w:rPr>
          <w:rFonts w:hint="eastAsia" w:ascii="仿宋_GB2312" w:hAnsi="仿宋_GB2312" w:eastAsia="仿宋_GB2312" w:cs="仿宋_GB2312"/>
          <w:color w:val="auto"/>
          <w:sz w:val="32"/>
          <w:szCs w:val="32"/>
          <w:highlight w:val="none"/>
        </w:rPr>
        <w:t>202</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年一般公共预算支出决算数为</w:t>
      </w:r>
      <w:r>
        <w:rPr>
          <w:rFonts w:hint="eastAsia" w:ascii="仿宋_GB2312" w:hAnsi="仿宋_GB2312" w:eastAsia="仿宋_GB2312" w:cs="仿宋_GB2312"/>
          <w:color w:val="auto"/>
          <w:sz w:val="32"/>
          <w:szCs w:val="32"/>
          <w:highlight w:val="none"/>
          <w:lang w:val="en-US" w:eastAsia="zh-CN"/>
        </w:rPr>
        <w:t>1527.35</w:t>
      </w:r>
      <w:r>
        <w:rPr>
          <w:rFonts w:hint="eastAsia" w:ascii="仿宋_GB2312" w:hAnsi="仿宋_GB2312" w:eastAsia="仿宋_GB2312" w:cs="仿宋_GB2312"/>
          <w:color w:val="auto"/>
          <w:sz w:val="32"/>
          <w:szCs w:val="32"/>
          <w:highlight w:val="none"/>
        </w:rPr>
        <w:t>万元，完成预算</w:t>
      </w:r>
      <w:r>
        <w:rPr>
          <w:rFonts w:hint="eastAsia" w:ascii="仿宋_GB2312" w:hAnsi="仿宋_GB2312" w:eastAsia="仿宋_GB2312" w:cs="仿宋_GB2312"/>
          <w:color w:val="auto"/>
          <w:sz w:val="32"/>
          <w:szCs w:val="32"/>
          <w:highlight w:val="none"/>
          <w:lang w:val="en-US" w:eastAsia="zh-CN"/>
        </w:rPr>
        <w:t>100</w:t>
      </w:r>
      <w:r>
        <w:rPr>
          <w:rFonts w:hint="eastAsia" w:ascii="仿宋_GB2312" w:hAnsi="仿宋_GB2312" w:eastAsia="仿宋_GB2312" w:cs="仿宋_GB2312"/>
          <w:color w:val="auto"/>
          <w:sz w:val="32"/>
          <w:szCs w:val="32"/>
          <w:highlight w:val="none"/>
        </w:rPr>
        <w:t>%。其中：</w:t>
      </w:r>
      <w:bookmarkEnd w:id="50"/>
      <w:bookmarkEnd w:id="51"/>
      <w:bookmarkEnd w:id="52"/>
      <w:bookmarkEnd w:id="53"/>
      <w:bookmarkEnd w:id="54"/>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 社会保障和就业（类）行政事业单位养老支出（款）机关事业单位基本养老保险缴费支出（项）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支出决算为</w:t>
      </w:r>
      <w:r>
        <w:rPr>
          <w:rFonts w:hint="eastAsia" w:ascii="仿宋_GB2312" w:hAnsi="仿宋_GB2312" w:eastAsia="仿宋_GB2312" w:cs="仿宋_GB2312"/>
          <w:color w:val="auto"/>
          <w:sz w:val="32"/>
          <w:szCs w:val="32"/>
          <w:highlight w:val="none"/>
          <w:lang w:val="en-US" w:eastAsia="zh-CN"/>
        </w:rPr>
        <w:t>60.98</w:t>
      </w:r>
      <w:r>
        <w:rPr>
          <w:rFonts w:hint="eastAsia" w:ascii="仿宋_GB2312" w:hAnsi="仿宋_GB2312" w:eastAsia="仿宋_GB2312" w:cs="仿宋_GB2312"/>
          <w:color w:val="auto"/>
          <w:sz w:val="32"/>
          <w:szCs w:val="32"/>
          <w:highlight w:val="none"/>
        </w:rPr>
        <w:t>万元，完成预算100%，决算数等于预算数。</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2. </w:t>
      </w:r>
      <w:r>
        <w:rPr>
          <w:rFonts w:hint="eastAsia" w:ascii="仿宋_GB2312" w:hAnsi="仿宋_GB2312" w:eastAsia="仿宋_GB2312" w:cs="仿宋_GB2312"/>
          <w:color w:val="auto"/>
          <w:sz w:val="32"/>
          <w:szCs w:val="32"/>
          <w:highlight w:val="none"/>
        </w:rPr>
        <w:t>社会保障和就业（类）行政事业单位养老支出（款）机关事业单位职业年金缴费支出（项）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支出决算为</w:t>
      </w:r>
      <w:r>
        <w:rPr>
          <w:rFonts w:hint="eastAsia" w:ascii="仿宋_GB2312" w:hAnsi="仿宋_GB2312" w:eastAsia="仿宋_GB2312" w:cs="仿宋_GB2312"/>
          <w:color w:val="auto"/>
          <w:sz w:val="32"/>
          <w:szCs w:val="32"/>
          <w:highlight w:val="none"/>
          <w:lang w:val="en-US" w:eastAsia="zh-CN"/>
        </w:rPr>
        <w:t>8.74</w:t>
      </w:r>
      <w:r>
        <w:rPr>
          <w:rFonts w:hint="eastAsia" w:ascii="仿宋_GB2312" w:hAnsi="仿宋_GB2312" w:eastAsia="仿宋_GB2312" w:cs="仿宋_GB2312"/>
          <w:color w:val="auto"/>
          <w:sz w:val="32"/>
          <w:szCs w:val="32"/>
          <w:highlight w:val="none"/>
        </w:rPr>
        <w:t>万元，完成预算100%，决算数等于预算数。</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rPr>
        <w:t>卫生健康（类）行政事业单位医疗（款）事业单位医疗（项）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支出决算为</w:t>
      </w:r>
      <w:r>
        <w:rPr>
          <w:rFonts w:hint="eastAsia" w:ascii="仿宋_GB2312" w:hAnsi="仿宋_GB2312" w:eastAsia="仿宋_GB2312" w:cs="仿宋_GB2312"/>
          <w:color w:val="auto"/>
          <w:sz w:val="32"/>
          <w:szCs w:val="32"/>
          <w:highlight w:val="none"/>
          <w:lang w:val="en-US" w:eastAsia="zh-CN"/>
        </w:rPr>
        <w:t>35.25</w:t>
      </w:r>
      <w:r>
        <w:rPr>
          <w:rFonts w:hint="eastAsia" w:ascii="仿宋_GB2312" w:hAnsi="仿宋_GB2312" w:eastAsia="仿宋_GB2312" w:cs="仿宋_GB2312"/>
          <w:color w:val="auto"/>
          <w:sz w:val="32"/>
          <w:szCs w:val="32"/>
          <w:highlight w:val="none"/>
        </w:rPr>
        <w:t>万元，完成预算100%，决算数等于预算数。</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rPr>
        <w:t>住房保障支出（类）住房改革支出（款）住房公积金（项）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支出决算为</w:t>
      </w:r>
      <w:r>
        <w:rPr>
          <w:rFonts w:hint="eastAsia" w:ascii="仿宋_GB2312" w:hAnsi="仿宋_GB2312" w:eastAsia="仿宋_GB2312" w:cs="仿宋_GB2312"/>
          <w:color w:val="auto"/>
          <w:sz w:val="32"/>
          <w:szCs w:val="32"/>
          <w:highlight w:val="none"/>
          <w:lang w:val="en-US" w:eastAsia="zh-CN"/>
        </w:rPr>
        <w:t>84</w:t>
      </w:r>
      <w:r>
        <w:rPr>
          <w:rFonts w:hint="eastAsia" w:ascii="仿宋_GB2312" w:hAnsi="仿宋_GB2312" w:eastAsia="仿宋_GB2312" w:cs="仿宋_GB2312"/>
          <w:color w:val="auto"/>
          <w:sz w:val="32"/>
          <w:szCs w:val="32"/>
          <w:highlight w:val="none"/>
        </w:rPr>
        <w:t>万元，完成预算100%，决算数等于预算数。</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rPr>
        <w:t>住房保障支出（类）城乡社区住宅（款）住房公积金管理（项）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支出决算为</w:t>
      </w:r>
      <w:r>
        <w:rPr>
          <w:rFonts w:hint="eastAsia" w:ascii="仿宋_GB2312" w:hAnsi="仿宋_GB2312" w:eastAsia="仿宋_GB2312" w:cs="仿宋_GB2312"/>
          <w:color w:val="auto"/>
          <w:sz w:val="32"/>
          <w:szCs w:val="32"/>
          <w:highlight w:val="none"/>
          <w:lang w:val="en-US" w:eastAsia="zh-CN"/>
        </w:rPr>
        <w:t>1051.36</w:t>
      </w:r>
      <w:r>
        <w:rPr>
          <w:rFonts w:hint="eastAsia" w:ascii="仿宋_GB2312" w:hAnsi="仿宋_GB2312" w:eastAsia="仿宋_GB2312" w:cs="仿宋_GB2312"/>
          <w:color w:val="auto"/>
          <w:sz w:val="32"/>
          <w:szCs w:val="32"/>
          <w:highlight w:val="none"/>
        </w:rPr>
        <w:t>万元，完成预算</w:t>
      </w:r>
      <w:r>
        <w:rPr>
          <w:rFonts w:hint="eastAsia" w:ascii="仿宋_GB2312" w:hAnsi="仿宋_GB2312" w:eastAsia="仿宋_GB2312" w:cs="仿宋_GB2312"/>
          <w:color w:val="auto"/>
          <w:sz w:val="32"/>
          <w:szCs w:val="32"/>
          <w:highlight w:val="none"/>
          <w:lang w:val="en-US" w:eastAsia="zh-CN"/>
        </w:rPr>
        <w:t>100</w:t>
      </w:r>
      <w:r>
        <w:rPr>
          <w:rFonts w:hint="eastAsia" w:ascii="仿宋_GB2312" w:hAnsi="仿宋_GB2312" w:eastAsia="仿宋_GB2312" w:cs="仿宋_GB2312"/>
          <w:color w:val="auto"/>
          <w:sz w:val="32"/>
          <w:szCs w:val="32"/>
          <w:highlight w:val="none"/>
        </w:rPr>
        <w:t>%，决算数等于预算数。</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rPr>
        <w:t>住房保障支出（类）城乡社区住宅（款）其他城乡社区住宅支出（项）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支出决算为</w:t>
      </w:r>
      <w:r>
        <w:rPr>
          <w:rFonts w:hint="eastAsia" w:ascii="仿宋_GB2312" w:hAnsi="仿宋_GB2312" w:eastAsia="仿宋_GB2312" w:cs="仿宋_GB2312"/>
          <w:color w:val="auto"/>
          <w:sz w:val="32"/>
          <w:szCs w:val="32"/>
          <w:highlight w:val="none"/>
          <w:lang w:val="en-US" w:eastAsia="zh-CN"/>
        </w:rPr>
        <w:t>287.02</w:t>
      </w:r>
      <w:r>
        <w:rPr>
          <w:rFonts w:hint="eastAsia" w:ascii="仿宋_GB2312" w:hAnsi="仿宋_GB2312" w:eastAsia="仿宋_GB2312" w:cs="仿宋_GB2312"/>
          <w:color w:val="auto"/>
          <w:sz w:val="32"/>
          <w:szCs w:val="32"/>
          <w:highlight w:val="none"/>
        </w:rPr>
        <w:t>万元，完成预算</w:t>
      </w:r>
      <w:r>
        <w:rPr>
          <w:rFonts w:hint="eastAsia" w:ascii="仿宋_GB2312" w:hAnsi="仿宋_GB2312" w:eastAsia="仿宋_GB2312" w:cs="仿宋_GB2312"/>
          <w:color w:val="auto"/>
          <w:sz w:val="32"/>
          <w:szCs w:val="32"/>
          <w:highlight w:val="none"/>
          <w:lang w:val="en-US" w:eastAsia="zh-CN"/>
        </w:rPr>
        <w:t>100</w:t>
      </w:r>
      <w:r>
        <w:rPr>
          <w:rFonts w:hint="eastAsia" w:ascii="仿宋_GB2312" w:hAnsi="仿宋_GB2312" w:eastAsia="仿宋_GB2312" w:cs="仿宋_GB2312"/>
          <w:color w:val="auto"/>
          <w:sz w:val="32"/>
          <w:szCs w:val="32"/>
          <w:highlight w:val="none"/>
        </w:rPr>
        <w:t>%，决算数</w:t>
      </w:r>
      <w:r>
        <w:rPr>
          <w:rFonts w:hint="eastAsia" w:ascii="仿宋_GB2312" w:hAnsi="仿宋_GB2312" w:eastAsia="仿宋_GB2312" w:cs="仿宋_GB2312"/>
          <w:color w:val="auto"/>
          <w:sz w:val="32"/>
          <w:szCs w:val="32"/>
          <w:highlight w:val="none"/>
          <w:lang w:eastAsia="zh-CN"/>
        </w:rPr>
        <w:t>等于</w:t>
      </w:r>
      <w:r>
        <w:rPr>
          <w:rFonts w:hint="eastAsia" w:ascii="仿宋_GB2312" w:hAnsi="仿宋_GB2312" w:eastAsia="仿宋_GB2312" w:cs="仿宋_GB2312"/>
          <w:color w:val="auto"/>
          <w:sz w:val="32"/>
          <w:szCs w:val="32"/>
          <w:highlight w:val="none"/>
        </w:rPr>
        <w:t>预算数。</w:t>
      </w:r>
    </w:p>
    <w:p>
      <w:pPr>
        <w:keepNext w:val="0"/>
        <w:keepLines w:val="0"/>
        <w:pageBreakBefore w:val="0"/>
        <w:widowControl w:val="0"/>
        <w:shd w:val="clear"/>
        <w:tabs>
          <w:tab w:val="right" w:pos="8306"/>
        </w:tabs>
        <w:kinsoku/>
        <w:wordWrap/>
        <w:overflowPunct/>
        <w:topLinePunct w:val="0"/>
        <w:autoSpaceDE/>
        <w:autoSpaceDN/>
        <w:bidi w:val="0"/>
        <w:adjustRightInd/>
        <w:snapToGrid/>
        <w:spacing w:line="560" w:lineRule="exact"/>
        <w:ind w:firstLine="640"/>
        <w:textAlignment w:val="auto"/>
        <w:outlineLvl w:val="1"/>
        <w:rPr>
          <w:rStyle w:val="22"/>
          <w:color w:val="auto"/>
          <w:highlight w:val="none"/>
        </w:rPr>
      </w:pPr>
      <w:bookmarkStart w:id="55" w:name="_Toc13736"/>
      <w:bookmarkStart w:id="56" w:name="_Toc15377214"/>
      <w:bookmarkStart w:id="57" w:name="_Toc15396608"/>
      <w:r>
        <w:rPr>
          <w:rFonts w:hint="eastAsia" w:ascii="黑体" w:eastAsia="黑体"/>
          <w:color w:val="auto"/>
          <w:sz w:val="32"/>
          <w:szCs w:val="32"/>
          <w:highlight w:val="none"/>
        </w:rPr>
        <w:t>六</w:t>
      </w:r>
      <w:r>
        <w:rPr>
          <w:rFonts w:hint="eastAsia" w:ascii="黑体" w:eastAsia="黑体"/>
          <w:b/>
          <w:color w:val="auto"/>
          <w:sz w:val="32"/>
          <w:szCs w:val="32"/>
          <w:highlight w:val="none"/>
        </w:rPr>
        <w:t>、</w:t>
      </w:r>
      <w:r>
        <w:rPr>
          <w:rFonts w:hint="eastAsia" w:ascii="黑体" w:hAnsi="黑体" w:eastAsia="黑体"/>
          <w:b/>
          <w:color w:val="auto"/>
          <w:sz w:val="32"/>
          <w:szCs w:val="32"/>
          <w:highlight w:val="none"/>
        </w:rPr>
        <w:t>一</w:t>
      </w:r>
      <w:r>
        <w:rPr>
          <w:rStyle w:val="22"/>
          <w:rFonts w:hint="eastAsia" w:ascii="黑体" w:hAnsi="黑体" w:eastAsia="黑体"/>
          <w:b w:val="0"/>
          <w:color w:val="auto"/>
          <w:highlight w:val="none"/>
        </w:rPr>
        <w:t>般公共预算财政拨款基本支出决算情况说明</w:t>
      </w:r>
      <w:bookmarkEnd w:id="55"/>
      <w:bookmarkEnd w:id="56"/>
      <w:bookmarkEnd w:id="57"/>
      <w:r>
        <w:rPr>
          <w:rStyle w:val="22"/>
          <w:rFonts w:ascii="黑体" w:hAnsi="黑体" w:eastAsia="黑体"/>
          <w:b w:val="0"/>
          <w:color w:val="auto"/>
          <w:highlight w:val="none"/>
        </w:rPr>
        <w:tab/>
      </w:r>
    </w:p>
    <w:p>
      <w:pPr>
        <w:keepNext w:val="0"/>
        <w:keepLines w:val="0"/>
        <w:pageBreakBefore w:val="0"/>
        <w:widowControl w:val="0"/>
        <w:shd w:val="clear"/>
        <w:kinsoku/>
        <w:wordWrap/>
        <w:overflowPunct/>
        <w:topLinePunct w:val="0"/>
        <w:autoSpaceDE/>
        <w:autoSpaceDN/>
        <w:bidi w:val="0"/>
        <w:adjustRightInd/>
        <w:snapToGrid/>
        <w:spacing w:line="560" w:lineRule="exact"/>
        <w:ind w:firstLine="645"/>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2021年一般公共预算财政拨款基本支出</w:t>
      </w:r>
      <w:r>
        <w:rPr>
          <w:rFonts w:hint="eastAsia" w:ascii="仿宋_GB2312" w:hAnsi="仿宋_GB2312" w:eastAsia="仿宋_GB2312" w:cs="仿宋_GB2312"/>
          <w:color w:val="auto"/>
          <w:sz w:val="32"/>
          <w:szCs w:val="32"/>
          <w:highlight w:val="none"/>
          <w:lang w:val="en-US" w:eastAsia="zh-CN"/>
        </w:rPr>
        <w:t>1240.33</w:t>
      </w:r>
      <w:r>
        <w:rPr>
          <w:rFonts w:hint="eastAsia" w:ascii="仿宋_GB2312" w:hAnsi="仿宋_GB2312" w:eastAsia="仿宋_GB2312" w:cs="仿宋_GB2312"/>
          <w:color w:val="auto"/>
          <w:sz w:val="32"/>
          <w:szCs w:val="32"/>
          <w:highlight w:val="none"/>
        </w:rPr>
        <w:t>万元，其中：</w:t>
      </w:r>
    </w:p>
    <w:p>
      <w:pPr>
        <w:keepNext w:val="0"/>
        <w:keepLines w:val="0"/>
        <w:pageBreakBefore w:val="0"/>
        <w:widowControl w:val="0"/>
        <w:shd w:val="clear"/>
        <w:kinsoku/>
        <w:wordWrap/>
        <w:overflowPunct/>
        <w:topLinePunct w:val="0"/>
        <w:autoSpaceDE/>
        <w:autoSpaceDN/>
        <w:bidi w:val="0"/>
        <w:adjustRightInd/>
        <w:snapToGrid/>
        <w:spacing w:line="560" w:lineRule="exact"/>
        <w:ind w:firstLine="645"/>
        <w:textAlignment w:val="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32"/>
          <w:szCs w:val="32"/>
          <w:highlight w:val="none"/>
        </w:rPr>
        <w:t>人员经费</w:t>
      </w:r>
      <w:r>
        <w:rPr>
          <w:rFonts w:hint="eastAsia" w:ascii="仿宋_GB2312" w:hAnsi="仿宋_GB2312" w:eastAsia="仿宋_GB2312" w:cs="仿宋_GB2312"/>
          <w:color w:val="auto"/>
          <w:sz w:val="32"/>
          <w:szCs w:val="32"/>
          <w:highlight w:val="none"/>
          <w:lang w:val="en-US" w:eastAsia="zh-CN"/>
        </w:rPr>
        <w:t>1078.7</w:t>
      </w:r>
      <w:r>
        <w:rPr>
          <w:rFonts w:hint="eastAsia" w:ascii="仿宋_GB2312" w:hAnsi="仿宋_GB2312" w:eastAsia="仿宋_GB2312" w:cs="仿宋_GB2312"/>
          <w:color w:val="auto"/>
          <w:sz w:val="32"/>
          <w:szCs w:val="32"/>
          <w:highlight w:val="none"/>
        </w:rPr>
        <w:t>万元，主要包括：基本工资、津贴补贴、奖金、绩效工资、机关事业单位基本养老保险缴费、职业年金缴费、职工基本医疗保险缴费、其他社会保障缴费、住房公积金</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其他工资福利支出、</w:t>
      </w:r>
      <w:r>
        <w:rPr>
          <w:rFonts w:hint="eastAsia" w:ascii="仿宋_GB2312" w:hAnsi="仿宋_GB2312" w:eastAsia="仿宋_GB2312" w:cs="仿宋_GB2312"/>
          <w:color w:val="auto"/>
          <w:sz w:val="32"/>
          <w:szCs w:val="32"/>
          <w:highlight w:val="none"/>
          <w:lang w:eastAsia="zh-CN"/>
        </w:rPr>
        <w:t>生活补助</w:t>
      </w:r>
      <w:r>
        <w:rPr>
          <w:rFonts w:hint="eastAsia" w:ascii="仿宋_GB2312" w:hAnsi="仿宋_GB2312" w:eastAsia="仿宋_GB2312" w:cs="仿宋_GB2312"/>
          <w:color w:val="auto"/>
          <w:sz w:val="32"/>
          <w:szCs w:val="32"/>
          <w:highlight w:val="none"/>
        </w:rPr>
        <w:t>、奖励金。</w:t>
      </w:r>
      <w:r>
        <w:rPr>
          <w:rFonts w:hint="eastAsia" w:ascii="仿宋_GB2312" w:hAnsi="仿宋_GB2312" w:eastAsia="仿宋_GB2312" w:cs="仿宋_GB2312"/>
          <w:color w:val="auto"/>
          <w:sz w:val="32"/>
          <w:szCs w:val="32"/>
          <w:highlight w:val="none"/>
        </w:rPr>
        <w:br w:type="textWrapping"/>
      </w:r>
      <w:r>
        <w:rPr>
          <w:rFonts w:hint="eastAsia" w:ascii="仿宋_GB2312" w:hAnsi="仿宋_GB2312" w:eastAsia="仿宋_GB2312" w:cs="仿宋_GB2312"/>
          <w:color w:val="auto"/>
          <w:sz w:val="32"/>
          <w:szCs w:val="32"/>
          <w:highlight w:val="none"/>
        </w:rPr>
        <w:t>　　公用经费</w:t>
      </w:r>
      <w:r>
        <w:rPr>
          <w:rFonts w:hint="eastAsia" w:ascii="仿宋_GB2312" w:hAnsi="仿宋_GB2312" w:eastAsia="仿宋_GB2312" w:cs="仿宋_GB2312"/>
          <w:color w:val="auto"/>
          <w:sz w:val="32"/>
          <w:szCs w:val="32"/>
          <w:highlight w:val="none"/>
          <w:lang w:val="en-US" w:eastAsia="zh-CN"/>
        </w:rPr>
        <w:t>161.63</w:t>
      </w:r>
      <w:r>
        <w:rPr>
          <w:rFonts w:hint="eastAsia" w:ascii="仿宋_GB2312" w:hAnsi="仿宋_GB2312" w:eastAsia="仿宋_GB2312" w:cs="仿宋_GB2312"/>
          <w:color w:val="auto"/>
          <w:sz w:val="32"/>
          <w:szCs w:val="32"/>
          <w:highlight w:val="none"/>
        </w:rPr>
        <w:t>万元，主要包括：办公费、印刷费、手续费、水费、电费、邮电费、</w:t>
      </w:r>
      <w:r>
        <w:rPr>
          <w:rFonts w:hint="eastAsia" w:ascii="仿宋_GB2312" w:hAnsi="仿宋_GB2312" w:eastAsia="仿宋_GB2312" w:cs="仿宋_GB2312"/>
          <w:color w:val="auto"/>
          <w:sz w:val="32"/>
          <w:szCs w:val="32"/>
          <w:highlight w:val="none"/>
          <w:lang w:eastAsia="zh-CN"/>
        </w:rPr>
        <w:t>物业管理费、</w:t>
      </w:r>
      <w:r>
        <w:rPr>
          <w:rFonts w:hint="eastAsia" w:ascii="仿宋_GB2312" w:hAnsi="仿宋_GB2312" w:eastAsia="仿宋_GB2312" w:cs="仿宋_GB2312"/>
          <w:color w:val="auto"/>
          <w:sz w:val="32"/>
          <w:szCs w:val="32"/>
          <w:highlight w:val="none"/>
        </w:rPr>
        <w:t>差旅费、维修（护）费、</w:t>
      </w:r>
      <w:r>
        <w:rPr>
          <w:rFonts w:hint="eastAsia" w:ascii="仿宋_GB2312" w:hAnsi="仿宋_GB2312" w:eastAsia="仿宋_GB2312" w:cs="仿宋_GB2312"/>
          <w:color w:val="auto"/>
          <w:sz w:val="32"/>
          <w:szCs w:val="32"/>
          <w:highlight w:val="none"/>
          <w:lang w:eastAsia="zh-CN"/>
        </w:rPr>
        <w:t>租赁费、</w:t>
      </w:r>
      <w:r>
        <w:rPr>
          <w:rFonts w:hint="eastAsia" w:ascii="仿宋_GB2312" w:hAnsi="仿宋_GB2312" w:eastAsia="仿宋_GB2312" w:cs="仿宋_GB2312"/>
          <w:color w:val="auto"/>
          <w:sz w:val="32"/>
          <w:szCs w:val="32"/>
          <w:highlight w:val="none"/>
        </w:rPr>
        <w:t>会议费、培训费、公务接待费、委托业务费、工会经费、福利费、公务用车运行维护费、其他交通费</w:t>
      </w:r>
      <w:r>
        <w:rPr>
          <w:rFonts w:hint="eastAsia" w:ascii="仿宋_GB2312" w:hAnsi="仿宋_GB2312" w:eastAsia="仿宋_GB2312" w:cs="仿宋_GB2312"/>
          <w:color w:val="auto"/>
          <w:sz w:val="32"/>
          <w:szCs w:val="32"/>
          <w:highlight w:val="none"/>
          <w:lang w:val="en-US" w:eastAsia="zh-CN"/>
        </w:rPr>
        <w:t>用</w:t>
      </w:r>
      <w:r>
        <w:rPr>
          <w:rFonts w:hint="eastAsia" w:ascii="仿宋_GB2312" w:hAnsi="仿宋_GB2312" w:eastAsia="仿宋_GB2312" w:cs="仿宋_GB2312"/>
          <w:color w:val="auto"/>
          <w:sz w:val="32"/>
          <w:szCs w:val="32"/>
          <w:highlight w:val="none"/>
        </w:rPr>
        <w:t>、其他商品和服务支出等。</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textAlignment w:val="auto"/>
        <w:outlineLvl w:val="1"/>
        <w:rPr>
          <w:rStyle w:val="22"/>
          <w:rFonts w:ascii="黑体" w:hAnsi="黑体" w:eastAsia="黑体"/>
          <w:b w:val="0"/>
          <w:color w:val="auto"/>
          <w:highlight w:val="none"/>
        </w:rPr>
      </w:pPr>
      <w:bookmarkStart w:id="58" w:name="_Toc15396609"/>
      <w:bookmarkStart w:id="59" w:name="_Toc15377215"/>
      <w:bookmarkStart w:id="60" w:name="_Toc16719"/>
      <w:r>
        <w:rPr>
          <w:rFonts w:hint="eastAsia" w:ascii="黑体" w:eastAsia="黑体"/>
          <w:color w:val="auto"/>
          <w:sz w:val="32"/>
          <w:szCs w:val="32"/>
          <w:highlight w:val="none"/>
        </w:rPr>
        <w:t>七、</w:t>
      </w:r>
      <w:r>
        <w:rPr>
          <w:rStyle w:val="22"/>
          <w:rFonts w:hint="eastAsia" w:ascii="黑体" w:hAnsi="黑体" w:eastAsia="黑体"/>
          <w:b w:val="0"/>
          <w:color w:val="auto"/>
          <w:highlight w:val="none"/>
        </w:rPr>
        <w:t>财政拨款</w:t>
      </w:r>
      <w:r>
        <w:rPr>
          <w:rStyle w:val="22"/>
          <w:rFonts w:hint="eastAsia" w:ascii="黑体" w:hAnsi="黑体" w:eastAsia="黑体"/>
          <w:color w:val="auto"/>
          <w:highlight w:val="none"/>
        </w:rPr>
        <w:t>“</w:t>
      </w:r>
      <w:r>
        <w:rPr>
          <w:rStyle w:val="22"/>
          <w:rFonts w:hint="eastAsia" w:ascii="黑体" w:hAnsi="黑体" w:eastAsia="黑体"/>
          <w:b w:val="0"/>
          <w:color w:val="auto"/>
          <w:highlight w:val="none"/>
        </w:rPr>
        <w:t>三公”经费支出决算情况说明</w:t>
      </w:r>
      <w:bookmarkEnd w:id="58"/>
      <w:bookmarkEnd w:id="59"/>
      <w:bookmarkEnd w:id="60"/>
    </w:p>
    <w:p>
      <w:pPr>
        <w:keepNext w:val="0"/>
        <w:keepLines w:val="0"/>
        <w:widowControl w:val="0"/>
        <w:suppressLineNumbers w:val="0"/>
        <w:shd w:val="clear"/>
        <w:autoSpaceDE w:val="0"/>
        <w:autoSpaceDN/>
        <w:spacing w:before="0" w:beforeAutospacing="0" w:after="0" w:afterAutospacing="0" w:line="560" w:lineRule="exact"/>
        <w:ind w:left="0" w:right="0" w:firstLine="640"/>
        <w:jc w:val="both"/>
        <w:outlineLvl w:val="2"/>
        <w:rPr>
          <w:rFonts w:hint="default" w:ascii="楷体_GB2312" w:eastAsia="楷体_GB2312" w:cs="楷体_GB2312"/>
          <w:b w:val="0"/>
          <w:bCs/>
          <w:color w:val="auto"/>
          <w:kern w:val="2"/>
          <w:sz w:val="32"/>
          <w:szCs w:val="32"/>
          <w:highlight w:val="none"/>
        </w:rPr>
      </w:pPr>
      <w:bookmarkStart w:id="61" w:name="_Toc15377216"/>
      <w:bookmarkStart w:id="62" w:name="_Toc15377218"/>
      <w:bookmarkStart w:id="63" w:name="_Toc15396610"/>
      <w:r>
        <w:rPr>
          <w:rFonts w:hint="default" w:ascii="楷体_GB2312" w:hAnsi="Times New Roman" w:eastAsia="楷体_GB2312" w:cs="楷体_GB2312"/>
          <w:b w:val="0"/>
          <w:bCs/>
          <w:color w:val="auto"/>
          <w:kern w:val="2"/>
          <w:sz w:val="32"/>
          <w:szCs w:val="32"/>
          <w:highlight w:val="none"/>
          <w:lang w:val="en-US" w:eastAsia="zh-CN" w:bidi="ar"/>
        </w:rPr>
        <w:t>（一）“三公”经费财政拨款支出决算总体情况说明</w:t>
      </w:r>
    </w:p>
    <w:p>
      <w:pPr>
        <w:keepNext w:val="0"/>
        <w:keepLines w:val="0"/>
        <w:widowControl w:val="0"/>
        <w:suppressLineNumbers w:val="0"/>
        <w:shd w:val="clear"/>
        <w:autoSpaceDE w:val="0"/>
        <w:autoSpaceDN/>
        <w:spacing w:before="0" w:beforeAutospacing="0" w:after="0" w:afterAutospacing="0" w:line="560" w:lineRule="exact"/>
        <w:ind w:left="0" w:right="0" w:firstLine="640"/>
        <w:jc w:val="both"/>
        <w:rPr>
          <w:rFonts w:hint="default" w:ascii="仿宋_GB2312" w:eastAsia="仿宋_GB2312" w:cs="仿宋_GB2312"/>
          <w:color w:val="auto"/>
          <w:kern w:val="2"/>
          <w:sz w:val="32"/>
          <w:szCs w:val="32"/>
          <w:highlight w:val="none"/>
        </w:rPr>
      </w:pPr>
      <w:r>
        <w:rPr>
          <w:rFonts w:hint="default" w:ascii="仿宋_GB2312" w:hAnsi="Times New Roman" w:eastAsia="仿宋_GB2312" w:cs="仿宋_GB2312"/>
          <w:color w:val="auto"/>
          <w:kern w:val="2"/>
          <w:sz w:val="32"/>
          <w:szCs w:val="32"/>
          <w:highlight w:val="none"/>
          <w:lang w:val="en-US" w:eastAsia="zh-CN" w:bidi="ar"/>
        </w:rPr>
        <w:t>2022年“三公”经费财政拨款支出决算为15.58万元，完成预算100%，决算数与预算数持平。</w:t>
      </w:r>
    </w:p>
    <w:p>
      <w:pPr>
        <w:keepNext w:val="0"/>
        <w:keepLines w:val="0"/>
        <w:widowControl w:val="0"/>
        <w:suppressLineNumbers w:val="0"/>
        <w:shd w:val="clear"/>
        <w:autoSpaceDE w:val="0"/>
        <w:autoSpaceDN/>
        <w:spacing w:before="0" w:beforeAutospacing="0" w:after="0" w:afterAutospacing="0" w:line="560" w:lineRule="exact"/>
        <w:ind w:left="0" w:right="0" w:firstLine="640"/>
        <w:jc w:val="both"/>
        <w:outlineLvl w:val="2"/>
        <w:rPr>
          <w:rFonts w:hint="default" w:ascii="楷体_GB2312" w:eastAsia="楷体_GB2312" w:cs="楷体_GB2312"/>
          <w:b w:val="0"/>
          <w:bCs/>
          <w:color w:val="auto"/>
          <w:kern w:val="2"/>
          <w:sz w:val="32"/>
          <w:szCs w:val="32"/>
          <w:highlight w:val="none"/>
        </w:rPr>
      </w:pPr>
      <w:r>
        <w:rPr>
          <w:rFonts w:hint="default" w:ascii="楷体_GB2312" w:hAnsi="Times New Roman" w:eastAsia="楷体_GB2312" w:cs="楷体_GB2312"/>
          <w:b w:val="0"/>
          <w:bCs/>
          <w:color w:val="auto"/>
          <w:kern w:val="2"/>
          <w:sz w:val="32"/>
          <w:szCs w:val="32"/>
          <w:highlight w:val="none"/>
          <w:lang w:val="en-US" w:eastAsia="zh-CN" w:bidi="ar"/>
        </w:rPr>
        <w:t>（二）“三公”经费财政拨款支出决算具体情况说明</w:t>
      </w:r>
    </w:p>
    <w:p>
      <w:pPr>
        <w:keepNext w:val="0"/>
        <w:keepLines w:val="0"/>
        <w:widowControl w:val="0"/>
        <w:suppressLineNumbers w:val="0"/>
        <w:shd w:val="clear"/>
        <w:autoSpaceDE w:val="0"/>
        <w:autoSpaceDN/>
        <w:spacing w:before="0" w:beforeAutospacing="0" w:after="0" w:afterAutospacing="0" w:line="560" w:lineRule="exact"/>
        <w:ind w:left="0" w:right="0" w:firstLine="640"/>
        <w:jc w:val="both"/>
        <w:rPr>
          <w:rFonts w:hint="default" w:ascii="仿宋_GB2312" w:hAnsi="Times New Roman" w:eastAsia="仿宋_GB2312" w:cs="仿宋_GB2312"/>
          <w:color w:val="auto"/>
          <w:kern w:val="2"/>
          <w:sz w:val="32"/>
          <w:szCs w:val="32"/>
          <w:highlight w:val="none"/>
          <w:lang w:val="en-US" w:eastAsia="zh-CN" w:bidi="ar"/>
        </w:rPr>
      </w:pPr>
      <w:r>
        <w:rPr>
          <w:rFonts w:hint="default" w:ascii="仿宋_GB2312" w:hAnsi="Times New Roman" w:eastAsia="仿宋_GB2312" w:cs="仿宋_GB2312"/>
          <w:color w:val="auto"/>
          <w:kern w:val="2"/>
          <w:sz w:val="32"/>
          <w:szCs w:val="32"/>
          <w:highlight w:val="none"/>
          <w:lang w:val="en-US" w:eastAsia="zh-CN" w:bidi="ar"/>
        </w:rPr>
        <w:t>2022年“三公”经费财政拨款支出决算中，因公出国（境）费支出决算0万元，占0%；公务用车购置及运行维护费支出决算15.19万元，占97.5%；公务接待费支出决算0.39万元，占2.5%。具体情况如下：</w:t>
      </w:r>
    </w:p>
    <w:p>
      <w:pPr>
        <w:pStyle w:val="2"/>
        <w:shd w:val="clear"/>
        <w:rPr>
          <w:rFonts w:hint="default" w:ascii="仿宋_GB2312" w:hAnsi="Times New Roman" w:eastAsia="仿宋_GB2312" w:cs="Times New Roman"/>
          <w:color w:val="auto"/>
          <w:kern w:val="0"/>
          <w:sz w:val="30"/>
          <w:szCs w:val="30"/>
          <w:highlight w:val="none"/>
        </w:rPr>
      </w:pPr>
      <w:r>
        <w:rPr>
          <w:rFonts w:hint="eastAsia"/>
          <w:color w:val="auto"/>
          <w:highlight w:val="none"/>
        </w:rPr>
        <w:drawing>
          <wp:inline distT="0" distB="0" distL="0" distR="0">
            <wp:extent cx="4786630" cy="2415540"/>
            <wp:effectExtent l="4445" t="4445" r="9525" b="889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pPr>
        <w:keepNext w:val="0"/>
        <w:keepLines w:val="0"/>
        <w:widowControl w:val="0"/>
        <w:suppressLineNumbers w:val="0"/>
        <w:shd w:val="clear"/>
        <w:spacing w:before="0" w:beforeAutospacing="0" w:after="0" w:afterAutospacing="0" w:line="600" w:lineRule="exact"/>
        <w:ind w:left="0" w:right="0"/>
        <w:jc w:val="center"/>
        <w:rPr>
          <w:rFonts w:hint="default" w:ascii="Times New Roman" w:hAnsi="Times New Roman" w:eastAsia="宋体" w:cs="Times New Roman"/>
          <w:color w:val="auto"/>
          <w:kern w:val="2"/>
          <w:sz w:val="21"/>
          <w:szCs w:val="21"/>
          <w:highlight w:val="none"/>
        </w:rPr>
      </w:pPr>
      <w:r>
        <w:rPr>
          <w:rFonts w:hint="default" w:ascii="仿宋" w:hAnsi="仿宋" w:eastAsia="仿宋" w:cs="仿宋"/>
          <w:color w:val="auto"/>
          <w:kern w:val="2"/>
          <w:sz w:val="28"/>
          <w:szCs w:val="28"/>
          <w:highlight w:val="none"/>
          <w:lang w:val="en-US" w:eastAsia="zh-CN" w:bidi="ar"/>
        </w:rPr>
        <w:t>图7：“三公”经费财政拨款支出结构（单位：万元）</w:t>
      </w:r>
    </w:p>
    <w:p>
      <w:pPr>
        <w:keepNext w:val="0"/>
        <w:keepLines w:val="0"/>
        <w:widowControl w:val="0"/>
        <w:suppressLineNumbers w:val="0"/>
        <w:shd w:val="clear"/>
        <w:spacing w:before="0" w:beforeAutospacing="0" w:after="0" w:afterAutospacing="0" w:line="560" w:lineRule="exact"/>
        <w:ind w:left="0" w:right="0" w:firstLine="640"/>
        <w:jc w:val="both"/>
        <w:rPr>
          <w:rFonts w:hint="default" w:ascii="仿宋_GB2312" w:eastAsia="仿宋_GB2312" w:cs="仿宋_GB2312"/>
          <w:b w:val="0"/>
          <w:bCs/>
          <w:color w:val="auto"/>
          <w:kern w:val="2"/>
          <w:sz w:val="32"/>
          <w:szCs w:val="32"/>
          <w:highlight w:val="none"/>
        </w:rPr>
      </w:pPr>
      <w:r>
        <w:rPr>
          <w:rFonts w:hint="default" w:ascii="仿宋_GB2312" w:hAnsi="Times New Roman" w:eastAsia="仿宋_GB2312" w:cs="仿宋_GB2312"/>
          <w:b w:val="0"/>
          <w:bCs/>
          <w:color w:val="auto"/>
          <w:kern w:val="2"/>
          <w:sz w:val="32"/>
          <w:szCs w:val="32"/>
          <w:highlight w:val="none"/>
          <w:lang w:val="en-US" w:eastAsia="zh-CN" w:bidi="ar"/>
        </w:rPr>
        <w:t>1.因公出国（境）经费支出0万元，</w:t>
      </w:r>
      <w:r>
        <w:rPr>
          <w:rFonts w:hint="default" w:ascii="仿宋_GB2312" w:hAnsi="Times New Roman" w:eastAsia="仿宋_GB2312" w:cs="仿宋_GB2312"/>
          <w:b w:val="0"/>
          <w:bCs/>
          <w:color w:val="auto"/>
          <w:kern w:val="2"/>
          <w:sz w:val="32"/>
          <w:szCs w:val="32"/>
          <w:highlight w:val="none"/>
          <w:lang w:val="en-US" w:eastAsia="zh-CN" w:bidi="ar"/>
        </w:rPr>
        <w:t>年初未安排预算。</w:t>
      </w:r>
      <w:r>
        <w:rPr>
          <w:rFonts w:hint="default" w:ascii="仿宋_GB2312" w:hAnsi="Times New Roman" w:eastAsia="仿宋_GB2312" w:cs="仿宋_GB2312"/>
          <w:b w:val="0"/>
          <w:bCs/>
          <w:color w:val="auto"/>
          <w:kern w:val="2"/>
          <w:sz w:val="32"/>
          <w:szCs w:val="32"/>
          <w:highlight w:val="none"/>
          <w:lang w:val="en-US" w:eastAsia="zh-CN" w:bidi="ar"/>
        </w:rPr>
        <w:t>与2021年相比，无变化。</w:t>
      </w:r>
    </w:p>
    <w:p>
      <w:pPr>
        <w:keepNext w:val="0"/>
        <w:keepLines w:val="0"/>
        <w:widowControl w:val="0"/>
        <w:suppressLineNumbers w:val="0"/>
        <w:shd w:val="clear"/>
        <w:spacing w:before="0" w:beforeAutospacing="0" w:after="0" w:afterAutospacing="0" w:line="560" w:lineRule="exact"/>
        <w:ind w:left="0" w:right="0" w:firstLine="640"/>
        <w:jc w:val="both"/>
        <w:rPr>
          <w:rFonts w:hint="default" w:ascii="仿宋_GB2312" w:eastAsia="仿宋_GB2312" w:cs="仿宋_GB2312"/>
          <w:b w:val="0"/>
          <w:bCs/>
          <w:color w:val="auto"/>
          <w:kern w:val="2"/>
          <w:sz w:val="32"/>
          <w:szCs w:val="32"/>
          <w:highlight w:val="none"/>
        </w:rPr>
      </w:pPr>
      <w:r>
        <w:rPr>
          <w:rFonts w:hint="default" w:ascii="仿宋_GB2312" w:hAnsi="Times New Roman" w:eastAsia="仿宋_GB2312" w:cs="仿宋_GB2312"/>
          <w:b w:val="0"/>
          <w:bCs/>
          <w:color w:val="auto"/>
          <w:kern w:val="2"/>
          <w:sz w:val="32"/>
          <w:szCs w:val="32"/>
          <w:highlight w:val="none"/>
          <w:lang w:val="en-US" w:eastAsia="zh-CN" w:bidi="ar"/>
        </w:rPr>
        <w:t>2.公务用车购置及运行维护费支出15.19万元</w:t>
      </w:r>
      <w:r>
        <w:rPr>
          <w:rFonts w:hint="eastAsia" w:ascii="仿宋_GB2312" w:eastAsia="仿宋_GB2312" w:cs="仿宋_GB2312"/>
          <w:b w:val="0"/>
          <w:bCs/>
          <w:color w:val="auto"/>
          <w:kern w:val="2"/>
          <w:sz w:val="32"/>
          <w:szCs w:val="32"/>
          <w:highlight w:val="none"/>
          <w:lang w:val="en-US" w:eastAsia="zh-CN" w:bidi="ar"/>
        </w:rPr>
        <w:t>，</w:t>
      </w:r>
      <w:r>
        <w:rPr>
          <w:rFonts w:hint="default" w:ascii="仿宋_GB2312" w:hAnsi="Times New Roman" w:eastAsia="仿宋_GB2312" w:cs="仿宋_GB2312"/>
          <w:b w:val="0"/>
          <w:bCs/>
          <w:color w:val="auto"/>
          <w:kern w:val="2"/>
          <w:sz w:val="32"/>
          <w:szCs w:val="32"/>
          <w:highlight w:val="none"/>
          <w:lang w:val="en-US" w:eastAsia="zh-CN" w:bidi="ar"/>
        </w:rPr>
        <w:t>完成预算100%。</w:t>
      </w:r>
      <w:r>
        <w:rPr>
          <w:rFonts w:hint="default" w:ascii="仿宋_GB2312" w:hAnsi="Times New Roman" w:eastAsia="仿宋_GB2312" w:cs="仿宋_GB2312"/>
          <w:b w:val="0"/>
          <w:bCs/>
          <w:color w:val="auto"/>
          <w:kern w:val="2"/>
          <w:sz w:val="32"/>
          <w:szCs w:val="32"/>
          <w:highlight w:val="none"/>
          <w:lang w:val="en-US" w:eastAsia="zh-CN" w:bidi="ar"/>
        </w:rPr>
        <w:t>公务用车购置及运行维护费支出决算比2021年增加8.34万元，增长121.75%。主要原因是青川管理部车辆使用年限长久，经请示批准大修。</w:t>
      </w:r>
    </w:p>
    <w:p>
      <w:pPr>
        <w:keepNext w:val="0"/>
        <w:keepLines w:val="0"/>
        <w:widowControl w:val="0"/>
        <w:suppressLineNumbers w:val="0"/>
        <w:shd w:val="clear"/>
        <w:spacing w:before="0" w:beforeAutospacing="0" w:after="0" w:afterAutospacing="0" w:line="560" w:lineRule="exact"/>
        <w:ind w:left="0" w:right="0" w:firstLine="640" w:firstLineChars="200"/>
        <w:jc w:val="both"/>
        <w:rPr>
          <w:rFonts w:hint="default" w:ascii="仿宋_GB2312" w:eastAsia="仿宋_GB2312" w:cs="仿宋_GB2312"/>
          <w:b w:val="0"/>
          <w:bCs/>
          <w:color w:val="auto"/>
          <w:kern w:val="2"/>
          <w:sz w:val="32"/>
          <w:szCs w:val="32"/>
          <w:highlight w:val="none"/>
        </w:rPr>
      </w:pPr>
      <w:r>
        <w:rPr>
          <w:rFonts w:hint="default" w:ascii="仿宋_GB2312" w:hAnsi="Times New Roman" w:eastAsia="仿宋_GB2312" w:cs="仿宋_GB2312"/>
          <w:b w:val="0"/>
          <w:bCs/>
          <w:color w:val="auto"/>
          <w:kern w:val="2"/>
          <w:sz w:val="32"/>
          <w:szCs w:val="32"/>
          <w:highlight w:val="none"/>
          <w:lang w:val="en-US" w:eastAsia="zh-CN" w:bidi="ar"/>
        </w:rPr>
        <w:t>其中：公务用车购置支出0万元。截至2022年12月底，单位共有公务用车8辆</w:t>
      </w:r>
      <w:r>
        <w:rPr>
          <w:rFonts w:hint="eastAsia" w:ascii="仿宋_GB2312" w:eastAsia="仿宋_GB2312" w:cs="仿宋_GB2312"/>
          <w:b w:val="0"/>
          <w:bCs/>
          <w:color w:val="auto"/>
          <w:kern w:val="2"/>
          <w:sz w:val="32"/>
          <w:szCs w:val="32"/>
          <w:highlight w:val="none"/>
          <w:lang w:val="en-US" w:eastAsia="zh-CN" w:bidi="ar"/>
        </w:rPr>
        <w:t>（</w:t>
      </w:r>
      <w:r>
        <w:rPr>
          <w:rFonts w:hint="default" w:ascii="仿宋_GB2312" w:hAnsi="Times New Roman" w:eastAsia="仿宋_GB2312" w:cs="仿宋_GB2312"/>
          <w:b w:val="0"/>
          <w:bCs/>
          <w:color w:val="auto"/>
          <w:kern w:val="2"/>
          <w:sz w:val="32"/>
          <w:szCs w:val="32"/>
          <w:highlight w:val="none"/>
          <w:lang w:val="en-US" w:eastAsia="zh-CN" w:bidi="ar"/>
        </w:rPr>
        <w:t>实际在用5</w:t>
      </w:r>
      <w:r>
        <w:rPr>
          <w:rFonts w:hint="eastAsia" w:ascii="仿宋_GB2312" w:eastAsia="仿宋_GB2312" w:cs="仿宋_GB2312"/>
          <w:b w:val="0"/>
          <w:bCs/>
          <w:color w:val="auto"/>
          <w:kern w:val="2"/>
          <w:sz w:val="32"/>
          <w:szCs w:val="32"/>
          <w:highlight w:val="none"/>
          <w:lang w:val="en-US" w:eastAsia="zh-CN" w:bidi="ar"/>
        </w:rPr>
        <w:t>辆）</w:t>
      </w:r>
      <w:r>
        <w:rPr>
          <w:rFonts w:hint="default" w:ascii="仿宋_GB2312" w:hAnsi="Times New Roman" w:eastAsia="仿宋_GB2312" w:cs="仿宋_GB2312"/>
          <w:b w:val="0"/>
          <w:bCs/>
          <w:color w:val="auto"/>
          <w:kern w:val="2"/>
          <w:sz w:val="32"/>
          <w:szCs w:val="32"/>
          <w:highlight w:val="none"/>
          <w:lang w:val="en-US" w:eastAsia="zh-CN" w:bidi="ar"/>
        </w:rPr>
        <w:t>，其中：轿车7辆、越野车1辆、载客汽车0辆。（车改封存3辆）</w:t>
      </w:r>
    </w:p>
    <w:p>
      <w:pPr>
        <w:keepNext w:val="0"/>
        <w:keepLines w:val="0"/>
        <w:widowControl w:val="0"/>
        <w:suppressLineNumbers w:val="0"/>
        <w:shd w:val="clear"/>
        <w:spacing w:before="0" w:beforeAutospacing="0" w:after="0" w:afterAutospacing="0" w:line="560" w:lineRule="exact"/>
        <w:ind w:left="0" w:right="0" w:firstLine="640"/>
        <w:jc w:val="both"/>
        <w:rPr>
          <w:rFonts w:hint="default" w:ascii="仿宋_GB2312" w:eastAsia="仿宋_GB2312" w:cs="仿宋_GB2312"/>
          <w:b w:val="0"/>
          <w:bCs/>
          <w:color w:val="auto"/>
          <w:kern w:val="2"/>
          <w:sz w:val="32"/>
          <w:szCs w:val="32"/>
          <w:highlight w:val="none"/>
        </w:rPr>
      </w:pPr>
      <w:r>
        <w:rPr>
          <w:rFonts w:hint="default" w:ascii="仿宋_GB2312" w:hAnsi="Times New Roman" w:eastAsia="仿宋_GB2312" w:cs="仿宋_GB2312"/>
          <w:b w:val="0"/>
          <w:bCs/>
          <w:color w:val="auto"/>
          <w:kern w:val="2"/>
          <w:sz w:val="32"/>
          <w:szCs w:val="32"/>
          <w:highlight w:val="none"/>
          <w:lang w:val="en-US" w:eastAsia="zh-CN" w:bidi="ar"/>
        </w:rPr>
        <w:t>公务用车运行维护费支出15.19万元。主要用于县区管理部调研检查、公积金资金对账、楼盘备案、贷款催收等所需的公务用车燃料费、维修费、过路过桥费、保险费等支出。</w:t>
      </w:r>
    </w:p>
    <w:p>
      <w:pPr>
        <w:keepNext w:val="0"/>
        <w:keepLines w:val="0"/>
        <w:widowControl/>
        <w:suppressLineNumbers w:val="0"/>
        <w:shd w:val="clear"/>
        <w:spacing w:before="0" w:beforeAutospacing="0" w:after="0" w:afterAutospacing="0"/>
        <w:ind w:left="0" w:right="0" w:firstLine="640" w:firstLineChars="200"/>
        <w:jc w:val="left"/>
        <w:rPr>
          <w:rFonts w:hint="default" w:ascii="仿宋_GB2312" w:eastAsia="仿宋_GB2312" w:cs="仿宋_GB2312"/>
          <w:b w:val="0"/>
          <w:bCs/>
          <w:strike/>
          <w:dstrike w:val="0"/>
          <w:color w:val="auto"/>
          <w:kern w:val="2"/>
          <w:sz w:val="32"/>
          <w:szCs w:val="32"/>
          <w:highlight w:val="none"/>
        </w:rPr>
      </w:pPr>
      <w:r>
        <w:rPr>
          <w:rFonts w:hint="default" w:ascii="仿宋_GB2312" w:hAnsi="Times New Roman" w:eastAsia="仿宋_GB2312" w:cs="仿宋_GB2312"/>
          <w:b w:val="0"/>
          <w:bCs/>
          <w:color w:val="auto"/>
          <w:kern w:val="2"/>
          <w:sz w:val="32"/>
          <w:szCs w:val="32"/>
          <w:highlight w:val="none"/>
          <w:lang w:val="en-US" w:eastAsia="zh-CN" w:bidi="ar"/>
        </w:rPr>
        <w:t>3.公务接待费支出0.39万元，</w:t>
      </w:r>
      <w:r>
        <w:rPr>
          <w:rFonts w:hint="default" w:ascii="仿宋_GB2312" w:hAnsi="Times New Roman" w:eastAsia="仿宋_GB2312" w:cs="仿宋_GB2312"/>
          <w:b w:val="0"/>
          <w:bCs/>
          <w:color w:val="auto"/>
          <w:kern w:val="2"/>
          <w:sz w:val="32"/>
          <w:szCs w:val="32"/>
          <w:highlight w:val="none"/>
          <w:lang w:val="en-US" w:eastAsia="zh-CN" w:bidi="ar"/>
        </w:rPr>
        <w:t>完成预算100%。</w:t>
      </w:r>
      <w:r>
        <w:rPr>
          <w:rFonts w:hint="default" w:ascii="仿宋_GB2312" w:hAnsi="Times New Roman" w:eastAsia="仿宋_GB2312" w:cs="仿宋_GB2312"/>
          <w:b w:val="0"/>
          <w:bCs/>
          <w:color w:val="auto"/>
          <w:kern w:val="2"/>
          <w:sz w:val="32"/>
          <w:szCs w:val="32"/>
          <w:highlight w:val="none"/>
          <w:lang w:val="en-US" w:eastAsia="zh-CN" w:bidi="ar"/>
        </w:rPr>
        <w:t>公务接待费支出决算比2021年增加0.09万元，增长30%。主要原因是为落实住建部公积金监管司和西藏、四川两地住建厅关于深入开展住房公积金“结对子”帮扶工作安排部署，西藏阿里资金管理中心2022年共派14人次来广交流学习。其中：国内公务接待支出0.39万元，主要用于执行公务、开展业务活动开支的用餐费。国内公务接待5批次， 40人次（不包括陪同人员），共计支出0.39万元，具体包括：接待其他地区住房公积金单位、软件公司、帮扶村来访人员等。</w:t>
      </w:r>
    </w:p>
    <w:p>
      <w:pPr>
        <w:keepNext w:val="0"/>
        <w:keepLines w:val="0"/>
        <w:widowControl w:val="0"/>
        <w:suppressLineNumbers w:val="0"/>
        <w:shd w:val="clear"/>
        <w:spacing w:before="0" w:beforeAutospacing="0" w:after="0" w:afterAutospacing="0" w:line="560" w:lineRule="exact"/>
        <w:ind w:left="0" w:right="0" w:firstLine="640" w:firstLineChars="200"/>
        <w:jc w:val="both"/>
        <w:rPr>
          <w:rFonts w:ascii="黑体" w:eastAsia="黑体"/>
          <w:color w:val="auto"/>
          <w:sz w:val="32"/>
          <w:szCs w:val="32"/>
          <w:highlight w:val="none"/>
        </w:rPr>
      </w:pPr>
      <w:r>
        <w:rPr>
          <w:rFonts w:hint="default" w:ascii="仿宋_GB2312" w:hAnsi="Times New Roman" w:eastAsia="仿宋_GB2312" w:cs="仿宋_GB2312"/>
          <w:color w:val="auto"/>
          <w:kern w:val="2"/>
          <w:sz w:val="32"/>
          <w:szCs w:val="32"/>
          <w:highlight w:val="none"/>
          <w:lang w:val="en-US" w:eastAsia="zh-CN" w:bidi="ar"/>
        </w:rPr>
        <w:t xml:space="preserve">外事接待支出0万元。 </w:t>
      </w:r>
      <w:bookmarkEnd w:id="61"/>
    </w:p>
    <w:p>
      <w:pPr>
        <w:keepNext w:val="0"/>
        <w:keepLines w:val="0"/>
        <w:pageBreakBefore w:val="0"/>
        <w:shd w:val="clear"/>
        <w:kinsoku/>
        <w:wordWrap/>
        <w:overflowPunct/>
        <w:topLinePunct w:val="0"/>
        <w:bidi w:val="0"/>
        <w:snapToGrid/>
        <w:spacing w:line="560" w:lineRule="exact"/>
        <w:ind w:firstLine="640"/>
        <w:textAlignment w:val="auto"/>
        <w:outlineLvl w:val="1"/>
        <w:rPr>
          <w:rStyle w:val="22"/>
          <w:rFonts w:ascii="黑体" w:hAnsi="黑体" w:eastAsia="黑体"/>
          <w:color w:val="auto"/>
          <w:highlight w:val="none"/>
        </w:rPr>
      </w:pPr>
      <w:bookmarkStart w:id="64" w:name="_Toc6071"/>
      <w:r>
        <w:rPr>
          <w:rFonts w:hint="eastAsia" w:ascii="黑体" w:eastAsia="黑体"/>
          <w:color w:val="auto"/>
          <w:sz w:val="32"/>
          <w:szCs w:val="32"/>
          <w:highlight w:val="none"/>
        </w:rPr>
        <w:t>八、</w:t>
      </w:r>
      <w:r>
        <w:rPr>
          <w:rStyle w:val="22"/>
          <w:rFonts w:hint="eastAsia" w:ascii="黑体" w:hAnsi="黑体" w:eastAsia="黑体"/>
          <w:b w:val="0"/>
          <w:color w:val="auto"/>
          <w:highlight w:val="none"/>
        </w:rPr>
        <w:t>政府性基金预算支出决算情况说明</w:t>
      </w:r>
      <w:bookmarkEnd w:id="62"/>
      <w:bookmarkEnd w:id="63"/>
      <w:bookmarkEnd w:id="64"/>
    </w:p>
    <w:p>
      <w:pPr>
        <w:keepNext w:val="0"/>
        <w:keepLines w:val="0"/>
        <w:pageBreakBefore w:val="0"/>
        <w:shd w:val="clear"/>
        <w:kinsoku/>
        <w:wordWrap/>
        <w:overflowPunct/>
        <w:topLinePunct w:val="0"/>
        <w:bidi w:val="0"/>
        <w:snapToGrid/>
        <w:spacing w:line="560" w:lineRule="exact"/>
        <w:ind w:firstLine="64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市住房公积金中心202</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年无政府性基金预算财政拨款支出。</w:t>
      </w:r>
    </w:p>
    <w:p>
      <w:pPr>
        <w:keepNext w:val="0"/>
        <w:keepLines w:val="0"/>
        <w:pageBreakBefore w:val="0"/>
        <w:numPr>
          <w:ilvl w:val="0"/>
          <w:numId w:val="2"/>
        </w:numPr>
        <w:shd w:val="clear"/>
        <w:kinsoku/>
        <w:wordWrap/>
        <w:overflowPunct/>
        <w:topLinePunct w:val="0"/>
        <w:bidi w:val="0"/>
        <w:snapToGrid/>
        <w:spacing w:line="560" w:lineRule="exact"/>
        <w:ind w:firstLine="640"/>
        <w:textAlignment w:val="auto"/>
        <w:outlineLvl w:val="1"/>
        <w:rPr>
          <w:rStyle w:val="22"/>
          <w:rFonts w:ascii="黑体" w:hAnsi="黑体" w:eastAsia="黑体"/>
          <w:b w:val="0"/>
          <w:color w:val="auto"/>
          <w:highlight w:val="none"/>
        </w:rPr>
      </w:pPr>
      <w:bookmarkStart w:id="65" w:name="_Toc15396611"/>
      <w:bookmarkStart w:id="66" w:name="_Toc17624"/>
      <w:bookmarkStart w:id="67" w:name="_Toc15377219"/>
      <w:r>
        <w:rPr>
          <w:rStyle w:val="22"/>
          <w:rFonts w:hint="eastAsia" w:ascii="黑体" w:hAnsi="黑体" w:eastAsia="黑体"/>
          <w:b w:val="0"/>
          <w:color w:val="auto"/>
          <w:highlight w:val="none"/>
        </w:rPr>
        <w:t>国有资本经营预算支出决算情况说明</w:t>
      </w:r>
      <w:bookmarkEnd w:id="65"/>
      <w:bookmarkEnd w:id="66"/>
      <w:bookmarkEnd w:id="67"/>
    </w:p>
    <w:p>
      <w:pPr>
        <w:keepNext w:val="0"/>
        <w:keepLines w:val="0"/>
        <w:pageBreakBefore w:val="0"/>
        <w:shd w:val="clear"/>
        <w:kinsoku/>
        <w:wordWrap/>
        <w:overflowPunct/>
        <w:topLinePunct w:val="0"/>
        <w:bidi w:val="0"/>
        <w:snapToGrid/>
        <w:spacing w:line="560" w:lineRule="exact"/>
        <w:ind w:firstLine="64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市住房公积金中心</w:t>
      </w:r>
      <w:r>
        <w:rPr>
          <w:rFonts w:hint="eastAsia" w:ascii="仿宋_GB2312" w:hAnsi="仿宋_GB2312" w:eastAsia="仿宋_GB2312" w:cs="仿宋_GB2312"/>
          <w:color w:val="auto"/>
          <w:sz w:val="32"/>
          <w:szCs w:val="32"/>
          <w:highlight w:val="none"/>
        </w:rPr>
        <w:t>202</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年无国有资本经营预算财政拨款支出。</w:t>
      </w:r>
    </w:p>
    <w:p>
      <w:pPr>
        <w:keepNext w:val="0"/>
        <w:keepLines w:val="0"/>
        <w:pageBreakBefore w:val="0"/>
        <w:numPr>
          <w:ilvl w:val="0"/>
          <w:numId w:val="2"/>
        </w:numPr>
        <w:shd w:val="clear"/>
        <w:kinsoku/>
        <w:wordWrap/>
        <w:overflowPunct/>
        <w:topLinePunct w:val="0"/>
        <w:bidi w:val="0"/>
        <w:snapToGrid/>
        <w:spacing w:line="560" w:lineRule="exact"/>
        <w:ind w:firstLine="640"/>
        <w:textAlignment w:val="auto"/>
        <w:outlineLvl w:val="1"/>
        <w:rPr>
          <w:rStyle w:val="22"/>
          <w:rFonts w:hint="eastAsia" w:ascii="黑体" w:hAnsi="黑体" w:eastAsia="黑体"/>
          <w:b w:val="0"/>
          <w:color w:val="auto"/>
          <w:highlight w:val="none"/>
        </w:rPr>
      </w:pPr>
      <w:bookmarkStart w:id="68" w:name="_Toc5908"/>
      <w:bookmarkStart w:id="69" w:name="_Toc15396612"/>
      <w:bookmarkStart w:id="70" w:name="_Toc15377221"/>
      <w:r>
        <w:rPr>
          <w:rStyle w:val="22"/>
          <w:rFonts w:hint="eastAsia" w:ascii="黑体" w:hAnsi="黑体" w:eastAsia="黑体"/>
          <w:b w:val="0"/>
          <w:color w:val="auto"/>
          <w:highlight w:val="none"/>
        </w:rPr>
        <w:t>其他重要事项的情况说明</w:t>
      </w:r>
      <w:bookmarkEnd w:id="68"/>
      <w:bookmarkEnd w:id="69"/>
      <w:bookmarkEnd w:id="70"/>
    </w:p>
    <w:p>
      <w:pPr>
        <w:keepNext w:val="0"/>
        <w:keepLines w:val="0"/>
        <w:pageBreakBefore w:val="0"/>
        <w:shd w:val="clear"/>
        <w:kinsoku/>
        <w:wordWrap/>
        <w:overflowPunct/>
        <w:topLinePunct w:val="0"/>
        <w:bidi w:val="0"/>
        <w:snapToGrid/>
        <w:spacing w:line="560" w:lineRule="exact"/>
        <w:ind w:firstLine="640" w:firstLineChars="200"/>
        <w:textAlignment w:val="auto"/>
        <w:outlineLvl w:val="2"/>
        <w:rPr>
          <w:rFonts w:hint="eastAsia" w:ascii="楷体_GB2312" w:hAnsi="楷体_GB2312" w:eastAsia="楷体_GB2312" w:cs="楷体_GB2312"/>
          <w:b w:val="0"/>
          <w:bCs/>
          <w:color w:val="auto"/>
          <w:sz w:val="32"/>
          <w:szCs w:val="32"/>
          <w:highlight w:val="none"/>
        </w:rPr>
      </w:pPr>
      <w:bookmarkStart w:id="71" w:name="_Toc15377222"/>
      <w:r>
        <w:rPr>
          <w:rFonts w:hint="eastAsia" w:ascii="楷体_GB2312" w:hAnsi="楷体_GB2312" w:eastAsia="楷体_GB2312" w:cs="楷体_GB2312"/>
          <w:b w:val="0"/>
          <w:bCs/>
          <w:color w:val="auto"/>
          <w:sz w:val="32"/>
          <w:szCs w:val="32"/>
          <w:highlight w:val="none"/>
        </w:rPr>
        <w:t>（一）机关运行经费支出情况</w:t>
      </w:r>
      <w:bookmarkEnd w:id="71"/>
    </w:p>
    <w:p>
      <w:pPr>
        <w:keepNext w:val="0"/>
        <w:keepLines w:val="0"/>
        <w:pageBreakBefore w:val="0"/>
        <w:shd w:val="clear"/>
        <w:kinsoku/>
        <w:wordWrap/>
        <w:overflowPunct/>
        <w:topLinePunct w:val="0"/>
        <w:bidi w:val="0"/>
        <w:snapToGrid/>
        <w:spacing w:line="560" w:lineRule="exact"/>
        <w:ind w:firstLine="640"/>
        <w:textAlignment w:val="auto"/>
        <w:rPr>
          <w:rFonts w:hint="eastAsia" w:ascii="仿宋_GB2312" w:hAnsi="仿宋_GB2312" w:eastAsia="仿宋_GB2312" w:cs="仿宋_GB2312"/>
          <w:color w:val="auto"/>
          <w:sz w:val="32"/>
          <w:szCs w:val="32"/>
          <w:highlight w:val="none"/>
        </w:rPr>
      </w:pPr>
      <w:bookmarkStart w:id="72" w:name="_Toc15377223"/>
      <w:r>
        <w:rPr>
          <w:rFonts w:hint="eastAsia" w:ascii="仿宋_GB2312" w:hAnsi="仿宋_GB2312" w:eastAsia="仿宋_GB2312" w:cs="仿宋_GB2312"/>
          <w:color w:val="auto"/>
          <w:sz w:val="32"/>
          <w:szCs w:val="32"/>
          <w:highlight w:val="none"/>
        </w:rPr>
        <w:t>按照名词解释，我中心为事业单位，</w:t>
      </w:r>
      <w:r>
        <w:rPr>
          <w:rFonts w:hint="eastAsia" w:ascii="仿宋_GB2312" w:hAnsi="仿宋_GB2312" w:eastAsia="仿宋_GB2312" w:cs="仿宋_GB2312"/>
          <w:color w:val="auto"/>
          <w:sz w:val="32"/>
          <w:szCs w:val="32"/>
          <w:highlight w:val="none"/>
          <w:lang w:eastAsia="zh-CN"/>
        </w:rPr>
        <w:t>无机关运行经费支出</w:t>
      </w:r>
      <w:r>
        <w:rPr>
          <w:rFonts w:hint="eastAsia" w:ascii="仿宋_GB2312" w:hAnsi="仿宋_GB2312" w:eastAsia="仿宋_GB2312" w:cs="仿宋_GB2312"/>
          <w:color w:val="auto"/>
          <w:sz w:val="32"/>
          <w:szCs w:val="32"/>
          <w:highlight w:val="none"/>
        </w:rPr>
        <w:t>。与202</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年决算数无变化。</w:t>
      </w:r>
    </w:p>
    <w:p>
      <w:pPr>
        <w:keepNext w:val="0"/>
        <w:keepLines w:val="0"/>
        <w:pageBreakBefore w:val="0"/>
        <w:shd w:val="clear"/>
        <w:kinsoku/>
        <w:wordWrap/>
        <w:overflowPunct/>
        <w:topLinePunct w:val="0"/>
        <w:autoSpaceDE w:val="0"/>
        <w:autoSpaceDN w:val="0"/>
        <w:bidi w:val="0"/>
        <w:adjustRightInd w:val="0"/>
        <w:snapToGrid/>
        <w:spacing w:line="560" w:lineRule="exact"/>
        <w:ind w:firstLine="640" w:firstLineChars="200"/>
        <w:jc w:val="left"/>
        <w:textAlignment w:val="auto"/>
        <w:outlineLvl w:val="2"/>
        <w:rPr>
          <w:rFonts w:hint="eastAsia" w:ascii="楷体_GB2312" w:hAnsi="楷体_GB2312" w:eastAsia="楷体_GB2312" w:cs="楷体_GB2312"/>
          <w:b w:val="0"/>
          <w:bCs/>
          <w:color w:val="auto"/>
          <w:sz w:val="32"/>
          <w:szCs w:val="32"/>
          <w:highlight w:val="none"/>
        </w:rPr>
      </w:pPr>
      <w:r>
        <w:rPr>
          <w:rFonts w:hint="eastAsia" w:ascii="楷体_GB2312" w:hAnsi="楷体_GB2312" w:eastAsia="楷体_GB2312" w:cs="楷体_GB2312"/>
          <w:b w:val="0"/>
          <w:bCs/>
          <w:color w:val="auto"/>
          <w:sz w:val="32"/>
          <w:szCs w:val="32"/>
          <w:highlight w:val="none"/>
        </w:rPr>
        <w:t>（二）政府采购支出情况</w:t>
      </w:r>
      <w:bookmarkEnd w:id="72"/>
    </w:p>
    <w:p>
      <w:pPr>
        <w:keepNext w:val="0"/>
        <w:keepLines w:val="0"/>
        <w:pageBreakBefore w:val="0"/>
        <w:shd w:val="clear"/>
        <w:kinsoku/>
        <w:wordWrap/>
        <w:overflowPunct/>
        <w:topLinePunct w:val="0"/>
        <w:bidi w:val="0"/>
        <w:snapToGrid/>
        <w:spacing w:line="560" w:lineRule="exact"/>
        <w:ind w:firstLine="64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202</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年，市住房公积金中心政府采购支出总额17.33万元。</w:t>
      </w:r>
    </w:p>
    <w:p>
      <w:pPr>
        <w:keepNext w:val="0"/>
        <w:keepLines w:val="0"/>
        <w:pageBreakBefore w:val="0"/>
        <w:shd w:val="clear"/>
        <w:kinsoku/>
        <w:wordWrap/>
        <w:overflowPunct/>
        <w:topLinePunct w:val="0"/>
        <w:bidi w:val="0"/>
        <w:snapToGrid/>
        <w:spacing w:line="56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其中：政府采购货物支出17.33万元</w:t>
      </w:r>
      <w:r>
        <w:rPr>
          <w:rFonts w:hint="eastAsia" w:ascii="仿宋_GB2312" w:hAnsi="仿宋_GB2312" w:eastAsia="仿宋_GB2312" w:cs="仿宋_GB2312"/>
          <w:color w:val="auto"/>
          <w:sz w:val="32"/>
          <w:szCs w:val="32"/>
          <w:highlight w:val="none"/>
          <w:lang w:eastAsia="zh-CN"/>
        </w:rPr>
        <w:t>，主要用于购置</w:t>
      </w:r>
      <w:r>
        <w:rPr>
          <w:rFonts w:hint="eastAsia" w:ascii="仿宋_GB2312" w:hAnsi="仿宋_GB2312" w:eastAsia="仿宋_GB2312" w:cs="仿宋_GB2312"/>
          <w:color w:val="auto"/>
          <w:sz w:val="32"/>
          <w:szCs w:val="32"/>
          <w:highlight w:val="none"/>
          <w:lang w:val="en-US" w:eastAsia="zh-CN"/>
        </w:rPr>
        <w:t>2台</w:t>
      </w:r>
      <w:r>
        <w:rPr>
          <w:rFonts w:hint="eastAsia" w:ascii="仿宋_GB2312" w:hAnsi="仿宋_GB2312" w:eastAsia="仿宋_GB2312" w:cs="仿宋_GB2312"/>
          <w:color w:val="auto"/>
          <w:sz w:val="32"/>
          <w:szCs w:val="32"/>
          <w:highlight w:val="none"/>
          <w:lang w:eastAsia="zh-CN"/>
        </w:rPr>
        <w:t>触控一体机、</w:t>
      </w:r>
      <w:r>
        <w:rPr>
          <w:rFonts w:hint="eastAsia" w:ascii="仿宋_GB2312" w:hAnsi="仿宋_GB2312" w:eastAsia="仿宋_GB2312" w:cs="仿宋_GB2312"/>
          <w:color w:val="auto"/>
          <w:sz w:val="32"/>
          <w:szCs w:val="32"/>
          <w:highlight w:val="none"/>
          <w:lang w:val="en-US" w:eastAsia="zh-CN"/>
        </w:rPr>
        <w:t>20台激光打印机、8台空调机和1台一拖二风管机</w:t>
      </w:r>
      <w:r>
        <w:rPr>
          <w:rFonts w:hint="eastAsia" w:ascii="仿宋_GB2312" w:hAnsi="仿宋_GB2312" w:eastAsia="仿宋_GB2312" w:cs="仿宋_GB2312"/>
          <w:color w:val="auto"/>
          <w:sz w:val="32"/>
          <w:szCs w:val="32"/>
          <w:highlight w:val="none"/>
        </w:rPr>
        <w:t>。授予中小企业合同金额</w:t>
      </w:r>
      <w:r>
        <w:rPr>
          <w:rFonts w:hint="eastAsia" w:ascii="仿宋_GB2312" w:hAnsi="仿宋_GB2312" w:eastAsia="仿宋_GB2312" w:cs="仿宋_GB2312"/>
          <w:color w:val="auto"/>
          <w:sz w:val="32"/>
          <w:szCs w:val="32"/>
          <w:highlight w:val="none"/>
          <w:lang w:val="en-US" w:eastAsia="zh-CN"/>
        </w:rPr>
        <w:t>17.33</w:t>
      </w:r>
      <w:r>
        <w:rPr>
          <w:rFonts w:hint="eastAsia" w:ascii="仿宋_GB2312" w:hAnsi="仿宋_GB2312" w:eastAsia="仿宋_GB2312" w:cs="仿宋_GB2312"/>
          <w:color w:val="auto"/>
          <w:sz w:val="32"/>
          <w:szCs w:val="32"/>
          <w:highlight w:val="none"/>
        </w:rPr>
        <w:t>万元，占政府采购支出总额的</w:t>
      </w:r>
      <w:r>
        <w:rPr>
          <w:rFonts w:hint="eastAsia" w:ascii="仿宋_GB2312" w:hAnsi="仿宋_GB2312" w:eastAsia="仿宋_GB2312" w:cs="仿宋_GB2312"/>
          <w:color w:val="auto"/>
          <w:sz w:val="32"/>
          <w:szCs w:val="32"/>
          <w:highlight w:val="none"/>
          <w:lang w:val="en-US" w:eastAsia="zh-CN"/>
        </w:rPr>
        <w:t>100</w:t>
      </w:r>
      <w:r>
        <w:rPr>
          <w:rFonts w:hint="eastAsia" w:ascii="仿宋_GB2312" w:hAnsi="仿宋_GB2312" w:eastAsia="仿宋_GB2312" w:cs="仿宋_GB2312"/>
          <w:color w:val="auto"/>
          <w:sz w:val="32"/>
          <w:szCs w:val="32"/>
          <w:highlight w:val="none"/>
        </w:rPr>
        <w:t>%，其中：授予小微企业合同金额</w:t>
      </w:r>
      <w:r>
        <w:rPr>
          <w:rFonts w:hint="eastAsia" w:ascii="仿宋_GB2312" w:hAnsi="仿宋_GB2312" w:eastAsia="仿宋_GB2312" w:cs="仿宋_GB2312"/>
          <w:color w:val="auto"/>
          <w:sz w:val="32"/>
          <w:szCs w:val="32"/>
          <w:highlight w:val="none"/>
          <w:lang w:val="en-US" w:eastAsia="zh-CN"/>
        </w:rPr>
        <w:t>17.33</w:t>
      </w:r>
      <w:r>
        <w:rPr>
          <w:rFonts w:hint="eastAsia" w:ascii="仿宋_GB2312" w:hAnsi="仿宋_GB2312" w:eastAsia="仿宋_GB2312" w:cs="仿宋_GB2312"/>
          <w:color w:val="auto"/>
          <w:sz w:val="32"/>
          <w:szCs w:val="32"/>
          <w:highlight w:val="none"/>
        </w:rPr>
        <w:t>万元，占政府采购支出总额的</w:t>
      </w:r>
      <w:r>
        <w:rPr>
          <w:rFonts w:hint="eastAsia" w:ascii="仿宋_GB2312" w:hAnsi="仿宋_GB2312" w:eastAsia="仿宋_GB2312" w:cs="仿宋_GB2312"/>
          <w:color w:val="auto"/>
          <w:sz w:val="32"/>
          <w:szCs w:val="32"/>
          <w:highlight w:val="none"/>
          <w:lang w:val="en-US" w:eastAsia="zh-CN"/>
        </w:rPr>
        <w:t>100</w:t>
      </w:r>
      <w:r>
        <w:rPr>
          <w:rFonts w:hint="eastAsia" w:ascii="仿宋_GB2312" w:hAnsi="仿宋_GB2312" w:eastAsia="仿宋_GB2312" w:cs="仿宋_GB2312"/>
          <w:color w:val="auto"/>
          <w:sz w:val="32"/>
          <w:szCs w:val="32"/>
          <w:highlight w:val="none"/>
        </w:rPr>
        <w:t>%。</w:t>
      </w:r>
    </w:p>
    <w:p>
      <w:pPr>
        <w:keepNext w:val="0"/>
        <w:keepLines w:val="0"/>
        <w:pageBreakBefore w:val="0"/>
        <w:shd w:val="clear"/>
        <w:kinsoku/>
        <w:wordWrap/>
        <w:overflowPunct/>
        <w:topLinePunct w:val="0"/>
        <w:autoSpaceDE w:val="0"/>
        <w:autoSpaceDN w:val="0"/>
        <w:bidi w:val="0"/>
        <w:adjustRightInd w:val="0"/>
        <w:snapToGrid/>
        <w:spacing w:line="560" w:lineRule="exact"/>
        <w:ind w:firstLine="640" w:firstLineChars="200"/>
        <w:jc w:val="left"/>
        <w:textAlignment w:val="auto"/>
        <w:outlineLvl w:val="2"/>
        <w:rPr>
          <w:rFonts w:hint="eastAsia" w:ascii="楷体_GB2312" w:hAnsi="楷体_GB2312" w:eastAsia="楷体_GB2312" w:cs="楷体_GB2312"/>
          <w:b w:val="0"/>
          <w:bCs/>
          <w:color w:val="auto"/>
          <w:sz w:val="32"/>
          <w:szCs w:val="32"/>
          <w:highlight w:val="none"/>
        </w:rPr>
      </w:pPr>
      <w:bookmarkStart w:id="73" w:name="_Toc15377224"/>
      <w:r>
        <w:rPr>
          <w:rFonts w:hint="eastAsia" w:ascii="楷体_GB2312" w:hAnsi="楷体_GB2312" w:eastAsia="楷体_GB2312" w:cs="楷体_GB2312"/>
          <w:b w:val="0"/>
          <w:bCs/>
          <w:color w:val="auto"/>
          <w:sz w:val="32"/>
          <w:szCs w:val="32"/>
          <w:highlight w:val="none"/>
        </w:rPr>
        <w:t>（三）国有资产占有使用情况</w:t>
      </w:r>
      <w:bookmarkEnd w:id="73"/>
    </w:p>
    <w:p>
      <w:pPr>
        <w:keepNext w:val="0"/>
        <w:keepLines w:val="0"/>
        <w:pageBreakBefore w:val="0"/>
        <w:shd w:val="clear"/>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截至2022年12月31日，市住房公积金中心共有车辆8辆，其他用车8辆（其中车改封存3辆、实际在用5辆），其他用车主要是用于中心机关到各县区开展业务工作检查及调研，4个县的管理部业务办理用车。单价50万元以上通用设备3台（套），单价100万元以上专用设备0台（套）。</w:t>
      </w:r>
    </w:p>
    <w:p>
      <w:pPr>
        <w:keepNext w:val="0"/>
        <w:keepLines w:val="0"/>
        <w:pageBreakBefore w:val="0"/>
        <w:shd w:val="clear"/>
        <w:kinsoku/>
        <w:wordWrap/>
        <w:overflowPunct/>
        <w:topLinePunct w:val="0"/>
        <w:autoSpaceDE w:val="0"/>
        <w:autoSpaceDN w:val="0"/>
        <w:bidi w:val="0"/>
        <w:adjustRightInd w:val="0"/>
        <w:snapToGrid/>
        <w:spacing w:line="560" w:lineRule="exact"/>
        <w:ind w:firstLine="640" w:firstLineChars="200"/>
        <w:jc w:val="left"/>
        <w:textAlignment w:val="auto"/>
        <w:outlineLvl w:val="2"/>
        <w:rPr>
          <w:rFonts w:hint="eastAsia" w:ascii="楷体_GB2312" w:hAnsi="楷体_GB2312" w:eastAsia="楷体_GB2312" w:cs="楷体_GB2312"/>
          <w:b w:val="0"/>
          <w:bCs/>
          <w:color w:val="auto"/>
          <w:sz w:val="32"/>
          <w:szCs w:val="32"/>
          <w:highlight w:val="none"/>
        </w:rPr>
      </w:pPr>
      <w:r>
        <w:rPr>
          <w:rFonts w:hint="eastAsia" w:ascii="楷体_GB2312" w:hAnsi="楷体_GB2312" w:eastAsia="楷体_GB2312" w:cs="楷体_GB2312"/>
          <w:b w:val="0"/>
          <w:bCs/>
          <w:color w:val="auto"/>
          <w:sz w:val="32"/>
          <w:szCs w:val="32"/>
          <w:highlight w:val="none"/>
        </w:rPr>
        <w:t>（四）预算绩效管理情况</w:t>
      </w:r>
    </w:p>
    <w:p>
      <w:pPr>
        <w:keepNext w:val="0"/>
        <w:keepLines w:val="0"/>
        <w:pageBreakBefore w:val="0"/>
        <w:shd w:val="clear"/>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根据预算绩效管理要求，本部门在2022年度预算编制阶段，组织对派驻机构工作经费等9个项目开展了预算事前绩效评估，对9个项目编制了绩效目标，预算执行过程中，选取9个项目开展绩效监控，年终执行完毕后，对9个项目开展了绩效自评。同时，本部门对2022年部门整体开展绩效自评，《2022年市住房公积金中心部门整体绩效评价报告》见附件（第四部分）。</w:t>
      </w:r>
    </w:p>
    <w:p>
      <w:pPr>
        <w:keepNext w:val="0"/>
        <w:keepLines w:val="0"/>
        <w:pageBreakBefore w:val="0"/>
        <w:widowControl/>
        <w:shd w:val="clear"/>
        <w:kinsoku/>
        <w:wordWrap/>
        <w:overflowPunct/>
        <w:topLinePunct w:val="0"/>
        <w:bidi w:val="0"/>
        <w:snapToGrid/>
        <w:spacing w:line="560" w:lineRule="exact"/>
        <w:ind w:firstLine="643" w:firstLineChars="200"/>
        <w:jc w:val="left"/>
        <w:textAlignment w:val="auto"/>
        <w:rPr>
          <w:rFonts w:ascii="仿宋_GB2312" w:eastAsia="仿宋_GB2312"/>
          <w:b/>
          <w:color w:val="auto"/>
          <w:sz w:val="32"/>
          <w:szCs w:val="32"/>
          <w:highlight w:val="none"/>
        </w:rPr>
      </w:pPr>
      <w:r>
        <w:rPr>
          <w:rFonts w:ascii="仿宋_GB2312" w:eastAsia="仿宋_GB2312"/>
          <w:b/>
          <w:color w:val="auto"/>
          <w:sz w:val="32"/>
          <w:szCs w:val="32"/>
          <w:highlight w:val="none"/>
        </w:rPr>
        <w:br w:type="page"/>
      </w:r>
    </w:p>
    <w:p>
      <w:pPr>
        <w:keepNext w:val="0"/>
        <w:keepLines w:val="0"/>
        <w:pageBreakBefore w:val="0"/>
        <w:widowControl w:val="0"/>
        <w:numPr>
          <w:ilvl w:val="0"/>
          <w:numId w:val="3"/>
        </w:numPr>
        <w:shd w:val="clear"/>
        <w:kinsoku/>
        <w:wordWrap/>
        <w:overflowPunct/>
        <w:topLinePunct w:val="0"/>
        <w:autoSpaceDE/>
        <w:autoSpaceDN/>
        <w:bidi w:val="0"/>
        <w:adjustRightInd/>
        <w:snapToGrid/>
        <w:spacing w:line="0" w:lineRule="atLeast"/>
        <w:ind w:firstLine="660" w:firstLineChars="150"/>
        <w:jc w:val="center"/>
        <w:textAlignment w:val="auto"/>
        <w:outlineLvl w:val="0"/>
        <w:rPr>
          <w:rStyle w:val="21"/>
          <w:rFonts w:hint="eastAsia" w:ascii="方正小标宋_GBK" w:hAnsi="方正小标宋_GBK" w:eastAsia="方正小标宋_GBK" w:cs="方正小标宋_GBK"/>
          <w:b w:val="0"/>
          <w:color w:val="auto"/>
          <w:highlight w:val="none"/>
        </w:rPr>
      </w:pPr>
      <w:bookmarkStart w:id="74" w:name="_Toc15396613"/>
      <w:bookmarkStart w:id="75" w:name="_Toc4978"/>
      <w:bookmarkStart w:id="76" w:name="_Toc15377225"/>
      <w:r>
        <w:rPr>
          <w:rFonts w:hint="eastAsia" w:ascii="方正小标宋_GBK" w:hAnsi="方正小标宋_GBK" w:eastAsia="方正小标宋_GBK" w:cs="方正小标宋_GBK"/>
          <w:color w:val="auto"/>
          <w:sz w:val="44"/>
          <w:szCs w:val="44"/>
          <w:highlight w:val="none"/>
        </w:rPr>
        <w:t>名</w:t>
      </w:r>
      <w:r>
        <w:rPr>
          <w:rStyle w:val="21"/>
          <w:rFonts w:hint="eastAsia" w:ascii="方正小标宋_GBK" w:hAnsi="方正小标宋_GBK" w:eastAsia="方正小标宋_GBK" w:cs="方正小标宋_GBK"/>
          <w:b w:val="0"/>
          <w:color w:val="auto"/>
          <w:highlight w:val="none"/>
        </w:rPr>
        <w:t>词解释</w:t>
      </w:r>
      <w:bookmarkEnd w:id="74"/>
      <w:bookmarkEnd w:id="75"/>
      <w:bookmarkEnd w:id="76"/>
    </w:p>
    <w:p>
      <w:pPr>
        <w:keepNext w:val="0"/>
        <w:keepLines w:val="0"/>
        <w:pageBreakBefore w:val="0"/>
        <w:widowControl w:val="0"/>
        <w:shd w:val="clear"/>
        <w:kinsoku/>
        <w:wordWrap/>
        <w:overflowPunct/>
        <w:topLinePunct w:val="0"/>
        <w:bidi w:val="0"/>
        <w:snapToGrid/>
        <w:spacing w:line="560" w:lineRule="exact"/>
        <w:jc w:val="left"/>
        <w:textAlignment w:val="auto"/>
        <w:rPr>
          <w:rFonts w:hint="eastAsia" w:ascii="仿宋_GB2312" w:hAnsi="仿宋_GB2312" w:eastAsia="仿宋_GB2312" w:cs="仿宋_GB2312"/>
          <w:b/>
          <w:color w:val="auto"/>
          <w:sz w:val="32"/>
          <w:szCs w:val="32"/>
          <w:highlight w:val="none"/>
        </w:rPr>
      </w:pPr>
      <w:bookmarkStart w:id="77" w:name="_Toc15377226"/>
    </w:p>
    <w:p>
      <w:pPr>
        <w:pStyle w:val="2"/>
        <w:keepNext w:val="0"/>
        <w:keepLines w:val="0"/>
        <w:pageBreakBefore w:val="0"/>
        <w:widowControl w:val="0"/>
        <w:numPr>
          <w:ilvl w:val="0"/>
          <w:numId w:val="4"/>
        </w:numPr>
        <w:shd w:val="clear"/>
        <w:kinsoku/>
        <w:wordWrap/>
        <w:overflowPunct/>
        <w:topLinePunct w:val="0"/>
        <w:bidi w:val="0"/>
        <w:snapToGrid/>
        <w:spacing w:line="560" w:lineRule="exact"/>
        <w:ind w:left="0" w:leftChars="0" w:firstLine="400" w:firstLineChars="0"/>
        <w:textAlignment w:val="auto"/>
        <w:outlineLvl w:val="1"/>
        <w:rPr>
          <w:rFonts w:hint="eastAsia" w:ascii="仿宋_GB2312" w:hAnsi="仿宋_GB2312" w:eastAsia="仿宋_GB2312" w:cs="仿宋_GB2312"/>
          <w:color w:val="auto"/>
          <w:sz w:val="32"/>
          <w:szCs w:val="32"/>
          <w:highlight w:val="none"/>
        </w:rPr>
      </w:pPr>
      <w:bookmarkStart w:id="78" w:name="_Toc1362"/>
      <w:bookmarkStart w:id="79" w:name="_Toc30454"/>
      <w:r>
        <w:rPr>
          <w:rFonts w:hint="eastAsia" w:ascii="仿宋_GB2312" w:hAnsi="仿宋_GB2312" w:eastAsia="仿宋_GB2312" w:cs="仿宋_GB2312"/>
          <w:color w:val="auto"/>
          <w:sz w:val="32"/>
          <w:szCs w:val="32"/>
          <w:highlight w:val="none"/>
        </w:rPr>
        <w:t>财政拨款收入：指单位从同级财政部门取得的财政预算资金。</w:t>
      </w:r>
      <w:bookmarkEnd w:id="78"/>
      <w:bookmarkEnd w:id="79"/>
    </w:p>
    <w:p>
      <w:pPr>
        <w:pStyle w:val="2"/>
        <w:keepNext w:val="0"/>
        <w:keepLines w:val="0"/>
        <w:pageBreakBefore w:val="0"/>
        <w:widowControl w:val="0"/>
        <w:numPr>
          <w:ilvl w:val="0"/>
          <w:numId w:val="4"/>
        </w:numPr>
        <w:shd w:val="clear"/>
        <w:kinsoku/>
        <w:wordWrap/>
        <w:overflowPunct/>
        <w:topLinePunct w:val="0"/>
        <w:bidi w:val="0"/>
        <w:snapToGrid/>
        <w:spacing w:line="560" w:lineRule="exact"/>
        <w:ind w:left="0" w:leftChars="0" w:firstLine="400" w:firstLineChars="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其他收入：指单位取得的除上述收入以外的各项收入。主要是银行季度结息。</w:t>
      </w:r>
    </w:p>
    <w:p>
      <w:pPr>
        <w:pStyle w:val="2"/>
        <w:keepNext w:val="0"/>
        <w:keepLines w:val="0"/>
        <w:pageBreakBefore w:val="0"/>
        <w:widowControl w:val="0"/>
        <w:numPr>
          <w:ilvl w:val="0"/>
          <w:numId w:val="4"/>
        </w:numPr>
        <w:shd w:val="clear"/>
        <w:kinsoku/>
        <w:wordWrap/>
        <w:overflowPunct/>
        <w:topLinePunct w:val="0"/>
        <w:bidi w:val="0"/>
        <w:snapToGrid/>
        <w:spacing w:line="560" w:lineRule="exact"/>
        <w:ind w:left="0" w:leftChars="0" w:firstLine="400" w:firstLineChars="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年初结转和结余：指以前年度尚未完成、结转到本年按有关规定继续使用的资金。 </w:t>
      </w:r>
    </w:p>
    <w:p>
      <w:pPr>
        <w:pStyle w:val="2"/>
        <w:keepNext w:val="0"/>
        <w:keepLines w:val="0"/>
        <w:pageBreakBefore w:val="0"/>
        <w:widowControl w:val="0"/>
        <w:numPr>
          <w:ilvl w:val="0"/>
          <w:numId w:val="4"/>
        </w:numPr>
        <w:shd w:val="clear"/>
        <w:kinsoku/>
        <w:wordWrap/>
        <w:overflowPunct/>
        <w:topLinePunct w:val="0"/>
        <w:bidi w:val="0"/>
        <w:snapToGrid/>
        <w:spacing w:line="560" w:lineRule="exact"/>
        <w:ind w:left="0" w:leftChars="0" w:firstLine="400" w:firstLineChars="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社会保障和就业（类）行政事业单位养老支出（款）机关事业单位基本养老保险缴费支出（项）：指单位缴纳的基本养老保险支出。</w:t>
      </w:r>
    </w:p>
    <w:p>
      <w:pPr>
        <w:pStyle w:val="2"/>
        <w:keepNext w:val="0"/>
        <w:keepLines w:val="0"/>
        <w:pageBreakBefore w:val="0"/>
        <w:widowControl w:val="0"/>
        <w:numPr>
          <w:ilvl w:val="0"/>
          <w:numId w:val="4"/>
        </w:numPr>
        <w:shd w:val="clear"/>
        <w:kinsoku/>
        <w:wordWrap/>
        <w:overflowPunct/>
        <w:topLinePunct w:val="0"/>
        <w:bidi w:val="0"/>
        <w:snapToGrid/>
        <w:spacing w:line="560" w:lineRule="exact"/>
        <w:ind w:left="0" w:leftChars="0" w:firstLine="400" w:firstLineChars="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社会保障和就业（类）行政事业单位养老支出（款）机关事业单位职业年金缴费支出（项）：指单位实际缴纳的职业年金支出。</w:t>
      </w:r>
    </w:p>
    <w:p>
      <w:pPr>
        <w:pStyle w:val="2"/>
        <w:keepNext w:val="0"/>
        <w:keepLines w:val="0"/>
        <w:pageBreakBefore w:val="0"/>
        <w:widowControl w:val="0"/>
        <w:numPr>
          <w:ilvl w:val="0"/>
          <w:numId w:val="4"/>
        </w:numPr>
        <w:shd w:val="clear"/>
        <w:kinsoku/>
        <w:wordWrap/>
        <w:overflowPunct/>
        <w:topLinePunct w:val="0"/>
        <w:bidi w:val="0"/>
        <w:snapToGrid/>
        <w:spacing w:line="560" w:lineRule="exact"/>
        <w:ind w:left="0" w:leftChars="0" w:firstLine="400" w:firstLineChars="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卫生健康（类）行政事业单位医疗（款）事业单位医疗（项）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z w:val="32"/>
          <w:szCs w:val="32"/>
          <w:highlight w:val="none"/>
        </w:rPr>
        <w:t>单位实际缴纳的</w:t>
      </w:r>
      <w:r>
        <w:rPr>
          <w:rFonts w:hint="eastAsia" w:ascii="仿宋_GB2312" w:hAnsi="仿宋_GB2312" w:eastAsia="仿宋_GB2312" w:cs="仿宋_GB2312"/>
          <w:color w:val="auto"/>
          <w:sz w:val="32"/>
          <w:szCs w:val="32"/>
          <w:highlight w:val="none"/>
        </w:rPr>
        <w:t>事业单位基本医疗保险缴费经费。</w:t>
      </w:r>
      <w:r>
        <w:rPr>
          <w:rFonts w:hint="eastAsia" w:ascii="仿宋_GB2312" w:hAnsi="仿宋_GB2312" w:eastAsia="仿宋_GB2312" w:cs="仿宋_GB2312"/>
          <w:color w:val="auto"/>
          <w:sz w:val="32"/>
          <w:szCs w:val="32"/>
          <w:highlight w:val="none"/>
        </w:rPr>
        <w:t xml:space="preserve"> </w:t>
      </w:r>
    </w:p>
    <w:p>
      <w:pPr>
        <w:pStyle w:val="2"/>
        <w:keepNext w:val="0"/>
        <w:keepLines w:val="0"/>
        <w:pageBreakBefore w:val="0"/>
        <w:widowControl w:val="0"/>
        <w:numPr>
          <w:ilvl w:val="0"/>
          <w:numId w:val="4"/>
        </w:numPr>
        <w:shd w:val="clear"/>
        <w:kinsoku/>
        <w:wordWrap/>
        <w:overflowPunct/>
        <w:topLinePunct w:val="0"/>
        <w:bidi w:val="0"/>
        <w:snapToGrid/>
        <w:spacing w:line="560" w:lineRule="exact"/>
        <w:ind w:left="0" w:leftChars="0" w:firstLine="400" w:firstLineChars="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住房保障支出（类）住房改革支出（款）住房公积金（项）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指行政事业单位按人力资源和社会保障部、财政部规定的基本工资和津贴补贴以及规定比例为职工缴纳的住房公积金。</w:t>
      </w:r>
    </w:p>
    <w:p>
      <w:pPr>
        <w:pStyle w:val="2"/>
        <w:keepNext w:val="0"/>
        <w:keepLines w:val="0"/>
        <w:pageBreakBefore w:val="0"/>
        <w:widowControl w:val="0"/>
        <w:numPr>
          <w:ilvl w:val="0"/>
          <w:numId w:val="4"/>
        </w:numPr>
        <w:shd w:val="clear"/>
        <w:kinsoku/>
        <w:wordWrap/>
        <w:overflowPunct/>
        <w:topLinePunct w:val="0"/>
        <w:bidi w:val="0"/>
        <w:snapToGrid/>
        <w:spacing w:line="560" w:lineRule="exact"/>
        <w:ind w:left="0" w:leftChars="0" w:firstLine="400" w:firstLineChars="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住房保障支出（类）城乡社区住宅（款）住房公积金管理（项）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指财政部门批准用于住房公积金管理机构的管理费用支出。</w:t>
      </w:r>
    </w:p>
    <w:p>
      <w:pPr>
        <w:keepNext w:val="0"/>
        <w:keepLines w:val="0"/>
        <w:pageBreakBefore w:val="0"/>
        <w:widowControl w:val="0"/>
        <w:numPr>
          <w:ilvl w:val="0"/>
          <w:numId w:val="4"/>
        </w:numPr>
        <w:shd w:val="clear"/>
        <w:kinsoku/>
        <w:wordWrap/>
        <w:overflowPunct/>
        <w:topLinePunct w:val="0"/>
        <w:bidi w:val="0"/>
        <w:snapToGrid/>
        <w:spacing w:line="560" w:lineRule="exact"/>
        <w:ind w:left="0" w:leftChars="0" w:firstLine="400" w:firstLineChars="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住房保障支出（类）城乡社区住宅（款）其他城乡社区住宅支出（项）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指其他用于城乡社区住宅方面的支出，反映单位的各项项目支出。</w:t>
      </w:r>
    </w:p>
    <w:p>
      <w:pPr>
        <w:keepNext w:val="0"/>
        <w:keepLines w:val="0"/>
        <w:pageBreakBefore w:val="0"/>
        <w:widowControl w:val="0"/>
        <w:numPr>
          <w:ilvl w:val="0"/>
          <w:numId w:val="4"/>
        </w:numPr>
        <w:shd w:val="clear"/>
        <w:kinsoku/>
        <w:wordWrap/>
        <w:overflowPunct/>
        <w:topLinePunct w:val="0"/>
        <w:bidi w:val="0"/>
        <w:snapToGrid/>
        <w:spacing w:line="560" w:lineRule="exact"/>
        <w:ind w:left="0" w:leftChars="0" w:firstLine="400" w:firstLineChars="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基本支出：指为保障机构正常运转、完成日常工作任务而发生的人员支出和公用支出。</w:t>
      </w:r>
    </w:p>
    <w:p>
      <w:pPr>
        <w:keepNext w:val="0"/>
        <w:keepLines w:val="0"/>
        <w:pageBreakBefore w:val="0"/>
        <w:widowControl w:val="0"/>
        <w:numPr>
          <w:ilvl w:val="0"/>
          <w:numId w:val="4"/>
        </w:numPr>
        <w:shd w:val="clear"/>
        <w:kinsoku/>
        <w:wordWrap/>
        <w:overflowPunct/>
        <w:topLinePunct w:val="0"/>
        <w:bidi w:val="0"/>
        <w:snapToGrid/>
        <w:spacing w:line="560" w:lineRule="exact"/>
        <w:ind w:left="0" w:leftChars="0" w:firstLine="400" w:firstLineChars="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项目支出：指在基本支出之外为完成特定行政任务和事业发展目标所发生的支出。</w:t>
      </w:r>
    </w:p>
    <w:p>
      <w:pPr>
        <w:keepNext w:val="0"/>
        <w:keepLines w:val="0"/>
        <w:pageBreakBefore w:val="0"/>
        <w:widowControl w:val="0"/>
        <w:numPr>
          <w:ilvl w:val="0"/>
          <w:numId w:val="4"/>
        </w:numPr>
        <w:shd w:val="clear"/>
        <w:kinsoku/>
        <w:wordWrap/>
        <w:overflowPunct/>
        <w:topLinePunct w:val="0"/>
        <w:bidi w:val="0"/>
        <w:snapToGrid/>
        <w:spacing w:line="560" w:lineRule="exact"/>
        <w:ind w:left="0" w:leftChars="0" w:firstLine="400" w:firstLineChars="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keepNext w:val="0"/>
        <w:keepLines w:val="0"/>
        <w:pageBreakBefore w:val="0"/>
        <w:widowControl w:val="0"/>
        <w:numPr>
          <w:ilvl w:val="0"/>
          <w:numId w:val="4"/>
        </w:numPr>
        <w:shd w:val="clear"/>
        <w:kinsoku/>
        <w:wordWrap/>
        <w:overflowPunct/>
        <w:topLinePunct w:val="0"/>
        <w:bidi w:val="0"/>
        <w:snapToGrid/>
        <w:spacing w:line="560" w:lineRule="exact"/>
        <w:ind w:left="0" w:leftChars="0" w:firstLine="400" w:firstLineChars="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shd w:val="clear"/>
        <w:spacing w:line="600" w:lineRule="exact"/>
        <w:jc w:val="center"/>
        <w:outlineLvl w:val="0"/>
        <w:rPr>
          <w:rStyle w:val="21"/>
          <w:rFonts w:hint="eastAsia" w:ascii="黑体" w:hAnsi="黑体" w:eastAsia="黑体"/>
          <w:b w:val="0"/>
          <w:color w:val="auto"/>
          <w:highlight w:val="none"/>
          <w:lang w:eastAsia="zh-CN"/>
        </w:rPr>
      </w:pPr>
      <w:r>
        <w:rPr>
          <w:rFonts w:ascii="宋体"/>
          <w:b/>
          <w:color w:val="auto"/>
          <w:sz w:val="44"/>
          <w:szCs w:val="44"/>
          <w:highlight w:val="none"/>
        </w:rPr>
        <w:br w:type="page"/>
      </w:r>
      <w:bookmarkStart w:id="80" w:name="_Toc31288"/>
      <w:bookmarkStart w:id="81" w:name="_Toc15396614"/>
      <w:r>
        <w:rPr>
          <w:rFonts w:hint="eastAsia" w:ascii="黑体" w:hAnsi="黑体" w:eastAsia="黑体"/>
          <w:color w:val="auto"/>
          <w:sz w:val="44"/>
          <w:szCs w:val="44"/>
          <w:highlight w:val="none"/>
        </w:rPr>
        <w:t>第</w:t>
      </w:r>
      <w:r>
        <w:rPr>
          <w:rStyle w:val="21"/>
          <w:rFonts w:hint="eastAsia" w:ascii="黑体" w:hAnsi="黑体" w:eastAsia="黑体"/>
          <w:b w:val="0"/>
          <w:color w:val="auto"/>
          <w:highlight w:val="none"/>
        </w:rPr>
        <w:t>四部分 附件</w:t>
      </w:r>
      <w:bookmarkEnd w:id="80"/>
      <w:bookmarkEnd w:id="81"/>
    </w:p>
    <w:p>
      <w:pPr>
        <w:keepNext w:val="0"/>
        <w:keepLines w:val="0"/>
        <w:pageBreakBefore w:val="0"/>
        <w:shd w:val="clear"/>
        <w:kinsoku/>
        <w:wordWrap/>
        <w:overflowPunct/>
        <w:topLinePunct w:val="0"/>
        <w:autoSpaceDE/>
        <w:autoSpaceDN/>
        <w:bidi w:val="0"/>
        <w:spacing w:line="572" w:lineRule="exact"/>
        <w:jc w:val="left"/>
        <w:textAlignment w:val="auto"/>
        <w:outlineLvl w:val="1"/>
        <w:rPr>
          <w:rFonts w:hint="eastAsia" w:ascii="黑体" w:hAnsi="黑体" w:eastAsia="黑体" w:cs="黑体"/>
          <w:color w:val="auto"/>
          <w:sz w:val="44"/>
          <w:szCs w:val="44"/>
          <w:highlight w:val="none"/>
          <w:lang w:val="en-US" w:eastAsia="zh-CN"/>
        </w:rPr>
      </w:pPr>
      <w:bookmarkStart w:id="82" w:name="_Toc29732"/>
      <w:bookmarkStart w:id="83" w:name="_Toc32168"/>
      <w:r>
        <w:rPr>
          <w:rFonts w:hint="eastAsia" w:ascii="黑体" w:hAnsi="黑体" w:eastAsia="黑体" w:cs="黑体"/>
          <w:color w:val="auto"/>
          <w:sz w:val="32"/>
          <w:szCs w:val="32"/>
          <w:highlight w:val="none"/>
        </w:rPr>
        <w:t>附件</w:t>
      </w:r>
      <w:r>
        <w:rPr>
          <w:rFonts w:hint="eastAsia" w:ascii="黑体" w:hAnsi="黑体" w:eastAsia="黑体" w:cs="黑体"/>
          <w:color w:val="auto"/>
          <w:sz w:val="32"/>
          <w:szCs w:val="32"/>
          <w:highlight w:val="none"/>
          <w:lang w:val="en-US" w:eastAsia="zh-CN"/>
        </w:rPr>
        <w:t>1</w:t>
      </w:r>
      <w:bookmarkEnd w:id="82"/>
      <w:bookmarkEnd w:id="83"/>
    </w:p>
    <w:p>
      <w:pPr>
        <w:keepNext w:val="0"/>
        <w:keepLines w:val="0"/>
        <w:pageBreakBefore w:val="0"/>
        <w:widowControl/>
        <w:shd w:val="clear"/>
        <w:kinsoku/>
        <w:wordWrap/>
        <w:overflowPunct/>
        <w:topLinePunct w:val="0"/>
        <w:autoSpaceDE/>
        <w:autoSpaceDN/>
        <w:bidi w:val="0"/>
        <w:adjustRightInd/>
        <w:snapToGrid/>
        <w:spacing w:line="0" w:lineRule="atLeast"/>
        <w:contextualSpacing/>
        <w:jc w:val="center"/>
        <w:textAlignment w:val="auto"/>
        <w:rPr>
          <w:rFonts w:hint="eastAsia" w:ascii="方正小标宋简体" w:hAnsi="方正小标宋简体" w:eastAsia="方正小标宋简体" w:cs="方正小标宋简体"/>
          <w:color w:val="auto"/>
          <w:sz w:val="44"/>
          <w:szCs w:val="44"/>
          <w:highlight w:val="none"/>
          <w:shd w:val="clear" w:color="auto" w:fill="FFFFFF"/>
          <w:lang w:eastAsia="zh-CN"/>
        </w:rPr>
      </w:pPr>
      <w:r>
        <w:rPr>
          <w:rFonts w:hint="eastAsia" w:ascii="方正小标宋简体" w:hAnsi="方正小标宋简体" w:eastAsia="方正小标宋简体" w:cs="方正小标宋简体"/>
          <w:color w:val="auto"/>
          <w:sz w:val="44"/>
          <w:szCs w:val="44"/>
          <w:highlight w:val="none"/>
          <w:shd w:val="clear" w:color="auto" w:fill="FFFFFF"/>
        </w:rPr>
        <w:t>202</w:t>
      </w:r>
      <w:r>
        <w:rPr>
          <w:rFonts w:hint="eastAsia" w:ascii="方正小标宋简体" w:hAnsi="方正小标宋简体" w:eastAsia="方正小标宋简体" w:cs="方正小标宋简体"/>
          <w:color w:val="auto"/>
          <w:sz w:val="44"/>
          <w:szCs w:val="44"/>
          <w:highlight w:val="none"/>
          <w:shd w:val="clear" w:color="auto" w:fill="FFFFFF"/>
          <w:lang w:val="en-US" w:eastAsia="zh-CN"/>
        </w:rPr>
        <w:t>2</w:t>
      </w:r>
      <w:r>
        <w:rPr>
          <w:rFonts w:hint="eastAsia" w:ascii="方正小标宋简体" w:hAnsi="方正小标宋简体" w:eastAsia="方正小标宋简体" w:cs="方正小标宋简体"/>
          <w:color w:val="auto"/>
          <w:sz w:val="44"/>
          <w:szCs w:val="44"/>
          <w:highlight w:val="none"/>
          <w:shd w:val="clear" w:color="auto" w:fill="FFFFFF"/>
        </w:rPr>
        <w:t>年市</w:t>
      </w:r>
      <w:r>
        <w:rPr>
          <w:rFonts w:hint="eastAsia" w:ascii="方正小标宋简体" w:hAnsi="方正小标宋简体" w:eastAsia="方正小标宋简体" w:cs="方正小标宋简体"/>
          <w:color w:val="auto"/>
          <w:sz w:val="44"/>
          <w:szCs w:val="44"/>
          <w:highlight w:val="none"/>
          <w:shd w:val="clear" w:color="auto" w:fill="FFFFFF"/>
          <w:lang w:eastAsia="zh-CN"/>
        </w:rPr>
        <w:t>住房公积金管理中心</w:t>
      </w:r>
    </w:p>
    <w:p>
      <w:pPr>
        <w:keepNext w:val="0"/>
        <w:keepLines w:val="0"/>
        <w:pageBreakBefore w:val="0"/>
        <w:widowControl/>
        <w:shd w:val="clear"/>
        <w:kinsoku/>
        <w:wordWrap/>
        <w:overflowPunct/>
        <w:topLinePunct w:val="0"/>
        <w:autoSpaceDE/>
        <w:autoSpaceDN/>
        <w:bidi w:val="0"/>
        <w:adjustRightInd/>
        <w:snapToGrid/>
        <w:spacing w:line="0" w:lineRule="atLeast"/>
        <w:contextualSpacing/>
        <w:jc w:val="center"/>
        <w:textAlignment w:val="auto"/>
        <w:rPr>
          <w:rFonts w:ascii="方正小标宋简体" w:hAnsi="方正小标宋简体" w:eastAsia="方正小标宋简体" w:cs="方正小标宋简体"/>
          <w:color w:val="auto"/>
          <w:sz w:val="44"/>
          <w:szCs w:val="44"/>
          <w:highlight w:val="none"/>
          <w:shd w:val="clear" w:color="auto" w:fill="FFFFFF"/>
        </w:rPr>
      </w:pPr>
      <w:r>
        <w:rPr>
          <w:rFonts w:hint="eastAsia" w:ascii="方正小标宋简体" w:hAnsi="方正小标宋简体" w:eastAsia="方正小标宋简体" w:cs="方正小标宋简体"/>
          <w:color w:val="auto"/>
          <w:sz w:val="44"/>
          <w:szCs w:val="44"/>
          <w:highlight w:val="none"/>
          <w:shd w:val="clear" w:color="auto" w:fill="FFFFFF"/>
          <w:lang w:eastAsia="zh-CN"/>
        </w:rPr>
        <w:t>部门</w:t>
      </w:r>
      <w:r>
        <w:rPr>
          <w:rFonts w:hint="eastAsia" w:ascii="方正小标宋简体" w:hAnsi="方正小标宋简体" w:eastAsia="方正小标宋简体" w:cs="方正小标宋简体"/>
          <w:color w:val="auto"/>
          <w:sz w:val="44"/>
          <w:szCs w:val="44"/>
          <w:highlight w:val="none"/>
          <w:shd w:val="clear" w:color="auto" w:fill="FFFFFF"/>
        </w:rPr>
        <w:t>整体支出绩效自评报告</w:t>
      </w:r>
    </w:p>
    <w:p>
      <w:pPr>
        <w:keepNext w:val="0"/>
        <w:keepLines w:val="0"/>
        <w:pageBreakBefore w:val="0"/>
        <w:widowControl/>
        <w:shd w:val="clear"/>
        <w:kinsoku/>
        <w:wordWrap/>
        <w:overflowPunct/>
        <w:topLinePunct w:val="0"/>
        <w:autoSpaceDE/>
        <w:autoSpaceDN/>
        <w:bidi w:val="0"/>
        <w:adjustRightInd w:val="0"/>
        <w:snapToGrid w:val="0"/>
        <w:spacing w:line="560" w:lineRule="exact"/>
        <w:contextualSpacing/>
        <w:jc w:val="left"/>
        <w:textAlignment w:val="auto"/>
        <w:rPr>
          <w:rFonts w:ascii="黑体" w:hAnsi="宋体" w:eastAsia="黑体" w:cs="宋体"/>
          <w:color w:val="auto"/>
          <w:kern w:val="0"/>
          <w:sz w:val="24"/>
          <w:szCs w:val="32"/>
          <w:highlight w:val="none"/>
          <w:shd w:val="clear" w:color="auto" w:fill="FFFFFF"/>
        </w:rPr>
      </w:pPr>
    </w:p>
    <w:p>
      <w:pPr>
        <w:keepNext w:val="0"/>
        <w:keepLines w:val="0"/>
        <w:pageBreakBefore w:val="0"/>
        <w:numPr>
          <w:ilvl w:val="0"/>
          <w:numId w:val="5"/>
        </w:numPr>
        <w:shd w:val="clear"/>
        <w:kinsoku/>
        <w:wordWrap/>
        <w:overflowPunct/>
        <w:topLinePunct w:val="0"/>
        <w:autoSpaceDE/>
        <w:autoSpaceDN/>
        <w:bidi w:val="0"/>
        <w:adjustRightInd w:val="0"/>
        <w:snapToGrid w:val="0"/>
        <w:spacing w:line="560" w:lineRule="exact"/>
        <w:ind w:firstLine="640" w:firstLineChars="200"/>
        <w:contextualSpacing/>
        <w:jc w:val="left"/>
        <w:textAlignment w:val="auto"/>
        <w:outlineLvl w:val="1"/>
        <w:rPr>
          <w:rFonts w:ascii="黑体" w:hAnsi="宋体" w:eastAsia="黑体" w:cs="宋体"/>
          <w:color w:val="auto"/>
          <w:kern w:val="0"/>
          <w:sz w:val="32"/>
          <w:szCs w:val="32"/>
          <w:highlight w:val="none"/>
          <w:shd w:val="clear" w:color="auto" w:fill="FFFFFF"/>
          <w:lang w:val="zh-CN"/>
        </w:rPr>
      </w:pPr>
      <w:bookmarkStart w:id="84" w:name="_Toc6625"/>
      <w:bookmarkStart w:id="85" w:name="_Toc18400"/>
      <w:r>
        <w:rPr>
          <w:rFonts w:hint="eastAsia" w:ascii="黑体" w:hAnsi="宋体" w:eastAsia="黑体" w:cs="宋体"/>
          <w:color w:val="auto"/>
          <w:kern w:val="0"/>
          <w:sz w:val="32"/>
          <w:szCs w:val="32"/>
          <w:highlight w:val="none"/>
          <w:shd w:val="clear" w:color="auto" w:fill="FFFFFF"/>
          <w:lang w:val="zh-CN"/>
        </w:rPr>
        <w:t>部门（单位）基本情况</w:t>
      </w:r>
      <w:bookmarkEnd w:id="84"/>
      <w:bookmarkEnd w:id="85"/>
    </w:p>
    <w:p>
      <w:pPr>
        <w:keepNext w:val="0"/>
        <w:keepLines w:val="0"/>
        <w:pageBreakBefore w:val="0"/>
        <w:shd w:val="clear"/>
        <w:kinsoku/>
        <w:wordWrap/>
        <w:overflowPunct/>
        <w:topLinePunct w:val="0"/>
        <w:autoSpaceDE/>
        <w:autoSpaceDN/>
        <w:bidi w:val="0"/>
        <w:spacing w:line="560" w:lineRule="exact"/>
        <w:ind w:firstLine="640" w:firstLineChars="200"/>
        <w:textAlignment w:val="auto"/>
        <w:rPr>
          <w:rFonts w:ascii="华文仿宋" w:hAnsi="华文仿宋" w:eastAsia="华文仿宋" w:cs="Times New Roman"/>
          <w:color w:val="auto"/>
          <w:sz w:val="32"/>
          <w:szCs w:val="32"/>
          <w:highlight w:val="none"/>
        </w:rPr>
      </w:pPr>
      <w:r>
        <w:rPr>
          <w:rFonts w:hint="eastAsia" w:ascii="楷体_GB2312" w:hAnsi="楷体_GB2312" w:eastAsia="楷体_GB2312" w:cs="楷体_GB2312"/>
          <w:color w:val="auto"/>
          <w:kern w:val="0"/>
          <w:sz w:val="32"/>
          <w:szCs w:val="32"/>
          <w:highlight w:val="none"/>
          <w:shd w:val="clear" w:color="auto" w:fill="FFFFFF"/>
          <w:lang w:val="zh-CN"/>
        </w:rPr>
        <w:t>（一）机构组成。</w:t>
      </w:r>
      <w:r>
        <w:rPr>
          <w:rFonts w:hint="eastAsia" w:ascii="仿宋_GB2312" w:hAnsi="仿宋_GB2312" w:eastAsia="仿宋_GB2312" w:cs="仿宋_GB2312"/>
          <w:color w:val="auto"/>
          <w:sz w:val="32"/>
          <w:szCs w:val="32"/>
          <w:highlight w:val="none"/>
        </w:rPr>
        <w:t>市住房公积金管理中心为</w:t>
      </w:r>
      <w:r>
        <w:rPr>
          <w:rFonts w:hint="eastAsia" w:ascii="仿宋_GB2312" w:hAnsi="仿宋_GB2312" w:eastAsia="仿宋_GB2312" w:cs="仿宋_GB2312"/>
          <w:color w:val="auto"/>
          <w:sz w:val="32"/>
          <w:szCs w:val="32"/>
          <w:highlight w:val="none"/>
        </w:rPr>
        <w:t>市人民政府直属正县级事业单位。内设办公室、信贷业务科、资金归集科、会计科、稽核科、客服和培训科、信息技术科七个科室，下设苍溪县、旺苍县、剑阁县、青川县、朝天区、昭化区、利州区和宝轮8个管理部。</w:t>
      </w:r>
    </w:p>
    <w:p>
      <w:pPr>
        <w:keepNext w:val="0"/>
        <w:keepLines w:val="0"/>
        <w:pageBreakBefore w:val="0"/>
        <w:shd w:val="clear"/>
        <w:kinsoku/>
        <w:wordWrap/>
        <w:overflowPunct/>
        <w:topLinePunct w:val="0"/>
        <w:autoSpaceDE/>
        <w:autoSpaceDN/>
        <w:bidi w:val="0"/>
        <w:spacing w:line="560" w:lineRule="exact"/>
        <w:ind w:firstLine="640" w:firstLineChars="200"/>
        <w:textAlignment w:val="auto"/>
        <w:rPr>
          <w:rFonts w:ascii="仿宋_GB2312" w:hAnsi="宋体" w:eastAsia="仿宋_GB2312" w:cs="宋体"/>
          <w:color w:val="auto"/>
          <w:kern w:val="0"/>
          <w:sz w:val="32"/>
          <w:szCs w:val="32"/>
          <w:highlight w:val="none"/>
          <w:shd w:val="clear" w:color="auto" w:fill="FFFFFF"/>
          <w:lang w:val="zh-CN"/>
        </w:rPr>
      </w:pPr>
      <w:r>
        <w:rPr>
          <w:rFonts w:hint="eastAsia" w:ascii="楷体_GB2312" w:hAnsi="楷体_GB2312" w:eastAsia="楷体_GB2312" w:cs="楷体_GB2312"/>
          <w:color w:val="auto"/>
          <w:kern w:val="0"/>
          <w:sz w:val="32"/>
          <w:szCs w:val="32"/>
          <w:highlight w:val="none"/>
          <w:shd w:val="clear" w:color="auto" w:fill="FFFFFF"/>
          <w:lang w:val="zh-CN"/>
        </w:rPr>
        <w:t>（二）机构职能和人员概况。</w:t>
      </w:r>
      <w:r>
        <w:rPr>
          <w:rFonts w:hint="eastAsia" w:ascii="仿宋_GB2312" w:hAnsi="仿宋_GB2312" w:eastAsia="仿宋_GB2312" w:cs="仿宋_GB2312"/>
          <w:color w:val="auto"/>
          <w:sz w:val="32"/>
          <w:szCs w:val="32"/>
          <w:highlight w:val="none"/>
        </w:rPr>
        <w:t>市住房公积金管理中心主要负责全市住房公积金的计划编制和归集、管理、使用等职责，市住房公积金管理中心人员编制65名，年末实有人数55人，聘用人员22人，退休14人。</w:t>
      </w:r>
    </w:p>
    <w:p>
      <w:pPr>
        <w:keepNext w:val="0"/>
        <w:keepLines w:val="0"/>
        <w:pageBreakBefore w:val="0"/>
        <w:widowControl/>
        <w:shd w:val="clear"/>
        <w:kinsoku/>
        <w:wordWrap/>
        <w:overflowPunct/>
        <w:topLinePunct w:val="0"/>
        <w:autoSpaceDE/>
        <w:autoSpaceDN/>
        <w:bidi w:val="0"/>
        <w:spacing w:line="560" w:lineRule="exact"/>
        <w:ind w:firstLine="640" w:firstLineChars="200"/>
        <w:jc w:val="left"/>
        <w:textAlignment w:val="auto"/>
        <w:rPr>
          <w:rFonts w:ascii="楷体_GB2312" w:hAnsi="楷体_GB2312" w:eastAsia="楷体_GB2312" w:cs="楷体_GB2312"/>
          <w:color w:val="auto"/>
          <w:kern w:val="0"/>
          <w:sz w:val="32"/>
          <w:szCs w:val="32"/>
          <w:highlight w:val="none"/>
          <w:shd w:val="clear" w:color="auto" w:fill="FFFFFF"/>
          <w:lang w:val="zh-CN"/>
        </w:rPr>
      </w:pPr>
      <w:r>
        <w:rPr>
          <w:rFonts w:hint="eastAsia" w:ascii="楷体_GB2312" w:hAnsi="楷体_GB2312" w:eastAsia="楷体_GB2312" w:cs="楷体_GB2312"/>
          <w:color w:val="auto"/>
          <w:kern w:val="0"/>
          <w:sz w:val="32"/>
          <w:szCs w:val="32"/>
          <w:highlight w:val="none"/>
          <w:shd w:val="clear" w:color="auto" w:fill="FFFFFF"/>
          <w:lang w:val="zh-CN"/>
        </w:rPr>
        <w:t>（三）年度主要工作任务。</w:t>
      </w:r>
      <w:r>
        <w:rPr>
          <w:rFonts w:hint="eastAsia" w:ascii="仿宋_GB2312" w:hAnsi="仿宋_GB2312" w:eastAsia="仿宋_GB2312" w:cs="仿宋_GB2312"/>
          <w:color w:val="auto"/>
          <w:sz w:val="32"/>
          <w:szCs w:val="32"/>
          <w:highlight w:val="none"/>
        </w:rPr>
        <w:t>坚持以服务“住有所居”为主题，以风险防控、保值增值为重点，以打造川内最优营商环境窗口单位为目标，以奋勇争先、提档进位为导向，以大力实施“服务优质、智慧公积金、机关党建、制度建设、能力提升、品牌创建”“六大工程”为载体，积极推动广元公积金管理工作高质量发展。</w:t>
      </w:r>
    </w:p>
    <w:p>
      <w:pPr>
        <w:keepNext w:val="0"/>
        <w:keepLines w:val="0"/>
        <w:pageBreakBefore w:val="0"/>
        <w:shd w:val="clear"/>
        <w:kinsoku/>
        <w:wordWrap/>
        <w:overflowPunct/>
        <w:topLinePunct w:val="0"/>
        <w:autoSpaceDE/>
        <w:autoSpaceDN/>
        <w:bidi w:val="0"/>
        <w:adjustRightInd w:val="0"/>
        <w:snapToGrid w:val="0"/>
        <w:spacing w:line="560" w:lineRule="exact"/>
        <w:ind w:firstLine="640" w:firstLineChars="200"/>
        <w:contextualSpacing/>
        <w:jc w:val="left"/>
        <w:textAlignment w:val="auto"/>
        <w:rPr>
          <w:rFonts w:ascii="楷体_GB2312" w:hAnsi="楷体_GB2312" w:eastAsia="楷体_GB2312" w:cs="楷体_GB2312"/>
          <w:color w:val="auto"/>
          <w:kern w:val="0"/>
          <w:sz w:val="32"/>
          <w:szCs w:val="32"/>
          <w:highlight w:val="none"/>
          <w:shd w:val="clear" w:color="auto" w:fill="FFFFFF"/>
          <w:lang w:val="zh-CN"/>
        </w:rPr>
      </w:pPr>
      <w:r>
        <w:rPr>
          <w:rFonts w:hint="eastAsia" w:ascii="楷体_GB2312" w:hAnsi="楷体_GB2312" w:eastAsia="楷体_GB2312" w:cs="楷体_GB2312"/>
          <w:color w:val="auto"/>
          <w:kern w:val="0"/>
          <w:sz w:val="32"/>
          <w:szCs w:val="32"/>
          <w:highlight w:val="none"/>
          <w:shd w:val="clear" w:color="auto" w:fill="FFFFFF"/>
          <w:lang w:val="zh-CN"/>
        </w:rPr>
        <w:t>（四）部门整体支出绩效目标。</w:t>
      </w:r>
    </w:p>
    <w:p>
      <w:pPr>
        <w:keepNext w:val="0"/>
        <w:keepLines w:val="0"/>
        <w:pageBreakBefore w:val="0"/>
        <w:widowControl/>
        <w:suppressLineNumbers w:val="0"/>
        <w:shd w:val="clear"/>
        <w:kinsoku/>
        <w:wordWrap/>
        <w:overflowPunct/>
        <w:topLinePunct w:val="0"/>
        <w:autoSpaceDE/>
        <w:autoSpaceDN/>
        <w:bidi w:val="0"/>
        <w:spacing w:line="560" w:lineRule="exact"/>
        <w:ind w:firstLine="640" w:firstLineChars="200"/>
        <w:jc w:val="left"/>
        <w:textAlignment w:val="auto"/>
        <w:rPr>
          <w:rFonts w:hint="eastAsia" w:ascii="仿宋_GB2312" w:hAnsi="仿宋_GB2312" w:eastAsia="仿宋_GB2312" w:cs="仿宋_GB2312"/>
          <w:color w:val="auto"/>
          <w:sz w:val="32"/>
          <w:szCs w:val="32"/>
          <w:highlight w:val="none"/>
          <w:lang w:val="zh-CN" w:eastAsia="zh-CN"/>
        </w:rPr>
      </w:pPr>
      <w:r>
        <w:rPr>
          <w:rFonts w:hint="eastAsia" w:ascii="仿宋_GB2312" w:hAnsi="仿宋_GB2312" w:eastAsia="仿宋_GB2312" w:cs="仿宋_GB2312"/>
          <w:color w:val="auto"/>
          <w:sz w:val="32"/>
          <w:szCs w:val="32"/>
          <w:highlight w:val="none"/>
          <w:lang w:val="zh-CN" w:eastAsia="zh-CN"/>
        </w:rPr>
        <w:t>一是完成归集、提取目标任务，做大规模总量，支持住有所居。归集目标</w:t>
      </w:r>
      <w:r>
        <w:rPr>
          <w:rFonts w:hint="eastAsia" w:ascii="仿宋_GB2312" w:hAnsi="仿宋_GB2312" w:eastAsia="仿宋_GB2312" w:cs="仿宋_GB2312"/>
          <w:color w:val="auto"/>
          <w:sz w:val="32"/>
          <w:szCs w:val="32"/>
          <w:highlight w:val="none"/>
          <w:lang w:val="en-US" w:eastAsia="zh-CN"/>
        </w:rPr>
        <w:t>30.66</w:t>
      </w:r>
      <w:r>
        <w:rPr>
          <w:rFonts w:hint="eastAsia" w:ascii="仿宋_GB2312" w:hAnsi="仿宋_GB2312" w:eastAsia="仿宋_GB2312" w:cs="仿宋_GB2312"/>
          <w:color w:val="auto"/>
          <w:sz w:val="32"/>
          <w:szCs w:val="32"/>
          <w:highlight w:val="none"/>
          <w:lang w:val="zh-CN" w:eastAsia="zh-CN"/>
        </w:rPr>
        <w:t>亿元，提取目标</w:t>
      </w:r>
      <w:r>
        <w:rPr>
          <w:rFonts w:hint="eastAsia" w:ascii="仿宋_GB2312" w:hAnsi="仿宋_GB2312" w:eastAsia="仿宋_GB2312" w:cs="仿宋_GB2312"/>
          <w:color w:val="auto"/>
          <w:sz w:val="32"/>
          <w:szCs w:val="32"/>
          <w:highlight w:val="none"/>
          <w:lang w:val="en-US" w:eastAsia="zh-CN"/>
        </w:rPr>
        <w:t>19.76</w:t>
      </w:r>
      <w:r>
        <w:rPr>
          <w:rFonts w:hint="eastAsia" w:ascii="仿宋_GB2312" w:hAnsi="仿宋_GB2312" w:eastAsia="仿宋_GB2312" w:cs="仿宋_GB2312"/>
          <w:color w:val="auto"/>
          <w:sz w:val="32"/>
          <w:szCs w:val="32"/>
          <w:highlight w:val="none"/>
          <w:lang w:val="zh-CN" w:eastAsia="zh-CN"/>
        </w:rPr>
        <w:t>亿元。二是完成信贷专项业务工作，信贷发放，楼盘备案管理、贷后管理；“跨省通办”川渝通办工作。三是促进住房消费、确保资金安全，资金安全运营、提高公积金资金使用效益，上缴增值收益</w:t>
      </w:r>
      <w:r>
        <w:rPr>
          <w:rFonts w:hint="eastAsia" w:ascii="仿宋_GB2312" w:hAnsi="仿宋_GB2312" w:eastAsia="仿宋_GB2312" w:cs="仿宋_GB2312"/>
          <w:color w:val="auto"/>
          <w:sz w:val="32"/>
          <w:szCs w:val="32"/>
          <w:highlight w:val="none"/>
          <w:lang w:val="en-US" w:eastAsia="zh-CN"/>
        </w:rPr>
        <w:t>1.11亿元，</w:t>
      </w:r>
      <w:r>
        <w:rPr>
          <w:rFonts w:hint="eastAsia" w:ascii="仿宋_GB2312" w:hAnsi="仿宋_GB2312" w:eastAsia="仿宋_GB2312" w:cs="仿宋_GB2312"/>
          <w:color w:val="auto"/>
          <w:sz w:val="32"/>
          <w:szCs w:val="32"/>
          <w:highlight w:val="none"/>
          <w:lang w:val="zh-CN" w:eastAsia="zh-CN"/>
        </w:rPr>
        <w:t>服务当地缴存职工、促进当地房地产行业健康有序发展。四是优化营商环境，提升优质服务。打造川内最优营商环境，加快推进政务服务“跨省通办”川渝通办”工作。五是完善推进“互联网+公积金”平台建设及安全运行。</w:t>
      </w:r>
    </w:p>
    <w:p>
      <w:pPr>
        <w:keepNext w:val="0"/>
        <w:keepLines w:val="0"/>
        <w:pageBreakBefore w:val="0"/>
        <w:shd w:val="clear"/>
        <w:kinsoku/>
        <w:wordWrap/>
        <w:overflowPunct/>
        <w:topLinePunct w:val="0"/>
        <w:autoSpaceDE/>
        <w:autoSpaceDN/>
        <w:bidi w:val="0"/>
        <w:adjustRightInd w:val="0"/>
        <w:snapToGrid w:val="0"/>
        <w:spacing w:line="560" w:lineRule="exact"/>
        <w:ind w:firstLine="640" w:firstLineChars="200"/>
        <w:contextualSpacing/>
        <w:jc w:val="left"/>
        <w:textAlignment w:val="auto"/>
        <w:outlineLvl w:val="1"/>
        <w:rPr>
          <w:rFonts w:ascii="黑体" w:hAnsi="宋体" w:eastAsia="黑体" w:cs="宋体"/>
          <w:color w:val="auto"/>
          <w:kern w:val="0"/>
          <w:sz w:val="32"/>
          <w:szCs w:val="32"/>
          <w:highlight w:val="none"/>
          <w:shd w:val="clear" w:color="auto" w:fill="FFFFFF"/>
        </w:rPr>
      </w:pPr>
      <w:bookmarkStart w:id="86" w:name="_Toc21103"/>
      <w:bookmarkStart w:id="87" w:name="_Toc15050"/>
      <w:r>
        <w:rPr>
          <w:rFonts w:hint="eastAsia" w:ascii="黑体" w:hAnsi="宋体" w:eastAsia="黑体" w:cs="宋体"/>
          <w:color w:val="auto"/>
          <w:kern w:val="0"/>
          <w:sz w:val="32"/>
          <w:szCs w:val="32"/>
          <w:highlight w:val="none"/>
          <w:shd w:val="clear" w:color="auto" w:fill="FFFFFF"/>
        </w:rPr>
        <w:t>二、部门资金收支情况</w:t>
      </w:r>
      <w:bookmarkEnd w:id="86"/>
      <w:bookmarkEnd w:id="87"/>
    </w:p>
    <w:p>
      <w:pPr>
        <w:keepNext w:val="0"/>
        <w:keepLines w:val="0"/>
        <w:pageBreakBefore w:val="0"/>
        <w:widowControl/>
        <w:shd w:val="clear"/>
        <w:kinsoku/>
        <w:wordWrap/>
        <w:overflowPunct/>
        <w:topLinePunct w:val="0"/>
        <w:autoSpaceDE/>
        <w:autoSpaceDN/>
        <w:bidi w:val="0"/>
        <w:adjustRightInd w:val="0"/>
        <w:snapToGrid w:val="0"/>
        <w:spacing w:line="560" w:lineRule="exact"/>
        <w:ind w:firstLine="640" w:firstLineChars="200"/>
        <w:contextualSpacing/>
        <w:jc w:val="left"/>
        <w:textAlignment w:val="auto"/>
        <w:rPr>
          <w:rFonts w:ascii="仿宋_GB2312" w:hAnsi="宋体" w:eastAsia="仿宋_GB2312" w:cs="宋体"/>
          <w:color w:val="auto"/>
          <w:kern w:val="0"/>
          <w:sz w:val="32"/>
          <w:szCs w:val="32"/>
          <w:highlight w:val="none"/>
          <w:shd w:val="clear" w:color="auto" w:fill="FFFFFF"/>
          <w:lang w:val="zh-CN"/>
        </w:rPr>
      </w:pPr>
      <w:r>
        <w:rPr>
          <w:rFonts w:hint="eastAsia" w:ascii="楷体_GB2312" w:hAnsi="楷体_GB2312" w:eastAsia="楷体_GB2312" w:cs="楷体_GB2312"/>
          <w:color w:val="auto"/>
          <w:kern w:val="0"/>
          <w:sz w:val="32"/>
          <w:szCs w:val="32"/>
          <w:highlight w:val="none"/>
          <w:shd w:val="clear" w:color="auto" w:fill="FFFFFF"/>
          <w:lang w:val="zh-CN"/>
        </w:rPr>
        <w:t>（一）部门财政资金收入情况。</w:t>
      </w:r>
      <w:r>
        <w:rPr>
          <w:rFonts w:hint="eastAsia" w:ascii="仿宋_GB2312" w:hAnsi="Calibri" w:eastAsia="仿宋_GB2312" w:cs="宋体"/>
          <w:color w:val="auto"/>
          <w:sz w:val="32"/>
          <w:szCs w:val="32"/>
          <w:highlight w:val="none"/>
        </w:rPr>
        <w:t>2022</w:t>
      </w:r>
      <w:r>
        <w:rPr>
          <w:rFonts w:hint="eastAsia" w:ascii="仿宋_GB2312" w:hAnsi="宋体" w:eastAsia="仿宋_GB2312" w:cs="宋体"/>
          <w:color w:val="auto"/>
          <w:kern w:val="0"/>
          <w:sz w:val="32"/>
          <w:szCs w:val="32"/>
          <w:highlight w:val="none"/>
          <w:shd w:val="clear" w:color="auto" w:fill="FFFFFF"/>
        </w:rPr>
        <w:t>年度</w:t>
      </w:r>
      <w:r>
        <w:rPr>
          <w:rFonts w:hint="eastAsia" w:ascii="仿宋_GB2312" w:hAnsi="Calibri" w:eastAsia="仿宋_GB2312" w:cs="宋体"/>
          <w:color w:val="auto"/>
          <w:sz w:val="32"/>
          <w:szCs w:val="32"/>
          <w:highlight w:val="none"/>
        </w:rPr>
        <w:t>一般公共预算财政拨款收入1477.37万元，其他收入10.02万元，上年结转49.98万元，合计1537.38万元。</w:t>
      </w:r>
    </w:p>
    <w:p>
      <w:pPr>
        <w:keepNext w:val="0"/>
        <w:keepLines w:val="0"/>
        <w:pageBreakBefore w:val="0"/>
        <w:widowControl/>
        <w:shd w:val="clear"/>
        <w:kinsoku/>
        <w:wordWrap/>
        <w:overflowPunct/>
        <w:topLinePunct w:val="0"/>
        <w:autoSpaceDE/>
        <w:autoSpaceDN/>
        <w:bidi w:val="0"/>
        <w:spacing w:line="560" w:lineRule="exact"/>
        <w:ind w:firstLine="640" w:firstLineChars="200"/>
        <w:jc w:val="left"/>
        <w:textAlignment w:val="auto"/>
        <w:rPr>
          <w:rFonts w:ascii="仿宋_GB2312" w:hAnsi="宋体" w:eastAsia="仿宋_GB2312" w:cs="宋体"/>
          <w:color w:val="auto"/>
          <w:kern w:val="0"/>
          <w:sz w:val="32"/>
          <w:szCs w:val="32"/>
          <w:highlight w:val="none"/>
          <w:shd w:val="clear" w:color="auto" w:fill="FFFFFF"/>
          <w:lang w:val="zh-CN"/>
        </w:rPr>
      </w:pPr>
      <w:r>
        <w:rPr>
          <w:rFonts w:hint="eastAsia" w:ascii="楷体_GB2312" w:hAnsi="楷体_GB2312" w:eastAsia="楷体_GB2312" w:cs="楷体_GB2312"/>
          <w:color w:val="auto"/>
          <w:kern w:val="0"/>
          <w:sz w:val="32"/>
          <w:szCs w:val="32"/>
          <w:highlight w:val="none"/>
          <w:shd w:val="clear" w:color="auto" w:fill="FFFFFF"/>
          <w:lang w:val="zh-CN"/>
        </w:rPr>
        <w:t>（二）部门财政资金支出情况。</w:t>
      </w:r>
      <w:r>
        <w:rPr>
          <w:rFonts w:hint="eastAsia" w:ascii="仿宋_GB2312" w:hAnsi="Calibri" w:eastAsia="仿宋_GB2312" w:cs="宋体"/>
          <w:color w:val="auto"/>
          <w:sz w:val="32"/>
          <w:szCs w:val="32"/>
          <w:highlight w:val="none"/>
        </w:rPr>
        <w:t>2022</w:t>
      </w:r>
      <w:r>
        <w:rPr>
          <w:rFonts w:hint="eastAsia" w:ascii="仿宋_GB2312" w:hAnsi="宋体" w:eastAsia="仿宋_GB2312" w:cs="宋体"/>
          <w:color w:val="auto"/>
          <w:kern w:val="0"/>
          <w:sz w:val="32"/>
          <w:szCs w:val="32"/>
          <w:highlight w:val="none"/>
          <w:shd w:val="clear" w:color="auto" w:fill="FFFFFF"/>
        </w:rPr>
        <w:t>年度</w:t>
      </w:r>
      <w:r>
        <w:rPr>
          <w:rFonts w:hint="eastAsia" w:ascii="仿宋_GB2312" w:hAnsi="Calibri" w:eastAsia="仿宋_GB2312" w:cs="宋体"/>
          <w:color w:val="auto"/>
          <w:sz w:val="32"/>
          <w:szCs w:val="32"/>
          <w:highlight w:val="none"/>
        </w:rPr>
        <w:t>一般公共预算财政拨款支出1537.38万元，无结转费用。其中：社会保障和就业支出69.72万、卫生健康支出35.25万、住房保障支出1135.39万，项目支出297.02万元。</w:t>
      </w:r>
    </w:p>
    <w:p>
      <w:pPr>
        <w:keepNext w:val="0"/>
        <w:keepLines w:val="0"/>
        <w:pageBreakBefore w:val="0"/>
        <w:shd w:val="clear"/>
        <w:kinsoku/>
        <w:wordWrap/>
        <w:overflowPunct/>
        <w:topLinePunct w:val="0"/>
        <w:autoSpaceDE/>
        <w:autoSpaceDN/>
        <w:bidi w:val="0"/>
        <w:adjustRightInd w:val="0"/>
        <w:snapToGrid w:val="0"/>
        <w:spacing w:line="560" w:lineRule="exact"/>
        <w:ind w:firstLine="640" w:firstLineChars="200"/>
        <w:contextualSpacing/>
        <w:jc w:val="left"/>
        <w:textAlignment w:val="auto"/>
        <w:outlineLvl w:val="1"/>
        <w:rPr>
          <w:rFonts w:ascii="黑体" w:hAnsi="宋体" w:eastAsia="黑体" w:cs="宋体"/>
          <w:color w:val="auto"/>
          <w:kern w:val="0"/>
          <w:sz w:val="32"/>
          <w:szCs w:val="32"/>
          <w:highlight w:val="none"/>
          <w:shd w:val="clear" w:color="auto" w:fill="FFFFFF"/>
        </w:rPr>
      </w:pPr>
      <w:bookmarkStart w:id="88" w:name="_Toc16328"/>
      <w:bookmarkStart w:id="89" w:name="_Toc17896"/>
      <w:r>
        <w:rPr>
          <w:rFonts w:hint="eastAsia" w:ascii="黑体" w:hAnsi="宋体" w:eastAsia="黑体" w:cs="宋体"/>
          <w:color w:val="auto"/>
          <w:kern w:val="0"/>
          <w:sz w:val="32"/>
          <w:szCs w:val="32"/>
          <w:highlight w:val="none"/>
          <w:shd w:val="clear" w:color="auto" w:fill="FFFFFF"/>
        </w:rPr>
        <w:t>三、部门整体绩效分析</w:t>
      </w:r>
      <w:bookmarkEnd w:id="88"/>
      <w:bookmarkEnd w:id="89"/>
    </w:p>
    <w:p>
      <w:pPr>
        <w:keepNext w:val="0"/>
        <w:keepLines w:val="0"/>
        <w:pageBreakBefore w:val="0"/>
        <w:shd w:val="clear"/>
        <w:kinsoku/>
        <w:wordWrap/>
        <w:overflowPunct/>
        <w:topLinePunct w:val="0"/>
        <w:autoSpaceDE/>
        <w:autoSpaceDN/>
        <w:bidi w:val="0"/>
        <w:adjustRightInd w:val="0"/>
        <w:snapToGrid w:val="0"/>
        <w:spacing w:line="560" w:lineRule="exact"/>
        <w:ind w:firstLine="640" w:firstLineChars="200"/>
        <w:contextualSpacing/>
        <w:jc w:val="left"/>
        <w:textAlignment w:val="auto"/>
        <w:rPr>
          <w:rFonts w:ascii="仿宋_GB2312" w:hAnsi="宋体" w:eastAsia="仿宋_GB2312" w:cs="宋体"/>
          <w:color w:val="auto"/>
          <w:kern w:val="0"/>
          <w:sz w:val="32"/>
          <w:szCs w:val="32"/>
          <w:highlight w:val="none"/>
          <w:shd w:val="clear" w:color="auto" w:fill="FFFFFF"/>
          <w:lang w:val="zh-CN"/>
        </w:rPr>
      </w:pPr>
      <w:r>
        <w:rPr>
          <w:rFonts w:hint="eastAsia" w:ascii="楷体_GB2312" w:hAnsi="楷体_GB2312" w:eastAsia="楷体_GB2312" w:cs="楷体_GB2312"/>
          <w:color w:val="auto"/>
          <w:kern w:val="0"/>
          <w:sz w:val="32"/>
          <w:szCs w:val="32"/>
          <w:highlight w:val="none"/>
          <w:shd w:val="clear" w:color="auto" w:fill="FFFFFF"/>
          <w:lang w:val="zh-CN"/>
        </w:rPr>
        <w:t>（一）部门预算项目绩效分析。</w:t>
      </w:r>
    </w:p>
    <w:p>
      <w:pPr>
        <w:keepNext w:val="0"/>
        <w:keepLines w:val="0"/>
        <w:pageBreakBefore w:val="0"/>
        <w:shd w:val="clear"/>
        <w:kinsoku/>
        <w:wordWrap/>
        <w:overflowPunct/>
        <w:topLinePunct w:val="0"/>
        <w:autoSpaceDE/>
        <w:autoSpaceDN/>
        <w:bidi w:val="0"/>
        <w:adjustRightInd w:val="0"/>
        <w:snapToGrid w:val="0"/>
        <w:spacing w:line="560" w:lineRule="exact"/>
        <w:ind w:firstLine="640" w:firstLineChars="200"/>
        <w:contextualSpacing/>
        <w:jc w:val="left"/>
        <w:textAlignment w:val="auto"/>
        <w:rPr>
          <w:rFonts w:ascii="仿宋_GB2312" w:hAnsi="宋体" w:eastAsia="仿宋_GB2312" w:cs="宋体"/>
          <w:color w:val="auto"/>
          <w:kern w:val="0"/>
          <w:sz w:val="32"/>
          <w:szCs w:val="32"/>
          <w:highlight w:val="none"/>
          <w:shd w:val="clear" w:color="auto" w:fill="FFFFFF"/>
        </w:rPr>
      </w:pPr>
      <w:r>
        <w:rPr>
          <w:rFonts w:hint="eastAsia" w:ascii="仿宋_GB2312" w:hAnsi="宋体" w:eastAsia="仿宋_GB2312" w:cs="宋体"/>
          <w:color w:val="auto"/>
          <w:kern w:val="0"/>
          <w:sz w:val="32"/>
          <w:szCs w:val="32"/>
          <w:highlight w:val="none"/>
          <w:shd w:val="clear" w:color="auto" w:fill="FFFFFF"/>
        </w:rPr>
        <w:t>1.人员类项目绩效分析</w:t>
      </w:r>
    </w:p>
    <w:p>
      <w:pPr>
        <w:keepNext w:val="0"/>
        <w:keepLines w:val="0"/>
        <w:pageBreakBefore w:val="0"/>
        <w:shd w:val="clear"/>
        <w:kinsoku/>
        <w:wordWrap/>
        <w:overflowPunct/>
        <w:topLinePunct w:val="0"/>
        <w:autoSpaceDE/>
        <w:autoSpaceDN/>
        <w:bidi w:val="0"/>
        <w:adjustRightInd w:val="0"/>
        <w:snapToGrid w:val="0"/>
        <w:spacing w:line="560" w:lineRule="exact"/>
        <w:ind w:firstLine="640" w:firstLineChars="200"/>
        <w:contextualSpacing/>
        <w:jc w:val="left"/>
        <w:textAlignment w:val="auto"/>
        <w:rPr>
          <w:rFonts w:ascii="仿宋_GB2312" w:hAnsi="宋体" w:eastAsia="仿宋_GB2312" w:cs="宋体"/>
          <w:color w:val="auto"/>
          <w:kern w:val="0"/>
          <w:sz w:val="32"/>
          <w:szCs w:val="32"/>
          <w:highlight w:val="none"/>
          <w:shd w:val="clear" w:color="auto" w:fill="FFFFFF"/>
        </w:rPr>
      </w:pPr>
      <w:r>
        <w:rPr>
          <w:rFonts w:hint="eastAsia" w:ascii="仿宋_GB2312" w:hAnsi="宋体" w:eastAsia="仿宋_GB2312" w:cs="宋体"/>
          <w:color w:val="auto"/>
          <w:kern w:val="0"/>
          <w:sz w:val="32"/>
          <w:szCs w:val="32"/>
          <w:highlight w:val="none"/>
          <w:shd w:val="clear" w:color="auto" w:fill="FFFFFF"/>
        </w:rPr>
        <w:t>2022年度部门</w:t>
      </w:r>
      <w:r>
        <w:rPr>
          <w:rFonts w:hint="eastAsia" w:ascii="仿宋_GB2312" w:hAnsi="宋体" w:eastAsia="仿宋_GB2312" w:cs="宋体"/>
          <w:color w:val="auto"/>
          <w:kern w:val="0"/>
          <w:sz w:val="32"/>
          <w:szCs w:val="32"/>
          <w:highlight w:val="none"/>
          <w:shd w:val="clear" w:color="auto" w:fill="FFFFFF"/>
          <w:lang w:val="zh-CN"/>
        </w:rPr>
        <w:t>人员类项目按照财政、组织、人事、编办等相关规定标准及口径编制。绩效目标如期实现，支出有效控制，执行进度适时，预算完成情况良好，</w:t>
      </w:r>
      <w:r>
        <w:rPr>
          <w:rFonts w:hint="eastAsia" w:ascii="仿宋_GB2312" w:hAnsi="宋体" w:eastAsia="仿宋_GB2312" w:cs="宋体"/>
          <w:color w:val="auto"/>
          <w:kern w:val="0"/>
          <w:sz w:val="32"/>
          <w:szCs w:val="32"/>
          <w:highlight w:val="none"/>
          <w:shd w:val="clear" w:color="auto" w:fill="FFFFFF"/>
        </w:rPr>
        <w:t>无违规记录等。</w:t>
      </w:r>
    </w:p>
    <w:p>
      <w:pPr>
        <w:keepNext w:val="0"/>
        <w:keepLines w:val="0"/>
        <w:pageBreakBefore w:val="0"/>
        <w:shd w:val="clear"/>
        <w:kinsoku/>
        <w:wordWrap/>
        <w:overflowPunct/>
        <w:topLinePunct w:val="0"/>
        <w:autoSpaceDE/>
        <w:autoSpaceDN/>
        <w:bidi w:val="0"/>
        <w:adjustRightInd w:val="0"/>
        <w:snapToGrid w:val="0"/>
        <w:spacing w:line="560" w:lineRule="exact"/>
        <w:ind w:firstLine="640" w:firstLineChars="200"/>
        <w:contextualSpacing/>
        <w:jc w:val="left"/>
        <w:textAlignment w:val="auto"/>
        <w:rPr>
          <w:rFonts w:ascii="仿宋_GB2312" w:hAnsi="宋体" w:eastAsia="仿宋_GB2312" w:cs="宋体"/>
          <w:color w:val="auto"/>
          <w:kern w:val="0"/>
          <w:sz w:val="32"/>
          <w:szCs w:val="32"/>
          <w:highlight w:val="none"/>
          <w:shd w:val="clear" w:color="auto" w:fill="FFFFFF"/>
        </w:rPr>
      </w:pPr>
      <w:r>
        <w:rPr>
          <w:rFonts w:hint="eastAsia" w:ascii="仿宋_GB2312" w:hAnsi="宋体" w:eastAsia="仿宋_GB2312" w:cs="宋体"/>
          <w:color w:val="auto"/>
          <w:kern w:val="0"/>
          <w:sz w:val="32"/>
          <w:szCs w:val="32"/>
          <w:highlight w:val="none"/>
          <w:shd w:val="clear" w:color="auto" w:fill="FFFFFF"/>
        </w:rPr>
        <w:t>2.运转类项目绩效分析</w:t>
      </w:r>
    </w:p>
    <w:p>
      <w:pPr>
        <w:keepNext w:val="0"/>
        <w:keepLines w:val="0"/>
        <w:pageBreakBefore w:val="0"/>
        <w:shd w:val="clear"/>
        <w:kinsoku/>
        <w:wordWrap/>
        <w:overflowPunct/>
        <w:topLinePunct w:val="0"/>
        <w:autoSpaceDE/>
        <w:autoSpaceDN/>
        <w:bidi w:val="0"/>
        <w:adjustRightInd w:val="0"/>
        <w:snapToGrid w:val="0"/>
        <w:spacing w:line="560" w:lineRule="exact"/>
        <w:ind w:firstLine="640" w:firstLineChars="200"/>
        <w:contextualSpacing/>
        <w:jc w:val="left"/>
        <w:textAlignment w:val="auto"/>
        <w:rPr>
          <w:rFonts w:ascii="Times New Roman" w:hAnsi="Times New Roman" w:eastAsia="仿宋_GB2312" w:cs="Times New Roman"/>
          <w:color w:val="auto"/>
          <w:sz w:val="32"/>
          <w:highlight w:val="none"/>
        </w:rPr>
      </w:pPr>
      <w:r>
        <w:rPr>
          <w:rFonts w:hint="eastAsia" w:ascii="仿宋_GB2312" w:hAnsi="宋体" w:eastAsia="仿宋_GB2312" w:cs="宋体"/>
          <w:color w:val="auto"/>
          <w:kern w:val="0"/>
          <w:sz w:val="32"/>
          <w:szCs w:val="32"/>
          <w:highlight w:val="none"/>
          <w:shd w:val="clear" w:color="auto" w:fill="FFFFFF"/>
        </w:rPr>
        <w:t>2022年度部门</w:t>
      </w:r>
      <w:r>
        <w:rPr>
          <w:rFonts w:hint="eastAsia" w:ascii="仿宋_GB2312" w:hAnsi="宋体" w:eastAsia="仿宋_GB2312" w:cs="宋体"/>
          <w:color w:val="auto"/>
          <w:kern w:val="0"/>
          <w:sz w:val="32"/>
          <w:szCs w:val="32"/>
          <w:highlight w:val="none"/>
          <w:shd w:val="clear" w:color="auto" w:fill="FFFFFF"/>
          <w:lang w:val="zh-CN"/>
        </w:rPr>
        <w:t>运转类按照人均定额标准限额根据上年决算及当年工作计划编制，保障单位日常运转开支。绩效目标如期实现，支出有效控制，执行进度适时，预算完成情况良好，</w:t>
      </w:r>
      <w:r>
        <w:rPr>
          <w:rFonts w:hint="eastAsia" w:ascii="仿宋_GB2312" w:hAnsi="宋体" w:eastAsia="仿宋_GB2312" w:cs="宋体"/>
          <w:color w:val="auto"/>
          <w:kern w:val="0"/>
          <w:sz w:val="32"/>
          <w:szCs w:val="32"/>
          <w:highlight w:val="none"/>
          <w:shd w:val="clear" w:color="auto" w:fill="FFFFFF"/>
        </w:rPr>
        <w:t>无违规记录等。</w:t>
      </w:r>
    </w:p>
    <w:p>
      <w:pPr>
        <w:keepNext w:val="0"/>
        <w:keepLines w:val="0"/>
        <w:pageBreakBefore w:val="0"/>
        <w:shd w:val="clear"/>
        <w:kinsoku/>
        <w:wordWrap/>
        <w:overflowPunct/>
        <w:topLinePunct w:val="0"/>
        <w:autoSpaceDE/>
        <w:autoSpaceDN/>
        <w:bidi w:val="0"/>
        <w:adjustRightInd w:val="0"/>
        <w:snapToGrid w:val="0"/>
        <w:spacing w:line="560" w:lineRule="exact"/>
        <w:ind w:firstLine="640" w:firstLineChars="200"/>
        <w:contextualSpacing/>
        <w:jc w:val="left"/>
        <w:textAlignment w:val="auto"/>
        <w:rPr>
          <w:rFonts w:ascii="仿宋_GB2312" w:hAnsi="宋体" w:eastAsia="仿宋_GB2312" w:cs="宋体"/>
          <w:color w:val="auto"/>
          <w:kern w:val="0"/>
          <w:sz w:val="32"/>
          <w:szCs w:val="32"/>
          <w:highlight w:val="none"/>
          <w:shd w:val="clear" w:color="auto" w:fill="FFFFFF"/>
        </w:rPr>
      </w:pPr>
      <w:r>
        <w:rPr>
          <w:rFonts w:hint="eastAsia" w:ascii="仿宋_GB2312" w:hAnsi="宋体" w:eastAsia="仿宋_GB2312" w:cs="宋体"/>
          <w:color w:val="auto"/>
          <w:kern w:val="0"/>
          <w:sz w:val="32"/>
          <w:szCs w:val="32"/>
          <w:highlight w:val="none"/>
          <w:shd w:val="clear" w:color="auto" w:fill="FFFFFF"/>
        </w:rPr>
        <w:t>3.特定目标类项目绩效分析</w:t>
      </w:r>
    </w:p>
    <w:p>
      <w:pPr>
        <w:keepNext w:val="0"/>
        <w:keepLines w:val="0"/>
        <w:pageBreakBefore w:val="0"/>
        <w:shd w:val="clear"/>
        <w:kinsoku/>
        <w:wordWrap/>
        <w:overflowPunct/>
        <w:topLinePunct w:val="0"/>
        <w:autoSpaceDE/>
        <w:autoSpaceDN/>
        <w:bidi w:val="0"/>
        <w:adjustRightInd w:val="0"/>
        <w:snapToGrid w:val="0"/>
        <w:spacing w:line="560" w:lineRule="exact"/>
        <w:ind w:firstLine="640" w:firstLineChars="200"/>
        <w:contextualSpacing/>
        <w:jc w:val="left"/>
        <w:textAlignment w:val="auto"/>
        <w:rPr>
          <w:rFonts w:ascii="Times New Roman" w:hAnsi="Times New Roman" w:eastAsia="仿宋_GB2312" w:cs="Times New Roman"/>
          <w:color w:val="auto"/>
          <w:sz w:val="32"/>
          <w:highlight w:val="none"/>
        </w:rPr>
      </w:pPr>
      <w:r>
        <w:rPr>
          <w:rFonts w:hint="eastAsia" w:ascii="仿宋_GB2312" w:hAnsi="宋体" w:eastAsia="仿宋_GB2312" w:cs="宋体"/>
          <w:color w:val="auto"/>
          <w:kern w:val="0"/>
          <w:sz w:val="32"/>
          <w:szCs w:val="32"/>
          <w:highlight w:val="none"/>
          <w:shd w:val="clear" w:color="auto" w:fill="FFFFFF"/>
        </w:rPr>
        <w:t>2022年度部门</w:t>
      </w:r>
      <w:r>
        <w:rPr>
          <w:rFonts w:hint="eastAsia" w:ascii="仿宋_GB2312" w:hAnsi="宋体" w:eastAsia="仿宋_GB2312" w:cs="宋体"/>
          <w:color w:val="auto"/>
          <w:kern w:val="0"/>
          <w:sz w:val="32"/>
          <w:szCs w:val="32"/>
          <w:highlight w:val="none"/>
          <w:shd w:val="clear" w:color="auto" w:fill="FFFFFF"/>
          <w:lang w:val="zh-CN"/>
        </w:rPr>
        <w:t>特定目标类项目根据中央、省市相关工作要求，结合当年业务发展规划目标任务进行分类编制。绩效目标基本实现，支出有效控制，预算执行进度偏慢，其中</w:t>
      </w:r>
      <w:r>
        <w:rPr>
          <w:rFonts w:hint="eastAsia" w:ascii="仿宋_GB2312" w:hAnsi="仿宋_GB2312" w:eastAsia="仿宋_GB2312" w:cs="仿宋_GB2312"/>
          <w:color w:val="auto"/>
          <w:sz w:val="32"/>
          <w:szCs w:val="32"/>
          <w:highlight w:val="none"/>
        </w:rPr>
        <w:t>1-8月实际支出96.94万元，占预算进度36.16%。低于目标进度，主要原因一是疫情原因，导致部分项目实施滞后，二是部分项目按照合同约定为年底结算，无法完全按时序进度支付，</w:t>
      </w:r>
      <w:r>
        <w:rPr>
          <w:rFonts w:hint="eastAsia" w:ascii="仿宋_GB2312" w:hAnsi="宋体" w:eastAsia="仿宋_GB2312" w:cs="宋体"/>
          <w:color w:val="auto"/>
          <w:kern w:val="0"/>
          <w:sz w:val="32"/>
          <w:szCs w:val="32"/>
          <w:highlight w:val="none"/>
          <w:shd w:val="clear" w:color="auto" w:fill="FFFFFF"/>
          <w:lang w:val="zh-CN"/>
        </w:rPr>
        <w:t>预算总体完成情况良好，</w:t>
      </w:r>
      <w:r>
        <w:rPr>
          <w:rFonts w:hint="eastAsia" w:ascii="仿宋_GB2312" w:hAnsi="宋体" w:eastAsia="仿宋_GB2312" w:cs="宋体"/>
          <w:color w:val="auto"/>
          <w:kern w:val="0"/>
          <w:sz w:val="32"/>
          <w:szCs w:val="32"/>
          <w:highlight w:val="none"/>
          <w:shd w:val="clear" w:color="auto" w:fill="FFFFFF"/>
        </w:rPr>
        <w:t>无违规记录等。</w:t>
      </w:r>
    </w:p>
    <w:p>
      <w:pPr>
        <w:keepNext w:val="0"/>
        <w:keepLines w:val="0"/>
        <w:pageBreakBefore w:val="0"/>
        <w:shd w:val="clear"/>
        <w:kinsoku/>
        <w:wordWrap/>
        <w:overflowPunct/>
        <w:topLinePunct w:val="0"/>
        <w:autoSpaceDE/>
        <w:autoSpaceDN/>
        <w:bidi w:val="0"/>
        <w:adjustRightInd w:val="0"/>
        <w:snapToGrid w:val="0"/>
        <w:spacing w:line="560" w:lineRule="exact"/>
        <w:ind w:firstLine="640" w:firstLineChars="200"/>
        <w:contextualSpacing/>
        <w:jc w:val="left"/>
        <w:textAlignment w:val="auto"/>
        <w:rPr>
          <w:rFonts w:ascii="楷体_GB2312" w:hAnsi="楷体_GB2312" w:eastAsia="楷体_GB2312" w:cs="楷体_GB2312"/>
          <w:color w:val="auto"/>
          <w:kern w:val="0"/>
          <w:sz w:val="32"/>
          <w:szCs w:val="32"/>
          <w:highlight w:val="none"/>
          <w:shd w:val="clear" w:color="auto" w:fill="FFFFFF"/>
          <w:lang w:val="zh-CN"/>
        </w:rPr>
      </w:pPr>
      <w:r>
        <w:rPr>
          <w:rFonts w:hint="eastAsia" w:ascii="楷体_GB2312" w:hAnsi="楷体_GB2312" w:eastAsia="楷体_GB2312" w:cs="楷体_GB2312"/>
          <w:color w:val="auto"/>
          <w:kern w:val="0"/>
          <w:sz w:val="32"/>
          <w:szCs w:val="32"/>
          <w:highlight w:val="none"/>
          <w:shd w:val="clear" w:color="auto" w:fill="FFFFFF"/>
          <w:lang w:val="zh-CN"/>
        </w:rPr>
        <w:t>（二）部门整体履职绩效分析。</w:t>
      </w:r>
    </w:p>
    <w:p>
      <w:pPr>
        <w:keepNext w:val="0"/>
        <w:keepLines w:val="0"/>
        <w:pageBreakBefore w:val="0"/>
        <w:shd w:val="clear"/>
        <w:kinsoku/>
        <w:wordWrap/>
        <w:overflowPunct/>
        <w:topLinePunct w:val="0"/>
        <w:autoSpaceDE/>
        <w:autoSpaceDN/>
        <w:bidi w:val="0"/>
        <w:adjustRightInd w:val="0"/>
        <w:snapToGrid w:val="0"/>
        <w:spacing w:line="560" w:lineRule="exact"/>
        <w:ind w:firstLine="640" w:firstLineChars="200"/>
        <w:contextualSpacing/>
        <w:jc w:val="left"/>
        <w:textAlignment w:val="auto"/>
        <w:rPr>
          <w:rFonts w:ascii="仿宋_GB2312" w:hAnsi="宋体" w:eastAsia="仿宋_GB2312" w:cs="宋体"/>
          <w:color w:val="auto"/>
          <w:kern w:val="0"/>
          <w:sz w:val="32"/>
          <w:szCs w:val="32"/>
          <w:highlight w:val="none"/>
          <w:shd w:val="clear" w:color="auto" w:fill="FFFFFF"/>
        </w:rPr>
      </w:pPr>
      <w:r>
        <w:rPr>
          <w:rFonts w:hint="eastAsia" w:ascii="仿宋_GB2312" w:hAnsi="宋体" w:eastAsia="仿宋_GB2312" w:cs="宋体"/>
          <w:color w:val="auto"/>
          <w:kern w:val="0"/>
          <w:sz w:val="32"/>
          <w:szCs w:val="32"/>
          <w:highlight w:val="none"/>
          <w:shd w:val="clear" w:color="auto" w:fill="FFFFFF"/>
        </w:rPr>
        <w:t>2022年</w:t>
      </w:r>
      <w:r>
        <w:rPr>
          <w:rFonts w:hint="eastAsia" w:ascii="仿宋_GB2312" w:hAnsi="宋体" w:eastAsia="仿宋_GB2312" w:cs="宋体"/>
          <w:color w:val="auto"/>
          <w:kern w:val="0"/>
          <w:sz w:val="32"/>
          <w:szCs w:val="32"/>
          <w:highlight w:val="none"/>
          <w:shd w:val="clear" w:color="auto" w:fill="FFFFFF"/>
          <w:lang w:val="zh-CN"/>
        </w:rPr>
        <w:t>部门整体绩效目标完成情况良好，其中产出指标基本达到预期，效益指标中经济效益指标全部完成，社会效益指标服务当地群众，支持改善住房条件、促进住房消费，维护了社会的稳定，得到群众一致好评。</w:t>
      </w:r>
      <w:r>
        <w:rPr>
          <w:rFonts w:hint="eastAsia" w:ascii="仿宋_GB2312" w:hAnsi="宋体" w:eastAsia="仿宋_GB2312" w:cs="宋体"/>
          <w:color w:val="auto"/>
          <w:kern w:val="0"/>
          <w:sz w:val="32"/>
          <w:szCs w:val="32"/>
          <w:highlight w:val="none"/>
          <w:shd w:val="clear" w:color="auto" w:fill="FFFFFF"/>
        </w:rPr>
        <w:t>生态效益指标“最多跑一次”服务事项为100%，全程网办服务事项达95%以上。满意度指标缴存单位满意度≥99%，缴存个人满意度≥98%。</w:t>
      </w:r>
    </w:p>
    <w:p>
      <w:pPr>
        <w:keepNext w:val="0"/>
        <w:keepLines w:val="0"/>
        <w:pageBreakBefore w:val="0"/>
        <w:shd w:val="clear"/>
        <w:kinsoku/>
        <w:wordWrap/>
        <w:overflowPunct/>
        <w:topLinePunct w:val="0"/>
        <w:autoSpaceDE/>
        <w:autoSpaceDN/>
        <w:bidi w:val="0"/>
        <w:adjustRightInd w:val="0"/>
        <w:snapToGrid w:val="0"/>
        <w:spacing w:line="560" w:lineRule="exact"/>
        <w:ind w:firstLine="640" w:firstLineChars="200"/>
        <w:contextualSpacing/>
        <w:jc w:val="left"/>
        <w:textAlignment w:val="auto"/>
        <w:rPr>
          <w:rFonts w:ascii="仿宋_GB2312" w:hAnsi="宋体" w:eastAsia="仿宋_GB2312" w:cs="宋体"/>
          <w:color w:val="auto"/>
          <w:kern w:val="0"/>
          <w:sz w:val="32"/>
          <w:szCs w:val="32"/>
          <w:highlight w:val="none"/>
          <w:shd w:val="clear" w:color="auto" w:fill="FFFFFF"/>
        </w:rPr>
      </w:pPr>
      <w:r>
        <w:rPr>
          <w:rFonts w:hint="eastAsia" w:ascii="仿宋_GB2312" w:hAnsi="仿宋_GB2312" w:eastAsia="仿宋_GB2312" w:cs="仿宋_GB2312"/>
          <w:color w:val="auto"/>
          <w:sz w:val="32"/>
          <w:szCs w:val="32"/>
          <w:highlight w:val="none"/>
        </w:rPr>
        <w:t>2022年，我单位积极履职，强化管理，不断深化预算绩效管理改革，创新举措，深度业财融合，加强监督管理，强化结果运用，有力推动预算绩效管理工作提质增效。通过定量定性分析，为业务高效率运行提供支撑，助力绩效目标完成。严把项目入库和目标申报审核，每月通报预算执行进度，适时进行预算监控，有力保障财政资金的使用效益，确保绩效目标如期保质保量实现，较好地完成了年度工作目标。</w:t>
      </w:r>
    </w:p>
    <w:p>
      <w:pPr>
        <w:keepNext w:val="0"/>
        <w:keepLines w:val="0"/>
        <w:pageBreakBefore w:val="0"/>
        <w:shd w:val="clear"/>
        <w:kinsoku/>
        <w:wordWrap/>
        <w:overflowPunct/>
        <w:topLinePunct w:val="0"/>
        <w:autoSpaceDE/>
        <w:autoSpaceDN/>
        <w:bidi w:val="0"/>
        <w:adjustRightInd w:val="0"/>
        <w:snapToGrid w:val="0"/>
        <w:spacing w:line="560" w:lineRule="exact"/>
        <w:ind w:firstLine="640" w:firstLineChars="200"/>
        <w:contextualSpacing/>
        <w:jc w:val="left"/>
        <w:textAlignment w:val="auto"/>
        <w:rPr>
          <w:rFonts w:ascii="楷体_GB2312" w:hAnsi="楷体_GB2312" w:eastAsia="楷体_GB2312" w:cs="楷体_GB2312"/>
          <w:color w:val="auto"/>
          <w:kern w:val="0"/>
          <w:sz w:val="32"/>
          <w:szCs w:val="32"/>
          <w:highlight w:val="none"/>
          <w:shd w:val="clear" w:color="auto" w:fill="FFFFFF"/>
          <w:lang w:val="zh-CN"/>
        </w:rPr>
      </w:pPr>
      <w:r>
        <w:rPr>
          <w:rFonts w:hint="eastAsia" w:ascii="楷体_GB2312" w:hAnsi="楷体_GB2312" w:eastAsia="楷体_GB2312" w:cs="楷体_GB2312"/>
          <w:color w:val="auto"/>
          <w:kern w:val="0"/>
          <w:sz w:val="32"/>
          <w:szCs w:val="32"/>
          <w:highlight w:val="none"/>
          <w:shd w:val="clear" w:color="auto" w:fill="FFFFFF"/>
          <w:lang w:val="zh-CN"/>
        </w:rPr>
        <w:t>（三）结果应用情况。</w:t>
      </w:r>
    </w:p>
    <w:p>
      <w:pPr>
        <w:keepNext w:val="0"/>
        <w:keepLines w:val="0"/>
        <w:pageBreakBefore w:val="0"/>
        <w:shd w:val="clear"/>
        <w:kinsoku/>
        <w:wordWrap/>
        <w:overflowPunct/>
        <w:topLinePunct w:val="0"/>
        <w:autoSpaceDE/>
        <w:autoSpaceDN/>
        <w:bidi w:val="0"/>
        <w:adjustRightInd w:val="0"/>
        <w:snapToGrid w:val="0"/>
        <w:spacing w:line="560" w:lineRule="exact"/>
        <w:ind w:firstLine="640" w:firstLineChars="200"/>
        <w:contextualSpacing/>
        <w:jc w:val="left"/>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为强化预算绩效评价结果运用</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 xml:space="preserve"> 增强预算编制的科学性、合理性、规范性，2022年本单位根据上年项目及部门整体支出绩效评价结果，优化项目申报，调整项目额度，变更项目3个，调增项目1个，整合项目1个，进一步细化了支出结构，不断提高财政资金使用效益。</w:t>
      </w:r>
    </w:p>
    <w:p>
      <w:pPr>
        <w:keepNext w:val="0"/>
        <w:keepLines w:val="0"/>
        <w:pageBreakBefore w:val="0"/>
        <w:numPr>
          <w:ilvl w:val="0"/>
          <w:numId w:val="6"/>
        </w:numPr>
        <w:shd w:val="clear"/>
        <w:kinsoku/>
        <w:wordWrap/>
        <w:overflowPunct/>
        <w:topLinePunct w:val="0"/>
        <w:autoSpaceDE/>
        <w:autoSpaceDN/>
        <w:bidi w:val="0"/>
        <w:adjustRightInd w:val="0"/>
        <w:snapToGrid w:val="0"/>
        <w:spacing w:line="560" w:lineRule="exact"/>
        <w:ind w:firstLine="640" w:firstLineChars="200"/>
        <w:contextualSpacing/>
        <w:jc w:val="left"/>
        <w:textAlignment w:val="auto"/>
        <w:rPr>
          <w:rFonts w:ascii="楷体_GB2312" w:hAnsi="楷体_GB2312" w:eastAsia="楷体_GB2312" w:cs="楷体_GB2312"/>
          <w:color w:val="auto"/>
          <w:kern w:val="0"/>
          <w:sz w:val="32"/>
          <w:szCs w:val="32"/>
          <w:highlight w:val="none"/>
          <w:shd w:val="clear" w:color="auto" w:fill="FFFFFF"/>
          <w:lang w:val="zh-CN"/>
        </w:rPr>
      </w:pPr>
      <w:r>
        <w:rPr>
          <w:rFonts w:hint="eastAsia" w:ascii="楷体_GB2312" w:hAnsi="楷体_GB2312" w:eastAsia="楷体_GB2312" w:cs="楷体_GB2312"/>
          <w:color w:val="auto"/>
          <w:kern w:val="0"/>
          <w:sz w:val="32"/>
          <w:szCs w:val="32"/>
          <w:highlight w:val="none"/>
          <w:shd w:val="clear" w:color="auto" w:fill="FFFFFF"/>
          <w:lang w:val="zh-CN"/>
        </w:rPr>
        <w:t>自评质量</w:t>
      </w:r>
    </w:p>
    <w:p>
      <w:pPr>
        <w:keepNext w:val="0"/>
        <w:keepLines w:val="0"/>
        <w:pageBreakBefore w:val="0"/>
        <w:widowControl/>
        <w:shd w:val="clear"/>
        <w:kinsoku/>
        <w:wordWrap/>
        <w:overflowPunct/>
        <w:topLinePunct w:val="0"/>
        <w:autoSpaceDE/>
        <w:autoSpaceDN/>
        <w:bidi w:val="0"/>
        <w:adjustRightInd w:val="0"/>
        <w:snapToGrid w:val="0"/>
        <w:spacing w:line="560" w:lineRule="exact"/>
        <w:ind w:firstLine="640" w:firstLineChars="200"/>
        <w:contextualSpacing/>
        <w:jc w:val="left"/>
        <w:textAlignment w:val="auto"/>
        <w:rPr>
          <w:rFonts w:ascii="仿宋_GB2312" w:hAnsi="宋体" w:eastAsia="仿宋_GB2312" w:cs="宋体"/>
          <w:color w:val="auto"/>
          <w:kern w:val="0"/>
          <w:sz w:val="32"/>
          <w:szCs w:val="32"/>
          <w:highlight w:val="none"/>
          <w:shd w:val="clear" w:color="auto" w:fill="FFFFFF"/>
        </w:rPr>
      </w:pPr>
      <w:r>
        <w:rPr>
          <w:rFonts w:hint="eastAsia" w:ascii="仿宋_GB2312" w:hAnsi="宋体" w:eastAsia="仿宋_GB2312" w:cs="宋体"/>
          <w:color w:val="auto"/>
          <w:kern w:val="0"/>
          <w:sz w:val="32"/>
          <w:szCs w:val="32"/>
          <w:highlight w:val="none"/>
          <w:shd w:val="clear" w:color="auto" w:fill="FFFFFF"/>
        </w:rPr>
        <w:t>本单位</w:t>
      </w:r>
      <w:r>
        <w:rPr>
          <w:rFonts w:ascii="仿宋_GB2312" w:hAnsi="宋体" w:eastAsia="仿宋_GB2312" w:cs="宋体"/>
          <w:color w:val="auto"/>
          <w:kern w:val="0"/>
          <w:sz w:val="32"/>
          <w:szCs w:val="32"/>
          <w:highlight w:val="none"/>
          <w:shd w:val="clear" w:color="auto" w:fill="FFFFFF"/>
        </w:rPr>
        <w:t>强化制度保障，做好安排部署</w:t>
      </w:r>
      <w:r>
        <w:rPr>
          <w:rFonts w:hint="eastAsia" w:ascii="仿宋_GB2312" w:hAnsi="宋体" w:eastAsia="仿宋_GB2312" w:cs="宋体"/>
          <w:color w:val="auto"/>
          <w:kern w:val="0"/>
          <w:sz w:val="32"/>
          <w:szCs w:val="32"/>
          <w:highlight w:val="none"/>
          <w:shd w:val="clear" w:color="auto" w:fill="FFFFFF"/>
        </w:rPr>
        <w:t>，严格按照2023年市级部门整体支出绩效评价指标体系一一对应进行自评打分。提高</w:t>
      </w:r>
      <w:r>
        <w:rPr>
          <w:rFonts w:ascii="仿宋_GB2312" w:hAnsi="宋体" w:eastAsia="仿宋_GB2312" w:cs="宋体"/>
          <w:color w:val="auto"/>
          <w:kern w:val="0"/>
          <w:sz w:val="32"/>
          <w:szCs w:val="32"/>
          <w:highlight w:val="none"/>
          <w:shd w:val="clear" w:color="auto" w:fill="FFFFFF"/>
        </w:rPr>
        <w:t>绩效自评质量，确保自评内容真实、完整</w:t>
      </w:r>
      <w:r>
        <w:rPr>
          <w:rFonts w:hint="eastAsia" w:ascii="仿宋_GB2312" w:hAnsi="宋体" w:eastAsia="仿宋_GB2312" w:cs="宋体"/>
          <w:color w:val="auto"/>
          <w:kern w:val="0"/>
          <w:sz w:val="32"/>
          <w:szCs w:val="32"/>
          <w:highlight w:val="none"/>
          <w:shd w:val="clear" w:color="auto" w:fill="FFFFFF"/>
        </w:rPr>
        <w:t>。</w:t>
      </w:r>
    </w:p>
    <w:p>
      <w:pPr>
        <w:keepNext w:val="0"/>
        <w:keepLines w:val="0"/>
        <w:pageBreakBefore w:val="0"/>
        <w:shd w:val="clear"/>
        <w:kinsoku/>
        <w:wordWrap/>
        <w:overflowPunct/>
        <w:topLinePunct w:val="0"/>
        <w:autoSpaceDE/>
        <w:autoSpaceDN/>
        <w:bidi w:val="0"/>
        <w:adjustRightInd w:val="0"/>
        <w:snapToGrid w:val="0"/>
        <w:spacing w:line="560" w:lineRule="exact"/>
        <w:ind w:firstLine="640" w:firstLineChars="200"/>
        <w:contextualSpacing/>
        <w:jc w:val="left"/>
        <w:textAlignment w:val="auto"/>
        <w:outlineLvl w:val="1"/>
        <w:rPr>
          <w:rFonts w:ascii="黑体" w:hAnsi="宋体" w:eastAsia="黑体" w:cs="宋体"/>
          <w:color w:val="auto"/>
          <w:kern w:val="0"/>
          <w:sz w:val="32"/>
          <w:szCs w:val="32"/>
          <w:highlight w:val="none"/>
          <w:shd w:val="clear" w:color="auto" w:fill="FFFFFF"/>
        </w:rPr>
      </w:pPr>
      <w:bookmarkStart w:id="90" w:name="_Toc1214"/>
      <w:bookmarkStart w:id="91" w:name="_Toc24654"/>
      <w:r>
        <w:rPr>
          <w:rFonts w:hint="eastAsia" w:ascii="黑体" w:hAnsi="宋体" w:eastAsia="黑体" w:cs="宋体"/>
          <w:color w:val="auto"/>
          <w:kern w:val="0"/>
          <w:sz w:val="32"/>
          <w:szCs w:val="32"/>
          <w:highlight w:val="none"/>
          <w:shd w:val="clear" w:color="auto" w:fill="FFFFFF"/>
        </w:rPr>
        <w:t>四、评价结论及建议</w:t>
      </w:r>
      <w:bookmarkEnd w:id="90"/>
      <w:bookmarkEnd w:id="91"/>
    </w:p>
    <w:p>
      <w:pPr>
        <w:keepNext w:val="0"/>
        <w:keepLines w:val="0"/>
        <w:pageBreakBefore w:val="0"/>
        <w:widowControl/>
        <w:shd w:val="clear"/>
        <w:kinsoku/>
        <w:wordWrap/>
        <w:overflowPunct/>
        <w:topLinePunct w:val="0"/>
        <w:autoSpaceDE/>
        <w:autoSpaceDN/>
        <w:bidi w:val="0"/>
        <w:adjustRightInd w:val="0"/>
        <w:snapToGrid w:val="0"/>
        <w:spacing w:line="560" w:lineRule="exact"/>
        <w:ind w:firstLine="640" w:firstLineChars="200"/>
        <w:contextualSpacing/>
        <w:jc w:val="left"/>
        <w:textAlignment w:val="auto"/>
        <w:rPr>
          <w:rFonts w:ascii="楷体_GB2312" w:hAnsi="楷体_GB2312" w:eastAsia="楷体_GB2312" w:cs="楷体_GB2312"/>
          <w:color w:val="auto"/>
          <w:kern w:val="0"/>
          <w:sz w:val="32"/>
          <w:szCs w:val="32"/>
          <w:highlight w:val="none"/>
          <w:shd w:val="clear" w:color="auto" w:fill="FFFFFF"/>
          <w:lang w:val="zh-CN"/>
        </w:rPr>
      </w:pPr>
      <w:r>
        <w:rPr>
          <w:rFonts w:hint="eastAsia" w:ascii="楷体_GB2312" w:hAnsi="楷体_GB2312" w:eastAsia="楷体_GB2312" w:cs="楷体_GB2312"/>
          <w:color w:val="auto"/>
          <w:kern w:val="0"/>
          <w:sz w:val="32"/>
          <w:szCs w:val="32"/>
          <w:highlight w:val="none"/>
          <w:shd w:val="clear" w:color="auto" w:fill="FFFFFF"/>
          <w:lang w:val="zh-CN"/>
        </w:rPr>
        <w:t>（一）评价结论</w:t>
      </w:r>
    </w:p>
    <w:p>
      <w:pPr>
        <w:keepNext w:val="0"/>
        <w:keepLines w:val="0"/>
        <w:pageBreakBefore w:val="0"/>
        <w:widowControl/>
        <w:shd w:val="clear"/>
        <w:kinsoku/>
        <w:wordWrap/>
        <w:overflowPunct/>
        <w:topLinePunct w:val="0"/>
        <w:autoSpaceDE/>
        <w:autoSpaceDN/>
        <w:bidi w:val="0"/>
        <w:adjustRightInd w:val="0"/>
        <w:snapToGrid w:val="0"/>
        <w:spacing w:line="560" w:lineRule="exact"/>
        <w:ind w:firstLine="640" w:firstLineChars="200"/>
        <w:contextualSpacing/>
        <w:jc w:val="left"/>
        <w:textAlignment w:val="auto"/>
        <w:rPr>
          <w:rFonts w:ascii="仿宋_GB2312" w:hAnsi="宋体" w:eastAsia="仿宋_GB2312" w:cs="宋体"/>
          <w:color w:val="auto"/>
          <w:kern w:val="0"/>
          <w:sz w:val="32"/>
          <w:szCs w:val="32"/>
          <w:highlight w:val="none"/>
          <w:shd w:val="clear" w:color="auto" w:fill="FFFFFF"/>
          <w:lang w:val="zh-CN"/>
        </w:rPr>
      </w:pPr>
      <w:r>
        <w:rPr>
          <w:rFonts w:hint="eastAsia" w:ascii="仿宋_GB2312" w:hAnsi="宋体" w:eastAsia="仿宋_GB2312" w:cs="宋体"/>
          <w:color w:val="auto"/>
          <w:kern w:val="0"/>
          <w:sz w:val="32"/>
          <w:szCs w:val="32"/>
          <w:highlight w:val="none"/>
          <w:shd w:val="clear" w:color="auto" w:fill="FFFFFF"/>
          <w:lang w:val="zh-CN"/>
        </w:rPr>
        <w:t>202</w:t>
      </w:r>
      <w:r>
        <w:rPr>
          <w:rFonts w:hint="eastAsia" w:ascii="仿宋_GB2312" w:hAnsi="宋体" w:eastAsia="仿宋_GB2312" w:cs="宋体"/>
          <w:color w:val="auto"/>
          <w:kern w:val="0"/>
          <w:sz w:val="32"/>
          <w:szCs w:val="32"/>
          <w:highlight w:val="none"/>
          <w:shd w:val="clear" w:color="auto" w:fill="FFFFFF"/>
        </w:rPr>
        <w:t>2</w:t>
      </w:r>
      <w:r>
        <w:rPr>
          <w:rFonts w:hint="eastAsia" w:ascii="仿宋_GB2312" w:hAnsi="宋体" w:eastAsia="仿宋_GB2312" w:cs="宋体"/>
          <w:color w:val="auto"/>
          <w:kern w:val="0"/>
          <w:sz w:val="32"/>
          <w:szCs w:val="32"/>
          <w:highlight w:val="none"/>
          <w:shd w:val="clear" w:color="auto" w:fill="FFFFFF"/>
          <w:lang w:val="zh-CN"/>
        </w:rPr>
        <w:t>年我</w:t>
      </w:r>
      <w:r>
        <w:rPr>
          <w:rFonts w:hint="eastAsia" w:ascii="仿宋_GB2312" w:hAnsi="宋体" w:eastAsia="仿宋_GB2312" w:cs="宋体"/>
          <w:color w:val="auto"/>
          <w:kern w:val="0"/>
          <w:sz w:val="32"/>
          <w:szCs w:val="32"/>
          <w:highlight w:val="none"/>
          <w:shd w:val="clear" w:color="auto" w:fill="FFFFFF"/>
        </w:rPr>
        <w:t>单位</w:t>
      </w:r>
      <w:r>
        <w:rPr>
          <w:rFonts w:hint="eastAsia" w:ascii="仿宋_GB2312" w:hAnsi="宋体" w:eastAsia="仿宋_GB2312" w:cs="宋体"/>
          <w:color w:val="auto"/>
          <w:kern w:val="0"/>
          <w:sz w:val="32"/>
          <w:szCs w:val="32"/>
          <w:highlight w:val="none"/>
          <w:shd w:val="clear" w:color="auto" w:fill="FFFFFF"/>
          <w:lang w:val="zh-CN"/>
        </w:rPr>
        <w:t>部门整体支出绩效自查自评结果良好，全年基本支出保证了部门的正常运转，项目支出保障了重点工作的开展，按照</w:t>
      </w:r>
      <w:r>
        <w:rPr>
          <w:rFonts w:hint="eastAsia" w:ascii="仿宋_GB2312" w:hAnsi="宋体" w:eastAsia="仿宋_GB2312" w:cs="宋体"/>
          <w:color w:val="auto"/>
          <w:kern w:val="0"/>
          <w:sz w:val="32"/>
          <w:szCs w:val="32"/>
          <w:highlight w:val="none"/>
          <w:shd w:val="clear" w:color="auto" w:fill="FFFFFF"/>
        </w:rPr>
        <w:t>2023</w:t>
      </w:r>
      <w:r>
        <w:rPr>
          <w:rFonts w:hint="eastAsia" w:ascii="仿宋_GB2312" w:hAnsi="宋体" w:eastAsia="仿宋_GB2312" w:cs="宋体"/>
          <w:color w:val="auto"/>
          <w:kern w:val="0"/>
          <w:sz w:val="32"/>
          <w:szCs w:val="32"/>
          <w:highlight w:val="none"/>
          <w:shd w:val="clear" w:color="auto" w:fill="FFFFFF"/>
          <w:lang w:val="zh-CN"/>
        </w:rPr>
        <w:t>年度</w:t>
      </w:r>
      <w:r>
        <w:rPr>
          <w:rFonts w:hint="eastAsia" w:ascii="仿宋_GB2312" w:hAnsi="宋体" w:eastAsia="仿宋_GB2312" w:cs="宋体"/>
          <w:color w:val="auto"/>
          <w:kern w:val="0"/>
          <w:sz w:val="32"/>
          <w:szCs w:val="32"/>
          <w:highlight w:val="none"/>
          <w:shd w:val="clear" w:color="auto" w:fill="FFFFFF"/>
        </w:rPr>
        <w:t>市</w:t>
      </w:r>
      <w:r>
        <w:rPr>
          <w:rFonts w:hint="eastAsia" w:ascii="仿宋_GB2312" w:hAnsi="宋体" w:eastAsia="仿宋_GB2312" w:cs="宋体"/>
          <w:color w:val="auto"/>
          <w:kern w:val="0"/>
          <w:sz w:val="32"/>
          <w:szCs w:val="32"/>
          <w:highlight w:val="none"/>
          <w:shd w:val="clear" w:color="auto" w:fill="FFFFFF"/>
          <w:lang w:val="zh-CN"/>
        </w:rPr>
        <w:t>级部门整体支出绩效评价指标体系标准，我单位自评最终得分</w:t>
      </w:r>
      <w:r>
        <w:rPr>
          <w:rFonts w:hint="eastAsia" w:ascii="仿宋_GB2312" w:hAnsi="宋体" w:eastAsia="仿宋_GB2312" w:cs="宋体"/>
          <w:color w:val="auto"/>
          <w:kern w:val="0"/>
          <w:sz w:val="32"/>
          <w:szCs w:val="32"/>
          <w:highlight w:val="none"/>
          <w:shd w:val="clear" w:color="auto" w:fill="FFFFFF"/>
        </w:rPr>
        <w:t>92</w:t>
      </w:r>
      <w:r>
        <w:rPr>
          <w:rFonts w:hint="eastAsia" w:ascii="仿宋_GB2312" w:hAnsi="宋体" w:eastAsia="仿宋_GB2312" w:cs="宋体"/>
          <w:color w:val="auto"/>
          <w:kern w:val="0"/>
          <w:sz w:val="32"/>
          <w:szCs w:val="32"/>
          <w:highlight w:val="none"/>
          <w:shd w:val="clear" w:color="auto" w:fill="FFFFFF"/>
          <w:lang w:val="zh-CN"/>
        </w:rPr>
        <w:t>分。</w:t>
      </w:r>
    </w:p>
    <w:p>
      <w:pPr>
        <w:keepNext w:val="0"/>
        <w:keepLines w:val="0"/>
        <w:pageBreakBefore w:val="0"/>
        <w:widowControl/>
        <w:shd w:val="clear"/>
        <w:kinsoku/>
        <w:wordWrap/>
        <w:overflowPunct/>
        <w:topLinePunct w:val="0"/>
        <w:autoSpaceDE/>
        <w:autoSpaceDN/>
        <w:bidi w:val="0"/>
        <w:adjustRightInd w:val="0"/>
        <w:snapToGrid w:val="0"/>
        <w:spacing w:line="560" w:lineRule="exact"/>
        <w:ind w:firstLine="640" w:firstLineChars="200"/>
        <w:contextualSpacing/>
        <w:jc w:val="left"/>
        <w:textAlignment w:val="auto"/>
        <w:rPr>
          <w:rFonts w:ascii="楷体_GB2312" w:hAnsi="楷体_GB2312" w:eastAsia="楷体_GB2312" w:cs="楷体_GB2312"/>
          <w:color w:val="auto"/>
          <w:kern w:val="0"/>
          <w:sz w:val="32"/>
          <w:szCs w:val="32"/>
          <w:highlight w:val="none"/>
          <w:shd w:val="clear" w:color="auto" w:fill="FFFFFF"/>
          <w:lang w:val="zh-CN"/>
        </w:rPr>
      </w:pPr>
      <w:r>
        <w:rPr>
          <w:rFonts w:hint="eastAsia" w:ascii="楷体_GB2312" w:hAnsi="楷体_GB2312" w:eastAsia="楷体_GB2312" w:cs="楷体_GB2312"/>
          <w:color w:val="auto"/>
          <w:kern w:val="0"/>
          <w:sz w:val="32"/>
          <w:szCs w:val="32"/>
          <w:highlight w:val="none"/>
          <w:shd w:val="clear" w:color="auto" w:fill="FFFFFF"/>
          <w:lang w:val="zh-CN"/>
        </w:rPr>
        <w:t>（</w:t>
      </w:r>
      <w:r>
        <w:rPr>
          <w:rFonts w:hint="eastAsia" w:ascii="楷体_GB2312" w:hAnsi="楷体_GB2312" w:eastAsia="楷体_GB2312" w:cs="楷体_GB2312"/>
          <w:color w:val="auto"/>
          <w:kern w:val="0"/>
          <w:sz w:val="32"/>
          <w:szCs w:val="32"/>
          <w:highlight w:val="none"/>
          <w:shd w:val="clear" w:color="auto" w:fill="FFFFFF"/>
        </w:rPr>
        <w:t>二）</w:t>
      </w:r>
      <w:r>
        <w:rPr>
          <w:rFonts w:hint="eastAsia" w:ascii="楷体_GB2312" w:hAnsi="楷体_GB2312" w:eastAsia="楷体_GB2312" w:cs="楷体_GB2312"/>
          <w:color w:val="auto"/>
          <w:kern w:val="0"/>
          <w:sz w:val="32"/>
          <w:szCs w:val="32"/>
          <w:highlight w:val="none"/>
          <w:shd w:val="clear" w:color="auto" w:fill="FFFFFF"/>
          <w:lang w:val="zh-CN"/>
        </w:rPr>
        <w:t>存在问题</w:t>
      </w:r>
    </w:p>
    <w:p>
      <w:pPr>
        <w:keepNext w:val="0"/>
        <w:keepLines w:val="0"/>
        <w:pageBreakBefore w:val="0"/>
        <w:widowControl/>
        <w:shd w:val="clear" w:color="auto"/>
        <w:kinsoku/>
        <w:wordWrap/>
        <w:overflowPunct/>
        <w:topLinePunct w:val="0"/>
        <w:autoSpaceDE/>
        <w:autoSpaceDN/>
        <w:bidi w:val="0"/>
        <w:spacing w:beforeAutospacing="0" w:afterAutospacing="0" w:line="560" w:lineRule="exact"/>
        <w:ind w:firstLine="640" w:firstLineChars="200"/>
        <w:jc w:val="both"/>
        <w:textAlignment w:val="auto"/>
        <w:rPr>
          <w:rFonts w:ascii="仿宋_GB2312" w:hAnsi="宋体" w:eastAsia="仿宋_GB2312" w:cs="宋体"/>
          <w:color w:val="auto"/>
          <w:kern w:val="0"/>
          <w:sz w:val="32"/>
          <w:szCs w:val="32"/>
          <w:highlight w:val="none"/>
          <w:shd w:val="clear" w:color="auto" w:fill="FFFFFF"/>
          <w:lang w:val="en-US" w:eastAsia="zh-CN" w:bidi="ar-SA"/>
        </w:rPr>
      </w:pPr>
      <w:r>
        <w:rPr>
          <w:rFonts w:hint="eastAsia" w:ascii="仿宋_GB2312" w:hAnsi="宋体" w:eastAsia="仿宋_GB2312" w:cs="宋体"/>
          <w:color w:val="auto"/>
          <w:kern w:val="0"/>
          <w:sz w:val="32"/>
          <w:szCs w:val="32"/>
          <w:highlight w:val="none"/>
          <w:shd w:val="clear" w:color="auto" w:fill="FFFFFF"/>
          <w:lang w:val="en-US" w:eastAsia="zh-CN" w:bidi="ar-SA"/>
        </w:rPr>
        <w:t>一是进一步完善细化预算绩效目标指标要素。二是加快预算执行适时进度。</w:t>
      </w:r>
    </w:p>
    <w:p>
      <w:pPr>
        <w:keepNext w:val="0"/>
        <w:keepLines w:val="0"/>
        <w:pageBreakBefore w:val="0"/>
        <w:widowControl/>
        <w:numPr>
          <w:ilvl w:val="0"/>
          <w:numId w:val="7"/>
        </w:numPr>
        <w:shd w:val="clear"/>
        <w:kinsoku/>
        <w:wordWrap/>
        <w:overflowPunct/>
        <w:topLinePunct w:val="0"/>
        <w:autoSpaceDE/>
        <w:autoSpaceDN/>
        <w:bidi w:val="0"/>
        <w:adjustRightInd w:val="0"/>
        <w:snapToGrid w:val="0"/>
        <w:spacing w:line="560" w:lineRule="exact"/>
        <w:ind w:firstLine="640" w:firstLineChars="200"/>
        <w:contextualSpacing/>
        <w:jc w:val="left"/>
        <w:textAlignment w:val="auto"/>
        <w:rPr>
          <w:rFonts w:ascii="楷体_GB2312" w:hAnsi="楷体_GB2312" w:eastAsia="楷体_GB2312" w:cs="楷体_GB2312"/>
          <w:color w:val="auto"/>
          <w:kern w:val="0"/>
          <w:sz w:val="32"/>
          <w:szCs w:val="32"/>
          <w:highlight w:val="none"/>
          <w:shd w:val="clear" w:color="auto" w:fill="FFFFFF"/>
          <w:lang w:val="zh-CN"/>
        </w:rPr>
      </w:pPr>
      <w:r>
        <w:rPr>
          <w:rFonts w:hint="eastAsia" w:ascii="楷体_GB2312" w:hAnsi="楷体_GB2312" w:eastAsia="楷体_GB2312" w:cs="楷体_GB2312"/>
          <w:color w:val="auto"/>
          <w:kern w:val="0"/>
          <w:sz w:val="32"/>
          <w:szCs w:val="32"/>
          <w:highlight w:val="none"/>
          <w:shd w:val="clear" w:color="auto" w:fill="FFFFFF"/>
          <w:lang w:val="zh-CN"/>
        </w:rPr>
        <w:t>改进建议</w:t>
      </w:r>
    </w:p>
    <w:p>
      <w:pPr>
        <w:keepNext w:val="0"/>
        <w:keepLines w:val="0"/>
        <w:pageBreakBefore w:val="0"/>
        <w:widowControl/>
        <w:shd w:val="clea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宋体" w:eastAsia="仿宋_GB2312" w:cs="宋体"/>
          <w:color w:val="auto"/>
          <w:kern w:val="0"/>
          <w:sz w:val="32"/>
          <w:szCs w:val="32"/>
          <w:highlight w:val="none"/>
          <w:shd w:val="clear" w:color="auto" w:fill="FFFFFF"/>
          <w:lang w:val="zh-CN"/>
        </w:rPr>
      </w:pPr>
      <w:r>
        <w:rPr>
          <w:rFonts w:hint="eastAsia" w:ascii="仿宋_GB2312" w:hAnsi="宋体" w:eastAsia="仿宋_GB2312" w:cs="宋体"/>
          <w:color w:val="auto"/>
          <w:kern w:val="0"/>
          <w:sz w:val="32"/>
          <w:szCs w:val="32"/>
          <w:highlight w:val="none"/>
          <w:shd w:val="clear" w:color="auto" w:fill="FFFFFF"/>
        </w:rPr>
        <w:t>一是坚持推行精细化管理，强化预算绩效目标管理、细化绩效目标，并将绩效目标细化分解为具体工作计划，同时，计划应明确规定在一定时间内完成的目标、</w:t>
      </w:r>
      <w:r>
        <w:rPr>
          <w:rFonts w:hint="eastAsia" w:ascii="仿宋_GB2312" w:hAnsi="宋体" w:eastAsia="仿宋_GB2312" w:cs="宋体"/>
          <w:color w:val="auto"/>
          <w:kern w:val="0"/>
          <w:sz w:val="32"/>
          <w:szCs w:val="32"/>
          <w:highlight w:val="none"/>
          <w:shd w:val="clear" w:color="auto" w:fill="FFFFFF"/>
          <w:lang w:eastAsia="zh-CN"/>
        </w:rPr>
        <w:t>任务和</w:t>
      </w:r>
      <w:r>
        <w:rPr>
          <w:rFonts w:hint="eastAsia" w:ascii="仿宋_GB2312" w:hAnsi="宋体" w:eastAsia="仿宋_GB2312" w:cs="宋体"/>
          <w:color w:val="auto"/>
          <w:kern w:val="0"/>
          <w:sz w:val="32"/>
          <w:szCs w:val="32"/>
          <w:highlight w:val="none"/>
          <w:shd w:val="clear" w:color="auto" w:fill="FFFFFF"/>
        </w:rPr>
        <w:t>应达到的要求，任务和要求应具体明确任务数量、质量。</w:t>
      </w:r>
      <w:r>
        <w:rPr>
          <w:rFonts w:hint="eastAsia" w:ascii="仿宋_GB2312" w:hAnsi="宋体" w:eastAsia="仿宋_GB2312" w:cs="宋体"/>
          <w:color w:val="auto"/>
          <w:kern w:val="0"/>
          <w:sz w:val="32"/>
          <w:szCs w:val="32"/>
          <w:highlight w:val="none"/>
          <w:shd w:val="clear" w:color="auto" w:fill="FFFFFF"/>
          <w:lang w:val="zh-CN"/>
        </w:rPr>
        <w:t>二是做好绩效运行监控，加快预算执行</w:t>
      </w:r>
      <w:r>
        <w:rPr>
          <w:rFonts w:hint="eastAsia" w:ascii="仿宋_GB2312" w:hAnsi="宋体" w:eastAsia="仿宋_GB2312" w:cs="宋体"/>
          <w:color w:val="auto"/>
          <w:kern w:val="0"/>
          <w:sz w:val="32"/>
          <w:szCs w:val="32"/>
          <w:highlight w:val="none"/>
          <w:shd w:val="clear" w:color="auto" w:fill="FFFFFF"/>
        </w:rPr>
        <w:t>适时</w:t>
      </w:r>
      <w:r>
        <w:rPr>
          <w:rFonts w:hint="eastAsia" w:ascii="仿宋_GB2312" w:hAnsi="宋体" w:eastAsia="仿宋_GB2312" w:cs="宋体"/>
          <w:color w:val="auto"/>
          <w:kern w:val="0"/>
          <w:sz w:val="32"/>
          <w:szCs w:val="32"/>
          <w:highlight w:val="none"/>
          <w:shd w:val="clear" w:color="auto" w:fill="FFFFFF"/>
          <w:lang w:val="zh-CN"/>
        </w:rPr>
        <w:t>进度。提高对加快预算执行进度重要性的认识。由业务部门作为主导，财务部门参与，科学细化编制项目预算，为预算执行打好基础，确保预算的严肃性。做好绩效运行监控，适时通报执行进度，加强业务部门与财务部门密切配合，不断完善预算执行与预算安排有效衔接的长效机制。</w:t>
      </w:r>
    </w:p>
    <w:p>
      <w:pPr>
        <w:keepNext w:val="0"/>
        <w:keepLines w:val="0"/>
        <w:pageBreakBefore w:val="0"/>
        <w:widowControl/>
        <w:shd w:val="clea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宋体" w:eastAsia="仿宋_GB2312" w:cs="宋体"/>
          <w:color w:val="auto"/>
          <w:kern w:val="0"/>
          <w:sz w:val="32"/>
          <w:szCs w:val="32"/>
          <w:highlight w:val="none"/>
          <w:shd w:val="clear" w:color="auto" w:fill="FFFFFF"/>
          <w:lang w:val="zh-CN"/>
        </w:rPr>
      </w:pPr>
    </w:p>
    <w:p>
      <w:pPr>
        <w:keepNext w:val="0"/>
        <w:keepLines w:val="0"/>
        <w:pageBreakBefore w:val="0"/>
        <w:widowControl/>
        <w:shd w:val="clea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宋体" w:eastAsia="仿宋_GB2312" w:cs="宋体"/>
          <w:color w:val="auto"/>
          <w:kern w:val="0"/>
          <w:sz w:val="32"/>
          <w:szCs w:val="32"/>
          <w:highlight w:val="none"/>
          <w:shd w:val="clear" w:color="auto" w:fill="FFFFFF"/>
          <w:lang w:val="zh-CN"/>
        </w:rPr>
      </w:pPr>
    </w:p>
    <w:p>
      <w:pPr>
        <w:keepNext w:val="0"/>
        <w:keepLines w:val="0"/>
        <w:pageBreakBefore w:val="0"/>
        <w:widowControl/>
        <w:shd w:val="clea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宋体" w:eastAsia="仿宋_GB2312" w:cs="宋体"/>
          <w:color w:val="auto"/>
          <w:kern w:val="0"/>
          <w:sz w:val="32"/>
          <w:szCs w:val="32"/>
          <w:highlight w:val="none"/>
          <w:shd w:val="clear" w:color="auto" w:fill="FFFFFF"/>
          <w:lang w:val="zh-CN"/>
        </w:rPr>
      </w:pPr>
    </w:p>
    <w:p>
      <w:pPr>
        <w:keepNext w:val="0"/>
        <w:keepLines w:val="0"/>
        <w:pageBreakBefore w:val="0"/>
        <w:widowControl/>
        <w:shd w:val="clea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宋体" w:eastAsia="仿宋_GB2312" w:cs="宋体"/>
          <w:color w:val="auto"/>
          <w:kern w:val="0"/>
          <w:sz w:val="32"/>
          <w:szCs w:val="32"/>
          <w:highlight w:val="none"/>
          <w:shd w:val="clear" w:color="auto" w:fill="FFFFFF"/>
          <w:lang w:val="zh-CN"/>
        </w:rPr>
      </w:pPr>
    </w:p>
    <w:p>
      <w:pPr>
        <w:keepNext w:val="0"/>
        <w:keepLines w:val="0"/>
        <w:pageBreakBefore w:val="0"/>
        <w:widowControl/>
        <w:shd w:val="clea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宋体" w:eastAsia="仿宋_GB2312" w:cs="宋体"/>
          <w:color w:val="auto"/>
          <w:kern w:val="0"/>
          <w:sz w:val="32"/>
          <w:szCs w:val="32"/>
          <w:highlight w:val="none"/>
          <w:shd w:val="clear" w:color="auto" w:fill="FFFFFF"/>
          <w:lang w:val="zh-CN"/>
        </w:rPr>
      </w:pPr>
    </w:p>
    <w:p>
      <w:pPr>
        <w:keepNext w:val="0"/>
        <w:keepLines w:val="0"/>
        <w:pageBreakBefore w:val="0"/>
        <w:widowControl/>
        <w:shd w:val="clea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宋体" w:eastAsia="仿宋_GB2312" w:cs="宋体"/>
          <w:color w:val="auto"/>
          <w:kern w:val="0"/>
          <w:sz w:val="32"/>
          <w:szCs w:val="32"/>
          <w:highlight w:val="none"/>
          <w:shd w:val="clear" w:color="auto" w:fill="FFFFFF"/>
          <w:lang w:val="zh-CN"/>
        </w:rPr>
      </w:pPr>
    </w:p>
    <w:p>
      <w:pPr>
        <w:keepNext w:val="0"/>
        <w:keepLines w:val="0"/>
        <w:pageBreakBefore w:val="0"/>
        <w:widowControl/>
        <w:shd w:val="clea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宋体" w:eastAsia="仿宋_GB2312" w:cs="宋体"/>
          <w:color w:val="auto"/>
          <w:kern w:val="0"/>
          <w:sz w:val="32"/>
          <w:szCs w:val="32"/>
          <w:highlight w:val="none"/>
          <w:shd w:val="clear" w:color="auto" w:fill="FFFFFF"/>
          <w:lang w:val="zh-CN"/>
        </w:rPr>
      </w:pPr>
    </w:p>
    <w:p>
      <w:pPr>
        <w:keepNext w:val="0"/>
        <w:keepLines w:val="0"/>
        <w:pageBreakBefore w:val="0"/>
        <w:widowControl/>
        <w:shd w:val="clear"/>
        <w:kinsoku/>
        <w:wordWrap/>
        <w:overflowPunct/>
        <w:topLinePunct w:val="0"/>
        <w:autoSpaceDE/>
        <w:autoSpaceDN/>
        <w:bidi w:val="0"/>
        <w:adjustRightInd w:val="0"/>
        <w:snapToGrid w:val="0"/>
        <w:spacing w:line="560" w:lineRule="exact"/>
        <w:contextualSpacing/>
        <w:jc w:val="left"/>
        <w:textAlignment w:val="auto"/>
        <w:rPr>
          <w:rFonts w:hint="eastAsia" w:ascii="仿宋_GB2312" w:hAnsi="宋体" w:eastAsia="仿宋_GB2312" w:cs="宋体"/>
          <w:color w:val="auto"/>
          <w:kern w:val="0"/>
          <w:sz w:val="32"/>
          <w:szCs w:val="32"/>
          <w:highlight w:val="none"/>
          <w:shd w:val="clear" w:color="auto" w:fill="FFFFFF"/>
          <w:lang w:val="zh-CN"/>
        </w:rPr>
        <w:sectPr>
          <w:footerReference r:id="rId7" w:type="default"/>
          <w:pgSz w:w="11906" w:h="16838"/>
          <w:pgMar w:top="2098" w:right="1474" w:bottom="1984" w:left="1587" w:header="851" w:footer="992" w:gutter="0"/>
          <w:pgNumType w:fmt="decimal" w:start="1"/>
          <w:cols w:space="425" w:num="1"/>
          <w:docGrid w:type="lines" w:linePitch="312" w:charSpace="0"/>
        </w:sectPr>
      </w:pPr>
    </w:p>
    <w:p>
      <w:pPr>
        <w:keepNext w:val="0"/>
        <w:keepLines w:val="0"/>
        <w:pageBreakBefore w:val="0"/>
        <w:widowControl/>
        <w:shd w:val="clear"/>
        <w:kinsoku/>
        <w:wordWrap/>
        <w:overflowPunct/>
        <w:topLinePunct w:val="0"/>
        <w:autoSpaceDE/>
        <w:autoSpaceDN/>
        <w:bidi w:val="0"/>
        <w:adjustRightInd w:val="0"/>
        <w:snapToGrid w:val="0"/>
        <w:spacing w:line="560" w:lineRule="exact"/>
        <w:contextualSpacing/>
        <w:jc w:val="left"/>
        <w:textAlignment w:val="auto"/>
        <w:rPr>
          <w:rFonts w:hint="eastAsia" w:ascii="黑体" w:hAnsi="黑体" w:eastAsia="黑体" w:cs="黑体"/>
          <w:color w:val="auto"/>
          <w:kern w:val="0"/>
          <w:sz w:val="32"/>
          <w:szCs w:val="32"/>
          <w:highlight w:val="none"/>
          <w:shd w:val="clear" w:color="auto" w:fill="FFFFFF"/>
          <w:lang w:val="en-US" w:eastAsia="zh-CN"/>
        </w:rPr>
      </w:pPr>
      <w:r>
        <w:rPr>
          <w:rFonts w:hint="eastAsia" w:ascii="黑体" w:hAnsi="黑体" w:eastAsia="黑体" w:cs="黑体"/>
          <w:color w:val="auto"/>
          <w:kern w:val="0"/>
          <w:sz w:val="32"/>
          <w:szCs w:val="32"/>
          <w:highlight w:val="none"/>
          <w:shd w:val="clear" w:color="auto" w:fill="FFFFFF"/>
          <w:lang w:val="zh-CN"/>
        </w:rPr>
        <w:t>附表</w:t>
      </w:r>
      <w:r>
        <w:rPr>
          <w:rFonts w:hint="eastAsia" w:ascii="黑体" w:hAnsi="黑体" w:eastAsia="黑体" w:cs="黑体"/>
          <w:color w:val="auto"/>
          <w:kern w:val="0"/>
          <w:sz w:val="32"/>
          <w:szCs w:val="32"/>
          <w:highlight w:val="none"/>
          <w:shd w:val="clear" w:color="auto" w:fill="FFFFFF"/>
          <w:lang w:val="en-US" w:eastAsia="zh-CN"/>
        </w:rPr>
        <w:t>1：</w:t>
      </w:r>
    </w:p>
    <w:tbl>
      <w:tblPr>
        <w:tblStyle w:val="17"/>
        <w:tblW w:w="13039"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8"/>
        <w:gridCol w:w="1305"/>
        <w:gridCol w:w="1920"/>
        <w:gridCol w:w="1159"/>
        <w:gridCol w:w="2282"/>
        <w:gridCol w:w="1693"/>
        <w:gridCol w:w="1622"/>
        <w:gridCol w:w="1479"/>
        <w:gridCol w:w="8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13039" w:type="dxa"/>
            <w:gridSpan w:val="9"/>
            <w:tcBorders>
              <w:top w:val="nil"/>
              <w:left w:val="nil"/>
              <w:bottom w:val="nil"/>
              <w:right w:val="nil"/>
            </w:tcBorders>
            <w:shd w:val="clear" w:color="auto" w:fill="auto"/>
            <w:vAlign w:val="center"/>
          </w:tcPr>
          <w:p>
            <w:pPr>
              <w:keepNext w:val="0"/>
              <w:keepLines w:val="0"/>
              <w:widowControl/>
              <w:suppressLineNumbers w:val="0"/>
              <w:shd w:val="clear"/>
              <w:jc w:val="center"/>
              <w:textAlignment w:val="center"/>
              <w:rPr>
                <w:rFonts w:ascii="方正小标宋简体" w:hAnsi="方正小标宋简体" w:eastAsia="方正小标宋简体" w:cs="方正小标宋简体"/>
                <w:i w:val="0"/>
                <w:color w:val="auto"/>
                <w:sz w:val="44"/>
                <w:szCs w:val="44"/>
                <w:highlight w:val="none"/>
                <w:u w:val="none"/>
              </w:rPr>
            </w:pPr>
            <w:r>
              <w:rPr>
                <w:rFonts w:hint="eastAsia" w:ascii="方正小标宋简体" w:hAnsi="方正小标宋简体" w:eastAsia="方正小标宋简体" w:cs="方正小标宋简体"/>
                <w:i w:val="0"/>
                <w:color w:val="auto"/>
                <w:kern w:val="0"/>
                <w:sz w:val="44"/>
                <w:szCs w:val="44"/>
                <w:highlight w:val="none"/>
                <w:u w:val="none"/>
                <w:lang w:val="en-US" w:eastAsia="zh-CN" w:bidi="ar"/>
              </w:rPr>
              <w:t>部门预算、专项资金预算项目支出绩效目标自评表（2022年度）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20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部门名称</w:t>
            </w:r>
          </w:p>
        </w:tc>
        <w:tc>
          <w:tcPr>
            <w:tcW w:w="1095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广元市住房公积金管理中心部门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年度</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主要</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任务</w:t>
            </w:r>
          </w:p>
        </w:tc>
        <w:tc>
          <w:tcPr>
            <w:tcW w:w="13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任务名称</w:t>
            </w:r>
          </w:p>
        </w:tc>
        <w:tc>
          <w:tcPr>
            <w:tcW w:w="19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主要内容</w:t>
            </w:r>
          </w:p>
        </w:tc>
        <w:tc>
          <w:tcPr>
            <w:tcW w:w="513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预算金额（万元）</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实际执行（万元）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19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总额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财政拨款</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其他资金</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总额</w:t>
            </w:r>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财政拨款</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其他资金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0" w:hRule="atLeast"/>
        </w:trPr>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完成归集、提取目标任务；完成信贷专项业务工作；促进住房消费、确保资金安全；优化营商环境，提升优质服务</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18"/>
                <w:szCs w:val="18"/>
                <w:highlight w:val="none"/>
                <w:u w:val="none"/>
                <w:lang w:val="en-US" w:eastAsia="zh-CN" w:bidi="ar"/>
              </w:rPr>
              <w:t>归集目标≥23亿，提取目标≥13亿。信贷发放，楼盘备案管理、贷后管理；“跨省通办”川渝通办”工作；打造川内最优营商环境。资金安全运营、提高公积金资金使用效益，服务当地缴存职工、促进当地房地产行业健康有序发展。打造川内最优营商环境，加快推进政务服务“跨省通办”川渝通办”工作。完善推进“互联网+公积金”平台建设及安全运行。</w:t>
            </w: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righ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1127.56</w:t>
            </w:r>
          </w:p>
        </w:tc>
        <w:tc>
          <w:tcPr>
            <w:tcW w:w="2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1117.54</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righ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10.02</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1064.87</w:t>
            </w:r>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1064.87</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21"/>
                <w:szCs w:val="21"/>
                <w:highlight w:val="none"/>
                <w:u w:val="none"/>
              </w:rPr>
            </w:pPr>
          </w:p>
        </w:tc>
      </w:tr>
    </w:tbl>
    <w:p>
      <w:pPr>
        <w:shd w:val="clear"/>
        <w:jc w:val="center"/>
        <w:rPr>
          <w:rFonts w:hint="eastAsia" w:ascii="宋体" w:hAnsi="宋体" w:eastAsia="宋体" w:cs="宋体"/>
          <w:i w:val="0"/>
          <w:color w:val="auto"/>
          <w:sz w:val="21"/>
          <w:szCs w:val="21"/>
          <w:highlight w:val="none"/>
          <w:u w:val="none"/>
        </w:rPr>
        <w:sectPr>
          <w:footerReference r:id="rId9" w:type="first"/>
          <w:footerReference r:id="rId8" w:type="default"/>
          <w:pgSz w:w="16838" w:h="11906" w:orient="landscape"/>
          <w:pgMar w:top="1587" w:right="2098" w:bottom="1474" w:left="1984" w:header="851" w:footer="992" w:gutter="0"/>
          <w:pgNumType w:fmt="decimal"/>
          <w:cols w:space="425" w:num="1"/>
          <w:titlePg/>
          <w:docGrid w:type="lines" w:linePitch="312" w:charSpace="0"/>
        </w:sectPr>
      </w:pPr>
    </w:p>
    <w:tbl>
      <w:tblPr>
        <w:tblStyle w:val="17"/>
        <w:tblW w:w="13039"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8"/>
        <w:gridCol w:w="972"/>
        <w:gridCol w:w="333"/>
        <w:gridCol w:w="1920"/>
        <w:gridCol w:w="1159"/>
        <w:gridCol w:w="1346"/>
        <w:gridCol w:w="936"/>
        <w:gridCol w:w="1693"/>
        <w:gridCol w:w="1622"/>
        <w:gridCol w:w="959"/>
        <w:gridCol w:w="520"/>
        <w:gridCol w:w="8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778" w:type="dxa"/>
            <w:vMerge w:val="restart"/>
            <w:tcBorders>
              <w:top w:val="single" w:color="000000" w:sz="4" w:space="0"/>
              <w:left w:val="single" w:color="000000" w:sz="4" w:space="0"/>
              <w:right w:val="single" w:color="000000" w:sz="4" w:space="0"/>
            </w:tcBorders>
            <w:shd w:val="clear" w:color="auto" w:fill="auto"/>
            <w:vAlign w:val="center"/>
          </w:tcPr>
          <w:p>
            <w:pPr>
              <w:pStyle w:val="2"/>
              <w:shd w:val="clear"/>
              <w:rPr>
                <w:rFonts w:hint="eastAsia"/>
                <w:color w:val="auto"/>
                <w:highlight w:val="none"/>
              </w:rPr>
            </w:pPr>
          </w:p>
        </w:tc>
        <w:tc>
          <w:tcPr>
            <w:tcW w:w="13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乡村振兴专项工作</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巩固和完善农村基本经营制度，走共同富裕之路，发展乡村产业。</w:t>
            </w: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righ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16.1</w:t>
            </w:r>
          </w:p>
        </w:tc>
        <w:tc>
          <w:tcPr>
            <w:tcW w:w="22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16.1</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21"/>
                <w:szCs w:val="21"/>
                <w:highlight w:val="none"/>
                <w:u w:val="none"/>
              </w:rPr>
            </w:pP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16.1</w:t>
            </w:r>
          </w:p>
        </w:tc>
        <w:tc>
          <w:tcPr>
            <w:tcW w:w="14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16.1</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13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市委市政府安排的其他工作</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党建、污染防治、能耗等</w:t>
            </w: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righ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467.15</w:t>
            </w:r>
          </w:p>
        </w:tc>
        <w:tc>
          <w:tcPr>
            <w:tcW w:w="22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467.15</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21"/>
                <w:szCs w:val="21"/>
                <w:highlight w:val="none"/>
                <w:u w:val="none"/>
              </w:rPr>
            </w:pP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456.41</w:t>
            </w:r>
          </w:p>
        </w:tc>
        <w:tc>
          <w:tcPr>
            <w:tcW w:w="14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456.41</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32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金额合计</w:t>
            </w: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righ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1610.81</w:t>
            </w:r>
          </w:p>
        </w:tc>
        <w:tc>
          <w:tcPr>
            <w:tcW w:w="22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1600.79</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righ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10.02</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1537.38</w:t>
            </w:r>
          </w:p>
        </w:tc>
        <w:tc>
          <w:tcPr>
            <w:tcW w:w="14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1537.38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rPr>
                <w:rFonts w:hint="eastAsia" w:ascii="宋体" w:hAnsi="宋体" w:eastAsia="宋体" w:cs="宋体"/>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7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年度</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总体</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目标</w:t>
            </w:r>
          </w:p>
        </w:tc>
        <w:tc>
          <w:tcPr>
            <w:tcW w:w="438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预期目标</w:t>
            </w:r>
          </w:p>
        </w:tc>
        <w:tc>
          <w:tcPr>
            <w:tcW w:w="787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实际完成目标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35" w:hRule="atLeast"/>
        </w:trPr>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4384"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hd w:val="clear"/>
              <w:jc w:val="left"/>
              <w:textAlignment w:val="top"/>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目标1：完成归集、提取目标任务，做大规模总量，支持住有所居。归集目标≥23亿，提取目标≥13亿。                                                                                          目标2：完成信贷专项业务工作， 信贷发放，楼盘备案管理、贷后管理；“跨省通办”川渝通办”工作；打造川内最优营商环境。                                                                                          目标3：促进住房消费、确保资金安全，资金安全运营、提高公积金资金使用效益，服务当地缴存职工、促进当地房地产行业健康有序发展。                                                                                 目标4：优化营商环境，提升优质服务。打造川内最优营商环境，加快推进政务服务“跨省通办”川渝通办”工作。完善推进“互联网+公积金”平台建设及安全运行。乡村振兴及其他各项工作。</w:t>
            </w:r>
          </w:p>
        </w:tc>
        <w:tc>
          <w:tcPr>
            <w:tcW w:w="787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2022年部门整体绩效目标任务完成情况良好，归集、提取、信贷任务均圆满完成，政务服务和信息化建设均达到预期。总体目标中产出、成本、效益和满意度指标全部达标，受到缴存企业和职工一致好评。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年</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度</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绩</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效</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指</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标</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一级指标</w:t>
            </w:r>
          </w:p>
        </w:tc>
        <w:tc>
          <w:tcPr>
            <w:tcW w:w="225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二级指标</w:t>
            </w:r>
          </w:p>
        </w:tc>
        <w:tc>
          <w:tcPr>
            <w:tcW w:w="25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三级指标</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指标值（包含数字及文字描述）</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实际完成指标值（包含数字及文字描述）</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部门自评得分</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财政部门科室复评得分</w:t>
            </w:r>
          </w:p>
        </w:tc>
        <w:tc>
          <w:tcPr>
            <w:tcW w:w="13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 xml:space="preserve"> 未完成原因及改进措施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9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产出指标</w:t>
            </w:r>
          </w:p>
        </w:tc>
        <w:tc>
          <w:tcPr>
            <w:tcW w:w="225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数量指标</w:t>
            </w:r>
          </w:p>
        </w:tc>
        <w:tc>
          <w:tcPr>
            <w:tcW w:w="25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指标1：完成归集目标</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亿元</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30.66</w:t>
            </w:r>
          </w:p>
        </w:tc>
        <w:tc>
          <w:tcPr>
            <w:tcW w:w="16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16</w:t>
            </w:r>
          </w:p>
        </w:tc>
        <w:tc>
          <w:tcPr>
            <w:tcW w:w="9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132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22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25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指标2：完成提取目标</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亿元</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19.79</w:t>
            </w:r>
          </w:p>
        </w:tc>
        <w:tc>
          <w:tcPr>
            <w:tcW w:w="16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132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22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25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指标3：2022年各县区缴存单位</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个</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2956</w:t>
            </w:r>
          </w:p>
        </w:tc>
        <w:tc>
          <w:tcPr>
            <w:tcW w:w="16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132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5" w:hRule="atLeast"/>
        </w:trPr>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22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25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指标4：助推当地政务服务，开展业务培训，开展“我为群众办实事”“三提三创 ”、优化提升营商环境专项整治等工作。</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次、个</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全年累计组织业务培训10次，入驻当他大厅管理部7个。</w:t>
            </w:r>
          </w:p>
        </w:tc>
        <w:tc>
          <w:tcPr>
            <w:tcW w:w="16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132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22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25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指标5：2022年发送业务信息</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万次</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135</w:t>
            </w:r>
          </w:p>
        </w:tc>
        <w:tc>
          <w:tcPr>
            <w:tcW w:w="16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132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225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质量指标</w:t>
            </w:r>
          </w:p>
        </w:tc>
        <w:tc>
          <w:tcPr>
            <w:tcW w:w="25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 xml:space="preserve"> 指标1：完成目标任务。</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定量</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=100%</w:t>
            </w:r>
          </w:p>
        </w:tc>
        <w:tc>
          <w:tcPr>
            <w:tcW w:w="16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20</w:t>
            </w:r>
          </w:p>
        </w:tc>
        <w:tc>
          <w:tcPr>
            <w:tcW w:w="9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eastAsia" w:ascii="宋体" w:hAnsi="宋体" w:eastAsia="宋体" w:cs="宋体"/>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22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25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 xml:space="preserve"> 指标2：确保资金安全运行。</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定性</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贷款逾期率0.13%低于省控指标 3‰以内</w:t>
            </w:r>
          </w:p>
        </w:tc>
        <w:tc>
          <w:tcPr>
            <w:tcW w:w="16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eastAsia" w:ascii="宋体" w:hAnsi="宋体" w:eastAsia="宋体" w:cs="宋体"/>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225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时效指标</w:t>
            </w:r>
          </w:p>
        </w:tc>
        <w:tc>
          <w:tcPr>
            <w:tcW w:w="25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 xml:space="preserve"> 指标1：完成时间</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年</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2022</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10</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left"/>
              <w:rPr>
                <w:rFonts w:hint="eastAsia" w:ascii="宋体" w:hAnsi="宋体" w:eastAsia="宋体" w:cs="宋体"/>
                <w:i w:val="0"/>
                <w:color w:val="auto"/>
                <w:sz w:val="21"/>
                <w:szCs w:val="21"/>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eastAsia" w:ascii="宋体" w:hAnsi="宋体" w:eastAsia="宋体" w:cs="宋体"/>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9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成本指标</w:t>
            </w:r>
          </w:p>
        </w:tc>
        <w:tc>
          <w:tcPr>
            <w:tcW w:w="225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成本指标</w:t>
            </w:r>
          </w:p>
        </w:tc>
        <w:tc>
          <w:tcPr>
            <w:tcW w:w="25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 xml:space="preserve"> 指标1：基本人员经费</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万元</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1078.7</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20</w:t>
            </w:r>
          </w:p>
        </w:tc>
        <w:tc>
          <w:tcPr>
            <w:tcW w:w="9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eastAsia" w:ascii="宋体" w:hAnsi="宋体" w:eastAsia="宋体" w:cs="宋体"/>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22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25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 xml:space="preserve"> 指标2：基本公用经费</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万元</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161.68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eastAsia" w:ascii="宋体" w:hAnsi="宋体" w:eastAsia="宋体" w:cs="宋体"/>
                <w:i w:val="0"/>
                <w:color w:val="auto"/>
                <w:sz w:val="21"/>
                <w:szCs w:val="21"/>
                <w:highlight w:val="none"/>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eastAsia" w:ascii="宋体" w:hAnsi="宋体" w:eastAsia="宋体" w:cs="宋体"/>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22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25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 xml:space="preserve"> 指标3：项目工作经费</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万元</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297</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eastAsia" w:ascii="宋体" w:hAnsi="宋体" w:eastAsia="宋体" w:cs="宋体"/>
                <w:i w:val="0"/>
                <w:color w:val="auto"/>
                <w:sz w:val="21"/>
                <w:szCs w:val="21"/>
                <w:highlight w:val="none"/>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eastAsia" w:ascii="宋体" w:hAnsi="宋体" w:eastAsia="宋体" w:cs="宋体"/>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9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效益指标</w:t>
            </w:r>
          </w:p>
        </w:tc>
        <w:tc>
          <w:tcPr>
            <w:tcW w:w="225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经济效益</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指标</w:t>
            </w:r>
          </w:p>
        </w:tc>
        <w:tc>
          <w:tcPr>
            <w:tcW w:w="25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 xml:space="preserve"> 指标1：上缴财政增值收益</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亿元</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1.11</w:t>
            </w:r>
          </w:p>
        </w:tc>
        <w:tc>
          <w:tcPr>
            <w:tcW w:w="16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2.5</w:t>
            </w:r>
          </w:p>
        </w:tc>
        <w:tc>
          <w:tcPr>
            <w:tcW w:w="9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132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因受疫情和经济下滑影响，房地产市场处于低迷状态。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22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25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 xml:space="preserve"> 指标2：优化营商环境</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定性</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促进行业发展</w:t>
            </w:r>
          </w:p>
        </w:tc>
        <w:tc>
          <w:tcPr>
            <w:tcW w:w="16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132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left"/>
              <w:rPr>
                <w:rFonts w:hint="eastAsia" w:ascii="宋体" w:hAnsi="宋体" w:eastAsia="宋体" w:cs="宋体"/>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22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25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 xml:space="preserve"> 指标3：促进当地房地产经济发展</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楼栋</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备案楼盘156楼栋</w:t>
            </w:r>
          </w:p>
        </w:tc>
        <w:tc>
          <w:tcPr>
            <w:tcW w:w="16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132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left"/>
              <w:rPr>
                <w:rFonts w:hint="eastAsia" w:ascii="宋体" w:hAnsi="宋体" w:eastAsia="宋体" w:cs="宋体"/>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0" w:hRule="atLeast"/>
        </w:trPr>
        <w:tc>
          <w:tcPr>
            <w:tcW w:w="7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年</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度</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绩</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效</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指</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标</w:t>
            </w:r>
          </w:p>
        </w:tc>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225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社会效益</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指标</w:t>
            </w:r>
          </w:p>
        </w:tc>
        <w:tc>
          <w:tcPr>
            <w:tcW w:w="25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 xml:space="preserve"> 指标1：服务当地群众，支持改善住房条件、促进住房消费，维护了社会的稳定。</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定性</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办理购房、租房、大病医疗、还房贷等提取住房公积金，</w:t>
            </w:r>
          </w:p>
        </w:tc>
        <w:tc>
          <w:tcPr>
            <w:tcW w:w="16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5</w:t>
            </w:r>
          </w:p>
        </w:tc>
        <w:tc>
          <w:tcPr>
            <w:tcW w:w="9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eastAsia" w:ascii="宋体" w:hAnsi="宋体" w:eastAsia="宋体" w:cs="宋体"/>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22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25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 xml:space="preserve"> 指标2：推动行业发展，服务民生大众</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定性</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实现数据共享，方便群众办事</w:t>
            </w:r>
          </w:p>
        </w:tc>
        <w:tc>
          <w:tcPr>
            <w:tcW w:w="16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eastAsia" w:ascii="宋体" w:hAnsi="宋体" w:eastAsia="宋体" w:cs="宋体"/>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0" w:hRule="atLeast"/>
        </w:trPr>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22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25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 xml:space="preserve">  指标3：打造诚信服务，提升政府形象，得到群众一致好评。</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定量</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定期发送15.52万名缴存人公积金缴存、贷款情况，提升信息透明度。</w:t>
            </w:r>
          </w:p>
        </w:tc>
        <w:tc>
          <w:tcPr>
            <w:tcW w:w="16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eastAsia" w:ascii="宋体" w:hAnsi="宋体" w:eastAsia="宋体" w:cs="宋体"/>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225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生态效益</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指标</w:t>
            </w:r>
          </w:p>
        </w:tc>
        <w:tc>
          <w:tcPr>
            <w:tcW w:w="25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 xml:space="preserve"> 指标1：窗口集中办理，减少办事成本。减少污染，降低能耗。</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定量</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“最多跑一次”服务事项=100%，全程网办服务事项达95%。</w:t>
            </w:r>
          </w:p>
        </w:tc>
        <w:tc>
          <w:tcPr>
            <w:tcW w:w="16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5</w:t>
            </w:r>
          </w:p>
        </w:tc>
        <w:tc>
          <w:tcPr>
            <w:tcW w:w="9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eastAsia" w:ascii="宋体" w:hAnsi="宋体" w:eastAsia="宋体" w:cs="宋体"/>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22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25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 xml:space="preserve"> 指标2：当地设置派驻机构，缩短办事距离，减少污染，降低能耗。</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定量</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设置8个派驻机构</w:t>
            </w:r>
          </w:p>
        </w:tc>
        <w:tc>
          <w:tcPr>
            <w:tcW w:w="16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eastAsia" w:ascii="宋体" w:hAnsi="宋体" w:eastAsia="宋体" w:cs="宋体"/>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9" w:hRule="atLeast"/>
        </w:trPr>
        <w:tc>
          <w:tcPr>
            <w:tcW w:w="7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年</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度</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绩</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效</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指</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标</w:t>
            </w:r>
          </w:p>
        </w:tc>
        <w:tc>
          <w:tcPr>
            <w:tcW w:w="9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效益指标</w:t>
            </w:r>
          </w:p>
        </w:tc>
        <w:tc>
          <w:tcPr>
            <w:tcW w:w="225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生态效益</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指标</w:t>
            </w:r>
          </w:p>
        </w:tc>
        <w:tc>
          <w:tcPr>
            <w:tcW w:w="25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 xml:space="preserve"> 打击骗提骗贷，社会和谐、公平公正。维持社会稳定、维护社会公平正义。</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定量</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制度落实到位，违规违纪办理业务=0笔</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21"/>
                <w:szCs w:val="21"/>
                <w:highlight w:val="none"/>
                <w:u w:val="none"/>
              </w:rPr>
            </w:pP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21"/>
                <w:szCs w:val="21"/>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eastAsia" w:ascii="宋体" w:hAnsi="宋体" w:eastAsia="宋体" w:cs="宋体"/>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225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可持续影响</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指标</w:t>
            </w:r>
          </w:p>
        </w:tc>
        <w:tc>
          <w:tcPr>
            <w:tcW w:w="25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 xml:space="preserve"> 指标1：项目作用期限</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定量</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1年</w:t>
            </w:r>
          </w:p>
        </w:tc>
        <w:tc>
          <w:tcPr>
            <w:tcW w:w="16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5</w:t>
            </w:r>
          </w:p>
        </w:tc>
        <w:tc>
          <w:tcPr>
            <w:tcW w:w="9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eastAsia" w:ascii="宋体" w:hAnsi="宋体" w:eastAsia="宋体" w:cs="宋体"/>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22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25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 xml:space="preserve"> 指标2：对行业可持续发展影响</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定性</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长期</w:t>
            </w:r>
          </w:p>
        </w:tc>
        <w:tc>
          <w:tcPr>
            <w:tcW w:w="16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eastAsia" w:ascii="宋体" w:hAnsi="宋体" w:eastAsia="宋体" w:cs="宋体"/>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9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满意度指标</w:t>
            </w:r>
          </w:p>
        </w:tc>
        <w:tc>
          <w:tcPr>
            <w:tcW w:w="225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满意度指标</w:t>
            </w:r>
          </w:p>
        </w:tc>
        <w:tc>
          <w:tcPr>
            <w:tcW w:w="25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 xml:space="preserve"> 指标1：缴存单位满意度</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定量</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≥99%</w:t>
            </w:r>
          </w:p>
        </w:tc>
        <w:tc>
          <w:tcPr>
            <w:tcW w:w="16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9</w:t>
            </w:r>
          </w:p>
        </w:tc>
        <w:tc>
          <w:tcPr>
            <w:tcW w:w="9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eastAsia" w:ascii="宋体" w:hAnsi="宋体" w:eastAsia="宋体" w:cs="宋体"/>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22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25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 xml:space="preserve"> 指标2：缴存个人满意度</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定量</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≥98%</w:t>
            </w:r>
          </w:p>
        </w:tc>
        <w:tc>
          <w:tcPr>
            <w:tcW w:w="16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eastAsia" w:ascii="宋体" w:hAnsi="宋体" w:eastAsia="宋体" w:cs="宋体"/>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合计</w:t>
            </w:r>
          </w:p>
        </w:tc>
        <w:tc>
          <w:tcPr>
            <w:tcW w:w="8359"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1"/>
                <w:szCs w:val="21"/>
                <w:highlight w:val="none"/>
                <w:u w:val="none"/>
              </w:rPr>
            </w:pP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92.5</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left"/>
              <w:rPr>
                <w:rFonts w:hint="eastAsia" w:ascii="宋体" w:hAnsi="宋体" w:eastAsia="宋体" w:cs="宋体"/>
                <w:i w:val="0"/>
                <w:color w:val="auto"/>
                <w:sz w:val="21"/>
                <w:szCs w:val="21"/>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hint="eastAsia" w:ascii="宋体" w:hAnsi="宋体" w:eastAsia="宋体" w:cs="宋体"/>
                <w:i w:val="0"/>
                <w:color w:val="auto"/>
                <w:sz w:val="21"/>
                <w:szCs w:val="21"/>
                <w:highlight w:val="none"/>
                <w:u w:val="none"/>
              </w:rPr>
            </w:pPr>
          </w:p>
        </w:tc>
      </w:tr>
    </w:tbl>
    <w:p>
      <w:pPr>
        <w:pStyle w:val="2"/>
        <w:shd w:val="clear"/>
        <w:rPr>
          <w:rFonts w:hint="eastAsia"/>
          <w:color w:val="auto"/>
          <w:highlight w:val="none"/>
          <w:lang w:val="zh-CN"/>
        </w:rPr>
        <w:sectPr>
          <w:footerReference r:id="rId11" w:type="first"/>
          <w:footerReference r:id="rId10" w:type="default"/>
          <w:pgSz w:w="16838" w:h="11906" w:orient="landscape"/>
          <w:pgMar w:top="1587" w:right="2098" w:bottom="1474" w:left="1984" w:header="851" w:footer="992" w:gutter="0"/>
          <w:pgNumType w:fmt="decimal"/>
          <w:cols w:space="425" w:num="1"/>
          <w:docGrid w:type="lines" w:linePitch="312" w:charSpace="0"/>
        </w:sectPr>
      </w:pPr>
    </w:p>
    <w:p>
      <w:pPr>
        <w:shd w:val="clear"/>
        <w:spacing w:line="578" w:lineRule="exact"/>
        <w:outlineLvl w:val="1"/>
        <w:rPr>
          <w:rFonts w:hint="eastAsia" w:ascii="黑体" w:hAnsi="黑体" w:eastAsia="黑体" w:cs="黑体"/>
          <w:color w:val="auto"/>
          <w:sz w:val="32"/>
          <w:szCs w:val="32"/>
          <w:highlight w:val="none"/>
          <w:lang w:val="en-US" w:eastAsia="zh-CN"/>
        </w:rPr>
      </w:pPr>
      <w:bookmarkStart w:id="92" w:name="_Toc22057"/>
      <w:bookmarkStart w:id="93" w:name="_Toc27236"/>
      <w:r>
        <w:rPr>
          <w:rFonts w:hint="eastAsia" w:ascii="黑体" w:hAnsi="黑体" w:eastAsia="黑体" w:cs="黑体"/>
          <w:color w:val="auto"/>
          <w:sz w:val="32"/>
          <w:szCs w:val="32"/>
          <w:highlight w:val="none"/>
        </w:rPr>
        <w:t>附件</w:t>
      </w:r>
      <w:r>
        <w:rPr>
          <w:rFonts w:hint="eastAsia" w:ascii="黑体" w:hAnsi="黑体" w:eastAsia="黑体" w:cs="黑体"/>
          <w:color w:val="auto"/>
          <w:sz w:val="32"/>
          <w:szCs w:val="32"/>
          <w:highlight w:val="none"/>
          <w:lang w:val="en-US" w:eastAsia="zh-CN"/>
        </w:rPr>
        <w:t>2</w:t>
      </w:r>
      <w:bookmarkEnd w:id="92"/>
      <w:bookmarkEnd w:id="93"/>
    </w:p>
    <w:p>
      <w:pPr>
        <w:widowControl w:val="0"/>
        <w:shd w:val="clear"/>
        <w:spacing w:line="578" w:lineRule="exact"/>
        <w:jc w:val="both"/>
        <w:rPr>
          <w:rFonts w:ascii="方正小标宋简体" w:hAnsi="方正小标宋简体" w:eastAsia="方正小标宋简体" w:cs="方正小标宋简体"/>
          <w:color w:val="auto"/>
          <w:kern w:val="2"/>
          <w:sz w:val="44"/>
          <w:szCs w:val="44"/>
          <w:highlight w:val="none"/>
          <w:lang w:val="en-US" w:eastAsia="zh-CN" w:bidi="ar-SA"/>
        </w:rPr>
      </w:pPr>
    </w:p>
    <w:p>
      <w:pPr>
        <w:widowControl w:val="0"/>
        <w:shd w:val="clear"/>
        <w:spacing w:line="0" w:lineRule="atLeast"/>
        <w:jc w:val="center"/>
        <w:rPr>
          <w:rFonts w:ascii="方正小标宋简体" w:hAnsi="方正小标宋简体" w:eastAsia="方正小标宋简体" w:cs="方正小标宋简体"/>
          <w:color w:val="auto"/>
          <w:kern w:val="2"/>
          <w:sz w:val="44"/>
          <w:szCs w:val="44"/>
          <w:highlight w:val="none"/>
          <w:lang w:val="en-US" w:eastAsia="zh-CN" w:bidi="ar-SA"/>
        </w:rPr>
      </w:pPr>
      <w:r>
        <w:rPr>
          <w:rFonts w:hint="eastAsia" w:ascii="方正小标宋简体" w:hAnsi="方正小标宋简体" w:eastAsia="方正小标宋简体" w:cs="方正小标宋简体"/>
          <w:color w:val="auto"/>
          <w:kern w:val="2"/>
          <w:sz w:val="44"/>
          <w:szCs w:val="44"/>
          <w:highlight w:val="none"/>
          <w:lang w:val="en-US" w:eastAsia="zh-CN" w:bidi="ar-SA"/>
        </w:rPr>
        <w:t>2023年市级专项预算项目支出绩效自评报告</w:t>
      </w:r>
    </w:p>
    <w:p>
      <w:pPr>
        <w:widowControl w:val="0"/>
        <w:shd w:val="clear"/>
        <w:spacing w:line="0" w:lineRule="atLeast"/>
        <w:jc w:val="center"/>
        <w:rPr>
          <w:rFonts w:ascii="楷体_GB2312" w:hAnsi="楷体_GB2312" w:eastAsia="楷体_GB2312" w:cs="楷体_GB2312"/>
          <w:color w:val="auto"/>
          <w:kern w:val="2"/>
          <w:sz w:val="32"/>
          <w:szCs w:val="32"/>
          <w:highlight w:val="none"/>
          <w:lang w:val="zh-CN" w:eastAsia="zh-CN" w:bidi="ar-SA"/>
        </w:rPr>
      </w:pPr>
      <w:r>
        <w:rPr>
          <w:rFonts w:hint="eastAsia" w:ascii="楷体_GB2312" w:hAnsi="楷体_GB2312" w:eastAsia="楷体_GB2312" w:cs="楷体_GB2312"/>
          <w:color w:val="auto"/>
          <w:kern w:val="2"/>
          <w:sz w:val="32"/>
          <w:szCs w:val="32"/>
          <w:highlight w:val="none"/>
          <w:lang w:val="zh-CN" w:eastAsia="zh-CN" w:bidi="ar-SA"/>
        </w:rPr>
        <w:t>（公积金归集提取专项工作经费）</w:t>
      </w:r>
    </w:p>
    <w:p>
      <w:pPr>
        <w:widowControl w:val="0"/>
        <w:shd w:val="clear"/>
        <w:spacing w:line="560" w:lineRule="exact"/>
        <w:jc w:val="center"/>
        <w:rPr>
          <w:rFonts w:ascii="宋体" w:hAnsi="宋体" w:eastAsia="宋体" w:cs="Times New Roman"/>
          <w:color w:val="auto"/>
          <w:kern w:val="2"/>
          <w:sz w:val="18"/>
          <w:szCs w:val="18"/>
          <w:highlight w:val="none"/>
          <w:lang w:val="zh-CN" w:eastAsia="zh-CN" w:bidi="ar-SA"/>
        </w:rPr>
      </w:pPr>
    </w:p>
    <w:p>
      <w:pPr>
        <w:shd w:val="clear"/>
        <w:adjustRightInd w:val="0"/>
        <w:snapToGrid w:val="0"/>
        <w:spacing w:line="560" w:lineRule="exact"/>
        <w:ind w:firstLine="640" w:firstLineChars="200"/>
        <w:outlineLvl w:val="1"/>
        <w:rPr>
          <w:rFonts w:ascii="黑体" w:hAnsi="宋体" w:eastAsia="黑体" w:cs="Times New Roman"/>
          <w:color w:val="auto"/>
          <w:sz w:val="32"/>
          <w:szCs w:val="32"/>
          <w:highlight w:val="none"/>
          <w:lang w:val="zh-CN"/>
        </w:rPr>
      </w:pPr>
      <w:bookmarkStart w:id="94" w:name="_Toc18731"/>
      <w:bookmarkStart w:id="95" w:name="_Toc31873"/>
      <w:r>
        <w:rPr>
          <w:rFonts w:hint="eastAsia" w:ascii="黑体" w:hAnsi="宋体" w:eastAsia="黑体" w:cs="Times New Roman"/>
          <w:color w:val="auto"/>
          <w:sz w:val="32"/>
          <w:szCs w:val="32"/>
          <w:highlight w:val="none"/>
        </w:rPr>
        <w:t>一、</w:t>
      </w:r>
      <w:r>
        <w:rPr>
          <w:rFonts w:hint="eastAsia" w:ascii="黑体" w:hAnsi="宋体" w:eastAsia="黑体" w:cs="Times New Roman"/>
          <w:color w:val="auto"/>
          <w:sz w:val="32"/>
          <w:szCs w:val="32"/>
          <w:highlight w:val="none"/>
          <w:lang w:val="zh-CN"/>
        </w:rPr>
        <w:t>项目概况</w:t>
      </w:r>
      <w:bookmarkEnd w:id="94"/>
      <w:bookmarkEnd w:id="95"/>
    </w:p>
    <w:p>
      <w:pPr>
        <w:widowControl/>
        <w:shd w:val="clear"/>
        <w:spacing w:line="560" w:lineRule="exact"/>
        <w:ind w:firstLine="640" w:firstLineChars="200"/>
        <w:jc w:val="left"/>
        <w:rPr>
          <w:rFonts w:ascii="楷体_GB2312" w:hAnsi="楷体_GB2312" w:eastAsia="楷体_GB2312" w:cs="楷体_GB2312"/>
          <w:color w:val="auto"/>
          <w:sz w:val="32"/>
          <w:szCs w:val="32"/>
          <w:highlight w:val="none"/>
        </w:rPr>
      </w:pPr>
      <w:r>
        <w:rPr>
          <w:rFonts w:hint="eastAsia" w:ascii="楷体_GB2312" w:hAnsi="楷体_GB2312" w:eastAsia="楷体_GB2312" w:cs="楷体_GB2312"/>
          <w:color w:val="auto"/>
          <w:sz w:val="32"/>
          <w:szCs w:val="32"/>
          <w:highlight w:val="none"/>
        </w:rPr>
        <w:t>（一）项目基本情况。</w:t>
      </w:r>
    </w:p>
    <w:p>
      <w:pPr>
        <w:widowControl/>
        <w:shd w:val="clear"/>
        <w:spacing w:line="560" w:lineRule="exact"/>
        <w:ind w:firstLine="640" w:firstLineChars="200"/>
        <w:jc w:val="left"/>
        <w:rPr>
          <w:rFonts w:ascii="仿宋_GB2312" w:hAnsi="Times New Roman" w:eastAsia="仿宋_GB2312" w:cs="Times New Roman"/>
          <w:color w:val="auto"/>
          <w:sz w:val="32"/>
          <w:szCs w:val="32"/>
          <w:highlight w:val="none"/>
        </w:rPr>
      </w:pPr>
      <w:r>
        <w:rPr>
          <w:rFonts w:hint="eastAsia" w:ascii="仿宋_GB2312" w:hAnsi="仿宋_GB2312" w:eastAsia="仿宋_GB2312" w:cs="仿宋_GB2312"/>
          <w:color w:val="auto"/>
          <w:sz w:val="32"/>
          <w:szCs w:val="32"/>
          <w:highlight w:val="none"/>
        </w:rPr>
        <w:t>资金归集科负责全市住房公积金归集提取政策研究，草拟住房公积金归集业务管理办法、实施细则、操作规程及相关规范性文件；负责编制并组织实施全市住房公积金归集年度计划；负责住房公积金归集业务政策宣传和培训工作；负责归集业务数据统计、汇总及分析；负责对各县区管理部归集业务指导和监督。</w:t>
      </w:r>
    </w:p>
    <w:p>
      <w:pPr>
        <w:shd w:val="clear"/>
        <w:tabs>
          <w:tab w:val="left" w:pos="2523"/>
        </w:tabs>
        <w:spacing w:line="560" w:lineRule="exact"/>
        <w:ind w:left="720"/>
        <w:rPr>
          <w:rFonts w:ascii="楷体_GB2312" w:hAnsi="楷体_GB2312" w:eastAsia="楷体_GB2312" w:cs="楷体_GB2312"/>
          <w:bCs/>
          <w:color w:val="auto"/>
          <w:sz w:val="32"/>
          <w:szCs w:val="32"/>
          <w:highlight w:val="none"/>
          <w:lang w:val="zh-CN"/>
        </w:rPr>
      </w:pPr>
      <w:r>
        <w:rPr>
          <w:rFonts w:hint="eastAsia" w:ascii="楷体_GB2312" w:hAnsi="楷体_GB2312" w:eastAsia="楷体_GB2312" w:cs="楷体_GB2312"/>
          <w:bCs/>
          <w:color w:val="auto"/>
          <w:sz w:val="32"/>
          <w:szCs w:val="32"/>
          <w:highlight w:val="none"/>
          <w:lang w:val="zh-CN"/>
        </w:rPr>
        <w:t>（二）项目绩效目标。</w:t>
      </w:r>
    </w:p>
    <w:p>
      <w:pPr>
        <w:shd w:val="clear"/>
        <w:tabs>
          <w:tab w:val="left" w:pos="2523"/>
        </w:tabs>
        <w:spacing w:line="560" w:lineRule="exact"/>
        <w:ind w:firstLine="640" w:firstLineChars="200"/>
        <w:rPr>
          <w:rFonts w:ascii="仿宋_GB2312" w:hAnsi="宋体" w:eastAsia="仿宋_GB2312" w:cs="Times New Roman"/>
          <w:color w:val="auto"/>
          <w:sz w:val="32"/>
          <w:szCs w:val="32"/>
          <w:highlight w:val="none"/>
          <w:lang w:val="zh-CN"/>
        </w:rPr>
      </w:pPr>
      <w:r>
        <w:rPr>
          <w:rFonts w:hint="eastAsia" w:ascii="仿宋_GB2312" w:hAnsi="仿宋_GB2312" w:eastAsia="仿宋_GB2312" w:cs="仿宋_GB2312"/>
          <w:color w:val="auto"/>
          <w:sz w:val="32"/>
          <w:szCs w:val="32"/>
          <w:highlight w:val="none"/>
        </w:rPr>
        <w:t>资金归集科2022年完成下达的归集、提取目标任务；加快推进政务服务“跨省通办”川渝通办”工作；打造川内最优营商环境；加强归集缴存单位公积金专管员政策及业务培训；加强归集和提取岗从业人员对政策及业务操作的培训指导。规范业务凭证管理。2022年公积金归集提取专项工作经费目标任务完成情况良好，归集、提取任务均圆满完成，申报内容与实际相符，目标合理可行，绩效目标和绩效指标全面完整、相匹配、量化可考核。该项目经费与部门长期规划目标和年度工作目标相一致，产出和效果相关联。</w:t>
      </w:r>
    </w:p>
    <w:p>
      <w:pPr>
        <w:shd w:val="clear"/>
        <w:adjustRightInd w:val="0"/>
        <w:snapToGrid w:val="0"/>
        <w:spacing w:line="560" w:lineRule="exact"/>
        <w:ind w:firstLine="640" w:firstLineChars="200"/>
        <w:rPr>
          <w:rFonts w:hint="eastAsia" w:ascii="楷体_GB2312" w:hAnsi="宋体" w:eastAsia="楷体_GB2312" w:cs="Times New Roman"/>
          <w:color w:val="auto"/>
          <w:sz w:val="32"/>
          <w:szCs w:val="32"/>
          <w:highlight w:val="none"/>
          <w:lang w:val="zh-CN"/>
        </w:rPr>
        <w:sectPr>
          <w:footerReference r:id="rId13" w:type="first"/>
          <w:footerReference r:id="rId12" w:type="default"/>
          <w:pgSz w:w="11906" w:h="16838"/>
          <w:pgMar w:top="2098" w:right="1474" w:bottom="1984" w:left="1587" w:header="851" w:footer="992" w:gutter="0"/>
          <w:pgNumType w:fmt="decimal"/>
          <w:cols w:space="425" w:num="1"/>
          <w:titlePg/>
          <w:docGrid w:type="lines" w:linePitch="312" w:charSpace="0"/>
        </w:sectPr>
      </w:pPr>
    </w:p>
    <w:p>
      <w:pPr>
        <w:shd w:val="clear"/>
        <w:adjustRightInd w:val="0"/>
        <w:snapToGrid w:val="0"/>
        <w:spacing w:line="560" w:lineRule="exact"/>
        <w:ind w:firstLine="640" w:firstLineChars="200"/>
        <w:rPr>
          <w:rFonts w:ascii="楷体_GB2312" w:hAnsi="宋体" w:eastAsia="楷体_GB2312" w:cs="Times New Roman"/>
          <w:color w:val="auto"/>
          <w:sz w:val="32"/>
          <w:szCs w:val="32"/>
          <w:highlight w:val="none"/>
          <w:lang w:val="zh-CN"/>
        </w:rPr>
      </w:pPr>
      <w:r>
        <w:rPr>
          <w:rFonts w:hint="eastAsia" w:ascii="楷体_GB2312" w:hAnsi="宋体" w:eastAsia="楷体_GB2312" w:cs="Times New Roman"/>
          <w:color w:val="auto"/>
          <w:sz w:val="32"/>
          <w:szCs w:val="32"/>
          <w:highlight w:val="none"/>
          <w:lang w:val="zh-CN"/>
        </w:rPr>
        <w:t>（三）项目自评步骤及方法。</w:t>
      </w:r>
    </w:p>
    <w:p>
      <w:pPr>
        <w:shd w:val="clear"/>
        <w:tabs>
          <w:tab w:val="left" w:pos="2523"/>
        </w:tabs>
        <w:spacing w:line="56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首先由业务科室经办人员、财务人员共同草拟自评报告，分别报分管领导、主要领导审阅后再报送。</w:t>
      </w:r>
    </w:p>
    <w:p>
      <w:pPr>
        <w:shd w:val="clear"/>
        <w:adjustRightInd w:val="0"/>
        <w:snapToGrid w:val="0"/>
        <w:spacing w:line="560" w:lineRule="exact"/>
        <w:ind w:firstLine="640" w:firstLineChars="200"/>
        <w:outlineLvl w:val="1"/>
        <w:rPr>
          <w:rFonts w:ascii="黑体" w:hAnsi="宋体" w:eastAsia="黑体" w:cs="Times New Roman"/>
          <w:color w:val="auto"/>
          <w:sz w:val="32"/>
          <w:szCs w:val="32"/>
          <w:highlight w:val="none"/>
        </w:rPr>
      </w:pPr>
      <w:bookmarkStart w:id="96" w:name="_Toc1845"/>
      <w:bookmarkStart w:id="97" w:name="_Toc23325"/>
      <w:r>
        <w:rPr>
          <w:rFonts w:hint="eastAsia" w:ascii="黑体" w:hAnsi="宋体" w:eastAsia="黑体" w:cs="Times New Roman"/>
          <w:color w:val="auto"/>
          <w:sz w:val="32"/>
          <w:szCs w:val="32"/>
          <w:highlight w:val="none"/>
        </w:rPr>
        <w:t>二、项目资金申报及使用情况</w:t>
      </w:r>
      <w:bookmarkEnd w:id="96"/>
      <w:bookmarkEnd w:id="97"/>
    </w:p>
    <w:p>
      <w:pPr>
        <w:shd w:val="clear"/>
        <w:adjustRightInd w:val="0"/>
        <w:snapToGrid w:val="0"/>
        <w:spacing w:line="560" w:lineRule="exact"/>
        <w:ind w:firstLine="640" w:firstLineChars="200"/>
        <w:rPr>
          <w:rFonts w:ascii="楷体_GB2312" w:hAnsi="宋体" w:eastAsia="楷体_GB2312" w:cs="Times New Roman"/>
          <w:color w:val="auto"/>
          <w:sz w:val="32"/>
          <w:szCs w:val="32"/>
          <w:highlight w:val="none"/>
          <w:lang w:val="zh-CN"/>
        </w:rPr>
      </w:pPr>
      <w:r>
        <w:rPr>
          <w:rFonts w:hint="eastAsia" w:ascii="楷体_GB2312" w:hAnsi="宋体" w:eastAsia="楷体_GB2312" w:cs="Times New Roman"/>
          <w:color w:val="auto"/>
          <w:sz w:val="32"/>
          <w:szCs w:val="32"/>
          <w:highlight w:val="none"/>
          <w:lang w:val="zh-CN"/>
        </w:rPr>
        <w:t>（一）项目资金申报及批复情况。</w:t>
      </w:r>
    </w:p>
    <w:p>
      <w:pPr>
        <w:widowControl w:val="0"/>
        <w:shd w:val="clear"/>
        <w:adjustRightInd w:val="0"/>
        <w:snapToGrid w:val="0"/>
        <w:spacing w:line="560" w:lineRule="exact"/>
        <w:ind w:firstLine="640" w:firstLineChars="200"/>
        <w:jc w:val="both"/>
        <w:rPr>
          <w:rFonts w:ascii="仿宋_GB2312" w:hAnsi="Times New Roman" w:eastAsia="仿宋_GB2312" w:cs="Times New Roman"/>
          <w:color w:val="auto"/>
          <w:kern w:val="0"/>
          <w:sz w:val="32"/>
          <w:szCs w:val="32"/>
          <w:highlight w:val="none"/>
          <w:lang w:val="en-US" w:eastAsia="zh-CN" w:bidi="ar-SA"/>
        </w:rPr>
      </w:pPr>
      <w:r>
        <w:rPr>
          <w:rFonts w:hint="eastAsia" w:ascii="仿宋_GB2312" w:hAnsi="Times New Roman" w:eastAsia="仿宋_GB2312" w:cs="Times New Roman"/>
          <w:color w:val="auto"/>
          <w:kern w:val="2"/>
          <w:sz w:val="32"/>
          <w:szCs w:val="32"/>
          <w:highlight w:val="none"/>
          <w:lang w:val="en-US" w:eastAsia="zh-CN" w:bidi="ar-SA"/>
        </w:rPr>
        <w:t>资金归集科</w:t>
      </w:r>
      <w:r>
        <w:rPr>
          <w:rFonts w:hint="eastAsia" w:ascii="仿宋_GB2312" w:hAnsi="Times New Roman" w:eastAsia="仿宋_GB2312" w:cs="Times New Roman"/>
          <w:color w:val="auto"/>
          <w:kern w:val="0"/>
          <w:sz w:val="32"/>
          <w:szCs w:val="32"/>
          <w:highlight w:val="none"/>
          <w:lang w:val="en-US" w:eastAsia="zh-CN" w:bidi="ar-SA"/>
        </w:rPr>
        <w:t>参考上年费用情况，根据单位年度重点工作安排，分析测算项目资金需求。由办公室汇总项目纳入年度部门预算草案，经中心党组会审议后报财政局纳入市级部门预算编制报批。2022年度申报公积金归集提取专项工作经费预算资金33万元</w:t>
      </w:r>
      <w:r>
        <w:rPr>
          <w:rFonts w:hint="eastAsia" w:ascii="仿宋_GB2312" w:eastAsia="仿宋_GB2312" w:cs="Times New Roman"/>
          <w:color w:val="auto"/>
          <w:kern w:val="0"/>
          <w:sz w:val="32"/>
          <w:szCs w:val="32"/>
          <w:highlight w:val="none"/>
          <w:lang w:val="en-US" w:eastAsia="zh-CN" w:bidi="ar-SA"/>
        </w:rPr>
        <w:t>，</w:t>
      </w:r>
      <w:r>
        <w:rPr>
          <w:rFonts w:hint="eastAsia" w:ascii="仿宋_GB2312" w:hAnsi="Times New Roman" w:eastAsia="仿宋_GB2312" w:cs="Times New Roman"/>
          <w:color w:val="auto"/>
          <w:kern w:val="0"/>
          <w:sz w:val="32"/>
          <w:szCs w:val="32"/>
          <w:highlight w:val="none"/>
          <w:lang w:val="en-US" w:eastAsia="zh-CN" w:bidi="ar-SA"/>
        </w:rPr>
        <w:t>该项目为市本级支付项目，由市财政全额保障。财政批复下达专项资金预算33万元。</w:t>
      </w:r>
    </w:p>
    <w:p>
      <w:pPr>
        <w:shd w:val="clear"/>
        <w:adjustRightInd w:val="0"/>
        <w:snapToGrid w:val="0"/>
        <w:spacing w:line="560" w:lineRule="exact"/>
        <w:ind w:firstLine="640" w:firstLineChars="200"/>
        <w:rPr>
          <w:rFonts w:ascii="仿宋_GB2312" w:hAnsi="宋体" w:eastAsia="仿宋_GB2312" w:cs="Times New Roman"/>
          <w:color w:val="auto"/>
          <w:sz w:val="32"/>
          <w:szCs w:val="32"/>
          <w:highlight w:val="none"/>
          <w:lang w:val="zh-CN"/>
        </w:rPr>
      </w:pPr>
      <w:r>
        <w:rPr>
          <w:rFonts w:hint="eastAsia" w:ascii="楷体_GB2312" w:hAnsi="宋体" w:eastAsia="楷体_GB2312" w:cs="Times New Roman"/>
          <w:color w:val="auto"/>
          <w:sz w:val="32"/>
          <w:szCs w:val="32"/>
          <w:highlight w:val="none"/>
          <w:lang w:val="zh-CN"/>
        </w:rPr>
        <w:t>（二）资金计划、到位及使用情况。</w:t>
      </w:r>
    </w:p>
    <w:p>
      <w:pPr>
        <w:shd w:val="clear"/>
        <w:adjustRightInd w:val="0"/>
        <w:snapToGrid w:val="0"/>
        <w:spacing w:line="560" w:lineRule="exact"/>
        <w:ind w:firstLine="720"/>
        <w:rPr>
          <w:rFonts w:ascii="仿宋_GB2312" w:hAnsi="宋体" w:eastAsia="仿宋_GB2312" w:cs="Times New Roman"/>
          <w:color w:val="auto"/>
          <w:sz w:val="32"/>
          <w:szCs w:val="32"/>
          <w:highlight w:val="none"/>
        </w:rPr>
      </w:pPr>
      <w:r>
        <w:rPr>
          <w:rFonts w:hint="eastAsia" w:ascii="仿宋_GB2312" w:hAnsi="宋体" w:eastAsia="仿宋_GB2312" w:cs="Times New Roman"/>
          <w:color w:val="auto"/>
          <w:sz w:val="32"/>
          <w:szCs w:val="32"/>
          <w:highlight w:val="none"/>
          <w:lang w:val="zh-CN"/>
        </w:rPr>
        <w:t>1．资金计划及到位。</w:t>
      </w:r>
      <w:r>
        <w:rPr>
          <w:rFonts w:hint="eastAsia" w:ascii="仿宋_GB2312" w:hAnsi="宋体" w:eastAsia="仿宋_GB2312" w:cs="Times New Roman"/>
          <w:color w:val="auto"/>
          <w:sz w:val="32"/>
          <w:szCs w:val="32"/>
          <w:highlight w:val="none"/>
        </w:rPr>
        <w:t>公积金归集提取专项工作经费33万元随同部门预算一同下达，资金全部拨付到位。</w:t>
      </w:r>
    </w:p>
    <w:p>
      <w:pPr>
        <w:shd w:val="clear"/>
        <w:adjustRightInd w:val="0"/>
        <w:snapToGrid w:val="0"/>
        <w:spacing w:line="560" w:lineRule="exact"/>
        <w:ind w:firstLine="720"/>
        <w:rPr>
          <w:rFonts w:ascii="仿宋_GB2312" w:hAnsi="宋体" w:eastAsia="仿宋_GB2312" w:cs="Times New Roman"/>
          <w:color w:val="auto"/>
          <w:sz w:val="32"/>
          <w:szCs w:val="32"/>
          <w:highlight w:val="none"/>
          <w:lang w:val="zh-CN"/>
        </w:rPr>
      </w:pPr>
      <w:r>
        <w:rPr>
          <w:rFonts w:hint="eastAsia" w:ascii="仿宋_GB2312" w:hAnsi="宋体" w:eastAsia="仿宋_GB2312" w:cs="Times New Roman"/>
          <w:color w:val="auto"/>
          <w:sz w:val="32"/>
          <w:szCs w:val="32"/>
          <w:highlight w:val="none"/>
          <w:lang w:val="zh-CN"/>
        </w:rPr>
        <w:t>2．资金使用。实际支付</w:t>
      </w:r>
      <w:r>
        <w:rPr>
          <w:rFonts w:hint="eastAsia" w:ascii="仿宋_GB2312" w:hAnsi="宋体" w:eastAsia="仿宋_GB2312" w:cs="Times New Roman"/>
          <w:color w:val="auto"/>
          <w:sz w:val="32"/>
          <w:szCs w:val="32"/>
          <w:highlight w:val="none"/>
        </w:rPr>
        <w:t>29.33万元，支付完成率88.88%</w:t>
      </w:r>
      <w:r>
        <w:rPr>
          <w:rFonts w:hint="eastAsia" w:ascii="仿宋_GB2312" w:hAnsi="宋体" w:eastAsia="仿宋_GB2312" w:cs="Times New Roman"/>
          <w:color w:val="auto"/>
          <w:sz w:val="32"/>
          <w:szCs w:val="32"/>
          <w:highlight w:val="none"/>
          <w:lang w:val="zh-CN"/>
        </w:rPr>
        <w:t>经费严格按照机关出台的各项管理办法支付，依据合规合法。资金支付与预算相符。</w:t>
      </w:r>
    </w:p>
    <w:p>
      <w:pPr>
        <w:shd w:val="clear"/>
        <w:adjustRightInd w:val="0"/>
        <w:snapToGrid w:val="0"/>
        <w:spacing w:line="560" w:lineRule="exact"/>
        <w:ind w:firstLine="640" w:firstLineChars="200"/>
        <w:rPr>
          <w:rFonts w:ascii="楷体_GB2312" w:hAnsi="宋体" w:eastAsia="楷体_GB2312" w:cs="Times New Roman"/>
          <w:color w:val="auto"/>
          <w:sz w:val="32"/>
          <w:szCs w:val="32"/>
          <w:highlight w:val="none"/>
          <w:lang w:val="zh-CN"/>
        </w:rPr>
      </w:pPr>
      <w:r>
        <w:rPr>
          <w:rFonts w:hint="eastAsia" w:ascii="楷体_GB2312" w:hAnsi="宋体" w:eastAsia="楷体_GB2312" w:cs="Times New Roman"/>
          <w:color w:val="auto"/>
          <w:sz w:val="32"/>
          <w:szCs w:val="32"/>
          <w:highlight w:val="none"/>
          <w:lang w:val="zh-CN"/>
        </w:rPr>
        <w:t>（三）项目财务管理情况。</w:t>
      </w:r>
    </w:p>
    <w:p>
      <w:pPr>
        <w:shd w:val="clear"/>
        <w:adjustRightInd w:val="0"/>
        <w:snapToGrid w:val="0"/>
        <w:spacing w:line="560" w:lineRule="exact"/>
        <w:ind w:firstLine="720"/>
        <w:rPr>
          <w:rFonts w:ascii="仿宋_GB2312" w:hAnsi="宋体" w:eastAsia="仿宋_GB2312" w:cs="Times New Roman"/>
          <w:color w:val="auto"/>
          <w:sz w:val="32"/>
          <w:szCs w:val="32"/>
          <w:highlight w:val="none"/>
          <w:lang w:val="zh-CN"/>
        </w:rPr>
      </w:pPr>
      <w:r>
        <w:rPr>
          <w:rFonts w:hint="eastAsia" w:ascii="仿宋_GB2312" w:hAnsi="宋体" w:eastAsia="仿宋_GB2312" w:cs="Times New Roman"/>
          <w:color w:val="auto"/>
          <w:sz w:val="32"/>
          <w:szCs w:val="32"/>
          <w:highlight w:val="none"/>
          <w:lang w:val="zh-CN"/>
        </w:rPr>
        <w:t>单位目标任务的制定与国家政策法规、部门职责、部门中长期规划相符。</w:t>
      </w:r>
      <w:r>
        <w:rPr>
          <w:rFonts w:hint="eastAsia" w:ascii="仿宋_GB2312" w:hAnsi="仿宋_GB2312" w:eastAsia="仿宋_GB2312" w:cs="仿宋_GB2312"/>
          <w:color w:val="auto"/>
          <w:sz w:val="32"/>
          <w:szCs w:val="32"/>
          <w:highlight w:val="none"/>
        </w:rPr>
        <w:t>公积金归集提取专项工作经费</w:t>
      </w:r>
      <w:r>
        <w:rPr>
          <w:rFonts w:hint="eastAsia" w:ascii="仿宋_GB2312" w:hAnsi="宋体" w:eastAsia="仿宋_GB2312" w:cs="Times New Roman"/>
          <w:color w:val="auto"/>
          <w:sz w:val="32"/>
          <w:szCs w:val="32"/>
          <w:highlight w:val="none"/>
        </w:rPr>
        <w:t>纳入单位财务集中统一管理，严格按照本单位制定的财务管理制度要求执行，做到先有预算后有支出，并结合全年工作任务及时办理相关的经费支出，提升项目资金使用的制度化、规范化、程序化要求，财务处理及时规范，会计核算准确无误。</w:t>
      </w:r>
    </w:p>
    <w:p>
      <w:pPr>
        <w:shd w:val="clear"/>
        <w:adjustRightInd w:val="0"/>
        <w:snapToGrid w:val="0"/>
        <w:spacing w:line="560" w:lineRule="exact"/>
        <w:ind w:firstLine="640" w:firstLineChars="200"/>
        <w:outlineLvl w:val="1"/>
        <w:rPr>
          <w:rFonts w:ascii="黑体" w:hAnsi="宋体" w:eastAsia="黑体" w:cs="Times New Roman"/>
          <w:color w:val="auto"/>
          <w:sz w:val="32"/>
          <w:szCs w:val="32"/>
          <w:highlight w:val="none"/>
        </w:rPr>
      </w:pPr>
      <w:bookmarkStart w:id="98" w:name="_Toc16932"/>
      <w:bookmarkStart w:id="99" w:name="_Toc28052"/>
      <w:r>
        <w:rPr>
          <w:rFonts w:hint="eastAsia" w:ascii="黑体" w:hAnsi="宋体" w:eastAsia="黑体" w:cs="Times New Roman"/>
          <w:color w:val="auto"/>
          <w:sz w:val="32"/>
          <w:szCs w:val="32"/>
          <w:highlight w:val="none"/>
        </w:rPr>
        <w:t>三、项目实施及管理情况</w:t>
      </w:r>
      <w:bookmarkEnd w:id="98"/>
      <w:bookmarkEnd w:id="99"/>
    </w:p>
    <w:p>
      <w:pPr>
        <w:numPr>
          <w:ilvl w:val="0"/>
          <w:numId w:val="8"/>
        </w:numPr>
        <w:shd w:val="clear"/>
        <w:adjustRightInd w:val="0"/>
        <w:snapToGrid w:val="0"/>
        <w:spacing w:line="560" w:lineRule="exact"/>
        <w:ind w:firstLine="640" w:firstLineChars="200"/>
        <w:rPr>
          <w:rFonts w:ascii="楷体_GB2312" w:hAnsi="宋体" w:eastAsia="楷体_GB2312" w:cs="Times New Roman"/>
          <w:color w:val="auto"/>
          <w:sz w:val="32"/>
          <w:szCs w:val="32"/>
          <w:highlight w:val="none"/>
          <w:lang w:val="zh-CN"/>
        </w:rPr>
      </w:pPr>
      <w:r>
        <w:rPr>
          <w:rFonts w:hint="eastAsia" w:ascii="楷体_GB2312" w:hAnsi="宋体" w:eastAsia="楷体_GB2312" w:cs="Times New Roman"/>
          <w:color w:val="auto"/>
          <w:sz w:val="32"/>
          <w:szCs w:val="32"/>
          <w:highlight w:val="none"/>
          <w:lang w:val="zh-CN"/>
        </w:rPr>
        <w:t>项目组织架构及实施流程。</w:t>
      </w:r>
    </w:p>
    <w:p>
      <w:pPr>
        <w:widowControl w:val="0"/>
        <w:shd w:val="clear"/>
        <w:adjustRightInd w:val="0"/>
        <w:snapToGrid w:val="0"/>
        <w:spacing w:line="560" w:lineRule="exact"/>
        <w:ind w:firstLine="720"/>
        <w:jc w:val="both"/>
        <w:rPr>
          <w:rFonts w:ascii="Times New Roman" w:hAnsi="Times New Roman" w:eastAsia="仿宋_GB2312" w:cs="Times New Roman"/>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为提高预算使用效率，公积金归集提取专项工作经费使用实施计划，建立资金统计台账，从而确保工作开展取得实效。</w:t>
      </w:r>
      <w:r>
        <w:rPr>
          <w:rFonts w:hint="eastAsia" w:ascii="仿宋_GB2312" w:hAnsi="宋体" w:eastAsia="仿宋_GB2312" w:cs="Times New Roman"/>
          <w:color w:val="auto"/>
          <w:kern w:val="2"/>
          <w:sz w:val="32"/>
          <w:szCs w:val="32"/>
          <w:highlight w:val="none"/>
          <w:lang w:val="zh-CN" w:eastAsia="zh-CN" w:bidi="ar-SA"/>
        </w:rPr>
        <w:t>项目组织实施严格执行财务管理制度，及时进行账务处理，规范进行会计核算。</w:t>
      </w:r>
    </w:p>
    <w:p>
      <w:pPr>
        <w:shd w:val="clear"/>
        <w:adjustRightInd w:val="0"/>
        <w:snapToGrid w:val="0"/>
        <w:spacing w:line="560" w:lineRule="exact"/>
        <w:ind w:firstLine="640" w:firstLineChars="200"/>
        <w:rPr>
          <w:rFonts w:ascii="仿宋_GB2312" w:hAnsi="仿宋_GB2312" w:eastAsia="仿宋_GB2312" w:cs="仿宋_GB2312"/>
          <w:color w:val="auto"/>
          <w:kern w:val="0"/>
          <w:sz w:val="32"/>
          <w:szCs w:val="32"/>
          <w:highlight w:val="none"/>
          <w:shd w:val="clear" w:color="auto" w:fill="FFFFFF"/>
          <w:lang w:val="zh-CN"/>
        </w:rPr>
      </w:pPr>
      <w:r>
        <w:rPr>
          <w:rFonts w:hint="eastAsia" w:ascii="楷体_GB2312" w:hAnsi="宋体" w:eastAsia="楷体_GB2312" w:cs="Times New Roman"/>
          <w:color w:val="auto"/>
          <w:sz w:val="32"/>
          <w:szCs w:val="32"/>
          <w:highlight w:val="none"/>
          <w:lang w:val="zh-CN"/>
        </w:rPr>
        <w:t>（二）项目管理情况。</w:t>
      </w:r>
      <w:r>
        <w:rPr>
          <w:rFonts w:hint="eastAsia" w:ascii="仿宋_GB2312" w:hAnsi="仿宋_GB2312" w:eastAsia="仿宋_GB2312" w:cs="仿宋_GB2312"/>
          <w:color w:val="auto"/>
          <w:sz w:val="32"/>
          <w:szCs w:val="32"/>
          <w:highlight w:val="none"/>
        </w:rPr>
        <w:t>2022年公积金归集提取专项工作经费</w:t>
      </w:r>
      <w:r>
        <w:rPr>
          <w:rFonts w:hint="eastAsia" w:ascii="仿宋_GB2312" w:hAnsi="仿宋_GB2312" w:eastAsia="仿宋_GB2312" w:cs="仿宋_GB2312"/>
          <w:color w:val="auto"/>
          <w:kern w:val="0"/>
          <w:sz w:val="32"/>
          <w:szCs w:val="32"/>
          <w:highlight w:val="none"/>
          <w:shd w:val="clear" w:color="auto" w:fill="FFFFFF"/>
          <w:lang w:val="zh-CN"/>
        </w:rPr>
        <w:t>项目相关管理制度机制健全完善，在项目执行过程中，无管理制度有悖于实际的情况，无存在难以操作、无法落地、执行不畅的等情况。</w:t>
      </w:r>
    </w:p>
    <w:p>
      <w:pPr>
        <w:widowControl/>
        <w:shd w:val="clear"/>
        <w:spacing w:line="560" w:lineRule="exact"/>
        <w:ind w:firstLine="640" w:firstLineChars="200"/>
        <w:jc w:val="left"/>
        <w:rPr>
          <w:rFonts w:ascii="仿宋_GB2312" w:hAnsi="仿宋_GB2312" w:eastAsia="仿宋_GB2312" w:cs="仿宋_GB2312"/>
          <w:color w:val="auto"/>
          <w:sz w:val="32"/>
          <w:szCs w:val="32"/>
          <w:highlight w:val="none"/>
        </w:rPr>
      </w:pPr>
      <w:r>
        <w:rPr>
          <w:rFonts w:hint="eastAsia" w:ascii="楷体_GB2312" w:hAnsi="宋体" w:eastAsia="楷体_GB2312" w:cs="Times New Roman"/>
          <w:color w:val="auto"/>
          <w:sz w:val="32"/>
          <w:szCs w:val="32"/>
          <w:highlight w:val="none"/>
          <w:lang w:val="zh-CN"/>
        </w:rPr>
        <w:t>（三）项目监管情况。</w:t>
      </w:r>
      <w:r>
        <w:rPr>
          <w:rFonts w:hint="eastAsia" w:ascii="仿宋_GB2312" w:hAnsi="仿宋_GB2312" w:eastAsia="仿宋_GB2312" w:cs="仿宋_GB2312"/>
          <w:color w:val="auto"/>
          <w:kern w:val="0"/>
          <w:sz w:val="32"/>
          <w:szCs w:val="32"/>
          <w:highlight w:val="none"/>
          <w:shd w:val="clear" w:color="auto" w:fill="FFFFFF"/>
        </w:rPr>
        <w:t>每月通报预算执行进度，适时进行预算绩效监控，召开专题会议，研究项目推进，督促项目加快实施，有力保障财政资金的使用效益，确保绩效目标如期保质保量实现。</w:t>
      </w:r>
    </w:p>
    <w:p>
      <w:pPr>
        <w:shd w:val="clear"/>
        <w:adjustRightInd w:val="0"/>
        <w:snapToGrid w:val="0"/>
        <w:spacing w:line="560" w:lineRule="exact"/>
        <w:ind w:firstLine="640" w:firstLineChars="200"/>
        <w:outlineLvl w:val="1"/>
        <w:rPr>
          <w:rFonts w:ascii="仿宋_GB2312" w:hAnsi="宋体" w:eastAsia="仿宋_GB2312" w:cs="Times New Roman"/>
          <w:color w:val="auto"/>
          <w:sz w:val="32"/>
          <w:szCs w:val="32"/>
          <w:highlight w:val="none"/>
          <w:lang w:val="zh-CN"/>
        </w:rPr>
      </w:pPr>
      <w:bookmarkStart w:id="100" w:name="_Toc26612"/>
      <w:bookmarkStart w:id="101" w:name="_Toc32615"/>
      <w:r>
        <w:rPr>
          <w:rFonts w:hint="eastAsia" w:ascii="黑体" w:hAnsi="宋体" w:eastAsia="黑体" w:cs="Times New Roman"/>
          <w:color w:val="auto"/>
          <w:sz w:val="32"/>
          <w:szCs w:val="32"/>
          <w:highlight w:val="none"/>
        </w:rPr>
        <w:t>四、项目绩效情况</w:t>
      </w:r>
      <w:bookmarkEnd w:id="100"/>
      <w:bookmarkEnd w:id="101"/>
      <w:r>
        <w:rPr>
          <w:rFonts w:hint="eastAsia" w:ascii="仿宋_GB2312" w:hAnsi="宋体" w:eastAsia="仿宋_GB2312" w:cs="Times New Roman"/>
          <w:color w:val="auto"/>
          <w:sz w:val="32"/>
          <w:szCs w:val="32"/>
          <w:highlight w:val="none"/>
          <w:lang w:val="zh-CN"/>
        </w:rPr>
        <w:tab/>
      </w:r>
    </w:p>
    <w:p>
      <w:pPr>
        <w:shd w:val="clear"/>
        <w:adjustRightInd w:val="0"/>
        <w:snapToGrid w:val="0"/>
        <w:spacing w:line="560" w:lineRule="exact"/>
        <w:ind w:firstLine="640" w:firstLineChars="200"/>
        <w:rPr>
          <w:rFonts w:ascii="楷体_GB2312" w:hAnsi="宋体" w:eastAsia="楷体_GB2312" w:cs="Times New Roman"/>
          <w:color w:val="auto"/>
          <w:sz w:val="32"/>
          <w:szCs w:val="32"/>
          <w:highlight w:val="none"/>
          <w:lang w:val="zh-CN"/>
        </w:rPr>
      </w:pPr>
      <w:r>
        <w:rPr>
          <w:rFonts w:hint="eastAsia" w:ascii="楷体_GB2312" w:hAnsi="宋体" w:eastAsia="楷体_GB2312" w:cs="Times New Roman"/>
          <w:color w:val="auto"/>
          <w:sz w:val="32"/>
          <w:szCs w:val="32"/>
          <w:highlight w:val="none"/>
          <w:lang w:val="zh-CN"/>
        </w:rPr>
        <w:t>（一）项目完成情况。</w:t>
      </w:r>
    </w:p>
    <w:p>
      <w:pPr>
        <w:widowControl w:val="0"/>
        <w:shd w:val="clear"/>
        <w:adjustRightInd w:val="0"/>
        <w:snapToGrid w:val="0"/>
        <w:spacing w:line="560" w:lineRule="exact"/>
        <w:ind w:firstLine="640" w:firstLineChars="200"/>
        <w:jc w:val="both"/>
        <w:rPr>
          <w:rFonts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2022年公积金归集提取专项工作经费29</w:t>
      </w:r>
      <w:r>
        <w:rPr>
          <w:rFonts w:ascii="仿宋_GB2312" w:hAnsi="仿宋_GB2312" w:eastAsia="仿宋_GB2312" w:cs="仿宋_GB2312"/>
          <w:color w:val="auto"/>
          <w:kern w:val="2"/>
          <w:sz w:val="32"/>
          <w:szCs w:val="32"/>
          <w:highlight w:val="none"/>
          <w:lang w:val="en-US" w:eastAsia="zh-CN" w:bidi="ar-SA"/>
        </w:rPr>
        <w:t>.33</w:t>
      </w:r>
      <w:r>
        <w:rPr>
          <w:rFonts w:hint="eastAsia" w:ascii="仿宋_GB2312" w:hAnsi="仿宋_GB2312" w:eastAsia="仿宋_GB2312" w:cs="仿宋_GB2312"/>
          <w:color w:val="auto"/>
          <w:kern w:val="2"/>
          <w:sz w:val="32"/>
          <w:szCs w:val="32"/>
          <w:highlight w:val="none"/>
          <w:lang w:val="en-US" w:eastAsia="zh-CN" w:bidi="ar-SA"/>
        </w:rPr>
        <w:t>万元，完成率88.88%。项目严格按照规定完成了目标任务，项目实施效果达到预期目标，资金使用安全有效。</w:t>
      </w:r>
    </w:p>
    <w:p>
      <w:pPr>
        <w:shd w:val="clear"/>
        <w:adjustRightInd w:val="0"/>
        <w:snapToGrid w:val="0"/>
        <w:spacing w:line="560" w:lineRule="exact"/>
        <w:ind w:firstLine="640" w:firstLineChars="200"/>
        <w:rPr>
          <w:rFonts w:ascii="楷体_GB2312" w:hAnsi="宋体" w:eastAsia="楷体_GB2312" w:cs="Times New Roman"/>
          <w:color w:val="auto"/>
          <w:sz w:val="32"/>
          <w:szCs w:val="32"/>
          <w:highlight w:val="none"/>
          <w:lang w:val="zh-CN"/>
        </w:rPr>
      </w:pPr>
      <w:r>
        <w:rPr>
          <w:rFonts w:hint="eastAsia" w:ascii="楷体_GB2312" w:hAnsi="宋体" w:eastAsia="楷体_GB2312" w:cs="Times New Roman"/>
          <w:color w:val="auto"/>
          <w:sz w:val="32"/>
          <w:szCs w:val="32"/>
          <w:highlight w:val="none"/>
          <w:lang w:val="zh-CN"/>
        </w:rPr>
        <w:t>（二）项目效益情况。</w:t>
      </w:r>
    </w:p>
    <w:p>
      <w:pPr>
        <w:widowControl w:val="0"/>
        <w:shd w:val="clear"/>
        <w:spacing w:after="120" w:line="560" w:lineRule="exact"/>
        <w:ind w:left="0" w:leftChars="0" w:firstLine="640" w:firstLineChars="200"/>
        <w:jc w:val="both"/>
        <w:rPr>
          <w:rFonts w:ascii="仿宋_GB2312" w:hAnsi="宋体" w:eastAsia="仿宋_GB2312" w:cs="Times New Roman"/>
          <w:color w:val="auto"/>
          <w:kern w:val="2"/>
          <w:sz w:val="32"/>
          <w:szCs w:val="32"/>
          <w:highlight w:val="none"/>
          <w:lang w:val="en-US" w:eastAsia="zh-CN" w:bidi="ar-SA"/>
        </w:rPr>
      </w:pPr>
      <w:r>
        <w:rPr>
          <w:rFonts w:hint="eastAsia" w:ascii="仿宋_GB2312" w:hAnsi="宋体" w:eastAsia="仿宋_GB2312" w:cs="Times New Roman"/>
          <w:color w:val="auto"/>
          <w:kern w:val="2"/>
          <w:sz w:val="32"/>
          <w:szCs w:val="32"/>
          <w:highlight w:val="none"/>
          <w:lang w:val="en-US" w:eastAsia="zh-CN" w:bidi="ar-SA"/>
        </w:rPr>
        <w:t>1.在经济效益方面归集额所产生的增值收益为当地政府财政作出贡献。</w:t>
      </w:r>
      <w:r>
        <w:rPr>
          <w:rFonts w:hint="eastAsia" w:ascii="仿宋_GB2312" w:hAnsi="仿宋_GB2312" w:eastAsia="仿宋_GB2312" w:cs="仿宋_GB2312"/>
          <w:color w:val="auto"/>
          <w:kern w:val="2"/>
          <w:sz w:val="32"/>
          <w:szCs w:val="32"/>
          <w:highlight w:val="none"/>
          <w:lang w:val="en-US" w:eastAsia="zh-CN" w:bidi="ar-SA"/>
        </w:rPr>
        <w:t>2022年，全市归集住房公积金</w:t>
      </w:r>
      <w:r>
        <w:rPr>
          <w:rFonts w:ascii="仿宋_GB2312" w:hAnsi="仿宋_GB2312" w:eastAsia="仿宋_GB2312" w:cs="仿宋_GB2312"/>
          <w:color w:val="auto"/>
          <w:kern w:val="2"/>
          <w:sz w:val="32"/>
          <w:szCs w:val="32"/>
          <w:highlight w:val="none"/>
          <w:lang w:val="en-US" w:eastAsia="zh-CN" w:bidi="ar-SA"/>
        </w:rPr>
        <w:t>30.66</w:t>
      </w:r>
      <w:r>
        <w:rPr>
          <w:rFonts w:hint="eastAsia" w:ascii="仿宋_GB2312" w:hAnsi="仿宋_GB2312" w:eastAsia="仿宋_GB2312" w:cs="仿宋_GB2312"/>
          <w:color w:val="auto"/>
          <w:kern w:val="2"/>
          <w:sz w:val="32"/>
          <w:szCs w:val="32"/>
          <w:highlight w:val="none"/>
          <w:lang w:val="en-US" w:eastAsia="zh-CN" w:bidi="ar-SA"/>
        </w:rPr>
        <w:t>亿元，同比增长</w:t>
      </w:r>
      <w:r>
        <w:rPr>
          <w:rFonts w:ascii="仿宋_GB2312" w:hAnsi="仿宋_GB2312" w:eastAsia="仿宋_GB2312" w:cs="仿宋_GB2312"/>
          <w:color w:val="auto"/>
          <w:kern w:val="2"/>
          <w:sz w:val="32"/>
          <w:szCs w:val="32"/>
          <w:highlight w:val="none"/>
          <w:lang w:val="en-US" w:eastAsia="zh-CN" w:bidi="ar-SA"/>
        </w:rPr>
        <w:t>7.13</w:t>
      </w:r>
      <w:r>
        <w:rPr>
          <w:rFonts w:hint="eastAsia" w:ascii="仿宋_GB2312" w:hAnsi="仿宋_GB2312" w:eastAsia="仿宋_GB2312" w:cs="仿宋_GB2312"/>
          <w:color w:val="auto"/>
          <w:kern w:val="2"/>
          <w:sz w:val="32"/>
          <w:szCs w:val="32"/>
          <w:highlight w:val="none"/>
          <w:lang w:val="en-US" w:eastAsia="zh-CN" w:bidi="ar-SA"/>
        </w:rPr>
        <w:t>%，完成市政府下达的年度目标任务的</w:t>
      </w:r>
      <w:r>
        <w:rPr>
          <w:rFonts w:ascii="仿宋_GB2312" w:hAnsi="仿宋_GB2312" w:eastAsia="仿宋_GB2312" w:cs="仿宋_GB2312"/>
          <w:color w:val="auto"/>
          <w:kern w:val="2"/>
          <w:sz w:val="32"/>
          <w:szCs w:val="32"/>
          <w:highlight w:val="none"/>
          <w:lang w:val="en-US" w:eastAsia="zh-CN" w:bidi="ar-SA"/>
        </w:rPr>
        <w:t>122.64</w:t>
      </w:r>
      <w:r>
        <w:rPr>
          <w:rFonts w:hint="eastAsia" w:ascii="仿宋_GB2312" w:hAnsi="仿宋_GB2312" w:eastAsia="仿宋_GB2312" w:cs="仿宋_GB2312"/>
          <w:color w:val="auto"/>
          <w:kern w:val="2"/>
          <w:sz w:val="32"/>
          <w:szCs w:val="32"/>
          <w:highlight w:val="none"/>
          <w:lang w:val="en-US" w:eastAsia="zh-CN" w:bidi="ar-SA"/>
        </w:rPr>
        <w:t>%，归集总额达到22</w:t>
      </w:r>
      <w:r>
        <w:rPr>
          <w:rFonts w:ascii="仿宋_GB2312" w:hAnsi="仿宋_GB2312" w:eastAsia="仿宋_GB2312" w:cs="仿宋_GB2312"/>
          <w:color w:val="auto"/>
          <w:kern w:val="2"/>
          <w:sz w:val="32"/>
          <w:szCs w:val="32"/>
          <w:highlight w:val="none"/>
          <w:lang w:val="en-US" w:eastAsia="zh-CN" w:bidi="ar-SA"/>
        </w:rPr>
        <w:t>8.55</w:t>
      </w:r>
      <w:r>
        <w:rPr>
          <w:rFonts w:hint="eastAsia" w:ascii="仿宋_GB2312" w:hAnsi="仿宋_GB2312" w:eastAsia="仿宋_GB2312" w:cs="仿宋_GB2312"/>
          <w:color w:val="auto"/>
          <w:kern w:val="2"/>
          <w:sz w:val="32"/>
          <w:szCs w:val="32"/>
          <w:highlight w:val="none"/>
          <w:lang w:val="en-US" w:eastAsia="zh-CN" w:bidi="ar-SA"/>
        </w:rPr>
        <w:t>亿元；提取住房公积金19.</w:t>
      </w:r>
      <w:r>
        <w:rPr>
          <w:rFonts w:ascii="仿宋_GB2312" w:hAnsi="仿宋_GB2312" w:eastAsia="仿宋_GB2312" w:cs="仿宋_GB2312"/>
          <w:color w:val="auto"/>
          <w:kern w:val="2"/>
          <w:sz w:val="32"/>
          <w:szCs w:val="32"/>
          <w:highlight w:val="none"/>
          <w:lang w:val="en-US" w:eastAsia="zh-CN" w:bidi="ar-SA"/>
        </w:rPr>
        <w:t>79</w:t>
      </w:r>
      <w:r>
        <w:rPr>
          <w:rFonts w:hint="eastAsia" w:ascii="仿宋_GB2312" w:hAnsi="仿宋_GB2312" w:eastAsia="仿宋_GB2312" w:cs="仿宋_GB2312"/>
          <w:color w:val="auto"/>
          <w:kern w:val="2"/>
          <w:sz w:val="32"/>
          <w:szCs w:val="32"/>
          <w:highlight w:val="none"/>
          <w:lang w:val="en-US" w:eastAsia="zh-CN" w:bidi="ar-SA"/>
        </w:rPr>
        <w:t>亿元，同比增长</w:t>
      </w:r>
      <w:r>
        <w:rPr>
          <w:rFonts w:ascii="仿宋_GB2312" w:hAnsi="仿宋_GB2312" w:eastAsia="仿宋_GB2312" w:cs="仿宋_GB2312"/>
          <w:color w:val="auto"/>
          <w:kern w:val="2"/>
          <w:sz w:val="32"/>
          <w:szCs w:val="32"/>
          <w:highlight w:val="none"/>
          <w:lang w:val="en-US" w:eastAsia="zh-CN" w:bidi="ar-SA"/>
        </w:rPr>
        <w:t>19.79</w:t>
      </w:r>
      <w:r>
        <w:rPr>
          <w:rFonts w:hint="eastAsia" w:ascii="仿宋_GB2312" w:hAnsi="仿宋_GB2312" w:eastAsia="仿宋_GB2312" w:cs="仿宋_GB2312"/>
          <w:color w:val="auto"/>
          <w:kern w:val="2"/>
          <w:sz w:val="32"/>
          <w:szCs w:val="32"/>
          <w:highlight w:val="none"/>
          <w:lang w:val="en-US" w:eastAsia="zh-CN" w:bidi="ar-SA"/>
        </w:rPr>
        <w:t>%，完成市政府下达的年度目标任务的1</w:t>
      </w:r>
      <w:r>
        <w:rPr>
          <w:rFonts w:ascii="仿宋_GB2312" w:hAnsi="仿宋_GB2312" w:eastAsia="仿宋_GB2312" w:cs="仿宋_GB2312"/>
          <w:color w:val="auto"/>
          <w:kern w:val="2"/>
          <w:sz w:val="32"/>
          <w:szCs w:val="32"/>
          <w:highlight w:val="none"/>
          <w:lang w:val="en-US" w:eastAsia="zh-CN" w:bidi="ar-SA"/>
        </w:rPr>
        <w:t>41.36</w:t>
      </w:r>
      <w:r>
        <w:rPr>
          <w:rFonts w:hint="eastAsia" w:ascii="仿宋_GB2312" w:hAnsi="仿宋_GB2312" w:eastAsia="仿宋_GB2312" w:cs="仿宋_GB2312"/>
          <w:color w:val="auto"/>
          <w:kern w:val="2"/>
          <w:sz w:val="32"/>
          <w:szCs w:val="32"/>
          <w:highlight w:val="none"/>
          <w:lang w:val="en-US" w:eastAsia="zh-CN" w:bidi="ar-SA"/>
        </w:rPr>
        <w:t>%，提取总额达到</w:t>
      </w:r>
      <w:r>
        <w:rPr>
          <w:rFonts w:ascii="仿宋_GB2312" w:hAnsi="仿宋_GB2312" w:eastAsia="仿宋_GB2312" w:cs="仿宋_GB2312"/>
          <w:color w:val="auto"/>
          <w:kern w:val="2"/>
          <w:sz w:val="32"/>
          <w:szCs w:val="32"/>
          <w:highlight w:val="none"/>
          <w:lang w:val="en-US" w:eastAsia="zh-CN" w:bidi="ar-SA"/>
        </w:rPr>
        <w:t>109.23</w:t>
      </w:r>
      <w:r>
        <w:rPr>
          <w:rFonts w:hint="eastAsia" w:ascii="仿宋_GB2312" w:hAnsi="仿宋_GB2312" w:eastAsia="仿宋_GB2312" w:cs="仿宋_GB2312"/>
          <w:color w:val="auto"/>
          <w:kern w:val="2"/>
          <w:sz w:val="32"/>
          <w:szCs w:val="32"/>
          <w:highlight w:val="none"/>
          <w:lang w:val="en-US" w:eastAsia="zh-CN" w:bidi="ar-SA"/>
        </w:rPr>
        <w:t>亿元。</w:t>
      </w:r>
    </w:p>
    <w:p>
      <w:pPr>
        <w:widowControl w:val="0"/>
        <w:shd w:val="clear"/>
        <w:spacing w:line="560" w:lineRule="exact"/>
        <w:ind w:firstLine="640" w:firstLineChars="200"/>
        <w:jc w:val="both"/>
        <w:rPr>
          <w:rFonts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2.在社会效益方面归集扩面让公积金惠民政策覆盖面更广。通过开展“五进”活动，不断提高住房公积金制度的社会影响力和普及率。2022年，全市新增缴存单位220家缴存职工3755人，新增缴存额11371</w:t>
      </w:r>
      <w:r>
        <w:rPr>
          <w:rFonts w:ascii="仿宋_GB2312" w:hAnsi="仿宋_GB2312" w:eastAsia="仿宋_GB2312" w:cs="仿宋_GB2312"/>
          <w:color w:val="auto"/>
          <w:kern w:val="2"/>
          <w:sz w:val="32"/>
          <w:szCs w:val="32"/>
          <w:highlight w:val="none"/>
          <w:lang w:val="en-US" w:eastAsia="zh-CN" w:bidi="ar-SA"/>
        </w:rPr>
        <w:t>.</w:t>
      </w:r>
      <w:r>
        <w:rPr>
          <w:rFonts w:hint="eastAsia" w:ascii="仿宋_GB2312" w:hAnsi="仿宋_GB2312" w:eastAsia="仿宋_GB2312" w:cs="仿宋_GB2312"/>
          <w:color w:val="auto"/>
          <w:kern w:val="2"/>
          <w:sz w:val="32"/>
          <w:szCs w:val="32"/>
          <w:highlight w:val="none"/>
          <w:lang w:val="en-US" w:eastAsia="zh-CN" w:bidi="ar-SA"/>
        </w:rPr>
        <w:t>94万元。社区建制又取得突破。</w:t>
      </w:r>
      <w:r>
        <w:rPr>
          <w:rFonts w:hint="eastAsia" w:ascii="仿宋_GB2312" w:hAnsi="仿宋_GB2312" w:eastAsia="仿宋_GB2312" w:cs="仿宋_GB2312"/>
          <w:bCs/>
          <w:color w:val="auto"/>
          <w:kern w:val="0"/>
          <w:sz w:val="32"/>
          <w:szCs w:val="32"/>
          <w:highlight w:val="none"/>
          <w:lang w:val="en-US" w:eastAsia="zh-CN" w:bidi="ar-SA"/>
        </w:rPr>
        <w:t>截至2022年末，在地方党委政府和各级部门的大力配合下，全市7个县区已有4个县区实现125个社区637名社区专职工作者公积金建制，体现了各级党委政府对基层工作者的关心关爱，进一步完善该群体职业保障体系。</w:t>
      </w:r>
    </w:p>
    <w:p>
      <w:pPr>
        <w:widowControl w:val="0"/>
        <w:shd w:val="clear"/>
        <w:spacing w:after="120" w:line="560" w:lineRule="exact"/>
        <w:ind w:left="0" w:leftChars="0" w:firstLine="640" w:firstLineChars="200"/>
        <w:jc w:val="both"/>
        <w:rPr>
          <w:rFonts w:ascii="仿宋_GB2312" w:hAnsi="宋体" w:eastAsia="仿宋_GB2312" w:cs="Times New Roman"/>
          <w:b/>
          <w:color w:val="auto"/>
          <w:kern w:val="2"/>
          <w:sz w:val="32"/>
          <w:szCs w:val="32"/>
          <w:highlight w:val="none"/>
          <w:lang w:val="zh-CN" w:eastAsia="zh-CN" w:bidi="ar-SA"/>
        </w:rPr>
      </w:pPr>
      <w:r>
        <w:rPr>
          <w:rFonts w:hint="eastAsia" w:ascii="仿宋_GB2312" w:hAnsi="宋体" w:eastAsia="仿宋_GB2312" w:cs="Times New Roman"/>
          <w:color w:val="auto"/>
          <w:kern w:val="2"/>
          <w:sz w:val="32"/>
          <w:szCs w:val="32"/>
          <w:highlight w:val="none"/>
          <w:lang w:val="en-US" w:eastAsia="zh-CN" w:bidi="ar-SA"/>
        </w:rPr>
        <w:t>3.可持续性效益方面新增归集额将每年稳定并持续增长，增值收益也逐年增加。提取公积金用于偿还住房公积金贷款本息，有力保障了公积金资金安全和贷款回收，也解决诸多社会矛盾和民生问题。</w:t>
      </w:r>
    </w:p>
    <w:p>
      <w:pPr>
        <w:shd w:val="clear"/>
        <w:adjustRightInd w:val="0"/>
        <w:snapToGrid w:val="0"/>
        <w:spacing w:line="560" w:lineRule="exact"/>
        <w:ind w:firstLine="640" w:firstLineChars="200"/>
        <w:outlineLvl w:val="1"/>
        <w:rPr>
          <w:rFonts w:ascii="黑体" w:hAnsi="宋体" w:eastAsia="黑体" w:cs="Times New Roman"/>
          <w:color w:val="auto"/>
          <w:sz w:val="32"/>
          <w:szCs w:val="32"/>
          <w:highlight w:val="none"/>
        </w:rPr>
      </w:pPr>
      <w:bookmarkStart w:id="102" w:name="_Toc28044"/>
      <w:bookmarkStart w:id="103" w:name="_Toc21959"/>
      <w:r>
        <w:rPr>
          <w:rFonts w:hint="eastAsia" w:ascii="黑体" w:hAnsi="宋体" w:eastAsia="黑体" w:cs="Times New Roman"/>
          <w:color w:val="auto"/>
          <w:sz w:val="32"/>
          <w:szCs w:val="32"/>
          <w:highlight w:val="none"/>
        </w:rPr>
        <w:t>五、评价结论及建议</w:t>
      </w:r>
      <w:bookmarkEnd w:id="102"/>
      <w:bookmarkEnd w:id="103"/>
    </w:p>
    <w:p>
      <w:pPr>
        <w:shd w:val="clear"/>
        <w:adjustRightInd w:val="0"/>
        <w:snapToGrid w:val="0"/>
        <w:spacing w:line="560" w:lineRule="exact"/>
        <w:ind w:firstLine="640" w:firstLineChars="200"/>
        <w:rPr>
          <w:rFonts w:ascii="楷体_GB2312" w:hAnsi="宋体" w:eastAsia="楷体_GB2312" w:cs="Times New Roman"/>
          <w:color w:val="auto"/>
          <w:sz w:val="32"/>
          <w:szCs w:val="32"/>
          <w:highlight w:val="none"/>
          <w:lang w:val="zh-CN"/>
        </w:rPr>
      </w:pPr>
      <w:r>
        <w:rPr>
          <w:rFonts w:hint="eastAsia" w:ascii="楷体_GB2312" w:hAnsi="宋体" w:eastAsia="楷体_GB2312" w:cs="Times New Roman"/>
          <w:color w:val="auto"/>
          <w:sz w:val="32"/>
          <w:szCs w:val="32"/>
          <w:highlight w:val="none"/>
          <w:lang w:val="zh-CN"/>
        </w:rPr>
        <w:t>（一）评价结论。</w:t>
      </w:r>
    </w:p>
    <w:p>
      <w:pPr>
        <w:shd w:val="clear"/>
        <w:adjustRightInd w:val="0"/>
        <w:snapToGrid w:val="0"/>
        <w:spacing w:line="560" w:lineRule="exact"/>
        <w:ind w:firstLine="640" w:firstLineChars="200"/>
        <w:rPr>
          <w:rFonts w:ascii="仿宋_GB2312" w:hAnsi="仿宋_GB2312" w:eastAsia="仿宋_GB2312" w:cs="仿宋_GB2312"/>
          <w:color w:val="auto"/>
          <w:kern w:val="0"/>
          <w:sz w:val="32"/>
          <w:szCs w:val="32"/>
          <w:highlight w:val="none"/>
          <w:shd w:val="clear" w:color="auto" w:fill="FFFFFF"/>
        </w:rPr>
      </w:pPr>
      <w:r>
        <w:rPr>
          <w:rFonts w:hint="eastAsia" w:ascii="仿宋_GB2312" w:hAnsi="仿宋_GB2312" w:eastAsia="仿宋_GB2312" w:cs="仿宋_GB2312"/>
          <w:color w:val="auto"/>
          <w:kern w:val="0"/>
          <w:sz w:val="32"/>
          <w:szCs w:val="32"/>
          <w:highlight w:val="none"/>
          <w:shd w:val="clear" w:color="auto" w:fill="FFFFFF"/>
          <w:lang w:val="zh-CN"/>
        </w:rPr>
        <w:t>2022年公积金归集提取专项工作经费目标任务完成情况良好，归集、提取任务均圆满完成，根据预算项目支出绩效评价指标体系指标最终自评得分9</w:t>
      </w:r>
      <w:r>
        <w:rPr>
          <w:rFonts w:hint="eastAsia" w:ascii="仿宋_GB2312" w:hAnsi="仿宋_GB2312" w:eastAsia="仿宋_GB2312" w:cs="仿宋_GB2312"/>
          <w:color w:val="auto"/>
          <w:kern w:val="0"/>
          <w:sz w:val="32"/>
          <w:szCs w:val="32"/>
          <w:highlight w:val="none"/>
          <w:shd w:val="clear" w:color="auto" w:fill="FFFFFF"/>
        </w:rPr>
        <w:t>2</w:t>
      </w:r>
      <w:r>
        <w:rPr>
          <w:rFonts w:hint="eastAsia" w:ascii="仿宋_GB2312" w:hAnsi="仿宋_GB2312" w:eastAsia="仿宋_GB2312" w:cs="仿宋_GB2312"/>
          <w:color w:val="auto"/>
          <w:kern w:val="0"/>
          <w:sz w:val="32"/>
          <w:szCs w:val="32"/>
          <w:highlight w:val="none"/>
          <w:shd w:val="clear" w:color="auto" w:fill="FFFFFF"/>
          <w:lang w:val="zh-CN"/>
        </w:rPr>
        <w:t>分。</w:t>
      </w:r>
      <w:r>
        <w:rPr>
          <w:rFonts w:hint="eastAsia" w:ascii="仿宋_GB2312" w:hAnsi="仿宋_GB2312" w:eastAsia="仿宋_GB2312" w:cs="仿宋_GB2312"/>
          <w:color w:val="auto"/>
          <w:kern w:val="0"/>
          <w:sz w:val="32"/>
          <w:szCs w:val="32"/>
          <w:highlight w:val="none"/>
          <w:shd w:val="clear" w:color="auto" w:fill="FFFFFF"/>
        </w:rPr>
        <w:t xml:space="preserve">    </w:t>
      </w:r>
    </w:p>
    <w:p>
      <w:pPr>
        <w:shd w:val="clear"/>
        <w:adjustRightInd w:val="0"/>
        <w:snapToGrid w:val="0"/>
        <w:spacing w:line="560" w:lineRule="exact"/>
        <w:ind w:firstLine="640" w:firstLineChars="200"/>
        <w:rPr>
          <w:rFonts w:ascii="楷体_GB2312" w:hAnsi="宋体" w:eastAsia="楷体_GB2312" w:cs="Times New Roman"/>
          <w:color w:val="auto"/>
          <w:sz w:val="32"/>
          <w:szCs w:val="32"/>
          <w:highlight w:val="none"/>
          <w:lang w:val="zh-CN"/>
        </w:rPr>
      </w:pPr>
      <w:r>
        <w:rPr>
          <w:rFonts w:hint="eastAsia" w:ascii="楷体_GB2312" w:hAnsi="宋体" w:eastAsia="楷体_GB2312" w:cs="Times New Roman"/>
          <w:color w:val="auto"/>
          <w:sz w:val="32"/>
          <w:szCs w:val="32"/>
          <w:highlight w:val="none"/>
          <w:lang w:val="zh-CN"/>
        </w:rPr>
        <w:t>（二）存在的问题。</w:t>
      </w:r>
    </w:p>
    <w:p>
      <w:pPr>
        <w:pBdr>
          <w:bottom w:val="single" w:color="FFFFFF" w:sz="4" w:space="29"/>
        </w:pBdr>
        <w:shd w:val="clear"/>
        <w:tabs>
          <w:tab w:val="left" w:pos="1440"/>
        </w:tabs>
        <w:spacing w:line="560" w:lineRule="exact"/>
        <w:ind w:firstLine="627" w:firstLineChars="196"/>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政策宣传普及度不够。</w:t>
      </w:r>
    </w:p>
    <w:p>
      <w:pPr>
        <w:pBdr>
          <w:bottom w:val="single" w:color="FFFFFF" w:sz="4" w:space="29"/>
        </w:pBdr>
        <w:shd w:val="clear"/>
        <w:tabs>
          <w:tab w:val="left" w:pos="1440"/>
        </w:tabs>
        <w:spacing w:line="560" w:lineRule="exact"/>
        <w:ind w:firstLine="627" w:firstLineChars="196"/>
        <w:rPr>
          <w:rFonts w:ascii="楷体_GB2312" w:hAnsi="宋体" w:eastAsia="楷体_GB2312" w:cs="Times New Roman"/>
          <w:color w:val="auto"/>
          <w:sz w:val="32"/>
          <w:szCs w:val="32"/>
          <w:highlight w:val="none"/>
          <w:lang w:val="zh-CN"/>
        </w:rPr>
      </w:pPr>
      <w:r>
        <w:rPr>
          <w:rFonts w:hint="eastAsia" w:ascii="楷体_GB2312" w:hAnsi="宋体" w:eastAsia="楷体_GB2312" w:cs="Times New Roman"/>
          <w:color w:val="auto"/>
          <w:sz w:val="32"/>
          <w:szCs w:val="32"/>
          <w:highlight w:val="none"/>
          <w:lang w:val="zh-CN"/>
        </w:rPr>
        <w:t>（三）相关建议。</w:t>
      </w:r>
    </w:p>
    <w:p>
      <w:pPr>
        <w:pBdr>
          <w:bottom w:val="single" w:color="FFFFFF" w:sz="4" w:space="29"/>
        </w:pBdr>
        <w:shd w:val="clear"/>
        <w:tabs>
          <w:tab w:val="left" w:pos="1440"/>
        </w:tabs>
        <w:spacing w:line="560" w:lineRule="exact"/>
        <w:ind w:firstLine="627" w:firstLineChars="196"/>
        <w:rPr>
          <w:rFonts w:ascii="仿宋_GB2312" w:hAnsi="仿宋_GB2312" w:eastAsia="仿宋_GB2312" w:cs="仿宋_GB2312"/>
          <w:bCs/>
          <w:color w:val="auto"/>
          <w:kern w:val="0"/>
          <w:sz w:val="32"/>
          <w:szCs w:val="32"/>
          <w:highlight w:val="none"/>
        </w:rPr>
      </w:pPr>
      <w:r>
        <w:rPr>
          <w:rFonts w:hint="eastAsia" w:ascii="仿宋_GB2312" w:hAnsi="仿宋_GB2312" w:eastAsia="仿宋_GB2312" w:cs="仿宋_GB2312"/>
          <w:bCs/>
          <w:color w:val="auto"/>
          <w:kern w:val="0"/>
          <w:sz w:val="32"/>
          <w:szCs w:val="32"/>
          <w:highlight w:val="none"/>
        </w:rPr>
        <w:t>持续有序跟进与各级组织、财政、民政等部门沟通对接，力争实现我市社区专职工作者建立公积金制度全覆盖。</w:t>
      </w:r>
    </w:p>
    <w:p>
      <w:pPr>
        <w:pBdr>
          <w:bottom w:val="single" w:color="FFFFFF" w:sz="4" w:space="29"/>
        </w:pBdr>
        <w:shd w:val="clear"/>
        <w:tabs>
          <w:tab w:val="left" w:pos="1440"/>
        </w:tabs>
        <w:spacing w:line="560" w:lineRule="exact"/>
        <w:ind w:firstLine="627" w:firstLineChars="196"/>
        <w:rPr>
          <w:rFonts w:hint="eastAsia" w:ascii="仿宋_GB2312" w:hAnsi="仿宋_GB2312" w:eastAsia="仿宋_GB2312" w:cs="仿宋_GB2312"/>
          <w:bCs/>
          <w:color w:val="auto"/>
          <w:kern w:val="0"/>
          <w:sz w:val="32"/>
          <w:szCs w:val="32"/>
          <w:highlight w:val="none"/>
        </w:rPr>
        <w:sectPr>
          <w:footerReference r:id="rId15" w:type="first"/>
          <w:footerReference r:id="rId14" w:type="default"/>
          <w:pgSz w:w="11906" w:h="16838"/>
          <w:pgMar w:top="2098" w:right="1474" w:bottom="1984" w:left="1587" w:header="851" w:footer="992" w:gutter="0"/>
          <w:pgNumType w:fmt="decimal"/>
          <w:cols w:space="425" w:num="1"/>
          <w:docGrid w:type="lines" w:linePitch="312" w:charSpace="0"/>
        </w:sectPr>
      </w:pPr>
      <w:r>
        <w:rPr>
          <w:rFonts w:hint="eastAsia" w:ascii="仿宋_GB2312" w:hAnsi="仿宋_GB2312" w:eastAsia="仿宋_GB2312" w:cs="仿宋_GB2312"/>
          <w:bCs/>
          <w:color w:val="auto"/>
          <w:kern w:val="0"/>
          <w:sz w:val="32"/>
          <w:szCs w:val="32"/>
          <w:highlight w:val="none"/>
        </w:rPr>
        <w:t>加强对外宣传，持续</w:t>
      </w:r>
      <w:r>
        <w:rPr>
          <w:rFonts w:ascii="仿宋_GB2312" w:hAnsi="仿宋_GB2312" w:eastAsia="仿宋_GB2312" w:cs="仿宋_GB2312"/>
          <w:bCs/>
          <w:color w:val="auto"/>
          <w:kern w:val="0"/>
          <w:sz w:val="32"/>
          <w:szCs w:val="32"/>
          <w:highlight w:val="none"/>
        </w:rPr>
        <w:t>扩大住房公积金</w:t>
      </w:r>
      <w:r>
        <w:rPr>
          <w:rFonts w:hint="eastAsia" w:ascii="仿宋_GB2312" w:hAnsi="仿宋_GB2312" w:eastAsia="仿宋_GB2312" w:cs="仿宋_GB2312"/>
          <w:bCs/>
          <w:color w:val="auto"/>
          <w:kern w:val="0"/>
          <w:sz w:val="32"/>
          <w:szCs w:val="32"/>
          <w:highlight w:val="none"/>
        </w:rPr>
        <w:t>制度</w:t>
      </w:r>
      <w:r>
        <w:rPr>
          <w:rFonts w:ascii="仿宋_GB2312" w:hAnsi="仿宋_GB2312" w:eastAsia="仿宋_GB2312" w:cs="仿宋_GB2312"/>
          <w:bCs/>
          <w:color w:val="auto"/>
          <w:kern w:val="0"/>
          <w:sz w:val="32"/>
          <w:szCs w:val="32"/>
          <w:highlight w:val="none"/>
        </w:rPr>
        <w:t>覆盖面</w:t>
      </w:r>
      <w:r>
        <w:rPr>
          <w:rFonts w:hint="eastAsia" w:ascii="仿宋_GB2312" w:hAnsi="仿宋_GB2312" w:eastAsia="仿宋_GB2312" w:cs="仿宋_GB2312"/>
          <w:bCs/>
          <w:color w:val="auto"/>
          <w:kern w:val="0"/>
          <w:sz w:val="32"/>
          <w:szCs w:val="32"/>
          <w:highlight w:val="none"/>
        </w:rPr>
        <w:t>，助力优化营商环境，不断推动公积金工作高质量发展，助力地方经济发展。</w:t>
      </w:r>
    </w:p>
    <w:tbl>
      <w:tblPr>
        <w:tblStyle w:val="17"/>
        <w:tblW w:w="13039"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88"/>
        <w:gridCol w:w="1326"/>
        <w:gridCol w:w="1050"/>
        <w:gridCol w:w="1381"/>
        <w:gridCol w:w="1957"/>
        <w:gridCol w:w="971"/>
        <w:gridCol w:w="779"/>
        <w:gridCol w:w="756"/>
        <w:gridCol w:w="889"/>
        <w:gridCol w:w="26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13039" w:type="dxa"/>
            <w:gridSpan w:val="10"/>
            <w:tcBorders>
              <w:top w:val="nil"/>
              <w:left w:val="nil"/>
              <w:bottom w:val="nil"/>
              <w:right w:val="nil"/>
            </w:tcBorders>
            <w:shd w:val="clear" w:color="auto" w:fill="auto"/>
            <w:vAlign w:val="center"/>
          </w:tcPr>
          <w:p>
            <w:pPr>
              <w:keepNext w:val="0"/>
              <w:keepLines w:val="0"/>
              <w:widowControl/>
              <w:suppressLineNumbers w:val="0"/>
              <w:shd w:val="clear"/>
              <w:jc w:val="left"/>
              <w:textAlignment w:val="center"/>
              <w:rPr>
                <w:rFonts w:hint="eastAsia" w:ascii="黑体" w:hAnsi="黑体" w:eastAsia="黑体" w:cs="黑体"/>
                <w:i w:val="0"/>
                <w:color w:val="auto"/>
                <w:kern w:val="0"/>
                <w:sz w:val="32"/>
                <w:szCs w:val="32"/>
                <w:highlight w:val="none"/>
                <w:u w:val="none"/>
                <w:lang w:val="en-US" w:eastAsia="zh-CN" w:bidi="ar"/>
              </w:rPr>
            </w:pPr>
            <w:r>
              <w:rPr>
                <w:rFonts w:hint="eastAsia" w:ascii="黑体" w:hAnsi="黑体" w:eastAsia="黑体" w:cs="黑体"/>
                <w:i w:val="0"/>
                <w:color w:val="auto"/>
                <w:kern w:val="0"/>
                <w:sz w:val="32"/>
                <w:szCs w:val="32"/>
                <w:highlight w:val="none"/>
                <w:u w:val="none"/>
                <w:lang w:val="en-US" w:eastAsia="zh-CN" w:bidi="ar"/>
              </w:rPr>
              <w:t>附表2：</w:t>
            </w:r>
          </w:p>
          <w:p>
            <w:pPr>
              <w:keepNext w:val="0"/>
              <w:keepLines w:val="0"/>
              <w:widowControl/>
              <w:suppressLineNumbers w:val="0"/>
              <w:shd w:val="clear"/>
              <w:jc w:val="center"/>
              <w:textAlignment w:val="center"/>
              <w:rPr>
                <w:rFonts w:ascii="方正小标宋简体" w:hAnsi="方正小标宋简体" w:eastAsia="方正小标宋简体" w:cs="方正小标宋简体"/>
                <w:i w:val="0"/>
                <w:color w:val="auto"/>
                <w:sz w:val="44"/>
                <w:szCs w:val="44"/>
                <w:highlight w:val="none"/>
                <w:u w:val="none"/>
              </w:rPr>
            </w:pPr>
            <w:r>
              <w:rPr>
                <w:rFonts w:hint="eastAsia" w:ascii="方正小标宋简体" w:hAnsi="方正小标宋简体" w:eastAsia="方正小标宋简体" w:cs="方正小标宋简体"/>
                <w:i w:val="0"/>
                <w:color w:val="auto"/>
                <w:kern w:val="0"/>
                <w:sz w:val="44"/>
                <w:szCs w:val="44"/>
                <w:highlight w:val="none"/>
                <w:u w:val="none"/>
                <w:lang w:val="en-US" w:eastAsia="zh-CN" w:bidi="ar"/>
              </w:rPr>
              <w:t>部门预算、专项资金预算项目支出绩效目标自评表（2022年度）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6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项目名称</w:t>
            </w:r>
          </w:p>
        </w:tc>
        <w:tc>
          <w:tcPr>
            <w:tcW w:w="1042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公积金归集提取专项工作经费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26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主管部门（盖章）</w:t>
            </w:r>
          </w:p>
        </w:tc>
        <w:tc>
          <w:tcPr>
            <w:tcW w:w="43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广元市住房公积金管理中心</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实施单位 （盖章）</w:t>
            </w:r>
          </w:p>
        </w:tc>
        <w:tc>
          <w:tcPr>
            <w:tcW w:w="506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广元市住房公积金管理中心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2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项目基本情况</w:t>
            </w:r>
          </w:p>
        </w:tc>
        <w:tc>
          <w:tcPr>
            <w:tcW w:w="13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1.项目年度目标完成情况</w:t>
            </w:r>
          </w:p>
        </w:tc>
        <w:tc>
          <w:tcPr>
            <w:tcW w:w="43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项目年度目标</w:t>
            </w:r>
          </w:p>
        </w:tc>
        <w:tc>
          <w:tcPr>
            <w:tcW w:w="603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2" w:hRule="atLeast"/>
        </w:trPr>
        <w:tc>
          <w:tcPr>
            <w:tcW w:w="12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b/>
                <w:i w:val="0"/>
                <w:color w:val="auto"/>
                <w:sz w:val="18"/>
                <w:szCs w:val="18"/>
                <w:highlight w:val="none"/>
                <w:u w:val="none"/>
              </w:rPr>
            </w:pPr>
          </w:p>
        </w:tc>
        <w:tc>
          <w:tcPr>
            <w:tcW w:w="13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b/>
                <w:i w:val="0"/>
                <w:color w:val="auto"/>
                <w:sz w:val="18"/>
                <w:szCs w:val="18"/>
                <w:highlight w:val="none"/>
                <w:u w:val="none"/>
              </w:rPr>
            </w:pPr>
          </w:p>
        </w:tc>
        <w:tc>
          <w:tcPr>
            <w:tcW w:w="43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完成下达的归集、提取目标任务；加快推进政务服务“跨省通办”川渝通办”工作；打造川内最优营商环境；加强归集缴存单位公积金专管员政策及业务培训；加强归集和提取岗从业人员对政策及业务操作的培训指导。规范业务凭证管理。</w:t>
            </w:r>
          </w:p>
        </w:tc>
        <w:tc>
          <w:tcPr>
            <w:tcW w:w="603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2022年公积金归集提取专项工作经费绩效目标任务完成情况良好，归集提取任务均圆满完成。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2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b/>
                <w:i w:val="0"/>
                <w:color w:val="auto"/>
                <w:sz w:val="18"/>
                <w:szCs w:val="18"/>
                <w:highlight w:val="none"/>
                <w:u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2.项目实施内容及过程概述</w:t>
            </w:r>
          </w:p>
        </w:tc>
        <w:tc>
          <w:tcPr>
            <w:tcW w:w="1042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全年顺利开展业务培训；“跨省通办”、“川渝通办”业务洽谈，交流合作；适时进行催缴工作监控，综合服务和公积金归集提取系统维护；积极开展业务宣传，宣传指导、规范业务凭证管理等工作。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2" w:hRule="atLeast"/>
        </w:trPr>
        <w:tc>
          <w:tcPr>
            <w:tcW w:w="12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预算执行情况（10分）</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年度预算数（万元）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年初预算</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调整后预算数</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预算执行数</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预算执行率</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权重%</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部门自评得分</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财政部门科室复评得分</w:t>
            </w:r>
          </w:p>
        </w:tc>
        <w:tc>
          <w:tcPr>
            <w:tcW w:w="2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总额</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33万元</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29.33万元</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88.88%</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因受疫情影响，归集提取业务开展受限。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其中：财政资金</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33万元</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29.33万元</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财政专户管理资金</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tbl>
    <w:p>
      <w:pPr>
        <w:shd w:val="clear"/>
        <w:jc w:val="center"/>
        <w:rPr>
          <w:rFonts w:hint="eastAsia" w:ascii="宋体" w:hAnsi="宋体" w:eastAsia="宋体" w:cs="宋体"/>
          <w:b/>
          <w:i w:val="0"/>
          <w:color w:val="auto"/>
          <w:sz w:val="18"/>
          <w:szCs w:val="18"/>
          <w:highlight w:val="none"/>
          <w:u w:val="none"/>
        </w:rPr>
        <w:sectPr>
          <w:footerReference r:id="rId17" w:type="first"/>
          <w:footerReference r:id="rId16" w:type="default"/>
          <w:pgSz w:w="16838" w:h="11906" w:orient="landscape"/>
          <w:pgMar w:top="1587" w:right="2098" w:bottom="1474" w:left="1984" w:header="851" w:footer="992" w:gutter="0"/>
          <w:pgNumType w:fmt="decimal"/>
          <w:cols w:space="425" w:num="1"/>
          <w:titlePg/>
          <w:docGrid w:type="lines" w:linePitch="312" w:charSpace="0"/>
        </w:sectPr>
      </w:pPr>
    </w:p>
    <w:tbl>
      <w:tblPr>
        <w:tblStyle w:val="17"/>
        <w:tblW w:w="13039"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88"/>
        <w:gridCol w:w="1326"/>
        <w:gridCol w:w="1050"/>
        <w:gridCol w:w="1381"/>
        <w:gridCol w:w="478"/>
        <w:gridCol w:w="1001"/>
        <w:gridCol w:w="478"/>
        <w:gridCol w:w="971"/>
        <w:gridCol w:w="779"/>
        <w:gridCol w:w="756"/>
        <w:gridCol w:w="889"/>
        <w:gridCol w:w="26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88" w:type="dxa"/>
            <w:vMerge w:val="restart"/>
            <w:tcBorders>
              <w:top w:val="single" w:color="000000" w:sz="4" w:space="0"/>
              <w:left w:val="single" w:color="000000" w:sz="4" w:space="0"/>
              <w:right w:val="single" w:color="000000" w:sz="4" w:space="0"/>
            </w:tcBorders>
            <w:shd w:val="clear" w:color="auto" w:fill="auto"/>
            <w:vAlign w:val="center"/>
          </w:tcPr>
          <w:p>
            <w:pPr>
              <w:pStyle w:val="2"/>
              <w:shd w:val="clear"/>
              <w:rPr>
                <w:rFonts w:hint="eastAsia"/>
                <w:color w:val="auto"/>
                <w:highlight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单位资金</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9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42" w:type="dxa"/>
            <w:vMerge w:val="restart"/>
            <w:tcBorders>
              <w:top w:val="single" w:color="000000" w:sz="4" w:space="0"/>
              <w:left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其他资金</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6"/>
                <w:szCs w:val="16"/>
                <w:highlight w:val="none"/>
                <w:u w:val="none"/>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6"/>
                <w:szCs w:val="16"/>
                <w:highlight w:val="none"/>
                <w:u w:val="none"/>
              </w:rPr>
            </w:pPr>
          </w:p>
        </w:tc>
        <w:tc>
          <w:tcPr>
            <w:tcW w:w="19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6"/>
                <w:szCs w:val="16"/>
                <w:highlight w:val="none"/>
                <w:u w:val="none"/>
              </w:rPr>
            </w:pP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6"/>
                <w:szCs w:val="16"/>
                <w:highlight w:val="none"/>
                <w:u w:val="none"/>
              </w:rPr>
            </w:pP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绩效指标（90分）</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一级指标</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二级指标</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三级指标</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指标性质</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指标值</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度量单位</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完成值</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权重</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部门自评得分</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财政部门科室复评得分</w:t>
            </w:r>
          </w:p>
        </w:tc>
        <w:tc>
          <w:tcPr>
            <w:tcW w:w="2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产出指标</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质量指标</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合规办结率</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42"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2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满意度指标</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服务对象满意度指标</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缴存单位满意度</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95</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99</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42"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产出指标</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时效指标</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归集提取到账时间</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24</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小时</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完成</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42"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12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效益指标</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生态效益指标</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窗口集中办理，减少办事成本。减少污染，降低能耗。</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80</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完成</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42"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12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效益指标</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社会效益指标</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服务当地群众，支持改善住房条件、促进住房消费，维护了社会的稳定。</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定性</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好坏</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良好</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42"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效益指标</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可持续影响指标</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项目作用期限</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年</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42"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产出指标</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数量指标</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2022年提取目标</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亿元</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19.79</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42"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0" w:hRule="atLeast"/>
        </w:trPr>
        <w:tc>
          <w:tcPr>
            <w:tcW w:w="12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产出指标</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成本指标</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开展业务培训；“跨省通办”、“川渝通办”业务洽谈，交流合作；催缴工作监控，综合服务等费用。业务办理设备购置、耗费，公积金归集提取系统维护，业务宣传，深入县区、企业、社区宣传指导、规范业务凭证管理大宗印刷等费用。</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21</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万</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17.33</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42"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产出指标</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数量指标</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2022年归集目标</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23</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亿元</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30.66</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42"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效益指标</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经济效益指标</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产生增值收益</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7000</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万</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11100</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42"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797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合计</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93</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c>
          <w:tcPr>
            <w:tcW w:w="2642"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tbl>
    <w:p>
      <w:pPr>
        <w:pStyle w:val="2"/>
        <w:shd w:val="clear"/>
        <w:rPr>
          <w:rFonts w:hint="eastAsia"/>
          <w:color w:val="auto"/>
          <w:highlight w:val="none"/>
        </w:rPr>
      </w:pPr>
    </w:p>
    <w:p>
      <w:pPr>
        <w:shd w:val="clear"/>
        <w:rPr>
          <w:rFonts w:hint="eastAsia" w:ascii="黑体" w:hAnsi="黑体" w:eastAsia="黑体" w:cs="Times New Roman"/>
          <w:color w:val="auto"/>
          <w:sz w:val="32"/>
          <w:szCs w:val="32"/>
          <w:highlight w:val="none"/>
        </w:rPr>
        <w:sectPr>
          <w:footerReference r:id="rId19" w:type="first"/>
          <w:footerReference r:id="rId18" w:type="default"/>
          <w:pgSz w:w="16838" w:h="11906" w:orient="landscape"/>
          <w:pgMar w:top="1587" w:right="2098" w:bottom="1474" w:left="1984" w:header="851" w:footer="992" w:gutter="0"/>
          <w:pgNumType w:fmt="decimal"/>
          <w:cols w:space="425" w:num="1"/>
          <w:docGrid w:type="lines" w:linePitch="312" w:charSpace="0"/>
        </w:sectPr>
      </w:pPr>
    </w:p>
    <w:p>
      <w:pPr>
        <w:shd w:val="clear"/>
        <w:spacing w:line="578" w:lineRule="exact"/>
        <w:outlineLvl w:val="1"/>
        <w:rPr>
          <w:rFonts w:hint="eastAsia" w:ascii="黑体" w:hAnsi="黑体" w:eastAsia="黑体" w:cs="Times New Roman"/>
          <w:color w:val="auto"/>
          <w:sz w:val="32"/>
          <w:szCs w:val="32"/>
          <w:highlight w:val="none"/>
          <w:lang w:eastAsia="zh-CN"/>
        </w:rPr>
      </w:pPr>
      <w:bookmarkStart w:id="104" w:name="_Toc18189"/>
      <w:bookmarkStart w:id="105" w:name="_Toc14493"/>
      <w:r>
        <w:rPr>
          <w:rFonts w:hint="eastAsia" w:ascii="黑体" w:hAnsi="黑体" w:eastAsia="黑体" w:cs="Times New Roman"/>
          <w:color w:val="auto"/>
          <w:sz w:val="32"/>
          <w:szCs w:val="32"/>
          <w:highlight w:val="none"/>
        </w:rPr>
        <w:t>附件</w:t>
      </w:r>
      <w:r>
        <w:rPr>
          <w:rFonts w:hint="eastAsia" w:ascii="黑体" w:hAnsi="黑体" w:eastAsia="黑体" w:cs="Times New Roman"/>
          <w:color w:val="auto"/>
          <w:sz w:val="32"/>
          <w:szCs w:val="32"/>
          <w:highlight w:val="none"/>
          <w:lang w:val="en-US" w:eastAsia="zh-CN"/>
        </w:rPr>
        <w:t>3</w:t>
      </w:r>
      <w:bookmarkEnd w:id="104"/>
      <w:bookmarkEnd w:id="105"/>
    </w:p>
    <w:p>
      <w:pPr>
        <w:widowControl w:val="0"/>
        <w:shd w:val="clear"/>
        <w:spacing w:line="578" w:lineRule="exact"/>
        <w:jc w:val="both"/>
        <w:rPr>
          <w:rFonts w:ascii="方正小标宋简体" w:hAnsi="方正小标宋简体" w:eastAsia="方正小标宋简体" w:cs="方正小标宋简体"/>
          <w:color w:val="auto"/>
          <w:kern w:val="2"/>
          <w:sz w:val="44"/>
          <w:szCs w:val="44"/>
          <w:highlight w:val="none"/>
          <w:lang w:val="en-US" w:eastAsia="zh-CN" w:bidi="ar-SA"/>
        </w:rPr>
      </w:pPr>
    </w:p>
    <w:p>
      <w:pPr>
        <w:widowControl w:val="0"/>
        <w:shd w:val="clear"/>
        <w:spacing w:line="0" w:lineRule="atLeast"/>
        <w:jc w:val="center"/>
        <w:rPr>
          <w:rFonts w:ascii="方正小标宋简体" w:hAnsi="方正小标宋简体" w:eastAsia="方正小标宋简体" w:cs="方正小标宋简体"/>
          <w:color w:val="auto"/>
          <w:kern w:val="2"/>
          <w:sz w:val="44"/>
          <w:szCs w:val="44"/>
          <w:highlight w:val="none"/>
          <w:lang w:val="en-US" w:eastAsia="zh-CN" w:bidi="ar-SA"/>
        </w:rPr>
      </w:pPr>
      <w:r>
        <w:rPr>
          <w:rFonts w:hint="eastAsia" w:ascii="方正小标宋简体" w:hAnsi="方正小标宋简体" w:eastAsia="方正小标宋简体" w:cs="方正小标宋简体"/>
          <w:color w:val="auto"/>
          <w:kern w:val="2"/>
          <w:sz w:val="44"/>
          <w:szCs w:val="44"/>
          <w:highlight w:val="none"/>
          <w:lang w:val="en-US" w:eastAsia="zh-CN" w:bidi="ar-SA"/>
        </w:rPr>
        <w:t>2023年市级专项预算项目支出绩效自评报告</w:t>
      </w:r>
    </w:p>
    <w:p>
      <w:pPr>
        <w:widowControl w:val="0"/>
        <w:shd w:val="clear"/>
        <w:spacing w:line="0" w:lineRule="atLeast"/>
        <w:jc w:val="center"/>
        <w:rPr>
          <w:rFonts w:ascii="楷体_GB2312" w:hAnsi="楷体_GB2312" w:eastAsia="楷体_GB2312" w:cs="楷体_GB2312"/>
          <w:color w:val="auto"/>
          <w:kern w:val="2"/>
          <w:sz w:val="32"/>
          <w:szCs w:val="32"/>
          <w:highlight w:val="none"/>
          <w:lang w:val="zh-CN" w:eastAsia="zh-CN" w:bidi="ar-SA"/>
        </w:rPr>
      </w:pPr>
      <w:r>
        <w:rPr>
          <w:rFonts w:hint="eastAsia" w:ascii="楷体_GB2312" w:hAnsi="楷体_GB2312" w:eastAsia="楷体_GB2312" w:cs="楷体_GB2312"/>
          <w:color w:val="auto"/>
          <w:kern w:val="2"/>
          <w:sz w:val="32"/>
          <w:szCs w:val="32"/>
          <w:highlight w:val="none"/>
          <w:lang w:val="zh-CN" w:eastAsia="zh-CN" w:bidi="ar-SA"/>
        </w:rPr>
        <w:t>（公积金会计及风控业务专项工作经费）</w:t>
      </w:r>
    </w:p>
    <w:p>
      <w:pPr>
        <w:widowControl w:val="0"/>
        <w:shd w:val="clear"/>
        <w:spacing w:line="560" w:lineRule="exact"/>
        <w:jc w:val="center"/>
        <w:rPr>
          <w:rFonts w:ascii="宋体" w:hAnsi="宋体" w:eastAsia="宋体" w:cs="Times New Roman"/>
          <w:color w:val="auto"/>
          <w:kern w:val="2"/>
          <w:sz w:val="18"/>
          <w:szCs w:val="18"/>
          <w:highlight w:val="none"/>
          <w:lang w:val="zh-CN" w:eastAsia="zh-CN" w:bidi="ar-SA"/>
        </w:rPr>
      </w:pPr>
    </w:p>
    <w:p>
      <w:pPr>
        <w:shd w:val="clear"/>
        <w:adjustRightInd w:val="0"/>
        <w:snapToGrid w:val="0"/>
        <w:spacing w:line="560" w:lineRule="exact"/>
        <w:ind w:firstLine="640" w:firstLineChars="200"/>
        <w:outlineLvl w:val="1"/>
        <w:rPr>
          <w:rFonts w:ascii="黑体" w:hAnsi="宋体" w:eastAsia="黑体" w:cs="Times New Roman"/>
          <w:color w:val="auto"/>
          <w:sz w:val="32"/>
          <w:szCs w:val="32"/>
          <w:highlight w:val="none"/>
          <w:lang w:val="zh-CN"/>
        </w:rPr>
      </w:pPr>
      <w:bookmarkStart w:id="106" w:name="_Toc27886"/>
      <w:bookmarkStart w:id="107" w:name="_Toc25180"/>
      <w:r>
        <w:rPr>
          <w:rFonts w:hint="eastAsia" w:ascii="黑体" w:hAnsi="宋体" w:eastAsia="黑体" w:cs="Times New Roman"/>
          <w:color w:val="auto"/>
          <w:sz w:val="32"/>
          <w:szCs w:val="32"/>
          <w:highlight w:val="none"/>
        </w:rPr>
        <w:t>一、</w:t>
      </w:r>
      <w:r>
        <w:rPr>
          <w:rFonts w:hint="eastAsia" w:ascii="黑体" w:hAnsi="宋体" w:eastAsia="黑体" w:cs="Times New Roman"/>
          <w:color w:val="auto"/>
          <w:sz w:val="32"/>
          <w:szCs w:val="32"/>
          <w:highlight w:val="none"/>
          <w:lang w:val="zh-CN"/>
        </w:rPr>
        <w:t>项目概况</w:t>
      </w:r>
      <w:bookmarkEnd w:id="106"/>
      <w:bookmarkEnd w:id="107"/>
    </w:p>
    <w:p>
      <w:pPr>
        <w:shd w:val="clear"/>
        <w:spacing w:line="560" w:lineRule="exact"/>
        <w:ind w:firstLine="640" w:firstLineChars="200"/>
        <w:rPr>
          <w:rFonts w:ascii="楷体_GB2312" w:hAnsi="楷体_GB2312" w:eastAsia="楷体_GB2312" w:cs="楷体_GB2312"/>
          <w:color w:val="auto"/>
          <w:sz w:val="32"/>
          <w:szCs w:val="32"/>
          <w:highlight w:val="none"/>
        </w:rPr>
      </w:pPr>
      <w:r>
        <w:rPr>
          <w:rFonts w:hint="eastAsia" w:ascii="楷体_GB2312" w:hAnsi="楷体_GB2312" w:eastAsia="楷体_GB2312" w:cs="楷体_GB2312"/>
          <w:color w:val="auto"/>
          <w:sz w:val="32"/>
          <w:szCs w:val="32"/>
          <w:highlight w:val="none"/>
        </w:rPr>
        <w:t>（一）项目基本情况。</w:t>
      </w:r>
    </w:p>
    <w:p>
      <w:pPr>
        <w:shd w:val="clear"/>
        <w:spacing w:line="560" w:lineRule="exact"/>
        <w:ind w:firstLine="640" w:firstLineChars="200"/>
        <w:rPr>
          <w:rFonts w:ascii="仿宋_GB2312" w:hAnsi="仿宋_GB2312" w:eastAsia="仿宋_GB2312" w:cs="仿宋_GB2312"/>
          <w:bCs/>
          <w:color w:val="auto"/>
          <w:sz w:val="32"/>
          <w:szCs w:val="32"/>
          <w:highlight w:val="none"/>
          <w:lang w:val="zh-CN"/>
        </w:rPr>
      </w:pPr>
      <w:r>
        <w:rPr>
          <w:rFonts w:hint="eastAsia" w:ascii="仿宋_GB2312" w:hAnsi="仿宋_GB2312" w:eastAsia="仿宋_GB2312" w:cs="仿宋_GB2312"/>
          <w:color w:val="auto"/>
          <w:sz w:val="32"/>
          <w:szCs w:val="32"/>
          <w:highlight w:val="none"/>
        </w:rPr>
        <w:t>本项目主要内容是实行全市公积金资金集中核算，安全高效运营公积金资金，保值、增值，稳步提升增值收益，高质高效做好统计运行分析和各类报表的报送工作。</w:t>
      </w:r>
    </w:p>
    <w:p>
      <w:pPr>
        <w:shd w:val="clear"/>
        <w:tabs>
          <w:tab w:val="left" w:pos="2523"/>
        </w:tabs>
        <w:spacing w:line="560" w:lineRule="exact"/>
        <w:ind w:left="720"/>
        <w:rPr>
          <w:rFonts w:ascii="楷体_GB2312" w:hAnsi="楷体_GB2312" w:eastAsia="楷体_GB2312" w:cs="楷体_GB2312"/>
          <w:bCs/>
          <w:color w:val="auto"/>
          <w:sz w:val="32"/>
          <w:szCs w:val="32"/>
          <w:highlight w:val="none"/>
          <w:lang w:val="zh-CN"/>
        </w:rPr>
      </w:pPr>
      <w:r>
        <w:rPr>
          <w:rFonts w:hint="eastAsia" w:ascii="楷体_GB2312" w:hAnsi="楷体_GB2312" w:eastAsia="楷体_GB2312" w:cs="楷体_GB2312"/>
          <w:bCs/>
          <w:color w:val="auto"/>
          <w:sz w:val="32"/>
          <w:szCs w:val="32"/>
          <w:highlight w:val="none"/>
          <w:lang w:val="zh-CN"/>
        </w:rPr>
        <w:t>（二）项目绩效目标。</w:t>
      </w:r>
    </w:p>
    <w:p>
      <w:pPr>
        <w:shd w:val="clear"/>
        <w:tabs>
          <w:tab w:val="left" w:pos="2523"/>
        </w:tabs>
        <w:spacing w:line="56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广元市住房公积金管理中心会计科和稽核科严格按照市委、市政府和中心下达的年度增值收益目标任务要求，2022年各项指标圆满完成，绩效目标和绩效指标全面完整、相匹配、量化可考核。该项目经费与部门长期规划目标和年度工作目标相一致，产出和效果相关联，2022年实现增值收益1.87亿元，上缴财政专项资金1.42亿元，为缴存职工结息1.60亿元。</w:t>
      </w:r>
    </w:p>
    <w:p>
      <w:pPr>
        <w:shd w:val="clear"/>
        <w:adjustRightInd w:val="0"/>
        <w:snapToGrid w:val="0"/>
        <w:spacing w:line="560" w:lineRule="exact"/>
        <w:ind w:firstLine="640" w:firstLineChars="200"/>
        <w:rPr>
          <w:rFonts w:ascii="楷体_GB2312" w:hAnsi="宋体" w:eastAsia="楷体_GB2312" w:cs="Times New Roman"/>
          <w:color w:val="auto"/>
          <w:sz w:val="32"/>
          <w:szCs w:val="32"/>
          <w:highlight w:val="none"/>
          <w:lang w:val="zh-CN"/>
        </w:rPr>
      </w:pPr>
      <w:r>
        <w:rPr>
          <w:rFonts w:hint="eastAsia" w:ascii="楷体_GB2312" w:hAnsi="宋体" w:eastAsia="楷体_GB2312" w:cs="Times New Roman"/>
          <w:color w:val="auto"/>
          <w:sz w:val="32"/>
          <w:szCs w:val="32"/>
          <w:highlight w:val="none"/>
          <w:lang w:val="zh-CN"/>
        </w:rPr>
        <w:t>（三）项目自评步骤及方法。</w:t>
      </w:r>
    </w:p>
    <w:p>
      <w:pPr>
        <w:shd w:val="clear"/>
        <w:tabs>
          <w:tab w:val="left" w:pos="2523"/>
        </w:tabs>
        <w:spacing w:line="56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首先由业务科室经办人员、财务人员共同草拟自评报告，分别报分管领导、主要领导审阅后再报送。</w:t>
      </w:r>
    </w:p>
    <w:p>
      <w:pPr>
        <w:shd w:val="clear"/>
        <w:adjustRightInd w:val="0"/>
        <w:snapToGrid w:val="0"/>
        <w:spacing w:line="560" w:lineRule="exact"/>
        <w:ind w:firstLine="640" w:firstLineChars="200"/>
        <w:outlineLvl w:val="1"/>
        <w:rPr>
          <w:rFonts w:ascii="黑体" w:hAnsi="宋体" w:eastAsia="黑体" w:cs="Times New Roman"/>
          <w:color w:val="auto"/>
          <w:sz w:val="32"/>
          <w:szCs w:val="32"/>
          <w:highlight w:val="none"/>
        </w:rPr>
      </w:pPr>
      <w:bookmarkStart w:id="108" w:name="_Toc19822"/>
      <w:bookmarkStart w:id="109" w:name="_Toc9448"/>
      <w:r>
        <w:rPr>
          <w:rFonts w:hint="eastAsia" w:ascii="黑体" w:hAnsi="宋体" w:eastAsia="黑体" w:cs="Times New Roman"/>
          <w:color w:val="auto"/>
          <w:sz w:val="32"/>
          <w:szCs w:val="32"/>
          <w:highlight w:val="none"/>
        </w:rPr>
        <w:t>二、项目资金申报及使用情况</w:t>
      </w:r>
      <w:bookmarkEnd w:id="108"/>
      <w:bookmarkEnd w:id="109"/>
    </w:p>
    <w:p>
      <w:pPr>
        <w:shd w:val="clear"/>
        <w:adjustRightInd w:val="0"/>
        <w:snapToGrid w:val="0"/>
        <w:spacing w:line="560" w:lineRule="exact"/>
        <w:ind w:firstLine="640" w:firstLineChars="200"/>
        <w:rPr>
          <w:rFonts w:ascii="楷体_GB2312" w:hAnsi="宋体" w:eastAsia="楷体_GB2312" w:cs="Times New Roman"/>
          <w:color w:val="auto"/>
          <w:sz w:val="32"/>
          <w:szCs w:val="32"/>
          <w:highlight w:val="none"/>
          <w:lang w:val="zh-CN"/>
        </w:rPr>
      </w:pPr>
      <w:r>
        <w:rPr>
          <w:rFonts w:hint="eastAsia" w:ascii="楷体_GB2312" w:hAnsi="宋体" w:eastAsia="楷体_GB2312" w:cs="Times New Roman"/>
          <w:color w:val="auto"/>
          <w:sz w:val="32"/>
          <w:szCs w:val="32"/>
          <w:highlight w:val="none"/>
          <w:lang w:val="zh-CN"/>
        </w:rPr>
        <w:t>（一）项目资金申报及批复情况。</w:t>
      </w:r>
    </w:p>
    <w:p>
      <w:pPr>
        <w:widowControl w:val="0"/>
        <w:shd w:val="clear"/>
        <w:adjustRightInd w:val="0"/>
        <w:snapToGrid w:val="0"/>
        <w:spacing w:line="560" w:lineRule="exact"/>
        <w:ind w:firstLine="640" w:firstLineChars="200"/>
        <w:jc w:val="both"/>
        <w:rPr>
          <w:rFonts w:hint="eastAsia" w:ascii="仿宋_GB2312" w:hAnsi="仿宋_GB2312" w:eastAsia="仿宋_GB2312" w:cs="仿宋_GB2312"/>
          <w:color w:val="auto"/>
          <w:kern w:val="2"/>
          <w:sz w:val="32"/>
          <w:szCs w:val="32"/>
          <w:highlight w:val="none"/>
          <w:lang w:val="en-US" w:eastAsia="zh-CN" w:bidi="ar-SA"/>
        </w:rPr>
        <w:sectPr>
          <w:footerReference r:id="rId21" w:type="first"/>
          <w:footerReference r:id="rId20" w:type="default"/>
          <w:pgSz w:w="11906" w:h="16838"/>
          <w:pgMar w:top="2098" w:right="1474" w:bottom="1984" w:left="1587" w:header="851" w:footer="992" w:gutter="0"/>
          <w:pgNumType w:fmt="decimal"/>
          <w:cols w:space="425" w:num="1"/>
          <w:titlePg/>
          <w:docGrid w:type="lines" w:linePitch="312" w:charSpace="0"/>
        </w:sectPr>
      </w:pPr>
    </w:p>
    <w:p>
      <w:pPr>
        <w:widowControl w:val="0"/>
        <w:shd w:val="clear"/>
        <w:adjustRightInd w:val="0"/>
        <w:snapToGrid w:val="0"/>
        <w:spacing w:line="560" w:lineRule="exact"/>
        <w:ind w:firstLine="640" w:firstLineChars="200"/>
        <w:jc w:val="both"/>
        <w:rPr>
          <w:rFonts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该经费</w:t>
      </w:r>
      <w:r>
        <w:rPr>
          <w:rFonts w:hint="eastAsia" w:ascii="仿宋_GB2312" w:hAnsi="仿宋_GB2312" w:eastAsia="仿宋_GB2312" w:cs="仿宋_GB2312"/>
          <w:color w:val="auto"/>
          <w:kern w:val="0"/>
          <w:sz w:val="32"/>
          <w:szCs w:val="32"/>
          <w:highlight w:val="none"/>
          <w:lang w:val="en-US" w:eastAsia="zh-CN" w:bidi="ar-SA"/>
        </w:rPr>
        <w:t>参考上年费用情况，根据会计科和稽核科年度重点工作安排，分析测算项目资金需求。由办公室汇总项目纳入年度部门预算草案，经中心党组会审议后报财政局纳入市级部门预算编制报批。2022年度申报公积金会计及风控业务专项工作经费预算资金30万元，该项目为市本级支付项目，由市财政全额保障。财政批复下达专项资金预算30万元。</w:t>
      </w:r>
    </w:p>
    <w:p>
      <w:pPr>
        <w:shd w:val="clear"/>
        <w:adjustRightInd w:val="0"/>
        <w:snapToGrid w:val="0"/>
        <w:spacing w:line="560" w:lineRule="exact"/>
        <w:ind w:firstLine="640" w:firstLineChars="200"/>
        <w:rPr>
          <w:rFonts w:ascii="仿宋_GB2312" w:hAnsi="宋体" w:eastAsia="仿宋_GB2312" w:cs="Times New Roman"/>
          <w:color w:val="auto"/>
          <w:sz w:val="32"/>
          <w:szCs w:val="32"/>
          <w:highlight w:val="none"/>
          <w:lang w:val="zh-CN"/>
        </w:rPr>
      </w:pPr>
      <w:r>
        <w:rPr>
          <w:rFonts w:hint="eastAsia" w:ascii="楷体_GB2312" w:hAnsi="宋体" w:eastAsia="楷体_GB2312" w:cs="Times New Roman"/>
          <w:color w:val="auto"/>
          <w:sz w:val="32"/>
          <w:szCs w:val="32"/>
          <w:highlight w:val="none"/>
          <w:lang w:val="zh-CN"/>
        </w:rPr>
        <w:t>（二）资金计划、到位及使用情况。</w:t>
      </w:r>
    </w:p>
    <w:p>
      <w:pPr>
        <w:shd w:val="clear"/>
        <w:adjustRightInd w:val="0"/>
        <w:snapToGrid w:val="0"/>
        <w:spacing w:line="560" w:lineRule="exact"/>
        <w:ind w:firstLine="720"/>
        <w:rPr>
          <w:rFonts w:ascii="仿宋_GB2312" w:hAnsi="宋体" w:eastAsia="仿宋_GB2312" w:cs="Times New Roman"/>
          <w:color w:val="auto"/>
          <w:sz w:val="32"/>
          <w:szCs w:val="32"/>
          <w:highlight w:val="none"/>
        </w:rPr>
      </w:pPr>
      <w:r>
        <w:rPr>
          <w:rFonts w:hint="eastAsia" w:ascii="仿宋_GB2312" w:hAnsi="宋体" w:eastAsia="仿宋_GB2312" w:cs="Times New Roman"/>
          <w:color w:val="auto"/>
          <w:sz w:val="32"/>
          <w:szCs w:val="32"/>
          <w:highlight w:val="none"/>
          <w:lang w:val="zh-CN"/>
        </w:rPr>
        <w:t>1．资金计划及到位。</w:t>
      </w:r>
      <w:r>
        <w:rPr>
          <w:rFonts w:hint="eastAsia" w:ascii="仿宋_GB2312" w:hAnsi="仿宋_GB2312" w:eastAsia="仿宋_GB2312" w:cs="仿宋_GB2312"/>
          <w:color w:val="auto"/>
          <w:sz w:val="32"/>
          <w:szCs w:val="32"/>
          <w:highlight w:val="none"/>
        </w:rPr>
        <w:t>2022年公积金会计及风控业务专项工作经费30</w:t>
      </w:r>
      <w:r>
        <w:rPr>
          <w:rFonts w:hint="eastAsia" w:ascii="仿宋_GB2312" w:hAnsi="宋体" w:eastAsia="仿宋_GB2312" w:cs="Times New Roman"/>
          <w:color w:val="auto"/>
          <w:sz w:val="32"/>
          <w:szCs w:val="32"/>
          <w:highlight w:val="none"/>
        </w:rPr>
        <w:t>万元随同部门预算一同下达，资金全部拨付到位。</w:t>
      </w:r>
    </w:p>
    <w:p>
      <w:pPr>
        <w:shd w:val="clear"/>
        <w:adjustRightInd w:val="0"/>
        <w:snapToGrid w:val="0"/>
        <w:spacing w:line="560" w:lineRule="exact"/>
        <w:ind w:firstLine="720"/>
        <w:rPr>
          <w:rFonts w:ascii="仿宋_GB2312" w:hAnsi="仿宋_GB2312" w:eastAsia="仿宋_GB2312" w:cs="仿宋_GB2312"/>
          <w:bCs/>
          <w:color w:val="auto"/>
          <w:sz w:val="32"/>
          <w:szCs w:val="32"/>
          <w:highlight w:val="none"/>
          <w:lang w:val="zh-CN"/>
        </w:rPr>
      </w:pPr>
      <w:r>
        <w:rPr>
          <w:rFonts w:hint="eastAsia" w:ascii="仿宋_GB2312" w:hAnsi="宋体" w:eastAsia="仿宋_GB2312" w:cs="Times New Roman"/>
          <w:color w:val="auto"/>
          <w:sz w:val="32"/>
          <w:szCs w:val="32"/>
          <w:highlight w:val="none"/>
          <w:lang w:val="zh-CN"/>
        </w:rPr>
        <w:t>2．资金使用。实际支出</w:t>
      </w:r>
      <w:r>
        <w:rPr>
          <w:rFonts w:hint="eastAsia" w:ascii="仿宋_GB2312" w:hAnsi="宋体" w:eastAsia="仿宋_GB2312" w:cs="Times New Roman"/>
          <w:color w:val="auto"/>
          <w:sz w:val="32"/>
          <w:szCs w:val="32"/>
          <w:highlight w:val="none"/>
        </w:rPr>
        <w:t>30</w:t>
      </w:r>
      <w:r>
        <w:rPr>
          <w:rFonts w:hint="eastAsia" w:ascii="仿宋_GB2312" w:hAnsi="宋体" w:eastAsia="仿宋_GB2312" w:cs="Times New Roman"/>
          <w:color w:val="auto"/>
          <w:sz w:val="32"/>
          <w:szCs w:val="32"/>
          <w:highlight w:val="none"/>
          <w:lang w:val="zh-CN"/>
        </w:rPr>
        <w:t>万元，资金主要用于</w:t>
      </w:r>
      <w:r>
        <w:rPr>
          <w:rFonts w:hint="eastAsia" w:ascii="仿宋_GB2312" w:hAnsi="仿宋_GB2312" w:eastAsia="仿宋_GB2312" w:cs="仿宋_GB2312"/>
          <w:color w:val="auto"/>
          <w:sz w:val="32"/>
          <w:szCs w:val="32"/>
          <w:highlight w:val="none"/>
        </w:rPr>
        <w:t>实行全市公积金资金集中核算，安全高效运营公积金资金，保值、增值，稳步提升增值收益，</w:t>
      </w:r>
      <w:r>
        <w:rPr>
          <w:rFonts w:hint="eastAsia" w:ascii="仿宋_GB2312" w:hAnsi="宋体" w:eastAsia="仿宋_GB2312" w:cs="Times New Roman"/>
          <w:color w:val="auto"/>
          <w:sz w:val="32"/>
          <w:szCs w:val="32"/>
          <w:highlight w:val="none"/>
          <w:lang w:val="zh-CN"/>
        </w:rPr>
        <w:t>全年支付进度达100%。经费严格按照机关出台的各项管理办法支付，依据合规合法。资金支付与预算相符。</w:t>
      </w:r>
    </w:p>
    <w:p>
      <w:pPr>
        <w:shd w:val="clear"/>
        <w:adjustRightInd w:val="0"/>
        <w:snapToGrid w:val="0"/>
        <w:spacing w:line="560" w:lineRule="exact"/>
        <w:ind w:firstLine="640" w:firstLineChars="200"/>
        <w:rPr>
          <w:rFonts w:ascii="楷体_GB2312" w:hAnsi="宋体" w:eastAsia="楷体_GB2312" w:cs="Times New Roman"/>
          <w:color w:val="auto"/>
          <w:sz w:val="32"/>
          <w:szCs w:val="32"/>
          <w:highlight w:val="none"/>
          <w:lang w:val="zh-CN"/>
        </w:rPr>
      </w:pPr>
      <w:r>
        <w:rPr>
          <w:rFonts w:hint="eastAsia" w:ascii="楷体_GB2312" w:hAnsi="宋体" w:eastAsia="楷体_GB2312" w:cs="Times New Roman"/>
          <w:color w:val="auto"/>
          <w:sz w:val="32"/>
          <w:szCs w:val="32"/>
          <w:highlight w:val="none"/>
          <w:lang w:val="zh-CN"/>
        </w:rPr>
        <w:t>（三）项目财务管理情况。</w:t>
      </w:r>
    </w:p>
    <w:p>
      <w:pPr>
        <w:shd w:val="clear"/>
        <w:adjustRightInd w:val="0"/>
        <w:snapToGrid w:val="0"/>
        <w:spacing w:line="560" w:lineRule="exact"/>
        <w:ind w:firstLine="720"/>
        <w:rPr>
          <w:rFonts w:ascii="仿宋_GB2312" w:hAnsi="仿宋_GB2312" w:eastAsia="仿宋_GB2312" w:cs="仿宋_GB2312"/>
          <w:color w:val="auto"/>
          <w:sz w:val="32"/>
          <w:szCs w:val="32"/>
          <w:highlight w:val="none"/>
          <w:lang w:val="zh-CN"/>
        </w:rPr>
      </w:pPr>
      <w:r>
        <w:rPr>
          <w:rFonts w:hint="eastAsia" w:ascii="仿宋_GB2312" w:hAnsi="仿宋_GB2312" w:eastAsia="仿宋_GB2312" w:cs="仿宋_GB2312"/>
          <w:color w:val="auto"/>
          <w:sz w:val="32"/>
          <w:szCs w:val="32"/>
          <w:highlight w:val="none"/>
          <w:lang w:val="zh-CN"/>
        </w:rPr>
        <w:t>单位目标任务的制定与国家政策法规、部门职责、部门中长期规划相符。公积金会计及风控业务专项工作经费</w:t>
      </w:r>
      <w:r>
        <w:rPr>
          <w:rFonts w:hint="eastAsia" w:ascii="仿宋_GB2312" w:hAnsi="仿宋_GB2312" w:eastAsia="仿宋_GB2312" w:cs="仿宋_GB2312"/>
          <w:color w:val="auto"/>
          <w:sz w:val="32"/>
          <w:szCs w:val="32"/>
          <w:highlight w:val="none"/>
        </w:rPr>
        <w:t>纳入单位财务集中统一管理，严格按照本单位制定的财务管理制度要求执行，做到先有预算后有支出，并结合全年工作任务及时办理相关的经费支出，提升项目资金使用的制度化、规范化、程序化要求，财务处理及时规范，会计核算准确无误。</w:t>
      </w:r>
    </w:p>
    <w:p>
      <w:pPr>
        <w:shd w:val="clear"/>
        <w:adjustRightInd w:val="0"/>
        <w:snapToGrid w:val="0"/>
        <w:spacing w:line="560" w:lineRule="exact"/>
        <w:ind w:firstLine="640" w:firstLineChars="200"/>
        <w:outlineLvl w:val="1"/>
        <w:rPr>
          <w:rFonts w:ascii="黑体" w:hAnsi="宋体" w:eastAsia="黑体" w:cs="Times New Roman"/>
          <w:color w:val="auto"/>
          <w:sz w:val="32"/>
          <w:szCs w:val="32"/>
          <w:highlight w:val="none"/>
        </w:rPr>
      </w:pPr>
      <w:bookmarkStart w:id="110" w:name="_Toc15370"/>
      <w:bookmarkStart w:id="111" w:name="_Toc14278"/>
      <w:r>
        <w:rPr>
          <w:rFonts w:hint="eastAsia" w:ascii="黑体" w:hAnsi="宋体" w:eastAsia="黑体" w:cs="Times New Roman"/>
          <w:color w:val="auto"/>
          <w:sz w:val="32"/>
          <w:szCs w:val="32"/>
          <w:highlight w:val="none"/>
        </w:rPr>
        <w:t>三、项目实施及管理情况</w:t>
      </w:r>
      <w:bookmarkEnd w:id="110"/>
      <w:bookmarkEnd w:id="111"/>
    </w:p>
    <w:p>
      <w:pPr>
        <w:numPr>
          <w:ilvl w:val="0"/>
          <w:numId w:val="8"/>
        </w:numPr>
        <w:shd w:val="clear"/>
        <w:adjustRightInd w:val="0"/>
        <w:snapToGrid w:val="0"/>
        <w:spacing w:line="560" w:lineRule="exact"/>
        <w:ind w:firstLine="640" w:firstLineChars="200"/>
        <w:rPr>
          <w:rFonts w:ascii="楷体_GB2312" w:hAnsi="宋体" w:eastAsia="楷体_GB2312" w:cs="Times New Roman"/>
          <w:color w:val="auto"/>
          <w:sz w:val="32"/>
          <w:szCs w:val="32"/>
          <w:highlight w:val="none"/>
          <w:lang w:val="zh-CN"/>
        </w:rPr>
      </w:pPr>
      <w:r>
        <w:rPr>
          <w:rFonts w:hint="eastAsia" w:ascii="楷体_GB2312" w:hAnsi="宋体" w:eastAsia="楷体_GB2312" w:cs="Times New Roman"/>
          <w:color w:val="auto"/>
          <w:sz w:val="32"/>
          <w:szCs w:val="32"/>
          <w:highlight w:val="none"/>
          <w:lang w:val="zh-CN"/>
        </w:rPr>
        <w:t>项目组织架构及实施流程。</w:t>
      </w:r>
    </w:p>
    <w:p>
      <w:pPr>
        <w:widowControl w:val="0"/>
        <w:shd w:val="clear"/>
        <w:adjustRightInd w:val="0"/>
        <w:snapToGrid w:val="0"/>
        <w:spacing w:line="560" w:lineRule="exact"/>
        <w:ind w:firstLine="720"/>
        <w:jc w:val="both"/>
        <w:rPr>
          <w:rFonts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为提高预算使用效率，公积金会计科和稽核科制定经费使用实施计划，建立资金统计台账，从而确保工作开展取得实效。</w:t>
      </w:r>
      <w:r>
        <w:rPr>
          <w:rFonts w:hint="eastAsia" w:ascii="仿宋_GB2312" w:hAnsi="仿宋_GB2312" w:eastAsia="仿宋_GB2312" w:cs="仿宋_GB2312"/>
          <w:color w:val="auto"/>
          <w:kern w:val="2"/>
          <w:sz w:val="32"/>
          <w:szCs w:val="32"/>
          <w:highlight w:val="none"/>
          <w:lang w:val="zh-CN" w:eastAsia="zh-CN" w:bidi="ar-SA"/>
        </w:rPr>
        <w:t>项目组织实施严格执行财务管理制度，及时进行账务处理，规范进行会计核算。</w:t>
      </w:r>
    </w:p>
    <w:p>
      <w:pPr>
        <w:shd w:val="clear"/>
        <w:adjustRightInd w:val="0"/>
        <w:snapToGrid w:val="0"/>
        <w:spacing w:line="560" w:lineRule="exact"/>
        <w:ind w:firstLine="640" w:firstLineChars="200"/>
        <w:rPr>
          <w:rFonts w:ascii="仿宋_GB2312" w:hAnsi="仿宋_GB2312" w:eastAsia="仿宋_GB2312" w:cs="仿宋_GB2312"/>
          <w:color w:val="auto"/>
          <w:kern w:val="0"/>
          <w:sz w:val="32"/>
          <w:szCs w:val="32"/>
          <w:highlight w:val="none"/>
          <w:shd w:val="clear" w:color="auto" w:fill="FFFFFF"/>
          <w:lang w:val="zh-CN"/>
        </w:rPr>
      </w:pPr>
      <w:r>
        <w:rPr>
          <w:rFonts w:hint="eastAsia" w:ascii="楷体_GB2312" w:hAnsi="宋体" w:eastAsia="楷体_GB2312" w:cs="Times New Roman"/>
          <w:color w:val="auto"/>
          <w:sz w:val="32"/>
          <w:szCs w:val="32"/>
          <w:highlight w:val="none"/>
          <w:lang w:val="zh-CN"/>
        </w:rPr>
        <w:t>（二）项目管理情况。</w:t>
      </w:r>
      <w:r>
        <w:rPr>
          <w:rFonts w:hint="eastAsia" w:ascii="仿宋_GB2312" w:hAnsi="仿宋_GB2312" w:eastAsia="仿宋_GB2312" w:cs="仿宋_GB2312"/>
          <w:color w:val="auto"/>
          <w:sz w:val="32"/>
          <w:szCs w:val="32"/>
          <w:highlight w:val="none"/>
        </w:rPr>
        <w:t>2022年公积金归集提取专项工作经费</w:t>
      </w:r>
      <w:r>
        <w:rPr>
          <w:rFonts w:hint="eastAsia" w:ascii="仿宋_GB2312" w:hAnsi="仿宋_GB2312" w:eastAsia="仿宋_GB2312" w:cs="仿宋_GB2312"/>
          <w:color w:val="auto"/>
          <w:kern w:val="0"/>
          <w:sz w:val="32"/>
          <w:szCs w:val="32"/>
          <w:highlight w:val="none"/>
          <w:shd w:val="clear" w:color="auto" w:fill="FFFFFF"/>
          <w:lang w:val="zh-CN"/>
        </w:rPr>
        <w:t>项目相关管理制度机制健全完善，在项目执行过程中，无管理制度有悖于实际的情况，无存在难以操作、无法落地、执行不畅的等情况。</w:t>
      </w:r>
    </w:p>
    <w:p>
      <w:pPr>
        <w:widowControl/>
        <w:shd w:val="clear"/>
        <w:spacing w:line="560" w:lineRule="exact"/>
        <w:ind w:firstLine="640" w:firstLineChars="200"/>
        <w:jc w:val="left"/>
        <w:rPr>
          <w:rFonts w:ascii="仿宋_GB2312" w:hAnsi="仿宋_GB2312" w:eastAsia="仿宋_GB2312" w:cs="仿宋_GB2312"/>
          <w:color w:val="auto"/>
          <w:sz w:val="32"/>
          <w:szCs w:val="32"/>
          <w:highlight w:val="none"/>
        </w:rPr>
      </w:pPr>
      <w:r>
        <w:rPr>
          <w:rFonts w:hint="eastAsia" w:ascii="楷体_GB2312" w:hAnsi="宋体" w:eastAsia="楷体_GB2312" w:cs="Times New Roman"/>
          <w:color w:val="auto"/>
          <w:sz w:val="32"/>
          <w:szCs w:val="32"/>
          <w:highlight w:val="none"/>
          <w:lang w:val="zh-CN"/>
        </w:rPr>
        <w:t>（三）项目监管情况。</w:t>
      </w:r>
      <w:r>
        <w:rPr>
          <w:rFonts w:hint="eastAsia" w:ascii="仿宋_GB2312" w:hAnsi="仿宋_GB2312" w:eastAsia="仿宋_GB2312" w:cs="仿宋_GB2312"/>
          <w:color w:val="auto"/>
          <w:kern w:val="0"/>
          <w:sz w:val="32"/>
          <w:szCs w:val="32"/>
          <w:highlight w:val="none"/>
          <w:shd w:val="clear" w:color="auto" w:fill="FFFFFF"/>
        </w:rPr>
        <w:t>每月通报预算执行进度，适时进行预算绩效监控，督促项目加快实施，有力保障财政资金的使用效益，确保绩效目标如期保质保量实现。</w:t>
      </w:r>
    </w:p>
    <w:p>
      <w:pPr>
        <w:shd w:val="clear"/>
        <w:adjustRightInd w:val="0"/>
        <w:snapToGrid w:val="0"/>
        <w:spacing w:line="560" w:lineRule="exact"/>
        <w:ind w:firstLine="640" w:firstLineChars="200"/>
        <w:outlineLvl w:val="1"/>
        <w:rPr>
          <w:rFonts w:ascii="仿宋_GB2312" w:hAnsi="宋体" w:eastAsia="仿宋_GB2312" w:cs="Times New Roman"/>
          <w:color w:val="auto"/>
          <w:sz w:val="32"/>
          <w:szCs w:val="32"/>
          <w:highlight w:val="none"/>
          <w:lang w:val="zh-CN"/>
        </w:rPr>
      </w:pPr>
      <w:bookmarkStart w:id="112" w:name="_Toc2219"/>
      <w:bookmarkStart w:id="113" w:name="_Toc17863"/>
      <w:r>
        <w:rPr>
          <w:rFonts w:hint="eastAsia" w:ascii="黑体" w:hAnsi="宋体" w:eastAsia="黑体" w:cs="Times New Roman"/>
          <w:color w:val="auto"/>
          <w:sz w:val="32"/>
          <w:szCs w:val="32"/>
          <w:highlight w:val="none"/>
        </w:rPr>
        <w:t>四、项目绩效情况</w:t>
      </w:r>
      <w:bookmarkEnd w:id="112"/>
      <w:bookmarkEnd w:id="113"/>
      <w:r>
        <w:rPr>
          <w:rFonts w:hint="eastAsia" w:ascii="仿宋_GB2312" w:hAnsi="宋体" w:eastAsia="仿宋_GB2312" w:cs="Times New Roman"/>
          <w:color w:val="auto"/>
          <w:sz w:val="32"/>
          <w:szCs w:val="32"/>
          <w:highlight w:val="none"/>
          <w:lang w:val="zh-CN"/>
        </w:rPr>
        <w:tab/>
      </w:r>
    </w:p>
    <w:p>
      <w:pPr>
        <w:shd w:val="clear"/>
        <w:adjustRightInd w:val="0"/>
        <w:snapToGrid w:val="0"/>
        <w:spacing w:line="560" w:lineRule="exact"/>
        <w:ind w:firstLine="640" w:firstLineChars="200"/>
        <w:rPr>
          <w:rFonts w:ascii="楷体_GB2312" w:hAnsi="宋体" w:eastAsia="楷体_GB2312" w:cs="Times New Roman"/>
          <w:color w:val="auto"/>
          <w:sz w:val="32"/>
          <w:szCs w:val="32"/>
          <w:highlight w:val="none"/>
          <w:lang w:val="zh-CN"/>
        </w:rPr>
      </w:pPr>
      <w:r>
        <w:rPr>
          <w:rFonts w:hint="eastAsia" w:ascii="楷体_GB2312" w:hAnsi="宋体" w:eastAsia="楷体_GB2312" w:cs="Times New Roman"/>
          <w:color w:val="auto"/>
          <w:sz w:val="32"/>
          <w:szCs w:val="32"/>
          <w:highlight w:val="none"/>
          <w:lang w:val="zh-CN"/>
        </w:rPr>
        <w:t>（一）项目完成情况。</w:t>
      </w:r>
    </w:p>
    <w:p>
      <w:pPr>
        <w:shd w:val="clear"/>
        <w:adjustRightInd w:val="0"/>
        <w:snapToGrid w:val="0"/>
        <w:spacing w:line="560" w:lineRule="exact"/>
        <w:ind w:firstLine="640" w:firstLineChars="200"/>
        <w:rPr>
          <w:rFonts w:ascii="仿宋_GB2312" w:hAnsi="仿宋_GB2312" w:eastAsia="仿宋_GB2312" w:cs="仿宋_GB2312"/>
          <w:color w:val="auto"/>
          <w:sz w:val="32"/>
          <w:szCs w:val="32"/>
          <w:highlight w:val="none"/>
          <w:lang w:val="zh-CN"/>
        </w:rPr>
      </w:pPr>
      <w:r>
        <w:rPr>
          <w:rFonts w:hint="eastAsia" w:ascii="仿宋_GB2312" w:hAnsi="仿宋_GB2312" w:eastAsia="仿宋_GB2312" w:cs="仿宋_GB2312"/>
          <w:color w:val="auto"/>
          <w:sz w:val="32"/>
          <w:szCs w:val="32"/>
          <w:highlight w:val="none"/>
        </w:rPr>
        <w:t>2022年公积金会计科工作经费30万元，完成率100%。项目严格按照规定完成了目标任务，项目实施效果达到预期目标，资金使用安全有效。</w:t>
      </w:r>
    </w:p>
    <w:p>
      <w:pPr>
        <w:shd w:val="clear"/>
        <w:adjustRightInd w:val="0"/>
        <w:snapToGrid w:val="0"/>
        <w:spacing w:line="560" w:lineRule="exact"/>
        <w:ind w:firstLine="640" w:firstLineChars="200"/>
        <w:rPr>
          <w:rFonts w:ascii="楷体_GB2312" w:hAnsi="宋体" w:eastAsia="楷体_GB2312" w:cs="Times New Roman"/>
          <w:color w:val="auto"/>
          <w:sz w:val="32"/>
          <w:szCs w:val="32"/>
          <w:highlight w:val="none"/>
          <w:lang w:val="zh-CN"/>
        </w:rPr>
      </w:pPr>
      <w:r>
        <w:rPr>
          <w:rFonts w:hint="eastAsia" w:ascii="楷体_GB2312" w:hAnsi="宋体" w:eastAsia="楷体_GB2312" w:cs="Times New Roman"/>
          <w:color w:val="auto"/>
          <w:sz w:val="32"/>
          <w:szCs w:val="32"/>
          <w:highlight w:val="none"/>
          <w:lang w:val="zh-CN"/>
        </w:rPr>
        <w:t>（二）项目效益情况。</w:t>
      </w:r>
    </w:p>
    <w:p>
      <w:pPr>
        <w:widowControl w:val="0"/>
        <w:shd w:val="clear"/>
        <w:spacing w:after="120" w:line="560" w:lineRule="exact"/>
        <w:ind w:left="0" w:leftChars="0" w:firstLine="640" w:firstLineChars="200"/>
        <w:jc w:val="both"/>
        <w:rPr>
          <w:rFonts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1.在经济效益方面大力支持地方财政收入，支持廉租房建设补充资金。</w:t>
      </w:r>
    </w:p>
    <w:p>
      <w:pPr>
        <w:widowControl w:val="0"/>
        <w:shd w:val="clear"/>
        <w:spacing w:after="120" w:line="560" w:lineRule="exact"/>
        <w:ind w:left="0" w:leftChars="0" w:firstLine="640" w:firstLineChars="200"/>
        <w:jc w:val="both"/>
        <w:rPr>
          <w:rFonts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2.在社会效益方面积极支持职工购建房资金使用，促进房地产市场平稳发展，为广大职工实现安居梦；精准的统计报送工作为公积金管理决策和国家大数据的采集提供依据。</w:t>
      </w:r>
    </w:p>
    <w:p>
      <w:pPr>
        <w:widowControl w:val="0"/>
        <w:shd w:val="clear"/>
        <w:spacing w:after="120" w:line="560" w:lineRule="exact"/>
        <w:ind w:left="0" w:leftChars="0" w:firstLine="640" w:firstLineChars="200"/>
        <w:jc w:val="both"/>
        <w:rPr>
          <w:rFonts w:ascii="仿宋_GB2312" w:hAnsi="仿宋_GB2312" w:eastAsia="仿宋_GB2312" w:cs="仿宋_GB2312"/>
          <w:b/>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3.可持续性效益方面有力保障职工提取和购建房贷款需求，促进社会稳定，资金保值增值，持续提高增值收益，支持地方财政收入，充分体现公积金政策带来的社会效益。</w:t>
      </w:r>
    </w:p>
    <w:p>
      <w:pPr>
        <w:shd w:val="clear"/>
        <w:adjustRightInd w:val="0"/>
        <w:snapToGrid w:val="0"/>
        <w:spacing w:line="560" w:lineRule="exact"/>
        <w:ind w:firstLine="640" w:firstLineChars="200"/>
        <w:outlineLvl w:val="1"/>
        <w:rPr>
          <w:rFonts w:ascii="黑体" w:hAnsi="宋体" w:eastAsia="黑体" w:cs="Times New Roman"/>
          <w:color w:val="auto"/>
          <w:sz w:val="32"/>
          <w:szCs w:val="32"/>
          <w:highlight w:val="none"/>
        </w:rPr>
      </w:pPr>
      <w:bookmarkStart w:id="114" w:name="_Toc14549"/>
      <w:bookmarkStart w:id="115" w:name="_Toc3041"/>
      <w:r>
        <w:rPr>
          <w:rFonts w:hint="eastAsia" w:ascii="黑体" w:hAnsi="宋体" w:eastAsia="黑体" w:cs="Times New Roman"/>
          <w:color w:val="auto"/>
          <w:sz w:val="32"/>
          <w:szCs w:val="32"/>
          <w:highlight w:val="none"/>
        </w:rPr>
        <w:t>五、评价结论及建议</w:t>
      </w:r>
      <w:bookmarkEnd w:id="114"/>
      <w:bookmarkEnd w:id="115"/>
    </w:p>
    <w:p>
      <w:pPr>
        <w:shd w:val="clear"/>
        <w:adjustRightInd w:val="0"/>
        <w:snapToGrid w:val="0"/>
        <w:spacing w:line="560" w:lineRule="exact"/>
        <w:ind w:firstLine="640" w:firstLineChars="200"/>
        <w:rPr>
          <w:rFonts w:ascii="楷体_GB2312" w:hAnsi="宋体" w:eastAsia="楷体_GB2312" w:cs="Times New Roman"/>
          <w:color w:val="auto"/>
          <w:sz w:val="32"/>
          <w:szCs w:val="32"/>
          <w:highlight w:val="none"/>
          <w:lang w:val="zh-CN"/>
        </w:rPr>
      </w:pPr>
      <w:r>
        <w:rPr>
          <w:rFonts w:hint="eastAsia" w:ascii="楷体_GB2312" w:hAnsi="宋体" w:eastAsia="楷体_GB2312" w:cs="Times New Roman"/>
          <w:color w:val="auto"/>
          <w:sz w:val="32"/>
          <w:szCs w:val="32"/>
          <w:highlight w:val="none"/>
          <w:lang w:val="zh-CN"/>
        </w:rPr>
        <w:t>（一）评价结论。</w:t>
      </w:r>
    </w:p>
    <w:p>
      <w:pPr>
        <w:shd w:val="clear"/>
        <w:adjustRightInd w:val="0"/>
        <w:snapToGrid w:val="0"/>
        <w:spacing w:line="560" w:lineRule="exact"/>
        <w:ind w:firstLine="640" w:firstLineChars="200"/>
        <w:rPr>
          <w:rFonts w:ascii="仿宋_GB2312" w:hAnsi="仿宋_GB2312" w:eastAsia="仿宋_GB2312" w:cs="仿宋_GB2312"/>
          <w:color w:val="auto"/>
          <w:kern w:val="0"/>
          <w:sz w:val="32"/>
          <w:szCs w:val="32"/>
          <w:highlight w:val="none"/>
          <w:shd w:val="clear" w:color="auto" w:fill="FFFFFF"/>
        </w:rPr>
      </w:pPr>
      <w:r>
        <w:rPr>
          <w:rFonts w:hint="eastAsia" w:ascii="仿宋_GB2312" w:hAnsi="仿宋_GB2312" w:eastAsia="仿宋_GB2312" w:cs="仿宋_GB2312"/>
          <w:color w:val="auto"/>
          <w:kern w:val="0"/>
          <w:sz w:val="32"/>
          <w:szCs w:val="32"/>
          <w:highlight w:val="none"/>
          <w:shd w:val="clear" w:color="auto" w:fill="FFFFFF"/>
          <w:lang w:val="zh-CN"/>
        </w:rPr>
        <w:t>2022年公积金会计及风控业务专项工作经费目标任务完成情况良好，对公积金沉淀资金的安全高效管理，实现零风险，大力支持地方财政收入，支持廉租房建设，积极支持职工购建房资金使用，促进房地产市场平稳发展，为公积金管理决策和国家大数据采集提供了有力依据，根据预算项目支出绩效评价指标体系指标最终自评得分9</w:t>
      </w:r>
      <w:r>
        <w:rPr>
          <w:rFonts w:hint="eastAsia" w:ascii="仿宋_GB2312" w:hAnsi="仿宋_GB2312" w:eastAsia="仿宋_GB2312" w:cs="仿宋_GB2312"/>
          <w:color w:val="auto"/>
          <w:kern w:val="0"/>
          <w:sz w:val="32"/>
          <w:szCs w:val="32"/>
          <w:highlight w:val="none"/>
          <w:shd w:val="clear" w:color="auto" w:fill="FFFFFF"/>
        </w:rPr>
        <w:t>4</w:t>
      </w:r>
      <w:r>
        <w:rPr>
          <w:rFonts w:hint="eastAsia" w:ascii="仿宋_GB2312" w:hAnsi="仿宋_GB2312" w:eastAsia="仿宋_GB2312" w:cs="仿宋_GB2312"/>
          <w:color w:val="auto"/>
          <w:kern w:val="0"/>
          <w:sz w:val="32"/>
          <w:szCs w:val="32"/>
          <w:highlight w:val="none"/>
          <w:shd w:val="clear" w:color="auto" w:fill="FFFFFF"/>
          <w:lang w:val="zh-CN"/>
        </w:rPr>
        <w:t>分。</w:t>
      </w:r>
      <w:r>
        <w:rPr>
          <w:rFonts w:hint="eastAsia" w:ascii="仿宋_GB2312" w:hAnsi="仿宋_GB2312" w:eastAsia="仿宋_GB2312" w:cs="仿宋_GB2312"/>
          <w:color w:val="auto"/>
          <w:kern w:val="0"/>
          <w:sz w:val="32"/>
          <w:szCs w:val="32"/>
          <w:highlight w:val="none"/>
          <w:shd w:val="clear" w:color="auto" w:fill="FFFFFF"/>
        </w:rPr>
        <w:t xml:space="preserve"> </w:t>
      </w:r>
    </w:p>
    <w:p>
      <w:pPr>
        <w:shd w:val="clear"/>
        <w:adjustRightInd w:val="0"/>
        <w:snapToGrid w:val="0"/>
        <w:spacing w:line="560" w:lineRule="exact"/>
        <w:ind w:firstLine="640" w:firstLineChars="200"/>
        <w:rPr>
          <w:rFonts w:ascii="楷体_GB2312" w:hAnsi="宋体" w:eastAsia="楷体_GB2312" w:cs="Times New Roman"/>
          <w:color w:val="auto"/>
          <w:sz w:val="32"/>
          <w:szCs w:val="32"/>
          <w:highlight w:val="none"/>
          <w:lang w:val="zh-CN"/>
        </w:rPr>
      </w:pPr>
      <w:r>
        <w:rPr>
          <w:rFonts w:hint="eastAsia" w:ascii="楷体_GB2312" w:hAnsi="宋体" w:eastAsia="楷体_GB2312" w:cs="Times New Roman"/>
          <w:color w:val="auto"/>
          <w:sz w:val="32"/>
          <w:szCs w:val="32"/>
          <w:highlight w:val="none"/>
          <w:lang w:val="zh-CN"/>
        </w:rPr>
        <w:t>（二）存在的问题。</w:t>
      </w:r>
    </w:p>
    <w:p>
      <w:pPr>
        <w:pBdr>
          <w:bottom w:val="single" w:color="FFFFFF" w:sz="4" w:space="29"/>
        </w:pBdr>
        <w:shd w:val="clear"/>
        <w:tabs>
          <w:tab w:val="left" w:pos="1440"/>
        </w:tabs>
        <w:spacing w:line="560" w:lineRule="exact"/>
        <w:ind w:firstLine="627" w:firstLineChars="196"/>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1.财务软件还需进一步的优化和完善。</w:t>
      </w:r>
    </w:p>
    <w:p>
      <w:pPr>
        <w:pBdr>
          <w:bottom w:val="single" w:color="FFFFFF" w:sz="4" w:space="29"/>
        </w:pBdr>
        <w:shd w:val="clear"/>
        <w:tabs>
          <w:tab w:val="left" w:pos="1440"/>
        </w:tabs>
        <w:spacing w:line="560" w:lineRule="exact"/>
        <w:ind w:firstLine="627" w:firstLineChars="196"/>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2.</w:t>
      </w:r>
      <w:r>
        <w:rPr>
          <w:rFonts w:hint="eastAsia" w:ascii="仿宋_GB2312" w:hAnsi="仿宋_GB2312" w:eastAsia="仿宋_GB2312" w:cs="仿宋_GB2312"/>
          <w:color w:val="auto"/>
          <w:sz w:val="32"/>
          <w:szCs w:val="32"/>
          <w:highlight w:val="none"/>
        </w:rPr>
        <w:t>财务人员需不断学习，以适应新形势下的财务核算和统计工作需要。</w:t>
      </w:r>
    </w:p>
    <w:p>
      <w:pPr>
        <w:pBdr>
          <w:bottom w:val="single" w:color="FFFFFF" w:sz="4" w:space="29"/>
        </w:pBdr>
        <w:shd w:val="clear"/>
        <w:tabs>
          <w:tab w:val="left" w:pos="1440"/>
        </w:tabs>
        <w:spacing w:line="560" w:lineRule="exact"/>
        <w:ind w:firstLine="627" w:firstLineChars="196"/>
        <w:rPr>
          <w:rFonts w:ascii="楷体_GB2312" w:hAnsi="宋体" w:eastAsia="楷体_GB2312" w:cs="Times New Roman"/>
          <w:color w:val="auto"/>
          <w:sz w:val="32"/>
          <w:szCs w:val="32"/>
          <w:highlight w:val="none"/>
          <w:lang w:val="zh-CN"/>
        </w:rPr>
      </w:pPr>
      <w:r>
        <w:rPr>
          <w:rFonts w:hint="eastAsia" w:ascii="楷体_GB2312" w:hAnsi="宋体" w:eastAsia="楷体_GB2312" w:cs="Times New Roman"/>
          <w:color w:val="auto"/>
          <w:sz w:val="32"/>
          <w:szCs w:val="32"/>
          <w:highlight w:val="none"/>
          <w:lang w:val="zh-CN"/>
        </w:rPr>
        <w:t>（三）相关建议。</w:t>
      </w:r>
    </w:p>
    <w:p>
      <w:pPr>
        <w:pBdr>
          <w:bottom w:val="single" w:color="FFFFFF" w:sz="4" w:space="29"/>
        </w:pBdr>
        <w:shd w:val="clear"/>
        <w:tabs>
          <w:tab w:val="left" w:pos="1440"/>
        </w:tabs>
        <w:spacing w:line="560" w:lineRule="exact"/>
        <w:ind w:firstLine="627" w:firstLineChars="196"/>
        <w:rPr>
          <w:rFonts w:ascii="仿宋_GB2312" w:hAnsi="仿宋_GB2312" w:eastAsia="仿宋_GB2312" w:cs="仿宋_GB2312"/>
          <w:bCs/>
          <w:color w:val="auto"/>
          <w:sz w:val="32"/>
          <w:szCs w:val="32"/>
          <w:highlight w:val="none"/>
          <w:lang w:val="zh-CN"/>
        </w:rPr>
      </w:pPr>
      <w:r>
        <w:rPr>
          <w:rFonts w:hint="eastAsia" w:ascii="仿宋_GB2312" w:hAnsi="仿宋_GB2312" w:eastAsia="仿宋_GB2312" w:cs="仿宋_GB2312"/>
          <w:bCs/>
          <w:color w:val="auto"/>
          <w:sz w:val="32"/>
          <w:szCs w:val="32"/>
          <w:highlight w:val="none"/>
          <w:lang w:val="zh-CN"/>
        </w:rPr>
        <w:t>向各地市州公积金中心交流学习，加强培训力度。</w:t>
      </w:r>
    </w:p>
    <w:p>
      <w:pPr>
        <w:widowControl/>
        <w:shd w:val="clear"/>
        <w:jc w:val="left"/>
        <w:rPr>
          <w:rStyle w:val="21"/>
          <w:rFonts w:ascii="黑体" w:hAnsi="黑体" w:eastAsia="黑体"/>
          <w:b w:val="0"/>
          <w:color w:val="auto"/>
          <w:highlight w:val="none"/>
        </w:rPr>
      </w:pPr>
    </w:p>
    <w:p>
      <w:pPr>
        <w:pStyle w:val="2"/>
        <w:shd w:val="clear"/>
        <w:rPr>
          <w:rStyle w:val="21"/>
          <w:rFonts w:ascii="黑体" w:hAnsi="黑体" w:eastAsia="黑体"/>
          <w:b w:val="0"/>
          <w:color w:val="auto"/>
          <w:highlight w:val="none"/>
        </w:rPr>
      </w:pPr>
    </w:p>
    <w:p>
      <w:pPr>
        <w:pStyle w:val="2"/>
        <w:shd w:val="clear"/>
        <w:rPr>
          <w:rStyle w:val="21"/>
          <w:rFonts w:ascii="黑体" w:hAnsi="黑体" w:eastAsia="黑体"/>
          <w:b w:val="0"/>
          <w:color w:val="auto"/>
          <w:highlight w:val="none"/>
        </w:rPr>
      </w:pPr>
    </w:p>
    <w:p>
      <w:pPr>
        <w:pStyle w:val="2"/>
        <w:shd w:val="clear"/>
        <w:rPr>
          <w:rStyle w:val="21"/>
          <w:rFonts w:ascii="黑体" w:hAnsi="黑体" w:eastAsia="黑体"/>
          <w:b w:val="0"/>
          <w:color w:val="auto"/>
          <w:highlight w:val="none"/>
        </w:rPr>
        <w:sectPr>
          <w:footerReference r:id="rId23" w:type="first"/>
          <w:footerReference r:id="rId22" w:type="default"/>
          <w:pgSz w:w="11906" w:h="16838"/>
          <w:pgMar w:top="2098" w:right="1474" w:bottom="1984" w:left="1587" w:header="851" w:footer="992" w:gutter="0"/>
          <w:pgNumType w:fmt="decimal"/>
          <w:cols w:space="425" w:num="1"/>
          <w:docGrid w:type="lines" w:linePitch="312" w:charSpace="0"/>
        </w:sectPr>
      </w:pPr>
    </w:p>
    <w:p>
      <w:pPr>
        <w:shd w:val="clear"/>
        <w:rPr>
          <w:rStyle w:val="21"/>
          <w:rFonts w:ascii="黑体" w:hAnsi="黑体" w:eastAsia="黑体"/>
          <w:b w:val="0"/>
          <w:color w:val="auto"/>
          <w:highlight w:val="none"/>
        </w:rPr>
      </w:pPr>
    </w:p>
    <w:tbl>
      <w:tblPr>
        <w:tblStyle w:val="17"/>
        <w:tblW w:w="13039"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96"/>
        <w:gridCol w:w="1335"/>
        <w:gridCol w:w="1058"/>
        <w:gridCol w:w="1450"/>
        <w:gridCol w:w="1964"/>
        <w:gridCol w:w="1006"/>
        <w:gridCol w:w="676"/>
        <w:gridCol w:w="759"/>
        <w:gridCol w:w="894"/>
        <w:gridCol w:w="26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13039" w:type="dxa"/>
            <w:gridSpan w:val="10"/>
            <w:tcBorders>
              <w:top w:val="nil"/>
              <w:left w:val="nil"/>
              <w:bottom w:val="nil"/>
              <w:right w:val="nil"/>
            </w:tcBorders>
            <w:shd w:val="clear" w:color="auto" w:fill="auto"/>
            <w:vAlign w:val="center"/>
          </w:tcPr>
          <w:p>
            <w:pPr>
              <w:keepNext w:val="0"/>
              <w:keepLines w:val="0"/>
              <w:widowControl/>
              <w:suppressLineNumbers w:val="0"/>
              <w:shd w:val="clear"/>
              <w:jc w:val="left"/>
              <w:textAlignment w:val="center"/>
              <w:rPr>
                <w:rFonts w:hint="eastAsia" w:ascii="黑体" w:hAnsi="黑体" w:eastAsia="黑体" w:cs="黑体"/>
                <w:i w:val="0"/>
                <w:color w:val="auto"/>
                <w:kern w:val="0"/>
                <w:sz w:val="32"/>
                <w:szCs w:val="32"/>
                <w:highlight w:val="none"/>
                <w:u w:val="none"/>
                <w:lang w:val="en-US" w:eastAsia="zh-CN" w:bidi="ar"/>
              </w:rPr>
            </w:pPr>
            <w:r>
              <w:rPr>
                <w:rFonts w:hint="eastAsia" w:ascii="黑体" w:hAnsi="黑体" w:eastAsia="黑体" w:cs="黑体"/>
                <w:i w:val="0"/>
                <w:color w:val="auto"/>
                <w:kern w:val="0"/>
                <w:sz w:val="32"/>
                <w:szCs w:val="32"/>
                <w:highlight w:val="none"/>
                <w:u w:val="none"/>
                <w:lang w:val="en-US" w:eastAsia="zh-CN" w:bidi="ar"/>
              </w:rPr>
              <w:t>附表3：</w:t>
            </w:r>
          </w:p>
          <w:p>
            <w:pPr>
              <w:keepNext w:val="0"/>
              <w:keepLines w:val="0"/>
              <w:widowControl/>
              <w:suppressLineNumbers w:val="0"/>
              <w:shd w:val="clear"/>
              <w:jc w:val="center"/>
              <w:textAlignment w:val="center"/>
              <w:rPr>
                <w:rFonts w:ascii="方正小标宋简体" w:hAnsi="方正小标宋简体" w:eastAsia="方正小标宋简体" w:cs="方正小标宋简体"/>
                <w:i w:val="0"/>
                <w:color w:val="auto"/>
                <w:sz w:val="44"/>
                <w:szCs w:val="44"/>
                <w:highlight w:val="none"/>
                <w:u w:val="none"/>
              </w:rPr>
            </w:pPr>
            <w:r>
              <w:rPr>
                <w:rFonts w:hint="eastAsia" w:ascii="方正小标宋简体" w:hAnsi="方正小标宋简体" w:eastAsia="方正小标宋简体" w:cs="方正小标宋简体"/>
                <w:i w:val="0"/>
                <w:color w:val="auto"/>
                <w:kern w:val="0"/>
                <w:sz w:val="44"/>
                <w:szCs w:val="44"/>
                <w:highlight w:val="none"/>
                <w:u w:val="none"/>
                <w:lang w:val="en-US" w:eastAsia="zh-CN" w:bidi="ar"/>
              </w:rPr>
              <w:t>部门预算、专项资金预算项目支出绩效目标自评表（2022年度）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6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项目名称</w:t>
            </w:r>
          </w:p>
        </w:tc>
        <w:tc>
          <w:tcPr>
            <w:tcW w:w="1040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公积金会计及风控业务专项工作经费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26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主管部门（盖章）</w:t>
            </w:r>
          </w:p>
        </w:tc>
        <w:tc>
          <w:tcPr>
            <w:tcW w:w="447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广元市住房公积金管理中心</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实施单位 （盖章）</w:t>
            </w:r>
          </w:p>
        </w:tc>
        <w:tc>
          <w:tcPr>
            <w:tcW w:w="49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广元市住房公积金管理中心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2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项目基本情况</w:t>
            </w: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1.项目年度目标完成情况</w:t>
            </w:r>
          </w:p>
        </w:tc>
        <w:tc>
          <w:tcPr>
            <w:tcW w:w="447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项目年度目标</w:t>
            </w:r>
          </w:p>
        </w:tc>
        <w:tc>
          <w:tcPr>
            <w:tcW w:w="5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2" w:hRule="atLeast"/>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b/>
                <w:i w:val="0"/>
                <w:color w:val="auto"/>
                <w:sz w:val="18"/>
                <w:szCs w:val="18"/>
                <w:highlight w:val="none"/>
                <w:u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b/>
                <w:i w:val="0"/>
                <w:color w:val="auto"/>
                <w:sz w:val="18"/>
                <w:szCs w:val="18"/>
                <w:highlight w:val="none"/>
                <w:u w:val="none"/>
              </w:rPr>
            </w:pPr>
          </w:p>
        </w:tc>
        <w:tc>
          <w:tcPr>
            <w:tcW w:w="447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强化资金运营，稳步提高公积金资金使用效益，优化存款结构，增收节支，确保完成年度增值收益目标任务。强化风控管理、实现资金保值、增值，确保资金安全无风险。实时对账，信息互通互享，确保缴存单位、缴存个人权益。强化法制宣传，及时调查处理和解答群众反映的问题，协助相关执法部门办理相关案件。规范财务档案专卷管理。</w:t>
            </w:r>
          </w:p>
        </w:tc>
        <w:tc>
          <w:tcPr>
            <w:tcW w:w="5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2022年公积金会计及风控业务专项工作经费绩效目标任务完成情况良好，各项任务均圆满完成。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b/>
                <w:i w:val="0"/>
                <w:color w:val="auto"/>
                <w:sz w:val="18"/>
                <w:szCs w:val="18"/>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2.项目实施内容及过程概述</w:t>
            </w:r>
          </w:p>
        </w:tc>
        <w:tc>
          <w:tcPr>
            <w:tcW w:w="1040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 xml:space="preserve">促进住房消费、确保资金安全，资金安全运营、提高公积金资金使用效益，服务当地缴存职工、促进当地房地产行业健康有序发展。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2" w:hRule="atLeast"/>
        </w:trPr>
        <w:tc>
          <w:tcPr>
            <w:tcW w:w="12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预算执行情况（10分）</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年度预算数（万元）</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年初预算</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调整后预算数</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预算执行数</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预算执行率</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权重%</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部门自评得分</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财政部门科室复评得分</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总额</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30万元</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30万元</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100.00%</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tbl>
    <w:p>
      <w:pPr>
        <w:shd w:val="clear"/>
        <w:jc w:val="center"/>
        <w:rPr>
          <w:rFonts w:hint="eastAsia" w:ascii="宋体" w:hAnsi="宋体" w:eastAsia="宋体" w:cs="宋体"/>
          <w:b/>
          <w:i w:val="0"/>
          <w:color w:val="auto"/>
          <w:sz w:val="18"/>
          <w:szCs w:val="18"/>
          <w:highlight w:val="none"/>
          <w:u w:val="none"/>
        </w:rPr>
        <w:sectPr>
          <w:footerReference r:id="rId25" w:type="first"/>
          <w:footerReference r:id="rId24" w:type="default"/>
          <w:pgSz w:w="16838" w:h="11906" w:orient="landscape"/>
          <w:pgMar w:top="1587" w:right="2098" w:bottom="1474" w:left="1984" w:header="851" w:footer="992" w:gutter="0"/>
          <w:pgNumType w:fmt="decimal"/>
          <w:cols w:space="425" w:num="1"/>
          <w:titlePg/>
          <w:docGrid w:type="lines" w:linePitch="312" w:charSpace="0"/>
        </w:sectPr>
      </w:pPr>
    </w:p>
    <w:tbl>
      <w:tblPr>
        <w:tblStyle w:val="17"/>
        <w:tblW w:w="13039"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96"/>
        <w:gridCol w:w="1335"/>
        <w:gridCol w:w="1058"/>
        <w:gridCol w:w="1450"/>
        <w:gridCol w:w="479"/>
        <w:gridCol w:w="1006"/>
        <w:gridCol w:w="479"/>
        <w:gridCol w:w="1006"/>
        <w:gridCol w:w="676"/>
        <w:gridCol w:w="759"/>
        <w:gridCol w:w="894"/>
        <w:gridCol w:w="26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96" w:type="dxa"/>
            <w:vMerge w:val="restart"/>
            <w:tcBorders>
              <w:top w:val="single" w:color="000000" w:sz="4" w:space="0"/>
              <w:left w:val="single" w:color="000000" w:sz="4" w:space="0"/>
              <w:right w:val="single" w:color="000000" w:sz="4" w:space="0"/>
            </w:tcBorders>
            <w:shd w:val="clear" w:color="auto" w:fill="auto"/>
            <w:vAlign w:val="center"/>
          </w:tcPr>
          <w:p>
            <w:pPr>
              <w:pStyle w:val="2"/>
              <w:shd w:val="clear"/>
              <w:rPr>
                <w:rFonts w:hint="eastAsia"/>
                <w:color w:val="auto"/>
                <w:highlight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其中：财政资金</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30万元</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9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30万元</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01" w:type="dxa"/>
            <w:vMerge w:val="restart"/>
            <w:tcBorders>
              <w:top w:val="single" w:color="000000" w:sz="4" w:space="0"/>
              <w:left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财政专户管理资金</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9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单位资金</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9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其他资金</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6"/>
                <w:szCs w:val="16"/>
                <w:highlight w:val="none"/>
                <w:u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6"/>
                <w:szCs w:val="16"/>
                <w:highlight w:val="none"/>
                <w:u w:val="none"/>
              </w:rPr>
            </w:pPr>
          </w:p>
        </w:tc>
        <w:tc>
          <w:tcPr>
            <w:tcW w:w="19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6"/>
                <w:szCs w:val="16"/>
                <w:highlight w:val="none"/>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6"/>
                <w:szCs w:val="16"/>
                <w:highlight w:val="none"/>
                <w:u w:val="none"/>
              </w:rPr>
            </w:pP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绩效指标（90分）</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一级指标</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二级指标</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三级指标</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指标性质</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指标值</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度量单位</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完成值</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权重</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部门自评得分</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财政部门科室复评得分</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效益指标</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可持续发展指标</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项目作用期限</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年</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效益指标</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生态效益指标</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打击骗提骗贷，社会和谐、公平公正。</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定性</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好坏</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left"/>
              <w:rPr>
                <w:rFonts w:hint="eastAsia" w:ascii="宋体" w:hAnsi="宋体" w:eastAsia="宋体" w:cs="宋体"/>
                <w:i w:val="0"/>
                <w:color w:val="auto"/>
                <w:sz w:val="18"/>
                <w:szCs w:val="18"/>
                <w:highlight w:val="none"/>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良好</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满意度指标</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服务对象满意度指标</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缴存单位满意度</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95</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99</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效益指标</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社会效益指标</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服务广大群众，支持改善住房条件、促进住房消费，维护了社会的稳定。</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定性</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好坏</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left"/>
              <w:rPr>
                <w:rFonts w:hint="eastAsia" w:ascii="宋体" w:hAnsi="宋体" w:eastAsia="宋体" w:cs="宋体"/>
                <w:i w:val="0"/>
                <w:color w:val="auto"/>
                <w:sz w:val="18"/>
                <w:szCs w:val="18"/>
                <w:highlight w:val="none"/>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良好</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产出指标</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质量指标</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归集资金流失</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元</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99" w:hRule="atLeast"/>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产出指标</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成本指标</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公积金财务核算系统、稽核审计系统维护，资金对账检查，账户及资金管理、核算，财务档案管理，资料印制，年报披露等。强化法制宣传，内部稽核，及时调查处理和解答群众反映的问题，协助相关执法部门办理相关案件，开展明察暗访，综合服务等费用。</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万元</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良好</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产出指标</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时效指标</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项目完成时间</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2022</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年</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完成</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产出指标</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数量指标</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2022年管理资金量</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130</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亿元</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完成</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效益指标</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经济效益指标</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产生增值收益</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7000</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万</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11000</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9" w:hRule="atLeast"/>
        </w:trPr>
        <w:tc>
          <w:tcPr>
            <w:tcW w:w="81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合计</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94</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bookmarkEnd w:id="77"/>
    </w:tbl>
    <w:p>
      <w:pPr>
        <w:pStyle w:val="2"/>
        <w:shd w:val="clear"/>
        <w:rPr>
          <w:rStyle w:val="21"/>
          <w:rFonts w:hint="eastAsia" w:ascii="黑体" w:hAnsi="黑体" w:eastAsia="黑体"/>
          <w:b w:val="0"/>
          <w:color w:val="auto"/>
          <w:highlight w:val="none"/>
          <w:lang w:eastAsia="zh-CN"/>
        </w:rPr>
        <w:sectPr>
          <w:footerReference r:id="rId27" w:type="first"/>
          <w:footerReference r:id="rId26" w:type="default"/>
          <w:pgSz w:w="16838" w:h="11906" w:orient="landscape"/>
          <w:pgMar w:top="1587" w:right="2098" w:bottom="1474" w:left="1984" w:header="851" w:footer="992" w:gutter="0"/>
          <w:pgNumType w:fmt="decimal"/>
          <w:cols w:space="425" w:num="1"/>
          <w:docGrid w:type="lines" w:linePitch="312" w:charSpace="0"/>
        </w:sectPr>
      </w:pPr>
    </w:p>
    <w:p>
      <w:pPr>
        <w:pStyle w:val="35"/>
        <w:shd w:val="clear"/>
        <w:spacing w:line="0" w:lineRule="atLeast"/>
        <w:jc w:val="both"/>
        <w:rPr>
          <w:rStyle w:val="21"/>
          <w:rFonts w:hint="eastAsia" w:ascii="黑体" w:hAnsi="黑体" w:eastAsia="黑体"/>
          <w:b w:val="0"/>
          <w:color w:val="auto"/>
          <w:sz w:val="32"/>
          <w:szCs w:val="32"/>
          <w:highlight w:val="none"/>
          <w:lang w:val="en-US" w:eastAsia="zh-CN"/>
        </w:rPr>
      </w:pPr>
      <w:bookmarkStart w:id="116" w:name="_Toc30156"/>
      <w:bookmarkStart w:id="117" w:name="_Toc28540"/>
      <w:r>
        <w:rPr>
          <w:rStyle w:val="21"/>
          <w:rFonts w:hint="eastAsia" w:ascii="黑体" w:hAnsi="黑体" w:eastAsia="黑体"/>
          <w:b w:val="0"/>
          <w:color w:val="auto"/>
          <w:sz w:val="32"/>
          <w:szCs w:val="32"/>
          <w:highlight w:val="none"/>
          <w:lang w:eastAsia="zh-CN"/>
        </w:rPr>
        <w:t>附件</w:t>
      </w:r>
      <w:r>
        <w:rPr>
          <w:rStyle w:val="21"/>
          <w:rFonts w:hint="eastAsia" w:ascii="黑体" w:hAnsi="黑体" w:eastAsia="黑体"/>
          <w:b w:val="0"/>
          <w:color w:val="auto"/>
          <w:sz w:val="32"/>
          <w:szCs w:val="32"/>
          <w:highlight w:val="none"/>
          <w:lang w:val="en-US" w:eastAsia="zh-CN"/>
        </w:rPr>
        <w:t>4：</w:t>
      </w:r>
    </w:p>
    <w:bookmarkEnd w:id="116"/>
    <w:bookmarkEnd w:id="117"/>
    <w:p>
      <w:pPr>
        <w:pStyle w:val="35"/>
        <w:shd w:val="clear"/>
        <w:spacing w:line="0" w:lineRule="atLeast"/>
        <w:jc w:val="both"/>
        <w:rPr>
          <w:rStyle w:val="21"/>
          <w:rFonts w:hint="eastAsia" w:ascii="黑体" w:hAnsi="黑体" w:eastAsia="黑体"/>
          <w:b w:val="0"/>
          <w:color w:val="auto"/>
          <w:highlight w:val="none"/>
          <w:lang w:val="en-US" w:eastAsia="zh-CN"/>
        </w:rPr>
      </w:pPr>
    </w:p>
    <w:p>
      <w:pPr>
        <w:pStyle w:val="35"/>
        <w:shd w:val="clear"/>
        <w:spacing w:line="0" w:lineRule="atLeast"/>
        <w:jc w:val="center"/>
        <w:rPr>
          <w:rFonts w:ascii="方正小标宋简体" w:hAnsi="方正小标宋简体" w:eastAsia="方正小标宋简体" w:cs="方正小标宋简体"/>
          <w:color w:val="auto"/>
          <w:kern w:val="2"/>
          <w:sz w:val="44"/>
          <w:szCs w:val="44"/>
          <w:highlight w:val="none"/>
          <w:lang w:val="en-US"/>
        </w:rPr>
      </w:pPr>
      <w:r>
        <w:rPr>
          <w:rFonts w:hint="eastAsia" w:ascii="方正小标宋简体" w:hAnsi="方正小标宋简体" w:eastAsia="方正小标宋简体" w:cs="方正小标宋简体"/>
          <w:color w:val="auto"/>
          <w:kern w:val="2"/>
          <w:sz w:val="44"/>
          <w:szCs w:val="44"/>
          <w:highlight w:val="none"/>
          <w:lang w:val="en-US"/>
        </w:rPr>
        <w:t>2023年市级专项预算项目支出绩效自评报告</w:t>
      </w:r>
    </w:p>
    <w:p>
      <w:pPr>
        <w:widowControl w:val="0"/>
        <w:shd w:val="clear"/>
        <w:spacing w:line="0" w:lineRule="atLeast"/>
        <w:jc w:val="center"/>
        <w:rPr>
          <w:rFonts w:ascii="楷体_GB2312" w:hAnsi="楷体_GB2312" w:eastAsia="楷体_GB2312" w:cs="楷体_GB2312"/>
          <w:color w:val="auto"/>
          <w:kern w:val="2"/>
          <w:sz w:val="32"/>
          <w:szCs w:val="32"/>
          <w:highlight w:val="none"/>
          <w:lang w:val="zh-CN" w:eastAsia="zh-CN" w:bidi="ar-SA"/>
        </w:rPr>
      </w:pPr>
      <w:r>
        <w:rPr>
          <w:rFonts w:hint="eastAsia" w:ascii="楷体_GB2312" w:hAnsi="楷体_GB2312" w:eastAsia="楷体_GB2312" w:cs="楷体_GB2312"/>
          <w:color w:val="auto"/>
          <w:kern w:val="2"/>
          <w:sz w:val="32"/>
          <w:szCs w:val="32"/>
          <w:highlight w:val="none"/>
          <w:lang w:val="zh-CN" w:eastAsia="zh-CN" w:bidi="ar-SA"/>
        </w:rPr>
        <w:t>（公积金信贷业务专项工作经费）</w:t>
      </w:r>
    </w:p>
    <w:p>
      <w:pPr>
        <w:widowControl w:val="0"/>
        <w:shd w:val="clear"/>
        <w:spacing w:line="560" w:lineRule="exact"/>
        <w:jc w:val="center"/>
        <w:rPr>
          <w:rFonts w:ascii="宋体" w:hAnsi="宋体" w:eastAsia="宋体" w:cs="Times New Roman"/>
          <w:color w:val="auto"/>
          <w:kern w:val="2"/>
          <w:sz w:val="18"/>
          <w:szCs w:val="18"/>
          <w:highlight w:val="none"/>
          <w:lang w:val="zh-CN" w:eastAsia="zh-CN" w:bidi="ar-SA"/>
        </w:rPr>
      </w:pPr>
    </w:p>
    <w:p>
      <w:pPr>
        <w:shd w:val="clear"/>
        <w:adjustRightInd w:val="0"/>
        <w:snapToGrid w:val="0"/>
        <w:spacing w:line="560" w:lineRule="exact"/>
        <w:ind w:firstLine="640" w:firstLineChars="200"/>
        <w:outlineLvl w:val="1"/>
        <w:rPr>
          <w:rFonts w:ascii="黑体" w:hAnsi="宋体" w:eastAsia="黑体" w:cs="Times New Roman"/>
          <w:color w:val="auto"/>
          <w:sz w:val="32"/>
          <w:szCs w:val="32"/>
          <w:highlight w:val="none"/>
          <w:lang w:val="zh-CN"/>
        </w:rPr>
      </w:pPr>
      <w:bookmarkStart w:id="118" w:name="_Toc26548"/>
      <w:bookmarkStart w:id="119" w:name="_Toc20520"/>
      <w:r>
        <w:rPr>
          <w:rFonts w:hint="eastAsia" w:ascii="黑体" w:hAnsi="宋体" w:eastAsia="黑体" w:cs="Times New Roman"/>
          <w:color w:val="auto"/>
          <w:sz w:val="32"/>
          <w:szCs w:val="32"/>
          <w:highlight w:val="none"/>
        </w:rPr>
        <w:t>一、</w:t>
      </w:r>
      <w:r>
        <w:rPr>
          <w:rFonts w:hint="eastAsia" w:ascii="黑体" w:hAnsi="宋体" w:eastAsia="黑体" w:cs="Times New Roman"/>
          <w:color w:val="auto"/>
          <w:sz w:val="32"/>
          <w:szCs w:val="32"/>
          <w:highlight w:val="none"/>
          <w:lang w:val="zh-CN"/>
        </w:rPr>
        <w:t>项目概况</w:t>
      </w:r>
      <w:bookmarkEnd w:id="118"/>
      <w:bookmarkEnd w:id="119"/>
    </w:p>
    <w:p>
      <w:pPr>
        <w:shd w:val="clear"/>
        <w:spacing w:line="560" w:lineRule="exact"/>
        <w:ind w:firstLine="640" w:firstLineChars="200"/>
        <w:rPr>
          <w:rFonts w:ascii="楷体_GB2312" w:hAnsi="楷体_GB2312" w:eastAsia="楷体_GB2312" w:cs="楷体_GB2312"/>
          <w:color w:val="auto"/>
          <w:sz w:val="32"/>
          <w:szCs w:val="32"/>
          <w:highlight w:val="none"/>
        </w:rPr>
      </w:pPr>
      <w:r>
        <w:rPr>
          <w:rFonts w:hint="eastAsia" w:ascii="楷体_GB2312" w:hAnsi="楷体_GB2312" w:eastAsia="楷体_GB2312" w:cs="楷体_GB2312"/>
          <w:color w:val="auto"/>
          <w:sz w:val="32"/>
          <w:szCs w:val="32"/>
          <w:highlight w:val="none"/>
        </w:rPr>
        <w:t>（一）项目基本情况。</w:t>
      </w:r>
    </w:p>
    <w:p>
      <w:pPr>
        <w:shd w:val="clear"/>
        <w:adjustRightInd w:val="0"/>
        <w:snapToGrid w:val="0"/>
        <w:spacing w:line="560" w:lineRule="exact"/>
        <w:ind w:firstLine="720"/>
        <w:rPr>
          <w:rFonts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信贷科在市政府和市住房公积金中心的领导下，贯彻执行党和国家的方针政策，执行住房公积金信贷制度，加强对外宣传信贷政策，拟订住房公积金个人住房贷款计划并组织实施；负责住房公积金贷款风险管理；承担住房公积金贷款咨询、申请、审核和发放工作；负责记载住房公积金个人贷款发放和偿还情况；负责贷款档案管理和逾期贷款催收；负责受托银行住房公积金贷款业务的衔接、指导；指导各管理部信贷工作。</w:t>
      </w:r>
    </w:p>
    <w:p>
      <w:pPr>
        <w:shd w:val="clear"/>
        <w:tabs>
          <w:tab w:val="left" w:pos="2523"/>
        </w:tabs>
        <w:spacing w:line="560" w:lineRule="exact"/>
        <w:ind w:left="720"/>
        <w:rPr>
          <w:rFonts w:ascii="楷体_GB2312" w:hAnsi="楷体_GB2312" w:eastAsia="楷体_GB2312" w:cs="楷体_GB2312"/>
          <w:bCs/>
          <w:color w:val="auto"/>
          <w:sz w:val="32"/>
          <w:szCs w:val="32"/>
          <w:highlight w:val="none"/>
          <w:lang w:val="zh-CN"/>
        </w:rPr>
      </w:pPr>
      <w:r>
        <w:rPr>
          <w:rFonts w:hint="eastAsia" w:ascii="楷体_GB2312" w:hAnsi="楷体_GB2312" w:eastAsia="楷体_GB2312" w:cs="楷体_GB2312"/>
          <w:bCs/>
          <w:color w:val="auto"/>
          <w:sz w:val="32"/>
          <w:szCs w:val="32"/>
          <w:highlight w:val="none"/>
          <w:lang w:val="zh-CN"/>
        </w:rPr>
        <w:t>（二）项目绩效目标。</w:t>
      </w:r>
    </w:p>
    <w:p>
      <w:pPr>
        <w:shd w:val="clear"/>
        <w:tabs>
          <w:tab w:val="left" w:pos="2523"/>
        </w:tabs>
        <w:spacing w:line="560" w:lineRule="exact"/>
        <w:ind w:firstLine="640" w:firstLineChars="200"/>
        <w:rPr>
          <w:rFonts w:ascii="仿宋_GB2312" w:hAnsi="宋体" w:eastAsia="仿宋_GB2312" w:cs="Times New Roman"/>
          <w:color w:val="auto"/>
          <w:sz w:val="32"/>
          <w:szCs w:val="32"/>
          <w:highlight w:val="none"/>
        </w:rPr>
      </w:pPr>
      <w:r>
        <w:rPr>
          <w:rFonts w:hint="eastAsia" w:ascii="仿宋_GB2312" w:hAnsi="仿宋_GB2312" w:eastAsia="仿宋_GB2312" w:cs="仿宋_GB2312"/>
          <w:color w:val="auto"/>
          <w:sz w:val="32"/>
          <w:szCs w:val="32"/>
          <w:highlight w:val="none"/>
        </w:rPr>
        <w:t>广元市住房公积金管理中心信贷科严格按照市政府和中心下达的各项绩效目标任务和政策要求，结合实际，压实责任、细化指标，优化服务和工作举措，合规合理合情使用该运行经费。2022年各项指标圆满完成，绩效目标和绩效指标全面完整、相匹配、量化可考核。该项目经费与部门长期规划目标和年度工作目标相一致，产出和效果相关联，贷款职工</w:t>
      </w:r>
      <w:r>
        <w:rPr>
          <w:rFonts w:hint="eastAsia" w:ascii="仿宋_GB2312" w:hAnsi="宋体" w:eastAsia="仿宋_GB2312" w:cs="Times New Roman"/>
          <w:color w:val="auto"/>
          <w:sz w:val="32"/>
          <w:szCs w:val="32"/>
          <w:highlight w:val="none"/>
        </w:rPr>
        <w:t>满意度达98%以上。</w:t>
      </w:r>
    </w:p>
    <w:p>
      <w:pPr>
        <w:shd w:val="clear"/>
        <w:adjustRightInd w:val="0"/>
        <w:snapToGrid w:val="0"/>
        <w:spacing w:line="560" w:lineRule="exact"/>
        <w:ind w:firstLine="640" w:firstLineChars="200"/>
        <w:rPr>
          <w:rFonts w:ascii="楷体_GB2312" w:hAnsi="宋体" w:eastAsia="楷体_GB2312" w:cs="Times New Roman"/>
          <w:color w:val="auto"/>
          <w:sz w:val="32"/>
          <w:szCs w:val="32"/>
          <w:highlight w:val="none"/>
          <w:lang w:val="zh-CN"/>
        </w:rPr>
      </w:pPr>
      <w:r>
        <w:rPr>
          <w:rFonts w:hint="eastAsia" w:ascii="楷体_GB2312" w:hAnsi="宋体" w:eastAsia="楷体_GB2312" w:cs="Times New Roman"/>
          <w:color w:val="auto"/>
          <w:sz w:val="32"/>
          <w:szCs w:val="32"/>
          <w:highlight w:val="none"/>
          <w:lang w:val="zh-CN"/>
        </w:rPr>
        <w:t>（三）项目自评步骤及方法。</w:t>
      </w:r>
    </w:p>
    <w:p>
      <w:pPr>
        <w:shd w:val="clear"/>
        <w:tabs>
          <w:tab w:val="left" w:pos="2523"/>
        </w:tabs>
        <w:spacing w:line="560" w:lineRule="exact"/>
        <w:ind w:firstLine="640" w:firstLineChars="200"/>
        <w:rPr>
          <w:rFonts w:hint="eastAsia" w:ascii="仿宋_GB2312" w:hAnsi="仿宋_GB2312" w:eastAsia="仿宋_GB2312" w:cs="仿宋_GB2312"/>
          <w:color w:val="auto"/>
          <w:sz w:val="32"/>
          <w:szCs w:val="32"/>
          <w:highlight w:val="none"/>
        </w:rPr>
        <w:sectPr>
          <w:footerReference r:id="rId29" w:type="first"/>
          <w:footerReference r:id="rId28" w:type="default"/>
          <w:pgSz w:w="11906" w:h="16838"/>
          <w:pgMar w:top="2098" w:right="1474" w:bottom="1984" w:left="1587" w:header="851" w:footer="992" w:gutter="0"/>
          <w:pgNumType w:fmt="decimal"/>
          <w:cols w:space="425" w:num="1"/>
          <w:titlePg/>
          <w:docGrid w:type="lines" w:linePitch="312" w:charSpace="0"/>
        </w:sectPr>
      </w:pPr>
      <w:r>
        <w:rPr>
          <w:rFonts w:hint="eastAsia" w:ascii="仿宋_GB2312" w:hAnsi="仿宋_GB2312" w:eastAsia="仿宋_GB2312" w:cs="仿宋_GB2312"/>
          <w:color w:val="auto"/>
          <w:sz w:val="32"/>
          <w:szCs w:val="32"/>
          <w:highlight w:val="none"/>
        </w:rPr>
        <w:t>首先由业务科室经办人员、财务人员共同草拟自评报告，分</w:t>
      </w:r>
    </w:p>
    <w:p>
      <w:pPr>
        <w:shd w:val="clear"/>
        <w:tabs>
          <w:tab w:val="left" w:pos="2523"/>
        </w:tabs>
        <w:spacing w:line="56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别报分管领导、主要领导审阅后再报送。</w:t>
      </w:r>
    </w:p>
    <w:p>
      <w:pPr>
        <w:shd w:val="clear"/>
        <w:adjustRightInd w:val="0"/>
        <w:snapToGrid w:val="0"/>
        <w:spacing w:line="560" w:lineRule="exact"/>
        <w:ind w:firstLine="640" w:firstLineChars="200"/>
        <w:outlineLvl w:val="1"/>
        <w:rPr>
          <w:rFonts w:ascii="黑体" w:hAnsi="宋体" w:eastAsia="黑体" w:cs="Times New Roman"/>
          <w:color w:val="auto"/>
          <w:sz w:val="32"/>
          <w:szCs w:val="32"/>
          <w:highlight w:val="none"/>
        </w:rPr>
      </w:pPr>
      <w:bookmarkStart w:id="120" w:name="_Toc5636"/>
      <w:bookmarkStart w:id="121" w:name="_Toc21016"/>
      <w:r>
        <w:rPr>
          <w:rFonts w:hint="eastAsia" w:ascii="黑体" w:hAnsi="宋体" w:eastAsia="黑体" w:cs="Times New Roman"/>
          <w:color w:val="auto"/>
          <w:sz w:val="32"/>
          <w:szCs w:val="32"/>
          <w:highlight w:val="none"/>
        </w:rPr>
        <w:t>二、项目资金申报及使用情况</w:t>
      </w:r>
      <w:bookmarkEnd w:id="120"/>
      <w:bookmarkEnd w:id="121"/>
    </w:p>
    <w:p>
      <w:pPr>
        <w:shd w:val="clear"/>
        <w:adjustRightInd w:val="0"/>
        <w:snapToGrid w:val="0"/>
        <w:spacing w:line="560" w:lineRule="exact"/>
        <w:ind w:firstLine="640" w:firstLineChars="200"/>
        <w:rPr>
          <w:rFonts w:ascii="楷体_GB2312" w:hAnsi="宋体" w:eastAsia="楷体_GB2312" w:cs="Times New Roman"/>
          <w:color w:val="auto"/>
          <w:sz w:val="32"/>
          <w:szCs w:val="32"/>
          <w:highlight w:val="none"/>
          <w:lang w:val="zh-CN"/>
        </w:rPr>
      </w:pPr>
      <w:r>
        <w:rPr>
          <w:rFonts w:hint="eastAsia" w:ascii="楷体_GB2312" w:hAnsi="宋体" w:eastAsia="楷体_GB2312" w:cs="Times New Roman"/>
          <w:color w:val="auto"/>
          <w:sz w:val="32"/>
          <w:szCs w:val="32"/>
          <w:highlight w:val="none"/>
          <w:lang w:val="zh-CN"/>
        </w:rPr>
        <w:t>（一）项目资金申报及批复情况。</w:t>
      </w:r>
    </w:p>
    <w:p>
      <w:pPr>
        <w:widowControl w:val="0"/>
        <w:shd w:val="clear"/>
        <w:adjustRightInd w:val="0"/>
        <w:snapToGrid w:val="0"/>
        <w:spacing w:line="560" w:lineRule="exact"/>
        <w:ind w:firstLine="640" w:firstLineChars="200"/>
        <w:jc w:val="both"/>
        <w:rPr>
          <w:rFonts w:ascii="仿宋_GB2312" w:hAnsi="仿宋_GB2312" w:eastAsia="仿宋_GB2312" w:cs="仿宋_GB2312"/>
          <w:bCs/>
          <w:color w:val="auto"/>
          <w:kern w:val="2"/>
          <w:sz w:val="32"/>
          <w:szCs w:val="32"/>
          <w:highlight w:val="none"/>
          <w:lang w:val="en-US" w:eastAsia="zh-CN" w:bidi="ar-SA"/>
        </w:rPr>
      </w:pPr>
      <w:r>
        <w:rPr>
          <w:rFonts w:hint="eastAsia" w:ascii="仿宋_GB2312" w:hAnsi="仿宋_GB2312" w:eastAsia="仿宋_GB2312" w:cs="仿宋_GB2312"/>
          <w:bCs/>
          <w:color w:val="auto"/>
          <w:kern w:val="2"/>
          <w:sz w:val="32"/>
          <w:szCs w:val="32"/>
          <w:highlight w:val="none"/>
          <w:lang w:val="en-US" w:eastAsia="zh-CN" w:bidi="ar-SA"/>
        </w:rPr>
        <w:t>信贷科参考上年费用情况，根据单位年度重点工作安排，分析测算项目资金需求。由办公室汇总项目纳入年度部门预算草案，经中心党组会审议后报财政局纳入市级部门预算编制报批。2022年度</w:t>
      </w:r>
      <w:r>
        <w:rPr>
          <w:rFonts w:hint="eastAsia" w:ascii="仿宋_GB2312" w:hAnsi="仿宋_GB2312" w:eastAsia="仿宋_GB2312" w:cs="仿宋_GB2312"/>
          <w:bCs/>
          <w:color w:val="auto"/>
          <w:kern w:val="2"/>
          <w:sz w:val="32"/>
          <w:szCs w:val="32"/>
          <w:highlight w:val="none"/>
          <w:lang w:val="en-US" w:eastAsia="zh-CN" w:bidi="ar-SA"/>
        </w:rPr>
        <w:t>申报</w:t>
      </w:r>
      <w:r>
        <w:rPr>
          <w:rFonts w:hint="eastAsia" w:ascii="仿宋_GB2312" w:hAnsi="仿宋_GB2312" w:eastAsia="仿宋_GB2312" w:cs="仿宋_GB2312"/>
          <w:bCs/>
          <w:color w:val="auto"/>
          <w:kern w:val="2"/>
          <w:sz w:val="32"/>
          <w:szCs w:val="32"/>
          <w:highlight w:val="none"/>
          <w:lang w:val="en-US" w:eastAsia="zh-CN" w:bidi="ar-SA"/>
        </w:rPr>
        <w:t>公积金信贷业务专项工作经费预算资</w:t>
      </w:r>
      <w:r>
        <w:rPr>
          <w:rFonts w:hint="eastAsia" w:ascii="仿宋_GB2312" w:hAnsi="仿宋_GB2312" w:eastAsia="仿宋_GB2312" w:cs="仿宋_GB2312"/>
          <w:bCs/>
          <w:color w:val="auto"/>
          <w:kern w:val="2"/>
          <w:sz w:val="32"/>
          <w:szCs w:val="32"/>
          <w:highlight w:val="none"/>
          <w:lang w:val="en-US" w:eastAsia="zh-CN" w:bidi="ar-SA"/>
        </w:rPr>
        <w:t>金35</w:t>
      </w:r>
      <w:r>
        <w:rPr>
          <w:rFonts w:hint="eastAsia" w:ascii="仿宋_GB2312" w:hAnsi="仿宋_GB2312" w:eastAsia="仿宋_GB2312" w:cs="仿宋_GB2312"/>
          <w:bCs/>
          <w:color w:val="auto"/>
          <w:kern w:val="2"/>
          <w:sz w:val="32"/>
          <w:szCs w:val="32"/>
          <w:highlight w:val="none"/>
          <w:lang w:val="en-US" w:eastAsia="zh-CN" w:bidi="ar-SA"/>
        </w:rPr>
        <w:t>万元，该项目为市本级支付项目，由市财政全额保障。财政批复下达专项资金预算35万元。</w:t>
      </w:r>
    </w:p>
    <w:p>
      <w:pPr>
        <w:shd w:val="clear"/>
        <w:adjustRightInd w:val="0"/>
        <w:snapToGrid w:val="0"/>
        <w:spacing w:line="560" w:lineRule="exact"/>
        <w:ind w:firstLine="640" w:firstLineChars="200"/>
        <w:rPr>
          <w:rFonts w:ascii="仿宋_GB2312" w:hAnsi="宋体" w:eastAsia="仿宋_GB2312" w:cs="Times New Roman"/>
          <w:color w:val="auto"/>
          <w:sz w:val="32"/>
          <w:szCs w:val="32"/>
          <w:highlight w:val="none"/>
          <w:lang w:val="zh-CN"/>
        </w:rPr>
      </w:pPr>
      <w:r>
        <w:rPr>
          <w:rFonts w:hint="eastAsia" w:ascii="楷体_GB2312" w:hAnsi="宋体" w:eastAsia="楷体_GB2312" w:cs="Times New Roman"/>
          <w:color w:val="auto"/>
          <w:sz w:val="32"/>
          <w:szCs w:val="32"/>
          <w:highlight w:val="none"/>
          <w:lang w:val="zh-CN"/>
        </w:rPr>
        <w:t>（二）资金计划、到位及使用情况。</w:t>
      </w:r>
    </w:p>
    <w:p>
      <w:pPr>
        <w:widowControl w:val="0"/>
        <w:shd w:val="clear"/>
        <w:adjustRightInd w:val="0"/>
        <w:snapToGrid w:val="0"/>
        <w:spacing w:line="560" w:lineRule="exact"/>
        <w:ind w:firstLine="720"/>
        <w:jc w:val="both"/>
        <w:rPr>
          <w:rFonts w:ascii="仿宋_GB2312" w:hAnsi="宋体" w:eastAsia="仿宋_GB2312" w:cs="Times New Roman"/>
          <w:color w:val="auto"/>
          <w:kern w:val="2"/>
          <w:sz w:val="32"/>
          <w:szCs w:val="32"/>
          <w:highlight w:val="none"/>
          <w:lang w:val="en-US" w:eastAsia="zh-CN" w:bidi="ar-SA"/>
        </w:rPr>
      </w:pPr>
      <w:r>
        <w:rPr>
          <w:rFonts w:hint="eastAsia" w:ascii="仿宋_GB2312" w:hAnsi="宋体" w:eastAsia="仿宋_GB2312" w:cs="Times New Roman"/>
          <w:color w:val="auto"/>
          <w:kern w:val="2"/>
          <w:sz w:val="32"/>
          <w:szCs w:val="32"/>
          <w:highlight w:val="none"/>
          <w:lang w:val="en-US" w:eastAsia="zh-CN" w:bidi="ar-SA"/>
        </w:rPr>
        <w:t>1.</w:t>
      </w:r>
      <w:r>
        <w:rPr>
          <w:rFonts w:hint="eastAsia" w:ascii="仿宋_GB2312" w:hAnsi="宋体" w:eastAsia="仿宋_GB2312" w:cs="Times New Roman"/>
          <w:color w:val="auto"/>
          <w:kern w:val="2"/>
          <w:sz w:val="32"/>
          <w:szCs w:val="32"/>
          <w:highlight w:val="none"/>
          <w:lang w:val="zh-CN" w:eastAsia="zh-CN" w:bidi="ar-SA"/>
        </w:rPr>
        <w:t>资金计划及到位。</w:t>
      </w:r>
      <w:r>
        <w:rPr>
          <w:rFonts w:hint="eastAsia" w:ascii="仿宋_GB2312" w:hAnsi="宋体" w:eastAsia="仿宋_GB2312" w:cs="Times New Roman"/>
          <w:color w:val="auto"/>
          <w:kern w:val="2"/>
          <w:sz w:val="32"/>
          <w:szCs w:val="32"/>
          <w:highlight w:val="none"/>
          <w:lang w:val="en-US" w:eastAsia="zh-CN" w:bidi="ar-SA"/>
        </w:rPr>
        <w:t>2022年</w:t>
      </w:r>
      <w:r>
        <w:rPr>
          <w:rFonts w:hint="eastAsia" w:ascii="仿宋_GB2312" w:hAnsi="仿宋_GB2312" w:eastAsia="仿宋_GB2312" w:cs="仿宋_GB2312"/>
          <w:bCs/>
          <w:color w:val="auto"/>
          <w:kern w:val="2"/>
          <w:sz w:val="32"/>
          <w:szCs w:val="32"/>
          <w:highlight w:val="none"/>
          <w:lang w:val="en-US" w:eastAsia="zh-CN" w:bidi="ar-SA"/>
        </w:rPr>
        <w:t>公积金信贷业务专项工作经费</w:t>
      </w:r>
      <w:r>
        <w:rPr>
          <w:rFonts w:hint="eastAsia" w:ascii="仿宋_GB2312" w:hAnsi="宋体" w:eastAsia="仿宋_GB2312" w:cs="Times New Roman"/>
          <w:color w:val="auto"/>
          <w:kern w:val="2"/>
          <w:sz w:val="32"/>
          <w:szCs w:val="32"/>
          <w:highlight w:val="none"/>
          <w:lang w:val="en-US" w:eastAsia="zh-CN" w:bidi="ar-SA"/>
        </w:rPr>
        <w:t>35万元随同部门预算一同下达，资金拨付到位。</w:t>
      </w:r>
    </w:p>
    <w:p>
      <w:pPr>
        <w:widowControl w:val="0"/>
        <w:shd w:val="clear"/>
        <w:adjustRightInd w:val="0"/>
        <w:snapToGrid w:val="0"/>
        <w:spacing w:line="560" w:lineRule="exact"/>
        <w:ind w:firstLine="720"/>
        <w:jc w:val="both"/>
        <w:rPr>
          <w:rFonts w:ascii="仿宋_GB2312" w:hAnsi="宋体" w:eastAsia="仿宋_GB2312" w:cs="Times New Roman"/>
          <w:color w:val="auto"/>
          <w:kern w:val="2"/>
          <w:sz w:val="32"/>
          <w:szCs w:val="32"/>
          <w:highlight w:val="none"/>
          <w:lang w:val="zh-CN" w:eastAsia="zh-CN" w:bidi="ar-SA"/>
        </w:rPr>
      </w:pPr>
      <w:r>
        <w:rPr>
          <w:rFonts w:hint="eastAsia" w:ascii="仿宋_GB2312" w:hAnsi="宋体" w:eastAsia="仿宋_GB2312" w:cs="Times New Roman"/>
          <w:color w:val="auto"/>
          <w:kern w:val="2"/>
          <w:sz w:val="32"/>
          <w:szCs w:val="32"/>
          <w:highlight w:val="none"/>
          <w:lang w:val="en-US" w:eastAsia="zh-CN" w:bidi="ar-SA"/>
        </w:rPr>
        <w:t>2.</w:t>
      </w:r>
      <w:r>
        <w:rPr>
          <w:rFonts w:hint="eastAsia" w:ascii="仿宋_GB2312" w:hAnsi="宋体" w:eastAsia="仿宋_GB2312" w:cs="Times New Roman"/>
          <w:color w:val="auto"/>
          <w:kern w:val="2"/>
          <w:sz w:val="32"/>
          <w:szCs w:val="32"/>
          <w:highlight w:val="none"/>
          <w:lang w:val="zh-CN" w:eastAsia="zh-CN" w:bidi="ar-SA"/>
        </w:rPr>
        <w:t>资金使用。</w:t>
      </w:r>
      <w:r>
        <w:rPr>
          <w:rFonts w:hint="eastAsia" w:ascii="仿宋_GB2312" w:hAnsi="仿宋_GB2312" w:eastAsia="仿宋_GB2312" w:cs="仿宋_GB2312"/>
          <w:bCs/>
          <w:color w:val="auto"/>
          <w:kern w:val="2"/>
          <w:sz w:val="32"/>
          <w:szCs w:val="32"/>
          <w:highlight w:val="none"/>
          <w:lang w:val="en-US" w:eastAsia="zh-CN" w:bidi="ar-SA"/>
        </w:rPr>
        <w:t>公积金信贷业务专项工作经费</w:t>
      </w:r>
      <w:r>
        <w:rPr>
          <w:rFonts w:hint="eastAsia" w:ascii="仿宋_GB2312" w:hAnsi="宋体" w:eastAsia="仿宋_GB2312" w:cs="Times New Roman"/>
          <w:color w:val="auto"/>
          <w:kern w:val="2"/>
          <w:sz w:val="32"/>
          <w:szCs w:val="32"/>
          <w:highlight w:val="none"/>
          <w:lang w:val="zh-CN" w:eastAsia="zh-CN" w:bidi="ar-SA"/>
        </w:rPr>
        <w:t>实际支出</w:t>
      </w:r>
      <w:r>
        <w:rPr>
          <w:rFonts w:hint="eastAsia" w:ascii="仿宋_GB2312" w:hAnsi="宋体" w:eastAsia="仿宋_GB2312" w:cs="Times New Roman"/>
          <w:color w:val="auto"/>
          <w:kern w:val="2"/>
          <w:sz w:val="32"/>
          <w:szCs w:val="32"/>
          <w:highlight w:val="none"/>
          <w:lang w:val="en-US" w:eastAsia="zh-CN" w:bidi="ar-SA"/>
        </w:rPr>
        <w:t>20</w:t>
      </w:r>
      <w:r>
        <w:rPr>
          <w:rFonts w:hint="eastAsia" w:ascii="仿宋_GB2312" w:hAnsi="宋体" w:eastAsia="仿宋_GB2312" w:cs="Times New Roman"/>
          <w:color w:val="auto"/>
          <w:kern w:val="2"/>
          <w:sz w:val="32"/>
          <w:szCs w:val="32"/>
          <w:highlight w:val="none"/>
          <w:lang w:val="zh-CN" w:eastAsia="zh-CN" w:bidi="ar-SA"/>
        </w:rPr>
        <w:t>万元，资金主要用于</w:t>
      </w:r>
      <w:r>
        <w:rPr>
          <w:rFonts w:hint="eastAsia" w:ascii="仿宋_GB2312" w:hAnsi="宋体" w:eastAsia="仿宋_GB2312" w:cs="Times New Roman"/>
          <w:color w:val="auto"/>
          <w:kern w:val="2"/>
          <w:sz w:val="32"/>
          <w:szCs w:val="32"/>
          <w:highlight w:val="none"/>
          <w:lang w:val="en-US" w:eastAsia="zh-CN" w:bidi="ar-SA"/>
        </w:rPr>
        <w:t>围绕年度目标任务做好住房公积金贷款发放和贷款资金回收信贷专项业务产生的全部支出，</w:t>
      </w:r>
      <w:r>
        <w:rPr>
          <w:rFonts w:hint="eastAsia" w:ascii="仿宋_GB2312" w:hAnsi="宋体" w:eastAsia="仿宋_GB2312" w:cs="Times New Roman"/>
          <w:color w:val="auto"/>
          <w:kern w:val="2"/>
          <w:sz w:val="32"/>
          <w:szCs w:val="32"/>
          <w:highlight w:val="none"/>
          <w:lang w:val="zh-CN" w:eastAsia="zh-CN" w:bidi="ar-SA"/>
        </w:rPr>
        <w:t>全年支付进度达100%。</w:t>
      </w:r>
      <w:r>
        <w:rPr>
          <w:rFonts w:hint="eastAsia" w:ascii="仿宋_GB2312" w:hAnsi="宋体" w:eastAsia="仿宋_GB2312" w:cs="Times New Roman"/>
          <w:color w:val="auto"/>
          <w:kern w:val="2"/>
          <w:sz w:val="32"/>
          <w:szCs w:val="32"/>
          <w:highlight w:val="none"/>
          <w:lang w:val="zh-CN" w:eastAsia="zh-CN" w:bidi="ar-SA"/>
        </w:rPr>
        <w:t>经费严格按照机关出台的各项管理办法支付，依据合规合法</w:t>
      </w:r>
      <w:r>
        <w:rPr>
          <w:rFonts w:hint="eastAsia" w:ascii="仿宋_GB2312" w:hAnsi="宋体" w:eastAsia="仿宋_GB2312" w:cs="Times New Roman"/>
          <w:color w:val="auto"/>
          <w:kern w:val="2"/>
          <w:sz w:val="32"/>
          <w:szCs w:val="32"/>
          <w:highlight w:val="none"/>
          <w:lang w:val="zh-CN" w:eastAsia="zh-CN" w:bidi="ar-SA"/>
        </w:rPr>
        <w:t>。资金支付与预算相符。</w:t>
      </w:r>
    </w:p>
    <w:p>
      <w:pPr>
        <w:shd w:val="clear"/>
        <w:adjustRightInd w:val="0"/>
        <w:snapToGrid w:val="0"/>
        <w:spacing w:line="560" w:lineRule="exact"/>
        <w:ind w:firstLine="640" w:firstLineChars="200"/>
        <w:rPr>
          <w:rFonts w:ascii="楷体_GB2312" w:hAnsi="宋体" w:eastAsia="楷体_GB2312" w:cs="Times New Roman"/>
          <w:color w:val="auto"/>
          <w:sz w:val="32"/>
          <w:szCs w:val="32"/>
          <w:highlight w:val="none"/>
          <w:lang w:val="zh-CN"/>
        </w:rPr>
      </w:pPr>
      <w:r>
        <w:rPr>
          <w:rFonts w:hint="eastAsia" w:ascii="楷体_GB2312" w:hAnsi="宋体" w:eastAsia="楷体_GB2312" w:cs="Times New Roman"/>
          <w:color w:val="auto"/>
          <w:sz w:val="32"/>
          <w:szCs w:val="32"/>
          <w:highlight w:val="none"/>
          <w:lang w:val="zh-CN"/>
        </w:rPr>
        <w:t>（三）项目财务管理情况。</w:t>
      </w:r>
    </w:p>
    <w:p>
      <w:pPr>
        <w:shd w:val="clear"/>
        <w:adjustRightInd w:val="0"/>
        <w:snapToGrid w:val="0"/>
        <w:spacing w:line="560" w:lineRule="exact"/>
        <w:ind w:firstLine="720"/>
        <w:rPr>
          <w:rFonts w:ascii="仿宋_GB2312" w:hAnsi="宋体" w:eastAsia="仿宋_GB2312" w:cs="Times New Roman"/>
          <w:color w:val="auto"/>
          <w:sz w:val="32"/>
          <w:szCs w:val="32"/>
          <w:highlight w:val="none"/>
          <w:lang w:val="zh-CN"/>
        </w:rPr>
      </w:pPr>
      <w:r>
        <w:rPr>
          <w:rFonts w:hint="eastAsia" w:ascii="仿宋_GB2312" w:hAnsi="宋体" w:eastAsia="仿宋_GB2312" w:cs="Times New Roman"/>
          <w:color w:val="auto"/>
          <w:sz w:val="32"/>
          <w:szCs w:val="32"/>
          <w:highlight w:val="none"/>
          <w:lang w:val="zh-CN"/>
        </w:rPr>
        <w:t>单位目标任务的制定与国家政策法规、部门职责、部门中长期规划相符。</w:t>
      </w:r>
      <w:r>
        <w:rPr>
          <w:rFonts w:hint="eastAsia" w:ascii="仿宋_GB2312" w:hAnsi="仿宋_GB2312" w:eastAsia="仿宋_GB2312" w:cs="仿宋_GB2312"/>
          <w:bCs/>
          <w:color w:val="auto"/>
          <w:sz w:val="32"/>
          <w:szCs w:val="32"/>
          <w:highlight w:val="none"/>
        </w:rPr>
        <w:t>公积金信贷业务专项工作经费</w:t>
      </w:r>
      <w:r>
        <w:rPr>
          <w:rFonts w:hint="eastAsia" w:ascii="仿宋_GB2312" w:hAnsi="宋体" w:eastAsia="仿宋_GB2312" w:cs="Times New Roman"/>
          <w:color w:val="auto"/>
          <w:sz w:val="32"/>
          <w:szCs w:val="32"/>
          <w:highlight w:val="none"/>
        </w:rPr>
        <w:t>纳入单位财务集中统一管理，严格按照本单位制定的财务管理制度要求执行，做到先有预算后有支出，并结合全年工作任务及时办理相关的经费支出，提升项目资金使用的制度化、规范化、程序化要求，财务处理及时规范，会计核算准确无误。</w:t>
      </w:r>
    </w:p>
    <w:p>
      <w:pPr>
        <w:shd w:val="clear"/>
        <w:adjustRightInd w:val="0"/>
        <w:snapToGrid w:val="0"/>
        <w:spacing w:line="560" w:lineRule="exact"/>
        <w:ind w:firstLine="640" w:firstLineChars="200"/>
        <w:outlineLvl w:val="1"/>
        <w:rPr>
          <w:rFonts w:ascii="黑体" w:hAnsi="宋体" w:eastAsia="黑体" w:cs="Times New Roman"/>
          <w:color w:val="auto"/>
          <w:sz w:val="32"/>
          <w:szCs w:val="32"/>
          <w:highlight w:val="none"/>
        </w:rPr>
      </w:pPr>
      <w:bookmarkStart w:id="122" w:name="_Toc19741"/>
      <w:bookmarkStart w:id="123" w:name="_Toc17322"/>
      <w:r>
        <w:rPr>
          <w:rFonts w:hint="eastAsia" w:ascii="黑体" w:hAnsi="宋体" w:eastAsia="黑体" w:cs="Times New Roman"/>
          <w:color w:val="auto"/>
          <w:sz w:val="32"/>
          <w:szCs w:val="32"/>
          <w:highlight w:val="none"/>
        </w:rPr>
        <w:t>三、项目实施及管理情况</w:t>
      </w:r>
      <w:bookmarkEnd w:id="122"/>
      <w:bookmarkEnd w:id="123"/>
    </w:p>
    <w:p>
      <w:pPr>
        <w:numPr>
          <w:ilvl w:val="0"/>
          <w:numId w:val="8"/>
        </w:numPr>
        <w:shd w:val="clear"/>
        <w:adjustRightInd w:val="0"/>
        <w:snapToGrid w:val="0"/>
        <w:spacing w:line="560" w:lineRule="exact"/>
        <w:ind w:firstLine="640" w:firstLineChars="200"/>
        <w:rPr>
          <w:rFonts w:ascii="楷体_GB2312" w:hAnsi="宋体" w:eastAsia="楷体_GB2312" w:cs="Times New Roman"/>
          <w:color w:val="auto"/>
          <w:sz w:val="32"/>
          <w:szCs w:val="32"/>
          <w:highlight w:val="none"/>
          <w:lang w:val="zh-CN"/>
        </w:rPr>
      </w:pPr>
      <w:r>
        <w:rPr>
          <w:rFonts w:hint="eastAsia" w:ascii="楷体_GB2312" w:hAnsi="宋体" w:eastAsia="楷体_GB2312" w:cs="Times New Roman"/>
          <w:color w:val="auto"/>
          <w:sz w:val="32"/>
          <w:szCs w:val="32"/>
          <w:highlight w:val="none"/>
          <w:lang w:val="zh-CN"/>
        </w:rPr>
        <w:t>项目组织架构及实施流程。</w:t>
      </w:r>
    </w:p>
    <w:p>
      <w:pPr>
        <w:widowControl w:val="0"/>
        <w:shd w:val="clear"/>
        <w:adjustRightInd w:val="0"/>
        <w:snapToGrid w:val="0"/>
        <w:spacing w:line="560" w:lineRule="exact"/>
        <w:ind w:firstLine="720"/>
        <w:jc w:val="both"/>
        <w:rPr>
          <w:rFonts w:ascii="仿宋_GB2312" w:hAnsi="宋体" w:eastAsia="仿宋_GB2312" w:cs="Times New Roman"/>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为提高预算使用效率，信贷科制定经费使用实施计划，建立资金统计台账，从而确保工作开展取得实效。</w:t>
      </w:r>
      <w:r>
        <w:rPr>
          <w:rFonts w:hint="eastAsia" w:ascii="仿宋_GB2312" w:hAnsi="宋体" w:eastAsia="仿宋_GB2312" w:cs="Times New Roman"/>
          <w:color w:val="auto"/>
          <w:kern w:val="2"/>
          <w:sz w:val="32"/>
          <w:szCs w:val="32"/>
          <w:highlight w:val="none"/>
          <w:lang w:val="zh-CN" w:eastAsia="zh-CN" w:bidi="ar-SA"/>
        </w:rPr>
        <w:t>项目组织实施严格执行财务管理制度，及时进行账务处理，规范进行会计核算。</w:t>
      </w:r>
    </w:p>
    <w:p>
      <w:pPr>
        <w:shd w:val="clear"/>
        <w:adjustRightInd w:val="0"/>
        <w:snapToGrid w:val="0"/>
        <w:spacing w:line="560" w:lineRule="exact"/>
        <w:ind w:firstLine="640" w:firstLineChars="200"/>
        <w:rPr>
          <w:rFonts w:ascii="仿宋_GB2312" w:hAnsi="仿宋_GB2312" w:eastAsia="仿宋_GB2312" w:cs="仿宋_GB2312"/>
          <w:color w:val="auto"/>
          <w:kern w:val="0"/>
          <w:sz w:val="32"/>
          <w:szCs w:val="32"/>
          <w:highlight w:val="none"/>
          <w:shd w:val="clear" w:color="auto" w:fill="FFFFFF"/>
          <w:lang w:val="zh-CN"/>
        </w:rPr>
      </w:pPr>
      <w:r>
        <w:rPr>
          <w:rFonts w:hint="eastAsia" w:ascii="楷体_GB2312" w:hAnsi="宋体" w:eastAsia="楷体_GB2312" w:cs="Times New Roman"/>
          <w:color w:val="auto"/>
          <w:sz w:val="32"/>
          <w:szCs w:val="32"/>
          <w:highlight w:val="none"/>
          <w:lang w:val="zh-CN"/>
        </w:rPr>
        <w:t>（二）项目管理情况。</w:t>
      </w:r>
      <w:r>
        <w:rPr>
          <w:rFonts w:hint="eastAsia" w:ascii="仿宋_GB2312" w:hAnsi="仿宋_GB2312" w:eastAsia="仿宋_GB2312" w:cs="仿宋_GB2312"/>
          <w:color w:val="auto"/>
          <w:kern w:val="0"/>
          <w:sz w:val="32"/>
          <w:szCs w:val="32"/>
          <w:highlight w:val="none"/>
          <w:shd w:val="clear" w:color="auto" w:fill="FFFFFF"/>
        </w:rPr>
        <w:t>2022年</w:t>
      </w:r>
      <w:r>
        <w:rPr>
          <w:rFonts w:hint="eastAsia" w:ascii="仿宋_GB2312" w:hAnsi="仿宋_GB2312" w:eastAsia="仿宋_GB2312" w:cs="仿宋_GB2312"/>
          <w:color w:val="auto"/>
          <w:kern w:val="0"/>
          <w:sz w:val="32"/>
          <w:szCs w:val="32"/>
          <w:highlight w:val="none"/>
          <w:shd w:val="clear" w:color="auto" w:fill="FFFFFF"/>
          <w:lang w:val="zh-CN"/>
        </w:rPr>
        <w:t>公积金信贷业务专项工作经费项目相关管理制度机制健全完善，在项目执行过程中，无管理制度有悖于实际的情况，无存在难以操作、无法落地、执行不畅的等情况。</w:t>
      </w:r>
    </w:p>
    <w:p>
      <w:pPr>
        <w:widowControl/>
        <w:shd w:val="clear"/>
        <w:spacing w:line="560" w:lineRule="exact"/>
        <w:ind w:firstLine="640" w:firstLineChars="200"/>
        <w:jc w:val="left"/>
        <w:rPr>
          <w:rFonts w:ascii="仿宋_GB2312" w:hAnsi="仿宋_GB2312" w:eastAsia="仿宋_GB2312" w:cs="仿宋_GB2312"/>
          <w:color w:val="auto"/>
          <w:sz w:val="32"/>
          <w:szCs w:val="32"/>
          <w:highlight w:val="none"/>
        </w:rPr>
      </w:pPr>
      <w:r>
        <w:rPr>
          <w:rFonts w:hint="eastAsia" w:ascii="楷体_GB2312" w:hAnsi="宋体" w:eastAsia="楷体_GB2312" w:cs="Times New Roman"/>
          <w:color w:val="auto"/>
          <w:sz w:val="32"/>
          <w:szCs w:val="32"/>
          <w:highlight w:val="none"/>
          <w:lang w:val="zh-CN"/>
        </w:rPr>
        <w:t>（三）项目监管情况。</w:t>
      </w:r>
      <w:r>
        <w:rPr>
          <w:rFonts w:hint="eastAsia" w:ascii="仿宋_GB2312" w:hAnsi="仿宋_GB2312" w:eastAsia="仿宋_GB2312" w:cs="仿宋_GB2312"/>
          <w:color w:val="auto"/>
          <w:kern w:val="0"/>
          <w:sz w:val="32"/>
          <w:szCs w:val="32"/>
          <w:highlight w:val="none"/>
          <w:shd w:val="clear" w:color="auto" w:fill="FFFFFF"/>
        </w:rPr>
        <w:t>每月通报预算执行进度，适时进行预算绩效监控，督促项目加快实施，有力保障财政资金的使用效益，确保绩效目标如期保质保量实现。</w:t>
      </w:r>
    </w:p>
    <w:p>
      <w:pPr>
        <w:shd w:val="clear"/>
        <w:adjustRightInd w:val="0"/>
        <w:snapToGrid w:val="0"/>
        <w:spacing w:line="560" w:lineRule="exact"/>
        <w:ind w:firstLine="640" w:firstLineChars="200"/>
        <w:outlineLvl w:val="1"/>
        <w:rPr>
          <w:rFonts w:ascii="仿宋_GB2312" w:hAnsi="宋体" w:eastAsia="仿宋_GB2312" w:cs="Times New Roman"/>
          <w:color w:val="auto"/>
          <w:sz w:val="32"/>
          <w:szCs w:val="32"/>
          <w:highlight w:val="none"/>
          <w:lang w:val="zh-CN"/>
        </w:rPr>
      </w:pPr>
      <w:bookmarkStart w:id="124" w:name="_Toc748"/>
      <w:bookmarkStart w:id="125" w:name="_Toc21374"/>
      <w:r>
        <w:rPr>
          <w:rFonts w:hint="eastAsia" w:ascii="黑体" w:hAnsi="宋体" w:eastAsia="黑体" w:cs="Times New Roman"/>
          <w:color w:val="auto"/>
          <w:sz w:val="32"/>
          <w:szCs w:val="32"/>
          <w:highlight w:val="none"/>
        </w:rPr>
        <w:t>四、项目绩效情况</w:t>
      </w:r>
      <w:bookmarkEnd w:id="124"/>
      <w:bookmarkEnd w:id="125"/>
      <w:r>
        <w:rPr>
          <w:rFonts w:hint="eastAsia" w:ascii="仿宋_GB2312" w:hAnsi="宋体" w:eastAsia="仿宋_GB2312" w:cs="Times New Roman"/>
          <w:color w:val="auto"/>
          <w:sz w:val="32"/>
          <w:szCs w:val="32"/>
          <w:highlight w:val="none"/>
          <w:lang w:val="zh-CN"/>
        </w:rPr>
        <w:tab/>
      </w:r>
    </w:p>
    <w:p>
      <w:pPr>
        <w:shd w:val="clear"/>
        <w:adjustRightInd w:val="0"/>
        <w:snapToGrid w:val="0"/>
        <w:spacing w:line="560" w:lineRule="exact"/>
        <w:ind w:firstLine="640" w:firstLineChars="200"/>
        <w:rPr>
          <w:rFonts w:ascii="楷体_GB2312" w:hAnsi="宋体" w:eastAsia="楷体_GB2312" w:cs="Times New Roman"/>
          <w:color w:val="auto"/>
          <w:sz w:val="32"/>
          <w:szCs w:val="32"/>
          <w:highlight w:val="none"/>
          <w:lang w:val="zh-CN"/>
        </w:rPr>
      </w:pPr>
      <w:r>
        <w:rPr>
          <w:rFonts w:hint="eastAsia" w:ascii="楷体_GB2312" w:hAnsi="宋体" w:eastAsia="楷体_GB2312" w:cs="Times New Roman"/>
          <w:color w:val="auto"/>
          <w:sz w:val="32"/>
          <w:szCs w:val="32"/>
          <w:highlight w:val="none"/>
          <w:lang w:val="zh-CN"/>
        </w:rPr>
        <w:t>（一）项目完成情况。</w:t>
      </w:r>
    </w:p>
    <w:p>
      <w:pPr>
        <w:shd w:val="clear"/>
        <w:adjustRightInd w:val="0"/>
        <w:snapToGrid w:val="0"/>
        <w:spacing w:line="560" w:lineRule="exact"/>
        <w:ind w:firstLine="640" w:firstLineChars="200"/>
        <w:rPr>
          <w:rFonts w:ascii="仿宋_GB2312" w:hAnsi="仿宋_GB2312" w:eastAsia="仿宋_GB2312" w:cs="仿宋_GB2312"/>
          <w:color w:val="auto"/>
          <w:sz w:val="32"/>
          <w:szCs w:val="32"/>
          <w:highlight w:val="none"/>
          <w:lang w:val="zh-CN"/>
        </w:rPr>
      </w:pPr>
      <w:r>
        <w:rPr>
          <w:rFonts w:hint="eastAsia" w:ascii="仿宋_GB2312" w:hAnsi="仿宋_GB2312" w:eastAsia="仿宋_GB2312" w:cs="仿宋_GB2312"/>
          <w:color w:val="auto"/>
          <w:sz w:val="32"/>
          <w:szCs w:val="32"/>
          <w:highlight w:val="none"/>
        </w:rPr>
        <w:t>2022年</w:t>
      </w:r>
      <w:r>
        <w:rPr>
          <w:rFonts w:hint="eastAsia" w:ascii="仿宋_GB2312" w:hAnsi="仿宋_GB2312" w:eastAsia="仿宋_GB2312" w:cs="仿宋_GB2312"/>
          <w:bCs/>
          <w:color w:val="auto"/>
          <w:sz w:val="32"/>
          <w:szCs w:val="32"/>
          <w:highlight w:val="none"/>
        </w:rPr>
        <w:t>公积金信贷业务专项工作经费</w:t>
      </w:r>
      <w:r>
        <w:rPr>
          <w:rFonts w:hint="eastAsia" w:ascii="仿宋_GB2312" w:hAnsi="仿宋_GB2312" w:eastAsia="仿宋_GB2312" w:cs="仿宋_GB2312"/>
          <w:color w:val="auto"/>
          <w:sz w:val="32"/>
          <w:szCs w:val="32"/>
          <w:highlight w:val="none"/>
        </w:rPr>
        <w:t>35万元，实际支出</w:t>
      </w:r>
      <w:r>
        <w:rPr>
          <w:rFonts w:hint="eastAsia" w:ascii="仿宋_GB2312" w:hAnsi="仿宋_GB2312" w:eastAsia="仿宋_GB2312" w:cs="仿宋_GB2312"/>
          <w:color w:val="auto"/>
          <w:sz w:val="32"/>
          <w:szCs w:val="32"/>
          <w:highlight w:val="none"/>
        </w:rPr>
        <w:t>20万元，完成率57.14%。项目</w:t>
      </w:r>
      <w:r>
        <w:rPr>
          <w:rFonts w:hint="eastAsia" w:ascii="仿宋_GB2312" w:hAnsi="仿宋_GB2312" w:eastAsia="仿宋_GB2312" w:cs="仿宋_GB2312"/>
          <w:color w:val="auto"/>
          <w:sz w:val="32"/>
          <w:szCs w:val="32"/>
          <w:highlight w:val="none"/>
        </w:rPr>
        <w:t>严格按照规定完成了目标任务，项目实施效果达到预期目标，资金使用安全有效。</w:t>
      </w:r>
    </w:p>
    <w:p>
      <w:pPr>
        <w:shd w:val="clear"/>
        <w:adjustRightInd w:val="0"/>
        <w:snapToGrid w:val="0"/>
        <w:spacing w:line="560" w:lineRule="exact"/>
        <w:ind w:firstLine="640" w:firstLineChars="200"/>
        <w:rPr>
          <w:rFonts w:ascii="楷体_GB2312" w:hAnsi="宋体" w:eastAsia="楷体_GB2312" w:cs="Times New Roman"/>
          <w:color w:val="auto"/>
          <w:sz w:val="32"/>
          <w:szCs w:val="32"/>
          <w:highlight w:val="none"/>
          <w:lang w:val="zh-CN"/>
        </w:rPr>
      </w:pPr>
      <w:r>
        <w:rPr>
          <w:rFonts w:hint="eastAsia" w:ascii="楷体_GB2312" w:hAnsi="宋体" w:eastAsia="楷体_GB2312" w:cs="Times New Roman"/>
          <w:color w:val="auto"/>
          <w:sz w:val="32"/>
          <w:szCs w:val="32"/>
          <w:highlight w:val="none"/>
          <w:lang w:val="zh-CN"/>
        </w:rPr>
        <w:t>（二）项目效益情况。</w:t>
      </w:r>
    </w:p>
    <w:p>
      <w:pPr>
        <w:shd w:val="clear"/>
        <w:spacing w:line="560" w:lineRule="exact"/>
        <w:ind w:firstLine="640" w:firstLineChars="200"/>
        <w:rPr>
          <w:rFonts w:ascii="仿宋_GB2312" w:hAnsi="宋体" w:eastAsia="仿宋_GB2312" w:cs="Times New Roman"/>
          <w:b/>
          <w:color w:val="auto"/>
          <w:sz w:val="32"/>
          <w:szCs w:val="32"/>
          <w:highlight w:val="none"/>
          <w:lang w:val="zh-CN"/>
        </w:rPr>
      </w:pPr>
      <w:r>
        <w:rPr>
          <w:rFonts w:hint="eastAsia" w:ascii="仿宋_GB2312" w:hAnsi="仿宋_GB2312" w:eastAsia="仿宋_GB2312" w:cs="仿宋_GB2312"/>
          <w:bCs/>
          <w:color w:val="auto"/>
          <w:sz w:val="32"/>
          <w:szCs w:val="32"/>
          <w:highlight w:val="none"/>
        </w:rPr>
        <w:t>在经济效益方面借款人享受到了公积金贷款的低利率，同时，公积金贷款产生的利息收益为我市政府创收；在社会效益方面公积金贷款的普遍性、广泛性，让更多的公积金缴存职工可享受到公积金贷款惠民政策；在生态效益方面公积金贷款政策的优惠，减轻职工购房压力，减轻社会突出矛盾，维护我市房地产市场的稳定；在可持续性效益方面借款人在借款期间可一直享受公积金贷款的低利率，同时，贷款产生的利息收益将逐月累加，为市政府创收持续增加。</w:t>
      </w:r>
    </w:p>
    <w:p>
      <w:pPr>
        <w:shd w:val="clear"/>
        <w:adjustRightInd w:val="0"/>
        <w:snapToGrid w:val="0"/>
        <w:spacing w:line="560" w:lineRule="exact"/>
        <w:ind w:firstLine="640" w:firstLineChars="200"/>
        <w:outlineLvl w:val="1"/>
        <w:rPr>
          <w:rFonts w:ascii="黑体" w:hAnsi="宋体" w:eastAsia="黑体" w:cs="Times New Roman"/>
          <w:color w:val="auto"/>
          <w:sz w:val="32"/>
          <w:szCs w:val="32"/>
          <w:highlight w:val="none"/>
        </w:rPr>
      </w:pPr>
      <w:bookmarkStart w:id="126" w:name="_Toc22198"/>
      <w:bookmarkStart w:id="127" w:name="_Toc11326"/>
      <w:r>
        <w:rPr>
          <w:rFonts w:hint="eastAsia" w:ascii="黑体" w:hAnsi="宋体" w:eastAsia="黑体" w:cs="Times New Roman"/>
          <w:color w:val="auto"/>
          <w:sz w:val="32"/>
          <w:szCs w:val="32"/>
          <w:highlight w:val="none"/>
        </w:rPr>
        <w:t>五、评价结论及建议</w:t>
      </w:r>
      <w:bookmarkEnd w:id="126"/>
      <w:bookmarkEnd w:id="127"/>
    </w:p>
    <w:p>
      <w:pPr>
        <w:shd w:val="clear"/>
        <w:adjustRightInd w:val="0"/>
        <w:snapToGrid w:val="0"/>
        <w:spacing w:line="560" w:lineRule="exact"/>
        <w:ind w:firstLine="640" w:firstLineChars="200"/>
        <w:rPr>
          <w:rFonts w:ascii="楷体_GB2312" w:hAnsi="宋体" w:eastAsia="楷体_GB2312" w:cs="Times New Roman"/>
          <w:color w:val="auto"/>
          <w:sz w:val="32"/>
          <w:szCs w:val="32"/>
          <w:highlight w:val="none"/>
          <w:lang w:val="zh-CN"/>
        </w:rPr>
      </w:pPr>
      <w:r>
        <w:rPr>
          <w:rFonts w:hint="eastAsia" w:ascii="楷体_GB2312" w:hAnsi="宋体" w:eastAsia="楷体_GB2312" w:cs="Times New Roman"/>
          <w:color w:val="auto"/>
          <w:sz w:val="32"/>
          <w:szCs w:val="32"/>
          <w:highlight w:val="none"/>
          <w:lang w:val="zh-CN"/>
        </w:rPr>
        <w:t>（一）评价结论。</w:t>
      </w:r>
    </w:p>
    <w:p>
      <w:pPr>
        <w:shd w:val="clear"/>
        <w:adjustRightInd w:val="0"/>
        <w:snapToGrid w:val="0"/>
        <w:spacing w:line="560" w:lineRule="exact"/>
        <w:ind w:firstLine="640" w:firstLineChars="200"/>
        <w:rPr>
          <w:rFonts w:ascii="仿宋_GB2312" w:hAnsi="仿宋_GB2312" w:eastAsia="仿宋_GB2312" w:cs="仿宋_GB2312"/>
          <w:color w:val="auto"/>
          <w:kern w:val="0"/>
          <w:sz w:val="32"/>
          <w:szCs w:val="32"/>
          <w:highlight w:val="none"/>
          <w:shd w:val="clear" w:color="auto" w:fill="FFFFFF"/>
        </w:rPr>
      </w:pPr>
      <w:r>
        <w:rPr>
          <w:rFonts w:hint="eastAsia" w:ascii="仿宋_GB2312" w:hAnsi="仿宋_GB2312" w:eastAsia="仿宋_GB2312" w:cs="仿宋_GB2312"/>
          <w:color w:val="auto"/>
          <w:kern w:val="0"/>
          <w:sz w:val="32"/>
          <w:szCs w:val="32"/>
          <w:highlight w:val="none"/>
          <w:shd w:val="clear" w:color="auto" w:fill="FFFFFF"/>
          <w:lang w:val="zh-CN"/>
        </w:rPr>
        <w:t>2022年积极开展公积金楼盘备案管理，完善备案信息，加强贷后管理，出台阶段性优惠政策缓租住房压力，提升群众满意度。但因受疫情影响，下半年信贷政策培训和宣传受限，根据预算项目支出绩效评价指标体系指标最终自评得分</w:t>
      </w:r>
      <w:r>
        <w:rPr>
          <w:rFonts w:hint="eastAsia" w:ascii="仿宋_GB2312" w:hAnsi="仿宋_GB2312" w:eastAsia="仿宋_GB2312" w:cs="仿宋_GB2312"/>
          <w:color w:val="auto"/>
          <w:kern w:val="0"/>
          <w:sz w:val="32"/>
          <w:szCs w:val="32"/>
          <w:highlight w:val="none"/>
          <w:shd w:val="clear" w:color="auto" w:fill="FFFFFF"/>
        </w:rPr>
        <w:t>87</w:t>
      </w:r>
      <w:r>
        <w:rPr>
          <w:rFonts w:hint="eastAsia" w:ascii="仿宋_GB2312" w:hAnsi="仿宋_GB2312" w:eastAsia="仿宋_GB2312" w:cs="仿宋_GB2312"/>
          <w:color w:val="auto"/>
          <w:kern w:val="0"/>
          <w:sz w:val="32"/>
          <w:szCs w:val="32"/>
          <w:highlight w:val="none"/>
          <w:shd w:val="clear" w:color="auto" w:fill="FFFFFF"/>
          <w:lang w:val="zh-CN"/>
        </w:rPr>
        <w:t>分。</w:t>
      </w:r>
      <w:r>
        <w:rPr>
          <w:rFonts w:hint="eastAsia" w:ascii="仿宋_GB2312" w:hAnsi="仿宋_GB2312" w:eastAsia="仿宋_GB2312" w:cs="仿宋_GB2312"/>
          <w:color w:val="auto"/>
          <w:kern w:val="0"/>
          <w:sz w:val="32"/>
          <w:szCs w:val="32"/>
          <w:highlight w:val="none"/>
          <w:shd w:val="clear" w:color="auto" w:fill="FFFFFF"/>
        </w:rPr>
        <w:t xml:space="preserve"> </w:t>
      </w:r>
    </w:p>
    <w:p>
      <w:pPr>
        <w:shd w:val="clear"/>
        <w:adjustRightInd w:val="0"/>
        <w:snapToGrid w:val="0"/>
        <w:spacing w:line="560" w:lineRule="exact"/>
        <w:ind w:firstLine="640" w:firstLineChars="200"/>
        <w:rPr>
          <w:rFonts w:ascii="楷体_GB2312" w:hAnsi="宋体" w:eastAsia="楷体_GB2312" w:cs="Times New Roman"/>
          <w:color w:val="auto"/>
          <w:sz w:val="32"/>
          <w:szCs w:val="32"/>
          <w:highlight w:val="none"/>
          <w:lang w:val="zh-CN"/>
        </w:rPr>
      </w:pPr>
      <w:r>
        <w:rPr>
          <w:rFonts w:hint="eastAsia" w:ascii="楷体_GB2312" w:hAnsi="宋体" w:eastAsia="楷体_GB2312" w:cs="Times New Roman"/>
          <w:color w:val="auto"/>
          <w:sz w:val="32"/>
          <w:szCs w:val="32"/>
          <w:highlight w:val="none"/>
          <w:lang w:val="zh-CN"/>
        </w:rPr>
        <w:t>（二）存在的问题。</w:t>
      </w:r>
    </w:p>
    <w:p>
      <w:pPr>
        <w:widowControl w:val="0"/>
        <w:shd w:val="clear"/>
        <w:spacing w:line="560" w:lineRule="exact"/>
        <w:ind w:left="0" w:leftChars="0" w:firstLine="640" w:firstLineChars="200"/>
        <w:jc w:val="both"/>
        <w:rPr>
          <w:rFonts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1.住房公积金贷款政策宣传的深度、广度需进一步加强。</w:t>
      </w:r>
    </w:p>
    <w:p>
      <w:pPr>
        <w:shd w:val="clear"/>
        <w:spacing w:line="560" w:lineRule="exact"/>
        <w:ind w:firstLine="640" w:firstLineChars="200"/>
        <w:rPr>
          <w:rFonts w:ascii="Times New Roman" w:hAnsi="Times New Roman" w:eastAsia="仿宋_GB2312" w:cs="Times New Roman"/>
          <w:color w:val="auto"/>
          <w:sz w:val="32"/>
          <w:szCs w:val="32"/>
          <w:highlight w:val="none"/>
        </w:rPr>
      </w:pPr>
      <w:r>
        <w:rPr>
          <w:rFonts w:hint="eastAsia" w:ascii="仿宋_GB2312" w:hAnsi="仿宋_GB2312" w:eastAsia="仿宋_GB2312" w:cs="仿宋_GB2312"/>
          <w:color w:val="auto"/>
          <w:sz w:val="32"/>
          <w:szCs w:val="32"/>
          <w:highlight w:val="none"/>
        </w:rPr>
        <w:t>2.受疫情影响，实际预算执行进度偏低。</w:t>
      </w:r>
    </w:p>
    <w:p>
      <w:pPr>
        <w:pBdr>
          <w:bottom w:val="single" w:color="FFFFFF" w:sz="4" w:space="29"/>
        </w:pBdr>
        <w:shd w:val="clear"/>
        <w:tabs>
          <w:tab w:val="left" w:pos="1440"/>
        </w:tabs>
        <w:spacing w:line="560" w:lineRule="exact"/>
        <w:ind w:firstLine="627" w:firstLineChars="196"/>
        <w:rPr>
          <w:rFonts w:ascii="楷体_GB2312" w:hAnsi="宋体" w:eastAsia="楷体_GB2312" w:cs="Times New Roman"/>
          <w:color w:val="auto"/>
          <w:sz w:val="32"/>
          <w:szCs w:val="32"/>
          <w:highlight w:val="none"/>
          <w:lang w:val="zh-CN"/>
        </w:rPr>
      </w:pPr>
      <w:r>
        <w:rPr>
          <w:rFonts w:hint="eastAsia" w:ascii="楷体_GB2312" w:hAnsi="宋体" w:eastAsia="楷体_GB2312" w:cs="Times New Roman"/>
          <w:color w:val="auto"/>
          <w:sz w:val="32"/>
          <w:szCs w:val="32"/>
          <w:highlight w:val="none"/>
          <w:lang w:val="zh-CN"/>
        </w:rPr>
        <w:t>（三）相关建议。</w:t>
      </w:r>
    </w:p>
    <w:p>
      <w:pPr>
        <w:pBdr>
          <w:bottom w:val="single" w:color="FFFFFF" w:sz="4" w:space="29"/>
        </w:pBdr>
        <w:shd w:val="clear"/>
        <w:tabs>
          <w:tab w:val="left" w:pos="1440"/>
        </w:tabs>
        <w:spacing w:line="560" w:lineRule="exact"/>
        <w:ind w:firstLine="627" w:firstLineChars="196"/>
        <w:rPr>
          <w:rFonts w:ascii="仿宋_GB2312" w:hAnsi="宋体" w:eastAsia="仿宋_GB2312" w:cs="Times New Roman"/>
          <w:color w:val="auto"/>
          <w:sz w:val="32"/>
          <w:szCs w:val="32"/>
          <w:highlight w:val="none"/>
        </w:rPr>
      </w:pPr>
      <w:r>
        <w:rPr>
          <w:rFonts w:hint="eastAsia" w:ascii="楷体_GB2312" w:hAnsi="宋体" w:eastAsia="楷体_GB2312" w:cs="Times New Roman"/>
          <w:color w:val="auto"/>
          <w:sz w:val="32"/>
          <w:szCs w:val="32"/>
          <w:highlight w:val="none"/>
        </w:rPr>
        <w:t>1.</w:t>
      </w:r>
      <w:r>
        <w:rPr>
          <w:rFonts w:hint="eastAsia" w:ascii="仿宋_GB2312" w:hAnsi="仿宋_GB2312" w:eastAsia="仿宋_GB2312" w:cs="仿宋_GB2312"/>
          <w:color w:val="auto"/>
          <w:sz w:val="32"/>
          <w:szCs w:val="32"/>
          <w:highlight w:val="none"/>
        </w:rPr>
        <w:t>强化政策宣传。持续开展进楼盘、进企业公积金政策宣传，进一步扩大政策普及面，让更多职工享受公积金优惠政策，</w:t>
      </w:r>
      <w:r>
        <w:rPr>
          <w:rFonts w:hint="eastAsia" w:ascii="仿宋_GB2312" w:hAnsi="宋体" w:eastAsia="仿宋_GB2312" w:cs="Times New Roman"/>
          <w:color w:val="auto"/>
          <w:sz w:val="32"/>
          <w:szCs w:val="32"/>
          <w:highlight w:val="none"/>
        </w:rPr>
        <w:t>保障缴存职工住有所居和支持改善住房条件，进一步优化营商环境，提升办事群众满意度，从而推动公积金工作高质量发展，助力地方经济发展。</w:t>
      </w:r>
    </w:p>
    <w:p>
      <w:pPr>
        <w:pBdr>
          <w:bottom w:val="single" w:color="FFFFFF" w:sz="4" w:space="29"/>
        </w:pBdr>
        <w:shd w:val="clear"/>
        <w:tabs>
          <w:tab w:val="left" w:pos="1440"/>
        </w:tabs>
        <w:spacing w:line="560" w:lineRule="exact"/>
        <w:ind w:firstLine="627" w:firstLineChars="196"/>
        <w:rPr>
          <w:rFonts w:hint="eastAsia" w:ascii="仿宋_GB2312" w:hAnsi="宋体" w:eastAsia="仿宋_GB2312" w:cs="Times New Roman"/>
          <w:color w:val="auto"/>
          <w:sz w:val="32"/>
          <w:szCs w:val="32"/>
          <w:highlight w:val="none"/>
        </w:rPr>
        <w:sectPr>
          <w:footerReference r:id="rId31" w:type="first"/>
          <w:footerReference r:id="rId30" w:type="default"/>
          <w:pgSz w:w="11906" w:h="16838"/>
          <w:pgMar w:top="2098" w:right="1474" w:bottom="1984" w:left="1587" w:header="851" w:footer="992" w:gutter="0"/>
          <w:pgNumType w:fmt="decimal"/>
          <w:cols w:space="425" w:num="1"/>
          <w:docGrid w:type="lines" w:linePitch="312" w:charSpace="0"/>
        </w:sectPr>
      </w:pPr>
      <w:r>
        <w:rPr>
          <w:rFonts w:hint="eastAsia" w:ascii="仿宋_GB2312" w:hAnsi="宋体" w:eastAsia="仿宋_GB2312" w:cs="Times New Roman"/>
          <w:color w:val="auto"/>
          <w:sz w:val="32"/>
          <w:szCs w:val="32"/>
          <w:highlight w:val="none"/>
        </w:rPr>
        <w:t>2.加强预算绩效管理，细化指标，完善全过程财业一体化流程，加强协调交流，适时通报预算执行进度和绩效监控。</w:t>
      </w:r>
    </w:p>
    <w:p>
      <w:pPr>
        <w:pStyle w:val="2"/>
        <w:shd w:val="clear"/>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eastAsia="zh-CN"/>
        </w:rPr>
        <w:t>附表</w:t>
      </w:r>
      <w:r>
        <w:rPr>
          <w:rFonts w:hint="eastAsia" w:ascii="黑体" w:hAnsi="黑体" w:eastAsia="黑体" w:cs="黑体"/>
          <w:color w:val="auto"/>
          <w:sz w:val="32"/>
          <w:szCs w:val="32"/>
          <w:highlight w:val="none"/>
          <w:lang w:val="en-US" w:eastAsia="zh-CN"/>
        </w:rPr>
        <w:t>4：</w:t>
      </w:r>
    </w:p>
    <w:tbl>
      <w:tblPr>
        <w:tblStyle w:val="17"/>
        <w:tblW w:w="13039"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96"/>
        <w:gridCol w:w="1334"/>
        <w:gridCol w:w="1057"/>
        <w:gridCol w:w="1388"/>
        <w:gridCol w:w="1964"/>
        <w:gridCol w:w="974"/>
        <w:gridCol w:w="676"/>
        <w:gridCol w:w="792"/>
        <w:gridCol w:w="894"/>
        <w:gridCol w:w="26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13039" w:type="dxa"/>
            <w:gridSpan w:val="10"/>
            <w:tcBorders>
              <w:top w:val="nil"/>
              <w:left w:val="nil"/>
              <w:bottom w:val="nil"/>
              <w:right w:val="nil"/>
            </w:tcBorders>
            <w:shd w:val="clear" w:color="auto" w:fill="auto"/>
            <w:vAlign w:val="center"/>
          </w:tcPr>
          <w:p>
            <w:pPr>
              <w:keepNext w:val="0"/>
              <w:keepLines w:val="0"/>
              <w:widowControl/>
              <w:suppressLineNumbers w:val="0"/>
              <w:shd w:val="clear"/>
              <w:jc w:val="center"/>
              <w:textAlignment w:val="center"/>
              <w:rPr>
                <w:rFonts w:ascii="方正小标宋简体" w:hAnsi="方正小标宋简体" w:eastAsia="方正小标宋简体" w:cs="方正小标宋简体"/>
                <w:i w:val="0"/>
                <w:color w:val="auto"/>
                <w:sz w:val="44"/>
                <w:szCs w:val="44"/>
                <w:highlight w:val="none"/>
                <w:u w:val="none"/>
              </w:rPr>
            </w:pPr>
            <w:r>
              <w:rPr>
                <w:rFonts w:hint="eastAsia" w:ascii="方正小标宋简体" w:hAnsi="方正小标宋简体" w:eastAsia="方正小标宋简体" w:cs="方正小标宋简体"/>
                <w:i w:val="0"/>
                <w:color w:val="auto"/>
                <w:kern w:val="0"/>
                <w:sz w:val="44"/>
                <w:szCs w:val="44"/>
                <w:highlight w:val="none"/>
                <w:u w:val="none"/>
                <w:lang w:val="en-US" w:eastAsia="zh-CN" w:bidi="ar"/>
              </w:rPr>
              <w:t>部门预算、专项资金预算项目支出绩效目标自评表（2022年度）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6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项目名称</w:t>
            </w:r>
          </w:p>
        </w:tc>
        <w:tc>
          <w:tcPr>
            <w:tcW w:w="104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公积金信贷业务专项工作经费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2" w:hRule="atLeast"/>
        </w:trPr>
        <w:tc>
          <w:tcPr>
            <w:tcW w:w="26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主管部门（盖章）</w:t>
            </w:r>
          </w:p>
        </w:tc>
        <w:tc>
          <w:tcPr>
            <w:tcW w:w="440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广元市住房公积金管理中心</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实施单位 （盖章）</w:t>
            </w:r>
          </w:p>
        </w:tc>
        <w:tc>
          <w:tcPr>
            <w:tcW w:w="502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广元市住房公积金管理中心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2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项目基本情况</w:t>
            </w:r>
          </w:p>
        </w:tc>
        <w:tc>
          <w:tcPr>
            <w:tcW w:w="13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1.项目年度目标完成情况</w:t>
            </w:r>
          </w:p>
        </w:tc>
        <w:tc>
          <w:tcPr>
            <w:tcW w:w="440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项目年度目标</w:t>
            </w:r>
          </w:p>
        </w:tc>
        <w:tc>
          <w:tcPr>
            <w:tcW w:w="60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b/>
                <w:i w:val="0"/>
                <w:color w:val="auto"/>
                <w:sz w:val="18"/>
                <w:szCs w:val="18"/>
                <w:highlight w:val="none"/>
                <w:u w:val="none"/>
              </w:rPr>
            </w:pPr>
          </w:p>
        </w:tc>
        <w:tc>
          <w:tcPr>
            <w:tcW w:w="13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b/>
                <w:i w:val="0"/>
                <w:color w:val="auto"/>
                <w:sz w:val="18"/>
                <w:szCs w:val="18"/>
                <w:highlight w:val="none"/>
                <w:u w:val="none"/>
              </w:rPr>
            </w:pPr>
          </w:p>
        </w:tc>
        <w:tc>
          <w:tcPr>
            <w:tcW w:w="440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完成信贷发放全年目标，加强全市楼盘备案管理、贷后管理；加快推进政务服务“跨省通办”川渝通办”工作；打造川内最优营商环境；加强公积金信贷专管员、入驻银行窗口工作人员、开发企业经办人员和销售人员政策及业务培训；加强窗口人员（含各县区）业务工作检查指导。深入开发企业、社区、医院、学校、行政单位业务宣传。规范业务凭证管理。</w:t>
            </w:r>
          </w:p>
        </w:tc>
        <w:tc>
          <w:tcPr>
            <w:tcW w:w="60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2022年公积金信贷业务专项工作经费绩效目标任务完成情况良好，各项任务均圆满完成。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b/>
                <w:i w:val="0"/>
                <w:color w:val="auto"/>
                <w:sz w:val="18"/>
                <w:szCs w:val="18"/>
                <w:highlight w:val="none"/>
                <w:u w:val="none"/>
              </w:rPr>
            </w:pP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2.项目实施内容及过程概述</w:t>
            </w:r>
          </w:p>
        </w:tc>
        <w:tc>
          <w:tcPr>
            <w:tcW w:w="104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2022年积极开展公积金楼盘备案管理，完善备案信息，加强贷后管理，出台阶段性优惠政策缓租住房压力，提升群众满意度。但因受疫情影响，下半年信贷政策培训和宣传受限。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12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预算执行情况（10分）</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年度预算数（万元）</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年初预算</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调整后预算数</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预算执行数</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预算执行率</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权重%</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部门自评得分</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财政部门科室复评得分</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总额</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35万元</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20万元</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57.14%</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因受疫情影响，房地产市场低迷，业务推进缓慢，信贷政策培训和宣传受限等。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其中：财政资金</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35万元</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20万元</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tbl>
    <w:p>
      <w:pPr>
        <w:shd w:val="clear"/>
        <w:jc w:val="center"/>
        <w:rPr>
          <w:rFonts w:hint="eastAsia" w:ascii="宋体" w:hAnsi="宋体" w:eastAsia="宋体" w:cs="宋体"/>
          <w:b/>
          <w:i w:val="0"/>
          <w:color w:val="auto"/>
          <w:sz w:val="18"/>
          <w:szCs w:val="18"/>
          <w:highlight w:val="none"/>
          <w:u w:val="none"/>
        </w:rPr>
        <w:sectPr>
          <w:footerReference r:id="rId33" w:type="first"/>
          <w:footerReference r:id="rId32" w:type="default"/>
          <w:pgSz w:w="16838" w:h="11906" w:orient="landscape"/>
          <w:pgMar w:top="1587" w:right="2098" w:bottom="1474" w:left="1984" w:header="851" w:footer="992" w:gutter="0"/>
          <w:pgNumType w:fmt="decimal"/>
          <w:cols w:space="425" w:num="1"/>
          <w:titlePg/>
          <w:docGrid w:type="lines" w:linePitch="312" w:charSpace="0"/>
        </w:sectPr>
      </w:pPr>
    </w:p>
    <w:tbl>
      <w:tblPr>
        <w:tblStyle w:val="17"/>
        <w:tblW w:w="13039"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96"/>
        <w:gridCol w:w="1334"/>
        <w:gridCol w:w="1057"/>
        <w:gridCol w:w="1388"/>
        <w:gridCol w:w="479"/>
        <w:gridCol w:w="1006"/>
        <w:gridCol w:w="479"/>
        <w:gridCol w:w="974"/>
        <w:gridCol w:w="676"/>
        <w:gridCol w:w="792"/>
        <w:gridCol w:w="894"/>
        <w:gridCol w:w="26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96" w:type="dxa"/>
            <w:vMerge w:val="restart"/>
            <w:tcBorders>
              <w:top w:val="single" w:color="000000" w:sz="4" w:space="0"/>
              <w:left w:val="single" w:color="000000" w:sz="4" w:space="0"/>
              <w:right w:val="single" w:color="000000" w:sz="4" w:space="0"/>
            </w:tcBorders>
            <w:shd w:val="clear" w:color="auto" w:fill="auto"/>
            <w:vAlign w:val="center"/>
          </w:tcPr>
          <w:p>
            <w:pPr>
              <w:pStyle w:val="2"/>
              <w:shd w:val="clear"/>
              <w:rPr>
                <w:rFonts w:hint="eastAsia"/>
                <w:color w:val="auto"/>
                <w:highlight w:val="none"/>
              </w:rPr>
            </w:pP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财政专户管理资金</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9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64" w:type="dxa"/>
            <w:vMerge w:val="restart"/>
            <w:tcBorders>
              <w:top w:val="single" w:color="000000" w:sz="4" w:space="0"/>
              <w:left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单位资金</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9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其他资金</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6"/>
                <w:szCs w:val="16"/>
                <w:highlight w:val="none"/>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6"/>
                <w:szCs w:val="16"/>
                <w:highlight w:val="none"/>
                <w:u w:val="none"/>
              </w:rPr>
            </w:pPr>
          </w:p>
        </w:tc>
        <w:tc>
          <w:tcPr>
            <w:tcW w:w="19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6"/>
                <w:szCs w:val="16"/>
                <w:highlight w:val="none"/>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6"/>
                <w:szCs w:val="16"/>
                <w:highlight w:val="none"/>
                <w:u w:val="none"/>
              </w:rPr>
            </w:pP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绩效指标（90分）</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一级指标</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二级指标</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三级指标</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指标性质</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指标值</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度量单位</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完成值</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权重</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部门自评得分</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财政部门科室复评得分</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产出指标</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数量指标</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2022年信贷发放目标</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亿元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10.13</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3.5</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因受疫情影响，房地产市场低迷。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产出指标</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质量指标</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合规办结率</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10</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产出指标</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成本指标</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开展业务培训；“跨省通办”、“川渝通办”业务洽谈，交流合作；贷后管理监控，综合服务等费用。</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3</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因受疫情影响，贷后管理及业务培训无法正常进行。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78" w:hRule="atLeast"/>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产出指标</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成本指标</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业务办理设备购置、耗费，公积金贷款业务系统维护，业务宣传，深入县区、企业、社区宣传指导、规范业务凭证管理大宗印刷等费用。</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2.5</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 xml:space="preserve"> </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因受疫情影响，业务宣传、指导及印刷等无法正常进行。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产出指标</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数量指标</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2022年住房公积金贷款楼盘备案查看</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24</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65</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5</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产出指标</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时效指标</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贷款审批时间</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工作日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效益指标</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经济效益指标</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产生增值收益</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7000</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11000</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满意度指标</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服务对象满意度指标</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贷款职工满意度</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95</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98</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满意度指标</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服务对象满意度指标</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备案企业满意度</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98</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99</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产出指标</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质量指标</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政策公开率</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9" w:hRule="atLeast"/>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产出指标</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数量指标</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公积金信贷策业务宣传“跨省通办”、“川渝通办”业务宣传；加强窗口人员（含各县区）业务工作检查指导。</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因受疫情影响，业务培训工作开展受限。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产出指标</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数量指标</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2022年信贷业务政策、业务、操作培训</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因受疫情影响，业务培训工作开展受限。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效益指标</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社会效益指标</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支持改善住房条件、促进住房消费，维护了社会的稳定。</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定性</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好坏</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良好</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效益指标</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可持续影响指标</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项目期限</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Style w:val="37"/>
                <w:color w:val="auto"/>
                <w:highlight w:val="none"/>
                <w:lang w:val="en-US" w:eastAsia="zh-CN" w:bidi="ar"/>
              </w:rPr>
              <w:t>＝</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801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合计</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87</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tbl>
    <w:p>
      <w:pPr>
        <w:pStyle w:val="2"/>
        <w:shd w:val="clear"/>
        <w:tabs>
          <w:tab w:val="left" w:pos="1190"/>
        </w:tabs>
        <w:rPr>
          <w:rStyle w:val="21"/>
          <w:rFonts w:hint="eastAsia" w:ascii="黑体" w:hAnsi="黑体" w:eastAsia="黑体"/>
          <w:b w:val="0"/>
          <w:color w:val="auto"/>
          <w:highlight w:val="none"/>
          <w:lang w:eastAsia="zh-CN"/>
        </w:rPr>
        <w:sectPr>
          <w:footerReference r:id="rId35" w:type="first"/>
          <w:footerReference r:id="rId34" w:type="default"/>
          <w:pgSz w:w="16838" w:h="11906" w:orient="landscape"/>
          <w:pgMar w:top="1587" w:right="2098" w:bottom="1474" w:left="1984" w:header="851" w:footer="992" w:gutter="0"/>
          <w:pgNumType w:fmt="decimal"/>
          <w:cols w:space="425" w:num="1"/>
          <w:docGrid w:type="lines" w:linePitch="312" w:charSpace="0"/>
        </w:sectPr>
      </w:pPr>
    </w:p>
    <w:p>
      <w:pPr>
        <w:pStyle w:val="2"/>
        <w:shd w:val="clear"/>
        <w:tabs>
          <w:tab w:val="left" w:pos="1190"/>
        </w:tabs>
        <w:rPr>
          <w:rStyle w:val="21"/>
          <w:rFonts w:hint="eastAsia" w:ascii="黑体" w:hAnsi="黑体" w:eastAsia="黑体"/>
          <w:b w:val="0"/>
          <w:color w:val="auto"/>
          <w:sz w:val="32"/>
          <w:szCs w:val="32"/>
          <w:highlight w:val="none"/>
          <w:lang w:val="en-US" w:eastAsia="zh-CN"/>
        </w:rPr>
      </w:pPr>
      <w:bookmarkStart w:id="128" w:name="_Toc10260"/>
      <w:bookmarkStart w:id="129" w:name="_Toc10178"/>
      <w:r>
        <w:rPr>
          <w:rStyle w:val="21"/>
          <w:rFonts w:hint="eastAsia" w:ascii="黑体" w:hAnsi="黑体" w:eastAsia="黑体"/>
          <w:b w:val="0"/>
          <w:color w:val="auto"/>
          <w:sz w:val="32"/>
          <w:szCs w:val="32"/>
          <w:highlight w:val="none"/>
          <w:lang w:eastAsia="zh-CN"/>
        </w:rPr>
        <w:t>附件</w:t>
      </w:r>
      <w:r>
        <w:rPr>
          <w:rStyle w:val="21"/>
          <w:rFonts w:hint="eastAsia" w:ascii="黑体" w:hAnsi="黑体" w:eastAsia="黑体"/>
          <w:b w:val="0"/>
          <w:color w:val="auto"/>
          <w:sz w:val="32"/>
          <w:szCs w:val="32"/>
          <w:highlight w:val="none"/>
          <w:lang w:val="en-US" w:eastAsia="zh-CN"/>
        </w:rPr>
        <w:t>5：</w:t>
      </w:r>
    </w:p>
    <w:bookmarkEnd w:id="128"/>
    <w:bookmarkEnd w:id="129"/>
    <w:p>
      <w:pPr>
        <w:pStyle w:val="2"/>
        <w:shd w:val="clear"/>
        <w:tabs>
          <w:tab w:val="left" w:pos="1190"/>
        </w:tabs>
        <w:rPr>
          <w:rStyle w:val="21"/>
          <w:rFonts w:hint="eastAsia" w:ascii="黑体" w:hAnsi="黑体" w:eastAsia="黑体"/>
          <w:b w:val="0"/>
          <w:color w:val="auto"/>
          <w:sz w:val="32"/>
          <w:szCs w:val="32"/>
          <w:highlight w:val="none"/>
          <w:lang w:val="en-US" w:eastAsia="zh-CN"/>
        </w:rPr>
      </w:pPr>
    </w:p>
    <w:p>
      <w:pPr>
        <w:pStyle w:val="35"/>
        <w:keepNext w:val="0"/>
        <w:keepLines w:val="0"/>
        <w:pageBreakBefore w:val="0"/>
        <w:widowControl w:val="0"/>
        <w:shd w:val="clear"/>
        <w:kinsoku/>
        <w:wordWrap/>
        <w:overflowPunct/>
        <w:topLinePunct w:val="0"/>
        <w:autoSpaceDE/>
        <w:autoSpaceDN/>
        <w:bidi w:val="0"/>
        <w:adjustRightInd/>
        <w:snapToGrid/>
        <w:spacing w:line="0" w:lineRule="atLeast"/>
        <w:jc w:val="center"/>
        <w:textAlignment w:val="auto"/>
        <w:rPr>
          <w:rFonts w:hint="eastAsia" w:ascii="方正小标宋简体" w:hAnsi="方正小标宋简体" w:eastAsia="方正小标宋简体" w:cs="方正小标宋简体"/>
          <w:b w:val="0"/>
          <w:bCs w:val="0"/>
          <w:color w:val="auto"/>
          <w:kern w:val="2"/>
          <w:sz w:val="44"/>
          <w:szCs w:val="44"/>
          <w:highlight w:val="none"/>
          <w:lang w:val="en-US" w:eastAsia="zh-CN"/>
        </w:rPr>
      </w:pPr>
      <w:r>
        <w:rPr>
          <w:rFonts w:hint="eastAsia" w:ascii="方正小标宋简体" w:hAnsi="方正小标宋简体" w:eastAsia="方正小标宋简体" w:cs="方正小标宋简体"/>
          <w:b w:val="0"/>
          <w:bCs w:val="0"/>
          <w:color w:val="auto"/>
          <w:kern w:val="2"/>
          <w:sz w:val="44"/>
          <w:szCs w:val="44"/>
          <w:highlight w:val="none"/>
          <w:lang w:val="en-US" w:eastAsia="zh-CN"/>
        </w:rPr>
        <w:t>2023年市级专项预算项目支出绩效自评报告</w:t>
      </w:r>
    </w:p>
    <w:p>
      <w:pPr>
        <w:pStyle w:val="35"/>
        <w:keepNext w:val="0"/>
        <w:keepLines w:val="0"/>
        <w:pageBreakBefore w:val="0"/>
        <w:widowControl w:val="0"/>
        <w:shd w:val="clear"/>
        <w:kinsoku/>
        <w:wordWrap/>
        <w:overflowPunct/>
        <w:topLinePunct w:val="0"/>
        <w:autoSpaceDE/>
        <w:autoSpaceDN/>
        <w:bidi w:val="0"/>
        <w:adjustRightInd/>
        <w:snapToGrid/>
        <w:spacing w:line="0" w:lineRule="atLeast"/>
        <w:jc w:val="center"/>
        <w:textAlignment w:val="auto"/>
        <w:rPr>
          <w:rFonts w:hint="eastAsia" w:ascii="楷体_GB2312" w:hAnsi="楷体_GB2312" w:eastAsia="楷体_GB2312" w:cs="楷体_GB2312"/>
          <w:b w:val="0"/>
          <w:bCs w:val="0"/>
          <w:color w:val="auto"/>
          <w:kern w:val="2"/>
          <w:sz w:val="32"/>
          <w:szCs w:val="32"/>
          <w:highlight w:val="none"/>
          <w:lang w:eastAsia="zh-CN"/>
        </w:rPr>
      </w:pPr>
      <w:r>
        <w:rPr>
          <w:rFonts w:hint="eastAsia" w:ascii="楷体_GB2312" w:hAnsi="楷体_GB2312" w:eastAsia="楷体_GB2312" w:cs="楷体_GB2312"/>
          <w:b w:val="0"/>
          <w:bCs w:val="0"/>
          <w:color w:val="auto"/>
          <w:kern w:val="2"/>
          <w:sz w:val="32"/>
          <w:szCs w:val="32"/>
          <w:highlight w:val="none"/>
          <w:lang w:eastAsia="zh-CN"/>
        </w:rPr>
        <w:t>（设备购置）</w:t>
      </w:r>
    </w:p>
    <w:p>
      <w:pPr>
        <w:pStyle w:val="35"/>
        <w:keepNext w:val="0"/>
        <w:keepLines w:val="0"/>
        <w:pageBreakBefore w:val="0"/>
        <w:widowControl w:val="0"/>
        <w:shd w:val="clear"/>
        <w:kinsoku/>
        <w:wordWrap/>
        <w:overflowPunct/>
        <w:topLinePunct w:val="0"/>
        <w:autoSpaceDE/>
        <w:autoSpaceDN/>
        <w:bidi w:val="0"/>
        <w:spacing w:line="560" w:lineRule="exact"/>
        <w:jc w:val="center"/>
        <w:textAlignment w:val="auto"/>
        <w:rPr>
          <w:rFonts w:hint="eastAsia" w:ascii="宋体" w:hAnsi="宋体"/>
          <w:b w:val="0"/>
          <w:bCs w:val="0"/>
          <w:color w:val="auto"/>
          <w:kern w:val="2"/>
          <w:sz w:val="18"/>
          <w:szCs w:val="18"/>
          <w:highlight w:val="none"/>
          <w:lang w:eastAsia="zh-CN"/>
        </w:rPr>
      </w:pP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outlineLvl w:val="1"/>
        <w:rPr>
          <w:rFonts w:ascii="黑体" w:hAnsi="宋体" w:eastAsia="黑体"/>
          <w:b w:val="0"/>
          <w:bCs w:val="0"/>
          <w:color w:val="auto"/>
          <w:sz w:val="32"/>
          <w:szCs w:val="32"/>
          <w:highlight w:val="none"/>
          <w:lang w:val="zh-CN"/>
        </w:rPr>
      </w:pPr>
      <w:bookmarkStart w:id="130" w:name="_Toc2425"/>
      <w:bookmarkStart w:id="131" w:name="_Toc1943"/>
      <w:r>
        <w:rPr>
          <w:rFonts w:hint="eastAsia" w:ascii="黑体" w:hAnsi="宋体" w:eastAsia="黑体"/>
          <w:b w:val="0"/>
          <w:bCs w:val="0"/>
          <w:color w:val="auto"/>
          <w:sz w:val="32"/>
          <w:szCs w:val="32"/>
          <w:highlight w:val="none"/>
        </w:rPr>
        <w:t>一、</w:t>
      </w:r>
      <w:r>
        <w:rPr>
          <w:rFonts w:hint="eastAsia" w:ascii="黑体" w:hAnsi="宋体" w:eastAsia="黑体"/>
          <w:b w:val="0"/>
          <w:bCs w:val="0"/>
          <w:color w:val="auto"/>
          <w:sz w:val="32"/>
          <w:szCs w:val="32"/>
          <w:highlight w:val="none"/>
          <w:lang w:val="zh-CN"/>
        </w:rPr>
        <w:t>项目概况</w:t>
      </w:r>
      <w:bookmarkEnd w:id="130"/>
      <w:bookmarkEnd w:id="131"/>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color w:val="auto"/>
          <w:kern w:val="2"/>
          <w:sz w:val="32"/>
          <w:szCs w:val="32"/>
          <w:highlight w:val="none"/>
          <w:lang w:val="en-US" w:eastAsia="zh-CN"/>
        </w:rPr>
      </w:pPr>
      <w:r>
        <w:rPr>
          <w:rFonts w:hint="eastAsia" w:ascii="楷体_GB2312" w:hAnsi="楷体_GB2312" w:eastAsia="楷体_GB2312" w:cs="楷体_GB2312"/>
          <w:color w:val="auto"/>
          <w:kern w:val="2"/>
          <w:sz w:val="32"/>
          <w:szCs w:val="32"/>
          <w:highlight w:val="none"/>
          <w:lang w:val="en-US" w:eastAsia="zh-CN"/>
        </w:rPr>
        <w:t>（一）项目基本情况。</w:t>
      </w:r>
    </w:p>
    <w:p>
      <w:pPr>
        <w:pStyle w:val="16"/>
        <w:keepNext w:val="0"/>
        <w:keepLines w:val="0"/>
        <w:pageBreakBefore w:val="0"/>
        <w:widowControl w:val="0"/>
        <w:numPr>
          <w:ilvl w:val="0"/>
          <w:numId w:val="0"/>
        </w:numPr>
        <w:shd w:val="clear"/>
        <w:kinsoku/>
        <w:wordWrap/>
        <w:overflowPunct/>
        <w:topLinePunct w:val="0"/>
        <w:autoSpaceDE/>
        <w:autoSpaceDN/>
        <w:bidi w:val="0"/>
        <w:spacing w:line="560" w:lineRule="exact"/>
        <w:ind w:firstLine="640" w:firstLineChars="200"/>
        <w:textAlignment w:val="auto"/>
        <w:rPr>
          <w:rFonts w:ascii="仿宋_GB2312" w:eastAsia="仿宋_GB2312" w:cs="Times New Roman"/>
          <w:color w:val="auto"/>
          <w:kern w:val="2"/>
          <w:sz w:val="32"/>
          <w:szCs w:val="32"/>
          <w:highlight w:val="none"/>
        </w:rPr>
      </w:pPr>
      <w:r>
        <w:rPr>
          <w:rFonts w:hint="eastAsia" w:ascii="仿宋_GB2312" w:eastAsia="仿宋_GB2312"/>
          <w:color w:val="auto"/>
          <w:sz w:val="32"/>
          <w:szCs w:val="32"/>
          <w:highlight w:val="none"/>
          <w:lang w:eastAsia="zh-CN"/>
        </w:rPr>
        <w:t>公积金设备购置项目主要是用于</w:t>
      </w:r>
      <w:r>
        <w:rPr>
          <w:rFonts w:hint="eastAsia" w:ascii="仿宋_GB2312" w:eastAsia="仿宋_GB2312"/>
          <w:color w:val="auto"/>
          <w:sz w:val="32"/>
          <w:szCs w:val="32"/>
          <w:highlight w:val="none"/>
          <w:lang w:val="en-US" w:eastAsia="zh-CN"/>
        </w:rPr>
        <w:t>国产打印机和空调机购置，用于保障中心各科室及管理部工作开展。</w:t>
      </w:r>
    </w:p>
    <w:p>
      <w:pPr>
        <w:keepNext w:val="0"/>
        <w:keepLines w:val="0"/>
        <w:pageBreakBefore w:val="0"/>
        <w:widowControl w:val="0"/>
        <w:numPr>
          <w:ilvl w:val="0"/>
          <w:numId w:val="0"/>
        </w:numPr>
        <w:shd w:val="clear"/>
        <w:tabs>
          <w:tab w:val="left" w:pos="2523"/>
        </w:tabs>
        <w:kinsoku/>
        <w:wordWrap/>
        <w:overflowPunct/>
        <w:topLinePunct w:val="0"/>
        <w:autoSpaceDE/>
        <w:autoSpaceDN/>
        <w:bidi w:val="0"/>
        <w:adjustRightInd/>
        <w:snapToGrid/>
        <w:spacing w:line="560" w:lineRule="exact"/>
        <w:ind w:left="720" w:leftChars="0"/>
        <w:textAlignment w:val="auto"/>
        <w:rPr>
          <w:rFonts w:hint="eastAsia" w:ascii="楷体_GB2312" w:hAnsi="楷体_GB2312" w:eastAsia="楷体_GB2312" w:cs="楷体_GB2312"/>
          <w:bCs/>
          <w:color w:val="auto"/>
          <w:sz w:val="32"/>
          <w:szCs w:val="32"/>
          <w:highlight w:val="none"/>
          <w:lang w:val="zh-CN"/>
        </w:rPr>
      </w:pPr>
      <w:r>
        <w:rPr>
          <w:rFonts w:hint="eastAsia" w:ascii="楷体_GB2312" w:hAnsi="楷体_GB2312" w:eastAsia="楷体_GB2312" w:cs="楷体_GB2312"/>
          <w:bCs/>
          <w:color w:val="auto"/>
          <w:sz w:val="32"/>
          <w:szCs w:val="32"/>
          <w:highlight w:val="none"/>
          <w:lang w:val="zh-CN"/>
        </w:rPr>
        <w:t>（二）项目绩效目标。</w:t>
      </w:r>
    </w:p>
    <w:p>
      <w:pPr>
        <w:keepNext w:val="0"/>
        <w:keepLines w:val="0"/>
        <w:pageBreakBefore w:val="0"/>
        <w:widowControl w:val="0"/>
        <w:numPr>
          <w:ilvl w:val="0"/>
          <w:numId w:val="0"/>
        </w:numPr>
        <w:shd w:val="clear"/>
        <w:tabs>
          <w:tab w:val="left" w:pos="2523"/>
        </w:tabs>
        <w:kinsoku/>
        <w:wordWrap/>
        <w:overflowPunct/>
        <w:topLinePunct w:val="0"/>
        <w:autoSpaceDE/>
        <w:autoSpaceDN/>
        <w:bidi w:val="0"/>
        <w:adjustRightInd/>
        <w:snapToGrid/>
        <w:spacing w:line="560" w:lineRule="exact"/>
        <w:ind w:firstLine="640" w:firstLineChars="200"/>
        <w:textAlignment w:val="auto"/>
        <w:rPr>
          <w:rFonts w:hint="eastAsia" w:ascii="仿宋_GB2312" w:hAnsi="宋体" w:eastAsia="仿宋_GB2312"/>
          <w:color w:val="auto"/>
          <w:sz w:val="32"/>
          <w:szCs w:val="32"/>
          <w:highlight w:val="none"/>
          <w:lang w:val="zh-CN"/>
        </w:rPr>
      </w:pPr>
      <w:r>
        <w:rPr>
          <w:rFonts w:hint="eastAsia" w:ascii="仿宋_GB2312" w:hAnsi="仿宋_GB2312" w:eastAsia="仿宋_GB2312" w:cs="仿宋_GB2312"/>
          <w:color w:val="auto"/>
          <w:sz w:val="32"/>
          <w:szCs w:val="32"/>
          <w:highlight w:val="none"/>
          <w:lang w:eastAsia="zh-CN"/>
        </w:rPr>
        <w:t>公积金设备购置</w:t>
      </w:r>
      <w:r>
        <w:rPr>
          <w:rFonts w:hint="eastAsia" w:ascii="仿宋_GB2312" w:hAnsi="仿宋_GB2312" w:eastAsia="仿宋_GB2312" w:cs="仿宋_GB2312"/>
          <w:color w:val="auto"/>
          <w:sz w:val="32"/>
          <w:szCs w:val="32"/>
          <w:highlight w:val="none"/>
        </w:rPr>
        <w:t>项目</w:t>
      </w:r>
      <w:r>
        <w:rPr>
          <w:rFonts w:hint="eastAsia" w:ascii="仿宋_GB2312" w:hAnsi="仿宋_GB2312" w:eastAsia="仿宋_GB2312" w:cs="仿宋_GB2312"/>
          <w:color w:val="auto"/>
          <w:sz w:val="32"/>
          <w:szCs w:val="32"/>
          <w:highlight w:val="none"/>
          <w:lang w:val="en-US" w:eastAsia="zh-CN"/>
        </w:rPr>
        <w:t>严格按照实际需求，压实责任、严控成本、合规合理合情使用该运行经费。绩效目标和绩效指标全面完整、相匹配、量化可考核。该项目经费年度工作目标相一致，单位职工满意度达到99%</w:t>
      </w:r>
      <w:r>
        <w:rPr>
          <w:rFonts w:hint="eastAsia" w:ascii="仿宋_GB2312" w:hAnsi="宋体" w:eastAsia="仿宋_GB2312" w:cs="Times New Roman"/>
          <w:color w:val="auto"/>
          <w:sz w:val="32"/>
          <w:szCs w:val="32"/>
          <w:highlight w:val="none"/>
          <w:lang w:val="en-US" w:eastAsia="zh-CN"/>
        </w:rPr>
        <w:t>。</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（三）项目自评步骤及方法。</w:t>
      </w:r>
    </w:p>
    <w:p>
      <w:pPr>
        <w:keepNext w:val="0"/>
        <w:keepLines w:val="0"/>
        <w:pageBreakBefore w:val="0"/>
        <w:widowControl w:val="0"/>
        <w:numPr>
          <w:ilvl w:val="0"/>
          <w:numId w:val="0"/>
        </w:numPr>
        <w:shd w:val="clear"/>
        <w:tabs>
          <w:tab w:val="left" w:pos="2523"/>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首先由实物资产管理人员、采购人员和财务人员共同草拟自评报告，分别报分管领导、主要领导审阅后再报送。</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outlineLvl w:val="1"/>
        <w:rPr>
          <w:rFonts w:ascii="黑体" w:hAnsi="宋体" w:eastAsia="黑体"/>
          <w:b w:val="0"/>
          <w:bCs w:val="0"/>
          <w:color w:val="auto"/>
          <w:sz w:val="32"/>
          <w:szCs w:val="32"/>
          <w:highlight w:val="none"/>
          <w:u w:val="none"/>
        </w:rPr>
      </w:pPr>
      <w:bookmarkStart w:id="132" w:name="_Toc1510"/>
      <w:bookmarkStart w:id="133" w:name="_Toc29119"/>
      <w:r>
        <w:rPr>
          <w:rFonts w:hint="eastAsia" w:ascii="黑体" w:hAnsi="宋体" w:eastAsia="黑体"/>
          <w:b w:val="0"/>
          <w:bCs w:val="0"/>
          <w:color w:val="auto"/>
          <w:sz w:val="32"/>
          <w:szCs w:val="32"/>
          <w:highlight w:val="none"/>
          <w:u w:val="none"/>
        </w:rPr>
        <w:t>二、项目资金申报及使用情况</w:t>
      </w:r>
      <w:bookmarkEnd w:id="132"/>
      <w:bookmarkEnd w:id="133"/>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（一）项目资金申报及批复情况。</w:t>
      </w:r>
    </w:p>
    <w:p>
      <w:pPr>
        <w:pStyle w:val="38"/>
        <w:keepNext w:val="0"/>
        <w:keepLines w:val="0"/>
        <w:pageBreakBefore w:val="0"/>
        <w:widowControl w:val="0"/>
        <w:numPr>
          <w:ilvl w:val="0"/>
          <w:numId w:val="0"/>
        </w:numPr>
        <w:shd w:val="clea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kern w:val="0"/>
          <w:highlight w:val="none"/>
        </w:rPr>
        <w:sectPr>
          <w:footerReference r:id="rId37" w:type="first"/>
          <w:footerReference r:id="rId36" w:type="default"/>
          <w:pgSz w:w="11906" w:h="16838"/>
          <w:pgMar w:top="2098" w:right="1474" w:bottom="1984" w:left="1587" w:header="851" w:footer="992" w:gutter="0"/>
          <w:pgNumType w:fmt="decimal"/>
          <w:cols w:space="425" w:num="1"/>
          <w:titlePg/>
          <w:docGrid w:type="lines" w:linePitch="312" w:charSpace="0"/>
        </w:sectPr>
      </w:pPr>
      <w:r>
        <w:rPr>
          <w:rFonts w:hint="eastAsia" w:ascii="仿宋_GB2312" w:cs="Times New Roman"/>
          <w:color w:val="auto"/>
          <w:kern w:val="2"/>
          <w:sz w:val="32"/>
          <w:szCs w:val="32"/>
          <w:highlight w:val="none"/>
          <w:lang w:val="en-US" w:eastAsia="zh-CN"/>
        </w:rPr>
        <w:t>办公室</w:t>
      </w:r>
      <w:r>
        <w:rPr>
          <w:rFonts w:hint="eastAsia" w:ascii="仿宋_GB2312"/>
          <w:color w:val="auto"/>
          <w:kern w:val="0"/>
          <w:highlight w:val="none"/>
          <w:lang w:val="en-US" w:eastAsia="zh-CN"/>
        </w:rPr>
        <w:t>根据</w:t>
      </w:r>
      <w:r>
        <w:rPr>
          <w:rFonts w:hint="eastAsia" w:ascii="仿宋_GB2312"/>
          <w:color w:val="auto"/>
          <w:kern w:val="0"/>
          <w:highlight w:val="none"/>
        </w:rPr>
        <w:t>单位</w:t>
      </w:r>
      <w:r>
        <w:rPr>
          <w:rFonts w:hint="eastAsia" w:ascii="仿宋_GB2312"/>
          <w:color w:val="auto"/>
          <w:kern w:val="0"/>
          <w:highlight w:val="none"/>
          <w:lang w:val="en-US" w:eastAsia="zh-CN"/>
        </w:rPr>
        <w:t>2022</w:t>
      </w:r>
      <w:r>
        <w:rPr>
          <w:rFonts w:hint="eastAsia" w:ascii="仿宋_GB2312"/>
          <w:color w:val="auto"/>
          <w:kern w:val="0"/>
          <w:highlight w:val="none"/>
        </w:rPr>
        <w:t>年度</w:t>
      </w:r>
      <w:r>
        <w:rPr>
          <w:rFonts w:hint="eastAsia" w:ascii="仿宋_GB2312"/>
          <w:color w:val="auto"/>
          <w:kern w:val="0"/>
          <w:highlight w:val="none"/>
          <w:lang w:eastAsia="zh-CN"/>
        </w:rPr>
        <w:t>关于设备购置</w:t>
      </w:r>
      <w:r>
        <w:rPr>
          <w:rFonts w:hint="eastAsia" w:ascii="仿宋_GB2312"/>
          <w:color w:val="auto"/>
          <w:kern w:val="0"/>
          <w:highlight w:val="none"/>
        </w:rPr>
        <w:t>工作安排，</w:t>
      </w:r>
      <w:r>
        <w:rPr>
          <w:rFonts w:hint="eastAsia" w:ascii="仿宋_GB2312"/>
          <w:color w:val="auto"/>
          <w:kern w:val="0"/>
          <w:highlight w:val="none"/>
          <w:lang w:val="en-US" w:eastAsia="zh-CN"/>
        </w:rPr>
        <w:t>分析</w:t>
      </w:r>
      <w:r>
        <w:rPr>
          <w:rFonts w:hint="eastAsia" w:ascii="仿宋_GB2312"/>
          <w:color w:val="auto"/>
          <w:kern w:val="0"/>
          <w:highlight w:val="none"/>
        </w:rPr>
        <w:t>测算</w:t>
      </w:r>
      <w:r>
        <w:rPr>
          <w:rFonts w:hint="eastAsia" w:ascii="仿宋_GB2312"/>
          <w:color w:val="auto"/>
          <w:kern w:val="0"/>
          <w:highlight w:val="none"/>
          <w:lang w:val="en-US" w:eastAsia="zh-CN"/>
        </w:rPr>
        <w:t>项目</w:t>
      </w:r>
      <w:r>
        <w:rPr>
          <w:rFonts w:hint="eastAsia" w:ascii="仿宋_GB2312"/>
          <w:color w:val="auto"/>
          <w:kern w:val="0"/>
          <w:highlight w:val="none"/>
        </w:rPr>
        <w:t>资金需求。汇总项目纳入年度部门预算草案，经中心党组会审议后报财政局纳入市级部门预算编制报批。202</w:t>
      </w:r>
      <w:r>
        <w:rPr>
          <w:rFonts w:hint="eastAsia" w:ascii="仿宋_GB2312"/>
          <w:color w:val="auto"/>
          <w:kern w:val="0"/>
          <w:highlight w:val="none"/>
          <w:lang w:val="en-US" w:eastAsia="zh-CN"/>
        </w:rPr>
        <w:t>2</w:t>
      </w:r>
      <w:r>
        <w:rPr>
          <w:rFonts w:hint="eastAsia" w:ascii="仿宋_GB2312"/>
          <w:color w:val="auto"/>
          <w:kern w:val="0"/>
          <w:highlight w:val="none"/>
        </w:rPr>
        <w:t>年度申</w:t>
      </w:r>
      <w:r>
        <w:rPr>
          <w:rFonts w:hint="eastAsia" w:ascii="仿宋_GB2312" w:hAnsi="仿宋_GB2312" w:eastAsia="仿宋_GB2312" w:cs="仿宋_GB2312"/>
          <w:color w:val="auto"/>
          <w:kern w:val="0"/>
          <w:highlight w:val="none"/>
        </w:rPr>
        <w:t>报</w:t>
      </w:r>
    </w:p>
    <w:p>
      <w:pPr>
        <w:pStyle w:val="38"/>
        <w:keepNext w:val="0"/>
        <w:keepLines w:val="0"/>
        <w:pageBreakBefore w:val="0"/>
        <w:widowControl w:val="0"/>
        <w:numPr>
          <w:ilvl w:val="0"/>
          <w:numId w:val="0"/>
        </w:numPr>
        <w:shd w:val="clear"/>
        <w:kinsoku/>
        <w:wordWrap/>
        <w:overflowPunct/>
        <w:topLinePunct w:val="0"/>
        <w:autoSpaceDE/>
        <w:autoSpaceDN/>
        <w:bidi w:val="0"/>
        <w:adjustRightInd w:val="0"/>
        <w:snapToGrid w:val="0"/>
        <w:spacing w:line="560" w:lineRule="exact"/>
        <w:textAlignment w:val="auto"/>
        <w:rPr>
          <w:rFonts w:hint="eastAsia" w:ascii="仿宋_GB2312" w:hAnsi="宋体" w:eastAsia="仿宋_GB2312"/>
          <w:color w:val="auto"/>
          <w:sz w:val="32"/>
          <w:szCs w:val="32"/>
          <w:highlight w:val="none"/>
          <w:lang w:val="zh-CN"/>
        </w:rPr>
      </w:pPr>
      <w:r>
        <w:rPr>
          <w:rFonts w:hint="eastAsia" w:ascii="仿宋_GB2312" w:hAnsi="仿宋_GB2312" w:eastAsia="仿宋_GB2312" w:cs="仿宋_GB2312"/>
          <w:color w:val="auto"/>
          <w:sz w:val="32"/>
          <w:szCs w:val="32"/>
          <w:highlight w:val="none"/>
          <w:lang w:eastAsia="zh-CN"/>
        </w:rPr>
        <w:t>公积金设备购置</w:t>
      </w:r>
      <w:r>
        <w:rPr>
          <w:rFonts w:hint="eastAsia" w:ascii="仿宋_GB2312" w:hAnsi="仿宋_GB2312" w:eastAsia="仿宋_GB2312" w:cs="仿宋_GB2312"/>
          <w:color w:val="auto"/>
          <w:sz w:val="32"/>
          <w:szCs w:val="32"/>
          <w:highlight w:val="none"/>
        </w:rPr>
        <w:t>项目</w:t>
      </w:r>
      <w:r>
        <w:rPr>
          <w:rFonts w:hint="eastAsia" w:ascii="仿宋_GB2312" w:hAnsi="仿宋_GB2312" w:eastAsia="仿宋_GB2312" w:cs="仿宋_GB2312"/>
          <w:color w:val="auto"/>
          <w:sz w:val="32"/>
          <w:szCs w:val="32"/>
          <w:highlight w:val="none"/>
          <w:lang w:eastAsia="zh-CN"/>
        </w:rPr>
        <w:t>经费</w:t>
      </w:r>
      <w:r>
        <w:rPr>
          <w:rFonts w:hint="eastAsia" w:ascii="仿宋_GB2312" w:hAnsi="仿宋_GB2312" w:eastAsia="仿宋_GB2312" w:cs="仿宋_GB2312"/>
          <w:color w:val="auto"/>
          <w:kern w:val="0"/>
          <w:highlight w:val="none"/>
        </w:rPr>
        <w:t>预</w:t>
      </w:r>
      <w:r>
        <w:rPr>
          <w:rFonts w:hint="eastAsia" w:ascii="仿宋_GB2312"/>
          <w:color w:val="auto"/>
          <w:kern w:val="0"/>
          <w:highlight w:val="none"/>
        </w:rPr>
        <w:t>算资金</w:t>
      </w:r>
      <w:r>
        <w:rPr>
          <w:rFonts w:hint="eastAsia" w:ascii="仿宋_GB2312"/>
          <w:color w:val="auto"/>
          <w:kern w:val="0"/>
          <w:highlight w:val="none"/>
          <w:lang w:val="en-US" w:eastAsia="zh-CN"/>
        </w:rPr>
        <w:t>8</w:t>
      </w:r>
      <w:r>
        <w:rPr>
          <w:rFonts w:hint="eastAsia" w:ascii="仿宋_GB2312"/>
          <w:color w:val="auto"/>
          <w:kern w:val="0"/>
          <w:highlight w:val="none"/>
        </w:rPr>
        <w:t>万元</w:t>
      </w:r>
      <w:r>
        <w:rPr>
          <w:rFonts w:hint="eastAsia" w:ascii="仿宋_GB2312"/>
          <w:color w:val="auto"/>
          <w:kern w:val="0"/>
          <w:highlight w:val="none"/>
          <w:lang w:eastAsia="zh-CN"/>
        </w:rPr>
        <w:t>，</w:t>
      </w:r>
      <w:r>
        <w:rPr>
          <w:rFonts w:hint="eastAsia" w:ascii="仿宋_GB2312"/>
          <w:color w:val="auto"/>
          <w:kern w:val="0"/>
          <w:highlight w:val="none"/>
        </w:rPr>
        <w:t>该项目为市本级支付项目，由市财政全额保障。财政批复下达专项资金预算</w:t>
      </w:r>
      <w:r>
        <w:rPr>
          <w:rFonts w:hint="eastAsia" w:ascii="仿宋_GB2312"/>
          <w:color w:val="auto"/>
          <w:kern w:val="0"/>
          <w:highlight w:val="none"/>
          <w:lang w:val="en-US" w:eastAsia="zh-CN"/>
        </w:rPr>
        <w:t>8</w:t>
      </w:r>
      <w:r>
        <w:rPr>
          <w:rFonts w:hint="eastAsia" w:ascii="仿宋_GB2312"/>
          <w:color w:val="auto"/>
          <w:kern w:val="0"/>
          <w:highlight w:val="none"/>
        </w:rPr>
        <w:t>万元。</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ascii="仿宋_GB2312" w:hAnsi="宋体"/>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（二）资金计划、到位及使用情况。</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720"/>
        <w:textAlignment w:val="auto"/>
        <w:rPr>
          <w:rFonts w:hint="default" w:ascii="仿宋_GB2312" w:hAnsi="宋体" w:eastAsia="仿宋_GB2312" w:cs="Times New Roman"/>
          <w:color w:val="auto"/>
          <w:kern w:val="2"/>
          <w:sz w:val="32"/>
          <w:szCs w:val="32"/>
          <w:highlight w:val="none"/>
          <w:lang w:val="en-US" w:eastAsia="zh-CN" w:bidi="ar-SA"/>
        </w:rPr>
      </w:pPr>
      <w:r>
        <w:rPr>
          <w:rFonts w:hint="eastAsia" w:ascii="仿宋_GB2312" w:hAnsi="宋体" w:eastAsia="仿宋_GB2312"/>
          <w:color w:val="auto"/>
          <w:sz w:val="32"/>
          <w:szCs w:val="32"/>
          <w:highlight w:val="none"/>
          <w:lang w:val="zh-CN"/>
        </w:rPr>
        <w:t>1．资金计划及到位。</w:t>
      </w:r>
      <w:r>
        <w:rPr>
          <w:rFonts w:hint="eastAsia" w:ascii="仿宋_GB2312" w:hAnsi="仿宋_GB2312" w:eastAsia="仿宋_GB2312" w:cs="仿宋_GB2312"/>
          <w:color w:val="auto"/>
          <w:sz w:val="32"/>
          <w:szCs w:val="32"/>
          <w:highlight w:val="none"/>
          <w:lang w:eastAsia="zh-CN"/>
        </w:rPr>
        <w:t>公积金设备购置</w:t>
      </w:r>
      <w:r>
        <w:rPr>
          <w:rFonts w:hint="eastAsia" w:ascii="仿宋_GB2312" w:hAnsi="仿宋_GB2312" w:eastAsia="仿宋_GB2312" w:cs="仿宋_GB2312"/>
          <w:color w:val="auto"/>
          <w:sz w:val="32"/>
          <w:szCs w:val="32"/>
          <w:highlight w:val="none"/>
        </w:rPr>
        <w:t>项目</w:t>
      </w:r>
      <w:r>
        <w:rPr>
          <w:rFonts w:hint="eastAsia" w:ascii="仿宋_GB2312" w:hAnsi="仿宋_GB2312" w:eastAsia="仿宋_GB2312" w:cs="仿宋_GB2312"/>
          <w:color w:val="auto"/>
          <w:sz w:val="32"/>
          <w:szCs w:val="32"/>
          <w:highlight w:val="none"/>
          <w:lang w:val="en-US" w:eastAsia="zh-CN"/>
        </w:rPr>
        <w:t>8</w:t>
      </w:r>
      <w:r>
        <w:rPr>
          <w:rFonts w:hint="eastAsia" w:ascii="仿宋_GB2312" w:hAnsi="宋体" w:eastAsia="仿宋_GB2312" w:cs="Times New Roman"/>
          <w:color w:val="auto"/>
          <w:kern w:val="2"/>
          <w:sz w:val="32"/>
          <w:szCs w:val="32"/>
          <w:highlight w:val="none"/>
          <w:lang w:val="en-US" w:eastAsia="zh-CN" w:bidi="ar-SA"/>
        </w:rPr>
        <w:t>万元随同部门预算一同下达，资金全部拨付到位。</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720"/>
        <w:textAlignment w:val="auto"/>
        <w:rPr>
          <w:rFonts w:ascii="仿宋_GB2312" w:hAnsi="宋体"/>
          <w:color w:val="auto"/>
          <w:highlight w:val="none"/>
          <w:lang w:val="zh-CN"/>
        </w:rPr>
      </w:pPr>
      <w:r>
        <w:rPr>
          <w:rFonts w:hint="eastAsia" w:ascii="仿宋_GB2312" w:hAnsi="宋体" w:eastAsia="仿宋_GB2312"/>
          <w:color w:val="auto"/>
          <w:sz w:val="32"/>
          <w:szCs w:val="32"/>
          <w:highlight w:val="none"/>
          <w:lang w:val="zh-CN"/>
        </w:rPr>
        <w:t>2．资金使用。</w:t>
      </w:r>
      <w:r>
        <w:rPr>
          <w:rFonts w:hint="eastAsia" w:ascii="仿宋_GB2312" w:hAnsi="仿宋_GB2312" w:eastAsia="仿宋_GB2312" w:cs="仿宋_GB2312"/>
          <w:color w:val="auto"/>
          <w:sz w:val="32"/>
          <w:szCs w:val="32"/>
          <w:highlight w:val="none"/>
          <w:lang w:eastAsia="zh-CN"/>
        </w:rPr>
        <w:t>公积金设备购置</w:t>
      </w:r>
      <w:r>
        <w:rPr>
          <w:rFonts w:hint="eastAsia" w:ascii="仿宋_GB2312" w:hAnsi="仿宋_GB2312" w:eastAsia="仿宋_GB2312" w:cs="仿宋_GB2312"/>
          <w:color w:val="auto"/>
          <w:sz w:val="32"/>
          <w:szCs w:val="32"/>
          <w:highlight w:val="none"/>
        </w:rPr>
        <w:t>项目</w:t>
      </w:r>
      <w:r>
        <w:rPr>
          <w:rFonts w:hint="eastAsia" w:ascii="仿宋_GB2312" w:hAnsi="仿宋_GB2312" w:eastAsia="仿宋_GB2312" w:cs="仿宋_GB2312"/>
          <w:color w:val="auto"/>
          <w:sz w:val="32"/>
          <w:szCs w:val="32"/>
          <w:highlight w:val="none"/>
          <w:lang w:eastAsia="zh-CN"/>
        </w:rPr>
        <w:t>实际支出</w:t>
      </w:r>
      <w:r>
        <w:rPr>
          <w:rFonts w:hint="eastAsia" w:ascii="仿宋_GB2312" w:hAnsi="仿宋_GB2312" w:eastAsia="仿宋_GB2312" w:cs="仿宋_GB2312"/>
          <w:color w:val="auto"/>
          <w:sz w:val="32"/>
          <w:szCs w:val="32"/>
          <w:highlight w:val="none"/>
          <w:lang w:val="en-US" w:eastAsia="zh-CN"/>
        </w:rPr>
        <w:t>7.77万元，</w:t>
      </w:r>
      <w:r>
        <w:rPr>
          <w:rFonts w:hint="eastAsia" w:ascii="仿宋_GB2312" w:hAnsi="宋体" w:eastAsia="仿宋_GB2312" w:cs="Times New Roman"/>
          <w:color w:val="auto"/>
          <w:sz w:val="32"/>
          <w:szCs w:val="32"/>
          <w:highlight w:val="none"/>
          <w:lang w:val="zh-CN"/>
        </w:rPr>
        <w:t>全年支付进度达</w:t>
      </w:r>
      <w:r>
        <w:rPr>
          <w:rFonts w:hint="eastAsia" w:ascii="仿宋_GB2312" w:hAnsi="宋体" w:eastAsia="仿宋_GB2312" w:cs="Times New Roman"/>
          <w:color w:val="auto"/>
          <w:sz w:val="32"/>
          <w:szCs w:val="32"/>
          <w:highlight w:val="none"/>
          <w:lang w:val="en-US" w:eastAsia="zh-CN"/>
        </w:rPr>
        <w:t>97</w:t>
      </w:r>
      <w:r>
        <w:rPr>
          <w:rFonts w:hint="eastAsia" w:ascii="仿宋_GB2312" w:hAnsi="宋体" w:eastAsia="仿宋_GB2312" w:cs="Times New Roman"/>
          <w:color w:val="auto"/>
          <w:sz w:val="32"/>
          <w:szCs w:val="32"/>
          <w:highlight w:val="none"/>
          <w:lang w:val="zh-CN"/>
        </w:rPr>
        <w:t>%。经费严格按照机关出台的各项管理办法支付，依据合规合法。资金支付与预算相符。</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（三）项目财务管理情况。</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宋体" w:eastAsia="仿宋_GB2312" w:cs="Times New Roman"/>
          <w:color w:val="auto"/>
          <w:sz w:val="32"/>
          <w:szCs w:val="32"/>
          <w:highlight w:val="none"/>
          <w:lang w:val="en-US" w:eastAsia="zh-CN"/>
        </w:rPr>
      </w:pPr>
      <w:r>
        <w:rPr>
          <w:rFonts w:hint="eastAsia" w:ascii="仿宋_GB2312" w:hAnsi="仿宋_GB2312" w:eastAsia="仿宋_GB2312" w:cs="仿宋_GB2312"/>
          <w:color w:val="auto"/>
          <w:sz w:val="32"/>
          <w:szCs w:val="32"/>
          <w:highlight w:val="none"/>
          <w:lang w:eastAsia="zh-CN"/>
        </w:rPr>
        <w:t>公积金设备购置</w:t>
      </w:r>
      <w:r>
        <w:rPr>
          <w:rFonts w:hint="eastAsia" w:ascii="仿宋_GB2312" w:hAnsi="仿宋_GB2312" w:eastAsia="仿宋_GB2312" w:cs="仿宋_GB2312"/>
          <w:color w:val="auto"/>
          <w:sz w:val="32"/>
          <w:szCs w:val="32"/>
          <w:highlight w:val="none"/>
        </w:rPr>
        <w:t>项目</w:t>
      </w:r>
      <w:r>
        <w:rPr>
          <w:rFonts w:hint="eastAsia" w:ascii="仿宋_GB2312" w:hAnsi="宋体" w:eastAsia="仿宋_GB2312" w:cs="Times New Roman"/>
          <w:color w:val="auto"/>
          <w:sz w:val="32"/>
          <w:szCs w:val="32"/>
          <w:highlight w:val="none"/>
          <w:lang w:val="en-US" w:eastAsia="zh-CN"/>
        </w:rPr>
        <w:t>纳入单位财务集中统一管理</w:t>
      </w:r>
      <w:r>
        <w:rPr>
          <w:rFonts w:hint="eastAsia" w:ascii="仿宋_GB2312" w:hAnsi="宋体" w:cs="Times New Roman"/>
          <w:color w:val="auto"/>
          <w:sz w:val="32"/>
          <w:szCs w:val="32"/>
          <w:highlight w:val="none"/>
          <w:lang w:val="en-US" w:eastAsia="zh-CN"/>
        </w:rPr>
        <w:t>，</w:t>
      </w:r>
      <w:r>
        <w:rPr>
          <w:rFonts w:hint="eastAsia" w:ascii="仿宋_GB2312" w:hAnsi="宋体" w:eastAsia="仿宋_GB2312" w:cs="Times New Roman"/>
          <w:color w:val="auto"/>
          <w:sz w:val="32"/>
          <w:szCs w:val="32"/>
          <w:highlight w:val="none"/>
          <w:lang w:val="en-US" w:eastAsia="zh-CN"/>
        </w:rPr>
        <w:t>严格按照本单位制定的财务管理制度要求执行，做到先有预算后有支出，并结合全年工作任务及时办理相关的经费支出，提升项目资金使用的制度化、规范化、程序化要求，财务处理及时规范，会计核算准确无误。</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outlineLvl w:val="1"/>
        <w:rPr>
          <w:rFonts w:ascii="黑体" w:hAnsi="宋体" w:eastAsia="黑体"/>
          <w:b w:val="0"/>
          <w:bCs w:val="0"/>
          <w:color w:val="auto"/>
          <w:sz w:val="32"/>
          <w:szCs w:val="32"/>
          <w:highlight w:val="none"/>
          <w:u w:val="none"/>
        </w:rPr>
      </w:pPr>
      <w:bookmarkStart w:id="134" w:name="_Toc12990"/>
      <w:bookmarkStart w:id="135" w:name="_Toc11454"/>
      <w:r>
        <w:rPr>
          <w:rFonts w:hint="eastAsia" w:ascii="黑体" w:hAnsi="宋体" w:eastAsia="黑体"/>
          <w:b w:val="0"/>
          <w:bCs w:val="0"/>
          <w:color w:val="auto"/>
          <w:sz w:val="32"/>
          <w:szCs w:val="32"/>
          <w:highlight w:val="none"/>
          <w:u w:val="none"/>
        </w:rPr>
        <w:t>三、项目实施及管理情况</w:t>
      </w:r>
      <w:bookmarkEnd w:id="134"/>
      <w:bookmarkEnd w:id="135"/>
    </w:p>
    <w:p>
      <w:pPr>
        <w:keepNext w:val="0"/>
        <w:keepLines w:val="0"/>
        <w:pageBreakBefore w:val="0"/>
        <w:widowControl w:val="0"/>
        <w:numPr>
          <w:ilvl w:val="0"/>
          <w:numId w:val="8"/>
        </w:numPr>
        <w:shd w:val="clear"/>
        <w:kinsoku/>
        <w:wordWrap/>
        <w:overflowPunct/>
        <w:topLinePunct w:val="0"/>
        <w:autoSpaceDE/>
        <w:autoSpaceDN/>
        <w:bidi w:val="0"/>
        <w:adjustRightInd w:val="0"/>
        <w:snapToGrid w:val="0"/>
        <w:spacing w:line="560" w:lineRule="exact"/>
        <w:ind w:firstLine="640" w:firstLineChars="200"/>
        <w:jc w:val="both"/>
        <w:textAlignment w:val="auto"/>
        <w:rPr>
          <w:rFonts w:hint="eastAsia"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项目组织架构及实施流程。</w:t>
      </w:r>
    </w:p>
    <w:p>
      <w:pPr>
        <w:pStyle w:val="38"/>
        <w:keepNext w:val="0"/>
        <w:keepLines w:val="0"/>
        <w:pageBreakBefore w:val="0"/>
        <w:widowControl w:val="0"/>
        <w:shd w:val="clear"/>
        <w:kinsoku/>
        <w:wordWrap/>
        <w:overflowPunct/>
        <w:topLinePunct w:val="0"/>
        <w:autoSpaceDE/>
        <w:autoSpaceDN/>
        <w:bidi w:val="0"/>
        <w:adjustRightInd w:val="0"/>
        <w:snapToGrid w:val="0"/>
        <w:spacing w:line="560" w:lineRule="exact"/>
        <w:ind w:firstLine="720"/>
        <w:textAlignment w:val="auto"/>
        <w:rPr>
          <w:rFonts w:ascii="仿宋_GB2312" w:hAnsi="宋体"/>
          <w:color w:val="auto"/>
          <w:highlight w:val="none"/>
        </w:rPr>
      </w:pPr>
      <w:r>
        <w:rPr>
          <w:rFonts w:hint="eastAsia" w:ascii="仿宋_GB2312" w:hAnsi="仿宋_GB2312" w:eastAsia="仿宋_GB2312" w:cs="仿宋_GB2312"/>
          <w:color w:val="auto"/>
          <w:sz w:val="32"/>
          <w:szCs w:val="32"/>
          <w:highlight w:val="none"/>
          <w:lang w:eastAsia="zh-CN"/>
        </w:rPr>
        <w:t>公积金设备购置</w:t>
      </w:r>
      <w:r>
        <w:rPr>
          <w:rFonts w:hint="eastAsia" w:ascii="仿宋_GB2312" w:hAnsi="仿宋_GB2312" w:eastAsia="仿宋_GB2312" w:cs="仿宋_GB2312"/>
          <w:color w:val="auto"/>
          <w:sz w:val="32"/>
          <w:szCs w:val="32"/>
          <w:highlight w:val="none"/>
        </w:rPr>
        <w:t>项目</w:t>
      </w:r>
      <w:r>
        <w:rPr>
          <w:rFonts w:hint="eastAsia" w:ascii="仿宋_GB2312" w:hAnsi="仿宋_GB2312" w:cs="仿宋_GB2312"/>
          <w:color w:val="auto"/>
          <w:sz w:val="32"/>
          <w:szCs w:val="32"/>
          <w:highlight w:val="none"/>
          <w:lang w:val="en-US" w:eastAsia="zh-CN"/>
        </w:rPr>
        <w:t>2022年采购国产打印机20台，空调机8台，实际支出7.77万元，项目组织实施严格按照采购流程和相关要求设备全部验收合格并交付使用，</w:t>
      </w:r>
      <w:r>
        <w:rPr>
          <w:rFonts w:hint="eastAsia" w:ascii="仿宋_GB2312" w:hAnsi="宋体"/>
          <w:color w:val="auto"/>
          <w:highlight w:val="none"/>
          <w:lang w:val="zh-CN"/>
        </w:rPr>
        <w:t>及时进行账务处理，规范进行会计核算，</w:t>
      </w:r>
      <w:r>
        <w:rPr>
          <w:rFonts w:hint="eastAsia" w:ascii="仿宋_GB2312" w:hAnsi="宋体" w:cs="Times New Roman"/>
          <w:color w:val="auto"/>
          <w:sz w:val="32"/>
          <w:szCs w:val="32"/>
          <w:highlight w:val="none"/>
          <w:lang w:val="en-US" w:eastAsia="zh-CN"/>
        </w:rPr>
        <w:t>实物资产信息全部登入资产管理系统。</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zh-CN"/>
        </w:rPr>
      </w:pPr>
      <w:r>
        <w:rPr>
          <w:rFonts w:hint="eastAsia" w:ascii="楷体_GB2312" w:hAnsi="宋体" w:eastAsia="楷体_GB2312"/>
          <w:b w:val="0"/>
          <w:bCs w:val="0"/>
          <w:strike w:val="0"/>
          <w:dstrike w:val="0"/>
          <w:color w:val="auto"/>
          <w:sz w:val="32"/>
          <w:szCs w:val="32"/>
          <w:highlight w:val="none"/>
          <w:u w:val="none"/>
          <w:lang w:val="zh-CN"/>
        </w:rPr>
        <w:t>（二）项目管理情况。</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设备购置项目严格按照采购</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相关管理制度进行采购，在项目执行过程中，无管理制度有悖于实际的情况，无存在难以操作、无法落地、执行不畅的等情况。</w:t>
      </w:r>
    </w:p>
    <w:p>
      <w:pPr>
        <w:keepNext w:val="0"/>
        <w:keepLines w:val="0"/>
        <w:pageBreakBefore w:val="0"/>
        <w:widowControl/>
        <w:suppressLineNumbers w:val="0"/>
        <w:shd w:val="clear"/>
        <w:kinsoku/>
        <w:wordWrap/>
        <w:overflowPunct/>
        <w:topLinePunct w:val="0"/>
        <w:autoSpaceDE/>
        <w:autoSpaceDN/>
        <w:bidi w:val="0"/>
        <w:spacing w:line="560"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楷体_GB2312" w:hAnsi="宋体" w:eastAsia="楷体_GB2312"/>
          <w:b w:val="0"/>
          <w:bCs w:val="0"/>
          <w:strike w:val="0"/>
          <w:dstrike w:val="0"/>
          <w:color w:val="auto"/>
          <w:sz w:val="32"/>
          <w:szCs w:val="32"/>
          <w:highlight w:val="none"/>
          <w:u w:val="none"/>
          <w:lang w:val="zh-CN"/>
        </w:rPr>
        <w:t>（三）项目监管情况。</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严格按照采购相关流程</w:t>
      </w:r>
      <w:r>
        <w:rPr>
          <w:rFonts w:hint="eastAsia" w:ascii="仿宋_GB2312" w:hAnsi="仿宋_GB2312" w:cs="仿宋_GB2312"/>
          <w:b w:val="0"/>
          <w:bCs w:val="0"/>
          <w:color w:val="auto"/>
          <w:kern w:val="0"/>
          <w:sz w:val="32"/>
          <w:szCs w:val="32"/>
          <w:highlight w:val="none"/>
          <w:u w:val="none"/>
          <w:shd w:val="clear" w:color="auto" w:fill="FFFFFF"/>
          <w:lang w:val="zh-CN"/>
        </w:rPr>
        <w:t>执行</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，并在内部纪检</w:t>
      </w:r>
      <w:r>
        <w:rPr>
          <w:rFonts w:hint="eastAsia" w:ascii="仿宋_GB2312" w:hAnsi="仿宋_GB2312" w:cs="仿宋_GB2312"/>
          <w:b w:val="0"/>
          <w:bCs w:val="0"/>
          <w:color w:val="auto"/>
          <w:kern w:val="0"/>
          <w:sz w:val="32"/>
          <w:szCs w:val="32"/>
          <w:highlight w:val="none"/>
          <w:u w:val="none"/>
          <w:shd w:val="clear" w:color="auto" w:fill="FFFFFF"/>
          <w:lang w:val="zh-CN"/>
        </w:rPr>
        <w:t>全过程</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监督情况下完成</w:t>
      </w:r>
      <w:r>
        <w:rPr>
          <w:rFonts w:hint="eastAsia" w:ascii="仿宋_GB2312" w:hAnsi="仿宋_GB2312" w:cs="仿宋_GB2312"/>
          <w:b w:val="0"/>
          <w:bCs w:val="0"/>
          <w:color w:val="auto"/>
          <w:kern w:val="0"/>
          <w:sz w:val="32"/>
          <w:szCs w:val="32"/>
          <w:highlight w:val="none"/>
          <w:u w:val="none"/>
          <w:shd w:val="clear" w:color="auto" w:fill="FFFFFF"/>
          <w:lang w:val="zh-CN"/>
        </w:rPr>
        <w:t>采购并</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验收，</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有力保障财政资金的使用效益，确保绩效目标如期保质保量实现。</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outlineLvl w:val="1"/>
        <w:rPr>
          <w:rFonts w:ascii="仿宋_GB2312" w:hAnsi="宋体"/>
          <w:b w:val="0"/>
          <w:bCs w:val="0"/>
          <w:color w:val="auto"/>
          <w:sz w:val="32"/>
          <w:szCs w:val="32"/>
          <w:highlight w:val="none"/>
          <w:u w:val="none"/>
          <w:lang w:val="zh-CN"/>
        </w:rPr>
      </w:pPr>
      <w:bookmarkStart w:id="136" w:name="_Toc29019"/>
      <w:bookmarkStart w:id="137" w:name="_Toc5308"/>
      <w:r>
        <w:rPr>
          <w:rFonts w:hint="eastAsia" w:ascii="黑体" w:hAnsi="宋体" w:eastAsia="黑体"/>
          <w:b w:val="0"/>
          <w:bCs w:val="0"/>
          <w:color w:val="auto"/>
          <w:sz w:val="32"/>
          <w:szCs w:val="32"/>
          <w:highlight w:val="none"/>
          <w:u w:val="none"/>
        </w:rPr>
        <w:t>四、项目绩效情况</w:t>
      </w:r>
      <w:bookmarkEnd w:id="136"/>
      <w:bookmarkEnd w:id="137"/>
      <w:r>
        <w:rPr>
          <w:rFonts w:hint="eastAsia" w:ascii="仿宋_GB2312" w:hAnsi="宋体"/>
          <w:b w:val="0"/>
          <w:bCs w:val="0"/>
          <w:color w:val="auto"/>
          <w:sz w:val="32"/>
          <w:szCs w:val="32"/>
          <w:highlight w:val="none"/>
          <w:u w:val="none"/>
          <w:lang w:val="zh-CN"/>
        </w:rPr>
        <w:tab/>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（一）项目完成情况。</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sz w:val="32"/>
          <w:szCs w:val="32"/>
          <w:highlight w:val="none"/>
          <w:lang w:eastAsia="zh-CN"/>
        </w:rPr>
        <w:t>公积金设备购置</w:t>
      </w:r>
      <w:r>
        <w:rPr>
          <w:rFonts w:hint="eastAsia" w:ascii="仿宋_GB2312" w:hAnsi="仿宋_GB2312" w:eastAsia="仿宋_GB2312" w:cs="仿宋_GB2312"/>
          <w:color w:val="auto"/>
          <w:sz w:val="32"/>
          <w:szCs w:val="32"/>
          <w:highlight w:val="none"/>
        </w:rPr>
        <w:t>项目</w:t>
      </w:r>
      <w:r>
        <w:rPr>
          <w:rFonts w:hint="eastAsia" w:ascii="仿宋_GB2312" w:hAnsi="仿宋_GB2312" w:eastAsia="仿宋_GB2312" w:cs="仿宋_GB2312"/>
          <w:color w:val="auto"/>
          <w:sz w:val="32"/>
          <w:szCs w:val="32"/>
          <w:highlight w:val="none"/>
          <w:lang w:eastAsia="zh-CN"/>
        </w:rPr>
        <w:t>经费</w:t>
      </w:r>
      <w:r>
        <w:rPr>
          <w:rFonts w:hint="eastAsia" w:ascii="仿宋_GB2312" w:hAnsi="仿宋_GB2312" w:eastAsia="仿宋_GB2312" w:cs="仿宋_GB2312"/>
          <w:color w:val="auto"/>
          <w:kern w:val="2"/>
          <w:sz w:val="32"/>
          <w:szCs w:val="32"/>
          <w:highlight w:val="none"/>
          <w:lang w:val="en-US" w:eastAsia="zh-CN" w:bidi="ar-SA"/>
        </w:rPr>
        <w:t>8万元，完成率97%，通过政府采购节约了资金。项目严格按照规定完成了目标任务，项目实施效果达到预期目标，资金使用安全有效。</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（二）项目效益情况。</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cs="仿宋_GB2312"/>
          <w:b w:val="0"/>
          <w:bCs/>
          <w:color w:val="auto"/>
          <w:sz w:val="32"/>
          <w:szCs w:val="32"/>
          <w:highlight w:val="none"/>
          <w:lang w:val="en-US" w:eastAsia="zh-CN"/>
        </w:rPr>
        <w:t>在</w:t>
      </w:r>
      <w:r>
        <w:rPr>
          <w:rFonts w:hint="eastAsia" w:ascii="仿宋_GB2312" w:hAnsi="仿宋_GB2312" w:eastAsia="仿宋_GB2312" w:cs="仿宋_GB2312"/>
          <w:b w:val="0"/>
          <w:bCs/>
          <w:color w:val="auto"/>
          <w:sz w:val="32"/>
          <w:szCs w:val="32"/>
          <w:highlight w:val="none"/>
          <w:lang w:val="en-US" w:eastAsia="zh-CN"/>
        </w:rPr>
        <w:t>经济效益</w:t>
      </w:r>
      <w:r>
        <w:rPr>
          <w:rFonts w:hint="eastAsia" w:ascii="仿宋_GB2312" w:hAnsi="仿宋_GB2312" w:cs="仿宋_GB2312"/>
          <w:b w:val="0"/>
          <w:bCs/>
          <w:color w:val="auto"/>
          <w:sz w:val="32"/>
          <w:szCs w:val="32"/>
          <w:highlight w:val="none"/>
          <w:lang w:val="en-US" w:eastAsia="zh-CN"/>
        </w:rPr>
        <w:t>方面，</w:t>
      </w:r>
      <w:r>
        <w:rPr>
          <w:rFonts w:hint="eastAsia" w:ascii="仿宋_GB2312" w:hAnsi="仿宋_GB2312" w:eastAsia="仿宋_GB2312" w:cs="仿宋_GB2312"/>
          <w:b w:val="0"/>
          <w:bCs/>
          <w:color w:val="auto"/>
          <w:sz w:val="32"/>
          <w:szCs w:val="32"/>
          <w:highlight w:val="none"/>
          <w:lang w:val="en-US" w:eastAsia="zh-CN"/>
        </w:rPr>
        <w:t>购置的设备</w:t>
      </w:r>
      <w:r>
        <w:rPr>
          <w:rFonts w:hint="eastAsia" w:ascii="仿宋_GB2312" w:hAnsi="仿宋_GB2312" w:cs="仿宋_GB2312"/>
          <w:b w:val="0"/>
          <w:bCs/>
          <w:color w:val="auto"/>
          <w:sz w:val="32"/>
          <w:szCs w:val="32"/>
          <w:highlight w:val="none"/>
          <w:lang w:val="en-US" w:eastAsia="zh-CN"/>
        </w:rPr>
        <w:t>保障日常工作需要，提升工作效率；在满意度方面，提升职工满意度。</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outlineLvl w:val="1"/>
        <w:rPr>
          <w:rFonts w:ascii="黑体" w:hAnsi="宋体" w:eastAsia="黑体"/>
          <w:b w:val="0"/>
          <w:bCs w:val="0"/>
          <w:color w:val="auto"/>
          <w:sz w:val="32"/>
          <w:szCs w:val="32"/>
          <w:highlight w:val="none"/>
          <w:u w:val="none"/>
        </w:rPr>
      </w:pPr>
      <w:bookmarkStart w:id="138" w:name="_Toc28874"/>
      <w:bookmarkStart w:id="139" w:name="_Toc29830"/>
      <w:r>
        <w:rPr>
          <w:rFonts w:hint="eastAsia" w:ascii="黑体" w:hAnsi="宋体" w:eastAsia="黑体"/>
          <w:b w:val="0"/>
          <w:bCs w:val="0"/>
          <w:color w:val="auto"/>
          <w:sz w:val="32"/>
          <w:szCs w:val="32"/>
          <w:highlight w:val="none"/>
          <w:u w:val="none"/>
        </w:rPr>
        <w:t>五、评价结论及建议</w:t>
      </w:r>
      <w:bookmarkEnd w:id="138"/>
      <w:bookmarkEnd w:id="139"/>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（一）评价结论。</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zh-CN" w:eastAsia="zh-CN" w:bidi="ar-SA"/>
        </w:rPr>
        <w:t>2022年设备购置项目</w:t>
      </w:r>
      <w:r>
        <w:rPr>
          <w:rFonts w:hint="eastAsia" w:ascii="仿宋_GB2312" w:hAnsi="仿宋_GB2312" w:eastAsia="仿宋_GB2312" w:cs="仿宋_GB2312"/>
          <w:color w:val="auto"/>
          <w:kern w:val="2"/>
          <w:sz w:val="32"/>
          <w:szCs w:val="32"/>
          <w:highlight w:val="none"/>
          <w:lang w:val="en-US" w:eastAsia="zh-CN" w:bidi="ar-SA"/>
        </w:rPr>
        <w:t>对照评价指标体系，项目年初制定目标基本实现、达到预期，资金管理到位、组织和制度保障体系健全</w:t>
      </w:r>
      <w:r>
        <w:rPr>
          <w:rFonts w:hint="eastAsia" w:ascii="仿宋_GB2312" w:hAnsi="仿宋_GB2312" w:eastAsia="仿宋_GB2312" w:cs="仿宋_GB2312"/>
          <w:color w:val="auto"/>
          <w:kern w:val="2"/>
          <w:sz w:val="32"/>
          <w:szCs w:val="32"/>
          <w:highlight w:val="none"/>
          <w:lang w:val="zh-CN" w:eastAsia="zh-CN" w:bidi="ar-SA"/>
        </w:rPr>
        <w:t>，根据预算项目支出绩效评价指标体系指标最终自评得分</w:t>
      </w:r>
      <w:r>
        <w:rPr>
          <w:rFonts w:hint="eastAsia" w:ascii="仿宋_GB2312" w:hAnsi="仿宋_GB2312" w:eastAsia="仿宋_GB2312" w:cs="仿宋_GB2312"/>
          <w:color w:val="auto"/>
          <w:kern w:val="2"/>
          <w:sz w:val="32"/>
          <w:szCs w:val="32"/>
          <w:highlight w:val="none"/>
          <w:lang w:val="en-US" w:eastAsia="zh-CN" w:bidi="ar-SA"/>
        </w:rPr>
        <w:t>91</w:t>
      </w:r>
      <w:r>
        <w:rPr>
          <w:rFonts w:hint="eastAsia" w:ascii="仿宋_GB2312" w:hAnsi="仿宋_GB2312" w:eastAsia="仿宋_GB2312" w:cs="仿宋_GB2312"/>
          <w:color w:val="auto"/>
          <w:kern w:val="2"/>
          <w:sz w:val="32"/>
          <w:szCs w:val="32"/>
          <w:highlight w:val="none"/>
          <w:lang w:val="zh-CN" w:eastAsia="zh-CN" w:bidi="ar-SA"/>
        </w:rPr>
        <w:t>分。</w:t>
      </w:r>
      <w:r>
        <w:rPr>
          <w:rFonts w:hint="eastAsia" w:ascii="仿宋_GB2312" w:hAnsi="仿宋_GB2312" w:eastAsia="仿宋_GB2312" w:cs="仿宋_GB2312"/>
          <w:color w:val="auto"/>
          <w:kern w:val="2"/>
          <w:sz w:val="32"/>
          <w:szCs w:val="32"/>
          <w:highlight w:val="none"/>
          <w:lang w:val="en-US" w:eastAsia="zh-CN" w:bidi="ar-SA"/>
        </w:rPr>
        <w:t xml:space="preserve"> </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（二）存在的问题。</w:t>
      </w:r>
    </w:p>
    <w:p>
      <w:pPr>
        <w:keepNext w:val="0"/>
        <w:keepLines w:val="0"/>
        <w:pageBreakBefore w:val="0"/>
        <w:pBdr>
          <w:bottom w:val="single" w:color="FFFFFF" w:sz="4" w:space="29"/>
        </w:pBdr>
        <w:shd w:val="clear"/>
        <w:tabs>
          <w:tab w:val="left" w:pos="1440"/>
        </w:tabs>
        <w:kinsoku/>
        <w:wordWrap/>
        <w:overflowPunct/>
        <w:topLinePunct w:val="0"/>
        <w:autoSpaceDE/>
        <w:autoSpaceDN/>
        <w:bidi w:val="0"/>
        <w:spacing w:line="560" w:lineRule="exact"/>
        <w:ind w:firstLine="627" w:firstLineChars="196"/>
        <w:textAlignment w:val="auto"/>
        <w:rPr>
          <w:rFonts w:hint="eastAsia" w:ascii="仿宋_GB2312" w:hAnsi="仿宋_GB2312" w:cs="仿宋_GB2312"/>
          <w:color w:val="auto"/>
          <w:sz w:val="32"/>
          <w:szCs w:val="32"/>
          <w:highlight w:val="none"/>
          <w:lang w:val="en-US" w:eastAsia="zh-CN"/>
        </w:rPr>
      </w:pPr>
      <w:r>
        <w:rPr>
          <w:rFonts w:hint="eastAsia" w:ascii="仿宋_GB2312" w:hAnsi="仿宋_GB2312" w:cs="仿宋_GB2312"/>
          <w:color w:val="auto"/>
          <w:sz w:val="32"/>
          <w:szCs w:val="32"/>
          <w:highlight w:val="none"/>
          <w:lang w:val="en-US" w:eastAsia="zh-CN"/>
        </w:rPr>
        <w:t>无</w:t>
      </w:r>
    </w:p>
    <w:p>
      <w:pPr>
        <w:keepNext w:val="0"/>
        <w:keepLines w:val="0"/>
        <w:pageBreakBefore w:val="0"/>
        <w:numPr>
          <w:ilvl w:val="0"/>
          <w:numId w:val="8"/>
        </w:numPr>
        <w:pBdr>
          <w:bottom w:val="single" w:color="FFFFFF" w:sz="4" w:space="29"/>
        </w:pBdr>
        <w:shd w:val="clear"/>
        <w:tabs>
          <w:tab w:val="left" w:pos="1440"/>
        </w:tabs>
        <w:kinsoku/>
        <w:wordWrap/>
        <w:overflowPunct/>
        <w:topLinePunct w:val="0"/>
        <w:autoSpaceDE/>
        <w:autoSpaceDN/>
        <w:bidi w:val="0"/>
        <w:spacing w:line="560" w:lineRule="exact"/>
        <w:ind w:left="0" w:leftChars="0" w:firstLine="640" w:firstLineChars="200"/>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zh-CN"/>
        </w:rPr>
      </w:pPr>
      <w:r>
        <w:rPr>
          <w:rFonts w:hint="eastAsia" w:ascii="楷体_GB2312" w:hAnsi="宋体" w:eastAsia="楷体_GB2312"/>
          <w:b w:val="0"/>
          <w:bCs w:val="0"/>
          <w:color w:val="auto"/>
          <w:sz w:val="32"/>
          <w:szCs w:val="32"/>
          <w:highlight w:val="none"/>
          <w:u w:val="none"/>
          <w:lang w:val="zh-CN"/>
        </w:rPr>
        <w:t>相关建议。</w:t>
      </w:r>
    </w:p>
    <w:p>
      <w:pPr>
        <w:pStyle w:val="2"/>
        <w:shd w:val="clear"/>
        <w:tabs>
          <w:tab w:val="left" w:pos="1190"/>
        </w:tabs>
        <w:ind w:firstLine="640" w:firstLineChars="200"/>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sectPr>
          <w:footerReference r:id="rId39" w:type="first"/>
          <w:footerReference r:id="rId38" w:type="default"/>
          <w:pgSz w:w="11906" w:h="16838"/>
          <w:pgMar w:top="2098" w:right="1474" w:bottom="1984" w:left="1587" w:header="851" w:footer="992" w:gutter="0"/>
          <w:pgNumType w:fmt="decimal"/>
          <w:cols w:space="425" w:num="1"/>
          <w:docGrid w:type="lines" w:linePitch="312" w:charSpace="0"/>
        </w:sectPr>
      </w:pP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科学制定工作计划，加强推进、督促，及时结算资金，提高资金支出时效。</w:t>
      </w:r>
    </w:p>
    <w:p>
      <w:pPr>
        <w:pStyle w:val="2"/>
        <w:shd w:val="clear"/>
        <w:tabs>
          <w:tab w:val="left" w:pos="1190"/>
        </w:tabs>
        <w:rPr>
          <w:rFonts w:hint="eastAsia" w:ascii="黑体" w:hAnsi="黑体" w:eastAsia="黑体" w:cs="黑体"/>
          <w:b w:val="0"/>
          <w:bCs w:val="0"/>
          <w:color w:val="auto"/>
          <w:kern w:val="0"/>
          <w:sz w:val="32"/>
          <w:szCs w:val="32"/>
          <w:highlight w:val="none"/>
          <w:u w:val="none"/>
          <w:shd w:val="clear" w:color="auto" w:fill="FFFFFF"/>
          <w:lang w:val="en-US" w:eastAsia="zh-CN"/>
        </w:rPr>
      </w:pPr>
      <w:r>
        <w:rPr>
          <w:rFonts w:hint="eastAsia" w:ascii="黑体" w:hAnsi="黑体" w:eastAsia="黑体" w:cs="黑体"/>
          <w:b w:val="0"/>
          <w:bCs w:val="0"/>
          <w:color w:val="auto"/>
          <w:kern w:val="0"/>
          <w:sz w:val="32"/>
          <w:szCs w:val="32"/>
          <w:highlight w:val="none"/>
          <w:u w:val="none"/>
          <w:shd w:val="clear" w:color="auto" w:fill="FFFFFF"/>
          <w:lang w:val="en-US" w:eastAsia="zh-CN"/>
        </w:rPr>
        <w:t>附表5：</w:t>
      </w:r>
    </w:p>
    <w:tbl>
      <w:tblPr>
        <w:tblStyle w:val="17"/>
        <w:tblW w:w="13039"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77"/>
        <w:gridCol w:w="1314"/>
        <w:gridCol w:w="1040"/>
        <w:gridCol w:w="1304"/>
        <w:gridCol w:w="2227"/>
        <w:gridCol w:w="968"/>
        <w:gridCol w:w="671"/>
        <w:gridCol w:w="749"/>
        <w:gridCol w:w="880"/>
        <w:gridCol w:w="26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13039" w:type="dxa"/>
            <w:gridSpan w:val="10"/>
            <w:tcBorders>
              <w:top w:val="nil"/>
              <w:left w:val="nil"/>
              <w:bottom w:val="nil"/>
              <w:right w:val="nil"/>
            </w:tcBorders>
            <w:shd w:val="clear" w:color="auto" w:fill="auto"/>
            <w:vAlign w:val="center"/>
          </w:tcPr>
          <w:p>
            <w:pPr>
              <w:keepNext w:val="0"/>
              <w:keepLines w:val="0"/>
              <w:widowControl/>
              <w:suppressLineNumbers w:val="0"/>
              <w:shd w:val="clear"/>
              <w:jc w:val="center"/>
              <w:textAlignment w:val="center"/>
              <w:rPr>
                <w:rFonts w:ascii="方正小标宋简体" w:hAnsi="方正小标宋简体" w:eastAsia="方正小标宋简体" w:cs="方正小标宋简体"/>
                <w:i w:val="0"/>
                <w:color w:val="auto"/>
                <w:sz w:val="44"/>
                <w:szCs w:val="44"/>
                <w:highlight w:val="none"/>
                <w:u w:val="none"/>
              </w:rPr>
            </w:pPr>
            <w:r>
              <w:rPr>
                <w:rFonts w:hint="eastAsia" w:ascii="方正小标宋简体" w:hAnsi="方正小标宋简体" w:eastAsia="方正小标宋简体" w:cs="方正小标宋简体"/>
                <w:i w:val="0"/>
                <w:color w:val="auto"/>
                <w:kern w:val="0"/>
                <w:sz w:val="44"/>
                <w:szCs w:val="44"/>
                <w:highlight w:val="none"/>
                <w:u w:val="none"/>
                <w:lang w:val="en-US" w:eastAsia="zh-CN" w:bidi="ar"/>
              </w:rPr>
              <w:t>部门预算、专项资金预算项目支出绩效目标自评表（2022年度）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项目名称</w:t>
            </w:r>
          </w:p>
        </w:tc>
        <w:tc>
          <w:tcPr>
            <w:tcW w:w="1044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设备购置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2" w:hRule="atLeast"/>
        </w:trPr>
        <w:tc>
          <w:tcPr>
            <w:tcW w:w="2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主管部门（盖章）</w:t>
            </w:r>
          </w:p>
        </w:tc>
        <w:tc>
          <w:tcPr>
            <w:tcW w:w="457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广元市住房公积金管理中心</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实施单位 （盖章）</w:t>
            </w:r>
          </w:p>
        </w:tc>
        <w:tc>
          <w:tcPr>
            <w:tcW w:w="490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广元市住房公积金管理中心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2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项目基本情况</w:t>
            </w:r>
          </w:p>
        </w:tc>
        <w:tc>
          <w:tcPr>
            <w:tcW w:w="13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1.项目年度目标完成情况</w:t>
            </w:r>
          </w:p>
        </w:tc>
        <w:tc>
          <w:tcPr>
            <w:tcW w:w="457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项目年度目标</w:t>
            </w:r>
          </w:p>
        </w:tc>
        <w:tc>
          <w:tcPr>
            <w:tcW w:w="587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2" w:hRule="atLeast"/>
        </w:trPr>
        <w:tc>
          <w:tcPr>
            <w:tcW w:w="12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b/>
                <w:i w:val="0"/>
                <w:color w:val="auto"/>
                <w:sz w:val="18"/>
                <w:szCs w:val="18"/>
                <w:highlight w:val="none"/>
                <w:u w:val="none"/>
              </w:rPr>
            </w:pPr>
          </w:p>
        </w:tc>
        <w:tc>
          <w:tcPr>
            <w:tcW w:w="13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b/>
                <w:i w:val="0"/>
                <w:color w:val="auto"/>
                <w:sz w:val="18"/>
                <w:szCs w:val="18"/>
                <w:highlight w:val="none"/>
                <w:u w:val="none"/>
              </w:rPr>
            </w:pPr>
          </w:p>
        </w:tc>
        <w:tc>
          <w:tcPr>
            <w:tcW w:w="457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完成2022年基本办公设备的采购及业务专项设备的采购。</w:t>
            </w:r>
          </w:p>
        </w:tc>
        <w:tc>
          <w:tcPr>
            <w:tcW w:w="587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办公设备采购事项完成，提高工作效率，职工满意率99%。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2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b/>
                <w:i w:val="0"/>
                <w:color w:val="auto"/>
                <w:sz w:val="18"/>
                <w:szCs w:val="18"/>
                <w:highlight w:val="none"/>
                <w:u w:val="none"/>
              </w:rPr>
            </w:pP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2.项目实施内容及过程概述</w:t>
            </w:r>
          </w:p>
        </w:tc>
        <w:tc>
          <w:tcPr>
            <w:tcW w:w="1044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2022年根据预算安排和采购相关规定，开展办公设备采购事项，所购设备全部验收合格。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12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预算执行情况（10分）</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年度预算数（万元）</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年初预算</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调整后预算数</w:t>
            </w:r>
          </w:p>
        </w:tc>
        <w:tc>
          <w:tcPr>
            <w:tcW w:w="2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预算执行数</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预算执行率</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权重%</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部门自评得分</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财政部门科室复评得分</w:t>
            </w:r>
          </w:p>
        </w:tc>
        <w:tc>
          <w:tcPr>
            <w:tcW w:w="2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总额</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8万元</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7.77万元</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97.13%</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其中：财政资金</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8万元</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7.77万元</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97.13%</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财政专户管理资金</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227"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单位资金</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227"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tbl>
    <w:p>
      <w:pPr>
        <w:shd w:val="clear"/>
        <w:jc w:val="center"/>
        <w:rPr>
          <w:rFonts w:hint="eastAsia" w:ascii="宋体" w:hAnsi="宋体" w:eastAsia="宋体" w:cs="宋体"/>
          <w:b/>
          <w:i w:val="0"/>
          <w:color w:val="auto"/>
          <w:sz w:val="18"/>
          <w:szCs w:val="18"/>
          <w:highlight w:val="none"/>
          <w:u w:val="none"/>
        </w:rPr>
        <w:sectPr>
          <w:footerReference r:id="rId41" w:type="first"/>
          <w:footerReference r:id="rId40" w:type="default"/>
          <w:pgSz w:w="16838" w:h="11906" w:orient="landscape"/>
          <w:pgMar w:top="1587" w:right="2098" w:bottom="1474" w:left="1984" w:header="851" w:footer="992" w:gutter="0"/>
          <w:pgNumType w:fmt="decimal"/>
          <w:cols w:space="425" w:num="1"/>
          <w:titlePg/>
          <w:docGrid w:type="lines" w:linePitch="312" w:charSpace="0"/>
        </w:sectPr>
      </w:pPr>
    </w:p>
    <w:tbl>
      <w:tblPr>
        <w:tblStyle w:val="17"/>
        <w:tblW w:w="13039"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77"/>
        <w:gridCol w:w="1314"/>
        <w:gridCol w:w="1040"/>
        <w:gridCol w:w="1304"/>
        <w:gridCol w:w="477"/>
        <w:gridCol w:w="994"/>
        <w:gridCol w:w="756"/>
        <w:gridCol w:w="968"/>
        <w:gridCol w:w="671"/>
        <w:gridCol w:w="749"/>
        <w:gridCol w:w="880"/>
        <w:gridCol w:w="26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shd w:val="clear"/>
              <w:rPr>
                <w:rFonts w:hint="eastAsia"/>
                <w:color w:val="auto"/>
                <w:highlight w:val="none"/>
              </w:rPr>
            </w:pP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其他资金</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6"/>
                <w:szCs w:val="16"/>
                <w:highlight w:val="none"/>
                <w:u w:val="none"/>
              </w:rPr>
            </w:pP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6"/>
                <w:szCs w:val="16"/>
                <w:highlight w:val="none"/>
                <w:u w:val="none"/>
              </w:rPr>
            </w:pPr>
          </w:p>
        </w:tc>
        <w:tc>
          <w:tcPr>
            <w:tcW w:w="222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6"/>
                <w:szCs w:val="16"/>
                <w:highlight w:val="none"/>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6"/>
                <w:szCs w:val="16"/>
                <w:highlight w:val="none"/>
                <w:u w:val="none"/>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0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绩效指标（90分）</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一级指标</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二级指标</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三级指标</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指标性质</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指标值</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度量单位</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完成值</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权重</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部门自评得分</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财政部门科室复评得分</w:t>
            </w:r>
          </w:p>
        </w:tc>
        <w:tc>
          <w:tcPr>
            <w:tcW w:w="2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2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产出指标</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数量指标</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空调</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台（套）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9</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因剑阁县政务大厅无法安装台式空调，因此换成一拖二风管机。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效益指标</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社会效益指标</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履职和服务</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定性</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高中低</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中</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0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效益指标</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可持续影响指标</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项目作用期间</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0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产出指标</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时效指标</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完成时间</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2022</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完成</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0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2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产出指标</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数量指标</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打印机</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台（套）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0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2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满意度指标</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服务对象满意度指标</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职工满意度</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99</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0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效益指标</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生态效益指标</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能耗降低</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定性</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好坏</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好</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0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产出指标</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质量指标</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质量合格</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0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效益指标</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经济效益指标</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提高工作效率</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0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2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产出指标</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成本指标</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11台空调，20台打印机</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7.77</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0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813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合计</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94</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0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tbl>
    <w:p>
      <w:pPr>
        <w:pStyle w:val="2"/>
        <w:shd w:val="clear"/>
        <w:tabs>
          <w:tab w:val="left" w:pos="1190"/>
        </w:tabs>
        <w:rPr>
          <w:rFonts w:hint="default" w:ascii="仿宋_GB2312" w:hAnsi="仿宋_GB2312" w:eastAsia="仿宋_GB2312" w:cs="仿宋_GB2312"/>
          <w:b w:val="0"/>
          <w:bCs w:val="0"/>
          <w:color w:val="auto"/>
          <w:kern w:val="0"/>
          <w:sz w:val="32"/>
          <w:szCs w:val="32"/>
          <w:highlight w:val="none"/>
          <w:u w:val="none"/>
          <w:shd w:val="clear" w:color="auto" w:fill="FFFFFF"/>
          <w:lang w:val="en-US" w:eastAsia="zh-CN"/>
        </w:rPr>
        <w:sectPr>
          <w:footerReference r:id="rId43" w:type="first"/>
          <w:footerReference r:id="rId42" w:type="default"/>
          <w:pgSz w:w="16838" w:h="11906" w:orient="landscape"/>
          <w:pgMar w:top="1587" w:right="2098" w:bottom="1474" w:left="1984" w:header="851" w:footer="992" w:gutter="0"/>
          <w:pgNumType w:fmt="decimal"/>
          <w:cols w:space="425" w:num="1"/>
          <w:docGrid w:type="lines" w:linePitch="312" w:charSpace="0"/>
        </w:sectPr>
      </w:pPr>
    </w:p>
    <w:p>
      <w:pPr>
        <w:pStyle w:val="2"/>
        <w:shd w:val="clear"/>
        <w:tabs>
          <w:tab w:val="left" w:pos="1190"/>
        </w:tabs>
        <w:rPr>
          <w:rFonts w:hint="eastAsia" w:ascii="黑体" w:hAnsi="黑体" w:eastAsia="黑体" w:cs="黑体"/>
          <w:b w:val="0"/>
          <w:bCs w:val="0"/>
          <w:color w:val="auto"/>
          <w:kern w:val="0"/>
          <w:sz w:val="32"/>
          <w:szCs w:val="32"/>
          <w:highlight w:val="none"/>
          <w:u w:val="none"/>
          <w:shd w:val="clear" w:color="auto" w:fill="FFFFFF"/>
          <w:lang w:val="en-US" w:eastAsia="zh-CN"/>
        </w:rPr>
      </w:pPr>
      <w:r>
        <w:rPr>
          <w:rFonts w:hint="eastAsia" w:ascii="黑体" w:hAnsi="黑体" w:eastAsia="黑体" w:cs="黑体"/>
          <w:b w:val="0"/>
          <w:bCs w:val="0"/>
          <w:color w:val="auto"/>
          <w:kern w:val="0"/>
          <w:sz w:val="32"/>
          <w:szCs w:val="32"/>
          <w:highlight w:val="none"/>
          <w:u w:val="none"/>
          <w:shd w:val="clear" w:color="auto" w:fill="FFFFFF"/>
          <w:lang w:val="en-US" w:eastAsia="zh-CN"/>
        </w:rPr>
        <w:t>附件6：</w:t>
      </w:r>
    </w:p>
    <w:p>
      <w:pPr>
        <w:pStyle w:val="2"/>
        <w:shd w:val="clear"/>
        <w:tabs>
          <w:tab w:val="left" w:pos="1190"/>
        </w:tabs>
        <w:rPr>
          <w:rFonts w:hint="eastAsia" w:ascii="黑体" w:hAnsi="黑体" w:eastAsia="黑体" w:cs="黑体"/>
          <w:b w:val="0"/>
          <w:bCs w:val="0"/>
          <w:color w:val="auto"/>
          <w:kern w:val="0"/>
          <w:sz w:val="32"/>
          <w:szCs w:val="32"/>
          <w:highlight w:val="none"/>
          <w:u w:val="none"/>
          <w:shd w:val="clear" w:color="auto" w:fill="FFFFFF"/>
          <w:lang w:val="en-US" w:eastAsia="zh-CN"/>
        </w:rPr>
      </w:pPr>
    </w:p>
    <w:p>
      <w:pPr>
        <w:keepNext w:val="0"/>
        <w:keepLines w:val="0"/>
        <w:pageBreakBefore w:val="0"/>
        <w:widowControl w:val="0"/>
        <w:shd w:val="clear"/>
        <w:kinsoku/>
        <w:wordWrap/>
        <w:overflowPunct/>
        <w:topLinePunct w:val="0"/>
        <w:autoSpaceDE/>
        <w:autoSpaceDN/>
        <w:bidi w:val="0"/>
        <w:adjustRightInd/>
        <w:snapToGrid/>
        <w:spacing w:line="0" w:lineRule="atLeast"/>
        <w:jc w:val="center"/>
        <w:textAlignment w:val="auto"/>
        <w:rPr>
          <w:rFonts w:hint="eastAsia" w:ascii="方正小标宋简体" w:hAnsi="方正小标宋简体" w:eastAsia="方正小标宋简体" w:cs="方正小标宋简体"/>
          <w:b w:val="0"/>
          <w:bCs w:val="0"/>
          <w:color w:val="auto"/>
          <w:kern w:val="2"/>
          <w:sz w:val="44"/>
          <w:szCs w:val="44"/>
          <w:highlight w:val="none"/>
          <w:lang w:val="en-US" w:eastAsia="zh-CN" w:bidi="ar-SA"/>
        </w:rPr>
      </w:pPr>
      <w:r>
        <w:rPr>
          <w:rFonts w:hint="eastAsia" w:ascii="方正小标宋简体" w:hAnsi="方正小标宋简体" w:eastAsia="方正小标宋简体" w:cs="方正小标宋简体"/>
          <w:b w:val="0"/>
          <w:bCs w:val="0"/>
          <w:color w:val="auto"/>
          <w:kern w:val="2"/>
          <w:sz w:val="44"/>
          <w:szCs w:val="44"/>
          <w:highlight w:val="none"/>
          <w:lang w:val="en-US" w:eastAsia="zh-CN" w:bidi="ar-SA"/>
        </w:rPr>
        <w:t>2023年市级专项预算项目支出绩效自评报告</w:t>
      </w:r>
    </w:p>
    <w:p>
      <w:pPr>
        <w:keepNext w:val="0"/>
        <w:keepLines w:val="0"/>
        <w:pageBreakBefore w:val="0"/>
        <w:widowControl w:val="0"/>
        <w:shd w:val="clear"/>
        <w:kinsoku/>
        <w:wordWrap/>
        <w:overflowPunct/>
        <w:topLinePunct w:val="0"/>
        <w:autoSpaceDE/>
        <w:autoSpaceDN/>
        <w:bidi w:val="0"/>
        <w:adjustRightInd/>
        <w:snapToGrid/>
        <w:spacing w:line="0" w:lineRule="atLeast"/>
        <w:jc w:val="center"/>
        <w:textAlignment w:val="auto"/>
        <w:rPr>
          <w:rFonts w:hint="eastAsia" w:ascii="楷体_GB2312" w:hAnsi="楷体_GB2312" w:eastAsia="楷体_GB2312" w:cs="楷体_GB2312"/>
          <w:b w:val="0"/>
          <w:bCs w:val="0"/>
          <w:color w:val="auto"/>
          <w:kern w:val="2"/>
          <w:sz w:val="32"/>
          <w:szCs w:val="32"/>
          <w:highlight w:val="none"/>
          <w:lang w:val="zh-CN" w:eastAsia="zh-CN" w:bidi="ar-SA"/>
        </w:rPr>
      </w:pPr>
      <w:r>
        <w:rPr>
          <w:rFonts w:hint="eastAsia" w:ascii="楷体_GB2312" w:hAnsi="楷体_GB2312" w:eastAsia="楷体_GB2312" w:cs="楷体_GB2312"/>
          <w:b w:val="0"/>
          <w:bCs w:val="0"/>
          <w:color w:val="auto"/>
          <w:kern w:val="2"/>
          <w:sz w:val="32"/>
          <w:szCs w:val="32"/>
          <w:highlight w:val="none"/>
          <w:lang w:val="zh-CN" w:eastAsia="zh-CN" w:bidi="ar-SA"/>
        </w:rPr>
        <w:t>（公积金派驻机构工作经费）</w:t>
      </w:r>
    </w:p>
    <w:p>
      <w:pPr>
        <w:keepNext w:val="0"/>
        <w:keepLines w:val="0"/>
        <w:pageBreakBefore w:val="0"/>
        <w:widowControl w:val="0"/>
        <w:shd w:val="clear"/>
        <w:kinsoku/>
        <w:wordWrap/>
        <w:overflowPunct/>
        <w:topLinePunct w:val="0"/>
        <w:autoSpaceDE/>
        <w:autoSpaceDN/>
        <w:bidi w:val="0"/>
        <w:spacing w:line="560" w:lineRule="exact"/>
        <w:jc w:val="center"/>
        <w:textAlignment w:val="auto"/>
        <w:rPr>
          <w:rFonts w:hint="eastAsia" w:ascii="宋体" w:hAnsi="宋体" w:eastAsia="宋体" w:cs="Times New Roman"/>
          <w:b w:val="0"/>
          <w:bCs w:val="0"/>
          <w:color w:val="auto"/>
          <w:kern w:val="2"/>
          <w:sz w:val="18"/>
          <w:szCs w:val="18"/>
          <w:highlight w:val="none"/>
          <w:lang w:val="zh-CN" w:eastAsia="zh-CN" w:bidi="ar-SA"/>
        </w:rPr>
      </w:pP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outlineLvl w:val="1"/>
        <w:rPr>
          <w:rFonts w:ascii="黑体" w:hAnsi="宋体" w:eastAsia="黑体"/>
          <w:b w:val="0"/>
          <w:bCs w:val="0"/>
          <w:color w:val="auto"/>
          <w:sz w:val="32"/>
          <w:szCs w:val="32"/>
          <w:highlight w:val="none"/>
          <w:lang w:val="zh-CN"/>
        </w:rPr>
      </w:pPr>
      <w:bookmarkStart w:id="140" w:name="_Toc9672"/>
      <w:bookmarkStart w:id="141" w:name="_Toc24727"/>
      <w:r>
        <w:rPr>
          <w:rFonts w:hint="eastAsia" w:ascii="黑体" w:hAnsi="宋体" w:eastAsia="黑体"/>
          <w:b w:val="0"/>
          <w:bCs w:val="0"/>
          <w:color w:val="auto"/>
          <w:sz w:val="32"/>
          <w:szCs w:val="32"/>
          <w:highlight w:val="none"/>
        </w:rPr>
        <w:t>一、</w:t>
      </w:r>
      <w:r>
        <w:rPr>
          <w:rFonts w:hint="eastAsia" w:ascii="黑体" w:hAnsi="宋体" w:eastAsia="黑体"/>
          <w:b w:val="0"/>
          <w:bCs w:val="0"/>
          <w:color w:val="auto"/>
          <w:sz w:val="32"/>
          <w:szCs w:val="32"/>
          <w:highlight w:val="none"/>
          <w:lang w:val="zh-CN"/>
        </w:rPr>
        <w:t>项目概况</w:t>
      </w:r>
      <w:bookmarkEnd w:id="140"/>
      <w:bookmarkEnd w:id="141"/>
    </w:p>
    <w:p>
      <w:pPr>
        <w:keepNext w:val="0"/>
        <w:keepLines w:val="0"/>
        <w:pageBreakBefore w:val="0"/>
        <w:widowControl/>
        <w:suppressLineNumbers w:val="0"/>
        <w:shd w:val="clear"/>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color w:val="auto"/>
          <w:sz w:val="32"/>
          <w:szCs w:val="32"/>
          <w:highlight w:val="none"/>
          <w:lang w:eastAsia="zh-CN"/>
        </w:rPr>
      </w:pPr>
      <w:r>
        <w:rPr>
          <w:rFonts w:hint="eastAsia" w:ascii="楷体_GB2312" w:hAnsi="楷体_GB2312" w:eastAsia="楷体_GB2312" w:cs="楷体_GB2312"/>
          <w:color w:val="auto"/>
          <w:sz w:val="32"/>
          <w:szCs w:val="32"/>
          <w:highlight w:val="none"/>
          <w:lang w:eastAsia="zh-CN"/>
        </w:rPr>
        <w:t>（一）项目基本情况。</w:t>
      </w:r>
    </w:p>
    <w:p>
      <w:pPr>
        <w:keepNext w:val="0"/>
        <w:keepLines w:val="0"/>
        <w:pageBreakBefore w:val="0"/>
        <w:widowControl w:val="0"/>
        <w:numPr>
          <w:ilvl w:val="0"/>
          <w:numId w:val="0"/>
        </w:numPr>
        <w:shd w:val="clear"/>
        <w:tabs>
          <w:tab w:val="left" w:pos="2523"/>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广元市住房公积金管理中心为方便群众办事、服务地方经济，在各县区分别设立了公积金派驻机构，主要负责各县区境内行政、企事业单位、职工的住房公积金缴存、提取使用、贷款发放及回收等日常管理工作；资金、权证、逾期贷款等风险防控管理，落实中央、省、市等上级部门重大决策部署和《住房公积金管理条例》等一系列政策执行，加强对外宣传、协调，做好维稳信访，努力提升优化营商环境。</w:t>
      </w:r>
    </w:p>
    <w:p>
      <w:pPr>
        <w:keepNext w:val="0"/>
        <w:keepLines w:val="0"/>
        <w:pageBreakBefore w:val="0"/>
        <w:widowControl w:val="0"/>
        <w:numPr>
          <w:ilvl w:val="0"/>
          <w:numId w:val="0"/>
        </w:numPr>
        <w:shd w:val="clear"/>
        <w:tabs>
          <w:tab w:val="left" w:pos="2523"/>
        </w:tabs>
        <w:kinsoku/>
        <w:wordWrap/>
        <w:overflowPunct/>
        <w:topLinePunct w:val="0"/>
        <w:autoSpaceDE/>
        <w:autoSpaceDN/>
        <w:bidi w:val="0"/>
        <w:adjustRightInd/>
        <w:snapToGrid/>
        <w:spacing w:line="560" w:lineRule="exact"/>
        <w:ind w:left="720" w:leftChars="0"/>
        <w:textAlignment w:val="auto"/>
        <w:rPr>
          <w:rFonts w:hint="eastAsia" w:ascii="楷体_GB2312" w:hAnsi="楷体_GB2312" w:eastAsia="楷体_GB2312" w:cs="楷体_GB2312"/>
          <w:bCs/>
          <w:color w:val="auto"/>
          <w:sz w:val="32"/>
          <w:szCs w:val="32"/>
          <w:highlight w:val="none"/>
          <w:lang w:val="zh-CN"/>
        </w:rPr>
      </w:pPr>
      <w:r>
        <w:rPr>
          <w:rFonts w:hint="eastAsia" w:ascii="楷体_GB2312" w:hAnsi="楷体_GB2312" w:eastAsia="楷体_GB2312" w:cs="楷体_GB2312"/>
          <w:bCs/>
          <w:color w:val="auto"/>
          <w:sz w:val="32"/>
          <w:szCs w:val="32"/>
          <w:highlight w:val="none"/>
          <w:lang w:val="zh-CN"/>
        </w:rPr>
        <w:t>（二）项目绩效目标。</w:t>
      </w:r>
    </w:p>
    <w:p>
      <w:pPr>
        <w:keepNext w:val="0"/>
        <w:keepLines w:val="0"/>
        <w:pageBreakBefore w:val="0"/>
        <w:widowControl w:val="0"/>
        <w:numPr>
          <w:ilvl w:val="0"/>
          <w:numId w:val="0"/>
        </w:numPr>
        <w:shd w:val="clear"/>
        <w:tabs>
          <w:tab w:val="left" w:pos="2523"/>
        </w:tabs>
        <w:kinsoku/>
        <w:wordWrap/>
        <w:overflowPunct/>
        <w:topLinePunct w:val="0"/>
        <w:autoSpaceDE/>
        <w:autoSpaceDN/>
        <w:bidi w:val="0"/>
        <w:adjustRightInd/>
        <w:snapToGrid/>
        <w:spacing w:line="560" w:lineRule="exact"/>
        <w:ind w:firstLine="640" w:firstLineChars="200"/>
        <w:textAlignment w:val="auto"/>
        <w:rPr>
          <w:rFonts w:hint="eastAsia" w:ascii="仿宋_GB2312" w:hAnsi="宋体" w:eastAsia="仿宋_GB2312"/>
          <w:color w:val="auto"/>
          <w:sz w:val="32"/>
          <w:szCs w:val="32"/>
          <w:highlight w:val="none"/>
          <w:lang w:val="zh-CN"/>
        </w:rPr>
      </w:pPr>
      <w:r>
        <w:rPr>
          <w:rFonts w:hint="eastAsia" w:ascii="仿宋_GB2312" w:hAnsi="仿宋_GB2312" w:eastAsia="仿宋_GB2312" w:cs="仿宋_GB2312"/>
          <w:color w:val="auto"/>
          <w:sz w:val="32"/>
          <w:szCs w:val="32"/>
          <w:highlight w:val="none"/>
          <w:lang w:val="en-US" w:eastAsia="zh-CN"/>
        </w:rPr>
        <w:t>广元市住房公积金管理中心派驻机构严格按照中心和县委、县政府下达的各项绩效目标任务和政策要求，结合实际，压实责任、细化指标，优化服务和工作举措，合规合理合情使用该运行经费。2022年各项指标圆满完成，绩效目标和绩效指标全面完整、相匹配、量化可考核。该项目经费与部门长期规划目标和年度工作目标相一致，产出和效果相关联，</w:t>
      </w:r>
      <w:r>
        <w:rPr>
          <w:rFonts w:hint="eastAsia" w:ascii="仿宋_GB2312" w:hAnsi="宋体" w:eastAsia="仿宋_GB2312" w:cs="Times New Roman"/>
          <w:color w:val="auto"/>
          <w:sz w:val="32"/>
          <w:szCs w:val="32"/>
          <w:highlight w:val="none"/>
          <w:lang w:val="en-US" w:eastAsia="zh-CN"/>
        </w:rPr>
        <w:t>缴存单位满意度达99%以上，缴存个人满意度达98%以上。</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hint="eastAsia" w:ascii="楷体_GB2312" w:hAnsi="宋体" w:eastAsia="楷体_GB2312"/>
          <w:b w:val="0"/>
          <w:bCs w:val="0"/>
          <w:color w:val="auto"/>
          <w:sz w:val="32"/>
          <w:szCs w:val="32"/>
          <w:highlight w:val="none"/>
          <w:u w:val="none"/>
          <w:lang w:val="zh-CN"/>
        </w:rPr>
        <w:sectPr>
          <w:footerReference r:id="rId45" w:type="first"/>
          <w:footerReference r:id="rId44" w:type="default"/>
          <w:pgSz w:w="11906" w:h="16838"/>
          <w:pgMar w:top="2098" w:right="1474" w:bottom="1984" w:left="1587" w:header="851" w:footer="992" w:gutter="0"/>
          <w:pgNumType w:fmt="decimal"/>
          <w:cols w:space="425" w:num="1"/>
          <w:titlePg/>
          <w:docGrid w:type="lines" w:linePitch="312" w:charSpace="0"/>
        </w:sectPr>
      </w:pP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（三）项目自评步骤及方法。</w:t>
      </w:r>
    </w:p>
    <w:p>
      <w:pPr>
        <w:keepNext w:val="0"/>
        <w:keepLines w:val="0"/>
        <w:pageBreakBefore w:val="0"/>
        <w:widowControl w:val="0"/>
        <w:numPr>
          <w:ilvl w:val="0"/>
          <w:numId w:val="0"/>
        </w:numPr>
        <w:shd w:val="clear"/>
        <w:tabs>
          <w:tab w:val="left" w:pos="2523"/>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首先由派驻机构业务人员、财务人员共同草拟自评报告，分别报分管领导、主要领导审阅后再报送。</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outlineLvl w:val="1"/>
        <w:rPr>
          <w:rFonts w:ascii="黑体" w:hAnsi="宋体" w:eastAsia="黑体"/>
          <w:b w:val="0"/>
          <w:bCs w:val="0"/>
          <w:color w:val="auto"/>
          <w:sz w:val="32"/>
          <w:szCs w:val="32"/>
          <w:highlight w:val="none"/>
          <w:u w:val="none"/>
        </w:rPr>
      </w:pPr>
      <w:bookmarkStart w:id="142" w:name="_Toc10003"/>
      <w:bookmarkStart w:id="143" w:name="_Toc6226"/>
      <w:r>
        <w:rPr>
          <w:rFonts w:hint="eastAsia" w:ascii="黑体" w:hAnsi="宋体" w:eastAsia="黑体"/>
          <w:b w:val="0"/>
          <w:bCs w:val="0"/>
          <w:color w:val="auto"/>
          <w:sz w:val="32"/>
          <w:szCs w:val="32"/>
          <w:highlight w:val="none"/>
          <w:u w:val="none"/>
        </w:rPr>
        <w:t>二、项目资金申报及使用情况</w:t>
      </w:r>
      <w:bookmarkEnd w:id="142"/>
      <w:bookmarkEnd w:id="143"/>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（一）项目资金申报及批复情况。</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宋体" w:eastAsia="仿宋_GB2312" w:cs="Times New Roman"/>
          <w:color w:val="auto"/>
          <w:kern w:val="2"/>
          <w:sz w:val="32"/>
          <w:szCs w:val="32"/>
          <w:highlight w:val="none"/>
          <w:lang w:val="zh-CN" w:eastAsia="zh-CN" w:bidi="ar-SA"/>
        </w:rPr>
      </w:pPr>
      <w:r>
        <w:rPr>
          <w:rFonts w:hint="eastAsia" w:ascii="仿宋_GB2312" w:hAnsi="Times New Roman" w:eastAsia="仿宋_GB2312" w:cs="Times New Roman"/>
          <w:color w:val="auto"/>
          <w:kern w:val="2"/>
          <w:sz w:val="32"/>
          <w:szCs w:val="32"/>
          <w:highlight w:val="none"/>
          <w:lang w:val="en-US" w:eastAsia="zh-CN" w:bidi="ar-SA"/>
        </w:rPr>
        <w:t>公积金派驻机构</w:t>
      </w:r>
      <w:r>
        <w:rPr>
          <w:rFonts w:hint="eastAsia" w:ascii="仿宋_GB2312" w:hAnsi="Times New Roman" w:eastAsia="仿宋_GB2312" w:cs="Times New Roman"/>
          <w:color w:val="auto"/>
          <w:kern w:val="0"/>
          <w:sz w:val="32"/>
          <w:szCs w:val="32"/>
          <w:highlight w:val="none"/>
          <w:lang w:val="en-US" w:eastAsia="zh-CN" w:bidi="ar-SA"/>
        </w:rPr>
        <w:t>参考上年费用情况，根据单位年度重点工作安排，分析测算项目资金需求。由办公室汇总项目纳入年度部门预算草案，经中心党组会审议后报财政局纳入市级部门预算编制报批。2022年度申报公积金派驻机构项目经费预算资金50万元</w:t>
      </w:r>
      <w:r>
        <w:rPr>
          <w:rFonts w:hint="eastAsia" w:ascii="仿宋_GB2312" w:eastAsia="仿宋_GB2312" w:cs="Times New Roman"/>
          <w:color w:val="auto"/>
          <w:kern w:val="0"/>
          <w:sz w:val="32"/>
          <w:szCs w:val="32"/>
          <w:highlight w:val="none"/>
          <w:lang w:val="en-US" w:eastAsia="zh-CN" w:bidi="ar-SA"/>
        </w:rPr>
        <w:t>，</w:t>
      </w:r>
      <w:r>
        <w:rPr>
          <w:rFonts w:hint="eastAsia" w:ascii="仿宋_GB2312" w:hAnsi="Times New Roman" w:eastAsia="仿宋_GB2312" w:cs="Times New Roman"/>
          <w:color w:val="auto"/>
          <w:kern w:val="0"/>
          <w:sz w:val="32"/>
          <w:szCs w:val="32"/>
          <w:highlight w:val="none"/>
          <w:lang w:val="en-US" w:eastAsia="zh-CN" w:bidi="ar-SA"/>
        </w:rPr>
        <w:t>该项目为市本级支付项目，由市财政全额保障。财政批复下达专项资金预算50万元，中途调整追加预算10万元。</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ascii="仿宋_GB2312" w:hAnsi="宋体" w:eastAsia="仿宋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（二）资金计划、到位及使用情况。</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720"/>
        <w:textAlignment w:val="auto"/>
        <w:rPr>
          <w:rFonts w:hint="default" w:ascii="仿宋_GB2312" w:hAnsi="宋体" w:eastAsia="仿宋_GB2312" w:cs="Times New Roman"/>
          <w:color w:val="auto"/>
          <w:kern w:val="2"/>
          <w:sz w:val="32"/>
          <w:szCs w:val="32"/>
          <w:highlight w:val="none"/>
          <w:lang w:val="en-US" w:eastAsia="zh-CN" w:bidi="ar-SA"/>
        </w:rPr>
      </w:pPr>
      <w:r>
        <w:rPr>
          <w:rFonts w:hint="eastAsia" w:ascii="仿宋_GB2312" w:hAnsi="宋体" w:eastAsia="仿宋_GB2312"/>
          <w:color w:val="auto"/>
          <w:sz w:val="32"/>
          <w:szCs w:val="32"/>
          <w:highlight w:val="none"/>
          <w:lang w:val="zh-CN"/>
        </w:rPr>
        <w:t>1．资金计划及到位。</w:t>
      </w:r>
      <w:r>
        <w:rPr>
          <w:rFonts w:hint="eastAsia" w:ascii="仿宋_GB2312" w:hAnsi="宋体" w:eastAsia="仿宋_GB2312" w:cs="Times New Roman"/>
          <w:color w:val="auto"/>
          <w:kern w:val="2"/>
          <w:sz w:val="32"/>
          <w:szCs w:val="32"/>
          <w:highlight w:val="none"/>
          <w:lang w:val="en-US" w:eastAsia="zh-CN" w:bidi="ar-SA"/>
        </w:rPr>
        <w:t>2022年公积金派驻机构项目经费50万元随同部门预算一同下达，中途根据实际工作需要调整并追加预算10万元，资金全部拨付到位。</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720"/>
        <w:textAlignment w:val="auto"/>
        <w:rPr>
          <w:rFonts w:ascii="仿宋_GB2312" w:hAnsi="宋体" w:eastAsia="仿宋_GB2312"/>
          <w:color w:val="auto"/>
          <w:sz w:val="32"/>
          <w:szCs w:val="32"/>
          <w:highlight w:val="none"/>
          <w:lang w:val="zh-CN"/>
        </w:rPr>
      </w:pPr>
      <w:r>
        <w:rPr>
          <w:rFonts w:hint="eastAsia" w:ascii="仿宋_GB2312" w:hAnsi="宋体" w:eastAsia="仿宋_GB2312"/>
          <w:color w:val="auto"/>
          <w:sz w:val="32"/>
          <w:szCs w:val="32"/>
          <w:highlight w:val="none"/>
          <w:lang w:val="zh-CN"/>
        </w:rPr>
        <w:t>2．资金使用。公积金派驻机构项目经</w:t>
      </w:r>
      <w:r>
        <w:rPr>
          <w:rFonts w:hint="eastAsia" w:ascii="仿宋_GB2312" w:hAnsi="宋体" w:eastAsia="仿宋_GB2312" w:cs="Times New Roman"/>
          <w:color w:val="auto"/>
          <w:sz w:val="32"/>
          <w:szCs w:val="32"/>
          <w:highlight w:val="none"/>
          <w:lang w:val="zh-CN"/>
        </w:rPr>
        <w:t>费实际支出</w:t>
      </w:r>
      <w:r>
        <w:rPr>
          <w:rFonts w:hint="eastAsia" w:ascii="仿宋_GB2312" w:hAnsi="宋体" w:eastAsia="仿宋_GB2312" w:cs="Times New Roman"/>
          <w:color w:val="auto"/>
          <w:sz w:val="32"/>
          <w:szCs w:val="32"/>
          <w:highlight w:val="none"/>
          <w:lang w:val="en-US" w:eastAsia="zh-CN"/>
        </w:rPr>
        <w:t>60</w:t>
      </w:r>
      <w:r>
        <w:rPr>
          <w:rFonts w:hint="eastAsia" w:ascii="仿宋_GB2312" w:hAnsi="宋体" w:eastAsia="仿宋_GB2312" w:cs="Times New Roman"/>
          <w:color w:val="auto"/>
          <w:sz w:val="32"/>
          <w:szCs w:val="32"/>
          <w:highlight w:val="none"/>
          <w:lang w:val="zh-CN"/>
        </w:rPr>
        <w:t>万元，资金主要用于</w:t>
      </w:r>
      <w:r>
        <w:rPr>
          <w:rFonts w:hint="eastAsia" w:ascii="仿宋_GB2312" w:hAnsi="宋体" w:eastAsia="仿宋_GB2312" w:cs="Times New Roman"/>
          <w:color w:val="auto"/>
          <w:sz w:val="32"/>
          <w:szCs w:val="32"/>
          <w:highlight w:val="none"/>
          <w:lang w:val="en-US" w:eastAsia="zh-CN"/>
        </w:rPr>
        <w:t>8个县区管理部服务当地缴存单位、缴存个人</w:t>
      </w:r>
      <w:r>
        <w:rPr>
          <w:rFonts w:hint="eastAsia" w:ascii="仿宋_GB2312" w:hAnsi="宋体" w:eastAsia="仿宋_GB2312" w:cs="Times New Roman"/>
          <w:color w:val="auto"/>
          <w:sz w:val="32"/>
          <w:szCs w:val="32"/>
          <w:highlight w:val="none"/>
          <w:lang w:val="zh-CN"/>
        </w:rPr>
        <w:t>办理</w:t>
      </w:r>
      <w:r>
        <w:rPr>
          <w:rFonts w:hint="eastAsia" w:ascii="仿宋_GB2312" w:hAnsi="宋体" w:eastAsia="仿宋_GB2312" w:cs="Times New Roman"/>
          <w:color w:val="auto"/>
          <w:sz w:val="32"/>
          <w:szCs w:val="32"/>
          <w:highlight w:val="none"/>
          <w:lang w:val="en-US" w:eastAsia="zh-CN"/>
        </w:rPr>
        <w:t>公积金专项业务产生的全部支出，</w:t>
      </w:r>
      <w:r>
        <w:rPr>
          <w:rFonts w:hint="eastAsia" w:ascii="仿宋_GB2312" w:hAnsi="宋体" w:eastAsia="仿宋_GB2312" w:cs="Times New Roman"/>
          <w:color w:val="auto"/>
          <w:sz w:val="32"/>
          <w:szCs w:val="32"/>
          <w:highlight w:val="none"/>
          <w:lang w:val="zh-CN"/>
        </w:rPr>
        <w:t>全年支付进度达100%。经费严格按照机关出台的各项管理办法支付，依据合规合法。资金支付与预算相符。</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（三）项目财务管理情况。</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color w:val="auto"/>
          <w:sz w:val="32"/>
          <w:szCs w:val="32"/>
          <w:highlight w:val="none"/>
          <w:lang w:val="zh-CN"/>
        </w:rPr>
      </w:pPr>
      <w:r>
        <w:rPr>
          <w:rFonts w:hint="eastAsia" w:ascii="仿宋_GB2312" w:hAnsi="宋体" w:eastAsia="仿宋_GB2312" w:cs="Times New Roman"/>
          <w:color w:val="auto"/>
          <w:sz w:val="32"/>
          <w:szCs w:val="32"/>
          <w:highlight w:val="none"/>
          <w:lang w:val="zh-CN"/>
        </w:rPr>
        <w:t>单位目标任务的制定与国家政策法规、部门职责、部门中长期规划相符。公积金派驻机构</w:t>
      </w:r>
      <w:r>
        <w:rPr>
          <w:rFonts w:hint="eastAsia" w:ascii="仿宋_GB2312" w:hAnsi="宋体" w:eastAsia="仿宋_GB2312" w:cs="Times New Roman"/>
          <w:color w:val="auto"/>
          <w:sz w:val="32"/>
          <w:szCs w:val="32"/>
          <w:highlight w:val="none"/>
          <w:lang w:val="en-US" w:eastAsia="zh-CN"/>
        </w:rPr>
        <w:t>工作经费纳入单位财务集中统一管理，严格按照本单位制定的财务管理制度要求执行，做到先有预算后有支出，并结合全年工作任务及时办理相关的经费支出，提升项目资金使用的制度化、规范化、程序化要求，财务处理及时规范，会计核算准确无误。</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outlineLvl w:val="1"/>
        <w:rPr>
          <w:rFonts w:ascii="黑体" w:hAnsi="宋体" w:eastAsia="黑体"/>
          <w:b w:val="0"/>
          <w:bCs w:val="0"/>
          <w:color w:val="auto"/>
          <w:sz w:val="32"/>
          <w:szCs w:val="32"/>
          <w:highlight w:val="none"/>
          <w:u w:val="none"/>
        </w:rPr>
      </w:pPr>
      <w:bookmarkStart w:id="144" w:name="_Toc12652"/>
      <w:bookmarkStart w:id="145" w:name="_Toc1334"/>
      <w:r>
        <w:rPr>
          <w:rFonts w:hint="eastAsia" w:ascii="黑体" w:hAnsi="宋体" w:eastAsia="黑体"/>
          <w:b w:val="0"/>
          <w:bCs w:val="0"/>
          <w:color w:val="auto"/>
          <w:sz w:val="32"/>
          <w:szCs w:val="32"/>
          <w:highlight w:val="none"/>
          <w:u w:val="none"/>
        </w:rPr>
        <w:t>三、项目实施及管理情况</w:t>
      </w:r>
      <w:bookmarkEnd w:id="144"/>
      <w:bookmarkEnd w:id="145"/>
    </w:p>
    <w:p>
      <w:pPr>
        <w:keepNext w:val="0"/>
        <w:keepLines w:val="0"/>
        <w:pageBreakBefore w:val="0"/>
        <w:widowControl w:val="0"/>
        <w:numPr>
          <w:ilvl w:val="0"/>
          <w:numId w:val="8"/>
        </w:numPr>
        <w:shd w:val="clear"/>
        <w:kinsoku/>
        <w:wordWrap/>
        <w:overflowPunct/>
        <w:topLinePunct w:val="0"/>
        <w:autoSpaceDE/>
        <w:autoSpaceDN/>
        <w:bidi w:val="0"/>
        <w:adjustRightInd w:val="0"/>
        <w:snapToGrid w:val="0"/>
        <w:spacing w:line="560" w:lineRule="exact"/>
        <w:ind w:firstLine="640" w:firstLineChars="200"/>
        <w:jc w:val="both"/>
        <w:textAlignment w:val="auto"/>
        <w:rPr>
          <w:rFonts w:hint="eastAsia"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项目组织架构及实施流程。</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720"/>
        <w:jc w:val="both"/>
        <w:textAlignment w:val="auto"/>
        <w:rPr>
          <w:rFonts w:ascii="仿宋_GB2312" w:hAnsi="宋体" w:eastAsia="仿宋_GB2312" w:cs="Times New Roman"/>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为提高预算使用效率，</w:t>
      </w:r>
      <w:r>
        <w:rPr>
          <w:rFonts w:hint="eastAsia" w:ascii="仿宋_GB2312" w:hAnsi="宋体" w:eastAsia="仿宋_GB2312" w:cs="Times New Roman"/>
          <w:color w:val="auto"/>
          <w:kern w:val="2"/>
          <w:sz w:val="32"/>
          <w:szCs w:val="32"/>
          <w:highlight w:val="none"/>
          <w:lang w:val="en-US" w:eastAsia="zh-CN" w:bidi="ar-SA"/>
        </w:rPr>
        <w:t>公积金派驻机构</w:t>
      </w:r>
      <w:r>
        <w:rPr>
          <w:rFonts w:hint="eastAsia" w:ascii="仿宋_GB2312" w:hAnsi="仿宋_GB2312" w:eastAsia="仿宋_GB2312" w:cs="仿宋_GB2312"/>
          <w:color w:val="auto"/>
          <w:kern w:val="2"/>
          <w:sz w:val="32"/>
          <w:szCs w:val="32"/>
          <w:highlight w:val="none"/>
          <w:lang w:val="en-US" w:eastAsia="zh-CN" w:bidi="ar-SA"/>
        </w:rPr>
        <w:t>制定经费使用实施计划，建立资金统计台账，从而确保工作开展取得实效。</w:t>
      </w:r>
      <w:r>
        <w:rPr>
          <w:rFonts w:hint="eastAsia" w:ascii="仿宋_GB2312" w:hAnsi="宋体" w:eastAsia="仿宋_GB2312" w:cs="Times New Roman"/>
          <w:color w:val="auto"/>
          <w:kern w:val="2"/>
          <w:sz w:val="32"/>
          <w:szCs w:val="32"/>
          <w:highlight w:val="none"/>
          <w:lang w:val="zh-CN" w:eastAsia="zh-CN" w:bidi="ar-SA"/>
        </w:rPr>
        <w:t>项目组织实施严格执行财务管理制度，及时进行账务处理，规范进行会计核算。在项目执行过程中，未出现管理制度有悖于实际的情况，也未出现难以操作、无法落地、执行不畅的情况。</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zh-CN"/>
        </w:rPr>
      </w:pPr>
      <w:r>
        <w:rPr>
          <w:rFonts w:hint="eastAsia" w:ascii="楷体_GB2312" w:hAnsi="宋体" w:eastAsia="楷体_GB2312"/>
          <w:b w:val="0"/>
          <w:bCs w:val="0"/>
          <w:strike w:val="0"/>
          <w:dstrike w:val="0"/>
          <w:color w:val="auto"/>
          <w:sz w:val="32"/>
          <w:szCs w:val="32"/>
          <w:highlight w:val="none"/>
          <w:u w:val="none"/>
          <w:lang w:val="zh-CN"/>
        </w:rPr>
        <w:t>（二）项目管理情况。</w:t>
      </w:r>
      <w:r>
        <w:rPr>
          <w:rFonts w:hint="eastAsia" w:ascii="仿宋_GB2312" w:hAnsi="仿宋_GB2312" w:eastAsia="仿宋_GB2312" w:cs="仿宋_GB2312"/>
          <w:strike w:val="0"/>
          <w:color w:val="auto"/>
          <w:sz w:val="32"/>
          <w:szCs w:val="32"/>
          <w:highlight w:val="none"/>
          <w:u w:val="none"/>
          <w:lang w:val="en-US" w:eastAsia="zh-CN"/>
        </w:rPr>
        <w:t>2</w:t>
      </w:r>
      <w:r>
        <w:rPr>
          <w:rFonts w:hint="eastAsia" w:ascii="仿宋_GB2312" w:hAnsi="仿宋_GB2312" w:eastAsia="仿宋_GB2312" w:cs="仿宋_GB2312"/>
          <w:color w:val="auto"/>
          <w:sz w:val="32"/>
          <w:szCs w:val="32"/>
          <w:highlight w:val="none"/>
          <w:lang w:val="en-US" w:eastAsia="zh-CN"/>
        </w:rPr>
        <w:t>022年</w:t>
      </w:r>
      <w:r>
        <w:rPr>
          <w:rFonts w:hint="eastAsia" w:ascii="仿宋_GB2312" w:hAnsi="宋体" w:eastAsia="仿宋_GB2312" w:cs="Times New Roman"/>
          <w:color w:val="auto"/>
          <w:sz w:val="32"/>
          <w:szCs w:val="32"/>
          <w:highlight w:val="none"/>
          <w:lang w:eastAsia="zh-CN"/>
        </w:rPr>
        <w:t>公积金派驻机</w:t>
      </w:r>
      <w:r>
        <w:rPr>
          <w:rFonts w:hint="eastAsia" w:ascii="仿宋_GB2312" w:hAnsi="仿宋_GB2312" w:eastAsia="仿宋_GB2312" w:cs="仿宋_GB2312"/>
          <w:color w:val="auto"/>
          <w:sz w:val="32"/>
          <w:szCs w:val="32"/>
          <w:highlight w:val="none"/>
          <w:lang w:eastAsia="zh-CN"/>
        </w:rPr>
        <w:t>工作经费</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项目相关管理制度机制健全完善，在项目执行过程中，无管理制度有悖于实际的情况，无存在难以操作、无法落地、执行不畅的等情况。</w:t>
      </w:r>
    </w:p>
    <w:p>
      <w:pPr>
        <w:keepNext w:val="0"/>
        <w:keepLines w:val="0"/>
        <w:pageBreakBefore w:val="0"/>
        <w:widowControl/>
        <w:suppressLineNumbers w:val="0"/>
        <w:shd w:val="clear"/>
        <w:kinsoku/>
        <w:wordWrap/>
        <w:overflowPunct/>
        <w:topLinePunct w:val="0"/>
        <w:autoSpaceDE/>
        <w:autoSpaceDN/>
        <w:bidi w:val="0"/>
        <w:spacing w:line="560"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楷体_GB2312" w:hAnsi="宋体" w:eastAsia="楷体_GB2312"/>
          <w:b w:val="0"/>
          <w:bCs w:val="0"/>
          <w:strike w:val="0"/>
          <w:dstrike w:val="0"/>
          <w:color w:val="auto"/>
          <w:sz w:val="32"/>
          <w:szCs w:val="32"/>
          <w:highlight w:val="none"/>
          <w:u w:val="none"/>
          <w:lang w:val="zh-CN"/>
        </w:rPr>
        <w:t>（三）项目监管情况。</w:t>
      </w:r>
      <w:r>
        <w:rPr>
          <w:rFonts w:hint="eastAsia" w:ascii="仿宋_GB2312" w:hAnsi="仿宋_GB2312" w:eastAsia="仿宋_GB2312" w:cs="仿宋_GB2312"/>
          <w:i w:val="0"/>
          <w:caps w:val="0"/>
          <w:color w:val="auto"/>
          <w:spacing w:val="0"/>
          <w:kern w:val="0"/>
          <w:sz w:val="32"/>
          <w:szCs w:val="32"/>
          <w:highlight w:val="none"/>
          <w:shd w:val="clear" w:fill="FFFFFF"/>
          <w:lang w:val="en-US" w:eastAsia="zh-CN" w:bidi="ar"/>
        </w:rPr>
        <w:t>每月通报预算执行进度，适时进行预算绩效监控，召开专题会议，研究项目推进，督促项目加快实施，有力保障财政资金的使用效益，确保绩效目标如期保质保量实现。</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outlineLvl w:val="1"/>
        <w:rPr>
          <w:rFonts w:ascii="仿宋_GB2312" w:hAnsi="宋体" w:eastAsia="仿宋_GB2312"/>
          <w:b w:val="0"/>
          <w:bCs w:val="0"/>
          <w:color w:val="auto"/>
          <w:sz w:val="32"/>
          <w:szCs w:val="32"/>
          <w:highlight w:val="none"/>
          <w:u w:val="none"/>
          <w:lang w:val="zh-CN"/>
        </w:rPr>
      </w:pPr>
      <w:bookmarkStart w:id="146" w:name="_Toc23210"/>
      <w:bookmarkStart w:id="147" w:name="_Toc10929"/>
      <w:r>
        <w:rPr>
          <w:rFonts w:hint="eastAsia" w:ascii="黑体" w:hAnsi="宋体" w:eastAsia="黑体"/>
          <w:b w:val="0"/>
          <w:bCs w:val="0"/>
          <w:color w:val="auto"/>
          <w:sz w:val="32"/>
          <w:szCs w:val="32"/>
          <w:highlight w:val="none"/>
          <w:u w:val="none"/>
        </w:rPr>
        <w:t>四、项目绩效情况</w:t>
      </w:r>
      <w:bookmarkEnd w:id="146"/>
      <w:bookmarkEnd w:id="147"/>
      <w:r>
        <w:rPr>
          <w:rFonts w:hint="eastAsia" w:ascii="仿宋_GB2312" w:hAnsi="宋体" w:eastAsia="仿宋_GB2312"/>
          <w:b w:val="0"/>
          <w:bCs w:val="0"/>
          <w:color w:val="auto"/>
          <w:sz w:val="32"/>
          <w:szCs w:val="32"/>
          <w:highlight w:val="none"/>
          <w:u w:val="none"/>
          <w:lang w:val="zh-CN"/>
        </w:rPr>
        <w:tab/>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（一）项目完成情况。</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2022年公积金派驻机构工作经费60万元，完成率100%。项目严格按照规定完成了目标任务，项目实施效果达到预期目标，资金使用安全有效。</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（二）项目效益情况。</w:t>
      </w:r>
    </w:p>
    <w:p>
      <w:pPr>
        <w:keepNext w:val="0"/>
        <w:keepLines w:val="0"/>
        <w:pageBreakBefore w:val="0"/>
        <w:widowControl w:val="0"/>
        <w:numPr>
          <w:ilvl w:val="0"/>
          <w:numId w:val="0"/>
        </w:numPr>
        <w:shd w:val="clear"/>
        <w:kinsoku/>
        <w:wordWrap/>
        <w:overflowPunct/>
        <w:topLinePunct w:val="0"/>
        <w:autoSpaceDE/>
        <w:autoSpaceDN/>
        <w:bidi w:val="0"/>
        <w:spacing w:after="120" w:line="560" w:lineRule="exact"/>
        <w:ind w:left="420" w:leftChars="200" w:firstLine="640" w:firstLineChars="200"/>
        <w:jc w:val="both"/>
        <w:textAlignment w:val="auto"/>
        <w:rPr>
          <w:rFonts w:hint="default" w:ascii="仿宋_GB2312" w:hAnsi="宋体" w:eastAsia="仿宋_GB2312" w:cs="Times New Roman"/>
          <w:color w:val="auto"/>
          <w:kern w:val="2"/>
          <w:sz w:val="32"/>
          <w:szCs w:val="32"/>
          <w:highlight w:val="none"/>
          <w:lang w:val="en-US" w:eastAsia="zh-CN" w:bidi="ar-SA"/>
        </w:rPr>
      </w:pPr>
      <w:r>
        <w:rPr>
          <w:rFonts w:hint="eastAsia" w:ascii="仿宋_GB2312" w:hAnsi="宋体" w:eastAsia="仿宋_GB2312" w:cs="Times New Roman"/>
          <w:color w:val="auto"/>
          <w:kern w:val="2"/>
          <w:sz w:val="32"/>
          <w:szCs w:val="32"/>
          <w:highlight w:val="none"/>
          <w:lang w:val="en-US" w:eastAsia="zh-CN" w:bidi="ar-SA"/>
        </w:rPr>
        <w:t>1.在经济效益方面增归集额所产生的增值收益为当地政府财政作出贡献。</w:t>
      </w:r>
    </w:p>
    <w:p>
      <w:pPr>
        <w:keepNext w:val="0"/>
        <w:keepLines w:val="0"/>
        <w:pageBreakBefore w:val="0"/>
        <w:widowControl w:val="0"/>
        <w:numPr>
          <w:ilvl w:val="0"/>
          <w:numId w:val="0"/>
        </w:numPr>
        <w:shd w:val="clear"/>
        <w:kinsoku/>
        <w:wordWrap/>
        <w:overflowPunct/>
        <w:topLinePunct w:val="0"/>
        <w:autoSpaceDE/>
        <w:autoSpaceDN/>
        <w:bidi w:val="0"/>
        <w:spacing w:after="120" w:line="560" w:lineRule="exact"/>
        <w:ind w:left="420" w:leftChars="200" w:firstLine="640" w:firstLineChars="200"/>
        <w:jc w:val="both"/>
        <w:textAlignment w:val="auto"/>
        <w:rPr>
          <w:rFonts w:hint="default" w:ascii="仿宋_GB2312" w:hAnsi="宋体" w:eastAsia="仿宋_GB2312" w:cs="Times New Roman"/>
          <w:color w:val="auto"/>
          <w:kern w:val="2"/>
          <w:sz w:val="32"/>
          <w:szCs w:val="32"/>
          <w:highlight w:val="none"/>
          <w:lang w:val="en-US" w:eastAsia="zh-CN" w:bidi="ar-SA"/>
        </w:rPr>
      </w:pPr>
      <w:r>
        <w:rPr>
          <w:rFonts w:hint="eastAsia" w:ascii="仿宋_GB2312" w:hAnsi="宋体" w:eastAsia="仿宋_GB2312" w:cs="Times New Roman"/>
          <w:color w:val="auto"/>
          <w:kern w:val="2"/>
          <w:sz w:val="32"/>
          <w:szCs w:val="32"/>
          <w:highlight w:val="none"/>
          <w:lang w:val="en-US" w:eastAsia="zh-CN" w:bidi="ar-SA"/>
        </w:rPr>
        <w:t>2.在社会效益方面归集扩面让公积金惠民政策覆盖面更广泛，为广大职工实现安居梦，同时人性化的提取政策解决了很多人的急难愁盼，购房、租房、大病医疗、还房贷等提取住房公积金，解决了广大职工的资金周转问题，解决了很多社会矛盾。</w:t>
      </w:r>
    </w:p>
    <w:p>
      <w:pPr>
        <w:keepNext w:val="0"/>
        <w:keepLines w:val="0"/>
        <w:pageBreakBefore w:val="0"/>
        <w:widowControl w:val="0"/>
        <w:numPr>
          <w:ilvl w:val="0"/>
          <w:numId w:val="0"/>
        </w:numPr>
        <w:shd w:val="clear"/>
        <w:kinsoku/>
        <w:wordWrap/>
        <w:overflowPunct/>
        <w:topLinePunct w:val="0"/>
        <w:autoSpaceDE/>
        <w:autoSpaceDN/>
        <w:bidi w:val="0"/>
        <w:spacing w:after="120" w:line="560" w:lineRule="exact"/>
        <w:ind w:left="420" w:leftChars="200" w:firstLine="640" w:firstLineChars="200"/>
        <w:jc w:val="both"/>
        <w:textAlignment w:val="auto"/>
        <w:rPr>
          <w:rFonts w:hint="eastAsia" w:ascii="仿宋_GB2312" w:hAnsi="宋体" w:eastAsia="仿宋_GB2312" w:cs="Times New Roman"/>
          <w:b/>
          <w:color w:val="auto"/>
          <w:kern w:val="2"/>
          <w:sz w:val="32"/>
          <w:szCs w:val="32"/>
          <w:highlight w:val="none"/>
          <w:lang w:val="zh-CN" w:eastAsia="zh-CN" w:bidi="ar-SA"/>
        </w:rPr>
      </w:pPr>
      <w:r>
        <w:rPr>
          <w:rFonts w:hint="eastAsia" w:ascii="仿宋_GB2312" w:hAnsi="宋体" w:eastAsia="仿宋_GB2312" w:cs="Times New Roman"/>
          <w:color w:val="auto"/>
          <w:kern w:val="2"/>
          <w:sz w:val="32"/>
          <w:szCs w:val="32"/>
          <w:highlight w:val="none"/>
          <w:lang w:val="en-US" w:eastAsia="zh-CN" w:bidi="ar-SA"/>
        </w:rPr>
        <w:t>3.可持续性效益方面新增归集额将每年稳定并持续增长，增值收益也逐年增加。提取公积金用于偿还住房公积金购房贷款有力的保障了公积金资金安全和贷款回收，在条件满足的情况下，每年一次的提取保障了资金安全和贷款回收，同时解决诸多社会矛盾和民生问题。</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outlineLvl w:val="1"/>
        <w:rPr>
          <w:rFonts w:ascii="黑体" w:hAnsi="宋体" w:eastAsia="黑体"/>
          <w:b w:val="0"/>
          <w:bCs w:val="0"/>
          <w:color w:val="auto"/>
          <w:sz w:val="32"/>
          <w:szCs w:val="32"/>
          <w:highlight w:val="none"/>
          <w:u w:val="none"/>
        </w:rPr>
      </w:pPr>
      <w:bookmarkStart w:id="148" w:name="_Toc8449"/>
      <w:bookmarkStart w:id="149" w:name="_Toc2234"/>
      <w:r>
        <w:rPr>
          <w:rFonts w:hint="eastAsia" w:ascii="黑体" w:hAnsi="宋体" w:eastAsia="黑体"/>
          <w:b w:val="0"/>
          <w:bCs w:val="0"/>
          <w:color w:val="auto"/>
          <w:sz w:val="32"/>
          <w:szCs w:val="32"/>
          <w:highlight w:val="none"/>
          <w:u w:val="none"/>
        </w:rPr>
        <w:t>五、评价结论及建议</w:t>
      </w:r>
      <w:bookmarkEnd w:id="148"/>
      <w:bookmarkEnd w:id="149"/>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（一）评价结论。</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u w:val="none"/>
          <w:shd w:val="clear" w:color="auto" w:fill="FFFFFF"/>
          <w:lang w:val="zh-CN"/>
        </w:rPr>
        <w:t>2022年公积金派驻机构工作经费目标任务完成情况良好，绩效目标任务均圆满完成，根据预算项目支出绩效评价指标体系指标最终自评得分</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93</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分。</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 xml:space="preserve">    </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（二）存在的问题。</w:t>
      </w:r>
    </w:p>
    <w:p>
      <w:pPr>
        <w:keepNext w:val="0"/>
        <w:keepLines w:val="0"/>
        <w:pageBreakBefore w:val="0"/>
        <w:pBdr>
          <w:bottom w:val="single" w:color="FFFFFF" w:sz="4" w:space="29"/>
        </w:pBdr>
        <w:shd w:val="clear"/>
        <w:tabs>
          <w:tab w:val="left" w:pos="1440"/>
        </w:tabs>
        <w:kinsoku/>
        <w:wordWrap/>
        <w:overflowPunct/>
        <w:topLinePunct w:val="0"/>
        <w:autoSpaceDE/>
        <w:autoSpaceDN/>
        <w:bidi w:val="0"/>
        <w:spacing w:line="560" w:lineRule="exact"/>
        <w:ind w:firstLine="627" w:firstLineChars="196"/>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1.一线单位临聘职工建制工作还需进一步推进。</w:t>
      </w:r>
    </w:p>
    <w:p>
      <w:pPr>
        <w:keepNext w:val="0"/>
        <w:keepLines w:val="0"/>
        <w:pageBreakBefore w:val="0"/>
        <w:pBdr>
          <w:bottom w:val="single" w:color="FFFFFF" w:sz="4" w:space="29"/>
        </w:pBdr>
        <w:shd w:val="clear"/>
        <w:tabs>
          <w:tab w:val="left" w:pos="1440"/>
        </w:tabs>
        <w:kinsoku/>
        <w:wordWrap/>
        <w:overflowPunct/>
        <w:topLinePunct w:val="0"/>
        <w:autoSpaceDE/>
        <w:autoSpaceDN/>
        <w:bidi w:val="0"/>
        <w:spacing w:line="560" w:lineRule="exact"/>
        <w:ind w:firstLine="627" w:firstLineChars="196"/>
        <w:textAlignment w:val="auto"/>
        <w:rPr>
          <w:rFonts w:hint="eastAsia" w:ascii="仿宋_GB2312" w:hAnsi="仿宋_GB2312" w:eastAsia="仿宋_GB2312" w:cs="仿宋_GB2312"/>
          <w:color w:val="auto"/>
          <w:sz w:val="32"/>
          <w:szCs w:val="32"/>
          <w:highlight w:val="none"/>
        </w:rPr>
      </w:pPr>
      <w:r>
        <w:rPr>
          <w:rFonts w:hint="eastAsia" w:ascii="仿宋_GB2312" w:eastAsia="仿宋_GB2312"/>
          <w:color w:val="auto"/>
          <w:kern w:val="0"/>
          <w:sz w:val="32"/>
          <w:szCs w:val="32"/>
          <w:highlight w:val="none"/>
        </w:rPr>
        <w:t>2.</w:t>
      </w:r>
      <w:r>
        <w:rPr>
          <w:rFonts w:hint="eastAsia" w:ascii="仿宋_GB2312" w:hAnsi="仿宋_GB2312" w:eastAsia="仿宋_GB2312" w:cs="仿宋_GB2312"/>
          <w:color w:val="auto"/>
          <w:sz w:val="32"/>
          <w:szCs w:val="32"/>
          <w:highlight w:val="none"/>
        </w:rPr>
        <w:t>政策宣传普及度不够。</w:t>
      </w:r>
    </w:p>
    <w:p>
      <w:pPr>
        <w:keepNext w:val="0"/>
        <w:keepLines w:val="0"/>
        <w:pageBreakBefore w:val="0"/>
        <w:pBdr>
          <w:bottom w:val="single" w:color="FFFFFF" w:sz="4" w:space="29"/>
        </w:pBdr>
        <w:shd w:val="clear"/>
        <w:tabs>
          <w:tab w:val="left" w:pos="1440"/>
        </w:tabs>
        <w:kinsoku/>
        <w:wordWrap/>
        <w:overflowPunct/>
        <w:topLinePunct w:val="0"/>
        <w:autoSpaceDE/>
        <w:autoSpaceDN/>
        <w:bidi w:val="0"/>
        <w:spacing w:line="560" w:lineRule="exact"/>
        <w:ind w:firstLine="627" w:firstLineChars="196"/>
        <w:textAlignment w:val="auto"/>
        <w:rPr>
          <w:rFonts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（三）相关建议。</w:t>
      </w:r>
    </w:p>
    <w:p>
      <w:pPr>
        <w:keepNext w:val="0"/>
        <w:keepLines w:val="0"/>
        <w:pageBreakBefore w:val="0"/>
        <w:pBdr>
          <w:bottom w:val="single" w:color="FFFFFF" w:sz="4" w:space="29"/>
        </w:pBdr>
        <w:shd w:val="clear"/>
        <w:tabs>
          <w:tab w:val="left" w:pos="1440"/>
        </w:tabs>
        <w:kinsoku/>
        <w:wordWrap/>
        <w:overflowPunct/>
        <w:topLinePunct w:val="0"/>
        <w:autoSpaceDE/>
        <w:autoSpaceDN/>
        <w:bidi w:val="0"/>
        <w:spacing w:line="560" w:lineRule="exact"/>
        <w:ind w:firstLine="627" w:firstLineChars="196"/>
        <w:textAlignment w:val="auto"/>
        <w:rPr>
          <w:rFonts w:hint="eastAsia" w:ascii="仿宋_GB2312" w:hAnsi="宋体" w:eastAsia="仿宋_GB2312" w:cs="Times New Roman"/>
          <w:color w:val="auto"/>
          <w:kern w:val="2"/>
          <w:sz w:val="32"/>
          <w:szCs w:val="32"/>
          <w:highlight w:val="none"/>
          <w:lang w:val="en-US" w:eastAsia="zh-CN" w:bidi="ar-SA"/>
        </w:rPr>
        <w:sectPr>
          <w:footerReference r:id="rId47" w:type="first"/>
          <w:footerReference r:id="rId46" w:type="default"/>
          <w:pgSz w:w="11906" w:h="16838"/>
          <w:pgMar w:top="2098" w:right="1474" w:bottom="1984" w:left="1587" w:header="851" w:footer="992" w:gutter="0"/>
          <w:pgNumType w:fmt="decimal"/>
          <w:cols w:space="425" w:num="1"/>
          <w:docGrid w:type="lines" w:linePitch="312" w:charSpace="0"/>
        </w:sectPr>
      </w:pPr>
      <w:r>
        <w:rPr>
          <w:rFonts w:hint="eastAsia" w:ascii="仿宋_GB2312" w:hAnsi="宋体" w:eastAsia="仿宋_GB2312" w:cs="Times New Roman"/>
          <w:color w:val="auto"/>
          <w:kern w:val="2"/>
          <w:sz w:val="32"/>
          <w:szCs w:val="32"/>
          <w:highlight w:val="none"/>
          <w:lang w:val="en-US" w:eastAsia="zh-CN" w:bidi="ar-SA"/>
        </w:rPr>
        <w:t>加强对外宣传、协调，</w:t>
      </w:r>
      <w:r>
        <w:rPr>
          <w:rFonts w:hint="default" w:ascii="仿宋_GB2312" w:hAnsi="宋体" w:eastAsia="仿宋_GB2312" w:cs="Times New Roman"/>
          <w:color w:val="auto"/>
          <w:kern w:val="2"/>
          <w:sz w:val="32"/>
          <w:szCs w:val="32"/>
          <w:highlight w:val="none"/>
          <w:lang w:val="en-US" w:eastAsia="zh-CN" w:bidi="ar-SA"/>
        </w:rPr>
        <w:t>扩大住房公积金覆盖面</w:t>
      </w:r>
      <w:r>
        <w:rPr>
          <w:rFonts w:hint="eastAsia" w:ascii="仿宋_GB2312" w:hAnsi="宋体" w:eastAsia="仿宋_GB2312" w:cs="Times New Roman"/>
          <w:color w:val="auto"/>
          <w:kern w:val="2"/>
          <w:sz w:val="32"/>
          <w:szCs w:val="32"/>
          <w:highlight w:val="none"/>
          <w:lang w:val="en-US" w:eastAsia="zh-CN" w:bidi="ar-SA"/>
        </w:rPr>
        <w:t>，努力提升优化营商环境，从而推动公积金工作高质量发展，助力地方经济发展。</w:t>
      </w:r>
    </w:p>
    <w:p>
      <w:pPr>
        <w:pStyle w:val="13"/>
        <w:shd w:val="clear"/>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附表6：</w:t>
      </w:r>
    </w:p>
    <w:p>
      <w:pPr>
        <w:shd w:val="clear"/>
        <w:rPr>
          <w:rFonts w:hint="eastAsia"/>
          <w:color w:val="auto"/>
          <w:highlight w:val="none"/>
          <w:lang w:val="en-US" w:eastAsia="zh-CN"/>
        </w:rPr>
      </w:pPr>
    </w:p>
    <w:tbl>
      <w:tblPr>
        <w:tblStyle w:val="17"/>
        <w:tblW w:w="13039"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96"/>
        <w:gridCol w:w="1334"/>
        <w:gridCol w:w="1058"/>
        <w:gridCol w:w="1388"/>
        <w:gridCol w:w="1964"/>
        <w:gridCol w:w="1006"/>
        <w:gridCol w:w="676"/>
        <w:gridCol w:w="823"/>
        <w:gridCol w:w="894"/>
        <w:gridCol w:w="26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13039" w:type="dxa"/>
            <w:gridSpan w:val="10"/>
            <w:tcBorders>
              <w:top w:val="nil"/>
              <w:left w:val="nil"/>
              <w:bottom w:val="nil"/>
              <w:right w:val="nil"/>
            </w:tcBorders>
            <w:shd w:val="clear" w:color="auto" w:fill="auto"/>
            <w:vAlign w:val="center"/>
          </w:tcPr>
          <w:p>
            <w:pPr>
              <w:keepNext w:val="0"/>
              <w:keepLines w:val="0"/>
              <w:widowControl/>
              <w:suppressLineNumbers w:val="0"/>
              <w:shd w:val="clear"/>
              <w:jc w:val="center"/>
              <w:textAlignment w:val="center"/>
              <w:rPr>
                <w:rFonts w:ascii="方正小标宋简体" w:hAnsi="方正小标宋简体" w:eastAsia="方正小标宋简体" w:cs="方正小标宋简体"/>
                <w:i w:val="0"/>
                <w:color w:val="auto"/>
                <w:sz w:val="44"/>
                <w:szCs w:val="44"/>
                <w:highlight w:val="none"/>
                <w:u w:val="none"/>
              </w:rPr>
            </w:pPr>
            <w:r>
              <w:rPr>
                <w:rFonts w:hint="eastAsia" w:ascii="方正小标宋简体" w:hAnsi="方正小标宋简体" w:eastAsia="方正小标宋简体" w:cs="方正小标宋简体"/>
                <w:i w:val="0"/>
                <w:color w:val="auto"/>
                <w:kern w:val="0"/>
                <w:sz w:val="44"/>
                <w:szCs w:val="44"/>
                <w:highlight w:val="none"/>
                <w:u w:val="none"/>
                <w:lang w:val="en-US" w:eastAsia="zh-CN" w:bidi="ar"/>
              </w:rPr>
              <w:t>部门预算、专项资金预算项目支出绩效目标自评表（2022年度）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6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项目名称</w:t>
            </w:r>
          </w:p>
        </w:tc>
        <w:tc>
          <w:tcPr>
            <w:tcW w:w="104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公积金派驻机构工作经费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26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主管部门（盖章）</w:t>
            </w:r>
          </w:p>
        </w:tc>
        <w:tc>
          <w:tcPr>
            <w:tcW w:w="44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广元市住房公积金管理中心</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实施单位 （盖章）</w:t>
            </w:r>
          </w:p>
        </w:tc>
        <w:tc>
          <w:tcPr>
            <w:tcW w:w="499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广元市住房公积金管理中心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2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项目基本情况</w:t>
            </w:r>
          </w:p>
        </w:tc>
        <w:tc>
          <w:tcPr>
            <w:tcW w:w="13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1.项目年度目标完成情况</w:t>
            </w:r>
          </w:p>
        </w:tc>
        <w:tc>
          <w:tcPr>
            <w:tcW w:w="44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项目年度目标</w:t>
            </w:r>
          </w:p>
        </w:tc>
        <w:tc>
          <w:tcPr>
            <w:tcW w:w="599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9" w:hRule="atLeast"/>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b/>
                <w:i w:val="0"/>
                <w:color w:val="auto"/>
                <w:sz w:val="18"/>
                <w:szCs w:val="18"/>
                <w:highlight w:val="none"/>
                <w:u w:val="none"/>
              </w:rPr>
            </w:pPr>
          </w:p>
        </w:tc>
        <w:tc>
          <w:tcPr>
            <w:tcW w:w="13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b/>
                <w:i w:val="0"/>
                <w:color w:val="auto"/>
                <w:sz w:val="18"/>
                <w:szCs w:val="18"/>
                <w:highlight w:val="none"/>
                <w:u w:val="none"/>
              </w:rPr>
            </w:pPr>
          </w:p>
        </w:tc>
        <w:tc>
          <w:tcPr>
            <w:tcW w:w="44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完成市公积金及驻当地政府下达的目标任务；服务当地缴存职工，为职工较快、较好地解决住房问题提供了保障；服务当地经济，促进当地房地产行业健康有序发展；助力当地加快推进政务服务“跨省通办”川渝通办”“一网通办”工作；开展业务培训、技能比拼、创先争优等活动；扎实开展“我为群众办实事”“三提三创 ”、优化提升营商环境专项整治等工作；规范业务凭证管理。</w:t>
            </w:r>
          </w:p>
        </w:tc>
        <w:tc>
          <w:tcPr>
            <w:tcW w:w="599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2022年公积金派驻机构工作经费绩效目标任务完成情况良好，期间不断优化优化提升营商环境，开展“跨省通办”川渝通办”“一网通办”等业务事项，缩短办事时间，简化办事流程，减少办事距离，受到群众好评点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b/>
                <w:i w:val="0"/>
                <w:color w:val="auto"/>
                <w:sz w:val="18"/>
                <w:szCs w:val="18"/>
                <w:highlight w:val="none"/>
                <w:u w:val="none"/>
              </w:rPr>
            </w:pP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2.项目实施内容及过程概述</w:t>
            </w:r>
          </w:p>
        </w:tc>
        <w:tc>
          <w:tcPr>
            <w:tcW w:w="104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全年顺利完成市公积金及驻当地政府下达的目标任务，服务当地经济，促进房地产健康发展，出台阶段性优惠政策缓租住房压力，提升群众满意度。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2" w:hRule="atLeast"/>
        </w:trPr>
        <w:tc>
          <w:tcPr>
            <w:tcW w:w="12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预算执行情况（10分）</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年度预算数（万元）</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年初预算</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调整后预算数</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预算执行数</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预算执行率</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权重%</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部门自评得分</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财政部门科室复评得分</w:t>
            </w:r>
          </w:p>
        </w:tc>
        <w:tc>
          <w:tcPr>
            <w:tcW w:w="2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总额</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50万元</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60万元</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60万元</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100.00%</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0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tbl>
    <w:p>
      <w:pPr>
        <w:shd w:val="clear"/>
        <w:jc w:val="center"/>
        <w:rPr>
          <w:rFonts w:hint="eastAsia" w:ascii="宋体" w:hAnsi="宋体" w:eastAsia="宋体" w:cs="宋体"/>
          <w:b/>
          <w:i w:val="0"/>
          <w:color w:val="auto"/>
          <w:sz w:val="18"/>
          <w:szCs w:val="18"/>
          <w:highlight w:val="none"/>
          <w:u w:val="none"/>
        </w:rPr>
        <w:sectPr>
          <w:footerReference r:id="rId49" w:type="first"/>
          <w:footerReference r:id="rId48" w:type="default"/>
          <w:pgSz w:w="16838" w:h="11906" w:orient="landscape"/>
          <w:pgMar w:top="1587" w:right="2098" w:bottom="1474" w:left="1984" w:header="851" w:footer="992" w:gutter="0"/>
          <w:pgNumType w:fmt="decimal"/>
          <w:cols w:space="425" w:num="1"/>
          <w:titlePg/>
          <w:docGrid w:type="lines" w:linePitch="312" w:charSpace="0"/>
        </w:sectPr>
      </w:pPr>
    </w:p>
    <w:tbl>
      <w:tblPr>
        <w:tblStyle w:val="17"/>
        <w:tblW w:w="13039"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96"/>
        <w:gridCol w:w="1334"/>
        <w:gridCol w:w="1058"/>
        <w:gridCol w:w="1388"/>
        <w:gridCol w:w="479"/>
        <w:gridCol w:w="1006"/>
        <w:gridCol w:w="479"/>
        <w:gridCol w:w="1006"/>
        <w:gridCol w:w="676"/>
        <w:gridCol w:w="823"/>
        <w:gridCol w:w="894"/>
        <w:gridCol w:w="26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96" w:type="dxa"/>
            <w:vMerge w:val="restart"/>
            <w:tcBorders>
              <w:top w:val="single" w:color="000000" w:sz="4" w:space="0"/>
              <w:left w:val="single" w:color="000000" w:sz="4" w:space="0"/>
              <w:right w:val="single" w:color="000000" w:sz="4" w:space="0"/>
            </w:tcBorders>
            <w:shd w:val="clear" w:color="auto" w:fill="auto"/>
            <w:vAlign w:val="center"/>
          </w:tcPr>
          <w:p>
            <w:pPr>
              <w:pStyle w:val="2"/>
              <w:shd w:val="clear"/>
              <w:rPr>
                <w:rFonts w:hint="eastAsia"/>
                <w:color w:val="auto"/>
                <w:highlight w:val="none"/>
              </w:rPr>
            </w:pP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其中：财政资金</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50万元</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60万元</w:t>
            </w:r>
          </w:p>
        </w:tc>
        <w:tc>
          <w:tcPr>
            <w:tcW w:w="19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60万元</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00" w:type="dxa"/>
            <w:vMerge w:val="restart"/>
            <w:tcBorders>
              <w:top w:val="single" w:color="000000" w:sz="4" w:space="0"/>
              <w:left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财政专户管理资金</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9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单位资金</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9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其他资金</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6"/>
                <w:szCs w:val="16"/>
                <w:highlight w:val="none"/>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6"/>
                <w:szCs w:val="16"/>
                <w:highlight w:val="none"/>
                <w:u w:val="none"/>
              </w:rPr>
            </w:pPr>
          </w:p>
        </w:tc>
        <w:tc>
          <w:tcPr>
            <w:tcW w:w="19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6"/>
                <w:szCs w:val="16"/>
                <w:highlight w:val="none"/>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6"/>
                <w:szCs w:val="16"/>
                <w:highlight w:val="none"/>
                <w:u w:val="none"/>
              </w:rPr>
            </w:pP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绩效指标（90分）</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一级指标</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二级指标</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三级指标</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指标性质</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指标值</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度量单位</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完成值</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权重</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部门自评得分</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财政部门科室复评得分</w:t>
            </w:r>
          </w:p>
        </w:tc>
        <w:tc>
          <w:tcPr>
            <w:tcW w:w="2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满意度指标</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服务对象满意度指标</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当地缴存单位满意度</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98</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98</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0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产出指标</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时效指标</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完成时间</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2022</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完成</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0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产出指标</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数量指标</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2022年各县区缴存单位</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3000</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2956</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0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 w:hRule="atLeast"/>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效益指标</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可持续发展指标</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项目作用期限</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0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效益指标</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经济效益指标</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促进当地房地产经济发展</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300</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幢</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156</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0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效益指标</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生态效益指标</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当地设置派驻机构，缩短办事距离，减少污染，降低能耗。</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0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产出指标</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质量指标</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政策公开率</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100</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0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产出指标</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数量指标</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2022年各县区缴存人员</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万人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15.5</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0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0" w:hRule="atLeast"/>
        </w:trPr>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产出指标</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成本指标</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各管理部业务工作耗费，公积金业务宣传，深入企业、社区、单位宣传指导、规范业务凭证管理等费用。当地业务培训；“跨省通办”、“川渝通办”业务洽谈，交流合作；催缴工作监控；贷后管理。管理部委托业务及地方政府安排的驻村帮扶、社区服务、营商环境等。</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50</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60万</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7.5</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0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9" w:hRule="atLeast"/>
        </w:trPr>
        <w:tc>
          <w:tcPr>
            <w:tcW w:w="804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合计</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91.5</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c>
          <w:tcPr>
            <w:tcW w:w="260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tbl>
    <w:p>
      <w:pPr>
        <w:pStyle w:val="2"/>
        <w:shd w:val="clear"/>
        <w:tabs>
          <w:tab w:val="left" w:pos="1190"/>
        </w:tabs>
        <w:rPr>
          <w:rFonts w:hint="eastAsia" w:ascii="黑体" w:hAnsi="黑体" w:eastAsia="黑体" w:cs="黑体"/>
          <w:b w:val="0"/>
          <w:bCs w:val="0"/>
          <w:color w:val="auto"/>
          <w:kern w:val="0"/>
          <w:sz w:val="32"/>
          <w:szCs w:val="32"/>
          <w:highlight w:val="none"/>
          <w:u w:val="none"/>
          <w:shd w:val="clear" w:color="auto" w:fill="FFFFFF"/>
          <w:lang w:val="en-US" w:eastAsia="zh-CN"/>
        </w:rPr>
        <w:sectPr>
          <w:footerReference r:id="rId51" w:type="first"/>
          <w:footerReference r:id="rId50" w:type="default"/>
          <w:pgSz w:w="16838" w:h="11906" w:orient="landscape"/>
          <w:pgMar w:top="1587" w:right="2098" w:bottom="1474" w:left="1984" w:header="851" w:footer="992" w:gutter="0"/>
          <w:pgNumType w:fmt="decimal"/>
          <w:cols w:space="425" w:num="1"/>
          <w:docGrid w:type="lines" w:linePitch="312" w:charSpace="0"/>
        </w:sectPr>
      </w:pPr>
    </w:p>
    <w:p>
      <w:pPr>
        <w:pStyle w:val="2"/>
        <w:shd w:val="clear"/>
        <w:tabs>
          <w:tab w:val="left" w:pos="1190"/>
        </w:tabs>
        <w:rPr>
          <w:rFonts w:hint="eastAsia" w:ascii="黑体" w:hAnsi="黑体" w:eastAsia="黑体" w:cs="黑体"/>
          <w:b w:val="0"/>
          <w:bCs w:val="0"/>
          <w:color w:val="auto"/>
          <w:kern w:val="0"/>
          <w:sz w:val="32"/>
          <w:szCs w:val="32"/>
          <w:highlight w:val="none"/>
          <w:u w:val="none"/>
          <w:shd w:val="clear" w:color="auto" w:fill="FFFFFF"/>
          <w:lang w:val="en-US" w:eastAsia="zh-CN"/>
        </w:rPr>
      </w:pPr>
      <w:r>
        <w:rPr>
          <w:rFonts w:hint="eastAsia" w:ascii="黑体" w:hAnsi="黑体" w:eastAsia="黑体" w:cs="黑体"/>
          <w:b w:val="0"/>
          <w:bCs w:val="0"/>
          <w:color w:val="auto"/>
          <w:kern w:val="0"/>
          <w:sz w:val="32"/>
          <w:szCs w:val="32"/>
          <w:highlight w:val="none"/>
          <w:u w:val="none"/>
          <w:shd w:val="clear" w:color="auto" w:fill="FFFFFF"/>
          <w:lang w:val="en-US" w:eastAsia="zh-CN"/>
        </w:rPr>
        <w:t>附件7：</w:t>
      </w:r>
    </w:p>
    <w:p>
      <w:pPr>
        <w:pStyle w:val="2"/>
        <w:shd w:val="clear"/>
        <w:tabs>
          <w:tab w:val="left" w:pos="1190"/>
        </w:tabs>
        <w:rPr>
          <w:rFonts w:hint="eastAsia" w:ascii="黑体" w:hAnsi="黑体" w:eastAsia="黑体" w:cs="黑体"/>
          <w:b w:val="0"/>
          <w:bCs w:val="0"/>
          <w:color w:val="auto"/>
          <w:kern w:val="0"/>
          <w:sz w:val="32"/>
          <w:szCs w:val="32"/>
          <w:highlight w:val="none"/>
          <w:u w:val="none"/>
          <w:shd w:val="clear" w:color="auto" w:fill="FFFFFF"/>
          <w:lang w:val="en-US" w:eastAsia="zh-CN"/>
        </w:rPr>
      </w:pPr>
    </w:p>
    <w:p>
      <w:pPr>
        <w:keepNext w:val="0"/>
        <w:keepLines w:val="0"/>
        <w:pageBreakBefore w:val="0"/>
        <w:widowControl w:val="0"/>
        <w:shd w:val="clear"/>
        <w:kinsoku/>
        <w:wordWrap/>
        <w:overflowPunct/>
        <w:topLinePunct w:val="0"/>
        <w:autoSpaceDE/>
        <w:autoSpaceDN/>
        <w:bidi w:val="0"/>
        <w:adjustRightInd/>
        <w:snapToGrid/>
        <w:spacing w:line="0" w:lineRule="atLeast"/>
        <w:jc w:val="center"/>
        <w:textAlignment w:val="auto"/>
        <w:rPr>
          <w:rFonts w:hint="eastAsia" w:ascii="方正小标宋简体" w:hAnsi="方正小标宋简体" w:eastAsia="方正小标宋简体" w:cs="方正小标宋简体"/>
          <w:b w:val="0"/>
          <w:bCs w:val="0"/>
          <w:color w:val="auto"/>
          <w:kern w:val="2"/>
          <w:sz w:val="44"/>
          <w:szCs w:val="44"/>
          <w:highlight w:val="none"/>
          <w:lang w:val="en-US" w:eastAsia="zh-CN" w:bidi="ar-SA"/>
        </w:rPr>
      </w:pPr>
      <w:r>
        <w:rPr>
          <w:rFonts w:hint="eastAsia" w:ascii="方正小标宋简体" w:hAnsi="方正小标宋简体" w:eastAsia="方正小标宋简体" w:cs="方正小标宋简体"/>
          <w:b w:val="0"/>
          <w:bCs w:val="0"/>
          <w:color w:val="auto"/>
          <w:kern w:val="2"/>
          <w:sz w:val="44"/>
          <w:szCs w:val="44"/>
          <w:highlight w:val="none"/>
          <w:lang w:val="en-US" w:eastAsia="zh-CN" w:bidi="ar-SA"/>
        </w:rPr>
        <w:t>2023年市级专项预算项目支出绩效自评报告</w:t>
      </w:r>
    </w:p>
    <w:p>
      <w:pPr>
        <w:keepNext w:val="0"/>
        <w:keepLines w:val="0"/>
        <w:pageBreakBefore w:val="0"/>
        <w:widowControl w:val="0"/>
        <w:shd w:val="clear"/>
        <w:kinsoku/>
        <w:wordWrap/>
        <w:overflowPunct/>
        <w:topLinePunct w:val="0"/>
        <w:autoSpaceDE/>
        <w:autoSpaceDN/>
        <w:bidi w:val="0"/>
        <w:adjustRightInd/>
        <w:snapToGrid/>
        <w:spacing w:line="0" w:lineRule="atLeast"/>
        <w:jc w:val="center"/>
        <w:textAlignment w:val="auto"/>
        <w:outlineLvl w:val="1"/>
        <w:rPr>
          <w:rFonts w:hint="eastAsia" w:ascii="楷体_GB2312" w:hAnsi="楷体_GB2312" w:eastAsia="楷体_GB2312" w:cs="楷体_GB2312"/>
          <w:b w:val="0"/>
          <w:bCs w:val="0"/>
          <w:color w:val="auto"/>
          <w:kern w:val="2"/>
          <w:sz w:val="32"/>
          <w:szCs w:val="32"/>
          <w:highlight w:val="none"/>
          <w:lang w:val="zh-CN" w:eastAsia="zh-CN" w:bidi="ar-SA"/>
        </w:rPr>
      </w:pPr>
      <w:bookmarkStart w:id="150" w:name="_Toc27801"/>
      <w:bookmarkStart w:id="151" w:name="_Toc2662"/>
      <w:r>
        <w:rPr>
          <w:rFonts w:hint="eastAsia" w:ascii="楷体_GB2312" w:hAnsi="楷体_GB2312" w:eastAsia="楷体_GB2312" w:cs="楷体_GB2312"/>
          <w:b w:val="0"/>
          <w:bCs w:val="0"/>
          <w:color w:val="auto"/>
          <w:kern w:val="2"/>
          <w:sz w:val="32"/>
          <w:szCs w:val="32"/>
          <w:highlight w:val="none"/>
          <w:lang w:val="zh-CN" w:eastAsia="zh-CN" w:bidi="ar-SA"/>
        </w:rPr>
        <w:t>（公积金网络信息服务及安全运维）</w:t>
      </w:r>
      <w:bookmarkEnd w:id="150"/>
      <w:bookmarkEnd w:id="151"/>
    </w:p>
    <w:p>
      <w:pPr>
        <w:keepNext w:val="0"/>
        <w:keepLines w:val="0"/>
        <w:pageBreakBefore w:val="0"/>
        <w:widowControl w:val="0"/>
        <w:shd w:val="clear"/>
        <w:kinsoku/>
        <w:wordWrap/>
        <w:overflowPunct/>
        <w:topLinePunct w:val="0"/>
        <w:autoSpaceDE/>
        <w:autoSpaceDN/>
        <w:bidi w:val="0"/>
        <w:spacing w:line="560" w:lineRule="exact"/>
        <w:jc w:val="center"/>
        <w:textAlignment w:val="auto"/>
        <w:rPr>
          <w:rFonts w:hint="eastAsia" w:ascii="宋体" w:hAnsi="宋体" w:eastAsia="宋体" w:cs="Times New Roman"/>
          <w:b w:val="0"/>
          <w:bCs w:val="0"/>
          <w:color w:val="auto"/>
          <w:kern w:val="2"/>
          <w:sz w:val="18"/>
          <w:szCs w:val="18"/>
          <w:highlight w:val="none"/>
          <w:lang w:val="zh-CN" w:eastAsia="zh-CN" w:bidi="ar-SA"/>
        </w:rPr>
      </w:pP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outlineLvl w:val="1"/>
        <w:rPr>
          <w:rFonts w:ascii="黑体" w:hAnsi="宋体" w:eastAsia="黑体"/>
          <w:b w:val="0"/>
          <w:bCs w:val="0"/>
          <w:color w:val="auto"/>
          <w:sz w:val="32"/>
          <w:szCs w:val="32"/>
          <w:highlight w:val="none"/>
          <w:lang w:val="zh-CN"/>
        </w:rPr>
      </w:pPr>
      <w:bookmarkStart w:id="152" w:name="_Toc23674"/>
      <w:bookmarkStart w:id="153" w:name="_Toc3546"/>
      <w:r>
        <w:rPr>
          <w:rFonts w:hint="eastAsia" w:ascii="黑体" w:hAnsi="宋体" w:eastAsia="黑体"/>
          <w:b w:val="0"/>
          <w:bCs w:val="0"/>
          <w:color w:val="auto"/>
          <w:sz w:val="32"/>
          <w:szCs w:val="32"/>
          <w:highlight w:val="none"/>
        </w:rPr>
        <w:t>一、</w:t>
      </w:r>
      <w:r>
        <w:rPr>
          <w:rFonts w:hint="eastAsia" w:ascii="黑体" w:hAnsi="宋体" w:eastAsia="黑体"/>
          <w:b w:val="0"/>
          <w:bCs w:val="0"/>
          <w:color w:val="auto"/>
          <w:sz w:val="32"/>
          <w:szCs w:val="32"/>
          <w:highlight w:val="none"/>
          <w:lang w:val="zh-CN"/>
        </w:rPr>
        <w:t>项目概况</w:t>
      </w:r>
      <w:bookmarkEnd w:id="152"/>
      <w:bookmarkEnd w:id="153"/>
    </w:p>
    <w:p>
      <w:pPr>
        <w:keepNext w:val="0"/>
        <w:keepLines w:val="0"/>
        <w:pageBreakBefore w:val="0"/>
        <w:widowControl/>
        <w:suppressLineNumbers w:val="0"/>
        <w:shd w:val="clear"/>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color w:val="auto"/>
          <w:sz w:val="32"/>
          <w:szCs w:val="32"/>
          <w:highlight w:val="none"/>
          <w:lang w:eastAsia="zh-CN"/>
        </w:rPr>
      </w:pPr>
      <w:r>
        <w:rPr>
          <w:rFonts w:hint="eastAsia" w:ascii="楷体_GB2312" w:hAnsi="楷体_GB2312" w:eastAsia="楷体_GB2312" w:cs="楷体_GB2312"/>
          <w:color w:val="auto"/>
          <w:sz w:val="32"/>
          <w:szCs w:val="32"/>
          <w:highlight w:val="none"/>
          <w:lang w:eastAsia="zh-CN"/>
        </w:rPr>
        <w:t>（一）项目基本情况。</w:t>
      </w:r>
    </w:p>
    <w:p>
      <w:pPr>
        <w:widowControl/>
        <w:shd w:val="clear" w:color="auto"/>
        <w:spacing w:before="0" w:beforeAutospacing="0" w:after="188" w:afterAutospacing="0" w:line="301" w:lineRule="atLeast"/>
        <w:ind w:firstLine="640" w:firstLineChars="200"/>
        <w:jc w:val="left"/>
        <w:rPr>
          <w:rFonts w:ascii="仿宋_GB2312" w:hAnsi="宋体" w:eastAsia="仿宋_GB2312" w:cs="Times New Roman"/>
          <w:color w:val="auto"/>
          <w:kern w:val="2"/>
          <w:sz w:val="32"/>
          <w:szCs w:val="32"/>
          <w:highlight w:val="none"/>
          <w:lang w:val="en-US" w:eastAsia="zh-CN" w:bidi="ar-SA"/>
        </w:rPr>
      </w:pPr>
      <w:r>
        <w:rPr>
          <w:rFonts w:hint="eastAsia" w:ascii="仿宋_GB2312" w:hAnsi="宋体" w:eastAsia="仿宋_GB2312" w:cs="宋体"/>
          <w:color w:val="auto"/>
          <w:kern w:val="0"/>
          <w:sz w:val="32"/>
          <w:szCs w:val="32"/>
          <w:highlight w:val="none"/>
          <w:lang w:val="en-US" w:eastAsia="zh-CN" w:bidi="ar-SA"/>
        </w:rPr>
        <w:t>公积金网络信息服务及安全运维费项目是整合项目。主要包含公积金综合信息通讯网络（覆盖全市的业务专线，部、省资金结算网、监管网、征信专线、备份线路、视频会议线路等）年度租用费，公积金安全等级保护年度测评费用，公积金综合服务平台及系统网络安全升级（含杀毒软件及安全设备库升级和设备）等费用。</w:t>
      </w:r>
    </w:p>
    <w:p>
      <w:pPr>
        <w:keepNext w:val="0"/>
        <w:keepLines w:val="0"/>
        <w:pageBreakBefore w:val="0"/>
        <w:widowControl w:val="0"/>
        <w:numPr>
          <w:ilvl w:val="0"/>
          <w:numId w:val="0"/>
        </w:numPr>
        <w:shd w:val="clear"/>
        <w:tabs>
          <w:tab w:val="left" w:pos="2523"/>
        </w:tabs>
        <w:kinsoku/>
        <w:wordWrap/>
        <w:overflowPunct/>
        <w:topLinePunct w:val="0"/>
        <w:autoSpaceDE/>
        <w:autoSpaceDN/>
        <w:bidi w:val="0"/>
        <w:adjustRightInd/>
        <w:snapToGrid/>
        <w:spacing w:line="560" w:lineRule="exact"/>
        <w:ind w:left="720" w:leftChars="0"/>
        <w:textAlignment w:val="auto"/>
        <w:rPr>
          <w:rFonts w:hint="eastAsia" w:ascii="楷体_GB2312" w:hAnsi="楷体_GB2312" w:eastAsia="楷体_GB2312" w:cs="楷体_GB2312"/>
          <w:bCs/>
          <w:color w:val="auto"/>
          <w:sz w:val="32"/>
          <w:szCs w:val="32"/>
          <w:highlight w:val="none"/>
          <w:lang w:val="zh-CN"/>
        </w:rPr>
      </w:pPr>
      <w:r>
        <w:rPr>
          <w:rFonts w:hint="eastAsia" w:ascii="楷体_GB2312" w:hAnsi="楷体_GB2312" w:eastAsia="楷体_GB2312" w:cs="楷体_GB2312"/>
          <w:bCs/>
          <w:color w:val="auto"/>
          <w:sz w:val="32"/>
          <w:szCs w:val="32"/>
          <w:highlight w:val="none"/>
          <w:lang w:val="zh-CN"/>
        </w:rPr>
        <w:t>（二）项目绩效目标。</w:t>
      </w:r>
    </w:p>
    <w:p>
      <w:pPr>
        <w:shd w:val="clear"/>
        <w:adjustRightInd w:val="0"/>
        <w:snapToGrid w:val="0"/>
        <w:spacing w:line="576" w:lineRule="exact"/>
        <w:ind w:firstLine="720"/>
        <w:rPr>
          <w:rFonts w:ascii="仿宋_GB2312" w:hAnsi="宋体" w:eastAsia="仿宋_GB2312"/>
          <w:color w:val="auto"/>
          <w:sz w:val="32"/>
          <w:szCs w:val="32"/>
          <w:highlight w:val="none"/>
          <w:lang w:val="zh-CN"/>
        </w:rPr>
      </w:pPr>
      <w:r>
        <w:rPr>
          <w:rFonts w:hint="eastAsia" w:ascii="仿宋_GB2312" w:hAnsi="宋体" w:eastAsia="仿宋_GB2312"/>
          <w:color w:val="auto"/>
          <w:sz w:val="32"/>
          <w:szCs w:val="32"/>
          <w:highlight w:val="none"/>
          <w:lang w:val="en-US" w:eastAsia="zh-CN"/>
        </w:rPr>
        <w:t>1.</w:t>
      </w:r>
      <w:r>
        <w:rPr>
          <w:rFonts w:hint="eastAsia" w:ascii="仿宋_GB2312" w:hAnsi="宋体" w:eastAsia="仿宋_GB2312"/>
          <w:color w:val="auto"/>
          <w:sz w:val="32"/>
          <w:szCs w:val="32"/>
          <w:highlight w:val="none"/>
          <w:lang w:eastAsia="zh-CN"/>
        </w:rPr>
        <w:t>综合业务信息系统</w:t>
      </w:r>
      <w:r>
        <w:rPr>
          <w:rFonts w:hint="eastAsia" w:ascii="仿宋_GB2312" w:hAnsi="宋体" w:eastAsia="仿宋_GB2312"/>
          <w:color w:val="auto"/>
          <w:sz w:val="32"/>
          <w:szCs w:val="32"/>
          <w:highlight w:val="none"/>
          <w:lang w:val="zh-CN"/>
        </w:rPr>
        <w:t>三级等级保护测评。</w:t>
      </w:r>
    </w:p>
    <w:p>
      <w:pPr>
        <w:shd w:val="clear"/>
        <w:adjustRightInd w:val="0"/>
        <w:snapToGrid w:val="0"/>
        <w:spacing w:line="576" w:lineRule="exact"/>
        <w:ind w:firstLine="720"/>
        <w:rPr>
          <w:rFonts w:ascii="仿宋_GB2312" w:hAnsi="宋体" w:eastAsia="仿宋_GB2312"/>
          <w:color w:val="auto"/>
          <w:sz w:val="32"/>
          <w:szCs w:val="32"/>
          <w:highlight w:val="none"/>
          <w:lang w:val="zh-CN"/>
        </w:rPr>
      </w:pPr>
      <w:r>
        <w:rPr>
          <w:rFonts w:hint="eastAsia" w:ascii="仿宋_GB2312" w:hAnsi="宋体" w:eastAsia="仿宋_GB2312"/>
          <w:color w:val="auto"/>
          <w:sz w:val="32"/>
          <w:szCs w:val="32"/>
          <w:highlight w:val="none"/>
          <w:lang w:val="en-US" w:eastAsia="zh-CN"/>
        </w:rPr>
        <w:t>2.</w:t>
      </w:r>
      <w:r>
        <w:rPr>
          <w:rFonts w:hint="eastAsia" w:ascii="仿宋_GB2312" w:hAnsi="宋体" w:eastAsia="仿宋_GB2312"/>
          <w:color w:val="auto"/>
          <w:sz w:val="32"/>
          <w:szCs w:val="32"/>
          <w:highlight w:val="none"/>
          <w:lang w:val="zh-CN"/>
        </w:rPr>
        <w:t>公积金综合业务动态短信平台使用。</w:t>
      </w:r>
    </w:p>
    <w:p>
      <w:pPr>
        <w:shd w:val="clear"/>
        <w:adjustRightInd w:val="0"/>
        <w:snapToGrid w:val="0"/>
        <w:spacing w:line="576" w:lineRule="exact"/>
        <w:ind w:firstLine="720"/>
        <w:rPr>
          <w:rFonts w:hint="eastAsia" w:ascii="仿宋_GB2312" w:hAnsi="宋体" w:eastAsia="仿宋_GB2312"/>
          <w:color w:val="auto"/>
          <w:sz w:val="32"/>
          <w:szCs w:val="32"/>
          <w:highlight w:val="none"/>
          <w:lang w:val="en-US" w:eastAsia="zh-CN"/>
        </w:rPr>
      </w:pPr>
      <w:r>
        <w:rPr>
          <w:rFonts w:hint="eastAsia" w:ascii="仿宋_GB2312" w:hAnsi="宋体" w:eastAsia="仿宋_GB2312"/>
          <w:color w:val="auto"/>
          <w:sz w:val="32"/>
          <w:szCs w:val="32"/>
          <w:highlight w:val="none"/>
          <w:lang w:val="en-US" w:eastAsia="zh-CN"/>
        </w:rPr>
        <w:t>3.</w:t>
      </w:r>
      <w:r>
        <w:rPr>
          <w:rFonts w:hint="eastAsia" w:ascii="仿宋_GB2312" w:eastAsia="仿宋_GB2312"/>
          <w:color w:val="auto"/>
          <w:sz w:val="32"/>
          <w:szCs w:val="32"/>
          <w:highlight w:val="none"/>
        </w:rPr>
        <w:t>公积金综合信息通讯网络年度租用费</w:t>
      </w:r>
      <w:r>
        <w:rPr>
          <w:rFonts w:hint="eastAsia" w:ascii="仿宋_GB2312" w:eastAsia="仿宋_GB2312"/>
          <w:color w:val="auto"/>
          <w:sz w:val="32"/>
          <w:szCs w:val="32"/>
          <w:highlight w:val="none"/>
          <w:lang w:eastAsia="zh-CN"/>
        </w:rPr>
        <w:t>。</w:t>
      </w:r>
    </w:p>
    <w:p>
      <w:pPr>
        <w:shd w:val="clear"/>
        <w:adjustRightInd w:val="0"/>
        <w:snapToGrid w:val="0"/>
        <w:spacing w:line="576" w:lineRule="exact"/>
        <w:ind w:firstLine="720"/>
        <w:rPr>
          <w:rFonts w:ascii="仿宋_GB2312" w:hAnsi="宋体" w:eastAsia="仿宋_GB2312"/>
          <w:color w:val="auto"/>
          <w:sz w:val="32"/>
          <w:szCs w:val="32"/>
          <w:highlight w:val="none"/>
          <w:lang w:val="zh-CN"/>
        </w:rPr>
      </w:pPr>
      <w:r>
        <w:rPr>
          <w:rFonts w:hint="eastAsia" w:ascii="仿宋_GB2312" w:hAnsi="宋体" w:eastAsia="仿宋_GB2312"/>
          <w:color w:val="auto"/>
          <w:sz w:val="32"/>
          <w:szCs w:val="32"/>
          <w:highlight w:val="none"/>
          <w:lang w:val="en-US" w:eastAsia="zh-CN"/>
        </w:rPr>
        <w:t>4.</w:t>
      </w:r>
      <w:r>
        <w:rPr>
          <w:rFonts w:hint="eastAsia" w:ascii="仿宋_GB2312" w:hAnsi="宋体" w:eastAsia="仿宋_GB2312"/>
          <w:color w:val="auto"/>
          <w:sz w:val="32"/>
          <w:szCs w:val="32"/>
          <w:highlight w:val="none"/>
          <w:lang w:val="zh-CN"/>
        </w:rPr>
        <w:t>服务器及网络安全运行维护。</w:t>
      </w:r>
    </w:p>
    <w:p>
      <w:pPr>
        <w:shd w:val="clear"/>
        <w:adjustRightInd w:val="0"/>
        <w:snapToGrid w:val="0"/>
        <w:spacing w:line="576" w:lineRule="exact"/>
        <w:ind w:firstLine="720"/>
        <w:rPr>
          <w:rFonts w:ascii="仿宋_GB2312" w:hAnsi="宋体" w:eastAsia="仿宋_GB2312"/>
          <w:color w:val="auto"/>
          <w:sz w:val="32"/>
          <w:szCs w:val="32"/>
          <w:highlight w:val="none"/>
          <w:lang w:val="zh-CN"/>
        </w:rPr>
      </w:pPr>
      <w:r>
        <w:rPr>
          <w:rFonts w:hint="eastAsia" w:ascii="仿宋_GB2312" w:hAnsi="宋体" w:eastAsia="仿宋_GB2312"/>
          <w:color w:val="auto"/>
          <w:sz w:val="32"/>
          <w:szCs w:val="32"/>
          <w:highlight w:val="none"/>
          <w:lang w:val="en-US" w:eastAsia="zh-CN"/>
        </w:rPr>
        <w:t>5.</w:t>
      </w:r>
      <w:r>
        <w:rPr>
          <w:rFonts w:hint="eastAsia" w:ascii="仿宋_GB2312" w:hAnsi="宋体" w:eastAsia="仿宋_GB2312"/>
          <w:color w:val="auto"/>
          <w:sz w:val="32"/>
          <w:szCs w:val="32"/>
          <w:highlight w:val="none"/>
          <w:lang w:val="zh-CN"/>
        </w:rPr>
        <w:t>杀毒软件病毒库更新和安全设备维保服务。</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（三）项目自评步骤及方法。</w:t>
      </w:r>
    </w:p>
    <w:p>
      <w:pPr>
        <w:keepNext w:val="0"/>
        <w:keepLines w:val="0"/>
        <w:pageBreakBefore w:val="0"/>
        <w:widowControl w:val="0"/>
        <w:numPr>
          <w:ilvl w:val="0"/>
          <w:numId w:val="0"/>
        </w:numPr>
        <w:shd w:val="clear"/>
        <w:tabs>
          <w:tab w:val="left" w:pos="2523"/>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sectPr>
          <w:footerReference r:id="rId53" w:type="first"/>
          <w:footerReference r:id="rId52" w:type="default"/>
          <w:pgSz w:w="11906" w:h="16838"/>
          <w:pgMar w:top="2098" w:right="1474" w:bottom="1984" w:left="1587" w:header="851" w:footer="992" w:gutter="0"/>
          <w:pgNumType w:fmt="decimal"/>
          <w:cols w:space="425" w:num="1"/>
          <w:titlePg/>
          <w:docGrid w:type="lines" w:linePitch="312" w:charSpace="0"/>
        </w:sectPr>
      </w:pPr>
      <w:r>
        <w:rPr>
          <w:rFonts w:hint="eastAsia" w:ascii="仿宋_GB2312" w:hAnsi="仿宋_GB2312" w:eastAsia="仿宋_GB2312" w:cs="仿宋_GB2312"/>
          <w:color w:val="auto"/>
          <w:sz w:val="32"/>
          <w:szCs w:val="32"/>
          <w:highlight w:val="none"/>
          <w:lang w:val="en-US" w:eastAsia="zh-CN"/>
        </w:rPr>
        <w:t>首先由信息技术科人员、财务人员共同草拟自评报告，分别</w:t>
      </w:r>
    </w:p>
    <w:p>
      <w:pPr>
        <w:keepNext w:val="0"/>
        <w:keepLines w:val="0"/>
        <w:pageBreakBefore w:val="0"/>
        <w:widowControl w:val="0"/>
        <w:numPr>
          <w:ilvl w:val="0"/>
          <w:numId w:val="0"/>
        </w:numPr>
        <w:shd w:val="clear"/>
        <w:tabs>
          <w:tab w:val="left" w:pos="2523"/>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报分管领导、主要领导审阅后再报送。</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outlineLvl w:val="1"/>
        <w:rPr>
          <w:rFonts w:ascii="黑体" w:hAnsi="宋体" w:eastAsia="黑体"/>
          <w:b w:val="0"/>
          <w:bCs w:val="0"/>
          <w:color w:val="auto"/>
          <w:sz w:val="32"/>
          <w:szCs w:val="32"/>
          <w:highlight w:val="none"/>
          <w:u w:val="none"/>
        </w:rPr>
      </w:pPr>
      <w:bookmarkStart w:id="154" w:name="_Toc10637"/>
      <w:bookmarkStart w:id="155" w:name="_Toc8613"/>
      <w:r>
        <w:rPr>
          <w:rFonts w:hint="eastAsia" w:ascii="黑体" w:hAnsi="宋体" w:eastAsia="黑体"/>
          <w:b w:val="0"/>
          <w:bCs w:val="0"/>
          <w:color w:val="auto"/>
          <w:sz w:val="32"/>
          <w:szCs w:val="32"/>
          <w:highlight w:val="none"/>
          <w:u w:val="none"/>
        </w:rPr>
        <w:t>二、项目资金申报及使用情况</w:t>
      </w:r>
      <w:bookmarkEnd w:id="154"/>
      <w:bookmarkEnd w:id="155"/>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（一）项目资金申报及批复情况。</w:t>
      </w:r>
    </w:p>
    <w:p>
      <w:pPr>
        <w:shd w:val="clear"/>
        <w:tabs>
          <w:tab w:val="left" w:pos="3885"/>
        </w:tabs>
        <w:snapToGrid w:val="0"/>
        <w:spacing w:line="560" w:lineRule="exact"/>
        <w:ind w:firstLine="640" w:firstLineChars="200"/>
        <w:jc w:val="left"/>
        <w:rPr>
          <w:rFonts w:ascii="仿宋_GB2312" w:eastAsia="仿宋_GB2312"/>
          <w:color w:val="auto"/>
          <w:kern w:val="0"/>
          <w:sz w:val="32"/>
          <w:szCs w:val="32"/>
          <w:highlight w:val="none"/>
        </w:rPr>
      </w:pPr>
      <w:r>
        <w:rPr>
          <w:rFonts w:hint="eastAsia" w:ascii="仿宋_GB2312" w:eastAsia="仿宋_GB2312"/>
          <w:color w:val="auto"/>
          <w:kern w:val="0"/>
          <w:sz w:val="32"/>
          <w:szCs w:val="32"/>
          <w:highlight w:val="none"/>
        </w:rPr>
        <w:t>本项目根据实际需求确定实施内容，由信息技术科制定项目预算需求计划，负责编制项目事前评估和绩效目标。由办公室汇总项目纳入年度部门预算草案，经中心党组会审议后报财政局纳入市级部门预算编制报批。202</w:t>
      </w:r>
      <w:r>
        <w:rPr>
          <w:rFonts w:hint="eastAsia" w:ascii="仿宋_GB2312" w:eastAsia="仿宋_GB2312"/>
          <w:color w:val="auto"/>
          <w:kern w:val="0"/>
          <w:sz w:val="32"/>
          <w:szCs w:val="32"/>
          <w:highlight w:val="none"/>
          <w:lang w:val="en-US" w:eastAsia="zh-CN"/>
        </w:rPr>
        <w:t>2</w:t>
      </w:r>
      <w:r>
        <w:rPr>
          <w:rFonts w:hint="eastAsia" w:ascii="仿宋_GB2312" w:eastAsia="仿宋_GB2312"/>
          <w:color w:val="auto"/>
          <w:kern w:val="0"/>
          <w:sz w:val="32"/>
          <w:szCs w:val="32"/>
          <w:highlight w:val="none"/>
        </w:rPr>
        <w:t>年度申报公积金系统运行及网络安全项目经费预算资金</w:t>
      </w:r>
      <w:r>
        <w:rPr>
          <w:rFonts w:hint="eastAsia" w:ascii="仿宋_GB2312" w:eastAsia="仿宋_GB2312"/>
          <w:color w:val="auto"/>
          <w:kern w:val="0"/>
          <w:sz w:val="32"/>
          <w:szCs w:val="32"/>
          <w:highlight w:val="none"/>
          <w:lang w:val="en-US" w:eastAsia="zh-CN"/>
        </w:rPr>
        <w:t>73.38</w:t>
      </w:r>
      <w:r>
        <w:rPr>
          <w:rFonts w:hint="eastAsia" w:ascii="仿宋_GB2312" w:eastAsia="仿宋_GB2312"/>
          <w:color w:val="auto"/>
          <w:kern w:val="0"/>
          <w:sz w:val="32"/>
          <w:szCs w:val="32"/>
          <w:highlight w:val="none"/>
        </w:rPr>
        <w:t>万元</w:t>
      </w:r>
      <w:r>
        <w:rPr>
          <w:rFonts w:hint="eastAsia" w:ascii="仿宋_GB2312" w:eastAsia="仿宋_GB2312"/>
          <w:color w:val="auto"/>
          <w:kern w:val="0"/>
          <w:sz w:val="32"/>
          <w:szCs w:val="32"/>
          <w:highlight w:val="none"/>
          <w:lang w:eastAsia="zh-CN"/>
        </w:rPr>
        <w:t>，</w:t>
      </w:r>
      <w:r>
        <w:rPr>
          <w:rFonts w:hint="eastAsia" w:ascii="仿宋_GB2312" w:eastAsia="仿宋_GB2312"/>
          <w:color w:val="auto"/>
          <w:kern w:val="0"/>
          <w:sz w:val="32"/>
          <w:szCs w:val="32"/>
          <w:highlight w:val="none"/>
        </w:rPr>
        <w:t>该项目为市本级支付项目，由市财政全额保障。财政批复下达专项资金预算</w:t>
      </w:r>
      <w:r>
        <w:rPr>
          <w:rFonts w:hint="eastAsia" w:ascii="仿宋_GB2312" w:eastAsia="仿宋_GB2312"/>
          <w:color w:val="auto"/>
          <w:kern w:val="0"/>
          <w:sz w:val="32"/>
          <w:szCs w:val="32"/>
          <w:highlight w:val="none"/>
          <w:lang w:val="en-US" w:eastAsia="zh-CN"/>
        </w:rPr>
        <w:t>73.38</w:t>
      </w:r>
      <w:r>
        <w:rPr>
          <w:rFonts w:hint="eastAsia" w:ascii="仿宋_GB2312" w:eastAsia="仿宋_GB2312"/>
          <w:color w:val="auto"/>
          <w:kern w:val="0"/>
          <w:sz w:val="32"/>
          <w:szCs w:val="32"/>
          <w:highlight w:val="none"/>
        </w:rPr>
        <w:t>万元。</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ascii="仿宋_GB2312" w:hAnsi="宋体" w:eastAsia="仿宋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（二）资金计划、到位及使用情况。</w:t>
      </w:r>
    </w:p>
    <w:p>
      <w:pPr>
        <w:shd w:val="clear"/>
        <w:adjustRightInd w:val="0"/>
        <w:snapToGrid w:val="0"/>
        <w:spacing w:line="576" w:lineRule="exact"/>
        <w:ind w:firstLine="720"/>
        <w:rPr>
          <w:rFonts w:hint="eastAsia" w:ascii="仿宋_GB2312" w:hAnsi="仿宋_GB2312" w:eastAsia="仿宋_GB2312" w:cs="仿宋_GB2312"/>
          <w:color w:val="auto"/>
          <w:sz w:val="32"/>
          <w:szCs w:val="32"/>
          <w:highlight w:val="none"/>
          <w:lang w:val="zh-CN"/>
        </w:rPr>
      </w:pPr>
      <w:r>
        <w:rPr>
          <w:rFonts w:hint="eastAsia" w:ascii="仿宋_GB2312" w:hAnsi="仿宋_GB2312" w:eastAsia="仿宋_GB2312" w:cs="仿宋_GB2312"/>
          <w:b w:val="0"/>
          <w:bCs w:val="0"/>
          <w:color w:val="auto"/>
          <w:sz w:val="32"/>
          <w:szCs w:val="32"/>
          <w:highlight w:val="none"/>
          <w:lang w:val="zh-CN"/>
        </w:rPr>
        <w:t>1．资金计划及到位。</w:t>
      </w:r>
      <w:r>
        <w:rPr>
          <w:rFonts w:hint="eastAsia" w:ascii="仿宋_GB2312" w:hAnsi="仿宋_GB2312" w:eastAsia="仿宋_GB2312" w:cs="仿宋_GB2312"/>
          <w:color w:val="auto"/>
          <w:sz w:val="32"/>
          <w:szCs w:val="32"/>
          <w:highlight w:val="none"/>
        </w:rPr>
        <w:t>公积金系统运行及网络安全费</w:t>
      </w:r>
      <w:r>
        <w:rPr>
          <w:rFonts w:hint="eastAsia" w:ascii="仿宋_GB2312" w:hAnsi="仿宋_GB2312" w:eastAsia="仿宋_GB2312" w:cs="仿宋_GB2312"/>
          <w:color w:val="auto"/>
          <w:kern w:val="0"/>
          <w:sz w:val="32"/>
          <w:szCs w:val="32"/>
          <w:highlight w:val="none"/>
        </w:rPr>
        <w:t>全年安排</w:t>
      </w:r>
      <w:r>
        <w:rPr>
          <w:rFonts w:hint="eastAsia" w:ascii="仿宋_GB2312" w:hAnsi="仿宋_GB2312" w:eastAsia="仿宋_GB2312" w:cs="仿宋_GB2312"/>
          <w:color w:val="auto"/>
          <w:kern w:val="0"/>
          <w:sz w:val="32"/>
          <w:szCs w:val="32"/>
          <w:highlight w:val="none"/>
          <w:lang w:val="en-US" w:eastAsia="zh-CN"/>
        </w:rPr>
        <w:t>73.38</w:t>
      </w:r>
      <w:r>
        <w:rPr>
          <w:rFonts w:hint="eastAsia" w:ascii="仿宋_GB2312" w:hAnsi="仿宋_GB2312" w:eastAsia="仿宋_GB2312" w:cs="仿宋_GB2312"/>
          <w:color w:val="auto"/>
          <w:kern w:val="0"/>
          <w:sz w:val="32"/>
          <w:szCs w:val="32"/>
          <w:highlight w:val="none"/>
        </w:rPr>
        <w:t>万元</w:t>
      </w:r>
      <w:r>
        <w:rPr>
          <w:rFonts w:hint="eastAsia" w:ascii="仿宋_GB2312" w:hAnsi="仿宋_GB2312" w:eastAsia="仿宋_GB2312" w:cs="仿宋_GB2312"/>
          <w:color w:val="auto"/>
          <w:sz w:val="32"/>
          <w:szCs w:val="32"/>
          <w:highlight w:val="none"/>
          <w:lang w:val="zh-CN"/>
        </w:rPr>
        <w:t>，资金全部到位。</w:t>
      </w:r>
    </w:p>
    <w:p>
      <w:pPr>
        <w:shd w:val="clear"/>
        <w:adjustRightInd w:val="0"/>
        <w:snapToGrid w:val="0"/>
        <w:spacing w:line="576" w:lineRule="exact"/>
        <w:ind w:firstLine="720"/>
        <w:rPr>
          <w:rFonts w:ascii="仿宋_GB2312" w:hAnsi="宋体" w:eastAsia="仿宋_GB2312"/>
          <w:color w:val="auto"/>
          <w:sz w:val="32"/>
          <w:szCs w:val="32"/>
          <w:highlight w:val="none"/>
          <w:lang w:val="zh-CN"/>
        </w:rPr>
      </w:pPr>
      <w:r>
        <w:rPr>
          <w:rFonts w:hint="eastAsia" w:ascii="仿宋_GB2312" w:hAnsi="仿宋_GB2312" w:eastAsia="仿宋_GB2312" w:cs="仿宋_GB2312"/>
          <w:b w:val="0"/>
          <w:bCs w:val="0"/>
          <w:color w:val="auto"/>
          <w:sz w:val="32"/>
          <w:szCs w:val="32"/>
          <w:highlight w:val="none"/>
          <w:lang w:val="zh-CN"/>
        </w:rPr>
        <w:t>2．资金使用。</w:t>
      </w:r>
      <w:r>
        <w:rPr>
          <w:rFonts w:hint="eastAsia" w:ascii="仿宋_GB2312" w:hAnsi="宋体" w:eastAsia="仿宋_GB2312"/>
          <w:color w:val="auto"/>
          <w:sz w:val="32"/>
          <w:szCs w:val="32"/>
          <w:highlight w:val="none"/>
          <w:lang w:val="zh-CN"/>
        </w:rPr>
        <w:t>截止202</w:t>
      </w:r>
      <w:r>
        <w:rPr>
          <w:rFonts w:hint="eastAsia" w:ascii="仿宋_GB2312" w:hAnsi="宋体" w:eastAsia="仿宋_GB2312"/>
          <w:color w:val="auto"/>
          <w:sz w:val="32"/>
          <w:szCs w:val="32"/>
          <w:highlight w:val="none"/>
          <w:lang w:val="en-US" w:eastAsia="zh-CN"/>
        </w:rPr>
        <w:t>2</w:t>
      </w:r>
      <w:r>
        <w:rPr>
          <w:rFonts w:hint="eastAsia" w:ascii="仿宋_GB2312" w:hAnsi="宋体" w:eastAsia="仿宋_GB2312"/>
          <w:color w:val="auto"/>
          <w:sz w:val="32"/>
          <w:szCs w:val="32"/>
          <w:highlight w:val="none"/>
          <w:lang w:val="zh-CN"/>
        </w:rPr>
        <w:t>年12月31日，</w:t>
      </w:r>
      <w:r>
        <w:rPr>
          <w:rFonts w:hint="eastAsia" w:ascii="仿宋_GB2312" w:hAnsi="宋体" w:eastAsia="仿宋_GB2312"/>
          <w:color w:val="auto"/>
          <w:sz w:val="32"/>
          <w:szCs w:val="32"/>
          <w:highlight w:val="none"/>
          <w:lang w:val="en-US"/>
        </w:rPr>
        <w:t>公积金网络信息服务及安全运维费</w:t>
      </w:r>
      <w:r>
        <w:rPr>
          <w:rFonts w:hint="eastAsia" w:ascii="仿宋_GB2312" w:hAnsi="宋体" w:eastAsia="仿宋_GB2312"/>
          <w:color w:val="auto"/>
          <w:sz w:val="32"/>
          <w:szCs w:val="32"/>
          <w:highlight w:val="none"/>
          <w:lang w:val="zh-CN"/>
        </w:rPr>
        <w:t>实际支出</w:t>
      </w:r>
      <w:r>
        <w:rPr>
          <w:rFonts w:hint="eastAsia" w:ascii="仿宋_GB2312" w:hAnsi="宋体" w:eastAsia="仿宋_GB2312"/>
          <w:color w:val="auto"/>
          <w:sz w:val="32"/>
          <w:szCs w:val="32"/>
          <w:highlight w:val="none"/>
          <w:lang w:val="en-US" w:eastAsia="zh-CN"/>
        </w:rPr>
        <w:t>73.38</w:t>
      </w:r>
      <w:r>
        <w:rPr>
          <w:rFonts w:hint="eastAsia" w:ascii="仿宋_GB2312" w:hAnsi="宋体" w:eastAsia="仿宋_GB2312"/>
          <w:color w:val="auto"/>
          <w:sz w:val="32"/>
          <w:szCs w:val="32"/>
          <w:highlight w:val="none"/>
          <w:lang w:val="zh-CN"/>
        </w:rPr>
        <w:t>万元，资金主要用于网络安全三级等级保护测评服务、综合服务网络租用费、杀毒软件更新、服务器及网络安全运维服务、网络安全设备病毒更新及维保服务</w:t>
      </w:r>
      <w:r>
        <w:rPr>
          <w:rFonts w:hint="eastAsia" w:ascii="仿宋_GB2312" w:hAnsi="宋体" w:eastAsia="仿宋_GB2312"/>
          <w:color w:val="auto"/>
          <w:sz w:val="32"/>
          <w:szCs w:val="32"/>
          <w:highlight w:val="none"/>
        </w:rPr>
        <w:t>，</w:t>
      </w:r>
      <w:r>
        <w:rPr>
          <w:rFonts w:hint="eastAsia" w:ascii="仿宋_GB2312" w:hAnsi="宋体" w:eastAsia="仿宋_GB2312"/>
          <w:color w:val="auto"/>
          <w:sz w:val="32"/>
          <w:szCs w:val="32"/>
          <w:highlight w:val="none"/>
          <w:lang w:val="zh-CN"/>
        </w:rPr>
        <w:t>全年支付进度达100%。经费严格按照机关出台的各项管理办法审核、审批、支付，依据合规合法。资金支付与预算相符。</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（三）项目财务管理情况。</w:t>
      </w:r>
    </w:p>
    <w:p>
      <w:pPr>
        <w:shd w:val="clear"/>
        <w:adjustRightInd w:val="0"/>
        <w:snapToGrid w:val="0"/>
        <w:spacing w:line="576" w:lineRule="exact"/>
        <w:ind w:firstLine="720"/>
        <w:rPr>
          <w:rFonts w:ascii="仿宋_GB2312" w:hAnsi="宋体" w:eastAsia="仿宋_GB2312"/>
          <w:color w:val="auto"/>
          <w:sz w:val="32"/>
          <w:szCs w:val="32"/>
          <w:highlight w:val="none"/>
          <w:lang w:val="zh-CN"/>
        </w:rPr>
      </w:pPr>
      <w:r>
        <w:rPr>
          <w:rFonts w:hint="eastAsia" w:ascii="仿宋_GB2312" w:hAnsi="宋体" w:eastAsia="仿宋_GB2312"/>
          <w:color w:val="auto"/>
          <w:sz w:val="32"/>
          <w:szCs w:val="32"/>
          <w:highlight w:val="none"/>
          <w:lang w:val="zh-CN"/>
        </w:rPr>
        <w:t>根据《中华人民共和国预算法》等制度要求，</w:t>
      </w:r>
      <w:r>
        <w:rPr>
          <w:rFonts w:hint="eastAsia" w:ascii="仿宋_GB2312" w:hAnsi="宋体" w:eastAsia="仿宋_GB2312"/>
          <w:color w:val="auto"/>
          <w:sz w:val="32"/>
          <w:szCs w:val="32"/>
          <w:highlight w:val="none"/>
        </w:rPr>
        <w:t>本单位</w:t>
      </w:r>
      <w:r>
        <w:rPr>
          <w:rFonts w:hint="eastAsia" w:ascii="仿宋_GB2312" w:hAnsi="宋体" w:eastAsia="仿宋_GB2312"/>
          <w:color w:val="auto"/>
          <w:sz w:val="32"/>
          <w:szCs w:val="32"/>
          <w:highlight w:val="none"/>
          <w:lang w:val="zh-CN"/>
        </w:rPr>
        <w:t>对项目实行了国库集中支付，资金支出严格依据相关财务制度和预算标准执行，资金使用合法合规，财务信息真实完整，坚持了厉行节约，不存在资金截留、挤占和挪用现象。</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outlineLvl w:val="1"/>
        <w:rPr>
          <w:rFonts w:ascii="黑体" w:hAnsi="宋体" w:eastAsia="黑体"/>
          <w:b w:val="0"/>
          <w:bCs w:val="0"/>
          <w:color w:val="auto"/>
          <w:sz w:val="32"/>
          <w:szCs w:val="32"/>
          <w:highlight w:val="none"/>
          <w:u w:val="none"/>
        </w:rPr>
      </w:pPr>
      <w:bookmarkStart w:id="156" w:name="_Toc7647"/>
      <w:bookmarkStart w:id="157" w:name="_Toc1602"/>
      <w:r>
        <w:rPr>
          <w:rFonts w:hint="eastAsia" w:ascii="黑体" w:hAnsi="宋体" w:eastAsia="黑体"/>
          <w:b w:val="0"/>
          <w:bCs w:val="0"/>
          <w:color w:val="auto"/>
          <w:sz w:val="32"/>
          <w:szCs w:val="32"/>
          <w:highlight w:val="none"/>
          <w:u w:val="none"/>
        </w:rPr>
        <w:t>三、项目实施及管理情况</w:t>
      </w:r>
      <w:bookmarkEnd w:id="156"/>
      <w:bookmarkEnd w:id="157"/>
    </w:p>
    <w:p>
      <w:pPr>
        <w:keepNext w:val="0"/>
        <w:keepLines w:val="0"/>
        <w:pageBreakBefore w:val="0"/>
        <w:widowControl w:val="0"/>
        <w:numPr>
          <w:ilvl w:val="0"/>
          <w:numId w:val="8"/>
        </w:numPr>
        <w:shd w:val="clear"/>
        <w:kinsoku/>
        <w:wordWrap/>
        <w:overflowPunct/>
        <w:topLinePunct w:val="0"/>
        <w:autoSpaceDE/>
        <w:autoSpaceDN/>
        <w:bidi w:val="0"/>
        <w:adjustRightInd w:val="0"/>
        <w:snapToGrid w:val="0"/>
        <w:spacing w:line="560" w:lineRule="exact"/>
        <w:ind w:firstLine="640" w:firstLineChars="200"/>
        <w:jc w:val="both"/>
        <w:textAlignment w:val="auto"/>
        <w:rPr>
          <w:rFonts w:hint="eastAsia"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项目组织架构及实施流程。</w:t>
      </w:r>
    </w:p>
    <w:p>
      <w:pPr>
        <w:widowControl w:val="0"/>
        <w:shd w:val="clear"/>
        <w:adjustRightInd w:val="0"/>
        <w:snapToGrid w:val="0"/>
        <w:spacing w:line="560" w:lineRule="exact"/>
        <w:ind w:firstLine="720"/>
        <w:jc w:val="both"/>
        <w:rPr>
          <w:rFonts w:ascii="仿宋_GB2312" w:hAnsi="宋体" w:eastAsia="仿宋_GB2312" w:cs="Times New Roman"/>
          <w:color w:val="auto"/>
          <w:kern w:val="2"/>
          <w:sz w:val="32"/>
          <w:szCs w:val="32"/>
          <w:highlight w:val="none"/>
          <w:lang w:val="en-US" w:eastAsia="zh-CN" w:bidi="ar-SA"/>
        </w:rPr>
      </w:pPr>
      <w:r>
        <w:rPr>
          <w:rFonts w:hint="eastAsia" w:ascii="仿宋_GB2312" w:hAnsi="宋体" w:eastAsia="仿宋_GB2312" w:cs="Times New Roman"/>
          <w:color w:val="auto"/>
          <w:kern w:val="2"/>
          <w:sz w:val="32"/>
          <w:szCs w:val="32"/>
          <w:highlight w:val="none"/>
          <w:lang w:val="en-US" w:eastAsia="zh-CN" w:bidi="ar-SA"/>
        </w:rPr>
        <w:t>中心</w:t>
      </w:r>
      <w:r>
        <w:rPr>
          <w:rFonts w:hint="eastAsia" w:ascii="仿宋_GB2312" w:hAnsi="宋体" w:eastAsia="仿宋_GB2312" w:cs="Times New Roman"/>
          <w:color w:val="auto"/>
          <w:kern w:val="2"/>
          <w:sz w:val="32"/>
          <w:szCs w:val="32"/>
          <w:highlight w:val="none"/>
          <w:lang w:val="zh-CN" w:eastAsia="zh-CN" w:bidi="ar-SA"/>
        </w:rPr>
        <w:t>是项目的主管部门和实施部门，按照</w:t>
      </w:r>
      <w:r>
        <w:rPr>
          <w:rFonts w:hint="eastAsia" w:ascii="仿宋_GB2312" w:hAnsi="宋体" w:eastAsia="仿宋_GB2312" w:cs="Times New Roman"/>
          <w:color w:val="auto"/>
          <w:kern w:val="2"/>
          <w:sz w:val="32"/>
          <w:szCs w:val="32"/>
          <w:highlight w:val="none"/>
          <w:lang w:val="en-US" w:eastAsia="zh-CN" w:bidi="ar-SA"/>
        </w:rPr>
        <w:t>单位内</w:t>
      </w:r>
      <w:r>
        <w:rPr>
          <w:rFonts w:hint="eastAsia" w:ascii="仿宋_GB2312" w:hAnsi="宋体" w:eastAsia="仿宋_GB2312" w:cs="Times New Roman"/>
          <w:color w:val="auto"/>
          <w:kern w:val="2"/>
          <w:sz w:val="32"/>
          <w:szCs w:val="32"/>
          <w:highlight w:val="none"/>
          <w:lang w:val="zh-CN" w:eastAsia="zh-CN" w:bidi="ar-SA"/>
        </w:rPr>
        <w:t>工作归口</w:t>
      </w:r>
      <w:r>
        <w:rPr>
          <w:rFonts w:hint="eastAsia" w:ascii="仿宋_GB2312" w:hAnsi="宋体" w:eastAsia="仿宋_GB2312" w:cs="Times New Roman"/>
          <w:color w:val="auto"/>
          <w:kern w:val="2"/>
          <w:sz w:val="32"/>
          <w:szCs w:val="32"/>
          <w:highlight w:val="none"/>
          <w:lang w:val="en-US" w:eastAsia="zh-CN" w:bidi="ar-SA"/>
        </w:rPr>
        <w:t>信息技术科</w:t>
      </w:r>
      <w:r>
        <w:rPr>
          <w:rFonts w:hint="eastAsia" w:ascii="仿宋_GB2312" w:hAnsi="宋体" w:eastAsia="仿宋_GB2312" w:cs="Times New Roman"/>
          <w:color w:val="auto"/>
          <w:kern w:val="2"/>
          <w:sz w:val="32"/>
          <w:szCs w:val="32"/>
          <w:highlight w:val="none"/>
          <w:lang w:val="zh-CN" w:eastAsia="zh-CN" w:bidi="ar-SA"/>
        </w:rPr>
        <w:t>管理，在办公室统筹协调下，由</w:t>
      </w:r>
      <w:r>
        <w:rPr>
          <w:rFonts w:hint="eastAsia" w:ascii="仿宋_GB2312" w:hAnsi="宋体" w:eastAsia="仿宋_GB2312" w:cs="Times New Roman"/>
          <w:color w:val="auto"/>
          <w:kern w:val="2"/>
          <w:sz w:val="32"/>
          <w:szCs w:val="32"/>
          <w:highlight w:val="none"/>
          <w:lang w:val="en-US" w:eastAsia="zh-CN" w:bidi="ar-SA"/>
        </w:rPr>
        <w:t>信息技术科具体组织项目实施</w:t>
      </w:r>
      <w:r>
        <w:rPr>
          <w:rFonts w:hint="eastAsia" w:ascii="仿宋_GB2312" w:hAnsi="宋体" w:eastAsia="仿宋_GB2312" w:cs="Times New Roman"/>
          <w:color w:val="auto"/>
          <w:kern w:val="2"/>
          <w:sz w:val="32"/>
          <w:szCs w:val="32"/>
          <w:highlight w:val="none"/>
          <w:lang w:val="zh-CN" w:eastAsia="zh-CN" w:bidi="ar-SA"/>
        </w:rPr>
        <w:t>，</w:t>
      </w:r>
      <w:r>
        <w:rPr>
          <w:rFonts w:hint="eastAsia" w:ascii="仿宋_GB2312" w:hAnsi="宋体" w:eastAsia="仿宋_GB2312" w:cs="Times New Roman"/>
          <w:color w:val="auto"/>
          <w:kern w:val="2"/>
          <w:sz w:val="32"/>
          <w:szCs w:val="32"/>
          <w:highlight w:val="none"/>
          <w:lang w:val="en-US" w:eastAsia="zh-CN" w:bidi="ar-SA"/>
        </w:rPr>
        <w:t>办公室</w:t>
      </w:r>
      <w:r>
        <w:rPr>
          <w:rFonts w:hint="eastAsia" w:ascii="仿宋_GB2312" w:hAnsi="宋体" w:eastAsia="仿宋_GB2312" w:cs="Times New Roman"/>
          <w:color w:val="auto"/>
          <w:kern w:val="2"/>
          <w:sz w:val="32"/>
          <w:szCs w:val="32"/>
          <w:highlight w:val="none"/>
          <w:lang w:val="zh-CN" w:eastAsia="zh-CN" w:bidi="ar-SA"/>
        </w:rPr>
        <w:t>及时进行账务处理，规范进行会计核算。</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zh-CN"/>
        </w:rPr>
      </w:pPr>
      <w:r>
        <w:rPr>
          <w:rFonts w:hint="eastAsia" w:ascii="楷体_GB2312" w:hAnsi="宋体" w:eastAsia="楷体_GB2312"/>
          <w:b w:val="0"/>
          <w:bCs w:val="0"/>
          <w:strike w:val="0"/>
          <w:dstrike w:val="0"/>
          <w:color w:val="auto"/>
          <w:sz w:val="32"/>
          <w:szCs w:val="32"/>
          <w:highlight w:val="none"/>
          <w:u w:val="none"/>
          <w:lang w:val="zh-CN"/>
        </w:rPr>
        <w:t>（二）项目管理情况。</w:t>
      </w:r>
      <w:r>
        <w:rPr>
          <w:rFonts w:hint="eastAsia" w:ascii="仿宋_GB2312" w:hAnsi="仿宋_GB2312" w:eastAsia="仿宋_GB2312" w:cs="仿宋_GB2312"/>
          <w:strike w:val="0"/>
          <w:color w:val="auto"/>
          <w:sz w:val="32"/>
          <w:szCs w:val="32"/>
          <w:highlight w:val="none"/>
          <w:u w:val="none"/>
          <w:lang w:val="en-US" w:eastAsia="zh-CN"/>
        </w:rPr>
        <w:t>2</w:t>
      </w:r>
      <w:r>
        <w:rPr>
          <w:rFonts w:hint="eastAsia" w:ascii="仿宋_GB2312" w:hAnsi="仿宋_GB2312" w:eastAsia="仿宋_GB2312" w:cs="仿宋_GB2312"/>
          <w:color w:val="auto"/>
          <w:sz w:val="32"/>
          <w:szCs w:val="32"/>
          <w:highlight w:val="none"/>
          <w:lang w:val="en-US" w:eastAsia="zh-CN"/>
        </w:rPr>
        <w:t>022年</w:t>
      </w:r>
      <w:r>
        <w:rPr>
          <w:rFonts w:hint="eastAsia" w:ascii="仿宋_GB2312" w:hAnsi="宋体" w:eastAsia="仿宋_GB2312"/>
          <w:color w:val="auto"/>
          <w:sz w:val="32"/>
          <w:szCs w:val="32"/>
          <w:highlight w:val="none"/>
          <w:lang w:val="en-US"/>
        </w:rPr>
        <w:t>公积金网络信息服务及安全运维费</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相关管理制度机制健全完善，在项目执行过程中，无管理制度有悖于实际的情况，无存在难以操作、无法落地、执行不畅的等情况。</w:t>
      </w:r>
    </w:p>
    <w:p>
      <w:pPr>
        <w:keepNext w:val="0"/>
        <w:keepLines w:val="0"/>
        <w:pageBreakBefore w:val="0"/>
        <w:widowControl/>
        <w:suppressLineNumbers w:val="0"/>
        <w:shd w:val="clear"/>
        <w:kinsoku/>
        <w:wordWrap/>
        <w:overflowPunct/>
        <w:topLinePunct w:val="0"/>
        <w:autoSpaceDE/>
        <w:autoSpaceDN/>
        <w:bidi w:val="0"/>
        <w:spacing w:line="560"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楷体_GB2312" w:hAnsi="宋体" w:eastAsia="楷体_GB2312"/>
          <w:b w:val="0"/>
          <w:bCs w:val="0"/>
          <w:strike w:val="0"/>
          <w:dstrike w:val="0"/>
          <w:color w:val="auto"/>
          <w:sz w:val="32"/>
          <w:szCs w:val="32"/>
          <w:highlight w:val="none"/>
          <w:u w:val="none"/>
          <w:lang w:val="zh-CN"/>
        </w:rPr>
        <w:t>（三）项目监管情况。</w:t>
      </w:r>
      <w:r>
        <w:rPr>
          <w:rFonts w:hint="eastAsia" w:ascii="仿宋_GB2312" w:hAnsi="仿宋_GB2312" w:eastAsia="仿宋_GB2312" w:cs="仿宋_GB2312"/>
          <w:i w:val="0"/>
          <w:caps w:val="0"/>
          <w:color w:val="auto"/>
          <w:spacing w:val="0"/>
          <w:kern w:val="0"/>
          <w:sz w:val="32"/>
          <w:szCs w:val="32"/>
          <w:highlight w:val="none"/>
          <w:shd w:val="clear" w:fill="FFFFFF"/>
          <w:lang w:val="en-US" w:eastAsia="zh-CN" w:bidi="ar"/>
        </w:rPr>
        <w:t>每月通报预算执行进度，适时进行预算绩效监控，召开专题会议，研究项目推进，督促项目加快实施，有力保障财政资金的使用效益，确保绩效目标如期保质保量实现。</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outlineLvl w:val="1"/>
        <w:rPr>
          <w:rFonts w:ascii="仿宋_GB2312" w:hAnsi="宋体" w:eastAsia="仿宋_GB2312"/>
          <w:b w:val="0"/>
          <w:bCs w:val="0"/>
          <w:color w:val="auto"/>
          <w:sz w:val="32"/>
          <w:szCs w:val="32"/>
          <w:highlight w:val="none"/>
          <w:u w:val="none"/>
          <w:lang w:val="zh-CN"/>
        </w:rPr>
      </w:pPr>
      <w:bookmarkStart w:id="158" w:name="_Toc3118"/>
      <w:bookmarkStart w:id="159" w:name="_Toc5670"/>
      <w:r>
        <w:rPr>
          <w:rFonts w:hint="eastAsia" w:ascii="黑体" w:hAnsi="宋体" w:eastAsia="黑体"/>
          <w:b w:val="0"/>
          <w:bCs w:val="0"/>
          <w:color w:val="auto"/>
          <w:sz w:val="32"/>
          <w:szCs w:val="32"/>
          <w:highlight w:val="none"/>
          <w:u w:val="none"/>
        </w:rPr>
        <w:t>四、项目绩效情况</w:t>
      </w:r>
      <w:bookmarkEnd w:id="158"/>
      <w:bookmarkEnd w:id="159"/>
      <w:r>
        <w:rPr>
          <w:rFonts w:hint="eastAsia" w:ascii="仿宋_GB2312" w:hAnsi="宋体" w:eastAsia="仿宋_GB2312"/>
          <w:b w:val="0"/>
          <w:bCs w:val="0"/>
          <w:color w:val="auto"/>
          <w:sz w:val="32"/>
          <w:szCs w:val="32"/>
          <w:highlight w:val="none"/>
          <w:u w:val="none"/>
          <w:lang w:val="zh-CN"/>
        </w:rPr>
        <w:tab/>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（一）项目完成情况。</w:t>
      </w:r>
    </w:p>
    <w:p>
      <w:pPr>
        <w:widowControl w:val="0"/>
        <w:shd w:val="clear"/>
        <w:ind w:firstLine="640" w:firstLineChars="200"/>
        <w:jc w:val="both"/>
        <w:rPr>
          <w:rFonts w:hint="eastAsia" w:ascii="仿宋_GB2312" w:hAnsi="仿宋_GB2312" w:eastAsia="仿宋_GB2312" w:cs="仿宋_GB2312"/>
          <w:i w:val="0"/>
          <w:caps w:val="0"/>
          <w:color w:val="auto"/>
          <w:spacing w:val="0"/>
          <w:kern w:val="0"/>
          <w:sz w:val="32"/>
          <w:szCs w:val="32"/>
          <w:highlight w:val="none"/>
          <w:shd w:val="clear" w:fill="FFFFFF"/>
          <w:lang w:val="en-US" w:eastAsia="zh-CN" w:bidi="ar"/>
        </w:rPr>
      </w:pPr>
      <w:r>
        <w:rPr>
          <w:rFonts w:hint="eastAsia" w:ascii="仿宋_GB2312" w:hAnsi="仿宋_GB2312" w:eastAsia="仿宋_GB2312" w:cs="仿宋_GB2312"/>
          <w:i w:val="0"/>
          <w:caps w:val="0"/>
          <w:color w:val="auto"/>
          <w:spacing w:val="0"/>
          <w:kern w:val="0"/>
          <w:sz w:val="32"/>
          <w:szCs w:val="32"/>
          <w:highlight w:val="none"/>
          <w:shd w:val="clear" w:fill="FFFFFF"/>
          <w:lang w:val="en-US" w:eastAsia="zh-CN" w:bidi="ar"/>
        </w:rPr>
        <w:t>2022年公积金网络信息服务及安全运维工作经费73.38</w:t>
      </w:r>
      <w:r>
        <w:rPr>
          <w:rFonts w:hint="eastAsia" w:ascii="仿宋_GB2312" w:hAnsi="仿宋_GB2312" w:eastAsia="仿宋_GB2312" w:cs="仿宋_GB2312"/>
          <w:i w:val="0"/>
          <w:caps w:val="0"/>
          <w:color w:val="auto"/>
          <w:spacing w:val="0"/>
          <w:kern w:val="0"/>
          <w:sz w:val="32"/>
          <w:szCs w:val="32"/>
          <w:highlight w:val="none"/>
          <w:shd w:val="clear" w:fill="FFFFFF"/>
          <w:lang w:val="en" w:eastAsia="zh-CN" w:bidi="ar"/>
        </w:rPr>
        <w:t>万元</w:t>
      </w:r>
      <w:r>
        <w:rPr>
          <w:rFonts w:hint="eastAsia" w:ascii="仿宋_GB2312" w:hAnsi="仿宋_GB2312" w:eastAsia="仿宋_GB2312" w:cs="仿宋_GB2312"/>
          <w:i w:val="0"/>
          <w:caps w:val="0"/>
          <w:color w:val="auto"/>
          <w:spacing w:val="0"/>
          <w:kern w:val="0"/>
          <w:sz w:val="32"/>
          <w:szCs w:val="32"/>
          <w:highlight w:val="none"/>
          <w:shd w:val="clear" w:fill="FFFFFF"/>
          <w:lang w:val="en-US" w:eastAsia="zh-CN" w:bidi="ar"/>
        </w:rPr>
        <w:t>，完成率100%。</w:t>
      </w:r>
    </w:p>
    <w:p>
      <w:pPr>
        <w:widowControl w:val="0"/>
        <w:shd w:val="clear"/>
        <w:ind w:firstLine="640" w:firstLineChars="200"/>
        <w:jc w:val="both"/>
        <w:rPr>
          <w:rFonts w:ascii="仿宋_GB2312" w:hAnsi="宋体" w:eastAsia="仿宋_GB2312" w:cs="Times New Roman"/>
          <w:color w:val="auto"/>
          <w:kern w:val="2"/>
          <w:sz w:val="32"/>
          <w:szCs w:val="32"/>
          <w:highlight w:val="none"/>
          <w:lang w:val="en-US" w:eastAsia="zh-CN" w:bidi="ar-SA"/>
        </w:rPr>
      </w:pPr>
      <w:r>
        <w:rPr>
          <w:rFonts w:hint="eastAsia" w:ascii="仿宋_GB2312" w:hAnsi="宋体" w:eastAsia="仿宋_GB2312" w:cs="Times New Roman"/>
          <w:color w:val="auto"/>
          <w:kern w:val="2"/>
          <w:sz w:val="32"/>
          <w:szCs w:val="32"/>
          <w:highlight w:val="none"/>
          <w:lang w:val="en-US" w:eastAsia="zh-CN" w:bidi="ar-SA"/>
        </w:rPr>
        <w:t>1.网络安全达到国家三级安全等级保护标准，上百亿的归集、信贷资金安全运行，15余万个人账户安全有效确保。</w:t>
      </w:r>
    </w:p>
    <w:p>
      <w:pPr>
        <w:widowControl w:val="0"/>
        <w:shd w:val="clear"/>
        <w:ind w:firstLine="640" w:firstLineChars="200"/>
        <w:jc w:val="both"/>
        <w:rPr>
          <w:rFonts w:ascii="仿宋_GB2312" w:hAnsi="宋体" w:eastAsia="仿宋_GB2312" w:cs="Times New Roman"/>
          <w:color w:val="auto"/>
          <w:kern w:val="2"/>
          <w:sz w:val="32"/>
          <w:szCs w:val="32"/>
          <w:highlight w:val="none"/>
          <w:lang w:val="zh-CN" w:eastAsia="zh-CN" w:bidi="ar-SA"/>
        </w:rPr>
      </w:pPr>
      <w:r>
        <w:rPr>
          <w:rFonts w:hint="eastAsia" w:ascii="仿宋_GB2312" w:hAnsi="宋体" w:eastAsia="仿宋_GB2312" w:cs="Times New Roman"/>
          <w:color w:val="auto"/>
          <w:kern w:val="2"/>
          <w:sz w:val="32"/>
          <w:szCs w:val="32"/>
          <w:highlight w:val="none"/>
          <w:lang w:val="en-US" w:eastAsia="zh-CN" w:bidi="ar-SA"/>
        </w:rPr>
        <w:t>2.</w:t>
      </w:r>
      <w:r>
        <w:rPr>
          <w:rFonts w:hint="eastAsia" w:ascii="仿宋_GB2312" w:hAnsi="宋体" w:eastAsia="仿宋_GB2312" w:cs="Times New Roman"/>
          <w:color w:val="auto"/>
          <w:kern w:val="2"/>
          <w:sz w:val="32"/>
          <w:szCs w:val="32"/>
          <w:highlight w:val="none"/>
          <w:lang w:val="zh-CN" w:eastAsia="zh-CN" w:bidi="ar-SA"/>
        </w:rPr>
        <w:t>公积金短信平台提供贷款、提取、政策发布服务≥80万次，涵盖公积金业务受理、登录验证、流程跟踪、到账提醒等全过程告知服务。</w:t>
      </w:r>
    </w:p>
    <w:p>
      <w:pPr>
        <w:widowControl w:val="0"/>
        <w:shd w:val="clear"/>
        <w:ind w:firstLine="640" w:firstLineChars="200"/>
        <w:jc w:val="both"/>
        <w:rPr>
          <w:rFonts w:hint="eastAsia" w:ascii="仿宋_GB2312" w:hAnsi="宋体" w:eastAsia="仿宋_GB2312" w:cs="Times New Roman"/>
          <w:color w:val="auto"/>
          <w:kern w:val="2"/>
          <w:sz w:val="32"/>
          <w:szCs w:val="32"/>
          <w:highlight w:val="none"/>
          <w:lang w:val="zh-CN" w:eastAsia="zh-CN" w:bidi="ar-SA"/>
        </w:rPr>
      </w:pPr>
      <w:r>
        <w:rPr>
          <w:rFonts w:hint="eastAsia" w:ascii="仿宋_GB2312" w:hAnsi="宋体" w:eastAsia="仿宋_GB2312" w:cs="Times New Roman"/>
          <w:color w:val="auto"/>
          <w:kern w:val="2"/>
          <w:sz w:val="32"/>
          <w:szCs w:val="32"/>
          <w:highlight w:val="none"/>
          <w:lang w:val="en-US" w:eastAsia="zh-CN" w:bidi="ar-SA"/>
        </w:rPr>
        <w:t>3.微信公众号关注人数11.06万人、</w:t>
      </w:r>
      <w:r>
        <w:rPr>
          <w:rFonts w:hint="eastAsia" w:ascii="仿宋_GB2312" w:hAnsi="宋体" w:eastAsia="仿宋_GB2312" w:cs="Times New Roman"/>
          <w:color w:val="auto"/>
          <w:kern w:val="2"/>
          <w:sz w:val="32"/>
          <w:szCs w:val="32"/>
          <w:highlight w:val="none"/>
          <w:lang w:val="zh-CN" w:eastAsia="zh-CN" w:bidi="ar-SA"/>
        </w:rPr>
        <w:t>公积金手机APP应用注册</w:t>
      </w:r>
      <w:r>
        <w:rPr>
          <w:rFonts w:hint="eastAsia" w:ascii="仿宋_GB2312" w:hAnsi="宋体" w:eastAsia="仿宋_GB2312" w:cs="Times New Roman"/>
          <w:color w:val="auto"/>
          <w:kern w:val="2"/>
          <w:sz w:val="32"/>
          <w:szCs w:val="32"/>
          <w:highlight w:val="none"/>
          <w:lang w:val="en-US" w:eastAsia="zh-CN" w:bidi="ar-SA"/>
        </w:rPr>
        <w:t>和</w:t>
      </w:r>
      <w:r>
        <w:rPr>
          <w:rFonts w:hint="eastAsia" w:ascii="仿宋_GB2312" w:hAnsi="宋体" w:eastAsia="仿宋_GB2312" w:cs="Times New Roman"/>
          <w:color w:val="auto"/>
          <w:kern w:val="2"/>
          <w:sz w:val="32"/>
          <w:szCs w:val="32"/>
          <w:highlight w:val="none"/>
          <w:lang w:val="zh-CN" w:eastAsia="zh-CN" w:bidi="ar-SA"/>
        </w:rPr>
        <w:t>公积金网厅注册率达9</w:t>
      </w:r>
      <w:r>
        <w:rPr>
          <w:rFonts w:hint="eastAsia" w:ascii="仿宋_GB2312" w:hAnsi="宋体" w:eastAsia="仿宋_GB2312" w:cs="Times New Roman"/>
          <w:color w:val="auto"/>
          <w:kern w:val="2"/>
          <w:sz w:val="32"/>
          <w:szCs w:val="32"/>
          <w:highlight w:val="none"/>
          <w:lang w:val="en-US" w:eastAsia="zh-CN" w:bidi="ar-SA"/>
        </w:rPr>
        <w:t>8</w:t>
      </w:r>
      <w:r>
        <w:rPr>
          <w:rFonts w:hint="eastAsia" w:ascii="仿宋_GB2312" w:hAnsi="宋体" w:eastAsia="仿宋_GB2312" w:cs="Times New Roman"/>
          <w:color w:val="auto"/>
          <w:kern w:val="2"/>
          <w:sz w:val="32"/>
          <w:szCs w:val="32"/>
          <w:highlight w:val="none"/>
          <w:lang w:val="zh-CN" w:eastAsia="zh-CN" w:bidi="ar-SA"/>
        </w:rPr>
        <w:t>%，业务办理人数</w:t>
      </w:r>
      <w:r>
        <w:rPr>
          <w:rFonts w:hint="eastAsia" w:ascii="仿宋_GB2312" w:hAnsi="宋体" w:eastAsia="仿宋_GB2312" w:cs="Times New Roman"/>
          <w:color w:val="auto"/>
          <w:kern w:val="2"/>
          <w:sz w:val="32"/>
          <w:szCs w:val="32"/>
          <w:highlight w:val="none"/>
          <w:lang w:val="en-US" w:eastAsia="zh-CN" w:bidi="ar-SA"/>
        </w:rPr>
        <w:t>9</w:t>
      </w:r>
      <w:r>
        <w:rPr>
          <w:rFonts w:hint="eastAsia" w:ascii="仿宋_GB2312" w:hAnsi="宋体" w:eastAsia="仿宋_GB2312" w:cs="Times New Roman"/>
          <w:color w:val="auto"/>
          <w:kern w:val="2"/>
          <w:sz w:val="32"/>
          <w:szCs w:val="32"/>
          <w:highlight w:val="none"/>
          <w:lang w:val="zh-CN" w:eastAsia="zh-CN" w:bidi="ar-SA"/>
        </w:rPr>
        <w:t>.</w:t>
      </w:r>
      <w:r>
        <w:rPr>
          <w:rFonts w:hint="eastAsia" w:ascii="仿宋_GB2312" w:hAnsi="宋体" w:eastAsia="仿宋_GB2312" w:cs="Times New Roman"/>
          <w:color w:val="auto"/>
          <w:kern w:val="2"/>
          <w:sz w:val="32"/>
          <w:szCs w:val="32"/>
          <w:highlight w:val="none"/>
          <w:lang w:val="en-US" w:eastAsia="zh-CN" w:bidi="ar-SA"/>
        </w:rPr>
        <w:t>3</w:t>
      </w:r>
      <w:r>
        <w:rPr>
          <w:rFonts w:hint="eastAsia" w:ascii="仿宋_GB2312" w:hAnsi="宋体" w:eastAsia="仿宋_GB2312" w:cs="Times New Roman"/>
          <w:color w:val="auto"/>
          <w:kern w:val="2"/>
          <w:sz w:val="32"/>
          <w:szCs w:val="32"/>
          <w:highlight w:val="none"/>
          <w:lang w:val="zh-CN" w:eastAsia="zh-CN" w:bidi="ar-SA"/>
        </w:rPr>
        <w:t>万人次。</w:t>
      </w:r>
    </w:p>
    <w:p>
      <w:pPr>
        <w:shd w:val="clear"/>
        <w:ind w:firstLine="640" w:firstLineChars="200"/>
        <w:rPr>
          <w:rFonts w:hint="eastAsia" w:ascii="仿宋_GB2312" w:hAnsi="宋体" w:eastAsia="仿宋_GB2312"/>
          <w:color w:val="auto"/>
          <w:sz w:val="32"/>
          <w:szCs w:val="32"/>
          <w:highlight w:val="none"/>
          <w:lang w:val="en-US" w:eastAsia="zh-CN"/>
        </w:rPr>
      </w:pPr>
      <w:r>
        <w:rPr>
          <w:rFonts w:hint="eastAsia" w:ascii="仿宋_GB2312" w:hAnsi="宋体" w:eastAsia="仿宋_GB2312"/>
          <w:color w:val="auto"/>
          <w:sz w:val="32"/>
          <w:szCs w:val="32"/>
          <w:highlight w:val="none"/>
          <w:lang w:val="en-US" w:eastAsia="zh-CN"/>
        </w:rPr>
        <w:t>4.安全设备病毒库及维保服务为整个公积金业务系统提供重要支撑，保障了公民数据信息、公积金资金的绝对安全。</w:t>
      </w:r>
    </w:p>
    <w:p>
      <w:pPr>
        <w:widowControl w:val="0"/>
        <w:shd w:val="clear"/>
        <w:ind w:firstLine="640" w:firstLineChars="200"/>
        <w:jc w:val="both"/>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宋体" w:eastAsia="仿宋_GB2312" w:cs="Times New Roman"/>
          <w:color w:val="auto"/>
          <w:kern w:val="2"/>
          <w:sz w:val="32"/>
          <w:szCs w:val="32"/>
          <w:highlight w:val="none"/>
          <w:lang w:val="en-US" w:eastAsia="zh-CN" w:bidi="ar-SA"/>
        </w:rPr>
        <w:t>5.公积金综合业务专网运行稳定、数据传输稳定。</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（二）项目效益情况。</w:t>
      </w:r>
    </w:p>
    <w:p>
      <w:pPr>
        <w:shd w:val="clear"/>
        <w:adjustRightInd w:val="0"/>
        <w:snapToGrid w:val="0"/>
        <w:spacing w:line="576" w:lineRule="exact"/>
        <w:ind w:firstLine="720"/>
        <w:rPr>
          <w:rFonts w:ascii="仿宋_GB2312" w:eastAsia="仿宋_GB2312"/>
          <w:color w:val="auto"/>
          <w:kern w:val="0"/>
          <w:sz w:val="32"/>
          <w:szCs w:val="32"/>
          <w:highlight w:val="none"/>
        </w:rPr>
      </w:pPr>
      <w:r>
        <w:rPr>
          <w:rFonts w:hint="eastAsia" w:ascii="仿宋_GB2312" w:eastAsia="仿宋_GB2312"/>
          <w:color w:val="auto"/>
          <w:kern w:val="0"/>
          <w:sz w:val="32"/>
          <w:szCs w:val="32"/>
          <w:highlight w:val="none"/>
        </w:rPr>
        <w:t>1</w:t>
      </w:r>
      <w:r>
        <w:rPr>
          <w:rFonts w:hint="eastAsia" w:ascii="仿宋_GB2312" w:eastAsia="仿宋_GB2312"/>
          <w:color w:val="auto"/>
          <w:kern w:val="0"/>
          <w:sz w:val="32"/>
          <w:szCs w:val="32"/>
          <w:highlight w:val="none"/>
          <w:lang w:val="en-US" w:eastAsia="zh-CN"/>
        </w:rPr>
        <w:t>.</w:t>
      </w:r>
      <w:r>
        <w:rPr>
          <w:rFonts w:hint="eastAsia" w:ascii="仿宋_GB2312" w:eastAsia="仿宋_GB2312"/>
          <w:color w:val="auto"/>
          <w:kern w:val="0"/>
          <w:sz w:val="32"/>
          <w:szCs w:val="32"/>
          <w:highlight w:val="none"/>
        </w:rPr>
        <w:t>有序推进川渝合作，加快信息共享机制建设，开展互认互贷，协同联动治理违规提取使用公积金，</w:t>
      </w:r>
    </w:p>
    <w:p>
      <w:pPr>
        <w:shd w:val="clear"/>
        <w:adjustRightInd w:val="0"/>
        <w:snapToGrid w:val="0"/>
        <w:spacing w:line="576" w:lineRule="exact"/>
        <w:ind w:firstLine="720"/>
        <w:rPr>
          <w:rFonts w:ascii="仿宋_GB2312" w:eastAsia="仿宋_GB2312"/>
          <w:color w:val="auto"/>
          <w:kern w:val="0"/>
          <w:sz w:val="32"/>
          <w:szCs w:val="32"/>
          <w:highlight w:val="none"/>
        </w:rPr>
      </w:pPr>
      <w:r>
        <w:rPr>
          <w:rFonts w:hint="eastAsia" w:ascii="仿宋_GB2312" w:eastAsia="仿宋_GB2312"/>
          <w:color w:val="auto"/>
          <w:kern w:val="0"/>
          <w:sz w:val="32"/>
          <w:szCs w:val="32"/>
          <w:highlight w:val="none"/>
        </w:rPr>
        <w:t>2</w:t>
      </w:r>
      <w:r>
        <w:rPr>
          <w:rFonts w:hint="eastAsia" w:ascii="仿宋_GB2312" w:eastAsia="仿宋_GB2312"/>
          <w:color w:val="auto"/>
          <w:kern w:val="0"/>
          <w:sz w:val="32"/>
          <w:szCs w:val="32"/>
          <w:highlight w:val="none"/>
          <w:lang w:val="en-US" w:eastAsia="zh-CN"/>
        </w:rPr>
        <w:t>.</w:t>
      </w:r>
      <w:r>
        <w:rPr>
          <w:rFonts w:hint="eastAsia" w:ascii="仿宋_GB2312" w:eastAsia="仿宋_GB2312"/>
          <w:color w:val="auto"/>
          <w:kern w:val="0"/>
          <w:sz w:val="32"/>
          <w:szCs w:val="32"/>
          <w:highlight w:val="none"/>
        </w:rPr>
        <w:t>“一网通办”“跨省通办”“川渝通办”广元公积金“最多跑一次”服务事项达100%，全程网办服务事项约</w:t>
      </w:r>
      <w:r>
        <w:rPr>
          <w:rFonts w:hint="eastAsia" w:ascii="仿宋_GB2312" w:eastAsia="仿宋_GB2312"/>
          <w:color w:val="auto"/>
          <w:kern w:val="0"/>
          <w:sz w:val="32"/>
          <w:szCs w:val="32"/>
          <w:highlight w:val="none"/>
          <w:lang w:val="en-US" w:eastAsia="zh-CN"/>
        </w:rPr>
        <w:t>9</w:t>
      </w:r>
      <w:r>
        <w:rPr>
          <w:rFonts w:hint="eastAsia" w:ascii="仿宋_GB2312" w:eastAsia="仿宋_GB2312"/>
          <w:color w:val="auto"/>
          <w:kern w:val="0"/>
          <w:sz w:val="32"/>
          <w:szCs w:val="32"/>
          <w:highlight w:val="none"/>
        </w:rPr>
        <w:t>0%。</w:t>
      </w:r>
    </w:p>
    <w:p>
      <w:pPr>
        <w:shd w:val="clear"/>
        <w:adjustRightInd w:val="0"/>
        <w:snapToGrid w:val="0"/>
        <w:spacing w:line="576" w:lineRule="exact"/>
        <w:ind w:firstLine="720"/>
        <w:rPr>
          <w:rFonts w:ascii="仿宋_GB2312" w:eastAsia="仿宋_GB2312"/>
          <w:color w:val="auto"/>
          <w:kern w:val="0"/>
          <w:sz w:val="32"/>
          <w:szCs w:val="32"/>
          <w:highlight w:val="none"/>
        </w:rPr>
      </w:pPr>
      <w:r>
        <w:rPr>
          <w:rFonts w:hint="eastAsia" w:ascii="仿宋_GB2312" w:eastAsia="仿宋_GB2312"/>
          <w:color w:val="auto"/>
          <w:kern w:val="0"/>
          <w:sz w:val="32"/>
          <w:szCs w:val="32"/>
          <w:highlight w:val="none"/>
        </w:rPr>
        <w:t>3</w:t>
      </w:r>
      <w:r>
        <w:rPr>
          <w:rFonts w:hint="eastAsia" w:ascii="仿宋_GB2312" w:eastAsia="仿宋_GB2312"/>
          <w:color w:val="auto"/>
          <w:kern w:val="0"/>
          <w:sz w:val="32"/>
          <w:szCs w:val="32"/>
          <w:highlight w:val="none"/>
          <w:lang w:val="en-US" w:eastAsia="zh-CN"/>
        </w:rPr>
        <w:t>.</w:t>
      </w:r>
      <w:r>
        <w:rPr>
          <w:rFonts w:hint="eastAsia" w:ascii="仿宋_GB2312" w:eastAsia="仿宋_GB2312"/>
          <w:color w:val="auto"/>
          <w:kern w:val="0"/>
          <w:sz w:val="32"/>
          <w:szCs w:val="32"/>
          <w:highlight w:val="none"/>
        </w:rPr>
        <w:t>保障全市公积金系统业务平台安全稳定运行。</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outlineLvl w:val="1"/>
        <w:rPr>
          <w:rFonts w:ascii="黑体" w:hAnsi="宋体" w:eastAsia="黑体"/>
          <w:b w:val="0"/>
          <w:bCs w:val="0"/>
          <w:color w:val="auto"/>
          <w:sz w:val="32"/>
          <w:szCs w:val="32"/>
          <w:highlight w:val="none"/>
          <w:u w:val="none"/>
        </w:rPr>
      </w:pPr>
      <w:bookmarkStart w:id="160" w:name="_Toc5150"/>
      <w:bookmarkStart w:id="161" w:name="_Toc1468"/>
      <w:r>
        <w:rPr>
          <w:rFonts w:hint="eastAsia" w:ascii="黑体" w:hAnsi="宋体" w:eastAsia="黑体"/>
          <w:b w:val="0"/>
          <w:bCs w:val="0"/>
          <w:color w:val="auto"/>
          <w:sz w:val="32"/>
          <w:szCs w:val="32"/>
          <w:highlight w:val="none"/>
          <w:u w:val="none"/>
        </w:rPr>
        <w:t>五、评价结论及建议</w:t>
      </w:r>
      <w:bookmarkEnd w:id="160"/>
      <w:bookmarkEnd w:id="161"/>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（一）评价结论。</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u w:val="none"/>
          <w:shd w:val="clear" w:color="auto" w:fill="FFFFFF"/>
          <w:lang w:val="zh-CN"/>
        </w:rPr>
        <w:t>2022年项目开展以来，顺利通过安全等保测评，障住房公积金核心系统的稳定运行，为广大缴存职工提供便捷的业务办理渠道，确保上百亿的归集、信贷资金办理系统安全运行，15余万个人账户安全有效，根据预算项目支出绩效评价指标体系指标最终自评得分9</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3.5</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分。</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 xml:space="preserve">    </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（二）存在的问题。</w:t>
      </w:r>
    </w:p>
    <w:p>
      <w:pPr>
        <w:pBdr>
          <w:bottom w:val="single" w:color="FFFFFF" w:sz="4" w:space="29"/>
        </w:pBdr>
        <w:shd w:val="clear"/>
        <w:tabs>
          <w:tab w:val="left" w:pos="1440"/>
        </w:tabs>
        <w:spacing w:line="576" w:lineRule="exact"/>
        <w:ind w:firstLine="627" w:firstLineChars="196"/>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按照国家相关规定和要求公积金业务系统和支撑公积金业务系统的硬件实现国产化，需解决相关经费，力争在</w:t>
      </w:r>
      <w:r>
        <w:rPr>
          <w:rFonts w:hint="eastAsia" w:ascii="仿宋_GB2312" w:hAnsi="仿宋_GB2312" w:eastAsia="仿宋_GB2312" w:cs="仿宋_GB2312"/>
          <w:color w:val="auto"/>
          <w:sz w:val="32"/>
          <w:szCs w:val="32"/>
          <w:highlight w:val="none"/>
          <w:lang w:val="en-US" w:eastAsia="zh-CN"/>
        </w:rPr>
        <w:t>2024年完成国产化所有的</w:t>
      </w:r>
      <w:r>
        <w:rPr>
          <w:rFonts w:hint="eastAsia" w:ascii="仿宋_GB2312" w:hAnsi="仿宋_GB2312" w:eastAsia="仿宋_GB2312" w:cs="仿宋_GB2312"/>
          <w:color w:val="auto"/>
          <w:sz w:val="32"/>
          <w:szCs w:val="32"/>
          <w:highlight w:val="none"/>
        </w:rPr>
        <w:t>软件</w:t>
      </w:r>
      <w:r>
        <w:rPr>
          <w:rFonts w:hint="eastAsia" w:ascii="仿宋_GB2312" w:hAnsi="仿宋_GB2312" w:eastAsia="仿宋_GB2312" w:cs="仿宋_GB2312"/>
          <w:color w:val="auto"/>
          <w:sz w:val="32"/>
          <w:szCs w:val="32"/>
          <w:highlight w:val="none"/>
          <w:lang w:eastAsia="zh-CN"/>
        </w:rPr>
        <w:t>和硬件的适配</w:t>
      </w:r>
      <w:r>
        <w:rPr>
          <w:rFonts w:hint="eastAsia" w:ascii="仿宋_GB2312" w:hAnsi="仿宋_GB2312" w:eastAsia="仿宋_GB2312" w:cs="仿宋_GB2312"/>
          <w:color w:val="auto"/>
          <w:sz w:val="32"/>
          <w:szCs w:val="32"/>
          <w:highlight w:val="none"/>
        </w:rPr>
        <w:t>。</w:t>
      </w:r>
    </w:p>
    <w:p>
      <w:pPr>
        <w:keepNext w:val="0"/>
        <w:keepLines w:val="0"/>
        <w:pageBreakBefore w:val="0"/>
        <w:numPr>
          <w:ilvl w:val="0"/>
          <w:numId w:val="8"/>
        </w:numPr>
        <w:pBdr>
          <w:bottom w:val="single" w:color="FFFFFF" w:sz="4" w:space="29"/>
        </w:pBdr>
        <w:shd w:val="clear"/>
        <w:tabs>
          <w:tab w:val="left" w:pos="1440"/>
        </w:tabs>
        <w:kinsoku/>
        <w:wordWrap/>
        <w:overflowPunct/>
        <w:topLinePunct w:val="0"/>
        <w:autoSpaceDE/>
        <w:autoSpaceDN/>
        <w:bidi w:val="0"/>
        <w:spacing w:line="560" w:lineRule="exact"/>
        <w:ind w:left="0" w:leftChars="0" w:firstLine="640" w:firstLineChars="200"/>
        <w:textAlignment w:val="auto"/>
        <w:rPr>
          <w:rFonts w:hint="eastAsia"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相关建议。</w:t>
      </w:r>
    </w:p>
    <w:p>
      <w:pPr>
        <w:keepNext w:val="0"/>
        <w:keepLines w:val="0"/>
        <w:pageBreakBefore w:val="0"/>
        <w:numPr>
          <w:ilvl w:val="0"/>
          <w:numId w:val="0"/>
        </w:numPr>
        <w:pBdr>
          <w:bottom w:val="single" w:color="FFFFFF" w:sz="4" w:space="29"/>
        </w:pBdr>
        <w:shd w:val="clear"/>
        <w:tabs>
          <w:tab w:val="left" w:pos="1440"/>
        </w:tabs>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 w:val="0"/>
          <w:color w:val="auto"/>
          <w:kern w:val="2"/>
          <w:sz w:val="32"/>
          <w:szCs w:val="32"/>
          <w:highlight w:val="none"/>
          <w:lang w:val="en-US" w:eastAsia="zh-CN" w:bidi="ar-SA"/>
        </w:rPr>
        <w:sectPr>
          <w:footerReference r:id="rId55" w:type="first"/>
          <w:footerReference r:id="rId54" w:type="default"/>
          <w:pgSz w:w="11906" w:h="16838"/>
          <w:pgMar w:top="2098" w:right="1474" w:bottom="1984" w:left="1587" w:header="851" w:footer="992" w:gutter="0"/>
          <w:pgNumType w:fmt="decimal"/>
          <w:cols w:space="425" w:num="1"/>
          <w:docGrid w:type="lines" w:linePitch="312" w:charSpace="0"/>
        </w:sectPr>
      </w:pPr>
      <w:r>
        <w:rPr>
          <w:rFonts w:hint="eastAsia" w:ascii="仿宋_GB2312" w:hAnsi="仿宋_GB2312" w:eastAsia="仿宋_GB2312" w:cs="仿宋_GB2312"/>
          <w:b w:val="0"/>
          <w:color w:val="auto"/>
          <w:kern w:val="2"/>
          <w:sz w:val="32"/>
          <w:szCs w:val="32"/>
          <w:highlight w:val="none"/>
          <w:lang w:val="en-US" w:eastAsia="zh-CN" w:bidi="ar-SA"/>
        </w:rPr>
        <w:t>正版软件使用建议全市统一。</w:t>
      </w:r>
    </w:p>
    <w:p>
      <w:pPr>
        <w:pStyle w:val="13"/>
        <w:shd w:val="clear"/>
        <w:ind w:left="0" w:leftChars="0" w:firstLine="0" w:firstLineChars="0"/>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附表7：</w:t>
      </w:r>
    </w:p>
    <w:tbl>
      <w:tblPr>
        <w:tblStyle w:val="17"/>
        <w:tblW w:w="13039"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83"/>
        <w:gridCol w:w="1320"/>
        <w:gridCol w:w="1145"/>
        <w:gridCol w:w="1310"/>
        <w:gridCol w:w="1987"/>
        <w:gridCol w:w="1003"/>
        <w:gridCol w:w="672"/>
        <w:gridCol w:w="752"/>
        <w:gridCol w:w="885"/>
        <w:gridCol w:w="26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13039" w:type="dxa"/>
            <w:gridSpan w:val="10"/>
            <w:tcBorders>
              <w:top w:val="nil"/>
              <w:left w:val="nil"/>
              <w:bottom w:val="nil"/>
              <w:right w:val="nil"/>
            </w:tcBorders>
            <w:shd w:val="clear" w:color="auto" w:fill="auto"/>
            <w:vAlign w:val="center"/>
          </w:tcPr>
          <w:p>
            <w:pPr>
              <w:keepNext w:val="0"/>
              <w:keepLines w:val="0"/>
              <w:widowControl/>
              <w:suppressLineNumbers w:val="0"/>
              <w:shd w:val="clear"/>
              <w:jc w:val="center"/>
              <w:textAlignment w:val="center"/>
              <w:rPr>
                <w:rFonts w:ascii="方正小标宋简体" w:hAnsi="方正小标宋简体" w:eastAsia="方正小标宋简体" w:cs="方正小标宋简体"/>
                <w:i w:val="0"/>
                <w:color w:val="auto"/>
                <w:sz w:val="44"/>
                <w:szCs w:val="44"/>
                <w:highlight w:val="none"/>
                <w:u w:val="none"/>
              </w:rPr>
            </w:pPr>
            <w:r>
              <w:rPr>
                <w:rFonts w:hint="eastAsia" w:ascii="方正小标宋简体" w:hAnsi="方正小标宋简体" w:eastAsia="方正小标宋简体" w:cs="方正小标宋简体"/>
                <w:i w:val="0"/>
                <w:color w:val="auto"/>
                <w:kern w:val="0"/>
                <w:sz w:val="44"/>
                <w:szCs w:val="44"/>
                <w:highlight w:val="none"/>
                <w:u w:val="none"/>
                <w:lang w:val="en-US" w:eastAsia="zh-CN" w:bidi="ar"/>
              </w:rPr>
              <w:t>部门预算、专项资金预算项目支出绩效目标自评表（2022年度）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6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项目名称</w:t>
            </w:r>
          </w:p>
        </w:tc>
        <w:tc>
          <w:tcPr>
            <w:tcW w:w="1043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公积金网络信息服务及安全运维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2" w:hRule="atLeast"/>
        </w:trPr>
        <w:tc>
          <w:tcPr>
            <w:tcW w:w="26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主管部门（盖章）</w:t>
            </w:r>
          </w:p>
        </w:tc>
        <w:tc>
          <w:tcPr>
            <w:tcW w:w="444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广元市住房公积金管理中心</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实施单位 （盖章）</w:t>
            </w:r>
          </w:p>
        </w:tc>
        <w:tc>
          <w:tcPr>
            <w:tcW w:w="499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广元市住房公积金管理中心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2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项目基本情况</w:t>
            </w:r>
          </w:p>
        </w:tc>
        <w:tc>
          <w:tcPr>
            <w:tcW w:w="13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1.项目年度目标完成情况</w:t>
            </w:r>
          </w:p>
        </w:tc>
        <w:tc>
          <w:tcPr>
            <w:tcW w:w="444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项目年度目标</w:t>
            </w:r>
          </w:p>
        </w:tc>
        <w:tc>
          <w:tcPr>
            <w:tcW w:w="599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2" w:hRule="atLeast"/>
        </w:trPr>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b/>
                <w:i w:val="0"/>
                <w:color w:val="auto"/>
                <w:sz w:val="18"/>
                <w:szCs w:val="18"/>
                <w:highlight w:val="none"/>
                <w:u w:val="none"/>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b/>
                <w:i w:val="0"/>
                <w:color w:val="auto"/>
                <w:sz w:val="18"/>
                <w:szCs w:val="18"/>
                <w:highlight w:val="none"/>
                <w:u w:val="none"/>
              </w:rPr>
            </w:pPr>
          </w:p>
        </w:tc>
        <w:tc>
          <w:tcPr>
            <w:tcW w:w="444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为公积金各专项业务目标完成服务，确保公积金综合信息系统正常运行；根据GB 17859-1999《计算机信息系统安全保护等级划分准则》网络安全达到国家三级安全等级保护标准；确保上百亿的归集、信贷资金办理系统安全运行，15余万个人账户安全有效。</w:t>
            </w:r>
          </w:p>
        </w:tc>
        <w:tc>
          <w:tcPr>
            <w:tcW w:w="599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2022年公积金网络信息服务及安全运维绩效目标任务完成情况良好，公积金综合信息系统正常运行。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b/>
                <w:i w:val="0"/>
                <w:color w:val="auto"/>
                <w:sz w:val="18"/>
                <w:szCs w:val="18"/>
                <w:highlight w:val="none"/>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2.项目实施内容及过程概述</w:t>
            </w:r>
          </w:p>
        </w:tc>
        <w:tc>
          <w:tcPr>
            <w:tcW w:w="1043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2022年项目开展以来，顺利通过安全等保测评，障住房公积金核心系统的稳定运行，保障公积金数据无风险、资金无风险。定时向辖区内15万公积金缴存职工及3万贷款职工发送电子对账单，响应无纸化的办公方式，为广大缴存职工提供便捷的业务办理渠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12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预算执行情况（10分）</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年度预算数（万元）</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年初预算</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调整后预算数</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预算执行数</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预算执行率</w:t>
            </w:r>
          </w:p>
        </w:tc>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权重%</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部门自评得分</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财政部门科室复评得分</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总额</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73.38万元</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73.38万元</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100.00%</w:t>
            </w:r>
          </w:p>
        </w:tc>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其中：财政资金</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73.38万元</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73.38万元</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财政专户管理资金</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tbl>
    <w:p>
      <w:pPr>
        <w:shd w:val="clear"/>
        <w:jc w:val="center"/>
        <w:rPr>
          <w:rFonts w:hint="eastAsia" w:ascii="宋体" w:hAnsi="宋体" w:eastAsia="宋体" w:cs="宋体"/>
          <w:b/>
          <w:i w:val="0"/>
          <w:color w:val="auto"/>
          <w:sz w:val="18"/>
          <w:szCs w:val="18"/>
          <w:highlight w:val="none"/>
          <w:u w:val="none"/>
        </w:rPr>
        <w:sectPr>
          <w:footerReference r:id="rId57" w:type="first"/>
          <w:footerReference r:id="rId56" w:type="default"/>
          <w:pgSz w:w="16838" w:h="11906" w:orient="landscape"/>
          <w:pgMar w:top="1587" w:right="2098" w:bottom="1474" w:left="1984" w:header="851" w:footer="992" w:gutter="0"/>
          <w:pgNumType w:fmt="decimal"/>
          <w:cols w:space="425" w:num="1"/>
          <w:titlePg/>
          <w:docGrid w:type="lines" w:linePitch="312" w:charSpace="0"/>
        </w:sectPr>
      </w:pPr>
    </w:p>
    <w:tbl>
      <w:tblPr>
        <w:tblStyle w:val="17"/>
        <w:tblW w:w="13039"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83"/>
        <w:gridCol w:w="1320"/>
        <w:gridCol w:w="1145"/>
        <w:gridCol w:w="1310"/>
        <w:gridCol w:w="478"/>
        <w:gridCol w:w="1031"/>
        <w:gridCol w:w="478"/>
        <w:gridCol w:w="1003"/>
        <w:gridCol w:w="672"/>
        <w:gridCol w:w="752"/>
        <w:gridCol w:w="885"/>
        <w:gridCol w:w="26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80" w:hRule="atLeast"/>
        </w:trPr>
        <w:tc>
          <w:tcPr>
            <w:tcW w:w="1283" w:type="dxa"/>
            <w:vMerge w:val="restart"/>
            <w:tcBorders>
              <w:top w:val="single" w:color="000000" w:sz="4" w:space="0"/>
              <w:left w:val="single" w:color="000000" w:sz="4" w:space="0"/>
              <w:right w:val="single" w:color="000000" w:sz="4" w:space="0"/>
            </w:tcBorders>
            <w:shd w:val="clear" w:color="auto" w:fill="auto"/>
            <w:vAlign w:val="center"/>
          </w:tcPr>
          <w:p>
            <w:pPr>
              <w:pStyle w:val="2"/>
              <w:shd w:val="clear"/>
              <w:rPr>
                <w:rFonts w:hint="eastAsia"/>
                <w:color w:val="auto"/>
                <w:highlight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单位资金</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9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82" w:type="dxa"/>
            <w:vMerge w:val="restart"/>
            <w:tcBorders>
              <w:top w:val="single" w:color="000000" w:sz="4" w:space="0"/>
              <w:left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其他资金</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6"/>
                <w:szCs w:val="16"/>
                <w:highlight w:val="none"/>
                <w:u w:val="none"/>
              </w:rPr>
            </w:pP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6"/>
                <w:szCs w:val="16"/>
                <w:highlight w:val="none"/>
                <w:u w:val="none"/>
              </w:rPr>
            </w:pPr>
          </w:p>
        </w:tc>
        <w:tc>
          <w:tcPr>
            <w:tcW w:w="19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6"/>
                <w:szCs w:val="16"/>
                <w:highlight w:val="none"/>
                <w:u w:val="none"/>
              </w:rPr>
            </w:pP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绩效指标（90分）</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一级指标</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二级指标</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三级指标</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指标性质</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指标值</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度量单位</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完成值</w:t>
            </w:r>
          </w:p>
        </w:tc>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权重</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部门自评得分</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财政部门科室复评得分</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产出指标</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成本指标</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专项线路、视频会议及短信平台费，等保测评、安全运维及业务软件培训等</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73.38</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73.38</w:t>
            </w:r>
          </w:p>
        </w:tc>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效益指标</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经济效益指标</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视频会议、节约会议经费。网厅办理，降低缴存单位和缴存个人业务办理成本。</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定性</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好坏</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好</w:t>
            </w:r>
          </w:p>
        </w:tc>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产出指标</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质量指标</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安全等保测评</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定性</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高中低</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中</w:t>
            </w:r>
          </w:p>
        </w:tc>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效益指标</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可持续影响指标</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项目作用期限</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效益指标</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社会效益指标</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打造诚信服务，提升政府形象，得到群众一致好评。</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万人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15.5</w:t>
            </w:r>
          </w:p>
        </w:tc>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产出指标</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数量指标</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2022年发送业务信息</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130</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万条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135</w:t>
            </w:r>
          </w:p>
        </w:tc>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满意度指标</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服务对象满意度指标</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缴存单位满意度</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95</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99</w:t>
            </w:r>
          </w:p>
        </w:tc>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产出指标</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数量指标</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2022年专线</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14</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14</w:t>
            </w:r>
          </w:p>
        </w:tc>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产出指标</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时效指标</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项目完成时间</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2022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完成</w:t>
            </w:r>
          </w:p>
        </w:tc>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效益指标</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生态效益指标</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提供线上办理渠道，减少群众多跑路问题，从而达到节能减排，有效提高工作效率。</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定性</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高中低</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高</w:t>
            </w:r>
          </w:p>
        </w:tc>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04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合计</w:t>
            </w:r>
          </w:p>
        </w:tc>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93</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tbl>
    <w:p>
      <w:pPr>
        <w:shd w:val="clear"/>
        <w:rPr>
          <w:rFonts w:hint="eastAsia"/>
          <w:color w:val="auto"/>
          <w:highlight w:val="none"/>
          <w:lang w:val="en-US" w:eastAsia="zh-CN"/>
        </w:rPr>
        <w:sectPr>
          <w:footerReference r:id="rId59" w:type="first"/>
          <w:footerReference r:id="rId58" w:type="default"/>
          <w:pgSz w:w="16838" w:h="11906" w:orient="landscape"/>
          <w:pgMar w:top="1587" w:right="2098" w:bottom="1474" w:left="1984" w:header="851" w:footer="992" w:gutter="0"/>
          <w:pgNumType w:fmt="decimal"/>
          <w:cols w:space="425" w:num="1"/>
          <w:docGrid w:type="lines" w:linePitch="312" w:charSpace="0"/>
        </w:sectPr>
      </w:pPr>
    </w:p>
    <w:p>
      <w:pPr>
        <w:pStyle w:val="13"/>
        <w:shd w:val="clear"/>
        <w:ind w:left="0" w:leftChars="0" w:firstLine="0" w:firstLineChars="0"/>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附件8：</w:t>
      </w:r>
    </w:p>
    <w:p>
      <w:pPr>
        <w:shd w:val="clear"/>
        <w:rPr>
          <w:rFonts w:hint="eastAsia"/>
          <w:color w:val="auto"/>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0" w:lineRule="atLeast"/>
        <w:jc w:val="center"/>
        <w:textAlignment w:val="auto"/>
        <w:rPr>
          <w:rFonts w:hint="eastAsia" w:ascii="方正小标宋简体" w:hAnsi="方正小标宋简体" w:eastAsia="方正小标宋简体" w:cs="方正小标宋简体"/>
          <w:b w:val="0"/>
          <w:bCs w:val="0"/>
          <w:color w:val="auto"/>
          <w:kern w:val="2"/>
          <w:sz w:val="44"/>
          <w:szCs w:val="44"/>
          <w:highlight w:val="none"/>
          <w:lang w:val="en-US" w:eastAsia="zh-CN" w:bidi="ar-SA"/>
        </w:rPr>
      </w:pPr>
      <w:r>
        <w:rPr>
          <w:rFonts w:hint="eastAsia" w:ascii="方正小标宋简体" w:hAnsi="方正小标宋简体" w:eastAsia="方正小标宋简体" w:cs="方正小标宋简体"/>
          <w:b w:val="0"/>
          <w:bCs w:val="0"/>
          <w:color w:val="auto"/>
          <w:kern w:val="2"/>
          <w:sz w:val="44"/>
          <w:szCs w:val="44"/>
          <w:highlight w:val="none"/>
          <w:lang w:val="en-US" w:eastAsia="zh-CN" w:bidi="ar-SA"/>
        </w:rPr>
        <w:t>2023年市级专项预算项目支出绩效自评报告</w:t>
      </w:r>
    </w:p>
    <w:p>
      <w:pPr>
        <w:keepNext w:val="0"/>
        <w:keepLines w:val="0"/>
        <w:pageBreakBefore w:val="0"/>
        <w:widowControl w:val="0"/>
        <w:shd w:val="clear"/>
        <w:kinsoku/>
        <w:wordWrap/>
        <w:overflowPunct/>
        <w:topLinePunct w:val="0"/>
        <w:autoSpaceDE/>
        <w:autoSpaceDN/>
        <w:bidi w:val="0"/>
        <w:adjustRightInd/>
        <w:snapToGrid/>
        <w:spacing w:line="0" w:lineRule="atLeast"/>
        <w:jc w:val="center"/>
        <w:textAlignment w:val="auto"/>
        <w:rPr>
          <w:rFonts w:hint="eastAsia" w:ascii="楷体_GB2312" w:hAnsi="楷体_GB2312" w:eastAsia="楷体_GB2312" w:cs="楷体_GB2312"/>
          <w:b w:val="0"/>
          <w:bCs w:val="0"/>
          <w:color w:val="auto"/>
          <w:kern w:val="2"/>
          <w:sz w:val="32"/>
          <w:szCs w:val="32"/>
          <w:highlight w:val="none"/>
          <w:lang w:val="zh-CN" w:eastAsia="zh-CN" w:bidi="ar-SA"/>
        </w:rPr>
      </w:pPr>
      <w:r>
        <w:rPr>
          <w:rFonts w:hint="eastAsia" w:ascii="楷体_GB2312" w:hAnsi="楷体_GB2312" w:eastAsia="楷体_GB2312" w:cs="楷体_GB2312"/>
          <w:b w:val="0"/>
          <w:bCs w:val="0"/>
          <w:color w:val="auto"/>
          <w:kern w:val="2"/>
          <w:sz w:val="32"/>
          <w:szCs w:val="32"/>
          <w:highlight w:val="none"/>
          <w:lang w:val="zh-CN" w:eastAsia="zh-CN" w:bidi="ar-SA"/>
        </w:rPr>
        <w:t>（乡村振兴工作）</w:t>
      </w:r>
    </w:p>
    <w:p>
      <w:pPr>
        <w:keepNext w:val="0"/>
        <w:keepLines w:val="0"/>
        <w:pageBreakBefore w:val="0"/>
        <w:widowControl w:val="0"/>
        <w:shd w:val="clear"/>
        <w:kinsoku/>
        <w:wordWrap/>
        <w:overflowPunct/>
        <w:topLinePunct w:val="0"/>
        <w:autoSpaceDE/>
        <w:autoSpaceDN/>
        <w:bidi w:val="0"/>
        <w:spacing w:line="560" w:lineRule="exact"/>
        <w:jc w:val="center"/>
        <w:textAlignment w:val="auto"/>
        <w:rPr>
          <w:rFonts w:hint="eastAsia" w:ascii="宋体" w:hAnsi="宋体" w:eastAsia="宋体" w:cs="Times New Roman"/>
          <w:b w:val="0"/>
          <w:bCs w:val="0"/>
          <w:color w:val="auto"/>
          <w:kern w:val="2"/>
          <w:sz w:val="18"/>
          <w:szCs w:val="18"/>
          <w:highlight w:val="none"/>
          <w:lang w:val="zh-CN" w:eastAsia="zh-CN" w:bidi="ar-SA"/>
        </w:rPr>
      </w:pP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outlineLvl w:val="1"/>
        <w:rPr>
          <w:rFonts w:ascii="黑体" w:hAnsi="宋体" w:eastAsia="黑体"/>
          <w:b w:val="0"/>
          <w:bCs w:val="0"/>
          <w:color w:val="auto"/>
          <w:sz w:val="32"/>
          <w:szCs w:val="32"/>
          <w:highlight w:val="none"/>
          <w:lang w:val="zh-CN"/>
        </w:rPr>
      </w:pPr>
      <w:bookmarkStart w:id="162" w:name="_Toc17235"/>
      <w:bookmarkStart w:id="163" w:name="_Toc29243"/>
      <w:r>
        <w:rPr>
          <w:rFonts w:hint="eastAsia" w:ascii="黑体" w:hAnsi="宋体" w:eastAsia="黑体"/>
          <w:b w:val="0"/>
          <w:bCs w:val="0"/>
          <w:color w:val="auto"/>
          <w:sz w:val="32"/>
          <w:szCs w:val="32"/>
          <w:highlight w:val="none"/>
        </w:rPr>
        <w:t>一、</w:t>
      </w:r>
      <w:r>
        <w:rPr>
          <w:rFonts w:hint="eastAsia" w:ascii="黑体" w:hAnsi="宋体" w:eastAsia="黑体"/>
          <w:b w:val="0"/>
          <w:bCs w:val="0"/>
          <w:color w:val="auto"/>
          <w:sz w:val="32"/>
          <w:szCs w:val="32"/>
          <w:highlight w:val="none"/>
          <w:lang w:val="zh-CN"/>
        </w:rPr>
        <w:t>项目概况</w:t>
      </w:r>
      <w:bookmarkEnd w:id="162"/>
      <w:bookmarkEnd w:id="163"/>
    </w:p>
    <w:p>
      <w:pPr>
        <w:keepNext w:val="0"/>
        <w:keepLines w:val="0"/>
        <w:pageBreakBefore w:val="0"/>
        <w:widowControl/>
        <w:suppressLineNumbers w:val="0"/>
        <w:shd w:val="clear"/>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color w:val="auto"/>
          <w:sz w:val="32"/>
          <w:szCs w:val="32"/>
          <w:highlight w:val="none"/>
          <w:lang w:eastAsia="zh-CN"/>
        </w:rPr>
      </w:pPr>
      <w:r>
        <w:rPr>
          <w:rFonts w:hint="eastAsia" w:ascii="楷体_GB2312" w:hAnsi="楷体_GB2312" w:eastAsia="楷体_GB2312" w:cs="楷体_GB2312"/>
          <w:color w:val="auto"/>
          <w:sz w:val="32"/>
          <w:szCs w:val="32"/>
          <w:highlight w:val="none"/>
          <w:lang w:eastAsia="zh-CN"/>
        </w:rPr>
        <w:t>（一）项目基本情况。</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宋体" w:eastAsia="仿宋_GB2312"/>
          <w:color w:val="auto"/>
          <w:sz w:val="32"/>
          <w:szCs w:val="32"/>
          <w:highlight w:val="none"/>
          <w:lang w:val="en-US" w:eastAsia="zh-CN"/>
        </w:rPr>
      </w:pPr>
      <w:r>
        <w:rPr>
          <w:rFonts w:hint="eastAsia" w:ascii="仿宋_GB2312" w:hAnsi="宋体" w:eastAsia="仿宋_GB2312"/>
          <w:color w:val="auto"/>
          <w:sz w:val="32"/>
          <w:szCs w:val="32"/>
          <w:highlight w:val="none"/>
          <w:lang w:val="en-US" w:eastAsia="zh-CN"/>
        </w:rPr>
        <w:t>根据中央、省委一号文件《关于全面推进乡村振兴加快农业农村现代化的意见》、市委《关于实现巩固拓展脱贫攻坚成果同乡村振兴有效衔接的实施意见》（广委发</w:t>
      </w:r>
      <w:r>
        <w:rPr>
          <w:rFonts w:hint="eastAsia" w:ascii="仿宋_GB2312" w:hAnsi="宋体" w:eastAsia="仿宋_GB2312"/>
          <w:color w:val="auto"/>
          <w:sz w:val="32"/>
          <w:szCs w:val="32"/>
          <w:highlight w:val="none"/>
          <w:lang w:val="en" w:eastAsia="zh-CN"/>
        </w:rPr>
        <w:t>[2021]</w:t>
      </w:r>
      <w:r>
        <w:rPr>
          <w:rFonts w:hint="eastAsia" w:ascii="仿宋_GB2312" w:hAnsi="宋体" w:eastAsia="仿宋_GB2312"/>
          <w:color w:val="auto"/>
          <w:sz w:val="32"/>
          <w:szCs w:val="32"/>
          <w:highlight w:val="none"/>
          <w:lang w:val="en-US" w:eastAsia="zh-CN"/>
        </w:rPr>
        <w:t>14号）要求，从五个方面全面实施乡村振兴战略，即产业振兴、人才振兴、文化振兴、生态振兴、组织振兴。接续推动农业农村现代化建设，帮助金华村在乡村振兴中实现高质量发展。</w:t>
      </w:r>
    </w:p>
    <w:p>
      <w:pPr>
        <w:keepNext w:val="0"/>
        <w:keepLines w:val="0"/>
        <w:pageBreakBefore w:val="0"/>
        <w:widowControl w:val="0"/>
        <w:numPr>
          <w:ilvl w:val="0"/>
          <w:numId w:val="0"/>
        </w:numPr>
        <w:shd w:val="clear"/>
        <w:tabs>
          <w:tab w:val="left" w:pos="2523"/>
        </w:tabs>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Cs/>
          <w:color w:val="auto"/>
          <w:sz w:val="32"/>
          <w:szCs w:val="32"/>
          <w:highlight w:val="none"/>
          <w:lang w:val="zh-CN"/>
        </w:rPr>
      </w:pPr>
      <w:r>
        <w:rPr>
          <w:rFonts w:hint="eastAsia" w:ascii="楷体_GB2312" w:hAnsi="楷体_GB2312" w:eastAsia="楷体_GB2312" w:cs="楷体_GB2312"/>
          <w:bCs/>
          <w:color w:val="auto"/>
          <w:sz w:val="32"/>
          <w:szCs w:val="32"/>
          <w:highlight w:val="none"/>
          <w:lang w:val="zh-CN"/>
        </w:rPr>
        <w:t>（二）项目绩效目标。</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宋体" w:eastAsia="仿宋_GB2312"/>
          <w:color w:val="auto"/>
          <w:sz w:val="32"/>
          <w:szCs w:val="32"/>
          <w:highlight w:val="none"/>
          <w:lang w:val="en-US" w:eastAsia="zh-CN"/>
        </w:rPr>
      </w:pPr>
      <w:r>
        <w:rPr>
          <w:rFonts w:hint="eastAsia" w:ascii="仿宋_GB2312" w:hAnsi="宋体" w:eastAsia="仿宋_GB2312"/>
          <w:color w:val="auto"/>
          <w:sz w:val="32"/>
          <w:szCs w:val="32"/>
          <w:highlight w:val="none"/>
          <w:lang w:val="en-US" w:eastAsia="zh-CN"/>
        </w:rPr>
        <w:t xml:space="preserve">  市公积金中心派驻金华村工作队根据中央、省、市要求，认真贯彻落实乡村振兴要求，使巩固脱贫攻坚成果和乡村振兴有效衔接，乡村逐步实现“产业兴旺、生态宜居、乡风文明、治理有效、生活富裕”。促使帮扶村农业农村现代化取得重要进展，农业基础设施现代化迈上新台阶，农村生活设施便利化初步实现，基本公共服务均等化水平有明显提高。农村生态环境得到明显改善，乡村建设行动取得明显成效，乡村面貌发生显著变化，乡村文明程度得到新提升，农村发展安全保障更加有力，农民获得感、幸福感、安全感明显提高。</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hint="eastAsia" w:ascii="楷体_GB2312" w:hAnsi="宋体" w:eastAsia="楷体_GB2312"/>
          <w:b w:val="0"/>
          <w:bCs w:val="0"/>
          <w:color w:val="auto"/>
          <w:sz w:val="32"/>
          <w:szCs w:val="32"/>
          <w:highlight w:val="none"/>
          <w:u w:val="none"/>
          <w:lang w:val="zh-CN"/>
        </w:rPr>
        <w:sectPr>
          <w:footerReference r:id="rId61" w:type="first"/>
          <w:footerReference r:id="rId60" w:type="default"/>
          <w:pgSz w:w="11906" w:h="16838"/>
          <w:pgMar w:top="2098" w:right="1474" w:bottom="1984" w:left="1587" w:header="851" w:footer="992" w:gutter="0"/>
          <w:pgNumType w:fmt="decimal"/>
          <w:cols w:space="425" w:num="1"/>
          <w:titlePg/>
          <w:docGrid w:type="lines" w:linePitch="312" w:charSpace="0"/>
        </w:sectPr>
      </w:pP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（三）项目自评步骤及方法。</w:t>
      </w:r>
    </w:p>
    <w:p>
      <w:pPr>
        <w:keepNext w:val="0"/>
        <w:keepLines w:val="0"/>
        <w:pageBreakBefore w:val="0"/>
        <w:widowControl w:val="0"/>
        <w:numPr>
          <w:ilvl w:val="0"/>
          <w:numId w:val="0"/>
        </w:numPr>
        <w:shd w:val="clear"/>
        <w:tabs>
          <w:tab w:val="left" w:pos="2523"/>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首先由驻村工作队员、财务人员共同草拟自评报告，分别报分管领导、主要领导审阅后再报送。</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outlineLvl w:val="1"/>
        <w:rPr>
          <w:rFonts w:ascii="黑体" w:hAnsi="宋体" w:eastAsia="黑体"/>
          <w:b w:val="0"/>
          <w:bCs w:val="0"/>
          <w:color w:val="auto"/>
          <w:sz w:val="32"/>
          <w:szCs w:val="32"/>
          <w:highlight w:val="none"/>
          <w:u w:val="none"/>
        </w:rPr>
      </w:pPr>
      <w:bookmarkStart w:id="164" w:name="_Toc25786"/>
      <w:bookmarkStart w:id="165" w:name="_Toc27908"/>
      <w:r>
        <w:rPr>
          <w:rFonts w:hint="eastAsia" w:ascii="黑体" w:hAnsi="宋体" w:eastAsia="黑体"/>
          <w:b w:val="0"/>
          <w:bCs w:val="0"/>
          <w:color w:val="auto"/>
          <w:sz w:val="32"/>
          <w:szCs w:val="32"/>
          <w:highlight w:val="none"/>
          <w:u w:val="none"/>
        </w:rPr>
        <w:t>二、项目资金申报及使用情况</w:t>
      </w:r>
      <w:bookmarkEnd w:id="164"/>
      <w:bookmarkEnd w:id="165"/>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（一）项目资金申报及批复情况。</w:t>
      </w:r>
    </w:p>
    <w:p>
      <w:pPr>
        <w:keepNext w:val="0"/>
        <w:keepLines w:val="0"/>
        <w:pageBreakBefore w:val="0"/>
        <w:shd w:val="clear"/>
        <w:tabs>
          <w:tab w:val="left" w:pos="3885"/>
        </w:tabs>
        <w:kinsoku/>
        <w:wordWrap/>
        <w:overflowPunct/>
        <w:topLinePunct w:val="0"/>
        <w:autoSpaceDE/>
        <w:autoSpaceDN/>
        <w:bidi w:val="0"/>
        <w:snapToGrid w:val="0"/>
        <w:spacing w:line="560" w:lineRule="exact"/>
        <w:ind w:firstLine="640" w:firstLineChars="200"/>
        <w:jc w:val="left"/>
        <w:textAlignment w:val="auto"/>
        <w:rPr>
          <w:rFonts w:ascii="仿宋_GB2312" w:eastAsia="仿宋_GB2312"/>
          <w:color w:val="auto"/>
          <w:kern w:val="0"/>
          <w:sz w:val="32"/>
          <w:szCs w:val="32"/>
          <w:highlight w:val="none"/>
        </w:rPr>
      </w:pPr>
      <w:r>
        <w:rPr>
          <w:rFonts w:hint="eastAsia" w:ascii="仿宋_GB2312" w:eastAsia="仿宋_GB2312"/>
          <w:color w:val="auto"/>
          <w:kern w:val="0"/>
          <w:sz w:val="32"/>
          <w:szCs w:val="32"/>
          <w:highlight w:val="none"/>
        </w:rPr>
        <w:t>本项目根据实际需求确定实施内容，由</w:t>
      </w:r>
      <w:r>
        <w:rPr>
          <w:rFonts w:hint="eastAsia" w:ascii="仿宋_GB2312" w:eastAsia="仿宋_GB2312"/>
          <w:color w:val="auto"/>
          <w:kern w:val="0"/>
          <w:sz w:val="32"/>
          <w:szCs w:val="32"/>
          <w:highlight w:val="none"/>
          <w:lang w:val="en-US" w:eastAsia="zh-CN"/>
        </w:rPr>
        <w:t>驻村工作队</w:t>
      </w:r>
      <w:r>
        <w:rPr>
          <w:rFonts w:hint="eastAsia" w:ascii="仿宋_GB2312" w:eastAsia="仿宋_GB2312"/>
          <w:color w:val="auto"/>
          <w:kern w:val="0"/>
          <w:sz w:val="32"/>
          <w:szCs w:val="32"/>
          <w:highlight w:val="none"/>
        </w:rPr>
        <w:t>制定项目预算需求计划，负责编制项目事前评估和绩效目标。由办公室汇总项目纳入年度部门预算草案，经中心党组会审议后报财政局纳入市级部门预算编制报批。202</w:t>
      </w:r>
      <w:r>
        <w:rPr>
          <w:rFonts w:hint="eastAsia" w:ascii="仿宋_GB2312" w:eastAsia="仿宋_GB2312"/>
          <w:color w:val="auto"/>
          <w:kern w:val="0"/>
          <w:sz w:val="32"/>
          <w:szCs w:val="32"/>
          <w:highlight w:val="none"/>
          <w:lang w:val="en-US" w:eastAsia="zh-CN"/>
        </w:rPr>
        <w:t>2</w:t>
      </w:r>
      <w:r>
        <w:rPr>
          <w:rFonts w:hint="eastAsia" w:ascii="仿宋" w:hAnsi="仿宋" w:eastAsia="仿宋" w:cs="仿宋"/>
          <w:color w:val="auto"/>
          <w:kern w:val="0"/>
          <w:sz w:val="32"/>
          <w:szCs w:val="32"/>
          <w:highlight w:val="none"/>
        </w:rPr>
        <w:t>年度申报</w:t>
      </w:r>
      <w:r>
        <w:rPr>
          <w:rFonts w:hint="eastAsia" w:ascii="仿宋" w:hAnsi="仿宋" w:eastAsia="仿宋" w:cs="仿宋"/>
          <w:b w:val="0"/>
          <w:bCs w:val="0"/>
          <w:color w:val="auto"/>
          <w:kern w:val="2"/>
          <w:sz w:val="32"/>
          <w:szCs w:val="32"/>
          <w:highlight w:val="none"/>
          <w:lang w:eastAsia="zh-CN"/>
        </w:rPr>
        <w:t>乡村振兴工作</w:t>
      </w:r>
      <w:r>
        <w:rPr>
          <w:rFonts w:hint="eastAsia" w:ascii="仿宋" w:hAnsi="仿宋" w:eastAsia="仿宋" w:cs="仿宋"/>
          <w:color w:val="auto"/>
          <w:kern w:val="0"/>
          <w:sz w:val="32"/>
          <w:szCs w:val="32"/>
          <w:highlight w:val="none"/>
        </w:rPr>
        <w:t>项目经费预算资金</w:t>
      </w:r>
      <w:r>
        <w:rPr>
          <w:rFonts w:hint="eastAsia" w:ascii="仿宋" w:hAnsi="仿宋" w:eastAsia="仿宋" w:cs="仿宋"/>
          <w:color w:val="auto"/>
          <w:kern w:val="0"/>
          <w:sz w:val="32"/>
          <w:szCs w:val="32"/>
          <w:highlight w:val="none"/>
          <w:lang w:val="en-US" w:eastAsia="zh-CN"/>
        </w:rPr>
        <w:t>3.64</w:t>
      </w:r>
      <w:r>
        <w:rPr>
          <w:rFonts w:hint="eastAsia" w:ascii="仿宋" w:hAnsi="仿宋" w:eastAsia="仿宋" w:cs="仿宋"/>
          <w:color w:val="auto"/>
          <w:kern w:val="0"/>
          <w:sz w:val="32"/>
          <w:szCs w:val="32"/>
          <w:highlight w:val="none"/>
        </w:rPr>
        <w:t>万元</w:t>
      </w:r>
      <w:r>
        <w:rPr>
          <w:rFonts w:hint="eastAsia" w:ascii="仿宋" w:hAnsi="仿宋" w:eastAsia="仿宋" w:cs="仿宋"/>
          <w:color w:val="auto"/>
          <w:kern w:val="0"/>
          <w:sz w:val="32"/>
          <w:szCs w:val="32"/>
          <w:highlight w:val="none"/>
          <w:lang w:eastAsia="zh-CN"/>
        </w:rPr>
        <w:t>，</w:t>
      </w:r>
      <w:r>
        <w:rPr>
          <w:rFonts w:hint="eastAsia" w:ascii="仿宋" w:hAnsi="仿宋" w:eastAsia="仿宋" w:cs="仿宋"/>
          <w:color w:val="auto"/>
          <w:kern w:val="0"/>
          <w:sz w:val="32"/>
          <w:szCs w:val="32"/>
          <w:highlight w:val="none"/>
        </w:rPr>
        <w:t>该项目为市本级支付项目，由市财政全额保</w:t>
      </w:r>
      <w:r>
        <w:rPr>
          <w:rFonts w:hint="eastAsia" w:ascii="仿宋_GB2312" w:eastAsia="仿宋_GB2312"/>
          <w:color w:val="auto"/>
          <w:kern w:val="0"/>
          <w:sz w:val="32"/>
          <w:szCs w:val="32"/>
          <w:highlight w:val="none"/>
        </w:rPr>
        <w:t>障。财政批复下达专项资金预算</w:t>
      </w:r>
      <w:r>
        <w:rPr>
          <w:rFonts w:hint="eastAsia" w:ascii="仿宋_GB2312" w:eastAsia="仿宋_GB2312"/>
          <w:color w:val="auto"/>
          <w:kern w:val="0"/>
          <w:sz w:val="32"/>
          <w:szCs w:val="32"/>
          <w:highlight w:val="none"/>
          <w:lang w:val="en-US" w:eastAsia="zh-CN"/>
        </w:rPr>
        <w:t>3.64</w:t>
      </w:r>
      <w:r>
        <w:rPr>
          <w:rFonts w:hint="eastAsia" w:ascii="仿宋_GB2312" w:eastAsia="仿宋_GB2312"/>
          <w:color w:val="auto"/>
          <w:kern w:val="0"/>
          <w:sz w:val="32"/>
          <w:szCs w:val="32"/>
          <w:highlight w:val="none"/>
        </w:rPr>
        <w:t>万元。</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ascii="仿宋_GB2312" w:hAnsi="宋体" w:eastAsia="仿宋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（二）资金计划、到位及使用情况。</w:t>
      </w:r>
    </w:p>
    <w:p>
      <w:pPr>
        <w:keepNext w:val="0"/>
        <w:keepLines w:val="0"/>
        <w:pageBreakBefore w:val="0"/>
        <w:shd w:val="clear"/>
        <w:kinsoku/>
        <w:wordWrap/>
        <w:overflowPunct/>
        <w:topLinePunct w:val="0"/>
        <w:autoSpaceDE/>
        <w:autoSpaceDN/>
        <w:bidi w:val="0"/>
        <w:adjustRightInd w:val="0"/>
        <w:snapToGrid w:val="0"/>
        <w:spacing w:line="560" w:lineRule="exact"/>
        <w:ind w:firstLine="720"/>
        <w:textAlignment w:val="auto"/>
        <w:rPr>
          <w:rFonts w:ascii="仿宋_GB2312" w:hAnsi="宋体" w:eastAsia="仿宋_GB2312"/>
          <w:color w:val="auto"/>
          <w:sz w:val="32"/>
          <w:szCs w:val="32"/>
          <w:highlight w:val="none"/>
          <w:lang w:val="zh-CN"/>
        </w:rPr>
      </w:pPr>
      <w:r>
        <w:rPr>
          <w:rFonts w:hint="eastAsia" w:ascii="仿宋_GB2312" w:hAnsi="仿宋_GB2312" w:eastAsia="仿宋_GB2312" w:cs="仿宋_GB2312"/>
          <w:b w:val="0"/>
          <w:bCs w:val="0"/>
          <w:color w:val="auto"/>
          <w:sz w:val="32"/>
          <w:szCs w:val="32"/>
          <w:highlight w:val="none"/>
          <w:lang w:val="zh-CN"/>
        </w:rPr>
        <w:t>1．资</w:t>
      </w:r>
      <w:r>
        <w:rPr>
          <w:rFonts w:hint="eastAsia" w:ascii="仿宋" w:hAnsi="仿宋" w:eastAsia="仿宋" w:cs="仿宋"/>
          <w:color w:val="auto"/>
          <w:kern w:val="0"/>
          <w:sz w:val="32"/>
          <w:szCs w:val="32"/>
          <w:highlight w:val="none"/>
          <w:lang w:val="zh-CN"/>
        </w:rPr>
        <w:t>金计划及到位。</w:t>
      </w:r>
      <w:r>
        <w:rPr>
          <w:rFonts w:hint="eastAsia" w:ascii="仿宋" w:hAnsi="仿宋" w:eastAsia="仿宋" w:cs="仿宋"/>
          <w:color w:val="auto"/>
          <w:kern w:val="0"/>
          <w:sz w:val="32"/>
          <w:szCs w:val="32"/>
          <w:highlight w:val="none"/>
        </w:rPr>
        <w:t>公积金</w:t>
      </w:r>
      <w:r>
        <w:rPr>
          <w:rFonts w:hint="eastAsia" w:ascii="仿宋" w:hAnsi="仿宋" w:eastAsia="仿宋" w:cs="仿宋"/>
          <w:b w:val="0"/>
          <w:bCs w:val="0"/>
          <w:color w:val="auto"/>
          <w:kern w:val="2"/>
          <w:sz w:val="32"/>
          <w:szCs w:val="32"/>
          <w:highlight w:val="none"/>
          <w:lang w:eastAsia="zh-CN"/>
        </w:rPr>
        <w:t>乡村振兴工作</w:t>
      </w:r>
      <w:r>
        <w:rPr>
          <w:rFonts w:hint="eastAsia" w:ascii="仿宋" w:hAnsi="仿宋" w:eastAsia="仿宋" w:cs="仿宋"/>
          <w:color w:val="auto"/>
          <w:kern w:val="0"/>
          <w:sz w:val="32"/>
          <w:szCs w:val="32"/>
          <w:highlight w:val="none"/>
        </w:rPr>
        <w:t>项目经费全年安排</w:t>
      </w:r>
      <w:r>
        <w:rPr>
          <w:rFonts w:hint="eastAsia" w:ascii="仿宋" w:hAnsi="仿宋" w:eastAsia="仿宋" w:cs="仿宋"/>
          <w:color w:val="auto"/>
          <w:kern w:val="0"/>
          <w:sz w:val="32"/>
          <w:szCs w:val="32"/>
          <w:highlight w:val="none"/>
          <w:lang w:val="en-US" w:eastAsia="zh-CN"/>
        </w:rPr>
        <w:t>3.64</w:t>
      </w:r>
      <w:r>
        <w:rPr>
          <w:rFonts w:hint="eastAsia" w:ascii="仿宋" w:hAnsi="仿宋" w:eastAsia="仿宋" w:cs="仿宋"/>
          <w:color w:val="auto"/>
          <w:kern w:val="0"/>
          <w:sz w:val="32"/>
          <w:szCs w:val="32"/>
          <w:highlight w:val="none"/>
        </w:rPr>
        <w:t>万元</w:t>
      </w:r>
      <w:r>
        <w:rPr>
          <w:rFonts w:hint="eastAsia" w:ascii="仿宋" w:hAnsi="仿宋" w:eastAsia="仿宋" w:cs="仿宋"/>
          <w:color w:val="auto"/>
          <w:kern w:val="0"/>
          <w:sz w:val="32"/>
          <w:szCs w:val="32"/>
          <w:highlight w:val="none"/>
          <w:lang w:val="zh-CN"/>
        </w:rPr>
        <w:t>，资金全部到位。</w:t>
      </w:r>
    </w:p>
    <w:p>
      <w:pPr>
        <w:keepNext w:val="0"/>
        <w:keepLines w:val="0"/>
        <w:pageBreakBefore w:val="0"/>
        <w:shd w:val="clear"/>
        <w:kinsoku/>
        <w:wordWrap/>
        <w:overflowPunct/>
        <w:topLinePunct w:val="0"/>
        <w:autoSpaceDE/>
        <w:autoSpaceDN/>
        <w:bidi w:val="0"/>
        <w:adjustRightInd w:val="0"/>
        <w:snapToGrid w:val="0"/>
        <w:spacing w:line="560" w:lineRule="exact"/>
        <w:ind w:firstLine="720"/>
        <w:textAlignment w:val="auto"/>
        <w:rPr>
          <w:rFonts w:ascii="仿宋_GB2312" w:hAnsi="宋体" w:eastAsia="仿宋_GB2312"/>
          <w:color w:val="auto"/>
          <w:sz w:val="32"/>
          <w:szCs w:val="32"/>
          <w:highlight w:val="none"/>
          <w:lang w:val="zh-CN"/>
        </w:rPr>
      </w:pPr>
      <w:r>
        <w:rPr>
          <w:rFonts w:hint="eastAsia" w:ascii="仿宋_GB2312" w:hAnsi="仿宋_GB2312" w:eastAsia="仿宋_GB2312" w:cs="仿宋_GB2312"/>
          <w:b w:val="0"/>
          <w:bCs w:val="0"/>
          <w:color w:val="auto"/>
          <w:sz w:val="32"/>
          <w:szCs w:val="32"/>
          <w:highlight w:val="none"/>
          <w:lang w:val="zh-CN"/>
        </w:rPr>
        <w:t>2．资金使用。</w:t>
      </w:r>
      <w:r>
        <w:rPr>
          <w:rFonts w:hint="eastAsia" w:ascii="仿宋_GB2312" w:hAnsi="宋体" w:eastAsia="仿宋_GB2312"/>
          <w:color w:val="auto"/>
          <w:sz w:val="32"/>
          <w:szCs w:val="32"/>
          <w:highlight w:val="none"/>
          <w:lang w:val="zh-CN"/>
        </w:rPr>
        <w:t>截止202</w:t>
      </w:r>
      <w:r>
        <w:rPr>
          <w:rFonts w:hint="eastAsia" w:ascii="仿宋_GB2312" w:hAnsi="宋体" w:eastAsia="仿宋_GB2312"/>
          <w:color w:val="auto"/>
          <w:sz w:val="32"/>
          <w:szCs w:val="32"/>
          <w:highlight w:val="none"/>
          <w:lang w:val="en-US" w:eastAsia="zh-CN"/>
        </w:rPr>
        <w:t>2</w:t>
      </w:r>
      <w:r>
        <w:rPr>
          <w:rFonts w:hint="eastAsia" w:ascii="仿宋_GB2312" w:hAnsi="宋体" w:eastAsia="仿宋_GB2312"/>
          <w:color w:val="auto"/>
          <w:sz w:val="32"/>
          <w:szCs w:val="32"/>
          <w:highlight w:val="none"/>
          <w:lang w:val="zh-CN"/>
        </w:rPr>
        <w:t>年12月31日，</w:t>
      </w:r>
      <w:r>
        <w:rPr>
          <w:rFonts w:hint="eastAsia" w:ascii="仿宋" w:hAnsi="仿宋" w:eastAsia="仿宋" w:cs="仿宋"/>
          <w:color w:val="auto"/>
          <w:kern w:val="0"/>
          <w:sz w:val="32"/>
          <w:szCs w:val="32"/>
          <w:highlight w:val="none"/>
        </w:rPr>
        <w:t>公积金</w:t>
      </w:r>
      <w:r>
        <w:rPr>
          <w:rFonts w:hint="eastAsia" w:ascii="仿宋" w:hAnsi="仿宋" w:eastAsia="仿宋" w:cs="仿宋"/>
          <w:b w:val="0"/>
          <w:bCs w:val="0"/>
          <w:color w:val="auto"/>
          <w:kern w:val="2"/>
          <w:sz w:val="32"/>
          <w:szCs w:val="32"/>
          <w:highlight w:val="none"/>
          <w:lang w:eastAsia="zh-CN"/>
        </w:rPr>
        <w:t>乡村振兴工作</w:t>
      </w:r>
      <w:r>
        <w:rPr>
          <w:rFonts w:hint="eastAsia" w:ascii="仿宋" w:hAnsi="仿宋" w:eastAsia="仿宋" w:cs="仿宋"/>
          <w:color w:val="auto"/>
          <w:kern w:val="0"/>
          <w:sz w:val="32"/>
          <w:szCs w:val="32"/>
          <w:highlight w:val="none"/>
        </w:rPr>
        <w:t>项目经费</w:t>
      </w:r>
      <w:r>
        <w:rPr>
          <w:rFonts w:hint="eastAsia" w:ascii="仿宋_GB2312" w:hAnsi="宋体" w:eastAsia="仿宋_GB2312"/>
          <w:color w:val="auto"/>
          <w:sz w:val="32"/>
          <w:szCs w:val="32"/>
          <w:highlight w:val="none"/>
          <w:lang w:val="zh-CN"/>
        </w:rPr>
        <w:t>实际支出</w:t>
      </w:r>
      <w:r>
        <w:rPr>
          <w:rFonts w:hint="eastAsia" w:ascii="仿宋_GB2312" w:hAnsi="宋体" w:eastAsia="仿宋_GB2312"/>
          <w:color w:val="auto"/>
          <w:sz w:val="32"/>
          <w:szCs w:val="32"/>
          <w:highlight w:val="none"/>
          <w:lang w:val="en-US" w:eastAsia="zh-CN"/>
        </w:rPr>
        <w:t>3.64</w:t>
      </w:r>
      <w:r>
        <w:rPr>
          <w:rFonts w:hint="eastAsia" w:ascii="仿宋_GB2312" w:hAnsi="宋体" w:eastAsia="仿宋_GB2312"/>
          <w:color w:val="auto"/>
          <w:sz w:val="32"/>
          <w:szCs w:val="32"/>
          <w:highlight w:val="none"/>
          <w:lang w:val="zh-CN"/>
        </w:rPr>
        <w:t>万元，资金主要用于帮扶村农业农村现代化，农业基础设施现代化，农村生活设施便利化，提高基本公共服务均等化水平，</w:t>
      </w:r>
      <w:r>
        <w:rPr>
          <w:rFonts w:hint="eastAsia" w:ascii="仿宋_GB2312" w:hAnsi="宋体" w:eastAsia="仿宋_GB2312"/>
          <w:color w:val="auto"/>
          <w:sz w:val="32"/>
          <w:szCs w:val="32"/>
          <w:highlight w:val="none"/>
          <w:lang w:val="en-US" w:eastAsia="zh-CN"/>
        </w:rPr>
        <w:t>驻村工作队员差旅费等</w:t>
      </w:r>
      <w:r>
        <w:rPr>
          <w:rFonts w:hint="eastAsia" w:ascii="仿宋_GB2312" w:hAnsi="宋体" w:eastAsia="仿宋_GB2312"/>
          <w:color w:val="auto"/>
          <w:sz w:val="32"/>
          <w:szCs w:val="32"/>
          <w:highlight w:val="none"/>
          <w:lang w:val="zh-CN"/>
        </w:rPr>
        <w:t>。全年支付进度达100%。经费严格按照机关出台的各项管理办法审核、审批、支付，依据合规合法。资金支付与预算相符。</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（三）项目财务管理情况。</w:t>
      </w:r>
    </w:p>
    <w:p>
      <w:pPr>
        <w:keepNext w:val="0"/>
        <w:keepLines w:val="0"/>
        <w:pageBreakBefore w:val="0"/>
        <w:shd w:val="clear"/>
        <w:kinsoku/>
        <w:wordWrap/>
        <w:overflowPunct/>
        <w:topLinePunct w:val="0"/>
        <w:autoSpaceDE/>
        <w:autoSpaceDN/>
        <w:bidi w:val="0"/>
        <w:adjustRightInd w:val="0"/>
        <w:snapToGrid w:val="0"/>
        <w:spacing w:line="560" w:lineRule="exact"/>
        <w:ind w:firstLine="720"/>
        <w:textAlignment w:val="auto"/>
        <w:rPr>
          <w:rFonts w:ascii="仿宋_GB2312" w:hAnsi="宋体" w:eastAsia="仿宋_GB2312"/>
          <w:color w:val="auto"/>
          <w:sz w:val="32"/>
          <w:szCs w:val="32"/>
          <w:highlight w:val="none"/>
          <w:lang w:val="zh-CN"/>
        </w:rPr>
      </w:pPr>
      <w:r>
        <w:rPr>
          <w:rFonts w:hint="eastAsia" w:ascii="仿宋_GB2312" w:hAnsi="宋体" w:eastAsia="仿宋_GB2312"/>
          <w:color w:val="auto"/>
          <w:sz w:val="32"/>
          <w:szCs w:val="32"/>
          <w:highlight w:val="none"/>
          <w:lang w:val="zh-CN"/>
        </w:rPr>
        <w:t>根据《中华人民共和国预算法》等制度要求，</w:t>
      </w:r>
      <w:r>
        <w:rPr>
          <w:rFonts w:hint="eastAsia" w:ascii="仿宋_GB2312" w:hAnsi="宋体" w:eastAsia="仿宋_GB2312"/>
          <w:color w:val="auto"/>
          <w:sz w:val="32"/>
          <w:szCs w:val="32"/>
          <w:highlight w:val="none"/>
        </w:rPr>
        <w:t>本单位</w:t>
      </w:r>
      <w:r>
        <w:rPr>
          <w:rFonts w:hint="eastAsia" w:ascii="仿宋_GB2312" w:hAnsi="宋体" w:eastAsia="仿宋_GB2312"/>
          <w:color w:val="auto"/>
          <w:sz w:val="32"/>
          <w:szCs w:val="32"/>
          <w:highlight w:val="none"/>
          <w:lang w:val="zh-CN"/>
        </w:rPr>
        <w:t>对项目实行了国库集中支付，资金支出严格依据相关财务制度和预算标准执行，资金使用合法合规，财务信息真实完整，坚持了厉行节约，不存在资金截留、挤占和挪用现象。</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outlineLvl w:val="1"/>
        <w:rPr>
          <w:rFonts w:ascii="黑体" w:hAnsi="宋体" w:eastAsia="黑体"/>
          <w:b w:val="0"/>
          <w:bCs w:val="0"/>
          <w:color w:val="auto"/>
          <w:sz w:val="32"/>
          <w:szCs w:val="32"/>
          <w:highlight w:val="none"/>
          <w:u w:val="none"/>
        </w:rPr>
      </w:pPr>
      <w:bookmarkStart w:id="166" w:name="_Toc9658"/>
      <w:bookmarkStart w:id="167" w:name="_Toc10033"/>
      <w:r>
        <w:rPr>
          <w:rFonts w:hint="eastAsia" w:ascii="黑体" w:hAnsi="宋体" w:eastAsia="黑体"/>
          <w:b w:val="0"/>
          <w:bCs w:val="0"/>
          <w:color w:val="auto"/>
          <w:sz w:val="32"/>
          <w:szCs w:val="32"/>
          <w:highlight w:val="none"/>
          <w:u w:val="none"/>
        </w:rPr>
        <w:t>三、项目实施及管理情况</w:t>
      </w:r>
      <w:bookmarkEnd w:id="166"/>
      <w:bookmarkEnd w:id="167"/>
    </w:p>
    <w:p>
      <w:pPr>
        <w:keepNext w:val="0"/>
        <w:keepLines w:val="0"/>
        <w:pageBreakBefore w:val="0"/>
        <w:widowControl w:val="0"/>
        <w:numPr>
          <w:ilvl w:val="0"/>
          <w:numId w:val="8"/>
        </w:numPr>
        <w:shd w:val="clear"/>
        <w:kinsoku/>
        <w:wordWrap/>
        <w:overflowPunct/>
        <w:topLinePunct w:val="0"/>
        <w:autoSpaceDE/>
        <w:autoSpaceDN/>
        <w:bidi w:val="0"/>
        <w:adjustRightInd w:val="0"/>
        <w:snapToGrid w:val="0"/>
        <w:spacing w:line="560" w:lineRule="exact"/>
        <w:ind w:firstLine="640" w:firstLineChars="200"/>
        <w:jc w:val="both"/>
        <w:textAlignment w:val="auto"/>
        <w:rPr>
          <w:rFonts w:hint="eastAsia"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项目组织架构及实施流程。</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720"/>
        <w:jc w:val="both"/>
        <w:textAlignment w:val="auto"/>
        <w:rPr>
          <w:rFonts w:ascii="仿宋_GB2312" w:hAnsi="宋体" w:eastAsia="仿宋_GB2312" w:cs="Times New Roman"/>
          <w:color w:val="auto"/>
          <w:kern w:val="2"/>
          <w:sz w:val="32"/>
          <w:szCs w:val="32"/>
          <w:highlight w:val="none"/>
          <w:lang w:val="en-US" w:eastAsia="zh-CN" w:bidi="ar-SA"/>
        </w:rPr>
      </w:pPr>
      <w:r>
        <w:rPr>
          <w:rFonts w:hint="eastAsia" w:ascii="仿宋_GB2312" w:hAnsi="宋体" w:eastAsia="仿宋_GB2312" w:cs="Times New Roman"/>
          <w:color w:val="auto"/>
          <w:kern w:val="2"/>
          <w:sz w:val="32"/>
          <w:szCs w:val="32"/>
          <w:highlight w:val="none"/>
          <w:lang w:val="en-US" w:eastAsia="zh-CN" w:bidi="ar-SA"/>
        </w:rPr>
        <w:t>中心</w:t>
      </w:r>
      <w:r>
        <w:rPr>
          <w:rFonts w:hint="eastAsia" w:ascii="仿宋_GB2312" w:hAnsi="宋体" w:eastAsia="仿宋_GB2312" w:cs="Times New Roman"/>
          <w:color w:val="auto"/>
          <w:kern w:val="2"/>
          <w:sz w:val="32"/>
          <w:szCs w:val="32"/>
          <w:highlight w:val="none"/>
          <w:lang w:val="zh-CN" w:eastAsia="zh-CN" w:bidi="ar-SA"/>
        </w:rPr>
        <w:t>是项目的主管部门和实施部门，按照</w:t>
      </w:r>
      <w:r>
        <w:rPr>
          <w:rFonts w:hint="eastAsia" w:ascii="仿宋_GB2312" w:hAnsi="宋体" w:eastAsia="仿宋_GB2312" w:cs="Times New Roman"/>
          <w:color w:val="auto"/>
          <w:kern w:val="2"/>
          <w:sz w:val="32"/>
          <w:szCs w:val="32"/>
          <w:highlight w:val="none"/>
          <w:lang w:val="en-US" w:eastAsia="zh-CN" w:bidi="ar-SA"/>
        </w:rPr>
        <w:t>单位内</w:t>
      </w:r>
      <w:r>
        <w:rPr>
          <w:rFonts w:hint="eastAsia" w:ascii="仿宋_GB2312" w:hAnsi="宋体" w:eastAsia="仿宋_GB2312" w:cs="Times New Roman"/>
          <w:color w:val="auto"/>
          <w:kern w:val="2"/>
          <w:sz w:val="32"/>
          <w:szCs w:val="32"/>
          <w:highlight w:val="none"/>
          <w:lang w:val="zh-CN" w:eastAsia="zh-CN" w:bidi="ar-SA"/>
        </w:rPr>
        <w:t>工作归口</w:t>
      </w:r>
      <w:r>
        <w:rPr>
          <w:rFonts w:hint="eastAsia" w:ascii="仿宋_GB2312" w:hAnsi="宋体" w:eastAsia="仿宋_GB2312" w:cs="Times New Roman"/>
          <w:color w:val="auto"/>
          <w:kern w:val="2"/>
          <w:sz w:val="32"/>
          <w:szCs w:val="32"/>
          <w:highlight w:val="none"/>
          <w:lang w:val="en-US" w:eastAsia="zh-CN" w:bidi="ar-SA"/>
        </w:rPr>
        <w:t>机关党委</w:t>
      </w:r>
      <w:r>
        <w:rPr>
          <w:rFonts w:hint="eastAsia" w:ascii="仿宋_GB2312" w:hAnsi="宋体" w:eastAsia="仿宋_GB2312" w:cs="Times New Roman"/>
          <w:color w:val="auto"/>
          <w:kern w:val="2"/>
          <w:sz w:val="32"/>
          <w:szCs w:val="32"/>
          <w:highlight w:val="none"/>
          <w:lang w:val="zh-CN" w:eastAsia="zh-CN" w:bidi="ar-SA"/>
        </w:rPr>
        <w:t>管理，在办公室统筹协调下，由</w:t>
      </w:r>
      <w:r>
        <w:rPr>
          <w:rFonts w:hint="eastAsia" w:ascii="仿宋_GB2312" w:hAnsi="宋体" w:eastAsia="仿宋_GB2312" w:cs="Times New Roman"/>
          <w:color w:val="auto"/>
          <w:kern w:val="2"/>
          <w:sz w:val="32"/>
          <w:szCs w:val="32"/>
          <w:highlight w:val="none"/>
          <w:lang w:val="en-US" w:eastAsia="zh-CN" w:bidi="ar-SA"/>
        </w:rPr>
        <w:t>机关党委驻村工作队具体组织项目实施</w:t>
      </w:r>
      <w:r>
        <w:rPr>
          <w:rFonts w:hint="eastAsia" w:ascii="仿宋_GB2312" w:hAnsi="宋体" w:eastAsia="仿宋_GB2312" w:cs="Times New Roman"/>
          <w:color w:val="auto"/>
          <w:kern w:val="2"/>
          <w:sz w:val="32"/>
          <w:szCs w:val="32"/>
          <w:highlight w:val="none"/>
          <w:lang w:val="zh-CN" w:eastAsia="zh-CN" w:bidi="ar-SA"/>
        </w:rPr>
        <w:t>，</w:t>
      </w:r>
      <w:r>
        <w:rPr>
          <w:rFonts w:hint="eastAsia" w:ascii="仿宋_GB2312" w:hAnsi="宋体" w:eastAsia="仿宋_GB2312" w:cs="Times New Roman"/>
          <w:color w:val="auto"/>
          <w:kern w:val="2"/>
          <w:sz w:val="32"/>
          <w:szCs w:val="32"/>
          <w:highlight w:val="none"/>
          <w:lang w:val="en-US" w:eastAsia="zh-CN" w:bidi="ar-SA"/>
        </w:rPr>
        <w:t>办公室</w:t>
      </w:r>
      <w:r>
        <w:rPr>
          <w:rFonts w:hint="eastAsia" w:ascii="仿宋_GB2312" w:hAnsi="宋体" w:eastAsia="仿宋_GB2312" w:cs="Times New Roman"/>
          <w:color w:val="auto"/>
          <w:kern w:val="2"/>
          <w:sz w:val="32"/>
          <w:szCs w:val="32"/>
          <w:highlight w:val="none"/>
          <w:lang w:val="zh-CN" w:eastAsia="zh-CN" w:bidi="ar-SA"/>
        </w:rPr>
        <w:t>及时进行账务处理，规范进行会计核算。</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zh-CN"/>
        </w:rPr>
      </w:pPr>
      <w:r>
        <w:rPr>
          <w:rFonts w:hint="eastAsia" w:ascii="楷体_GB2312" w:hAnsi="宋体" w:eastAsia="楷体_GB2312"/>
          <w:b w:val="0"/>
          <w:bCs w:val="0"/>
          <w:strike w:val="0"/>
          <w:dstrike w:val="0"/>
          <w:color w:val="auto"/>
          <w:sz w:val="32"/>
          <w:szCs w:val="32"/>
          <w:highlight w:val="none"/>
          <w:u w:val="none"/>
          <w:lang w:val="zh-CN"/>
        </w:rPr>
        <w:t>（二）项目管理情况。</w:t>
      </w:r>
      <w:r>
        <w:rPr>
          <w:rFonts w:hint="eastAsia" w:ascii="仿宋_GB2312" w:hAnsi="仿宋_GB2312" w:eastAsia="仿宋_GB2312" w:cs="仿宋_GB2312"/>
          <w:strike w:val="0"/>
          <w:color w:val="auto"/>
          <w:sz w:val="32"/>
          <w:szCs w:val="32"/>
          <w:highlight w:val="none"/>
          <w:u w:val="none"/>
          <w:lang w:val="en-US" w:eastAsia="zh-CN"/>
        </w:rPr>
        <w:t>2</w:t>
      </w:r>
      <w:r>
        <w:rPr>
          <w:rFonts w:hint="eastAsia" w:ascii="仿宋_GB2312" w:hAnsi="仿宋_GB2312" w:eastAsia="仿宋_GB2312" w:cs="仿宋_GB2312"/>
          <w:color w:val="auto"/>
          <w:sz w:val="32"/>
          <w:szCs w:val="32"/>
          <w:highlight w:val="none"/>
          <w:lang w:val="en-US" w:eastAsia="zh-CN"/>
        </w:rPr>
        <w:t>022年</w:t>
      </w:r>
      <w:r>
        <w:rPr>
          <w:rFonts w:hint="eastAsia" w:ascii="仿宋_GB2312" w:hAnsi="宋体" w:eastAsia="仿宋_GB2312"/>
          <w:color w:val="auto"/>
          <w:sz w:val="32"/>
          <w:szCs w:val="32"/>
          <w:highlight w:val="none"/>
          <w:lang w:val="en-US"/>
        </w:rPr>
        <w:t>公积金</w:t>
      </w:r>
      <w:r>
        <w:rPr>
          <w:rFonts w:hint="eastAsia" w:ascii="仿宋_GB2312" w:hAnsi="宋体" w:eastAsia="仿宋_GB2312"/>
          <w:color w:val="auto"/>
          <w:sz w:val="32"/>
          <w:szCs w:val="32"/>
          <w:highlight w:val="none"/>
          <w:lang w:val="en-US" w:eastAsia="zh-CN"/>
        </w:rPr>
        <w:t>乡村振兴工作经费</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相关管理制度机制健全完善，在项目执行过程中，无管理制度有悖于实际的情况，无存在难以操作、无法落地、执行不畅的等情况。</w:t>
      </w:r>
    </w:p>
    <w:p>
      <w:pPr>
        <w:keepNext w:val="0"/>
        <w:keepLines w:val="0"/>
        <w:pageBreakBefore w:val="0"/>
        <w:widowControl/>
        <w:suppressLineNumbers w:val="0"/>
        <w:shd w:val="clear"/>
        <w:kinsoku/>
        <w:wordWrap/>
        <w:overflowPunct/>
        <w:topLinePunct w:val="0"/>
        <w:autoSpaceDE/>
        <w:autoSpaceDN/>
        <w:bidi w:val="0"/>
        <w:spacing w:line="560"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楷体_GB2312" w:hAnsi="宋体" w:eastAsia="楷体_GB2312"/>
          <w:b w:val="0"/>
          <w:bCs w:val="0"/>
          <w:strike w:val="0"/>
          <w:dstrike w:val="0"/>
          <w:color w:val="auto"/>
          <w:sz w:val="32"/>
          <w:szCs w:val="32"/>
          <w:highlight w:val="none"/>
          <w:u w:val="none"/>
          <w:lang w:val="zh-CN"/>
        </w:rPr>
        <w:t>（三）项目监管情况。</w:t>
      </w:r>
      <w:r>
        <w:rPr>
          <w:rFonts w:hint="eastAsia" w:ascii="仿宋_GB2312" w:hAnsi="仿宋_GB2312" w:eastAsia="仿宋_GB2312" w:cs="仿宋_GB2312"/>
          <w:i w:val="0"/>
          <w:caps w:val="0"/>
          <w:color w:val="auto"/>
          <w:spacing w:val="0"/>
          <w:kern w:val="0"/>
          <w:sz w:val="32"/>
          <w:szCs w:val="32"/>
          <w:highlight w:val="none"/>
          <w:shd w:val="clear" w:fill="FFFFFF"/>
          <w:lang w:val="en-US" w:eastAsia="zh-CN" w:bidi="ar"/>
        </w:rPr>
        <w:t>每月通报预算执行进度，适时进行预算绩效监控，召开专题会议，研究项目推进，督促项目加快实施，有力保障财政资金的使用效益，确保绩效目标如期保质保量实现。</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outlineLvl w:val="1"/>
        <w:rPr>
          <w:rFonts w:ascii="仿宋_GB2312" w:hAnsi="宋体" w:eastAsia="仿宋_GB2312"/>
          <w:b w:val="0"/>
          <w:bCs w:val="0"/>
          <w:color w:val="auto"/>
          <w:sz w:val="32"/>
          <w:szCs w:val="32"/>
          <w:highlight w:val="none"/>
          <w:u w:val="none"/>
          <w:lang w:val="zh-CN"/>
        </w:rPr>
      </w:pPr>
      <w:bookmarkStart w:id="168" w:name="_Toc1811"/>
      <w:bookmarkStart w:id="169" w:name="_Toc3126"/>
      <w:r>
        <w:rPr>
          <w:rFonts w:hint="eastAsia" w:ascii="黑体" w:hAnsi="宋体" w:eastAsia="黑体"/>
          <w:b w:val="0"/>
          <w:bCs w:val="0"/>
          <w:color w:val="auto"/>
          <w:sz w:val="32"/>
          <w:szCs w:val="32"/>
          <w:highlight w:val="none"/>
          <w:u w:val="none"/>
        </w:rPr>
        <w:t>四、项目绩效情况</w:t>
      </w:r>
      <w:bookmarkEnd w:id="168"/>
      <w:bookmarkEnd w:id="169"/>
      <w:r>
        <w:rPr>
          <w:rFonts w:hint="eastAsia" w:ascii="仿宋_GB2312" w:hAnsi="宋体" w:eastAsia="仿宋_GB2312"/>
          <w:b w:val="0"/>
          <w:bCs w:val="0"/>
          <w:color w:val="auto"/>
          <w:sz w:val="32"/>
          <w:szCs w:val="32"/>
          <w:highlight w:val="none"/>
          <w:u w:val="none"/>
          <w:lang w:val="zh-CN"/>
        </w:rPr>
        <w:tab/>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（一）项目完成情况。</w:t>
      </w:r>
    </w:p>
    <w:p>
      <w:pPr>
        <w:keepNext w:val="0"/>
        <w:keepLines w:val="0"/>
        <w:pageBreakBefore w:val="0"/>
        <w:widowControl w:val="0"/>
        <w:shd w:val="clear"/>
        <w:kinsoku/>
        <w:wordWrap/>
        <w:overflowPunct/>
        <w:topLinePunct w:val="0"/>
        <w:autoSpaceDE/>
        <w:autoSpaceDN/>
        <w:bidi w:val="0"/>
        <w:spacing w:line="560" w:lineRule="exact"/>
        <w:ind w:firstLine="640" w:firstLineChars="200"/>
        <w:jc w:val="both"/>
        <w:textAlignment w:val="auto"/>
        <w:rPr>
          <w:rFonts w:hint="eastAsia" w:ascii="仿宋_GB2312" w:hAnsi="宋体" w:eastAsia="仿宋_GB2312" w:cs="Times New Roman"/>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2022年公积金归集提取专项工作经</w:t>
      </w:r>
      <w:r>
        <w:rPr>
          <w:rFonts w:hint="eastAsia" w:ascii="仿宋" w:hAnsi="仿宋" w:eastAsia="仿宋" w:cs="仿宋"/>
          <w:color w:val="auto"/>
          <w:kern w:val="2"/>
          <w:sz w:val="32"/>
          <w:szCs w:val="32"/>
          <w:highlight w:val="none"/>
          <w:lang w:val="en-US" w:eastAsia="zh-CN" w:bidi="ar-SA"/>
        </w:rPr>
        <w:t>费3.64</w:t>
      </w:r>
      <w:r>
        <w:rPr>
          <w:rFonts w:hint="eastAsia" w:ascii="仿宋" w:hAnsi="仿宋" w:eastAsia="仿宋" w:cs="仿宋"/>
          <w:color w:val="auto"/>
          <w:kern w:val="2"/>
          <w:sz w:val="32"/>
          <w:szCs w:val="32"/>
          <w:highlight w:val="none"/>
          <w:lang w:val="en" w:eastAsia="zh-CN" w:bidi="ar-SA"/>
        </w:rPr>
        <w:t>万元</w:t>
      </w:r>
      <w:r>
        <w:rPr>
          <w:rFonts w:hint="eastAsia" w:ascii="仿宋" w:hAnsi="仿宋" w:eastAsia="仿宋" w:cs="仿宋"/>
          <w:color w:val="auto"/>
          <w:kern w:val="2"/>
          <w:sz w:val="32"/>
          <w:szCs w:val="32"/>
          <w:highlight w:val="none"/>
          <w:lang w:val="en-US" w:eastAsia="zh-CN" w:bidi="ar-SA"/>
        </w:rPr>
        <w:t>，完成率100%。乡村振兴工作绩效目标任务完成情况良好，农村生态环境得到明显改善，乡村建设行动取得明显成效，乡村面貌发生显著变化，</w:t>
      </w:r>
      <w:r>
        <w:rPr>
          <w:rFonts w:hint="eastAsia" w:ascii="仿宋_GB2312" w:hAnsi="宋体" w:eastAsia="仿宋_GB2312" w:cs="Times New Roman"/>
          <w:color w:val="auto"/>
          <w:kern w:val="2"/>
          <w:sz w:val="32"/>
          <w:szCs w:val="32"/>
          <w:highlight w:val="none"/>
          <w:lang w:val="en-US" w:eastAsia="zh-CN" w:bidi="ar-SA"/>
        </w:rPr>
        <w:t>乡村文明程度得到新提升，农村发展安全保障更加有力，农民获得感、幸福感、安全感明显提高。</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（二）项目效益情况。</w:t>
      </w:r>
    </w:p>
    <w:p>
      <w:pPr>
        <w:keepNext w:val="0"/>
        <w:keepLines w:val="0"/>
        <w:pageBreakBefore w:val="0"/>
        <w:shd w:val="clear"/>
        <w:kinsoku/>
        <w:wordWrap/>
        <w:overflowPunct/>
        <w:topLinePunct w:val="0"/>
        <w:autoSpaceDE/>
        <w:autoSpaceDN/>
        <w:bidi w:val="0"/>
        <w:adjustRightInd w:val="0"/>
        <w:snapToGrid w:val="0"/>
        <w:spacing w:line="560" w:lineRule="exact"/>
        <w:ind w:firstLine="720"/>
        <w:textAlignment w:val="auto"/>
        <w:rPr>
          <w:rFonts w:ascii="仿宋_GB2312" w:eastAsia="仿宋_GB2312"/>
          <w:color w:val="auto"/>
          <w:kern w:val="0"/>
          <w:sz w:val="32"/>
          <w:szCs w:val="32"/>
          <w:highlight w:val="none"/>
        </w:rPr>
      </w:pPr>
      <w:r>
        <w:rPr>
          <w:rFonts w:hint="eastAsia" w:ascii="仿宋_GB2312" w:eastAsia="仿宋_GB2312"/>
          <w:color w:val="auto"/>
          <w:kern w:val="0"/>
          <w:sz w:val="32"/>
          <w:szCs w:val="32"/>
          <w:highlight w:val="none"/>
        </w:rPr>
        <w:t>1</w:t>
      </w:r>
      <w:r>
        <w:rPr>
          <w:rFonts w:hint="eastAsia" w:ascii="仿宋_GB2312" w:eastAsia="仿宋_GB2312"/>
          <w:color w:val="auto"/>
          <w:kern w:val="0"/>
          <w:sz w:val="32"/>
          <w:szCs w:val="32"/>
          <w:highlight w:val="none"/>
          <w:lang w:val="en-US" w:eastAsia="zh-CN"/>
        </w:rPr>
        <w:t>.成本指标：为推动社会主义新农村建设，帮助金华村完成巩固脱贫攻坚成果、发展集体经济、加强乡村治理等任务。市公积金中心选派2名驻村干部，在驻村期间产生一次性生活补助、人身意外保险费、生活补助、差旅费、乡镇补贴等。</w:t>
      </w:r>
    </w:p>
    <w:p>
      <w:pPr>
        <w:keepNext w:val="0"/>
        <w:keepLines w:val="0"/>
        <w:pageBreakBefore w:val="0"/>
        <w:shd w:val="clear"/>
        <w:kinsoku/>
        <w:wordWrap/>
        <w:overflowPunct/>
        <w:topLinePunct w:val="0"/>
        <w:autoSpaceDE/>
        <w:autoSpaceDN/>
        <w:bidi w:val="0"/>
        <w:adjustRightInd w:val="0"/>
        <w:snapToGrid w:val="0"/>
        <w:spacing w:line="560" w:lineRule="exact"/>
        <w:ind w:firstLine="720"/>
        <w:textAlignment w:val="auto"/>
        <w:rPr>
          <w:rFonts w:hint="eastAsia" w:ascii="仿宋_GB2312" w:eastAsia="仿宋_GB2312"/>
          <w:color w:val="auto"/>
          <w:kern w:val="0"/>
          <w:sz w:val="32"/>
          <w:szCs w:val="32"/>
          <w:highlight w:val="none"/>
        </w:rPr>
      </w:pPr>
      <w:r>
        <w:rPr>
          <w:rFonts w:hint="eastAsia" w:ascii="仿宋_GB2312" w:eastAsia="仿宋_GB2312"/>
          <w:color w:val="auto"/>
          <w:kern w:val="0"/>
          <w:sz w:val="32"/>
          <w:szCs w:val="32"/>
          <w:highlight w:val="none"/>
        </w:rPr>
        <w:t>2</w:t>
      </w:r>
      <w:r>
        <w:rPr>
          <w:rFonts w:hint="eastAsia" w:ascii="仿宋_GB2312" w:eastAsia="仿宋_GB2312"/>
          <w:color w:val="auto"/>
          <w:kern w:val="0"/>
          <w:sz w:val="32"/>
          <w:szCs w:val="32"/>
          <w:highlight w:val="none"/>
          <w:lang w:val="en-US" w:eastAsia="zh-CN"/>
        </w:rPr>
        <w:t>.社会效益指标：</w:t>
      </w:r>
      <w:r>
        <w:rPr>
          <w:rFonts w:hint="eastAsia" w:ascii="仿宋_GB2312" w:eastAsia="仿宋_GB2312"/>
          <w:color w:val="auto"/>
          <w:kern w:val="0"/>
          <w:sz w:val="32"/>
          <w:szCs w:val="32"/>
          <w:highlight w:val="none"/>
        </w:rPr>
        <w:t>农村生态环境得到明显改善，乡村建设行动取得明显成效，乡村面貌发生显著变化，乡村文明程度得到新提升，农村发展安全保障更加有力</w:t>
      </w:r>
      <w:r>
        <w:rPr>
          <w:rFonts w:hint="eastAsia" w:ascii="仿宋_GB2312" w:eastAsia="仿宋_GB2312"/>
          <w:color w:val="auto"/>
          <w:kern w:val="0"/>
          <w:sz w:val="32"/>
          <w:szCs w:val="32"/>
          <w:highlight w:val="none"/>
          <w:lang w:eastAsia="zh-CN"/>
        </w:rPr>
        <w:t>，</w:t>
      </w:r>
      <w:r>
        <w:rPr>
          <w:rFonts w:hint="eastAsia" w:ascii="仿宋_GB2312" w:eastAsia="仿宋_GB2312"/>
          <w:color w:val="auto"/>
          <w:kern w:val="0"/>
          <w:sz w:val="32"/>
          <w:szCs w:val="32"/>
          <w:highlight w:val="none"/>
        </w:rPr>
        <w:t>提高农民获得感、幸福感、安全感明显。</w:t>
      </w:r>
    </w:p>
    <w:p>
      <w:pPr>
        <w:keepNext w:val="0"/>
        <w:keepLines w:val="0"/>
        <w:pageBreakBefore w:val="0"/>
        <w:shd w:val="clear"/>
        <w:kinsoku/>
        <w:wordWrap/>
        <w:overflowPunct/>
        <w:topLinePunct w:val="0"/>
        <w:autoSpaceDE/>
        <w:autoSpaceDN/>
        <w:bidi w:val="0"/>
        <w:adjustRightInd w:val="0"/>
        <w:snapToGrid w:val="0"/>
        <w:spacing w:line="560" w:lineRule="exact"/>
        <w:ind w:firstLine="720"/>
        <w:textAlignment w:val="auto"/>
        <w:rPr>
          <w:rFonts w:hint="eastAsia" w:ascii="仿宋_GB2312" w:eastAsia="仿宋_GB2312"/>
          <w:color w:val="auto"/>
          <w:kern w:val="0"/>
          <w:sz w:val="32"/>
          <w:szCs w:val="32"/>
          <w:highlight w:val="none"/>
          <w:lang w:val="en-US" w:eastAsia="zh-CN"/>
        </w:rPr>
      </w:pPr>
      <w:r>
        <w:rPr>
          <w:rFonts w:hint="eastAsia" w:ascii="仿宋_GB2312" w:eastAsia="仿宋_GB2312"/>
          <w:color w:val="auto"/>
          <w:kern w:val="0"/>
          <w:sz w:val="32"/>
          <w:szCs w:val="32"/>
          <w:highlight w:val="none"/>
        </w:rPr>
        <w:t>3</w:t>
      </w:r>
      <w:r>
        <w:rPr>
          <w:rFonts w:hint="eastAsia" w:ascii="仿宋_GB2312" w:eastAsia="仿宋_GB2312"/>
          <w:color w:val="auto"/>
          <w:kern w:val="0"/>
          <w:sz w:val="32"/>
          <w:szCs w:val="32"/>
          <w:highlight w:val="none"/>
          <w:lang w:val="en-US" w:eastAsia="zh-CN"/>
        </w:rPr>
        <w:t>.可持续指标：推进乡村文明建设、改善农村生态环境、保障农村发展安全、提升农民获得感、幸福感、安全感，巩固脱贫攻坚成果和乡村振兴有效衔接。</w:t>
      </w:r>
    </w:p>
    <w:p>
      <w:pPr>
        <w:keepNext w:val="0"/>
        <w:keepLines w:val="0"/>
        <w:pageBreakBefore w:val="0"/>
        <w:shd w:val="clear"/>
        <w:kinsoku/>
        <w:wordWrap/>
        <w:overflowPunct/>
        <w:topLinePunct w:val="0"/>
        <w:autoSpaceDE/>
        <w:autoSpaceDN/>
        <w:bidi w:val="0"/>
        <w:adjustRightInd w:val="0"/>
        <w:snapToGrid w:val="0"/>
        <w:spacing w:line="560" w:lineRule="exact"/>
        <w:ind w:firstLine="720"/>
        <w:textAlignment w:val="auto"/>
        <w:rPr>
          <w:rFonts w:ascii="仿宋_GB2312" w:eastAsia="仿宋_GB2312"/>
          <w:color w:val="auto"/>
          <w:kern w:val="0"/>
          <w:sz w:val="32"/>
          <w:szCs w:val="32"/>
          <w:highlight w:val="none"/>
        </w:rPr>
      </w:pPr>
      <w:r>
        <w:rPr>
          <w:rFonts w:hint="eastAsia" w:ascii="仿宋_GB2312" w:eastAsia="仿宋_GB2312"/>
          <w:color w:val="auto"/>
          <w:kern w:val="0"/>
          <w:sz w:val="32"/>
          <w:szCs w:val="32"/>
          <w:highlight w:val="none"/>
          <w:lang w:val="en-US" w:eastAsia="zh-CN"/>
        </w:rPr>
        <w:t>4.满意度指标：</w:t>
      </w:r>
      <w:r>
        <w:rPr>
          <w:rFonts w:hint="eastAsia" w:ascii="仿宋_GB2312" w:eastAsia="仿宋_GB2312"/>
          <w:color w:val="auto"/>
          <w:kern w:val="0"/>
          <w:sz w:val="32"/>
          <w:szCs w:val="32"/>
          <w:highlight w:val="none"/>
        </w:rPr>
        <w:t>帮扶村群众满意度</w:t>
      </w:r>
      <w:r>
        <w:rPr>
          <w:rFonts w:hint="eastAsia" w:ascii="仿宋_GB2312" w:eastAsia="仿宋_GB2312"/>
          <w:color w:val="auto"/>
          <w:kern w:val="0"/>
          <w:sz w:val="32"/>
          <w:szCs w:val="32"/>
          <w:highlight w:val="none"/>
          <w:lang w:val="en-US" w:eastAsia="zh-CN"/>
        </w:rPr>
        <w:t>98%</w:t>
      </w:r>
      <w:r>
        <w:rPr>
          <w:rFonts w:hint="eastAsia" w:ascii="仿宋_GB2312" w:eastAsia="仿宋_GB2312"/>
          <w:color w:val="auto"/>
          <w:kern w:val="0"/>
          <w:sz w:val="32"/>
          <w:szCs w:val="32"/>
          <w:highlight w:val="none"/>
        </w:rPr>
        <w:t>。</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outlineLvl w:val="1"/>
        <w:rPr>
          <w:rFonts w:ascii="黑体" w:hAnsi="宋体" w:eastAsia="黑体"/>
          <w:b w:val="0"/>
          <w:bCs w:val="0"/>
          <w:color w:val="auto"/>
          <w:sz w:val="32"/>
          <w:szCs w:val="32"/>
          <w:highlight w:val="none"/>
          <w:u w:val="none"/>
        </w:rPr>
      </w:pPr>
      <w:bookmarkStart w:id="170" w:name="_Toc27785"/>
      <w:bookmarkStart w:id="171" w:name="_Toc13983"/>
      <w:r>
        <w:rPr>
          <w:rFonts w:hint="eastAsia" w:ascii="黑体" w:hAnsi="宋体" w:eastAsia="黑体"/>
          <w:b w:val="0"/>
          <w:bCs w:val="0"/>
          <w:color w:val="auto"/>
          <w:sz w:val="32"/>
          <w:szCs w:val="32"/>
          <w:highlight w:val="none"/>
          <w:u w:val="none"/>
        </w:rPr>
        <w:t>五、评价结论及建议</w:t>
      </w:r>
      <w:bookmarkEnd w:id="170"/>
      <w:bookmarkEnd w:id="171"/>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（一）评价结论。</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u w:val="none"/>
          <w:shd w:val="clear" w:color="auto" w:fill="FFFFFF"/>
          <w:lang w:val="zh-CN"/>
        </w:rPr>
        <w:t>2022年项目开展以来，市公积金中心派驻金华村工作队根据中央、省、市要求，认真贯彻落实乡村振兴要求，使巩固脱贫攻坚成果和乡村振兴有效衔接，乡村逐步实现“产业兴旺、生态宜居、乡风文明、治理有效、生活富裕”，使帮扶村农业农村现代化取得重要进展，农业基础设施现代化迈上新台阶，农村生活设施便利化初步实现，基本公共服务均等化水平有明显提高，根据预算项目支出绩效评价指标体系指标最终自评得分9</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4</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分。</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 xml:space="preserve">    </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（二）存在的问题。</w:t>
      </w:r>
    </w:p>
    <w:p>
      <w:pPr>
        <w:keepNext w:val="0"/>
        <w:keepLines w:val="0"/>
        <w:pageBreakBefore w:val="0"/>
        <w:pBdr>
          <w:bottom w:val="single" w:color="FFFFFF" w:sz="4" w:space="29"/>
        </w:pBdr>
        <w:shd w:val="clear"/>
        <w:tabs>
          <w:tab w:val="left" w:pos="1440"/>
        </w:tabs>
        <w:kinsoku/>
        <w:wordWrap/>
        <w:overflowPunct/>
        <w:topLinePunct w:val="0"/>
        <w:autoSpaceDE/>
        <w:autoSpaceDN/>
        <w:bidi w:val="0"/>
        <w:spacing w:line="560" w:lineRule="exact"/>
        <w:ind w:firstLine="372" w:firstLineChars="196"/>
        <w:textAlignment w:val="auto"/>
        <w:rPr>
          <w:rFonts w:ascii="微软雅黑" w:hAnsi="微软雅黑" w:eastAsia="微软雅黑" w:cs="微软雅黑"/>
          <w:i w:val="0"/>
          <w:iCs w:val="0"/>
          <w:caps w:val="0"/>
          <w:color w:val="auto"/>
          <w:spacing w:val="0"/>
          <w:sz w:val="19"/>
          <w:szCs w:val="19"/>
          <w:highlight w:val="none"/>
          <w:shd w:val="clear" w:fill="FFFFFF"/>
        </w:rPr>
      </w:pPr>
      <w:r>
        <w:rPr>
          <w:rFonts w:ascii="微软雅黑" w:hAnsi="微软雅黑" w:eastAsia="微软雅黑" w:cs="微软雅黑"/>
          <w:i w:val="0"/>
          <w:iCs w:val="0"/>
          <w:caps w:val="0"/>
          <w:color w:val="auto"/>
          <w:spacing w:val="0"/>
          <w:sz w:val="19"/>
          <w:szCs w:val="19"/>
          <w:highlight w:val="none"/>
          <w:shd w:val="clear" w:fill="FFFFFF"/>
        </w:rPr>
        <w:t>　</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一是产业发展定位不够清晰，集体经济发展思路单一；二是基础设施建设短板尚存，制约乡村产业发展势头；三是群众助推发展不够积极，影响乡村发展闭环形成。</w:t>
      </w:r>
    </w:p>
    <w:p>
      <w:pPr>
        <w:keepNext w:val="0"/>
        <w:keepLines w:val="0"/>
        <w:pageBreakBefore w:val="0"/>
        <w:numPr>
          <w:ilvl w:val="0"/>
          <w:numId w:val="8"/>
        </w:numPr>
        <w:pBdr>
          <w:bottom w:val="single" w:color="FFFFFF" w:sz="4" w:space="29"/>
        </w:pBdr>
        <w:shd w:val="clear"/>
        <w:tabs>
          <w:tab w:val="left" w:pos="1440"/>
        </w:tabs>
        <w:kinsoku/>
        <w:wordWrap/>
        <w:overflowPunct/>
        <w:topLinePunct w:val="0"/>
        <w:autoSpaceDE/>
        <w:autoSpaceDN/>
        <w:bidi w:val="0"/>
        <w:spacing w:line="560" w:lineRule="exact"/>
        <w:ind w:left="0" w:leftChars="0" w:firstLine="640" w:firstLineChars="200"/>
        <w:textAlignment w:val="auto"/>
        <w:rPr>
          <w:rFonts w:hint="eastAsia" w:ascii="楷体_GB2312" w:hAnsi="宋体" w:eastAsia="楷体_GB2312"/>
          <w:b w:val="0"/>
          <w:bCs w:val="0"/>
          <w:color w:val="auto"/>
          <w:sz w:val="32"/>
          <w:szCs w:val="32"/>
          <w:highlight w:val="none"/>
          <w:u w:val="none"/>
          <w:lang w:val="zh-CN"/>
        </w:rPr>
      </w:pPr>
      <w:r>
        <w:rPr>
          <w:rFonts w:hint="eastAsia" w:ascii="楷体_GB2312" w:hAnsi="宋体" w:eastAsia="楷体_GB2312"/>
          <w:b w:val="0"/>
          <w:bCs w:val="0"/>
          <w:color w:val="auto"/>
          <w:sz w:val="32"/>
          <w:szCs w:val="32"/>
          <w:highlight w:val="none"/>
          <w:u w:val="none"/>
          <w:lang w:val="zh-CN"/>
        </w:rPr>
        <w:t>相关建议。</w:t>
      </w:r>
    </w:p>
    <w:p>
      <w:pPr>
        <w:keepNext w:val="0"/>
        <w:keepLines w:val="0"/>
        <w:pageBreakBefore w:val="0"/>
        <w:numPr>
          <w:ilvl w:val="0"/>
          <w:numId w:val="0"/>
        </w:numPr>
        <w:pBdr>
          <w:bottom w:val="single" w:color="FFFFFF" w:sz="4" w:space="29"/>
        </w:pBdr>
        <w:shd w:val="clear"/>
        <w:tabs>
          <w:tab w:val="left" w:pos="1440"/>
        </w:tabs>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zh-CN"/>
        </w:rPr>
        <w:sectPr>
          <w:footerReference r:id="rId63" w:type="first"/>
          <w:footerReference r:id="rId62" w:type="default"/>
          <w:pgSz w:w="11906" w:h="16838"/>
          <w:pgMar w:top="2098" w:right="1474" w:bottom="1984" w:left="1587" w:header="851" w:footer="992" w:gutter="0"/>
          <w:pgNumType w:fmt="decimal"/>
          <w:cols w:space="425" w:num="1"/>
          <w:docGrid w:type="lines" w:linePitch="312" w:charSpace="0"/>
        </w:sectPr>
      </w:pPr>
      <w:r>
        <w:rPr>
          <w:rFonts w:hint="eastAsia" w:ascii="仿宋_GB2312" w:hAnsi="仿宋_GB2312" w:eastAsia="仿宋_GB2312" w:cs="仿宋_GB2312"/>
          <w:b w:val="0"/>
          <w:bCs w:val="0"/>
          <w:color w:val="auto"/>
          <w:kern w:val="0"/>
          <w:sz w:val="32"/>
          <w:szCs w:val="32"/>
          <w:highlight w:val="none"/>
          <w:u w:val="none"/>
          <w:shd w:val="clear" w:color="auto" w:fill="FFFFFF"/>
          <w:lang w:val="zh-CN"/>
        </w:rPr>
        <w:t>持续改善农村人居环境，提高资源利用率、实现生态环境改善和社会经济发展，实现农民增收、企业增效、提升综合效益。</w:t>
      </w:r>
    </w:p>
    <w:p>
      <w:pPr>
        <w:pStyle w:val="13"/>
        <w:shd w:val="clear"/>
        <w:ind w:left="0" w:leftChars="0" w:firstLine="0" w:firstLineChars="0"/>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zh-CN"/>
        </w:rPr>
        <w:t>附表</w:t>
      </w:r>
      <w:r>
        <w:rPr>
          <w:rFonts w:hint="eastAsia" w:ascii="黑体" w:hAnsi="黑体" w:eastAsia="黑体" w:cs="黑体"/>
          <w:color w:val="auto"/>
          <w:sz w:val="32"/>
          <w:szCs w:val="32"/>
          <w:highlight w:val="none"/>
          <w:lang w:val="en-US" w:eastAsia="zh-CN"/>
        </w:rPr>
        <w:t>8：</w:t>
      </w:r>
    </w:p>
    <w:p>
      <w:pPr>
        <w:shd w:val="clear"/>
        <w:rPr>
          <w:rFonts w:hint="eastAsia"/>
          <w:color w:val="auto"/>
          <w:highlight w:val="none"/>
          <w:lang w:val="en-US" w:eastAsia="zh-CN"/>
        </w:rPr>
      </w:pPr>
    </w:p>
    <w:tbl>
      <w:tblPr>
        <w:tblStyle w:val="17"/>
        <w:tblW w:w="13039"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03"/>
        <w:gridCol w:w="1342"/>
        <w:gridCol w:w="1127"/>
        <w:gridCol w:w="1331"/>
        <w:gridCol w:w="1970"/>
        <w:gridCol w:w="1008"/>
        <w:gridCol w:w="677"/>
        <w:gridCol w:w="762"/>
        <w:gridCol w:w="898"/>
        <w:gridCol w:w="26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13039" w:type="dxa"/>
            <w:gridSpan w:val="10"/>
            <w:tcBorders>
              <w:top w:val="nil"/>
              <w:left w:val="nil"/>
              <w:bottom w:val="nil"/>
              <w:right w:val="nil"/>
            </w:tcBorders>
            <w:shd w:val="clear" w:color="auto" w:fill="auto"/>
            <w:vAlign w:val="center"/>
          </w:tcPr>
          <w:p>
            <w:pPr>
              <w:keepNext w:val="0"/>
              <w:keepLines w:val="0"/>
              <w:widowControl/>
              <w:suppressLineNumbers w:val="0"/>
              <w:shd w:val="clear"/>
              <w:jc w:val="center"/>
              <w:textAlignment w:val="center"/>
              <w:rPr>
                <w:rFonts w:ascii="方正小标宋简体" w:hAnsi="方正小标宋简体" w:eastAsia="方正小标宋简体" w:cs="方正小标宋简体"/>
                <w:i w:val="0"/>
                <w:color w:val="auto"/>
                <w:sz w:val="44"/>
                <w:szCs w:val="44"/>
                <w:highlight w:val="none"/>
                <w:u w:val="none"/>
              </w:rPr>
            </w:pPr>
            <w:r>
              <w:rPr>
                <w:rFonts w:hint="eastAsia" w:ascii="方正小标宋简体" w:hAnsi="方正小标宋简体" w:eastAsia="方正小标宋简体" w:cs="方正小标宋简体"/>
                <w:i w:val="0"/>
                <w:color w:val="auto"/>
                <w:kern w:val="0"/>
                <w:sz w:val="44"/>
                <w:szCs w:val="44"/>
                <w:highlight w:val="none"/>
                <w:u w:val="none"/>
                <w:lang w:val="en-US" w:eastAsia="zh-CN" w:bidi="ar"/>
              </w:rPr>
              <w:t>部门预算、专项资金预算项目支出绩效目标自评表（2022年度）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6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项目名称</w:t>
            </w:r>
          </w:p>
        </w:tc>
        <w:tc>
          <w:tcPr>
            <w:tcW w:w="10394"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乡村振兴工作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2" w:hRule="atLeast"/>
        </w:trPr>
        <w:tc>
          <w:tcPr>
            <w:tcW w:w="26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主管部门（盖章）</w:t>
            </w:r>
          </w:p>
        </w:tc>
        <w:tc>
          <w:tcPr>
            <w:tcW w:w="44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广元市住房公积金管理中心</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实施单位 （盖章）</w:t>
            </w:r>
          </w:p>
        </w:tc>
        <w:tc>
          <w:tcPr>
            <w:tcW w:w="495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广元市住房公积金管理中心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3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项目基本情况</w:t>
            </w:r>
          </w:p>
        </w:tc>
        <w:tc>
          <w:tcPr>
            <w:tcW w:w="13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1.项目年度目标完成情况</w:t>
            </w:r>
          </w:p>
        </w:tc>
        <w:tc>
          <w:tcPr>
            <w:tcW w:w="44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项目年度目标</w:t>
            </w:r>
          </w:p>
        </w:tc>
        <w:tc>
          <w:tcPr>
            <w:tcW w:w="596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2" w:hRule="atLeast"/>
        </w:trPr>
        <w:tc>
          <w:tcPr>
            <w:tcW w:w="13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b/>
                <w:i w:val="0"/>
                <w:color w:val="auto"/>
                <w:sz w:val="18"/>
                <w:szCs w:val="18"/>
                <w:highlight w:val="none"/>
                <w:u w:val="none"/>
              </w:rPr>
            </w:pPr>
          </w:p>
        </w:tc>
        <w:tc>
          <w:tcPr>
            <w:tcW w:w="13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b/>
                <w:i w:val="0"/>
                <w:color w:val="auto"/>
                <w:sz w:val="18"/>
                <w:szCs w:val="18"/>
                <w:highlight w:val="none"/>
                <w:u w:val="none"/>
              </w:rPr>
            </w:pPr>
          </w:p>
        </w:tc>
        <w:tc>
          <w:tcPr>
            <w:tcW w:w="44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根据产业兴旺、生态宜居、乡风文明、治理有效、生活富裕的总要求，建立健全城乡融合发展体制机制和政策体系，加快推进农业农村现代化。完成市委市政府下达的目标任务。</w:t>
            </w:r>
          </w:p>
        </w:tc>
        <w:tc>
          <w:tcPr>
            <w:tcW w:w="596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2022年乡村振兴工作绩效目标任务完成情况良好，农村生态环境得到明显改善，乡村建设行动取得明显成效，乡村面貌发生显著变化，乡村文明程度得到新提升，农村发展安全保障更加有力，农民获得感、幸福感、安全感明显提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3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b/>
                <w:i w:val="0"/>
                <w:color w:val="auto"/>
                <w:sz w:val="18"/>
                <w:szCs w:val="18"/>
                <w:highlight w:val="none"/>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2.项目实施内容及过程概述</w:t>
            </w:r>
          </w:p>
        </w:tc>
        <w:tc>
          <w:tcPr>
            <w:tcW w:w="10394"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中心派驻金华村工作队严格按照中心和区委、区政府下达的各项帮扶任务和要求，结合实际，压实责任、细化指标，2022年度各项帮扶计划圆满完成。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13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预算执行情况（10分）</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年度预算数（万元）</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年初预算</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调整后预算数</w:t>
            </w: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预算执行数</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预算执行率</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权重%</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部门自评得分</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财政部门科室复评得分</w:t>
            </w:r>
          </w:p>
        </w:tc>
        <w:tc>
          <w:tcPr>
            <w:tcW w:w="2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3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总额</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3.64万元</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3.64万元</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100.00%</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3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其中：财政资金</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3.64万元</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3.64万元</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13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财政专户管理资金</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tbl>
    <w:p>
      <w:pPr>
        <w:shd w:val="clear"/>
        <w:jc w:val="center"/>
        <w:rPr>
          <w:rFonts w:hint="eastAsia" w:ascii="宋体" w:hAnsi="宋体" w:eastAsia="宋体" w:cs="宋体"/>
          <w:b/>
          <w:i w:val="0"/>
          <w:color w:val="auto"/>
          <w:sz w:val="18"/>
          <w:szCs w:val="18"/>
          <w:highlight w:val="none"/>
          <w:u w:val="none"/>
        </w:rPr>
        <w:sectPr>
          <w:footerReference r:id="rId65" w:type="first"/>
          <w:footerReference r:id="rId64" w:type="default"/>
          <w:pgSz w:w="16838" w:h="11906" w:orient="landscape"/>
          <w:pgMar w:top="1587" w:right="2098" w:bottom="1474" w:left="1984" w:header="851" w:footer="992" w:gutter="0"/>
          <w:pgNumType w:fmt="decimal"/>
          <w:cols w:space="425" w:num="1"/>
          <w:titlePg/>
          <w:docGrid w:type="lines" w:linePitch="312" w:charSpace="0"/>
        </w:sectPr>
      </w:pPr>
    </w:p>
    <w:tbl>
      <w:tblPr>
        <w:tblStyle w:val="17"/>
        <w:tblW w:w="13039"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03"/>
        <w:gridCol w:w="1342"/>
        <w:gridCol w:w="1127"/>
        <w:gridCol w:w="1331"/>
        <w:gridCol w:w="480"/>
        <w:gridCol w:w="1010"/>
        <w:gridCol w:w="480"/>
        <w:gridCol w:w="1008"/>
        <w:gridCol w:w="677"/>
        <w:gridCol w:w="762"/>
        <w:gridCol w:w="898"/>
        <w:gridCol w:w="26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303" w:type="dxa"/>
            <w:vMerge w:val="restart"/>
            <w:tcBorders>
              <w:top w:val="single" w:color="000000" w:sz="4" w:space="0"/>
              <w:left w:val="single" w:color="000000" w:sz="4" w:space="0"/>
              <w:right w:val="single" w:color="000000" w:sz="4" w:space="0"/>
            </w:tcBorders>
            <w:shd w:val="clear" w:color="auto" w:fill="auto"/>
            <w:vAlign w:val="center"/>
          </w:tcPr>
          <w:p>
            <w:pPr>
              <w:pStyle w:val="2"/>
              <w:shd w:val="clear"/>
              <w:rPr>
                <w:rFonts w:hint="eastAsia"/>
                <w:color w:val="auto"/>
                <w:highlight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单位资金</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9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21" w:type="dxa"/>
            <w:vMerge w:val="restart"/>
            <w:tcBorders>
              <w:top w:val="single" w:color="000000" w:sz="4" w:space="0"/>
              <w:left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3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其他资金</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6"/>
                <w:szCs w:val="16"/>
                <w:highlight w:val="none"/>
                <w:u w:val="none"/>
              </w:rPr>
            </w:pP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6"/>
                <w:szCs w:val="16"/>
                <w:highlight w:val="none"/>
                <w:u w:val="none"/>
              </w:rPr>
            </w:pPr>
          </w:p>
        </w:tc>
        <w:tc>
          <w:tcPr>
            <w:tcW w:w="19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6"/>
                <w:szCs w:val="16"/>
                <w:highlight w:val="none"/>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6"/>
                <w:szCs w:val="16"/>
                <w:highlight w:val="none"/>
                <w:u w:val="none"/>
              </w:rPr>
            </w:pP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3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绩效指标（90分）</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一级指标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二级指标</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三级指标</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指标性质</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指标值</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度量单位</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完成值</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权重</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部门自评得分</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财政部门科室复评得分</w:t>
            </w:r>
          </w:p>
        </w:tc>
        <w:tc>
          <w:tcPr>
            <w:tcW w:w="2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3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满意度指标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帮扶对象满意度指标</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帮扶户</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95</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98</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2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产出指标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质量指标</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农户技能培训</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95</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95</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2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效益指标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社会效益指标</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落实国家政策</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定性</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好坏</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好</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2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3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效益指标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经济效益指标</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脱贫户人均收入增长</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7000</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元/人年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7200</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受疫情影响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产出指标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时效指标</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项目完成时间</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2022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完成</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2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产出指标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数量指标</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2022年驻村工作队员</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18</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2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效益指标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可持续发展指标</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项目作用期间</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2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产出指标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成本指标</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驻村工作队员补助，驻村工作业务开展经费</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3.64</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3.64</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2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08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合计</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94</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c>
          <w:tcPr>
            <w:tcW w:w="262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tbl>
    <w:p>
      <w:pPr>
        <w:shd w:val="clear"/>
        <w:rPr>
          <w:rFonts w:hint="eastAsia"/>
          <w:color w:val="auto"/>
          <w:highlight w:val="none"/>
          <w:lang w:val="en-US" w:eastAsia="zh-CN"/>
        </w:rPr>
        <w:sectPr>
          <w:footerReference r:id="rId67" w:type="first"/>
          <w:footerReference r:id="rId66" w:type="default"/>
          <w:pgSz w:w="16838" w:h="11906" w:orient="landscape"/>
          <w:pgMar w:top="1587" w:right="2098" w:bottom="1474" w:left="1984" w:header="851" w:footer="992" w:gutter="0"/>
          <w:pgNumType w:fmt="decimal"/>
          <w:cols w:space="425" w:num="1"/>
          <w:docGrid w:type="lines" w:linePitch="312" w:charSpace="0"/>
        </w:sectPr>
      </w:pPr>
    </w:p>
    <w:p>
      <w:pPr>
        <w:pStyle w:val="13"/>
        <w:shd w:val="clear"/>
        <w:ind w:left="0" w:leftChars="0" w:firstLine="0" w:firstLineChars="0"/>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附件9：</w:t>
      </w:r>
    </w:p>
    <w:p>
      <w:pPr>
        <w:shd w:val="clear"/>
        <w:rPr>
          <w:rFonts w:hint="eastAsia"/>
          <w:color w:val="auto"/>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0" w:lineRule="atLeast"/>
        <w:jc w:val="center"/>
        <w:textAlignment w:val="auto"/>
        <w:rPr>
          <w:rFonts w:hint="eastAsia" w:ascii="方正小标宋简体" w:hAnsi="方正小标宋简体" w:eastAsia="方正小标宋简体" w:cs="方正小标宋简体"/>
          <w:b w:val="0"/>
          <w:bCs w:val="0"/>
          <w:color w:val="auto"/>
          <w:kern w:val="2"/>
          <w:sz w:val="44"/>
          <w:szCs w:val="44"/>
          <w:highlight w:val="none"/>
          <w:lang w:val="en-US" w:eastAsia="zh-CN" w:bidi="ar-SA"/>
        </w:rPr>
      </w:pPr>
      <w:r>
        <w:rPr>
          <w:rFonts w:hint="eastAsia" w:ascii="方正小标宋简体" w:hAnsi="方正小标宋简体" w:eastAsia="方正小标宋简体" w:cs="方正小标宋简体"/>
          <w:b w:val="0"/>
          <w:bCs w:val="0"/>
          <w:color w:val="auto"/>
          <w:kern w:val="2"/>
          <w:sz w:val="44"/>
          <w:szCs w:val="44"/>
          <w:highlight w:val="none"/>
          <w:lang w:val="en-US" w:eastAsia="zh-CN" w:bidi="ar-SA"/>
        </w:rPr>
        <w:t>2023年市级专项预算项目支出绩效自评报告</w:t>
      </w:r>
    </w:p>
    <w:p>
      <w:pPr>
        <w:keepNext w:val="0"/>
        <w:keepLines w:val="0"/>
        <w:pageBreakBefore w:val="0"/>
        <w:widowControl w:val="0"/>
        <w:shd w:val="clear"/>
        <w:kinsoku/>
        <w:wordWrap/>
        <w:overflowPunct/>
        <w:topLinePunct w:val="0"/>
        <w:autoSpaceDE/>
        <w:autoSpaceDN/>
        <w:bidi w:val="0"/>
        <w:adjustRightInd/>
        <w:snapToGrid/>
        <w:spacing w:line="0" w:lineRule="atLeast"/>
        <w:jc w:val="center"/>
        <w:textAlignment w:val="auto"/>
        <w:rPr>
          <w:rFonts w:hint="eastAsia" w:ascii="楷体_GB2312" w:hAnsi="楷体_GB2312" w:eastAsia="楷体_GB2312" w:cs="楷体_GB2312"/>
          <w:b w:val="0"/>
          <w:bCs w:val="0"/>
          <w:color w:val="auto"/>
          <w:kern w:val="2"/>
          <w:sz w:val="32"/>
          <w:szCs w:val="32"/>
          <w:highlight w:val="none"/>
          <w:lang w:val="zh-CN" w:eastAsia="zh-CN" w:bidi="ar-SA"/>
        </w:rPr>
      </w:pPr>
      <w:r>
        <w:rPr>
          <w:rFonts w:hint="eastAsia" w:ascii="楷体_GB2312" w:hAnsi="楷体_GB2312" w:eastAsia="楷体_GB2312" w:cs="楷体_GB2312"/>
          <w:b w:val="0"/>
          <w:bCs w:val="0"/>
          <w:color w:val="auto"/>
          <w:kern w:val="2"/>
          <w:sz w:val="32"/>
          <w:szCs w:val="32"/>
          <w:highlight w:val="none"/>
          <w:lang w:val="zh-CN" w:eastAsia="zh-CN" w:bidi="ar-SA"/>
        </w:rPr>
        <w:t>（“银企通”平台建设）</w:t>
      </w:r>
    </w:p>
    <w:p>
      <w:pPr>
        <w:keepNext w:val="0"/>
        <w:keepLines w:val="0"/>
        <w:pageBreakBefore w:val="0"/>
        <w:widowControl w:val="0"/>
        <w:shd w:val="clear"/>
        <w:kinsoku/>
        <w:wordWrap/>
        <w:overflowPunct/>
        <w:topLinePunct w:val="0"/>
        <w:autoSpaceDE/>
        <w:autoSpaceDN/>
        <w:bidi w:val="0"/>
        <w:spacing w:line="560" w:lineRule="exact"/>
        <w:jc w:val="center"/>
        <w:textAlignment w:val="auto"/>
        <w:rPr>
          <w:rFonts w:hint="eastAsia" w:ascii="宋体" w:hAnsi="宋体" w:eastAsia="宋体" w:cs="Times New Roman"/>
          <w:b w:val="0"/>
          <w:bCs w:val="0"/>
          <w:color w:val="auto"/>
          <w:kern w:val="2"/>
          <w:sz w:val="18"/>
          <w:szCs w:val="18"/>
          <w:highlight w:val="none"/>
          <w:lang w:val="zh-CN" w:eastAsia="zh-CN" w:bidi="ar-SA"/>
        </w:rPr>
      </w:pP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outlineLvl w:val="1"/>
        <w:rPr>
          <w:rFonts w:ascii="黑体" w:hAnsi="宋体" w:eastAsia="黑体" w:cs="Times New Roman"/>
          <w:b w:val="0"/>
          <w:bCs w:val="0"/>
          <w:color w:val="auto"/>
          <w:sz w:val="32"/>
          <w:szCs w:val="32"/>
          <w:highlight w:val="none"/>
          <w:lang w:val="zh-CN"/>
        </w:rPr>
      </w:pPr>
      <w:bookmarkStart w:id="172" w:name="_Toc20204"/>
      <w:bookmarkStart w:id="173" w:name="_Toc23506"/>
      <w:r>
        <w:rPr>
          <w:rFonts w:hint="eastAsia" w:ascii="黑体" w:hAnsi="宋体" w:eastAsia="黑体" w:cs="Times New Roman"/>
          <w:b w:val="0"/>
          <w:bCs w:val="0"/>
          <w:color w:val="auto"/>
          <w:sz w:val="32"/>
          <w:szCs w:val="32"/>
          <w:highlight w:val="none"/>
        </w:rPr>
        <w:t>一、</w:t>
      </w:r>
      <w:r>
        <w:rPr>
          <w:rFonts w:hint="eastAsia" w:ascii="黑体" w:hAnsi="宋体" w:eastAsia="黑体" w:cs="Times New Roman"/>
          <w:b w:val="0"/>
          <w:bCs w:val="0"/>
          <w:color w:val="auto"/>
          <w:sz w:val="32"/>
          <w:szCs w:val="32"/>
          <w:highlight w:val="none"/>
          <w:lang w:val="zh-CN"/>
        </w:rPr>
        <w:t>项目概况</w:t>
      </w:r>
      <w:bookmarkEnd w:id="172"/>
      <w:bookmarkEnd w:id="173"/>
    </w:p>
    <w:p>
      <w:pPr>
        <w:keepNext w:val="0"/>
        <w:keepLines w:val="0"/>
        <w:pageBreakBefore w:val="0"/>
        <w:widowControl/>
        <w:suppressLineNumbers w:val="0"/>
        <w:shd w:val="clear"/>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color w:val="auto"/>
          <w:sz w:val="32"/>
          <w:szCs w:val="32"/>
          <w:highlight w:val="none"/>
          <w:lang w:eastAsia="zh-CN"/>
        </w:rPr>
      </w:pPr>
      <w:r>
        <w:rPr>
          <w:rFonts w:hint="eastAsia" w:ascii="楷体_GB2312" w:hAnsi="楷体_GB2312" w:eastAsia="楷体_GB2312" w:cs="楷体_GB2312"/>
          <w:color w:val="auto"/>
          <w:sz w:val="32"/>
          <w:szCs w:val="32"/>
          <w:highlight w:val="none"/>
          <w:lang w:eastAsia="zh-CN"/>
        </w:rPr>
        <w:t>（一）项目基本情况。</w:t>
      </w:r>
    </w:p>
    <w:p>
      <w:pPr>
        <w:keepNext w:val="0"/>
        <w:keepLines w:val="0"/>
        <w:pageBreakBefore w:val="0"/>
        <w:widowControl w:val="0"/>
        <w:shd w:val="clear"/>
        <w:kinsoku/>
        <w:wordWrap/>
        <w:overflowPunct/>
        <w:topLinePunct w:val="0"/>
        <w:autoSpaceDE/>
        <w:autoSpaceDN/>
        <w:bidi w:val="0"/>
        <w:spacing w:after="120" w:line="560" w:lineRule="exact"/>
        <w:ind w:left="0" w:leftChars="0" w:firstLine="640" w:firstLineChars="200"/>
        <w:jc w:val="both"/>
        <w:textAlignment w:val="auto"/>
        <w:rPr>
          <w:rFonts w:hint="eastAsia" w:ascii="仿宋_GB2312" w:hAnsi="Times New Roman" w:eastAsia="仿宋_GB2312" w:cs="Times New Roman"/>
          <w:color w:val="auto"/>
          <w:kern w:val="0"/>
          <w:sz w:val="32"/>
          <w:szCs w:val="32"/>
          <w:highlight w:val="none"/>
          <w:lang w:val="en-US" w:eastAsia="zh-CN" w:bidi="ar-SA"/>
        </w:rPr>
      </w:pPr>
      <w:r>
        <w:rPr>
          <w:rFonts w:hint="eastAsia" w:ascii="仿宋_GB2312" w:hAnsi="Times New Roman" w:eastAsia="仿宋_GB2312" w:cs="Times New Roman"/>
          <w:color w:val="auto"/>
          <w:kern w:val="0"/>
          <w:sz w:val="32"/>
          <w:szCs w:val="32"/>
          <w:highlight w:val="none"/>
          <w:lang w:val="en-US" w:eastAsia="zh-CN" w:bidi="ar-SA"/>
        </w:rPr>
        <w:t>根据《四川省住房和城乡建设厅、中国人民银行成都分行营业管理部 关于印发&lt;公积金中心银行机构信息互通工作实施办法&gt;的通知》川建金发（〔2021〕276号）要求，四川省住房和城乡建设厅组织建设的四川省住房公积金管理服务平台（以下简称“公积金平台”）将通过专网与中国人民银行成都分行营业管理部组织建设的四川银政通信息服务平台（以下简称“银政通平台”）连接，广元市住房公积金管理中心通过银政通平台对接实现中心与银行端数据互联互通、数据共享。</w:t>
      </w:r>
    </w:p>
    <w:p>
      <w:pPr>
        <w:keepNext w:val="0"/>
        <w:keepLines w:val="0"/>
        <w:pageBreakBefore w:val="0"/>
        <w:widowControl w:val="0"/>
        <w:numPr>
          <w:ilvl w:val="0"/>
          <w:numId w:val="0"/>
        </w:numPr>
        <w:shd w:val="clear"/>
        <w:tabs>
          <w:tab w:val="left" w:pos="2523"/>
        </w:tabs>
        <w:kinsoku/>
        <w:wordWrap/>
        <w:overflowPunct/>
        <w:topLinePunct w:val="0"/>
        <w:autoSpaceDE/>
        <w:autoSpaceDN/>
        <w:bidi w:val="0"/>
        <w:adjustRightInd/>
        <w:snapToGrid/>
        <w:spacing w:line="560" w:lineRule="exact"/>
        <w:ind w:left="720" w:leftChars="0"/>
        <w:textAlignment w:val="auto"/>
        <w:rPr>
          <w:rFonts w:hint="eastAsia" w:ascii="楷体_GB2312" w:hAnsi="楷体_GB2312" w:eastAsia="楷体_GB2312" w:cs="楷体_GB2312"/>
          <w:bCs/>
          <w:color w:val="auto"/>
          <w:sz w:val="32"/>
          <w:szCs w:val="32"/>
          <w:highlight w:val="none"/>
          <w:lang w:val="zh-CN"/>
        </w:rPr>
      </w:pPr>
      <w:r>
        <w:rPr>
          <w:rFonts w:hint="eastAsia" w:ascii="楷体_GB2312" w:hAnsi="楷体_GB2312" w:eastAsia="楷体_GB2312" w:cs="楷体_GB2312"/>
          <w:bCs/>
          <w:color w:val="auto"/>
          <w:sz w:val="32"/>
          <w:szCs w:val="32"/>
          <w:highlight w:val="none"/>
          <w:lang w:val="zh-CN"/>
        </w:rPr>
        <w:t>（二）项目绩效目标。</w:t>
      </w:r>
    </w:p>
    <w:p>
      <w:pPr>
        <w:keepNext w:val="0"/>
        <w:keepLines w:val="0"/>
        <w:pageBreakBefore w:val="0"/>
        <w:shd w:val="clear"/>
        <w:kinsoku/>
        <w:wordWrap/>
        <w:overflowPunct/>
        <w:topLinePunct w:val="0"/>
        <w:autoSpaceDE/>
        <w:autoSpaceDN/>
        <w:bidi w:val="0"/>
        <w:spacing w:line="560" w:lineRule="exact"/>
        <w:ind w:firstLine="640" w:firstLineChars="200"/>
        <w:textAlignment w:val="auto"/>
        <w:rPr>
          <w:rFonts w:ascii="仿宋_GB2312" w:hAnsi="宋体" w:eastAsia="仿宋_GB2312" w:cs="Times New Roman"/>
          <w:color w:val="auto"/>
          <w:sz w:val="32"/>
          <w:szCs w:val="32"/>
          <w:highlight w:val="none"/>
          <w:lang w:val="zh-CN"/>
        </w:rPr>
      </w:pPr>
      <w:r>
        <w:rPr>
          <w:rFonts w:hint="eastAsia" w:ascii="仿宋_GB2312" w:hAnsi="宋体" w:eastAsia="仿宋_GB2312" w:cs="Times New Roman"/>
          <w:color w:val="auto"/>
          <w:sz w:val="32"/>
          <w:szCs w:val="32"/>
          <w:highlight w:val="none"/>
          <w:lang w:val="zh-CN"/>
        </w:rPr>
        <w:t>202</w:t>
      </w:r>
      <w:r>
        <w:rPr>
          <w:rFonts w:hint="eastAsia" w:ascii="仿宋_GB2312" w:hAnsi="宋体" w:eastAsia="仿宋_GB2312" w:cs="Times New Roman"/>
          <w:color w:val="auto"/>
          <w:sz w:val="32"/>
          <w:szCs w:val="32"/>
          <w:highlight w:val="none"/>
          <w:lang w:val="en-US" w:eastAsia="zh-CN"/>
        </w:rPr>
        <w:t>2</w:t>
      </w:r>
      <w:r>
        <w:rPr>
          <w:rFonts w:hint="eastAsia" w:ascii="仿宋_GB2312" w:hAnsi="宋体" w:eastAsia="仿宋_GB2312" w:cs="Times New Roman"/>
          <w:color w:val="auto"/>
          <w:sz w:val="32"/>
          <w:szCs w:val="32"/>
          <w:highlight w:val="none"/>
          <w:lang w:val="zh-CN"/>
        </w:rPr>
        <w:t>年12月31日前完成</w:t>
      </w:r>
      <w:r>
        <w:rPr>
          <w:rFonts w:hint="eastAsia" w:ascii="仿宋_GB2312" w:hAnsi="Times New Roman" w:eastAsia="仿宋_GB2312" w:cs="Times New Roman"/>
          <w:color w:val="auto"/>
          <w:kern w:val="0"/>
          <w:sz w:val="32"/>
          <w:szCs w:val="32"/>
          <w:highlight w:val="none"/>
          <w:lang w:eastAsia="zh-CN"/>
        </w:rPr>
        <w:t>“</w:t>
      </w:r>
      <w:r>
        <w:rPr>
          <w:rFonts w:hint="eastAsia" w:ascii="仿宋_GB2312" w:hAnsi="Times New Roman" w:eastAsia="仿宋_GB2312" w:cs="Times New Roman"/>
          <w:color w:val="auto"/>
          <w:kern w:val="0"/>
          <w:sz w:val="32"/>
          <w:szCs w:val="32"/>
          <w:highlight w:val="none"/>
          <w:lang w:val="en-US" w:eastAsia="zh-CN" w:bidi="ar-SA"/>
        </w:rPr>
        <w:t>银政通</w:t>
      </w:r>
      <w:r>
        <w:rPr>
          <w:rFonts w:hint="eastAsia" w:ascii="仿宋_GB2312" w:hAnsi="Times New Roman" w:eastAsia="仿宋_GB2312" w:cs="Times New Roman"/>
          <w:color w:val="auto"/>
          <w:kern w:val="0"/>
          <w:sz w:val="32"/>
          <w:szCs w:val="32"/>
          <w:highlight w:val="none"/>
          <w:lang w:eastAsia="zh-CN"/>
        </w:rPr>
        <w:t>”</w:t>
      </w:r>
      <w:r>
        <w:rPr>
          <w:rFonts w:hint="eastAsia" w:ascii="仿宋_GB2312" w:hAnsi="Times New Roman" w:eastAsia="仿宋_GB2312" w:cs="Times New Roman"/>
          <w:color w:val="auto"/>
          <w:kern w:val="0"/>
          <w:sz w:val="32"/>
          <w:szCs w:val="32"/>
          <w:highlight w:val="none"/>
          <w:lang w:val="en-US" w:eastAsia="zh-CN" w:bidi="ar-SA"/>
        </w:rPr>
        <w:t>平台</w:t>
      </w:r>
      <w:r>
        <w:rPr>
          <w:rFonts w:hint="eastAsia" w:ascii="仿宋_GB2312" w:hAnsi="宋体" w:eastAsia="仿宋_GB2312" w:cs="Times New Roman"/>
          <w:color w:val="auto"/>
          <w:sz w:val="32"/>
          <w:szCs w:val="32"/>
          <w:highlight w:val="none"/>
          <w:lang w:val="zh-CN"/>
        </w:rPr>
        <w:t>项目开发建设。</w:t>
      </w:r>
      <w:r>
        <w:rPr>
          <w:rFonts w:hint="eastAsia" w:ascii="仿宋_GB2312" w:hAnsi="Times New Roman" w:eastAsia="仿宋_GB2312" w:cs="Times New Roman"/>
          <w:color w:val="auto"/>
          <w:kern w:val="0"/>
          <w:sz w:val="32"/>
          <w:szCs w:val="32"/>
          <w:highlight w:val="none"/>
          <w:lang w:val="en-US" w:eastAsia="zh-CN" w:bidi="ar-SA"/>
        </w:rPr>
        <w:t>通过广元市住房公积金管理中心与银行机构信息互通，最终实现广元市住房公积金管理中心对个人住房商业贷款信息的查询功能和各银行对个人公积金信息查询功能，完成公积金平台与银政通平台对接。</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ascii="楷体_GB2312" w:hAnsi="宋体" w:eastAsia="楷体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（三）项目自评步骤及方法。</w:t>
      </w:r>
    </w:p>
    <w:p>
      <w:pPr>
        <w:keepNext w:val="0"/>
        <w:keepLines w:val="0"/>
        <w:pageBreakBefore w:val="0"/>
        <w:widowControl w:val="0"/>
        <w:numPr>
          <w:ilvl w:val="0"/>
          <w:numId w:val="0"/>
        </w:numPr>
        <w:shd w:val="clear"/>
        <w:tabs>
          <w:tab w:val="left" w:pos="2523"/>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sectPr>
          <w:footerReference r:id="rId69" w:type="first"/>
          <w:footerReference r:id="rId68" w:type="default"/>
          <w:pgSz w:w="11906" w:h="16838"/>
          <w:pgMar w:top="2098" w:right="1474" w:bottom="1984" w:left="1587" w:header="851" w:footer="992" w:gutter="0"/>
          <w:pgNumType w:fmt="decimal"/>
          <w:cols w:space="425" w:num="1"/>
          <w:titlePg/>
          <w:docGrid w:type="lines" w:linePitch="312" w:charSpace="0"/>
        </w:sectPr>
      </w:pPr>
    </w:p>
    <w:p>
      <w:pPr>
        <w:keepNext w:val="0"/>
        <w:keepLines w:val="0"/>
        <w:pageBreakBefore w:val="0"/>
        <w:widowControl w:val="0"/>
        <w:numPr>
          <w:ilvl w:val="0"/>
          <w:numId w:val="0"/>
        </w:numPr>
        <w:shd w:val="clear"/>
        <w:tabs>
          <w:tab w:val="left" w:pos="2523"/>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首先由信息技术科人员、财务人员共同草拟自评报告，分别报分管领导、主要领导审阅后再报送。</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outlineLvl w:val="1"/>
        <w:rPr>
          <w:rFonts w:ascii="黑体" w:hAnsi="宋体" w:eastAsia="黑体" w:cs="Times New Roman"/>
          <w:b w:val="0"/>
          <w:bCs w:val="0"/>
          <w:color w:val="auto"/>
          <w:sz w:val="32"/>
          <w:szCs w:val="32"/>
          <w:highlight w:val="none"/>
          <w:u w:val="none"/>
        </w:rPr>
      </w:pPr>
      <w:bookmarkStart w:id="174" w:name="_Toc14947"/>
      <w:bookmarkStart w:id="175" w:name="_Toc5023"/>
      <w:r>
        <w:rPr>
          <w:rFonts w:hint="eastAsia" w:ascii="黑体" w:hAnsi="宋体" w:eastAsia="黑体" w:cs="Times New Roman"/>
          <w:b w:val="0"/>
          <w:bCs w:val="0"/>
          <w:color w:val="auto"/>
          <w:sz w:val="32"/>
          <w:szCs w:val="32"/>
          <w:highlight w:val="none"/>
          <w:u w:val="none"/>
        </w:rPr>
        <w:t>二、项目资金申报及使用情况</w:t>
      </w:r>
      <w:bookmarkEnd w:id="174"/>
      <w:bookmarkEnd w:id="175"/>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ascii="楷体_GB2312" w:hAnsi="宋体" w:eastAsia="楷体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（一）项目资金申报及批复情况。</w:t>
      </w:r>
    </w:p>
    <w:p>
      <w:pPr>
        <w:keepNext w:val="0"/>
        <w:keepLines w:val="0"/>
        <w:pageBreakBefore w:val="0"/>
        <w:shd w:val="clear"/>
        <w:tabs>
          <w:tab w:val="left" w:pos="3885"/>
        </w:tabs>
        <w:kinsoku/>
        <w:wordWrap/>
        <w:overflowPunct/>
        <w:topLinePunct w:val="0"/>
        <w:autoSpaceDE/>
        <w:autoSpaceDN/>
        <w:bidi w:val="0"/>
        <w:snapToGrid w:val="0"/>
        <w:spacing w:line="560" w:lineRule="exact"/>
        <w:ind w:firstLine="640" w:firstLineChars="200"/>
        <w:jc w:val="left"/>
        <w:textAlignment w:val="auto"/>
        <w:rPr>
          <w:rFonts w:ascii="仿宋_GB2312" w:hAnsi="Times New Roman" w:eastAsia="仿宋_GB2312" w:cs="Times New Roman"/>
          <w:color w:val="auto"/>
          <w:kern w:val="0"/>
          <w:sz w:val="32"/>
          <w:szCs w:val="32"/>
          <w:highlight w:val="none"/>
        </w:rPr>
      </w:pPr>
      <w:r>
        <w:rPr>
          <w:rFonts w:hint="eastAsia" w:ascii="仿宋_GB2312" w:hAnsi="Times New Roman" w:eastAsia="仿宋_GB2312" w:cs="Times New Roman"/>
          <w:color w:val="auto"/>
          <w:kern w:val="0"/>
          <w:sz w:val="32"/>
          <w:szCs w:val="32"/>
          <w:highlight w:val="none"/>
        </w:rPr>
        <w:t>本项目由信息技术科根据上级相关要求，制定项目预算需求计划，负责编制项目事前评估和绩效目标。由办公室汇总项目纳入年度部门预算草案，经中心党组会审议后报财政局纳入市级部门预算编制报批。202</w:t>
      </w:r>
      <w:r>
        <w:rPr>
          <w:rFonts w:hint="eastAsia" w:ascii="仿宋_GB2312" w:hAnsi="Times New Roman" w:eastAsia="仿宋_GB2312" w:cs="Times New Roman"/>
          <w:color w:val="auto"/>
          <w:kern w:val="0"/>
          <w:sz w:val="32"/>
          <w:szCs w:val="32"/>
          <w:highlight w:val="none"/>
          <w:lang w:val="en-US" w:eastAsia="zh-CN"/>
        </w:rPr>
        <w:t>2</w:t>
      </w:r>
      <w:r>
        <w:rPr>
          <w:rFonts w:hint="eastAsia" w:ascii="仿宋_GB2312" w:hAnsi="Times New Roman" w:eastAsia="仿宋_GB2312" w:cs="Times New Roman"/>
          <w:color w:val="auto"/>
          <w:kern w:val="0"/>
          <w:sz w:val="32"/>
          <w:szCs w:val="32"/>
          <w:highlight w:val="none"/>
        </w:rPr>
        <w:t>年度申报</w:t>
      </w:r>
      <w:r>
        <w:rPr>
          <w:rFonts w:hint="eastAsia" w:ascii="仿宋_GB2312" w:hAnsi="Times New Roman" w:eastAsia="仿宋_GB2312" w:cs="Times New Roman"/>
          <w:color w:val="auto"/>
          <w:kern w:val="0"/>
          <w:sz w:val="32"/>
          <w:szCs w:val="32"/>
          <w:highlight w:val="none"/>
          <w:lang w:eastAsia="zh-CN"/>
        </w:rPr>
        <w:t>“</w:t>
      </w:r>
      <w:r>
        <w:rPr>
          <w:rFonts w:hint="eastAsia" w:ascii="仿宋_GB2312" w:hAnsi="Times New Roman" w:eastAsia="仿宋_GB2312" w:cs="Times New Roman"/>
          <w:color w:val="auto"/>
          <w:kern w:val="0"/>
          <w:sz w:val="32"/>
          <w:szCs w:val="32"/>
          <w:highlight w:val="none"/>
          <w:lang w:val="en-US" w:eastAsia="zh-CN" w:bidi="ar-SA"/>
        </w:rPr>
        <w:t>银政通</w:t>
      </w:r>
      <w:r>
        <w:rPr>
          <w:rFonts w:hint="eastAsia" w:ascii="仿宋_GB2312" w:hAnsi="Times New Roman" w:eastAsia="仿宋_GB2312" w:cs="Times New Roman"/>
          <w:color w:val="auto"/>
          <w:kern w:val="0"/>
          <w:sz w:val="32"/>
          <w:szCs w:val="32"/>
          <w:highlight w:val="none"/>
          <w:lang w:eastAsia="zh-CN"/>
        </w:rPr>
        <w:t>”</w:t>
      </w:r>
      <w:r>
        <w:rPr>
          <w:rFonts w:hint="eastAsia" w:ascii="仿宋_GB2312" w:hAnsi="Times New Roman" w:eastAsia="仿宋_GB2312" w:cs="Times New Roman"/>
          <w:color w:val="auto"/>
          <w:kern w:val="0"/>
          <w:sz w:val="32"/>
          <w:szCs w:val="32"/>
          <w:highlight w:val="none"/>
          <w:lang w:val="en-US" w:eastAsia="zh-CN" w:bidi="ar-SA"/>
        </w:rPr>
        <w:t>平台</w:t>
      </w:r>
      <w:r>
        <w:rPr>
          <w:rFonts w:hint="eastAsia" w:ascii="仿宋_GB2312" w:hAnsi="Times New Roman" w:eastAsia="仿宋_GB2312" w:cs="Times New Roman"/>
          <w:color w:val="auto"/>
          <w:kern w:val="0"/>
          <w:sz w:val="32"/>
          <w:szCs w:val="32"/>
          <w:highlight w:val="none"/>
        </w:rPr>
        <w:t>开发建设项目经费预算资金</w:t>
      </w:r>
      <w:r>
        <w:rPr>
          <w:rFonts w:hint="eastAsia" w:ascii="仿宋_GB2312" w:hAnsi="Times New Roman" w:eastAsia="仿宋_GB2312" w:cs="Times New Roman"/>
          <w:color w:val="auto"/>
          <w:kern w:val="0"/>
          <w:sz w:val="32"/>
          <w:szCs w:val="32"/>
          <w:highlight w:val="none"/>
          <w:lang w:val="en-US" w:eastAsia="zh-CN"/>
        </w:rPr>
        <w:t>15</w:t>
      </w:r>
      <w:r>
        <w:rPr>
          <w:rFonts w:hint="eastAsia" w:ascii="仿宋_GB2312" w:hAnsi="Times New Roman" w:eastAsia="仿宋_GB2312" w:cs="Times New Roman"/>
          <w:color w:val="auto"/>
          <w:kern w:val="0"/>
          <w:sz w:val="32"/>
          <w:szCs w:val="32"/>
          <w:highlight w:val="none"/>
        </w:rPr>
        <w:t>万元</w:t>
      </w:r>
      <w:r>
        <w:rPr>
          <w:rFonts w:hint="eastAsia" w:ascii="仿宋_GB2312" w:eastAsia="仿宋_GB2312" w:cs="Times New Roman"/>
          <w:color w:val="auto"/>
          <w:kern w:val="0"/>
          <w:sz w:val="32"/>
          <w:szCs w:val="32"/>
          <w:highlight w:val="none"/>
          <w:lang w:eastAsia="zh-CN"/>
        </w:rPr>
        <w:t>，</w:t>
      </w:r>
      <w:r>
        <w:rPr>
          <w:rFonts w:hint="eastAsia" w:ascii="仿宋_GB2312" w:hAnsi="Times New Roman" w:eastAsia="仿宋_GB2312" w:cs="Times New Roman"/>
          <w:color w:val="auto"/>
          <w:kern w:val="0"/>
          <w:sz w:val="32"/>
          <w:szCs w:val="32"/>
          <w:highlight w:val="none"/>
        </w:rPr>
        <w:t>该项目为市本级支付项目，由市财政全额保障。财政批复下达专项资金预算</w:t>
      </w:r>
      <w:r>
        <w:rPr>
          <w:rFonts w:hint="eastAsia" w:ascii="仿宋_GB2312" w:hAnsi="Times New Roman" w:eastAsia="仿宋_GB2312" w:cs="Times New Roman"/>
          <w:color w:val="auto"/>
          <w:kern w:val="0"/>
          <w:sz w:val="32"/>
          <w:szCs w:val="32"/>
          <w:highlight w:val="none"/>
          <w:lang w:val="en-US" w:eastAsia="zh-CN"/>
        </w:rPr>
        <w:t>15</w:t>
      </w:r>
      <w:r>
        <w:rPr>
          <w:rFonts w:hint="eastAsia" w:ascii="仿宋_GB2312" w:hAnsi="Times New Roman" w:eastAsia="仿宋_GB2312" w:cs="Times New Roman"/>
          <w:color w:val="auto"/>
          <w:kern w:val="0"/>
          <w:sz w:val="32"/>
          <w:szCs w:val="32"/>
          <w:highlight w:val="none"/>
        </w:rPr>
        <w:t>万元。</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ascii="仿宋_GB2312" w:hAnsi="宋体" w:eastAsia="仿宋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（二）资金计划、到位及使用情况。</w:t>
      </w:r>
    </w:p>
    <w:p>
      <w:pPr>
        <w:keepNext w:val="0"/>
        <w:keepLines w:val="0"/>
        <w:pageBreakBefore w:val="0"/>
        <w:shd w:val="clear"/>
        <w:kinsoku/>
        <w:wordWrap/>
        <w:overflowPunct/>
        <w:topLinePunct w:val="0"/>
        <w:autoSpaceDE/>
        <w:autoSpaceDN/>
        <w:bidi w:val="0"/>
        <w:adjustRightInd w:val="0"/>
        <w:snapToGrid w:val="0"/>
        <w:spacing w:line="560" w:lineRule="exact"/>
        <w:ind w:firstLine="720"/>
        <w:textAlignment w:val="auto"/>
        <w:rPr>
          <w:rFonts w:hint="eastAsia" w:ascii="仿宋_GB2312" w:hAnsi="Times New Roman" w:eastAsia="仿宋_GB2312" w:cs="Times New Roman"/>
          <w:color w:val="auto"/>
          <w:kern w:val="0"/>
          <w:sz w:val="32"/>
          <w:szCs w:val="32"/>
          <w:highlight w:val="none"/>
          <w:lang w:val="zh-CN"/>
        </w:rPr>
      </w:pPr>
      <w:r>
        <w:rPr>
          <w:rFonts w:hint="eastAsia" w:ascii="仿宋_GB2312" w:hAnsi="仿宋_GB2312" w:eastAsia="仿宋_GB2312" w:cs="仿宋_GB2312"/>
          <w:b w:val="0"/>
          <w:bCs w:val="0"/>
          <w:color w:val="auto"/>
          <w:sz w:val="32"/>
          <w:szCs w:val="32"/>
          <w:highlight w:val="none"/>
          <w:lang w:val="zh-CN"/>
        </w:rPr>
        <w:t>1．资金计划及到位。</w:t>
      </w:r>
      <w:r>
        <w:rPr>
          <w:rFonts w:hint="eastAsia" w:ascii="仿宋_GB2312" w:hAnsi="Times New Roman" w:eastAsia="仿宋_GB2312" w:cs="Times New Roman"/>
          <w:color w:val="auto"/>
          <w:kern w:val="0"/>
          <w:sz w:val="32"/>
          <w:szCs w:val="32"/>
          <w:highlight w:val="none"/>
          <w:lang w:eastAsia="zh-CN"/>
        </w:rPr>
        <w:t>“</w:t>
      </w:r>
      <w:r>
        <w:rPr>
          <w:rFonts w:hint="eastAsia" w:ascii="仿宋_GB2312" w:hAnsi="Times New Roman" w:eastAsia="仿宋_GB2312" w:cs="Times New Roman"/>
          <w:color w:val="auto"/>
          <w:kern w:val="0"/>
          <w:sz w:val="32"/>
          <w:szCs w:val="32"/>
          <w:highlight w:val="none"/>
          <w:lang w:val="en-US" w:eastAsia="zh-CN" w:bidi="ar-SA"/>
        </w:rPr>
        <w:t>银政通</w:t>
      </w:r>
      <w:r>
        <w:rPr>
          <w:rFonts w:hint="eastAsia" w:ascii="仿宋_GB2312" w:hAnsi="Times New Roman" w:eastAsia="仿宋_GB2312" w:cs="Times New Roman"/>
          <w:color w:val="auto"/>
          <w:kern w:val="0"/>
          <w:sz w:val="32"/>
          <w:szCs w:val="32"/>
          <w:highlight w:val="none"/>
          <w:lang w:eastAsia="zh-CN"/>
        </w:rPr>
        <w:t>”</w:t>
      </w:r>
      <w:r>
        <w:rPr>
          <w:rFonts w:hint="eastAsia" w:ascii="仿宋_GB2312" w:hAnsi="Times New Roman" w:eastAsia="仿宋_GB2312" w:cs="Times New Roman"/>
          <w:color w:val="auto"/>
          <w:kern w:val="0"/>
          <w:sz w:val="32"/>
          <w:szCs w:val="32"/>
          <w:highlight w:val="none"/>
          <w:lang w:val="en-US" w:eastAsia="zh-CN" w:bidi="ar-SA"/>
        </w:rPr>
        <w:t>平台</w:t>
      </w:r>
      <w:r>
        <w:rPr>
          <w:rFonts w:hint="eastAsia" w:ascii="仿宋_GB2312" w:hAnsi="Times New Roman" w:eastAsia="仿宋_GB2312" w:cs="Times New Roman"/>
          <w:color w:val="auto"/>
          <w:kern w:val="0"/>
          <w:sz w:val="32"/>
          <w:szCs w:val="32"/>
          <w:highlight w:val="none"/>
        </w:rPr>
        <w:t>开发建设项目经费全年安排</w:t>
      </w:r>
      <w:r>
        <w:rPr>
          <w:rFonts w:hint="eastAsia" w:ascii="仿宋_GB2312" w:hAnsi="Times New Roman" w:eastAsia="仿宋_GB2312" w:cs="Times New Roman"/>
          <w:color w:val="auto"/>
          <w:kern w:val="0"/>
          <w:sz w:val="32"/>
          <w:szCs w:val="32"/>
          <w:highlight w:val="none"/>
          <w:lang w:val="en-US" w:eastAsia="zh-CN"/>
        </w:rPr>
        <w:t>15</w:t>
      </w:r>
      <w:r>
        <w:rPr>
          <w:rFonts w:hint="eastAsia" w:ascii="仿宋_GB2312" w:hAnsi="Times New Roman" w:eastAsia="仿宋_GB2312" w:cs="Times New Roman"/>
          <w:color w:val="auto"/>
          <w:kern w:val="0"/>
          <w:sz w:val="32"/>
          <w:szCs w:val="32"/>
          <w:highlight w:val="none"/>
        </w:rPr>
        <w:t>万元</w:t>
      </w:r>
      <w:r>
        <w:rPr>
          <w:rFonts w:hint="eastAsia" w:ascii="仿宋_GB2312" w:hAnsi="Times New Roman" w:eastAsia="仿宋_GB2312" w:cs="Times New Roman"/>
          <w:color w:val="auto"/>
          <w:kern w:val="0"/>
          <w:sz w:val="32"/>
          <w:szCs w:val="32"/>
          <w:highlight w:val="none"/>
          <w:lang w:val="zh-CN"/>
        </w:rPr>
        <w:t>，资金全部到位。</w:t>
      </w:r>
    </w:p>
    <w:p>
      <w:pPr>
        <w:keepNext w:val="0"/>
        <w:keepLines w:val="0"/>
        <w:pageBreakBefore w:val="0"/>
        <w:shd w:val="clear"/>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color w:val="auto"/>
          <w:sz w:val="32"/>
          <w:szCs w:val="32"/>
          <w:highlight w:val="none"/>
          <w:lang w:val="zh-CN"/>
        </w:rPr>
      </w:pPr>
      <w:r>
        <w:rPr>
          <w:rFonts w:hint="eastAsia" w:ascii="仿宋_GB2312" w:hAnsi="仿宋_GB2312" w:eastAsia="仿宋_GB2312" w:cs="仿宋_GB2312"/>
          <w:b w:val="0"/>
          <w:bCs w:val="0"/>
          <w:color w:val="auto"/>
          <w:sz w:val="32"/>
          <w:szCs w:val="32"/>
          <w:highlight w:val="none"/>
          <w:lang w:val="zh-CN"/>
        </w:rPr>
        <w:t>2．资金使用。</w:t>
      </w:r>
      <w:r>
        <w:rPr>
          <w:rFonts w:hint="eastAsia" w:ascii="仿宋_GB2312" w:hAnsi="宋体" w:eastAsia="仿宋_GB2312" w:cs="Times New Roman"/>
          <w:color w:val="auto"/>
          <w:sz w:val="32"/>
          <w:szCs w:val="32"/>
          <w:highlight w:val="none"/>
          <w:lang w:val="zh-CN"/>
        </w:rPr>
        <w:t>截止202</w:t>
      </w:r>
      <w:r>
        <w:rPr>
          <w:rFonts w:hint="eastAsia" w:ascii="仿宋_GB2312" w:hAnsi="宋体" w:eastAsia="仿宋_GB2312" w:cs="Times New Roman"/>
          <w:color w:val="auto"/>
          <w:sz w:val="32"/>
          <w:szCs w:val="32"/>
          <w:highlight w:val="none"/>
          <w:lang w:val="en-US" w:eastAsia="zh-CN"/>
        </w:rPr>
        <w:t>2</w:t>
      </w:r>
      <w:r>
        <w:rPr>
          <w:rFonts w:hint="eastAsia" w:ascii="仿宋_GB2312" w:hAnsi="宋体" w:eastAsia="仿宋_GB2312" w:cs="Times New Roman"/>
          <w:color w:val="auto"/>
          <w:sz w:val="32"/>
          <w:szCs w:val="32"/>
          <w:highlight w:val="none"/>
          <w:lang w:val="zh-CN"/>
        </w:rPr>
        <w:t>年12月31日，</w:t>
      </w:r>
      <w:r>
        <w:rPr>
          <w:rFonts w:hint="eastAsia" w:ascii="仿宋_GB2312" w:hAnsi="Times New Roman" w:eastAsia="仿宋_GB2312" w:cs="Times New Roman"/>
          <w:color w:val="auto"/>
          <w:kern w:val="0"/>
          <w:sz w:val="32"/>
          <w:szCs w:val="32"/>
          <w:highlight w:val="none"/>
          <w:lang w:eastAsia="zh-CN"/>
        </w:rPr>
        <w:t>“</w:t>
      </w:r>
      <w:r>
        <w:rPr>
          <w:rFonts w:hint="eastAsia" w:ascii="仿宋_GB2312" w:hAnsi="Times New Roman" w:eastAsia="仿宋_GB2312" w:cs="Times New Roman"/>
          <w:color w:val="auto"/>
          <w:kern w:val="0"/>
          <w:sz w:val="32"/>
          <w:szCs w:val="32"/>
          <w:highlight w:val="none"/>
          <w:lang w:val="en-US" w:eastAsia="zh-CN" w:bidi="ar-SA"/>
        </w:rPr>
        <w:t>银政通</w:t>
      </w:r>
      <w:r>
        <w:rPr>
          <w:rFonts w:hint="eastAsia" w:ascii="仿宋_GB2312" w:hAnsi="Times New Roman" w:eastAsia="仿宋_GB2312" w:cs="Times New Roman"/>
          <w:color w:val="auto"/>
          <w:kern w:val="0"/>
          <w:sz w:val="32"/>
          <w:szCs w:val="32"/>
          <w:highlight w:val="none"/>
          <w:lang w:eastAsia="zh-CN"/>
        </w:rPr>
        <w:t>”</w:t>
      </w:r>
      <w:r>
        <w:rPr>
          <w:rFonts w:hint="eastAsia" w:ascii="仿宋_GB2312" w:hAnsi="Times New Roman" w:eastAsia="仿宋_GB2312" w:cs="Times New Roman"/>
          <w:color w:val="auto"/>
          <w:kern w:val="0"/>
          <w:sz w:val="32"/>
          <w:szCs w:val="32"/>
          <w:highlight w:val="none"/>
          <w:lang w:val="en-US" w:eastAsia="zh-CN" w:bidi="ar-SA"/>
        </w:rPr>
        <w:t>平台</w:t>
      </w:r>
      <w:r>
        <w:rPr>
          <w:rFonts w:hint="eastAsia" w:ascii="仿宋_GB2312" w:hAnsi="Times New Roman" w:eastAsia="仿宋_GB2312" w:cs="Times New Roman"/>
          <w:color w:val="auto"/>
          <w:kern w:val="0"/>
          <w:sz w:val="32"/>
          <w:szCs w:val="32"/>
          <w:highlight w:val="none"/>
        </w:rPr>
        <w:t>建设经费</w:t>
      </w:r>
      <w:r>
        <w:rPr>
          <w:rFonts w:hint="eastAsia" w:ascii="仿宋_GB2312" w:hAnsi="宋体" w:eastAsia="仿宋_GB2312" w:cs="Times New Roman"/>
          <w:color w:val="auto"/>
          <w:sz w:val="32"/>
          <w:szCs w:val="32"/>
          <w:highlight w:val="none"/>
          <w:lang w:val="zh-CN"/>
        </w:rPr>
        <w:t>实际支出</w:t>
      </w:r>
      <w:r>
        <w:rPr>
          <w:rFonts w:hint="eastAsia" w:ascii="仿宋_GB2312" w:hAnsi="宋体" w:eastAsia="仿宋_GB2312" w:cs="Times New Roman"/>
          <w:color w:val="auto"/>
          <w:sz w:val="32"/>
          <w:szCs w:val="32"/>
          <w:highlight w:val="none"/>
        </w:rPr>
        <w:t>1</w:t>
      </w:r>
      <w:r>
        <w:rPr>
          <w:rFonts w:hint="eastAsia" w:ascii="仿宋_GB2312" w:hAnsi="宋体" w:eastAsia="仿宋_GB2312" w:cs="Times New Roman"/>
          <w:color w:val="auto"/>
          <w:sz w:val="32"/>
          <w:szCs w:val="32"/>
          <w:highlight w:val="none"/>
          <w:lang w:val="en-US" w:eastAsia="zh-CN"/>
        </w:rPr>
        <w:t>4</w:t>
      </w:r>
      <w:r>
        <w:rPr>
          <w:rFonts w:hint="eastAsia" w:ascii="仿宋_GB2312" w:hAnsi="宋体" w:eastAsia="仿宋_GB2312" w:cs="Times New Roman"/>
          <w:color w:val="auto"/>
          <w:sz w:val="32"/>
          <w:szCs w:val="32"/>
          <w:highlight w:val="none"/>
        </w:rPr>
        <w:t>.9</w:t>
      </w:r>
      <w:r>
        <w:rPr>
          <w:rFonts w:hint="eastAsia" w:ascii="仿宋_GB2312" w:hAnsi="宋体" w:eastAsia="仿宋_GB2312" w:cs="Times New Roman"/>
          <w:color w:val="auto"/>
          <w:sz w:val="32"/>
          <w:szCs w:val="32"/>
          <w:highlight w:val="none"/>
          <w:lang w:val="en-US" w:eastAsia="zh-CN"/>
        </w:rPr>
        <w:t>2</w:t>
      </w:r>
      <w:r>
        <w:rPr>
          <w:rFonts w:hint="eastAsia" w:ascii="仿宋_GB2312" w:hAnsi="宋体" w:eastAsia="仿宋_GB2312" w:cs="Times New Roman"/>
          <w:color w:val="auto"/>
          <w:sz w:val="32"/>
          <w:szCs w:val="32"/>
          <w:highlight w:val="none"/>
          <w:lang w:val="zh-CN"/>
        </w:rPr>
        <w:t>万元，资金主要用于</w:t>
      </w:r>
      <w:r>
        <w:rPr>
          <w:rFonts w:hint="eastAsia" w:ascii="仿宋_GB2312" w:hAnsi="宋体" w:eastAsia="仿宋_GB2312" w:cs="Times New Roman"/>
          <w:color w:val="auto"/>
          <w:sz w:val="32"/>
          <w:szCs w:val="32"/>
          <w:highlight w:val="none"/>
        </w:rPr>
        <w:t>支付</w:t>
      </w:r>
      <w:r>
        <w:rPr>
          <w:rFonts w:hint="eastAsia" w:ascii="仿宋_GB2312" w:hAnsi="宋体" w:eastAsia="仿宋_GB2312" w:cs="Times New Roman"/>
          <w:color w:val="auto"/>
          <w:sz w:val="32"/>
          <w:szCs w:val="32"/>
          <w:highlight w:val="none"/>
          <w:lang w:val="zh-CN"/>
        </w:rPr>
        <w:t>软件公司</w:t>
      </w:r>
      <w:r>
        <w:rPr>
          <w:rFonts w:hint="eastAsia" w:ascii="仿宋_GB2312" w:hAnsi="宋体" w:eastAsia="仿宋_GB2312" w:cs="Times New Roman"/>
          <w:color w:val="auto"/>
          <w:sz w:val="32"/>
          <w:szCs w:val="32"/>
          <w:highlight w:val="none"/>
        </w:rPr>
        <w:t>系统开发建设费用，</w:t>
      </w:r>
      <w:r>
        <w:rPr>
          <w:rFonts w:hint="eastAsia" w:ascii="仿宋_GB2312" w:hAnsi="宋体" w:eastAsia="仿宋_GB2312" w:cs="Times New Roman"/>
          <w:color w:val="auto"/>
          <w:sz w:val="32"/>
          <w:szCs w:val="32"/>
          <w:highlight w:val="none"/>
          <w:lang w:val="zh-CN"/>
        </w:rPr>
        <w:t>全年支付进度达</w:t>
      </w:r>
      <w:r>
        <w:rPr>
          <w:rFonts w:hint="eastAsia" w:ascii="仿宋_GB2312" w:hAnsi="宋体" w:eastAsia="仿宋_GB2312" w:cs="Times New Roman"/>
          <w:color w:val="auto"/>
          <w:sz w:val="32"/>
          <w:szCs w:val="32"/>
          <w:highlight w:val="none"/>
          <w:lang w:val="en-US" w:eastAsia="zh-CN"/>
        </w:rPr>
        <w:t>100</w:t>
      </w:r>
      <w:r>
        <w:rPr>
          <w:rFonts w:hint="eastAsia" w:ascii="仿宋_GB2312" w:hAnsi="宋体" w:eastAsia="仿宋_GB2312" w:cs="Times New Roman"/>
          <w:color w:val="auto"/>
          <w:sz w:val="32"/>
          <w:szCs w:val="32"/>
          <w:highlight w:val="none"/>
          <w:lang w:val="zh-CN"/>
        </w:rPr>
        <w:t>%。经费严格按照机关出台的各项管理办法审核、审批、支付，依据合规合法。</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ascii="楷体_GB2312" w:hAnsi="宋体" w:eastAsia="楷体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（三）项目财务管理情况。</w:t>
      </w:r>
    </w:p>
    <w:p>
      <w:pPr>
        <w:keepNext w:val="0"/>
        <w:keepLines w:val="0"/>
        <w:pageBreakBefore w:val="0"/>
        <w:shd w:val="clear"/>
        <w:kinsoku/>
        <w:wordWrap/>
        <w:overflowPunct/>
        <w:topLinePunct w:val="0"/>
        <w:autoSpaceDE/>
        <w:autoSpaceDN/>
        <w:bidi w:val="0"/>
        <w:adjustRightInd w:val="0"/>
        <w:snapToGrid w:val="0"/>
        <w:spacing w:line="560" w:lineRule="exact"/>
        <w:ind w:firstLine="720"/>
        <w:textAlignment w:val="auto"/>
        <w:rPr>
          <w:rFonts w:ascii="仿宋_GB2312" w:hAnsi="宋体" w:eastAsia="仿宋_GB2312" w:cs="Times New Roman"/>
          <w:color w:val="auto"/>
          <w:sz w:val="32"/>
          <w:szCs w:val="32"/>
          <w:highlight w:val="none"/>
          <w:lang w:val="zh-CN"/>
        </w:rPr>
      </w:pPr>
      <w:r>
        <w:rPr>
          <w:rFonts w:hint="eastAsia" w:ascii="仿宋_GB2312" w:hAnsi="宋体" w:eastAsia="仿宋_GB2312" w:cs="Times New Roman"/>
          <w:color w:val="auto"/>
          <w:sz w:val="32"/>
          <w:szCs w:val="32"/>
          <w:highlight w:val="none"/>
          <w:lang w:val="zh-CN"/>
        </w:rPr>
        <w:t>根据《中华人民共和国预算法》等制度要求，</w:t>
      </w:r>
      <w:r>
        <w:rPr>
          <w:rFonts w:hint="eastAsia" w:ascii="仿宋_GB2312" w:hAnsi="宋体" w:eastAsia="仿宋_GB2312" w:cs="Times New Roman"/>
          <w:color w:val="auto"/>
          <w:sz w:val="32"/>
          <w:szCs w:val="32"/>
          <w:highlight w:val="none"/>
        </w:rPr>
        <w:t>本单位</w:t>
      </w:r>
      <w:r>
        <w:rPr>
          <w:rFonts w:hint="eastAsia" w:ascii="仿宋_GB2312" w:hAnsi="宋体" w:eastAsia="仿宋_GB2312" w:cs="Times New Roman"/>
          <w:color w:val="auto"/>
          <w:sz w:val="32"/>
          <w:szCs w:val="32"/>
          <w:highlight w:val="none"/>
          <w:lang w:val="zh-CN"/>
        </w:rPr>
        <w:t>对项目实行了国库集中支付，资金支出严格依据相关财务制度和预算标准执行，资金使用合法合规，财务信息真实完整，坚持了厉行节约，不存在资金截留、挤占和挪用现象。</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outlineLvl w:val="1"/>
        <w:rPr>
          <w:rFonts w:ascii="黑体" w:hAnsi="宋体" w:eastAsia="黑体" w:cs="Times New Roman"/>
          <w:b w:val="0"/>
          <w:bCs w:val="0"/>
          <w:color w:val="auto"/>
          <w:sz w:val="32"/>
          <w:szCs w:val="32"/>
          <w:highlight w:val="none"/>
          <w:u w:val="none"/>
        </w:rPr>
      </w:pPr>
      <w:bookmarkStart w:id="176" w:name="_Toc14110"/>
      <w:bookmarkStart w:id="177" w:name="_Toc24615"/>
      <w:r>
        <w:rPr>
          <w:rFonts w:hint="eastAsia" w:ascii="黑体" w:hAnsi="宋体" w:eastAsia="黑体" w:cs="Times New Roman"/>
          <w:b w:val="0"/>
          <w:bCs w:val="0"/>
          <w:color w:val="auto"/>
          <w:sz w:val="32"/>
          <w:szCs w:val="32"/>
          <w:highlight w:val="none"/>
          <w:u w:val="none"/>
        </w:rPr>
        <w:t>三、项目实施及管理情况</w:t>
      </w:r>
      <w:bookmarkEnd w:id="176"/>
      <w:bookmarkEnd w:id="177"/>
    </w:p>
    <w:p>
      <w:pPr>
        <w:keepNext w:val="0"/>
        <w:keepLines w:val="0"/>
        <w:pageBreakBefore w:val="0"/>
        <w:widowControl w:val="0"/>
        <w:numPr>
          <w:ilvl w:val="0"/>
          <w:numId w:val="8"/>
        </w:numPr>
        <w:shd w:val="clear"/>
        <w:kinsoku/>
        <w:wordWrap/>
        <w:overflowPunct/>
        <w:topLinePunct w:val="0"/>
        <w:autoSpaceDE/>
        <w:autoSpaceDN/>
        <w:bidi w:val="0"/>
        <w:adjustRightInd w:val="0"/>
        <w:snapToGrid w:val="0"/>
        <w:spacing w:line="560" w:lineRule="exact"/>
        <w:ind w:firstLine="640" w:firstLineChars="200"/>
        <w:jc w:val="both"/>
        <w:textAlignment w:val="auto"/>
        <w:rPr>
          <w:rFonts w:hint="eastAsia" w:ascii="楷体_GB2312" w:hAnsi="宋体" w:eastAsia="楷体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项目组织架构及实施流程。</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720"/>
        <w:jc w:val="both"/>
        <w:textAlignment w:val="auto"/>
        <w:rPr>
          <w:rFonts w:ascii="仿宋_GB2312" w:hAnsi="宋体" w:eastAsia="仿宋_GB2312" w:cs="Times New Roman"/>
          <w:color w:val="auto"/>
          <w:kern w:val="2"/>
          <w:sz w:val="32"/>
          <w:szCs w:val="32"/>
          <w:highlight w:val="none"/>
          <w:lang w:val="en-US" w:eastAsia="zh-CN" w:bidi="ar-SA"/>
        </w:rPr>
      </w:pPr>
      <w:r>
        <w:rPr>
          <w:rFonts w:hint="eastAsia" w:ascii="仿宋_GB2312" w:hAnsi="宋体" w:eastAsia="仿宋_GB2312" w:cs="Times New Roman"/>
          <w:color w:val="auto"/>
          <w:kern w:val="2"/>
          <w:sz w:val="32"/>
          <w:szCs w:val="32"/>
          <w:highlight w:val="none"/>
          <w:lang w:val="en-US" w:eastAsia="zh-CN" w:bidi="ar-SA"/>
        </w:rPr>
        <w:t>广元市住房公积金管理中心</w:t>
      </w:r>
      <w:r>
        <w:rPr>
          <w:rFonts w:hint="eastAsia" w:ascii="仿宋_GB2312" w:hAnsi="宋体" w:eastAsia="仿宋_GB2312" w:cs="Times New Roman"/>
          <w:color w:val="auto"/>
          <w:kern w:val="2"/>
          <w:sz w:val="32"/>
          <w:szCs w:val="32"/>
          <w:highlight w:val="none"/>
          <w:lang w:val="zh-CN" w:eastAsia="zh-CN" w:bidi="ar-SA"/>
        </w:rPr>
        <w:t>是项目的主管部门和实施部门，按照</w:t>
      </w:r>
      <w:r>
        <w:rPr>
          <w:rFonts w:hint="eastAsia" w:ascii="仿宋_GB2312" w:hAnsi="宋体" w:eastAsia="仿宋_GB2312" w:cs="Times New Roman"/>
          <w:color w:val="auto"/>
          <w:kern w:val="2"/>
          <w:sz w:val="32"/>
          <w:szCs w:val="32"/>
          <w:highlight w:val="none"/>
          <w:lang w:val="en-US" w:eastAsia="zh-CN" w:bidi="ar-SA"/>
        </w:rPr>
        <w:t>单位内</w:t>
      </w:r>
      <w:r>
        <w:rPr>
          <w:rFonts w:hint="eastAsia" w:ascii="仿宋_GB2312" w:hAnsi="宋体" w:eastAsia="仿宋_GB2312" w:cs="Times New Roman"/>
          <w:color w:val="auto"/>
          <w:kern w:val="2"/>
          <w:sz w:val="32"/>
          <w:szCs w:val="32"/>
          <w:highlight w:val="none"/>
          <w:lang w:val="zh-CN" w:eastAsia="zh-CN" w:bidi="ar-SA"/>
        </w:rPr>
        <w:t>工作归口</w:t>
      </w:r>
      <w:r>
        <w:rPr>
          <w:rFonts w:hint="eastAsia" w:ascii="仿宋_GB2312" w:hAnsi="宋体" w:eastAsia="仿宋_GB2312" w:cs="Times New Roman"/>
          <w:color w:val="auto"/>
          <w:kern w:val="2"/>
          <w:sz w:val="32"/>
          <w:szCs w:val="32"/>
          <w:highlight w:val="none"/>
          <w:lang w:val="en-US" w:eastAsia="zh-CN" w:bidi="ar-SA"/>
        </w:rPr>
        <w:t>信息技术科</w:t>
      </w:r>
      <w:r>
        <w:rPr>
          <w:rFonts w:hint="eastAsia" w:ascii="仿宋_GB2312" w:hAnsi="宋体" w:eastAsia="仿宋_GB2312" w:cs="Times New Roman"/>
          <w:color w:val="auto"/>
          <w:kern w:val="2"/>
          <w:sz w:val="32"/>
          <w:szCs w:val="32"/>
          <w:highlight w:val="none"/>
          <w:lang w:val="zh-CN" w:eastAsia="zh-CN" w:bidi="ar-SA"/>
        </w:rPr>
        <w:t>管理，在办公室统筹协调下，由</w:t>
      </w:r>
      <w:r>
        <w:rPr>
          <w:rFonts w:hint="eastAsia" w:ascii="仿宋_GB2312" w:hAnsi="宋体" w:eastAsia="仿宋_GB2312" w:cs="Times New Roman"/>
          <w:color w:val="auto"/>
          <w:kern w:val="2"/>
          <w:sz w:val="32"/>
          <w:szCs w:val="32"/>
          <w:highlight w:val="none"/>
          <w:lang w:val="en-US" w:eastAsia="zh-CN" w:bidi="ar-SA"/>
        </w:rPr>
        <w:t>信息技术科具体组织项目实施</w:t>
      </w:r>
      <w:r>
        <w:rPr>
          <w:rFonts w:hint="eastAsia" w:ascii="仿宋_GB2312" w:hAnsi="宋体" w:eastAsia="仿宋_GB2312" w:cs="Times New Roman"/>
          <w:color w:val="auto"/>
          <w:kern w:val="2"/>
          <w:sz w:val="32"/>
          <w:szCs w:val="32"/>
          <w:highlight w:val="none"/>
          <w:lang w:val="zh-CN" w:eastAsia="zh-CN" w:bidi="ar-SA"/>
        </w:rPr>
        <w:t>，</w:t>
      </w:r>
      <w:r>
        <w:rPr>
          <w:rFonts w:hint="eastAsia" w:ascii="仿宋_GB2312" w:hAnsi="宋体" w:eastAsia="仿宋_GB2312" w:cs="Times New Roman"/>
          <w:color w:val="auto"/>
          <w:kern w:val="2"/>
          <w:sz w:val="32"/>
          <w:szCs w:val="32"/>
          <w:highlight w:val="none"/>
          <w:lang w:val="en-US" w:eastAsia="zh-CN" w:bidi="ar-SA"/>
        </w:rPr>
        <w:t>办公室</w:t>
      </w:r>
      <w:r>
        <w:rPr>
          <w:rFonts w:hint="eastAsia" w:ascii="仿宋_GB2312" w:hAnsi="宋体" w:eastAsia="仿宋_GB2312" w:cs="Times New Roman"/>
          <w:color w:val="auto"/>
          <w:kern w:val="2"/>
          <w:sz w:val="32"/>
          <w:szCs w:val="32"/>
          <w:highlight w:val="none"/>
          <w:lang w:val="zh-CN" w:eastAsia="zh-CN" w:bidi="ar-SA"/>
        </w:rPr>
        <w:t>及时进行账务处理，规范进行会计核算。</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zh-CN"/>
        </w:rPr>
      </w:pPr>
      <w:r>
        <w:rPr>
          <w:rFonts w:hint="eastAsia" w:ascii="楷体_GB2312" w:hAnsi="宋体" w:eastAsia="楷体_GB2312" w:cs="Times New Roman"/>
          <w:b w:val="0"/>
          <w:bCs w:val="0"/>
          <w:strike w:val="0"/>
          <w:dstrike w:val="0"/>
          <w:color w:val="auto"/>
          <w:sz w:val="32"/>
          <w:szCs w:val="32"/>
          <w:highlight w:val="none"/>
          <w:u w:val="none"/>
          <w:lang w:val="zh-CN"/>
        </w:rPr>
        <w:t>（二）项目管理情况。</w:t>
      </w:r>
      <w:r>
        <w:rPr>
          <w:rFonts w:hint="eastAsia" w:ascii="仿宋_GB2312" w:hAnsi="仿宋_GB2312" w:eastAsia="仿宋_GB2312" w:cs="仿宋_GB2312"/>
          <w:strike w:val="0"/>
          <w:color w:val="auto"/>
          <w:sz w:val="32"/>
          <w:szCs w:val="32"/>
          <w:highlight w:val="none"/>
          <w:u w:val="none"/>
          <w:lang w:val="en-US" w:eastAsia="zh-CN"/>
        </w:rPr>
        <w:t>2</w:t>
      </w:r>
      <w:r>
        <w:rPr>
          <w:rFonts w:hint="eastAsia" w:ascii="仿宋_GB2312" w:hAnsi="仿宋_GB2312" w:eastAsia="仿宋_GB2312" w:cs="仿宋_GB2312"/>
          <w:color w:val="auto"/>
          <w:sz w:val="32"/>
          <w:szCs w:val="32"/>
          <w:highlight w:val="none"/>
          <w:lang w:val="en-US" w:eastAsia="zh-CN"/>
        </w:rPr>
        <w:t>022年</w:t>
      </w:r>
      <w:r>
        <w:rPr>
          <w:rFonts w:hint="eastAsia" w:ascii="仿宋_GB2312" w:hAnsi="Times New Roman" w:eastAsia="仿宋_GB2312" w:cs="Times New Roman"/>
          <w:color w:val="auto"/>
          <w:kern w:val="0"/>
          <w:sz w:val="32"/>
          <w:szCs w:val="32"/>
          <w:highlight w:val="none"/>
          <w:lang w:eastAsia="zh-CN"/>
        </w:rPr>
        <w:t>“</w:t>
      </w:r>
      <w:r>
        <w:rPr>
          <w:rFonts w:hint="eastAsia" w:ascii="仿宋_GB2312" w:hAnsi="Times New Roman" w:eastAsia="仿宋_GB2312" w:cs="Times New Roman"/>
          <w:color w:val="auto"/>
          <w:kern w:val="0"/>
          <w:sz w:val="32"/>
          <w:szCs w:val="32"/>
          <w:highlight w:val="none"/>
          <w:lang w:val="en-US" w:eastAsia="zh-CN" w:bidi="ar-SA"/>
        </w:rPr>
        <w:t>银政通</w:t>
      </w:r>
      <w:r>
        <w:rPr>
          <w:rFonts w:hint="eastAsia" w:ascii="仿宋_GB2312" w:hAnsi="Times New Roman" w:eastAsia="仿宋_GB2312" w:cs="Times New Roman"/>
          <w:color w:val="auto"/>
          <w:kern w:val="0"/>
          <w:sz w:val="32"/>
          <w:szCs w:val="32"/>
          <w:highlight w:val="none"/>
          <w:lang w:eastAsia="zh-CN"/>
        </w:rPr>
        <w:t>”</w:t>
      </w:r>
      <w:r>
        <w:rPr>
          <w:rFonts w:hint="eastAsia" w:ascii="仿宋_GB2312" w:hAnsi="Times New Roman" w:eastAsia="仿宋_GB2312" w:cs="Times New Roman"/>
          <w:color w:val="auto"/>
          <w:kern w:val="0"/>
          <w:sz w:val="32"/>
          <w:szCs w:val="32"/>
          <w:highlight w:val="none"/>
          <w:lang w:val="en-US" w:eastAsia="zh-CN" w:bidi="ar-SA"/>
        </w:rPr>
        <w:t>平台建设</w:t>
      </w:r>
      <w:r>
        <w:rPr>
          <w:rFonts w:hint="eastAsia" w:ascii="仿宋_GB2312" w:hAnsi="仿宋_GB2312" w:eastAsia="仿宋_GB2312" w:cs="仿宋_GB2312"/>
          <w:color w:val="auto"/>
          <w:sz w:val="32"/>
          <w:szCs w:val="32"/>
          <w:highlight w:val="none"/>
          <w:lang w:eastAsia="zh-CN"/>
        </w:rPr>
        <w:t>专</w:t>
      </w:r>
      <w:r>
        <w:rPr>
          <w:rFonts w:hint="eastAsia" w:ascii="仿宋_GB2312" w:hAnsi="仿宋_GB2312" w:eastAsia="仿宋_GB2312" w:cs="仿宋_GB2312"/>
          <w:color w:val="auto"/>
          <w:sz w:val="32"/>
          <w:szCs w:val="32"/>
          <w:highlight w:val="none"/>
        </w:rPr>
        <w:t>项</w:t>
      </w:r>
      <w:r>
        <w:rPr>
          <w:rFonts w:hint="eastAsia" w:ascii="仿宋_GB2312" w:hAnsi="仿宋_GB2312" w:eastAsia="仿宋_GB2312" w:cs="仿宋_GB2312"/>
          <w:color w:val="auto"/>
          <w:sz w:val="32"/>
          <w:szCs w:val="32"/>
          <w:highlight w:val="none"/>
          <w:lang w:eastAsia="zh-CN"/>
        </w:rPr>
        <w:t>工作经费</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项目相关管理制度机制健全完善，在项目执行过程中，无管理制度有悖于实际的情况，无存在难以操作、无法落地、执行不畅的等情况。</w:t>
      </w:r>
    </w:p>
    <w:p>
      <w:pPr>
        <w:keepNext w:val="0"/>
        <w:keepLines w:val="0"/>
        <w:pageBreakBefore w:val="0"/>
        <w:widowControl/>
        <w:suppressLineNumbers w:val="0"/>
        <w:shd w:val="clear"/>
        <w:kinsoku/>
        <w:wordWrap/>
        <w:overflowPunct/>
        <w:topLinePunct w:val="0"/>
        <w:autoSpaceDE/>
        <w:autoSpaceDN/>
        <w:bidi w:val="0"/>
        <w:spacing w:line="560"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楷体_GB2312" w:hAnsi="宋体" w:eastAsia="楷体_GB2312" w:cs="Times New Roman"/>
          <w:b w:val="0"/>
          <w:bCs w:val="0"/>
          <w:strike w:val="0"/>
          <w:dstrike w:val="0"/>
          <w:color w:val="auto"/>
          <w:sz w:val="32"/>
          <w:szCs w:val="32"/>
          <w:highlight w:val="none"/>
          <w:u w:val="none"/>
          <w:lang w:val="zh-CN"/>
        </w:rPr>
        <w:t>（三）项目监管情况。</w:t>
      </w:r>
      <w:r>
        <w:rPr>
          <w:rFonts w:hint="eastAsia" w:ascii="仿宋_GB2312" w:hAnsi="仿宋_GB2312" w:eastAsia="仿宋_GB2312" w:cs="仿宋_GB2312"/>
          <w:i w:val="0"/>
          <w:caps w:val="0"/>
          <w:color w:val="auto"/>
          <w:spacing w:val="0"/>
          <w:kern w:val="0"/>
          <w:sz w:val="32"/>
          <w:szCs w:val="32"/>
          <w:highlight w:val="none"/>
          <w:shd w:val="clear" w:fill="FFFFFF"/>
          <w:lang w:val="en-US" w:eastAsia="zh-CN" w:bidi="ar"/>
        </w:rPr>
        <w:t>每月通报预算执行进度，适时进行预算绩效监控，召开专题会议，研究项目推进，督促项目加快实施，有力保障财政资金的使用效益，确保绩效目标如期保质保量实现。</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outlineLvl w:val="1"/>
        <w:rPr>
          <w:rFonts w:ascii="仿宋_GB2312" w:hAnsi="宋体" w:eastAsia="仿宋_GB2312" w:cs="Times New Roman"/>
          <w:b w:val="0"/>
          <w:bCs w:val="0"/>
          <w:color w:val="auto"/>
          <w:sz w:val="32"/>
          <w:szCs w:val="32"/>
          <w:highlight w:val="none"/>
          <w:u w:val="none"/>
          <w:lang w:val="zh-CN"/>
        </w:rPr>
      </w:pPr>
      <w:bookmarkStart w:id="178" w:name="_Toc8280"/>
      <w:bookmarkStart w:id="179" w:name="_Toc24216"/>
      <w:r>
        <w:rPr>
          <w:rFonts w:hint="eastAsia" w:ascii="黑体" w:hAnsi="宋体" w:eastAsia="黑体" w:cs="Times New Roman"/>
          <w:b w:val="0"/>
          <w:bCs w:val="0"/>
          <w:color w:val="auto"/>
          <w:sz w:val="32"/>
          <w:szCs w:val="32"/>
          <w:highlight w:val="none"/>
          <w:u w:val="none"/>
        </w:rPr>
        <w:t>四、项目绩效情况</w:t>
      </w:r>
      <w:bookmarkEnd w:id="178"/>
      <w:bookmarkEnd w:id="179"/>
      <w:r>
        <w:rPr>
          <w:rFonts w:hint="eastAsia" w:ascii="仿宋_GB2312" w:hAnsi="宋体" w:eastAsia="仿宋_GB2312" w:cs="Times New Roman"/>
          <w:b w:val="0"/>
          <w:bCs w:val="0"/>
          <w:color w:val="auto"/>
          <w:sz w:val="32"/>
          <w:szCs w:val="32"/>
          <w:highlight w:val="none"/>
          <w:u w:val="none"/>
          <w:lang w:val="zh-CN"/>
        </w:rPr>
        <w:tab/>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ascii="楷体_GB2312" w:hAnsi="宋体" w:eastAsia="楷体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（一）项目完成情况。</w:t>
      </w:r>
    </w:p>
    <w:p>
      <w:pPr>
        <w:keepNext w:val="0"/>
        <w:keepLines w:val="0"/>
        <w:pageBreakBefore w:val="0"/>
        <w:shd w:val="clear"/>
        <w:kinsoku/>
        <w:wordWrap/>
        <w:overflowPunct/>
        <w:topLinePunct w:val="0"/>
        <w:autoSpaceDE/>
        <w:autoSpaceDN/>
        <w:bidi w:val="0"/>
        <w:spacing w:line="560" w:lineRule="exact"/>
        <w:ind w:firstLine="707" w:firstLineChars="221"/>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2022年公积金归集提取专项工作经费14.92万元</w:t>
      </w:r>
      <w:r>
        <w:rPr>
          <w:rFonts w:hint="eastAsia" w:ascii="仿宋_GB2312" w:hAnsi="仿宋_GB2312" w:eastAsia="仿宋_GB2312" w:cs="仿宋_GB2312"/>
          <w:color w:val="auto"/>
          <w:kern w:val="2"/>
          <w:sz w:val="32"/>
          <w:szCs w:val="32"/>
          <w:highlight w:val="none"/>
          <w:lang w:val="en" w:eastAsia="zh-CN" w:bidi="ar-SA"/>
        </w:rPr>
        <w:t>万元</w:t>
      </w:r>
      <w:r>
        <w:rPr>
          <w:rFonts w:hint="eastAsia" w:ascii="仿宋_GB2312" w:hAnsi="仿宋_GB2312" w:eastAsia="仿宋_GB2312" w:cs="仿宋_GB2312"/>
          <w:color w:val="auto"/>
          <w:kern w:val="2"/>
          <w:sz w:val="32"/>
          <w:szCs w:val="32"/>
          <w:highlight w:val="none"/>
          <w:lang w:val="en-US" w:eastAsia="zh-CN" w:bidi="ar-SA"/>
        </w:rPr>
        <w:t>，完成率99.47%。</w:t>
      </w:r>
      <w:r>
        <w:rPr>
          <w:rFonts w:hint="eastAsia" w:ascii="仿宋_GB2312" w:hAnsi="仿宋_GB2312" w:eastAsia="仿宋_GB2312" w:cs="仿宋_GB2312"/>
          <w:color w:val="auto"/>
          <w:sz w:val="32"/>
          <w:szCs w:val="32"/>
          <w:highlight w:val="none"/>
          <w:lang w:val="zh-CN"/>
        </w:rPr>
        <w:t>在1</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lang w:val="zh-CN"/>
        </w:rPr>
        <w:t>月份完成项目建设，组织了相关人员对软件进行了验收，验收合格并按照合同支付款项。</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ascii="楷体_GB2312" w:hAnsi="宋体" w:eastAsia="楷体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（二）项目效益情况。</w:t>
      </w:r>
    </w:p>
    <w:p>
      <w:pPr>
        <w:keepNext w:val="0"/>
        <w:keepLines w:val="0"/>
        <w:pageBreakBefore w:val="0"/>
        <w:shd w:val="clea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val="zh-CN"/>
        </w:rPr>
      </w:pPr>
      <w:r>
        <w:rPr>
          <w:rFonts w:hint="eastAsia" w:ascii="仿宋_GB2312" w:hAnsi="仿宋_GB2312" w:eastAsia="仿宋_GB2312" w:cs="仿宋_GB2312"/>
          <w:color w:val="auto"/>
          <w:sz w:val="32"/>
          <w:szCs w:val="32"/>
          <w:highlight w:val="none"/>
          <w:lang w:val="zh-CN"/>
        </w:rPr>
        <w:t>1</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lang w:val="en-US" w:eastAsia="zh-CN" w:bidi="ar-SA"/>
        </w:rPr>
        <w:t>银政通</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lang w:val="en-US" w:eastAsia="zh-CN" w:bidi="ar-SA"/>
        </w:rPr>
        <w:t>平台</w:t>
      </w:r>
      <w:r>
        <w:rPr>
          <w:rFonts w:hint="eastAsia" w:ascii="仿宋_GB2312" w:hAnsi="仿宋_GB2312" w:eastAsia="仿宋_GB2312" w:cs="仿宋_GB2312"/>
          <w:color w:val="auto"/>
          <w:sz w:val="32"/>
          <w:szCs w:val="32"/>
          <w:highlight w:val="none"/>
          <w:lang w:val="zh-CN"/>
        </w:rPr>
        <w:t>项目的实施，提升了</w:t>
      </w:r>
      <w:r>
        <w:rPr>
          <w:rFonts w:hint="eastAsia" w:ascii="仿宋_GB2312" w:hAnsi="仿宋_GB2312" w:eastAsia="仿宋_GB2312" w:cs="仿宋_GB2312"/>
          <w:color w:val="auto"/>
          <w:sz w:val="32"/>
          <w:szCs w:val="32"/>
          <w:highlight w:val="none"/>
          <w:lang w:val="zh-CN" w:eastAsia="zh-CN"/>
        </w:rPr>
        <w:t>全市住房公积金</w:t>
      </w:r>
      <w:r>
        <w:rPr>
          <w:rFonts w:hint="eastAsia" w:ascii="仿宋_GB2312" w:hAnsi="仿宋_GB2312" w:eastAsia="仿宋_GB2312" w:cs="仿宋_GB2312"/>
          <w:color w:val="auto"/>
          <w:sz w:val="32"/>
          <w:szCs w:val="32"/>
          <w:highlight w:val="none"/>
          <w:lang w:val="zh-CN"/>
        </w:rPr>
        <w:t>的服务质量、服务能力、推进了一次不跑和最多跑一次的落实落地，有效的提高了群众的办事体验。</w:t>
      </w:r>
    </w:p>
    <w:p>
      <w:pPr>
        <w:keepNext w:val="0"/>
        <w:keepLines w:val="0"/>
        <w:pageBreakBefore w:val="0"/>
        <w:widowControl w:val="0"/>
        <w:shd w:val="clear"/>
        <w:kinsoku/>
        <w:wordWrap/>
        <w:overflowPunct/>
        <w:topLinePunct w:val="0"/>
        <w:autoSpaceDE/>
        <w:autoSpaceDN/>
        <w:bidi w:val="0"/>
        <w:spacing w:line="560" w:lineRule="exact"/>
        <w:ind w:firstLine="707" w:firstLineChars="221"/>
        <w:jc w:val="both"/>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2</w:t>
      </w:r>
      <w:r>
        <w:rPr>
          <w:rFonts w:hint="eastAsia" w:ascii="仿宋_GB2312" w:hAnsi="仿宋_GB2312" w:eastAsia="仿宋_GB2312" w:cs="仿宋_GB2312"/>
          <w:color w:val="auto"/>
          <w:kern w:val="2"/>
          <w:sz w:val="32"/>
          <w:szCs w:val="32"/>
          <w:highlight w:val="none"/>
          <w:lang w:val="en-US" w:eastAsia="zh-CN" w:bidi="ar-SA"/>
        </w:rPr>
        <w:t>.</w:t>
      </w:r>
      <w:r>
        <w:rPr>
          <w:rFonts w:hint="eastAsia" w:ascii="仿宋_GB2312" w:hAnsi="仿宋_GB2312" w:eastAsia="仿宋_GB2312" w:cs="仿宋_GB2312"/>
          <w:color w:val="auto"/>
          <w:kern w:val="2"/>
          <w:sz w:val="32"/>
          <w:szCs w:val="32"/>
          <w:highlight w:val="none"/>
          <w:lang w:val="zh-CN" w:eastAsia="zh-CN" w:bidi="ar-SA"/>
        </w:rPr>
        <w:t>群众和企业满意度达9</w:t>
      </w:r>
      <w:r>
        <w:rPr>
          <w:rFonts w:hint="eastAsia" w:ascii="仿宋_GB2312" w:hAnsi="仿宋_GB2312" w:eastAsia="仿宋_GB2312" w:cs="仿宋_GB2312"/>
          <w:color w:val="auto"/>
          <w:kern w:val="2"/>
          <w:sz w:val="32"/>
          <w:szCs w:val="32"/>
          <w:highlight w:val="none"/>
          <w:lang w:val="en-US" w:eastAsia="zh-CN" w:bidi="ar-SA"/>
        </w:rPr>
        <w:t>9</w:t>
      </w:r>
      <w:r>
        <w:rPr>
          <w:rFonts w:hint="eastAsia" w:ascii="仿宋_GB2312" w:hAnsi="仿宋_GB2312" w:eastAsia="仿宋_GB2312" w:cs="仿宋_GB2312"/>
          <w:color w:val="auto"/>
          <w:kern w:val="2"/>
          <w:sz w:val="32"/>
          <w:szCs w:val="32"/>
          <w:highlight w:val="none"/>
          <w:lang w:val="zh-CN" w:eastAsia="zh-CN" w:bidi="ar-SA"/>
        </w:rPr>
        <w:t>%以上。</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outlineLvl w:val="1"/>
        <w:rPr>
          <w:rFonts w:ascii="黑体" w:hAnsi="宋体" w:eastAsia="黑体" w:cs="Times New Roman"/>
          <w:b w:val="0"/>
          <w:bCs w:val="0"/>
          <w:color w:val="auto"/>
          <w:sz w:val="32"/>
          <w:szCs w:val="32"/>
          <w:highlight w:val="none"/>
          <w:u w:val="none"/>
        </w:rPr>
      </w:pPr>
      <w:bookmarkStart w:id="180" w:name="_Toc6751"/>
      <w:bookmarkStart w:id="181" w:name="_Toc19796"/>
      <w:r>
        <w:rPr>
          <w:rFonts w:hint="eastAsia" w:ascii="黑体" w:hAnsi="宋体" w:eastAsia="黑体" w:cs="Times New Roman"/>
          <w:b w:val="0"/>
          <w:bCs w:val="0"/>
          <w:color w:val="auto"/>
          <w:sz w:val="32"/>
          <w:szCs w:val="32"/>
          <w:highlight w:val="none"/>
          <w:u w:val="none"/>
        </w:rPr>
        <w:t>五、评价结论及建议</w:t>
      </w:r>
      <w:bookmarkEnd w:id="180"/>
      <w:bookmarkEnd w:id="181"/>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ascii="楷体_GB2312" w:hAnsi="宋体" w:eastAsia="楷体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（一）评价结论。</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u w:val="none"/>
          <w:shd w:val="clear" w:color="auto" w:fill="FFFFFF"/>
          <w:lang w:val="zh-CN"/>
        </w:rPr>
        <w:t>2022年根据相关要求，实施项目开发到应用，加强公积金银行信息共享及业务协同，促进金融服务数字化转型，根据预算项目支出绩效评价指标体系指标最终自评得分</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94</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分。</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 xml:space="preserve">     </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ascii="楷体_GB2312" w:hAnsi="宋体" w:eastAsia="楷体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（二）存在的问题。</w:t>
      </w:r>
    </w:p>
    <w:p>
      <w:pPr>
        <w:keepNext w:val="0"/>
        <w:keepLines w:val="0"/>
        <w:pageBreakBefore w:val="0"/>
        <w:pBdr>
          <w:bottom w:val="single" w:color="FFFFFF" w:sz="4" w:space="29"/>
        </w:pBdr>
        <w:shd w:val="clear"/>
        <w:tabs>
          <w:tab w:val="left" w:pos="1440"/>
        </w:tabs>
        <w:kinsoku/>
        <w:wordWrap/>
        <w:overflowPunct/>
        <w:topLinePunct w:val="0"/>
        <w:autoSpaceDE/>
        <w:autoSpaceDN/>
        <w:bidi w:val="0"/>
        <w:spacing w:line="560" w:lineRule="exact"/>
        <w:ind w:firstLine="627" w:firstLineChars="196"/>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个别银行数据不及时、有链路故障等情况。</w:t>
      </w:r>
    </w:p>
    <w:p>
      <w:pPr>
        <w:keepNext w:val="0"/>
        <w:keepLines w:val="0"/>
        <w:pageBreakBefore w:val="0"/>
        <w:numPr>
          <w:ilvl w:val="0"/>
          <w:numId w:val="8"/>
        </w:numPr>
        <w:pBdr>
          <w:bottom w:val="single" w:color="FFFFFF" w:sz="4" w:space="29"/>
        </w:pBdr>
        <w:shd w:val="clear"/>
        <w:tabs>
          <w:tab w:val="left" w:pos="1440"/>
        </w:tabs>
        <w:kinsoku/>
        <w:wordWrap/>
        <w:overflowPunct/>
        <w:topLinePunct w:val="0"/>
        <w:autoSpaceDE/>
        <w:autoSpaceDN/>
        <w:bidi w:val="0"/>
        <w:spacing w:line="560" w:lineRule="exact"/>
        <w:ind w:left="0" w:leftChars="0" w:firstLine="640" w:firstLineChars="200"/>
        <w:textAlignment w:val="auto"/>
        <w:rPr>
          <w:rFonts w:ascii="Times New Roman" w:hAnsi="Times New Roman" w:eastAsia="仿宋_GB2312" w:cs="Times New Roman"/>
          <w:color w:val="auto"/>
          <w:sz w:val="32"/>
          <w:szCs w:val="32"/>
          <w:highlight w:val="none"/>
          <w:lang w:val="zh-CN"/>
        </w:rPr>
      </w:pPr>
      <w:r>
        <w:rPr>
          <w:rFonts w:hint="eastAsia" w:ascii="楷体_GB2312" w:hAnsi="宋体" w:eastAsia="楷体_GB2312" w:cs="Times New Roman"/>
          <w:b w:val="0"/>
          <w:bCs w:val="0"/>
          <w:color w:val="auto"/>
          <w:sz w:val="32"/>
          <w:szCs w:val="32"/>
          <w:highlight w:val="none"/>
          <w:u w:val="none"/>
          <w:lang w:val="zh-CN"/>
        </w:rPr>
        <w:t>相关建议。</w:t>
      </w:r>
    </w:p>
    <w:p>
      <w:pPr>
        <w:keepNext w:val="0"/>
        <w:keepLines w:val="0"/>
        <w:pageBreakBefore w:val="0"/>
        <w:pBdr>
          <w:bottom w:val="single" w:color="FFFFFF" w:sz="4" w:space="29"/>
        </w:pBdr>
        <w:shd w:val="clear"/>
        <w:tabs>
          <w:tab w:val="left" w:pos="1440"/>
        </w:tabs>
        <w:kinsoku/>
        <w:wordWrap/>
        <w:overflowPunct/>
        <w:topLinePunct w:val="0"/>
        <w:autoSpaceDE/>
        <w:autoSpaceDN/>
        <w:bidi w:val="0"/>
        <w:spacing w:line="560" w:lineRule="exact"/>
        <w:ind w:firstLine="627" w:firstLineChars="196"/>
        <w:textAlignment w:val="auto"/>
        <w:rPr>
          <w:rFonts w:hint="eastAsia" w:ascii="仿宋_GB2312" w:hAnsi="仿宋_GB2312" w:eastAsia="仿宋_GB2312" w:cs="仿宋_GB2312"/>
          <w:color w:val="auto"/>
          <w:sz w:val="32"/>
          <w:szCs w:val="32"/>
          <w:highlight w:val="none"/>
          <w:lang w:val="zh-CN" w:eastAsia="zh-CN"/>
        </w:rPr>
        <w:sectPr>
          <w:footerReference r:id="rId71" w:type="first"/>
          <w:footerReference r:id="rId70" w:type="default"/>
          <w:pgSz w:w="11906" w:h="16838"/>
          <w:pgMar w:top="2098" w:right="1474" w:bottom="1984" w:left="1587" w:header="851" w:footer="992" w:gutter="0"/>
          <w:pgNumType w:fmt="decimal"/>
          <w:cols w:space="425" w:num="1"/>
          <w:docGrid w:type="lines" w:linePitch="312" w:charSpace="0"/>
        </w:sectPr>
      </w:pPr>
    </w:p>
    <w:p>
      <w:pPr>
        <w:pStyle w:val="13"/>
        <w:shd w:val="clear"/>
        <w:ind w:left="0" w:leftChars="0" w:firstLine="0" w:firstLineChars="0"/>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zh-CN" w:eastAsia="zh-CN"/>
        </w:rPr>
        <w:t>附表</w:t>
      </w:r>
      <w:r>
        <w:rPr>
          <w:rFonts w:hint="eastAsia" w:ascii="黑体" w:hAnsi="黑体" w:eastAsia="黑体" w:cs="黑体"/>
          <w:color w:val="auto"/>
          <w:sz w:val="32"/>
          <w:szCs w:val="32"/>
          <w:highlight w:val="none"/>
          <w:lang w:val="en-US" w:eastAsia="zh-CN"/>
        </w:rPr>
        <w:t>9：</w:t>
      </w:r>
    </w:p>
    <w:tbl>
      <w:tblPr>
        <w:tblStyle w:val="17"/>
        <w:tblW w:w="12756"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83"/>
        <w:gridCol w:w="1320"/>
        <w:gridCol w:w="1045"/>
        <w:gridCol w:w="1310"/>
        <w:gridCol w:w="1954"/>
        <w:gridCol w:w="970"/>
        <w:gridCol w:w="672"/>
        <w:gridCol w:w="759"/>
        <w:gridCol w:w="884"/>
        <w:gridCol w:w="25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12756" w:type="dxa"/>
            <w:gridSpan w:val="10"/>
            <w:tcBorders>
              <w:top w:val="nil"/>
              <w:left w:val="nil"/>
              <w:bottom w:val="nil"/>
              <w:right w:val="nil"/>
            </w:tcBorders>
            <w:shd w:val="clear" w:color="auto" w:fill="auto"/>
            <w:vAlign w:val="center"/>
          </w:tcPr>
          <w:p>
            <w:pPr>
              <w:keepNext w:val="0"/>
              <w:keepLines w:val="0"/>
              <w:widowControl/>
              <w:suppressLineNumbers w:val="0"/>
              <w:shd w:val="clear"/>
              <w:jc w:val="center"/>
              <w:textAlignment w:val="center"/>
              <w:rPr>
                <w:rFonts w:ascii="方正小标宋简体" w:hAnsi="方正小标宋简体" w:eastAsia="方正小标宋简体" w:cs="方正小标宋简体"/>
                <w:i w:val="0"/>
                <w:color w:val="auto"/>
                <w:sz w:val="44"/>
                <w:szCs w:val="44"/>
                <w:highlight w:val="none"/>
                <w:u w:val="none"/>
              </w:rPr>
            </w:pPr>
            <w:r>
              <w:rPr>
                <w:rFonts w:hint="eastAsia" w:ascii="方正小标宋简体" w:hAnsi="方正小标宋简体" w:eastAsia="方正小标宋简体" w:cs="方正小标宋简体"/>
                <w:i w:val="0"/>
                <w:color w:val="auto"/>
                <w:kern w:val="0"/>
                <w:sz w:val="44"/>
                <w:szCs w:val="44"/>
                <w:highlight w:val="none"/>
                <w:u w:val="none"/>
                <w:lang w:val="en-US" w:eastAsia="zh-CN" w:bidi="ar"/>
              </w:rPr>
              <w:t>部门预算、专项资金预算项目支出绩效目标自评表（2022年度）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6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项目名称</w:t>
            </w:r>
          </w:p>
        </w:tc>
        <w:tc>
          <w:tcPr>
            <w:tcW w:w="1015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“银政通”平台建设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26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主管部门（盖章）</w:t>
            </w:r>
          </w:p>
        </w:tc>
        <w:tc>
          <w:tcPr>
            <w:tcW w:w="430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广元市住房公积金管理中心</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实施单位 （盖章）</w:t>
            </w:r>
          </w:p>
        </w:tc>
        <w:tc>
          <w:tcPr>
            <w:tcW w:w="487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广元市住房公积金管理中心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trPr>
        <w:tc>
          <w:tcPr>
            <w:tcW w:w="12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项目基本情况</w:t>
            </w:r>
          </w:p>
        </w:tc>
        <w:tc>
          <w:tcPr>
            <w:tcW w:w="13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1.项目年度目标完成情况</w:t>
            </w:r>
          </w:p>
        </w:tc>
        <w:tc>
          <w:tcPr>
            <w:tcW w:w="430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项目年度目标</w:t>
            </w:r>
          </w:p>
        </w:tc>
        <w:tc>
          <w:tcPr>
            <w:tcW w:w="584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2" w:hRule="atLeast"/>
        </w:trPr>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b/>
                <w:i w:val="0"/>
                <w:color w:val="auto"/>
                <w:sz w:val="18"/>
                <w:szCs w:val="18"/>
                <w:highlight w:val="none"/>
                <w:u w:val="none"/>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b/>
                <w:i w:val="0"/>
                <w:color w:val="auto"/>
                <w:sz w:val="18"/>
                <w:szCs w:val="18"/>
                <w:highlight w:val="none"/>
                <w:u w:val="none"/>
              </w:rPr>
            </w:pPr>
          </w:p>
        </w:tc>
        <w:tc>
          <w:tcPr>
            <w:tcW w:w="430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完成四川省住房和城乡建设厅关于明确接人“银政通”平台具体事项和接口规范的通知中接口程序开发和测试，完成公 积金平台、银政通平台、成都、省级、德阳、眉山、资阳、绵阳及其它具各条件的公积金中心联调测试。</w:t>
            </w:r>
          </w:p>
        </w:tc>
        <w:tc>
          <w:tcPr>
            <w:tcW w:w="584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2022年“银政通”平台建设绩效目标任务完成情况良好，开发和测试均通过。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b/>
                <w:i w:val="0"/>
                <w:color w:val="auto"/>
                <w:sz w:val="18"/>
                <w:szCs w:val="18"/>
                <w:highlight w:val="none"/>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2.项目实施内容及过程概述</w:t>
            </w:r>
          </w:p>
        </w:tc>
        <w:tc>
          <w:tcPr>
            <w:tcW w:w="1015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2022年根据相关要求，实施项目开发到应用，深入推进“我为群众办实事”实践活动，加强公积金银行信息共享及业务协同，进一步优化营商环境，持续提升公积金管理惠民利民服务质量，促进金融服务数字化转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2" w:hRule="atLeast"/>
        </w:trPr>
        <w:tc>
          <w:tcPr>
            <w:tcW w:w="12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预算执行情况（10分）</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年度预算数（万元）</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年初预算</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调整后预算数</w:t>
            </w:r>
          </w:p>
        </w:tc>
        <w:tc>
          <w:tcPr>
            <w:tcW w:w="1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预算执行数</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预算执行率</w:t>
            </w:r>
          </w:p>
        </w:tc>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权重%</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部门自评得分</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财政部门科室复评得分</w:t>
            </w:r>
          </w:p>
        </w:tc>
        <w:tc>
          <w:tcPr>
            <w:tcW w:w="2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总额</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15万元</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14.92万元</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99.47%</w:t>
            </w:r>
          </w:p>
        </w:tc>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5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其中：财政资金</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15万元</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14.92万元</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6" w:hRule="atLeast"/>
        </w:trPr>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财政专户管理资金</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95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单位资金</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95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tbl>
    <w:p>
      <w:pPr>
        <w:shd w:val="clear"/>
        <w:jc w:val="center"/>
        <w:rPr>
          <w:rFonts w:hint="eastAsia" w:ascii="宋体" w:hAnsi="宋体" w:eastAsia="宋体" w:cs="宋体"/>
          <w:b/>
          <w:i w:val="0"/>
          <w:color w:val="auto"/>
          <w:sz w:val="18"/>
          <w:szCs w:val="18"/>
          <w:highlight w:val="none"/>
          <w:u w:val="none"/>
        </w:rPr>
        <w:sectPr>
          <w:footerReference r:id="rId73" w:type="first"/>
          <w:footerReference r:id="rId72" w:type="default"/>
          <w:pgSz w:w="16838" w:h="11906" w:orient="landscape"/>
          <w:pgMar w:top="1587" w:right="2098" w:bottom="1474" w:left="1984" w:header="851" w:footer="992" w:gutter="0"/>
          <w:pgNumType w:fmt="decimal"/>
          <w:cols w:space="425" w:num="1"/>
          <w:titlePg/>
          <w:docGrid w:type="lines" w:linePitch="312" w:charSpace="0"/>
        </w:sectPr>
      </w:pPr>
    </w:p>
    <w:tbl>
      <w:tblPr>
        <w:tblStyle w:val="17"/>
        <w:tblW w:w="12756"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83"/>
        <w:gridCol w:w="1320"/>
        <w:gridCol w:w="1045"/>
        <w:gridCol w:w="1310"/>
        <w:gridCol w:w="478"/>
        <w:gridCol w:w="998"/>
        <w:gridCol w:w="478"/>
        <w:gridCol w:w="970"/>
        <w:gridCol w:w="672"/>
        <w:gridCol w:w="759"/>
        <w:gridCol w:w="884"/>
        <w:gridCol w:w="25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shd w:val="clear"/>
              <w:rPr>
                <w:rFonts w:hint="eastAsia"/>
                <w:color w:val="auto"/>
                <w:highlight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其他资金</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6"/>
                <w:szCs w:val="16"/>
                <w:highlight w:val="none"/>
                <w:u w:val="none"/>
              </w:rPr>
            </w:pP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6"/>
                <w:szCs w:val="16"/>
                <w:highlight w:val="none"/>
                <w:u w:val="none"/>
              </w:rPr>
            </w:pP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6"/>
                <w:szCs w:val="16"/>
                <w:highlight w:val="none"/>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55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绩效指标（90分）</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一级指标</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二级指标</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三级指标</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指标性质</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指标值</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度量单位</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完成值</w:t>
            </w:r>
          </w:p>
        </w:tc>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权重</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部门自评得分</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财政部门科室复评得分</w:t>
            </w:r>
          </w:p>
        </w:tc>
        <w:tc>
          <w:tcPr>
            <w:tcW w:w="2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2" w:hRule="atLeast"/>
        </w:trPr>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Style w:val="39"/>
                <w:color w:val="auto"/>
                <w:highlight w:val="none"/>
                <w:lang w:val="en-US" w:eastAsia="zh-CN" w:bidi="ar"/>
              </w:rPr>
              <w:t>产出指标</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Style w:val="39"/>
                <w:color w:val="auto"/>
                <w:highlight w:val="none"/>
                <w:lang w:val="en-US" w:eastAsia="zh-CN" w:bidi="ar"/>
              </w:rPr>
              <w:t>质量指标</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Style w:val="39"/>
                <w:color w:val="auto"/>
                <w:highlight w:val="none"/>
                <w:lang w:val="en-US" w:eastAsia="zh-CN" w:bidi="ar"/>
              </w:rPr>
              <w:t>数据接口与平台的对接及稳定运行</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Style w:val="39"/>
                <w:color w:val="auto"/>
                <w:highlight w:val="none"/>
                <w:lang w:val="en-US" w:eastAsia="zh-CN" w:bidi="ar"/>
              </w:rPr>
              <w:t>≤</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0"/>
                <w:szCs w:val="20"/>
                <w:highlight w:val="none"/>
                <w:u w:val="none"/>
              </w:rPr>
            </w:pPr>
          </w:p>
        </w:tc>
        <w:tc>
          <w:tcPr>
            <w:tcW w:w="255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Style w:val="39"/>
                <w:color w:val="auto"/>
                <w:highlight w:val="none"/>
                <w:lang w:val="en-US" w:eastAsia="zh-CN" w:bidi="ar"/>
              </w:rPr>
              <w:t>效益指标</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Style w:val="39"/>
                <w:color w:val="auto"/>
                <w:highlight w:val="none"/>
                <w:lang w:val="en-US" w:eastAsia="zh-CN" w:bidi="ar"/>
              </w:rPr>
              <w:t>生态效益指标</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Style w:val="39"/>
                <w:color w:val="auto"/>
                <w:highlight w:val="none"/>
                <w:lang w:val="en-US" w:eastAsia="zh-CN" w:bidi="ar"/>
              </w:rPr>
              <w:t>减少环境污染</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Style w:val="39"/>
                <w:color w:val="auto"/>
                <w:highlight w:val="none"/>
                <w:lang w:val="en-US" w:eastAsia="zh-CN" w:bidi="ar"/>
              </w:rPr>
              <w:t>定性</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优良中低差</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良</w:t>
            </w:r>
          </w:p>
        </w:tc>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8</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0"/>
                <w:szCs w:val="20"/>
                <w:highlight w:val="none"/>
                <w:u w:val="none"/>
              </w:rPr>
            </w:pPr>
          </w:p>
        </w:tc>
        <w:tc>
          <w:tcPr>
            <w:tcW w:w="255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Style w:val="39"/>
                <w:color w:val="auto"/>
                <w:highlight w:val="none"/>
                <w:lang w:val="en-US" w:eastAsia="zh-CN" w:bidi="ar"/>
              </w:rPr>
              <w:t>效益指标</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Style w:val="39"/>
                <w:color w:val="auto"/>
                <w:highlight w:val="none"/>
                <w:lang w:val="en-US" w:eastAsia="zh-CN" w:bidi="ar"/>
              </w:rPr>
              <w:t>社会效益指标</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Style w:val="39"/>
                <w:color w:val="auto"/>
                <w:highlight w:val="none"/>
                <w:lang w:val="en-US" w:eastAsia="zh-CN" w:bidi="ar"/>
              </w:rPr>
              <w:t>维持社会稳定、维护社会公平正义</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Style w:val="39"/>
                <w:color w:val="auto"/>
                <w:highlight w:val="none"/>
                <w:lang w:val="en-US" w:eastAsia="zh-CN" w:bidi="ar"/>
              </w:rPr>
              <w:t>定性</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好坏</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好</w:t>
            </w:r>
          </w:p>
        </w:tc>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8</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0"/>
                <w:szCs w:val="20"/>
                <w:highlight w:val="none"/>
                <w:u w:val="none"/>
              </w:rPr>
            </w:pPr>
          </w:p>
        </w:tc>
        <w:tc>
          <w:tcPr>
            <w:tcW w:w="255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Style w:val="39"/>
                <w:color w:val="auto"/>
                <w:highlight w:val="none"/>
                <w:lang w:val="en-US" w:eastAsia="zh-CN" w:bidi="ar"/>
              </w:rPr>
              <w:t>产出指标</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Style w:val="39"/>
                <w:color w:val="auto"/>
                <w:highlight w:val="none"/>
                <w:lang w:val="en-US" w:eastAsia="zh-CN" w:bidi="ar"/>
              </w:rPr>
              <w:t>数量指标</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Style w:val="39"/>
                <w:color w:val="auto"/>
                <w:highlight w:val="none"/>
                <w:lang w:val="en-US" w:eastAsia="zh-CN" w:bidi="ar"/>
              </w:rPr>
              <w:t>实现与各银行机构信息互通</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Style w:val="39"/>
                <w:color w:val="auto"/>
                <w:highlight w:val="none"/>
                <w:lang w:val="en-US" w:eastAsia="zh-CN" w:bidi="ar"/>
              </w:rPr>
              <w:t>≥</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8</w:t>
            </w:r>
          </w:p>
        </w:tc>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0"/>
                <w:szCs w:val="20"/>
                <w:highlight w:val="none"/>
                <w:u w:val="none"/>
              </w:rPr>
            </w:pPr>
          </w:p>
        </w:tc>
        <w:tc>
          <w:tcPr>
            <w:tcW w:w="255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Style w:val="39"/>
                <w:color w:val="auto"/>
                <w:highlight w:val="none"/>
                <w:lang w:val="en-US" w:eastAsia="zh-CN" w:bidi="ar"/>
              </w:rPr>
              <w:t>产出指标</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Style w:val="39"/>
                <w:color w:val="auto"/>
                <w:highlight w:val="none"/>
                <w:lang w:val="en-US" w:eastAsia="zh-CN" w:bidi="ar"/>
              </w:rPr>
              <w:t>时效指标</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Style w:val="39"/>
                <w:color w:val="auto"/>
                <w:highlight w:val="none"/>
                <w:lang w:val="en-US" w:eastAsia="zh-CN" w:bidi="ar"/>
              </w:rPr>
              <w:t>完成时间</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Style w:val="39"/>
                <w:color w:val="auto"/>
                <w:highlight w:val="none"/>
                <w:lang w:val="en-US" w:eastAsia="zh-CN" w:bidi="ar"/>
              </w:rPr>
              <w:t>＝</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2022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完成</w:t>
            </w:r>
          </w:p>
        </w:tc>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0"/>
                <w:szCs w:val="20"/>
                <w:highlight w:val="none"/>
                <w:u w:val="none"/>
              </w:rPr>
            </w:pPr>
          </w:p>
        </w:tc>
        <w:tc>
          <w:tcPr>
            <w:tcW w:w="255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Style w:val="39"/>
                <w:color w:val="auto"/>
                <w:highlight w:val="none"/>
                <w:lang w:val="en-US" w:eastAsia="zh-CN" w:bidi="ar"/>
              </w:rPr>
              <w:t>产出指标</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Style w:val="39"/>
                <w:color w:val="auto"/>
                <w:highlight w:val="none"/>
                <w:lang w:val="en-US" w:eastAsia="zh-CN" w:bidi="ar"/>
              </w:rPr>
              <w:t>成本指标</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Style w:val="39"/>
                <w:color w:val="auto"/>
                <w:highlight w:val="none"/>
                <w:lang w:val="en-US" w:eastAsia="zh-CN" w:bidi="ar"/>
              </w:rPr>
              <w:t>数据接口开发费用</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Style w:val="39"/>
                <w:color w:val="auto"/>
                <w:highlight w:val="none"/>
                <w:lang w:val="en-US" w:eastAsia="zh-CN" w:bidi="ar"/>
              </w:rPr>
              <w:t>＝</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14.92</w:t>
            </w:r>
          </w:p>
        </w:tc>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9</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0"/>
                <w:szCs w:val="20"/>
                <w:highlight w:val="none"/>
                <w:u w:val="none"/>
              </w:rPr>
            </w:pPr>
          </w:p>
        </w:tc>
        <w:tc>
          <w:tcPr>
            <w:tcW w:w="255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Style w:val="39"/>
                <w:color w:val="auto"/>
                <w:highlight w:val="none"/>
                <w:lang w:val="en-US" w:eastAsia="zh-CN" w:bidi="ar"/>
              </w:rPr>
              <w:t>效益指标</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Style w:val="39"/>
                <w:color w:val="auto"/>
                <w:highlight w:val="none"/>
                <w:lang w:val="en-US" w:eastAsia="zh-CN" w:bidi="ar"/>
              </w:rPr>
              <w:t>经济效益指标</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Style w:val="39"/>
                <w:color w:val="auto"/>
                <w:highlight w:val="none"/>
                <w:lang w:val="en-US" w:eastAsia="zh-CN" w:bidi="ar"/>
              </w:rPr>
              <w:t>优化营商环境</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Style w:val="39"/>
                <w:color w:val="auto"/>
                <w:highlight w:val="none"/>
                <w:lang w:val="en-US" w:eastAsia="zh-CN" w:bidi="ar"/>
              </w:rPr>
              <w:t>定性</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优良中低差</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良</w:t>
            </w:r>
          </w:p>
        </w:tc>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8</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0"/>
                <w:szCs w:val="20"/>
                <w:highlight w:val="none"/>
                <w:u w:val="none"/>
              </w:rPr>
            </w:pPr>
          </w:p>
        </w:tc>
        <w:tc>
          <w:tcPr>
            <w:tcW w:w="255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Style w:val="39"/>
                <w:color w:val="auto"/>
                <w:highlight w:val="none"/>
                <w:lang w:val="en-US" w:eastAsia="zh-CN" w:bidi="ar"/>
              </w:rPr>
              <w:t>产出指标</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Style w:val="39"/>
                <w:color w:val="auto"/>
                <w:highlight w:val="none"/>
                <w:lang w:val="en-US" w:eastAsia="zh-CN" w:bidi="ar"/>
              </w:rPr>
              <w:t>数量指标</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Style w:val="39"/>
                <w:color w:val="auto"/>
                <w:highlight w:val="none"/>
                <w:lang w:val="en-US" w:eastAsia="zh-CN" w:bidi="ar"/>
              </w:rPr>
              <w:t>数据查询量</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Style w:val="39"/>
                <w:color w:val="auto"/>
                <w:highlight w:val="none"/>
                <w:lang w:val="en-US" w:eastAsia="zh-CN" w:bidi="ar"/>
              </w:rPr>
              <w:t>≥</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万次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1.5</w:t>
            </w:r>
          </w:p>
        </w:tc>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0"/>
                <w:szCs w:val="20"/>
                <w:highlight w:val="none"/>
                <w:u w:val="none"/>
              </w:rPr>
            </w:pPr>
          </w:p>
        </w:tc>
        <w:tc>
          <w:tcPr>
            <w:tcW w:w="255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Style w:val="39"/>
                <w:color w:val="auto"/>
                <w:highlight w:val="none"/>
                <w:lang w:val="en-US" w:eastAsia="zh-CN" w:bidi="ar"/>
              </w:rPr>
              <w:t>满意度指标</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Style w:val="39"/>
                <w:color w:val="auto"/>
                <w:highlight w:val="none"/>
                <w:lang w:val="en-US" w:eastAsia="zh-CN" w:bidi="ar"/>
              </w:rPr>
              <w:t>服务对象满意度指标</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Style w:val="39"/>
                <w:color w:val="auto"/>
                <w:highlight w:val="none"/>
                <w:lang w:val="en-US" w:eastAsia="zh-CN" w:bidi="ar"/>
              </w:rPr>
              <w:t>缴存单位满意度</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Style w:val="39"/>
                <w:color w:val="auto"/>
                <w:highlight w:val="none"/>
                <w:lang w:val="en-US" w:eastAsia="zh-CN" w:bidi="ar"/>
              </w:rPr>
              <w:t>≥</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95</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99</w:t>
            </w:r>
          </w:p>
        </w:tc>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20"/>
                <w:szCs w:val="20"/>
                <w:highlight w:val="none"/>
                <w:u w:val="none"/>
              </w:rPr>
            </w:pPr>
          </w:p>
        </w:tc>
        <w:tc>
          <w:tcPr>
            <w:tcW w:w="255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9" w:hRule="atLeast"/>
        </w:trPr>
        <w:tc>
          <w:tcPr>
            <w:tcW w:w="7882"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合计</w:t>
            </w:r>
          </w:p>
        </w:tc>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93</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c>
          <w:tcPr>
            <w:tcW w:w="255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tbl>
    <w:p>
      <w:pPr>
        <w:shd w:val="clear"/>
        <w:rPr>
          <w:rFonts w:hint="eastAsia"/>
          <w:color w:val="auto"/>
          <w:highlight w:val="none"/>
          <w:lang w:val="en-US" w:eastAsia="zh-CN"/>
        </w:rPr>
        <w:sectPr>
          <w:footerReference r:id="rId75" w:type="first"/>
          <w:footerReference r:id="rId74" w:type="default"/>
          <w:pgSz w:w="16838" w:h="11906" w:orient="landscape"/>
          <w:pgMar w:top="1587" w:right="2098" w:bottom="1474" w:left="1984" w:header="851" w:footer="992" w:gutter="0"/>
          <w:pgNumType w:fmt="decimal"/>
          <w:cols w:space="425" w:num="1"/>
          <w:docGrid w:type="lines" w:linePitch="312" w:charSpace="0"/>
        </w:sectPr>
      </w:pPr>
    </w:p>
    <w:p>
      <w:pPr>
        <w:shd w:val="clear"/>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附件10：</w:t>
      </w:r>
    </w:p>
    <w:p>
      <w:pPr>
        <w:pStyle w:val="13"/>
        <w:shd w:val="clear"/>
        <w:rPr>
          <w:rFonts w:hint="eastAsia"/>
          <w:color w:val="auto"/>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0" w:lineRule="atLeast"/>
        <w:jc w:val="center"/>
        <w:textAlignment w:val="auto"/>
        <w:rPr>
          <w:rFonts w:hint="eastAsia" w:ascii="方正小标宋简体" w:hAnsi="方正小标宋简体" w:eastAsia="方正小标宋简体" w:cs="方正小标宋简体"/>
          <w:b w:val="0"/>
          <w:bCs w:val="0"/>
          <w:color w:val="auto"/>
          <w:kern w:val="2"/>
          <w:sz w:val="44"/>
          <w:szCs w:val="44"/>
          <w:highlight w:val="none"/>
          <w:lang w:val="en-US" w:eastAsia="zh-CN" w:bidi="ar-SA"/>
        </w:rPr>
      </w:pPr>
      <w:r>
        <w:rPr>
          <w:rFonts w:hint="eastAsia" w:ascii="方正小标宋简体" w:hAnsi="方正小标宋简体" w:eastAsia="方正小标宋简体" w:cs="方正小标宋简体"/>
          <w:b w:val="0"/>
          <w:bCs w:val="0"/>
          <w:color w:val="auto"/>
          <w:kern w:val="2"/>
          <w:sz w:val="44"/>
          <w:szCs w:val="44"/>
          <w:highlight w:val="none"/>
          <w:lang w:val="en-US" w:eastAsia="zh-CN" w:bidi="ar-SA"/>
        </w:rPr>
        <w:t>2023年市级专项预算项目支出绩效自评报告</w:t>
      </w:r>
    </w:p>
    <w:p>
      <w:pPr>
        <w:keepNext w:val="0"/>
        <w:keepLines w:val="0"/>
        <w:pageBreakBefore w:val="0"/>
        <w:widowControl w:val="0"/>
        <w:shd w:val="clear"/>
        <w:kinsoku/>
        <w:wordWrap/>
        <w:overflowPunct/>
        <w:topLinePunct w:val="0"/>
        <w:autoSpaceDE/>
        <w:autoSpaceDN/>
        <w:bidi w:val="0"/>
        <w:adjustRightInd/>
        <w:snapToGrid/>
        <w:spacing w:line="0" w:lineRule="atLeast"/>
        <w:jc w:val="center"/>
        <w:textAlignment w:val="auto"/>
        <w:rPr>
          <w:rFonts w:hint="eastAsia" w:ascii="楷体_GB2312" w:hAnsi="楷体_GB2312" w:eastAsia="楷体_GB2312" w:cs="楷体_GB2312"/>
          <w:b w:val="0"/>
          <w:bCs w:val="0"/>
          <w:color w:val="auto"/>
          <w:kern w:val="2"/>
          <w:sz w:val="32"/>
          <w:szCs w:val="32"/>
          <w:highlight w:val="none"/>
          <w:lang w:val="zh-CN" w:eastAsia="zh-CN" w:bidi="ar-SA"/>
        </w:rPr>
      </w:pPr>
      <w:r>
        <w:rPr>
          <w:rFonts w:hint="eastAsia" w:ascii="楷体_GB2312" w:hAnsi="楷体_GB2312" w:eastAsia="楷体_GB2312" w:cs="楷体_GB2312"/>
          <w:b w:val="0"/>
          <w:bCs w:val="0"/>
          <w:color w:val="auto"/>
          <w:kern w:val="2"/>
          <w:sz w:val="32"/>
          <w:szCs w:val="32"/>
          <w:highlight w:val="none"/>
          <w:lang w:val="zh-CN" w:eastAsia="zh-CN" w:bidi="ar-SA"/>
        </w:rPr>
        <w:t>（接入全国数据共享平台建设）</w:t>
      </w:r>
    </w:p>
    <w:p>
      <w:pPr>
        <w:keepNext w:val="0"/>
        <w:keepLines w:val="0"/>
        <w:pageBreakBefore w:val="0"/>
        <w:widowControl w:val="0"/>
        <w:shd w:val="clear"/>
        <w:kinsoku/>
        <w:wordWrap/>
        <w:overflowPunct/>
        <w:topLinePunct w:val="0"/>
        <w:autoSpaceDE/>
        <w:autoSpaceDN/>
        <w:bidi w:val="0"/>
        <w:spacing w:line="560" w:lineRule="exact"/>
        <w:jc w:val="center"/>
        <w:textAlignment w:val="auto"/>
        <w:rPr>
          <w:rFonts w:hint="eastAsia" w:ascii="宋体" w:hAnsi="宋体" w:eastAsia="宋体" w:cs="Times New Roman"/>
          <w:b w:val="0"/>
          <w:bCs w:val="0"/>
          <w:color w:val="auto"/>
          <w:kern w:val="2"/>
          <w:sz w:val="18"/>
          <w:szCs w:val="18"/>
          <w:highlight w:val="none"/>
          <w:lang w:val="zh-CN" w:eastAsia="zh-CN" w:bidi="ar-SA"/>
        </w:rPr>
      </w:pP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outlineLvl w:val="1"/>
        <w:rPr>
          <w:rFonts w:ascii="黑体" w:hAnsi="宋体" w:eastAsia="黑体" w:cs="Times New Roman"/>
          <w:b w:val="0"/>
          <w:bCs w:val="0"/>
          <w:color w:val="auto"/>
          <w:sz w:val="32"/>
          <w:szCs w:val="32"/>
          <w:highlight w:val="none"/>
          <w:lang w:val="zh-CN"/>
        </w:rPr>
      </w:pPr>
      <w:bookmarkStart w:id="182" w:name="_Toc8420"/>
      <w:bookmarkStart w:id="183" w:name="_Toc28379"/>
      <w:r>
        <w:rPr>
          <w:rFonts w:hint="eastAsia" w:ascii="黑体" w:hAnsi="宋体" w:eastAsia="黑体" w:cs="Times New Roman"/>
          <w:b w:val="0"/>
          <w:bCs w:val="0"/>
          <w:color w:val="auto"/>
          <w:sz w:val="32"/>
          <w:szCs w:val="32"/>
          <w:highlight w:val="none"/>
        </w:rPr>
        <w:t>一、</w:t>
      </w:r>
      <w:r>
        <w:rPr>
          <w:rFonts w:hint="eastAsia" w:ascii="黑体" w:hAnsi="宋体" w:eastAsia="黑体" w:cs="Times New Roman"/>
          <w:b w:val="0"/>
          <w:bCs w:val="0"/>
          <w:color w:val="auto"/>
          <w:sz w:val="32"/>
          <w:szCs w:val="32"/>
          <w:highlight w:val="none"/>
          <w:lang w:val="zh-CN"/>
        </w:rPr>
        <w:t>项目概况</w:t>
      </w:r>
      <w:bookmarkEnd w:id="182"/>
      <w:bookmarkEnd w:id="183"/>
    </w:p>
    <w:p>
      <w:pPr>
        <w:keepNext w:val="0"/>
        <w:keepLines w:val="0"/>
        <w:pageBreakBefore w:val="0"/>
        <w:widowControl/>
        <w:suppressLineNumbers w:val="0"/>
        <w:shd w:val="clear"/>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color w:val="auto"/>
          <w:sz w:val="32"/>
          <w:szCs w:val="32"/>
          <w:highlight w:val="none"/>
          <w:lang w:eastAsia="zh-CN"/>
        </w:rPr>
      </w:pPr>
      <w:r>
        <w:rPr>
          <w:rFonts w:hint="eastAsia" w:ascii="楷体_GB2312" w:hAnsi="楷体_GB2312" w:eastAsia="楷体_GB2312" w:cs="楷体_GB2312"/>
          <w:color w:val="auto"/>
          <w:sz w:val="32"/>
          <w:szCs w:val="32"/>
          <w:highlight w:val="none"/>
          <w:lang w:eastAsia="zh-CN"/>
        </w:rPr>
        <w:t>（一）项目基本情况。</w:t>
      </w:r>
    </w:p>
    <w:p>
      <w:pPr>
        <w:keepNext w:val="0"/>
        <w:keepLines w:val="0"/>
        <w:pageBreakBefore w:val="0"/>
        <w:shd w:val="clear"/>
        <w:tabs>
          <w:tab w:val="left" w:pos="3885"/>
        </w:tabs>
        <w:kinsoku/>
        <w:wordWrap/>
        <w:overflowPunct/>
        <w:topLinePunct w:val="0"/>
        <w:autoSpaceDE/>
        <w:autoSpaceDN/>
        <w:bidi w:val="0"/>
        <w:snapToGrid w:val="0"/>
        <w:spacing w:line="560" w:lineRule="exact"/>
        <w:ind w:firstLine="640" w:firstLineChars="200"/>
        <w:jc w:val="left"/>
        <w:textAlignment w:val="auto"/>
        <w:rPr>
          <w:rFonts w:hint="eastAsia" w:ascii="仿宋_GB2312" w:hAnsi="Times New Roman" w:eastAsia="仿宋_GB2312" w:cs="Times New Roman"/>
          <w:color w:val="auto"/>
          <w:kern w:val="0"/>
          <w:sz w:val="32"/>
          <w:szCs w:val="32"/>
          <w:highlight w:val="none"/>
          <w:lang w:val="en-US" w:eastAsia="zh-CN"/>
        </w:rPr>
      </w:pPr>
      <w:r>
        <w:rPr>
          <w:rFonts w:hint="eastAsia" w:ascii="仿宋_GB2312" w:hAnsi="Times New Roman" w:eastAsia="仿宋_GB2312" w:cs="Times New Roman"/>
          <w:color w:val="auto"/>
          <w:kern w:val="0"/>
          <w:sz w:val="32"/>
          <w:szCs w:val="32"/>
          <w:highlight w:val="none"/>
        </w:rPr>
        <w:t>《信息化十四五规划建议》中指出：要加强数字社会、数字政府建设，提升公共服务、社会治理等数字化智能化水平。为实现各地公积金中心间以及公积金中心与公安、民政、不动产等国家部委间的信息共享，优化业务办理流程，减少业务办理要件，真正做到“让信息多跑路，群众少跑路”，提升公积金服务效率、水平，切实维护广大缴存职工合法权益，住建部组织开发全国住房公积金数据共享平台。中心按照住建部、四川省住建厅相关文件要求，按期按计划完成业务系统对接四川省住房公积金管理服务平台，由四川省住房公积金管理服务平台对接住建部全国住房公积金数据共享平台，实现全国公积金数据共享。</w:t>
      </w:r>
    </w:p>
    <w:p>
      <w:pPr>
        <w:keepNext w:val="0"/>
        <w:keepLines w:val="0"/>
        <w:pageBreakBefore w:val="0"/>
        <w:widowControl w:val="0"/>
        <w:numPr>
          <w:ilvl w:val="0"/>
          <w:numId w:val="0"/>
        </w:numPr>
        <w:shd w:val="clear"/>
        <w:tabs>
          <w:tab w:val="left" w:pos="2523"/>
        </w:tabs>
        <w:kinsoku/>
        <w:wordWrap/>
        <w:overflowPunct/>
        <w:topLinePunct w:val="0"/>
        <w:autoSpaceDE/>
        <w:autoSpaceDN/>
        <w:bidi w:val="0"/>
        <w:adjustRightInd/>
        <w:snapToGrid/>
        <w:spacing w:line="560" w:lineRule="exact"/>
        <w:ind w:left="720" w:leftChars="0"/>
        <w:textAlignment w:val="auto"/>
        <w:rPr>
          <w:rFonts w:hint="eastAsia" w:ascii="楷体_GB2312" w:hAnsi="楷体_GB2312" w:eastAsia="楷体_GB2312" w:cs="楷体_GB2312"/>
          <w:bCs/>
          <w:color w:val="auto"/>
          <w:sz w:val="32"/>
          <w:szCs w:val="32"/>
          <w:highlight w:val="none"/>
          <w:lang w:val="zh-CN"/>
        </w:rPr>
      </w:pPr>
      <w:r>
        <w:rPr>
          <w:rFonts w:hint="eastAsia" w:ascii="楷体_GB2312" w:hAnsi="楷体_GB2312" w:eastAsia="楷体_GB2312" w:cs="楷体_GB2312"/>
          <w:bCs/>
          <w:color w:val="auto"/>
          <w:sz w:val="32"/>
          <w:szCs w:val="32"/>
          <w:highlight w:val="none"/>
          <w:lang w:val="zh-CN"/>
        </w:rPr>
        <w:t>（二）项目绩效目标。</w:t>
      </w:r>
    </w:p>
    <w:p>
      <w:pPr>
        <w:keepNext w:val="0"/>
        <w:keepLines w:val="0"/>
        <w:pageBreakBefore w:val="0"/>
        <w:shd w:val="clear"/>
        <w:kinsoku/>
        <w:wordWrap/>
        <w:overflowPunct/>
        <w:topLinePunct w:val="0"/>
        <w:autoSpaceDE/>
        <w:autoSpaceDN/>
        <w:bidi w:val="0"/>
        <w:adjustRightInd w:val="0"/>
        <w:snapToGrid w:val="0"/>
        <w:spacing w:line="560" w:lineRule="exact"/>
        <w:ind w:firstLine="720"/>
        <w:textAlignment w:val="auto"/>
        <w:rPr>
          <w:rFonts w:ascii="仿宋_GB2312" w:hAnsi="宋体" w:eastAsia="仿宋_GB2312" w:cs="Times New Roman"/>
          <w:color w:val="auto"/>
          <w:sz w:val="32"/>
          <w:szCs w:val="32"/>
          <w:highlight w:val="none"/>
          <w:lang w:val="zh-CN"/>
        </w:rPr>
      </w:pPr>
      <w:r>
        <w:rPr>
          <w:rFonts w:hint="eastAsia" w:ascii="仿宋_GB2312" w:hAnsi="宋体" w:eastAsia="仿宋_GB2312" w:cs="Times New Roman"/>
          <w:color w:val="auto"/>
          <w:sz w:val="32"/>
          <w:szCs w:val="32"/>
          <w:highlight w:val="none"/>
          <w:lang w:val="zh-CN"/>
        </w:rPr>
        <w:t>202</w:t>
      </w:r>
      <w:r>
        <w:rPr>
          <w:rFonts w:hint="eastAsia" w:ascii="仿宋_GB2312" w:hAnsi="宋体" w:eastAsia="仿宋_GB2312" w:cs="Times New Roman"/>
          <w:color w:val="auto"/>
          <w:sz w:val="32"/>
          <w:szCs w:val="32"/>
          <w:highlight w:val="none"/>
          <w:lang w:val="en-US" w:eastAsia="zh-CN"/>
        </w:rPr>
        <w:t>2</w:t>
      </w:r>
      <w:r>
        <w:rPr>
          <w:rFonts w:hint="eastAsia" w:ascii="仿宋_GB2312" w:hAnsi="宋体" w:eastAsia="仿宋_GB2312" w:cs="Times New Roman"/>
          <w:color w:val="auto"/>
          <w:sz w:val="32"/>
          <w:szCs w:val="32"/>
          <w:highlight w:val="none"/>
          <w:lang w:val="zh-CN"/>
        </w:rPr>
        <w:t>年12月31日前完成</w:t>
      </w:r>
      <w:r>
        <w:rPr>
          <w:rFonts w:hint="eastAsia" w:ascii="仿宋_GB2312" w:hAnsi="Times New Roman" w:eastAsia="仿宋_GB2312" w:cs="Times New Roman"/>
          <w:color w:val="auto"/>
          <w:kern w:val="0"/>
          <w:sz w:val="32"/>
          <w:szCs w:val="32"/>
          <w:highlight w:val="none"/>
          <w:lang w:val="en-US"/>
        </w:rPr>
        <w:t>接入全国数据共享平台</w:t>
      </w:r>
      <w:r>
        <w:rPr>
          <w:rFonts w:hint="eastAsia" w:ascii="仿宋_GB2312" w:hAnsi="宋体" w:eastAsia="仿宋_GB2312" w:cs="Times New Roman"/>
          <w:color w:val="auto"/>
          <w:sz w:val="32"/>
          <w:szCs w:val="32"/>
          <w:highlight w:val="none"/>
          <w:lang w:val="zh-CN"/>
        </w:rPr>
        <w:t>系统项目开发建设。通过</w:t>
      </w:r>
      <w:r>
        <w:rPr>
          <w:rFonts w:hint="eastAsia" w:ascii="仿宋_GB2312" w:hAnsi="宋体" w:eastAsia="仿宋_GB2312" w:cs="Times New Roman"/>
          <w:color w:val="auto"/>
          <w:sz w:val="32"/>
          <w:szCs w:val="32"/>
          <w:highlight w:val="none"/>
          <w:lang w:val="zh-CN" w:eastAsia="zh-CN"/>
        </w:rPr>
        <w:t>接入公积金业务系统管理平台和授权服务</w:t>
      </w:r>
      <w:r>
        <w:rPr>
          <w:rFonts w:hint="eastAsia" w:ascii="仿宋_GB2312" w:hAnsi="宋体" w:eastAsia="仿宋_GB2312" w:cs="Times New Roman"/>
          <w:color w:val="auto"/>
          <w:sz w:val="32"/>
          <w:szCs w:val="32"/>
          <w:highlight w:val="none"/>
          <w:lang w:val="zh-CN"/>
        </w:rPr>
        <w:t>，广元公积金中心业务经办人员和管理人员对数据进行调用和查看。</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ascii="楷体_GB2312" w:hAnsi="宋体" w:eastAsia="楷体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（三）项目自评步骤及方法。</w:t>
      </w:r>
    </w:p>
    <w:p>
      <w:pPr>
        <w:keepNext w:val="0"/>
        <w:keepLines w:val="0"/>
        <w:pageBreakBefore w:val="0"/>
        <w:widowControl w:val="0"/>
        <w:numPr>
          <w:ilvl w:val="0"/>
          <w:numId w:val="0"/>
        </w:numPr>
        <w:shd w:val="clear"/>
        <w:tabs>
          <w:tab w:val="left" w:pos="2523"/>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sectPr>
          <w:footerReference r:id="rId77" w:type="first"/>
          <w:footerReference r:id="rId76" w:type="default"/>
          <w:pgSz w:w="11906" w:h="16838"/>
          <w:pgMar w:top="2098" w:right="1474" w:bottom="1984" w:left="1587" w:header="851" w:footer="992" w:gutter="0"/>
          <w:pgNumType w:fmt="decimal"/>
          <w:cols w:space="425" w:num="1"/>
          <w:titlePg/>
          <w:docGrid w:type="lines" w:linePitch="312" w:charSpace="0"/>
        </w:sectPr>
      </w:pPr>
      <w:r>
        <w:rPr>
          <w:rFonts w:hint="eastAsia" w:ascii="仿宋_GB2312" w:hAnsi="仿宋_GB2312" w:eastAsia="仿宋_GB2312" w:cs="仿宋_GB2312"/>
          <w:color w:val="auto"/>
          <w:sz w:val="32"/>
          <w:szCs w:val="32"/>
          <w:highlight w:val="none"/>
          <w:lang w:val="en-US" w:eastAsia="zh-CN"/>
        </w:rPr>
        <w:t>首先由信息技术科人员、财务人员共同草拟自评报告，分别</w:t>
      </w:r>
    </w:p>
    <w:p>
      <w:pPr>
        <w:keepNext w:val="0"/>
        <w:keepLines w:val="0"/>
        <w:pageBreakBefore w:val="0"/>
        <w:widowControl w:val="0"/>
        <w:numPr>
          <w:ilvl w:val="0"/>
          <w:numId w:val="0"/>
        </w:numPr>
        <w:shd w:val="clear"/>
        <w:tabs>
          <w:tab w:val="left" w:pos="2523"/>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报分管领导、主要领导审阅后再报送。</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outlineLvl w:val="1"/>
        <w:rPr>
          <w:rFonts w:ascii="黑体" w:hAnsi="宋体" w:eastAsia="黑体" w:cs="Times New Roman"/>
          <w:b w:val="0"/>
          <w:bCs w:val="0"/>
          <w:color w:val="auto"/>
          <w:sz w:val="32"/>
          <w:szCs w:val="32"/>
          <w:highlight w:val="none"/>
          <w:u w:val="none"/>
        </w:rPr>
      </w:pPr>
      <w:bookmarkStart w:id="184" w:name="_Toc27932"/>
      <w:bookmarkStart w:id="185" w:name="_Toc16034"/>
      <w:r>
        <w:rPr>
          <w:rFonts w:hint="eastAsia" w:ascii="黑体" w:hAnsi="宋体" w:eastAsia="黑体" w:cs="Times New Roman"/>
          <w:b w:val="0"/>
          <w:bCs w:val="0"/>
          <w:color w:val="auto"/>
          <w:sz w:val="32"/>
          <w:szCs w:val="32"/>
          <w:highlight w:val="none"/>
          <w:u w:val="none"/>
        </w:rPr>
        <w:t>二、项目资金申报及使用情况</w:t>
      </w:r>
      <w:bookmarkEnd w:id="184"/>
      <w:bookmarkEnd w:id="185"/>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ascii="楷体_GB2312" w:hAnsi="宋体" w:eastAsia="楷体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（一）项目资金申报及批复情况。</w:t>
      </w:r>
    </w:p>
    <w:p>
      <w:pPr>
        <w:keepNext w:val="0"/>
        <w:keepLines w:val="0"/>
        <w:pageBreakBefore w:val="0"/>
        <w:shd w:val="clear"/>
        <w:tabs>
          <w:tab w:val="left" w:pos="3885"/>
        </w:tabs>
        <w:kinsoku/>
        <w:wordWrap/>
        <w:overflowPunct/>
        <w:topLinePunct w:val="0"/>
        <w:autoSpaceDE/>
        <w:autoSpaceDN/>
        <w:bidi w:val="0"/>
        <w:snapToGrid w:val="0"/>
        <w:spacing w:line="560" w:lineRule="exact"/>
        <w:ind w:firstLine="640" w:firstLineChars="200"/>
        <w:jc w:val="left"/>
        <w:textAlignment w:val="auto"/>
        <w:rPr>
          <w:rFonts w:ascii="仿宋_GB2312" w:hAnsi="Times New Roman" w:eastAsia="仿宋_GB2312" w:cs="Times New Roman"/>
          <w:color w:val="auto"/>
          <w:kern w:val="0"/>
          <w:sz w:val="32"/>
          <w:szCs w:val="32"/>
          <w:highlight w:val="none"/>
        </w:rPr>
      </w:pPr>
      <w:r>
        <w:rPr>
          <w:rFonts w:hint="eastAsia" w:ascii="仿宋_GB2312" w:hAnsi="Times New Roman" w:eastAsia="仿宋_GB2312" w:cs="Times New Roman"/>
          <w:color w:val="auto"/>
          <w:kern w:val="0"/>
          <w:sz w:val="32"/>
          <w:szCs w:val="32"/>
          <w:highlight w:val="none"/>
        </w:rPr>
        <w:t>本项目由信息技术科根据上级相关要求，制定项目预算需求计划，负责编制项目事前评估和绩效目标。由办公室汇总项目纳入年度部门预算草案，经中心党组会审议后报财政局纳入市级部门预算编制报批。202</w:t>
      </w:r>
      <w:r>
        <w:rPr>
          <w:rFonts w:hint="eastAsia" w:ascii="仿宋_GB2312" w:hAnsi="Times New Roman" w:eastAsia="仿宋_GB2312" w:cs="Times New Roman"/>
          <w:color w:val="auto"/>
          <w:kern w:val="0"/>
          <w:sz w:val="32"/>
          <w:szCs w:val="32"/>
          <w:highlight w:val="none"/>
          <w:lang w:val="en-US" w:eastAsia="zh-CN"/>
        </w:rPr>
        <w:t>2</w:t>
      </w:r>
      <w:r>
        <w:rPr>
          <w:rFonts w:hint="eastAsia" w:ascii="仿宋_GB2312" w:hAnsi="Times New Roman" w:eastAsia="仿宋_GB2312" w:cs="Times New Roman"/>
          <w:color w:val="auto"/>
          <w:kern w:val="0"/>
          <w:sz w:val="32"/>
          <w:szCs w:val="32"/>
          <w:highlight w:val="none"/>
        </w:rPr>
        <w:t>年度申报</w:t>
      </w:r>
      <w:r>
        <w:rPr>
          <w:rFonts w:hint="eastAsia" w:ascii="仿宋_GB2312" w:hAnsi="Times New Roman" w:eastAsia="仿宋_GB2312" w:cs="Times New Roman"/>
          <w:color w:val="auto"/>
          <w:kern w:val="0"/>
          <w:sz w:val="32"/>
          <w:szCs w:val="32"/>
          <w:highlight w:val="none"/>
          <w:lang w:val="en-US"/>
        </w:rPr>
        <w:t>接入全国数据共享平台</w:t>
      </w:r>
      <w:r>
        <w:rPr>
          <w:rFonts w:hint="eastAsia" w:ascii="仿宋_GB2312" w:hAnsi="Times New Roman" w:eastAsia="仿宋_GB2312" w:cs="Times New Roman"/>
          <w:color w:val="auto"/>
          <w:kern w:val="0"/>
          <w:sz w:val="32"/>
          <w:szCs w:val="32"/>
          <w:highlight w:val="none"/>
        </w:rPr>
        <w:t>开发建设项目经费预算资金20万元</w:t>
      </w:r>
      <w:r>
        <w:rPr>
          <w:rFonts w:hint="eastAsia" w:ascii="仿宋_GB2312" w:eastAsia="仿宋_GB2312" w:cs="Times New Roman"/>
          <w:color w:val="auto"/>
          <w:kern w:val="0"/>
          <w:sz w:val="32"/>
          <w:szCs w:val="32"/>
          <w:highlight w:val="none"/>
          <w:lang w:eastAsia="zh-CN"/>
        </w:rPr>
        <w:t>，</w:t>
      </w:r>
      <w:r>
        <w:rPr>
          <w:rFonts w:hint="eastAsia" w:ascii="仿宋_GB2312" w:hAnsi="Times New Roman" w:eastAsia="仿宋_GB2312" w:cs="Times New Roman"/>
          <w:color w:val="auto"/>
          <w:kern w:val="0"/>
          <w:sz w:val="32"/>
          <w:szCs w:val="32"/>
          <w:highlight w:val="none"/>
        </w:rPr>
        <w:t>该项目为市本级支付项目，由市财政全额保障。财政批复下达专项资金预算20万元。</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ascii="仿宋_GB2312" w:hAnsi="宋体" w:eastAsia="仿宋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（二）资金计划、到位及使用情况。</w:t>
      </w:r>
    </w:p>
    <w:p>
      <w:pPr>
        <w:keepNext w:val="0"/>
        <w:keepLines w:val="0"/>
        <w:pageBreakBefore w:val="0"/>
        <w:shd w:val="clear"/>
        <w:kinsoku/>
        <w:wordWrap/>
        <w:overflowPunct/>
        <w:topLinePunct w:val="0"/>
        <w:autoSpaceDE/>
        <w:autoSpaceDN/>
        <w:bidi w:val="0"/>
        <w:adjustRightInd w:val="0"/>
        <w:snapToGrid w:val="0"/>
        <w:spacing w:line="560" w:lineRule="exact"/>
        <w:ind w:firstLine="720"/>
        <w:textAlignment w:val="auto"/>
        <w:rPr>
          <w:rFonts w:hint="eastAsia" w:ascii="仿宋_GB2312" w:hAnsi="Times New Roman" w:eastAsia="仿宋_GB2312" w:cs="Times New Roman"/>
          <w:color w:val="auto"/>
          <w:kern w:val="0"/>
          <w:sz w:val="32"/>
          <w:szCs w:val="32"/>
          <w:highlight w:val="none"/>
          <w:lang w:val="zh-CN"/>
        </w:rPr>
      </w:pPr>
      <w:r>
        <w:rPr>
          <w:rFonts w:hint="eastAsia" w:ascii="仿宋_GB2312" w:hAnsi="仿宋_GB2312" w:eastAsia="仿宋_GB2312" w:cs="仿宋_GB2312"/>
          <w:b w:val="0"/>
          <w:bCs w:val="0"/>
          <w:color w:val="auto"/>
          <w:sz w:val="32"/>
          <w:szCs w:val="32"/>
          <w:highlight w:val="none"/>
          <w:lang w:val="zh-CN"/>
        </w:rPr>
        <w:t>1．资金计划及到位。</w:t>
      </w:r>
      <w:r>
        <w:rPr>
          <w:rFonts w:hint="eastAsia" w:ascii="仿宋_GB2312" w:hAnsi="Times New Roman" w:eastAsia="仿宋_GB2312" w:cs="Times New Roman"/>
          <w:color w:val="auto"/>
          <w:kern w:val="0"/>
          <w:sz w:val="32"/>
          <w:szCs w:val="32"/>
          <w:highlight w:val="none"/>
          <w:lang w:val="en-US"/>
        </w:rPr>
        <w:t>接入全国数据共享平台</w:t>
      </w:r>
      <w:r>
        <w:rPr>
          <w:rFonts w:hint="eastAsia" w:ascii="仿宋_GB2312" w:hAnsi="Times New Roman" w:eastAsia="仿宋_GB2312" w:cs="Times New Roman"/>
          <w:color w:val="auto"/>
          <w:kern w:val="0"/>
          <w:sz w:val="32"/>
          <w:szCs w:val="32"/>
          <w:highlight w:val="none"/>
        </w:rPr>
        <w:t>开发建设项目建设经费全年安排20万元</w:t>
      </w:r>
      <w:r>
        <w:rPr>
          <w:rFonts w:hint="eastAsia" w:ascii="仿宋_GB2312" w:hAnsi="Times New Roman" w:eastAsia="仿宋_GB2312" w:cs="Times New Roman"/>
          <w:color w:val="auto"/>
          <w:kern w:val="0"/>
          <w:sz w:val="32"/>
          <w:szCs w:val="32"/>
          <w:highlight w:val="none"/>
          <w:lang w:val="zh-CN"/>
        </w:rPr>
        <w:t>，资金全部到位。</w:t>
      </w:r>
    </w:p>
    <w:p>
      <w:pPr>
        <w:keepNext w:val="0"/>
        <w:keepLines w:val="0"/>
        <w:pageBreakBefore w:val="0"/>
        <w:shd w:val="clear"/>
        <w:kinsoku/>
        <w:wordWrap/>
        <w:overflowPunct/>
        <w:topLinePunct w:val="0"/>
        <w:autoSpaceDE/>
        <w:autoSpaceDN/>
        <w:bidi w:val="0"/>
        <w:adjustRightInd w:val="0"/>
        <w:snapToGrid w:val="0"/>
        <w:spacing w:line="560" w:lineRule="exact"/>
        <w:ind w:firstLine="720"/>
        <w:textAlignment w:val="auto"/>
        <w:rPr>
          <w:rFonts w:hint="eastAsia" w:ascii="仿宋_GB2312" w:hAnsi="宋体" w:eastAsia="仿宋_GB2312" w:cs="Times New Roman"/>
          <w:color w:val="auto"/>
          <w:sz w:val="32"/>
          <w:szCs w:val="32"/>
          <w:highlight w:val="none"/>
          <w:lang w:val="zh-CN"/>
        </w:rPr>
      </w:pPr>
      <w:r>
        <w:rPr>
          <w:rFonts w:hint="eastAsia" w:ascii="仿宋_GB2312" w:hAnsi="仿宋_GB2312" w:eastAsia="仿宋_GB2312" w:cs="仿宋_GB2312"/>
          <w:b w:val="0"/>
          <w:bCs w:val="0"/>
          <w:color w:val="auto"/>
          <w:sz w:val="32"/>
          <w:szCs w:val="32"/>
          <w:highlight w:val="none"/>
          <w:lang w:val="zh-CN"/>
        </w:rPr>
        <w:t>2．资金使用。</w:t>
      </w:r>
      <w:r>
        <w:rPr>
          <w:rFonts w:hint="eastAsia" w:ascii="仿宋_GB2312" w:hAnsi="宋体" w:eastAsia="仿宋_GB2312" w:cs="Times New Roman"/>
          <w:color w:val="auto"/>
          <w:sz w:val="32"/>
          <w:szCs w:val="32"/>
          <w:highlight w:val="none"/>
          <w:lang w:val="zh-CN"/>
        </w:rPr>
        <w:t>截止202</w:t>
      </w:r>
      <w:r>
        <w:rPr>
          <w:rFonts w:hint="eastAsia" w:ascii="仿宋_GB2312" w:hAnsi="宋体" w:eastAsia="仿宋_GB2312" w:cs="Times New Roman"/>
          <w:color w:val="auto"/>
          <w:sz w:val="32"/>
          <w:szCs w:val="32"/>
          <w:highlight w:val="none"/>
          <w:lang w:val="en-US" w:eastAsia="zh-CN"/>
        </w:rPr>
        <w:t>2</w:t>
      </w:r>
      <w:r>
        <w:rPr>
          <w:rFonts w:hint="eastAsia" w:ascii="仿宋_GB2312" w:hAnsi="宋体" w:eastAsia="仿宋_GB2312" w:cs="Times New Roman"/>
          <w:color w:val="auto"/>
          <w:sz w:val="32"/>
          <w:szCs w:val="32"/>
          <w:highlight w:val="none"/>
          <w:lang w:val="zh-CN"/>
        </w:rPr>
        <w:t>年12月31日，</w:t>
      </w:r>
      <w:r>
        <w:rPr>
          <w:rFonts w:hint="eastAsia" w:ascii="仿宋_GB2312" w:hAnsi="Times New Roman" w:eastAsia="仿宋_GB2312" w:cs="Times New Roman"/>
          <w:color w:val="auto"/>
          <w:kern w:val="0"/>
          <w:sz w:val="32"/>
          <w:szCs w:val="32"/>
          <w:highlight w:val="none"/>
          <w:lang w:val="en-US"/>
        </w:rPr>
        <w:t>接入全国数据共享平台</w:t>
      </w:r>
      <w:r>
        <w:rPr>
          <w:rFonts w:hint="eastAsia" w:ascii="仿宋_GB2312" w:hAnsi="Times New Roman" w:eastAsia="仿宋_GB2312" w:cs="Times New Roman"/>
          <w:color w:val="auto"/>
          <w:kern w:val="0"/>
          <w:sz w:val="32"/>
          <w:szCs w:val="32"/>
          <w:highlight w:val="none"/>
        </w:rPr>
        <w:t>开发建设项目建设经费</w:t>
      </w:r>
      <w:r>
        <w:rPr>
          <w:rFonts w:hint="eastAsia" w:ascii="仿宋_GB2312" w:hAnsi="宋体" w:eastAsia="仿宋_GB2312" w:cs="Times New Roman"/>
          <w:color w:val="auto"/>
          <w:sz w:val="32"/>
          <w:szCs w:val="32"/>
          <w:highlight w:val="none"/>
          <w:lang w:val="zh-CN"/>
        </w:rPr>
        <w:t>实际支出</w:t>
      </w:r>
      <w:r>
        <w:rPr>
          <w:rFonts w:hint="eastAsia" w:ascii="仿宋_GB2312" w:hAnsi="宋体" w:eastAsia="仿宋_GB2312" w:cs="Times New Roman"/>
          <w:color w:val="auto"/>
          <w:sz w:val="32"/>
          <w:szCs w:val="32"/>
          <w:highlight w:val="none"/>
        </w:rPr>
        <w:t>1</w:t>
      </w:r>
      <w:r>
        <w:rPr>
          <w:rFonts w:hint="eastAsia" w:ascii="仿宋_GB2312" w:hAnsi="宋体" w:eastAsia="仿宋_GB2312" w:cs="Times New Roman"/>
          <w:color w:val="auto"/>
          <w:sz w:val="32"/>
          <w:szCs w:val="32"/>
          <w:highlight w:val="none"/>
          <w:lang w:val="en-US" w:eastAsia="zh-CN"/>
        </w:rPr>
        <w:t>9</w:t>
      </w:r>
      <w:r>
        <w:rPr>
          <w:rFonts w:hint="eastAsia" w:ascii="仿宋_GB2312" w:hAnsi="宋体" w:eastAsia="仿宋_GB2312" w:cs="Times New Roman"/>
          <w:color w:val="auto"/>
          <w:sz w:val="32"/>
          <w:szCs w:val="32"/>
          <w:highlight w:val="none"/>
        </w:rPr>
        <w:t>.9</w:t>
      </w:r>
      <w:r>
        <w:rPr>
          <w:rFonts w:hint="eastAsia" w:ascii="仿宋_GB2312" w:hAnsi="宋体" w:eastAsia="仿宋_GB2312" w:cs="Times New Roman"/>
          <w:color w:val="auto"/>
          <w:sz w:val="32"/>
          <w:szCs w:val="32"/>
          <w:highlight w:val="none"/>
          <w:lang w:val="en-US" w:eastAsia="zh-CN"/>
        </w:rPr>
        <w:t>3</w:t>
      </w:r>
      <w:r>
        <w:rPr>
          <w:rFonts w:hint="eastAsia" w:ascii="仿宋_GB2312" w:hAnsi="宋体" w:eastAsia="仿宋_GB2312" w:cs="Times New Roman"/>
          <w:color w:val="auto"/>
          <w:sz w:val="32"/>
          <w:szCs w:val="32"/>
          <w:highlight w:val="none"/>
          <w:lang w:val="zh-CN"/>
        </w:rPr>
        <w:t>万元，资金主要用于</w:t>
      </w:r>
      <w:r>
        <w:rPr>
          <w:rFonts w:hint="eastAsia" w:ascii="仿宋_GB2312" w:hAnsi="宋体" w:eastAsia="仿宋_GB2312" w:cs="Times New Roman"/>
          <w:color w:val="auto"/>
          <w:sz w:val="32"/>
          <w:szCs w:val="32"/>
          <w:highlight w:val="none"/>
        </w:rPr>
        <w:t>支付</w:t>
      </w:r>
      <w:r>
        <w:rPr>
          <w:rFonts w:hint="eastAsia" w:ascii="仿宋_GB2312" w:hAnsi="宋体" w:eastAsia="仿宋_GB2312" w:cs="Times New Roman"/>
          <w:color w:val="auto"/>
          <w:sz w:val="32"/>
          <w:szCs w:val="32"/>
          <w:highlight w:val="none"/>
          <w:lang w:val="zh-CN"/>
        </w:rPr>
        <w:t>软件公司</w:t>
      </w:r>
      <w:r>
        <w:rPr>
          <w:rFonts w:hint="eastAsia" w:ascii="仿宋_GB2312" w:hAnsi="宋体" w:eastAsia="仿宋_GB2312" w:cs="Times New Roman"/>
          <w:color w:val="auto"/>
          <w:sz w:val="32"/>
          <w:szCs w:val="32"/>
          <w:highlight w:val="none"/>
        </w:rPr>
        <w:t>系统开发建设费用，</w:t>
      </w:r>
      <w:r>
        <w:rPr>
          <w:rFonts w:hint="eastAsia" w:ascii="仿宋_GB2312" w:hAnsi="宋体" w:eastAsia="仿宋_GB2312" w:cs="Times New Roman"/>
          <w:color w:val="auto"/>
          <w:sz w:val="32"/>
          <w:szCs w:val="32"/>
          <w:highlight w:val="none"/>
          <w:lang w:val="zh-CN"/>
        </w:rPr>
        <w:t>全年支付进度达</w:t>
      </w:r>
      <w:r>
        <w:rPr>
          <w:rFonts w:hint="eastAsia" w:ascii="仿宋_GB2312" w:hAnsi="宋体" w:eastAsia="仿宋_GB2312" w:cs="Times New Roman"/>
          <w:color w:val="auto"/>
          <w:sz w:val="32"/>
          <w:szCs w:val="32"/>
          <w:highlight w:val="none"/>
          <w:lang w:val="en-US" w:eastAsia="zh-CN"/>
        </w:rPr>
        <w:t>100</w:t>
      </w:r>
      <w:r>
        <w:rPr>
          <w:rFonts w:hint="eastAsia" w:ascii="仿宋_GB2312" w:hAnsi="宋体" w:eastAsia="仿宋_GB2312" w:cs="Times New Roman"/>
          <w:color w:val="auto"/>
          <w:sz w:val="32"/>
          <w:szCs w:val="32"/>
          <w:highlight w:val="none"/>
          <w:lang w:val="zh-CN"/>
        </w:rPr>
        <w:t>%。经费严格按照机关出台的各项管理办法审核、审批、支付，依据合规合法。</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ascii="楷体_GB2312" w:hAnsi="宋体" w:eastAsia="楷体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（三）项目财务管理情况。</w:t>
      </w:r>
    </w:p>
    <w:p>
      <w:pPr>
        <w:keepNext w:val="0"/>
        <w:keepLines w:val="0"/>
        <w:pageBreakBefore w:val="0"/>
        <w:shd w:val="clear"/>
        <w:kinsoku/>
        <w:wordWrap/>
        <w:overflowPunct/>
        <w:topLinePunct w:val="0"/>
        <w:autoSpaceDE/>
        <w:autoSpaceDN/>
        <w:bidi w:val="0"/>
        <w:adjustRightInd w:val="0"/>
        <w:snapToGrid w:val="0"/>
        <w:spacing w:line="560" w:lineRule="exact"/>
        <w:ind w:firstLine="720"/>
        <w:textAlignment w:val="auto"/>
        <w:rPr>
          <w:rFonts w:ascii="仿宋_GB2312" w:hAnsi="宋体" w:eastAsia="仿宋_GB2312" w:cs="Times New Roman"/>
          <w:color w:val="auto"/>
          <w:sz w:val="32"/>
          <w:szCs w:val="32"/>
          <w:highlight w:val="none"/>
          <w:lang w:val="zh-CN"/>
        </w:rPr>
      </w:pPr>
      <w:r>
        <w:rPr>
          <w:rFonts w:hint="eastAsia" w:ascii="仿宋_GB2312" w:hAnsi="宋体" w:eastAsia="仿宋_GB2312" w:cs="Times New Roman"/>
          <w:color w:val="auto"/>
          <w:sz w:val="32"/>
          <w:szCs w:val="32"/>
          <w:highlight w:val="none"/>
          <w:lang w:val="zh-CN"/>
        </w:rPr>
        <w:t>根据《中华人民共和国预算法》等制度要求，</w:t>
      </w:r>
      <w:r>
        <w:rPr>
          <w:rFonts w:hint="eastAsia" w:ascii="仿宋_GB2312" w:hAnsi="宋体" w:eastAsia="仿宋_GB2312" w:cs="Times New Roman"/>
          <w:color w:val="auto"/>
          <w:sz w:val="32"/>
          <w:szCs w:val="32"/>
          <w:highlight w:val="none"/>
        </w:rPr>
        <w:t>本单位</w:t>
      </w:r>
      <w:r>
        <w:rPr>
          <w:rFonts w:hint="eastAsia" w:ascii="仿宋_GB2312" w:hAnsi="宋体" w:eastAsia="仿宋_GB2312" w:cs="Times New Roman"/>
          <w:color w:val="auto"/>
          <w:sz w:val="32"/>
          <w:szCs w:val="32"/>
          <w:highlight w:val="none"/>
          <w:lang w:val="zh-CN"/>
        </w:rPr>
        <w:t>对项目实行了国库集中支付，资金支出严格依据相关财务制度和预算标准执行，资金使用合法合规，财务信息真实完整，坚持了厉行节约，不存在资金截留、挤占和挪用现象。</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outlineLvl w:val="1"/>
        <w:rPr>
          <w:rFonts w:ascii="黑体" w:hAnsi="宋体" w:eastAsia="黑体" w:cs="Times New Roman"/>
          <w:b w:val="0"/>
          <w:bCs w:val="0"/>
          <w:color w:val="auto"/>
          <w:sz w:val="32"/>
          <w:szCs w:val="32"/>
          <w:highlight w:val="none"/>
          <w:u w:val="none"/>
        </w:rPr>
      </w:pPr>
      <w:bookmarkStart w:id="186" w:name="_Toc28782"/>
      <w:bookmarkStart w:id="187" w:name="_Toc31114"/>
      <w:r>
        <w:rPr>
          <w:rFonts w:hint="eastAsia" w:ascii="黑体" w:hAnsi="宋体" w:eastAsia="黑体" w:cs="Times New Roman"/>
          <w:b w:val="0"/>
          <w:bCs w:val="0"/>
          <w:color w:val="auto"/>
          <w:sz w:val="32"/>
          <w:szCs w:val="32"/>
          <w:highlight w:val="none"/>
          <w:u w:val="none"/>
        </w:rPr>
        <w:t>三、项目实施及管理情况</w:t>
      </w:r>
      <w:bookmarkEnd w:id="186"/>
      <w:bookmarkEnd w:id="187"/>
    </w:p>
    <w:p>
      <w:pPr>
        <w:keepNext w:val="0"/>
        <w:keepLines w:val="0"/>
        <w:pageBreakBefore w:val="0"/>
        <w:widowControl w:val="0"/>
        <w:numPr>
          <w:ilvl w:val="0"/>
          <w:numId w:val="8"/>
        </w:numPr>
        <w:shd w:val="clear"/>
        <w:kinsoku/>
        <w:wordWrap/>
        <w:overflowPunct/>
        <w:topLinePunct w:val="0"/>
        <w:autoSpaceDE/>
        <w:autoSpaceDN/>
        <w:bidi w:val="0"/>
        <w:adjustRightInd w:val="0"/>
        <w:snapToGrid w:val="0"/>
        <w:spacing w:line="560" w:lineRule="exact"/>
        <w:ind w:firstLine="640" w:firstLineChars="200"/>
        <w:jc w:val="both"/>
        <w:textAlignment w:val="auto"/>
        <w:rPr>
          <w:rFonts w:hint="eastAsia" w:ascii="楷体_GB2312" w:hAnsi="宋体" w:eastAsia="楷体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项目组织架构及实施流程。</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720"/>
        <w:jc w:val="both"/>
        <w:textAlignment w:val="auto"/>
        <w:rPr>
          <w:rFonts w:ascii="仿宋_GB2312" w:hAnsi="宋体" w:eastAsia="仿宋_GB2312" w:cs="Times New Roman"/>
          <w:color w:val="auto"/>
          <w:kern w:val="2"/>
          <w:sz w:val="32"/>
          <w:szCs w:val="32"/>
          <w:highlight w:val="none"/>
          <w:lang w:val="en-US" w:eastAsia="zh-CN" w:bidi="ar-SA"/>
        </w:rPr>
      </w:pPr>
      <w:r>
        <w:rPr>
          <w:rFonts w:hint="eastAsia" w:ascii="仿宋_GB2312" w:hAnsi="宋体" w:eastAsia="仿宋_GB2312" w:cs="Times New Roman"/>
          <w:color w:val="auto"/>
          <w:kern w:val="2"/>
          <w:sz w:val="32"/>
          <w:szCs w:val="32"/>
          <w:highlight w:val="none"/>
          <w:lang w:val="en-US" w:eastAsia="zh-CN" w:bidi="ar-SA"/>
        </w:rPr>
        <w:t>广元市住房公积金管理中心</w:t>
      </w:r>
      <w:r>
        <w:rPr>
          <w:rFonts w:hint="eastAsia" w:ascii="仿宋_GB2312" w:hAnsi="宋体" w:eastAsia="仿宋_GB2312" w:cs="Times New Roman"/>
          <w:color w:val="auto"/>
          <w:kern w:val="2"/>
          <w:sz w:val="32"/>
          <w:szCs w:val="32"/>
          <w:highlight w:val="none"/>
          <w:lang w:val="zh-CN" w:eastAsia="zh-CN" w:bidi="ar-SA"/>
        </w:rPr>
        <w:t>是项目的主管部门和实施部门，按照</w:t>
      </w:r>
      <w:r>
        <w:rPr>
          <w:rFonts w:hint="eastAsia" w:ascii="仿宋_GB2312" w:hAnsi="宋体" w:eastAsia="仿宋_GB2312" w:cs="Times New Roman"/>
          <w:color w:val="auto"/>
          <w:kern w:val="2"/>
          <w:sz w:val="32"/>
          <w:szCs w:val="32"/>
          <w:highlight w:val="none"/>
          <w:lang w:val="en-US" w:eastAsia="zh-CN" w:bidi="ar-SA"/>
        </w:rPr>
        <w:t>单位内</w:t>
      </w:r>
      <w:r>
        <w:rPr>
          <w:rFonts w:hint="eastAsia" w:ascii="仿宋_GB2312" w:hAnsi="宋体" w:eastAsia="仿宋_GB2312" w:cs="Times New Roman"/>
          <w:color w:val="auto"/>
          <w:kern w:val="2"/>
          <w:sz w:val="32"/>
          <w:szCs w:val="32"/>
          <w:highlight w:val="none"/>
          <w:lang w:val="zh-CN" w:eastAsia="zh-CN" w:bidi="ar-SA"/>
        </w:rPr>
        <w:t>工作归口</w:t>
      </w:r>
      <w:r>
        <w:rPr>
          <w:rFonts w:hint="eastAsia" w:ascii="仿宋_GB2312" w:hAnsi="宋体" w:eastAsia="仿宋_GB2312" w:cs="Times New Roman"/>
          <w:color w:val="auto"/>
          <w:kern w:val="2"/>
          <w:sz w:val="32"/>
          <w:szCs w:val="32"/>
          <w:highlight w:val="none"/>
          <w:lang w:val="en-US" w:eastAsia="zh-CN" w:bidi="ar-SA"/>
        </w:rPr>
        <w:t>信息技术科</w:t>
      </w:r>
      <w:r>
        <w:rPr>
          <w:rFonts w:hint="eastAsia" w:ascii="仿宋_GB2312" w:hAnsi="宋体" w:eastAsia="仿宋_GB2312" w:cs="Times New Roman"/>
          <w:color w:val="auto"/>
          <w:kern w:val="2"/>
          <w:sz w:val="32"/>
          <w:szCs w:val="32"/>
          <w:highlight w:val="none"/>
          <w:lang w:val="zh-CN" w:eastAsia="zh-CN" w:bidi="ar-SA"/>
        </w:rPr>
        <w:t>管理，在办公室统筹协调下，由</w:t>
      </w:r>
      <w:r>
        <w:rPr>
          <w:rFonts w:hint="eastAsia" w:ascii="仿宋_GB2312" w:hAnsi="宋体" w:eastAsia="仿宋_GB2312" w:cs="Times New Roman"/>
          <w:color w:val="auto"/>
          <w:kern w:val="2"/>
          <w:sz w:val="32"/>
          <w:szCs w:val="32"/>
          <w:highlight w:val="none"/>
          <w:lang w:val="en-US" w:eastAsia="zh-CN" w:bidi="ar-SA"/>
        </w:rPr>
        <w:t>信息技术科具体组织项目实施</w:t>
      </w:r>
      <w:r>
        <w:rPr>
          <w:rFonts w:hint="eastAsia" w:ascii="仿宋_GB2312" w:hAnsi="宋体" w:eastAsia="仿宋_GB2312" w:cs="Times New Roman"/>
          <w:color w:val="auto"/>
          <w:kern w:val="2"/>
          <w:sz w:val="32"/>
          <w:szCs w:val="32"/>
          <w:highlight w:val="none"/>
          <w:lang w:val="zh-CN" w:eastAsia="zh-CN" w:bidi="ar-SA"/>
        </w:rPr>
        <w:t>，</w:t>
      </w:r>
      <w:r>
        <w:rPr>
          <w:rFonts w:hint="eastAsia" w:ascii="仿宋_GB2312" w:hAnsi="宋体" w:eastAsia="仿宋_GB2312" w:cs="Times New Roman"/>
          <w:color w:val="auto"/>
          <w:kern w:val="2"/>
          <w:sz w:val="32"/>
          <w:szCs w:val="32"/>
          <w:highlight w:val="none"/>
          <w:lang w:val="en-US" w:eastAsia="zh-CN" w:bidi="ar-SA"/>
        </w:rPr>
        <w:t>办公室</w:t>
      </w:r>
      <w:r>
        <w:rPr>
          <w:rFonts w:hint="eastAsia" w:ascii="仿宋_GB2312" w:hAnsi="宋体" w:eastAsia="仿宋_GB2312" w:cs="Times New Roman"/>
          <w:color w:val="auto"/>
          <w:kern w:val="2"/>
          <w:sz w:val="32"/>
          <w:szCs w:val="32"/>
          <w:highlight w:val="none"/>
          <w:lang w:val="zh-CN" w:eastAsia="zh-CN" w:bidi="ar-SA"/>
        </w:rPr>
        <w:t>及时进行账务处理，规范进行会计核算。</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zh-CN"/>
        </w:rPr>
      </w:pPr>
      <w:r>
        <w:rPr>
          <w:rFonts w:hint="eastAsia" w:ascii="楷体_GB2312" w:hAnsi="宋体" w:eastAsia="楷体_GB2312" w:cs="Times New Roman"/>
          <w:b w:val="0"/>
          <w:bCs w:val="0"/>
          <w:strike w:val="0"/>
          <w:dstrike w:val="0"/>
          <w:color w:val="auto"/>
          <w:sz w:val="32"/>
          <w:szCs w:val="32"/>
          <w:highlight w:val="none"/>
          <w:u w:val="none"/>
          <w:lang w:val="zh-CN"/>
        </w:rPr>
        <w:t>（二）项目管理情况。</w:t>
      </w:r>
      <w:r>
        <w:rPr>
          <w:rFonts w:hint="eastAsia" w:ascii="仿宋_GB2312" w:hAnsi="仿宋_GB2312" w:eastAsia="仿宋_GB2312" w:cs="仿宋_GB2312"/>
          <w:strike w:val="0"/>
          <w:color w:val="auto"/>
          <w:sz w:val="32"/>
          <w:szCs w:val="32"/>
          <w:highlight w:val="none"/>
          <w:u w:val="none"/>
          <w:lang w:val="en-US" w:eastAsia="zh-CN"/>
        </w:rPr>
        <w:t>2</w:t>
      </w:r>
      <w:r>
        <w:rPr>
          <w:rFonts w:hint="eastAsia" w:ascii="仿宋_GB2312" w:hAnsi="仿宋_GB2312" w:eastAsia="仿宋_GB2312" w:cs="仿宋_GB2312"/>
          <w:color w:val="auto"/>
          <w:sz w:val="32"/>
          <w:szCs w:val="32"/>
          <w:highlight w:val="none"/>
          <w:lang w:val="en-US" w:eastAsia="zh-CN"/>
        </w:rPr>
        <w:t>022年</w:t>
      </w:r>
      <w:r>
        <w:rPr>
          <w:rFonts w:hint="eastAsia" w:ascii="仿宋_GB2312" w:hAnsi="仿宋_GB2312" w:eastAsia="仿宋_GB2312" w:cs="仿宋_GB2312"/>
          <w:b w:val="0"/>
          <w:bCs w:val="0"/>
          <w:color w:val="auto"/>
          <w:kern w:val="2"/>
          <w:sz w:val="32"/>
          <w:szCs w:val="32"/>
          <w:highlight w:val="none"/>
          <w:lang w:eastAsia="zh-CN"/>
        </w:rPr>
        <w:t>接入全国数据共享平台建设</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项目相关管理制度机制健全完善，在项目执行过程中，无管理制度有悖于实际的情况，无存在难以操作、无法落地、执行不畅的等情况。</w:t>
      </w:r>
    </w:p>
    <w:p>
      <w:pPr>
        <w:keepNext w:val="0"/>
        <w:keepLines w:val="0"/>
        <w:pageBreakBefore w:val="0"/>
        <w:widowControl/>
        <w:suppressLineNumbers w:val="0"/>
        <w:shd w:val="clear"/>
        <w:kinsoku/>
        <w:wordWrap/>
        <w:overflowPunct/>
        <w:topLinePunct w:val="0"/>
        <w:autoSpaceDE/>
        <w:autoSpaceDN/>
        <w:bidi w:val="0"/>
        <w:spacing w:line="560"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楷体_GB2312" w:hAnsi="宋体" w:eastAsia="楷体_GB2312" w:cs="Times New Roman"/>
          <w:b w:val="0"/>
          <w:bCs w:val="0"/>
          <w:strike w:val="0"/>
          <w:dstrike w:val="0"/>
          <w:color w:val="auto"/>
          <w:sz w:val="32"/>
          <w:szCs w:val="32"/>
          <w:highlight w:val="none"/>
          <w:u w:val="none"/>
          <w:lang w:val="zh-CN"/>
        </w:rPr>
        <w:t>（三）项目监管情况。</w:t>
      </w:r>
      <w:r>
        <w:rPr>
          <w:rFonts w:hint="eastAsia" w:ascii="仿宋_GB2312" w:hAnsi="仿宋_GB2312" w:eastAsia="仿宋_GB2312" w:cs="仿宋_GB2312"/>
          <w:i w:val="0"/>
          <w:caps w:val="0"/>
          <w:color w:val="auto"/>
          <w:spacing w:val="0"/>
          <w:kern w:val="0"/>
          <w:sz w:val="32"/>
          <w:szCs w:val="32"/>
          <w:highlight w:val="none"/>
          <w:shd w:val="clear" w:fill="FFFFFF"/>
          <w:lang w:val="en-US" w:eastAsia="zh-CN" w:bidi="ar"/>
        </w:rPr>
        <w:t>每月通报预算执行进度，适时进行预算绩效监控，召开专题会议，研究项目推进，督促项目加快实施，有力保障财政资金的使用效益，确保绩效目标如期保质保量实现。</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outlineLvl w:val="1"/>
        <w:rPr>
          <w:rFonts w:ascii="仿宋_GB2312" w:hAnsi="宋体" w:eastAsia="仿宋_GB2312" w:cs="Times New Roman"/>
          <w:b w:val="0"/>
          <w:bCs w:val="0"/>
          <w:color w:val="auto"/>
          <w:sz w:val="32"/>
          <w:szCs w:val="32"/>
          <w:highlight w:val="none"/>
          <w:u w:val="none"/>
          <w:lang w:val="zh-CN"/>
        </w:rPr>
      </w:pPr>
      <w:bookmarkStart w:id="188" w:name="_Toc21580"/>
      <w:bookmarkStart w:id="189" w:name="_Toc14458"/>
      <w:r>
        <w:rPr>
          <w:rFonts w:hint="eastAsia" w:ascii="黑体" w:hAnsi="宋体" w:eastAsia="黑体" w:cs="Times New Roman"/>
          <w:b w:val="0"/>
          <w:bCs w:val="0"/>
          <w:color w:val="auto"/>
          <w:sz w:val="32"/>
          <w:szCs w:val="32"/>
          <w:highlight w:val="none"/>
          <w:u w:val="none"/>
        </w:rPr>
        <w:t>四、项目绩效情况</w:t>
      </w:r>
      <w:bookmarkEnd w:id="188"/>
      <w:bookmarkEnd w:id="189"/>
      <w:r>
        <w:rPr>
          <w:rFonts w:hint="eastAsia" w:ascii="仿宋_GB2312" w:hAnsi="宋体" w:eastAsia="仿宋_GB2312" w:cs="Times New Roman"/>
          <w:b w:val="0"/>
          <w:bCs w:val="0"/>
          <w:color w:val="auto"/>
          <w:sz w:val="32"/>
          <w:szCs w:val="32"/>
          <w:highlight w:val="none"/>
          <w:u w:val="none"/>
          <w:lang w:val="zh-CN"/>
        </w:rPr>
        <w:tab/>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ascii="楷体_GB2312" w:hAnsi="宋体" w:eastAsia="楷体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（一）项目完成情况。</w:t>
      </w:r>
    </w:p>
    <w:p>
      <w:pPr>
        <w:keepNext w:val="0"/>
        <w:keepLines w:val="0"/>
        <w:pageBreakBefore w:val="0"/>
        <w:shd w:val="clear"/>
        <w:kinsoku/>
        <w:wordWrap/>
        <w:overflowPunct/>
        <w:topLinePunct w:val="0"/>
        <w:autoSpaceDE/>
        <w:autoSpaceDN/>
        <w:bidi w:val="0"/>
        <w:spacing w:line="560" w:lineRule="exact"/>
        <w:ind w:firstLine="707" w:firstLineChars="221"/>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2022年</w:t>
      </w:r>
      <w:r>
        <w:rPr>
          <w:rFonts w:hint="eastAsia" w:ascii="仿宋_GB2312" w:hAnsi="仿宋_GB2312" w:eastAsia="仿宋_GB2312" w:cs="仿宋_GB2312"/>
          <w:b w:val="0"/>
          <w:bCs w:val="0"/>
          <w:color w:val="auto"/>
          <w:kern w:val="2"/>
          <w:sz w:val="32"/>
          <w:szCs w:val="32"/>
          <w:highlight w:val="none"/>
          <w:lang w:eastAsia="zh-CN"/>
        </w:rPr>
        <w:t>接入全国数据共享平台建设</w:t>
      </w:r>
      <w:r>
        <w:rPr>
          <w:rFonts w:hint="eastAsia" w:ascii="仿宋_GB2312" w:hAnsi="仿宋_GB2312" w:eastAsia="仿宋_GB2312" w:cs="仿宋_GB2312"/>
          <w:color w:val="auto"/>
          <w:kern w:val="2"/>
          <w:sz w:val="32"/>
          <w:szCs w:val="32"/>
          <w:highlight w:val="none"/>
          <w:lang w:val="en-US" w:eastAsia="zh-CN" w:bidi="ar-SA"/>
        </w:rPr>
        <w:t>工作经费19.93</w:t>
      </w:r>
      <w:r>
        <w:rPr>
          <w:rFonts w:hint="eastAsia" w:ascii="仿宋_GB2312" w:hAnsi="仿宋_GB2312" w:eastAsia="仿宋_GB2312" w:cs="仿宋_GB2312"/>
          <w:color w:val="auto"/>
          <w:kern w:val="2"/>
          <w:sz w:val="32"/>
          <w:szCs w:val="32"/>
          <w:highlight w:val="none"/>
          <w:lang w:val="en" w:eastAsia="zh-CN" w:bidi="ar-SA"/>
        </w:rPr>
        <w:t>万元</w:t>
      </w:r>
      <w:r>
        <w:rPr>
          <w:rFonts w:hint="eastAsia" w:ascii="仿宋_GB2312" w:hAnsi="仿宋_GB2312" w:eastAsia="仿宋_GB2312" w:cs="仿宋_GB2312"/>
          <w:color w:val="auto"/>
          <w:kern w:val="2"/>
          <w:sz w:val="32"/>
          <w:szCs w:val="32"/>
          <w:highlight w:val="none"/>
          <w:lang w:val="en-US" w:eastAsia="zh-CN" w:bidi="ar-SA"/>
        </w:rPr>
        <w:t>，完成率99.65%。</w:t>
      </w:r>
      <w:r>
        <w:rPr>
          <w:rFonts w:hint="eastAsia" w:ascii="Times New Roman" w:hAnsi="Times New Roman" w:eastAsia="仿宋_GB2312" w:cs="Times New Roman"/>
          <w:color w:val="auto"/>
          <w:sz w:val="32"/>
          <w:szCs w:val="32"/>
          <w:highlight w:val="none"/>
          <w:lang w:val="zh-CN"/>
        </w:rPr>
        <w:t>202</w:t>
      </w:r>
      <w:r>
        <w:rPr>
          <w:rFonts w:hint="eastAsia" w:ascii="Times New Roman" w:hAnsi="Times New Roman" w:eastAsia="仿宋_GB2312" w:cs="Times New Roman"/>
          <w:color w:val="auto"/>
          <w:sz w:val="32"/>
          <w:szCs w:val="32"/>
          <w:highlight w:val="none"/>
          <w:lang w:val="en-US" w:eastAsia="zh-CN"/>
        </w:rPr>
        <w:t>2</w:t>
      </w:r>
      <w:r>
        <w:rPr>
          <w:rFonts w:hint="eastAsia" w:ascii="Times New Roman" w:hAnsi="Times New Roman" w:eastAsia="仿宋_GB2312" w:cs="Times New Roman"/>
          <w:color w:val="auto"/>
          <w:sz w:val="32"/>
          <w:szCs w:val="32"/>
          <w:highlight w:val="none"/>
          <w:lang w:val="zh-CN"/>
        </w:rPr>
        <w:t>年11月份完成项目建设，组织了相关人员对软件进行了验收，验收合格并按照合同支付款项。</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ascii="楷体_GB2312" w:hAnsi="宋体" w:eastAsia="楷体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（二）项目效益情况。</w:t>
      </w:r>
    </w:p>
    <w:p>
      <w:pPr>
        <w:keepNext w:val="0"/>
        <w:keepLines w:val="0"/>
        <w:pageBreakBefore w:val="0"/>
        <w:shd w:val="clea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val="zh-CN"/>
        </w:rPr>
      </w:pPr>
      <w:r>
        <w:rPr>
          <w:rFonts w:hint="eastAsia" w:ascii="仿宋_GB2312" w:hAnsi="仿宋_GB2312" w:eastAsia="仿宋_GB2312" w:cs="仿宋_GB2312"/>
          <w:color w:val="auto"/>
          <w:sz w:val="32"/>
          <w:szCs w:val="32"/>
          <w:highlight w:val="none"/>
          <w:lang w:val="zh-CN"/>
        </w:rPr>
        <w:t>1</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kern w:val="0"/>
          <w:sz w:val="32"/>
          <w:szCs w:val="32"/>
          <w:highlight w:val="none"/>
          <w:lang w:val="en-US"/>
        </w:rPr>
        <w:t>全国数据共享平台</w:t>
      </w:r>
      <w:r>
        <w:rPr>
          <w:rFonts w:hint="eastAsia" w:ascii="仿宋_GB2312" w:hAnsi="仿宋_GB2312" w:eastAsia="仿宋_GB2312" w:cs="仿宋_GB2312"/>
          <w:color w:val="auto"/>
          <w:sz w:val="32"/>
          <w:szCs w:val="32"/>
          <w:highlight w:val="none"/>
          <w:lang w:val="zh-CN"/>
        </w:rPr>
        <w:t>项目的实施，提升了</w:t>
      </w:r>
      <w:r>
        <w:rPr>
          <w:rFonts w:hint="eastAsia" w:ascii="仿宋_GB2312" w:hAnsi="仿宋_GB2312" w:eastAsia="仿宋_GB2312" w:cs="仿宋_GB2312"/>
          <w:color w:val="auto"/>
          <w:sz w:val="32"/>
          <w:szCs w:val="32"/>
          <w:highlight w:val="none"/>
          <w:lang w:val="zh-CN" w:eastAsia="zh-CN"/>
        </w:rPr>
        <w:t>全市住房公积金</w:t>
      </w:r>
      <w:r>
        <w:rPr>
          <w:rFonts w:hint="eastAsia" w:ascii="仿宋_GB2312" w:hAnsi="仿宋_GB2312" w:eastAsia="仿宋_GB2312" w:cs="仿宋_GB2312"/>
          <w:color w:val="auto"/>
          <w:sz w:val="32"/>
          <w:szCs w:val="32"/>
          <w:highlight w:val="none"/>
          <w:lang w:val="zh-CN"/>
        </w:rPr>
        <w:t>的服务质量、服务能力、推进了一次不跑和最多跑一次的落实落地，有效的提高了群众的办事体验。</w:t>
      </w:r>
    </w:p>
    <w:p>
      <w:pPr>
        <w:keepNext w:val="0"/>
        <w:keepLines w:val="0"/>
        <w:pageBreakBefore w:val="0"/>
        <w:widowControl w:val="0"/>
        <w:shd w:val="clear"/>
        <w:kinsoku/>
        <w:wordWrap/>
        <w:overflowPunct/>
        <w:topLinePunct w:val="0"/>
        <w:autoSpaceDE/>
        <w:autoSpaceDN/>
        <w:bidi w:val="0"/>
        <w:spacing w:line="560" w:lineRule="exact"/>
        <w:ind w:firstLine="707" w:firstLineChars="221"/>
        <w:jc w:val="both"/>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2</w:t>
      </w:r>
      <w:r>
        <w:rPr>
          <w:rFonts w:hint="eastAsia" w:ascii="仿宋_GB2312" w:hAnsi="仿宋_GB2312" w:eastAsia="仿宋_GB2312" w:cs="仿宋_GB2312"/>
          <w:color w:val="auto"/>
          <w:kern w:val="2"/>
          <w:sz w:val="32"/>
          <w:szCs w:val="32"/>
          <w:highlight w:val="none"/>
          <w:lang w:val="en-US" w:eastAsia="zh-CN" w:bidi="ar-SA"/>
        </w:rPr>
        <w:t>.</w:t>
      </w:r>
      <w:r>
        <w:rPr>
          <w:rFonts w:hint="eastAsia" w:ascii="仿宋_GB2312" w:hAnsi="仿宋_GB2312" w:eastAsia="仿宋_GB2312" w:cs="仿宋_GB2312"/>
          <w:color w:val="auto"/>
          <w:kern w:val="2"/>
          <w:sz w:val="32"/>
          <w:szCs w:val="32"/>
          <w:highlight w:val="none"/>
          <w:lang w:val="zh-CN" w:eastAsia="zh-CN" w:bidi="ar-SA"/>
        </w:rPr>
        <w:t>群众满意度达9</w:t>
      </w:r>
      <w:r>
        <w:rPr>
          <w:rFonts w:hint="eastAsia" w:ascii="仿宋_GB2312" w:hAnsi="仿宋_GB2312" w:eastAsia="仿宋_GB2312" w:cs="仿宋_GB2312"/>
          <w:color w:val="auto"/>
          <w:kern w:val="2"/>
          <w:sz w:val="32"/>
          <w:szCs w:val="32"/>
          <w:highlight w:val="none"/>
          <w:lang w:val="en-US" w:eastAsia="zh-CN" w:bidi="ar-SA"/>
        </w:rPr>
        <w:t>9</w:t>
      </w:r>
      <w:r>
        <w:rPr>
          <w:rFonts w:hint="eastAsia" w:ascii="仿宋_GB2312" w:hAnsi="仿宋_GB2312" w:eastAsia="仿宋_GB2312" w:cs="仿宋_GB2312"/>
          <w:color w:val="auto"/>
          <w:kern w:val="2"/>
          <w:sz w:val="32"/>
          <w:szCs w:val="32"/>
          <w:highlight w:val="none"/>
          <w:lang w:val="zh-CN" w:eastAsia="zh-CN" w:bidi="ar-SA"/>
        </w:rPr>
        <w:t>%以上。</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outlineLvl w:val="1"/>
        <w:rPr>
          <w:rFonts w:ascii="黑体" w:hAnsi="宋体" w:eastAsia="黑体" w:cs="Times New Roman"/>
          <w:b w:val="0"/>
          <w:bCs w:val="0"/>
          <w:color w:val="auto"/>
          <w:sz w:val="32"/>
          <w:szCs w:val="32"/>
          <w:highlight w:val="none"/>
          <w:u w:val="none"/>
        </w:rPr>
      </w:pPr>
      <w:bookmarkStart w:id="190" w:name="_Toc17162"/>
      <w:bookmarkStart w:id="191" w:name="_Toc3197"/>
      <w:r>
        <w:rPr>
          <w:rFonts w:hint="eastAsia" w:ascii="黑体" w:hAnsi="宋体" w:eastAsia="黑体" w:cs="Times New Roman"/>
          <w:b w:val="0"/>
          <w:bCs w:val="0"/>
          <w:color w:val="auto"/>
          <w:sz w:val="32"/>
          <w:szCs w:val="32"/>
          <w:highlight w:val="none"/>
          <w:u w:val="none"/>
        </w:rPr>
        <w:t>五、评价结论及建议</w:t>
      </w:r>
      <w:bookmarkEnd w:id="190"/>
      <w:bookmarkEnd w:id="191"/>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ascii="楷体_GB2312" w:hAnsi="宋体" w:eastAsia="楷体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（一）评价结论。</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u w:val="none"/>
          <w:shd w:val="clear" w:color="auto" w:fill="FFFFFF"/>
          <w:lang w:val="zh-CN"/>
        </w:rPr>
        <w:t>2022年接入全国数据共享平台建设项目通过信息共享，不断优化办事流程，精简办理要件，持续深化放管服改革，不断提升管理服务质量，项目整体目标任务完成情况良好，根据预算项目支出绩效评价指标体系指标最终自评得分</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94</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分。</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 xml:space="preserve"> </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jc w:val="both"/>
        <w:textAlignment w:val="auto"/>
        <w:rPr>
          <w:rFonts w:ascii="楷体_GB2312" w:hAnsi="宋体" w:eastAsia="楷体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（二）存在的问题。</w:t>
      </w:r>
    </w:p>
    <w:p>
      <w:pPr>
        <w:keepNext w:val="0"/>
        <w:keepLines w:val="0"/>
        <w:pageBreakBefore w:val="0"/>
        <w:pBdr>
          <w:bottom w:val="single" w:color="FFFFFF" w:sz="4" w:space="29"/>
        </w:pBdr>
        <w:shd w:val="clear"/>
        <w:tabs>
          <w:tab w:val="left" w:pos="1440"/>
        </w:tabs>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国家共享平台相关功能还需继续完善</w:t>
      </w:r>
      <w:r>
        <w:rPr>
          <w:rFonts w:hint="eastAsia" w:ascii="仿宋_GB2312" w:hAnsi="仿宋_GB2312" w:eastAsia="仿宋_GB2312" w:cs="仿宋_GB2312"/>
          <w:color w:val="auto"/>
          <w:sz w:val="32"/>
          <w:szCs w:val="32"/>
          <w:highlight w:val="none"/>
        </w:rPr>
        <w:t>。</w:t>
      </w:r>
    </w:p>
    <w:p>
      <w:pPr>
        <w:keepNext w:val="0"/>
        <w:keepLines w:val="0"/>
        <w:pageBreakBefore w:val="0"/>
        <w:pBdr>
          <w:bottom w:val="single" w:color="FFFFFF" w:sz="4" w:space="29"/>
        </w:pBdr>
        <w:shd w:val="clear"/>
        <w:tabs>
          <w:tab w:val="left" w:pos="1440"/>
        </w:tabs>
        <w:kinsoku/>
        <w:wordWrap/>
        <w:overflowPunct/>
        <w:topLinePunct w:val="0"/>
        <w:autoSpaceDE/>
        <w:autoSpaceDN/>
        <w:bidi w:val="0"/>
        <w:spacing w:line="560" w:lineRule="exact"/>
        <w:ind w:firstLine="627" w:firstLineChars="196"/>
        <w:textAlignment w:val="auto"/>
        <w:rPr>
          <w:rFonts w:ascii="楷体_GB2312" w:hAnsi="宋体" w:eastAsia="楷体_GB2312" w:cs="Times New Roman"/>
          <w:b w:val="0"/>
          <w:bCs w:val="0"/>
          <w:color w:val="auto"/>
          <w:sz w:val="32"/>
          <w:szCs w:val="32"/>
          <w:highlight w:val="none"/>
          <w:u w:val="none"/>
          <w:lang w:val="zh-CN"/>
        </w:rPr>
      </w:pPr>
      <w:r>
        <w:rPr>
          <w:rFonts w:hint="eastAsia" w:ascii="楷体_GB2312" w:hAnsi="宋体" w:eastAsia="楷体_GB2312" w:cs="Times New Roman"/>
          <w:b w:val="0"/>
          <w:bCs w:val="0"/>
          <w:color w:val="auto"/>
          <w:sz w:val="32"/>
          <w:szCs w:val="32"/>
          <w:highlight w:val="none"/>
          <w:u w:val="none"/>
          <w:lang w:val="zh-CN"/>
        </w:rPr>
        <w:t>（三）相关建议。</w:t>
      </w:r>
    </w:p>
    <w:p>
      <w:pPr>
        <w:keepNext w:val="0"/>
        <w:keepLines w:val="0"/>
        <w:pageBreakBefore w:val="0"/>
        <w:pBdr>
          <w:bottom w:val="single" w:color="FFFFFF" w:sz="4" w:space="29"/>
        </w:pBdr>
        <w:shd w:val="clear"/>
        <w:tabs>
          <w:tab w:val="left" w:pos="1440"/>
        </w:tabs>
        <w:kinsoku/>
        <w:wordWrap/>
        <w:overflowPunct/>
        <w:topLinePunct w:val="0"/>
        <w:autoSpaceDE/>
        <w:autoSpaceDN/>
        <w:bidi w:val="0"/>
        <w:spacing w:line="560" w:lineRule="exact"/>
        <w:ind w:firstLine="640" w:firstLineChars="200"/>
        <w:textAlignment w:val="auto"/>
        <w:rPr>
          <w:rFonts w:hint="eastAsia" w:ascii="仿宋_GB2312" w:hAnsi="Times New Roman" w:eastAsia="仿宋_GB2312" w:cs="Times New Roman"/>
          <w:color w:val="auto"/>
          <w:kern w:val="0"/>
          <w:sz w:val="32"/>
          <w:szCs w:val="32"/>
          <w:highlight w:val="none"/>
          <w:lang w:eastAsia="zh-CN"/>
        </w:rPr>
        <w:sectPr>
          <w:footerReference r:id="rId79" w:type="first"/>
          <w:footerReference r:id="rId78" w:type="default"/>
          <w:pgSz w:w="11906" w:h="16838"/>
          <w:pgMar w:top="2098" w:right="1474" w:bottom="1984" w:left="1587" w:header="851" w:footer="992" w:gutter="0"/>
          <w:pgNumType w:fmt="decimal"/>
          <w:cols w:space="425" w:num="1"/>
          <w:docGrid w:type="lines" w:linePitch="312" w:charSpace="0"/>
        </w:sectPr>
      </w:pPr>
      <w:r>
        <w:rPr>
          <w:rFonts w:hint="eastAsia" w:ascii="仿宋_GB2312" w:hAnsi="Times New Roman" w:eastAsia="仿宋_GB2312" w:cs="Times New Roman"/>
          <w:color w:val="auto"/>
          <w:kern w:val="0"/>
          <w:sz w:val="32"/>
          <w:szCs w:val="32"/>
          <w:highlight w:val="none"/>
          <w:lang w:eastAsia="zh-CN"/>
        </w:rPr>
        <w:t>将进一步推动国家数据共享平台功能建设，实现数据共享。</w:t>
      </w:r>
    </w:p>
    <w:p>
      <w:pPr>
        <w:pStyle w:val="13"/>
        <w:shd w:val="clear"/>
        <w:ind w:left="0" w:leftChars="0" w:firstLine="0" w:firstLineChars="0"/>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eastAsia="zh-CN"/>
        </w:rPr>
        <w:t>附表</w:t>
      </w:r>
      <w:r>
        <w:rPr>
          <w:rFonts w:hint="eastAsia" w:ascii="黑体" w:hAnsi="黑体" w:eastAsia="黑体" w:cs="黑体"/>
          <w:color w:val="auto"/>
          <w:sz w:val="32"/>
          <w:szCs w:val="32"/>
          <w:highlight w:val="none"/>
          <w:lang w:val="en-US" w:eastAsia="zh-CN"/>
        </w:rPr>
        <w:t>10：</w:t>
      </w:r>
    </w:p>
    <w:tbl>
      <w:tblPr>
        <w:tblStyle w:val="17"/>
        <w:tblW w:w="13039"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13"/>
        <w:gridCol w:w="1352"/>
        <w:gridCol w:w="1073"/>
        <w:gridCol w:w="1341"/>
        <w:gridCol w:w="1978"/>
        <w:gridCol w:w="979"/>
        <w:gridCol w:w="680"/>
        <w:gridCol w:w="767"/>
        <w:gridCol w:w="905"/>
        <w:gridCol w:w="26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13039" w:type="dxa"/>
            <w:gridSpan w:val="10"/>
            <w:tcBorders>
              <w:top w:val="nil"/>
              <w:left w:val="nil"/>
              <w:bottom w:val="nil"/>
              <w:right w:val="nil"/>
            </w:tcBorders>
            <w:shd w:val="clear" w:color="auto" w:fill="auto"/>
            <w:vAlign w:val="center"/>
          </w:tcPr>
          <w:p>
            <w:pPr>
              <w:keepNext w:val="0"/>
              <w:keepLines w:val="0"/>
              <w:widowControl/>
              <w:suppressLineNumbers w:val="0"/>
              <w:shd w:val="clear"/>
              <w:jc w:val="center"/>
              <w:textAlignment w:val="center"/>
              <w:rPr>
                <w:rFonts w:ascii="方正小标宋简体" w:hAnsi="方正小标宋简体" w:eastAsia="方正小标宋简体" w:cs="方正小标宋简体"/>
                <w:i w:val="0"/>
                <w:color w:val="auto"/>
                <w:sz w:val="44"/>
                <w:szCs w:val="44"/>
                <w:highlight w:val="none"/>
                <w:u w:val="none"/>
              </w:rPr>
            </w:pPr>
            <w:r>
              <w:rPr>
                <w:rFonts w:hint="eastAsia" w:ascii="方正小标宋简体" w:hAnsi="方正小标宋简体" w:eastAsia="方正小标宋简体" w:cs="方正小标宋简体"/>
                <w:i w:val="0"/>
                <w:color w:val="auto"/>
                <w:kern w:val="0"/>
                <w:sz w:val="44"/>
                <w:szCs w:val="44"/>
                <w:highlight w:val="none"/>
                <w:u w:val="none"/>
                <w:lang w:val="en-US" w:eastAsia="zh-CN" w:bidi="ar"/>
              </w:rPr>
              <w:t>部门预算、专项资金预算项目支出绩效目标自评表（2022年度）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6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项目名称</w:t>
            </w:r>
          </w:p>
        </w:tc>
        <w:tc>
          <w:tcPr>
            <w:tcW w:w="10374"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接入全国数据共享平台建设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2" w:hRule="atLeast"/>
        </w:trPr>
        <w:tc>
          <w:tcPr>
            <w:tcW w:w="26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主管部门（盖章）</w:t>
            </w:r>
          </w:p>
        </w:tc>
        <w:tc>
          <w:tcPr>
            <w:tcW w:w="439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广元市住房公积金管理中心</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实施单位 （盖章）</w:t>
            </w:r>
          </w:p>
        </w:tc>
        <w:tc>
          <w:tcPr>
            <w:tcW w:w="500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广元市住房公积金管理中心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3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项目基本情况</w:t>
            </w:r>
          </w:p>
        </w:tc>
        <w:tc>
          <w:tcPr>
            <w:tcW w:w="13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1.项目年度目标完成情况</w:t>
            </w:r>
          </w:p>
        </w:tc>
        <w:tc>
          <w:tcPr>
            <w:tcW w:w="439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项目年度目标</w:t>
            </w:r>
          </w:p>
        </w:tc>
        <w:tc>
          <w:tcPr>
            <w:tcW w:w="598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2" w:hRule="atLeast"/>
        </w:trPr>
        <w:tc>
          <w:tcPr>
            <w:tcW w:w="13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b/>
                <w:i w:val="0"/>
                <w:color w:val="auto"/>
                <w:sz w:val="18"/>
                <w:szCs w:val="18"/>
                <w:highlight w:val="none"/>
                <w:u w:val="none"/>
              </w:rPr>
            </w:pP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b/>
                <w:i w:val="0"/>
                <w:color w:val="auto"/>
                <w:sz w:val="18"/>
                <w:szCs w:val="18"/>
                <w:highlight w:val="none"/>
                <w:u w:val="none"/>
              </w:rPr>
            </w:pPr>
          </w:p>
        </w:tc>
        <w:tc>
          <w:tcPr>
            <w:tcW w:w="439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完成公积金接入全国数据共享平台建设，实现与不动产登记中心、房管局、民政局、国家税务局等信息共享。</w:t>
            </w:r>
          </w:p>
        </w:tc>
        <w:tc>
          <w:tcPr>
            <w:tcW w:w="598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2022年接入全国数据共享平台建设绩效目标任务完成情况良好，顺利接入建成全国数据共享平台。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3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b/>
                <w:i w:val="0"/>
                <w:color w:val="auto"/>
                <w:sz w:val="18"/>
                <w:szCs w:val="18"/>
                <w:highlight w:val="none"/>
                <w:u w:val="none"/>
              </w:rPr>
            </w:pPr>
          </w:p>
        </w:tc>
        <w:tc>
          <w:tcPr>
            <w:tcW w:w="13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2.项目实施内容及过程概述</w:t>
            </w:r>
          </w:p>
        </w:tc>
        <w:tc>
          <w:tcPr>
            <w:tcW w:w="10374"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2022年项目建设以来，通过信息共享，不断优化办事流程，精简办理要件，让数据多跑路，群众少跑腿，持续深化放管服改革，不断提升管理服务质量。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13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预算执行情况（10分）</w:t>
            </w:r>
          </w:p>
        </w:tc>
        <w:tc>
          <w:tcPr>
            <w:tcW w:w="13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年度预算数（万元）</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年初预算</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调整后预算数</w:t>
            </w:r>
          </w:p>
        </w:tc>
        <w:tc>
          <w:tcPr>
            <w:tcW w:w="1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预算执行数</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预算执行率</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权重%</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部门自评得分</w:t>
            </w:r>
          </w:p>
        </w:tc>
        <w:tc>
          <w:tcPr>
            <w:tcW w:w="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财政部门科室复评得分</w:t>
            </w:r>
          </w:p>
        </w:tc>
        <w:tc>
          <w:tcPr>
            <w:tcW w:w="26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3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总额</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20万元</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19.93万元</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99.65%</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w:t>
            </w:r>
          </w:p>
        </w:tc>
        <w:tc>
          <w:tcPr>
            <w:tcW w:w="905"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3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其中：财政资金</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20万元</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19.93万元</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3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财政专户管理资金</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978"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3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单位资金</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1978"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tbl>
    <w:p>
      <w:pPr>
        <w:shd w:val="clear"/>
        <w:jc w:val="center"/>
        <w:rPr>
          <w:rFonts w:hint="eastAsia" w:ascii="宋体" w:hAnsi="宋体" w:eastAsia="宋体" w:cs="宋体"/>
          <w:b/>
          <w:i w:val="0"/>
          <w:color w:val="auto"/>
          <w:sz w:val="18"/>
          <w:szCs w:val="18"/>
          <w:highlight w:val="none"/>
          <w:u w:val="none"/>
        </w:rPr>
        <w:sectPr>
          <w:footerReference r:id="rId81" w:type="first"/>
          <w:footerReference r:id="rId80" w:type="default"/>
          <w:pgSz w:w="16838" w:h="11906" w:orient="landscape"/>
          <w:pgMar w:top="1587" w:right="2098" w:bottom="1474" w:left="1984" w:header="851" w:footer="992" w:gutter="0"/>
          <w:pgNumType w:fmt="decimal"/>
          <w:cols w:space="425" w:num="1"/>
          <w:titlePg/>
          <w:docGrid w:type="lines" w:linePitch="312" w:charSpace="0"/>
        </w:sectPr>
      </w:pPr>
    </w:p>
    <w:tbl>
      <w:tblPr>
        <w:tblStyle w:val="17"/>
        <w:tblW w:w="13039"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13"/>
        <w:gridCol w:w="1352"/>
        <w:gridCol w:w="1073"/>
        <w:gridCol w:w="1341"/>
        <w:gridCol w:w="481"/>
        <w:gridCol w:w="1016"/>
        <w:gridCol w:w="481"/>
        <w:gridCol w:w="979"/>
        <w:gridCol w:w="680"/>
        <w:gridCol w:w="767"/>
        <w:gridCol w:w="905"/>
        <w:gridCol w:w="26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shd w:val="clear"/>
              <w:rPr>
                <w:rFonts w:hint="eastAsia"/>
                <w:color w:val="auto"/>
                <w:highlight w:val="none"/>
              </w:rPr>
            </w:pPr>
          </w:p>
        </w:tc>
        <w:tc>
          <w:tcPr>
            <w:tcW w:w="13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其他资金</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6"/>
                <w:szCs w:val="16"/>
                <w:highlight w:val="none"/>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6"/>
                <w:szCs w:val="16"/>
                <w:highlight w:val="none"/>
                <w:u w:val="none"/>
              </w:rPr>
            </w:pPr>
          </w:p>
        </w:tc>
        <w:tc>
          <w:tcPr>
            <w:tcW w:w="197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6"/>
                <w:szCs w:val="16"/>
                <w:highlight w:val="none"/>
                <w:u w:val="none"/>
              </w:rPr>
            </w:pP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6"/>
                <w:szCs w:val="16"/>
                <w:highlight w:val="none"/>
                <w:u w:val="none"/>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5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3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绩效指标（90分）</w:t>
            </w:r>
          </w:p>
        </w:tc>
        <w:tc>
          <w:tcPr>
            <w:tcW w:w="13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一级指标</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二级指标</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三级指标</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指标性质</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指标值</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度量单位</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完成值</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权重</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部门自评得分</w:t>
            </w:r>
          </w:p>
        </w:tc>
        <w:tc>
          <w:tcPr>
            <w:tcW w:w="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财政部门科室复评得分</w:t>
            </w:r>
          </w:p>
        </w:tc>
        <w:tc>
          <w:tcPr>
            <w:tcW w:w="26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产出指标</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质量指标</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完成接口开发</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905"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5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产出指标</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时效指标</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项目完成时间</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2022</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完成</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905"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5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产出指标</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数量指标</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数据接口的开发</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16</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16</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18</w:t>
            </w:r>
          </w:p>
        </w:tc>
        <w:tc>
          <w:tcPr>
            <w:tcW w:w="905"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5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3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满意度指标</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服务对象满意度指标</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缴存职工满意度</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95</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98</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905"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5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3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效益指标</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经济效益指标</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全国住房公积金数据共享</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定性</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高中低</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中</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w:t>
            </w:r>
          </w:p>
        </w:tc>
        <w:tc>
          <w:tcPr>
            <w:tcW w:w="905"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5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产出指标</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成本指标</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开发费用</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19.93</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905"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5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效益指标</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可持续发展指标</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项目作用期限</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905"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5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3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b/>
                <w:i w:val="0"/>
                <w:color w:val="auto"/>
                <w:sz w:val="18"/>
                <w:szCs w:val="18"/>
                <w:highlight w:val="none"/>
                <w:u w:val="none"/>
              </w:rPr>
            </w:pPr>
          </w:p>
        </w:tc>
        <w:tc>
          <w:tcPr>
            <w:tcW w:w="13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效益指标</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社会效益指标</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推动行业发展，服务民生大众</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定性</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好坏</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良好</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w:t>
            </w:r>
          </w:p>
        </w:tc>
        <w:tc>
          <w:tcPr>
            <w:tcW w:w="905"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c>
          <w:tcPr>
            <w:tcW w:w="265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803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合计</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93</w:t>
            </w:r>
          </w:p>
        </w:tc>
        <w:tc>
          <w:tcPr>
            <w:tcW w:w="905"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c>
          <w:tcPr>
            <w:tcW w:w="265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rPr>
                <w:rFonts w:hint="eastAsia" w:ascii="宋体" w:hAnsi="宋体" w:eastAsia="宋体" w:cs="宋体"/>
                <w:i w:val="0"/>
                <w:color w:val="auto"/>
                <w:sz w:val="18"/>
                <w:szCs w:val="18"/>
                <w:highlight w:val="none"/>
                <w:u w:val="none"/>
              </w:rPr>
            </w:pPr>
          </w:p>
        </w:tc>
      </w:tr>
    </w:tbl>
    <w:p>
      <w:pPr>
        <w:shd w:val="clear"/>
        <w:rPr>
          <w:rFonts w:hint="eastAsia"/>
          <w:color w:val="auto"/>
          <w:highlight w:val="none"/>
          <w:lang w:val="en-US" w:eastAsia="zh-CN"/>
        </w:rPr>
      </w:pPr>
    </w:p>
    <w:p>
      <w:pPr>
        <w:shd w:val="clear"/>
        <w:rPr>
          <w:rFonts w:hint="eastAsia"/>
          <w:color w:val="auto"/>
          <w:highlight w:val="none"/>
          <w:lang w:val="en-US" w:eastAsia="zh-CN"/>
        </w:rPr>
      </w:pPr>
    </w:p>
    <w:p>
      <w:pPr>
        <w:pStyle w:val="13"/>
        <w:shd w:val="clear"/>
        <w:rPr>
          <w:rFonts w:hint="eastAsia"/>
          <w:color w:val="auto"/>
          <w:highlight w:val="none"/>
          <w:lang w:val="en-US" w:eastAsia="zh-CN"/>
        </w:rPr>
      </w:pPr>
    </w:p>
    <w:p>
      <w:pPr>
        <w:shd w:val="clear"/>
        <w:rPr>
          <w:rFonts w:hint="default"/>
          <w:color w:val="auto"/>
          <w:highlight w:val="none"/>
          <w:lang w:val="en-US" w:eastAsia="zh-CN"/>
        </w:rPr>
      </w:pPr>
    </w:p>
    <w:p>
      <w:pPr>
        <w:shd w:val="clear"/>
        <w:rPr>
          <w:rFonts w:hint="default"/>
          <w:color w:val="auto"/>
          <w:highlight w:val="none"/>
          <w:lang w:val="en-US" w:eastAsia="zh-CN"/>
        </w:rPr>
        <w:sectPr>
          <w:footerReference r:id="rId83" w:type="first"/>
          <w:footerReference r:id="rId82" w:type="default"/>
          <w:pgSz w:w="16838" w:h="11906" w:orient="landscape"/>
          <w:pgMar w:top="1587" w:right="2098" w:bottom="1474" w:left="1984" w:header="851" w:footer="992" w:gutter="0"/>
          <w:pgNumType w:fmt="decimal"/>
          <w:cols w:space="425" w:num="1"/>
          <w:docGrid w:type="lines" w:linePitch="312" w:charSpace="0"/>
        </w:sectPr>
      </w:pPr>
    </w:p>
    <w:p>
      <w:pPr>
        <w:keepNext w:val="0"/>
        <w:keepLines w:val="0"/>
        <w:pageBreakBefore w:val="0"/>
        <w:widowControl w:val="0"/>
        <w:numPr>
          <w:ilvl w:val="0"/>
          <w:numId w:val="0"/>
        </w:numPr>
        <w:shd w:val="clear"/>
        <w:kinsoku/>
        <w:wordWrap/>
        <w:overflowPunct/>
        <w:topLinePunct w:val="0"/>
        <w:autoSpaceDE/>
        <w:autoSpaceDN/>
        <w:bidi w:val="0"/>
        <w:adjustRightInd/>
        <w:snapToGrid/>
        <w:spacing w:line="0" w:lineRule="atLeast"/>
        <w:ind w:leftChars="150"/>
        <w:jc w:val="center"/>
        <w:textAlignment w:val="auto"/>
        <w:outlineLvl w:val="0"/>
        <w:rPr>
          <w:rFonts w:hint="eastAsia" w:ascii="方正小标宋_GBK" w:hAnsi="方正小标宋_GBK" w:eastAsia="方正小标宋_GBK" w:cs="方正小标宋_GBK"/>
          <w:color w:val="auto"/>
          <w:sz w:val="44"/>
          <w:szCs w:val="44"/>
          <w:highlight w:val="none"/>
        </w:rPr>
      </w:pPr>
      <w:bookmarkStart w:id="192" w:name="_Toc25966"/>
      <w:r>
        <w:rPr>
          <w:rFonts w:hint="eastAsia" w:ascii="方正小标宋_GBK" w:hAnsi="方正小标宋_GBK" w:eastAsia="方正小标宋_GBK" w:cs="方正小标宋_GBK"/>
          <w:color w:val="auto"/>
          <w:sz w:val="44"/>
          <w:szCs w:val="44"/>
          <w:highlight w:val="none"/>
          <w:lang w:eastAsia="zh-CN"/>
        </w:rPr>
        <w:t>第五部分</w:t>
      </w:r>
      <w:r>
        <w:rPr>
          <w:rFonts w:hint="eastAsia" w:ascii="方正小标宋_GBK" w:hAnsi="方正小标宋_GBK" w:eastAsia="方正小标宋_GBK" w:cs="方正小标宋_GBK"/>
          <w:color w:val="auto"/>
          <w:sz w:val="44"/>
          <w:szCs w:val="44"/>
          <w:highlight w:val="none"/>
          <w:lang w:val="en-US" w:eastAsia="zh-CN"/>
        </w:rPr>
        <w:t xml:space="preserve"> </w:t>
      </w:r>
      <w:r>
        <w:rPr>
          <w:rFonts w:hint="eastAsia" w:ascii="方正小标宋_GBK" w:hAnsi="方正小标宋_GBK" w:eastAsia="方正小标宋_GBK" w:cs="方正小标宋_GBK"/>
          <w:color w:val="auto"/>
          <w:sz w:val="44"/>
          <w:szCs w:val="44"/>
          <w:highlight w:val="none"/>
        </w:rPr>
        <w:t>附表</w:t>
      </w:r>
      <w:bookmarkEnd w:id="192"/>
      <w:bookmarkStart w:id="193" w:name="_Toc15396619"/>
    </w:p>
    <w:p>
      <w:pPr>
        <w:pStyle w:val="2"/>
        <w:pageBreakBefore w:val="0"/>
        <w:widowControl w:val="0"/>
        <w:numPr>
          <w:ilvl w:val="0"/>
          <w:numId w:val="0"/>
        </w:numPr>
        <w:shd w:val="clear"/>
        <w:kinsoku/>
        <w:wordWrap/>
        <w:overflowPunct/>
        <w:topLinePunct w:val="0"/>
        <w:bidi w:val="0"/>
        <w:snapToGrid/>
        <w:spacing w:line="560" w:lineRule="exact"/>
        <w:ind w:leftChars="150"/>
        <w:textAlignment w:val="auto"/>
        <w:rPr>
          <w:rFonts w:hint="eastAsia"/>
          <w:color w:val="auto"/>
          <w:highlight w:val="none"/>
        </w:rPr>
      </w:pPr>
    </w:p>
    <w:bookmarkEnd w:id="193"/>
    <w:p>
      <w:pPr>
        <w:pStyle w:val="4"/>
        <w:shd w:val="clear"/>
        <w:bidi w:val="0"/>
        <w:rPr>
          <w:rFonts w:hint="eastAsia"/>
          <w:color w:val="auto"/>
          <w:highlight w:val="none"/>
        </w:rPr>
      </w:pPr>
      <w:bookmarkStart w:id="194" w:name="_Toc3935"/>
      <w:r>
        <w:rPr>
          <w:rFonts w:hint="eastAsia"/>
          <w:color w:val="auto"/>
          <w:highlight w:val="none"/>
        </w:rPr>
        <w:t>一、收入支出决算总表</w:t>
      </w:r>
      <w:bookmarkEnd w:id="194"/>
    </w:p>
    <w:p>
      <w:pPr>
        <w:pStyle w:val="4"/>
        <w:shd w:val="clear"/>
        <w:bidi w:val="0"/>
        <w:rPr>
          <w:rFonts w:hint="eastAsia"/>
          <w:color w:val="auto"/>
          <w:highlight w:val="none"/>
        </w:rPr>
      </w:pPr>
      <w:bookmarkStart w:id="195" w:name="_Toc6190"/>
      <w:r>
        <w:rPr>
          <w:rFonts w:hint="eastAsia"/>
          <w:color w:val="auto"/>
          <w:highlight w:val="none"/>
        </w:rPr>
        <w:t>二、收入决算表</w:t>
      </w:r>
      <w:bookmarkEnd w:id="195"/>
    </w:p>
    <w:p>
      <w:pPr>
        <w:pStyle w:val="4"/>
        <w:shd w:val="clear"/>
        <w:bidi w:val="0"/>
        <w:rPr>
          <w:rFonts w:hint="eastAsia"/>
          <w:color w:val="auto"/>
          <w:highlight w:val="none"/>
        </w:rPr>
      </w:pPr>
      <w:bookmarkStart w:id="196" w:name="_Toc15114"/>
      <w:r>
        <w:rPr>
          <w:rFonts w:hint="eastAsia"/>
          <w:color w:val="auto"/>
          <w:highlight w:val="none"/>
        </w:rPr>
        <w:t>三、支出决算表</w:t>
      </w:r>
      <w:bookmarkEnd w:id="196"/>
    </w:p>
    <w:p>
      <w:pPr>
        <w:pStyle w:val="4"/>
        <w:shd w:val="clear"/>
        <w:bidi w:val="0"/>
        <w:rPr>
          <w:rFonts w:hint="eastAsia"/>
          <w:color w:val="auto"/>
          <w:highlight w:val="none"/>
        </w:rPr>
      </w:pPr>
      <w:bookmarkStart w:id="197" w:name="_Toc26380"/>
      <w:r>
        <w:rPr>
          <w:rFonts w:hint="eastAsia"/>
          <w:color w:val="auto"/>
          <w:highlight w:val="none"/>
        </w:rPr>
        <w:t>四、财政拨款收入支出决算总表</w:t>
      </w:r>
      <w:bookmarkEnd w:id="197"/>
    </w:p>
    <w:p>
      <w:pPr>
        <w:pStyle w:val="4"/>
        <w:shd w:val="clear"/>
        <w:bidi w:val="0"/>
        <w:rPr>
          <w:rFonts w:hint="eastAsia"/>
          <w:color w:val="auto"/>
          <w:highlight w:val="none"/>
        </w:rPr>
      </w:pPr>
      <w:bookmarkStart w:id="198" w:name="_Toc32755"/>
      <w:r>
        <w:rPr>
          <w:rFonts w:hint="eastAsia"/>
          <w:color w:val="auto"/>
          <w:highlight w:val="none"/>
        </w:rPr>
        <w:t>五、财政拨款支出决算明细表</w:t>
      </w:r>
      <w:bookmarkEnd w:id="198"/>
    </w:p>
    <w:p>
      <w:pPr>
        <w:pStyle w:val="4"/>
        <w:shd w:val="clear"/>
        <w:bidi w:val="0"/>
        <w:rPr>
          <w:rFonts w:hint="eastAsia"/>
          <w:color w:val="auto"/>
          <w:highlight w:val="none"/>
        </w:rPr>
      </w:pPr>
      <w:bookmarkStart w:id="199" w:name="_Toc3692"/>
      <w:r>
        <w:rPr>
          <w:rFonts w:hint="eastAsia"/>
          <w:color w:val="auto"/>
          <w:highlight w:val="none"/>
        </w:rPr>
        <w:t>六、一般公共预算财政拨款支出决算表</w:t>
      </w:r>
      <w:bookmarkEnd w:id="199"/>
    </w:p>
    <w:p>
      <w:pPr>
        <w:pStyle w:val="4"/>
        <w:shd w:val="clear"/>
        <w:bidi w:val="0"/>
        <w:rPr>
          <w:rFonts w:hint="eastAsia"/>
          <w:color w:val="auto"/>
          <w:highlight w:val="none"/>
        </w:rPr>
      </w:pPr>
      <w:bookmarkStart w:id="200" w:name="_Toc1957"/>
      <w:r>
        <w:rPr>
          <w:rFonts w:hint="eastAsia"/>
          <w:color w:val="auto"/>
          <w:highlight w:val="none"/>
        </w:rPr>
        <w:t>七、一般公共预算财政拨款支出决算明细表</w:t>
      </w:r>
      <w:bookmarkEnd w:id="200"/>
    </w:p>
    <w:p>
      <w:pPr>
        <w:pStyle w:val="4"/>
        <w:shd w:val="clear"/>
        <w:bidi w:val="0"/>
        <w:rPr>
          <w:rFonts w:hint="eastAsia"/>
          <w:color w:val="auto"/>
          <w:highlight w:val="none"/>
        </w:rPr>
      </w:pPr>
      <w:bookmarkStart w:id="201" w:name="_Toc23930"/>
      <w:r>
        <w:rPr>
          <w:rFonts w:hint="eastAsia"/>
          <w:color w:val="auto"/>
          <w:highlight w:val="none"/>
        </w:rPr>
        <w:t>八、一般公共预算财政拨款基本支出决算</w:t>
      </w:r>
      <w:r>
        <w:rPr>
          <w:rFonts w:hint="eastAsia"/>
          <w:color w:val="auto"/>
          <w:highlight w:val="none"/>
          <w:lang w:eastAsia="zh-CN"/>
        </w:rPr>
        <w:t>明细</w:t>
      </w:r>
      <w:r>
        <w:rPr>
          <w:rFonts w:hint="eastAsia"/>
          <w:color w:val="auto"/>
          <w:highlight w:val="none"/>
        </w:rPr>
        <w:t>表</w:t>
      </w:r>
      <w:bookmarkEnd w:id="201"/>
    </w:p>
    <w:p>
      <w:pPr>
        <w:pStyle w:val="4"/>
        <w:shd w:val="clear"/>
        <w:bidi w:val="0"/>
        <w:rPr>
          <w:rFonts w:hint="eastAsia"/>
          <w:color w:val="auto"/>
          <w:highlight w:val="none"/>
        </w:rPr>
      </w:pPr>
      <w:bookmarkStart w:id="202" w:name="_Toc18729"/>
      <w:r>
        <w:rPr>
          <w:rFonts w:hint="eastAsia"/>
          <w:color w:val="auto"/>
          <w:highlight w:val="none"/>
        </w:rPr>
        <w:t>九、一般公共预算财政拨款项目支出决算表</w:t>
      </w:r>
      <w:bookmarkEnd w:id="202"/>
    </w:p>
    <w:p>
      <w:pPr>
        <w:pStyle w:val="4"/>
        <w:shd w:val="clear"/>
        <w:bidi w:val="0"/>
        <w:rPr>
          <w:rFonts w:hint="eastAsia"/>
          <w:color w:val="auto"/>
          <w:highlight w:val="none"/>
        </w:rPr>
      </w:pPr>
      <w:bookmarkStart w:id="203" w:name="_Toc27011"/>
      <w:r>
        <w:rPr>
          <w:rFonts w:hint="eastAsia"/>
          <w:color w:val="auto"/>
          <w:highlight w:val="none"/>
        </w:rPr>
        <w:t>十、政府性基金预算财政拨款收入支出决算表</w:t>
      </w:r>
      <w:bookmarkEnd w:id="203"/>
    </w:p>
    <w:p>
      <w:pPr>
        <w:pStyle w:val="4"/>
        <w:shd w:val="clear"/>
        <w:bidi w:val="0"/>
        <w:rPr>
          <w:rFonts w:hint="eastAsia"/>
          <w:color w:val="auto"/>
          <w:highlight w:val="none"/>
        </w:rPr>
      </w:pPr>
      <w:bookmarkStart w:id="204" w:name="_Toc7539"/>
      <w:r>
        <w:rPr>
          <w:rFonts w:hint="eastAsia"/>
          <w:color w:val="auto"/>
          <w:highlight w:val="none"/>
        </w:rPr>
        <w:t>十一、国有资本经营预算财政拨款收入支出决算表</w:t>
      </w:r>
      <w:bookmarkEnd w:id="204"/>
    </w:p>
    <w:p>
      <w:pPr>
        <w:pStyle w:val="4"/>
        <w:shd w:val="clear"/>
        <w:bidi w:val="0"/>
        <w:rPr>
          <w:rFonts w:hint="eastAsia"/>
          <w:color w:val="auto"/>
          <w:highlight w:val="none"/>
        </w:rPr>
      </w:pPr>
      <w:bookmarkStart w:id="205" w:name="_Toc17690"/>
      <w:r>
        <w:rPr>
          <w:rFonts w:hint="eastAsia"/>
          <w:color w:val="auto"/>
          <w:highlight w:val="none"/>
        </w:rPr>
        <w:t>十二、</w:t>
      </w:r>
      <w:r>
        <w:rPr>
          <w:rFonts w:hint="eastAsia"/>
          <w:color w:val="auto"/>
          <w:highlight w:val="none"/>
          <w:lang w:val="en-US" w:eastAsia="zh-CN"/>
        </w:rPr>
        <w:t>国有资本经营预算财政拨款支出决算表</w:t>
      </w:r>
      <w:bookmarkEnd w:id="205"/>
    </w:p>
    <w:p>
      <w:pPr>
        <w:pStyle w:val="4"/>
        <w:shd w:val="clear"/>
        <w:bidi w:val="0"/>
        <w:rPr>
          <w:rFonts w:hint="eastAsia"/>
          <w:color w:val="auto"/>
          <w:highlight w:val="none"/>
          <w:lang w:val="en-US" w:eastAsia="zh-CN"/>
        </w:rPr>
      </w:pPr>
      <w:bookmarkStart w:id="206" w:name="_Toc15473"/>
      <w:r>
        <w:rPr>
          <w:rFonts w:hint="eastAsia"/>
          <w:color w:val="auto"/>
          <w:highlight w:val="none"/>
        </w:rPr>
        <w:t>十三、财政拨款“三公”经费支出决算表</w:t>
      </w:r>
      <w:bookmarkEnd w:id="206"/>
    </w:p>
    <w:p>
      <w:pPr>
        <w:widowControl/>
        <w:shd w:val="clear"/>
        <w:spacing w:line="440" w:lineRule="exact"/>
        <w:jc w:val="left"/>
        <w:rPr>
          <w:rFonts w:hint="default" w:ascii="黑体" w:hAnsi="黑体" w:eastAsia="黑体" w:cs="黑体"/>
          <w:b w:val="0"/>
          <w:bCs w:val="0"/>
          <w:color w:val="auto"/>
          <w:kern w:val="0"/>
          <w:sz w:val="32"/>
          <w:szCs w:val="32"/>
          <w:highlight w:val="none"/>
          <w:u w:val="none"/>
          <w:shd w:val="clear" w:color="auto" w:fill="FFFFFF"/>
          <w:lang w:val="en-US" w:eastAsia="zh-CN"/>
        </w:rPr>
      </w:pPr>
    </w:p>
    <w:sectPr>
      <w:footerReference r:id="rId85" w:type="first"/>
      <w:footerReference r:id="rId84" w:type="default"/>
      <w:pgSz w:w="11906" w:h="16838"/>
      <w:pgMar w:top="2098" w:right="1474" w:bottom="1984" w:left="1587" w:header="851" w:footer="992" w:gutter="0"/>
      <w:pgNumType w:fmt="decimal"/>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1C0CD27-6460-4666-A797-534C0AEB29A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5CD48DA4-5252-474F-AC65-2D0D2F32E56B}"/>
  </w:font>
  <w:font w:name="方正小标宋_GBK">
    <w:altName w:val="微软雅黑"/>
    <w:panose1 w:val="03000509000000000000"/>
    <w:charset w:val="86"/>
    <w:family w:val="script"/>
    <w:pitch w:val="default"/>
    <w:sig w:usb0="00000000" w:usb1="00000000" w:usb2="00000010" w:usb3="00000000" w:csb0="00040000" w:csb1="00000000"/>
    <w:embedRegular r:id="rId3" w:fontKey="{D9654D2D-55CC-4F4F-A03B-8AB1AE1F2394}"/>
  </w:font>
  <w:font w:name="仿宋_GB2312">
    <w:altName w:val="仿宋"/>
    <w:panose1 w:val="02010609030101010101"/>
    <w:charset w:val="86"/>
    <w:family w:val="modern"/>
    <w:pitch w:val="default"/>
    <w:sig w:usb0="00000000" w:usb1="00000000" w:usb2="00000010" w:usb3="00000000" w:csb0="00040000" w:csb1="00000000"/>
    <w:embedRegular r:id="rId4" w:fontKey="{034C5F43-8521-4D1A-AD5F-79C4B411474E}"/>
  </w:font>
  <w:font w:name="Cambria">
    <w:panose1 w:val="02040503050406030204"/>
    <w:charset w:val="00"/>
    <w:family w:val="roman"/>
    <w:pitch w:val="default"/>
    <w:sig w:usb0="E00006FF" w:usb1="420024FF" w:usb2="02000000" w:usb3="00000000" w:csb0="2000019F" w:csb1="00000000"/>
    <w:embedRegular r:id="rId5" w:fontKey="{8657818B-6C1D-496C-A6A2-0235341696D4}"/>
  </w:font>
  <w:font w:name="仿宋">
    <w:panose1 w:val="02010609060101010101"/>
    <w:charset w:val="86"/>
    <w:family w:val="auto"/>
    <w:pitch w:val="default"/>
    <w:sig w:usb0="800002BF" w:usb1="38CF7CFA" w:usb2="00000016" w:usb3="00000000" w:csb0="00040001" w:csb1="00000000"/>
    <w:embedRegular r:id="rId6" w:fontKey="{032809E7-0314-4D9E-8688-4AFEF8838FF0}"/>
  </w:font>
  <w:font w:name="??">
    <w:altName w:val="Times New Roman"/>
    <w:panose1 w:val="00000000000000000000"/>
    <w:charset w:val="00"/>
    <w:family w:val="roman"/>
    <w:pitch w:val="default"/>
    <w:sig w:usb0="00000000" w:usb1="00000000" w:usb2="00000000" w:usb3="00000000" w:csb0="00000000" w:csb1="00000000"/>
  </w:font>
  <w:font w:name="方正小标宋简体">
    <w:panose1 w:val="02000000000000000000"/>
    <w:charset w:val="86"/>
    <w:family w:val="script"/>
    <w:pitch w:val="default"/>
    <w:sig w:usb0="00000001" w:usb1="08000000" w:usb2="00000000" w:usb3="00000000" w:csb0="00040000" w:csb1="00000000"/>
    <w:embedRegular r:id="rId7" w:fontKey="{EB91106C-62EB-4696-975E-ACE3D2E9CCC4}"/>
  </w:font>
  <w:font w:name="楷体_GB2312">
    <w:altName w:val="楷体"/>
    <w:panose1 w:val="02010609030101010101"/>
    <w:charset w:val="86"/>
    <w:family w:val="auto"/>
    <w:pitch w:val="default"/>
    <w:sig w:usb0="00000000" w:usb1="00000000" w:usb2="00000000" w:usb3="00000000" w:csb0="00040000" w:csb1="00000000"/>
    <w:embedRegular r:id="rId8" w:fontKey="{E6F33A6E-CEEE-4B80-8672-A4180D91483C}"/>
  </w:font>
  <w:font w:name="华文仿宋">
    <w:panose1 w:val="02010600040101010101"/>
    <w:charset w:val="86"/>
    <w:family w:val="auto"/>
    <w:pitch w:val="default"/>
    <w:sig w:usb0="00000287" w:usb1="080F0000" w:usb2="00000000" w:usb3="00000000" w:csb0="0004009F" w:csb1="DFD70000"/>
    <w:embedRegular r:id="rId9" w:fontKey="{676E47B2-9113-4937-A052-12C2F37D92D7}"/>
  </w:font>
  <w:font w:name="微软雅黑">
    <w:panose1 w:val="020B0503020204020204"/>
    <w:charset w:val="86"/>
    <w:family w:val="auto"/>
    <w:pitch w:val="default"/>
    <w:sig w:usb0="80000287" w:usb1="2ACF3C50" w:usb2="00000016" w:usb3="00000000" w:csb0="0004001F" w:csb1="00000000"/>
    <w:embedRegular r:id="rId10" w:fontKey="{013920B5-1849-4CA4-98BE-48306E5D919C}"/>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eastAsia="宋体"/>
        <w:lang w:val="en-US" w:eastAsia="zh-CN"/>
      </w:rPr>
    </w:pPr>
    <w:r>
      <w:rPr>
        <w:rFonts w:hint="eastAsia"/>
        <w:sz w:val="18"/>
        <w:lang w:val="en-US" w:eastAsia="zh-CN"/>
      </w:rPr>
      <w:t>1</w:t>
    </w:r>
  </w:p>
  <w:p>
    <w:pPr>
      <w:pStyle w:val="1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eastAsia="宋体"/>
        <w:lang w:val="en-US" w:eastAsia="zh-CN"/>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28</w:t>
                    </w:r>
                    <w:r>
                      <w:fldChar w:fldCharType="end"/>
                    </w:r>
                  </w:p>
                </w:txbxContent>
              </v:textbox>
            </v:shape>
          </w:pict>
        </mc:Fallback>
      </mc:AlternateContent>
    </w:r>
  </w:p>
  <w:p>
    <w:pPr>
      <w:pStyle w:val="1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4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eastAsia="宋体"/>
        <w:lang w:val="en-US" w:eastAsia="zh-CN"/>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p>
    <w:pPr>
      <w:pStyle w:val="1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eastAsia="宋体"/>
        <w:lang w:val="en-US" w:eastAsia="zh-CN"/>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33</w:t>
                    </w:r>
                    <w:r>
                      <w:fldChar w:fldCharType="end"/>
                    </w:r>
                  </w:p>
                </w:txbxContent>
              </v:textbox>
            </v:shape>
          </w:pict>
        </mc:Fallback>
      </mc:AlternateContent>
    </w:r>
  </w:p>
  <w:p>
    <w:pPr>
      <w:pStyle w:val="1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eastAsia="宋体"/>
        <w:lang w:val="en-US" w:eastAsia="zh-CN"/>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p>
    <w:pPr>
      <w:pStyle w:val="1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eastAsia="宋体"/>
        <w:lang w:val="en-US" w:eastAsia="zh-CN"/>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36</w:t>
                    </w:r>
                    <w:r>
                      <w:fldChar w:fldCharType="end"/>
                    </w:r>
                  </w:p>
                </w:txbxContent>
              </v:textbox>
            </v:shape>
          </w:pict>
        </mc:Fallback>
      </mc:AlternateContent>
    </w: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eastAsia="宋体"/>
        <w:lang w:val="en-US" w:eastAsia="zh-CN"/>
      </w:rPr>
    </w:pPr>
  </w:p>
  <w:p>
    <w:pPr>
      <w:pStyle w:val="1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6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eastAsia="宋体"/>
        <w:lang w:val="en-US" w:eastAsia="zh-CN"/>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p>
    <w:pPr>
      <w:pStyle w:val="10"/>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eastAsia="宋体"/>
        <w:lang w:val="en-US" w:eastAsia="zh-CN"/>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40</w:t>
                    </w:r>
                    <w:r>
                      <w:fldChar w:fldCharType="end"/>
                    </w:r>
                  </w:p>
                </w:txbxContent>
              </v:textbox>
            </v:shape>
          </w:pict>
        </mc:Fallback>
      </mc:AlternateContent>
    </w:r>
  </w:p>
  <w:p>
    <w:pPr>
      <w:pStyle w:val="10"/>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7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eastAsia="宋体"/>
        <w:lang w:val="en-US" w:eastAsia="zh-CN"/>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p>
    <w:pPr>
      <w:pStyle w:val="10"/>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eastAsia="宋体"/>
        <w:lang w:val="en-US" w:eastAsia="zh-CN"/>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43</w:t>
                    </w:r>
                    <w:r>
                      <w:fldChar w:fldCharType="end"/>
                    </w:r>
                  </w:p>
                </w:txbxContent>
              </v:textbox>
            </v:shape>
          </w:pict>
        </mc:Fallback>
      </mc:AlternateContent>
    </w:r>
  </w:p>
  <w:p>
    <w:pPr>
      <w:pStyle w:val="10"/>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728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8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eastAsia="宋体"/>
        <w:lang w:val="en-US" w:eastAsia="zh-CN"/>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eastAsia="宋体"/>
        <w:lang w:val="en-US" w:eastAsia="zh-CN"/>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48</w:t>
                    </w:r>
                    <w:r>
                      <w:fldChar w:fldCharType="end"/>
                    </w:r>
                  </w:p>
                </w:txbxContent>
              </v:textbox>
            </v:shape>
          </w:pict>
        </mc:Fallback>
      </mc:AlternateContent>
    </w:r>
  </w:p>
  <w:p>
    <w:pPr>
      <w:pStyle w:val="10"/>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9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eastAsia="宋体"/>
        <w:lang w:val="en-US" w:eastAsia="zh-CN"/>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p>
    <w:pPr>
      <w:pStyle w:val="10"/>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oCZg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ToCZg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eastAsia="宋体"/>
        <w:lang w:val="en-US" w:eastAsia="zh-CN"/>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fHs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m7fHs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52</w:t>
                    </w:r>
                    <w:r>
                      <w:fldChar w:fldCharType="end"/>
                    </w:r>
                  </w:p>
                </w:txbxContent>
              </v:textbox>
            </v:shape>
          </w:pict>
        </mc:Fallback>
      </mc:AlternateContent>
    </w:r>
  </w:p>
  <w:p>
    <w:pPr>
      <w:pStyle w:val="10"/>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eastAsia="宋体"/>
        <w:lang w:val="en-US" w:eastAsia="zh-CN"/>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T65Q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sT65Q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p>
    <w:pPr>
      <w:pStyle w:val="10"/>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tIn8zAgAAYw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tIn8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eastAsia="宋体"/>
        <w:lang w:val="en-US" w:eastAsia="zh-CN"/>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56</w:t>
                    </w:r>
                    <w:r>
                      <w:fldChar w:fldCharType="end"/>
                    </w:r>
                  </w:p>
                </w:txbxContent>
              </v:textbox>
            </v:shape>
          </w:pict>
        </mc:Fallback>
      </mc:AlternateContent>
    </w:r>
  </w:p>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eastAsia="宋体"/>
        <w:lang w:val="en-US" w:eastAsia="zh-CN"/>
      </w:rPr>
    </w:pPr>
    <w:r>
      <w:rPr>
        <w:sz w:val="18"/>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5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3</w:t>
                    </w:r>
                    <w:r>
                      <w:fldChar w:fldCharType="end"/>
                    </w:r>
                  </w:p>
                </w:txbxContent>
              </v:textbox>
            </v:shape>
          </w:pict>
        </mc:Fallback>
      </mc:AlternateContent>
    </w:r>
  </w:p>
  <w:p>
    <w:pPr>
      <w:pStyle w:val="10"/>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eastAsia="宋体"/>
        <w:lang w:val="en-US" w:eastAsia="zh-CN"/>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NuWI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dNuWI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p>
    <w:pPr>
      <w:pStyle w:val="10"/>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lLo0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h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XlLo0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eastAsia="宋体"/>
        <w:lang w:val="en-US" w:eastAsia="zh-CN"/>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yWR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iC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7JZFzICAABj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58</w:t>
                    </w:r>
                    <w:r>
                      <w:fldChar w:fldCharType="end"/>
                    </w:r>
                  </w:p>
                </w:txbxContent>
              </v:textbox>
            </v:shape>
          </w:pict>
        </mc:Fallback>
      </mc:AlternateContent>
    </w:r>
  </w:p>
  <w:p>
    <w:pPr>
      <w:pStyle w:val="10"/>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eastAsia="宋体"/>
        <w:lang w:val="en-US" w:eastAsia="zh-CN"/>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azvg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2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RrO+DICAABj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p>
    <w:pPr>
      <w:pStyle w:val="10"/>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kBxM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qa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uQHEzICAABj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eastAsia="宋体"/>
        <w:lang w:val="en-US" w:eastAsia="zh-CN"/>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MkPw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MkPw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63</w:t>
                    </w:r>
                    <w:r>
                      <w:fldChar w:fldCharType="end"/>
                    </w:r>
                  </w:p>
                </w:txbxContent>
              </v:textbox>
            </v:shape>
          </w:pict>
        </mc:Fallback>
      </mc:AlternateContent>
    </w:r>
  </w:p>
  <w:p>
    <w:pPr>
      <w:pStyle w:val="10"/>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eastAsia="宋体"/>
        <w:lang w:val="en-US" w:eastAsia="zh-CN"/>
      </w:rPr>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f5R8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Ef5R8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p>
    <w:pPr>
      <w:pStyle w:val="1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eastAsia="宋体"/>
        <w:lang w:val="en-US" w:eastAsia="zh-C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22</w:t>
                    </w:r>
                    <w:r>
                      <w:fldChar w:fldCharType="end"/>
                    </w:r>
                  </w:p>
                </w:txbxContent>
              </v:textbox>
            </v:shape>
          </w:pict>
        </mc:Fallback>
      </mc:AlternateContent>
    </w:r>
  </w:p>
  <w:p>
    <w:pPr>
      <w:pStyle w:val="10"/>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cvA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3cvA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eastAsia="宋体"/>
        <w:lang w:val="en-US" w:eastAsia="zh-CN"/>
      </w:rPr>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Juxs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Em7GzICAABj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66</w:t>
                    </w:r>
                    <w:r>
                      <w:fldChar w:fldCharType="end"/>
                    </w:r>
                  </w:p>
                </w:txbxContent>
              </v:textbox>
            </v:shape>
          </w:pict>
        </mc:Fallback>
      </mc:AlternateContent>
    </w:r>
  </w:p>
  <w:p>
    <w:pPr>
      <w:pStyle w:val="10"/>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eastAsia="宋体"/>
        <w:lang w:val="en-US" w:eastAsia="zh-CN"/>
      </w:rPr>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hLPQ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bhLPQ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p>
    <w:pPr>
      <w:pStyle w:val="10"/>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IA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lB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kgBjICAABj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eastAsia="宋体"/>
        <w:lang w:val="en-US" w:eastAsia="zh-CN"/>
      </w:rPr>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1Bt+k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1Bt+k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71</w:t>
                    </w:r>
                    <w:r>
                      <w:fldChar w:fldCharType="end"/>
                    </w:r>
                  </w:p>
                </w:txbxContent>
              </v:textbox>
            </v:shape>
          </w:pict>
        </mc:Fallback>
      </mc:AlternateContent>
    </w:r>
  </w:p>
  <w:p>
    <w:pPr>
      <w:pStyle w:val="10"/>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eastAsia="宋体"/>
        <w:lang w:val="en-US" w:eastAsia="zh-CN"/>
      </w:rPr>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FZI8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FZI8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p>
    <w:pPr>
      <w:pStyle w:val="10"/>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82AzAgAAYw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82A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eastAsia="宋体"/>
        <w:lang w:val="en-US" w:eastAsia="zh-CN"/>
      </w:rP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Oos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Oos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74</w:t>
                    </w:r>
                    <w:r>
                      <w:fldChar w:fldCharType="end"/>
                    </w:r>
                  </w:p>
                </w:txbxContent>
              </v:textbox>
            </v:shape>
          </w:pict>
        </mc:Fallback>
      </mc:AlternateContent>
    </w:r>
  </w:p>
  <w:p>
    <w:pPr>
      <w:pStyle w:val="1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4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eastAsia="宋体"/>
        <w:lang w:val="en-US" w:eastAsia="zh-CN"/>
      </w:rPr>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7rWQ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7rWQ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p>
    <w:pPr>
      <w:pStyle w:val="10"/>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o2Ic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o2Ic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eastAsia="宋体"/>
        <w:lang w:val="en-US" w:eastAsia="zh-CN"/>
      </w:rPr>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T2g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AT2g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79</w:t>
                    </w:r>
                    <w:r>
                      <w:fldChar w:fldCharType="end"/>
                    </w:r>
                  </w:p>
                </w:txbxContent>
              </v:textbox>
            </v:shape>
          </w:pict>
        </mc:Fallback>
      </mc:AlternateContent>
    </w:r>
  </w:p>
  <w:p>
    <w:pPr>
      <w:pStyle w:val="10"/>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0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eastAsia="宋体"/>
        <w:lang w:val="en-US" w:eastAsia="zh-CN"/>
      </w:rPr>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hoMzAgAAYw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D+hoM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p>
    <w:pPr>
      <w:pStyle w:val="10"/>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WEWw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m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WEWw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eastAsia="宋体"/>
        <w:lang w:val="en-US" w:eastAsia="zh-CN"/>
      </w:rPr>
    </w:pPr>
    <w:r>
      <w:rPr>
        <w:sz w:val="1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teHZ4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teHZ4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81</w:t>
                    </w:r>
                    <w:r>
                      <w:fldChar w:fldCharType="end"/>
                    </w:r>
                  </w:p>
                </w:txbxContent>
              </v:textbox>
            </v:shape>
          </w:pict>
        </mc:Fallback>
      </mc:AlternateContent>
    </w:r>
  </w:p>
  <w:p>
    <w:pPr>
      <w:pStyle w:val="10"/>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eastAsia="宋体"/>
        <w:lang w:val="en-US" w:eastAsia="zh-CN"/>
      </w:rPr>
    </w:pPr>
    <w:r>
      <w:rPr>
        <w:sz w:val="18"/>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2inEzAgAAY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2inE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p>
    <w:pPr>
      <w:pStyle w:val="1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eastAsia="宋体"/>
        <w:lang w:val="en-US"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23</w:t>
                    </w:r>
                    <w:r>
                      <w:fldChar w:fldCharType="end"/>
                    </w:r>
                  </w:p>
                </w:txbxContent>
              </v:textbox>
            </v:shape>
          </w:pict>
        </mc:Fallback>
      </mc:AlternateContent>
    </w:r>
  </w:p>
  <w:p>
    <w:pPr>
      <w:pStyle w:val="10"/>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nCo8x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5wqPMQIAAGUEAAAOAAAAAAAAAAEAIAAAAB8BAABkcnMvZTJvRG9jLnhtbFBLBQYA&#10;AAAABgAGAFkBAADC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eastAsia="宋体"/>
        <w:lang w:val="en-US" w:eastAsia="zh-CN"/>
      </w:rPr>
    </w:pPr>
    <w:r>
      <w:rPr>
        <w:sz w:val="18"/>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T1uUEzICAABl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85</w:t>
                    </w:r>
                    <w:r>
                      <w:fldChar w:fldCharType="end"/>
                    </w:r>
                  </w:p>
                </w:txbxContent>
              </v:textbox>
            </v:shape>
          </w:pict>
        </mc:Fallback>
      </mc:AlternateContent>
    </w:r>
  </w:p>
  <w:p>
    <w:pPr>
      <w:pStyle w:val="10"/>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1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eastAsia="宋体"/>
        <w:lang w:val="en-US" w:eastAsia="zh-CN"/>
      </w:rPr>
    </w:pPr>
    <w:r>
      <w:rPr>
        <w:sz w:val="18"/>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ZRm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PQwbpmX/cX0HuW&#10;hY3eWh7TRCG9XR4CxEwaR4F6VS66oftSlS6TEtv7z32Kevw7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ZRm0zAgAAZQ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p>
    <w:pPr>
      <w:pStyle w:val="10"/>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2PE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6/e5t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JdjxNAIAAGUEAAAOAAAAAAAAAAEAIAAAAB8BAABkcnMvZTJvRG9jLnhtbFBL&#10;BQYAAAAABgAGAFkBAADF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eastAsia="宋体"/>
        <w:lang w:val="en-US" w:eastAsia="zh-CN"/>
      </w:rPr>
    </w:pPr>
    <w:r>
      <w:rPr>
        <w:sz w:val="18"/>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c45A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I3lBimUfLTj++n&#10;nw+nX99IOoREjQszRN47xMb2nW0RPpwHHCbmbeV1+oITgR8CHy8CizYSni5NJ9NpDheHb9gAP3u8&#10;7nyI74XVJBkF9ahgJyw7bELsQ4eQlM3YtVSqq6IypCno1eu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sc45AzAgAAZQ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87</w:t>
                    </w:r>
                    <w:r>
                      <w:fldChar w:fldCharType="end"/>
                    </w:r>
                  </w:p>
                </w:txbxContent>
              </v:textbox>
            </v:shape>
          </w:pict>
        </mc:Fallback>
      </mc:AlternateContent>
    </w:r>
  </w:p>
  <w:p>
    <w:pPr>
      <w:pStyle w:val="10"/>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eastAsia="宋体"/>
        <w:lang w:val="en-US" w:eastAsia="zh-CN"/>
      </w:rPr>
    </w:pPr>
    <w:r>
      <w:rPr>
        <w:sz w:val="18"/>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gfQw0AgAAZQQAAA4AAABkcnMvZTJvRG9jLnhtbK1UzY7TMBC+I/EO&#10;lu80adGu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99e5d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oH0MNAIAAGUEAAAOAAAAAAAAAAEAIAAAAB8BAABkcnMvZTJvRG9jLnhtbFBL&#10;BQYAAAAABgAGAFkBAADF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p>
    <w:pPr>
      <w:pStyle w:val="10"/>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ir3Iz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xir3IzAgAAZQ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eastAsia="宋体"/>
        <w:lang w:val="en-US" w:eastAsia="zh-CN"/>
      </w:rPr>
    </w:pPr>
    <w:r>
      <w:rPr>
        <w:sz w:val="18"/>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eMe4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feMe4zAgAAZQ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91</w:t>
                    </w:r>
                    <w:r>
                      <w:fldChar w:fldCharType="end"/>
                    </w:r>
                  </w:p>
                </w:txbxContent>
              </v:textbox>
            </v:shape>
          </w:pict>
        </mc:Fallback>
      </mc:AlternateContent>
    </w:r>
  </w:p>
  <w:p>
    <w:pPr>
      <w:pStyle w:val="1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2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eastAsia="宋体"/>
        <w:lang w:val="en-US" w:eastAsia="zh-CN"/>
      </w:rPr>
    </w:pPr>
    <w:r>
      <w:rPr>
        <w:sz w:val="18"/>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oR2bAy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hHZsDICAABl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p>
    <w:pPr>
      <w:pStyle w:val="10"/>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tRyw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GtRywzAgAAZQ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eastAsia="宋体"/>
        <w:lang w:val="en-US" w:eastAsia="zh-CN"/>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DEBEF323"/>
    <w:multiLevelType w:val="multilevel"/>
    <w:tmpl w:val="DEBEF323"/>
    <w:lvl w:ilvl="0" w:tentative="0">
      <w:start w:val="4"/>
      <w:numFmt w:val="chineseCounting"/>
      <w:suff w:val="nothing"/>
      <w:lvlText w:val="（%1）"/>
      <w:lvlJc w:val="left"/>
      <w:rPr>
        <w:rFonts w:hint="eastAsia"/>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
    <w:nsid w:val="E2FA047D"/>
    <w:multiLevelType w:val="singleLevel"/>
    <w:tmpl w:val="E2FA047D"/>
    <w:lvl w:ilvl="0" w:tentative="0">
      <w:start w:val="3"/>
      <w:numFmt w:val="chineseCounting"/>
      <w:suff w:val="space"/>
      <w:lvlText w:val="第%1部分"/>
      <w:lvlJc w:val="left"/>
      <w:rPr>
        <w:rFonts w:hint="eastAsia"/>
      </w:rPr>
    </w:lvl>
  </w:abstractNum>
  <w:abstractNum w:abstractNumId="3">
    <w:nsid w:val="FEE8CB6B"/>
    <w:multiLevelType w:val="singleLevel"/>
    <w:tmpl w:val="FEE8CB6B"/>
    <w:lvl w:ilvl="0" w:tentative="0">
      <w:start w:val="1"/>
      <w:numFmt w:val="chineseCounting"/>
      <w:suff w:val="nothing"/>
      <w:lvlText w:val="（%1）"/>
      <w:lvlJc w:val="left"/>
      <w:rPr>
        <w:rFonts w:hint="eastAsia"/>
      </w:rPr>
    </w:lvl>
  </w:abstractNum>
  <w:abstractNum w:abstractNumId="4">
    <w:nsid w:val="FFF674BC"/>
    <w:multiLevelType w:val="multilevel"/>
    <w:tmpl w:val="FFF674BC"/>
    <w:lvl w:ilvl="0" w:tentative="0">
      <w:start w:val="1"/>
      <w:numFmt w:val="chineseCounting"/>
      <w:suff w:val="nothing"/>
      <w:lvlText w:val="%1、"/>
      <w:lvlJc w:val="left"/>
      <w:rPr>
        <w:rFonts w:hint="eastAsia"/>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5">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6">
    <w:nsid w:val="30B73C17"/>
    <w:multiLevelType w:val="multilevel"/>
    <w:tmpl w:val="30B73C17"/>
    <w:lvl w:ilvl="0" w:tentative="0">
      <w:start w:val="2"/>
      <w:numFmt w:val="chineseCounting"/>
      <w:suff w:val="nothing"/>
      <w:lvlText w:val="（%1）"/>
      <w:lvlJc w:val="left"/>
      <w:rPr>
        <w:rFonts w:hint="eastAsia"/>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7">
    <w:nsid w:val="4E15D47A"/>
    <w:multiLevelType w:val="singleLevel"/>
    <w:tmpl w:val="4E15D47A"/>
    <w:lvl w:ilvl="0" w:tentative="0">
      <w:start w:val="1"/>
      <w:numFmt w:val="decimal"/>
      <w:suff w:val="nothing"/>
      <w:lvlText w:val="%1．"/>
      <w:lvlJc w:val="left"/>
      <w:pPr>
        <w:ind w:left="0" w:firstLine="400"/>
      </w:pPr>
      <w:rPr>
        <w:rFonts w:hint="default"/>
      </w:rPr>
    </w:lvl>
  </w:abstractNum>
  <w:num w:numId="1">
    <w:abstractNumId w:val="5"/>
  </w:num>
  <w:num w:numId="2">
    <w:abstractNumId w:val="0"/>
  </w:num>
  <w:num w:numId="3">
    <w:abstractNumId w:val="2"/>
  </w:num>
  <w:num w:numId="4">
    <w:abstractNumId w:val="7"/>
  </w:num>
  <w:num w:numId="5">
    <w:abstractNumId w:val="4"/>
  </w:num>
  <w:num w:numId="6">
    <w:abstractNumId w:val="1"/>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embedTrueTypeFonts/>
  <w:saveSubsetFonts/>
  <w:bordersDoNotSurroundHeader w:val="0"/>
  <w:bordersDoNotSurroundFooter w:val="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2ZGZiNzZiNDVlOGViOWVmM2JhOTY0NGJkNjUyYzgifQ=="/>
  </w:docVars>
  <w:rsids>
    <w:rsidRoot w:val="00172A27"/>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5975B8"/>
    <w:rsid w:val="02143E91"/>
    <w:rsid w:val="066E0107"/>
    <w:rsid w:val="077E34BE"/>
    <w:rsid w:val="07996F6E"/>
    <w:rsid w:val="07BF8B0C"/>
    <w:rsid w:val="0A2032A3"/>
    <w:rsid w:val="0DF3399E"/>
    <w:rsid w:val="0F98263C"/>
    <w:rsid w:val="101860EC"/>
    <w:rsid w:val="108F5D13"/>
    <w:rsid w:val="10C055FF"/>
    <w:rsid w:val="118107EC"/>
    <w:rsid w:val="13D50BC4"/>
    <w:rsid w:val="15D7DEE7"/>
    <w:rsid w:val="16BB723D"/>
    <w:rsid w:val="17BAB6AE"/>
    <w:rsid w:val="17DF51F4"/>
    <w:rsid w:val="1BE8440E"/>
    <w:rsid w:val="1D155CEE"/>
    <w:rsid w:val="1FE7750C"/>
    <w:rsid w:val="1FF35744"/>
    <w:rsid w:val="23860B96"/>
    <w:rsid w:val="23FE9BB6"/>
    <w:rsid w:val="240371BF"/>
    <w:rsid w:val="26C26CF7"/>
    <w:rsid w:val="29FD04D3"/>
    <w:rsid w:val="2C8A61B5"/>
    <w:rsid w:val="2DF04E50"/>
    <w:rsid w:val="2F040D46"/>
    <w:rsid w:val="2FBF1CA8"/>
    <w:rsid w:val="2FD66A9A"/>
    <w:rsid w:val="306D4B10"/>
    <w:rsid w:val="319F7F4E"/>
    <w:rsid w:val="32A9493D"/>
    <w:rsid w:val="3304709D"/>
    <w:rsid w:val="34272982"/>
    <w:rsid w:val="355B2F63"/>
    <w:rsid w:val="36AA5135"/>
    <w:rsid w:val="376D39B2"/>
    <w:rsid w:val="37E16F03"/>
    <w:rsid w:val="37F5BFE2"/>
    <w:rsid w:val="38D469F0"/>
    <w:rsid w:val="39BBFF91"/>
    <w:rsid w:val="39E9A3AB"/>
    <w:rsid w:val="3BBBC2EF"/>
    <w:rsid w:val="3BF933BA"/>
    <w:rsid w:val="3BFF0D98"/>
    <w:rsid w:val="3D98207C"/>
    <w:rsid w:val="3E78745D"/>
    <w:rsid w:val="3EFEB787"/>
    <w:rsid w:val="3F4F4505"/>
    <w:rsid w:val="3F7E6E0E"/>
    <w:rsid w:val="3FFD1D52"/>
    <w:rsid w:val="40FF455D"/>
    <w:rsid w:val="44E268DA"/>
    <w:rsid w:val="4A627F82"/>
    <w:rsid w:val="4B0E749A"/>
    <w:rsid w:val="4B4F25DA"/>
    <w:rsid w:val="4BE068DB"/>
    <w:rsid w:val="4D577224"/>
    <w:rsid w:val="4EAB630A"/>
    <w:rsid w:val="4ECE2238"/>
    <w:rsid w:val="4FFB35F3"/>
    <w:rsid w:val="537E6D0A"/>
    <w:rsid w:val="55BFD035"/>
    <w:rsid w:val="579F90BB"/>
    <w:rsid w:val="57B5C92C"/>
    <w:rsid w:val="57FB0B5C"/>
    <w:rsid w:val="59AFCDB6"/>
    <w:rsid w:val="59D59EE3"/>
    <w:rsid w:val="5AF92295"/>
    <w:rsid w:val="5BDA774C"/>
    <w:rsid w:val="5BEDDA8C"/>
    <w:rsid w:val="5CD71FC4"/>
    <w:rsid w:val="5D8FF562"/>
    <w:rsid w:val="5EBF2EB6"/>
    <w:rsid w:val="5EEFCABB"/>
    <w:rsid w:val="5EFF05F8"/>
    <w:rsid w:val="5F67C656"/>
    <w:rsid w:val="5F79CB00"/>
    <w:rsid w:val="5FBF8F04"/>
    <w:rsid w:val="5FF65C1A"/>
    <w:rsid w:val="5FFDFD5B"/>
    <w:rsid w:val="605E0C2A"/>
    <w:rsid w:val="684F6460"/>
    <w:rsid w:val="6A792F2D"/>
    <w:rsid w:val="6AFC1563"/>
    <w:rsid w:val="6B3FE40B"/>
    <w:rsid w:val="6C4A05C8"/>
    <w:rsid w:val="6E7E3605"/>
    <w:rsid w:val="6EF39EBE"/>
    <w:rsid w:val="6F6F957E"/>
    <w:rsid w:val="6FB55710"/>
    <w:rsid w:val="6FB783C9"/>
    <w:rsid w:val="6FBFBB91"/>
    <w:rsid w:val="6FD7355C"/>
    <w:rsid w:val="6FF5CC65"/>
    <w:rsid w:val="6FFB0DB2"/>
    <w:rsid w:val="6FFBFBAA"/>
    <w:rsid w:val="6FFFAEB3"/>
    <w:rsid w:val="6FFFDB39"/>
    <w:rsid w:val="70AE1F9E"/>
    <w:rsid w:val="715C0E4B"/>
    <w:rsid w:val="71767A24"/>
    <w:rsid w:val="72734D90"/>
    <w:rsid w:val="72C232B3"/>
    <w:rsid w:val="73AD73D5"/>
    <w:rsid w:val="73B6EB34"/>
    <w:rsid w:val="73DE5792"/>
    <w:rsid w:val="73E7025A"/>
    <w:rsid w:val="744731E5"/>
    <w:rsid w:val="74CA1627"/>
    <w:rsid w:val="75376F09"/>
    <w:rsid w:val="75F7A368"/>
    <w:rsid w:val="75FE8380"/>
    <w:rsid w:val="76E3355F"/>
    <w:rsid w:val="778769C8"/>
    <w:rsid w:val="77F7A790"/>
    <w:rsid w:val="79E711B9"/>
    <w:rsid w:val="79EE5BA4"/>
    <w:rsid w:val="7A74F0EE"/>
    <w:rsid w:val="7A894339"/>
    <w:rsid w:val="7ABF7099"/>
    <w:rsid w:val="7B5A5019"/>
    <w:rsid w:val="7BD00DE9"/>
    <w:rsid w:val="7BDE560F"/>
    <w:rsid w:val="7BFE20E0"/>
    <w:rsid w:val="7C3F6F67"/>
    <w:rsid w:val="7CFB0017"/>
    <w:rsid w:val="7D2BC51B"/>
    <w:rsid w:val="7D3F39DC"/>
    <w:rsid w:val="7DAF1A71"/>
    <w:rsid w:val="7DAF289C"/>
    <w:rsid w:val="7DDF7572"/>
    <w:rsid w:val="7DFFDBCC"/>
    <w:rsid w:val="7EDF06F9"/>
    <w:rsid w:val="7EDF6B64"/>
    <w:rsid w:val="7EEC7E58"/>
    <w:rsid w:val="7EEF11D3"/>
    <w:rsid w:val="7EF6459A"/>
    <w:rsid w:val="7F632DEA"/>
    <w:rsid w:val="7FA30C79"/>
    <w:rsid w:val="7FB7269E"/>
    <w:rsid w:val="7FC96657"/>
    <w:rsid w:val="7FD723E8"/>
    <w:rsid w:val="7FDFFB86"/>
    <w:rsid w:val="7FEAF176"/>
    <w:rsid w:val="7FEC2849"/>
    <w:rsid w:val="7FEF1FB5"/>
    <w:rsid w:val="7FF3133E"/>
    <w:rsid w:val="7FF5B649"/>
    <w:rsid w:val="7FF75282"/>
    <w:rsid w:val="8FFC61CA"/>
    <w:rsid w:val="977774CE"/>
    <w:rsid w:val="979F4BAE"/>
    <w:rsid w:val="A7DF06D6"/>
    <w:rsid w:val="AB7F3713"/>
    <w:rsid w:val="ABCEF303"/>
    <w:rsid w:val="AF35468A"/>
    <w:rsid w:val="AFAA47B4"/>
    <w:rsid w:val="AFFFE462"/>
    <w:rsid w:val="B3F46005"/>
    <w:rsid w:val="B7387993"/>
    <w:rsid w:val="B77F0A1E"/>
    <w:rsid w:val="BACFFE8E"/>
    <w:rsid w:val="BBF2331D"/>
    <w:rsid w:val="BBFF72A3"/>
    <w:rsid w:val="BCB3DC82"/>
    <w:rsid w:val="BF8B29B5"/>
    <w:rsid w:val="BFC7B054"/>
    <w:rsid w:val="BFD762A6"/>
    <w:rsid w:val="BFFD85AB"/>
    <w:rsid w:val="C6BD28DF"/>
    <w:rsid w:val="C77F7E71"/>
    <w:rsid w:val="D2FF9A25"/>
    <w:rsid w:val="D3ED5AF6"/>
    <w:rsid w:val="D49F28CF"/>
    <w:rsid w:val="D57DED10"/>
    <w:rsid w:val="D6FF0B6B"/>
    <w:rsid w:val="D78F68A7"/>
    <w:rsid w:val="D7BFA475"/>
    <w:rsid w:val="D8D6DB89"/>
    <w:rsid w:val="DB6F4CAB"/>
    <w:rsid w:val="DB77B7E9"/>
    <w:rsid w:val="DDBFBD39"/>
    <w:rsid w:val="DE7F11C9"/>
    <w:rsid w:val="DF6F9789"/>
    <w:rsid w:val="DF7D418C"/>
    <w:rsid w:val="DF9F1BEF"/>
    <w:rsid w:val="DFEE9AA6"/>
    <w:rsid w:val="DFEEFB82"/>
    <w:rsid w:val="DFEFBA3E"/>
    <w:rsid w:val="E2EB3166"/>
    <w:rsid w:val="E6D3D2F5"/>
    <w:rsid w:val="E6FF95DF"/>
    <w:rsid w:val="E7DC8FB0"/>
    <w:rsid w:val="E7F99DE4"/>
    <w:rsid w:val="EBFDD5BD"/>
    <w:rsid w:val="ED7BF6FB"/>
    <w:rsid w:val="EDB3BAD6"/>
    <w:rsid w:val="EDFDB7E9"/>
    <w:rsid w:val="EDFF98BE"/>
    <w:rsid w:val="EEB88008"/>
    <w:rsid w:val="EF5E2D39"/>
    <w:rsid w:val="EF6A7EB1"/>
    <w:rsid w:val="EFA7DD36"/>
    <w:rsid w:val="EFB72E1B"/>
    <w:rsid w:val="EFDB9797"/>
    <w:rsid w:val="EFEF675A"/>
    <w:rsid w:val="EFFBE6E7"/>
    <w:rsid w:val="EFFF9FC7"/>
    <w:rsid w:val="F21ECB56"/>
    <w:rsid w:val="F2F885C8"/>
    <w:rsid w:val="F3FBE2F3"/>
    <w:rsid w:val="F51B2CD5"/>
    <w:rsid w:val="F53F6B06"/>
    <w:rsid w:val="F5BC7CF5"/>
    <w:rsid w:val="F5DBC821"/>
    <w:rsid w:val="F5FB508C"/>
    <w:rsid w:val="F7B55FF8"/>
    <w:rsid w:val="F7D02AC7"/>
    <w:rsid w:val="F7ED85D0"/>
    <w:rsid w:val="F7FE0A91"/>
    <w:rsid w:val="F7FF3B75"/>
    <w:rsid w:val="F9D9AF98"/>
    <w:rsid w:val="F9FBC76B"/>
    <w:rsid w:val="FB2FD736"/>
    <w:rsid w:val="FBA7BD1E"/>
    <w:rsid w:val="FBDFCF19"/>
    <w:rsid w:val="FBEF714C"/>
    <w:rsid w:val="FBFD711C"/>
    <w:rsid w:val="FBFF65E0"/>
    <w:rsid w:val="FCFFEF1A"/>
    <w:rsid w:val="FD9F0361"/>
    <w:rsid w:val="FDDB22F9"/>
    <w:rsid w:val="FDDF69D2"/>
    <w:rsid w:val="FDFB8885"/>
    <w:rsid w:val="FDFFD3D9"/>
    <w:rsid w:val="FE77D7EB"/>
    <w:rsid w:val="FE7D78EA"/>
    <w:rsid w:val="FEB63AE0"/>
    <w:rsid w:val="FEB9109B"/>
    <w:rsid w:val="FEDF02DA"/>
    <w:rsid w:val="FEEA3348"/>
    <w:rsid w:val="FEFEA3C4"/>
    <w:rsid w:val="FEFFBBB5"/>
    <w:rsid w:val="FF6B796C"/>
    <w:rsid w:val="FF7D2D6D"/>
    <w:rsid w:val="FF7FC7E6"/>
    <w:rsid w:val="FFB68470"/>
    <w:rsid w:val="FFD72C8F"/>
    <w:rsid w:val="FFFE63EF"/>
    <w:rsid w:val="FFFF4D25"/>
    <w:rsid w:val="FFFF870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2"/>
    <w:unhideWhenUsed/>
    <w:qFormat/>
    <w:uiPriority w:val="9"/>
    <w:pPr>
      <w:keepNext w:val="0"/>
      <w:keepLines w:val="0"/>
      <w:spacing w:before="260" w:after="260" w:line="416" w:lineRule="auto"/>
      <w:outlineLvl w:val="1"/>
    </w:pPr>
    <w:rPr>
      <w:rFonts w:asciiTheme="majorAscii" w:hAnsiTheme="majorAscii" w:eastAsiaTheme="majorEastAsia" w:cstheme="majorBidi"/>
      <w:b/>
      <w:bCs/>
      <w:sz w:val="32"/>
      <w:szCs w:val="32"/>
    </w:rPr>
  </w:style>
  <w:style w:type="paragraph" w:styleId="5">
    <w:name w:val="heading 3"/>
    <w:basedOn w:val="1"/>
    <w:next w:val="1"/>
    <w:link w:val="23"/>
    <w:unhideWhenUsed/>
    <w:qFormat/>
    <w:uiPriority w:val="9"/>
    <w:pPr>
      <w:keepNext/>
      <w:keepLines/>
      <w:spacing w:before="260" w:after="260" w:line="416" w:lineRule="auto"/>
      <w:outlineLvl w:val="2"/>
    </w:pPr>
    <w:rPr>
      <w:b/>
      <w:bCs/>
      <w:sz w:val="32"/>
      <w:szCs w:val="32"/>
    </w:rPr>
  </w:style>
  <w:style w:type="character" w:default="1" w:styleId="18">
    <w:name w:val="Default Paragraph Font"/>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6">
    <w:name w:val="Body Text"/>
    <w:basedOn w:val="1"/>
    <w:link w:val="30"/>
    <w:qFormat/>
    <w:uiPriority w:val="99"/>
    <w:pPr>
      <w:spacing w:beforeLines="30"/>
    </w:pPr>
    <w:rPr>
      <w:rFonts w:ascii="仿宋_GB2312" w:eastAsia="仿宋_GB2312"/>
      <w:kern w:val="0"/>
      <w:sz w:val="30"/>
    </w:rPr>
  </w:style>
  <w:style w:type="paragraph" w:styleId="7">
    <w:name w:val="Body Text Indent"/>
    <w:basedOn w:val="1"/>
    <w:qFormat/>
    <w:uiPriority w:val="0"/>
    <w:pPr>
      <w:spacing w:after="120"/>
      <w:ind w:leftChars="200"/>
    </w:pPr>
    <w:rPr>
      <w:rFonts w:ascii="仿宋_GB2312"/>
      <w:szCs w:val="32"/>
    </w:rPr>
  </w:style>
  <w:style w:type="paragraph" w:styleId="8">
    <w:name w:val="toc 3"/>
    <w:basedOn w:val="1"/>
    <w:next w:val="1"/>
    <w:unhideWhenUsed/>
    <w:qFormat/>
    <w:uiPriority w:val="39"/>
    <w:pPr>
      <w:tabs>
        <w:tab w:val="right" w:leader="dot" w:pos="8296"/>
      </w:tabs>
      <w:ind w:left="840" w:leftChars="400"/>
    </w:pPr>
  </w:style>
  <w:style w:type="paragraph" w:styleId="9">
    <w:name w:val="Balloon Text"/>
    <w:basedOn w:val="1"/>
    <w:link w:val="33"/>
    <w:semiHidden/>
    <w:unhideWhenUsed/>
    <w:qFormat/>
    <w:uiPriority w:val="99"/>
    <w:rPr>
      <w:sz w:val="18"/>
      <w:szCs w:val="18"/>
    </w:rPr>
  </w:style>
  <w:style w:type="paragraph" w:styleId="10">
    <w:name w:val="footer"/>
    <w:basedOn w:val="1"/>
    <w:link w:val="28"/>
    <w:qFormat/>
    <w:uiPriority w:val="99"/>
    <w:pPr>
      <w:tabs>
        <w:tab w:val="center" w:pos="4153"/>
        <w:tab w:val="right" w:pos="8306"/>
      </w:tabs>
      <w:snapToGrid w:val="0"/>
      <w:jc w:val="left"/>
    </w:pPr>
    <w:rPr>
      <w:rFonts w:ascii="Calibri" w:hAnsi="Calibri"/>
      <w:kern w:val="0"/>
      <w:sz w:val="18"/>
      <w:szCs w:val="18"/>
    </w:rPr>
  </w:style>
  <w:style w:type="paragraph" w:styleId="11">
    <w:name w:val="header"/>
    <w:basedOn w:val="1"/>
    <w:link w:val="26"/>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3">
    <w:name w:val="table of figures"/>
    <w:basedOn w:val="1"/>
    <w:next w:val="1"/>
    <w:qFormat/>
    <w:uiPriority w:val="0"/>
    <w:pPr>
      <w:widowControl w:val="0"/>
      <w:ind w:leftChars="200" w:hanging="200" w:hangingChars="200"/>
      <w:jc w:val="both"/>
    </w:pPr>
    <w:rPr>
      <w:rFonts w:ascii="Times New Roman" w:hAnsi="Times New Roman" w:eastAsia="宋体" w:cs="Times New Roman"/>
      <w:kern w:val="2"/>
      <w:sz w:val="21"/>
      <w:szCs w:val="24"/>
      <w:lang w:val="en-US" w:eastAsia="zh-CN" w:bidi="ar-SA"/>
    </w:rPr>
  </w:style>
  <w:style w:type="paragraph" w:styleId="14">
    <w:name w:val="toc 2"/>
    <w:basedOn w:val="1"/>
    <w:next w:val="1"/>
    <w:unhideWhenUsed/>
    <w:qFormat/>
    <w:uiPriority w:val="39"/>
    <w:pPr>
      <w:tabs>
        <w:tab w:val="right" w:leader="dot" w:pos="8296"/>
      </w:tabs>
      <w:ind w:left="420" w:leftChars="200"/>
    </w:pPr>
  </w:style>
  <w:style w:type="paragraph" w:styleId="15">
    <w:name w:val="Normal (Web)"/>
    <w:basedOn w:val="1"/>
    <w:qFormat/>
    <w:uiPriority w:val="0"/>
    <w:pPr>
      <w:spacing w:beforeAutospacing="1" w:afterAutospacing="1"/>
      <w:jc w:val="left"/>
    </w:pPr>
    <w:rPr>
      <w:kern w:val="0"/>
      <w:sz w:val="24"/>
    </w:rPr>
  </w:style>
  <w:style w:type="paragraph" w:styleId="16">
    <w:name w:val="Body Text First Indent 2"/>
    <w:basedOn w:val="7"/>
    <w:next w:val="1"/>
    <w:unhideWhenUsed/>
    <w:qFormat/>
    <w:uiPriority w:val="99"/>
    <w:pPr>
      <w:ind w:firstLine="420" w:firstLineChars="200"/>
    </w:pPr>
  </w:style>
  <w:style w:type="character" w:styleId="19">
    <w:name w:val="Strong"/>
    <w:basedOn w:val="18"/>
    <w:qFormat/>
    <w:uiPriority w:val="99"/>
    <w:rPr>
      <w:b/>
    </w:rPr>
  </w:style>
  <w:style w:type="character" w:styleId="20">
    <w:name w:val="Hyperlink"/>
    <w:basedOn w:val="18"/>
    <w:unhideWhenUsed/>
    <w:qFormat/>
    <w:uiPriority w:val="99"/>
    <w:rPr>
      <w:color w:val="0000FF" w:themeColor="hyperlink"/>
      <w:u w:val="single"/>
      <w14:textFill>
        <w14:solidFill>
          <w14:schemeClr w14:val="hlink"/>
        </w14:solidFill>
      </w14:textFill>
    </w:rPr>
  </w:style>
  <w:style w:type="character" w:customStyle="1" w:styleId="21">
    <w:name w:val="标题 1 Char"/>
    <w:basedOn w:val="18"/>
    <w:link w:val="3"/>
    <w:qFormat/>
    <w:uiPriority w:val="9"/>
    <w:rPr>
      <w:rFonts w:ascii="Times New Roman" w:hAnsi="Times New Roman"/>
      <w:b/>
      <w:bCs/>
      <w:kern w:val="44"/>
      <w:sz w:val="44"/>
      <w:szCs w:val="44"/>
    </w:rPr>
  </w:style>
  <w:style w:type="character" w:customStyle="1" w:styleId="22">
    <w:name w:val="标题 2 Char"/>
    <w:basedOn w:val="18"/>
    <w:link w:val="4"/>
    <w:qFormat/>
    <w:uiPriority w:val="9"/>
    <w:rPr>
      <w:rFonts w:asciiTheme="majorAscii" w:hAnsiTheme="majorAscii" w:eastAsiaTheme="majorEastAsia" w:cstheme="majorBidi"/>
      <w:b/>
      <w:bCs/>
      <w:kern w:val="2"/>
      <w:sz w:val="32"/>
      <w:szCs w:val="32"/>
    </w:rPr>
  </w:style>
  <w:style w:type="character" w:customStyle="1" w:styleId="23">
    <w:name w:val="标题 3 Char"/>
    <w:basedOn w:val="18"/>
    <w:link w:val="5"/>
    <w:qFormat/>
    <w:uiPriority w:val="9"/>
    <w:rPr>
      <w:rFonts w:ascii="Times New Roman" w:hAnsi="Times New Roman"/>
      <w:b/>
      <w:bCs/>
      <w:kern w:val="2"/>
      <w:sz w:val="32"/>
      <w:szCs w:val="32"/>
    </w:rPr>
  </w:style>
  <w:style w:type="paragraph" w:customStyle="1" w:styleId="24">
    <w:name w:val="标题 5（有编号）（绿盟科技）"/>
    <w:next w:val="1"/>
    <w:qFormat/>
    <w:uiPriority w:val="99"/>
    <w:pPr>
      <w:keepNext/>
      <w:keepLines/>
      <w:widowControl w:val="0"/>
      <w:spacing w:before="280" w:after="156" w:line="377" w:lineRule="auto"/>
      <w:jc w:val="left"/>
      <w:outlineLvl w:val="4"/>
    </w:pPr>
    <w:rPr>
      <w:rFonts w:ascii="Arial" w:hAnsi="Arial" w:eastAsia="黑体" w:cs="Times New Roman"/>
      <w:b/>
      <w:kern w:val="2"/>
      <w:sz w:val="24"/>
      <w:szCs w:val="28"/>
      <w:lang w:val="en-US" w:eastAsia="zh-CN" w:bidi="ar-SA"/>
    </w:rPr>
  </w:style>
  <w:style w:type="character" w:customStyle="1" w:styleId="25">
    <w:name w:val="Header Char"/>
    <w:basedOn w:val="18"/>
    <w:semiHidden/>
    <w:qFormat/>
    <w:uiPriority w:val="99"/>
    <w:rPr>
      <w:rFonts w:ascii="Times New Roman" w:hAnsi="Times New Roman"/>
      <w:sz w:val="18"/>
      <w:szCs w:val="18"/>
    </w:rPr>
  </w:style>
  <w:style w:type="character" w:customStyle="1" w:styleId="26">
    <w:name w:val="页眉 Char"/>
    <w:link w:val="11"/>
    <w:semiHidden/>
    <w:qFormat/>
    <w:locked/>
    <w:uiPriority w:val="99"/>
    <w:rPr>
      <w:sz w:val="18"/>
    </w:rPr>
  </w:style>
  <w:style w:type="character" w:customStyle="1" w:styleId="27">
    <w:name w:val="Footer Char"/>
    <w:basedOn w:val="18"/>
    <w:semiHidden/>
    <w:qFormat/>
    <w:uiPriority w:val="99"/>
    <w:rPr>
      <w:rFonts w:ascii="Times New Roman" w:hAnsi="Times New Roman"/>
      <w:sz w:val="18"/>
      <w:szCs w:val="18"/>
    </w:rPr>
  </w:style>
  <w:style w:type="character" w:customStyle="1" w:styleId="28">
    <w:name w:val="页脚 Char"/>
    <w:link w:val="10"/>
    <w:qFormat/>
    <w:locked/>
    <w:uiPriority w:val="99"/>
    <w:rPr>
      <w:sz w:val="18"/>
    </w:rPr>
  </w:style>
  <w:style w:type="character" w:customStyle="1" w:styleId="29">
    <w:name w:val="Body Text Char"/>
    <w:basedOn w:val="18"/>
    <w:semiHidden/>
    <w:qFormat/>
    <w:uiPriority w:val="99"/>
    <w:rPr>
      <w:rFonts w:ascii="Times New Roman" w:hAnsi="Times New Roman"/>
      <w:szCs w:val="24"/>
    </w:rPr>
  </w:style>
  <w:style w:type="character" w:customStyle="1" w:styleId="30">
    <w:name w:val="正文文本 Char"/>
    <w:link w:val="6"/>
    <w:qFormat/>
    <w:locked/>
    <w:uiPriority w:val="99"/>
    <w:rPr>
      <w:rFonts w:ascii="仿宋_GB2312" w:hAnsi="Times New Roman" w:eastAsia="仿宋_GB2312"/>
      <w:sz w:val="24"/>
    </w:rPr>
  </w:style>
  <w:style w:type="paragraph" w:styleId="31">
    <w:name w:val="List Paragraph"/>
    <w:basedOn w:val="1"/>
    <w:qFormat/>
    <w:uiPriority w:val="34"/>
    <w:pPr>
      <w:ind w:firstLine="420" w:firstLineChars="200"/>
    </w:pPr>
  </w:style>
  <w:style w:type="paragraph" w:customStyle="1" w:styleId="32">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3">
    <w:name w:val="批注框文本 Char"/>
    <w:basedOn w:val="18"/>
    <w:link w:val="9"/>
    <w:semiHidden/>
    <w:qFormat/>
    <w:uiPriority w:val="99"/>
    <w:rPr>
      <w:rFonts w:ascii="Times New Roman" w:hAnsi="Times New Roman"/>
      <w:kern w:val="2"/>
      <w:sz w:val="18"/>
      <w:szCs w:val="18"/>
    </w:rPr>
  </w:style>
  <w:style w:type="paragraph" w:customStyle="1" w:styleId="34">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5">
    <w:name w:val="四号正文"/>
    <w:basedOn w:val="1"/>
    <w:qFormat/>
    <w:uiPriority w:val="0"/>
    <w:pPr>
      <w:spacing w:line="360" w:lineRule="auto"/>
    </w:pPr>
    <w:rPr>
      <w:rFonts w:ascii="??" w:hAnsi="??" w:eastAsia="宋体"/>
      <w:color w:val="000000"/>
      <w:kern w:val="0"/>
      <w:sz w:val="28"/>
      <w:szCs w:val="21"/>
      <w:lang w:val="zh-CN" w:eastAsia="zh-CN"/>
    </w:rPr>
  </w:style>
  <w:style w:type="character" w:customStyle="1" w:styleId="36">
    <w:name w:val="font01"/>
    <w:basedOn w:val="18"/>
    <w:qFormat/>
    <w:uiPriority w:val="0"/>
    <w:rPr>
      <w:rFonts w:hint="eastAsia" w:ascii="宋体" w:hAnsi="宋体" w:eastAsia="宋体" w:cs="宋体"/>
      <w:color w:val="000000"/>
      <w:sz w:val="18"/>
      <w:szCs w:val="18"/>
      <w:u w:val="none"/>
    </w:rPr>
  </w:style>
  <w:style w:type="character" w:customStyle="1" w:styleId="37">
    <w:name w:val="font61"/>
    <w:basedOn w:val="18"/>
    <w:qFormat/>
    <w:uiPriority w:val="0"/>
    <w:rPr>
      <w:rFonts w:hint="eastAsia" w:ascii="宋体" w:hAnsi="宋体" w:eastAsia="宋体" w:cs="宋体"/>
      <w:color w:val="000000"/>
      <w:sz w:val="18"/>
      <w:szCs w:val="18"/>
      <w:u w:val="none"/>
    </w:rPr>
  </w:style>
  <w:style w:type="paragraph" w:customStyle="1" w:styleId="38">
    <w:name w:val="正文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仿宋_GB2312" w:cs="Times New Roman"/>
      <w:kern w:val="2"/>
      <w:sz w:val="32"/>
      <w:szCs w:val="32"/>
      <w:lang w:val="en-US" w:eastAsia="zh-CN" w:bidi="ar-SA"/>
    </w:rPr>
  </w:style>
  <w:style w:type="character" w:customStyle="1" w:styleId="39">
    <w:name w:val="font81"/>
    <w:basedOn w:val="18"/>
    <w:qFormat/>
    <w:uiPriority w:val="0"/>
    <w:rPr>
      <w:rFonts w:hint="eastAsia" w:ascii="宋体" w:hAnsi="宋体" w:eastAsia="宋体" w:cs="宋体"/>
      <w:color w:val="000000"/>
      <w:sz w:val="18"/>
      <w:szCs w:val="18"/>
      <w:u w:val="none"/>
    </w:rPr>
  </w:style>
  <w:style w:type="paragraph" w:customStyle="1" w:styleId="40">
    <w:name w:val="WPSOffice手动目录 1"/>
    <w:uiPriority w:val="0"/>
    <w:pPr>
      <w:ind w:leftChars="0"/>
    </w:pPr>
    <w:rPr>
      <w:rFonts w:ascii="Times New Roman" w:hAnsi="Times New Roman" w:eastAsia="宋体" w:cs="Times New Roman"/>
      <w:sz w:val="20"/>
      <w:szCs w:val="20"/>
    </w:rPr>
  </w:style>
  <w:style w:type="paragraph" w:customStyle="1" w:styleId="41">
    <w:name w:val="WPSOffice手动目录 2"/>
    <w:uiPriority w:val="0"/>
    <w:pPr>
      <w:ind w:leftChars="200"/>
    </w:pPr>
    <w:rPr>
      <w:rFonts w:ascii="Times New Roman" w:hAnsi="Times New Roman" w:eastAsia="宋体" w:cs="Times New Roman"/>
      <w:sz w:val="20"/>
      <w:szCs w:val="20"/>
    </w:rPr>
  </w:style>
  <w:style w:type="character" w:customStyle="1" w:styleId="42">
    <w:name w:val="15"/>
    <w:basedOn w:val="18"/>
    <w:uiPriority w:val="0"/>
    <w:rPr>
      <w:rFonts w:hint="default" w:ascii="Cambria" w:hAnsi="Cambria" w:eastAsia="宋体" w:cs="Times New Roman"/>
      <w:b/>
      <w:bCs/>
      <w:kern w:val="2"/>
      <w:sz w:val="32"/>
      <w:szCs w:val="32"/>
    </w:rPr>
  </w:style>
  <w:style w:type="character" w:customStyle="1" w:styleId="43">
    <w:name w:val="10"/>
    <w:basedOn w:val="18"/>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6" Type="http://schemas.openxmlformats.org/officeDocument/2006/relationships/fontTable" Target="fontTable.xml"/><Relationship Id="rId95" Type="http://schemas.openxmlformats.org/officeDocument/2006/relationships/numbering" Target="numbering.xml"/><Relationship Id="rId94" Type="http://schemas.openxmlformats.org/officeDocument/2006/relationships/customXml" Target="../customXml/item1.xml"/><Relationship Id="rId93" Type="http://schemas.openxmlformats.org/officeDocument/2006/relationships/chart" Target="charts/chart6.xml"/><Relationship Id="rId92" Type="http://schemas.openxmlformats.org/officeDocument/2006/relationships/chart" Target="charts/chart5.xml"/><Relationship Id="rId91" Type="http://schemas.openxmlformats.org/officeDocument/2006/relationships/chart" Target="charts/chart4.xml"/><Relationship Id="rId90" Type="http://schemas.openxmlformats.org/officeDocument/2006/relationships/image" Target="media/image1.png"/><Relationship Id="rId9" Type="http://schemas.openxmlformats.org/officeDocument/2006/relationships/footer" Target="footer6.xml"/><Relationship Id="rId89" Type="http://schemas.openxmlformats.org/officeDocument/2006/relationships/chart" Target="charts/chart3.xml"/><Relationship Id="rId88" Type="http://schemas.openxmlformats.org/officeDocument/2006/relationships/chart" Target="charts/chart2.xml"/><Relationship Id="rId87" Type="http://schemas.openxmlformats.org/officeDocument/2006/relationships/chart" Target="charts/chart1.xml"/><Relationship Id="rId86" Type="http://schemas.openxmlformats.org/officeDocument/2006/relationships/theme" Target="theme/theme1.xml"/><Relationship Id="rId85" Type="http://schemas.openxmlformats.org/officeDocument/2006/relationships/footer" Target="footer82.xml"/><Relationship Id="rId84" Type="http://schemas.openxmlformats.org/officeDocument/2006/relationships/footer" Target="footer81.xml"/><Relationship Id="rId83" Type="http://schemas.openxmlformats.org/officeDocument/2006/relationships/footer" Target="footer80.xml"/><Relationship Id="rId82" Type="http://schemas.openxmlformats.org/officeDocument/2006/relationships/footer" Target="footer79.xml"/><Relationship Id="rId81" Type="http://schemas.openxmlformats.org/officeDocument/2006/relationships/footer" Target="footer78.xml"/><Relationship Id="rId80" Type="http://schemas.openxmlformats.org/officeDocument/2006/relationships/footer" Target="footer77.xml"/><Relationship Id="rId8" Type="http://schemas.openxmlformats.org/officeDocument/2006/relationships/footer" Target="footer5.xml"/><Relationship Id="rId79" Type="http://schemas.openxmlformats.org/officeDocument/2006/relationships/footer" Target="footer76.xml"/><Relationship Id="rId78" Type="http://schemas.openxmlformats.org/officeDocument/2006/relationships/footer" Target="footer75.xml"/><Relationship Id="rId77" Type="http://schemas.openxmlformats.org/officeDocument/2006/relationships/footer" Target="footer74.xml"/><Relationship Id="rId76" Type="http://schemas.openxmlformats.org/officeDocument/2006/relationships/footer" Target="footer73.xml"/><Relationship Id="rId75" Type="http://schemas.openxmlformats.org/officeDocument/2006/relationships/footer" Target="footer72.xml"/><Relationship Id="rId74" Type="http://schemas.openxmlformats.org/officeDocument/2006/relationships/footer" Target="footer71.xml"/><Relationship Id="rId73" Type="http://schemas.openxmlformats.org/officeDocument/2006/relationships/footer" Target="footer70.xml"/><Relationship Id="rId72" Type="http://schemas.openxmlformats.org/officeDocument/2006/relationships/footer" Target="footer69.xml"/><Relationship Id="rId71" Type="http://schemas.openxmlformats.org/officeDocument/2006/relationships/footer" Target="footer68.xml"/><Relationship Id="rId70" Type="http://schemas.openxmlformats.org/officeDocument/2006/relationships/footer" Target="footer67.xml"/><Relationship Id="rId7" Type="http://schemas.openxmlformats.org/officeDocument/2006/relationships/footer" Target="footer4.xml"/><Relationship Id="rId69" Type="http://schemas.openxmlformats.org/officeDocument/2006/relationships/footer" Target="footer66.xml"/><Relationship Id="rId68" Type="http://schemas.openxmlformats.org/officeDocument/2006/relationships/footer" Target="footer65.xml"/><Relationship Id="rId67" Type="http://schemas.openxmlformats.org/officeDocument/2006/relationships/footer" Target="footer64.xml"/><Relationship Id="rId66" Type="http://schemas.openxmlformats.org/officeDocument/2006/relationships/footer" Target="footer63.xml"/><Relationship Id="rId65" Type="http://schemas.openxmlformats.org/officeDocument/2006/relationships/footer" Target="footer62.xml"/><Relationship Id="rId64" Type="http://schemas.openxmlformats.org/officeDocument/2006/relationships/footer" Target="footer61.xml"/><Relationship Id="rId63" Type="http://schemas.openxmlformats.org/officeDocument/2006/relationships/footer" Target="footer60.xml"/><Relationship Id="rId62" Type="http://schemas.openxmlformats.org/officeDocument/2006/relationships/footer" Target="footer59.xml"/><Relationship Id="rId61" Type="http://schemas.openxmlformats.org/officeDocument/2006/relationships/footer" Target="footer58.xml"/><Relationship Id="rId60" Type="http://schemas.openxmlformats.org/officeDocument/2006/relationships/footer" Target="footer57.xml"/><Relationship Id="rId6" Type="http://schemas.openxmlformats.org/officeDocument/2006/relationships/footer" Target="footer3.xml"/><Relationship Id="rId59" Type="http://schemas.openxmlformats.org/officeDocument/2006/relationships/footer" Target="footer56.xml"/><Relationship Id="rId58" Type="http://schemas.openxmlformats.org/officeDocument/2006/relationships/footer" Target="footer55.xml"/><Relationship Id="rId57" Type="http://schemas.openxmlformats.org/officeDocument/2006/relationships/footer" Target="footer54.xml"/><Relationship Id="rId56" Type="http://schemas.openxmlformats.org/officeDocument/2006/relationships/footer" Target="footer53.xml"/><Relationship Id="rId55" Type="http://schemas.openxmlformats.org/officeDocument/2006/relationships/footer" Target="footer52.xml"/><Relationship Id="rId54" Type="http://schemas.openxmlformats.org/officeDocument/2006/relationships/footer" Target="footer51.xml"/><Relationship Id="rId53" Type="http://schemas.openxmlformats.org/officeDocument/2006/relationships/footer" Target="footer50.xml"/><Relationship Id="rId52" Type="http://schemas.openxmlformats.org/officeDocument/2006/relationships/footer" Target="footer49.xml"/><Relationship Id="rId51" Type="http://schemas.openxmlformats.org/officeDocument/2006/relationships/footer" Target="footer48.xml"/><Relationship Id="rId50" Type="http://schemas.openxmlformats.org/officeDocument/2006/relationships/footer" Target="footer47.xml"/><Relationship Id="rId5" Type="http://schemas.openxmlformats.org/officeDocument/2006/relationships/footer" Target="footer2.xml"/><Relationship Id="rId49" Type="http://schemas.openxmlformats.org/officeDocument/2006/relationships/footer" Target="footer46.xml"/><Relationship Id="rId48" Type="http://schemas.openxmlformats.org/officeDocument/2006/relationships/footer" Target="footer45.xml"/><Relationship Id="rId47" Type="http://schemas.openxmlformats.org/officeDocument/2006/relationships/footer" Target="footer44.xml"/><Relationship Id="rId46" Type="http://schemas.openxmlformats.org/officeDocument/2006/relationships/footer" Target="footer43.xml"/><Relationship Id="rId45" Type="http://schemas.openxmlformats.org/officeDocument/2006/relationships/footer" Target="footer42.xml"/><Relationship Id="rId44" Type="http://schemas.openxmlformats.org/officeDocument/2006/relationships/footer" Target="footer41.xml"/><Relationship Id="rId43" Type="http://schemas.openxmlformats.org/officeDocument/2006/relationships/footer" Target="footer40.xml"/><Relationship Id="rId42" Type="http://schemas.openxmlformats.org/officeDocument/2006/relationships/footer" Target="footer39.xml"/><Relationship Id="rId41" Type="http://schemas.openxmlformats.org/officeDocument/2006/relationships/footer" Target="footer38.xml"/><Relationship Id="rId40" Type="http://schemas.openxmlformats.org/officeDocument/2006/relationships/footer" Target="footer37.xml"/><Relationship Id="rId4" Type="http://schemas.openxmlformats.org/officeDocument/2006/relationships/footer" Target="footer1.xml"/><Relationship Id="rId39" Type="http://schemas.openxmlformats.org/officeDocument/2006/relationships/footer" Target="footer36.xml"/><Relationship Id="rId38" Type="http://schemas.openxmlformats.org/officeDocument/2006/relationships/footer" Target="footer35.xml"/><Relationship Id="rId37" Type="http://schemas.openxmlformats.org/officeDocument/2006/relationships/footer" Target="footer34.xml"/><Relationship Id="rId36" Type="http://schemas.openxmlformats.org/officeDocument/2006/relationships/footer" Target="footer33.xml"/><Relationship Id="rId35" Type="http://schemas.openxmlformats.org/officeDocument/2006/relationships/footer" Target="footer32.xml"/><Relationship Id="rId34" Type="http://schemas.openxmlformats.org/officeDocument/2006/relationships/footer" Target="footer31.xml"/><Relationship Id="rId33" Type="http://schemas.openxmlformats.org/officeDocument/2006/relationships/footer" Target="footer30.xml"/><Relationship Id="rId32" Type="http://schemas.openxmlformats.org/officeDocument/2006/relationships/footer" Target="footer29.xml"/><Relationship Id="rId31" Type="http://schemas.openxmlformats.org/officeDocument/2006/relationships/footer" Target="footer28.xml"/><Relationship Id="rId30" Type="http://schemas.openxmlformats.org/officeDocument/2006/relationships/footer" Target="footer27.xml"/><Relationship Id="rId3" Type="http://schemas.openxmlformats.org/officeDocument/2006/relationships/header" Target="header1.xml"/><Relationship Id="rId29" Type="http://schemas.openxmlformats.org/officeDocument/2006/relationships/footer" Target="footer26.xml"/><Relationship Id="rId28" Type="http://schemas.openxmlformats.org/officeDocument/2006/relationships/footer" Target="footer25.xml"/><Relationship Id="rId27" Type="http://schemas.openxmlformats.org/officeDocument/2006/relationships/footer" Target="footer24.xml"/><Relationship Id="rId26" Type="http://schemas.openxmlformats.org/officeDocument/2006/relationships/footer" Target="footer23.xml"/><Relationship Id="rId25" Type="http://schemas.openxmlformats.org/officeDocument/2006/relationships/footer" Target="footer22.xml"/><Relationship Id="rId24" Type="http://schemas.openxmlformats.org/officeDocument/2006/relationships/footer" Target="footer21.xml"/><Relationship Id="rId23" Type="http://schemas.openxmlformats.org/officeDocument/2006/relationships/footer" Target="footer20.xml"/><Relationship Id="rId22" Type="http://schemas.openxmlformats.org/officeDocument/2006/relationships/footer" Target="footer19.xml"/><Relationship Id="rId21" Type="http://schemas.openxmlformats.org/officeDocument/2006/relationships/footer" Target="footer18.xml"/><Relationship Id="rId20" Type="http://schemas.openxmlformats.org/officeDocument/2006/relationships/footer" Target="footer17.xml"/><Relationship Id="rId2" Type="http://schemas.openxmlformats.org/officeDocument/2006/relationships/settings" Target="settings.xml"/><Relationship Id="rId19" Type="http://schemas.openxmlformats.org/officeDocument/2006/relationships/footer" Target="footer16.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6.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收支总计</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2021年</c:v>
                </c:pt>
                <c:pt idx="1">
                  <c:v>2022年</c:v>
                </c:pt>
              </c:strCache>
            </c:strRef>
          </c:cat>
          <c:val>
            <c:numRef>
              <c:f>Sheet1!$B$2:$B$3</c:f>
              <c:numCache>
                <c:formatCode>General</c:formatCode>
                <c:ptCount val="2"/>
                <c:pt idx="0">
                  <c:v>1359.48</c:v>
                </c:pt>
                <c:pt idx="1">
                  <c:v>1537.38</c:v>
                </c:pt>
              </c:numCache>
            </c:numRef>
          </c:val>
        </c:ser>
        <c:dLbls>
          <c:showLegendKey val="0"/>
          <c:showVal val="1"/>
          <c:showCatName val="0"/>
          <c:showSerName val="0"/>
          <c:showPercent val="0"/>
          <c:showBubbleSize val="0"/>
        </c:dLbls>
        <c:gapWidth val="75"/>
        <c:overlap val="40"/>
        <c:axId val="186686080"/>
        <c:axId val="186749312"/>
      </c:barChart>
      <c:catAx>
        <c:axId val="186686080"/>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6749312"/>
        <c:crosses val="autoZero"/>
        <c:auto val="1"/>
        <c:lblAlgn val="ctr"/>
        <c:lblOffset val="100"/>
        <c:noMultiLvlLbl val="0"/>
      </c:catAx>
      <c:valAx>
        <c:axId val="186749312"/>
        <c:scaling>
          <c:orientation val="minMax"/>
        </c:scaling>
        <c:delete val="0"/>
        <c:axPos val="l"/>
        <c:majorGridlines/>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6686080"/>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pieChart>
        <c:varyColors val="1"/>
        <c:ser>
          <c:idx val="0"/>
          <c:order val="0"/>
          <c:tx>
            <c:strRef>
              <c:f>Sheet1!$B$1:$C$1</c:f>
              <c:strCache>
                <c:ptCount val="1"/>
                <c:pt idx="0">
                  <c:v>一般公共预算财政拨款收入 其他收入</c:v>
                </c:pt>
              </c:strCache>
            </c:strRef>
          </c:tx>
          <c:explosion val="25"/>
          <c:dPt>
            <c:idx val="0"/>
            <c:bubble3D val="0"/>
          </c:dPt>
          <c:dPt>
            <c:idx val="1"/>
            <c:bubble3D val="0"/>
          </c:dPt>
          <c:dLbls>
            <c:dLbl>
              <c:idx val="0"/>
              <c:layout>
                <c:manualLayout>
                  <c:x val="-0.0352522923050838"/>
                  <c:y val="-0.140735283995669"/>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mn-lt"/>
                        <a:ea typeface="+mn-ea"/>
                        <a:cs typeface="+mn-cs"/>
                      </a:defRPr>
                    </a:pPr>
                    <a:r>
                      <a:t>202</a:t>
                    </a:r>
                    <a:r>
                      <a:rPr lang="en-US" altLang="zh-CN"/>
                      <a:t>2</a:t>
                    </a:r>
                    <a:r>
                      <a:t>年一般公共预算收入, 1477.37, 99</a:t>
                    </a:r>
                    <a:r>
                      <a:rPr lang="en-US" altLang="zh-CN"/>
                      <a:t>.33</a:t>
                    </a:r>
                    <a:r>
                      <a:t>%</a:t>
                    </a:r>
                  </a:p>
                </c:rich>
              </c:tx>
              <c:dLblPos val="bestFit"/>
              <c:showLegendKey val="0"/>
              <c:showVal val="1"/>
              <c:showCatName val="1"/>
              <c:showSerName val="0"/>
              <c:showPercent val="1"/>
              <c:showBubbleSize val="0"/>
              <c:extLst>
                <c:ext xmlns:c15="http://schemas.microsoft.com/office/drawing/2012/chart" uri="{CE6537A1-D6FC-4f65-9D91-7224C49458BB}">
                  <c15:layout>
                    <c:manualLayout>
                      <c:w val="0.330894430341944"/>
                      <c:h val="0.246722600943891"/>
                    </c:manualLayout>
                  </c15:layout>
                </c:ext>
              </c:extLst>
            </c:dLbl>
            <c:dLbl>
              <c:idx val="1"/>
              <c:layout>
                <c:manualLayout>
                  <c:x val="0.0611381450138226"/>
                  <c:y val="0.17085874669857"/>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mn-lt"/>
                        <a:ea typeface="+mn-ea"/>
                        <a:cs typeface="+mn-cs"/>
                      </a:defRPr>
                    </a:pPr>
                    <a:r>
                      <a:rPr lang="en-US" altLang="zh-CN"/>
                      <a:t>2022</a:t>
                    </a:r>
                    <a:r>
                      <a:rPr altLang="en-US"/>
                      <a:t>年</a:t>
                    </a:r>
                    <a:r>
                      <a:t>其他收入</a:t>
                    </a:r>
                    <a:r>
                      <a:rPr lang="en-US" altLang="zh-CN"/>
                      <a:t>,</a:t>
                    </a:r>
                    <a:r>
                      <a:t>10.02, </a:t>
                    </a:r>
                    <a:r>
                      <a:rPr lang="en-US" altLang="zh-CN"/>
                      <a:t>0.67</a:t>
                    </a:r>
                    <a:r>
                      <a:t>%</a:t>
                    </a:r>
                  </a:p>
                </c:rich>
              </c:tx>
              <c:dLblPos val="bestFit"/>
              <c:showLegendKey val="0"/>
              <c:showVal val="1"/>
              <c:showCatName val="1"/>
              <c:showSerName val="0"/>
              <c:showPercent val="1"/>
              <c:showBubbleSize val="0"/>
              <c:extLst>
                <c:ext xmlns:c15="http://schemas.microsoft.com/office/drawing/2012/chart" uri="{CE6537A1-D6FC-4f65-9D91-7224C49458BB}">
                  <c15:layout>
                    <c:manualLayout>
                      <c:w val="0.288786023592653"/>
                      <c:h val="0.178814892501311"/>
                    </c:manualLayout>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Sheet1!$A$2</c:f>
              <c:strCache>
                <c:ptCount val="1"/>
                <c:pt idx="0">
                  <c:v>2021年收入</c:v>
                </c:pt>
              </c:strCache>
            </c:strRef>
          </c:cat>
          <c:val>
            <c:numRef>
              <c:f>Sheet1!$B$2:$C$2</c:f>
              <c:numCache>
                <c:formatCode>General</c:formatCode>
                <c:ptCount val="2"/>
                <c:pt idx="0">
                  <c:v>1477.37</c:v>
                </c:pt>
                <c:pt idx="1">
                  <c:v>10.02</c:v>
                </c:pt>
              </c:numCache>
            </c:numRef>
          </c:val>
        </c:ser>
        <c:ser>
          <c:idx val="1"/>
          <c:order val="1"/>
          <c:tx>
            <c:strRef>
              <c:f>Sheet1!$C$1</c:f>
              <c:strCache>
                <c:ptCount val="1"/>
                <c:pt idx="0">
                  <c:v>其他收入</c:v>
                </c:pt>
              </c:strCache>
            </c:strRef>
          </c:tx>
          <c:explosion val="25"/>
          <c:dPt>
            <c:idx val="0"/>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Sheet1!$A$2</c:f>
              <c:strCache>
                <c:ptCount val="1"/>
                <c:pt idx="0">
                  <c:v>2021年收入</c:v>
                </c:pt>
              </c:strCache>
            </c:strRef>
          </c:cat>
          <c:val>
            <c:numRef>
              <c:f>Sheet1!$C$2</c:f>
              <c:numCache>
                <c:formatCode>General</c:formatCode>
                <c:ptCount val="1"/>
                <c:pt idx="0">
                  <c:v>10.02</c:v>
                </c:pt>
              </c:numCache>
            </c:numRef>
          </c:val>
        </c:ser>
        <c:dLbls>
          <c:showLegendKey val="0"/>
          <c:showVal val="0"/>
          <c:showCatName val="1"/>
          <c:showSerName val="0"/>
          <c:showPercent val="1"/>
          <c:showBubbleSize val="0"/>
          <c:showLeaderLines val="1"/>
        </c:dLbls>
        <c:firstSliceAng val="15"/>
      </c:pieChart>
      <c:spPr>
        <a:noFill/>
        <a:ln>
          <a:noFill/>
        </a:ln>
        <a:effectLst/>
      </c:spPr>
    </c:plotArea>
    <c:plotVisOnly val="1"/>
    <c:dispBlanksAs val="gap"/>
    <c:showDLblsOverMax val="0"/>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manualLayout>
          <c:layoutTarget val="inner"/>
          <c:xMode val="edge"/>
          <c:yMode val="edge"/>
          <c:x val="0.102418763098625"/>
          <c:y val="0.294499519302772"/>
          <c:w val="0.639090220907334"/>
          <c:h val="0.597112112764965"/>
        </c:manualLayout>
      </c:layout>
      <c:pieChart>
        <c:varyColors val="1"/>
        <c:ser>
          <c:idx val="0"/>
          <c:order val="0"/>
          <c:tx>
            <c:strRef>
              <c:f>Sheet1!$B$1</c:f>
              <c:strCache>
                <c:ptCount val="1"/>
                <c:pt idx="0">
                  <c:v>2022年本年支出</c:v>
                </c:pt>
              </c:strCache>
            </c:strRef>
          </c:tx>
          <c:explosion val="25"/>
          <c:dPt>
            <c:idx val="0"/>
            <c:bubble3D val="0"/>
          </c:dPt>
          <c:dPt>
            <c:idx val="1"/>
            <c:bubble3D val="0"/>
          </c:dPt>
          <c:dLbls>
            <c:dLbl>
              <c:idx val="0"/>
              <c:layout>
                <c:manualLayout>
                  <c:x val="0.0475013683921855"/>
                  <c:y val="-0.0402746979337268"/>
                </c:manualLayout>
              </c:layout>
              <c:dLblPos val="bestFit"/>
              <c:showLegendKey val="0"/>
              <c:showVal val="1"/>
              <c:showCatName val="1"/>
              <c:showSerName val="1"/>
              <c:showPercent val="1"/>
              <c:showBubbleSize val="0"/>
              <c:extLst>
                <c:ext xmlns:c15="http://schemas.microsoft.com/office/drawing/2012/chart" uri="{CE6537A1-D6FC-4f65-9D91-7224C49458BB}">
                  <c15:layout/>
                </c:ext>
              </c:extLst>
            </c:dLbl>
            <c:dLbl>
              <c:idx val="1"/>
              <c:layout>
                <c:manualLayout>
                  <c:x val="-0.0846883666527365"/>
                  <c:y val="0.106070807865959"/>
                </c:manualLayout>
              </c:layout>
              <c:dLblPos val="bestFit"/>
              <c:showLegendKey val="0"/>
              <c:showVal val="1"/>
              <c:showCatName val="1"/>
              <c:showSerName val="1"/>
              <c:showPercent val="1"/>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1"/>
            <c:showSerName val="1"/>
            <c:showPercent val="1"/>
            <c:showBubbleSize val="0"/>
            <c:showLeaderLines val="1"/>
            <c:extLst>
              <c:ext xmlns:c15="http://schemas.microsoft.com/office/drawing/2012/chart" uri="{CE6537A1-D6FC-4f65-9D91-7224C49458BB}">
                <c15:layout/>
                <c15:showLeaderLines val="1"/>
                <c15:leaderLines/>
              </c:ext>
            </c:extLst>
          </c:dLbls>
          <c:cat>
            <c:strRef>
              <c:f>Sheet1!$A$2:$A$3</c:f>
              <c:strCache>
                <c:ptCount val="2"/>
                <c:pt idx="0">
                  <c:v>基本支出</c:v>
                </c:pt>
                <c:pt idx="1">
                  <c:v>项目支出</c:v>
                </c:pt>
              </c:strCache>
            </c:strRef>
          </c:cat>
          <c:val>
            <c:numRef>
              <c:f>Sheet1!$B$2:$B$3</c:f>
              <c:numCache>
                <c:formatCode>General</c:formatCode>
                <c:ptCount val="2"/>
                <c:pt idx="0">
                  <c:v>1240.35</c:v>
                </c:pt>
                <c:pt idx="1">
                  <c:v>297.02</c:v>
                </c:pt>
              </c:numCache>
            </c:numRef>
          </c:val>
        </c:ser>
        <c:dLbls>
          <c:showLegendKey val="0"/>
          <c:showVal val="0"/>
          <c:showCatName val="0"/>
          <c:showSerName val="0"/>
          <c:showPercent val="1"/>
          <c:showBubbleSize val="0"/>
          <c:showLeaderLines val="1"/>
        </c:dLbls>
        <c:firstSliceAng val="15"/>
      </c:pieChart>
      <c:spPr>
        <a:no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一般公共预算财政拨款支出</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2021年</c:v>
                </c:pt>
                <c:pt idx="1">
                  <c:v>2022年</c:v>
                </c:pt>
              </c:strCache>
            </c:strRef>
          </c:cat>
          <c:val>
            <c:numRef>
              <c:f>Sheet1!$B$2:$B$3</c:f>
              <c:numCache>
                <c:formatCode>General</c:formatCode>
                <c:ptCount val="2"/>
                <c:pt idx="0">
                  <c:v>1292.41</c:v>
                </c:pt>
                <c:pt idx="1">
                  <c:v>1527.35</c:v>
                </c:pt>
              </c:numCache>
            </c:numRef>
          </c:val>
        </c:ser>
        <c:dLbls>
          <c:showLegendKey val="0"/>
          <c:showVal val="1"/>
          <c:showCatName val="0"/>
          <c:showSerName val="0"/>
          <c:showPercent val="0"/>
          <c:showBubbleSize val="0"/>
        </c:dLbls>
        <c:gapWidth val="150"/>
        <c:axId val="187302272"/>
        <c:axId val="187303808"/>
      </c:barChart>
      <c:catAx>
        <c:axId val="187302272"/>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7303808"/>
        <c:crosses val="autoZero"/>
        <c:auto val="1"/>
        <c:lblAlgn val="ctr"/>
        <c:lblOffset val="100"/>
        <c:noMultiLvlLbl val="0"/>
      </c:catAx>
      <c:valAx>
        <c:axId val="18730380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7302272"/>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en-US" altLang="zh-CN" sz="1400"/>
              <a:t>2021</a:t>
            </a:r>
            <a:r>
              <a:rPr lang="zh-CN" altLang="en-US" sz="1400"/>
              <a:t>年一般公共预算财政拨款支出决算结构</a:t>
            </a:r>
            <a:endParaRPr lang="zh-CN" altLang="en-US" sz="1400"/>
          </a:p>
        </c:rich>
      </c:tx>
      <c:layout>
        <c:manualLayout>
          <c:xMode val="edge"/>
          <c:yMode val="edge"/>
          <c:x val="0.211876814218353"/>
          <c:y val="0.024369894315252"/>
        </c:manualLayout>
      </c:layout>
      <c:overlay val="0"/>
    </c:title>
    <c:autoTitleDeleted val="0"/>
    <c:plotArea>
      <c:layout>
        <c:manualLayout>
          <c:layoutTarget val="inner"/>
          <c:xMode val="edge"/>
          <c:yMode val="edge"/>
          <c:x val="0.0843238262445705"/>
          <c:y val="0.269643861818478"/>
          <c:w val="0.578560418329602"/>
          <c:h val="0.724881930740378"/>
        </c:manualLayout>
      </c:layout>
      <c:pieChart>
        <c:varyColors val="1"/>
        <c:ser>
          <c:idx val="0"/>
          <c:order val="0"/>
          <c:tx>
            <c:strRef>
              <c:f>Sheet1!$B$1</c:f>
              <c:strCache>
                <c:ptCount val="1"/>
                <c:pt idx="0">
                  <c:v>2022年一般公共预算财政拨款支出决算结构</c:v>
                </c:pt>
              </c:strCache>
            </c:strRef>
          </c:tx>
          <c:explosion val="18"/>
          <c:dPt>
            <c:idx val="0"/>
            <c:bubble3D val="0"/>
          </c:dPt>
          <c:dPt>
            <c:idx val="1"/>
            <c:bubble3D val="0"/>
          </c:dPt>
          <c:dPt>
            <c:idx val="2"/>
            <c:bubble3D val="0"/>
            <c:explosion val="45"/>
          </c:dPt>
          <c:dLbls>
            <c:dLbl>
              <c:idx val="0"/>
              <c:layout>
                <c:manualLayout>
                  <c:x val="-0.329544812496801"/>
                  <c:y val="0.0146852599365845"/>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Sheet1!$A$2:$A$4</c:f>
              <c:strCache>
                <c:ptCount val="3"/>
                <c:pt idx="0">
                  <c:v>社会保障和就业（类）支出</c:v>
                </c:pt>
                <c:pt idx="1">
                  <c:v>卫生健康（类）支出</c:v>
                </c:pt>
                <c:pt idx="2">
                  <c:v>住房保障（类）支出</c:v>
                </c:pt>
              </c:strCache>
            </c:strRef>
          </c:cat>
          <c:val>
            <c:numRef>
              <c:f>Sheet1!$B$2:$B$4</c:f>
              <c:numCache>
                <c:formatCode>General</c:formatCode>
                <c:ptCount val="3"/>
                <c:pt idx="0">
                  <c:v>69.72</c:v>
                </c:pt>
                <c:pt idx="1">
                  <c:v>35.25</c:v>
                </c:pt>
                <c:pt idx="2">
                  <c:v>1422.38</c:v>
                </c:pt>
              </c:numCache>
            </c:numRef>
          </c:val>
        </c:ser>
        <c:dLbls>
          <c:showLegendKey val="0"/>
          <c:showVal val="1"/>
          <c:showCatName val="0"/>
          <c:showSerName val="0"/>
          <c:showPercent val="0"/>
          <c:showBubbleSize val="0"/>
          <c:showLeaderLines val="1"/>
        </c:dLbls>
        <c:firstSliceAng val="15"/>
      </c:pieChart>
      <c:spPr>
        <a:noFill/>
        <a:ln>
          <a:noFill/>
        </a:ln>
        <a:effectLst/>
      </c:spPr>
    </c:plotArea>
    <c:legend>
      <c:legendPos val="r"/>
      <c:layout/>
      <c:overlay val="0"/>
      <c:txPr>
        <a:bodyPr rot="0" spcFirstLastPara="0" vertOverflow="ellipsis" vert="horz" wrap="square" anchor="ctr" anchorCtr="1"/>
        <a:lstStyle/>
        <a:p>
          <a:pPr>
            <a:defRPr lang="zh-CN" sz="9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zh-CN" sz="1200" b="1" i="0" u="none" strike="noStrike" kern="1200" baseline="0">
              <a:solidFill>
                <a:schemeClr val="tx1"/>
              </a:solidFill>
              <a:latin typeface="+mn-lt"/>
              <a:ea typeface="+mn-ea"/>
              <a:cs typeface="+mn-cs"/>
            </a:defRPr>
          </a:pPr>
        </a:p>
      </c:txPr>
    </c:title>
    <c:autoTitleDeleted val="0"/>
    <c:plotArea>
      <c:layout>
        <c:manualLayout>
          <c:layoutTarget val="inner"/>
          <c:xMode val="edge"/>
          <c:yMode val="edge"/>
          <c:x val="0.0594578573530733"/>
          <c:y val="0.271957665923928"/>
          <c:w val="0.539683656196319"/>
          <c:h val="0.640135102167654"/>
        </c:manualLayout>
      </c:layout>
      <c:pieChart>
        <c:varyColors val="1"/>
        <c:ser>
          <c:idx val="0"/>
          <c:order val="0"/>
          <c:tx>
            <c:strRef>
              <c:f>Sheet1!$B$1</c:f>
              <c:strCache>
                <c:ptCount val="1"/>
                <c:pt idx="0">
                  <c:v>2022年三公经费财政拨款支出</c:v>
                </c:pt>
              </c:strCache>
            </c:strRef>
          </c:tx>
          <c:explosion val="28"/>
          <c:dPt>
            <c:idx val="0"/>
            <c:bubble3D val="0"/>
          </c:dPt>
          <c:dPt>
            <c:idx val="1"/>
            <c:bubble3D val="0"/>
          </c:dPt>
          <c:dPt>
            <c:idx val="2"/>
            <c:bubble3D val="0"/>
          </c:dPt>
          <c:dLbls>
            <c:dLbl>
              <c:idx val="0"/>
              <c:layout>
                <c:manualLayout>
                  <c:x val="0.276078013103764"/>
                  <c:y val="0.0853197965077564"/>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0805388865349333"/>
                  <c:y val="-0.0128255829060651"/>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Sheet1!$A$2:$A$4</c:f>
              <c:strCache>
                <c:ptCount val="3"/>
                <c:pt idx="0">
                  <c:v>因公出国（境）费支出</c:v>
                </c:pt>
                <c:pt idx="1">
                  <c:v>公务用车购置及运行维护费</c:v>
                </c:pt>
                <c:pt idx="2">
                  <c:v>公务接待费支出</c:v>
                </c:pt>
              </c:strCache>
            </c:strRef>
          </c:cat>
          <c:val>
            <c:numRef>
              <c:f>Sheet1!$B$2:$B$4</c:f>
              <c:numCache>
                <c:formatCode>General</c:formatCode>
                <c:ptCount val="3"/>
                <c:pt idx="0">
                  <c:v>0</c:v>
                </c:pt>
                <c:pt idx="1">
                  <c:v>15.19</c:v>
                </c:pt>
                <c:pt idx="2">
                  <c:v>0.39</c:v>
                </c:pt>
              </c:numCache>
            </c:numRef>
          </c:val>
        </c:ser>
        <c:dLbls>
          <c:showLegendKey val="0"/>
          <c:showVal val="1"/>
          <c:showCatName val="0"/>
          <c:showSerName val="0"/>
          <c:showPercent val="0"/>
          <c:showBubbleSize val="0"/>
          <c:showLeaderLines val="1"/>
        </c:dLbls>
        <c:firstSliceAng val="15"/>
      </c:pieChart>
      <c:spPr>
        <a:noFill/>
        <a:ln>
          <a:noFill/>
        </a:ln>
        <a:effectLst/>
      </c:spPr>
    </c:plotArea>
    <c:legend>
      <c:legendPos val="r"/>
      <c:layout/>
      <c:overlay val="0"/>
      <c:txPr>
        <a:bodyPr rot="0" spcFirstLastPara="0" vertOverflow="ellipsis" vert="horz" wrap="square" anchor="ctr" anchorCtr="1"/>
        <a:lstStyle/>
        <a:p>
          <a:pPr>
            <a:defRPr lang="zh-CN" sz="9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四川省财政厅</Company>
  <Pages>1</Pages>
  <Words>1299</Words>
  <Characters>7410</Characters>
  <Lines>1</Lines>
  <Paragraphs>1</Paragraphs>
  <TotalTime>5</TotalTime>
  <ScaleCrop>false</ScaleCrop>
  <LinksUpToDate>false</LinksUpToDate>
  <CharactersWithSpaces>8692</CharactersWithSpaces>
  <Application>WPS Office_12.1.0.15404_F1E327BC-269C-435d-A152-05C5408002CA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2020-08-07T17:49:00Z</dcterms:created>
  <dc:creator>曹颖</dc:creator>
  <cp:lastModifiedBy>玖千余为春秋</cp:lastModifiedBy>
  <cp:lastPrinted>2023-08-02T18:35:00Z</cp:lastPrinted>
  <dcterms:modified xsi:type="dcterms:W3CDTF">2023-09-26T09:08:25Z</dcterms:modified>
  <dc:title>四川省***</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2052-12.1.0.15404</vt:lpwstr>
  </property>
  <property fmtid="{D5CDD505-2E9C-101B-9397-08002B2CF9AE}" pid="3" name="ICV">
    <vt:lpwstr>1BF328E4FCBC46E183310AF8D9815CC9</vt:lpwstr>
  </property>
</Properties>
</file>