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78441"/>
      <w:bookmarkStart w:id="1" w:name="_Toc15396475"/>
      <w:bookmarkStart w:id="2" w:name="_Toc15377425"/>
      <w:bookmarkStart w:id="3" w:name="_Toc15377193"/>
      <w:bookmarkStart w:id="4" w:name="_Toc15396597"/>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7336"/>
      <w:bookmarkStart w:id="7" w:name="_Toc13134"/>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15377426"/>
      <w:bookmarkStart w:id="9" w:name="_Toc5145"/>
      <w:bookmarkStart w:id="10" w:name="_Toc15396598"/>
      <w:bookmarkStart w:id="11" w:name="_Toc15377194"/>
      <w:bookmarkStart w:id="12" w:name="_Toc15378442"/>
      <w:bookmarkStart w:id="13" w:name="_Toc15396476"/>
      <w:bookmarkStart w:id="14" w:name="_Toc27269"/>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5" w:name="_Toc15306268"/>
      <w:r>
        <w:rPr>
          <w:rFonts w:hint="eastAsia" w:ascii="方正小标宋简体" w:hAnsi="方正小标宋简体" w:eastAsia="方正小标宋简体" w:cs="方正小标宋简体"/>
          <w:color w:val="auto"/>
          <w:sz w:val="72"/>
          <w:szCs w:val="72"/>
          <w:highlight w:val="none"/>
          <w:lang w:val="en-US" w:eastAsia="zh-CN"/>
        </w:rPr>
        <w:t>剑阁县人民检察院</w:t>
      </w:r>
      <w:r>
        <w:rPr>
          <w:rFonts w:hint="eastAsia" w:ascii="方正小标宋简体" w:hAnsi="方正小标宋简体" w:eastAsia="方正小标宋简体" w:cs="方正小标宋简体"/>
          <w:color w:val="auto"/>
          <w:sz w:val="72"/>
          <w:szCs w:val="72"/>
          <w:highlight w:val="none"/>
        </w:rPr>
        <w:t>部门决算</w:t>
      </w:r>
      <w:bookmarkEnd w:id="8"/>
      <w:bookmarkEnd w:id="9"/>
      <w:bookmarkEnd w:id="10"/>
      <w:bookmarkEnd w:id="11"/>
      <w:bookmarkEnd w:id="12"/>
      <w:bookmarkEnd w:id="13"/>
      <w:bookmarkEnd w:id="14"/>
      <w:bookmarkEnd w:id="15"/>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stheme="minorBidi"/>
          <w:color w:val="auto"/>
          <w:sz w:val="28"/>
          <w:szCs w:val="28"/>
          <w:highlight w:val="none"/>
        </w:rPr>
      </w:pPr>
      <w:r>
        <w:rPr>
          <w:rFonts w:hint="eastAsia" w:ascii="黑体" w:hAnsi="黑体" w:eastAsia="黑体"/>
          <w:color w:val="auto"/>
          <w:sz w:val="48"/>
          <w:szCs w:val="48"/>
          <w:highlight w:val="none"/>
        </w:rPr>
        <w:t>目录</w:t>
      </w:r>
    </w:p>
    <w:p>
      <w:pPr>
        <w:pStyle w:val="13"/>
        <w:rPr>
          <w:color w:val="auto"/>
          <w:sz w:val="32"/>
          <w:szCs w:val="32"/>
          <w:highlight w:val="none"/>
        </w:rPr>
      </w:pPr>
      <w:r>
        <w:rPr>
          <w:rFonts w:hint="eastAsia"/>
          <w:color w:val="auto"/>
          <w:sz w:val="32"/>
          <w:szCs w:val="32"/>
          <w:highlight w:val="none"/>
        </w:rPr>
        <w:t>公开时间：20</w:t>
      </w:r>
      <w:r>
        <w:rPr>
          <w:rFonts w:hint="eastAsia"/>
          <w:color w:val="auto"/>
          <w:sz w:val="32"/>
          <w:szCs w:val="32"/>
          <w:highlight w:val="none"/>
          <w:lang w:val="en-US" w:eastAsia="zh-CN"/>
        </w:rPr>
        <w:t>23</w:t>
      </w:r>
      <w:r>
        <w:rPr>
          <w:rFonts w:hint="eastAsia"/>
          <w:color w:val="auto"/>
          <w:sz w:val="32"/>
          <w:szCs w:val="32"/>
          <w:highlight w:val="none"/>
        </w:rPr>
        <w:t>年</w:t>
      </w:r>
      <w:r>
        <w:rPr>
          <w:rFonts w:hint="eastAsia"/>
          <w:color w:val="auto"/>
          <w:sz w:val="32"/>
          <w:szCs w:val="32"/>
          <w:highlight w:val="none"/>
          <w:lang w:val="en-US" w:eastAsia="zh-CN"/>
        </w:rPr>
        <w:t>10</w:t>
      </w:r>
      <w:r>
        <w:rPr>
          <w:rFonts w:hint="eastAsia"/>
          <w:color w:val="auto"/>
          <w:sz w:val="32"/>
          <w:szCs w:val="32"/>
          <w:highlight w:val="none"/>
        </w:rPr>
        <w:t>月</w:t>
      </w:r>
      <w:r>
        <w:rPr>
          <w:rFonts w:hint="eastAsia"/>
          <w:color w:val="auto"/>
          <w:sz w:val="32"/>
          <w:szCs w:val="32"/>
          <w:highlight w:val="none"/>
          <w:lang w:val="en-US" w:eastAsia="zh-CN"/>
        </w:rPr>
        <w:t>7</w:t>
      </w:r>
      <w:r>
        <w:rPr>
          <w:rFonts w:hint="eastAsia"/>
          <w:color w:val="auto"/>
          <w:sz w:val="32"/>
          <w:szCs w:val="32"/>
          <w:highlight w:val="none"/>
        </w:rPr>
        <w:t>日</w:t>
      </w:r>
    </w:p>
    <w:sdt>
      <w:sdtPr>
        <w:rPr>
          <w:rFonts w:ascii="宋体" w:hAnsi="宋体" w:eastAsia="宋体" w:cs="Times New Roman"/>
          <w:kern w:val="2"/>
          <w:sz w:val="21"/>
          <w:szCs w:val="24"/>
          <w:lang w:val="en-US" w:eastAsia="zh-CN" w:bidi="ar-SA"/>
        </w:rPr>
        <w:id w:val="147459072"/>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14"/>
            <w:tabs>
              <w:tab w:val="right" w:leader="dot" w:pos="8414"/>
              <w:tab w:val="clear" w:pos="8296"/>
            </w:tabs>
            <w:ind w:left="0" w:leftChars="0" w:firstLine="0" w:firstLineChars="0"/>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highlight w:val="none"/>
            </w:rPr>
            <w:instrText xml:space="preserve"> HYPERLINK \l _Toc26358 </w:instrText>
          </w:r>
          <w:r>
            <w:rPr>
              <w:highlight w:val="none"/>
            </w:rPr>
            <w:fldChar w:fldCharType="separate"/>
          </w:r>
          <w:r>
            <w:rPr>
              <w:rFonts w:hint="eastAsia" w:ascii="黑体" w:hAnsi="黑体" w:eastAsia="黑体"/>
              <w:highlight w:val="none"/>
            </w:rPr>
            <w:t xml:space="preserve">第一部分 </w:t>
          </w:r>
          <w:r>
            <w:rPr>
              <w:rFonts w:hint="eastAsia" w:ascii="黑体" w:hAnsi="黑体" w:eastAsia="黑体"/>
              <w:bCs w:val="0"/>
              <w:highlight w:val="none"/>
            </w:rPr>
            <w:t>部门概况</w:t>
          </w:r>
          <w:r>
            <w:tab/>
          </w:r>
          <w:r>
            <w:fldChar w:fldCharType="begin"/>
          </w:r>
          <w:r>
            <w:instrText xml:space="preserve"> PAGEREF _Toc26358 \h </w:instrText>
          </w:r>
          <w:r>
            <w:fldChar w:fldCharType="separate"/>
          </w:r>
          <w:r>
            <w:t>1</w:t>
          </w:r>
          <w:r>
            <w:fldChar w:fldCharType="end"/>
          </w:r>
          <w:r>
            <w:rPr>
              <w:color w:val="auto"/>
              <w:highlight w:val="none"/>
            </w:rPr>
            <w:fldChar w:fldCharType="end"/>
          </w:r>
        </w:p>
        <w:p>
          <w:pPr>
            <w:pStyle w:val="14"/>
            <w:tabs>
              <w:tab w:val="right" w:leader="dot" w:pos="8414"/>
              <w:tab w:val="clear" w:pos="8296"/>
            </w:tabs>
          </w:pPr>
          <w:r>
            <w:rPr>
              <w:color w:val="auto"/>
              <w:highlight w:val="none"/>
            </w:rPr>
            <w:fldChar w:fldCharType="begin"/>
          </w:r>
          <w:r>
            <w:rPr>
              <w:highlight w:val="none"/>
            </w:rPr>
            <w:instrText xml:space="preserve"> HYPERLINK \l _Toc15710 </w:instrText>
          </w:r>
          <w:r>
            <w:rPr>
              <w:highlight w:val="none"/>
            </w:rPr>
            <w:fldChar w:fldCharType="separate"/>
          </w:r>
          <w:r>
            <w:rPr>
              <w:rFonts w:hint="eastAsia" w:ascii="黑体" w:hAnsi="黑体" w:eastAsia="黑体"/>
              <w:highlight w:val="none"/>
            </w:rPr>
            <w:t>一、</w:t>
          </w:r>
          <w:r>
            <w:rPr>
              <w:rFonts w:hint="eastAsia" w:ascii="黑体" w:hAnsi="黑体" w:eastAsia="黑体"/>
              <w:highlight w:val="none"/>
              <w:lang w:eastAsia="zh-CN"/>
            </w:rPr>
            <w:t>部门职责</w:t>
          </w:r>
          <w:r>
            <w:tab/>
          </w:r>
          <w:r>
            <w:fldChar w:fldCharType="begin"/>
          </w:r>
          <w:r>
            <w:instrText xml:space="preserve"> PAGEREF _Toc15710 \h </w:instrText>
          </w:r>
          <w:r>
            <w:fldChar w:fldCharType="separate"/>
          </w:r>
          <w:r>
            <w:t>1</w:t>
          </w:r>
          <w:r>
            <w:fldChar w:fldCharType="end"/>
          </w:r>
          <w:r>
            <w:rPr>
              <w:color w:val="auto"/>
              <w:highlight w:val="none"/>
            </w:rPr>
            <w:fldChar w:fldCharType="end"/>
          </w:r>
        </w:p>
        <w:p>
          <w:pPr>
            <w:pStyle w:val="14"/>
            <w:tabs>
              <w:tab w:val="right" w:leader="dot" w:pos="8414"/>
              <w:tab w:val="clear" w:pos="8296"/>
            </w:tabs>
          </w:pPr>
          <w:r>
            <w:rPr>
              <w:color w:val="auto"/>
              <w:highlight w:val="none"/>
            </w:rPr>
            <w:fldChar w:fldCharType="begin"/>
          </w:r>
          <w:r>
            <w:rPr>
              <w:highlight w:val="none"/>
            </w:rPr>
            <w:instrText xml:space="preserve"> HYPERLINK \l _Toc21450 </w:instrText>
          </w:r>
          <w:r>
            <w:rPr>
              <w:highlight w:val="none"/>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rPr>
              <w:rFonts w:hint="eastAsia"/>
              <w:lang w:val="en-US" w:eastAsia="zh-CN"/>
            </w:rPr>
            <w:t>4</w:t>
          </w:r>
          <w:r>
            <w:rPr>
              <w:color w:val="auto"/>
              <w:highlight w:val="none"/>
            </w:rPr>
            <w:fldChar w:fldCharType="end"/>
          </w:r>
        </w:p>
        <w:p>
          <w:pPr>
            <w:pStyle w:val="13"/>
            <w:tabs>
              <w:tab w:val="right" w:leader="dot" w:pos="8414"/>
              <w:tab w:val="clear" w:pos="8296"/>
            </w:tabs>
          </w:pPr>
          <w:r>
            <w:rPr>
              <w:color w:val="auto"/>
              <w:highlight w:val="none"/>
            </w:rPr>
            <w:fldChar w:fldCharType="begin"/>
          </w:r>
          <w:r>
            <w:rPr>
              <w:highlight w:val="none"/>
            </w:rPr>
            <w:instrText xml:space="preserve"> HYPERLINK \l _Toc6788 </w:instrText>
          </w:r>
          <w:r>
            <w:rPr>
              <w:highlight w:val="none"/>
            </w:rP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2022年度</w:t>
          </w:r>
          <w:r>
            <w:rPr>
              <w:rFonts w:hint="eastAsia" w:ascii="黑体" w:hAnsi="黑体" w:eastAsia="黑体"/>
              <w:bCs/>
              <w:highlight w:val="none"/>
            </w:rPr>
            <w:t>部门决算情况说明</w:t>
          </w:r>
          <w:r>
            <w:tab/>
          </w:r>
          <w:r>
            <w:rPr>
              <w:rFonts w:hint="eastAsia"/>
              <w:lang w:val="en-US" w:eastAsia="zh-CN"/>
            </w:rPr>
            <w:t>4</w:t>
          </w:r>
          <w:r>
            <w:rPr>
              <w:color w:val="auto"/>
              <w:highlight w:val="none"/>
            </w:rPr>
            <w:fldChar w:fldCharType="end"/>
          </w:r>
        </w:p>
        <w:p>
          <w:pPr>
            <w:pStyle w:val="14"/>
            <w:tabs>
              <w:tab w:val="right" w:leader="dot" w:pos="8414"/>
              <w:tab w:val="clear" w:pos="8296"/>
            </w:tabs>
          </w:pPr>
          <w:r>
            <w:rPr>
              <w:color w:val="auto"/>
              <w:highlight w:val="none"/>
            </w:rPr>
            <w:fldChar w:fldCharType="begin"/>
          </w:r>
          <w:r>
            <w:rPr>
              <w:highlight w:val="none"/>
            </w:rPr>
            <w:instrText xml:space="preserve"> HYPERLINK \l _Toc29047 </w:instrText>
          </w:r>
          <w:r>
            <w:rPr>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rPr>
              <w:rFonts w:hint="eastAsia"/>
              <w:lang w:val="en-US" w:eastAsia="zh-CN"/>
            </w:rPr>
            <w:t>4</w:t>
          </w:r>
          <w:r>
            <w:rPr>
              <w:color w:val="auto"/>
              <w:highlight w:val="none"/>
            </w:rPr>
            <w:fldChar w:fldCharType="end"/>
          </w:r>
        </w:p>
        <w:p>
          <w:pPr>
            <w:pStyle w:val="14"/>
            <w:tabs>
              <w:tab w:val="right" w:leader="dot" w:pos="8414"/>
              <w:tab w:val="clear" w:pos="8296"/>
            </w:tabs>
          </w:pPr>
          <w:r>
            <w:rPr>
              <w:color w:val="auto"/>
              <w:highlight w:val="none"/>
            </w:rPr>
            <w:fldChar w:fldCharType="begin"/>
          </w:r>
          <w:r>
            <w:rPr>
              <w:highlight w:val="none"/>
            </w:rPr>
            <w:instrText xml:space="preserve"> HYPERLINK \l _Toc9258 </w:instrText>
          </w:r>
          <w:r>
            <w:rPr>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rPr>
              <w:rFonts w:hint="eastAsia"/>
              <w:lang w:val="en-US" w:eastAsia="zh-CN"/>
            </w:rPr>
            <w:t>5</w:t>
          </w:r>
          <w:r>
            <w:rPr>
              <w:color w:val="auto"/>
              <w:highlight w:val="none"/>
            </w:rPr>
            <w:fldChar w:fldCharType="end"/>
          </w:r>
        </w:p>
        <w:p>
          <w:pPr>
            <w:pStyle w:val="14"/>
            <w:tabs>
              <w:tab w:val="right" w:leader="dot" w:pos="8414"/>
              <w:tab w:val="clear" w:pos="8296"/>
            </w:tabs>
          </w:pPr>
          <w:r>
            <w:rPr>
              <w:color w:val="auto"/>
              <w:highlight w:val="none"/>
            </w:rPr>
            <w:fldChar w:fldCharType="begin"/>
          </w:r>
          <w:r>
            <w:rPr>
              <w:highlight w:val="none"/>
            </w:rPr>
            <w:instrText xml:space="preserve"> HYPERLINK \l _Toc5662 </w:instrText>
          </w:r>
          <w:r>
            <w:rPr>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rPr>
              <w:rFonts w:hint="eastAsia"/>
              <w:lang w:val="en-US" w:eastAsia="zh-CN"/>
            </w:rPr>
            <w:t>5</w:t>
          </w:r>
          <w:r>
            <w:rPr>
              <w:color w:val="auto"/>
              <w:highlight w:val="none"/>
            </w:rPr>
            <w:fldChar w:fldCharType="end"/>
          </w:r>
        </w:p>
        <w:p>
          <w:pPr>
            <w:pStyle w:val="14"/>
            <w:tabs>
              <w:tab w:val="right" w:leader="dot" w:pos="8414"/>
              <w:tab w:val="clear" w:pos="8296"/>
            </w:tabs>
          </w:pPr>
          <w:r>
            <w:rPr>
              <w:color w:val="auto"/>
              <w:highlight w:val="none"/>
            </w:rPr>
            <w:fldChar w:fldCharType="begin"/>
          </w:r>
          <w:r>
            <w:rPr>
              <w:highlight w:val="none"/>
            </w:rPr>
            <w:instrText xml:space="preserve"> HYPERLINK \l _Toc20551 </w:instrText>
          </w:r>
          <w:r>
            <w:rPr>
              <w:highlight w:val="none"/>
            </w:rPr>
            <w:fldChar w:fldCharType="separate"/>
          </w:r>
          <w:r>
            <w:rPr>
              <w:rFonts w:hint="eastAsia" w:ascii="黑体" w:hAnsi="黑体" w:eastAsia="黑体"/>
              <w:szCs w:val="32"/>
              <w:highlight w:val="none"/>
            </w:rPr>
            <w:t>四、财</w:t>
          </w:r>
          <w:r>
            <w:rPr>
              <w:rFonts w:hint="eastAsia" w:ascii="黑体" w:hAnsi="黑体" w:eastAsia="黑体"/>
              <w:bCs/>
              <w:highlight w:val="none"/>
            </w:rPr>
            <w:t>政拨款收入支出决算总体情况说明</w:t>
          </w:r>
          <w:r>
            <w:tab/>
          </w:r>
          <w:r>
            <w:rPr>
              <w:rFonts w:hint="eastAsia"/>
              <w:lang w:val="en-US" w:eastAsia="zh-CN"/>
            </w:rPr>
            <w:t>6</w:t>
          </w:r>
          <w:r>
            <w:rPr>
              <w:color w:val="auto"/>
              <w:highlight w:val="none"/>
            </w:rPr>
            <w:fldChar w:fldCharType="end"/>
          </w:r>
        </w:p>
        <w:p>
          <w:pPr>
            <w:pStyle w:val="14"/>
            <w:tabs>
              <w:tab w:val="right" w:leader="dot" w:pos="8414"/>
              <w:tab w:val="clear" w:pos="8296"/>
            </w:tabs>
          </w:pPr>
          <w:r>
            <w:rPr>
              <w:color w:val="auto"/>
              <w:highlight w:val="none"/>
            </w:rPr>
            <w:fldChar w:fldCharType="begin"/>
          </w:r>
          <w:r>
            <w:rPr>
              <w:highlight w:val="none"/>
            </w:rPr>
            <w:instrText xml:space="preserve"> HYPERLINK \l _Toc1494 </w:instrText>
          </w:r>
          <w:r>
            <w:rPr>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rPr>
              <w:rFonts w:hint="eastAsia"/>
              <w:lang w:val="en-US" w:eastAsia="zh-CN"/>
            </w:rPr>
            <w:t>6</w:t>
          </w:r>
          <w:r>
            <w:rPr>
              <w:color w:val="auto"/>
              <w:highlight w:val="none"/>
            </w:rPr>
            <w:fldChar w:fldCharType="end"/>
          </w:r>
        </w:p>
        <w:p>
          <w:pPr>
            <w:pStyle w:val="14"/>
            <w:tabs>
              <w:tab w:val="right" w:leader="dot" w:pos="8414"/>
              <w:tab w:val="clear" w:pos="8296"/>
            </w:tabs>
          </w:pPr>
          <w:r>
            <w:rPr>
              <w:color w:val="auto"/>
              <w:highlight w:val="none"/>
            </w:rPr>
            <w:fldChar w:fldCharType="begin"/>
          </w:r>
          <w:r>
            <w:rPr>
              <w:highlight w:val="none"/>
            </w:rPr>
            <w:instrText xml:space="preserve"> HYPERLINK \l _Toc17429 </w:instrText>
          </w:r>
          <w:r>
            <w:rPr>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rPr>
              <w:rFonts w:hint="eastAsia"/>
              <w:lang w:val="en-US" w:eastAsia="zh-CN"/>
            </w:rPr>
            <w:t>9</w:t>
          </w:r>
          <w:r>
            <w:rPr>
              <w:color w:val="auto"/>
              <w:highlight w:val="none"/>
            </w:rPr>
            <w:fldChar w:fldCharType="end"/>
          </w:r>
        </w:p>
        <w:p>
          <w:pPr>
            <w:pStyle w:val="14"/>
            <w:tabs>
              <w:tab w:val="right" w:leader="dot" w:pos="8414"/>
              <w:tab w:val="clear" w:pos="8296"/>
            </w:tabs>
          </w:pPr>
          <w:r>
            <w:rPr>
              <w:color w:val="auto"/>
              <w:highlight w:val="none"/>
            </w:rPr>
            <w:fldChar w:fldCharType="begin"/>
          </w:r>
          <w:r>
            <w:rPr>
              <w:highlight w:val="none"/>
            </w:rPr>
            <w:instrText xml:space="preserve"> HYPERLINK \l _Toc31849 </w:instrText>
          </w:r>
          <w:r>
            <w:rPr>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rPr>
              <w:rFonts w:hint="eastAsia"/>
              <w:lang w:val="en-US" w:eastAsia="zh-CN"/>
            </w:rPr>
            <w:t>9</w:t>
          </w:r>
          <w:r>
            <w:rPr>
              <w:color w:val="auto"/>
              <w:highlight w:val="none"/>
            </w:rPr>
            <w:fldChar w:fldCharType="end"/>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_Toc12498 </w:instrText>
          </w:r>
          <w:r>
            <w:rPr>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rPr>
              <w:rFonts w:hint="eastAsia"/>
              <w:lang w:val="en-US" w:eastAsia="zh-CN"/>
            </w:rPr>
            <w:t>1</w:t>
          </w:r>
          <w:r>
            <w:rPr>
              <w:color w:val="auto"/>
              <w:highlight w:val="none"/>
            </w:rPr>
            <w:fldChar w:fldCharType="end"/>
          </w:r>
          <w:r>
            <w:rPr>
              <w:rFonts w:hint="eastAsia"/>
              <w:color w:val="auto"/>
              <w:highlight w:val="none"/>
              <w:lang w:val="en-US" w:eastAsia="zh-CN"/>
            </w:rPr>
            <w:t>1</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_Toc24987 </w:instrText>
          </w:r>
          <w:r>
            <w:rPr>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rPr>
              <w:rFonts w:hint="eastAsia"/>
              <w:lang w:val="en-US" w:eastAsia="zh-CN"/>
            </w:rPr>
            <w:t>1</w:t>
          </w:r>
          <w:r>
            <w:rPr>
              <w:color w:val="auto"/>
              <w:highlight w:val="none"/>
            </w:rPr>
            <w:fldChar w:fldCharType="end"/>
          </w:r>
          <w:r>
            <w:rPr>
              <w:rFonts w:hint="eastAsia"/>
              <w:color w:val="auto"/>
              <w:highlight w:val="none"/>
              <w:lang w:val="en-US" w:eastAsia="zh-CN"/>
            </w:rPr>
            <w:t>1</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_Toc29346 </w:instrText>
          </w:r>
          <w:r>
            <w:rPr>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rPr>
              <w:rFonts w:hint="eastAsia"/>
              <w:lang w:val="en-US" w:eastAsia="zh-CN"/>
            </w:rPr>
            <w:t>1</w:t>
          </w:r>
          <w:r>
            <w:rPr>
              <w:color w:val="auto"/>
              <w:highlight w:val="none"/>
            </w:rPr>
            <w:fldChar w:fldCharType="end"/>
          </w:r>
          <w:r>
            <w:rPr>
              <w:rFonts w:hint="eastAsia"/>
              <w:color w:val="auto"/>
              <w:highlight w:val="none"/>
              <w:lang w:val="en-US" w:eastAsia="zh-CN"/>
            </w:rPr>
            <w:t>1</w:t>
          </w:r>
        </w:p>
        <w:p>
          <w:pPr>
            <w:pStyle w:val="13"/>
            <w:tabs>
              <w:tab w:val="right" w:leader="dot" w:pos="8414"/>
              <w:tab w:val="clear" w:pos="8296"/>
            </w:tabs>
            <w:rPr>
              <w:rFonts w:hint="eastAsia" w:eastAsia="仿宋"/>
              <w:lang w:val="en-US" w:eastAsia="zh-CN"/>
            </w:rPr>
          </w:pPr>
          <w:r>
            <w:rPr>
              <w:color w:val="auto"/>
              <w:highlight w:val="none"/>
            </w:rPr>
            <w:fldChar w:fldCharType="begin"/>
          </w:r>
          <w:r>
            <w:rPr>
              <w:highlight w:val="none"/>
            </w:rPr>
            <w:instrText xml:space="preserve"> HYPERLINK \l _Toc27928 </w:instrText>
          </w:r>
          <w:r>
            <w:rPr>
              <w:highlight w:val="none"/>
            </w:rP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rPr>
              <w:rFonts w:hint="eastAsia"/>
              <w:lang w:val="en-US" w:eastAsia="zh-CN"/>
            </w:rPr>
            <w:t>1</w:t>
          </w:r>
          <w:r>
            <w:rPr>
              <w:color w:val="auto"/>
              <w:highlight w:val="none"/>
            </w:rPr>
            <w:fldChar w:fldCharType="end"/>
          </w:r>
          <w:r>
            <w:rPr>
              <w:rFonts w:hint="eastAsia"/>
              <w:color w:val="auto"/>
              <w:highlight w:val="none"/>
              <w:lang w:val="en-US" w:eastAsia="zh-CN"/>
            </w:rPr>
            <w:t>3</w:t>
          </w:r>
        </w:p>
        <w:p>
          <w:pPr>
            <w:pStyle w:val="13"/>
            <w:tabs>
              <w:tab w:val="right" w:leader="dot" w:pos="8414"/>
              <w:tab w:val="clear" w:pos="8296"/>
            </w:tabs>
            <w:rPr>
              <w:rFonts w:hint="eastAsia" w:eastAsia="仿宋"/>
              <w:lang w:val="en-US" w:eastAsia="zh-CN"/>
            </w:rPr>
          </w:pPr>
          <w:r>
            <w:rPr>
              <w:color w:val="auto"/>
              <w:highlight w:val="none"/>
            </w:rPr>
            <w:fldChar w:fldCharType="begin"/>
          </w:r>
          <w:r>
            <w:rPr>
              <w:highlight w:val="none"/>
            </w:rPr>
            <w:instrText xml:space="preserve"> HYPERLINK \l _Toc7959 </w:instrText>
          </w:r>
          <w:r>
            <w:rPr>
              <w:highlight w:val="none"/>
            </w:rP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rPr>
              <w:rFonts w:hint="eastAsia"/>
              <w:lang w:val="en-US" w:eastAsia="zh-CN"/>
            </w:rPr>
            <w:t>1</w:t>
          </w:r>
          <w:r>
            <w:rPr>
              <w:color w:val="auto"/>
              <w:highlight w:val="none"/>
            </w:rPr>
            <w:fldChar w:fldCharType="end"/>
          </w:r>
          <w:r>
            <w:rPr>
              <w:rFonts w:hint="eastAsia"/>
              <w:color w:val="auto"/>
              <w:highlight w:val="none"/>
              <w:lang w:val="en-US" w:eastAsia="zh-CN"/>
            </w:rPr>
            <w:t>5</w:t>
          </w:r>
          <w:bookmarkStart w:id="118" w:name="_GoBack"/>
          <w:bookmarkEnd w:id="118"/>
        </w:p>
        <w:p>
          <w:pPr>
            <w:pStyle w:val="13"/>
            <w:tabs>
              <w:tab w:val="right" w:leader="dot" w:pos="8414"/>
              <w:tab w:val="clear" w:pos="8296"/>
            </w:tabs>
            <w:rPr>
              <w:rFonts w:hint="eastAsia" w:eastAsia="仿宋"/>
              <w:lang w:val="en-US" w:eastAsia="zh-CN"/>
            </w:rPr>
          </w:pPr>
          <w:r>
            <w:rPr>
              <w:color w:val="auto"/>
              <w:highlight w:val="none"/>
            </w:rPr>
            <w:fldChar w:fldCharType="begin"/>
          </w:r>
          <w:r>
            <w:rPr>
              <w:highlight w:val="none"/>
            </w:rPr>
            <w:instrText xml:space="preserve"> HYPERLINK \l _Toc30027 </w:instrText>
          </w:r>
          <w:r>
            <w:rPr>
              <w:highlight w:val="none"/>
            </w:rP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_Toc6884 </w:instrText>
          </w:r>
          <w:r>
            <w:rPr>
              <w:highlight w:val="none"/>
            </w:rPr>
            <w:fldChar w:fldCharType="separate"/>
          </w:r>
          <w:r>
            <w:rPr>
              <w:rFonts w:hint="eastAsia" w:ascii="仿宋_GB2312" w:hAnsi="仿宋_GB2312" w:eastAsia="仿宋_GB2312" w:cs="仿宋_GB2312"/>
              <w:highlight w:val="none"/>
            </w:rPr>
            <w:t>一、收</w:t>
          </w:r>
          <w:r>
            <w:rPr>
              <w:rFonts w:hint="eastAsia" w:ascii="仿宋_GB2312" w:hAnsi="仿宋_GB2312" w:eastAsia="仿宋_GB2312" w:cs="仿宋_GB2312"/>
              <w:bCs w:val="0"/>
              <w:highlight w:val="none"/>
            </w:rPr>
            <w:t>入支出决算总表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_Toc16745 </w:instrText>
          </w:r>
          <w:r>
            <w:rPr>
              <w:highlight w:val="none"/>
            </w:rPr>
            <w:fldChar w:fldCharType="separate"/>
          </w:r>
          <w:r>
            <w:rPr>
              <w:rFonts w:hint="eastAsia" w:ascii="仿宋_GB2312" w:hAnsi="仿宋_GB2312" w:eastAsia="仿宋_GB2312" w:cs="仿宋_GB2312"/>
              <w:highlight w:val="none"/>
            </w:rPr>
            <w:t>二、收</w:t>
          </w:r>
          <w:r>
            <w:rPr>
              <w:rFonts w:hint="eastAsia" w:ascii="仿宋_GB2312" w:hAnsi="仿宋_GB2312" w:eastAsia="仿宋_GB2312" w:cs="仿宋_GB2312"/>
              <w:bCs w:val="0"/>
              <w:highlight w:val="none"/>
            </w:rPr>
            <w:t>入决算表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_Toc25756 </w:instrText>
          </w:r>
          <w:r>
            <w:rPr>
              <w:highlight w:val="none"/>
            </w:rPr>
            <w:fldChar w:fldCharType="separate"/>
          </w:r>
          <w:r>
            <w:rPr>
              <w:rFonts w:hint="eastAsia" w:ascii="仿宋_GB2312" w:hAnsi="仿宋_GB2312" w:eastAsia="仿宋_GB2312" w:cs="仿宋_GB2312"/>
              <w:bCs w:val="0"/>
              <w:highlight w:val="none"/>
            </w:rPr>
            <w:t>三、</w:t>
          </w:r>
          <w:r>
            <w:rPr>
              <w:rFonts w:hint="eastAsia" w:ascii="仿宋_GB2312" w:hAnsi="仿宋_GB2312" w:eastAsia="仿宋_GB2312" w:cs="仿宋_GB2312"/>
              <w:highlight w:val="none"/>
            </w:rPr>
            <w:t>支</w:t>
          </w:r>
          <w:r>
            <w:rPr>
              <w:rFonts w:hint="eastAsia" w:ascii="仿宋_GB2312" w:hAnsi="仿宋_GB2312" w:eastAsia="仿宋_GB2312" w:cs="仿宋_GB2312"/>
              <w:bCs w:val="0"/>
              <w:highlight w:val="none"/>
            </w:rPr>
            <w:t>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_Toc24750 </w:instrText>
          </w:r>
          <w:r>
            <w:rPr>
              <w:highlight w:val="none"/>
            </w:rPr>
            <w:fldChar w:fldCharType="separate"/>
          </w:r>
          <w:r>
            <w:rPr>
              <w:rFonts w:hint="eastAsia" w:ascii="仿宋_GB2312" w:hAnsi="仿宋_GB2312" w:eastAsia="仿宋_GB2312" w:cs="仿宋_GB2312"/>
              <w:bCs w:val="0"/>
              <w:highlight w:val="none"/>
            </w:rPr>
            <w:t>四、</w:t>
          </w:r>
          <w:r>
            <w:rPr>
              <w:rFonts w:hint="eastAsia" w:ascii="仿宋_GB2312" w:hAnsi="仿宋_GB2312" w:eastAsia="仿宋_GB2312" w:cs="仿宋_GB2312"/>
              <w:highlight w:val="none"/>
            </w:rPr>
            <w:t>财</w:t>
          </w:r>
          <w:r>
            <w:rPr>
              <w:rFonts w:hint="eastAsia" w:ascii="仿宋_GB2312" w:hAnsi="仿宋_GB2312" w:eastAsia="仿宋_GB2312" w:cs="仿宋_GB2312"/>
              <w:bCs w:val="0"/>
              <w:highlight w:val="none"/>
            </w:rPr>
            <w:t>政拨款收入支出决算总表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_Toc32168 </w:instrText>
          </w:r>
          <w:r>
            <w:rPr>
              <w:highlight w:val="none"/>
            </w:rPr>
            <w:fldChar w:fldCharType="separate"/>
          </w:r>
          <w:r>
            <w:rPr>
              <w:rFonts w:hint="eastAsia" w:ascii="仿宋_GB2312" w:hAnsi="仿宋_GB2312" w:eastAsia="仿宋_GB2312" w:cs="仿宋_GB2312"/>
              <w:bCs w:val="0"/>
              <w:highlight w:val="none"/>
            </w:rPr>
            <w:t>五、</w:t>
          </w:r>
          <w:r>
            <w:rPr>
              <w:rFonts w:hint="eastAsia" w:ascii="仿宋_GB2312" w:hAnsi="仿宋_GB2312" w:eastAsia="仿宋_GB2312" w:cs="仿宋_GB2312"/>
              <w:highlight w:val="none"/>
            </w:rPr>
            <w:t>财</w:t>
          </w:r>
          <w:r>
            <w:rPr>
              <w:rFonts w:hint="eastAsia" w:ascii="仿宋_GB2312" w:hAnsi="仿宋_GB2312" w:eastAsia="仿宋_GB2312" w:cs="仿宋_GB2312"/>
              <w:bCs w:val="0"/>
              <w:highlight w:val="none"/>
            </w:rPr>
            <w:t>政拨款支出决算明细表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_Toc27803 </w:instrText>
          </w:r>
          <w:r>
            <w:rPr>
              <w:highlight w:val="none"/>
            </w:rPr>
            <w:fldChar w:fldCharType="separate"/>
          </w:r>
          <w:r>
            <w:rPr>
              <w:rFonts w:hint="eastAsia" w:ascii="仿宋_GB2312" w:hAnsi="仿宋_GB2312" w:eastAsia="仿宋_GB2312" w:cs="仿宋_GB2312"/>
              <w:bCs w:val="0"/>
              <w:highlight w:val="none"/>
            </w:rPr>
            <w:t>六、</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_Toc8653 </w:instrText>
          </w:r>
          <w:r>
            <w:rPr>
              <w:highlight w:val="none"/>
            </w:rPr>
            <w:fldChar w:fldCharType="separate"/>
          </w:r>
          <w:r>
            <w:rPr>
              <w:rFonts w:hint="eastAsia" w:ascii="仿宋_GB2312" w:hAnsi="仿宋_GB2312" w:eastAsia="仿宋_GB2312" w:cs="仿宋_GB2312"/>
              <w:bCs w:val="0"/>
              <w:highlight w:val="none"/>
            </w:rPr>
            <w:t>七、</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般公共预算财政拨款支出决算明细表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_Toc16644 </w:instrText>
          </w:r>
          <w:r>
            <w:rPr>
              <w:highlight w:val="none"/>
            </w:rPr>
            <w:fldChar w:fldCharType="separate"/>
          </w:r>
          <w:r>
            <w:rPr>
              <w:rFonts w:hint="eastAsia" w:ascii="仿宋_GB2312" w:hAnsi="仿宋_GB2312" w:eastAsia="仿宋_GB2312" w:cs="仿宋_GB2312"/>
              <w:bCs w:val="0"/>
              <w:highlight w:val="none"/>
            </w:rPr>
            <w:t>八、</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般公共预算财政拨款基本支出决算表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_Toc6191 </w:instrText>
          </w:r>
          <w:r>
            <w:rPr>
              <w:highlight w:val="none"/>
            </w:rPr>
            <w:fldChar w:fldCharType="separate"/>
          </w:r>
          <w:r>
            <w:rPr>
              <w:rFonts w:hint="eastAsia" w:ascii="仿宋_GB2312" w:hAnsi="仿宋_GB2312" w:eastAsia="仿宋_GB2312" w:cs="仿宋_GB2312"/>
              <w:bCs w:val="0"/>
              <w:highlight w:val="none"/>
            </w:rPr>
            <w:t>九、</w:t>
          </w:r>
          <w:r>
            <w:rPr>
              <w:rFonts w:hint="eastAsia" w:ascii="仿宋_GB2312" w:hAnsi="仿宋_GB2312" w:eastAsia="仿宋_GB2312" w:cs="仿宋_GB2312"/>
              <w:highlight w:val="none"/>
            </w:rPr>
            <w:t>一</w:t>
          </w:r>
          <w:r>
            <w:rPr>
              <w:rFonts w:hint="eastAsia" w:ascii="仿宋_GB2312" w:hAnsi="仿宋_GB2312" w:eastAsia="仿宋_GB2312" w:cs="仿宋_GB2312"/>
              <w:bCs w:val="0"/>
              <w:highlight w:val="none"/>
            </w:rPr>
            <w:t>般公共预算财政拨款项目支出决算表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_Toc24747 </w:instrText>
          </w:r>
          <w:r>
            <w:rPr>
              <w:highlight w:val="none"/>
            </w:rPr>
            <w:fldChar w:fldCharType="separate"/>
          </w:r>
          <w:r>
            <w:rPr>
              <w:rFonts w:hint="eastAsia" w:ascii="仿宋_GB2312" w:hAnsi="仿宋_GB2312" w:eastAsia="仿宋_GB2312" w:cs="仿宋_GB2312"/>
              <w:bCs w:val="0"/>
              <w:highlight w:val="none"/>
            </w:rPr>
            <w:t>十、</w:t>
          </w:r>
          <w:r>
            <w:rPr>
              <w:rFonts w:hint="eastAsia" w:ascii="仿宋_GB2312" w:hAnsi="仿宋_GB2312" w:eastAsia="仿宋_GB2312" w:cs="仿宋_GB2312"/>
              <w:highlight w:val="none"/>
            </w:rPr>
            <w:t>政</w:t>
          </w:r>
          <w:r>
            <w:rPr>
              <w:rFonts w:hint="eastAsia" w:ascii="仿宋_GB2312" w:hAnsi="仿宋_GB2312" w:eastAsia="仿宋_GB2312" w:cs="仿宋_GB2312"/>
              <w:bCs w:val="0"/>
              <w:highlight w:val="none"/>
            </w:rPr>
            <w:t>府性基金预算财政拨款收入支出决算表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_Toc6123 </w:instrText>
          </w:r>
          <w:r>
            <w:rPr>
              <w:highlight w:val="none"/>
            </w:rPr>
            <w:fldChar w:fldCharType="separate"/>
          </w:r>
          <w:r>
            <w:rPr>
              <w:rFonts w:hint="eastAsia" w:ascii="仿宋_GB2312" w:hAnsi="仿宋_GB2312" w:eastAsia="仿宋_GB2312" w:cs="仿宋_GB2312"/>
              <w:bCs w:val="0"/>
              <w:highlight w:val="none"/>
            </w:rPr>
            <w:t>十一、</w:t>
          </w:r>
          <w:r>
            <w:rPr>
              <w:rFonts w:hint="eastAsia" w:ascii="仿宋_GB2312" w:hAnsi="仿宋_GB2312" w:eastAsia="仿宋_GB2312" w:cs="仿宋_GB2312"/>
              <w:highlight w:val="none"/>
            </w:rPr>
            <w:t>国</w:t>
          </w:r>
          <w:r>
            <w:rPr>
              <w:rFonts w:hint="eastAsia" w:ascii="仿宋_GB2312" w:hAnsi="仿宋_GB2312" w:eastAsia="仿宋_GB2312" w:cs="仿宋_GB2312"/>
              <w:bCs w:val="0"/>
              <w:highlight w:val="none"/>
            </w:rPr>
            <w:t>有资本经营预算</w:t>
          </w:r>
          <w:r>
            <w:rPr>
              <w:rFonts w:hint="eastAsia" w:ascii="仿宋_GB2312" w:hAnsi="仿宋_GB2312" w:eastAsia="仿宋_GB2312" w:cs="仿宋_GB2312"/>
              <w:bCs w:val="0"/>
              <w:highlight w:val="none"/>
              <w:lang w:eastAsia="zh-CN"/>
            </w:rPr>
            <w:t>财政拨款收入</w:t>
          </w:r>
          <w:r>
            <w:rPr>
              <w:rFonts w:hint="eastAsia" w:ascii="仿宋_GB2312" w:hAnsi="仿宋_GB2312" w:eastAsia="仿宋_GB2312" w:cs="仿宋_GB2312"/>
              <w:bCs w:val="0"/>
              <w:highlight w:val="none"/>
            </w:rPr>
            <w:t>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_Toc4097 </w:instrText>
          </w:r>
          <w:r>
            <w:rPr>
              <w:highlight w:val="none"/>
            </w:rPr>
            <w:fldChar w:fldCharType="separate"/>
          </w:r>
          <w:r>
            <w:rPr>
              <w:rFonts w:hint="eastAsia" w:ascii="仿宋_GB2312" w:hAnsi="仿宋_GB2312" w:eastAsia="仿宋_GB2312" w:cs="仿宋_GB2312"/>
              <w:bCs w:val="0"/>
              <w:highlight w:val="none"/>
            </w:rPr>
            <w:t>十二、</w:t>
          </w:r>
          <w:r>
            <w:rPr>
              <w:rFonts w:hint="eastAsia" w:ascii="仿宋_GB2312" w:hAnsi="仿宋_GB2312" w:eastAsia="仿宋_GB2312" w:cs="仿宋_GB2312"/>
              <w:bCs w:val="0"/>
              <w:highlight w:val="none"/>
              <w:lang w:eastAsia="zh-CN"/>
            </w:rPr>
            <w:t>国有资本经营预算财政拨款支出决算表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pStyle w:val="14"/>
            <w:tabs>
              <w:tab w:val="right" w:leader="dot" w:pos="8414"/>
              <w:tab w:val="clear" w:pos="8296"/>
            </w:tabs>
            <w:rPr>
              <w:rFonts w:hint="eastAsia" w:eastAsia="宋体"/>
              <w:lang w:val="en-US" w:eastAsia="zh-CN"/>
            </w:rPr>
          </w:pPr>
          <w:r>
            <w:rPr>
              <w:color w:val="auto"/>
              <w:highlight w:val="none"/>
            </w:rPr>
            <w:fldChar w:fldCharType="begin"/>
          </w:r>
          <w:r>
            <w:rPr>
              <w:highlight w:val="none"/>
            </w:rPr>
            <w:instrText xml:space="preserve"> HYPERLINK \l _Toc7788 </w:instrText>
          </w:r>
          <w:r>
            <w:rPr>
              <w:highlight w:val="none"/>
            </w:rPr>
            <w:fldChar w:fldCharType="separate"/>
          </w:r>
          <w:r>
            <w:rPr>
              <w:rFonts w:hint="eastAsia" w:ascii="仿宋_GB2312" w:hAnsi="仿宋_GB2312" w:eastAsia="仿宋_GB2312" w:cs="仿宋_GB2312"/>
              <w:bCs w:val="0"/>
              <w:highlight w:val="none"/>
            </w:rPr>
            <w:t>十三、</w:t>
          </w:r>
          <w:r>
            <w:rPr>
              <w:rFonts w:hint="eastAsia" w:ascii="仿宋_GB2312" w:hAnsi="仿宋_GB2312" w:eastAsia="仿宋_GB2312" w:cs="仿宋_GB2312"/>
              <w:bCs w:val="0"/>
              <w:highlight w:val="none"/>
              <w:lang w:eastAsia="zh-CN"/>
            </w:rPr>
            <w:t>财政拨款“三公”经费支出决算表</w:t>
          </w:r>
          <w:r>
            <w:tab/>
          </w:r>
          <w:r>
            <w:rPr>
              <w:rFonts w:hint="eastAsia"/>
              <w:lang w:val="en-US" w:eastAsia="zh-CN"/>
            </w:rPr>
            <w:t>4</w:t>
          </w:r>
          <w:r>
            <w:rPr>
              <w:color w:val="auto"/>
              <w:highlight w:val="none"/>
            </w:rPr>
            <w:fldChar w:fldCharType="end"/>
          </w:r>
          <w:r>
            <w:rPr>
              <w:rFonts w:hint="eastAsia"/>
              <w:color w:val="auto"/>
              <w:highlight w:val="none"/>
              <w:lang w:val="en-US" w:eastAsia="zh-CN"/>
            </w:rPr>
            <w:t>2</w:t>
          </w:r>
        </w:p>
        <w:p>
          <w:pPr>
            <w:rPr>
              <w:color w:val="auto"/>
              <w:highlight w:val="none"/>
            </w:rPr>
          </w:pPr>
          <w:r>
            <w:rPr>
              <w:color w:val="auto"/>
              <w:highlight w:val="none"/>
            </w:rPr>
            <w:fldChar w:fldCharType="end"/>
          </w:r>
        </w:p>
      </w:sdtContent>
    </w:sdt>
    <w:p>
      <w:pPr>
        <w:pStyle w:val="13"/>
        <w:rPr>
          <w:rFonts w:hint="eastAsia"/>
          <w:color w:val="auto"/>
          <w:sz w:val="32"/>
          <w:szCs w:val="32"/>
          <w:highlight w:val="none"/>
        </w:rPr>
        <w:sectPr>
          <w:footerReference r:id="rId6" w:type="first"/>
          <w:footerReference r:id="rId5" w:type="default"/>
          <w:pgSz w:w="11906" w:h="16838"/>
          <w:pgMar w:top="1417" w:right="1803" w:bottom="1440" w:left="1689" w:header="851" w:footer="992" w:gutter="0"/>
          <w:pgNumType w:fmt="decimal"/>
          <w:cols w:space="0" w:num="1"/>
          <w:titlePg/>
          <w:rtlGutter w:val="0"/>
          <w:docGrid w:type="lines" w:linePitch="319" w:charSpace="0"/>
        </w:sectPr>
      </w:pPr>
      <w:bookmarkStart w:id="16" w:name="_Toc15396599"/>
      <w:bookmarkStart w:id="17" w:name="_Toc15377196"/>
    </w:p>
    <w:p>
      <w:pPr>
        <w:pStyle w:val="13"/>
        <w:jc w:val="center"/>
        <w:rPr>
          <w:rStyle w:val="21"/>
          <w:rFonts w:hint="eastAsia" w:ascii="黑体" w:hAnsi="黑体" w:eastAsia="黑体"/>
          <w:b w:val="0"/>
          <w:bCs w:val="0"/>
          <w:color w:val="auto"/>
          <w:highlight w:val="none"/>
        </w:rPr>
      </w:pPr>
      <w:bookmarkStart w:id="18" w:name="_Toc26358"/>
      <w:r>
        <w:rPr>
          <w:rStyle w:val="21"/>
          <w:rFonts w:hint="eastAsia" w:ascii="黑体" w:hAnsi="黑体" w:eastAsia="黑体"/>
          <w:b w:val="0"/>
          <w:bCs w:val="0"/>
          <w:color w:val="auto"/>
          <w:highlight w:val="none"/>
        </w:rPr>
        <w:t>第一部分 部门概况</w:t>
      </w:r>
      <w:bookmarkEnd w:id="16"/>
      <w:bookmarkEnd w:id="17"/>
      <w:bookmarkEnd w:id="18"/>
    </w:p>
    <w:p>
      <w:pPr>
        <w:pStyle w:val="4"/>
        <w:keepNext w:val="0"/>
        <w:keepLines w:val="0"/>
        <w:pageBreakBefore w:val="0"/>
        <w:widowControl w:val="0"/>
        <w:kinsoku/>
        <w:wordWrap/>
        <w:overflowPunct/>
        <w:topLinePunct w:val="0"/>
        <w:autoSpaceDE/>
        <w:autoSpaceDN/>
        <w:bidi w:val="0"/>
        <w:spacing w:before="0" w:after="0" w:line="540" w:lineRule="exact"/>
        <w:ind w:firstLine="640" w:firstLineChars="200"/>
        <w:textAlignment w:val="auto"/>
        <w:rPr>
          <w:rFonts w:hint="eastAsia" w:ascii="黑体" w:hAnsi="黑体" w:eastAsia="黑体"/>
          <w:b w:val="0"/>
          <w:color w:val="auto"/>
          <w:highlight w:val="none"/>
        </w:rPr>
      </w:pPr>
      <w:bookmarkStart w:id="19" w:name="_Toc15377197"/>
      <w:bookmarkStart w:id="20" w:name="_Toc15396600"/>
      <w:bookmarkStart w:id="21" w:name="_Toc15710"/>
    </w:p>
    <w:p>
      <w:pPr>
        <w:pStyle w:val="4"/>
        <w:keepNext w:val="0"/>
        <w:keepLines w:val="0"/>
        <w:pageBreakBefore w:val="0"/>
        <w:widowControl w:val="0"/>
        <w:kinsoku/>
        <w:wordWrap/>
        <w:overflowPunct/>
        <w:topLinePunct w:val="0"/>
        <w:autoSpaceDE/>
        <w:autoSpaceDN/>
        <w:bidi w:val="0"/>
        <w:spacing w:before="0" w:after="0" w:line="540" w:lineRule="exact"/>
        <w:ind w:firstLine="640" w:firstLineChars="200"/>
        <w:textAlignment w:val="auto"/>
        <w:rPr>
          <w:rFonts w:hint="eastAsia" w:ascii="黑体" w:hAnsi="黑体" w:eastAsia="黑体"/>
          <w:b w:val="0"/>
          <w:color w:val="auto"/>
          <w:highlight w:val="none"/>
          <w:lang w:eastAsia="zh-CN"/>
        </w:rPr>
      </w:pPr>
      <w:r>
        <w:rPr>
          <w:rFonts w:hint="eastAsia" w:ascii="黑体" w:hAnsi="黑体" w:eastAsia="黑体"/>
          <w:b w:val="0"/>
          <w:color w:val="auto"/>
          <w:highlight w:val="none"/>
        </w:rPr>
        <w:t>一、</w:t>
      </w:r>
      <w:bookmarkEnd w:id="19"/>
      <w:bookmarkEnd w:id="20"/>
      <w:r>
        <w:rPr>
          <w:rFonts w:hint="eastAsia" w:ascii="黑体" w:hAnsi="黑体" w:eastAsia="黑体"/>
          <w:b w:val="0"/>
          <w:color w:val="auto"/>
          <w:highlight w:val="none"/>
          <w:lang w:eastAsia="zh-CN"/>
        </w:rPr>
        <w:t>部门职责</w:t>
      </w:r>
      <w:bookmarkEnd w:id="21"/>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ascii="仿宋_GB2312" w:hAnsi="仿宋_GB2312" w:eastAsia="仿宋_GB2312" w:cs="仿宋_GB2312"/>
          <w:bCs/>
          <w:sz w:val="32"/>
          <w:szCs w:val="32"/>
        </w:rPr>
        <w:t>人民检察院通过行使检察权，追诉犯罪，维护国家安全和社会秩序，维护个人和组织的合法权益，维护国家利益和社会公共利益，保障法律正确实施，维护社会公平正义，维护国家法制统一、尊严和权威，保障中国特色社会主义建设的顺利进行。基层人民检察院职能主要有</w:t>
      </w:r>
      <w:r>
        <w:rPr>
          <w:rFonts w:hint="eastAsia" w:hAnsi="仿宋_GB2312" w:cs="仿宋_GB2312"/>
          <w:bCs/>
          <w:sz w:val="32"/>
          <w:szCs w:val="32"/>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val="en-US" w:eastAsia="zh-CN"/>
        </w:rPr>
        <w:t>1.</w:t>
      </w:r>
      <w:r>
        <w:rPr>
          <w:rFonts w:hint="eastAsia" w:hAnsi="仿宋_GB2312" w:cs="仿宋_GB2312"/>
          <w:bCs/>
          <w:sz w:val="32"/>
          <w:szCs w:val="32"/>
          <w:lang w:eastAsia="zh-CN"/>
        </w:rPr>
        <w:t xml:space="preserve">刑事检察职能 </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1</w:t>
      </w:r>
      <w:r>
        <w:rPr>
          <w:rFonts w:hint="eastAsia" w:hAnsi="仿宋_GB2312" w:cs="仿宋_GB2312"/>
          <w:bCs/>
          <w:sz w:val="32"/>
          <w:szCs w:val="32"/>
          <w:lang w:eastAsia="zh-CN"/>
        </w:rPr>
        <w:t>）审查逮捕。对公安机关侦查的案件、监察委员会调查的案件进行审查，决定是否逮捕；对已逮捕的犯罪嫌疑人，进行羁押必要性审查，决定是否继续羁押。</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2</w:t>
      </w:r>
      <w:r>
        <w:rPr>
          <w:rFonts w:hint="eastAsia" w:hAnsi="仿宋_GB2312" w:cs="仿宋_GB2312"/>
          <w:bCs/>
          <w:sz w:val="32"/>
          <w:szCs w:val="32"/>
          <w:lang w:eastAsia="zh-CN"/>
        </w:rPr>
        <w:t>）公诉。对公安机关侦查终结的案件、监察委员会移送审查起诉的案件，决定提起公诉或者不起诉。</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3</w:t>
      </w:r>
      <w:r>
        <w:rPr>
          <w:rFonts w:hint="eastAsia" w:hAnsi="仿宋_GB2312" w:cs="仿宋_GB2312"/>
          <w:bCs/>
          <w:sz w:val="32"/>
          <w:szCs w:val="32"/>
          <w:lang w:eastAsia="zh-CN"/>
        </w:rPr>
        <w:t>）刑事诉讼监督。对公安机关立案和侦查活动是否合法实行监督；对人民法院的审判活动是否合法实行监督，对确有错误的刑事判决、裁定向上一级人民法院提出抗诉。</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4</w:t>
      </w:r>
      <w:r>
        <w:rPr>
          <w:rFonts w:hint="eastAsia" w:hAnsi="仿宋_GB2312" w:cs="仿宋_GB2312"/>
          <w:bCs/>
          <w:sz w:val="32"/>
          <w:szCs w:val="32"/>
          <w:lang w:eastAsia="zh-CN"/>
        </w:rPr>
        <w:t>）刑事执行监督。对看守所的监管活动和刑罚执行活动是否合法实行监督；对司法局社区矫正执行活动否合法实行监督；对减刑、假释、暂予监外执行的提请、审理、裁定、决定、执行活动是否合法实行监督；对强制医疗执行活动是否合法实行监督。</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5</w:t>
      </w:r>
      <w:r>
        <w:rPr>
          <w:rFonts w:hint="eastAsia" w:hAnsi="仿宋_GB2312" w:cs="仿宋_GB2312"/>
          <w:bCs/>
          <w:sz w:val="32"/>
          <w:szCs w:val="32"/>
          <w:lang w:eastAsia="zh-CN"/>
        </w:rPr>
        <w:t>）控告申诉检察。对妨碍辩护人和代理人诉讼权利的控告，进行审查监督；对不服人民检察院不批捕、不起诉等刑事终结处理决定，不服人民法院生效刑事判决、裁定的申诉案件进行审查，确有错误的，进行监督纠正；办理刑事赔偿、司法救助等案件。</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6</w:t>
      </w:r>
      <w:r>
        <w:rPr>
          <w:rFonts w:hint="eastAsia" w:hAnsi="仿宋_GB2312" w:cs="仿宋_GB2312"/>
          <w:bCs/>
          <w:sz w:val="32"/>
          <w:szCs w:val="32"/>
          <w:lang w:eastAsia="zh-CN"/>
        </w:rPr>
        <w:t>）侦查权。刑事诉讼法修改草案规定，人民检察院在对诉讼活动实行法律监督中发现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待刑诉法修订后才能确定）</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val="en-US" w:eastAsia="zh-CN"/>
        </w:rPr>
        <w:t>2.</w:t>
      </w:r>
      <w:r>
        <w:rPr>
          <w:rFonts w:hint="eastAsia" w:hAnsi="仿宋_GB2312" w:cs="仿宋_GB2312"/>
          <w:bCs/>
          <w:sz w:val="32"/>
          <w:szCs w:val="32"/>
          <w:lang w:eastAsia="zh-CN"/>
        </w:rPr>
        <w:t>民事检察职能</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1</w:t>
      </w:r>
      <w:r>
        <w:rPr>
          <w:rFonts w:hint="eastAsia" w:hAnsi="仿宋_GB2312" w:cs="仿宋_GB2312"/>
          <w:bCs/>
          <w:sz w:val="32"/>
          <w:szCs w:val="32"/>
          <w:lang w:eastAsia="zh-CN"/>
        </w:rPr>
        <w:t>）民事诉讼监督。对人民法院生效的民事判决、裁定确有错误，或者民事调解书损害国家利益或社会公共利益的，人民检察院可以向同级人民法院发出检察建议，或者提请上级人民检察院向同级人民法院提出抗诉；对民事审判中审判人员存在违法行为，或者民事执行活动存在违法情形的，实行监督。</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2</w:t>
      </w:r>
      <w:r>
        <w:rPr>
          <w:rFonts w:hint="eastAsia" w:hAnsi="仿宋_GB2312" w:cs="仿宋_GB2312"/>
          <w:bCs/>
          <w:sz w:val="32"/>
          <w:szCs w:val="32"/>
          <w:lang w:eastAsia="zh-CN"/>
        </w:rPr>
        <w:t>）支持起诉。对弱势群体依法维权有困难的，支持其提起民事诉讼。</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val="en-US" w:eastAsia="zh-CN"/>
        </w:rPr>
        <w:t>3.</w:t>
      </w:r>
      <w:r>
        <w:rPr>
          <w:rFonts w:hint="eastAsia" w:hAnsi="仿宋_GB2312" w:cs="仿宋_GB2312"/>
          <w:bCs/>
          <w:sz w:val="32"/>
          <w:szCs w:val="32"/>
          <w:lang w:eastAsia="zh-CN"/>
        </w:rPr>
        <w:t>行政检察职能</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1</w:t>
      </w:r>
      <w:r>
        <w:rPr>
          <w:rFonts w:hint="eastAsia" w:hAnsi="仿宋_GB2312" w:cs="仿宋_GB2312"/>
          <w:bCs/>
          <w:sz w:val="32"/>
          <w:szCs w:val="32"/>
          <w:lang w:eastAsia="zh-CN"/>
        </w:rPr>
        <w:t>）行政诉讼的监督。对人民法院生效的行政判决、裁定确有错误，行政调解书损害国家利益、社会公共利益的，人民检察院可以向同级人民法院提出检察建议，或者提请上级人民检察院向同级人民法院提出抗诉；对行政审判中审判人员存在违法行为，或者行政执行活动存在违法情形的，实行监督。</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2</w:t>
      </w:r>
      <w:r>
        <w:rPr>
          <w:rFonts w:hint="eastAsia" w:hAnsi="仿宋_GB2312" w:cs="仿宋_GB2312"/>
          <w:bCs/>
          <w:sz w:val="32"/>
          <w:szCs w:val="32"/>
          <w:lang w:eastAsia="zh-CN"/>
        </w:rPr>
        <w:t>）行政行为的监督。行政机关违法行使职权或不行使职权的行为，导致国家利益、社会公共利益受损的，人民检察院可以向行政机关提出检察建议，督促其纠正。</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val="en-US" w:eastAsia="zh-CN"/>
        </w:rPr>
        <w:t>4.</w:t>
      </w:r>
      <w:r>
        <w:rPr>
          <w:rFonts w:hint="eastAsia" w:hAnsi="仿宋_GB2312" w:cs="仿宋_GB2312"/>
          <w:bCs/>
          <w:sz w:val="32"/>
          <w:szCs w:val="32"/>
          <w:lang w:eastAsia="zh-CN"/>
        </w:rPr>
        <w:t>公益诉讼检察职能</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1</w:t>
      </w:r>
      <w:r>
        <w:rPr>
          <w:rFonts w:hint="eastAsia" w:hAnsi="仿宋_GB2312" w:cs="仿宋_GB2312"/>
          <w:bCs/>
          <w:sz w:val="32"/>
          <w:szCs w:val="32"/>
          <w:lang w:eastAsia="zh-CN"/>
        </w:rPr>
        <w:t>）行政公益诉讼。对生态环境和资源保护、食品药品安全、国有财产保护、国有土地使用权出让等领域负有监督管理职责的行政机关违法行使职权或者不作为，致使国家利益或者社会公共利益受到侵害的，人民检察院可以向行政机关提出检察建议，督促其依法履行职责。行政机关不依法履行职责的，人民检察院依法向人民法院提起行政公益诉讼。</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2</w:t>
      </w:r>
      <w:r>
        <w:rPr>
          <w:rFonts w:hint="eastAsia" w:hAnsi="仿宋_GB2312" w:cs="仿宋_GB2312"/>
          <w:bCs/>
          <w:sz w:val="32"/>
          <w:szCs w:val="32"/>
          <w:lang w:eastAsia="zh-CN"/>
        </w:rPr>
        <w:t>）民事公益诉讼。人民检察院对破坏生态环境和资源保护、食品药品安全领域侵害众多消费者合法权益等损害社会公共利益的行为，在没有法律规定的机关和组织或者法律规定的机关和组织不提起诉讼的情况下，可以向人民法院提起民事公益诉讼。对侵害英雄烈士姓名、肖像、名誉、荣誉，损害社会公共利益的行为，英雄烈士没有近亲属或者近亲属不提起诉讼的，检察机关可以依法提起公益诉讼。</w:t>
      </w:r>
    </w:p>
    <w:p>
      <w:pPr>
        <w:pStyle w:val="6"/>
        <w:keepNext w:val="0"/>
        <w:keepLines w:val="0"/>
        <w:pageBreakBefore w:val="0"/>
        <w:widowControl w:val="0"/>
        <w:kinsoku/>
        <w:wordWrap/>
        <w:overflowPunct/>
        <w:topLinePunct w:val="0"/>
        <w:autoSpaceDE/>
        <w:autoSpaceDN/>
        <w:bidi w:val="0"/>
        <w:adjustRightInd w:val="0"/>
        <w:snapToGrid w:val="0"/>
        <w:spacing w:beforeLines="0" w:line="560" w:lineRule="exact"/>
        <w:ind w:firstLine="640" w:firstLineChars="200"/>
        <w:jc w:val="both"/>
        <w:textAlignment w:val="auto"/>
        <w:outlineLvl w:val="2"/>
        <w:rPr>
          <w:rFonts w:hint="eastAsia" w:hAnsi="仿宋_GB2312" w:cs="仿宋_GB2312"/>
          <w:bCs/>
          <w:sz w:val="32"/>
          <w:szCs w:val="32"/>
          <w:lang w:eastAsia="zh-CN"/>
        </w:rPr>
      </w:pPr>
      <w:r>
        <w:rPr>
          <w:rFonts w:hint="eastAsia" w:hAnsi="仿宋_GB2312" w:cs="仿宋_GB2312"/>
          <w:bCs/>
          <w:sz w:val="32"/>
          <w:szCs w:val="32"/>
          <w:lang w:eastAsia="zh-CN"/>
        </w:rPr>
        <w:t>（</w:t>
      </w:r>
      <w:r>
        <w:rPr>
          <w:rFonts w:hint="eastAsia" w:hAnsi="仿宋_GB2312" w:cs="仿宋_GB2312"/>
          <w:bCs/>
          <w:sz w:val="32"/>
          <w:szCs w:val="32"/>
          <w:lang w:val="en-US" w:eastAsia="zh-CN"/>
        </w:rPr>
        <w:t>3</w:t>
      </w:r>
      <w:r>
        <w:rPr>
          <w:rFonts w:hint="eastAsia" w:hAnsi="仿宋_GB2312" w:cs="仿宋_GB2312"/>
          <w:bCs/>
          <w:sz w:val="32"/>
          <w:szCs w:val="32"/>
          <w:lang w:eastAsia="zh-CN"/>
        </w:rPr>
        <w:t>）刑事附带民事公益诉讼。人民检察院对破坏生态环境和资源保护、食品药品安全领域侵害众多消费者合法权益等损害社会公共利益的犯罪行为提起刑事公诉时，可以向人民法院一并提起附带民事公益诉讼。</w:t>
      </w:r>
    </w:p>
    <w:p>
      <w:pPr>
        <w:pStyle w:val="6"/>
        <w:keepNext w:val="0"/>
        <w:keepLines w:val="0"/>
        <w:pageBreakBefore w:val="0"/>
        <w:widowControl w:val="0"/>
        <w:kinsoku/>
        <w:wordWrap/>
        <w:overflowPunct/>
        <w:topLinePunct w:val="0"/>
        <w:autoSpaceDE/>
        <w:autoSpaceDN/>
        <w:bidi w:val="0"/>
        <w:adjustRightInd w:val="0"/>
        <w:snapToGrid w:val="0"/>
        <w:spacing w:beforeLines="0" w:line="540" w:lineRule="exact"/>
        <w:ind w:firstLine="630" w:firstLineChars="210"/>
        <w:jc w:val="both"/>
        <w:textAlignment w:val="auto"/>
        <w:outlineLvl w:val="1"/>
        <w:rPr>
          <w:rStyle w:val="22"/>
          <w:b w:val="0"/>
          <w:bCs w:val="0"/>
          <w:color w:val="auto"/>
          <w:highlight w:val="none"/>
        </w:rPr>
      </w:pPr>
      <w:bookmarkStart w:id="22" w:name="_Toc21450"/>
      <w:bookmarkStart w:id="23" w:name="_Toc15377200"/>
      <w:bookmarkStart w:id="24"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2"/>
          <w:rFonts w:hint="eastAsia" w:ascii="黑体" w:hAnsi="黑体" w:eastAsia="黑体"/>
          <w:b w:val="0"/>
          <w:bCs w:val="0"/>
          <w:color w:val="auto"/>
          <w:highlight w:val="none"/>
        </w:rPr>
        <w:t>构设置</w:t>
      </w:r>
      <w:bookmarkEnd w:id="22"/>
      <w:bookmarkEnd w:id="23"/>
      <w:bookmarkEnd w:id="24"/>
    </w:p>
    <w:p>
      <w:pPr>
        <w:pStyle w:val="4"/>
        <w:keepNext w:val="0"/>
        <w:keepLines w:val="0"/>
        <w:pageBreakBefore w:val="0"/>
        <w:widowControl w:val="0"/>
        <w:kinsoku/>
        <w:wordWrap/>
        <w:overflowPunct/>
        <w:topLinePunct w:val="0"/>
        <w:autoSpaceDE/>
        <w:autoSpaceDN/>
        <w:bidi w:val="0"/>
        <w:adjustRightInd/>
        <w:snapToGrid/>
        <w:spacing w:before="0" w:after="0" w:line="540" w:lineRule="exact"/>
        <w:ind w:firstLine="640" w:firstLineChars="200"/>
        <w:jc w:val="both"/>
        <w:textAlignment w:val="auto"/>
        <w:outlineLvl w:val="0"/>
        <w:rPr>
          <w:rFonts w:hint="eastAsia" w:ascii="仿宋_GB2312" w:hAnsi="仿宋_GB2312" w:eastAsia="仿宋_GB2312" w:cs="仿宋_GB2312"/>
          <w:b w:val="0"/>
          <w:bCs w:val="0"/>
          <w:kern w:val="2"/>
          <w:sz w:val="32"/>
          <w:szCs w:val="32"/>
          <w:lang w:val="en-US" w:eastAsia="zh-CN" w:bidi="ar-SA"/>
        </w:rPr>
      </w:pPr>
      <w:bookmarkStart w:id="25" w:name="_Toc5492"/>
      <w:bookmarkStart w:id="26" w:name="_Toc8013"/>
      <w:r>
        <w:rPr>
          <w:rFonts w:hint="eastAsia" w:ascii="仿宋_GB2312" w:hAnsi="仿宋_GB2312" w:eastAsia="仿宋_GB2312" w:cs="仿宋_GB2312"/>
          <w:b w:val="0"/>
          <w:bCs w:val="0"/>
          <w:kern w:val="2"/>
          <w:sz w:val="32"/>
          <w:szCs w:val="32"/>
          <w:lang w:val="en-US" w:eastAsia="zh-CN" w:bidi="ar-SA"/>
        </w:rPr>
        <w:t>剑阁县人民检察院属于一级预算行政单位，无下属二级预算单位。</w:t>
      </w:r>
      <w:bookmarkEnd w:id="25"/>
      <w:bookmarkEnd w:id="26"/>
    </w:p>
    <w:p>
      <w:pPr>
        <w:pStyle w:val="4"/>
        <w:keepNext w:val="0"/>
        <w:keepLines w:val="0"/>
        <w:pageBreakBefore w:val="0"/>
        <w:widowControl w:val="0"/>
        <w:kinsoku/>
        <w:wordWrap/>
        <w:overflowPunct/>
        <w:topLinePunct w:val="0"/>
        <w:autoSpaceDE/>
        <w:autoSpaceDN/>
        <w:bidi w:val="0"/>
        <w:adjustRightInd/>
        <w:snapToGrid/>
        <w:spacing w:before="0" w:after="0" w:line="540" w:lineRule="exact"/>
        <w:ind w:firstLine="640" w:firstLineChars="200"/>
        <w:jc w:val="both"/>
        <w:textAlignment w:val="auto"/>
        <w:rPr>
          <w:rFonts w:hint="eastAsia" w:ascii="仿宋_GB2312" w:hAnsi="仿宋_GB2312" w:eastAsia="仿宋_GB2312" w:cs="仿宋_GB2312"/>
          <w:color w:val="auto"/>
          <w:kern w:val="0"/>
          <w:sz w:val="32"/>
          <w:szCs w:val="32"/>
          <w:highlight w:val="none"/>
        </w:rPr>
      </w:pPr>
      <w:bookmarkStart w:id="27" w:name="_Toc4329"/>
      <w:bookmarkStart w:id="28" w:name="_Toc15711"/>
      <w:r>
        <w:rPr>
          <w:rFonts w:hint="eastAsia" w:ascii="仿宋_GB2312" w:hAnsi="仿宋_GB2312" w:eastAsia="仿宋_GB2312" w:cs="仿宋_GB2312"/>
          <w:b w:val="0"/>
          <w:bCs w:val="0"/>
          <w:kern w:val="2"/>
          <w:sz w:val="32"/>
          <w:szCs w:val="32"/>
          <w:highlight w:val="none"/>
          <w:lang w:val="en-US" w:eastAsia="zh-CN" w:bidi="ar-SA"/>
        </w:rPr>
        <w:t>剑阁县人民检察院共有政法专编48人，事业编0人。2022年年末实有人数67人，其中：政法专编46人，工勤人员3人，聘用人员16人；遗属4人（其中烈属1人）。</w:t>
      </w:r>
      <w:bookmarkEnd w:id="27"/>
      <w:bookmarkEnd w:id="28"/>
    </w:p>
    <w:p>
      <w:pPr>
        <w:pStyle w:val="3"/>
        <w:ind w:right="440"/>
        <w:jc w:val="center"/>
        <w:rPr>
          <w:color w:val="auto"/>
          <w:highlight w:val="none"/>
        </w:rPr>
      </w:pPr>
      <w:bookmarkStart w:id="29" w:name="_Toc15396602"/>
      <w:bookmarkStart w:id="30" w:name="_Toc15377204"/>
      <w:bookmarkStart w:id="31" w:name="_Toc6788"/>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21"/>
          <w:rFonts w:hint="eastAsia" w:ascii="黑体" w:hAnsi="黑体" w:eastAsia="黑体"/>
          <w:b w:val="0"/>
          <w:bCs/>
          <w:color w:val="auto"/>
          <w:highlight w:val="none"/>
        </w:rPr>
        <w:t>部门决算情况说明</w:t>
      </w:r>
      <w:bookmarkEnd w:id="29"/>
      <w:bookmarkEnd w:id="30"/>
      <w:bookmarkEnd w:id="31"/>
    </w:p>
    <w:p>
      <w:pPr>
        <w:pStyle w:val="31"/>
        <w:numPr>
          <w:ilvl w:val="0"/>
          <w:numId w:val="1"/>
        </w:numPr>
        <w:spacing w:line="600" w:lineRule="exact"/>
        <w:ind w:firstLineChars="0"/>
        <w:outlineLvl w:val="1"/>
        <w:rPr>
          <w:rStyle w:val="22"/>
          <w:rFonts w:ascii="黑体" w:hAnsi="黑体" w:eastAsia="黑体"/>
          <w:b w:val="0"/>
          <w:color w:val="auto"/>
          <w:highlight w:val="none"/>
        </w:rPr>
      </w:pPr>
      <w:bookmarkStart w:id="32" w:name="_Toc15377205"/>
      <w:bookmarkStart w:id="33" w:name="_Toc15396603"/>
      <w:bookmarkStart w:id="34" w:name="_Toc29047"/>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32"/>
      <w:bookmarkEnd w:id="33"/>
      <w:bookmarkEnd w:id="34"/>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1330.5</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年相比，收、支总计各减少</w:t>
      </w:r>
      <w:r>
        <w:rPr>
          <w:rFonts w:hint="eastAsia" w:ascii="仿宋_GB2312" w:hAnsi="仿宋_GB2312" w:eastAsia="仿宋_GB2312" w:cs="仿宋_GB2312"/>
          <w:color w:val="auto"/>
          <w:sz w:val="32"/>
          <w:szCs w:val="32"/>
          <w:highlight w:val="none"/>
          <w:lang w:val="en-US" w:eastAsia="zh-CN"/>
        </w:rPr>
        <w:t>305.59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18.68</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i w:val="0"/>
          <w:caps w:val="0"/>
          <w:color w:val="333333"/>
          <w:spacing w:val="0"/>
          <w:kern w:val="0"/>
          <w:sz w:val="32"/>
          <w:szCs w:val="32"/>
          <w:shd w:val="clear" w:color="auto" w:fill="FFFFFF"/>
          <w:lang w:val="en-US" w:eastAsia="zh-CN" w:bidi="ar"/>
        </w:rPr>
        <w:t>主要原因是体制上划，保障标准发生改变。</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（图1：收、支决算总计变动情况图）（柱状图）</w:t>
      </w:r>
    </w:p>
    <w:p>
      <w:pPr>
        <w:pStyle w:val="2"/>
        <w:rPr>
          <w:rFonts w:hint="default" w:eastAsia="仿宋"/>
          <w:lang w:val="en-US" w:eastAsia="zh-CN"/>
        </w:rPr>
      </w:pPr>
      <w:r>
        <w:rPr>
          <w:rFonts w:hint="default" w:eastAsia="仿宋"/>
          <w:lang w:val="en-US" w:eastAsia="zh-CN"/>
        </w:rPr>
        <w:drawing>
          <wp:inline distT="0" distB="0" distL="114300" distR="114300">
            <wp:extent cx="5256530" cy="2428875"/>
            <wp:effectExtent l="4445" t="4445" r="15875" b="508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31"/>
        <w:numPr>
          <w:ilvl w:val="0"/>
          <w:numId w:val="1"/>
        </w:numPr>
        <w:spacing w:line="600" w:lineRule="exact"/>
        <w:ind w:firstLineChars="0"/>
        <w:outlineLvl w:val="1"/>
        <w:rPr>
          <w:rStyle w:val="22"/>
          <w:rFonts w:ascii="黑体" w:hAnsi="黑体" w:eastAsia="黑体"/>
          <w:b w:val="0"/>
          <w:color w:val="auto"/>
          <w:highlight w:val="none"/>
        </w:rPr>
      </w:pPr>
      <w:bookmarkStart w:id="35" w:name="_Toc9258"/>
      <w:bookmarkStart w:id="36" w:name="_Toc15396604"/>
      <w:bookmarkStart w:id="37" w:name="_Toc15377206"/>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入决算情况说明</w:t>
      </w:r>
      <w:bookmarkEnd w:id="35"/>
      <w:bookmarkEnd w:id="36"/>
      <w:bookmarkEnd w:id="37"/>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38" w:name="_Toc24961"/>
      <w:bookmarkStart w:id="39" w:name="_Toc7515"/>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1330.5</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1018.32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76.5</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312.18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23.5</w:t>
      </w:r>
      <w:r>
        <w:rPr>
          <w:rFonts w:hint="eastAsia" w:ascii="仿宋_GB2312" w:hAnsi="仿宋_GB2312" w:eastAsia="仿宋_GB2312" w:cs="仿宋_GB2312"/>
          <w:color w:val="auto"/>
          <w:sz w:val="32"/>
          <w:szCs w:val="32"/>
          <w:highlight w:val="none"/>
        </w:rPr>
        <w:t>%。</w:t>
      </w:r>
      <w:bookmarkEnd w:id="38"/>
      <w:bookmarkEnd w:id="39"/>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auto"/>
          <w:sz w:val="32"/>
          <w:szCs w:val="32"/>
          <w:highlight w:val="none"/>
        </w:rPr>
        <w:t>（图2：收入决算结构图）（饼状图）</w:t>
      </w:r>
    </w:p>
    <w:p>
      <w:pPr>
        <w:pStyle w:val="2"/>
        <w:ind w:left="67" w:leftChars="0" w:firstLine="0" w:firstLineChars="0"/>
        <w:rPr>
          <w:rFonts w:ascii="仿宋_GB2312" w:eastAsia="仿宋_GB2312"/>
          <w:color w:val="auto"/>
          <w:sz w:val="32"/>
          <w:szCs w:val="32"/>
          <w:highlight w:val="none"/>
        </w:rPr>
      </w:pPr>
      <w:r>
        <w:rPr>
          <w:rFonts w:hint="eastAsia" w:eastAsia="仿宋"/>
          <w:lang w:eastAsia="zh-CN"/>
        </w:rPr>
        <w:drawing>
          <wp:inline distT="0" distB="0" distL="114300" distR="114300">
            <wp:extent cx="5193665" cy="2956560"/>
            <wp:effectExtent l="4445" t="4445" r="21590"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pPr>
    </w:p>
    <w:p>
      <w:pPr>
        <w:pStyle w:val="31"/>
        <w:numPr>
          <w:ilvl w:val="0"/>
          <w:numId w:val="1"/>
        </w:numPr>
        <w:spacing w:line="600" w:lineRule="exact"/>
        <w:ind w:firstLineChars="0"/>
        <w:outlineLvl w:val="1"/>
        <w:rPr>
          <w:rStyle w:val="22"/>
          <w:rFonts w:ascii="黑体" w:hAnsi="黑体" w:eastAsia="黑体"/>
          <w:b w:val="0"/>
          <w:color w:val="auto"/>
          <w:highlight w:val="none"/>
        </w:rPr>
      </w:pPr>
      <w:bookmarkStart w:id="40" w:name="_Toc15377207"/>
      <w:bookmarkStart w:id="41" w:name="_Toc15396605"/>
      <w:bookmarkStart w:id="42" w:name="_Toc5662"/>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40"/>
      <w:bookmarkEnd w:id="41"/>
      <w:bookmarkEnd w:id="42"/>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color w:val="auto"/>
          <w:sz w:val="32"/>
          <w:szCs w:val="32"/>
          <w:highlight w:val="none"/>
        </w:rPr>
      </w:pPr>
      <w:bookmarkStart w:id="43" w:name="_Toc30273"/>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1330.5</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1108.38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83.3</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222.12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16.7</w:t>
      </w:r>
      <w:r>
        <w:rPr>
          <w:rFonts w:hint="eastAsia" w:ascii="仿宋_GB2312" w:hAnsi="仿宋_GB2312" w:eastAsia="仿宋_GB2312" w:cs="仿宋_GB2312"/>
          <w:color w:val="auto"/>
          <w:sz w:val="32"/>
          <w:szCs w:val="32"/>
          <w:highlight w:val="none"/>
        </w:rPr>
        <w:t>%。</w:t>
      </w:r>
      <w:bookmarkEnd w:id="43"/>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（图3：支出决算结构图）（饼状图）</w:t>
      </w:r>
    </w:p>
    <w:p>
      <w:pPr>
        <w:pStyle w:val="4"/>
        <w:bidi w:val="0"/>
        <w:rPr>
          <w:rFonts w:hint="eastAsia" w:ascii="黑体" w:hAnsi="黑体" w:eastAsia="黑体"/>
          <w:color w:val="auto"/>
          <w:sz w:val="32"/>
          <w:szCs w:val="32"/>
          <w:highlight w:val="none"/>
        </w:rPr>
      </w:pPr>
      <w:bookmarkStart w:id="44" w:name="_Toc20551"/>
    </w:p>
    <w:p>
      <w:pPr>
        <w:pStyle w:val="4"/>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Style w:val="22"/>
          <w:rFonts w:ascii="黑体" w:hAnsi="黑体" w:eastAsia="黑体"/>
          <w:b w:val="0"/>
          <w:bCs/>
          <w:color w:val="auto"/>
          <w:highlight w:val="none"/>
        </w:rPr>
      </w:pPr>
      <w:r>
        <w:rPr>
          <w:rStyle w:val="22"/>
          <w:rFonts w:hint="eastAsia" w:ascii="黑体" w:hAnsi="黑体" w:eastAsia="黑体"/>
          <w:b w:val="0"/>
          <w:bCs/>
          <w:color w:val="auto"/>
          <w:highlight w:val="none"/>
          <w:lang w:eastAsia="zh-CN"/>
        </w:rPr>
        <w:drawing>
          <wp:anchor distT="0" distB="0" distL="114300" distR="114300" simplePos="0" relativeHeight="251659264" behindDoc="1" locked="0" layoutInCell="1" allowOverlap="1">
            <wp:simplePos x="0" y="0"/>
            <wp:positionH relativeFrom="column">
              <wp:posOffset>-13970</wp:posOffset>
            </wp:positionH>
            <wp:positionV relativeFrom="paragraph">
              <wp:posOffset>80645</wp:posOffset>
            </wp:positionV>
            <wp:extent cx="5152390" cy="2536190"/>
            <wp:effectExtent l="4445" t="4445" r="5715" b="69215"/>
            <wp:wrapTight wrapText="bothSides">
              <wp:wrapPolygon>
                <wp:start x="-19" y="-38"/>
                <wp:lineTo x="-19" y="21541"/>
                <wp:lineTo x="21544" y="21541"/>
                <wp:lineTo x="21544" y="-38"/>
                <wp:lineTo x="-19" y="-38"/>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45" w:name="_Toc15396606"/>
      <w:bookmarkStart w:id="46" w:name="_Toc15377208"/>
      <w:r>
        <w:rPr>
          <w:rStyle w:val="22"/>
          <w:rFonts w:hint="eastAsia" w:ascii="黑体" w:hAnsi="黑体" w:eastAsia="黑体"/>
          <w:b w:val="0"/>
          <w:bCs/>
          <w:color w:val="auto"/>
          <w:highlight w:val="none"/>
        </w:rPr>
        <w:t>四、财</w:t>
      </w:r>
      <w:r>
        <w:rPr>
          <w:rStyle w:val="22"/>
          <w:rFonts w:hint="eastAsia" w:ascii="黑体" w:hAnsi="黑体" w:eastAsia="黑体"/>
          <w:b w:val="0"/>
          <w:bCs/>
          <w:color w:val="auto"/>
          <w:highlight w:val="none"/>
        </w:rPr>
        <w:t>政拨款收入支出决算总体情况说明</w:t>
      </w:r>
      <w:bookmarkEnd w:id="44"/>
      <w:bookmarkEnd w:id="45"/>
      <w:bookmarkEnd w:id="46"/>
    </w:p>
    <w:p>
      <w:pPr>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1018.32</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年相比，财政拨款收、支总计各减少</w:t>
      </w:r>
      <w:r>
        <w:rPr>
          <w:rFonts w:hint="eastAsia" w:ascii="仿宋_GB2312" w:hAnsi="仿宋_GB2312" w:eastAsia="仿宋_GB2312" w:cs="仿宋_GB2312"/>
          <w:color w:val="auto"/>
          <w:sz w:val="32"/>
          <w:szCs w:val="32"/>
          <w:highlight w:val="none"/>
          <w:lang w:val="en-US" w:eastAsia="zh-CN"/>
        </w:rPr>
        <w:t>617.77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37.76</w:t>
      </w:r>
      <w:r>
        <w:rPr>
          <w:rFonts w:hint="eastAsia" w:ascii="仿宋_GB2312" w:hAnsi="仿宋_GB2312" w:eastAsia="仿宋_GB2312" w:cs="仿宋_GB2312"/>
          <w:color w:val="auto"/>
          <w:sz w:val="32"/>
          <w:szCs w:val="32"/>
          <w:highlight w:val="none"/>
        </w:rPr>
        <w:t>%。主要变动</w:t>
      </w:r>
      <w:r>
        <w:rPr>
          <w:rFonts w:hint="eastAsia" w:ascii="仿宋_GB2312" w:hAnsi="仿宋_GB2312" w:eastAsia="仿宋_GB2312" w:cs="仿宋_GB2312"/>
          <w:color w:val="auto"/>
          <w:sz w:val="32"/>
          <w:szCs w:val="32"/>
          <w:highlight w:val="none"/>
          <w:lang w:eastAsia="zh-CN"/>
        </w:rPr>
        <w:t>原因是</w:t>
      </w:r>
      <w:r>
        <w:rPr>
          <w:rFonts w:hint="eastAsia" w:ascii="仿宋_GB2312" w:hAnsi="仿宋_GB2312" w:eastAsia="仿宋_GB2312" w:cs="仿宋_GB2312"/>
          <w:color w:val="auto"/>
          <w:sz w:val="32"/>
          <w:szCs w:val="32"/>
          <w:highlight w:val="none"/>
          <w:lang w:val="en-US" w:eastAsia="zh-CN"/>
        </w:rPr>
        <w:t>体制上划，保障标准发生改变。</w:t>
      </w:r>
    </w:p>
    <w:p>
      <w:pPr>
        <w:spacing w:line="600" w:lineRule="exact"/>
        <w:ind w:firstLine="640"/>
        <w:rPr>
          <w:rFonts w:hint="eastAsia" w:ascii="仿宋_GB2312" w:hAnsi="仿宋_GB2312" w:eastAsia="仿宋_GB2312" w:cs="仿宋_GB2312"/>
          <w:b/>
          <w:color w:val="auto"/>
          <w:sz w:val="32"/>
          <w:szCs w:val="32"/>
          <w:highlight w:val="none"/>
          <w:lang w:eastAsia="zh-CN"/>
        </w:rPr>
      </w:pPr>
      <w:r>
        <w:rPr>
          <w:rFonts w:hint="eastAsia" w:ascii="仿宋_GB2312" w:hAnsi="仿宋_GB2312" w:eastAsia="仿宋_GB2312" w:cs="仿宋_GB2312"/>
          <w:color w:val="auto"/>
          <w:sz w:val="32"/>
          <w:szCs w:val="32"/>
          <w:highlight w:val="none"/>
        </w:rPr>
        <w:t>（图4：财政拨款收、支决算总计变动情况）（柱状图）</w:t>
      </w:r>
    </w:p>
    <w:p>
      <w:pPr>
        <w:spacing w:line="600" w:lineRule="exact"/>
        <w:ind w:firstLine="643" w:firstLineChars="200"/>
        <w:outlineLvl w:val="1"/>
        <w:rPr>
          <w:rStyle w:val="22"/>
          <w:rFonts w:ascii="黑体" w:hAnsi="黑体" w:eastAsia="黑体"/>
          <w:b w:val="0"/>
          <w:color w:val="auto"/>
          <w:highlight w:val="none"/>
        </w:rPr>
      </w:pPr>
      <w:bookmarkStart w:id="47" w:name="_Toc1494"/>
      <w:bookmarkStart w:id="48" w:name="_Toc15377209"/>
      <w:bookmarkStart w:id="49" w:name="_Toc15396607"/>
      <w:r>
        <w:rPr>
          <w:rFonts w:hint="eastAsia" w:ascii="仿宋" w:hAnsi="仿宋" w:eastAsia="仿宋"/>
          <w:b/>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83185</wp:posOffset>
            </wp:positionH>
            <wp:positionV relativeFrom="paragraph">
              <wp:posOffset>50800</wp:posOffset>
            </wp:positionV>
            <wp:extent cx="5256530" cy="2383155"/>
            <wp:effectExtent l="4445" t="4445" r="15875" b="1270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般公共预算财政拨款支出决算情况说明</w:t>
      </w:r>
      <w:bookmarkEnd w:id="47"/>
      <w:bookmarkEnd w:id="48"/>
      <w:bookmarkEnd w:id="49"/>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50" w:name="_Toc15377210"/>
      <w:r>
        <w:rPr>
          <w:rFonts w:hint="eastAsia" w:ascii="楷体" w:hAnsi="楷体" w:eastAsia="楷体" w:cs="楷体"/>
          <w:b w:val="0"/>
          <w:bCs/>
          <w:color w:val="auto"/>
          <w:sz w:val="32"/>
          <w:szCs w:val="32"/>
          <w:highlight w:val="none"/>
        </w:rPr>
        <w:t>（一）一般公共预算财政拨款支出决算总体情况</w:t>
      </w:r>
      <w:bookmarkEnd w:id="50"/>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1018.32</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76.5</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减少</w:t>
      </w:r>
      <w:r>
        <w:rPr>
          <w:rFonts w:hint="eastAsia" w:ascii="仿宋_GB2312" w:hAnsi="仿宋_GB2312" w:eastAsia="仿宋_GB2312" w:cs="仿宋_GB2312"/>
          <w:color w:val="auto"/>
          <w:sz w:val="32"/>
          <w:szCs w:val="32"/>
          <w:highlight w:val="none"/>
          <w:lang w:val="en-US" w:eastAsia="zh-CN"/>
        </w:rPr>
        <w:t>617.77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37.76</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sz w:val="32"/>
          <w:szCs w:val="32"/>
          <w:lang w:val="en-US" w:eastAsia="zh-CN"/>
        </w:rPr>
        <w:t>主要是减少日常公用经费、项目经费支出。</w:t>
      </w:r>
    </w:p>
    <w:p>
      <w:pPr>
        <w:spacing w:line="600" w:lineRule="exact"/>
        <w:ind w:firstLine="640" w:firstLineChars="200"/>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color w:val="auto"/>
          <w:sz w:val="32"/>
          <w:szCs w:val="32"/>
          <w:highlight w:val="none"/>
          <w:lang w:eastAsia="zh-CN"/>
        </w:rPr>
        <w:drawing>
          <wp:anchor distT="0" distB="0" distL="114300" distR="114300" simplePos="0" relativeHeight="251660288" behindDoc="1" locked="0" layoutInCell="1" allowOverlap="1">
            <wp:simplePos x="0" y="0"/>
            <wp:positionH relativeFrom="column">
              <wp:posOffset>230505</wp:posOffset>
            </wp:positionH>
            <wp:positionV relativeFrom="paragraph">
              <wp:posOffset>756920</wp:posOffset>
            </wp:positionV>
            <wp:extent cx="5256530" cy="2139315"/>
            <wp:effectExtent l="4445" t="4445" r="15875" b="46990"/>
            <wp:wrapTight wrapText="bothSides">
              <wp:wrapPolygon>
                <wp:start x="-18" y="-45"/>
                <wp:lineTo x="-18" y="21497"/>
                <wp:lineTo x="21509" y="21497"/>
                <wp:lineTo x="21509" y="-45"/>
                <wp:lineTo x="-18" y="-45"/>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_GB2312" w:eastAsia="仿宋_GB2312" w:cs="仿宋_GB2312"/>
          <w:color w:val="auto"/>
          <w:sz w:val="32"/>
          <w:szCs w:val="32"/>
          <w:highlight w:val="none"/>
        </w:rPr>
        <w:t>（图5：一般公共预算财政拨款支出决算变动情况）（柱状图）</w:t>
      </w:r>
      <w:bookmarkStart w:id="51" w:name="_Toc15377211"/>
    </w:p>
    <w:p>
      <w:pPr>
        <w:spacing w:line="600" w:lineRule="exact"/>
        <w:ind w:firstLine="640" w:firstLineChars="200"/>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（二）一般公共预算财政拨款支出决算结构情况</w:t>
      </w:r>
      <w:bookmarkEnd w:id="51"/>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1018.32</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val="0"/>
          <w:color w:val="auto"/>
          <w:sz w:val="32"/>
          <w:szCs w:val="32"/>
          <w:highlight w:val="none"/>
        </w:rPr>
        <w:t>公共</w:t>
      </w:r>
      <w:r>
        <w:rPr>
          <w:rFonts w:hint="eastAsia" w:ascii="仿宋_GB2312" w:hAnsi="仿宋_GB2312" w:eastAsia="仿宋_GB2312" w:cs="仿宋_GB2312"/>
          <w:b/>
          <w:bCs w:val="0"/>
          <w:color w:val="auto"/>
          <w:sz w:val="32"/>
          <w:szCs w:val="32"/>
          <w:highlight w:val="none"/>
          <w:lang w:val="en-US" w:eastAsia="zh-CN"/>
        </w:rPr>
        <w:t>安全</w:t>
      </w:r>
      <w:r>
        <w:rPr>
          <w:rFonts w:hint="eastAsia" w:ascii="仿宋_GB2312" w:hAnsi="仿宋_GB2312" w:eastAsia="仿宋_GB2312" w:cs="仿宋_GB2312"/>
          <w:b/>
          <w:bCs w:val="0"/>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884.76</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86.88</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color w:val="auto"/>
          <w:sz w:val="32"/>
          <w:szCs w:val="32"/>
          <w:highlight w:val="none"/>
        </w:rPr>
        <w:t>社会保障和就业</w:t>
      </w:r>
      <w:r>
        <w:rPr>
          <w:rFonts w:hint="eastAsia" w:ascii="仿宋_GB2312" w:hAnsi="仿宋_GB2312" w:eastAsia="仿宋_GB2312" w:cs="仿宋_GB2312"/>
          <w:b/>
          <w:bCs/>
          <w:color w:val="auto"/>
          <w:sz w:val="32"/>
          <w:szCs w:val="32"/>
          <w:highlight w:val="none"/>
        </w:rPr>
        <w:t>支出</w:t>
      </w:r>
      <w:r>
        <w:rPr>
          <w:rFonts w:hint="eastAsia" w:ascii="仿宋_GB2312" w:hAnsi="仿宋_GB2312" w:eastAsia="仿宋_GB2312" w:cs="仿宋_GB2312"/>
          <w:color w:val="auto"/>
          <w:sz w:val="32"/>
          <w:szCs w:val="32"/>
          <w:highlight w:val="none"/>
          <w:lang w:val="en-US" w:eastAsia="zh-CN"/>
        </w:rPr>
        <w:t>57.14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5.61</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卫生健康支出</w:t>
      </w:r>
      <w:r>
        <w:rPr>
          <w:rFonts w:hint="eastAsia" w:ascii="仿宋_GB2312" w:hAnsi="仿宋_GB2312" w:eastAsia="仿宋_GB2312" w:cs="仿宋_GB2312"/>
          <w:color w:val="auto"/>
          <w:sz w:val="32"/>
          <w:szCs w:val="32"/>
          <w:highlight w:val="none"/>
          <w:lang w:val="en-US" w:eastAsia="zh-CN"/>
        </w:rPr>
        <w:t>28.99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2.85</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rPr>
        <w:t>住房保障支出</w:t>
      </w:r>
      <w:r>
        <w:rPr>
          <w:rFonts w:hint="eastAsia" w:ascii="仿宋_GB2312" w:hAnsi="仿宋_GB2312" w:eastAsia="仿宋_GB2312" w:cs="仿宋_GB2312"/>
          <w:color w:val="auto"/>
          <w:sz w:val="32"/>
          <w:szCs w:val="32"/>
          <w:highlight w:val="none"/>
          <w:lang w:val="en-US" w:eastAsia="zh-CN"/>
        </w:rPr>
        <w:t>47.43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4.66</w:t>
      </w:r>
      <w:r>
        <w:rPr>
          <w:rFonts w:hint="eastAsia" w:ascii="仿宋_GB2312" w:hAnsi="仿宋_GB2312" w:eastAsia="仿宋_GB2312" w:cs="仿宋_GB2312"/>
          <w:color w:val="auto"/>
          <w:sz w:val="32"/>
          <w:szCs w:val="32"/>
          <w:highlight w:val="none"/>
        </w:rPr>
        <w:t>%。</w:t>
      </w:r>
    </w:p>
    <w:p>
      <w:pP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（图6：一般公共预算财政拨款支出决算结构）（饼状图）</w:t>
      </w:r>
    </w:p>
    <w:p>
      <w:pPr>
        <w:pStyle w:val="2"/>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inline distT="0" distB="0" distL="114300" distR="114300">
            <wp:extent cx="5256530" cy="2988310"/>
            <wp:effectExtent l="5080" t="4445" r="15240" b="1714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52" w:name="_Toc15377212"/>
      <w:r>
        <w:rPr>
          <w:rFonts w:hint="eastAsia" w:ascii="楷体" w:hAnsi="楷体" w:eastAsia="楷体" w:cs="楷体"/>
          <w:b w:val="0"/>
          <w:bCs/>
          <w:color w:val="auto"/>
          <w:sz w:val="32"/>
          <w:szCs w:val="32"/>
          <w:highlight w:val="none"/>
        </w:rPr>
        <w:t>（三）一般公共预算财政拨款支出决算具体情况</w:t>
      </w:r>
      <w:bookmarkEnd w:id="52"/>
    </w:p>
    <w:p>
      <w:pPr>
        <w:spacing w:line="600" w:lineRule="exact"/>
        <w:ind w:firstLine="643" w:firstLineChars="200"/>
        <w:outlineLvl w:val="1"/>
        <w:rPr>
          <w:rFonts w:hint="eastAsia" w:ascii="仿宋_GB2312" w:hAnsi="仿宋_GB2312" w:eastAsia="仿宋_GB2312" w:cs="仿宋_GB2312"/>
          <w:b/>
          <w:bCs w:val="0"/>
          <w:color w:val="auto"/>
          <w:sz w:val="32"/>
          <w:szCs w:val="32"/>
          <w:highlight w:val="none"/>
        </w:rPr>
      </w:pPr>
      <w:bookmarkStart w:id="53" w:name="_Toc15377444"/>
      <w:bookmarkStart w:id="54" w:name="_Toc15377213"/>
      <w:bookmarkStart w:id="55" w:name="_Toc15378460"/>
      <w:bookmarkStart w:id="56" w:name="_Toc16759"/>
      <w:r>
        <w:rPr>
          <w:rFonts w:hint="eastAsia" w:ascii="仿宋_GB2312" w:hAnsi="仿宋_GB2312" w:eastAsia="仿宋_GB2312" w:cs="仿宋_GB2312"/>
          <w:b/>
          <w:bCs w:val="0"/>
          <w:color w:val="auto"/>
          <w:sz w:val="32"/>
          <w:szCs w:val="32"/>
          <w:highlight w:val="none"/>
        </w:rPr>
        <w:t>20</w:t>
      </w:r>
      <w:r>
        <w:rPr>
          <w:rFonts w:hint="eastAsia" w:ascii="仿宋_GB2312" w:hAnsi="仿宋_GB2312" w:eastAsia="仿宋_GB2312" w:cs="仿宋_GB2312"/>
          <w:b/>
          <w:bCs w:val="0"/>
          <w:color w:val="auto"/>
          <w:sz w:val="32"/>
          <w:szCs w:val="32"/>
          <w:highlight w:val="none"/>
          <w:lang w:val="en-US" w:eastAsia="zh-CN"/>
        </w:rPr>
        <w:t>22</w:t>
      </w:r>
      <w:r>
        <w:rPr>
          <w:rFonts w:hint="eastAsia" w:ascii="仿宋_GB2312" w:hAnsi="仿宋_GB2312" w:eastAsia="仿宋_GB2312" w:cs="仿宋_GB2312"/>
          <w:b/>
          <w:bCs w:val="0"/>
          <w:color w:val="auto"/>
          <w:sz w:val="32"/>
          <w:szCs w:val="32"/>
          <w:highlight w:val="none"/>
        </w:rPr>
        <w:t>年</w:t>
      </w:r>
      <w:r>
        <w:rPr>
          <w:rFonts w:hint="eastAsia" w:ascii="仿宋_GB2312" w:hAnsi="仿宋_GB2312" w:eastAsia="仿宋_GB2312" w:cs="仿宋_GB2312"/>
          <w:b/>
          <w:bCs w:val="0"/>
          <w:color w:val="auto"/>
          <w:sz w:val="32"/>
          <w:szCs w:val="32"/>
          <w:highlight w:val="none"/>
          <w:lang w:eastAsia="zh-CN"/>
        </w:rPr>
        <w:t>一</w:t>
      </w:r>
      <w:r>
        <w:rPr>
          <w:rFonts w:hint="eastAsia" w:ascii="仿宋_GB2312" w:hAnsi="仿宋_GB2312" w:eastAsia="仿宋_GB2312" w:cs="仿宋_GB2312"/>
          <w:b/>
          <w:bCs w:val="0"/>
          <w:color w:val="auto"/>
          <w:sz w:val="32"/>
          <w:szCs w:val="32"/>
          <w:highlight w:val="none"/>
        </w:rPr>
        <w:t>般公共预算支出决算数为</w:t>
      </w:r>
      <w:r>
        <w:rPr>
          <w:rFonts w:hint="eastAsia" w:ascii="仿宋_GB2312" w:hAnsi="仿宋_GB2312" w:eastAsia="仿宋_GB2312" w:cs="仿宋_GB2312"/>
          <w:b/>
          <w:bCs w:val="0"/>
          <w:color w:val="auto"/>
          <w:sz w:val="32"/>
          <w:szCs w:val="32"/>
          <w:highlight w:val="none"/>
          <w:lang w:val="en-US" w:eastAsia="zh-CN"/>
        </w:rPr>
        <w:t>1018.32万元</w:t>
      </w:r>
      <w:r>
        <w:rPr>
          <w:rFonts w:hint="eastAsia" w:ascii="仿宋_GB2312" w:hAnsi="仿宋_GB2312" w:eastAsia="仿宋_GB2312" w:cs="仿宋_GB2312"/>
          <w:b/>
          <w:bCs w:val="0"/>
          <w:color w:val="auto"/>
          <w:sz w:val="32"/>
          <w:szCs w:val="32"/>
          <w:highlight w:val="none"/>
        </w:rPr>
        <w:t>，</w:t>
      </w:r>
      <w:r>
        <w:rPr>
          <w:rStyle w:val="19"/>
          <w:rFonts w:hint="eastAsia" w:ascii="仿宋_GB2312" w:hAnsi="仿宋_GB2312" w:eastAsia="仿宋_GB2312" w:cs="仿宋_GB2312"/>
          <w:b/>
          <w:bCs w:val="0"/>
          <w:color w:val="auto"/>
          <w:sz w:val="32"/>
          <w:szCs w:val="32"/>
          <w:highlight w:val="none"/>
        </w:rPr>
        <w:t>完成预算</w:t>
      </w:r>
      <w:r>
        <w:rPr>
          <w:rStyle w:val="19"/>
          <w:rFonts w:hint="eastAsia" w:ascii="仿宋_GB2312" w:hAnsi="仿宋_GB2312" w:eastAsia="仿宋_GB2312" w:cs="仿宋_GB2312"/>
          <w:b/>
          <w:bCs w:val="0"/>
          <w:color w:val="auto"/>
          <w:sz w:val="32"/>
          <w:szCs w:val="32"/>
          <w:highlight w:val="none"/>
          <w:lang w:val="en-US" w:eastAsia="zh-CN"/>
        </w:rPr>
        <w:t>100</w:t>
      </w:r>
      <w:r>
        <w:rPr>
          <w:rStyle w:val="19"/>
          <w:rFonts w:hint="eastAsia" w:ascii="仿宋_GB2312" w:hAnsi="仿宋_GB2312" w:eastAsia="仿宋_GB2312" w:cs="仿宋_GB2312"/>
          <w:b/>
          <w:bCs w:val="0"/>
          <w:color w:val="auto"/>
          <w:sz w:val="32"/>
          <w:szCs w:val="32"/>
          <w:highlight w:val="none"/>
        </w:rPr>
        <w:t>%。其中：</w:t>
      </w:r>
      <w:bookmarkEnd w:id="53"/>
      <w:bookmarkEnd w:id="54"/>
      <w:bookmarkEnd w:id="55"/>
      <w:bookmarkEnd w:id="56"/>
    </w:p>
    <w:p>
      <w:pPr>
        <w:numPr>
          <w:ilvl w:val="0"/>
          <w:numId w:val="0"/>
        </w:numPr>
        <w:spacing w:line="600" w:lineRule="exact"/>
        <w:ind w:firstLine="643" w:firstLineChars="200"/>
        <w:rPr>
          <w:rStyle w:val="19"/>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Cs/>
          <w:color w:val="auto"/>
          <w:sz w:val="32"/>
          <w:szCs w:val="32"/>
          <w:highlight w:val="none"/>
          <w:lang w:val="en-US" w:eastAsia="zh-CN"/>
        </w:rPr>
        <w:t>1.公共安全</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val="en-US" w:eastAsia="zh-CN"/>
        </w:rPr>
        <w:t>检察</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val="en-US" w:eastAsia="zh-CN"/>
        </w:rPr>
        <w:t>行政运行</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687.14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w:t>
      </w:r>
    </w:p>
    <w:p>
      <w:pPr>
        <w:spacing w:line="600" w:lineRule="exact"/>
        <w:ind w:firstLine="643" w:firstLineChars="200"/>
        <w:rPr>
          <w:rStyle w:val="19"/>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Cs/>
          <w:color w:val="auto"/>
          <w:sz w:val="32"/>
          <w:szCs w:val="32"/>
          <w:highlight w:val="none"/>
        </w:rPr>
        <w:t>2.</w:t>
      </w:r>
      <w:r>
        <w:rPr>
          <w:rStyle w:val="19"/>
          <w:rFonts w:hint="eastAsia" w:ascii="仿宋_GB2312" w:hAnsi="仿宋_GB2312" w:eastAsia="仿宋_GB2312" w:cs="仿宋_GB2312"/>
          <w:bCs/>
          <w:color w:val="auto"/>
          <w:sz w:val="32"/>
          <w:szCs w:val="32"/>
          <w:highlight w:val="none"/>
          <w:lang w:val="en-US" w:eastAsia="zh-CN"/>
        </w:rPr>
        <w:t>公共安全</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val="en-US" w:eastAsia="zh-CN"/>
        </w:rPr>
        <w:t>检察</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val="en-US" w:eastAsia="zh-CN"/>
        </w:rPr>
        <w:t>一般行政管理事务</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13.48</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w:t>
      </w:r>
    </w:p>
    <w:p>
      <w:pPr>
        <w:spacing w:line="600" w:lineRule="exact"/>
        <w:ind w:firstLine="643" w:firstLineChars="200"/>
        <w:rPr>
          <w:rStyle w:val="19"/>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Cs/>
          <w:color w:val="auto"/>
          <w:sz w:val="32"/>
          <w:szCs w:val="32"/>
          <w:highlight w:val="none"/>
        </w:rPr>
        <w:t>3.</w:t>
      </w:r>
      <w:r>
        <w:rPr>
          <w:rStyle w:val="19"/>
          <w:rFonts w:hint="eastAsia" w:ascii="仿宋_GB2312" w:hAnsi="仿宋_GB2312" w:eastAsia="仿宋_GB2312" w:cs="仿宋_GB2312"/>
          <w:bCs/>
          <w:color w:val="auto"/>
          <w:sz w:val="32"/>
          <w:szCs w:val="32"/>
          <w:highlight w:val="none"/>
          <w:lang w:val="en-US" w:eastAsia="zh-CN"/>
        </w:rPr>
        <w:t>公共安全</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val="en-US" w:eastAsia="zh-CN"/>
        </w:rPr>
        <w:t>检察</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val="en-US" w:eastAsia="zh-CN"/>
        </w:rPr>
        <w:t>其他检察支出</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155.54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w:t>
      </w:r>
    </w:p>
    <w:p>
      <w:pPr>
        <w:spacing w:line="600" w:lineRule="exact"/>
        <w:ind w:firstLine="643" w:firstLineChars="200"/>
        <w:rPr>
          <w:rStyle w:val="19"/>
          <w:rFonts w:hint="eastAsia" w:ascii="仿宋" w:hAnsi="仿宋" w:eastAsia="仿宋"/>
          <w:b w:val="0"/>
          <w:bCs/>
          <w:color w:val="auto"/>
          <w:sz w:val="32"/>
          <w:szCs w:val="32"/>
          <w:highlight w:val="none"/>
          <w:lang w:eastAsia="zh-CN"/>
        </w:rPr>
      </w:pPr>
      <w:r>
        <w:rPr>
          <w:rStyle w:val="19"/>
          <w:rFonts w:hint="eastAsia" w:ascii="仿宋_GB2312" w:hAnsi="仿宋_GB2312" w:eastAsia="仿宋_GB2312" w:cs="仿宋_GB2312"/>
          <w:bCs/>
          <w:color w:val="auto"/>
          <w:sz w:val="32"/>
          <w:szCs w:val="32"/>
          <w:highlight w:val="none"/>
          <w:lang w:val="en-US" w:eastAsia="zh-CN"/>
        </w:rPr>
        <w:t>4.公共安全</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val="en-US" w:eastAsia="zh-CN"/>
        </w:rPr>
        <w:t>其他公共安全</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val="en-US" w:eastAsia="zh-CN"/>
        </w:rPr>
        <w:t>其他公共安全支出</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Cs/>
          <w:color w:val="auto"/>
          <w:sz w:val="32"/>
          <w:szCs w:val="32"/>
          <w:highlight w:val="none"/>
          <w:lang w:eastAsia="zh-CN"/>
        </w:rPr>
        <w:t>：</w:t>
      </w:r>
      <w:r>
        <w:rPr>
          <w:rStyle w:val="19"/>
          <w:rFonts w:ascii="仿宋" w:hAnsi="仿宋" w:eastAsia="仿宋"/>
          <w:b w:val="0"/>
          <w:bCs/>
          <w:color w:val="auto"/>
          <w:sz w:val="32"/>
          <w:szCs w:val="32"/>
          <w:highlight w:val="none"/>
        </w:rPr>
        <w:t xml:space="preserve"> </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28.6</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w:t>
      </w:r>
    </w:p>
    <w:p>
      <w:pPr>
        <w:spacing w:line="600" w:lineRule="exact"/>
        <w:ind w:firstLine="643" w:firstLineChars="200"/>
        <w:rPr>
          <w:rStyle w:val="19"/>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Cs/>
          <w:color w:val="auto"/>
          <w:sz w:val="32"/>
          <w:szCs w:val="32"/>
          <w:highlight w:val="none"/>
        </w:rPr>
        <w:t>5.社会保障和就业（类）</w:t>
      </w:r>
      <w:r>
        <w:rPr>
          <w:rStyle w:val="19"/>
          <w:rFonts w:hint="eastAsia" w:ascii="仿宋_GB2312" w:hAnsi="仿宋_GB2312" w:eastAsia="仿宋_GB2312" w:cs="仿宋_GB2312"/>
          <w:bCs/>
          <w:sz w:val="32"/>
          <w:szCs w:val="32"/>
          <w:lang w:eastAsia="zh-CN"/>
        </w:rPr>
        <w:t>行政事业单位养老支出</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sz w:val="32"/>
          <w:szCs w:val="32"/>
          <w:lang w:eastAsia="zh-CN"/>
        </w:rPr>
        <w:t>机关事业单位基本养老保险缴费支出</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 xml:space="preserve"> 支出决算为</w:t>
      </w:r>
      <w:r>
        <w:rPr>
          <w:rStyle w:val="19"/>
          <w:rFonts w:hint="eastAsia" w:ascii="仿宋_GB2312" w:hAnsi="仿宋_GB2312" w:eastAsia="仿宋_GB2312" w:cs="仿宋_GB2312"/>
          <w:b w:val="0"/>
          <w:bCs/>
          <w:color w:val="auto"/>
          <w:sz w:val="32"/>
          <w:szCs w:val="32"/>
          <w:highlight w:val="none"/>
          <w:lang w:val="en-US" w:eastAsia="zh-CN"/>
        </w:rPr>
        <w:t>57.14</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w:t>
      </w:r>
    </w:p>
    <w:p>
      <w:pPr>
        <w:spacing w:line="600" w:lineRule="exact"/>
        <w:ind w:firstLine="643" w:firstLineChars="200"/>
        <w:rPr>
          <w:rStyle w:val="19"/>
          <w:rFonts w:hint="eastAsia" w:ascii="仿宋_GB2312" w:hAnsi="仿宋_GB2312" w:eastAsia="仿宋_GB2312" w:cs="仿宋_GB2312"/>
          <w:b w:val="0"/>
          <w:bCs/>
          <w:color w:val="auto"/>
          <w:sz w:val="32"/>
          <w:szCs w:val="32"/>
          <w:highlight w:val="none"/>
          <w:lang w:eastAsia="zh-CN"/>
        </w:rPr>
      </w:pPr>
      <w:r>
        <w:rPr>
          <w:rStyle w:val="19"/>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
          <w:bCs/>
          <w:color w:val="auto"/>
          <w:sz w:val="32"/>
          <w:szCs w:val="32"/>
          <w:highlight w:val="none"/>
        </w:rPr>
        <w:t>卫生健康</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color w:val="auto"/>
          <w:sz w:val="32"/>
          <w:szCs w:val="32"/>
          <w:highlight w:val="none"/>
          <w:lang w:val="en-US" w:eastAsia="zh-CN"/>
        </w:rPr>
        <w:t>行政事业单位医疗</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color w:val="auto"/>
          <w:sz w:val="32"/>
          <w:szCs w:val="32"/>
          <w:highlight w:val="none"/>
          <w:lang w:val="en-US" w:eastAsia="zh-CN"/>
        </w:rPr>
        <w:t>行政单位医疗</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28.99</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w:t>
      </w:r>
    </w:p>
    <w:p>
      <w:pPr>
        <w:spacing w:line="600" w:lineRule="exact"/>
        <w:ind w:firstLine="643" w:firstLineChars="200"/>
        <w:rPr>
          <w:rFonts w:hint="eastAsia" w:ascii="仿宋_GB2312" w:hAnsi="仿宋_GB2312" w:eastAsia="仿宋_GB2312" w:cs="仿宋_GB2312"/>
          <w:color w:val="auto"/>
          <w:sz w:val="32"/>
          <w:szCs w:val="32"/>
          <w:highlight w:val="none"/>
        </w:rPr>
      </w:pPr>
      <w:r>
        <w:rPr>
          <w:rStyle w:val="19"/>
          <w:rFonts w:hint="eastAsia" w:ascii="仿宋_GB2312" w:hAnsi="仿宋_GB2312" w:eastAsia="仿宋_GB2312" w:cs="仿宋_GB2312"/>
          <w:bCs/>
          <w:color w:val="auto"/>
          <w:sz w:val="32"/>
          <w:szCs w:val="32"/>
          <w:highlight w:val="none"/>
          <w:lang w:val="en-US" w:eastAsia="zh-CN"/>
        </w:rPr>
        <w:t>7</w:t>
      </w:r>
      <w:r>
        <w:rPr>
          <w:rStyle w:val="19"/>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住房保障</w:t>
      </w:r>
      <w:r>
        <w:rPr>
          <w:rStyle w:val="19"/>
          <w:rFonts w:hint="eastAsia" w:ascii="仿宋_GB2312" w:hAnsi="仿宋_GB2312" w:eastAsia="仿宋_GB2312" w:cs="仿宋_GB2312"/>
          <w:bCs/>
          <w:color w:val="auto"/>
          <w:sz w:val="32"/>
          <w:szCs w:val="32"/>
          <w:highlight w:val="none"/>
        </w:rPr>
        <w:t>（类）</w:t>
      </w:r>
      <w:r>
        <w:rPr>
          <w:rStyle w:val="19"/>
          <w:rFonts w:hint="eastAsia" w:ascii="仿宋_GB2312" w:hAnsi="仿宋_GB2312" w:eastAsia="仿宋_GB2312" w:cs="仿宋_GB2312"/>
          <w:bCs/>
          <w:sz w:val="32"/>
          <w:szCs w:val="32"/>
          <w:lang w:eastAsia="zh-CN"/>
        </w:rPr>
        <w:t>住房改革支出</w:t>
      </w:r>
      <w:r>
        <w:rPr>
          <w:rStyle w:val="19"/>
          <w:rFonts w:hint="eastAsia" w:ascii="仿宋_GB2312" w:hAnsi="仿宋_GB2312" w:eastAsia="仿宋_GB2312" w:cs="仿宋_GB2312"/>
          <w:bCs/>
          <w:color w:val="auto"/>
          <w:sz w:val="32"/>
          <w:szCs w:val="32"/>
          <w:highlight w:val="none"/>
        </w:rPr>
        <w:t>（款）</w:t>
      </w:r>
      <w:r>
        <w:rPr>
          <w:rStyle w:val="19"/>
          <w:rFonts w:hint="eastAsia" w:ascii="仿宋_GB2312" w:hAnsi="仿宋_GB2312" w:eastAsia="仿宋_GB2312" w:cs="仿宋_GB2312"/>
          <w:bCs/>
          <w:sz w:val="32"/>
          <w:szCs w:val="32"/>
          <w:lang w:eastAsia="zh-CN"/>
        </w:rPr>
        <w:t>住房公积金</w:t>
      </w:r>
      <w:r>
        <w:rPr>
          <w:rStyle w:val="19"/>
          <w:rFonts w:hint="eastAsia" w:ascii="仿宋_GB2312" w:hAnsi="仿宋_GB2312" w:eastAsia="仿宋_GB2312" w:cs="仿宋_GB2312"/>
          <w:bCs/>
          <w:color w:val="auto"/>
          <w:sz w:val="32"/>
          <w:szCs w:val="32"/>
          <w:highlight w:val="none"/>
        </w:rPr>
        <w:t>（项）</w:t>
      </w:r>
      <w:r>
        <w:rPr>
          <w:rStyle w:val="19"/>
          <w:rFonts w:hint="eastAsia" w:ascii="仿宋_GB2312" w:hAnsi="仿宋_GB2312" w:eastAsia="仿宋_GB2312" w:cs="仿宋_GB2312"/>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支出决算为</w:t>
      </w:r>
      <w:r>
        <w:rPr>
          <w:rStyle w:val="19"/>
          <w:rFonts w:hint="eastAsia" w:ascii="仿宋_GB2312" w:hAnsi="仿宋_GB2312" w:eastAsia="仿宋_GB2312" w:cs="仿宋_GB2312"/>
          <w:b w:val="0"/>
          <w:bCs/>
          <w:color w:val="auto"/>
          <w:sz w:val="32"/>
          <w:szCs w:val="32"/>
          <w:highlight w:val="none"/>
          <w:lang w:val="en-US" w:eastAsia="zh-CN"/>
        </w:rPr>
        <w:t>47.43</w:t>
      </w:r>
      <w:r>
        <w:rPr>
          <w:rStyle w:val="19"/>
          <w:rFonts w:hint="eastAsia" w:ascii="仿宋_GB2312" w:hAnsi="仿宋_GB2312" w:eastAsia="仿宋_GB2312" w:cs="仿宋_GB2312"/>
          <w:b w:val="0"/>
          <w:bCs/>
          <w:color w:val="auto"/>
          <w:sz w:val="32"/>
          <w:szCs w:val="32"/>
          <w:highlight w:val="none"/>
        </w:rPr>
        <w:t>万元，完成预算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Style w:val="19"/>
          <w:rFonts w:hint="eastAsia" w:ascii="仿宋_GB2312" w:hAnsi="仿宋_GB2312" w:eastAsia="仿宋_GB2312" w:cs="仿宋_GB2312"/>
          <w:b w:val="0"/>
          <w:bCs/>
          <w:color w:val="auto"/>
          <w:sz w:val="32"/>
          <w:szCs w:val="32"/>
          <w:highlight w:val="none"/>
          <w:lang w:eastAsia="zh-CN"/>
        </w:rPr>
        <w:t>。</w:t>
      </w:r>
    </w:p>
    <w:p>
      <w:pPr>
        <w:tabs>
          <w:tab w:val="right" w:pos="8306"/>
        </w:tabs>
        <w:spacing w:line="600" w:lineRule="exact"/>
        <w:ind w:firstLine="640"/>
        <w:outlineLvl w:val="1"/>
        <w:rPr>
          <w:rStyle w:val="22"/>
          <w:color w:val="auto"/>
          <w:highlight w:val="none"/>
        </w:rPr>
      </w:pPr>
      <w:bookmarkStart w:id="57" w:name="_Toc15377214"/>
      <w:bookmarkStart w:id="58" w:name="_Toc17429"/>
      <w:bookmarkStart w:id="5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57"/>
      <w:bookmarkEnd w:id="58"/>
      <w:bookmarkEnd w:id="59"/>
      <w:r>
        <w:rPr>
          <w:rStyle w:val="22"/>
          <w:rFonts w:ascii="黑体" w:hAnsi="黑体" w:eastAsia="黑体"/>
          <w:b w:val="0"/>
          <w:color w:val="auto"/>
          <w:highlight w:val="none"/>
        </w:rPr>
        <w:tab/>
      </w:r>
    </w:p>
    <w:p>
      <w:pPr>
        <w:spacing w:line="600" w:lineRule="exact"/>
        <w:ind w:firstLine="640" w:firstLineChars="200"/>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rPr>
        <w:t>20</w:t>
      </w:r>
      <w:r>
        <w:rPr>
          <w:rStyle w:val="19"/>
          <w:rFonts w:hint="eastAsia" w:ascii="仿宋_GB2312" w:hAnsi="仿宋_GB2312" w:eastAsia="仿宋_GB2312" w:cs="仿宋_GB2312"/>
          <w:b w:val="0"/>
          <w:bCs/>
          <w:color w:val="auto"/>
          <w:sz w:val="32"/>
          <w:szCs w:val="32"/>
          <w:highlight w:val="none"/>
          <w:lang w:val="en-US" w:eastAsia="zh-CN"/>
        </w:rPr>
        <w:t>22</w:t>
      </w:r>
      <w:r>
        <w:rPr>
          <w:rStyle w:val="19"/>
          <w:rFonts w:hint="eastAsia" w:ascii="仿宋_GB2312" w:hAnsi="仿宋_GB2312" w:eastAsia="仿宋_GB2312" w:cs="仿宋_GB2312"/>
          <w:b w:val="0"/>
          <w:bCs/>
          <w:color w:val="auto"/>
          <w:sz w:val="32"/>
          <w:szCs w:val="32"/>
          <w:highlight w:val="none"/>
        </w:rPr>
        <w:t>年一般公共预算财政拨款基本支出</w:t>
      </w:r>
      <w:r>
        <w:rPr>
          <w:rStyle w:val="19"/>
          <w:rFonts w:hint="eastAsia" w:ascii="仿宋_GB2312" w:hAnsi="仿宋_GB2312" w:eastAsia="仿宋_GB2312" w:cs="仿宋_GB2312"/>
          <w:b w:val="0"/>
          <w:bCs/>
          <w:color w:val="auto"/>
          <w:sz w:val="32"/>
          <w:szCs w:val="32"/>
          <w:highlight w:val="none"/>
          <w:lang w:val="en-US" w:eastAsia="zh-CN"/>
        </w:rPr>
        <w:t>820.7</w:t>
      </w:r>
      <w:r>
        <w:rPr>
          <w:rStyle w:val="19"/>
          <w:rFonts w:hint="eastAsia" w:ascii="仿宋_GB2312" w:hAnsi="仿宋_GB2312" w:eastAsia="仿宋_GB2312" w:cs="仿宋_GB2312"/>
          <w:b w:val="0"/>
          <w:bCs/>
          <w:color w:val="auto"/>
          <w:sz w:val="32"/>
          <w:szCs w:val="32"/>
          <w:highlight w:val="none"/>
        </w:rPr>
        <w:t>万元，其中：</w:t>
      </w:r>
    </w:p>
    <w:p>
      <w:pPr>
        <w:spacing w:line="600" w:lineRule="exact"/>
        <w:ind w:firstLine="640" w:firstLineChars="200"/>
        <w:rPr>
          <w:rStyle w:val="19"/>
          <w:rFonts w:hint="eastAsia" w:ascii="仿宋_GB2312" w:hAnsi="仿宋_GB2312" w:eastAsia="仿宋_GB2312" w:cs="仿宋_GB2312"/>
          <w:b w:val="0"/>
          <w:bCs/>
          <w:color w:val="auto"/>
          <w:sz w:val="32"/>
          <w:szCs w:val="32"/>
          <w:highlight w:val="none"/>
        </w:rPr>
      </w:pPr>
      <w:r>
        <w:rPr>
          <w:rStyle w:val="19"/>
          <w:rFonts w:hint="eastAsia" w:ascii="仿宋_GB2312" w:hAnsi="仿宋_GB2312" w:eastAsia="仿宋_GB2312" w:cs="仿宋_GB2312"/>
          <w:b w:val="0"/>
          <w:bCs/>
          <w:color w:val="auto"/>
          <w:sz w:val="32"/>
          <w:szCs w:val="32"/>
          <w:highlight w:val="none"/>
        </w:rPr>
        <w:t>人员经费</w:t>
      </w:r>
      <w:r>
        <w:rPr>
          <w:rStyle w:val="19"/>
          <w:rFonts w:hint="eastAsia" w:ascii="仿宋_GB2312" w:hAnsi="仿宋_GB2312" w:eastAsia="仿宋_GB2312" w:cs="仿宋_GB2312"/>
          <w:b w:val="0"/>
          <w:bCs/>
          <w:color w:val="auto"/>
          <w:sz w:val="32"/>
          <w:szCs w:val="32"/>
          <w:highlight w:val="none"/>
          <w:lang w:val="en-US" w:eastAsia="zh-CN"/>
        </w:rPr>
        <w:t>693.62</w:t>
      </w:r>
      <w:r>
        <w:rPr>
          <w:rStyle w:val="19"/>
          <w:rFonts w:hint="eastAsia" w:ascii="仿宋_GB2312" w:hAnsi="仿宋_GB2312" w:eastAsia="仿宋_GB2312" w:cs="仿宋_GB2312"/>
          <w:b w:val="0"/>
          <w:bCs/>
          <w:color w:val="auto"/>
          <w:sz w:val="32"/>
          <w:szCs w:val="32"/>
          <w:highlight w:val="none"/>
        </w:rPr>
        <w:t>万元，主要包括：基本工资、津贴补贴、奖金、机关事业单位基本养老保险缴费、</w:t>
      </w:r>
      <w:r>
        <w:rPr>
          <w:rStyle w:val="19"/>
          <w:rFonts w:hint="eastAsia" w:ascii="仿宋_GB2312" w:hAnsi="仿宋_GB2312" w:eastAsia="仿宋_GB2312" w:cs="仿宋_GB2312"/>
          <w:b w:val="0"/>
          <w:bCs/>
          <w:color w:val="auto"/>
          <w:sz w:val="32"/>
          <w:szCs w:val="32"/>
          <w:highlight w:val="none"/>
          <w:lang w:val="en-US" w:eastAsia="zh-CN"/>
        </w:rPr>
        <w:t>职工基本医疗保险缴费、</w:t>
      </w:r>
      <w:r>
        <w:rPr>
          <w:rStyle w:val="19"/>
          <w:rFonts w:hint="eastAsia" w:ascii="仿宋_GB2312" w:hAnsi="仿宋_GB2312" w:eastAsia="仿宋_GB2312" w:cs="仿宋_GB2312"/>
          <w:b w:val="0"/>
          <w:bCs/>
          <w:color w:val="auto"/>
          <w:sz w:val="32"/>
          <w:szCs w:val="32"/>
          <w:highlight w:val="none"/>
        </w:rPr>
        <w:t>其他社会保障缴费、住房公积金</w:t>
      </w:r>
      <w:r>
        <w:rPr>
          <w:rStyle w:val="19"/>
          <w:rFonts w:hint="eastAsia" w:ascii="仿宋_GB2312" w:hAnsi="仿宋_GB2312" w:eastAsia="仿宋_GB2312" w:cs="仿宋_GB2312"/>
          <w:b w:val="0"/>
          <w:bCs/>
          <w:color w:val="auto"/>
          <w:sz w:val="32"/>
          <w:szCs w:val="32"/>
          <w:highlight w:val="none"/>
          <w:lang w:eastAsia="zh-CN"/>
        </w:rPr>
        <w:t>、</w:t>
      </w:r>
      <w:r>
        <w:rPr>
          <w:rStyle w:val="19"/>
          <w:rFonts w:hint="eastAsia" w:ascii="仿宋_GB2312" w:hAnsi="仿宋_GB2312" w:eastAsia="仿宋_GB2312" w:cs="仿宋_GB2312"/>
          <w:b w:val="0"/>
          <w:bCs/>
          <w:color w:val="auto"/>
          <w:sz w:val="32"/>
          <w:szCs w:val="32"/>
          <w:highlight w:val="none"/>
        </w:rPr>
        <w:t>其他工资福利支出、生活补助。</w:t>
      </w:r>
      <w:r>
        <w:rPr>
          <w:rStyle w:val="19"/>
          <w:rFonts w:hint="eastAsia" w:ascii="仿宋_GB2312" w:hAnsi="仿宋_GB2312" w:eastAsia="仿宋_GB2312" w:cs="仿宋_GB2312"/>
          <w:b w:val="0"/>
          <w:bCs/>
          <w:color w:val="auto"/>
          <w:sz w:val="32"/>
          <w:szCs w:val="32"/>
          <w:highlight w:val="none"/>
        </w:rPr>
        <w:br w:type="textWrapping"/>
      </w:r>
      <w:r>
        <w:rPr>
          <w:rStyle w:val="19"/>
          <w:rFonts w:hint="eastAsia" w:ascii="仿宋_GB2312" w:hAnsi="仿宋_GB2312" w:eastAsia="仿宋_GB2312" w:cs="仿宋_GB2312"/>
          <w:b w:val="0"/>
          <w:bCs/>
          <w:color w:val="auto"/>
          <w:sz w:val="32"/>
          <w:szCs w:val="32"/>
          <w:highlight w:val="none"/>
        </w:rPr>
        <w:t>　　公用经费</w:t>
      </w:r>
      <w:r>
        <w:rPr>
          <w:rStyle w:val="19"/>
          <w:rFonts w:hint="eastAsia" w:ascii="仿宋_GB2312" w:hAnsi="仿宋_GB2312" w:eastAsia="仿宋_GB2312" w:cs="仿宋_GB2312"/>
          <w:b w:val="0"/>
          <w:bCs/>
          <w:color w:val="auto"/>
          <w:sz w:val="32"/>
          <w:szCs w:val="32"/>
          <w:highlight w:val="none"/>
          <w:lang w:val="en-US" w:eastAsia="zh-CN"/>
        </w:rPr>
        <w:t>127.08</w:t>
      </w:r>
      <w:r>
        <w:rPr>
          <w:rStyle w:val="19"/>
          <w:rFonts w:hint="eastAsia" w:ascii="仿宋_GB2312" w:hAnsi="仿宋_GB2312" w:eastAsia="仿宋_GB2312" w:cs="仿宋_GB2312"/>
          <w:b w:val="0"/>
          <w:bCs/>
          <w:color w:val="auto"/>
          <w:sz w:val="32"/>
          <w:szCs w:val="32"/>
          <w:highlight w:val="none"/>
        </w:rPr>
        <w:t>万元，主要包括：办公费、水费、电费、物业管理费、差旅费、维修（护）费、租赁费、培训费、公务接待费、劳务费、工会经费、福利费、公务用车运行维护费、其他交通费</w:t>
      </w:r>
      <w:r>
        <w:rPr>
          <w:rStyle w:val="19"/>
          <w:rFonts w:hint="eastAsia" w:ascii="仿宋_GB2312" w:hAnsi="仿宋_GB2312" w:eastAsia="仿宋_GB2312" w:cs="仿宋_GB2312"/>
          <w:b w:val="0"/>
          <w:bCs/>
          <w:color w:val="auto"/>
          <w:sz w:val="32"/>
          <w:szCs w:val="32"/>
          <w:highlight w:val="none"/>
          <w:lang w:val="en-US" w:eastAsia="zh-CN"/>
        </w:rPr>
        <w:t>用</w:t>
      </w:r>
      <w:r>
        <w:rPr>
          <w:rStyle w:val="19"/>
          <w:rFonts w:hint="eastAsia" w:ascii="仿宋_GB2312" w:hAnsi="仿宋_GB2312" w:eastAsia="仿宋_GB2312" w:cs="仿宋_GB2312"/>
          <w:b w:val="0"/>
          <w:bCs/>
          <w:color w:val="auto"/>
          <w:sz w:val="32"/>
          <w:szCs w:val="32"/>
          <w:highlight w:val="none"/>
        </w:rPr>
        <w:t>、其他商品和服务支出</w:t>
      </w:r>
      <w:r>
        <w:rPr>
          <w:rStyle w:val="19"/>
          <w:rFonts w:hint="eastAsia" w:ascii="仿宋_GB2312" w:hAnsi="仿宋_GB2312" w:eastAsia="仿宋_GB2312" w:cs="仿宋_GB2312"/>
          <w:b w:val="0"/>
          <w:bCs/>
          <w:color w:val="auto"/>
          <w:sz w:val="32"/>
          <w:szCs w:val="32"/>
          <w:highlight w:val="none"/>
          <w:lang w:eastAsia="zh-CN"/>
        </w:rPr>
        <w:t>。</w:t>
      </w:r>
    </w:p>
    <w:p>
      <w:pPr>
        <w:spacing w:line="600" w:lineRule="exact"/>
        <w:ind w:firstLine="640"/>
        <w:outlineLvl w:val="1"/>
        <w:rPr>
          <w:rStyle w:val="22"/>
          <w:rFonts w:ascii="黑体" w:hAnsi="黑体" w:eastAsia="黑体"/>
          <w:b w:val="0"/>
          <w:color w:val="auto"/>
          <w:highlight w:val="none"/>
        </w:rPr>
      </w:pPr>
      <w:bookmarkStart w:id="60" w:name="_Toc31849"/>
      <w:bookmarkStart w:id="61" w:name="_Toc15396609"/>
      <w:bookmarkStart w:id="62" w:name="_Toc15377215"/>
      <w:r>
        <w:rPr>
          <w:rFonts w:hint="eastAsia" w:ascii="黑体" w:eastAsia="黑体"/>
          <w:color w:val="auto"/>
          <w:sz w:val="32"/>
          <w:szCs w:val="32"/>
          <w:highlight w:val="none"/>
        </w:rPr>
        <w:t>七、</w:t>
      </w:r>
      <w:r>
        <w:rPr>
          <w:rStyle w:val="22"/>
          <w:rFonts w:hint="eastAsia" w:ascii="黑体" w:hAnsi="黑体" w:eastAsia="黑体"/>
          <w:b w:val="0"/>
          <w:color w:val="auto"/>
          <w:highlight w:val="none"/>
        </w:rPr>
        <w:t>财政拨款</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三公”经费支出决算情况说明</w:t>
      </w:r>
      <w:bookmarkEnd w:id="60"/>
      <w:bookmarkEnd w:id="61"/>
      <w:bookmarkEnd w:id="62"/>
    </w:p>
    <w:p>
      <w:pPr>
        <w:spacing w:line="600" w:lineRule="exact"/>
        <w:ind w:firstLine="640"/>
        <w:outlineLvl w:val="2"/>
        <w:rPr>
          <w:rFonts w:hint="eastAsia" w:ascii="楷体" w:hAnsi="楷体" w:eastAsia="楷体" w:cs="楷体"/>
          <w:b w:val="0"/>
          <w:bCs/>
          <w:color w:val="auto"/>
          <w:sz w:val="32"/>
          <w:szCs w:val="32"/>
          <w:highlight w:val="none"/>
        </w:rPr>
      </w:pPr>
      <w:bookmarkStart w:id="63" w:name="_Toc15377216"/>
      <w:r>
        <w:rPr>
          <w:rFonts w:hint="eastAsia" w:ascii="楷体" w:hAnsi="楷体" w:eastAsia="楷体" w:cs="楷体"/>
          <w:b w:val="0"/>
          <w:bCs/>
          <w:color w:val="auto"/>
          <w:sz w:val="32"/>
          <w:szCs w:val="32"/>
          <w:highlight w:val="none"/>
        </w:rPr>
        <w:t>（一）“三公”经费财政拨款支出决算总体情况说明</w:t>
      </w:r>
      <w:bookmarkEnd w:id="63"/>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15.09</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减少45.93万元，下降75.27%。</w:t>
      </w:r>
    </w:p>
    <w:p>
      <w:pPr>
        <w:spacing w:line="600" w:lineRule="exact"/>
        <w:ind w:firstLine="640"/>
        <w:outlineLvl w:val="2"/>
        <w:rPr>
          <w:rFonts w:hint="eastAsia" w:ascii="楷体" w:hAnsi="楷体" w:eastAsia="楷体" w:cs="楷体"/>
          <w:b w:val="0"/>
          <w:bCs/>
          <w:color w:val="auto"/>
          <w:sz w:val="32"/>
          <w:szCs w:val="32"/>
          <w:highlight w:val="none"/>
        </w:rPr>
      </w:pPr>
      <w:bookmarkStart w:id="64" w:name="_Toc15377217"/>
      <w:r>
        <w:rPr>
          <w:rFonts w:hint="eastAsia" w:ascii="楷体" w:hAnsi="楷体" w:eastAsia="楷体" w:cs="楷体"/>
          <w:b w:val="0"/>
          <w:bCs/>
          <w:color w:val="auto"/>
          <w:sz w:val="32"/>
          <w:szCs w:val="32"/>
          <w:highlight w:val="none"/>
        </w:rPr>
        <w:t>（二）“三公”经费财政拨款支出决算具体情况说明</w:t>
      </w:r>
      <w:bookmarkEnd w:id="64"/>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13.2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87.48</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1.89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12.52</w:t>
      </w:r>
      <w:r>
        <w:rPr>
          <w:rFonts w:hint="eastAsia" w:ascii="仿宋_GB2312" w:hAnsi="仿宋_GB2312" w:eastAsia="仿宋_GB2312" w:cs="仿宋_GB2312"/>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（图7：“三公”经费财政拨款支出结构）（饼状图）</w:t>
      </w:r>
    </w:p>
    <w:p>
      <w:pPr>
        <w:pStyle w:val="2"/>
        <w:rPr>
          <w:rFonts w:hint="eastAsia" w:eastAsia="仿宋"/>
          <w:lang w:eastAsia="zh-CN"/>
        </w:rPr>
      </w:pPr>
      <w:r>
        <w:rPr>
          <w:rFonts w:hint="eastAsia" w:eastAsia="仿宋"/>
          <w:lang w:eastAsia="zh-CN"/>
        </w:rPr>
        <w:drawing>
          <wp:inline distT="0" distB="0" distL="114300" distR="114300">
            <wp:extent cx="5256530" cy="2712085"/>
            <wp:effectExtent l="4445" t="4445" r="15875" b="762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2"/>
      </w:pP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年初未安排预算</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因公出国（境）经费支出决算较2021年无变化。</w:t>
      </w:r>
    </w:p>
    <w:p>
      <w:pPr>
        <w:spacing w:line="600" w:lineRule="exact"/>
        <w:ind w:firstLine="640"/>
        <w:rPr>
          <w:rFonts w:hint="eastAsia" w:ascii="仿宋" w:hAnsi="仿宋" w:eastAsia="仿宋"/>
          <w:color w:val="auto"/>
          <w:sz w:val="32"/>
          <w:szCs w:val="32"/>
          <w:highlight w:val="none"/>
          <w:lang w:val="en-US" w:eastAsia="zh-CN"/>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hAnsi="仿宋_GB2312" w:eastAsia="仿宋_GB2312" w:cs="仿宋_GB2312"/>
          <w:color w:val="auto"/>
          <w:sz w:val="32"/>
          <w:szCs w:val="32"/>
          <w:highlight w:val="none"/>
          <w:lang w:val="en-US" w:eastAsia="zh-CN"/>
        </w:rPr>
        <w:t>13.2万元，完成预算100%。公务用车购置及运行维护费支出决算比2021年减少45.96万元，下降77.69%。主要原因是因疫情原因，加之厉行节约，公务出行有所减少，相应公务用车运行维护费减少。</w:t>
      </w:r>
    </w:p>
    <w:p>
      <w:pPr>
        <w:spacing w:line="60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b/>
          <w:color w:val="auto"/>
          <w:sz w:val="32"/>
          <w:szCs w:val="32"/>
          <w:highlight w:val="none"/>
        </w:rPr>
        <w:t>公务用车购置支出</w:t>
      </w:r>
      <w:r>
        <w:rPr>
          <w:rFonts w:hint="eastAsia" w:ascii="仿宋_GB2312" w:hAnsi="仿宋_GB2312" w:eastAsia="仿宋_GB2312" w:cs="仿宋_GB2312"/>
          <w:color w:val="auto"/>
          <w:sz w:val="32"/>
          <w:szCs w:val="32"/>
          <w:highlight w:val="none"/>
          <w:lang w:val="en-US" w:eastAsia="zh-CN"/>
        </w:rPr>
        <w:t>0万元。全年未购置公务用车。截至2022年12月底，单位共有公务用车7辆，其中：轿车3辆、越野车2辆、载客汽车2辆。</w:t>
      </w:r>
    </w:p>
    <w:p>
      <w:pPr>
        <w:spacing w:line="600" w:lineRule="exact"/>
        <w:ind w:firstLine="64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13.2万元。主要我院在开展检察取证、办案及日常公务出行用车，所产生的公务用车燃料费、维修费、过路过桥费、保险费等支出。</w:t>
      </w:r>
    </w:p>
    <w:p>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rPr>
        <w:t>3.公务接待费支出</w:t>
      </w:r>
      <w:r>
        <w:rPr>
          <w:rFonts w:hint="eastAsia" w:ascii="仿宋_GB2312" w:hAnsi="仿宋_GB2312" w:eastAsia="仿宋_GB2312" w:cs="仿宋_GB2312"/>
          <w:color w:val="auto"/>
          <w:sz w:val="32"/>
          <w:szCs w:val="32"/>
          <w:highlight w:val="none"/>
          <w:lang w:val="en-US" w:eastAsia="zh-CN"/>
        </w:rPr>
        <w:t>1.89</w:t>
      </w:r>
      <w:r>
        <w:rPr>
          <w:rFonts w:hint="eastAsia" w:ascii="仿宋_GB2312" w:hAnsi="仿宋_GB2312" w:eastAsia="仿宋_GB2312" w:cs="仿宋_GB2312"/>
          <w:color w:val="auto"/>
          <w:sz w:val="32"/>
          <w:szCs w:val="32"/>
          <w:highlight w:val="none"/>
        </w:rPr>
        <w:t>万元，</w:t>
      </w:r>
      <w:r>
        <w:rPr>
          <w:rStyle w:val="19"/>
          <w:rFonts w:hint="eastAsia" w:ascii="仿宋_GB2312" w:hAnsi="仿宋_GB2312" w:eastAsia="仿宋_GB2312" w:cs="仿宋_GB2312"/>
          <w:b w:val="0"/>
          <w:bCs/>
          <w:color w:val="auto"/>
          <w:sz w:val="32"/>
          <w:szCs w:val="32"/>
          <w:highlight w:val="none"/>
        </w:rPr>
        <w:t>完成预算</w:t>
      </w:r>
      <w:r>
        <w:rPr>
          <w:rStyle w:val="19"/>
          <w:rFonts w:hint="eastAsia" w:ascii="仿宋_GB2312" w:hAnsi="仿宋_GB2312" w:eastAsia="仿宋_GB2312" w:cs="仿宋_GB2312"/>
          <w:b w:val="0"/>
          <w:bCs/>
          <w:color w:val="auto"/>
          <w:sz w:val="32"/>
          <w:szCs w:val="32"/>
          <w:highlight w:val="none"/>
          <w:lang w:val="en-US" w:eastAsia="zh-CN"/>
        </w:rPr>
        <w:t>100</w:t>
      </w:r>
      <w:r>
        <w:rPr>
          <w:rStyle w:val="19"/>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公务接待费支出决算比20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增加0.03</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1.61</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公务接待较去年有所增加</w:t>
      </w:r>
      <w:r>
        <w:rPr>
          <w:rFonts w:hint="eastAsia" w:ascii="仿宋_GB2312" w:hAnsi="仿宋_GB2312" w:eastAsia="仿宋_GB2312" w:cs="仿宋_GB2312"/>
          <w:color w:val="auto"/>
          <w:sz w:val="32"/>
          <w:szCs w:val="32"/>
          <w:highlight w:val="none"/>
        </w:rPr>
        <w:t>。其中：</w:t>
      </w:r>
    </w:p>
    <w:p>
      <w:pPr>
        <w:keepNext w:val="0"/>
        <w:keepLines w:val="0"/>
        <w:widowControl/>
        <w:suppressLineNumbers w:val="0"/>
        <w:ind w:firstLine="643" w:firstLineChars="200"/>
        <w:jc w:val="both"/>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sz w:val="32"/>
          <w:szCs w:val="32"/>
          <w:lang w:eastAsia="zh-CN"/>
        </w:rPr>
        <w:t>国内公务接待支出</w:t>
      </w:r>
      <w:r>
        <w:rPr>
          <w:rFonts w:hint="eastAsia" w:ascii="仿宋_GB2312" w:hAnsi="仿宋_GB2312" w:eastAsia="仿宋_GB2312" w:cs="仿宋_GB2312"/>
          <w:color w:val="auto"/>
          <w:sz w:val="32"/>
          <w:szCs w:val="32"/>
          <w:highlight w:val="none"/>
          <w:lang w:val="en-US" w:eastAsia="zh-CN"/>
        </w:rPr>
        <w:t>1.89</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sz w:val="32"/>
          <w:szCs w:val="32"/>
          <w:lang w:eastAsia="zh-CN"/>
        </w:rPr>
        <w:t>接待上级部门监督检查、执行公务时所产生</w:t>
      </w:r>
      <w:r>
        <w:rPr>
          <w:rFonts w:hint="eastAsia" w:ascii="仿宋_GB2312" w:hAnsi="仿宋_GB2312" w:eastAsia="仿宋_GB2312" w:cs="仿宋_GB2312"/>
          <w:sz w:val="32"/>
          <w:szCs w:val="32"/>
        </w:rPr>
        <w:t>的用餐费等</w:t>
      </w:r>
      <w:r>
        <w:rPr>
          <w:rFonts w:hint="eastAsia" w:ascii="仿宋_GB2312" w:hAnsi="仿宋_GB2312" w:eastAsia="仿宋_GB2312" w:cs="仿宋_GB2312"/>
          <w:color w:val="auto"/>
          <w:sz w:val="32"/>
          <w:szCs w:val="32"/>
          <w:highlight w:val="none"/>
        </w:rPr>
        <w:t>。国内公务接待</w:t>
      </w:r>
      <w:r>
        <w:rPr>
          <w:rFonts w:hint="eastAsia" w:ascii="仿宋_GB2312" w:hAnsi="仿宋_GB2312" w:eastAsia="仿宋_GB2312" w:cs="仿宋_GB2312"/>
          <w:color w:val="auto"/>
          <w:sz w:val="32"/>
          <w:szCs w:val="32"/>
          <w:highlight w:val="none"/>
          <w:lang w:val="en-US" w:eastAsia="zh-CN"/>
        </w:rPr>
        <w:t>18</w:t>
      </w:r>
      <w:r>
        <w:rPr>
          <w:rFonts w:hint="eastAsia" w:ascii="仿宋_GB2312" w:hAnsi="仿宋_GB2312" w:eastAsia="仿宋_GB2312" w:cs="仿宋_GB2312"/>
          <w:color w:val="auto"/>
          <w:sz w:val="32"/>
          <w:szCs w:val="32"/>
          <w:highlight w:val="none"/>
        </w:rPr>
        <w:t>批次，</w:t>
      </w:r>
      <w:r>
        <w:rPr>
          <w:rFonts w:hint="eastAsia" w:ascii="仿宋_GB2312" w:hAnsi="仿宋_GB2312" w:eastAsia="仿宋_GB2312" w:cs="仿宋_GB2312"/>
          <w:color w:val="auto"/>
          <w:sz w:val="32"/>
          <w:szCs w:val="32"/>
          <w:highlight w:val="none"/>
          <w:lang w:val="en-US" w:eastAsia="zh-CN"/>
        </w:rPr>
        <w:t>175</w:t>
      </w:r>
      <w:r>
        <w:rPr>
          <w:rFonts w:hint="eastAsia" w:ascii="仿宋_GB2312" w:hAnsi="仿宋_GB2312" w:eastAsia="仿宋_GB2312" w:cs="仿宋_GB2312"/>
          <w:color w:val="auto"/>
          <w:sz w:val="32"/>
          <w:szCs w:val="32"/>
          <w:highlight w:val="none"/>
        </w:rPr>
        <w:t>人次，共计支出</w:t>
      </w:r>
      <w:r>
        <w:rPr>
          <w:rFonts w:hint="eastAsia" w:ascii="仿宋_GB2312" w:hAnsi="仿宋_GB2312" w:eastAsia="仿宋_GB2312" w:cs="仿宋_GB2312"/>
          <w:color w:val="auto"/>
          <w:sz w:val="32"/>
          <w:szCs w:val="32"/>
          <w:highlight w:val="none"/>
          <w:lang w:val="en-US" w:eastAsia="zh-CN"/>
        </w:rPr>
        <w:t>1.89</w:t>
      </w:r>
      <w:r>
        <w:rPr>
          <w:rFonts w:hint="eastAsia" w:ascii="仿宋_GB2312" w:hAnsi="仿宋_GB2312" w:eastAsia="仿宋_GB2312" w:cs="仿宋_GB2312"/>
          <w:color w:val="auto"/>
          <w:sz w:val="32"/>
          <w:szCs w:val="32"/>
          <w:highlight w:val="none"/>
        </w:rPr>
        <w:t>万元，具体内容包括：</w:t>
      </w:r>
      <w:r>
        <w:rPr>
          <w:rFonts w:hint="eastAsia" w:ascii="仿宋_GB2312" w:hAnsi="仿宋_GB2312" w:eastAsia="仿宋_GB2312" w:cs="仿宋_GB2312"/>
          <w:color w:val="auto"/>
          <w:sz w:val="32"/>
          <w:szCs w:val="32"/>
          <w:highlight w:val="none"/>
          <w:lang w:val="en-US" w:eastAsia="zh-CN"/>
        </w:rPr>
        <w:t>主要接待上级部门来我院调研、检查指导工作。</w:t>
      </w:r>
    </w:p>
    <w:p>
      <w:pPr>
        <w:spacing w:line="600" w:lineRule="exact"/>
        <w:ind w:firstLine="643" w:firstLineChars="200"/>
        <w:rPr>
          <w:rFonts w:hint="eastAsia" w:ascii="仿宋_GB2312" w:eastAsia="仿宋_GB2312"/>
          <w:color w:val="auto"/>
          <w:sz w:val="32"/>
          <w:szCs w:val="32"/>
          <w:highlight w:val="none"/>
          <w:lang w:val="en-US" w:eastAsia="zh-CN"/>
        </w:rPr>
      </w:pPr>
      <w:r>
        <w:rPr>
          <w:rFonts w:hint="eastAsia" w:ascii="仿宋_GB2312" w:hAnsi="仿宋_GB2312" w:eastAsia="仿宋_GB2312" w:cs="仿宋_GB2312"/>
          <w:b/>
          <w:color w:val="auto"/>
          <w:sz w:val="32"/>
          <w:szCs w:val="32"/>
          <w:highlight w:val="none"/>
        </w:rPr>
        <w:t>外事接待支出</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w:t>
      </w:r>
    </w:p>
    <w:p>
      <w:pPr>
        <w:spacing w:line="600" w:lineRule="exact"/>
        <w:ind w:firstLine="640"/>
        <w:outlineLvl w:val="1"/>
        <w:rPr>
          <w:rStyle w:val="22"/>
          <w:rFonts w:ascii="黑体" w:hAnsi="黑体" w:eastAsia="黑体"/>
          <w:color w:val="auto"/>
          <w:highlight w:val="none"/>
        </w:rPr>
      </w:pPr>
      <w:bookmarkStart w:id="65" w:name="_Toc15396610"/>
      <w:bookmarkStart w:id="66" w:name="_Toc15377218"/>
      <w:bookmarkStart w:id="67" w:name="_Toc12498"/>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65"/>
      <w:bookmarkEnd w:id="66"/>
      <w:bookmarkEnd w:id="67"/>
    </w:p>
    <w:p>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2"/>
          <w:rFonts w:ascii="黑体" w:hAnsi="黑体" w:eastAsia="黑体"/>
          <w:b w:val="0"/>
          <w:color w:val="auto"/>
          <w:highlight w:val="none"/>
        </w:rPr>
      </w:pPr>
      <w:bookmarkStart w:id="68" w:name="_Toc15396611"/>
      <w:bookmarkStart w:id="69" w:name="_Toc24987"/>
      <w:bookmarkStart w:id="70" w:name="_Toc15377219"/>
      <w:r>
        <w:rPr>
          <w:rStyle w:val="22"/>
          <w:rFonts w:hint="eastAsia" w:ascii="黑体" w:hAnsi="黑体" w:eastAsia="黑体"/>
          <w:b w:val="0"/>
          <w:color w:val="auto"/>
          <w:highlight w:val="none"/>
        </w:rPr>
        <w:t>国有资本经营预算支出决算情况说明</w:t>
      </w:r>
      <w:bookmarkEnd w:id="68"/>
      <w:bookmarkEnd w:id="69"/>
      <w:bookmarkEnd w:id="70"/>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2"/>
          <w:rFonts w:hint="eastAsia" w:ascii="黑体" w:hAnsi="黑体" w:eastAsia="黑体"/>
          <w:b w:val="0"/>
          <w:color w:val="auto"/>
          <w:highlight w:val="none"/>
        </w:rPr>
      </w:pPr>
      <w:bookmarkStart w:id="71" w:name="_Toc15377221"/>
      <w:bookmarkStart w:id="72" w:name="_Toc15396612"/>
      <w:bookmarkStart w:id="73" w:name="_Toc29346"/>
      <w:r>
        <w:rPr>
          <w:rStyle w:val="22"/>
          <w:rFonts w:hint="eastAsia" w:ascii="黑体" w:hAnsi="黑体" w:eastAsia="黑体"/>
          <w:b w:val="0"/>
          <w:color w:val="auto"/>
          <w:highlight w:val="none"/>
        </w:rPr>
        <w:t>其他重要事项的情况说明</w:t>
      </w:r>
      <w:bookmarkEnd w:id="71"/>
      <w:bookmarkEnd w:id="72"/>
      <w:bookmarkEnd w:id="73"/>
    </w:p>
    <w:p>
      <w:pPr>
        <w:spacing w:line="600" w:lineRule="exact"/>
        <w:ind w:firstLine="640" w:firstLineChars="200"/>
        <w:outlineLvl w:val="2"/>
        <w:rPr>
          <w:rFonts w:hint="eastAsia" w:ascii="楷体" w:hAnsi="楷体" w:eastAsia="楷体" w:cs="楷体"/>
          <w:b w:val="0"/>
          <w:bCs/>
          <w:color w:val="auto"/>
          <w:sz w:val="32"/>
          <w:szCs w:val="32"/>
          <w:highlight w:val="none"/>
        </w:rPr>
      </w:pPr>
      <w:bookmarkStart w:id="74" w:name="_Toc15377222"/>
      <w:r>
        <w:rPr>
          <w:rFonts w:hint="eastAsia" w:ascii="楷体" w:hAnsi="楷体" w:eastAsia="楷体" w:cs="楷体"/>
          <w:b w:val="0"/>
          <w:bCs/>
          <w:color w:val="auto"/>
          <w:sz w:val="32"/>
          <w:szCs w:val="32"/>
          <w:highlight w:val="none"/>
        </w:rPr>
        <w:t>（一）机关运行经费支出情况</w:t>
      </w:r>
      <w:bookmarkEnd w:id="74"/>
    </w:p>
    <w:p>
      <w:pP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剑阁县人民检察院</w:t>
      </w:r>
      <w:r>
        <w:rPr>
          <w:rFonts w:hint="eastAsia" w:ascii="仿宋_GB2312" w:hAnsi="仿宋_GB2312" w:eastAsia="仿宋_GB2312" w:cs="仿宋_GB2312"/>
          <w:color w:val="auto"/>
          <w:sz w:val="32"/>
          <w:szCs w:val="32"/>
          <w:highlight w:val="none"/>
        </w:rPr>
        <w:t>机关运行经费支出</w:t>
      </w:r>
      <w:r>
        <w:rPr>
          <w:rFonts w:hint="eastAsia" w:ascii="仿宋_GB2312" w:hAnsi="仿宋_GB2312" w:eastAsia="仿宋_GB2312" w:cs="仿宋_GB2312"/>
          <w:color w:val="auto"/>
          <w:sz w:val="32"/>
          <w:szCs w:val="32"/>
          <w:highlight w:val="none"/>
          <w:lang w:val="en-US" w:eastAsia="zh-CN"/>
        </w:rPr>
        <w:t>127.08</w:t>
      </w:r>
      <w:r>
        <w:rPr>
          <w:rFonts w:hint="eastAsia" w:ascii="仿宋_GB2312" w:hAnsi="仿宋_GB2312" w:eastAsia="仿宋_GB2312" w:cs="仿宋_GB2312"/>
          <w:color w:val="auto"/>
          <w:sz w:val="32"/>
          <w:szCs w:val="32"/>
          <w:highlight w:val="none"/>
        </w:rPr>
        <w:t>万元，比20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年减少</w:t>
      </w:r>
      <w:r>
        <w:rPr>
          <w:rFonts w:hint="eastAsia" w:ascii="仿宋_GB2312" w:hAnsi="仿宋_GB2312" w:eastAsia="仿宋_GB2312" w:cs="仿宋_GB2312"/>
          <w:color w:val="auto"/>
          <w:sz w:val="32"/>
          <w:szCs w:val="32"/>
          <w:highlight w:val="none"/>
          <w:lang w:val="en-US" w:eastAsia="zh-CN"/>
        </w:rPr>
        <w:t>16.07</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s="仿宋_GB2312"/>
          <w:color w:val="auto"/>
          <w:sz w:val="32"/>
          <w:szCs w:val="32"/>
          <w:highlight w:val="none"/>
          <w:lang w:val="en-US" w:eastAsia="zh-CN"/>
        </w:rPr>
        <w:t>11.23</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sz w:val="32"/>
          <w:szCs w:val="32"/>
          <w:highlight w:val="none"/>
          <w:lang w:eastAsia="zh-CN"/>
        </w:rPr>
        <w:t>认真贯彻落实“党政机关要坚持过紧日子”的要求，厉行节约</w:t>
      </w:r>
      <w:r>
        <w:rPr>
          <w:rFonts w:hint="eastAsia" w:ascii="仿宋_GB2312" w:hAnsi="仿宋_GB2312" w:eastAsia="仿宋_GB2312" w:cs="仿宋_GB2312"/>
          <w:color w:val="auto"/>
          <w:sz w:val="32"/>
          <w:szCs w:val="32"/>
          <w:highlight w:val="none"/>
          <w:lang w:eastAsia="zh-CN"/>
        </w:rPr>
        <w:t>。</w:t>
      </w:r>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rPr>
      </w:pPr>
      <w:bookmarkStart w:id="75" w:name="_Toc15377223"/>
      <w:r>
        <w:rPr>
          <w:rFonts w:hint="eastAsia" w:ascii="楷体" w:hAnsi="楷体" w:eastAsia="楷体" w:cs="楷体"/>
          <w:b w:val="0"/>
          <w:bCs/>
          <w:color w:val="auto"/>
          <w:sz w:val="32"/>
          <w:szCs w:val="32"/>
          <w:highlight w:val="none"/>
        </w:rPr>
        <w:t>（二）政府采购支出情况</w:t>
      </w:r>
      <w:bookmarkEnd w:id="75"/>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剑阁县人民检察院无</w:t>
      </w:r>
      <w:r>
        <w:rPr>
          <w:rFonts w:hint="eastAsia" w:ascii="仿宋_GB2312" w:eastAsia="仿宋_GB2312"/>
          <w:color w:val="auto"/>
          <w:sz w:val="32"/>
          <w:szCs w:val="32"/>
          <w:highlight w:val="none"/>
        </w:rPr>
        <w:t>政府采购支出</w:t>
      </w:r>
      <w:r>
        <w:rPr>
          <w:rFonts w:hint="eastAsia" w:ascii="仿宋_GB2312" w:eastAsia="仿宋_GB2312"/>
          <w:color w:val="auto"/>
          <w:sz w:val="32"/>
          <w:szCs w:val="32"/>
          <w:highlight w:val="none"/>
          <w:lang w:eastAsia="zh-CN"/>
        </w:rPr>
        <w:t>。</w:t>
      </w:r>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rPr>
      </w:pPr>
      <w:bookmarkStart w:id="76" w:name="_Toc15377224"/>
      <w:r>
        <w:rPr>
          <w:rFonts w:hint="eastAsia" w:ascii="楷体" w:hAnsi="楷体" w:eastAsia="楷体" w:cs="楷体"/>
          <w:b w:val="0"/>
          <w:bCs/>
          <w:color w:val="auto"/>
          <w:sz w:val="32"/>
          <w:szCs w:val="32"/>
          <w:highlight w:val="none"/>
        </w:rPr>
        <w:t>（三）国有资产占有使用情况</w:t>
      </w:r>
      <w:bookmarkEnd w:id="76"/>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val="en-US" w:eastAsia="zh-CN"/>
        </w:rPr>
        <w:t>剑阁县人民检察院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val="en-US" w:eastAsia="zh-CN"/>
        </w:rPr>
        <w:t>执法执勤用车6辆，特种专业技术用车1辆，</w:t>
      </w:r>
      <w:r>
        <w:rPr>
          <w:rFonts w:hint="eastAsia" w:ascii="仿宋_GB2312" w:eastAsia="仿宋_GB2312"/>
          <w:color w:val="auto"/>
          <w:sz w:val="32"/>
          <w:szCs w:val="32"/>
          <w:highlight w:val="none"/>
        </w:rPr>
        <w:t>主要是用于</w:t>
      </w:r>
      <w:r>
        <w:rPr>
          <w:rFonts w:hint="eastAsia" w:ascii="仿宋_GB2312" w:eastAsia="仿宋_GB2312"/>
          <w:sz w:val="32"/>
          <w:szCs w:val="32"/>
          <w:highlight w:val="none"/>
          <w:lang w:eastAsia="zh-CN"/>
        </w:rPr>
        <w:t>我院在开展检察取证、办案及日常公务出行用车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0" w:firstLineChars="200"/>
        <w:jc w:val="left"/>
        <w:outlineLvl w:val="2"/>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（四）预算绩效管理情况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w:t>
      </w:r>
      <w:r>
        <w:rPr>
          <w:rFonts w:hint="eastAsia" w:ascii="仿宋_GB2312" w:hAnsi="仿宋_GB2312" w:eastAsia="仿宋_GB2312" w:cs="仿宋_GB2312"/>
          <w:color w:val="auto"/>
          <w:sz w:val="32"/>
          <w:szCs w:val="32"/>
          <w:highlight w:val="none"/>
          <w:lang w:val="en-US" w:eastAsia="zh-CN"/>
        </w:rPr>
        <w:t>广元市预防职务犯罪警示教育（剑阁）基地运行维修费、县委政府中心工作、检察辅助工作、办公大楼及附属设施运行维护、特定转移支付</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、档案信息化建设</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w:t>
      </w:r>
    </w:p>
    <w:p>
      <w:pPr>
        <w:pStyle w:val="15"/>
        <w:keepNext w:val="0"/>
        <w:keepLines w:val="0"/>
        <w:pageBreakBefore w:val="0"/>
        <w:kinsoku/>
        <w:wordWrap/>
        <w:overflowPunct/>
        <w:topLinePunct w:val="0"/>
        <w:autoSpaceDE/>
        <w:autoSpaceDN/>
        <w:bidi w:val="0"/>
        <w:adjustRightInd/>
        <w:snapToGrid/>
        <w:spacing w:beforeAutospacing="0" w:afterAutospacing="0" w:line="576" w:lineRule="exact"/>
        <w:ind w:firstLine="720"/>
        <w:jc w:val="both"/>
        <w:textAlignment w:val="auto"/>
        <w:rPr>
          <w:rFonts w:hint="eastAsia" w:ascii="仿宋_GB2312" w:hAnsi="仿宋_GB2312" w:eastAsia="仿宋_GB2312" w:cs="仿宋_GB2312"/>
          <w:sz w:val="15"/>
          <w:szCs w:val="15"/>
        </w:rPr>
      </w:pPr>
      <w:r>
        <w:rPr>
          <w:rFonts w:hint="eastAsia" w:ascii="仿宋_GB2312" w:hAnsi="仿宋_GB2312" w:eastAsia="仿宋_GB2312" w:cs="仿宋_GB2312"/>
          <w:color w:val="auto"/>
          <w:sz w:val="32"/>
          <w:szCs w:val="32"/>
          <w:highlight w:val="none"/>
        </w:rPr>
        <w:t>组织对2022年度一般公共预算全面开展绩效自评，形成</w:t>
      </w:r>
      <w:r>
        <w:rPr>
          <w:rFonts w:hint="eastAsia" w:ascii="仿宋_GB2312" w:hAnsi="仿宋_GB2312" w:eastAsia="仿宋_GB2312" w:cs="仿宋_GB2312"/>
          <w:color w:val="auto"/>
          <w:sz w:val="32"/>
          <w:szCs w:val="32"/>
          <w:highlight w:val="none"/>
          <w:lang w:val="en-US" w:eastAsia="zh-CN"/>
        </w:rPr>
        <w:t>剑阁县人民检察院</w:t>
      </w:r>
      <w:r>
        <w:rPr>
          <w:rFonts w:hint="eastAsia" w:ascii="仿宋_GB2312" w:hAnsi="仿宋_GB2312" w:eastAsia="仿宋_GB2312" w:cs="仿宋_GB2312"/>
          <w:color w:val="auto"/>
          <w:sz w:val="32"/>
          <w:szCs w:val="32"/>
          <w:highlight w:val="none"/>
        </w:rPr>
        <w:t>部门整体绩效自评报告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绩效自评得分为</w:t>
      </w:r>
      <w:r>
        <w:rPr>
          <w:rFonts w:hint="eastAsia" w:ascii="仿宋_GB2312" w:hAnsi="仿宋_GB2312" w:eastAsia="仿宋_GB2312" w:cs="仿宋_GB2312"/>
          <w:color w:val="auto"/>
          <w:sz w:val="32"/>
          <w:szCs w:val="32"/>
          <w:highlight w:val="none"/>
          <w:lang w:val="en-US" w:eastAsia="zh-CN"/>
        </w:rPr>
        <w:t>97</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sz w:val="32"/>
          <w:szCs w:val="32"/>
        </w:rPr>
        <w:t>通过预算绩效管理，满足了我院基本支出和项目支出的需要，使资金被有效</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利用，为我院全年检察工作的完成提供了基本的物质保障。</w:t>
      </w:r>
      <w:r>
        <w:rPr>
          <w:rFonts w:hint="eastAsia" w:ascii="仿宋_GB2312" w:hAnsi="仿宋_GB2312" w:eastAsia="仿宋_GB2312" w:cs="仿宋_GB2312"/>
          <w:sz w:val="15"/>
          <w:szCs w:val="15"/>
        </w:rPr>
        <w:t xml:space="preserve"> </w:t>
      </w:r>
    </w:p>
    <w:p>
      <w:pPr>
        <w:widowControl/>
        <w:jc w:val="left"/>
        <w:rPr>
          <w:rFonts w:ascii="仿宋_GB2312" w:eastAsia="仿宋_GB2312"/>
          <w:b/>
          <w:color w:val="auto"/>
          <w:sz w:val="32"/>
          <w:szCs w:val="32"/>
          <w:highlight w:val="yellow"/>
        </w:rPr>
      </w:pPr>
      <w:r>
        <w:rPr>
          <w:rFonts w:ascii="仿宋_GB2312" w:eastAsia="仿宋_GB2312"/>
          <w:b/>
          <w:color w:val="auto"/>
          <w:sz w:val="32"/>
          <w:szCs w:val="32"/>
          <w:highlight w:val="yellow"/>
        </w:rPr>
        <w:br w:type="page"/>
      </w:r>
    </w:p>
    <w:p>
      <w:pPr>
        <w:numPr>
          <w:ilvl w:val="0"/>
          <w:numId w:val="3"/>
        </w:numPr>
        <w:spacing w:line="600" w:lineRule="exact"/>
        <w:ind w:firstLine="660" w:firstLineChars="150"/>
        <w:jc w:val="center"/>
        <w:outlineLvl w:val="0"/>
        <w:rPr>
          <w:rStyle w:val="21"/>
          <w:rFonts w:ascii="黑体" w:hAnsi="黑体" w:eastAsia="黑体"/>
          <w:b w:val="0"/>
          <w:color w:val="auto"/>
          <w:highlight w:val="none"/>
        </w:rPr>
      </w:pPr>
      <w:bookmarkStart w:id="77" w:name="_Toc27928"/>
      <w:bookmarkStart w:id="78" w:name="_Toc15396613"/>
      <w:bookmarkStart w:id="79" w:name="_Toc15377225"/>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77"/>
      <w:bookmarkEnd w:id="78"/>
      <w:bookmarkEnd w:id="79"/>
    </w:p>
    <w:p>
      <w:pPr>
        <w:spacing w:line="600" w:lineRule="exact"/>
        <w:jc w:val="left"/>
        <w:rPr>
          <w:rFonts w:ascii="宋体"/>
          <w:b/>
          <w:color w:val="auto"/>
          <w:sz w:val="44"/>
          <w:szCs w:val="44"/>
          <w:highlight w:val="none"/>
        </w:rPr>
      </w:pPr>
    </w:p>
    <w:p>
      <w:pPr>
        <w:pStyle w:val="2"/>
        <w:spacing w:line="560" w:lineRule="exact"/>
        <w:ind w:firstLine="640" w:firstLineChars="200"/>
        <w:outlineLvl w:val="1"/>
        <w:rPr>
          <w:rFonts w:hint="eastAsia" w:ascii="仿宋_GB2312" w:hAnsi="Times New Roman" w:eastAsia="仿宋_GB2312" w:cs="Times New Roman"/>
          <w:color w:val="auto"/>
          <w:kern w:val="2"/>
          <w:sz w:val="32"/>
          <w:szCs w:val="32"/>
          <w:lang w:val="en-US" w:eastAsia="zh-CN" w:bidi="ar-SA"/>
        </w:rPr>
      </w:pPr>
      <w:bookmarkStart w:id="80" w:name="_Toc28169"/>
      <w:r>
        <w:rPr>
          <w:rFonts w:hint="eastAsia" w:ascii="仿宋_GB2312" w:hAnsi="Times New Roman" w:eastAsia="仿宋_GB2312" w:cs="Times New Roman"/>
          <w:color w:val="auto"/>
          <w:kern w:val="2"/>
          <w:sz w:val="32"/>
          <w:szCs w:val="32"/>
          <w:lang w:val="en-US" w:eastAsia="zh-CN" w:bidi="ar-SA"/>
        </w:rPr>
        <w:t>1.财政拨款收入：指单位从同级财政部门取得的财政预算资金。</w:t>
      </w:r>
      <w:bookmarkEnd w:id="80"/>
    </w:p>
    <w:p>
      <w:pPr>
        <w:pStyle w:val="2"/>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 xml:space="preserve">2.其他收入：指单位取得的除上述收入以外的各项收入。主要是县级财政拨款收入。 </w:t>
      </w:r>
    </w:p>
    <w:p>
      <w:pPr>
        <w:pStyle w:val="2"/>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3.公共安全（类）检察（款）行政运行（项）：指行政单位（包括实行公务员管理的事业单位）的基本支出。</w:t>
      </w:r>
    </w:p>
    <w:p>
      <w:pPr>
        <w:pStyle w:val="2"/>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4.公共安全（类）检察（款）一般行政管理事务（项）：指行政单位（包括实行公务员管理的事业单位）未单独设置项级科目的其他项目支出。</w:t>
      </w:r>
    </w:p>
    <w:p>
      <w:pPr>
        <w:pStyle w:val="2"/>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5.公共安全（类）检察（款）其他检察支出（项）：指除上述项目以外其他用于检察方面的支出。</w:t>
      </w:r>
    </w:p>
    <w:p>
      <w:pPr>
        <w:pStyle w:val="2"/>
        <w:spacing w:line="560" w:lineRule="exact"/>
        <w:ind w:firstLine="640" w:firstLineChars="200"/>
        <w:outlineLvl w:val="1"/>
        <w:rPr>
          <w:rFonts w:hint="eastAsia" w:ascii="仿宋_GB2312" w:hAnsi="Times New Roman" w:eastAsia="仿宋_GB2312" w:cs="Times New Roman"/>
          <w:color w:val="auto"/>
          <w:kern w:val="2"/>
          <w:sz w:val="32"/>
          <w:szCs w:val="32"/>
          <w:lang w:val="en-US" w:eastAsia="zh-CN" w:bidi="ar-SA"/>
        </w:rPr>
      </w:pPr>
      <w:bookmarkStart w:id="81" w:name="_Toc28522"/>
      <w:r>
        <w:rPr>
          <w:rFonts w:hint="eastAsia" w:ascii="仿宋_GB2312" w:hAnsi="Times New Roman" w:eastAsia="仿宋_GB2312" w:cs="Times New Roman"/>
          <w:color w:val="auto"/>
          <w:kern w:val="2"/>
          <w:sz w:val="32"/>
          <w:szCs w:val="32"/>
          <w:lang w:val="en-US" w:eastAsia="zh-CN" w:bidi="ar-SA"/>
        </w:rPr>
        <w:t>6.公共安全（类）其他公共安全（款）其他公共安全支出（项）：</w:t>
      </w:r>
      <w:bookmarkEnd w:id="81"/>
    </w:p>
    <w:p>
      <w:pPr>
        <w:pStyle w:val="2"/>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7.社会保障和就业（类）行政事业单位养老支出（款）机关事业单位基本养老保险缴费支出（项）：指部门实施养老保险制度由单位缴纳的养老保险的支出。</w:t>
      </w:r>
    </w:p>
    <w:p>
      <w:pPr>
        <w:pStyle w:val="2"/>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8.卫生健康（类）行政事业单位医疗（款）行政单位医疗（项）：指机关及参公管理事业单位用于单位应缴纳基本医疗保险支出。</w:t>
      </w:r>
    </w:p>
    <w:p>
      <w:pPr>
        <w:ind w:firstLine="640" w:firstLineChars="200"/>
        <w:jc w:val="both"/>
        <w:rPr>
          <w:rFonts w:ascii="仿宋_GB2312" w:eastAsia="仿宋_GB2312"/>
          <w:sz w:val="32"/>
          <w:szCs w:val="32"/>
        </w:rPr>
      </w:pPr>
      <w:r>
        <w:rPr>
          <w:rFonts w:hint="eastAsia" w:ascii="仿宋_GB2312" w:hAnsi="Times New Roman" w:eastAsia="仿宋_GB2312" w:cs="Times New Roman"/>
          <w:color w:val="auto"/>
          <w:kern w:val="2"/>
          <w:sz w:val="32"/>
          <w:szCs w:val="32"/>
          <w:lang w:val="en-US" w:eastAsia="zh-CN" w:bidi="ar-SA"/>
        </w:rPr>
        <w:t>9.</w:t>
      </w:r>
      <w:r>
        <w:rPr>
          <w:rFonts w:hint="eastAsia" w:ascii="仿宋_GB2312" w:eastAsia="仿宋_GB2312"/>
          <w:sz w:val="32"/>
          <w:szCs w:val="32"/>
        </w:rPr>
        <w:t>住房保障（类）住房改革支出（款）住房公积金（项）：指</w:t>
      </w:r>
      <w:r>
        <w:rPr>
          <w:rFonts w:hint="eastAsia" w:ascii="仿宋_GB2312" w:eastAsia="仿宋_GB2312"/>
          <w:color w:val="000000"/>
          <w:sz w:val="32"/>
          <w:szCs w:val="32"/>
        </w:rPr>
        <w:t>行政事业单位按人力资源和社会保障部、财政部规定的基本工资和津贴补贴以及规定比例为职工缴纳的住房公积金。</w:t>
      </w:r>
    </w:p>
    <w:p>
      <w:pPr>
        <w:pStyle w:val="2"/>
        <w:spacing w:line="560" w:lineRule="exact"/>
        <w:ind w:firstLine="640" w:firstLineChars="200"/>
        <w:rPr>
          <w:rFonts w:hint="eastAsia" w:ascii="仿宋_GB2312" w:hAnsi="Times New Roman" w:eastAsia="仿宋_GB2312" w:cs="Times New Roman"/>
          <w:color w:val="auto"/>
          <w:kern w:val="2"/>
          <w:sz w:val="32"/>
          <w:szCs w:val="32"/>
          <w:lang w:val="en-US" w:eastAsia="zh-CN" w:bidi="ar-SA"/>
        </w:rPr>
      </w:pP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
        <w:spacing w:line="560" w:lineRule="exact"/>
        <w:ind w:firstLine="640" w:firstLineChars="200"/>
        <w:rPr>
          <w:rFonts w:ascii="仿宋_GB2312" w:eastAsia="仿宋_GB2312" w:cs="黑体"/>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办公用房水电费、办公用房物业管理费、公务用车运行维护费以及其他费用。</w:t>
      </w:r>
    </w:p>
    <w:p>
      <w:pPr>
        <w:spacing w:line="600" w:lineRule="exact"/>
        <w:jc w:val="center"/>
        <w:outlineLvl w:val="9"/>
        <w:rPr>
          <w:rFonts w:hint="eastAsia" w:ascii="黑体" w:hAnsi="黑体" w:eastAsia="黑体"/>
          <w:color w:val="auto"/>
          <w:sz w:val="44"/>
          <w:szCs w:val="44"/>
          <w:highlight w:val="none"/>
        </w:rPr>
      </w:pPr>
      <w:bookmarkStart w:id="82" w:name="_Toc15396614"/>
      <w:bookmarkStart w:id="83" w:name="_Toc15377226"/>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Style w:val="21"/>
          <w:rFonts w:hint="eastAsia" w:ascii="黑体" w:hAnsi="黑体" w:eastAsia="黑体"/>
          <w:b w:val="0"/>
          <w:color w:val="auto"/>
          <w:highlight w:val="none"/>
          <w:lang w:eastAsia="zh-CN"/>
        </w:rPr>
      </w:pPr>
      <w:bookmarkStart w:id="84" w:name="_Toc7959"/>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四部分 附件</w:t>
      </w:r>
      <w:bookmarkEnd w:id="82"/>
      <w:bookmarkEnd w:id="84"/>
    </w:p>
    <w:p>
      <w:pPr>
        <w:keepNext w:val="0"/>
        <w:keepLines w:val="0"/>
        <w:pageBreakBefore w:val="0"/>
        <w:kinsoku/>
        <w:wordWrap/>
        <w:overflowPunct/>
        <w:topLinePunct w:val="0"/>
        <w:autoSpaceDE/>
        <w:autoSpaceDN/>
        <w:bidi w:val="0"/>
        <w:spacing w:line="572" w:lineRule="exact"/>
        <w:jc w:val="left"/>
        <w:textAlignment w:val="auto"/>
        <w:outlineLvl w:val="1"/>
        <w:rPr>
          <w:rFonts w:ascii="方正小标宋简体" w:hAnsi="方正小标宋简体" w:eastAsia="方正小标宋简体" w:cs="方正小标宋简体"/>
          <w:color w:val="auto"/>
          <w:sz w:val="44"/>
          <w:szCs w:val="44"/>
          <w:highlight w:val="none"/>
        </w:rPr>
      </w:pPr>
      <w:bookmarkStart w:id="85" w:name="_Toc29520"/>
      <w:r>
        <w:rPr>
          <w:rFonts w:hint="eastAsia" w:ascii="黑体" w:hAnsi="黑体" w:eastAsia="黑体" w:cs="黑体"/>
          <w:color w:val="auto"/>
          <w:sz w:val="32"/>
          <w:szCs w:val="32"/>
          <w:highlight w:val="none"/>
        </w:rPr>
        <w:t>附件</w:t>
      </w:r>
      <w:bookmarkEnd w:id="85"/>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default" w:ascii="方正小标宋简体" w:hAnsi="方正小标宋简体" w:eastAsia="方正小标宋简体" w:cs="方正小标宋简体"/>
          <w:b w:val="0"/>
          <w:bCs/>
          <w:color w:val="auto"/>
          <w:sz w:val="44"/>
          <w:szCs w:val="44"/>
          <w:highlight w:val="none"/>
          <w:shd w:val="clear" w:color="auto" w:fill="FFFFFF"/>
          <w:lang w:val="en-US" w:eastAsia="zh-CN"/>
        </w:rPr>
      </w:pP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剑阁县人民检察院</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方正小标宋简体" w:hAnsi="方正小标宋简体" w:eastAsia="方正小标宋简体" w:cs="方正小标宋简体"/>
          <w:b w:val="0"/>
          <w:bCs/>
          <w:color w:val="auto"/>
          <w:kern w:val="0"/>
          <w:sz w:val="44"/>
          <w:szCs w:val="44"/>
          <w:highlight w:val="none"/>
          <w:shd w:val="clear" w:color="auto" w:fill="FFFFFF"/>
          <w:lang w:eastAsia="zh-CN"/>
        </w:rPr>
      </w:pPr>
      <w:r>
        <w:rPr>
          <w:rFonts w:hint="eastAsia" w:ascii="方正小标宋简体" w:hAnsi="方正小标宋简体" w:eastAsia="方正小标宋简体" w:cs="方正小标宋简体"/>
          <w:b w:val="0"/>
          <w:bCs/>
          <w:color w:val="auto"/>
          <w:sz w:val="44"/>
          <w:szCs w:val="44"/>
          <w:highlight w:val="none"/>
          <w:shd w:val="clear" w:color="auto" w:fill="FFFFFF"/>
        </w:rPr>
        <w:t>20</w:t>
      </w:r>
      <w:r>
        <w:rPr>
          <w:rFonts w:hint="eastAsia" w:ascii="方正小标宋简体" w:hAnsi="方正小标宋简体" w:eastAsia="方正小标宋简体" w:cs="方正小标宋简体"/>
          <w:b w:val="0"/>
          <w:bCs/>
          <w:color w:val="auto"/>
          <w:sz w:val="44"/>
          <w:szCs w:val="44"/>
          <w:highlight w:val="none"/>
          <w:shd w:val="clear" w:color="auto" w:fill="FFFFFF"/>
          <w:lang w:val="en-US" w:eastAsia="zh-CN"/>
        </w:rPr>
        <w:t>23</w:t>
      </w:r>
      <w:r>
        <w:rPr>
          <w:rFonts w:hint="eastAsia" w:ascii="方正小标宋简体" w:hAnsi="方正小标宋简体" w:eastAsia="方正小标宋简体" w:cs="方正小标宋简体"/>
          <w:b w:val="0"/>
          <w:bCs/>
          <w:color w:val="auto"/>
          <w:sz w:val="44"/>
          <w:szCs w:val="44"/>
          <w:highlight w:val="none"/>
          <w:shd w:val="clear" w:color="auto" w:fill="FFFFFF"/>
        </w:rPr>
        <w:t>年</w:t>
      </w:r>
      <w:r>
        <w:rPr>
          <w:rFonts w:hint="eastAsia" w:ascii="方正小标宋简体" w:hAnsi="方正小标宋简体" w:eastAsia="方正小标宋简体" w:cs="方正小标宋简体"/>
          <w:b w:val="0"/>
          <w:bCs/>
          <w:color w:val="auto"/>
          <w:sz w:val="44"/>
          <w:szCs w:val="44"/>
          <w:highlight w:val="none"/>
          <w:shd w:val="clear" w:color="auto" w:fill="FFFFFF"/>
          <w:lang w:eastAsia="zh-CN"/>
        </w:rPr>
        <w:t>市</w:t>
      </w:r>
      <w:r>
        <w:rPr>
          <w:rFonts w:hint="eastAsia" w:ascii="方正小标宋简体" w:hAnsi="方正小标宋简体" w:eastAsia="方正小标宋简体" w:cs="方正小标宋简体"/>
          <w:b w:val="0"/>
          <w:bCs/>
          <w:color w:val="auto"/>
          <w:sz w:val="44"/>
          <w:szCs w:val="44"/>
          <w:highlight w:val="none"/>
          <w:shd w:val="clear" w:color="auto" w:fill="FFFFFF"/>
        </w:rPr>
        <w:t>级部门整体绩效评价报告</w:t>
      </w: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86" w:name="_Toc4308"/>
      <w:r>
        <w:rPr>
          <w:rFonts w:hint="eastAsia" w:ascii="黑体" w:hAnsi="宋体" w:eastAsia="黑体" w:cs="宋体"/>
          <w:color w:val="auto"/>
          <w:kern w:val="0"/>
          <w:sz w:val="32"/>
          <w:szCs w:val="32"/>
          <w:highlight w:val="none"/>
          <w:shd w:val="clear" w:color="auto" w:fill="FFFFFF"/>
          <w:lang w:val="zh-CN"/>
        </w:rPr>
        <w:t>部门（单位）基本情况</w:t>
      </w:r>
      <w:bookmarkEnd w:id="86"/>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b w:val="0"/>
          <w:bCs w:val="0"/>
          <w:color w:val="auto"/>
          <w:kern w:val="0"/>
          <w:sz w:val="32"/>
          <w:szCs w:val="32"/>
          <w:highlight w:val="none"/>
          <w:shd w:val="clear" w:color="auto" w:fill="FFFFFF"/>
          <w:lang w:val="zh-CN"/>
        </w:rPr>
      </w:pPr>
      <w:r>
        <w:rPr>
          <w:rFonts w:hint="eastAsia" w:ascii="楷体" w:hAnsi="楷体" w:eastAsia="楷体" w:cs="楷体"/>
          <w:b w:val="0"/>
          <w:bCs w:val="0"/>
          <w:color w:val="auto"/>
          <w:kern w:val="0"/>
          <w:sz w:val="32"/>
          <w:szCs w:val="32"/>
          <w:highlight w:val="none"/>
          <w:shd w:val="clear" w:color="auto" w:fill="FFFFFF"/>
          <w:lang w:val="zh-CN"/>
        </w:rPr>
        <w:t>机构组成</w:t>
      </w:r>
    </w:p>
    <w:p>
      <w:pPr>
        <w:widowControl/>
        <w:adjustRightInd w:val="0"/>
        <w:snapToGrid w:val="0"/>
        <w:spacing w:line="572" w:lineRule="exact"/>
        <w:ind w:firstLine="640" w:firstLineChars="200"/>
        <w:contextualSpacing/>
        <w:jc w:val="both"/>
        <w:rPr>
          <w:rFonts w:hint="eastAsia"/>
          <w:lang w:val="zh-CN"/>
        </w:rPr>
      </w:pPr>
      <w:r>
        <w:rPr>
          <w:rFonts w:hint="eastAsia" w:ascii="仿宋_GB2312" w:hAnsi="宋体" w:eastAsia="仿宋_GB2312" w:cs="宋体"/>
          <w:kern w:val="0"/>
          <w:sz w:val="32"/>
          <w:szCs w:val="32"/>
          <w:shd w:val="clear" w:color="auto" w:fill="FFFFFF"/>
          <w:lang w:val="zh-CN"/>
        </w:rPr>
        <w:t>剑阁县人民检察院属于一级行政单位，无下属二级单位。</w:t>
      </w:r>
      <w:r>
        <w:rPr>
          <w:rFonts w:hint="eastAsia" w:ascii="仿宋_GB2312" w:hAnsi="宋体" w:eastAsia="仿宋_GB2312" w:cs="宋体"/>
          <w:kern w:val="0"/>
          <w:sz w:val="32"/>
          <w:szCs w:val="32"/>
          <w:shd w:val="clear" w:color="auto" w:fill="FFFFFF"/>
          <w:lang w:val="en-US" w:eastAsia="zh-CN"/>
        </w:rPr>
        <w:t>共设置</w:t>
      </w:r>
      <w:r>
        <w:rPr>
          <w:rFonts w:hint="eastAsia" w:ascii="仿宋_GB2312" w:hAnsi="宋体" w:eastAsia="仿宋_GB2312" w:cs="宋体"/>
          <w:kern w:val="0"/>
          <w:sz w:val="32"/>
          <w:szCs w:val="32"/>
          <w:shd w:val="clear" w:color="auto" w:fill="FFFFFF"/>
          <w:lang w:val="zh-CN"/>
        </w:rPr>
        <w:t>内设机构</w:t>
      </w:r>
      <w:r>
        <w:rPr>
          <w:rFonts w:hint="eastAsia" w:ascii="仿宋_GB2312" w:hAnsi="宋体" w:eastAsia="仿宋_GB2312" w:cs="宋体"/>
          <w:kern w:val="0"/>
          <w:sz w:val="32"/>
          <w:szCs w:val="32"/>
          <w:shd w:val="clear" w:color="auto" w:fill="FFFFFF"/>
          <w:lang w:val="en-US" w:eastAsia="zh-CN"/>
        </w:rPr>
        <w:t>5</w:t>
      </w:r>
      <w:r>
        <w:rPr>
          <w:rFonts w:hint="eastAsia" w:ascii="仿宋_GB2312" w:hAnsi="宋体" w:eastAsia="仿宋_GB2312" w:cs="宋体"/>
          <w:kern w:val="0"/>
          <w:sz w:val="32"/>
          <w:szCs w:val="32"/>
          <w:shd w:val="clear" w:color="auto" w:fill="FFFFFF"/>
          <w:lang w:val="zh-CN"/>
        </w:rPr>
        <w:t>个，</w:t>
      </w:r>
      <w:r>
        <w:rPr>
          <w:rFonts w:hint="eastAsia" w:ascii="仿宋_GB2312" w:hAnsi="宋体" w:eastAsia="仿宋_GB2312" w:cs="宋体"/>
          <w:kern w:val="0"/>
          <w:sz w:val="32"/>
          <w:szCs w:val="32"/>
          <w:shd w:val="clear" w:color="auto" w:fill="FFFFFF"/>
          <w:lang w:val="en-US" w:eastAsia="zh-CN"/>
        </w:rPr>
        <w:t>分别是：</w:t>
      </w:r>
      <w:r>
        <w:rPr>
          <w:rFonts w:hint="eastAsia" w:ascii="仿宋_GB2312" w:hAnsi="宋体" w:eastAsia="仿宋_GB2312" w:cs="宋体"/>
          <w:kern w:val="0"/>
          <w:sz w:val="32"/>
          <w:szCs w:val="32"/>
          <w:shd w:val="clear" w:color="auto" w:fill="FFFFFF"/>
          <w:lang w:val="zh-CN"/>
        </w:rPr>
        <w:t>办公室、第一检察部（未成年人检察部）、</w:t>
      </w:r>
      <w:r>
        <w:rPr>
          <w:rFonts w:hint="eastAsia" w:ascii="仿宋_GB2312" w:hAnsi="宋体" w:eastAsia="仿宋_GB2312" w:cs="宋体"/>
          <w:kern w:val="0"/>
          <w:sz w:val="32"/>
          <w:szCs w:val="32"/>
          <w:shd w:val="clear" w:color="auto" w:fill="FFFFFF"/>
          <w:lang w:val="en-US" w:eastAsia="zh-CN"/>
        </w:rPr>
        <w:t>第二检察部、第三检察部、</w:t>
      </w:r>
      <w:r>
        <w:rPr>
          <w:rFonts w:hint="eastAsia" w:ascii="仿宋_GB2312" w:hAnsi="宋体" w:eastAsia="仿宋_GB2312" w:cs="宋体"/>
          <w:kern w:val="0"/>
          <w:sz w:val="32"/>
          <w:szCs w:val="32"/>
          <w:shd w:val="clear" w:color="auto" w:fill="FFFFFF"/>
          <w:lang w:val="zh-CN"/>
        </w:rPr>
        <w:t>政治处（司法警察大队）。</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 w:hAnsi="楷体" w:eastAsia="楷体" w:cs="楷体"/>
          <w:b w:val="0"/>
          <w:bCs w:val="0"/>
          <w:color w:val="auto"/>
          <w:kern w:val="0"/>
          <w:sz w:val="32"/>
          <w:szCs w:val="32"/>
          <w:highlight w:val="none"/>
          <w:shd w:val="clear" w:color="auto" w:fill="FFFFFF"/>
          <w:lang w:val="zh-CN" w:eastAsia="zh-CN"/>
        </w:rPr>
      </w:pPr>
      <w:r>
        <w:rPr>
          <w:rFonts w:hint="eastAsia" w:ascii="楷体" w:hAnsi="楷体" w:eastAsia="楷体" w:cs="楷体"/>
          <w:b w:val="0"/>
          <w:bCs w:val="0"/>
          <w:color w:val="auto"/>
          <w:kern w:val="0"/>
          <w:sz w:val="32"/>
          <w:szCs w:val="32"/>
          <w:highlight w:val="none"/>
          <w:shd w:val="clear" w:color="auto" w:fill="FFFFFF"/>
          <w:lang w:val="zh-CN"/>
        </w:rPr>
        <w:t>机构职能和人员概况</w:t>
      </w:r>
    </w:p>
    <w:p>
      <w:pPr>
        <w:pStyle w:val="2"/>
        <w:ind w:firstLine="640" w:firstLineChars="200"/>
        <w:rPr>
          <w:rFonts w:hint="eastAsia" w:ascii="仿宋_GB2312" w:hAnsi="仿宋_GB2312" w:eastAsia="仿宋_GB2312" w:cs="仿宋_GB2312"/>
          <w:lang w:val="zh-CN" w:eastAsia="zh-CN"/>
        </w:rPr>
      </w:pPr>
      <w:r>
        <w:rPr>
          <w:rFonts w:hint="eastAsia" w:ascii="仿宋_GB2312" w:hAnsi="仿宋_GB2312" w:eastAsia="仿宋_GB2312" w:cs="仿宋_GB2312"/>
          <w:bCs/>
          <w:sz w:val="32"/>
          <w:szCs w:val="32"/>
        </w:rPr>
        <w:t>人民检察院通过行使检察权，追诉犯罪，维护国家安全和社会秩序，维护个人和组织的合法权益，维护国家利益和社会公共利益，保障法律正确实施，维护社会公平正义，维护国家法制统一、尊严和权威，保障中国特色社会主义建设的顺利进行。</w:t>
      </w:r>
    </w:p>
    <w:p>
      <w:pPr>
        <w:pStyle w:val="2"/>
        <w:ind w:firstLine="640" w:firstLineChars="200"/>
        <w:rPr>
          <w:rFonts w:hint="eastAsia" w:ascii="仿宋_GB2312" w:hAnsi="仿宋_GB2312" w:eastAsia="仿宋_GB2312" w:cs="仿宋_GB2312"/>
          <w:bCs/>
          <w:sz w:val="32"/>
          <w:szCs w:val="32"/>
          <w:lang w:val="zh-CN" w:eastAsia="zh-CN"/>
        </w:rPr>
      </w:pPr>
      <w:r>
        <w:rPr>
          <w:rFonts w:hint="eastAsia" w:ascii="仿宋_GB2312" w:hAnsi="仿宋_GB2312" w:eastAsia="仿宋_GB2312" w:cs="仿宋_GB2312"/>
          <w:bCs/>
          <w:sz w:val="32"/>
          <w:szCs w:val="32"/>
          <w:lang w:val="en-US" w:eastAsia="zh-CN"/>
        </w:rPr>
        <w:t>剑阁县人民检察院共有政法专编48人，事业编0人。2022年年末实有人数67人（其中：政法专编46人，工勤人员3人，聘用人员16人；遗属4人（其中烈属1人)。</w:t>
      </w:r>
    </w:p>
    <w:p>
      <w:pPr>
        <w:keepNext w:val="0"/>
        <w:keepLines w:val="0"/>
        <w:pageBreakBefore w:val="0"/>
        <w:widowControl/>
        <w:numPr>
          <w:ilvl w:val="0"/>
          <w:numId w:val="5"/>
        </w:numPr>
        <w:kinsoku/>
        <w:wordWrap/>
        <w:overflowPunct/>
        <w:topLinePunct w:val="0"/>
        <w:autoSpaceDE/>
        <w:autoSpaceDN/>
        <w:bidi w:val="0"/>
        <w:adjustRightInd w:val="0"/>
        <w:snapToGrid w:val="0"/>
        <w:spacing w:line="560"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年度主要工作任务</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b/>
          <w:bCs/>
          <w:kern w:val="2"/>
          <w:sz w:val="32"/>
          <w:szCs w:val="28"/>
          <w:lang w:val="en-US" w:eastAsia="zh-CN" w:bidi="ar-SA"/>
        </w:rPr>
      </w:pPr>
      <w:r>
        <w:rPr>
          <w:rFonts w:hint="eastAsia" w:ascii="仿宋_GB2312" w:hAnsi="仿宋_GB2312" w:eastAsia="仿宋_GB2312" w:cs="仿宋_GB2312"/>
          <w:b/>
          <w:bCs/>
          <w:kern w:val="2"/>
          <w:sz w:val="32"/>
          <w:szCs w:val="28"/>
          <w:lang w:val="en-US" w:eastAsia="zh-CN" w:bidi="ar-SA"/>
        </w:rPr>
        <w:t>1.以高质量检察监督，维护社会公平正义。</w:t>
      </w:r>
    </w:p>
    <w:p>
      <w:pPr>
        <w:pStyle w:val="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）刑事检察持续做优</w:t>
      </w:r>
      <w:r>
        <w:rPr>
          <w:rFonts w:hint="eastAsia" w:ascii="仿宋_GB2312" w:hAnsi="仿宋_GB2312" w:eastAsia="仿宋_GB2312" w:cs="仿宋_GB2312"/>
          <w:kern w:val="2"/>
          <w:sz w:val="32"/>
          <w:szCs w:val="32"/>
          <w:lang w:val="en-US" w:eastAsia="zh-CN" w:bidi="ar-SA"/>
        </w:rPr>
        <w:t>。批准逮</w:t>
      </w:r>
      <w:r>
        <w:rPr>
          <w:rFonts w:hint="eastAsia" w:ascii="仿宋_GB2312" w:hAnsi="仿宋_GB2312" w:eastAsia="仿宋_GB2312" w:cs="仿宋_GB2312"/>
          <w:sz w:val="32"/>
          <w:szCs w:val="32"/>
          <w:lang w:val="en-US" w:eastAsia="zh-CN"/>
        </w:rPr>
        <w:t>捕85人，提起公诉264人。加强对侦查活动的监督，监督立案3件、撤案15件，追捕追诉15人</w:t>
      </w:r>
      <w:r>
        <w:rPr>
          <w:rFonts w:hint="eastAsia" w:ascii="仿宋_GB2312" w:hAnsi="仿宋_GB2312" w:eastAsia="仿宋_GB2312" w:cs="仿宋_GB2312"/>
          <w:kern w:val="2"/>
          <w:sz w:val="32"/>
          <w:szCs w:val="32"/>
          <w:lang w:val="en-US" w:eastAsia="zh-CN" w:bidi="ar-SA"/>
        </w:rPr>
        <w:t>。开展刑事“挂案”专项监督活动，对2016-2020年“挂案”进行清理，目前，已全部清理完成并处置到位。</w:t>
      </w:r>
      <w:r>
        <w:rPr>
          <w:rFonts w:hint="eastAsia" w:ascii="仿宋_GB2312" w:hAnsi="仿宋_GB2312" w:eastAsia="仿宋_GB2312" w:cs="仿宋_GB2312"/>
          <w:color w:val="000000"/>
          <w:kern w:val="0"/>
          <w:sz w:val="32"/>
          <w:szCs w:val="32"/>
          <w:lang w:val="en-US" w:eastAsia="zh-CN" w:bidi="ar-SA"/>
        </w:rPr>
        <w:t>积极落实“七号检察建议”“八号检察建议”，开展相关宣传4次，助推安全生产溯源治理。</w:t>
      </w:r>
      <w:r>
        <w:rPr>
          <w:rFonts w:hint="eastAsia" w:ascii="仿宋_GB2312" w:hAnsi="仿宋_GB2312" w:eastAsia="仿宋_GB2312" w:cs="仿宋_GB2312"/>
          <w:kern w:val="2"/>
          <w:sz w:val="32"/>
          <w:szCs w:val="32"/>
          <w:lang w:val="en-US" w:eastAsia="zh-CN" w:bidi="ar-SA"/>
        </w:rPr>
        <w:t>强化刑罚执行和监管活动监督，加强财产刑执行监督，发出纠违通知书5份，发出纠正</w:t>
      </w:r>
      <w:r>
        <w:rPr>
          <w:rFonts w:hint="eastAsia" w:ascii="仿宋_GB2312" w:hAnsi="仿宋_GB2312" w:eastAsia="仿宋_GB2312" w:cs="仿宋_GB2312"/>
          <w:sz w:val="32"/>
          <w:szCs w:val="32"/>
        </w:rPr>
        <w:t>监管违法通知书</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份，开展</w:t>
      </w:r>
      <w:r>
        <w:rPr>
          <w:rFonts w:hint="eastAsia" w:ascii="仿宋_GB2312" w:hAnsi="仿宋_GB2312" w:eastAsia="仿宋_GB2312" w:cs="仿宋_GB2312"/>
          <w:sz w:val="32"/>
          <w:szCs w:val="32"/>
          <w:lang w:eastAsia="zh-CN"/>
        </w:rPr>
        <w:t>监外执行和</w:t>
      </w:r>
      <w:r>
        <w:rPr>
          <w:rFonts w:hint="eastAsia" w:ascii="仿宋_GB2312" w:hAnsi="仿宋_GB2312" w:eastAsia="仿宋_GB2312" w:cs="仿宋_GB2312"/>
          <w:sz w:val="32"/>
          <w:szCs w:val="32"/>
        </w:rPr>
        <w:t>社区矫正工作</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次，发出纠违通知书</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，着力提升刑罚执行和监管执法监督质效。</w:t>
      </w:r>
      <w:r>
        <w:rPr>
          <w:rFonts w:hint="eastAsia" w:ascii="仿宋_GB2312" w:hAnsi="仿宋_GB2312" w:eastAsia="仿宋_GB2312" w:cs="仿宋_GB2312"/>
          <w:sz w:val="32"/>
          <w:szCs w:val="32"/>
          <w:lang w:val="en-US" w:eastAsia="zh-CN"/>
        </w:rPr>
        <w:t>持续推进反腐败斗争，受理职务犯罪案件7件8人，提起公诉4件6人。</w:t>
      </w:r>
      <w:r>
        <w:rPr>
          <w:rFonts w:hint="eastAsia" w:ascii="仿宋_GB2312" w:hAnsi="仿宋_GB2312" w:eastAsia="仿宋_GB2312" w:cs="仿宋_GB2312"/>
          <w:color w:val="000000"/>
          <w:sz w:val="32"/>
          <w:szCs w:val="32"/>
          <w:lang w:bidi="ar"/>
        </w:rPr>
        <w:t>办理了</w:t>
      </w:r>
      <w:r>
        <w:rPr>
          <w:rFonts w:hint="eastAsia" w:ascii="仿宋_GB2312" w:hAnsi="仿宋_GB2312" w:eastAsia="仿宋_GB2312" w:cs="仿宋_GB2312"/>
          <w:color w:val="000000"/>
          <w:sz w:val="32"/>
          <w:szCs w:val="32"/>
          <w:lang w:eastAsia="zh-CN" w:bidi="ar"/>
        </w:rPr>
        <w:t>中国农业银行</w:t>
      </w:r>
      <w:r>
        <w:rPr>
          <w:rFonts w:hint="eastAsia" w:ascii="仿宋_GB2312" w:hAnsi="仿宋_GB2312" w:eastAsia="仿宋_GB2312" w:cs="仿宋_GB2312"/>
          <w:color w:val="000000"/>
          <w:sz w:val="32"/>
          <w:szCs w:val="32"/>
          <w:lang w:bidi="ar"/>
        </w:rPr>
        <w:t>成都总府支行原党委书记、行长曹某涉嫌受贿、违法发放贷款案</w:t>
      </w:r>
      <w:r>
        <w:rPr>
          <w:rFonts w:hint="eastAsia" w:ascii="仿宋_GB2312" w:hAnsi="仿宋_GB2312" w:eastAsia="仿宋_GB2312" w:cs="仿宋_GB2312"/>
          <w:color w:val="000000"/>
          <w:sz w:val="32"/>
          <w:szCs w:val="32"/>
          <w:lang w:eastAsia="zh-CN" w:bidi="ar"/>
        </w:rPr>
        <w:t>，</w:t>
      </w:r>
      <w:r>
        <w:rPr>
          <w:rFonts w:hint="eastAsia" w:ascii="仿宋_GB2312" w:hAnsi="仿宋_GB2312" w:eastAsia="仿宋_GB2312" w:cs="仿宋_GB2312"/>
          <w:color w:val="000000"/>
          <w:sz w:val="32"/>
          <w:szCs w:val="32"/>
          <w:lang w:bidi="ar"/>
        </w:rPr>
        <w:t>追赃挽损</w:t>
      </w:r>
      <w:r>
        <w:rPr>
          <w:rFonts w:hint="eastAsia" w:ascii="仿宋_GB2312" w:hAnsi="仿宋_GB2312" w:eastAsia="仿宋_GB2312" w:cs="仿宋_GB2312"/>
          <w:color w:val="000000"/>
          <w:sz w:val="32"/>
          <w:szCs w:val="32"/>
          <w:lang w:val="en-US" w:eastAsia="zh-CN" w:bidi="ar"/>
        </w:rPr>
        <w:t>1800</w:t>
      </w:r>
      <w:r>
        <w:rPr>
          <w:rFonts w:hint="eastAsia" w:ascii="仿宋_GB2312" w:hAnsi="仿宋_GB2312" w:eastAsia="仿宋_GB2312" w:cs="仿宋_GB2312"/>
          <w:color w:val="000000"/>
          <w:sz w:val="32"/>
          <w:szCs w:val="32"/>
          <w:lang w:bidi="ar"/>
        </w:rPr>
        <w:t>余万元。</w:t>
      </w:r>
    </w:p>
    <w:p>
      <w:pPr>
        <w:pStyle w:val="9"/>
        <w:keepNext w:val="0"/>
        <w:keepLines w:val="0"/>
        <w:pageBreakBefore w:val="0"/>
        <w:widowControl w:val="0"/>
        <w:kinsoku/>
        <w:wordWrap/>
        <w:overflowPunct/>
        <w:topLinePunct w:val="0"/>
        <w:bidi w:val="0"/>
        <w:snapToGrid/>
        <w:spacing w:line="576"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bidi="ar"/>
        </w:rPr>
        <w:t>（2）民事检察创新发展。</w:t>
      </w:r>
      <w:r>
        <w:rPr>
          <w:rFonts w:hint="eastAsia" w:ascii="仿宋_GB2312" w:hAnsi="仿宋_GB2312" w:eastAsia="仿宋_GB2312" w:cs="仿宋_GB2312"/>
          <w:sz w:val="32"/>
          <w:szCs w:val="32"/>
          <w:lang w:val="en-US" w:eastAsia="zh-CN"/>
        </w:rPr>
        <w:t>认真学习贯彻《民法典》，更加精准履行监督职责。办理民事生效裁判监督案件7件，提出再审检察建议4件，</w:t>
      </w:r>
      <w:r>
        <w:rPr>
          <w:rFonts w:hint="eastAsia" w:ascii="仿宋_GB2312" w:hAnsi="仿宋_GB2312" w:eastAsia="仿宋_GB2312" w:cs="仿宋_GB2312"/>
          <w:sz w:val="32"/>
          <w:szCs w:val="32"/>
          <w:highlight w:val="none"/>
          <w:lang w:val="en-US" w:eastAsia="zh-CN"/>
        </w:rPr>
        <w:t>作出不支持监督申请决</w:t>
      </w:r>
      <w:r>
        <w:rPr>
          <w:rFonts w:hint="eastAsia" w:ascii="仿宋_GB2312" w:hAnsi="仿宋_GB2312" w:eastAsia="仿宋_GB2312" w:cs="仿宋_GB2312"/>
          <w:sz w:val="32"/>
          <w:szCs w:val="32"/>
          <w:lang w:val="en-US" w:eastAsia="zh-CN"/>
        </w:rPr>
        <w:t>定1件，促成当事人和解终结审查1件，交办案件报请市院向中院提出再审检</w:t>
      </w:r>
      <w:r>
        <w:rPr>
          <w:rFonts w:hint="eastAsia" w:ascii="仿宋_GB2312" w:hAnsi="仿宋_GB2312" w:eastAsia="仿宋_GB2312" w:cs="仿宋_GB2312"/>
          <w:sz w:val="32"/>
          <w:szCs w:val="32"/>
          <w:highlight w:val="none"/>
          <w:lang w:val="en-US" w:eastAsia="zh-CN"/>
        </w:rPr>
        <w:t>察建议1件。办理民事执行活动监督案件16件，提出监督意见11件，促成执行和解5件；办</w:t>
      </w:r>
      <w:r>
        <w:rPr>
          <w:rFonts w:hint="eastAsia" w:ascii="仿宋_GB2312" w:hAnsi="仿宋_GB2312" w:eastAsia="仿宋_GB2312" w:cs="仿宋_GB2312"/>
          <w:sz w:val="32"/>
          <w:szCs w:val="32"/>
          <w:lang w:val="en-US" w:eastAsia="zh-CN"/>
        </w:rPr>
        <w:t>理民事审判程序监督案件9件，提出监督意见9件，均得到法院采纳。坚持精准监督与社会治理同频共振，办理民事和解案件6件，虚假诉讼监</w:t>
      </w:r>
      <w:r>
        <w:rPr>
          <w:rFonts w:hint="eastAsia" w:ascii="仿宋_GB2312" w:hAnsi="仿宋_GB2312" w:eastAsia="仿宋_GB2312" w:cs="仿宋_GB2312"/>
          <w:sz w:val="32"/>
          <w:szCs w:val="32"/>
          <w:highlight w:val="none"/>
          <w:lang w:val="en-US" w:eastAsia="zh-CN"/>
        </w:rPr>
        <w:t>督案件4件。</w:t>
      </w:r>
      <w:r>
        <w:rPr>
          <w:rFonts w:hint="eastAsia" w:ascii="仿宋_GB2312" w:hAnsi="仿宋_GB2312" w:eastAsia="仿宋_GB2312" w:cs="仿宋_GB2312"/>
          <w:sz w:val="32"/>
          <w:szCs w:val="32"/>
          <w:lang w:val="en-US" w:eastAsia="zh-CN"/>
        </w:rPr>
        <w:t>1件民事检察案件获评全省检察机关优秀法律文书、1件民事检察案例被省院确认为典型案例刊载。</w:t>
      </w:r>
    </w:p>
    <w:p>
      <w:pPr>
        <w:keepNext w:val="0"/>
        <w:keepLines w:val="0"/>
        <w:pageBreakBefore w:val="0"/>
        <w:widowControl w:val="0"/>
        <w:kinsoku/>
        <w:wordWrap/>
        <w:overflowPunct/>
        <w:topLinePunct w:val="0"/>
        <w:bidi w:val="0"/>
        <w:snapToGrid/>
        <w:spacing w:line="576"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3）行政检察成果不断扩大。发挥行政检察“一手托两家”的作用，既监督公正司法，又促进依法行政。办理行政审判监督案件3件，提出检察建议3件。办理行政执行活动监督案件17件，发出检察建议9件，法院均已采纳，促成行政相对人履行终结审查8件。充分运用检察建议做好监督纠正、释法说理等工作，办理行政违法监督案件3件，促成21件行政争议案件实质性化解。办理的“李某非法占地非诉执行监督案”获评全省优秀案件，并被省院六部专刊转发。</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lang w:val="en-US" w:eastAsia="zh-CN" w:bidi="ar-SA"/>
        </w:rPr>
        <w:t>（4）公益诉讼检察精准开展。</w:t>
      </w:r>
      <w:r>
        <w:rPr>
          <w:rFonts w:hint="eastAsia" w:ascii="仿宋_GB2312" w:hAnsi="仿宋_GB2312" w:eastAsia="仿宋_GB2312" w:cs="仿宋_GB2312"/>
          <w:sz w:val="32"/>
          <w:szCs w:val="32"/>
          <w:lang w:val="en-US" w:eastAsia="zh-CN"/>
        </w:rPr>
        <w:t>坚持“实体程序并重、解决问题为要”，力争诉前实现维护公益目的。</w:t>
      </w:r>
      <w:r>
        <w:rPr>
          <w:rFonts w:hint="eastAsia" w:ascii="仿宋_GB2312" w:hAnsi="仿宋_GB2312" w:eastAsia="仿宋_GB2312" w:cs="仿宋_GB2312"/>
          <w:sz w:val="32"/>
          <w:szCs w:val="32"/>
          <w:lang w:eastAsia="zh-CN"/>
        </w:rPr>
        <w:t>办理公益诉讼案件</w:t>
      </w:r>
      <w:r>
        <w:rPr>
          <w:rFonts w:hint="eastAsia" w:ascii="仿宋_GB2312" w:hAnsi="仿宋_GB2312" w:eastAsia="仿宋_GB2312" w:cs="仿宋_GB2312"/>
          <w:sz w:val="32"/>
          <w:szCs w:val="32"/>
          <w:lang w:val="en-US" w:eastAsia="zh-CN"/>
        </w:rPr>
        <w:t>55</w:t>
      </w:r>
      <w:r>
        <w:rPr>
          <w:rFonts w:hint="eastAsia" w:ascii="仿宋_GB2312" w:hAnsi="仿宋_GB2312" w:eastAsia="仿宋_GB2312" w:cs="仿宋_GB2312"/>
          <w:sz w:val="32"/>
          <w:szCs w:val="32"/>
          <w:lang w:eastAsia="zh-CN"/>
        </w:rPr>
        <w:t>件，其中行政公益诉讼</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lang w:eastAsia="zh-CN"/>
        </w:rPr>
        <w:t>件，发出诉前检察建议</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lang w:eastAsia="zh-CN"/>
        </w:rPr>
        <w:t>件，提起刑事附带民事公益诉讼</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color w:val="auto"/>
          <w:kern w:val="2"/>
          <w:sz w:val="32"/>
          <w:szCs w:val="32"/>
          <w:lang w:val="en-US" w:eastAsia="zh-CN" w:bidi="ar-SA"/>
        </w:rPr>
        <w:t>，生态环境、国有资产得到有效保护。认真落实广元市人大常委会、市政协办公室与市检察院联合制定的《关于建立人大代表建议、政协委员提案与公益诉讼检察建议衔接转化工作机制的暂行办法》，针对代表委员提出的秀钟乡青岭村长期疏于有效保护的突出问题和加强农药包装废弃物规范处置提案，我院高度重视，积极发挥行政公益诉讼检察职能作用，迅速将人大代表建议和政协委员提案转化为公益诉讼案件办理，向有关行政单位发出诉前检察建议29件督促整改，确保代表委员提案建议落实落地，切实回应群众关切。深入落实党的二十大精神，牢固树立“绿水青山就是金山银山”的理念，主动服务长江经济带发展，</w:t>
      </w:r>
      <w:r>
        <w:rPr>
          <w:rFonts w:hint="eastAsia" w:ascii="仿宋_GB2312" w:hAnsi="仿宋_GB2312" w:eastAsia="仿宋_GB2312" w:cs="仿宋_GB2312"/>
          <w:sz w:val="32"/>
          <w:szCs w:val="32"/>
          <w:lang w:eastAsia="zh-CN"/>
        </w:rPr>
        <w:t>办理的</w:t>
      </w:r>
      <w:r>
        <w:rPr>
          <w:rFonts w:hint="eastAsia" w:ascii="仿宋_GB2312" w:hAnsi="仿宋_GB2312" w:eastAsia="仿宋_GB2312" w:cs="仿宋_GB2312"/>
          <w:color w:val="auto"/>
          <w:kern w:val="2"/>
          <w:sz w:val="32"/>
          <w:szCs w:val="32"/>
          <w:lang w:val="en-US" w:eastAsia="zh-CN" w:bidi="ar-SA"/>
        </w:rPr>
        <w:t>保护嘉陵江生态环境行政公益诉讼案被最高检评为典型案例，</w:t>
      </w:r>
      <w:r>
        <w:rPr>
          <w:rFonts w:hint="eastAsia" w:ascii="仿宋_GB2312" w:hAnsi="仿宋_GB2312" w:eastAsia="仿宋_GB2312" w:cs="仿宋_GB2312"/>
          <w:sz w:val="32"/>
          <w:szCs w:val="32"/>
          <w:lang w:eastAsia="zh-CN"/>
        </w:rPr>
        <w:t>办理的</w:t>
      </w:r>
      <w:r>
        <w:rPr>
          <w:rFonts w:hint="eastAsia" w:ascii="仿宋_GB2312" w:hAnsi="仿宋_GB2312" w:eastAsia="仿宋_GB2312" w:cs="仿宋_GB2312"/>
          <w:color w:val="auto"/>
          <w:kern w:val="2"/>
          <w:sz w:val="32"/>
          <w:szCs w:val="32"/>
          <w:lang w:val="en-US" w:eastAsia="zh-CN" w:bidi="ar-SA"/>
        </w:rPr>
        <w:t>古柏保护公益诉讼案件被最高检评为检察公益诉讼全面推开五周年宣传活动“好案件”。</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firstLine="640"/>
        <w:jc w:val="both"/>
        <w:textAlignment w:val="auto"/>
        <w:rPr>
          <w:rFonts w:hint="eastAsia" w:ascii="仿宋_GB2312" w:hAnsi="仿宋_GB2312" w:eastAsia="仿宋_GB2312" w:cs="仿宋_GB2312"/>
          <w:b/>
          <w:bCs/>
          <w:color w:val="auto"/>
          <w:kern w:val="2"/>
          <w:sz w:val="32"/>
          <w:szCs w:val="28"/>
          <w:highlight w:val="none"/>
          <w:lang w:val="en-US" w:eastAsia="zh-CN" w:bidi="ar-SA"/>
        </w:rPr>
      </w:pPr>
      <w:r>
        <w:rPr>
          <w:rFonts w:hint="eastAsia" w:ascii="仿宋_GB2312" w:hAnsi="仿宋_GB2312" w:eastAsia="仿宋_GB2312" w:cs="仿宋_GB2312"/>
          <w:b/>
          <w:bCs/>
          <w:color w:val="auto"/>
          <w:kern w:val="2"/>
          <w:sz w:val="32"/>
          <w:szCs w:val="28"/>
          <w:highlight w:val="none"/>
          <w:lang w:val="en-US" w:eastAsia="zh-CN" w:bidi="ar-SA"/>
        </w:rPr>
        <w:t>2.坚持以人民为中心，助力法治剑阁建设。</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用心</w:t>
      </w:r>
      <w:r>
        <w:rPr>
          <w:rFonts w:hint="eastAsia" w:ascii="仿宋_GB2312" w:hAnsi="仿宋_GB2312" w:cs="仿宋_GB2312"/>
          <w:sz w:val="32"/>
          <w:szCs w:val="32"/>
          <w:lang w:eastAsia="zh-CN"/>
        </w:rPr>
        <w:t>关爱</w:t>
      </w:r>
      <w:r>
        <w:rPr>
          <w:rFonts w:hint="eastAsia" w:ascii="仿宋_GB2312" w:hAnsi="仿宋_GB2312" w:eastAsia="仿宋_GB2312" w:cs="仿宋_GB2312"/>
          <w:sz w:val="32"/>
          <w:szCs w:val="32"/>
        </w:rPr>
        <w:t>未成年人健康成长。</w:t>
      </w:r>
      <w:r>
        <w:rPr>
          <w:rFonts w:hint="eastAsia" w:ascii="仿宋_GB2312" w:hAnsi="仿宋_GB2312" w:eastAsia="仿宋_GB2312" w:cs="仿宋_GB2312"/>
          <w:sz w:val="32"/>
          <w:szCs w:val="32"/>
          <w:highlight w:val="none"/>
        </w:rPr>
        <w:t>推进未成年人</w:t>
      </w:r>
      <w:r>
        <w:rPr>
          <w:rFonts w:hint="eastAsia" w:ascii="仿宋_GB2312" w:hAnsi="仿宋_GB2312" w:eastAsia="仿宋_GB2312" w:cs="仿宋_GB2312"/>
          <w:sz w:val="32"/>
          <w:szCs w:val="32"/>
          <w:highlight w:val="none"/>
          <w:lang w:eastAsia="zh-CN"/>
        </w:rPr>
        <w:t>综合司法</w:t>
      </w:r>
      <w:r>
        <w:rPr>
          <w:rFonts w:hint="eastAsia" w:ascii="仿宋_GB2312" w:hAnsi="仿宋_GB2312" w:eastAsia="仿宋_GB2312" w:cs="仿宋_GB2312"/>
          <w:sz w:val="32"/>
          <w:szCs w:val="32"/>
          <w:highlight w:val="none"/>
        </w:rPr>
        <w:t>保护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开展“两项制度”回头看2次。</w:t>
      </w:r>
      <w:r>
        <w:rPr>
          <w:rFonts w:hint="eastAsia" w:ascii="仿宋_GB2312" w:hAnsi="仿宋_GB2312" w:eastAsia="仿宋_GB2312" w:cs="仿宋_GB2312"/>
          <w:sz w:val="32"/>
          <w:szCs w:val="32"/>
          <w:highlight w:val="none"/>
          <w:lang w:eastAsia="zh-CN"/>
        </w:rPr>
        <w:t>办理侵害</w:t>
      </w:r>
      <w:r>
        <w:rPr>
          <w:rFonts w:hint="eastAsia" w:ascii="仿宋_GB2312" w:hAnsi="仿宋_GB2312" w:eastAsia="仿宋_GB2312" w:cs="仿宋_GB2312"/>
          <w:sz w:val="32"/>
          <w:szCs w:val="32"/>
          <w:highlight w:val="none"/>
        </w:rPr>
        <w:t>未成年人</w:t>
      </w:r>
      <w:r>
        <w:rPr>
          <w:rFonts w:hint="eastAsia" w:ascii="仿宋_GB2312" w:hAnsi="仿宋_GB2312" w:eastAsia="仿宋_GB2312" w:cs="仿宋_GB2312"/>
          <w:sz w:val="32"/>
          <w:szCs w:val="32"/>
          <w:highlight w:val="none"/>
          <w:lang w:eastAsia="zh-CN"/>
        </w:rPr>
        <w:t>权益犯罪案件</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件</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人</w:t>
      </w:r>
      <w:r>
        <w:rPr>
          <w:rFonts w:hint="eastAsia" w:ascii="仿宋_GB2312" w:hAnsi="仿宋_GB2312" w:eastAsia="仿宋_GB2312" w:cs="仿宋_GB2312"/>
          <w:sz w:val="32"/>
          <w:szCs w:val="32"/>
          <w:highlight w:val="none"/>
          <w:lang w:val="en-US" w:eastAsia="zh-CN"/>
        </w:rPr>
        <w:t>，办理支持未成年人</w:t>
      </w:r>
      <w:r>
        <w:rPr>
          <w:rFonts w:hint="eastAsia" w:ascii="仿宋_GB2312" w:hAnsi="仿宋_GB2312" w:cs="仿宋_GB2312"/>
          <w:sz w:val="32"/>
          <w:szCs w:val="32"/>
          <w:highlight w:val="none"/>
          <w:lang w:val="en-US" w:eastAsia="zh-CN"/>
        </w:rPr>
        <w:t>公益诉讼</w:t>
      </w:r>
      <w:r>
        <w:rPr>
          <w:rFonts w:hint="eastAsia" w:ascii="仿宋_GB2312" w:hAnsi="仿宋_GB2312" w:eastAsia="仿宋_GB2312" w:cs="仿宋_GB2312"/>
          <w:sz w:val="32"/>
          <w:szCs w:val="32"/>
          <w:highlight w:val="none"/>
          <w:lang w:val="en-US" w:eastAsia="zh-CN"/>
        </w:rPr>
        <w:t>案件2件，</w:t>
      </w:r>
      <w:r>
        <w:rPr>
          <w:rFonts w:hint="eastAsia" w:ascii="仿宋_GB2312" w:hAnsi="仿宋_GB2312" w:eastAsia="仿宋_GB2312" w:cs="仿宋_GB2312"/>
          <w:sz w:val="32"/>
          <w:szCs w:val="32"/>
          <w:highlight w:val="none"/>
        </w:rPr>
        <w:t>对</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名</w:t>
      </w:r>
      <w:r>
        <w:rPr>
          <w:rFonts w:hint="eastAsia" w:ascii="仿宋_GB2312" w:hAnsi="仿宋_GB2312" w:eastAsia="仿宋_GB2312" w:cs="仿宋_GB2312"/>
          <w:sz w:val="32"/>
          <w:szCs w:val="32"/>
          <w:highlight w:val="none"/>
        </w:rPr>
        <w:t>涉罪未成年人</w:t>
      </w:r>
      <w:r>
        <w:rPr>
          <w:rFonts w:hint="eastAsia" w:ascii="仿宋_GB2312" w:hAnsi="仿宋_GB2312" w:eastAsia="仿宋_GB2312" w:cs="仿宋_GB2312"/>
          <w:sz w:val="32"/>
          <w:szCs w:val="32"/>
          <w:highlight w:val="none"/>
          <w:lang w:eastAsia="zh-CN"/>
        </w:rPr>
        <w:t>提起公诉</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lang w:eastAsia="zh-CN"/>
        </w:rPr>
        <w:t>成立</w:t>
      </w:r>
      <w:r>
        <w:rPr>
          <w:rFonts w:hint="eastAsia" w:ascii="仿宋_GB2312" w:hAnsi="仿宋_GB2312" w:eastAsia="仿宋_GB2312" w:cs="仿宋_GB2312"/>
          <w:sz w:val="32"/>
          <w:szCs w:val="32"/>
        </w:rPr>
        <w:t>“翠·榕”</w:t>
      </w:r>
      <w:r>
        <w:rPr>
          <w:rFonts w:hint="eastAsia" w:ascii="仿宋_GB2312" w:hAnsi="仿宋_GB2312" w:eastAsia="仿宋_GB2312" w:cs="仿宋_GB2312"/>
          <w:sz w:val="32"/>
          <w:szCs w:val="32"/>
          <w:lang w:eastAsia="zh-CN"/>
        </w:rPr>
        <w:t>未检团队</w:t>
      </w:r>
      <w:r>
        <w:rPr>
          <w:rFonts w:hint="eastAsia" w:ascii="仿宋_GB2312" w:hAnsi="仿宋_GB2312" w:cs="仿宋_GB2312"/>
          <w:sz w:val="32"/>
          <w:szCs w:val="32"/>
          <w:lang w:eastAsia="zh-CN"/>
        </w:rPr>
        <w:t>，为适应疫情常态化需要，创新性采取</w:t>
      </w:r>
      <w:r>
        <w:rPr>
          <w:rFonts w:hint="eastAsia" w:ascii="仿宋_GB2312" w:hAnsi="仿宋_GB2312" w:eastAsia="仿宋_GB2312" w:cs="仿宋_GB2312"/>
          <w:sz w:val="32"/>
          <w:szCs w:val="32"/>
        </w:rPr>
        <w:t>“录播+三句半”的方</w:t>
      </w:r>
      <w:r>
        <w:rPr>
          <w:rFonts w:hint="eastAsia" w:ascii="仿宋_GB2312" w:hAnsi="仿宋_GB2312" w:cs="仿宋_GB2312"/>
          <w:sz w:val="32"/>
          <w:szCs w:val="32"/>
          <w:lang w:eastAsia="zh-CN"/>
        </w:rPr>
        <w:t>式</w:t>
      </w:r>
      <w:r>
        <w:rPr>
          <w:rFonts w:hint="eastAsia" w:ascii="仿宋_GB2312" w:hAnsi="仿宋_GB2312" w:eastAsia="仿宋_GB2312" w:cs="仿宋_GB2312"/>
          <w:sz w:val="32"/>
          <w:szCs w:val="32"/>
        </w:rPr>
        <w:t>向全县23万余名学生、家长和教职员工开展家庭教育促进法法治宣传</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有效地营造了良好的校园、家庭法治氛围</w:t>
      </w:r>
      <w:r>
        <w:rPr>
          <w:rFonts w:hint="eastAsia" w:ascii="仿宋_GB2312" w:hAnsi="仿宋_GB2312" w:cs="仿宋_GB2312"/>
          <w:sz w:val="32"/>
          <w:szCs w:val="32"/>
          <w:lang w:eastAsia="zh-CN"/>
        </w:rPr>
        <w:t>。今年以来，开展法治进校园</w:t>
      </w:r>
      <w:r>
        <w:rPr>
          <w:rFonts w:hint="eastAsia" w:ascii="仿宋_GB2312" w:hAnsi="仿宋_GB2312" w:cs="仿宋_GB2312"/>
          <w:sz w:val="32"/>
          <w:szCs w:val="32"/>
          <w:lang w:val="en-US" w:eastAsia="zh-CN"/>
        </w:rPr>
        <w:t>3</w:t>
      </w:r>
      <w:r>
        <w:rPr>
          <w:rFonts w:hint="eastAsia" w:ascii="仿宋_GB2312" w:hAnsi="仿宋_GB2312" w:cs="仿宋_GB2312"/>
          <w:sz w:val="32"/>
          <w:szCs w:val="32"/>
          <w:lang w:eastAsia="zh-CN"/>
        </w:rPr>
        <w:t>次。</w:t>
      </w:r>
      <w:r>
        <w:rPr>
          <w:rFonts w:hint="eastAsia" w:ascii="仿宋_GB2312" w:hAnsi="仿宋_GB2312" w:eastAsia="仿宋_GB2312" w:cs="仿宋_GB2312"/>
          <w:sz w:val="32"/>
          <w:szCs w:val="32"/>
        </w:rPr>
        <w:t>我院办理的“魏某某、梁某某等五人强奸案”被省院评为典型案例</w:t>
      </w:r>
      <w:r>
        <w:rPr>
          <w:rFonts w:hint="eastAsia" w:ascii="仿宋_GB2312" w:hAnsi="仿宋_GB2312" w:eastAsia="仿宋_GB2312" w:cs="仿宋_GB2312"/>
          <w:sz w:val="32"/>
          <w:szCs w:val="32"/>
          <w:highlight w:val="none"/>
          <w:lang w:eastAsia="zh-CN"/>
        </w:rPr>
        <w:t>，获评</w:t>
      </w:r>
      <w:r>
        <w:rPr>
          <w:rFonts w:hint="eastAsia" w:ascii="仿宋_GB2312" w:hAnsi="仿宋_GB2312" w:eastAsia="仿宋_GB2312" w:cs="仿宋_GB2312"/>
          <w:sz w:val="32"/>
          <w:szCs w:val="32"/>
          <w:highlight w:val="none"/>
        </w:rPr>
        <w:t>四川省维护妇女儿童合法权益先进集体</w:t>
      </w:r>
      <w:r>
        <w:rPr>
          <w:rFonts w:hint="eastAsia" w:ascii="仿宋_GB2312" w:hAnsi="仿宋_GB2312" w:eastAsia="仿宋_GB2312" w:cs="仿宋_GB2312"/>
          <w:sz w:val="32"/>
          <w:szCs w:val="32"/>
          <w:highlight w:val="none"/>
          <w:lang w:eastAsia="zh-CN"/>
        </w:rPr>
        <w:t>。</w:t>
      </w:r>
    </w:p>
    <w:p>
      <w:pPr>
        <w:pStyle w:val="9"/>
        <w:keepNext w:val="0"/>
        <w:keepLines w:val="0"/>
        <w:pageBreakBefore w:val="0"/>
        <w:widowControl w:val="0"/>
        <w:kinsoku/>
        <w:wordWrap/>
        <w:overflowPunct/>
        <w:topLinePunct w:val="0"/>
        <w:bidi w:val="0"/>
        <w:snapToGrid/>
        <w:spacing w:line="576" w:lineRule="exact"/>
        <w:ind w:firstLine="640" w:firstLineChars="200"/>
        <w:jc w:val="both"/>
        <w:textAlignment w:val="auto"/>
        <w:rPr>
          <w:rFonts w:ascii="仿宋_GB2312" w:hAnsi="仿宋_GB2312" w:eastAsia="仿宋_GB2312"/>
          <w:sz w:val="32"/>
          <w:szCs w:val="32"/>
        </w:rPr>
      </w:pPr>
      <w:r>
        <w:rPr>
          <w:rFonts w:hint="eastAsia" w:ascii="仿宋_GB2312" w:hAnsi="仿宋_GB2312" w:eastAsia="仿宋_GB2312" w:cs="仿宋_GB2312"/>
          <w:color w:val="000000"/>
          <w:sz w:val="32"/>
          <w:szCs w:val="32"/>
          <w:highlight w:val="none"/>
          <w:lang w:val="en-US" w:eastAsia="zh-CN" w:bidi="ar-SA"/>
        </w:rPr>
        <w:t>（2）全力服务脱贫攻坚与乡村振兴有效衔接。</w:t>
      </w:r>
      <w:r>
        <w:rPr>
          <w:rFonts w:hint="eastAsia" w:ascii="仿宋_GB2312" w:hAnsi="仿宋_GB2312" w:eastAsia="仿宋_GB2312" w:cs="仿宋_GB2312"/>
          <w:color w:val="000000"/>
          <w:kern w:val="0"/>
          <w:sz w:val="32"/>
          <w:szCs w:val="32"/>
          <w:lang w:val="en-US" w:eastAsia="zh-CN" w:bidi="ar-SA"/>
        </w:rPr>
        <w:t>充分发挥检察职能，创新服务方式方法，检察长挂联义兴镇，深度参与</w:t>
      </w:r>
      <w:r>
        <w:rPr>
          <w:rFonts w:hint="eastAsia" w:ascii="仿宋_GB2312" w:hAnsi="仿宋_GB2312" w:eastAsia="仿宋_GB2312"/>
          <w:sz w:val="32"/>
          <w:szCs w:val="32"/>
        </w:rPr>
        <w:t>该镇疫情防控、安全生产、招商引资等各项工作。</w:t>
      </w:r>
      <w:r>
        <w:rPr>
          <w:rFonts w:hint="eastAsia" w:ascii="仿宋_GB2312" w:hAnsi="仿宋_GB2312" w:eastAsia="仿宋_GB2312" w:cs="仿宋_GB2312"/>
          <w:color w:val="000000"/>
          <w:kern w:val="0"/>
          <w:sz w:val="32"/>
          <w:szCs w:val="32"/>
          <w:lang w:val="en-US" w:eastAsia="zh-CN" w:bidi="ar-SA"/>
        </w:rPr>
        <w:t>选派6名干警担任第一书记、工作队员，全脱产驻村，协助挂联村解决发展产业和基础设施建设瓶颈问题11个，协调产业发展资金423万余元。对因案致贫返贫人员开展司法救助，18名困难当事人收到13万元“救急款”“暖心钱”。坚决打</w:t>
      </w:r>
      <w:r>
        <w:rPr>
          <w:rFonts w:hint="eastAsia" w:ascii="仿宋_GB2312" w:hAnsi="仿宋_GB2312" w:eastAsia="仿宋_GB2312" w:cs="仿宋_GB2312"/>
          <w:color w:val="000000"/>
          <w:sz w:val="32"/>
          <w:szCs w:val="32"/>
        </w:rPr>
        <w:t>击危害</w:t>
      </w:r>
      <w:r>
        <w:rPr>
          <w:rFonts w:hint="eastAsia" w:ascii="仿宋_GB2312" w:hAnsi="仿宋_GB2312" w:eastAsia="仿宋_GB2312" w:cs="仿宋_GB2312"/>
          <w:color w:val="000000"/>
          <w:kern w:val="0"/>
          <w:sz w:val="32"/>
          <w:szCs w:val="32"/>
          <w:lang w:val="en-US" w:eastAsia="zh-CN" w:bidi="ar-SA"/>
        </w:rPr>
        <w:t>农业发展、农村稳定、农民增收的犯罪行为，批捕2件6人，起诉7件15人。运用支持起诉和诉前和解的法治方式，帮助25名农民工成功讨薪27万余元。配合县人力资源与社会保障局等部门做好涉众型农民工追薪维权纠纷化解工作，帮助100余名农民工追薪260万余元。</w:t>
      </w:r>
    </w:p>
    <w:p>
      <w:pPr>
        <w:pStyle w:val="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服务保障民营经济健康发展。依法严厉打击破坏市场经济秩序、侵犯市场主体及经营者合法权益犯罪，营造公平公正、规范有序的市场环境。起诉虚开增值税发票破坏市场经济秩序案件1件。坚持“开门纳谏、敲门问需”，一体推进“包案、送法、服务”，进企业“送法”3次。</w:t>
      </w:r>
    </w:p>
    <w:p>
      <w:pPr>
        <w:pStyle w:val="9"/>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4）助推社会治理现代化。全面落实群众来信件件有回复要求，办理各类举报控告申诉等信访案件112件，做到7日内程序回复、3个月内办理过程或结果答复要求，维护清朗信访空间。务实推进市域社会治理现代化。奋力书写新时代“枫桥经验”剑阁篇章，持续深化“网格化”民生检察。深入乡镇、学校开展民生检察工作90余次，开展法治宣传50余场次，排查公益诉讼线索49条，办理司法救助案件救助困难刑事被害人18件18人，发放国家司法救助金13万元；督促落实未成年人综合司法保护。民生检察工作被剑阁县委作为高质量推动“两项改革”后半篇文章重要举措持续推进，被确定为四川省检察机关“三培育三引领”第一批次“检察产品特色品牌”。</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76" w:lineRule="exact"/>
        <w:ind w:right="0" w:firstLine="643" w:firstLineChars="200"/>
        <w:jc w:val="both"/>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color w:val="000000"/>
          <w:sz w:val="32"/>
          <w:szCs w:val="32"/>
          <w:highlight w:val="none"/>
          <w:lang w:val="en-US" w:eastAsia="zh-CN"/>
        </w:rPr>
        <w:t>3.以严要求夯实基础，锻造过硬检察队伍</w:t>
      </w:r>
      <w:r>
        <w:rPr>
          <w:rFonts w:hint="eastAsia" w:ascii="仿宋_GB2312" w:hAnsi="仿宋_GB2312" w:eastAsia="仿宋_GB2312" w:cs="仿宋_GB2312"/>
          <w:b/>
          <w:bCs/>
          <w:kern w:val="2"/>
          <w:sz w:val="32"/>
          <w:szCs w:val="32"/>
          <w:highlight w:val="none"/>
          <w:lang w:val="en-US" w:eastAsia="zh-CN" w:bidi="ar-SA"/>
        </w:rPr>
        <w:t>。</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kern w:val="2"/>
          <w:sz w:val="32"/>
          <w:szCs w:val="28"/>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（1）</w:t>
      </w:r>
      <w:r>
        <w:rPr>
          <w:rFonts w:hint="eastAsia" w:ascii="仿宋_GB2312" w:hAnsi="仿宋_GB2312" w:eastAsia="仿宋_GB2312" w:cs="仿宋_GB2312"/>
          <w:kern w:val="2"/>
          <w:sz w:val="32"/>
          <w:szCs w:val="28"/>
          <w:highlight w:val="none"/>
          <w:lang w:val="en-US" w:eastAsia="zh-CN" w:bidi="ar-SA"/>
        </w:rPr>
        <w:t>始终坚定坚持党的领导。持续巩固政法队伍教育整顿学习成果，深入推进“忠诚铸魂 铁纪担当”专项行动，常态化开展党史学习教育，及时跟进学习习近平总书记重要讲话、重要指示批示精神，学习贯彻党的二十大、二十届一中全会、省第十二次党代会、省第十二届一次、二次全会精神。</w:t>
      </w:r>
      <w:r>
        <w:rPr>
          <w:rFonts w:hint="eastAsia" w:ascii="仿宋_GB2312" w:hAnsi="仿宋_GB2312" w:eastAsia="仿宋_GB2312" w:cs="仿宋_GB2312"/>
          <w:b w:val="0"/>
          <w:bCs w:val="0"/>
          <w:i w:val="0"/>
          <w:iCs w:val="0"/>
          <w:color w:val="000000"/>
          <w:spacing w:val="0"/>
          <w:w w:val="100"/>
          <w:kern w:val="2"/>
          <w:sz w:val="32"/>
          <w:szCs w:val="32"/>
          <w:vertAlign w:val="baseline"/>
          <w:lang w:val="en-US" w:eastAsia="zh-CN" w:bidi="ar-SA"/>
        </w:rPr>
        <w:t>贯彻落实党中央、省委、市委、县委和上级检察机关各项重大决策部署及</w:t>
      </w:r>
      <w:r>
        <w:rPr>
          <w:rFonts w:hint="eastAsia" w:ascii="仿宋_GB2312" w:hAnsi="仿宋_GB2312" w:eastAsia="仿宋_GB2312" w:cs="仿宋_GB2312"/>
          <w:spacing w:val="-4"/>
          <w:sz w:val="32"/>
          <w:szCs w:val="32"/>
          <w:lang w:eastAsia="zh-CN"/>
        </w:rPr>
        <w:t>《中国共产党政法工作条例》，</w:t>
      </w:r>
      <w:r>
        <w:rPr>
          <w:rFonts w:hint="eastAsia" w:ascii="仿宋_GB2312" w:hAnsi="仿宋_GB2312" w:eastAsia="仿宋_GB2312" w:cs="仿宋_GB2312"/>
          <w:b w:val="0"/>
          <w:bCs w:val="0"/>
          <w:i w:val="0"/>
          <w:iCs w:val="0"/>
          <w:color w:val="000000"/>
          <w:spacing w:val="0"/>
          <w:w w:val="100"/>
          <w:kern w:val="2"/>
          <w:sz w:val="32"/>
          <w:szCs w:val="32"/>
          <w:vertAlign w:val="baseline"/>
          <w:lang w:val="en-US" w:eastAsia="zh-CN" w:bidi="ar-SA"/>
        </w:rPr>
        <w:t>严格落实重大事项请示报告制度，向市院、县委、县委政法委请示报告重大事项11次，如实向组织报告个人有关事项。</w:t>
      </w:r>
      <w:r>
        <w:rPr>
          <w:rFonts w:hint="eastAsia" w:ascii="仿宋_GB2312" w:hAnsi="仿宋_GB2312" w:eastAsia="仿宋_GB2312" w:cs="仿宋_GB2312"/>
          <w:kern w:val="2"/>
          <w:sz w:val="32"/>
          <w:szCs w:val="28"/>
          <w:highlight w:val="none"/>
          <w:lang w:val="zh-CN" w:eastAsia="zh-CN" w:bidi="ar-SA"/>
        </w:rPr>
        <w:t>常态化开展意识形态教育</w:t>
      </w:r>
      <w:r>
        <w:rPr>
          <w:rFonts w:hint="eastAsia" w:ascii="仿宋_GB2312" w:hAnsi="仿宋_GB2312" w:eastAsia="仿宋_GB2312" w:cs="仿宋_GB2312"/>
          <w:kern w:val="2"/>
          <w:sz w:val="32"/>
          <w:szCs w:val="28"/>
          <w:highlight w:val="none"/>
          <w:lang w:val="en-US" w:eastAsia="zh-CN" w:bidi="ar-SA"/>
        </w:rPr>
        <w:t>，确保意识形态领域绝对安全。我院获评全国检察宣传先进单位。</w:t>
      </w:r>
    </w:p>
    <w:p>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snapToGrid/>
        <w:spacing w:before="0" w:beforeAutospacing="0" w:after="0" w:afterAutospacing="0" w:line="576" w:lineRule="exact"/>
        <w:ind w:right="0"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2"/>
          <w:sz w:val="32"/>
          <w:szCs w:val="28"/>
          <w:highlight w:val="none"/>
          <w:lang w:val="en-US" w:eastAsia="zh-CN" w:bidi="ar-SA"/>
        </w:rPr>
        <w:t>（2）狠抓专业化职业化建设。</w:t>
      </w:r>
      <w:r>
        <w:rPr>
          <w:rFonts w:hint="eastAsia" w:ascii="仿宋_GB2312" w:hAnsi="仿宋_GB2312" w:eastAsia="仿宋_GB2312" w:cs="仿宋_GB2312"/>
          <w:bCs/>
          <w:sz w:val="32"/>
          <w:szCs w:val="32"/>
        </w:rPr>
        <w:t>全面落实办</w:t>
      </w:r>
      <w:r>
        <w:rPr>
          <w:rFonts w:hint="eastAsia" w:ascii="仿宋_GB2312" w:hAnsi="仿宋_GB2312" w:eastAsia="仿宋_GB2312" w:cs="仿宋_GB2312"/>
          <w:sz w:val="32"/>
          <w:szCs w:val="32"/>
        </w:rPr>
        <w:t>案责任制，抓实检察官业绩考评，</w:t>
      </w:r>
      <w:r>
        <w:rPr>
          <w:rFonts w:hint="eastAsia" w:ascii="仿宋_GB2312" w:hAnsi="仿宋_GB2312" w:eastAsia="仿宋_GB2312" w:cs="仿宋_GB2312"/>
          <w:sz w:val="32"/>
          <w:szCs w:val="32"/>
          <w:lang w:eastAsia="zh-CN"/>
        </w:rPr>
        <w:t>动态调整业绩考评细则，</w:t>
      </w:r>
      <w:r>
        <w:rPr>
          <w:rFonts w:hint="eastAsia" w:ascii="仿宋_GB2312" w:hAnsi="仿宋_GB2312" w:eastAsia="仿宋_GB2312" w:cs="仿宋_GB2312"/>
          <w:kern w:val="2"/>
          <w:sz w:val="32"/>
          <w:szCs w:val="28"/>
          <w:highlight w:val="none"/>
          <w:lang w:val="en-US" w:eastAsia="zh-CN" w:bidi="ar-SA"/>
        </w:rPr>
        <w:t>助推办案质效与司法能力“双提升”</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创新提能方式，组织参加高检</w:t>
      </w:r>
      <w:r>
        <w:rPr>
          <w:rFonts w:hint="eastAsia" w:ascii="仿宋_GB2312" w:hAnsi="仿宋_GB2312" w:eastAsia="仿宋_GB2312" w:cs="仿宋_GB2312"/>
          <w:bCs/>
          <w:sz w:val="32"/>
          <w:szCs w:val="32"/>
          <w:lang w:eastAsia="zh-CN"/>
        </w:rPr>
        <w:t>院</w:t>
      </w:r>
      <w:r>
        <w:rPr>
          <w:rFonts w:hint="eastAsia" w:ascii="仿宋_GB2312" w:hAnsi="仿宋_GB2312" w:eastAsia="仿宋_GB2312" w:cs="仿宋_GB2312"/>
          <w:bCs/>
          <w:sz w:val="32"/>
          <w:szCs w:val="32"/>
        </w:rPr>
        <w:t>、省院组织的正规化培训</w:t>
      </w:r>
      <w:r>
        <w:rPr>
          <w:rFonts w:hint="eastAsia" w:ascii="仿宋_GB2312" w:hAnsi="仿宋_GB2312" w:eastAsia="仿宋_GB2312" w:cs="仿宋_GB2312"/>
          <w:bCs/>
          <w:sz w:val="32"/>
          <w:szCs w:val="32"/>
          <w:lang w:val="en-US" w:eastAsia="zh-CN"/>
        </w:rPr>
        <w:t>15</w:t>
      </w:r>
      <w:r>
        <w:rPr>
          <w:rFonts w:hint="eastAsia" w:ascii="仿宋_GB2312" w:hAnsi="仿宋_GB2312" w:eastAsia="仿宋_GB2312" w:cs="仿宋_GB2312"/>
          <w:bCs/>
          <w:sz w:val="32"/>
          <w:szCs w:val="32"/>
        </w:rPr>
        <w:t>人次、网络培训</w:t>
      </w:r>
      <w:r>
        <w:rPr>
          <w:rFonts w:hint="eastAsia" w:ascii="仿宋_GB2312" w:hAnsi="仿宋_GB2312" w:eastAsia="仿宋_GB2312" w:cs="仿宋_GB2312"/>
          <w:bCs/>
          <w:sz w:val="32"/>
          <w:szCs w:val="32"/>
          <w:lang w:val="en-US" w:eastAsia="zh-CN"/>
        </w:rPr>
        <w:t>381</w:t>
      </w:r>
      <w:r>
        <w:rPr>
          <w:rFonts w:hint="eastAsia" w:ascii="仿宋_GB2312" w:hAnsi="仿宋_GB2312" w:eastAsia="仿宋_GB2312" w:cs="仿宋_GB2312"/>
          <w:bCs/>
          <w:sz w:val="32"/>
          <w:szCs w:val="32"/>
        </w:rPr>
        <w:t>余人次，</w:t>
      </w:r>
      <w:r>
        <w:rPr>
          <w:rFonts w:hint="eastAsia" w:ascii="仿宋_GB2312" w:hAnsi="仿宋_GB2312" w:eastAsia="仿宋_GB2312" w:cs="仿宋_GB2312"/>
          <w:bCs/>
          <w:sz w:val="32"/>
          <w:szCs w:val="32"/>
          <w:lang w:eastAsia="zh-CN"/>
        </w:rPr>
        <w:t>结合“周三夜学”</w:t>
      </w:r>
      <w:r>
        <w:rPr>
          <w:rFonts w:hint="eastAsia" w:ascii="仿宋_GB2312" w:hAnsi="仿宋_GB2312" w:eastAsia="仿宋_GB2312" w:cs="仿宋_GB2312"/>
          <w:bCs/>
          <w:sz w:val="32"/>
          <w:szCs w:val="32"/>
        </w:rPr>
        <w:t>“剑检微课堂”</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lang w:val="en-US" w:eastAsia="zh-CN"/>
        </w:rPr>
        <w:t>组织集中学习52次，交流业务经验5次，</w:t>
      </w:r>
      <w:r>
        <w:rPr>
          <w:rFonts w:hint="eastAsia" w:ascii="仿宋_GB2312" w:hAnsi="仿宋_GB2312" w:eastAsia="仿宋_GB2312" w:cs="仿宋_GB2312"/>
          <w:sz w:val="32"/>
          <w:szCs w:val="32"/>
          <w:highlight w:val="none"/>
          <w:lang w:val="en-US" w:eastAsia="zh-CN"/>
        </w:rPr>
        <w:t>一体提升政治素质、业务能力和职业道德水准</w:t>
      </w:r>
      <w:r>
        <w:rPr>
          <w:rFonts w:hint="eastAsia" w:ascii="仿宋_GB2312" w:hAnsi="仿宋_GB2312" w:eastAsia="仿宋_GB2312" w:cs="仿宋_GB2312"/>
          <w:bCs/>
          <w:sz w:val="32"/>
          <w:szCs w:val="32"/>
        </w:rPr>
        <w:t>。积极开展岗位练兵，</w:t>
      </w:r>
      <w:r>
        <w:rPr>
          <w:rFonts w:hint="eastAsia" w:ascii="仿宋_GB2312" w:hAnsi="仿宋_GB2312" w:eastAsia="仿宋_GB2312" w:cs="仿宋_GB2312"/>
          <w:bCs/>
          <w:sz w:val="32"/>
          <w:szCs w:val="32"/>
          <w:lang w:val="en-US" w:eastAsia="zh-CN"/>
        </w:rPr>
        <w:t>1人被表扬为全市公益诉讼业务竞赛优秀选手，2人入选全市检察机关“成长·追赶”活动巡讲团成员。</w:t>
      </w:r>
    </w:p>
    <w:p>
      <w:pPr>
        <w:keepNext w:val="0"/>
        <w:keepLines w:val="0"/>
        <w:pageBreakBefore w:val="0"/>
        <w:widowControl w:val="0"/>
        <w:kinsoku/>
        <w:wordWrap/>
        <w:overflowPunct/>
        <w:topLinePunct w:val="0"/>
        <w:bidi w:val="0"/>
        <w:snapToGrid/>
        <w:spacing w:line="576" w:lineRule="exact"/>
        <w:ind w:firstLine="640" w:firstLineChars="200"/>
        <w:jc w:val="both"/>
        <w:textAlignment w:val="auto"/>
        <w:rPr>
          <w:rFonts w:hint="eastAsia"/>
          <w:lang w:val="zh-CN"/>
        </w:rPr>
      </w:pPr>
      <w:r>
        <w:rPr>
          <w:rFonts w:hint="eastAsia" w:ascii="仿宋_GB2312" w:hAnsi="仿宋_GB2312" w:eastAsia="仿宋_GB2312" w:cs="仿宋_GB2312"/>
          <w:bCs/>
          <w:color w:val="auto"/>
          <w:kern w:val="2"/>
          <w:sz w:val="32"/>
          <w:szCs w:val="32"/>
          <w:lang w:val="en-US" w:eastAsia="zh-CN" w:bidi="ar-SA"/>
        </w:rPr>
        <w:t>（3）强力推进正风肃纪反腐。开展各类廉政教育活动12次。扎实开展罗剑红“以案促改”、作风纪律整顿“回头看”，常态化排查整治顽瘴痼疾，全院干警共查找并整改问题199条。</w:t>
      </w:r>
      <w:r>
        <w:rPr>
          <w:rFonts w:hint="eastAsia" w:ascii="仿宋_GB2312" w:hAnsi="仿宋_GB2312" w:eastAsia="仿宋_GB2312" w:cs="仿宋_GB2312"/>
          <w:kern w:val="2"/>
          <w:sz w:val="32"/>
          <w:szCs w:val="32"/>
          <w:highlight w:val="none"/>
          <w:lang w:val="en-US" w:eastAsia="zh-CN" w:bidi="ar-SA"/>
        </w:rPr>
        <w:t>做细做实办案监督。开展律师代理检察案件动态分析监测2次，发出通报2期。常态化开展案件质量评查，评查案件40件。严格执行防止干预司法“三个规定”，主动记录报告41件。</w:t>
      </w:r>
      <w:r>
        <w:rPr>
          <w:rFonts w:hint="eastAsia" w:ascii="仿宋_GB2312" w:hAnsi="仿宋_GB2312" w:eastAsia="仿宋_GB2312" w:cs="仿宋_GB2312"/>
          <w:bCs/>
          <w:color w:val="auto"/>
          <w:kern w:val="2"/>
          <w:sz w:val="32"/>
          <w:szCs w:val="32"/>
          <w:lang w:val="en-US" w:eastAsia="zh-CN" w:bidi="ar-SA"/>
        </w:rPr>
        <w:t>推进绩效差</w:t>
      </w:r>
      <w:r>
        <w:rPr>
          <w:rFonts w:hint="eastAsia" w:ascii="仿宋_GB2312" w:hAnsi="仿宋_GB2312" w:eastAsia="仿宋_GB2312" w:cs="仿宋_GB2312"/>
          <w:kern w:val="2"/>
          <w:sz w:val="32"/>
          <w:szCs w:val="32"/>
          <w:lang w:val="en-US" w:eastAsia="zh-CN" w:bidi="ar-SA"/>
        </w:rPr>
        <w:t>异化管理，树立奖勤罚懒的鲜明导向，“点线面”结合推动干部纪律作风取得根本性转变。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（四）部门整体支出绩效目标。</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s="仿宋_GB2312"/>
          <w:b/>
          <w:bCs/>
          <w:color w:val="auto"/>
          <w:kern w:val="0"/>
          <w:sz w:val="32"/>
          <w:szCs w:val="32"/>
          <w:highlight w:val="none"/>
          <w:shd w:val="clear" w:color="auto" w:fill="FFFFFF"/>
          <w:lang w:val="zh-CN"/>
        </w:rPr>
      </w:pPr>
      <w:r>
        <w:rPr>
          <w:rFonts w:hint="eastAsia" w:ascii="仿宋_GB2312" w:hAnsi="仿宋_GB2312" w:eastAsia="仿宋_GB2312" w:cs="仿宋_GB2312"/>
          <w:sz w:val="32"/>
          <w:szCs w:val="32"/>
          <w:lang w:val="en-US" w:eastAsia="zh-CN"/>
        </w:rPr>
        <w:t xml:space="preserve"> 我院整体支出绩效目标是保障机关正常运转，加强基层党组织建设，开展党建活动，积极组织干警参加培训，开展检察业务工作，依法办理各类案件，保障警示教育基地正常运转，保障办公大楼及附属设施正常运行，协助做好县委政府安排的中心工作。</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7" w:name="_Toc24044"/>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87"/>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1.部门总体收入情况</w:t>
      </w:r>
    </w:p>
    <w:p>
      <w:pPr>
        <w:pStyle w:val="2"/>
        <w:ind w:firstLine="640" w:firstLineChars="200"/>
        <w:jc w:val="both"/>
        <w:rPr>
          <w:rFonts w:hint="eastAsia"/>
          <w:lang w:val="en-US" w:eastAsia="zh-CN"/>
        </w:rPr>
      </w:pPr>
      <w:r>
        <w:rPr>
          <w:rFonts w:hint="eastAsia" w:ascii="仿宋_GB2312" w:hAnsi="宋体" w:eastAsia="仿宋_GB2312" w:cs="宋体"/>
          <w:kern w:val="0"/>
          <w:sz w:val="32"/>
          <w:szCs w:val="32"/>
          <w:shd w:val="clear" w:color="auto" w:fill="FFFFFF"/>
          <w:lang w:val="en-US" w:eastAsia="zh-CN"/>
        </w:rPr>
        <w:t>2022年剑阁县人民检察院财政资金收入决算总额1330.5万元。其中：一般公共预算财政拨款收入1018.32万元，其他收入312.18万元。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2.部门总体支出情况</w:t>
      </w:r>
    </w:p>
    <w:p>
      <w:pPr>
        <w:pStyle w:val="2"/>
        <w:ind w:firstLine="480" w:firstLineChars="200"/>
        <w:jc w:val="both"/>
        <w:rPr>
          <w:rFonts w:hint="eastAsia"/>
          <w:lang w:val="en-US" w:eastAsia="zh-CN"/>
        </w:rPr>
      </w:pPr>
      <w:r>
        <w:rPr>
          <w:rFonts w:hint="eastAsia"/>
          <w:lang w:val="en-US" w:eastAsia="zh-CN"/>
        </w:rPr>
        <w:t xml:space="preserve"> </w:t>
      </w:r>
      <w:r>
        <w:rPr>
          <w:rFonts w:hint="eastAsia" w:ascii="仿宋_GB2312" w:hAnsi="宋体" w:eastAsia="仿宋_GB2312" w:cs="宋体"/>
          <w:kern w:val="0"/>
          <w:sz w:val="32"/>
          <w:szCs w:val="32"/>
          <w:shd w:val="clear" w:color="auto" w:fill="FFFFFF"/>
          <w:lang w:val="en-US" w:eastAsia="zh-CN"/>
        </w:rPr>
        <w:t>2022年剑阁县人民检察院全年财政资金支出决算总额1330.5万元，其中：人员经费980.04万元、公用经费128.34万元，项目支出222.12万元。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3.部门总体结转结余情况</w:t>
      </w:r>
    </w:p>
    <w:p>
      <w:pPr>
        <w:pStyle w:val="2"/>
        <w:ind w:firstLine="640" w:firstLineChars="200"/>
        <w:jc w:val="both"/>
        <w:rPr>
          <w:rFonts w:hint="default" w:ascii="仿宋_GB2312" w:hAnsi="宋体" w:eastAsia="仿宋_GB2312" w:cs="宋体"/>
          <w:kern w:val="0"/>
          <w:sz w:val="32"/>
          <w:szCs w:val="32"/>
          <w:shd w:val="clear" w:color="auto" w:fill="FFFFFF"/>
          <w:lang w:val="en-US" w:eastAsia="zh-CN"/>
        </w:rPr>
      </w:pPr>
      <w:r>
        <w:rPr>
          <w:rFonts w:hint="eastAsia" w:ascii="仿宋_GB2312" w:hAnsi="宋体" w:eastAsia="仿宋_GB2312" w:cs="宋体"/>
          <w:kern w:val="0"/>
          <w:sz w:val="32"/>
          <w:szCs w:val="32"/>
          <w:shd w:val="clear" w:color="auto" w:fill="FFFFFF"/>
          <w:lang w:val="en-US" w:eastAsia="zh-CN"/>
        </w:rPr>
        <w:t>2022年剑阁县人民检察院</w:t>
      </w:r>
      <w:r>
        <w:rPr>
          <w:rFonts w:hint="eastAsia" w:ascii="仿宋_GB2312" w:hAnsi="宋体" w:eastAsia="仿宋_GB2312" w:cs="宋体"/>
          <w:kern w:val="0"/>
          <w:sz w:val="32"/>
          <w:szCs w:val="32"/>
          <w:shd w:val="clear" w:color="auto" w:fill="FFFFFF"/>
          <w:lang w:val="zh-CN" w:eastAsia="zh-CN"/>
        </w:rPr>
        <w:t>总体收支</w:t>
      </w:r>
      <w:r>
        <w:rPr>
          <w:rFonts w:hint="eastAsia" w:ascii="仿宋_GB2312" w:hAnsi="宋体" w:eastAsia="仿宋_GB2312" w:cs="宋体"/>
          <w:kern w:val="0"/>
          <w:sz w:val="32"/>
          <w:szCs w:val="32"/>
          <w:shd w:val="clear" w:color="auto" w:fill="FFFFFF"/>
          <w:lang w:val="en-US" w:eastAsia="zh-CN"/>
        </w:rPr>
        <w:t>无结转结余。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1.部门财政拨款收入情况</w:t>
      </w:r>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w:t>
      </w:r>
      <w:r>
        <w:rPr>
          <w:rFonts w:hint="eastAsia" w:ascii="仿宋" w:hAnsi="仿宋" w:eastAsia="仿宋"/>
          <w:color w:val="auto"/>
          <w:sz w:val="32"/>
          <w:szCs w:val="32"/>
          <w:highlight w:val="none"/>
          <w:lang w:val="en-US" w:eastAsia="zh-CN"/>
        </w:rPr>
        <w:t>收入1018.32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其中：</w:t>
      </w:r>
      <w:r>
        <w:rPr>
          <w:rFonts w:hint="eastAsia" w:ascii="仿宋" w:hAnsi="仿宋" w:eastAsia="仿宋"/>
          <w:color w:val="auto"/>
          <w:sz w:val="32"/>
          <w:szCs w:val="32"/>
          <w:highlight w:val="none"/>
        </w:rPr>
        <w:t>公共</w:t>
      </w:r>
      <w:r>
        <w:rPr>
          <w:rFonts w:hint="eastAsia" w:ascii="仿宋" w:hAnsi="仿宋" w:eastAsia="仿宋"/>
          <w:color w:val="auto"/>
          <w:sz w:val="32"/>
          <w:szCs w:val="32"/>
          <w:highlight w:val="none"/>
          <w:lang w:val="en-US" w:eastAsia="zh-CN"/>
        </w:rPr>
        <w:t>安全</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收入884.76</w:t>
      </w:r>
      <w:r>
        <w:rPr>
          <w:rFonts w:hint="eastAsia" w:ascii="仿宋" w:hAnsi="仿宋" w:eastAsia="仿宋"/>
          <w:color w:val="auto"/>
          <w:sz w:val="32"/>
          <w:szCs w:val="32"/>
          <w:highlight w:val="none"/>
        </w:rPr>
        <w:t>万元，社会保障和就业支出</w:t>
      </w:r>
      <w:r>
        <w:rPr>
          <w:rFonts w:hint="eastAsia" w:ascii="仿宋" w:hAnsi="仿宋" w:eastAsia="仿宋"/>
          <w:color w:val="auto"/>
          <w:sz w:val="32"/>
          <w:szCs w:val="32"/>
          <w:highlight w:val="none"/>
          <w:lang w:val="en-US" w:eastAsia="zh-CN"/>
        </w:rPr>
        <w:t>收入57.14</w:t>
      </w:r>
      <w:r>
        <w:rPr>
          <w:rFonts w:hint="eastAsia" w:ascii="仿宋" w:hAnsi="仿宋" w:eastAsia="仿宋"/>
          <w:color w:val="auto"/>
          <w:sz w:val="32"/>
          <w:szCs w:val="32"/>
          <w:highlight w:val="none"/>
        </w:rPr>
        <w:t>万元，卫生健康支出</w:t>
      </w:r>
      <w:r>
        <w:rPr>
          <w:rFonts w:hint="eastAsia" w:ascii="仿宋" w:hAnsi="仿宋" w:eastAsia="仿宋"/>
          <w:color w:val="auto"/>
          <w:sz w:val="32"/>
          <w:szCs w:val="32"/>
          <w:highlight w:val="none"/>
          <w:lang w:val="en-US" w:eastAsia="zh-CN"/>
        </w:rPr>
        <w:t>收入28.99</w:t>
      </w:r>
      <w:r>
        <w:rPr>
          <w:rFonts w:hint="eastAsia" w:ascii="仿宋" w:hAnsi="仿宋" w:eastAsia="仿宋"/>
          <w:color w:val="auto"/>
          <w:sz w:val="32"/>
          <w:szCs w:val="32"/>
          <w:highlight w:val="none"/>
        </w:rPr>
        <w:t>万元，住房保障支出</w:t>
      </w:r>
      <w:r>
        <w:rPr>
          <w:rFonts w:hint="eastAsia" w:ascii="仿宋" w:hAnsi="仿宋" w:eastAsia="仿宋"/>
          <w:color w:val="auto"/>
          <w:sz w:val="32"/>
          <w:szCs w:val="32"/>
          <w:highlight w:val="none"/>
          <w:lang w:val="en-US" w:eastAsia="zh-CN"/>
        </w:rPr>
        <w:t>收入47.43</w:t>
      </w:r>
      <w:r>
        <w:rPr>
          <w:rFonts w:hint="eastAsia" w:ascii="仿宋" w:hAnsi="仿宋" w:eastAsia="仿宋"/>
          <w:color w:val="auto"/>
          <w:sz w:val="32"/>
          <w:szCs w:val="32"/>
          <w:highlight w:val="none"/>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2.部门财政拨款支出情况</w:t>
      </w:r>
    </w:p>
    <w:p>
      <w:pPr>
        <w:spacing w:line="600" w:lineRule="exact"/>
        <w:ind w:firstLine="640"/>
        <w:rPr>
          <w:rFonts w:hint="eastAsia"/>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1018.32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其中：</w:t>
      </w:r>
      <w:r>
        <w:rPr>
          <w:rFonts w:hint="eastAsia" w:ascii="仿宋" w:hAnsi="仿宋" w:eastAsia="仿宋"/>
          <w:color w:val="auto"/>
          <w:sz w:val="32"/>
          <w:szCs w:val="32"/>
          <w:highlight w:val="none"/>
        </w:rPr>
        <w:t>公共</w:t>
      </w:r>
      <w:r>
        <w:rPr>
          <w:rFonts w:hint="eastAsia" w:ascii="仿宋" w:hAnsi="仿宋" w:eastAsia="仿宋"/>
          <w:color w:val="auto"/>
          <w:sz w:val="32"/>
          <w:szCs w:val="32"/>
          <w:highlight w:val="none"/>
          <w:lang w:val="en-US" w:eastAsia="zh-CN"/>
        </w:rPr>
        <w:t>安全</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884.76</w:t>
      </w:r>
      <w:r>
        <w:rPr>
          <w:rFonts w:hint="eastAsia" w:ascii="仿宋" w:hAnsi="仿宋" w:eastAsia="仿宋"/>
          <w:color w:val="auto"/>
          <w:sz w:val="32"/>
          <w:szCs w:val="32"/>
          <w:highlight w:val="none"/>
        </w:rPr>
        <w:t>万元，社会保障和就业支出</w:t>
      </w:r>
      <w:r>
        <w:rPr>
          <w:rFonts w:hint="eastAsia" w:ascii="仿宋" w:hAnsi="仿宋" w:eastAsia="仿宋"/>
          <w:color w:val="auto"/>
          <w:sz w:val="32"/>
          <w:szCs w:val="32"/>
          <w:highlight w:val="none"/>
          <w:lang w:val="en-US" w:eastAsia="zh-CN"/>
        </w:rPr>
        <w:t>57.14</w:t>
      </w:r>
      <w:r>
        <w:rPr>
          <w:rFonts w:hint="eastAsia" w:ascii="仿宋" w:hAnsi="仿宋" w:eastAsia="仿宋"/>
          <w:color w:val="auto"/>
          <w:sz w:val="32"/>
          <w:szCs w:val="32"/>
          <w:highlight w:val="none"/>
        </w:rPr>
        <w:t>万元，卫生健康支出</w:t>
      </w:r>
      <w:r>
        <w:rPr>
          <w:rFonts w:hint="eastAsia" w:ascii="仿宋" w:hAnsi="仿宋" w:eastAsia="仿宋"/>
          <w:color w:val="auto"/>
          <w:sz w:val="32"/>
          <w:szCs w:val="32"/>
          <w:highlight w:val="none"/>
          <w:lang w:val="en-US" w:eastAsia="zh-CN"/>
        </w:rPr>
        <w:t>28.99</w:t>
      </w:r>
      <w:r>
        <w:rPr>
          <w:rFonts w:hint="eastAsia" w:ascii="仿宋" w:hAnsi="仿宋" w:eastAsia="仿宋"/>
          <w:color w:val="auto"/>
          <w:sz w:val="32"/>
          <w:szCs w:val="32"/>
          <w:highlight w:val="none"/>
        </w:rPr>
        <w:t>万元，住房保障支出</w:t>
      </w:r>
      <w:r>
        <w:rPr>
          <w:rFonts w:hint="eastAsia" w:ascii="仿宋" w:hAnsi="仿宋" w:eastAsia="仿宋"/>
          <w:color w:val="auto"/>
          <w:sz w:val="32"/>
          <w:szCs w:val="32"/>
          <w:highlight w:val="none"/>
          <w:lang w:val="en-US" w:eastAsia="zh-CN"/>
        </w:rPr>
        <w:t>47.43</w:t>
      </w:r>
      <w:r>
        <w:rPr>
          <w:rFonts w:hint="eastAsia" w:ascii="仿宋" w:hAnsi="仿宋" w:eastAsia="仿宋"/>
          <w:color w:val="auto"/>
          <w:sz w:val="32"/>
          <w:szCs w:val="32"/>
          <w:highlight w:val="none"/>
        </w:rPr>
        <w:t>万元。</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3.部门财政拨款结转结余情况</w:t>
      </w:r>
    </w:p>
    <w:p>
      <w:pPr>
        <w:pStyle w:val="2"/>
        <w:numPr>
          <w:ilvl w:val="0"/>
          <w:numId w:val="0"/>
        </w:numPr>
        <w:ind w:firstLine="640" w:firstLineChars="200"/>
        <w:rPr>
          <w:rFonts w:hint="default"/>
          <w:lang w:val="en-US" w:eastAsia="zh-CN"/>
        </w:rPr>
      </w:pPr>
      <w:r>
        <w:rPr>
          <w:rFonts w:hint="eastAsia" w:ascii="仿宋_GB2312" w:hAnsi="宋体" w:eastAsia="仿宋_GB2312" w:cs="宋体"/>
          <w:kern w:val="0"/>
          <w:sz w:val="32"/>
          <w:szCs w:val="32"/>
          <w:shd w:val="clear" w:color="auto" w:fill="FFFFFF"/>
          <w:lang w:val="en-US" w:eastAsia="zh-CN"/>
        </w:rPr>
        <w:t>2022年剑阁县人民检察院</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部门财政拨款无结转结余。</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u w:val="none"/>
          <w:shd w:val="clear" w:color="auto" w:fill="FFFFFF"/>
          <w:lang w:eastAsia="zh-CN"/>
        </w:rPr>
      </w:pPr>
      <w:bookmarkStart w:id="88" w:name="_Toc26926"/>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88"/>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kern w:val="0"/>
          <w:sz w:val="32"/>
          <w:szCs w:val="32"/>
          <w:highlight w:val="none"/>
          <w:shd w:val="clear" w:color="auto" w:fill="FFFFFF"/>
          <w:lang w:val="zh-CN" w:eastAsia="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根据“统筹兼顾、勤俭节约、量力而行、收支平衡”的原则，我院严格按照财政部门2022年预算编制口径并结合我院实际情况对进行预算编制，并按要求填报预算绩效项目目标申报表。根据“先有预算、后有支出”原则，我院加强对预算支出管理的监督管理，按照预算均衡进行费用的列支。</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2022年，我院人员类项目执行有序推进，预算完成率97%，资金结余率3%，无违规记录。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eastAsia"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根据“统筹兼顾、勤俭节约、量力而行、收支平衡”的原则，我院严格按照财政部门2022年预算编制口径并结合我院实际情况对进行预算编制，并按要求填报预算绩效项目目标申报表。根据“先有预算、后有支出”原则，我院加强对预算支出管理的监督管理，按照预算均衡进行费用的列支。</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2022年，我院运转类项目执行有序推进，预算完成率99%，资金结余率1%，无违规记录。</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en-US" w:eastAsia="zh-CN"/>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rPr>
      </w:pPr>
      <w:r>
        <w:rPr>
          <w:rFonts w:hint="eastAsia" w:ascii="仿宋_GB2312" w:hAnsi="仿宋_GB2312" w:eastAsia="仿宋_GB2312" w:cs="仿宋_GB2312"/>
          <w:b w:val="0"/>
          <w:bCs w:val="0"/>
          <w:color w:val="auto"/>
          <w:kern w:val="0"/>
          <w:sz w:val="32"/>
          <w:szCs w:val="32"/>
          <w:highlight w:val="none"/>
          <w:shd w:val="clear" w:color="auto" w:fill="FFFFFF"/>
          <w:lang w:val="zh-CN" w:eastAsia="zh-CN"/>
        </w:rPr>
        <w:t>根据“统筹兼顾、勤俭节约、量力而行、收支平衡”的原则，我院严格按照财政部门2022年预算编制口径并结合我院实际情况对进行预算编制，并按要求填报预算绩效项目目标申报表。根据“先有预算、后有支出”原则，我院加强对预算支出管理的监督管理，按照预算均衡进行费用的列支。</w:t>
      </w:r>
      <w:r>
        <w:rPr>
          <w:rFonts w:hint="eastAsia" w:ascii="仿宋_GB2312" w:hAnsi="仿宋_GB2312" w:eastAsia="仿宋_GB2312" w:cs="仿宋_GB2312"/>
          <w:b w:val="0"/>
          <w:bCs w:val="0"/>
          <w:color w:val="auto"/>
          <w:kern w:val="0"/>
          <w:sz w:val="32"/>
          <w:szCs w:val="32"/>
          <w:highlight w:val="none"/>
          <w:shd w:val="clear" w:color="auto" w:fill="FFFFFF"/>
          <w:lang w:val="en-US" w:eastAsia="zh-CN"/>
        </w:rPr>
        <w:t>2022年，我院特定目标类项目执行有序推进，预算完成率71%，资金结余率29%，无违规记录。</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（二）部门整体履职绩效分析。</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rPr>
        <w:t>2022年，结合本院实际，我院年初统筹安排项目预算资金</w:t>
      </w:r>
      <w:r>
        <w:rPr>
          <w:rFonts w:hint="eastAsia" w:ascii="仿宋_GB2312" w:hAnsi="仿宋_GB2312" w:eastAsia="仿宋_GB2312" w:cs="仿宋_GB2312"/>
          <w:sz w:val="32"/>
          <w:szCs w:val="32"/>
          <w:lang w:val="en-US" w:eastAsia="zh-CN"/>
        </w:rPr>
        <w:t>111.13</w:t>
      </w:r>
      <w:r>
        <w:rPr>
          <w:rFonts w:hint="eastAsia" w:ascii="仿宋_GB2312" w:hAnsi="仿宋_GB2312" w:eastAsia="仿宋_GB2312" w:cs="仿宋_GB2312"/>
          <w:sz w:val="32"/>
          <w:szCs w:val="32"/>
        </w:rPr>
        <w:t>万元。其中包括：</w:t>
      </w:r>
      <w:r>
        <w:rPr>
          <w:rFonts w:hint="eastAsia" w:ascii="仿宋_GB2312" w:hAnsi="仿宋_GB2312" w:eastAsia="仿宋_GB2312" w:cs="仿宋_GB2312"/>
          <w:sz w:val="32"/>
          <w:szCs w:val="32"/>
          <w:lang w:val="en-US" w:eastAsia="zh-CN"/>
        </w:rPr>
        <w:t>检察辅助工作45万元、</w:t>
      </w:r>
      <w:r>
        <w:rPr>
          <w:rFonts w:hint="eastAsia" w:ascii="仿宋_GB2312" w:hAnsi="仿宋_GB2312" w:eastAsia="仿宋_GB2312" w:cs="仿宋_GB2312"/>
          <w:sz w:val="32"/>
          <w:szCs w:val="32"/>
        </w:rPr>
        <w:t>司法警察加班经费</w:t>
      </w:r>
      <w:r>
        <w:rPr>
          <w:rFonts w:hint="eastAsia" w:ascii="仿宋_GB2312" w:hAnsi="仿宋_GB2312" w:eastAsia="仿宋_GB2312" w:cs="仿宋_GB2312"/>
          <w:sz w:val="32"/>
          <w:szCs w:val="32"/>
          <w:lang w:val="en-US" w:eastAsia="zh-CN"/>
        </w:rPr>
        <w:t>4.26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检察人员保留津补贴14.4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检察人员保留津补贴部分住房公积金1.73万元、县委政府中心工作6.74万元、广元市预防职务犯罪警示教育（剑阁）基地运行维修费14.5万元、办公大楼及附属设施运行维护费24.5万元。</w:t>
      </w:r>
    </w:p>
    <w:p>
      <w:pPr>
        <w:pStyle w:val="15"/>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jc w:val="both"/>
        <w:textAlignment w:val="auto"/>
        <w:rPr>
          <w:rFonts w:hint="eastAsia" w:ascii="仿宋_GB2312" w:hAnsi="仿宋_GB2312" w:eastAsia="仿宋_GB2312" w:cs="仿宋_GB2312"/>
          <w:sz w:val="15"/>
          <w:szCs w:val="15"/>
        </w:rPr>
      </w:pPr>
      <w:r>
        <w:rPr>
          <w:rFonts w:hint="eastAsia" w:ascii="仿宋_GB2312" w:hAnsi="仿宋_GB2312" w:eastAsia="仿宋_GB2312" w:cs="仿宋_GB2312"/>
          <w:color w:val="000000"/>
          <w:sz w:val="32"/>
          <w:szCs w:val="32"/>
        </w:rPr>
        <w:t>年中追加</w:t>
      </w:r>
      <w:r>
        <w:rPr>
          <w:rFonts w:hint="eastAsia" w:ascii="仿宋_GB2312" w:hAnsi="仿宋_GB2312" w:eastAsia="仿宋_GB2312" w:cs="仿宋_GB2312"/>
          <w:sz w:val="32"/>
          <w:szCs w:val="32"/>
          <w:lang w:val="en-US" w:eastAsia="zh-CN"/>
        </w:rPr>
        <w:t>275.03</w:t>
      </w:r>
      <w:r>
        <w:rPr>
          <w:rFonts w:hint="eastAsia" w:ascii="仿宋_GB2312" w:hAnsi="仿宋_GB2312" w:eastAsia="仿宋_GB2312" w:cs="仿宋_GB2312"/>
          <w:sz w:val="32"/>
          <w:szCs w:val="32"/>
        </w:rPr>
        <w:t>万元，其中</w:t>
      </w:r>
      <w:r>
        <w:rPr>
          <w:rFonts w:hint="eastAsia" w:ascii="仿宋_GB2312" w:hAnsi="仿宋_GB2312" w:eastAsia="仿宋_GB2312" w:cs="仿宋_GB2312"/>
          <w:sz w:val="32"/>
          <w:szCs w:val="32"/>
          <w:lang w:val="en-US" w:eastAsia="zh-CN"/>
        </w:rPr>
        <w:t>人员经费121.03万元、</w:t>
      </w:r>
      <w:r>
        <w:rPr>
          <w:rFonts w:hint="eastAsia" w:ascii="仿宋_GB2312" w:hAnsi="仿宋_GB2312" w:eastAsia="仿宋_GB2312" w:cs="仿宋_GB2312"/>
          <w:sz w:val="32"/>
          <w:szCs w:val="32"/>
        </w:rPr>
        <w:t>中央政法转移支付办案资金</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万元、中央政法转移支付装备款</w:t>
      </w:r>
      <w:r>
        <w:rPr>
          <w:rFonts w:hint="eastAsia" w:ascii="仿宋_GB2312" w:hAnsi="仿宋_GB2312" w:eastAsia="仿宋_GB2312" w:cs="仿宋_GB2312"/>
          <w:sz w:val="32"/>
          <w:szCs w:val="32"/>
          <w:lang w:val="en-US" w:eastAsia="zh-CN"/>
        </w:rPr>
        <w:t>44</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通过预算项目资金的安排和到位，有效的保证了我院检察职能的履行，有力的打击了犯法犯罪行为，维护了社会的公平与正义，保障了人民的基本权益，有序促进了社会的和谐与稳定，也得到了社会各界的肯定。</w:t>
      </w:r>
      <w:r>
        <w:rPr>
          <w:rFonts w:hint="eastAsia" w:ascii="仿宋_GB2312" w:hAnsi="仿宋_GB2312" w:eastAsia="仿宋_GB2312" w:cs="仿宋_GB2312"/>
          <w:sz w:val="15"/>
          <w:szCs w:val="15"/>
        </w:rPr>
        <w:t xml:space="preserve"> </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（三）结果应用情况。</w:t>
      </w:r>
    </w:p>
    <w:p>
      <w:pPr>
        <w:spacing w:line="540" w:lineRule="exact"/>
        <w:ind w:firstLine="646"/>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确保各项工作有序运转。</w:t>
      </w:r>
    </w:p>
    <w:p>
      <w:pPr>
        <w:spacing w:line="540" w:lineRule="exact"/>
        <w:ind w:firstLine="646"/>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2.加强政府采购管理。严格按照《政府采购法》和《政府采购法实施条例》等相关管理规定，根据省采购目录和财政部门预算管理要求，编制政府采购计划，将采购项目全部纳入部门预算管理。采购前</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与</w:t>
      </w:r>
      <w:r>
        <w:rPr>
          <w:rFonts w:hint="eastAsia" w:ascii="仿宋_GB2312" w:hAnsi="仿宋_GB2312" w:eastAsia="仿宋_GB2312" w:cs="仿宋_GB2312"/>
          <w:bCs/>
          <w:sz w:val="32"/>
          <w:szCs w:val="32"/>
          <w:lang w:val="en-US" w:eastAsia="zh-CN"/>
        </w:rPr>
        <w:t>市级相关部门</w:t>
      </w:r>
      <w:r>
        <w:rPr>
          <w:rFonts w:hint="eastAsia" w:ascii="仿宋_GB2312" w:hAnsi="仿宋_GB2312" w:eastAsia="仿宋_GB2312" w:cs="仿宋_GB2312"/>
          <w:bCs/>
          <w:sz w:val="32"/>
          <w:szCs w:val="32"/>
        </w:rPr>
        <w:t>做好相关事前沟通</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采购政策咨询，了解相关业务规范；采购中</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合理选择采购方式，确保采购流程合理合规，做好采购项目信息的公开公示工作；采购后</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抓好采购项目的监管工作，严把质量关，力求实效。</w:t>
      </w:r>
    </w:p>
    <w:p>
      <w:pPr>
        <w:spacing w:line="540" w:lineRule="exact"/>
        <w:ind w:firstLine="646"/>
        <w:jc w:val="both"/>
        <w:rPr>
          <w:rFonts w:hint="eastAsia" w:ascii="仿宋_GB2312" w:hAnsi="仿宋_GB2312" w:eastAsia="仿宋_GB2312" w:cs="仿宋_GB2312"/>
          <w:lang w:val="zh-CN" w:eastAsia="zh-CN"/>
        </w:rPr>
      </w:pPr>
      <w:r>
        <w:rPr>
          <w:rFonts w:hint="eastAsia" w:ascii="仿宋_GB2312" w:hAnsi="仿宋_GB2312" w:eastAsia="仿宋_GB2312" w:cs="仿宋_GB2312"/>
          <w:bCs/>
          <w:sz w:val="32"/>
          <w:szCs w:val="32"/>
        </w:rPr>
        <w:t>3.加强固定资产管理。严格按照资产管理办法，做好固定资产采购、报废、调整等相关管理工作。部门资产录入固定资产管理系统</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建资产管理卡片</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及时更新资产管理信息系统数据，做到账实相符、账卡相符。</w:t>
      </w:r>
    </w:p>
    <w:p>
      <w:pPr>
        <w:keepNext w:val="0"/>
        <w:keepLines w:val="0"/>
        <w:pageBreakBefore w:val="0"/>
        <w:widowControl/>
        <w:numPr>
          <w:ilvl w:val="0"/>
          <w:numId w:val="6"/>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自评质量。</w:t>
      </w:r>
    </w:p>
    <w:p>
      <w:pPr>
        <w:pStyle w:val="16"/>
        <w:keepNext w:val="0"/>
        <w:keepLines w:val="0"/>
        <w:pageBreakBefore w:val="0"/>
        <w:widowControl w:val="0"/>
        <w:numPr>
          <w:ilvl w:val="0"/>
          <w:numId w:val="0"/>
        </w:numPr>
        <w:kinsoku/>
        <w:wordWrap/>
        <w:overflowPunct/>
        <w:topLinePunct w:val="0"/>
        <w:autoSpaceDE/>
        <w:autoSpaceDN/>
        <w:bidi w:val="0"/>
        <w:spacing w:after="0" w:line="576" w:lineRule="exact"/>
        <w:ind w:firstLine="640" w:firstLineChars="200"/>
        <w:textAlignment w:val="auto"/>
        <w:rPr>
          <w:rFonts w:hint="default" w:ascii="仿宋" w:hAnsi="仿宋" w:eastAsia="仿宋"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我院严格按照评分要求对部门整体绩效开展自评，自评质量良好，自评得分为97分。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89" w:name="_Toc1403"/>
      <w:r>
        <w:rPr>
          <w:rFonts w:hint="eastAsia" w:ascii="黑体" w:hAnsi="宋体" w:eastAsia="黑体" w:cs="宋体"/>
          <w:color w:val="auto"/>
          <w:kern w:val="0"/>
          <w:sz w:val="32"/>
          <w:szCs w:val="32"/>
          <w:highlight w:val="none"/>
          <w:shd w:val="clear" w:color="auto" w:fill="FFFFFF"/>
        </w:rPr>
        <w:t>四、评价结论及建议</w:t>
      </w:r>
      <w:bookmarkEnd w:id="89"/>
    </w:p>
    <w:p>
      <w:pPr>
        <w:keepNext w:val="0"/>
        <w:keepLines w:val="0"/>
        <w:pageBreakBefore w:val="0"/>
        <w:widowControl/>
        <w:kinsoku/>
        <w:wordWrap/>
        <w:overflowPunct/>
        <w:topLinePunct w:val="0"/>
        <w:autoSpaceDE/>
        <w:autoSpaceDN/>
        <w:bidi w:val="0"/>
        <w:adjustRightInd w:val="0"/>
        <w:snapToGrid w:val="0"/>
        <w:spacing w:beforeAutospacing="0" w:afterAutospacing="0"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（一）评价结论。</w:t>
      </w:r>
    </w:p>
    <w:p>
      <w:pPr>
        <w:pStyle w:val="15"/>
        <w:keepNext w:val="0"/>
        <w:keepLines w:val="0"/>
        <w:pageBreakBefore w:val="0"/>
        <w:kinsoku/>
        <w:wordWrap/>
        <w:overflowPunct/>
        <w:topLinePunct w:val="0"/>
        <w:autoSpaceDE/>
        <w:autoSpaceDN/>
        <w:bidi w:val="0"/>
        <w:spacing w:beforeAutospacing="0" w:afterAutospacing="0" w:line="576" w:lineRule="exact"/>
        <w:ind w:firstLine="720"/>
        <w:jc w:val="both"/>
        <w:textAlignment w:val="auto"/>
        <w:rPr>
          <w:rFonts w:hint="eastAsia" w:ascii="仿宋_GB2312" w:hAnsi="仿宋_GB2312" w:eastAsia="仿宋_GB2312" w:cs="仿宋_GB2312"/>
          <w:sz w:val="15"/>
          <w:szCs w:val="15"/>
        </w:rPr>
      </w:pPr>
      <w:r>
        <w:rPr>
          <w:rFonts w:hint="eastAsia" w:ascii="仿宋_GB2312" w:hAnsi="仿宋_GB2312" w:eastAsia="仿宋_GB2312" w:cs="仿宋_GB2312"/>
          <w:sz w:val="32"/>
          <w:szCs w:val="32"/>
        </w:rPr>
        <w:t>通过预算绩效管理，满足了我院基本支出和项目支出的需要，使资金被有效的利用，为我院全年检察工作的完成提供了基本的物质保障。</w:t>
      </w:r>
      <w:r>
        <w:rPr>
          <w:rFonts w:hint="eastAsia" w:ascii="仿宋_GB2312" w:hAnsi="仿宋_GB2312" w:eastAsia="仿宋_GB2312" w:cs="仿宋_GB2312"/>
          <w:sz w:val="15"/>
          <w:szCs w:val="15"/>
        </w:rPr>
        <w:t xml:space="preserve"> </w:t>
      </w:r>
    </w:p>
    <w:p>
      <w:pPr>
        <w:keepNext w:val="0"/>
        <w:keepLines w:val="0"/>
        <w:pageBreakBefore w:val="0"/>
        <w:widowControl/>
        <w:numPr>
          <w:ilvl w:val="0"/>
          <w:numId w:val="7"/>
        </w:numPr>
        <w:kinsoku/>
        <w:wordWrap/>
        <w:overflowPunct/>
        <w:topLinePunct w:val="0"/>
        <w:autoSpaceDE/>
        <w:autoSpaceDN/>
        <w:bidi w:val="0"/>
        <w:adjustRightInd w:val="0"/>
        <w:snapToGrid w:val="0"/>
        <w:spacing w:beforeAutospacing="0" w:afterAutospacing="0"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存在问题。</w:t>
      </w:r>
    </w:p>
    <w:p>
      <w:pPr>
        <w:pStyle w:val="15"/>
        <w:keepNext w:val="0"/>
        <w:keepLines w:val="0"/>
        <w:pageBreakBefore w:val="0"/>
        <w:kinsoku/>
        <w:wordWrap/>
        <w:overflowPunct/>
        <w:topLinePunct w:val="0"/>
        <w:autoSpaceDE/>
        <w:autoSpaceDN/>
        <w:bidi w:val="0"/>
        <w:spacing w:beforeAutospacing="0" w:afterAutospacing="0" w:line="576" w:lineRule="exact"/>
        <w:ind w:firstLine="720"/>
        <w:jc w:val="both"/>
        <w:textAlignment w:val="auto"/>
        <w:rPr>
          <w:rFonts w:hint="eastAsia" w:ascii="仿宋_GB2312" w:hAnsi="仿宋_GB2312" w:eastAsia="仿宋_GB2312" w:cs="仿宋_GB2312"/>
          <w:sz w:val="15"/>
          <w:szCs w:val="15"/>
        </w:rPr>
      </w:pPr>
      <w:r>
        <w:rPr>
          <w:rFonts w:hint="eastAsia" w:ascii="仿宋_GB2312" w:hAnsi="仿宋_GB2312" w:eastAsia="仿宋_GB2312" w:cs="仿宋_GB2312"/>
          <w:sz w:val="32"/>
          <w:szCs w:val="32"/>
        </w:rPr>
        <w:t>项目资金的预算数量与金额与实际还存在一定的差额，还需进一步的优化处理。</w:t>
      </w:r>
      <w:r>
        <w:rPr>
          <w:rFonts w:hint="eastAsia" w:ascii="仿宋_GB2312" w:hAnsi="仿宋_GB2312" w:eastAsia="仿宋_GB2312" w:cs="仿宋_GB2312"/>
          <w:sz w:val="15"/>
          <w:szCs w:val="15"/>
        </w:rPr>
        <w:t xml:space="preserve"> </w:t>
      </w:r>
    </w:p>
    <w:p>
      <w:pPr>
        <w:keepNext w:val="0"/>
        <w:keepLines w:val="0"/>
        <w:pageBreakBefore w:val="0"/>
        <w:widowControl/>
        <w:numPr>
          <w:ilvl w:val="0"/>
          <w:numId w:val="7"/>
        </w:numPr>
        <w:kinsoku/>
        <w:wordWrap/>
        <w:overflowPunct/>
        <w:topLinePunct w:val="0"/>
        <w:autoSpaceDE/>
        <w:autoSpaceDN/>
        <w:bidi w:val="0"/>
        <w:adjustRightInd w:val="0"/>
        <w:snapToGrid w:val="0"/>
        <w:spacing w:beforeAutospacing="0" w:afterAutospacing="0" w:line="560" w:lineRule="exact"/>
        <w:ind w:left="0" w:leftChars="0"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改进建议。</w:t>
      </w:r>
    </w:p>
    <w:p>
      <w:pPr>
        <w:pStyle w:val="15"/>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720"/>
        <w:jc w:val="both"/>
        <w:textAlignment w:val="auto"/>
        <w:rPr>
          <w:rFonts w:hint="eastAsia" w:ascii="仿宋_GB2312" w:hAnsi="仿宋_GB2312" w:eastAsia="仿宋_GB2312" w:cs="仿宋_GB2312"/>
          <w:sz w:val="15"/>
          <w:szCs w:val="15"/>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认真加强对年初预算项目的申报工作，并做好细化各项指标的内容。</w:t>
      </w:r>
      <w:r>
        <w:rPr>
          <w:rFonts w:hint="eastAsia" w:ascii="仿宋_GB2312" w:hAnsi="仿宋_GB2312" w:eastAsia="仿宋_GB2312" w:cs="仿宋_GB2312"/>
          <w:sz w:val="15"/>
          <w:szCs w:val="15"/>
        </w:rPr>
        <w:t xml:space="preserve"> </w:t>
      </w:r>
    </w:p>
    <w:p>
      <w:pPr>
        <w:pStyle w:val="15"/>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加强过程监管工作力度，使各项项目落实到实处，发挥其经济价值、社会效益。</w:t>
      </w:r>
    </w:p>
    <w:p>
      <w:pPr>
        <w:pStyle w:val="15"/>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720"/>
        <w:jc w:val="both"/>
        <w:textAlignment w:val="auto"/>
        <w:rPr>
          <w:rFonts w:hint="eastAsia" w:ascii="仿宋_GB2312" w:hAnsi="仿宋_GB2312" w:eastAsia="仿宋_GB2312" w:cs="仿宋_GB2312"/>
          <w:color w:val="00B0F0"/>
          <w:sz w:val="32"/>
          <w:szCs w:val="32"/>
          <w:lang w:val="en-US" w:eastAsia="zh-CN"/>
        </w:rPr>
      </w:pPr>
      <w:r>
        <w:rPr>
          <w:rFonts w:hint="eastAsia" w:ascii="仿宋_GB2312" w:hAnsi="仿宋_GB2312" w:eastAsia="仿宋_GB2312" w:cs="仿宋_GB2312"/>
          <w:sz w:val="32"/>
          <w:szCs w:val="32"/>
          <w:lang w:val="zh-CN" w:eastAsia="zh-CN"/>
        </w:rPr>
        <w:t>附表：</w:t>
      </w:r>
      <w:r>
        <w:rPr>
          <w:rFonts w:hint="eastAsia" w:ascii="仿宋_GB2312" w:hAnsi="仿宋_GB2312" w:eastAsia="仿宋_GB2312" w:cs="仿宋_GB2312"/>
          <w:sz w:val="32"/>
          <w:szCs w:val="32"/>
          <w:lang w:val="en-US" w:eastAsia="zh-CN"/>
        </w:rPr>
        <w:t>部门预算项目支出绩效自评表（2022年度）</w:t>
      </w:r>
    </w:p>
    <w:p>
      <w:pPr>
        <w:pStyle w:val="15"/>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720"/>
        <w:jc w:val="both"/>
        <w:textAlignment w:val="auto"/>
        <w:rPr>
          <w:rFonts w:hint="eastAsia" w:ascii="仿宋_GB2312" w:hAnsi="仿宋_GB2312" w:eastAsia="仿宋_GB2312" w:cs="仿宋_GB2312"/>
          <w:color w:val="00B0F0"/>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720"/>
        <w:jc w:val="both"/>
        <w:textAlignment w:val="auto"/>
        <w:rPr>
          <w:rFonts w:hint="eastAsia" w:ascii="仿宋_GB2312" w:hAnsi="仿宋_GB2312" w:eastAsia="仿宋_GB2312" w:cs="仿宋_GB2312"/>
          <w:color w:val="00B0F0"/>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720"/>
        <w:jc w:val="both"/>
        <w:textAlignment w:val="auto"/>
        <w:rPr>
          <w:rFonts w:hint="eastAsia" w:ascii="仿宋_GB2312" w:hAnsi="仿宋_GB2312" w:eastAsia="仿宋_GB2312" w:cs="仿宋_GB2312"/>
          <w:color w:val="00B0F0"/>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720"/>
        <w:jc w:val="both"/>
        <w:textAlignment w:val="auto"/>
        <w:rPr>
          <w:rFonts w:hint="eastAsia" w:ascii="仿宋_GB2312" w:hAnsi="仿宋_GB2312" w:eastAsia="仿宋_GB2312" w:cs="仿宋_GB2312"/>
          <w:color w:val="00B0F0"/>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720"/>
        <w:jc w:val="both"/>
        <w:textAlignment w:val="auto"/>
        <w:rPr>
          <w:rFonts w:hint="eastAsia" w:ascii="仿宋_GB2312" w:hAnsi="仿宋_GB2312" w:eastAsia="仿宋_GB2312" w:cs="仿宋_GB2312"/>
          <w:color w:val="00B0F0"/>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720"/>
        <w:jc w:val="both"/>
        <w:textAlignment w:val="auto"/>
        <w:rPr>
          <w:rFonts w:hint="eastAsia" w:ascii="仿宋_GB2312" w:hAnsi="仿宋_GB2312" w:eastAsia="仿宋_GB2312" w:cs="仿宋_GB2312"/>
          <w:color w:val="00B0F0"/>
          <w:sz w:val="32"/>
          <w:szCs w:val="32"/>
          <w:lang w:val="en-US" w:eastAsia="zh-CN"/>
        </w:rPr>
      </w:pPr>
    </w:p>
    <w:p>
      <w:pPr>
        <w:pStyle w:val="15"/>
        <w:keepNext w:val="0"/>
        <w:keepLines w:val="0"/>
        <w:pageBreakBefore w:val="0"/>
        <w:widowControl w:val="0"/>
        <w:kinsoku/>
        <w:wordWrap/>
        <w:overflowPunct/>
        <w:topLinePunct w:val="0"/>
        <w:autoSpaceDE/>
        <w:autoSpaceDN/>
        <w:bidi w:val="0"/>
        <w:adjustRightInd/>
        <w:snapToGrid/>
        <w:spacing w:beforeAutospacing="0" w:after="0" w:afterAutospacing="0" w:line="576" w:lineRule="exact"/>
        <w:ind w:firstLine="720"/>
        <w:jc w:val="both"/>
        <w:textAlignment w:val="auto"/>
        <w:rPr>
          <w:rFonts w:hint="eastAsia" w:ascii="仿宋_GB2312" w:hAnsi="仿宋_GB2312" w:eastAsia="仿宋_GB2312" w:cs="仿宋_GB2312"/>
          <w:color w:val="00B0F0"/>
          <w:sz w:val="32"/>
          <w:szCs w:val="32"/>
          <w:lang w:val="en-US" w:eastAsia="zh-CN"/>
        </w:rPr>
      </w:pPr>
    </w:p>
    <w:p>
      <w:pPr>
        <w:rPr>
          <w:rFonts w:hint="eastAsia" w:ascii="仿宋_GB2312" w:hAnsi="仿宋_GB2312" w:eastAsia="仿宋_GB2312" w:cs="仿宋_GB2312"/>
          <w:color w:val="00B0F0"/>
          <w:sz w:val="32"/>
          <w:szCs w:val="32"/>
          <w:lang w:val="en-US" w:eastAsia="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1324"/>
        <w:gridCol w:w="1323"/>
        <w:gridCol w:w="1024"/>
        <w:gridCol w:w="1213"/>
        <w:gridCol w:w="772"/>
        <w:gridCol w:w="992"/>
        <w:gridCol w:w="913"/>
        <w:gridCol w:w="8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40" w:hRule="atLeast"/>
        </w:trPr>
        <w:tc>
          <w:tcPr>
            <w:tcW w:w="5000" w:type="pct"/>
            <w:gridSpan w:val="9"/>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剑阁县人民检察院</w:t>
            </w:r>
            <w:r>
              <w:rPr>
                <w:rFonts w:hint="default" w:ascii="方正小标宋简体" w:hAnsi="方正小标宋简体" w:eastAsia="方正小标宋简体" w:cs="方正小标宋简体"/>
                <w:i w:val="0"/>
                <w:iCs w:val="0"/>
                <w:color w:val="000000"/>
                <w:kern w:val="0"/>
                <w:sz w:val="32"/>
                <w:szCs w:val="32"/>
                <w:u w:val="none"/>
                <w:lang w:val="en-US" w:eastAsia="zh-CN" w:bidi="ar"/>
              </w:rPr>
              <w:t>部门整体支出绩效目标自评表（2022年度）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0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391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任务</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任务名称</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主要内容</w:t>
            </w:r>
          </w:p>
        </w:tc>
        <w:tc>
          <w:tcPr>
            <w:tcW w:w="16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预算金额（万元）</w:t>
            </w:r>
          </w:p>
        </w:tc>
        <w:tc>
          <w:tcPr>
            <w:tcW w:w="152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6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总额</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7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56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128.39</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128.39</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127.07</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人员保障</w:t>
            </w:r>
          </w:p>
        </w:tc>
        <w:tc>
          <w:tcPr>
            <w:tcW w:w="7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人员保障</w:t>
            </w:r>
          </w:p>
        </w:tc>
        <w:tc>
          <w:tcPr>
            <w:tcW w:w="56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692.67</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692.67</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673.74</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673.74</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履行检察职能</w:t>
            </w:r>
          </w:p>
        </w:tc>
        <w:tc>
          <w:tcPr>
            <w:tcW w:w="7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履行检察职能</w:t>
            </w:r>
          </w:p>
        </w:tc>
        <w:tc>
          <w:tcPr>
            <w:tcW w:w="56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65.39</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65.39</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64.9</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警示教育基地</w:t>
            </w:r>
          </w:p>
        </w:tc>
        <w:tc>
          <w:tcPr>
            <w:tcW w:w="7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警示教育基地</w:t>
            </w:r>
          </w:p>
        </w:tc>
        <w:tc>
          <w:tcPr>
            <w:tcW w:w="56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办公大楼及附属设施运行维护</w:t>
            </w:r>
          </w:p>
        </w:tc>
        <w:tc>
          <w:tcPr>
            <w:tcW w:w="730"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办公大楼及附属设施运行维护</w:t>
            </w:r>
          </w:p>
        </w:tc>
        <w:tc>
          <w:tcPr>
            <w:tcW w:w="56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23.66</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23.66</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县委县政府中心工作</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县委县政府中心工作</w:t>
            </w:r>
          </w:p>
        </w:tc>
        <w:tc>
          <w:tcPr>
            <w:tcW w:w="56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特定转移支付</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特定转移支付</w:t>
            </w:r>
          </w:p>
        </w:tc>
        <w:tc>
          <w:tcPr>
            <w:tcW w:w="56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108.8</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108.8</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460" w:type="pct"/>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金额合计</w:t>
            </w:r>
          </w:p>
        </w:tc>
        <w:tc>
          <w:tcPr>
            <w:tcW w:w="564"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1086.19</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1086.19</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1018.32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1018.32</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5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w:t>
            </w:r>
          </w:p>
        </w:tc>
        <w:tc>
          <w:tcPr>
            <w:tcW w:w="2025" w:type="pct"/>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26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8" w:hRule="atLeast"/>
        </w:trPr>
        <w:tc>
          <w:tcPr>
            <w:tcW w:w="35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目标1：保障机关正常运转。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目标2：加强基层党组织建设，开展党建活动。                                                                目标3：积极组织干警参加培训。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目标4：开展检察业务工作，依法办理各类案件。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目标5：保障警示教育基地正常运转。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目标6：保障办公大楼及附属设施正常运行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目标7：协助做好县委政府安排的中心工作。</w:t>
            </w:r>
          </w:p>
        </w:tc>
        <w:tc>
          <w:tcPr>
            <w:tcW w:w="26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我院整体支出切实保障了机关正常运转，加强基层党组织建设，开展党建活动，积极组织干警参加培训，依法办理各类案件，保障了警示教育基地正常运转，保障了办公大楼及附属设施正常运行，协助做好县委政府安排的中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3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指标值（包含数字及文字描述）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部门自评得分</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财政部门科室复评得分</w:t>
            </w:r>
          </w:p>
        </w:tc>
        <w:tc>
          <w:tcPr>
            <w:tcW w:w="4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指标1：征订报刊杂志</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≥150份</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≥200份</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指标2：开展干警培训次数</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指标3：班子成员讲党课次数</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≥2次/人</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≥3次/人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指标4：举报线索核查数</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≥1条</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≥2条</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指标5：制发文件数</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≥3200份</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≥3500份</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指标6：受理案件数（人）</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≥200人</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指标7：受理审查逮捕案件数（人）</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≥60人</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≥65人</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指标1：培训覆盖率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（参训人数/总人数）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指标2：基层党组织建设成效</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指标3：文件印制错误率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指标4：案件办理成效</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公正执法，依法办案</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公正执法，依法办案</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指标5：捕后不诉、诉后无罪案件数</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≤0件</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0件</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指标6：协助做好县委政府安排的中心工作</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指标7：保障警示教育基地正常运转</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指标8：保障办公大楼及附属设施正常运行</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指标1：文件编发印制及时性</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2个工作日内编发完成</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2个工作日内编发完成</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指标2：党建活动及时性</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每季度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指标3：开展案件线索核查及时性</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≤3天</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≤3天</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指标4：兑现人员福利待遇及时性</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当期</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当期</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指标5：机关后勤保障缴费及时性</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当月</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当月</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指标6：法定时间内案件办结率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指标1：公用经费</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≤128.39万元</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127.07万元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指标2：县委县政府中心工作</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≤6.74万元</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6.68万元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指标3：警示教育基地运行维护</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≤14.5万元</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13.47万元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指标4：办公大楼及附属设施运行维护</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≤24.5万元</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23.66万元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指标5：特定转移支付</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≤154万元</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108.8万元</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项目正在实施中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指标1：技术装备闲置率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≤0%（闲置装备数/总装备数）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指标2：车辆闲置率</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≤0%（闲置车辆数/总车辆数）</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促进社会稳定</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公正执法、加强监督、依法办案、服务大局。</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公正执法、加强监督、依法办案、服务大局。</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加强公益诉讼案件办理，推进生态保护</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指标1：落实支部三会一课制度</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按照要求落实支部三会一课制度</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指标2：法律监督职能</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持续发挥法律监督职能</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指标3：廉洁警示教育</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长期</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持续开展廉洁警示教育</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指标1：服务对象满意度</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指标2：本院干警满意度</w:t>
            </w:r>
          </w:p>
        </w:tc>
        <w:tc>
          <w:tcPr>
            <w:tcW w:w="6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部门（单位）自评结论</w:t>
            </w:r>
          </w:p>
        </w:tc>
        <w:tc>
          <w:tcPr>
            <w:tcW w:w="46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部门整体自评总分97分，其中，年度绩效指标89分，预算执行8分。通过预算绩效管理，满足了我院基本支出和项目支出的需要，使资金被有效的利用，为我院全年检察工作的完成提供了基本的物质保障。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部门（单位）自评存在问题</w:t>
            </w:r>
          </w:p>
        </w:tc>
        <w:tc>
          <w:tcPr>
            <w:tcW w:w="46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项目资金的预算数量与金额与实际还存在一定的差额，还需进一步的优化处理。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部门（单位）自评改进措施</w:t>
            </w:r>
          </w:p>
        </w:tc>
        <w:tc>
          <w:tcPr>
            <w:tcW w:w="46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1.认真加强对年初预算项目的申报工作，并做好细化各项指标的内容。2.加强过程监管工作力度，使各项项目落实到实处，发挥其经济价值、社会效益。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3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财政部门对口科室复评结论及整改要求</w:t>
            </w:r>
          </w:p>
        </w:tc>
        <w:tc>
          <w:tcPr>
            <w:tcW w:w="46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单位项目负责人：</w:t>
            </w:r>
          </w:p>
        </w:tc>
        <w:tc>
          <w:tcPr>
            <w:tcW w:w="26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单位财务负责人：黄莉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238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部门项目负责人：</w:t>
            </w:r>
          </w:p>
        </w:tc>
        <w:tc>
          <w:tcPr>
            <w:tcW w:w="261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部门财务负责人：</w:t>
            </w:r>
          </w:p>
        </w:tc>
      </w:tr>
    </w:tbl>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p>
      <w:pPr>
        <w:pStyle w:val="2"/>
        <w:rPr>
          <w:rFonts w:hint="eastAsia" w:ascii="仿宋_GB2312" w:hAnsi="仿宋_GB2312" w:eastAsia="仿宋_GB2312" w:cs="仿宋_GB2312"/>
          <w:color w:val="00B0F0"/>
          <w:sz w:val="32"/>
          <w:szCs w:val="32"/>
          <w:lang w:val="en-US" w:eastAsia="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
        <w:gridCol w:w="141"/>
        <w:gridCol w:w="960"/>
        <w:gridCol w:w="458"/>
        <w:gridCol w:w="460"/>
        <w:gridCol w:w="726"/>
        <w:gridCol w:w="498"/>
        <w:gridCol w:w="405"/>
        <w:gridCol w:w="661"/>
        <w:gridCol w:w="515"/>
        <w:gridCol w:w="678"/>
        <w:gridCol w:w="397"/>
        <w:gridCol w:w="733"/>
        <w:gridCol w:w="25"/>
        <w:gridCol w:w="577"/>
        <w:gridCol w:w="397"/>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1"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trPr>
        <w:tc>
          <w:tcPr>
            <w:tcW w:w="9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剑阁县人民检察院部门</w:t>
            </w:r>
          </w:p>
        </w:tc>
        <w:tc>
          <w:tcPr>
            <w:tcW w:w="444" w:type="pct"/>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2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83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1"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567.18</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688.21</w:t>
            </w:r>
          </w:p>
        </w:tc>
        <w:tc>
          <w:tcPr>
            <w:tcW w:w="9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669.30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97.25%</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8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567.18</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688.21</w:t>
            </w:r>
          </w:p>
        </w:tc>
        <w:tc>
          <w:tcPr>
            <w:tcW w:w="9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669.30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97.25%</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14"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rPr>
            </w:pPr>
            <w:r>
              <w:rPr>
                <w:rFonts w:ascii="宋体" w:hAnsi="宋体" w:cs="宋体"/>
                <w:i w:val="0"/>
                <w:iCs w:val="0"/>
                <w:color w:val="000000"/>
                <w:sz w:val="18"/>
                <w:szCs w:val="18"/>
                <w:u w:val="none"/>
              </w:rPr>
              <w:t>99</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工资性支出自评得分99分，基本完成预定目标，达到了预期效果，项目效益明显。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trPr>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5"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244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55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财务负责人：黄莉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2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376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51000021R000000019958-其他支出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2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剑阁县人民检察院部门</w:t>
            </w:r>
          </w:p>
        </w:tc>
        <w:tc>
          <w:tcPr>
            <w:tcW w:w="313" w:type="pct"/>
            <w:gridSpan w:val="2"/>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0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42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8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3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4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240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35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4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3765" w:type="pct"/>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42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4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w:t>
            </w: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w:t>
            </w:r>
          </w:p>
        </w:tc>
        <w:tc>
          <w:tcPr>
            <w:tcW w:w="8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4.43</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4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w:t>
            </w: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4.47</w:t>
            </w:r>
          </w:p>
        </w:tc>
        <w:tc>
          <w:tcPr>
            <w:tcW w:w="8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4.43</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99.01%</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4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4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4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8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42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4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8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4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4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42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8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9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0.90%</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955"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rPr>
            </w:pPr>
            <w:r>
              <w:rPr>
                <w:rFonts w:ascii="宋体" w:hAnsi="宋体" w:cs="宋体"/>
                <w:i w:val="0"/>
                <w:iCs w:val="0"/>
                <w:color w:val="000000"/>
                <w:sz w:val="18"/>
                <w:szCs w:val="18"/>
                <w:u w:val="none"/>
              </w:rPr>
              <w:t>99</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574"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其他支出自评得分99分，基本完成预定目标，达到了预期效果，项目效益明显。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574"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4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574"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3114"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188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财务负责人：黄莉</w:t>
            </w:r>
          </w:p>
        </w:tc>
      </w:tr>
    </w:tbl>
    <w:tbl>
      <w:tblPr>
        <w:tblStyle w:val="17"/>
        <w:tblpPr w:leftFromText="180" w:rightFromText="180" w:vertAnchor="text" w:horzAnchor="page" w:tblpX="1692" w:tblpY="11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9"/>
        <w:gridCol w:w="1153"/>
        <w:gridCol w:w="970"/>
        <w:gridCol w:w="1435"/>
        <w:gridCol w:w="438"/>
        <w:gridCol w:w="747"/>
        <w:gridCol w:w="419"/>
        <w:gridCol w:w="797"/>
        <w:gridCol w:w="600"/>
        <w:gridCol w:w="410"/>
        <w:gridCol w:w="1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8"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51000021Y000000011490-定额公用经费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剑阁县人民检察院部门</w:t>
            </w:r>
          </w:p>
        </w:tc>
        <w:tc>
          <w:tcPr>
            <w:tcW w:w="439"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 （盖章）</w:t>
            </w:r>
          </w:p>
        </w:tc>
        <w:tc>
          <w:tcPr>
            <w:tcW w:w="13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剑阁县人民检察院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82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3"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66.70</w:t>
            </w:r>
          </w:p>
        </w:tc>
        <w:tc>
          <w:tcPr>
            <w:tcW w:w="8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65.39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8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66.70</w:t>
            </w:r>
          </w:p>
        </w:tc>
        <w:tc>
          <w:tcPr>
            <w:tcW w:w="8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65.39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98.04%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8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1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iCs w:val="0"/>
                <w:color w:val="000000"/>
                <w:sz w:val="18"/>
                <w:szCs w:val="18"/>
                <w:u w:val="none"/>
              </w:rPr>
            </w:pPr>
            <w:r>
              <w:rPr>
                <w:rFonts w:ascii="宋体" w:hAnsi="宋体" w:cs="宋体"/>
                <w:i w:val="0"/>
                <w:iCs w:val="0"/>
                <w:color w:val="000000"/>
                <w:sz w:val="18"/>
                <w:szCs w:val="18"/>
                <w:u w:val="none"/>
              </w:rPr>
              <w:t>99</w:t>
            </w:r>
          </w:p>
        </w:tc>
        <w:tc>
          <w:tcPr>
            <w:tcW w:w="8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评价结论</w:t>
            </w:r>
          </w:p>
        </w:tc>
        <w:tc>
          <w:tcPr>
            <w:tcW w:w="4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定额公用经费自评得分99分，基本完成预定目标，达到了预期效果，项目效益明显。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存在问题</w:t>
            </w:r>
          </w:p>
        </w:tc>
        <w:tc>
          <w:tcPr>
            <w:tcW w:w="4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改进措施</w:t>
            </w:r>
          </w:p>
        </w:tc>
        <w:tc>
          <w:tcPr>
            <w:tcW w:w="4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5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w:t>
            </w:r>
          </w:p>
        </w:tc>
        <w:tc>
          <w:tcPr>
            <w:tcW w:w="246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财务负责人：黄莉</w:t>
            </w:r>
          </w:p>
        </w:tc>
      </w:tr>
    </w:tbl>
    <w:tbl>
      <w:tblPr>
        <w:tblStyle w:val="17"/>
        <w:tblpPr w:leftFromText="180" w:rightFromText="180" w:vertAnchor="text" w:horzAnchor="page" w:tblpX="1625" w:tblpY="70"/>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9"/>
        <w:gridCol w:w="1132"/>
        <w:gridCol w:w="955"/>
        <w:gridCol w:w="1372"/>
        <w:gridCol w:w="387"/>
        <w:gridCol w:w="822"/>
        <w:gridCol w:w="415"/>
        <w:gridCol w:w="996"/>
        <w:gridCol w:w="498"/>
        <w:gridCol w:w="417"/>
        <w:gridCol w:w="14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51080021Y000000176770-其他公用经费（福利、工会、公车补贴、党建、退休活动）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95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剑阁县人民检察院部门</w:t>
            </w:r>
          </w:p>
        </w:tc>
        <w:tc>
          <w:tcPr>
            <w:tcW w:w="549"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rPr>
                <w:rFonts w:hint="eastAsia" w:ascii="宋体" w:hAnsi="宋体" w:eastAsia="宋体" w:cs="宋体"/>
                <w:i w:val="0"/>
                <w:iCs w:val="0"/>
                <w:color w:val="000000"/>
                <w:sz w:val="18"/>
                <w:szCs w:val="18"/>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rPr>
                <w:rFonts w:hint="eastAsia" w:ascii="宋体" w:hAnsi="宋体" w:eastAsia="宋体" w:cs="宋体"/>
                <w:i w:val="0"/>
                <w:iCs w:val="0"/>
                <w:color w:val="000000"/>
                <w:sz w:val="18"/>
                <w:szCs w:val="18"/>
                <w:u w:val="none"/>
              </w:rPr>
            </w:pPr>
          </w:p>
        </w:tc>
        <w:tc>
          <w:tcPr>
            <w:tcW w:w="21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8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55.69</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55.69</w:t>
            </w:r>
          </w:p>
        </w:tc>
        <w:tc>
          <w:tcPr>
            <w:tcW w:w="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55.69</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55.69</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55.69</w:t>
            </w:r>
          </w:p>
        </w:tc>
        <w:tc>
          <w:tcPr>
            <w:tcW w:w="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55.69</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微软雅黑" w:hAnsi="微软雅黑" w:eastAsia="微软雅黑" w:cs="微软雅黑"/>
                <w:i/>
                <w:iCs/>
                <w:color w:val="000000"/>
                <w:sz w:val="16"/>
                <w:szCs w:val="16"/>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微软雅黑" w:hAnsi="微软雅黑" w:eastAsia="微软雅黑" w:cs="微软雅黑"/>
                <w:i/>
                <w:iCs/>
                <w:color w:val="000000"/>
                <w:sz w:val="16"/>
                <w:szCs w:val="16"/>
                <w:u w:val="none"/>
              </w:rPr>
            </w:pPr>
          </w:p>
        </w:tc>
        <w:tc>
          <w:tcPr>
            <w:tcW w:w="8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微软雅黑" w:hAnsi="微软雅黑" w:eastAsia="微软雅黑" w:cs="微软雅黑"/>
                <w:i/>
                <w:iCs/>
                <w:color w:val="000000"/>
                <w:sz w:val="16"/>
                <w:szCs w:val="16"/>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微软雅黑" w:hAnsi="微软雅黑" w:eastAsia="微软雅黑" w:cs="微软雅黑"/>
                <w:i/>
                <w:iCs/>
                <w:color w:val="000000"/>
                <w:sz w:val="16"/>
                <w:szCs w:val="16"/>
                <w:u w:val="none"/>
              </w:rPr>
            </w:pP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4" w:hRule="atLeast"/>
        </w:trPr>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4"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6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6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宋体" w:hAnsi="宋体" w:eastAsia="宋体" w:cs="宋体"/>
                <w:i w:val="0"/>
                <w:iCs w:val="0"/>
                <w:color w:val="000000"/>
                <w:sz w:val="18"/>
                <w:szCs w:val="18"/>
                <w:u w:val="none"/>
              </w:rPr>
            </w:pP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100</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8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center"/>
              <w:textAlignment w:val="center"/>
              <w:rPr>
                <w:rFonts w:hint="default" w:ascii="宋体" w:hAnsi="宋体" w:eastAsia="宋体" w:cs="宋体"/>
                <w:i w:val="0"/>
                <w:iCs w:val="0"/>
                <w:color w:val="000000"/>
                <w:sz w:val="18"/>
                <w:szCs w:val="18"/>
                <w:u w:val="none"/>
              </w:rPr>
            </w:pPr>
            <w:r>
              <w:rPr>
                <w:rFonts w:ascii="宋体" w:hAnsi="宋体" w:cs="宋体"/>
                <w:i w:val="0"/>
                <w:iCs w:val="0"/>
                <w:color w:val="000000"/>
                <w:sz w:val="18"/>
                <w:szCs w:val="18"/>
                <w:u w:val="none"/>
              </w:rPr>
              <w:t>99</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bidi w:val="0"/>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评价结论</w:t>
            </w:r>
          </w:p>
        </w:tc>
        <w:tc>
          <w:tcPr>
            <w:tcW w:w="4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定额公用经费自评得分99分，基本完成预定目标，达到了预期效果，项目效益明显。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存在问题</w:t>
            </w:r>
          </w:p>
        </w:tc>
        <w:tc>
          <w:tcPr>
            <w:tcW w:w="4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改进措施</w:t>
            </w:r>
          </w:p>
        </w:tc>
        <w:tc>
          <w:tcPr>
            <w:tcW w:w="466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w:t>
            </w:r>
          </w:p>
        </w:tc>
        <w:tc>
          <w:tcPr>
            <w:tcW w:w="2547"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bidi w:val="0"/>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财务负责人：黄莉</w:t>
            </w:r>
          </w:p>
        </w:tc>
      </w:tr>
    </w:tbl>
    <w:tbl>
      <w:tblPr>
        <w:tblStyle w:val="17"/>
        <w:tblpPr w:leftFromText="180" w:rightFromText="180" w:vertAnchor="text" w:horzAnchor="page" w:tblpX="1575" w:tblpY="109"/>
        <w:tblOverlap w:val="never"/>
        <w:tblW w:w="501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9"/>
        <w:gridCol w:w="1152"/>
        <w:gridCol w:w="1377"/>
        <w:gridCol w:w="1250"/>
        <w:gridCol w:w="200"/>
        <w:gridCol w:w="150"/>
        <w:gridCol w:w="650"/>
        <w:gridCol w:w="379"/>
        <w:gridCol w:w="36"/>
        <w:gridCol w:w="857"/>
        <w:gridCol w:w="36"/>
        <w:gridCol w:w="470"/>
        <w:gridCol w:w="36"/>
        <w:gridCol w:w="379"/>
        <w:gridCol w:w="36"/>
        <w:gridCol w:w="1454"/>
        <w:gridCol w:w="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904" w:hRule="atLeast"/>
        </w:trPr>
        <w:tc>
          <w:tcPr>
            <w:tcW w:w="4980"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286"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1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51080022T000005048861-检察辅助工作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pct"/>
          <w:trHeight w:val="512" w:hRule="atLeast"/>
        </w:trPr>
        <w:tc>
          <w:tcPr>
            <w:tcW w:w="9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剑阁县人民检察院部门</w:t>
            </w:r>
          </w:p>
        </w:tc>
        <w:tc>
          <w:tcPr>
            <w:tcW w:w="490" w:type="pct"/>
            <w:gridSpan w:val="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 （盖章）</w:t>
            </w:r>
          </w:p>
        </w:tc>
        <w:tc>
          <w:tcPr>
            <w:tcW w:w="132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剑阁县人民检察院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286"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9" w:type="pct"/>
          <w:trHeight w:val="708"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0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强化法律监督，维护社会稳定，为社会发展保驾护航。</w:t>
            </w:r>
          </w:p>
        </w:tc>
        <w:tc>
          <w:tcPr>
            <w:tcW w:w="181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强化法律监督，维护社会稳定，为社会发展保驾护航。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693"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17"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强化法律监督，维护社会稳定，为社会发展保驾护航。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361"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387"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7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432"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7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45.00</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447"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332"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235"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15人</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30000元/年/人</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强化法律监督</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净化社会生态</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1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9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286" w:hRule="atLeast"/>
        </w:trPr>
        <w:tc>
          <w:tcPr>
            <w:tcW w:w="36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18"/>
                <w:szCs w:val="18"/>
                <w:u w:val="none"/>
              </w:rPr>
            </w:pPr>
            <w:r>
              <w:rPr>
                <w:rFonts w:ascii="宋体" w:hAnsi="宋体" w:cs="宋体"/>
                <w:i w:val="0"/>
                <w:iCs w:val="0"/>
                <w:color w:val="000000"/>
                <w:sz w:val="18"/>
                <w:szCs w:val="18"/>
                <w:u w:val="none"/>
              </w:rPr>
              <w:t>99</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518"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5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宋体" w:hAnsi="宋体" w:eastAsia="宋体" w:cs="宋体"/>
                <w:i w:val="0"/>
                <w:iCs w:val="0"/>
                <w:color w:val="000000"/>
                <w:kern w:val="0"/>
                <w:sz w:val="18"/>
                <w:szCs w:val="18"/>
                <w:u w:val="none"/>
                <w:lang w:val="en-US" w:eastAsia="zh-CN" w:bidi="ar"/>
              </w:rPr>
              <w:t>检察辅助工作项目自评得分100分，完成了预定目标，达到了预期效果，项目效益明显。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352"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465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根据自评情况，未发现政策与实际需求层面、程序与实际执行不相符等方面的问题。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443" w:hRule="atLeast"/>
        </w:trPr>
        <w:tc>
          <w:tcPr>
            <w:tcW w:w="3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465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9" w:type="pct"/>
          <w:trHeight w:val="286" w:hRule="atLeast"/>
        </w:trPr>
        <w:tc>
          <w:tcPr>
            <w:tcW w:w="25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w:t>
            </w:r>
          </w:p>
        </w:tc>
        <w:tc>
          <w:tcPr>
            <w:tcW w:w="246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财务负责人：黄莉</w:t>
            </w:r>
          </w:p>
        </w:tc>
      </w:tr>
    </w:tbl>
    <w:tbl>
      <w:tblPr>
        <w:tblStyle w:val="17"/>
        <w:tblpPr w:leftFromText="180" w:rightFromText="180" w:vertAnchor="text" w:horzAnchor="page" w:tblpX="1792" w:tblpY="231"/>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249"/>
        <w:gridCol w:w="913"/>
        <w:gridCol w:w="1305"/>
        <w:gridCol w:w="420"/>
        <w:gridCol w:w="928"/>
        <w:gridCol w:w="419"/>
        <w:gridCol w:w="797"/>
        <w:gridCol w:w="507"/>
        <w:gridCol w:w="415"/>
        <w:gridCol w:w="1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项目名称</w:t>
            </w:r>
          </w:p>
        </w:tc>
        <w:tc>
          <w:tcPr>
            <w:tcW w:w="39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51080022T000005058708-加班费等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0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主管部门</w:t>
            </w:r>
          </w:p>
        </w:tc>
        <w:tc>
          <w:tcPr>
            <w:tcW w:w="21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剑阁县人民检察院部门</w:t>
            </w:r>
          </w:p>
        </w:tc>
        <w:tc>
          <w:tcPr>
            <w:tcW w:w="439"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 （盖章）</w:t>
            </w:r>
          </w:p>
        </w:tc>
        <w:tc>
          <w:tcPr>
            <w:tcW w:w="133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剑阁县人民检察院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项目基本情况</w:t>
            </w: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1.项目年度目标完成情况</w:t>
            </w:r>
          </w:p>
        </w:tc>
        <w:tc>
          <w:tcPr>
            <w:tcW w:w="21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项目年度目标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219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保障人员经费，促进工作效率。</w:t>
            </w:r>
          </w:p>
        </w:tc>
        <w:tc>
          <w:tcPr>
            <w:tcW w:w="177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保障人员经费，促进工作效率。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6"/>
                <w:szCs w:val="16"/>
                <w:u w:val="none"/>
                <w:lang w:val="en-US" w:eastAsia="zh-CN" w:bidi="ar"/>
              </w:rPr>
            </w:pPr>
            <w:r>
              <w:rPr>
                <w:rFonts w:ascii="宋体" w:hAnsi="宋体" w:eastAsia="宋体" w:cs="宋体"/>
                <w:i w:val="0"/>
                <w:iCs w:val="0"/>
                <w:color w:val="000000"/>
                <w:kern w:val="0"/>
                <w:sz w:val="16"/>
                <w:szCs w:val="16"/>
                <w:u w:val="none"/>
                <w:lang w:val="en-US" w:eastAsia="zh-CN" w:bidi="ar"/>
              </w:rPr>
              <w:t>2.项目实施内容及过程概述</w:t>
            </w:r>
          </w:p>
        </w:tc>
        <w:tc>
          <w:tcPr>
            <w:tcW w:w="397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保障人员经费，促进工作效率。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20.39</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20.39</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20.39</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20.39</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19.89</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97.58%</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45人</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45人</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12月</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宋体" w:hAnsi="宋体" w:eastAsia="宋体" w:cs="宋体"/>
                <w:i w:val="0"/>
                <w:iCs w:val="0"/>
                <w:color w:val="000000"/>
                <w:sz w:val="16"/>
                <w:szCs w:val="16"/>
                <w:u w:val="none"/>
                <w:lang w:val="en-US"/>
              </w:rPr>
            </w:pPr>
            <w:r>
              <w:rPr>
                <w:rFonts w:hint="eastAsia" w:ascii="宋体" w:hAnsi="宋体" w:cs="宋体"/>
                <w:i w:val="0"/>
                <w:iCs w:val="0"/>
                <w:color w:val="000000"/>
                <w:kern w:val="0"/>
                <w:sz w:val="16"/>
                <w:szCs w:val="16"/>
                <w:u w:val="none"/>
                <w:lang w:val="en-US" w:eastAsia="zh-CN" w:bidi="ar"/>
              </w:rPr>
              <w:t>20.38万元</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hint="default" w:ascii="微软雅黑" w:hAnsi="微软雅黑" w:eastAsia="微软雅黑" w:cs="微软雅黑"/>
                <w:i/>
                <w:iCs/>
                <w:color w:val="000000"/>
                <w:sz w:val="16"/>
                <w:szCs w:val="16"/>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强化法律监督</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净化社会生态</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66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eastAsia="zh-CN" w:bidi="ar"/>
              </w:rPr>
              <w:t>9</w:t>
            </w:r>
            <w:r>
              <w:rPr>
                <w:rFonts w:ascii="宋体" w:hAnsi="宋体" w:eastAsia="宋体" w:cs="宋体"/>
                <w:i w:val="0"/>
                <w:iCs w:val="0"/>
                <w:color w:val="000000"/>
                <w:kern w:val="0"/>
                <w:sz w:val="18"/>
                <w:szCs w:val="18"/>
                <w:u w:val="none"/>
                <w:lang w:val="en-US" w:eastAsia="zh-CN" w:bidi="ar"/>
              </w:rPr>
              <w:t>9</w:t>
            </w:r>
          </w:p>
        </w:tc>
        <w:tc>
          <w:tcPr>
            <w:tcW w:w="8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加班费等项目自评得分99分，基本完成预定目标，达到了预期效果，项目效益明显。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根据自评情况，未发现政策与实际需求层面、程序与实际执行不相符等方面的问题。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4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w:t>
            </w:r>
          </w:p>
        </w:tc>
        <w:tc>
          <w:tcPr>
            <w:tcW w:w="252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财务负责人：黄莉</w:t>
            </w:r>
          </w:p>
        </w:tc>
      </w:tr>
    </w:tbl>
    <w:tbl>
      <w:tblPr>
        <w:tblStyle w:val="17"/>
        <w:tblpPr w:leftFromText="180" w:rightFromText="180" w:vertAnchor="text" w:horzAnchor="page" w:tblpX="1658" w:tblpY="95"/>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00"/>
        <w:gridCol w:w="1023"/>
        <w:gridCol w:w="1336"/>
        <w:gridCol w:w="397"/>
        <w:gridCol w:w="959"/>
        <w:gridCol w:w="397"/>
        <w:gridCol w:w="759"/>
        <w:gridCol w:w="486"/>
        <w:gridCol w:w="397"/>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51080022T000005059632-县委政府中心工作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剑阁县人民检察院部门</w:t>
            </w:r>
          </w:p>
        </w:tc>
        <w:tc>
          <w:tcPr>
            <w:tcW w:w="417"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剑阁县人民检察院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协助做好县委政府安排的中心工作。</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协助做好县委政府安排的中心工作。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协助做好县委政府安排的中心工作。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6.68</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99.15%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较好完成县委政府中心工作</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67400元</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6.68万元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强化法律监督</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净化社会生态</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eastAsia="zh-CN" w:bidi="ar"/>
              </w:rPr>
              <w:t>9</w:t>
            </w:r>
            <w:r>
              <w:rPr>
                <w:rFonts w:ascii="宋体" w:hAnsi="宋体" w:eastAsia="宋体" w:cs="宋体"/>
                <w:i w:val="0"/>
                <w:iCs w:val="0"/>
                <w:color w:val="000000"/>
                <w:kern w:val="0"/>
                <w:sz w:val="18"/>
                <w:szCs w:val="18"/>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县委政府中心工作项目自评得分98分，基本完成预定目标，达到了预期效果，项目效益明显。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根据自评情况，未发现政策与实际需求层面、程序与实际执行不相符等方面的问题。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w:t>
            </w:r>
          </w:p>
        </w:tc>
        <w:tc>
          <w:tcPr>
            <w:tcW w:w="24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财务负责人：黄莉</w:t>
            </w:r>
          </w:p>
        </w:tc>
      </w:tr>
    </w:tbl>
    <w:tbl>
      <w:tblPr>
        <w:tblStyle w:val="17"/>
        <w:tblpPr w:leftFromText="180" w:rightFromText="180" w:vertAnchor="text" w:horzAnchor="page" w:tblpX="1592" w:tblpY="17"/>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1097"/>
        <w:gridCol w:w="1170"/>
        <w:gridCol w:w="1550"/>
        <w:gridCol w:w="416"/>
        <w:gridCol w:w="578"/>
        <w:gridCol w:w="399"/>
        <w:gridCol w:w="957"/>
        <w:gridCol w:w="566"/>
        <w:gridCol w:w="484"/>
        <w:gridCol w:w="11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2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51080022T000005134189-广元市预防职务犯罪警示教育（剑阁）基地运行维修费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剑阁县人民检察院部门</w:t>
            </w:r>
          </w:p>
        </w:tc>
        <w:tc>
          <w:tcPr>
            <w:tcW w:w="528"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 （盖章）</w:t>
            </w:r>
          </w:p>
        </w:tc>
        <w:tc>
          <w:tcPr>
            <w:tcW w:w="12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剑阁县人民检察院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保障广元市预防职务犯罪警示教育（剑阁）基地正常运转。</w:t>
            </w:r>
          </w:p>
        </w:tc>
        <w:tc>
          <w:tcPr>
            <w:tcW w:w="175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保障广元市预防职务犯罪警示教育（剑阁）基地正常运转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2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保障广元市预防职务犯罪警示教育（剑阁）基地正常运转。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92.93%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6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13.48</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92.93%</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保障基地正常运转</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2022年12月31日前</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145000元</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13.47万元</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宣传廉洁警示教育，净化政治空气</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确保基地设备正常运转</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达到对广大干部群众职务犯罪警示教育的目的</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8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77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default" w:ascii="宋体" w:hAnsi="宋体" w:eastAsia="宋体" w:cs="宋体"/>
                <w:i w:val="0"/>
                <w:iCs w:val="0"/>
                <w:color w:val="000000"/>
                <w:sz w:val="18"/>
                <w:szCs w:val="18"/>
                <w:u w:val="none"/>
              </w:rPr>
            </w:pPr>
            <w:r>
              <w:rPr>
                <w:rFonts w:ascii="宋体" w:hAnsi="宋体" w:cs="宋体"/>
                <w:i w:val="0"/>
                <w:iCs w:val="0"/>
                <w:color w:val="000000"/>
                <w:sz w:val="18"/>
                <w:szCs w:val="18"/>
                <w:u w:val="none"/>
              </w:rPr>
              <w:t>97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广元市预防职务犯罪警示教育（剑阁）基地运行维修费项目自评得分97分，基本完成预定目标，达到了预期效果，项目效益明显。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存在问题</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根据自评情况，未发现政策与实际需求层面、程序与实际执行不相符等方面的问题。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改进措施</w:t>
            </w:r>
          </w:p>
        </w:tc>
        <w:tc>
          <w:tcPr>
            <w:tcW w:w="462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w:t>
            </w:r>
          </w:p>
        </w:tc>
        <w:tc>
          <w:tcPr>
            <w:tcW w:w="22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财务负责人：黄莉</w:t>
            </w:r>
          </w:p>
        </w:tc>
      </w:tr>
    </w:tbl>
    <w:tbl>
      <w:tblPr>
        <w:tblStyle w:val="17"/>
        <w:tblpPr w:leftFromText="180" w:rightFromText="180" w:vertAnchor="text" w:horzAnchor="page" w:tblpX="1625" w:tblpY="7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200"/>
        <w:gridCol w:w="1023"/>
        <w:gridCol w:w="1336"/>
        <w:gridCol w:w="397"/>
        <w:gridCol w:w="959"/>
        <w:gridCol w:w="397"/>
        <w:gridCol w:w="759"/>
        <w:gridCol w:w="486"/>
        <w:gridCol w:w="397"/>
        <w:gridCol w:w="15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51080022T000005134418-办公大楼及附属设施运行维护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9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剑阁县人民检察院部门</w:t>
            </w:r>
          </w:p>
        </w:tc>
        <w:tc>
          <w:tcPr>
            <w:tcW w:w="417"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 （盖章）</w:t>
            </w:r>
          </w:p>
        </w:tc>
        <w:tc>
          <w:tcPr>
            <w:tcW w:w="1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剑阁县人民检察院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26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保障办公大楼及附属设施正常运行。</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保障办公大楼及附属设施正常运行。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19"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保障办公大楼及附属设施正常运行。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23.66</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96.58%</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维修维护符合标准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2022年12月31日前</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12月</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245000元</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23.66万元</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效果指标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保障机关正常运转</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可持续运转</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为检察业务工作提供保障</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6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eastAsia="zh-CN" w:bidi="ar"/>
              </w:rPr>
              <w:t>9</w:t>
            </w:r>
            <w:r>
              <w:rPr>
                <w:rFonts w:ascii="宋体" w:hAnsi="宋体" w:eastAsia="宋体" w:cs="宋体"/>
                <w:i w:val="0"/>
                <w:iCs w:val="0"/>
                <w:color w:val="000000"/>
                <w:kern w:val="0"/>
                <w:sz w:val="18"/>
                <w:szCs w:val="18"/>
                <w:u w:val="none"/>
                <w:lang w:val="en-US" w:eastAsia="zh-CN" w:bidi="ar"/>
              </w:rPr>
              <w:t>8</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办公大楼及附属设施运行维护项目自评得分98分，办公大楼及附属设施运行维护项目基本完成预定目标，达到了预期效果，项目效益明显。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根据自评情况，未发现政策与实际需求层面、程序与实际执行不相符等方面的问题。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5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w:t>
            </w:r>
          </w:p>
        </w:tc>
        <w:tc>
          <w:tcPr>
            <w:tcW w:w="249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财务负责人：黄莉</w:t>
            </w:r>
          </w:p>
        </w:tc>
      </w:tr>
    </w:tbl>
    <w:tbl>
      <w:tblPr>
        <w:tblStyle w:val="17"/>
        <w:tblpPr w:leftFromText="180" w:rightFromText="180" w:vertAnchor="text" w:horzAnchor="page" w:tblpX="1592" w:tblpY="66"/>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48"/>
        <w:gridCol w:w="970"/>
        <w:gridCol w:w="1284"/>
        <w:gridCol w:w="396"/>
        <w:gridCol w:w="907"/>
        <w:gridCol w:w="396"/>
        <w:gridCol w:w="846"/>
        <w:gridCol w:w="576"/>
        <w:gridCol w:w="487"/>
        <w:gridCol w:w="14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95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剑阁县人民检察院部门</w:t>
            </w:r>
          </w:p>
        </w:tc>
        <w:tc>
          <w:tcPr>
            <w:tcW w:w="466"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实施单位 （盖章）</w:t>
            </w:r>
          </w:p>
        </w:tc>
        <w:tc>
          <w:tcPr>
            <w:tcW w:w="13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剑阁县人民检察院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21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8"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保障单位日常运转，提高预算编制质量，严格执行预算。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8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9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3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预算编制准确率（计算方法为：∣（执行数-预算数）/预算数∣）</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3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运转保障率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3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6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53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8"/>
                <w:szCs w:val="18"/>
                <w:u w:val="none"/>
              </w:rPr>
            </w:pPr>
          </w:p>
        </w:tc>
        <w:tc>
          <w:tcPr>
            <w:tcW w:w="7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100</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100</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22.5</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36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ascii="宋体" w:hAnsi="宋体" w:eastAsia="宋体" w:cs="宋体"/>
                <w:i w:val="0"/>
                <w:iCs w:val="0"/>
                <w:color w:val="000000"/>
                <w:sz w:val="18"/>
                <w:szCs w:val="18"/>
                <w:u w:val="none"/>
              </w:rPr>
            </w:pPr>
            <w:r>
              <w:rPr>
                <w:rFonts w:ascii="宋体" w:hAnsi="宋体" w:cs="宋体"/>
                <w:i w:val="0"/>
                <w:iCs w:val="0"/>
                <w:color w:val="000000"/>
                <w:kern w:val="0"/>
                <w:sz w:val="18"/>
                <w:szCs w:val="18"/>
                <w:u w:val="none"/>
                <w:lang w:eastAsia="zh-CN" w:bidi="ar"/>
              </w:rPr>
              <w:t>10</w:t>
            </w:r>
            <w:r>
              <w:rPr>
                <w:rFonts w:ascii="宋体" w:hAnsi="宋体" w:eastAsia="宋体" w:cs="宋体"/>
                <w:i w:val="0"/>
                <w:iCs w:val="0"/>
                <w:color w:val="000000"/>
                <w:kern w:val="0"/>
                <w:sz w:val="18"/>
                <w:szCs w:val="18"/>
                <w:u w:val="none"/>
                <w:lang w:val="en-US" w:eastAsia="zh-CN" w:bidi="ar"/>
              </w:rPr>
              <w:t>0</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定额公用经费（事业）自评得分100分，基本完成预定目标，达到了预期效果，项目效益明显。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根据自评情况，未发现政策与实际需求层面、程序与实际执行不相符等方面的问题。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8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1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w:t>
            </w:r>
          </w:p>
        </w:tc>
        <w:tc>
          <w:tcPr>
            <w:tcW w:w="258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财务负责人：黄莉</w:t>
            </w:r>
          </w:p>
        </w:tc>
      </w:tr>
    </w:tbl>
    <w:p>
      <w:pPr>
        <w:spacing w:line="600" w:lineRule="exact"/>
        <w:jc w:val="center"/>
        <w:outlineLvl w:val="0"/>
        <w:rPr>
          <w:rFonts w:hint="eastAsia" w:ascii="仿宋" w:hAnsi="仿宋" w:eastAsia="仿宋"/>
          <w:b w:val="0"/>
          <w:color w:val="auto"/>
          <w:highlight w:val="none"/>
        </w:rPr>
      </w:pPr>
      <w:bookmarkStart w:id="90" w:name="_Toc15396618"/>
      <w:bookmarkStart w:id="91" w:name="_Toc30027"/>
      <w:r>
        <w:rPr>
          <w:rFonts w:hint="eastAsia" w:ascii="黑体" w:hAnsi="黑体" w:eastAsia="黑体"/>
          <w:color w:val="auto"/>
          <w:sz w:val="44"/>
          <w:szCs w:val="44"/>
          <w:highlight w:val="none"/>
        </w:rPr>
        <w:t>第</w:t>
      </w:r>
      <w:r>
        <w:rPr>
          <w:rStyle w:val="21"/>
          <w:rFonts w:hint="eastAsia" w:ascii="黑体" w:hAnsi="黑体" w:eastAsia="黑体"/>
          <w:b w:val="0"/>
          <w:color w:val="auto"/>
          <w:highlight w:val="none"/>
        </w:rPr>
        <w:t>五部分 附表</w:t>
      </w:r>
      <w:bookmarkEnd w:id="83"/>
      <w:bookmarkEnd w:id="90"/>
      <w:bookmarkEnd w:id="91"/>
      <w:bookmarkStart w:id="92" w:name="_Toc15396619"/>
    </w:p>
    <w:p>
      <w:pPr>
        <w:pStyle w:val="4"/>
        <w:rPr>
          <w:rFonts w:hint="eastAsia" w:ascii="仿宋_GB2312" w:hAnsi="仿宋_GB2312" w:eastAsia="仿宋_GB2312" w:cs="仿宋_GB2312"/>
          <w:color w:val="auto"/>
          <w:highlight w:val="none"/>
        </w:rPr>
      </w:pPr>
      <w:bookmarkStart w:id="93" w:name="_Toc6884"/>
      <w:r>
        <w:rPr>
          <w:rFonts w:hint="eastAsia" w:ascii="仿宋_GB2312" w:hAnsi="仿宋_GB2312" w:eastAsia="仿宋_GB2312" w:cs="仿宋_GB2312"/>
          <w:b w:val="0"/>
          <w:color w:val="auto"/>
          <w:highlight w:val="none"/>
        </w:rPr>
        <w:t>一、收</w:t>
      </w:r>
      <w:r>
        <w:rPr>
          <w:rStyle w:val="22"/>
          <w:rFonts w:hint="eastAsia" w:ascii="仿宋_GB2312" w:hAnsi="仿宋_GB2312" w:eastAsia="仿宋_GB2312" w:cs="仿宋_GB2312"/>
          <w:b w:val="0"/>
          <w:bCs w:val="0"/>
          <w:color w:val="auto"/>
          <w:highlight w:val="none"/>
        </w:rPr>
        <w:t>入支出决算总表</w:t>
      </w:r>
      <w:bookmarkEnd w:id="92"/>
      <w:bookmarkEnd w:id="93"/>
    </w:p>
    <w:p>
      <w:pPr>
        <w:pStyle w:val="4"/>
        <w:rPr>
          <w:rFonts w:hint="eastAsia" w:ascii="仿宋_GB2312" w:hAnsi="仿宋_GB2312" w:eastAsia="仿宋_GB2312" w:cs="仿宋_GB2312"/>
          <w:color w:val="auto"/>
          <w:highlight w:val="none"/>
        </w:rPr>
      </w:pPr>
      <w:bookmarkStart w:id="94" w:name="_Toc15396620"/>
      <w:bookmarkStart w:id="95" w:name="_Toc16745"/>
      <w:r>
        <w:rPr>
          <w:rFonts w:hint="eastAsia" w:ascii="仿宋_GB2312" w:hAnsi="仿宋_GB2312" w:eastAsia="仿宋_GB2312" w:cs="仿宋_GB2312"/>
          <w:b w:val="0"/>
          <w:color w:val="auto"/>
          <w:highlight w:val="none"/>
        </w:rPr>
        <w:t>二、收</w:t>
      </w:r>
      <w:r>
        <w:rPr>
          <w:rStyle w:val="22"/>
          <w:rFonts w:hint="eastAsia" w:ascii="仿宋_GB2312" w:hAnsi="仿宋_GB2312" w:eastAsia="仿宋_GB2312" w:cs="仿宋_GB2312"/>
          <w:b w:val="0"/>
          <w:bCs w:val="0"/>
          <w:color w:val="auto"/>
          <w:highlight w:val="none"/>
        </w:rPr>
        <w:t>入决算表</w:t>
      </w:r>
      <w:bookmarkEnd w:id="94"/>
      <w:bookmarkEnd w:id="95"/>
    </w:p>
    <w:p>
      <w:pPr>
        <w:pStyle w:val="4"/>
        <w:rPr>
          <w:rFonts w:hint="eastAsia" w:ascii="仿宋_GB2312" w:hAnsi="仿宋_GB2312" w:eastAsia="仿宋_GB2312" w:cs="仿宋_GB2312"/>
          <w:color w:val="auto"/>
          <w:highlight w:val="none"/>
        </w:rPr>
      </w:pPr>
      <w:bookmarkStart w:id="96" w:name="_Toc15396621"/>
      <w:bookmarkStart w:id="97" w:name="_Toc25756"/>
      <w:r>
        <w:rPr>
          <w:rStyle w:val="22"/>
          <w:rFonts w:hint="eastAsia" w:ascii="仿宋_GB2312" w:hAnsi="仿宋_GB2312" w:eastAsia="仿宋_GB2312" w:cs="仿宋_GB2312"/>
          <w:b w:val="0"/>
          <w:bCs w:val="0"/>
          <w:color w:val="auto"/>
          <w:highlight w:val="none"/>
        </w:rPr>
        <w:t>三、</w:t>
      </w:r>
      <w:r>
        <w:rPr>
          <w:rFonts w:hint="eastAsia" w:ascii="仿宋_GB2312" w:hAnsi="仿宋_GB2312" w:eastAsia="仿宋_GB2312" w:cs="仿宋_GB2312"/>
          <w:b w:val="0"/>
          <w:color w:val="auto"/>
          <w:highlight w:val="none"/>
        </w:rPr>
        <w:t>支</w:t>
      </w:r>
      <w:r>
        <w:rPr>
          <w:rStyle w:val="22"/>
          <w:rFonts w:hint="eastAsia" w:ascii="仿宋_GB2312" w:hAnsi="仿宋_GB2312" w:eastAsia="仿宋_GB2312" w:cs="仿宋_GB2312"/>
          <w:b w:val="0"/>
          <w:bCs w:val="0"/>
          <w:color w:val="auto"/>
          <w:highlight w:val="none"/>
        </w:rPr>
        <w:t>出决算表</w:t>
      </w:r>
      <w:bookmarkEnd w:id="96"/>
      <w:bookmarkEnd w:id="97"/>
    </w:p>
    <w:p>
      <w:pPr>
        <w:pStyle w:val="4"/>
        <w:rPr>
          <w:rFonts w:hint="eastAsia" w:ascii="仿宋_GB2312" w:hAnsi="仿宋_GB2312" w:eastAsia="仿宋_GB2312" w:cs="仿宋_GB2312"/>
          <w:b w:val="0"/>
          <w:color w:val="auto"/>
          <w:highlight w:val="none"/>
        </w:rPr>
      </w:pPr>
      <w:bookmarkStart w:id="98" w:name="_Toc15396622"/>
      <w:bookmarkStart w:id="99" w:name="_Toc24750"/>
      <w:r>
        <w:rPr>
          <w:rStyle w:val="22"/>
          <w:rFonts w:hint="eastAsia" w:ascii="仿宋_GB2312" w:hAnsi="仿宋_GB2312" w:eastAsia="仿宋_GB2312" w:cs="仿宋_GB2312"/>
          <w:b w:val="0"/>
          <w:bCs w:val="0"/>
          <w:color w:val="auto"/>
          <w:highlight w:val="none"/>
        </w:rPr>
        <w:t>四、</w:t>
      </w:r>
      <w:r>
        <w:rPr>
          <w:rFonts w:hint="eastAsia" w:ascii="仿宋_GB2312" w:hAnsi="仿宋_GB2312" w:eastAsia="仿宋_GB2312" w:cs="仿宋_GB2312"/>
          <w:b w:val="0"/>
          <w:color w:val="auto"/>
          <w:highlight w:val="none"/>
        </w:rPr>
        <w:t>财</w:t>
      </w:r>
      <w:r>
        <w:rPr>
          <w:rStyle w:val="22"/>
          <w:rFonts w:hint="eastAsia" w:ascii="仿宋_GB2312" w:hAnsi="仿宋_GB2312" w:eastAsia="仿宋_GB2312" w:cs="仿宋_GB2312"/>
          <w:b w:val="0"/>
          <w:bCs w:val="0"/>
          <w:color w:val="auto"/>
          <w:highlight w:val="none"/>
        </w:rPr>
        <w:t>政拨款收入支出决算总表</w:t>
      </w:r>
      <w:bookmarkEnd w:id="98"/>
      <w:bookmarkEnd w:id="99"/>
    </w:p>
    <w:p>
      <w:pPr>
        <w:pStyle w:val="4"/>
        <w:rPr>
          <w:rStyle w:val="22"/>
          <w:rFonts w:hint="eastAsia" w:ascii="仿宋_GB2312" w:hAnsi="仿宋_GB2312" w:eastAsia="仿宋_GB2312" w:cs="仿宋_GB2312"/>
          <w:b w:val="0"/>
          <w:bCs w:val="0"/>
          <w:color w:val="auto"/>
          <w:highlight w:val="none"/>
        </w:rPr>
      </w:pPr>
      <w:bookmarkStart w:id="100" w:name="_Toc32168"/>
      <w:bookmarkStart w:id="101" w:name="_Toc15396623"/>
      <w:r>
        <w:rPr>
          <w:rStyle w:val="22"/>
          <w:rFonts w:hint="eastAsia" w:ascii="仿宋_GB2312" w:hAnsi="仿宋_GB2312" w:eastAsia="仿宋_GB2312" w:cs="仿宋_GB2312"/>
          <w:b w:val="0"/>
          <w:bCs w:val="0"/>
          <w:color w:val="auto"/>
          <w:highlight w:val="none"/>
        </w:rPr>
        <w:t>五、</w:t>
      </w:r>
      <w:r>
        <w:rPr>
          <w:rFonts w:hint="eastAsia" w:ascii="仿宋_GB2312" w:hAnsi="仿宋_GB2312" w:eastAsia="仿宋_GB2312" w:cs="仿宋_GB2312"/>
          <w:b w:val="0"/>
          <w:color w:val="auto"/>
          <w:highlight w:val="none"/>
        </w:rPr>
        <w:t>财</w:t>
      </w:r>
      <w:r>
        <w:rPr>
          <w:rStyle w:val="22"/>
          <w:rFonts w:hint="eastAsia" w:ascii="仿宋_GB2312" w:hAnsi="仿宋_GB2312" w:eastAsia="仿宋_GB2312" w:cs="仿宋_GB2312"/>
          <w:b w:val="0"/>
          <w:bCs w:val="0"/>
          <w:color w:val="auto"/>
          <w:highlight w:val="none"/>
        </w:rPr>
        <w:t>政拨款支出决算明细表</w:t>
      </w:r>
      <w:bookmarkEnd w:id="100"/>
      <w:bookmarkEnd w:id="101"/>
      <w:bookmarkStart w:id="102" w:name="_Toc15396624"/>
    </w:p>
    <w:p>
      <w:pPr>
        <w:pStyle w:val="4"/>
        <w:rPr>
          <w:rFonts w:hint="eastAsia" w:ascii="仿宋_GB2312" w:hAnsi="仿宋_GB2312" w:eastAsia="仿宋_GB2312" w:cs="仿宋_GB2312"/>
          <w:color w:val="auto"/>
          <w:highlight w:val="none"/>
        </w:rPr>
      </w:pPr>
      <w:bookmarkStart w:id="103" w:name="_Toc27803"/>
      <w:r>
        <w:rPr>
          <w:rStyle w:val="22"/>
          <w:rFonts w:hint="eastAsia" w:ascii="仿宋_GB2312" w:hAnsi="仿宋_GB2312" w:eastAsia="仿宋_GB2312" w:cs="仿宋_GB2312"/>
          <w:b w:val="0"/>
          <w:bCs w:val="0"/>
          <w:color w:val="auto"/>
          <w:highlight w:val="none"/>
        </w:rPr>
        <w:t>六、</w:t>
      </w:r>
      <w:r>
        <w:rPr>
          <w:rFonts w:hint="eastAsia" w:ascii="仿宋_GB2312" w:hAnsi="仿宋_GB2312" w:eastAsia="仿宋_GB2312" w:cs="仿宋_GB2312"/>
          <w:b w:val="0"/>
          <w:color w:val="auto"/>
          <w:highlight w:val="none"/>
        </w:rPr>
        <w:t>一</w:t>
      </w:r>
      <w:r>
        <w:rPr>
          <w:rStyle w:val="22"/>
          <w:rFonts w:hint="eastAsia" w:ascii="仿宋_GB2312" w:hAnsi="仿宋_GB2312" w:eastAsia="仿宋_GB2312" w:cs="仿宋_GB2312"/>
          <w:b w:val="0"/>
          <w:bCs w:val="0"/>
          <w:color w:val="auto"/>
          <w:highlight w:val="none"/>
        </w:rPr>
        <w:t>般公共预算财政拨款支出决算表</w:t>
      </w:r>
      <w:bookmarkEnd w:id="102"/>
      <w:bookmarkEnd w:id="103"/>
    </w:p>
    <w:p>
      <w:pPr>
        <w:pStyle w:val="4"/>
        <w:rPr>
          <w:rFonts w:hint="eastAsia" w:ascii="仿宋_GB2312" w:hAnsi="仿宋_GB2312" w:eastAsia="仿宋_GB2312" w:cs="仿宋_GB2312"/>
          <w:color w:val="auto"/>
          <w:highlight w:val="none"/>
        </w:rPr>
      </w:pPr>
      <w:bookmarkStart w:id="104" w:name="_Toc8653"/>
      <w:bookmarkStart w:id="105" w:name="_Toc15396625"/>
      <w:r>
        <w:rPr>
          <w:rStyle w:val="22"/>
          <w:rFonts w:hint="eastAsia" w:ascii="仿宋_GB2312" w:hAnsi="仿宋_GB2312" w:eastAsia="仿宋_GB2312" w:cs="仿宋_GB2312"/>
          <w:b w:val="0"/>
          <w:bCs w:val="0"/>
          <w:color w:val="auto"/>
          <w:highlight w:val="none"/>
        </w:rPr>
        <w:t>七、</w:t>
      </w:r>
      <w:r>
        <w:rPr>
          <w:rFonts w:hint="eastAsia" w:ascii="仿宋_GB2312" w:hAnsi="仿宋_GB2312" w:eastAsia="仿宋_GB2312" w:cs="仿宋_GB2312"/>
          <w:b w:val="0"/>
          <w:color w:val="auto"/>
          <w:highlight w:val="none"/>
        </w:rPr>
        <w:t>一</w:t>
      </w:r>
      <w:r>
        <w:rPr>
          <w:rStyle w:val="22"/>
          <w:rFonts w:hint="eastAsia" w:ascii="仿宋_GB2312" w:hAnsi="仿宋_GB2312" w:eastAsia="仿宋_GB2312" w:cs="仿宋_GB2312"/>
          <w:b w:val="0"/>
          <w:bCs w:val="0"/>
          <w:color w:val="auto"/>
          <w:highlight w:val="none"/>
        </w:rPr>
        <w:t>般公共预算财政拨款支出决算明细表</w:t>
      </w:r>
      <w:bookmarkEnd w:id="104"/>
      <w:bookmarkEnd w:id="105"/>
    </w:p>
    <w:p>
      <w:pPr>
        <w:pStyle w:val="4"/>
        <w:rPr>
          <w:rFonts w:hint="eastAsia" w:ascii="仿宋_GB2312" w:hAnsi="仿宋_GB2312" w:eastAsia="仿宋_GB2312" w:cs="仿宋_GB2312"/>
          <w:color w:val="auto"/>
          <w:highlight w:val="none"/>
        </w:rPr>
      </w:pPr>
      <w:bookmarkStart w:id="106" w:name="_Toc15396626"/>
      <w:bookmarkStart w:id="107" w:name="_Toc16644"/>
      <w:r>
        <w:rPr>
          <w:rStyle w:val="22"/>
          <w:rFonts w:hint="eastAsia" w:ascii="仿宋_GB2312" w:hAnsi="仿宋_GB2312" w:eastAsia="仿宋_GB2312" w:cs="仿宋_GB2312"/>
          <w:b w:val="0"/>
          <w:bCs w:val="0"/>
          <w:color w:val="auto"/>
          <w:highlight w:val="none"/>
        </w:rPr>
        <w:t>八、</w:t>
      </w:r>
      <w:r>
        <w:rPr>
          <w:rFonts w:hint="eastAsia" w:ascii="仿宋_GB2312" w:hAnsi="仿宋_GB2312" w:eastAsia="仿宋_GB2312" w:cs="仿宋_GB2312"/>
          <w:b w:val="0"/>
          <w:color w:val="auto"/>
          <w:highlight w:val="none"/>
        </w:rPr>
        <w:t>一</w:t>
      </w:r>
      <w:r>
        <w:rPr>
          <w:rStyle w:val="22"/>
          <w:rFonts w:hint="eastAsia" w:ascii="仿宋_GB2312" w:hAnsi="仿宋_GB2312" w:eastAsia="仿宋_GB2312" w:cs="仿宋_GB2312"/>
          <w:b w:val="0"/>
          <w:bCs w:val="0"/>
          <w:color w:val="auto"/>
          <w:highlight w:val="none"/>
        </w:rPr>
        <w:t>般公共预算财政拨款基本支出决算表</w:t>
      </w:r>
      <w:bookmarkEnd w:id="106"/>
      <w:bookmarkEnd w:id="107"/>
    </w:p>
    <w:p>
      <w:pPr>
        <w:pStyle w:val="4"/>
        <w:rPr>
          <w:rFonts w:hint="eastAsia" w:ascii="仿宋_GB2312" w:hAnsi="仿宋_GB2312" w:eastAsia="仿宋_GB2312" w:cs="仿宋_GB2312"/>
          <w:color w:val="auto"/>
          <w:highlight w:val="none"/>
        </w:rPr>
      </w:pPr>
      <w:bookmarkStart w:id="108" w:name="_Toc6191"/>
      <w:bookmarkStart w:id="109" w:name="_Toc15396627"/>
      <w:r>
        <w:rPr>
          <w:rStyle w:val="22"/>
          <w:rFonts w:hint="eastAsia" w:ascii="仿宋_GB2312" w:hAnsi="仿宋_GB2312" w:eastAsia="仿宋_GB2312" w:cs="仿宋_GB2312"/>
          <w:b w:val="0"/>
          <w:bCs w:val="0"/>
          <w:color w:val="auto"/>
          <w:highlight w:val="none"/>
        </w:rPr>
        <w:t>九、</w:t>
      </w:r>
      <w:r>
        <w:rPr>
          <w:rFonts w:hint="eastAsia" w:ascii="仿宋_GB2312" w:hAnsi="仿宋_GB2312" w:eastAsia="仿宋_GB2312" w:cs="仿宋_GB2312"/>
          <w:b w:val="0"/>
          <w:color w:val="auto"/>
          <w:highlight w:val="none"/>
        </w:rPr>
        <w:t>一</w:t>
      </w:r>
      <w:r>
        <w:rPr>
          <w:rStyle w:val="22"/>
          <w:rFonts w:hint="eastAsia" w:ascii="仿宋_GB2312" w:hAnsi="仿宋_GB2312" w:eastAsia="仿宋_GB2312" w:cs="仿宋_GB2312"/>
          <w:b w:val="0"/>
          <w:bCs w:val="0"/>
          <w:color w:val="auto"/>
          <w:highlight w:val="none"/>
        </w:rPr>
        <w:t>般公共预算财政拨款项目支出决算表</w:t>
      </w:r>
      <w:bookmarkEnd w:id="108"/>
      <w:bookmarkEnd w:id="109"/>
    </w:p>
    <w:p>
      <w:pPr>
        <w:pStyle w:val="4"/>
        <w:rPr>
          <w:rFonts w:hint="eastAsia" w:ascii="仿宋_GB2312" w:hAnsi="仿宋_GB2312" w:eastAsia="仿宋_GB2312" w:cs="仿宋_GB2312"/>
          <w:color w:val="auto"/>
          <w:highlight w:val="none"/>
        </w:rPr>
      </w:pPr>
      <w:bookmarkStart w:id="110" w:name="_Toc15396628"/>
      <w:bookmarkStart w:id="111" w:name="_Toc24747"/>
      <w:r>
        <w:rPr>
          <w:rStyle w:val="22"/>
          <w:rFonts w:hint="eastAsia" w:ascii="仿宋_GB2312" w:hAnsi="仿宋_GB2312" w:eastAsia="仿宋_GB2312" w:cs="仿宋_GB2312"/>
          <w:b w:val="0"/>
          <w:bCs w:val="0"/>
          <w:color w:val="auto"/>
          <w:highlight w:val="none"/>
        </w:rPr>
        <w:t>十、</w:t>
      </w:r>
      <w:bookmarkEnd w:id="110"/>
      <w:r>
        <w:rPr>
          <w:rFonts w:hint="eastAsia" w:ascii="仿宋_GB2312" w:hAnsi="仿宋_GB2312" w:eastAsia="仿宋_GB2312" w:cs="仿宋_GB2312"/>
          <w:b w:val="0"/>
          <w:color w:val="auto"/>
          <w:highlight w:val="none"/>
        </w:rPr>
        <w:t>政</w:t>
      </w:r>
      <w:r>
        <w:rPr>
          <w:rStyle w:val="22"/>
          <w:rFonts w:hint="eastAsia" w:ascii="仿宋_GB2312" w:hAnsi="仿宋_GB2312" w:eastAsia="仿宋_GB2312" w:cs="仿宋_GB2312"/>
          <w:b w:val="0"/>
          <w:bCs w:val="0"/>
          <w:color w:val="auto"/>
          <w:highlight w:val="none"/>
        </w:rPr>
        <w:t>府性基金预算财政拨款收入支出决算表</w:t>
      </w:r>
      <w:bookmarkEnd w:id="111"/>
    </w:p>
    <w:p>
      <w:pPr>
        <w:pStyle w:val="4"/>
        <w:rPr>
          <w:rFonts w:hint="eastAsia" w:ascii="仿宋_GB2312" w:hAnsi="仿宋_GB2312" w:eastAsia="仿宋_GB2312" w:cs="仿宋_GB2312"/>
          <w:color w:val="auto"/>
          <w:highlight w:val="none"/>
        </w:rPr>
      </w:pPr>
      <w:bookmarkStart w:id="112" w:name="_Toc15396629"/>
      <w:bookmarkStart w:id="113" w:name="_Toc6123"/>
      <w:r>
        <w:rPr>
          <w:rStyle w:val="22"/>
          <w:rFonts w:hint="eastAsia" w:ascii="仿宋_GB2312" w:hAnsi="仿宋_GB2312" w:eastAsia="仿宋_GB2312" w:cs="仿宋_GB2312"/>
          <w:b w:val="0"/>
          <w:bCs w:val="0"/>
          <w:color w:val="auto"/>
          <w:highlight w:val="none"/>
        </w:rPr>
        <w:t>十一、</w:t>
      </w:r>
      <w:bookmarkEnd w:id="112"/>
      <w:r>
        <w:rPr>
          <w:rFonts w:hint="eastAsia" w:ascii="仿宋_GB2312" w:hAnsi="仿宋_GB2312" w:eastAsia="仿宋_GB2312" w:cs="仿宋_GB2312"/>
          <w:b w:val="0"/>
          <w:color w:val="auto"/>
          <w:highlight w:val="none"/>
        </w:rPr>
        <w:t>国</w:t>
      </w:r>
      <w:r>
        <w:rPr>
          <w:rStyle w:val="22"/>
          <w:rFonts w:hint="eastAsia" w:ascii="仿宋_GB2312" w:hAnsi="仿宋_GB2312" w:eastAsia="仿宋_GB2312" w:cs="仿宋_GB2312"/>
          <w:b w:val="0"/>
          <w:bCs w:val="0"/>
          <w:color w:val="auto"/>
          <w:highlight w:val="none"/>
        </w:rPr>
        <w:t>有资本经营预算</w:t>
      </w:r>
      <w:r>
        <w:rPr>
          <w:rStyle w:val="22"/>
          <w:rFonts w:hint="eastAsia" w:ascii="仿宋_GB2312" w:hAnsi="仿宋_GB2312" w:eastAsia="仿宋_GB2312" w:cs="仿宋_GB2312"/>
          <w:b w:val="0"/>
          <w:bCs w:val="0"/>
          <w:color w:val="auto"/>
          <w:highlight w:val="none"/>
          <w:lang w:eastAsia="zh-CN"/>
        </w:rPr>
        <w:t>财政拨款收入</w:t>
      </w:r>
      <w:r>
        <w:rPr>
          <w:rStyle w:val="22"/>
          <w:rFonts w:hint="eastAsia" w:ascii="仿宋_GB2312" w:hAnsi="仿宋_GB2312" w:eastAsia="仿宋_GB2312" w:cs="仿宋_GB2312"/>
          <w:b w:val="0"/>
          <w:bCs w:val="0"/>
          <w:color w:val="auto"/>
          <w:highlight w:val="none"/>
        </w:rPr>
        <w:t>支出决算表</w:t>
      </w:r>
      <w:bookmarkEnd w:id="113"/>
    </w:p>
    <w:p>
      <w:pPr>
        <w:pStyle w:val="4"/>
        <w:rPr>
          <w:rFonts w:hint="eastAsia" w:ascii="仿宋_GB2312" w:hAnsi="仿宋_GB2312" w:eastAsia="仿宋_GB2312" w:cs="仿宋_GB2312"/>
          <w:color w:val="auto"/>
          <w:highlight w:val="none"/>
        </w:rPr>
      </w:pPr>
      <w:bookmarkStart w:id="114" w:name="_Toc15396630"/>
      <w:bookmarkStart w:id="115" w:name="_Toc4097"/>
      <w:r>
        <w:rPr>
          <w:rStyle w:val="22"/>
          <w:rFonts w:hint="eastAsia" w:ascii="仿宋_GB2312" w:hAnsi="仿宋_GB2312" w:eastAsia="仿宋_GB2312" w:cs="仿宋_GB2312"/>
          <w:b w:val="0"/>
          <w:bCs w:val="0"/>
          <w:color w:val="auto"/>
          <w:highlight w:val="none"/>
        </w:rPr>
        <w:t>十二、</w:t>
      </w:r>
      <w:bookmarkEnd w:id="114"/>
      <w:r>
        <w:rPr>
          <w:rStyle w:val="22"/>
          <w:rFonts w:hint="eastAsia" w:ascii="仿宋_GB2312" w:hAnsi="仿宋_GB2312" w:eastAsia="仿宋_GB2312" w:cs="仿宋_GB2312"/>
          <w:b w:val="0"/>
          <w:bCs w:val="0"/>
          <w:color w:val="auto"/>
          <w:highlight w:val="none"/>
          <w:lang w:eastAsia="zh-CN"/>
        </w:rPr>
        <w:t>国有资本经营预算财政拨款支出决算表</w:t>
      </w:r>
      <w:bookmarkEnd w:id="115"/>
    </w:p>
    <w:p>
      <w:pPr>
        <w:pStyle w:val="4"/>
        <w:rPr>
          <w:rFonts w:hint="eastAsia" w:ascii="仿宋_GB2312" w:hAnsi="仿宋_GB2312" w:eastAsia="仿宋_GB2312" w:cs="仿宋_GB2312"/>
          <w:color w:val="auto"/>
          <w:highlight w:val="none"/>
          <w:lang w:eastAsia="zh-CN"/>
        </w:rPr>
      </w:pPr>
      <w:bookmarkStart w:id="116" w:name="_Toc15396631"/>
      <w:bookmarkStart w:id="117" w:name="_Toc7788"/>
      <w:r>
        <w:rPr>
          <w:rStyle w:val="22"/>
          <w:rFonts w:hint="eastAsia" w:ascii="仿宋_GB2312" w:hAnsi="仿宋_GB2312" w:eastAsia="仿宋_GB2312" w:cs="仿宋_GB2312"/>
          <w:b w:val="0"/>
          <w:bCs w:val="0"/>
          <w:color w:val="auto"/>
          <w:highlight w:val="none"/>
        </w:rPr>
        <w:t>十三、</w:t>
      </w:r>
      <w:bookmarkEnd w:id="116"/>
      <w:r>
        <w:rPr>
          <w:rStyle w:val="22"/>
          <w:rFonts w:hint="eastAsia" w:ascii="仿宋_GB2312" w:hAnsi="仿宋_GB2312" w:eastAsia="仿宋_GB2312" w:cs="仿宋_GB2312"/>
          <w:b w:val="0"/>
          <w:bCs w:val="0"/>
          <w:color w:val="auto"/>
          <w:highlight w:val="none"/>
          <w:lang w:eastAsia="zh-CN"/>
        </w:rPr>
        <w:t>财政拨款“三公”经费支出决算表</w:t>
      </w:r>
      <w:bookmarkEnd w:id="117"/>
    </w:p>
    <w:sectPr>
      <w:footerReference r:id="rId8" w:type="first"/>
      <w:footerReference r:id="rId7" w:type="default"/>
      <w:pgSz w:w="11906" w:h="16838"/>
      <w:pgMar w:top="2098" w:right="1474" w:bottom="1984" w:left="1587" w:header="851" w:footer="992" w:gutter="0"/>
      <w:pgNumType w:fmt="decimal" w:start="1"/>
      <w:cols w:space="0" w:num="1"/>
      <w:titlePg/>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方正舒体"/>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1"/>
    </w:sdtPr>
    <w:sdtEndPr>
      <w:rPr>
        <w:sz w:val="20"/>
        <w:szCs w:val="20"/>
      </w:rPr>
    </w:sdtEndPr>
    <w:sdtContent>
      <w:p>
        <w:pPr>
          <w:pStyle w:val="11"/>
          <w:jc w:val="cente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rPr>
          <w:t>8</w:t>
        </w:r>
        <w:r>
          <w:rPr>
            <w:sz w:val="20"/>
            <w:szCs w:val="20"/>
          </w:rP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0"/>
                              <w:szCs w:val="20"/>
                            </w:rPr>
                            <w:id w:val="162524120"/>
                          </w:sdtPr>
                          <w:sdtEndPr>
                            <w:rPr>
                              <w:sz w:val="20"/>
                              <w:szCs w:val="20"/>
                            </w:rPr>
                          </w:sdtEndPr>
                          <w:sdtContent>
                            <w:p>
                              <w:pPr>
                                <w:pStyle w:val="11"/>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rPr>
                                <w:t>8</w:t>
                              </w:r>
                              <w:r>
                                <w:rPr>
                                  <w:sz w:val="20"/>
                                  <w:szCs w:val="20"/>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sdt>
                    <w:sdtPr>
                      <w:rPr>
                        <w:sz w:val="20"/>
                        <w:szCs w:val="20"/>
                      </w:rPr>
                      <w:id w:val="162524120"/>
                    </w:sdtPr>
                    <w:sdtEndPr>
                      <w:rPr>
                        <w:sz w:val="20"/>
                        <w:szCs w:val="20"/>
                      </w:rPr>
                    </w:sdtEndPr>
                    <w:sdtContent>
                      <w:p>
                        <w:pPr>
                          <w:pStyle w:val="11"/>
                          <w:jc w:val="center"/>
                          <w:rPr>
                            <w:sz w:val="20"/>
                            <w:szCs w:val="20"/>
                          </w:rP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rPr>
                          <w:t>8</w:t>
                        </w:r>
                        <w:r>
                          <w:rPr>
                            <w:sz w:val="20"/>
                            <w:szCs w:val="20"/>
                          </w:rPr>
                          <w:fldChar w:fldCharType="end"/>
                        </w:r>
                      </w:p>
                    </w:sdtContent>
                  </w:sdt>
                  <w:p>
                    <w:pPr>
                      <w:pStyle w:val="2"/>
                    </w:pPr>
                  </w:p>
                </w:txbxContent>
              </v:textbox>
            </v:shape>
          </w:pict>
        </mc:Fallback>
      </mc:AlternateContent>
    </w: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184BE"/>
    <w:multiLevelType w:val="singleLevel"/>
    <w:tmpl w:val="970184BE"/>
    <w:lvl w:ilvl="0" w:tentative="0">
      <w:start w:val="2"/>
      <w:numFmt w:val="chineseCounting"/>
      <w:suff w:val="nothing"/>
      <w:lvlText w:val="（%1）"/>
      <w:lvlJc w:val="left"/>
      <w:rPr>
        <w:rFonts w:hint="eastAsia"/>
      </w:rPr>
    </w:lvl>
  </w:abstractNum>
  <w:abstractNum w:abstractNumId="1">
    <w:nsid w:val="A47A2F76"/>
    <w:multiLevelType w:val="singleLevel"/>
    <w:tmpl w:val="A47A2F76"/>
    <w:lvl w:ilvl="0" w:tentative="0">
      <w:start w:val="1"/>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DEBEF323"/>
    <w:multiLevelType w:val="singleLevel"/>
    <w:tmpl w:val="DEBEF323"/>
    <w:lvl w:ilvl="0" w:tentative="0">
      <w:start w:val="4"/>
      <w:numFmt w:val="chineseCounting"/>
      <w:suff w:val="nothing"/>
      <w:lvlText w:val="（%1）"/>
      <w:lvlJc w:val="left"/>
      <w:rPr>
        <w:rFonts w:hint="eastAsia"/>
      </w:rPr>
    </w:lvl>
  </w:abstractNum>
  <w:abstractNum w:abstractNumId="4">
    <w:nsid w:val="E2FA047D"/>
    <w:multiLevelType w:val="singleLevel"/>
    <w:tmpl w:val="E2FA047D"/>
    <w:lvl w:ilvl="0" w:tentative="0">
      <w:start w:val="3"/>
      <w:numFmt w:val="chineseCounting"/>
      <w:suff w:val="space"/>
      <w:lvlText w:val="第%1部分"/>
      <w:lvlJc w:val="left"/>
      <w:rPr>
        <w:rFonts w:hint="eastAsia"/>
      </w:rPr>
    </w:lvl>
  </w:abstractNum>
  <w:abstractNum w:abstractNumId="5">
    <w:nsid w:val="FFF674BC"/>
    <w:multiLevelType w:val="singleLevel"/>
    <w:tmpl w:val="FFF674BC"/>
    <w:lvl w:ilvl="0" w:tentative="0">
      <w:start w:val="1"/>
      <w:numFmt w:val="chineseCounting"/>
      <w:suff w:val="nothing"/>
      <w:lvlText w:val="%1、"/>
      <w:lvlJc w:val="left"/>
      <w:rPr>
        <w:rFonts w:hint="eastAsia"/>
      </w:r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6"/>
  </w:num>
  <w:num w:numId="2">
    <w:abstractNumId w:val="2"/>
  </w:num>
  <w:num w:numId="3">
    <w:abstractNumId w:val="4"/>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0OWQxMmU5MmI5ZjJhMjRhZWJjYjAyODQ5ZTNhY2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34F22E5"/>
    <w:rsid w:val="06344D12"/>
    <w:rsid w:val="066E0107"/>
    <w:rsid w:val="07996F6E"/>
    <w:rsid w:val="0A2032A3"/>
    <w:rsid w:val="0BD123C2"/>
    <w:rsid w:val="0F98263C"/>
    <w:rsid w:val="101860EC"/>
    <w:rsid w:val="108F5D13"/>
    <w:rsid w:val="10C055FF"/>
    <w:rsid w:val="11505BA2"/>
    <w:rsid w:val="118107EC"/>
    <w:rsid w:val="13D50BC4"/>
    <w:rsid w:val="16BB723D"/>
    <w:rsid w:val="1B771EFB"/>
    <w:rsid w:val="1BE8440E"/>
    <w:rsid w:val="1D155CEE"/>
    <w:rsid w:val="1FF35744"/>
    <w:rsid w:val="23860B96"/>
    <w:rsid w:val="240371BF"/>
    <w:rsid w:val="26C26CF7"/>
    <w:rsid w:val="29FD04D3"/>
    <w:rsid w:val="2C8A61B5"/>
    <w:rsid w:val="2DF04E50"/>
    <w:rsid w:val="2ECC425E"/>
    <w:rsid w:val="2F040D46"/>
    <w:rsid w:val="2F414293"/>
    <w:rsid w:val="306D4B10"/>
    <w:rsid w:val="319F7F4E"/>
    <w:rsid w:val="32A9493D"/>
    <w:rsid w:val="3304709D"/>
    <w:rsid w:val="33194DE3"/>
    <w:rsid w:val="35E87F9F"/>
    <w:rsid w:val="36AA5135"/>
    <w:rsid w:val="376D39B2"/>
    <w:rsid w:val="379D3CE8"/>
    <w:rsid w:val="37E16F03"/>
    <w:rsid w:val="38D469F0"/>
    <w:rsid w:val="3A2067DC"/>
    <w:rsid w:val="3AD1144D"/>
    <w:rsid w:val="3BDC2C12"/>
    <w:rsid w:val="3C733A14"/>
    <w:rsid w:val="3D98207C"/>
    <w:rsid w:val="3E78745D"/>
    <w:rsid w:val="3EFC2A3B"/>
    <w:rsid w:val="43284AD9"/>
    <w:rsid w:val="44E268DA"/>
    <w:rsid w:val="4A627F82"/>
    <w:rsid w:val="4B0E749A"/>
    <w:rsid w:val="4B4F25DA"/>
    <w:rsid w:val="4BE068DB"/>
    <w:rsid w:val="4D577224"/>
    <w:rsid w:val="4EAB630A"/>
    <w:rsid w:val="4ECE2238"/>
    <w:rsid w:val="4F565FB9"/>
    <w:rsid w:val="507B63F1"/>
    <w:rsid w:val="51F8735C"/>
    <w:rsid w:val="537E6D0A"/>
    <w:rsid w:val="55A264F8"/>
    <w:rsid w:val="5AF92295"/>
    <w:rsid w:val="5CD71FC4"/>
    <w:rsid w:val="61345BEA"/>
    <w:rsid w:val="65794045"/>
    <w:rsid w:val="660A3E41"/>
    <w:rsid w:val="66110779"/>
    <w:rsid w:val="677F50E1"/>
    <w:rsid w:val="6C1F7426"/>
    <w:rsid w:val="6C4A05C8"/>
    <w:rsid w:val="6D024654"/>
    <w:rsid w:val="6DC742B3"/>
    <w:rsid w:val="6E7E3605"/>
    <w:rsid w:val="6FF5CC65"/>
    <w:rsid w:val="715C0E4B"/>
    <w:rsid w:val="72734D90"/>
    <w:rsid w:val="72C232B3"/>
    <w:rsid w:val="73AD73D5"/>
    <w:rsid w:val="73B6EB34"/>
    <w:rsid w:val="744731E5"/>
    <w:rsid w:val="76E3355F"/>
    <w:rsid w:val="77361B00"/>
    <w:rsid w:val="778769C8"/>
    <w:rsid w:val="78D8322C"/>
    <w:rsid w:val="79DFBF3E"/>
    <w:rsid w:val="79EE5BA4"/>
    <w:rsid w:val="7A894339"/>
    <w:rsid w:val="7C925D5C"/>
    <w:rsid w:val="7D551052"/>
    <w:rsid w:val="7EEF11D3"/>
    <w:rsid w:val="7F393089"/>
    <w:rsid w:val="7FA30C79"/>
    <w:rsid w:val="7FB7269E"/>
    <w:rsid w:val="7FC96657"/>
    <w:rsid w:val="BFFEBB9F"/>
    <w:rsid w:val="D8D6DB89"/>
    <w:rsid w:val="DB6F4CAB"/>
    <w:rsid w:val="DF6F9789"/>
    <w:rsid w:val="E5FFF7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6">
    <w:name w:val="Body Text"/>
    <w:basedOn w:val="1"/>
    <w:link w:val="30"/>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0"/>
    <w:rPr>
      <w:rFonts w:ascii="宋体" w:hAnsi="Courier New" w:cs="Courier New"/>
      <w:szCs w:val="21"/>
    </w:rPr>
  </w:style>
  <w:style w:type="paragraph" w:styleId="10">
    <w:name w:val="Balloon Text"/>
    <w:basedOn w:val="1"/>
    <w:link w:val="33"/>
    <w:semiHidden/>
    <w:unhideWhenUsed/>
    <w:qFormat/>
    <w:uiPriority w:val="99"/>
    <w:rPr>
      <w:sz w:val="18"/>
      <w:szCs w:val="18"/>
    </w:rPr>
  </w:style>
  <w:style w:type="paragraph" w:styleId="11">
    <w:name w:val="footer"/>
    <w:basedOn w:val="1"/>
    <w:link w:val="28"/>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6"/>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7"/>
    <w:next w:val="1"/>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标题 1 Char"/>
    <w:basedOn w:val="18"/>
    <w:link w:val="3"/>
    <w:qFormat/>
    <w:uiPriority w:val="9"/>
    <w:rPr>
      <w:rFonts w:ascii="Times New Roman" w:hAnsi="Times New Roman"/>
      <w:b/>
      <w:bCs/>
      <w:kern w:val="44"/>
      <w:sz w:val="44"/>
      <w:szCs w:val="44"/>
    </w:rPr>
  </w:style>
  <w:style w:type="character" w:customStyle="1" w:styleId="22">
    <w:name w:val="标题 2 Char"/>
    <w:basedOn w:val="18"/>
    <w:link w:val="4"/>
    <w:qFormat/>
    <w:uiPriority w:val="9"/>
    <w:rPr>
      <w:rFonts w:asciiTheme="majorHAnsi" w:hAnsiTheme="majorHAnsi" w:eastAsiaTheme="majorEastAsia" w:cstheme="majorBidi"/>
      <w:b/>
      <w:bCs/>
      <w:kern w:val="2"/>
      <w:sz w:val="32"/>
      <w:szCs w:val="32"/>
    </w:rPr>
  </w:style>
  <w:style w:type="character" w:customStyle="1" w:styleId="23">
    <w:name w:val="标题 3 Char"/>
    <w:basedOn w:val="18"/>
    <w:link w:val="5"/>
    <w:qFormat/>
    <w:uiPriority w:val="9"/>
    <w:rPr>
      <w:rFonts w:ascii="Times New Roman" w:hAnsi="Times New Roman"/>
      <w:b/>
      <w:bCs/>
      <w:kern w:val="2"/>
      <w:sz w:val="32"/>
      <w:szCs w:val="32"/>
    </w:rPr>
  </w:style>
  <w:style w:type="paragraph" w:customStyle="1" w:styleId="24">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5">
    <w:name w:val="Header Char"/>
    <w:basedOn w:val="18"/>
    <w:semiHidden/>
    <w:qFormat/>
    <w:uiPriority w:val="99"/>
    <w:rPr>
      <w:rFonts w:ascii="Times New Roman" w:hAnsi="Times New Roman"/>
      <w:sz w:val="18"/>
      <w:szCs w:val="18"/>
    </w:rPr>
  </w:style>
  <w:style w:type="character" w:customStyle="1" w:styleId="26">
    <w:name w:val="页眉 Char"/>
    <w:link w:val="12"/>
    <w:semiHidden/>
    <w:qFormat/>
    <w:locked/>
    <w:uiPriority w:val="99"/>
    <w:rPr>
      <w:sz w:val="18"/>
    </w:rPr>
  </w:style>
  <w:style w:type="character" w:customStyle="1" w:styleId="27">
    <w:name w:val="Footer Char"/>
    <w:basedOn w:val="18"/>
    <w:semiHidden/>
    <w:qFormat/>
    <w:uiPriority w:val="99"/>
    <w:rPr>
      <w:rFonts w:ascii="Times New Roman" w:hAnsi="Times New Roman"/>
      <w:sz w:val="18"/>
      <w:szCs w:val="18"/>
    </w:rPr>
  </w:style>
  <w:style w:type="character" w:customStyle="1" w:styleId="28">
    <w:name w:val="页脚 Char"/>
    <w:link w:val="11"/>
    <w:qFormat/>
    <w:locked/>
    <w:uiPriority w:val="99"/>
    <w:rPr>
      <w:sz w:val="18"/>
    </w:rPr>
  </w:style>
  <w:style w:type="character" w:customStyle="1" w:styleId="29">
    <w:name w:val="Body Text Char"/>
    <w:basedOn w:val="18"/>
    <w:semiHidden/>
    <w:qFormat/>
    <w:uiPriority w:val="99"/>
    <w:rPr>
      <w:rFonts w:ascii="Times New Roman" w:hAnsi="Times New Roman"/>
      <w:szCs w:val="24"/>
    </w:rPr>
  </w:style>
  <w:style w:type="character" w:customStyle="1" w:styleId="30">
    <w:name w:val="正文文本 Char"/>
    <w:link w:val="6"/>
    <w:qFormat/>
    <w:locked/>
    <w:uiPriority w:val="99"/>
    <w:rPr>
      <w:rFonts w:ascii="仿宋_GB2312" w:hAnsi="Times New Roman" w:eastAsia="仿宋_GB2312"/>
      <w:sz w:val="24"/>
    </w:rPr>
  </w:style>
  <w:style w:type="paragraph" w:styleId="31">
    <w:name w:val="List Paragraph"/>
    <w:basedOn w:val="1"/>
    <w:qFormat/>
    <w:uiPriority w:val="34"/>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6">
    <w:name w:val="font51"/>
    <w:basedOn w:val="18"/>
    <w:qFormat/>
    <w:uiPriority w:val="0"/>
    <w:rPr>
      <w:rFonts w:hint="eastAsia" w:ascii="宋体" w:hAnsi="宋体" w:eastAsia="宋体" w:cs="宋体"/>
      <w:color w:val="000000"/>
      <w:sz w:val="18"/>
      <w:szCs w:val="18"/>
      <w:u w:val="none"/>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dk1">
                    <a:lumMod val="75000"/>
                    <a:lumOff val="25000"/>
                  </a:schemeClr>
                </a:solidFill>
                <a:latin typeface="+mn-lt"/>
                <a:ea typeface="+mn-ea"/>
                <a:cs typeface="+mn-cs"/>
              </a:defRPr>
            </a:pPr>
            <a:r>
              <a:rPr sz="1440"/>
              <a:t>收、支决算总计变动情况图</a:t>
            </a:r>
            <a:endParaRPr sz="1440"/>
          </a:p>
          <a:p>
            <a:pPr defTabSz="914400">
              <a:defRPr lang="zh-CN" sz="1440" b="1" i="0" u="none" strike="noStrike" kern="1200" baseline="0">
                <a:solidFill>
                  <a:schemeClr val="dk1">
                    <a:lumMod val="75000"/>
                    <a:lumOff val="25000"/>
                  </a:schemeClr>
                </a:solidFill>
                <a:latin typeface="+mn-lt"/>
                <a:ea typeface="+mn-ea"/>
                <a:cs typeface="+mn-cs"/>
              </a:defRPr>
            </a:pPr>
            <a:r>
              <a:rPr lang="en-US" altLang="zh-CN" sz="1440"/>
              <a:t>                  </a:t>
            </a:r>
            <a:r>
              <a:rPr altLang="en-US" sz="1000"/>
              <a:t>单位：万元</a:t>
            </a:r>
            <a:endParaRPr lang="en-US" altLang="en-US" sz="1000"/>
          </a:p>
        </c:rich>
      </c:tx>
      <c:layout>
        <c:manualLayout>
          <c:xMode val="edge"/>
          <c:yMode val="edge"/>
          <c:x val="0.283039381493114"/>
          <c:y val="0.02889927751806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2021年度决算收、支总计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1">
                  <c:v>1636.09</c:v>
                </c:pt>
              </c:numCache>
            </c:numRef>
          </c:val>
        </c:ser>
        <c:ser>
          <c:idx val="1"/>
          <c:order val="1"/>
          <c:tx>
            <c:strRef>
              <c:f>Sheet1!$C$1</c:f>
              <c:strCache>
                <c:ptCount val="1"/>
                <c:pt idx="0">
                  <c:v>2022年度决算收、支总计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1">
                  <c:v>1330.5</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numCache>
            </c:numRef>
          </c:cat>
          <c:val>
            <c:numRef>
              <c:f>Sheet1!$D$2:$D$5</c:f>
              <c:numCache>
                <c:formatCode>General</c:formatCode>
                <c:ptCount val="4"/>
              </c:numCache>
            </c:numRef>
          </c:val>
        </c:ser>
        <c:dLbls>
          <c:showLegendKey val="0"/>
          <c:showVal val="0"/>
          <c:showCatName val="0"/>
          <c:showSerName val="0"/>
          <c:showPercent val="0"/>
          <c:showBubbleSize val="0"/>
        </c:dLbls>
        <c:gapWidth val="0"/>
        <c:overlap val="-13"/>
        <c:axId val="22939362"/>
        <c:axId val="125166241"/>
      </c:barChart>
      <c:catAx>
        <c:axId val="229393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125166241"/>
        <c:crosses val="autoZero"/>
        <c:auto val="1"/>
        <c:lblAlgn val="ctr"/>
        <c:lblOffset val="100"/>
        <c:noMultiLvlLbl val="0"/>
      </c:catAx>
      <c:valAx>
        <c:axId val="125166241"/>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22939362"/>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收入决算结构图</a:t>
            </a:r>
          </a:p>
        </c:rich>
      </c:tx>
      <c:layout>
        <c:manualLayout>
          <c:xMode val="edge"/>
          <c:yMode val="edge"/>
          <c:x val="0.397559797052428"/>
          <c:y val="0.00637484062898428"/>
        </c:manualLayout>
      </c:layout>
      <c:overlay val="0"/>
      <c:spPr>
        <a:noFill/>
        <a:ln>
          <a:noFill/>
        </a:ln>
        <a:effectLst/>
      </c:sp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760315814932517"/>
                  <c:y val="-0.141152222668353"/>
                </c:manualLayout>
              </c:layout>
              <c:tx>
                <c:rich>
                  <a:bodyPr rot="0" spcFirstLastPara="0" vertOverflow="ellipsis" vert="horz" wrap="square" lIns="38100" tIns="19050" rIns="38100" bIns="19050"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lang="en-US" altLang="zh-CN" sz="1400"/>
                      <a:t>76.5%</a:t>
                    </a:r>
                    <a:endParaRPr lang="en-US" altLang="zh-CN" sz="14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54986474931668"/>
                  <c:y val="0.154158780093217"/>
                </c:manualLayout>
              </c:layout>
              <c:tx>
                <c:rich>
                  <a:bodyPr rot="0" spcFirstLastPara="0" vertOverflow="ellipsis" vert="horz" wrap="square" lIns="38100" tIns="19050" rIns="38100" bIns="19050"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sz="1400"/>
                      <a:t>23.5</a:t>
                    </a:r>
                    <a:r>
                      <a:rPr lang="en-US" altLang="zh-CN" sz="1400"/>
                      <a:t>%</a:t>
                    </a:r>
                    <a:endParaRPr lang="en-US" altLang="zh-CN" sz="14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其他收入</c:v>
                </c:pt>
              </c:strCache>
            </c:strRef>
          </c:cat>
          <c:val>
            <c:numRef>
              <c:f>Sheet1!$B$2:$B$5</c:f>
              <c:numCache>
                <c:formatCode>General</c:formatCode>
                <c:ptCount val="4"/>
                <c:pt idx="0">
                  <c:v>76.5</c:v>
                </c:pt>
                <c:pt idx="1">
                  <c:v>23.5</c:v>
                </c:pt>
                <c:pt idx="2">
                  <c:v>0</c:v>
                </c:pt>
                <c:pt idx="3">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manualLayout>
          <c:xMode val="edge"/>
          <c:yMode val="edge"/>
          <c:x val="0.291600440151608"/>
          <c:y val="0.15475591343734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278161202859256"/>
          <c:y val="0.232948583420776"/>
          <c:w val="0.410401774710377"/>
          <c:h val="0.69884575026233"/>
        </c:manualLayout>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628808789382243"/>
                  <c:y val="-0.221312168332922"/>
                </c:manualLayout>
              </c:layout>
              <c:tx>
                <c:rich>
                  <a:bodyPr rot="0" spcFirstLastPara="0" vertOverflow="ellipsis" vert="horz" wrap="square" lIns="38100" tIns="19050" rIns="38100" bIns="19050"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sz="1400"/>
                      <a:t>83.3</a:t>
                    </a:r>
                    <a:r>
                      <a:rPr lang="en-US" altLang="zh-CN" sz="1400"/>
                      <a:t>%</a:t>
                    </a:r>
                    <a:endParaRPr lang="en-US" altLang="zh-CN" sz="1400"/>
                  </a:p>
                </c:rich>
              </c:tx>
              <c:numFmt formatCode="General" sourceLinked="1"/>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610322097802273"/>
                  <c:y val="0.174092867351439"/>
                </c:manualLayout>
              </c:layout>
              <c:tx>
                <c:rich>
                  <a:bodyPr rot="0" spcFirstLastPara="0" vertOverflow="ellipsis" vert="horz" wrap="square" lIns="38100" tIns="19050" rIns="38100" bIns="19050"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rPr sz="1400"/>
                      <a:t>16.7</a:t>
                    </a:r>
                    <a:r>
                      <a:rPr lang="en-US" altLang="zh-CN" sz="1400"/>
                      <a:t>%</a:t>
                    </a:r>
                    <a:endParaRPr lang="en-US" altLang="zh-CN" sz="1400"/>
                  </a:p>
                </c:rich>
              </c:tx>
              <c:numFmt formatCode="General" sourceLinked="1"/>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General</c:formatCode>
                <c:ptCount val="4"/>
                <c:pt idx="0">
                  <c:v>83.3</c:v>
                </c:pt>
                <c:pt idx="1">
                  <c:v>16.7</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manualLayout>
          <c:xMode val="edge"/>
          <c:yMode val="edge"/>
          <c:x val="0.376817845698792"/>
          <c:y val="0.107450157397691"/>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a:p>
            <a:pPr defTabSz="914400">
              <a:defRPr lang="zh-CN" sz="1400" b="1" i="0" u="none" strike="noStrike" kern="1200" baseline="0">
                <a:solidFill>
                  <a:schemeClr val="dk1">
                    <a:lumMod val="75000"/>
                    <a:lumOff val="25000"/>
                  </a:schemeClr>
                </a:solidFill>
                <a:latin typeface="+mn-lt"/>
                <a:ea typeface="+mn-ea"/>
                <a:cs typeface="+mn-cs"/>
              </a:defRPr>
            </a:pPr>
            <a:r>
              <a:rPr lang="en-US" altLang="zh-CN" sz="1000"/>
              <a:t>                                         </a:t>
            </a:r>
            <a:r>
              <a:rPr sz="1000"/>
              <a:t>单位：万元</a:t>
            </a:r>
            <a:endParaRPr sz="1000"/>
          </a:p>
        </c:rich>
      </c:tx>
      <c:layout/>
      <c:overlay val="0"/>
      <c:spPr>
        <a:noFill/>
        <a:ln>
          <a:noFill/>
        </a:ln>
        <a:effectLst/>
      </c:spPr>
    </c:title>
    <c:autoTitleDeleted val="0"/>
    <c:plotArea>
      <c:layout>
        <c:manualLayout>
          <c:layoutTarget val="inner"/>
          <c:xMode val="edge"/>
          <c:yMode val="edge"/>
          <c:x val="0.0720705484416526"/>
          <c:y val="0.210206859502634"/>
          <c:w val="0.89736651365064"/>
          <c:h val="0.683610755441741"/>
        </c:manualLayout>
      </c:layout>
      <c:barChart>
        <c:barDir val="col"/>
        <c:grouping val="clustered"/>
        <c:varyColors val="0"/>
        <c:ser>
          <c:idx val="0"/>
          <c:order val="0"/>
          <c:tx>
            <c:strRef>
              <c:f>Sheet1!$B$1</c:f>
              <c:strCache>
                <c:ptCount val="1"/>
                <c:pt idx="0">
                  <c:v>2021年财政拨款决算收、支总计</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Sheet1!$B$2:$B$5</c:f>
              <c:numCache>
                <c:formatCode>General</c:formatCode>
                <c:ptCount val="4"/>
                <c:pt idx="1">
                  <c:v>1636.09</c:v>
                </c:pt>
              </c:numCache>
            </c:numRef>
          </c:val>
        </c:ser>
        <c:ser>
          <c:idx val="1"/>
          <c:order val="1"/>
          <c:tx>
            <c:strRef>
              <c:f>Sheet1!$C$1</c:f>
              <c:strCache>
                <c:ptCount val="1"/>
                <c:pt idx="0">
                  <c:v>2022年财政拨款决算收、支总计</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numCache>
            </c:numRef>
          </c:cat>
          <c:val>
            <c:numRef>
              <c:f>Sheet1!$C$2:$C$5</c:f>
              <c:numCache>
                <c:formatCode>General</c:formatCode>
                <c:ptCount val="4"/>
                <c:pt idx="1">
                  <c:v>1018.32</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numRef>
              <c:f>Sheet1!$A$2:$A$5</c:f>
              <c:numCache>
                <c:formatCode>General</c:formatCode>
                <c:ptCount val="4"/>
              </c:numCache>
            </c:numRef>
          </c:cat>
          <c:val>
            <c:numRef>
              <c:f>Sheet1!$D$2:$D$5</c:f>
              <c:numCache>
                <c:formatCode>General</c:formatCode>
                <c:ptCount val="4"/>
              </c:numCache>
            </c:numRef>
          </c:val>
        </c:ser>
        <c:dLbls>
          <c:showLegendKey val="0"/>
          <c:showVal val="0"/>
          <c:showCatName val="0"/>
          <c:showSerName val="0"/>
          <c:showPercent val="0"/>
          <c:showBubbleSize val="0"/>
        </c:dLbls>
        <c:gapWidth val="0"/>
        <c:overlap val="-21"/>
        <c:axId val="534196664"/>
        <c:axId val="586597248"/>
      </c:barChart>
      <c:catAx>
        <c:axId val="5341966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6597248"/>
        <c:crosses val="autoZero"/>
        <c:auto val="1"/>
        <c:lblAlgn val="ctr"/>
        <c:lblOffset val="100"/>
        <c:noMultiLvlLbl val="0"/>
      </c:catAx>
      <c:valAx>
        <c:axId val="58659724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34196664"/>
        <c:crosses val="autoZero"/>
        <c:crossBetween val="between"/>
      </c:valAx>
      <c:spPr>
        <a:noFill/>
        <a:ln>
          <a:noFill/>
        </a:ln>
        <a:effectLst/>
      </c:spPr>
    </c:plotArea>
    <c:legend>
      <c:legendPos val="b"/>
      <c:legendEntry>
        <c:idx val="2"/>
        <c:delete val="1"/>
      </c:legendEntry>
      <c:layout>
        <c:manualLayout>
          <c:xMode val="edge"/>
          <c:yMode val="edge"/>
          <c:x val="0.163143271321575"/>
          <c:y val="0.90604890604890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a:p>
            <a:pPr defTabSz="914400">
              <a:defRPr lang="zh-CN" sz="1400" b="1" i="0" u="none" strike="noStrike" kern="1200" baseline="0">
                <a:solidFill>
                  <a:schemeClr val="dk1">
                    <a:lumMod val="75000"/>
                    <a:lumOff val="25000"/>
                  </a:schemeClr>
                </a:solidFill>
                <a:latin typeface="+mn-lt"/>
                <a:ea typeface="+mn-ea"/>
                <a:cs typeface="+mn-cs"/>
              </a:defRPr>
            </a:pPr>
            <a:r>
              <a:rPr lang="en-US" altLang="zh-CN" sz="1000"/>
              <a:t>                                                                              </a:t>
            </a:r>
            <a:r>
              <a:rPr sz="1000"/>
              <a:t>单位：万元</a:t>
            </a:r>
            <a:endParaRPr sz="1000"/>
          </a:p>
        </c:rich>
      </c:tx>
      <c:layout>
        <c:manualLayout>
          <c:xMode val="edge"/>
          <c:yMode val="edge"/>
          <c:x val="0.177579125392607"/>
          <c:y val="0.00956226094347641"/>
        </c:manualLayout>
      </c:layout>
      <c:overlay val="0"/>
      <c:spPr>
        <a:noFill/>
        <a:ln>
          <a:noFill/>
        </a:ln>
        <a:effectLst/>
      </c:spPr>
    </c:title>
    <c:autoTitleDeleted val="0"/>
    <c:plotArea>
      <c:layout>
        <c:manualLayout>
          <c:layoutTarget val="inner"/>
          <c:xMode val="edge"/>
          <c:yMode val="edge"/>
          <c:x val="0.067600869775308"/>
          <c:y val="0.218892591292303"/>
          <c:w val="0.89736651365064"/>
          <c:h val="0.694645133871653"/>
        </c:manualLayout>
      </c:layout>
      <c:barChart>
        <c:barDir val="col"/>
        <c:grouping val="clustered"/>
        <c:varyColors val="0"/>
        <c:ser>
          <c:idx val="0"/>
          <c:order val="0"/>
          <c:tx>
            <c:strRef>
              <c:f>Sheet1!$B$1</c:f>
              <c:strCache>
                <c:ptCount val="1"/>
                <c:pt idx="0">
                  <c:v>2021年一般公共预算财政拨款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类别 1</c:v>
                </c:pt>
                <c:pt idx="1">
                  <c:v>类别 2</c:v>
                </c:pt>
              </c:strCache>
            </c:strRef>
          </c:cat>
          <c:val>
            <c:numRef>
              <c:f>Sheet1!$B$2:$B$5</c:f>
              <c:numCache>
                <c:formatCode>General</c:formatCode>
                <c:ptCount val="4"/>
                <c:pt idx="1">
                  <c:v>1636.09</c:v>
                </c:pt>
              </c:numCache>
            </c:numRef>
          </c:val>
        </c:ser>
        <c:ser>
          <c:idx val="1"/>
          <c:order val="1"/>
          <c:tx>
            <c:strRef>
              <c:f>Sheet1!$C$1</c:f>
              <c:strCache>
                <c:ptCount val="1"/>
                <c:pt idx="0">
                  <c:v>2022年一般公共预算财政拨款</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类别 1</c:v>
                </c:pt>
                <c:pt idx="1">
                  <c:v>类别 2</c:v>
                </c:pt>
              </c:strCache>
            </c:strRef>
          </c:cat>
          <c:val>
            <c:numRef>
              <c:f>Sheet1!$C$2:$C$5</c:f>
              <c:numCache>
                <c:formatCode>General</c:formatCode>
                <c:ptCount val="4"/>
                <c:pt idx="1">
                  <c:v>1018.32</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类别 1</c:v>
                </c:pt>
                <c:pt idx="1">
                  <c:v>类别 2</c:v>
                </c:pt>
              </c:strCache>
            </c:strRef>
          </c:cat>
          <c:val>
            <c:numRef>
              <c:f>Sheet1!$D$2:$D$5</c:f>
              <c:numCache>
                <c:formatCode>General</c:formatCode>
                <c:ptCount val="4"/>
                <c:pt idx="0">
                  <c:v>0</c:v>
                </c:pt>
              </c:numCache>
            </c:numRef>
          </c:val>
        </c:ser>
        <c:dLbls>
          <c:showLegendKey val="0"/>
          <c:showVal val="0"/>
          <c:showCatName val="0"/>
          <c:showSerName val="0"/>
          <c:showPercent val="0"/>
          <c:showBubbleSize val="0"/>
        </c:dLbls>
        <c:gapWidth val="0"/>
        <c:overlap val="-19"/>
        <c:axId val="344909655"/>
        <c:axId val="136012188"/>
      </c:barChart>
      <c:catAx>
        <c:axId val="344909655"/>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6012188"/>
        <c:crosses val="autoZero"/>
        <c:auto val="1"/>
        <c:lblAlgn val="ctr"/>
        <c:lblOffset val="100"/>
        <c:noMultiLvlLbl val="0"/>
      </c:catAx>
      <c:valAx>
        <c:axId val="136012188"/>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4909655"/>
        <c:crosses val="autoZero"/>
        <c:crossBetween val="between"/>
      </c:valAx>
      <c:spPr>
        <a:noFill/>
        <a:ln>
          <a:noFill/>
        </a:ln>
        <a:effectLst/>
      </c:spPr>
    </c:plotArea>
    <c:legend>
      <c:legendPos val="b"/>
      <c:legendEntry>
        <c:idx val="2"/>
        <c:delete val="1"/>
      </c:legendEntry>
      <c:layout>
        <c:manualLayout>
          <c:xMode val="edge"/>
          <c:yMode val="edge"/>
          <c:x val="0.174800676491906"/>
          <c:y val="0.90008212428141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318029519443537"/>
                  <c:y val="-0.24355787550002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400"/>
                      <a:t>86.88</a:t>
                    </a:r>
                    <a:r>
                      <a:rPr lang="en-US" altLang="zh-CN" sz="1400"/>
                      <a:t>%</a:t>
                    </a:r>
                    <a:endParaRPr lang="en-US" altLang="zh-CN" sz="14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663716611217282"/>
                  <c:y val="0.037715133628593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400"/>
                      <a:t>5.61</a:t>
                    </a:r>
                    <a:r>
                      <a:rPr lang="en-US" altLang="zh-CN" sz="1400"/>
                      <a:t>%</a:t>
                    </a:r>
                    <a:endParaRPr lang="en-US" altLang="zh-CN" sz="14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4245990761852"/>
                  <c:y val="0.0079383063330250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400"/>
                      <a:t>2.85</a:t>
                    </a:r>
                    <a:r>
                      <a:rPr lang="en-US" altLang="zh-CN" sz="1400"/>
                      <a:t>%</a:t>
                    </a:r>
                    <a:endParaRPr lang="en-US" altLang="zh-CN" sz="1400"/>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58345266372878"/>
                  <c:y val="0.014468561131235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rPr sz="1400"/>
                      <a:t>4.66</a:t>
                    </a:r>
                    <a:r>
                      <a:rPr lang="en-US" altLang="zh-CN" sz="1400"/>
                      <a:t>%</a:t>
                    </a:r>
                    <a:endParaRPr lang="en-US" altLang="zh-CN" sz="1400"/>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社会保障和就业支出</c:v>
                </c:pt>
                <c:pt idx="2">
                  <c:v>卫生健康支出</c:v>
                </c:pt>
                <c:pt idx="3">
                  <c:v>住房保障支出</c:v>
                </c:pt>
              </c:strCache>
            </c:strRef>
          </c:cat>
          <c:val>
            <c:numRef>
              <c:f>Sheet1!$B$2:$B$5</c:f>
              <c:numCache>
                <c:formatCode>General</c:formatCode>
                <c:ptCount val="4"/>
                <c:pt idx="0">
                  <c:v>86.88</c:v>
                </c:pt>
                <c:pt idx="1">
                  <c:v>5.61</c:v>
                </c:pt>
                <c:pt idx="2">
                  <c:v>2.85</c:v>
                </c:pt>
                <c:pt idx="3">
                  <c:v>4.66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0823870500120802"/>
          <c:y val="0.114534636634084"/>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000"/>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manualLayout>
          <c:layoutTarget val="inner"/>
          <c:xMode val="edge"/>
          <c:yMode val="edge"/>
          <c:x val="0.304240154626721"/>
          <c:y val="0.258181045473863"/>
          <c:w val="0.39514375453008"/>
          <c:h val="0.695070123246919"/>
        </c:manualLayout>
      </c:layout>
      <c:pieChart>
        <c:varyColors val="1"/>
        <c:ser>
          <c:idx val="0"/>
          <c:order val="0"/>
          <c:tx>
            <c:strRef>
              <c:f>Sheet1!$B$1</c:f>
              <c:strCache>
                <c:ptCount val="1"/>
                <c:pt idx="0">
                  <c:v>“三公”经费财政拨款支出结构表</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439173567903512"/>
                  <c:y val="-0.212988416429029"/>
                </c:manualLayout>
              </c:layout>
              <c:tx>
                <c:rich>
                  <a:bodyPr rot="0" spcFirstLastPara="0" vertOverflow="ellipsis" vert="horz" wrap="square" lIns="38100" tIns="19050" rIns="38100" bIns="19050" anchor="ctr" anchorCtr="1"/>
                  <a:lstStyle/>
                  <a:p>
                    <a:pPr defTabSz="914400">
                      <a:defRPr lang="zh-CN" sz="1400" b="0" i="0" u="none" strike="noStrike" kern="1200" baseline="0">
                        <a:solidFill>
                          <a:schemeClr val="tx1">
                            <a:lumMod val="75000"/>
                            <a:lumOff val="25000"/>
                          </a:schemeClr>
                        </a:solidFill>
                        <a:latin typeface="+mn-lt"/>
                        <a:ea typeface="+mn-ea"/>
                        <a:cs typeface="+mn-cs"/>
                      </a:defRPr>
                    </a:pPr>
                    <a:r>
                      <a:t>87.48</a:t>
                    </a:r>
                    <a:r>
                      <a:rPr lang="en-US" altLang="zh-CN"/>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4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58886062196916"/>
                  <c:y val="0.157898867131979"/>
                </c:manualLayout>
              </c:layout>
              <c:tx>
                <c:rich>
                  <a:bodyPr rot="0" spcFirstLastPara="0" vertOverflow="ellipsis" vert="horz" wrap="square" lIns="38100" tIns="19050" rIns="38100" bIns="19050" anchor="ctr" anchorCtr="1"/>
                  <a:lstStyle/>
                  <a:p>
                    <a:pPr defTabSz="914400">
                      <a:defRPr lang="zh-CN" sz="1600" b="0" i="0" u="none" strike="noStrike" kern="1200" baseline="0">
                        <a:solidFill>
                          <a:schemeClr val="tx1">
                            <a:lumMod val="75000"/>
                            <a:lumOff val="25000"/>
                          </a:schemeClr>
                        </a:solidFill>
                        <a:latin typeface="+mn-lt"/>
                        <a:ea typeface="+mn-ea"/>
                        <a:cs typeface="+mn-cs"/>
                      </a:defRPr>
                    </a:pPr>
                    <a:r>
                      <a:t>12.52</a:t>
                    </a:r>
                    <a:r>
                      <a:rPr lang="en-US" altLang="zh-CN"/>
                      <a:t>%</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16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公务用车购置及运行维护费</c:v>
                </c:pt>
                <c:pt idx="1">
                  <c:v>公务接待费</c:v>
                </c:pt>
              </c:strCache>
            </c:strRef>
          </c:cat>
          <c:val>
            <c:numRef>
              <c:f>Sheet1!$B$2:$B$5</c:f>
              <c:numCache>
                <c:formatCode>General</c:formatCode>
                <c:ptCount val="4"/>
                <c:pt idx="0">
                  <c:v>87.48</c:v>
                </c:pt>
                <c:pt idx="1">
                  <c:v>12.52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manualLayout>
          <c:xMode val="edge"/>
          <c:yMode val="edge"/>
          <c:x val="0.270838366755255"/>
          <c:y val="0.13429664258393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17</TotalTime>
  <ScaleCrop>false</ScaleCrop>
  <LinksUpToDate>false</LinksUpToDate>
  <CharactersWithSpaces>8692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姚小岩</cp:lastModifiedBy>
  <cp:lastPrinted>2023-07-31T18:35:00Z</cp:lastPrinted>
  <dcterms:modified xsi:type="dcterms:W3CDTF">2023-10-07T01:51:49Z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1BF328E4FCBC46E183310AF8D9815CC9</vt:lpwstr>
  </property>
</Properties>
</file>