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spacing w:beforeLines="0" w:afterLines="0" w:line="360" w:lineRule="auto"/>
        <w:jc w:val="center"/>
        <w:rPr>
          <w:rFonts w:hint="eastAsia" w:ascii="方正小标宋简体" w:hAnsi="方正小标宋简体" w:eastAsia="方正小标宋简体"/>
          <w:color w:val="auto"/>
          <w:kern w:val="2"/>
          <w:sz w:val="72"/>
          <w:szCs w:val="24"/>
          <w:highlight w:val="none"/>
          <w:lang w:val="zh-CN"/>
        </w:rPr>
      </w:pPr>
      <w:r>
        <w:rPr>
          <w:rFonts w:hint="eastAsia" w:ascii="方正小标宋简体" w:hAnsi="方正小标宋简体" w:eastAsia="方正小标宋简体"/>
          <w:color w:val="auto"/>
          <w:kern w:val="2"/>
          <w:sz w:val="72"/>
          <w:szCs w:val="24"/>
          <w:highlight w:val="none"/>
          <w:lang w:val="zh-CN"/>
        </w:rPr>
        <w:t>2022年度</w:t>
      </w:r>
    </w:p>
    <w:p>
      <w:pPr>
        <w:shd w:val="clear"/>
        <w:spacing w:beforeLines="0" w:afterLines="0" w:line="360" w:lineRule="auto"/>
        <w:jc w:val="center"/>
        <w:outlineLvl w:val="0"/>
        <w:rPr>
          <w:rFonts w:hint="eastAsia" w:ascii="方正小标宋简体" w:hAnsi="方正小标宋简体" w:eastAsia="方正小标宋简体"/>
          <w:color w:val="auto"/>
          <w:kern w:val="2"/>
          <w:sz w:val="72"/>
          <w:szCs w:val="24"/>
          <w:highlight w:val="none"/>
          <w:lang w:val="zh-CN"/>
        </w:rPr>
      </w:pPr>
      <w:bookmarkStart w:id="0" w:name="_Toc1397"/>
      <w:bookmarkStart w:id="1" w:name="_Toc30672"/>
      <w:r>
        <w:rPr>
          <w:rFonts w:hint="eastAsia" w:ascii="方正小标宋简体" w:hAnsi="方正小标宋简体" w:eastAsia="方正小标宋简体"/>
          <w:color w:val="auto"/>
          <w:kern w:val="2"/>
          <w:sz w:val="72"/>
          <w:szCs w:val="24"/>
          <w:highlight w:val="none"/>
          <w:lang w:val="zh-CN"/>
        </w:rPr>
        <w:t>剑阁县人民法院</w:t>
      </w:r>
    </w:p>
    <w:p>
      <w:pPr>
        <w:shd w:val="clear"/>
        <w:spacing w:beforeLines="0" w:afterLines="0" w:line="360" w:lineRule="auto"/>
        <w:jc w:val="center"/>
        <w:outlineLvl w:val="0"/>
        <w:rPr>
          <w:rFonts w:hint="eastAsia" w:ascii="方正小标宋简体" w:hAnsi="方正小标宋简体" w:eastAsia="方正小标宋简体"/>
          <w:color w:val="auto"/>
          <w:kern w:val="2"/>
          <w:sz w:val="72"/>
          <w:szCs w:val="24"/>
          <w:highlight w:val="none"/>
          <w:lang w:val="zh-CN"/>
        </w:rPr>
      </w:pPr>
      <w:r>
        <w:rPr>
          <w:rFonts w:hint="eastAsia" w:ascii="方正小标宋简体" w:hAnsi="方正小标宋简体" w:eastAsia="方正小标宋简体"/>
          <w:color w:val="auto"/>
          <w:kern w:val="2"/>
          <w:sz w:val="72"/>
          <w:szCs w:val="24"/>
          <w:highlight w:val="none"/>
          <w:lang w:val="zh-CN"/>
        </w:rPr>
        <w:t>部门决算</w:t>
      </w:r>
      <w:bookmarkEnd w:id="0"/>
      <w:bookmarkEnd w:id="1"/>
    </w:p>
    <w:p>
      <w:pPr>
        <w:shd w:val="clear"/>
        <w:rPr>
          <w:rFonts w:hint="eastAsia"/>
          <w:color w:val="auto"/>
          <w:highlight w:val="none"/>
          <w:lang w:val="zh-CN"/>
        </w:rPr>
      </w:pPr>
      <w:r>
        <w:rPr>
          <w:rFonts w:hint="eastAsia" w:ascii="方正小标宋简体" w:hAnsi="方正小标宋简体" w:eastAsia="方正小标宋简体"/>
          <w:color w:val="auto"/>
          <w:kern w:val="2"/>
          <w:sz w:val="72"/>
          <w:szCs w:val="24"/>
          <w:highlight w:val="none"/>
          <w:lang w:val="zh-CN"/>
        </w:rPr>
        <w:br w:type="page"/>
      </w:r>
    </w:p>
    <w:p>
      <w:pPr>
        <w:shd w:val="clear"/>
        <w:spacing w:beforeLines="0" w:afterLines="0"/>
        <w:jc w:val="center"/>
        <w:rPr>
          <w:rFonts w:hint="eastAsia" w:ascii="黑体" w:hAnsi="黑体" w:eastAsia="黑体"/>
          <w:color w:val="auto"/>
          <w:kern w:val="2"/>
          <w:sz w:val="28"/>
          <w:szCs w:val="24"/>
          <w:highlight w:val="none"/>
          <w:lang w:val="zh-CN"/>
        </w:rPr>
      </w:pPr>
      <w:r>
        <w:rPr>
          <w:rFonts w:hint="eastAsia" w:ascii="黑体" w:hAnsi="黑体" w:eastAsia="黑体"/>
          <w:color w:val="auto"/>
          <w:kern w:val="2"/>
          <w:sz w:val="48"/>
          <w:szCs w:val="24"/>
          <w:highlight w:val="none"/>
          <w:lang w:val="zh-CN"/>
        </w:rPr>
        <w:t>目录</w:t>
      </w:r>
    </w:p>
    <w:p>
      <w:pPr>
        <w:shd w:val="clear"/>
        <w:tabs>
          <w:tab w:val="right" w:leader="dot" w:pos="8296"/>
        </w:tabs>
        <w:spacing w:before="93" w:beforeLines="0" w:afterLines="0"/>
        <w:jc w:val="center"/>
        <w:rPr>
          <w:rFonts w:hint="eastAsia" w:ascii="仿宋" w:hAnsi="仿宋" w:eastAsia="仿宋"/>
          <w:color w:val="auto"/>
          <w:kern w:val="2"/>
          <w:sz w:val="28"/>
          <w:szCs w:val="24"/>
          <w:highlight w:val="none"/>
          <w:lang w:val="zh-CN"/>
        </w:rPr>
      </w:pPr>
      <w:r>
        <w:rPr>
          <w:rFonts w:hint="eastAsia" w:ascii="仿宋" w:hAnsi="仿宋" w:eastAsia="仿宋"/>
          <w:color w:val="auto"/>
          <w:kern w:val="2"/>
          <w:sz w:val="28"/>
          <w:szCs w:val="24"/>
          <w:highlight w:val="none"/>
          <w:lang w:val="zh-CN"/>
        </w:rPr>
        <w:t>公开时间：2023年</w:t>
      </w:r>
      <w:r>
        <w:rPr>
          <w:rFonts w:hint="eastAsia" w:ascii="仿宋" w:hAnsi="仿宋" w:eastAsia="仿宋"/>
          <w:color w:val="auto"/>
          <w:kern w:val="2"/>
          <w:sz w:val="28"/>
          <w:szCs w:val="24"/>
          <w:highlight w:val="none"/>
          <w:lang w:val="en-US" w:eastAsia="zh-CN"/>
        </w:rPr>
        <w:t>10</w:t>
      </w:r>
      <w:r>
        <w:rPr>
          <w:rFonts w:hint="eastAsia" w:ascii="仿宋" w:hAnsi="仿宋" w:eastAsia="仿宋"/>
          <w:color w:val="auto"/>
          <w:kern w:val="2"/>
          <w:sz w:val="28"/>
          <w:szCs w:val="24"/>
          <w:highlight w:val="none"/>
          <w:lang w:val="zh-CN"/>
        </w:rPr>
        <w:t>月</w:t>
      </w:r>
      <w:r>
        <w:rPr>
          <w:rFonts w:hint="eastAsia" w:ascii="仿宋" w:hAnsi="仿宋" w:eastAsia="仿宋"/>
          <w:color w:val="auto"/>
          <w:kern w:val="2"/>
          <w:sz w:val="28"/>
          <w:szCs w:val="24"/>
          <w:highlight w:val="none"/>
          <w:lang w:val="en-US" w:eastAsia="zh-CN"/>
        </w:rPr>
        <w:t>7</w:t>
      </w:r>
      <w:r>
        <w:rPr>
          <w:rFonts w:hint="eastAsia" w:ascii="仿宋" w:hAnsi="仿宋" w:eastAsia="仿宋"/>
          <w:color w:val="auto"/>
          <w:kern w:val="2"/>
          <w:sz w:val="28"/>
          <w:szCs w:val="24"/>
          <w:highlight w:val="none"/>
          <w:lang w:val="zh-CN"/>
        </w:rPr>
        <w:t>日</w:t>
      </w:r>
    </w:p>
    <w:sdt>
      <w:sdtPr>
        <w:rPr>
          <w:rFonts w:hint="default" w:ascii="宋体" w:hAnsi="宋体" w:eastAsia="宋体" w:cs="Times New Roman"/>
          <w:color w:val="auto"/>
          <w:sz w:val="21"/>
          <w:szCs w:val="24"/>
          <w:highlight w:val="none"/>
        </w:rPr>
        <w:id w:val="147480863"/>
        <w15:color w:val="DBDBDB"/>
        <w:docPartObj>
          <w:docPartGallery w:val="Table of Contents"/>
          <w:docPartUnique/>
        </w:docPartObj>
      </w:sdtPr>
      <w:sdtEndPr>
        <w:rPr>
          <w:rFonts w:hint="eastAsia" w:ascii="仿宋_GB2312" w:hAnsi="Times New Roman" w:eastAsia="仿宋_GB2312" w:cs="Times New Roman"/>
          <w:b/>
          <w:color w:val="auto"/>
          <w:sz w:val="30"/>
          <w:szCs w:val="24"/>
          <w:highlight w:val="none"/>
          <w:lang w:val="zh-CN"/>
        </w:rPr>
      </w:sdtEndPr>
      <w:sdtContent>
        <w:p>
          <w:pPr>
            <w:pStyle w:val="2"/>
            <w:shd w:val="clear"/>
            <w:rPr>
              <w:rFonts w:hint="eastAsia" w:ascii="仿宋_GB2312" w:hAnsi="Times New Roman" w:eastAsia="仿宋_GB2312" w:cs="Times New Roman"/>
              <w:b/>
              <w:color w:val="auto"/>
              <w:sz w:val="30"/>
              <w:szCs w:val="24"/>
              <w:highlight w:val="none"/>
              <w:lang w:val="zh-CN"/>
            </w:rPr>
          </w:pPr>
          <w:r>
            <w:rPr>
              <w:rFonts w:hint="eastAsia"/>
              <w:color w:val="auto"/>
              <w:highlight w:val="none"/>
              <w:lang w:val="zh-CN"/>
            </w:rPr>
            <w:fldChar w:fldCharType="begin"/>
          </w:r>
          <w:r>
            <w:rPr>
              <w:rFonts w:hint="eastAsia"/>
              <w:color w:val="auto"/>
              <w:highlight w:val="none"/>
              <w:lang w:val="zh-CN"/>
            </w:rPr>
            <w:instrText xml:space="preserve">TOC \o "1-2" \h \u </w:instrText>
          </w:r>
          <w:r>
            <w:rPr>
              <w:rFonts w:hint="eastAsia"/>
              <w:color w:val="auto"/>
              <w:highlight w:val="none"/>
              <w:lang w:val="zh-CN"/>
            </w:rPr>
            <w:fldChar w:fldCharType="separate"/>
          </w:r>
        </w:p>
        <w:p>
          <w:pPr>
            <w:pStyle w:val="10"/>
            <w:shd w:val="clear"/>
            <w:tabs>
              <w:tab w:val="right" w:leader="dot" w:pos="9406"/>
              <w:tab w:val="clear" w:pos="8296"/>
            </w:tabs>
            <w:jc w:val="both"/>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_Toc16210 </w:instrText>
          </w:r>
          <w:r>
            <w:rPr>
              <w:rFonts w:hint="eastAsia"/>
              <w:color w:val="auto"/>
              <w:highlight w:val="none"/>
              <w:lang w:val="zh-CN"/>
            </w:rPr>
            <w:fldChar w:fldCharType="separate"/>
          </w:r>
          <w:r>
            <w:rPr>
              <w:rFonts w:hint="eastAsia" w:ascii="黑体" w:hAnsi="黑体" w:eastAsia="黑体" w:cs="Times New Roman"/>
              <w:bCs/>
              <w:color w:val="auto"/>
              <w:kern w:val="44"/>
              <w:szCs w:val="44"/>
              <w:highlight w:val="none"/>
              <w:lang w:val="en-US" w:eastAsia="zh-CN" w:bidi="ar-SA"/>
            </w:rPr>
            <w:t>第一部分</w:t>
          </w:r>
          <w:r>
            <w:rPr>
              <w:rFonts w:hint="eastAsia" w:ascii="黑体" w:hAnsi="黑体" w:eastAsia="黑体" w:cs="Times New Roman"/>
              <w:bCs w:val="0"/>
              <w:color w:val="auto"/>
              <w:kern w:val="44"/>
              <w:szCs w:val="44"/>
              <w:highlight w:val="none"/>
              <w:lang w:val="en-US" w:eastAsia="zh-CN" w:bidi="ar-SA"/>
            </w:rPr>
            <w:t>部门概况</w:t>
          </w:r>
          <w:r>
            <w:rPr>
              <w:color w:val="auto"/>
              <w:highlight w:val="none"/>
            </w:rPr>
            <w:tab/>
          </w:r>
          <w:r>
            <w:rPr>
              <w:color w:val="auto"/>
              <w:highlight w:val="none"/>
            </w:rPr>
            <w:fldChar w:fldCharType="begin"/>
          </w:r>
          <w:r>
            <w:rPr>
              <w:color w:val="auto"/>
              <w:highlight w:val="none"/>
            </w:rPr>
            <w:instrText xml:space="preserve"> PAGEREF _Toc16210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_Toc11416 </w:instrText>
          </w:r>
          <w:r>
            <w:rPr>
              <w:rFonts w:hint="eastAsia"/>
              <w:color w:val="auto"/>
              <w:highlight w:val="none"/>
              <w:lang w:val="zh-CN"/>
            </w:rPr>
            <w:fldChar w:fldCharType="separate"/>
          </w:r>
          <w:r>
            <w:rPr>
              <w:rFonts w:hint="eastAsia" w:ascii="黑体" w:hAnsi="黑体" w:eastAsia="黑体" w:cs="Times New Roman"/>
              <w:bCs/>
              <w:color w:val="auto"/>
              <w:kern w:val="2"/>
              <w:szCs w:val="32"/>
              <w:highlight w:val="none"/>
              <w:lang w:val="en-US" w:eastAsia="zh-CN" w:bidi="ar-SA"/>
            </w:rPr>
            <w:t>一、部门职责</w:t>
          </w:r>
          <w:r>
            <w:rPr>
              <w:color w:val="auto"/>
              <w:highlight w:val="none"/>
            </w:rPr>
            <w:tab/>
          </w:r>
          <w:r>
            <w:rPr>
              <w:color w:val="auto"/>
              <w:highlight w:val="none"/>
            </w:rPr>
            <w:fldChar w:fldCharType="begin"/>
          </w:r>
          <w:r>
            <w:rPr>
              <w:color w:val="auto"/>
              <w:highlight w:val="none"/>
            </w:rPr>
            <w:instrText xml:space="preserve"> PAGEREF _Toc11416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_Toc5090 </w:instrText>
          </w:r>
          <w:r>
            <w:rPr>
              <w:rFonts w:hint="eastAsia"/>
              <w:color w:val="auto"/>
              <w:highlight w:val="none"/>
              <w:lang w:val="zh-CN"/>
            </w:rPr>
            <w:fldChar w:fldCharType="separate"/>
          </w:r>
          <w:r>
            <w:rPr>
              <w:rFonts w:hint="eastAsia" w:ascii="黑体" w:hAnsi="黑体" w:eastAsia="黑体" w:cs="Times New Roman"/>
              <w:bCs/>
              <w:color w:val="auto"/>
              <w:kern w:val="2"/>
              <w:szCs w:val="32"/>
              <w:highlight w:val="none"/>
              <w:lang w:val="zh-CN" w:eastAsia="zh-CN" w:bidi="ar-SA"/>
            </w:rPr>
            <w:t>二、机构设置</w:t>
          </w:r>
          <w:r>
            <w:rPr>
              <w:color w:val="auto"/>
              <w:highlight w:val="none"/>
            </w:rPr>
            <w:tab/>
          </w:r>
          <w:r>
            <w:rPr>
              <w:color w:val="auto"/>
              <w:highlight w:val="none"/>
            </w:rPr>
            <w:fldChar w:fldCharType="begin"/>
          </w:r>
          <w:r>
            <w:rPr>
              <w:color w:val="auto"/>
              <w:highlight w:val="none"/>
            </w:rPr>
            <w:instrText xml:space="preserve"> PAGEREF _Toc5090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lang w:val="zh-CN"/>
            </w:rPr>
            <w:fldChar w:fldCharType="end"/>
          </w:r>
        </w:p>
        <w:p>
          <w:pPr>
            <w:pStyle w:val="10"/>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_Toc4513 </w:instrText>
          </w:r>
          <w:r>
            <w:rPr>
              <w:rFonts w:hint="eastAsia"/>
              <w:color w:val="auto"/>
              <w:highlight w:val="none"/>
              <w:lang w:val="zh-CN"/>
            </w:rPr>
            <w:fldChar w:fldCharType="separate"/>
          </w:r>
          <w:r>
            <w:rPr>
              <w:rFonts w:hint="eastAsia" w:ascii="黑体" w:hAnsi="黑体" w:eastAsia="黑体"/>
              <w:color w:val="auto"/>
              <w:kern w:val="44"/>
              <w:szCs w:val="24"/>
              <w:highlight w:val="none"/>
              <w:lang w:val="zh-CN"/>
            </w:rPr>
            <w:t>第二部分2022年度部门决算情况说明</w:t>
          </w:r>
          <w:r>
            <w:rPr>
              <w:color w:val="auto"/>
              <w:highlight w:val="none"/>
            </w:rPr>
            <w:tab/>
          </w:r>
          <w:r>
            <w:rPr>
              <w:color w:val="auto"/>
              <w:highlight w:val="none"/>
            </w:rPr>
            <w:fldChar w:fldCharType="begin"/>
          </w:r>
          <w:r>
            <w:rPr>
              <w:color w:val="auto"/>
              <w:highlight w:val="none"/>
            </w:rPr>
            <w:instrText xml:space="preserve"> PAGEREF _Toc4513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_Toc31421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一、收入支出决算总体情况说明</w:t>
          </w:r>
          <w:r>
            <w:rPr>
              <w:color w:val="auto"/>
              <w:highlight w:val="none"/>
            </w:rPr>
            <w:tab/>
          </w:r>
          <w:r>
            <w:rPr>
              <w:color w:val="auto"/>
              <w:highlight w:val="none"/>
            </w:rPr>
            <w:fldChar w:fldCharType="begin"/>
          </w:r>
          <w:r>
            <w:rPr>
              <w:color w:val="auto"/>
              <w:highlight w:val="none"/>
            </w:rPr>
            <w:instrText xml:space="preserve"> PAGEREF _Toc31421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_Toc24788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二、收入决算情况说明</w:t>
          </w:r>
          <w:r>
            <w:rPr>
              <w:color w:val="auto"/>
              <w:highlight w:val="none"/>
            </w:rPr>
            <w:tab/>
          </w:r>
          <w:r>
            <w:rPr>
              <w:color w:val="auto"/>
              <w:highlight w:val="none"/>
            </w:rPr>
            <w:fldChar w:fldCharType="begin"/>
          </w:r>
          <w:r>
            <w:rPr>
              <w:color w:val="auto"/>
              <w:highlight w:val="none"/>
            </w:rPr>
            <w:instrText xml:space="preserve"> PAGEREF _Toc24788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_Toc12545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三、支出决算情况说明</w:t>
          </w:r>
          <w:r>
            <w:rPr>
              <w:color w:val="auto"/>
              <w:highlight w:val="none"/>
            </w:rPr>
            <w:tab/>
          </w:r>
          <w:r>
            <w:rPr>
              <w:color w:val="auto"/>
              <w:highlight w:val="none"/>
            </w:rPr>
            <w:fldChar w:fldCharType="begin"/>
          </w:r>
          <w:r>
            <w:rPr>
              <w:color w:val="auto"/>
              <w:highlight w:val="none"/>
            </w:rPr>
            <w:instrText xml:space="preserve"> PAGEREF _Toc12545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_Toc17683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四、财政拨款收入支出决算总体情况说明</w:t>
          </w:r>
          <w:r>
            <w:rPr>
              <w:color w:val="auto"/>
              <w:highlight w:val="none"/>
            </w:rPr>
            <w:tab/>
          </w:r>
          <w:r>
            <w:rPr>
              <w:color w:val="auto"/>
              <w:highlight w:val="none"/>
            </w:rPr>
            <w:fldChar w:fldCharType="begin"/>
          </w:r>
          <w:r>
            <w:rPr>
              <w:color w:val="auto"/>
              <w:highlight w:val="none"/>
            </w:rPr>
            <w:instrText xml:space="preserve"> PAGEREF _Toc17683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_Toc5951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五、一般公共预算财政拨款支出决算情况说明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_Toc5951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_Toc24831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六、一般公共预算财政拨款基本支出决算情况说明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_Toc24831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_Toc16549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七、“三公”经费财政拨款支出决算情况说明</w:t>
          </w:r>
          <w:r>
            <w:rPr>
              <w:color w:val="auto"/>
              <w:highlight w:val="none"/>
            </w:rPr>
            <w:tab/>
          </w:r>
          <w:r>
            <w:rPr>
              <w:color w:val="auto"/>
              <w:highlight w:val="none"/>
            </w:rPr>
            <w:fldChar w:fldCharType="begin"/>
          </w:r>
          <w:r>
            <w:rPr>
              <w:color w:val="auto"/>
              <w:highlight w:val="none"/>
            </w:rPr>
            <w:instrText xml:space="preserve"> PAGEREF _Toc16549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_Toc12788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八、政府性基金预算支出决算情况说明</w:t>
          </w:r>
          <w:r>
            <w:rPr>
              <w:color w:val="auto"/>
              <w:highlight w:val="none"/>
            </w:rPr>
            <w:tab/>
          </w:r>
          <w:r>
            <w:rPr>
              <w:color w:val="auto"/>
              <w:highlight w:val="none"/>
            </w:rPr>
            <w:fldChar w:fldCharType="begin"/>
          </w:r>
          <w:r>
            <w:rPr>
              <w:color w:val="auto"/>
              <w:highlight w:val="none"/>
            </w:rPr>
            <w:instrText xml:space="preserve"> PAGEREF _Toc12788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_Toc6261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九、国有资本经营预算支出决算情况说明</w:t>
          </w:r>
          <w:r>
            <w:rPr>
              <w:color w:val="auto"/>
              <w:highlight w:val="none"/>
            </w:rPr>
            <w:tab/>
          </w:r>
          <w:r>
            <w:rPr>
              <w:color w:val="auto"/>
              <w:highlight w:val="none"/>
            </w:rPr>
            <w:fldChar w:fldCharType="begin"/>
          </w:r>
          <w:r>
            <w:rPr>
              <w:color w:val="auto"/>
              <w:highlight w:val="none"/>
            </w:rPr>
            <w:instrText xml:space="preserve"> PAGEREF _Toc6261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_Toc13339 </w:instrText>
          </w:r>
          <w:r>
            <w:rPr>
              <w:rFonts w:hint="eastAsia"/>
              <w:color w:val="auto"/>
              <w:highlight w:val="none"/>
              <w:lang w:val="zh-CN"/>
            </w:rPr>
            <w:fldChar w:fldCharType="separate"/>
          </w:r>
          <w:r>
            <w:rPr>
              <w:rFonts w:hint="eastAsia" w:ascii="黑体" w:hAnsi="黑体" w:eastAsia="黑体"/>
              <w:color w:val="auto"/>
              <w:kern w:val="2"/>
              <w:szCs w:val="24"/>
              <w:highlight w:val="none"/>
              <w:lang w:val="zh-CN"/>
            </w:rPr>
            <w:t>十、其他重要事项的情况说明</w:t>
          </w:r>
          <w:r>
            <w:rPr>
              <w:color w:val="auto"/>
              <w:highlight w:val="none"/>
            </w:rPr>
            <w:tab/>
          </w:r>
          <w:r>
            <w:rPr>
              <w:color w:val="auto"/>
              <w:highlight w:val="none"/>
            </w:rPr>
            <w:fldChar w:fldCharType="begin"/>
          </w:r>
          <w:r>
            <w:rPr>
              <w:color w:val="auto"/>
              <w:highlight w:val="none"/>
            </w:rPr>
            <w:instrText xml:space="preserve"> PAGEREF _Toc13339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lang w:val="zh-CN"/>
            </w:rPr>
            <w:fldChar w:fldCharType="end"/>
          </w:r>
        </w:p>
        <w:p>
          <w:pPr>
            <w:pStyle w:val="10"/>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_Toc14428 </w:instrText>
          </w:r>
          <w:r>
            <w:rPr>
              <w:rFonts w:hint="eastAsia"/>
              <w:color w:val="auto"/>
              <w:highlight w:val="none"/>
              <w:lang w:val="zh-CN"/>
            </w:rPr>
            <w:fldChar w:fldCharType="separate"/>
          </w:r>
          <w:r>
            <w:rPr>
              <w:rFonts w:hint="default" w:ascii="黑体" w:hAnsi="黑体" w:eastAsia="黑体"/>
              <w:color w:val="auto"/>
              <w:kern w:val="44"/>
              <w:szCs w:val="24"/>
              <w:highlight w:val="none"/>
              <w:lang w:val="zh-CN"/>
            </w:rPr>
            <w:t>第三部分</w:t>
          </w:r>
          <w:r>
            <w:rPr>
              <w:rFonts w:hint="eastAsia" w:ascii="黑体" w:hAnsi="黑体" w:eastAsia="黑体"/>
              <w:color w:val="auto"/>
              <w:kern w:val="2"/>
              <w:szCs w:val="24"/>
              <w:highlight w:val="none"/>
              <w:lang w:val="zh-CN"/>
            </w:rPr>
            <w:t>名</w:t>
          </w:r>
          <w:r>
            <w:rPr>
              <w:rFonts w:hint="eastAsia" w:ascii="黑体" w:hAnsi="黑体" w:eastAsia="黑体"/>
              <w:color w:val="auto"/>
              <w:kern w:val="44"/>
              <w:szCs w:val="24"/>
              <w:highlight w:val="none"/>
              <w:lang w:val="zh-CN"/>
            </w:rPr>
            <w:t>词解释</w:t>
          </w:r>
          <w:r>
            <w:rPr>
              <w:color w:val="auto"/>
              <w:highlight w:val="none"/>
            </w:rPr>
            <w:tab/>
          </w:r>
          <w:r>
            <w:rPr>
              <w:color w:val="auto"/>
              <w:highlight w:val="none"/>
            </w:rPr>
            <w:fldChar w:fldCharType="begin"/>
          </w:r>
          <w:r>
            <w:rPr>
              <w:color w:val="auto"/>
              <w:highlight w:val="none"/>
            </w:rPr>
            <w:instrText xml:space="preserve"> PAGEREF _Toc14428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lang w:val="zh-CN"/>
            </w:rPr>
            <w:fldChar w:fldCharType="end"/>
          </w:r>
        </w:p>
        <w:p>
          <w:pPr>
            <w:pStyle w:val="10"/>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_Toc7385 </w:instrText>
          </w:r>
          <w:r>
            <w:rPr>
              <w:rFonts w:hint="eastAsia"/>
              <w:color w:val="auto"/>
              <w:highlight w:val="none"/>
              <w:lang w:val="zh-CN"/>
            </w:rPr>
            <w:fldChar w:fldCharType="separate"/>
          </w:r>
          <w:r>
            <w:rPr>
              <w:rFonts w:hint="eastAsia" w:ascii="黑体" w:hAnsi="黑体" w:eastAsia="黑体"/>
              <w:color w:val="auto"/>
              <w:kern w:val="2"/>
              <w:szCs w:val="24"/>
              <w:highlight w:val="none"/>
              <w:lang w:val="en-US"/>
            </w:rPr>
            <w:t>第</w:t>
          </w:r>
          <w:r>
            <w:rPr>
              <w:rFonts w:hint="eastAsia" w:ascii="黑体" w:hAnsi="黑体" w:eastAsia="黑体"/>
              <w:color w:val="auto"/>
              <w:kern w:val="44"/>
              <w:szCs w:val="24"/>
              <w:highlight w:val="none"/>
              <w:lang w:val="en-US"/>
            </w:rPr>
            <w:t>四部分附件</w:t>
          </w:r>
          <w:r>
            <w:rPr>
              <w:color w:val="auto"/>
              <w:highlight w:val="none"/>
            </w:rPr>
            <w:tab/>
          </w:r>
          <w:r>
            <w:rPr>
              <w:color w:val="auto"/>
              <w:highlight w:val="none"/>
            </w:rPr>
            <w:fldChar w:fldCharType="begin"/>
          </w:r>
          <w:r>
            <w:rPr>
              <w:color w:val="auto"/>
              <w:highlight w:val="none"/>
            </w:rPr>
            <w:instrText xml:space="preserve"> PAGEREF _Toc7385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lang w:val="zh-CN"/>
            </w:rPr>
            <w:fldChar w:fldCharType="end"/>
          </w:r>
        </w:p>
        <w:p>
          <w:pPr>
            <w:pStyle w:val="10"/>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_Toc18334 </w:instrText>
          </w:r>
          <w:r>
            <w:rPr>
              <w:rFonts w:hint="eastAsia"/>
              <w:color w:val="auto"/>
              <w:highlight w:val="none"/>
              <w:lang w:val="zh-CN"/>
            </w:rPr>
            <w:fldChar w:fldCharType="separate"/>
          </w:r>
          <w:r>
            <w:rPr>
              <w:rFonts w:hint="eastAsia" w:ascii="黑体" w:hAnsi="黑体" w:eastAsia="黑体"/>
              <w:color w:val="auto"/>
              <w:kern w:val="2"/>
              <w:szCs w:val="24"/>
              <w:highlight w:val="none"/>
              <w:lang w:val="en-US"/>
            </w:rPr>
            <w:t>第</w:t>
          </w:r>
          <w:r>
            <w:rPr>
              <w:rFonts w:hint="eastAsia" w:ascii="黑体" w:hAnsi="黑体" w:eastAsia="黑体"/>
              <w:color w:val="auto"/>
              <w:kern w:val="44"/>
              <w:szCs w:val="24"/>
              <w:highlight w:val="none"/>
              <w:lang w:val="en-US"/>
            </w:rPr>
            <w:t>五部分附表</w:t>
          </w:r>
          <w:r>
            <w:rPr>
              <w:color w:val="auto"/>
              <w:highlight w:val="none"/>
            </w:rPr>
            <w:tab/>
          </w:r>
          <w:r>
            <w:rPr>
              <w:color w:val="auto"/>
              <w:highlight w:val="none"/>
            </w:rPr>
            <w:fldChar w:fldCharType="begin"/>
          </w:r>
          <w:r>
            <w:rPr>
              <w:color w:val="auto"/>
              <w:highlight w:val="none"/>
            </w:rPr>
            <w:instrText xml:space="preserve"> PAGEREF _Toc18334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_Toc26265 </w:instrText>
          </w:r>
          <w:r>
            <w:rPr>
              <w:rFonts w:hint="eastAsia"/>
              <w:color w:val="auto"/>
              <w:highlight w:val="none"/>
              <w:lang w:val="zh-CN"/>
            </w:rPr>
            <w:fldChar w:fldCharType="separate"/>
          </w:r>
          <w:r>
            <w:rPr>
              <w:rFonts w:hint="eastAsia"/>
              <w:color w:val="auto"/>
              <w:highlight w:val="none"/>
              <w:lang w:val="en-US"/>
            </w:rPr>
            <w:t>一、收入支出决算总表</w:t>
          </w:r>
          <w:r>
            <w:rPr>
              <w:color w:val="auto"/>
              <w:highlight w:val="none"/>
            </w:rPr>
            <w:tab/>
          </w:r>
          <w:r>
            <w:rPr>
              <w:color w:val="auto"/>
              <w:highlight w:val="none"/>
            </w:rPr>
            <w:fldChar w:fldCharType="begin"/>
          </w:r>
          <w:r>
            <w:rPr>
              <w:color w:val="auto"/>
              <w:highlight w:val="none"/>
            </w:rPr>
            <w:instrText xml:space="preserve"> PAGEREF _Toc26265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_Toc1943 </w:instrText>
          </w:r>
          <w:r>
            <w:rPr>
              <w:rFonts w:hint="eastAsia"/>
              <w:color w:val="auto"/>
              <w:highlight w:val="none"/>
              <w:lang w:val="zh-CN"/>
            </w:rPr>
            <w:fldChar w:fldCharType="separate"/>
          </w:r>
          <w:r>
            <w:rPr>
              <w:rFonts w:hint="eastAsia"/>
              <w:color w:val="auto"/>
              <w:highlight w:val="none"/>
              <w:lang w:val="en-US"/>
            </w:rPr>
            <w:t>二、收入决算表</w:t>
          </w:r>
          <w:r>
            <w:rPr>
              <w:color w:val="auto"/>
              <w:highlight w:val="none"/>
            </w:rPr>
            <w:tab/>
          </w:r>
          <w:r>
            <w:rPr>
              <w:color w:val="auto"/>
              <w:highlight w:val="none"/>
            </w:rPr>
            <w:fldChar w:fldCharType="begin"/>
          </w:r>
          <w:r>
            <w:rPr>
              <w:color w:val="auto"/>
              <w:highlight w:val="none"/>
            </w:rPr>
            <w:instrText xml:space="preserve"> PAGEREF _Toc1943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_Toc576 </w:instrText>
          </w:r>
          <w:r>
            <w:rPr>
              <w:rFonts w:hint="eastAsia"/>
              <w:color w:val="auto"/>
              <w:highlight w:val="none"/>
              <w:lang w:val="zh-CN"/>
            </w:rPr>
            <w:fldChar w:fldCharType="separate"/>
          </w:r>
          <w:r>
            <w:rPr>
              <w:rFonts w:hint="eastAsia"/>
              <w:color w:val="auto"/>
              <w:highlight w:val="none"/>
              <w:lang w:val="en-US"/>
            </w:rPr>
            <w:t>三、支出决算表</w:t>
          </w:r>
          <w:r>
            <w:rPr>
              <w:color w:val="auto"/>
              <w:highlight w:val="none"/>
            </w:rPr>
            <w:tab/>
          </w:r>
          <w:r>
            <w:rPr>
              <w:color w:val="auto"/>
              <w:highlight w:val="none"/>
            </w:rPr>
            <w:fldChar w:fldCharType="begin"/>
          </w:r>
          <w:r>
            <w:rPr>
              <w:color w:val="auto"/>
              <w:highlight w:val="none"/>
            </w:rPr>
            <w:instrText xml:space="preserve"> PAGEREF _Toc576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_Toc13068 </w:instrText>
          </w:r>
          <w:r>
            <w:rPr>
              <w:rFonts w:hint="eastAsia"/>
              <w:color w:val="auto"/>
              <w:highlight w:val="none"/>
              <w:lang w:val="zh-CN"/>
            </w:rPr>
            <w:fldChar w:fldCharType="separate"/>
          </w:r>
          <w:r>
            <w:rPr>
              <w:rFonts w:hint="eastAsia"/>
              <w:color w:val="auto"/>
              <w:highlight w:val="none"/>
              <w:lang w:val="en-US"/>
            </w:rPr>
            <w:t>四、财政拨款收入支出决算总表</w:t>
          </w:r>
          <w:r>
            <w:rPr>
              <w:color w:val="auto"/>
              <w:highlight w:val="none"/>
            </w:rPr>
            <w:tab/>
          </w:r>
          <w:r>
            <w:rPr>
              <w:color w:val="auto"/>
              <w:highlight w:val="none"/>
            </w:rPr>
            <w:fldChar w:fldCharType="begin"/>
          </w:r>
          <w:r>
            <w:rPr>
              <w:color w:val="auto"/>
              <w:highlight w:val="none"/>
            </w:rPr>
            <w:instrText xml:space="preserve"> PAGEREF _Toc13068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_Toc20799 </w:instrText>
          </w:r>
          <w:r>
            <w:rPr>
              <w:rFonts w:hint="eastAsia"/>
              <w:color w:val="auto"/>
              <w:highlight w:val="none"/>
              <w:lang w:val="zh-CN"/>
            </w:rPr>
            <w:fldChar w:fldCharType="separate"/>
          </w:r>
          <w:r>
            <w:rPr>
              <w:rFonts w:hint="eastAsia"/>
              <w:color w:val="auto"/>
              <w:highlight w:val="none"/>
              <w:lang w:val="en-US"/>
            </w:rPr>
            <w:t>五、财政拨款支出决算明细表</w:t>
          </w:r>
          <w:r>
            <w:rPr>
              <w:color w:val="auto"/>
              <w:highlight w:val="none"/>
            </w:rPr>
            <w:tab/>
          </w:r>
          <w:r>
            <w:rPr>
              <w:color w:val="auto"/>
              <w:highlight w:val="none"/>
            </w:rPr>
            <w:fldChar w:fldCharType="begin"/>
          </w:r>
          <w:r>
            <w:rPr>
              <w:color w:val="auto"/>
              <w:highlight w:val="none"/>
            </w:rPr>
            <w:instrText xml:space="preserve"> PAGEREF _Toc20799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_Toc27662 </w:instrText>
          </w:r>
          <w:r>
            <w:rPr>
              <w:rFonts w:hint="eastAsia"/>
              <w:color w:val="auto"/>
              <w:highlight w:val="none"/>
              <w:lang w:val="zh-CN"/>
            </w:rPr>
            <w:fldChar w:fldCharType="separate"/>
          </w:r>
          <w:r>
            <w:rPr>
              <w:rFonts w:hint="eastAsia"/>
              <w:color w:val="auto"/>
              <w:highlight w:val="none"/>
              <w:lang w:val="en-US"/>
            </w:rPr>
            <w:t>六、一般公共预算财政拨款支出决算表</w:t>
          </w:r>
          <w:r>
            <w:rPr>
              <w:color w:val="auto"/>
              <w:highlight w:val="none"/>
            </w:rPr>
            <w:tab/>
          </w:r>
          <w:r>
            <w:rPr>
              <w:color w:val="auto"/>
              <w:highlight w:val="none"/>
            </w:rPr>
            <w:fldChar w:fldCharType="begin"/>
          </w:r>
          <w:r>
            <w:rPr>
              <w:color w:val="auto"/>
              <w:highlight w:val="none"/>
            </w:rPr>
            <w:instrText xml:space="preserve"> PAGEREF _Toc27662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_Toc26075 </w:instrText>
          </w:r>
          <w:r>
            <w:rPr>
              <w:rFonts w:hint="eastAsia"/>
              <w:color w:val="auto"/>
              <w:highlight w:val="none"/>
              <w:lang w:val="zh-CN"/>
            </w:rPr>
            <w:fldChar w:fldCharType="separate"/>
          </w:r>
          <w:r>
            <w:rPr>
              <w:rFonts w:hint="eastAsia"/>
              <w:color w:val="auto"/>
              <w:highlight w:val="none"/>
              <w:lang w:val="en-US"/>
            </w:rPr>
            <w:t>七、一般公共预算财政拨款支出决算明细表</w:t>
          </w:r>
          <w:r>
            <w:rPr>
              <w:color w:val="auto"/>
              <w:highlight w:val="none"/>
            </w:rPr>
            <w:tab/>
          </w:r>
          <w:r>
            <w:rPr>
              <w:color w:val="auto"/>
              <w:highlight w:val="none"/>
            </w:rPr>
            <w:fldChar w:fldCharType="begin"/>
          </w:r>
          <w:r>
            <w:rPr>
              <w:color w:val="auto"/>
              <w:highlight w:val="none"/>
            </w:rPr>
            <w:instrText xml:space="preserve"> PAGEREF _Toc26075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_Toc23163 </w:instrText>
          </w:r>
          <w:r>
            <w:rPr>
              <w:rFonts w:hint="eastAsia"/>
              <w:color w:val="auto"/>
              <w:highlight w:val="none"/>
              <w:lang w:val="zh-CN"/>
            </w:rPr>
            <w:fldChar w:fldCharType="separate"/>
          </w:r>
          <w:r>
            <w:rPr>
              <w:rFonts w:hint="eastAsia"/>
              <w:color w:val="auto"/>
              <w:highlight w:val="none"/>
              <w:lang w:val="en-US"/>
            </w:rPr>
            <w:t>八、一般公共预算财政拨款基本支出决算表</w:t>
          </w:r>
          <w:r>
            <w:rPr>
              <w:color w:val="auto"/>
              <w:highlight w:val="none"/>
            </w:rPr>
            <w:tab/>
          </w:r>
          <w:r>
            <w:rPr>
              <w:color w:val="auto"/>
              <w:highlight w:val="none"/>
            </w:rPr>
            <w:fldChar w:fldCharType="begin"/>
          </w:r>
          <w:r>
            <w:rPr>
              <w:color w:val="auto"/>
              <w:highlight w:val="none"/>
            </w:rPr>
            <w:instrText xml:space="preserve"> PAGEREF _Toc23163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_Toc21623 </w:instrText>
          </w:r>
          <w:r>
            <w:rPr>
              <w:rFonts w:hint="eastAsia"/>
              <w:color w:val="auto"/>
              <w:highlight w:val="none"/>
              <w:lang w:val="zh-CN"/>
            </w:rPr>
            <w:fldChar w:fldCharType="separate"/>
          </w:r>
          <w:r>
            <w:rPr>
              <w:rFonts w:hint="eastAsia"/>
              <w:color w:val="auto"/>
              <w:highlight w:val="none"/>
              <w:lang w:val="en-US"/>
            </w:rPr>
            <w:t>九、一般公共预算财政拨款项目支出决算表</w:t>
          </w:r>
          <w:r>
            <w:rPr>
              <w:color w:val="auto"/>
              <w:highlight w:val="none"/>
            </w:rPr>
            <w:tab/>
          </w:r>
          <w:r>
            <w:rPr>
              <w:color w:val="auto"/>
              <w:highlight w:val="none"/>
            </w:rPr>
            <w:fldChar w:fldCharType="begin"/>
          </w:r>
          <w:r>
            <w:rPr>
              <w:color w:val="auto"/>
              <w:highlight w:val="none"/>
            </w:rPr>
            <w:instrText xml:space="preserve"> PAGEREF _Toc21623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_Toc9502 </w:instrText>
          </w:r>
          <w:r>
            <w:rPr>
              <w:rFonts w:hint="eastAsia"/>
              <w:color w:val="auto"/>
              <w:highlight w:val="none"/>
              <w:lang w:val="zh-CN"/>
            </w:rPr>
            <w:fldChar w:fldCharType="separate"/>
          </w:r>
          <w:r>
            <w:rPr>
              <w:rFonts w:hint="eastAsia"/>
              <w:color w:val="auto"/>
              <w:highlight w:val="none"/>
              <w:lang w:val="en-US"/>
            </w:rPr>
            <w:t>十、政府性基金预算财政拨款收入支出决算表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_Toc9502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_Toc25794 </w:instrText>
          </w:r>
          <w:r>
            <w:rPr>
              <w:rFonts w:hint="eastAsia"/>
              <w:color w:val="auto"/>
              <w:highlight w:val="none"/>
              <w:lang w:val="zh-CN"/>
            </w:rPr>
            <w:fldChar w:fldCharType="separate"/>
          </w:r>
          <w:r>
            <w:rPr>
              <w:rFonts w:hint="eastAsia"/>
              <w:color w:val="auto"/>
              <w:highlight w:val="none"/>
              <w:lang w:val="en-US"/>
            </w:rPr>
            <w:t>十一、国有资本经营预算财政拨款收入支出决算表</w:t>
          </w:r>
          <w:r>
            <w:rPr>
              <w:color w:val="auto"/>
              <w:highlight w:val="none"/>
            </w:rPr>
            <w:tab/>
          </w:r>
          <w:r>
            <w:rPr>
              <w:color w:val="auto"/>
              <w:highlight w:val="none"/>
            </w:rPr>
            <w:fldChar w:fldCharType="begin"/>
          </w:r>
          <w:r>
            <w:rPr>
              <w:color w:val="auto"/>
              <w:highlight w:val="none"/>
            </w:rPr>
            <w:instrText xml:space="preserve"> PAGEREF _Toc25794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_Toc2232 </w:instrText>
          </w:r>
          <w:r>
            <w:rPr>
              <w:rFonts w:hint="eastAsia"/>
              <w:color w:val="auto"/>
              <w:highlight w:val="none"/>
              <w:lang w:val="zh-CN"/>
            </w:rPr>
            <w:fldChar w:fldCharType="separate"/>
          </w:r>
          <w:r>
            <w:rPr>
              <w:rFonts w:hint="eastAsia"/>
              <w:color w:val="auto"/>
              <w:highlight w:val="none"/>
              <w:lang w:val="en-US"/>
            </w:rPr>
            <w:t>十二、国有资本经营预算财政拨款支出决算表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_Toc2232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pStyle w:val="11"/>
            <w:shd w:val="clear"/>
            <w:tabs>
              <w:tab w:val="right" w:leader="dot" w:pos="9406"/>
              <w:tab w:val="clear" w:pos="8296"/>
            </w:tabs>
            <w:rPr>
              <w:color w:val="auto"/>
              <w:highlight w:val="none"/>
            </w:rPr>
          </w:pPr>
          <w:r>
            <w:rPr>
              <w:rFonts w:hint="eastAsia"/>
              <w:color w:val="auto"/>
              <w:highlight w:val="none"/>
              <w:lang w:val="zh-CN"/>
            </w:rPr>
            <w:fldChar w:fldCharType="begin"/>
          </w:r>
          <w:r>
            <w:rPr>
              <w:rFonts w:hint="eastAsia"/>
              <w:color w:val="auto"/>
              <w:highlight w:val="none"/>
              <w:lang w:val="zh-CN"/>
            </w:rPr>
            <w:instrText xml:space="preserve"> HYPERLINK \l _Toc19747 </w:instrText>
          </w:r>
          <w:r>
            <w:rPr>
              <w:rFonts w:hint="eastAsia"/>
              <w:color w:val="auto"/>
              <w:highlight w:val="none"/>
              <w:lang w:val="zh-CN"/>
            </w:rPr>
            <w:fldChar w:fldCharType="separate"/>
          </w:r>
          <w:r>
            <w:rPr>
              <w:rFonts w:hint="eastAsia"/>
              <w:color w:val="auto"/>
              <w:highlight w:val="none"/>
              <w:lang w:val="en-US"/>
            </w:rPr>
            <w:t>十三、财政拨款“三公”经费支出决算表</w:t>
          </w:r>
          <w:r>
            <w:rPr>
              <w:color w:val="auto"/>
              <w:highlight w:val="none"/>
            </w:rPr>
            <w:tab/>
          </w:r>
          <w:r>
            <w:rPr>
              <w:color w:val="auto"/>
              <w:highlight w:val="none"/>
            </w:rPr>
            <w:fldChar w:fldCharType="begin"/>
          </w:r>
          <w:r>
            <w:rPr>
              <w:color w:val="auto"/>
              <w:highlight w:val="none"/>
            </w:rPr>
            <w:instrText xml:space="preserve"> PAGEREF _Toc19747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zh-CN"/>
            </w:rPr>
            <w:fldChar w:fldCharType="end"/>
          </w:r>
        </w:p>
        <w:p>
          <w:pPr>
            <w:shd w:val="clear"/>
            <w:spacing w:before="0" w:beforeLines="0" w:after="0" w:afterLines="0" w:line="240" w:lineRule="auto"/>
            <w:ind w:left="0" w:leftChars="0" w:right="0" w:rightChars="0" w:firstLine="0" w:firstLineChars="0"/>
            <w:jc w:val="center"/>
            <w:rPr>
              <w:rFonts w:hint="eastAsia"/>
              <w:b/>
              <w:color w:val="auto"/>
              <w:highlight w:val="none"/>
              <w:lang w:val="zh-CN"/>
            </w:rPr>
            <w:sectPr>
              <w:footerReference r:id="rId4" w:type="default"/>
              <w:pgSz w:w="12240" w:h="15840"/>
              <w:pgMar w:top="1440" w:right="1417" w:bottom="1440" w:left="1417" w:header="720" w:footer="720" w:gutter="0"/>
              <w:lnNumType w:countBy="0" w:distance="360"/>
              <w:pgNumType w:start="1"/>
              <w:cols w:space="720" w:num="1"/>
            </w:sectPr>
          </w:pPr>
          <w:r>
            <w:rPr>
              <w:rFonts w:hint="eastAsia"/>
              <w:b/>
              <w:color w:val="auto"/>
              <w:highlight w:val="none"/>
              <w:lang w:val="zh-CN"/>
            </w:rPr>
            <w:fldChar w:fldCharType="end"/>
          </w:r>
        </w:p>
        <w:p>
          <w:pPr>
            <w:shd w:val="clear"/>
            <w:spacing w:before="0" w:beforeLines="0" w:after="0" w:afterLines="0" w:line="240" w:lineRule="auto"/>
            <w:ind w:left="0" w:leftChars="0" w:right="0" w:rightChars="0" w:firstLine="0" w:firstLineChars="0"/>
            <w:jc w:val="center"/>
            <w:rPr>
              <w:rFonts w:hint="eastAsia" w:ascii="黑体" w:hAnsi="黑体" w:eastAsia="黑体" w:cs="Times New Roman"/>
              <w:b w:val="0"/>
              <w:bCs/>
              <w:color w:val="auto"/>
              <w:kern w:val="44"/>
              <w:sz w:val="44"/>
              <w:szCs w:val="44"/>
              <w:highlight w:val="none"/>
              <w:lang w:val="en-US" w:eastAsia="zh-CN" w:bidi="ar-SA"/>
            </w:rPr>
          </w:pPr>
        </w:p>
      </w:sdtContent>
    </w:sdt>
    <w:p>
      <w:pPr>
        <w:keepNext/>
        <w:keepLines/>
        <w:widowControl w:val="0"/>
        <w:shd w:val="clear"/>
        <w:spacing w:before="340" w:after="330" w:line="578" w:lineRule="auto"/>
        <w:ind w:firstLine="2640" w:firstLineChars="600"/>
        <w:jc w:val="both"/>
        <w:outlineLvl w:val="0"/>
        <w:rPr>
          <w:rFonts w:hint="eastAsia" w:ascii="仿宋_GB2312" w:hAnsi="仿宋_GB2312" w:eastAsia="仿宋_GB2312" w:cs="仿宋_GB2312"/>
          <w:color w:val="auto"/>
          <w:sz w:val="32"/>
          <w:szCs w:val="32"/>
          <w:highlight w:val="none"/>
          <w:lang w:val="zh-CN"/>
        </w:rPr>
      </w:pPr>
      <w:bookmarkStart w:id="2" w:name="_Toc16210"/>
      <w:r>
        <w:rPr>
          <w:rFonts w:hint="eastAsia" w:ascii="黑体" w:hAnsi="黑体" w:eastAsia="黑体" w:cs="Times New Roman"/>
          <w:b w:val="0"/>
          <w:bCs/>
          <w:color w:val="auto"/>
          <w:kern w:val="44"/>
          <w:sz w:val="44"/>
          <w:szCs w:val="44"/>
          <w:highlight w:val="none"/>
          <w:lang w:val="en-US" w:eastAsia="zh-CN" w:bidi="ar-SA"/>
        </w:rPr>
        <w:t>第一部分</w:t>
      </w:r>
      <w:r>
        <w:rPr>
          <w:rFonts w:hint="eastAsia" w:ascii="黑体" w:hAnsi="黑体" w:eastAsia="黑体" w:cs="Times New Roman"/>
          <w:b w:val="0"/>
          <w:bCs w:val="0"/>
          <w:color w:val="auto"/>
          <w:kern w:val="44"/>
          <w:sz w:val="44"/>
          <w:szCs w:val="44"/>
          <w:highlight w:val="none"/>
          <w:lang w:val="en-US" w:eastAsia="zh-CN" w:bidi="ar-SA"/>
        </w:rPr>
        <w:t>部门概况</w:t>
      </w:r>
      <w:bookmarkEnd w:id="2"/>
    </w:p>
    <w:p>
      <w:pPr>
        <w:keepNext/>
        <w:keepLines/>
        <w:widowControl w:val="0"/>
        <w:shd w:val="clear"/>
        <w:spacing w:before="260" w:after="260" w:line="416" w:lineRule="auto"/>
        <w:jc w:val="both"/>
        <w:outlineLvl w:val="1"/>
        <w:rPr>
          <w:rFonts w:hint="eastAsia" w:ascii="仿宋" w:hAnsi="仿宋" w:eastAsia="黑体" w:cs="Times New Roman"/>
          <w:b w:val="0"/>
          <w:bCs w:val="0"/>
          <w:color w:val="auto"/>
          <w:kern w:val="2"/>
          <w:sz w:val="32"/>
          <w:szCs w:val="32"/>
          <w:highlight w:val="none"/>
          <w:lang w:val="en-US" w:eastAsia="zh-CN" w:bidi="ar-SA"/>
        </w:rPr>
      </w:pPr>
      <w:bookmarkStart w:id="3" w:name="_Toc15377197"/>
      <w:bookmarkStart w:id="4" w:name="_Toc15396600"/>
      <w:bookmarkStart w:id="5" w:name="_Toc11416"/>
      <w:r>
        <w:rPr>
          <w:rFonts w:hint="eastAsia" w:ascii="黑体" w:hAnsi="黑体" w:eastAsia="黑体" w:cs="Times New Roman"/>
          <w:b w:val="0"/>
          <w:bCs/>
          <w:color w:val="auto"/>
          <w:kern w:val="2"/>
          <w:sz w:val="32"/>
          <w:szCs w:val="32"/>
          <w:highlight w:val="none"/>
          <w:lang w:val="en-US" w:eastAsia="zh-CN" w:bidi="ar-SA"/>
        </w:rPr>
        <w:t>一、</w:t>
      </w:r>
      <w:bookmarkEnd w:id="3"/>
      <w:bookmarkEnd w:id="4"/>
      <w:r>
        <w:rPr>
          <w:rFonts w:hint="eastAsia" w:ascii="黑体" w:hAnsi="黑体" w:eastAsia="黑体" w:cs="Times New Roman"/>
          <w:b w:val="0"/>
          <w:bCs/>
          <w:color w:val="auto"/>
          <w:kern w:val="2"/>
          <w:sz w:val="32"/>
          <w:szCs w:val="32"/>
          <w:highlight w:val="none"/>
          <w:lang w:val="en-US" w:eastAsia="zh-CN" w:bidi="ar-SA"/>
        </w:rPr>
        <w:t>部门职责</w:t>
      </w:r>
      <w:bookmarkEnd w:id="5"/>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剑阁县人民法院是国家审判机关，对剑阁县人民代表大会及其常务委员会负责并报告工作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其主要职</w:t>
      </w:r>
      <w:r>
        <w:rPr>
          <w:rFonts w:hint="eastAsia" w:ascii="仿宋_GB2312" w:hAnsi="仿宋_GB2312" w:eastAsia="仿宋_GB2312" w:cs="仿宋_GB2312"/>
          <w:color w:val="auto"/>
          <w:sz w:val="32"/>
          <w:szCs w:val="32"/>
          <w:highlight w:val="none"/>
          <w:lang w:eastAsia="zh-CN"/>
        </w:rPr>
        <w:t>能</w:t>
      </w:r>
      <w:r>
        <w:rPr>
          <w:rFonts w:hint="eastAsia" w:ascii="仿宋_GB2312" w:hAnsi="仿宋_GB2312" w:eastAsia="仿宋_GB2312" w:cs="仿宋_GB2312"/>
          <w:color w:val="auto"/>
          <w:sz w:val="32"/>
          <w:szCs w:val="32"/>
          <w:highlight w:val="none"/>
        </w:rPr>
        <w:t>是：</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1、依法审判法律规定由基层人民法院管辖的刑事、民事、行政等一审案件。</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2、审理上级人民法院指令再审和本院按审判监督程序进行再审的案件以及本院管辖的各类申诉案件。</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3、依法审判二审法院发回重审和本院管辖的由人民检察院提出的抗诉案件。</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4、依法审判上级法院指令管辖的各类案件。</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5、负责管理全县各人民法庭的审判工作。</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6、依法行使司法执行权和司法决定权。</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7、对案件审理中发现的问题提出司法建议。</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8、对本院的法官和其他工作人员进行思想教育，组织专业培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;按规定管理应属于本院管理的人员和业务。</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9、管理本院的有关经费和各类物资装备。</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10、通过审判工作宣传法制，教育公民忠于社会主义祖国、自觉遵守宪法、法律和社会公德。参与社会治安综合治理工作。</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11、负责本院监察工作。</w:t>
      </w:r>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12、承办其他应由本院负责的工作</w:t>
      </w:r>
    </w:p>
    <w:p>
      <w:pPr>
        <w:keepNext/>
        <w:keepLines/>
        <w:widowControl w:val="0"/>
        <w:shd w:val="clear"/>
        <w:spacing w:before="260" w:after="260" w:line="416" w:lineRule="auto"/>
        <w:jc w:val="both"/>
        <w:outlineLvl w:val="1"/>
        <w:rPr>
          <w:rFonts w:hint="eastAsia" w:ascii="黑体" w:hAnsi="黑体" w:eastAsia="黑体" w:cs="Times New Roman"/>
          <w:b w:val="0"/>
          <w:bCs/>
          <w:color w:val="auto"/>
          <w:kern w:val="2"/>
          <w:sz w:val="32"/>
          <w:szCs w:val="32"/>
          <w:highlight w:val="none"/>
          <w:lang w:val="zh-CN" w:eastAsia="zh-CN" w:bidi="ar-SA"/>
        </w:rPr>
      </w:pPr>
      <w:bookmarkStart w:id="6" w:name="_Toc5090"/>
      <w:r>
        <w:rPr>
          <w:rFonts w:hint="eastAsia" w:ascii="黑体" w:hAnsi="黑体" w:eastAsia="黑体" w:cs="Times New Roman"/>
          <w:b w:val="0"/>
          <w:bCs/>
          <w:color w:val="auto"/>
          <w:kern w:val="2"/>
          <w:sz w:val="32"/>
          <w:szCs w:val="32"/>
          <w:highlight w:val="none"/>
          <w:lang w:val="zh-CN" w:eastAsia="zh-CN" w:bidi="ar-SA"/>
        </w:rPr>
        <w:t>二、机构设置</w:t>
      </w:r>
      <w:bookmarkEnd w:id="6"/>
    </w:p>
    <w:p>
      <w:pPr>
        <w:keepNext w:val="0"/>
        <w:keepLines w:val="0"/>
        <w:pageBreakBefore w:val="0"/>
        <w:widowControl w:val="0"/>
        <w:shd w:val="clea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剑阁县人民法院属财政一级预算单位，下属二级预算单位0个，其中行政单位0个，参照公务员法管理的事业单位0个，其他事业单位0个。</w:t>
      </w:r>
    </w:p>
    <w:p>
      <w:pPr>
        <w:pStyle w:val="3"/>
        <w:keepNext/>
        <w:keepLines/>
        <w:shd w:val="clear"/>
        <w:spacing w:before="340" w:beforeLines="0" w:after="330" w:afterLines="0" w:line="576" w:lineRule="exact"/>
        <w:ind w:right="442" w:firstLine="880"/>
        <w:jc w:val="center"/>
        <w:rPr>
          <w:rFonts w:hint="eastAsia" w:ascii="Times New Roman" w:hAnsi="Times New Roman" w:eastAsia="Times New Roman"/>
          <w:b/>
          <w:color w:val="auto"/>
          <w:kern w:val="44"/>
          <w:sz w:val="44"/>
          <w:szCs w:val="24"/>
          <w:highlight w:val="none"/>
          <w:lang w:val="zh-CN"/>
        </w:rPr>
      </w:pPr>
      <w:bookmarkStart w:id="7" w:name="_Toc4513"/>
      <w:r>
        <w:rPr>
          <w:rFonts w:hint="eastAsia" w:ascii="黑体" w:hAnsi="黑体" w:eastAsia="黑体"/>
          <w:color w:val="auto"/>
          <w:kern w:val="44"/>
          <w:sz w:val="44"/>
          <w:szCs w:val="24"/>
          <w:highlight w:val="none"/>
          <w:lang w:val="zh-CN"/>
        </w:rPr>
        <w:t>第二部分2022年度部门决算情况说明</w:t>
      </w:r>
      <w:bookmarkEnd w:id="7"/>
    </w:p>
    <w:p>
      <w:pPr>
        <w:keepNext/>
        <w:keepLines/>
        <w:shd w:val="clear"/>
        <w:spacing w:beforeLines="0" w:afterLines="0" w:line="576" w:lineRule="exact"/>
        <w:jc w:val="both"/>
        <w:outlineLvl w:val="1"/>
        <w:rPr>
          <w:rFonts w:hint="eastAsia" w:ascii="黑体" w:hAnsi="黑体" w:eastAsia="黑体"/>
          <w:color w:val="auto"/>
          <w:kern w:val="2"/>
          <w:sz w:val="32"/>
          <w:szCs w:val="24"/>
          <w:highlight w:val="none"/>
          <w:lang w:val="zh-CN"/>
        </w:rPr>
      </w:pPr>
      <w:bookmarkStart w:id="8" w:name="_Toc31421"/>
      <w:r>
        <w:rPr>
          <w:rFonts w:hint="eastAsia" w:ascii="黑体" w:hAnsi="黑体" w:eastAsia="黑体"/>
          <w:color w:val="auto"/>
          <w:kern w:val="2"/>
          <w:sz w:val="32"/>
          <w:szCs w:val="24"/>
          <w:highlight w:val="none"/>
          <w:lang w:val="zh-CN"/>
        </w:rPr>
        <w:t>一、收入支出决算总体情况说明</w:t>
      </w:r>
      <w:bookmarkEnd w:id="8"/>
    </w:p>
    <w:p>
      <w:pPr>
        <w:keepNext/>
        <w:keepLines/>
        <w:shd w:val="clear"/>
        <w:spacing w:beforeLines="0" w:afterLines="0" w:line="576" w:lineRule="exact"/>
        <w:ind w:firstLine="640"/>
        <w:jc w:val="both"/>
        <w:rPr>
          <w:rFonts w:hint="eastAsia" w:ascii="仿宋" w:hAnsi="仿宋" w:eastAsia="仿宋"/>
          <w:color w:val="auto"/>
          <w:sz w:val="32"/>
          <w:szCs w:val="24"/>
          <w:highlight w:val="none"/>
          <w:lang w:eastAsia="zh-CN"/>
        </w:rPr>
      </w:pPr>
      <w:r>
        <w:rPr>
          <w:rFonts w:hint="eastAsia" w:ascii="仿宋_GB2312" w:hAnsi="仿宋_GB2312" w:eastAsia="仿宋_GB2312"/>
          <w:color w:val="auto"/>
          <w:kern w:val="2"/>
          <w:sz w:val="32"/>
          <w:szCs w:val="24"/>
          <w:highlight w:val="none"/>
          <w:lang w:val="zh-CN"/>
        </w:rPr>
        <w:t>2022年度收、支总计3,939.68万元。与2021年相比，收、支总计各减少1,171.44万元，下降22.9%。</w:t>
      </w:r>
      <w:r>
        <w:rPr>
          <w:rFonts w:hint="eastAsia" w:ascii="仿宋" w:hAnsi="仿宋" w:eastAsia="仿宋"/>
          <w:color w:val="auto"/>
          <w:sz w:val="32"/>
          <w:szCs w:val="24"/>
          <w:highlight w:val="none"/>
        </w:rPr>
        <w:t>主要变动原因</w:t>
      </w:r>
      <w:r>
        <w:rPr>
          <w:rFonts w:hint="eastAsia" w:ascii="仿宋" w:hAnsi="仿宋" w:eastAsia="仿宋"/>
          <w:color w:val="auto"/>
          <w:sz w:val="32"/>
          <w:szCs w:val="24"/>
          <w:highlight w:val="none"/>
          <w:lang w:val="en-US" w:eastAsia="zh-CN"/>
        </w:rPr>
        <w:t>2021</w:t>
      </w:r>
      <w:r>
        <w:rPr>
          <w:rFonts w:hint="eastAsia" w:ascii="仿宋" w:hAnsi="仿宋" w:eastAsia="仿宋"/>
          <w:color w:val="auto"/>
          <w:sz w:val="32"/>
          <w:szCs w:val="24"/>
          <w:highlight w:val="none"/>
          <w:lang w:eastAsia="zh-CN"/>
        </w:rPr>
        <w:t>年度收入总计中</w:t>
      </w:r>
      <w:r>
        <w:rPr>
          <w:rFonts w:hint="eastAsia" w:ascii="仿宋_GB2312" w:hAnsi="仿宋_GB2312" w:eastAsia="仿宋_GB2312"/>
          <w:color w:val="auto"/>
          <w:kern w:val="2"/>
          <w:sz w:val="32"/>
          <w:szCs w:val="24"/>
          <w:highlight w:val="none"/>
          <w:lang w:val="en-US" w:eastAsia="zh-CN"/>
        </w:rPr>
        <w:t>上年结转含更多基建经费</w:t>
      </w:r>
      <w:r>
        <w:rPr>
          <w:rFonts w:hint="eastAsia" w:ascii="仿宋" w:hAnsi="仿宋" w:eastAsia="仿宋"/>
          <w:color w:val="auto"/>
          <w:sz w:val="32"/>
          <w:szCs w:val="24"/>
          <w:highlight w:val="none"/>
          <w:lang w:eastAsia="zh-CN"/>
        </w:rPr>
        <w:t>。</w:t>
      </w:r>
    </w:p>
    <w:p>
      <w:pPr>
        <w:pStyle w:val="13"/>
        <w:shd w:val="clear"/>
        <w:tabs>
          <w:tab w:val="right" w:pos="8640"/>
        </w:tabs>
        <w:ind w:firstLine="0" w:firstLineChars="0"/>
        <w:rPr>
          <w:rFonts w:hint="eastAsia" w:ascii="黑体" w:hAnsi="黑体" w:eastAsia="黑体"/>
          <w:color w:val="auto"/>
          <w:kern w:val="2"/>
          <w:sz w:val="32"/>
          <w:szCs w:val="24"/>
          <w:highlight w:val="none"/>
          <w:lang w:val="zh-CN"/>
        </w:rPr>
      </w:pPr>
      <w:r>
        <w:rPr>
          <w:color w:val="auto"/>
          <w:highlight w:val="none"/>
        </w:rPr>
        <w:drawing>
          <wp:inline distT="0" distB="0" distL="114300" distR="114300">
            <wp:extent cx="3249930" cy="2785745"/>
            <wp:effectExtent l="4445" t="4445" r="12700" b="10160"/>
            <wp:docPr id="1" name="图片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color w:val="auto"/>
          <w:highlight w:val="none"/>
          <w:lang w:val="en-US" w:eastAsia="zh-CN"/>
        </w:rPr>
        <w:tab/>
      </w:r>
      <w:bookmarkStart w:id="9" w:name="_Toc24788"/>
    </w:p>
    <w:p>
      <w:pPr>
        <w:pStyle w:val="13"/>
        <w:shd w:val="clear"/>
        <w:tabs>
          <w:tab w:val="right" w:pos="8640"/>
        </w:tabs>
        <w:ind w:firstLine="640" w:firstLineChars="200"/>
        <w:rPr>
          <w:rFonts w:hint="eastAsia" w:ascii="黑体" w:hAnsi="黑体" w:eastAsia="黑体"/>
          <w:color w:val="auto"/>
          <w:kern w:val="2"/>
          <w:sz w:val="32"/>
          <w:szCs w:val="24"/>
          <w:highlight w:val="none"/>
          <w:lang w:val="zh-CN"/>
        </w:rPr>
      </w:pPr>
      <w:r>
        <w:rPr>
          <w:rFonts w:hint="eastAsia" w:ascii="黑体" w:hAnsi="黑体" w:eastAsia="黑体"/>
          <w:color w:val="auto"/>
          <w:kern w:val="2"/>
          <w:sz w:val="32"/>
          <w:szCs w:val="24"/>
          <w:highlight w:val="none"/>
          <w:lang w:val="zh-CN"/>
        </w:rPr>
        <w:t>（图1：收、支决算总计变动情况图）</w:t>
      </w:r>
    </w:p>
    <w:p>
      <w:pPr>
        <w:pStyle w:val="13"/>
        <w:shd w:val="clear"/>
        <w:tabs>
          <w:tab w:val="right" w:pos="8640"/>
        </w:tabs>
        <w:ind w:firstLine="640" w:firstLineChars="200"/>
        <w:rPr>
          <w:rFonts w:hint="eastAsia" w:ascii="黑体" w:hAnsi="黑体" w:eastAsia="黑体"/>
          <w:color w:val="auto"/>
          <w:kern w:val="2"/>
          <w:sz w:val="32"/>
          <w:szCs w:val="24"/>
          <w:highlight w:val="none"/>
          <w:lang w:val="zh-CN"/>
        </w:rPr>
      </w:pPr>
      <w:r>
        <w:rPr>
          <w:rFonts w:hint="eastAsia" w:ascii="黑体" w:hAnsi="黑体" w:eastAsia="黑体"/>
          <w:color w:val="auto"/>
          <w:kern w:val="2"/>
          <w:sz w:val="32"/>
          <w:szCs w:val="24"/>
          <w:highlight w:val="none"/>
          <w:lang w:val="zh-CN"/>
        </w:rPr>
        <w:t>二、收入决算情况说明</w:t>
      </w:r>
      <w:bookmarkEnd w:id="9"/>
    </w:p>
    <w:p>
      <w:pPr>
        <w:pStyle w:val="13"/>
        <w:shd w:val="clear"/>
        <w:tabs>
          <w:tab w:val="right" w:pos="8640"/>
        </w:tabs>
        <w:ind w:firstLine="640" w:firstLineChars="20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2022年本年收入合计2,286.89万元，其中：一般公共预算财政拨款收入1,695.68万元，占74.1%；其他收入591.2万元，占25.9%。</w:t>
      </w:r>
    </w:p>
    <w:p>
      <w:pPr>
        <w:pStyle w:val="13"/>
        <w:shd w:val="clear"/>
        <w:rPr>
          <w:rFonts w:hint="eastAsia"/>
          <w:color w:val="auto"/>
          <w:highlight w:val="none"/>
          <w:lang w:val="zh-CN"/>
        </w:rPr>
      </w:pPr>
      <w:r>
        <w:rPr>
          <w:color w:val="auto"/>
          <w:highlight w:val="none"/>
        </w:rPr>
        <w:drawing>
          <wp:inline distT="0" distB="0" distL="114300" distR="114300">
            <wp:extent cx="539115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keepLines/>
        <w:shd w:val="clear"/>
        <w:spacing w:beforeLines="0" w:afterLines="0" w:line="576" w:lineRule="exact"/>
        <w:ind w:firstLine="640"/>
        <w:jc w:val="center"/>
        <w:outlineLvl w:val="1"/>
        <w:rPr>
          <w:rFonts w:hint="eastAsia" w:ascii="黑体" w:hAnsi="黑体" w:eastAsia="黑体"/>
          <w:color w:val="auto"/>
          <w:kern w:val="2"/>
          <w:sz w:val="32"/>
          <w:szCs w:val="24"/>
          <w:highlight w:val="none"/>
          <w:lang w:val="zh-CN"/>
        </w:rPr>
      </w:pPr>
      <w:bookmarkStart w:id="10" w:name="_Toc12545"/>
      <w:r>
        <w:rPr>
          <w:rFonts w:hint="eastAsia" w:ascii="黑体" w:hAnsi="黑体" w:eastAsia="黑体"/>
          <w:color w:val="auto"/>
          <w:kern w:val="2"/>
          <w:sz w:val="32"/>
          <w:szCs w:val="24"/>
          <w:highlight w:val="none"/>
          <w:lang w:val="zh-CN"/>
        </w:rPr>
        <w:t>（图2：收入决算结构图）</w:t>
      </w:r>
    </w:p>
    <w:p>
      <w:pPr>
        <w:keepNext/>
        <w:keepLines/>
        <w:shd w:val="clear"/>
        <w:spacing w:beforeLines="0" w:afterLines="0" w:line="576" w:lineRule="exact"/>
        <w:ind w:firstLine="640"/>
        <w:jc w:val="both"/>
        <w:outlineLvl w:val="1"/>
        <w:rPr>
          <w:rFonts w:hint="eastAsia" w:ascii="黑体" w:hAnsi="黑体" w:eastAsia="黑体"/>
          <w:color w:val="auto"/>
          <w:kern w:val="2"/>
          <w:sz w:val="32"/>
          <w:szCs w:val="24"/>
          <w:highlight w:val="none"/>
          <w:lang w:val="zh-CN"/>
        </w:rPr>
      </w:pPr>
      <w:r>
        <w:rPr>
          <w:rFonts w:hint="eastAsia" w:ascii="黑体" w:hAnsi="黑体" w:eastAsia="黑体"/>
          <w:color w:val="auto"/>
          <w:kern w:val="2"/>
          <w:sz w:val="32"/>
          <w:szCs w:val="24"/>
          <w:highlight w:val="none"/>
          <w:lang w:val="zh-CN"/>
        </w:rPr>
        <w:t>三、支出决算情况说明</w:t>
      </w:r>
      <w:bookmarkEnd w:id="10"/>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2022年本年支出合计3,939.68万元，其中：基本支出1,705.88万元，占43.3%；项目支出2,233.81万元，占56.7%。</w:t>
      </w:r>
    </w:p>
    <w:p>
      <w:pPr>
        <w:pStyle w:val="13"/>
        <w:shd w:val="clear"/>
        <w:rPr>
          <w:rFonts w:hint="eastAsia"/>
          <w:color w:val="auto"/>
          <w:highlight w:val="none"/>
          <w:lang w:val="zh-CN"/>
        </w:rPr>
      </w:pPr>
      <w:r>
        <w:rPr>
          <w:color w:val="auto"/>
          <w:highlight w:val="none"/>
        </w:rPr>
        <w:drawing>
          <wp:inline distT="0" distB="0" distL="114300" distR="114300">
            <wp:extent cx="440055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3"/>
        <w:shd w:val="clear"/>
        <w:ind w:left="0" w:leftChars="0" w:firstLine="0" w:firstLineChars="0"/>
        <w:jc w:val="center"/>
        <w:rPr>
          <w:rFonts w:hint="eastAsia"/>
          <w:color w:val="auto"/>
          <w:highlight w:val="none"/>
          <w:lang w:val="zh-CN"/>
        </w:rPr>
      </w:pPr>
      <w:r>
        <w:rPr>
          <w:rFonts w:hint="eastAsia"/>
          <w:color w:val="auto"/>
          <w:highlight w:val="none"/>
          <w:lang w:val="zh-CN"/>
        </w:rPr>
        <w:t>（图3：支出决算结构图）</w:t>
      </w:r>
    </w:p>
    <w:p>
      <w:pPr>
        <w:keepNext/>
        <w:keepLines/>
        <w:shd w:val="clear"/>
        <w:spacing w:beforeLines="0" w:afterLines="0" w:line="576" w:lineRule="exact"/>
        <w:ind w:firstLine="640"/>
        <w:jc w:val="both"/>
        <w:outlineLvl w:val="1"/>
        <w:rPr>
          <w:rFonts w:hint="eastAsia" w:ascii="黑体" w:hAnsi="黑体" w:eastAsia="黑体"/>
          <w:color w:val="auto"/>
          <w:kern w:val="2"/>
          <w:sz w:val="32"/>
          <w:szCs w:val="24"/>
          <w:highlight w:val="none"/>
          <w:lang w:val="zh-CN"/>
        </w:rPr>
      </w:pPr>
      <w:bookmarkStart w:id="11" w:name="_Toc17683"/>
      <w:r>
        <w:rPr>
          <w:rFonts w:hint="eastAsia" w:ascii="黑体" w:hAnsi="黑体" w:eastAsia="黑体"/>
          <w:color w:val="auto"/>
          <w:kern w:val="2"/>
          <w:sz w:val="32"/>
          <w:szCs w:val="24"/>
          <w:highlight w:val="none"/>
          <w:lang w:val="zh-CN"/>
        </w:rPr>
        <w:t>四、财政拨款收入支出决算总体情况说明</w:t>
      </w:r>
      <w:bookmarkEnd w:id="11"/>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2022年财政拨款收、支总计1,695.68万元。与2021年相比，财政拨款收、支总计各减少3,415.45万元，下降66.8%。主要变动原因是</w:t>
      </w:r>
      <w:r>
        <w:rPr>
          <w:rFonts w:hint="eastAsia" w:ascii="仿宋_GB2312" w:hAnsi="仿宋_GB2312" w:eastAsia="仿宋_GB2312"/>
          <w:color w:val="auto"/>
          <w:kern w:val="2"/>
          <w:sz w:val="32"/>
          <w:szCs w:val="24"/>
          <w:highlight w:val="none"/>
          <w:lang w:val="en-US" w:eastAsia="zh-CN"/>
        </w:rPr>
        <w:t>2022年体制上划，保障方式改变，非同级财政拨款计入其他收入，以及2021年上年结转含更多基建经费</w:t>
      </w:r>
      <w:r>
        <w:rPr>
          <w:rFonts w:hint="eastAsia" w:ascii="仿宋_GB2312" w:hAnsi="仿宋_GB2312" w:eastAsia="仿宋_GB2312"/>
          <w:color w:val="auto"/>
          <w:kern w:val="2"/>
          <w:sz w:val="32"/>
          <w:szCs w:val="24"/>
          <w:highlight w:val="none"/>
          <w:lang w:val="zh-CN"/>
        </w:rPr>
        <w:t>。</w:t>
      </w:r>
    </w:p>
    <w:p>
      <w:pPr>
        <w:pStyle w:val="13"/>
        <w:shd w:val="clear"/>
        <w:rPr>
          <w:color w:val="auto"/>
          <w:highlight w:val="none"/>
        </w:rPr>
      </w:pPr>
      <w:r>
        <w:rPr>
          <w:color w:val="auto"/>
          <w:highlight w:val="none"/>
        </w:rPr>
        <w:drawing>
          <wp:inline distT="0" distB="0" distL="114300" distR="114300">
            <wp:extent cx="367665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12" w:name="_Toc5951"/>
    </w:p>
    <w:p>
      <w:pPr>
        <w:pStyle w:val="13"/>
        <w:shd w:val="clear"/>
        <w:jc w:val="center"/>
        <w:rPr>
          <w:color w:val="auto"/>
          <w:highlight w:val="none"/>
        </w:rPr>
      </w:pPr>
      <w:r>
        <w:rPr>
          <w:rFonts w:hint="eastAsia"/>
          <w:color w:val="auto"/>
          <w:highlight w:val="none"/>
        </w:rPr>
        <w:t>（图4：财政拨款收、支决算总计变动情况）</w:t>
      </w:r>
    </w:p>
    <w:p>
      <w:pPr>
        <w:pStyle w:val="13"/>
        <w:shd w:val="clear"/>
        <w:rPr>
          <w:rFonts w:hint="eastAsia" w:ascii="黑体" w:hAnsi="黑体" w:eastAsia="黑体"/>
          <w:color w:val="auto"/>
          <w:kern w:val="2"/>
          <w:sz w:val="32"/>
          <w:szCs w:val="24"/>
          <w:highlight w:val="none"/>
          <w:lang w:val="zh-CN"/>
        </w:rPr>
      </w:pPr>
      <w:r>
        <w:rPr>
          <w:rFonts w:hint="eastAsia" w:ascii="黑体" w:hAnsi="黑体" w:eastAsia="黑体"/>
          <w:color w:val="auto"/>
          <w:kern w:val="2"/>
          <w:sz w:val="32"/>
          <w:szCs w:val="24"/>
          <w:highlight w:val="none"/>
          <w:lang w:val="zh-CN"/>
        </w:rPr>
        <w:t>五、</w:t>
      </w:r>
      <w:r>
        <w:rPr>
          <w:rFonts w:hint="eastAsia" w:ascii="黑体" w:hAnsi="黑体" w:eastAsia="黑体"/>
          <w:b/>
          <w:color w:val="auto"/>
          <w:kern w:val="2"/>
          <w:sz w:val="32"/>
          <w:szCs w:val="24"/>
          <w:highlight w:val="none"/>
          <w:lang w:val="zh-CN"/>
        </w:rPr>
        <w:t>一</w:t>
      </w:r>
      <w:r>
        <w:rPr>
          <w:rFonts w:hint="eastAsia" w:ascii="黑体" w:hAnsi="黑体" w:eastAsia="黑体"/>
          <w:color w:val="auto"/>
          <w:kern w:val="2"/>
          <w:sz w:val="32"/>
          <w:szCs w:val="24"/>
          <w:highlight w:val="none"/>
          <w:lang w:val="zh-CN"/>
        </w:rPr>
        <w:t>般公共预算财政拨款支出决算情况说明</w:t>
      </w:r>
      <w:bookmarkEnd w:id="12"/>
    </w:p>
    <w:p>
      <w:pPr>
        <w:pStyle w:val="13"/>
        <w:shd w:val="clear"/>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（一）一般公共预算财政拨款支出决算总体情况。</w:t>
      </w:r>
    </w:p>
    <w:p>
      <w:pPr>
        <w:pStyle w:val="13"/>
        <w:shd w:val="clear"/>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2022年一般公共预算财政拨款支出1,695.68万元，占本年支出合计的43%。与2021年相比，一般公共预算财政拨款支出减少707.02万元，下降29.4%。主要变动原因</w:t>
      </w:r>
      <w:r>
        <w:rPr>
          <w:rFonts w:hint="eastAsia" w:ascii="仿宋_GB2312" w:hAnsi="仿宋_GB2312" w:eastAsia="仿宋_GB2312"/>
          <w:color w:val="auto"/>
          <w:kern w:val="2"/>
          <w:sz w:val="32"/>
          <w:szCs w:val="24"/>
          <w:highlight w:val="none"/>
          <w:lang w:val="en-US" w:eastAsia="zh-CN"/>
        </w:rPr>
        <w:t>2022年体制上划，保障方式改变，非同级财政拨款计入其他收入</w:t>
      </w:r>
      <w:r>
        <w:rPr>
          <w:rFonts w:hint="eastAsia" w:ascii="仿宋_GB2312" w:hAnsi="仿宋_GB2312" w:eastAsia="仿宋_GB2312"/>
          <w:color w:val="auto"/>
          <w:kern w:val="2"/>
          <w:sz w:val="32"/>
          <w:szCs w:val="24"/>
          <w:highlight w:val="none"/>
          <w:lang w:val="zh-CN"/>
        </w:rPr>
        <w:t>。</w:t>
      </w:r>
    </w:p>
    <w:p>
      <w:pPr>
        <w:pStyle w:val="13"/>
        <w:shd w:val="clear"/>
        <w:rPr>
          <w:rFonts w:hint="eastAsia"/>
          <w:color w:val="auto"/>
          <w:highlight w:val="none"/>
          <w:lang w:val="zh-CN"/>
        </w:rPr>
      </w:pPr>
      <w:r>
        <w:rPr>
          <w:color w:val="auto"/>
          <w:highlight w:val="none"/>
        </w:rPr>
        <w:drawing>
          <wp:inline distT="0" distB="0" distL="114300" distR="114300">
            <wp:extent cx="4772025" cy="2242820"/>
            <wp:effectExtent l="4445" t="4445" r="5080" b="1968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keepLines/>
        <w:shd w:val="clear"/>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（二）一般公共预算财政拨款支出决算结构情况。</w:t>
      </w:r>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2022年一般公共预算财政拨款支出1,695.68万元，主要用于以下方面:公共安全支出1,471.74万元，占86.8%；社会保障和就业支出97.03万元，占5.7%；卫生健康支出49.28万元，占2.9%；住房保障支出77.63万元，占4.6%。</w:t>
      </w:r>
    </w:p>
    <w:p>
      <w:pPr>
        <w:pStyle w:val="13"/>
        <w:shd w:val="clear"/>
        <w:rPr>
          <w:rFonts w:hint="eastAsia" w:eastAsia="仿宋"/>
          <w:color w:val="auto"/>
          <w:highlight w:val="none"/>
          <w:lang w:val="en-US" w:eastAsia="zh-CN"/>
        </w:rPr>
      </w:pPr>
      <w:r>
        <w:rPr>
          <w:color w:val="auto"/>
          <w:highlight w:val="none"/>
        </w:rPr>
        <w:drawing>
          <wp:inline distT="0" distB="0" distL="114300" distR="114300">
            <wp:extent cx="5240020" cy="2229485"/>
            <wp:effectExtent l="5080" t="4445" r="12700" b="1397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keepLines/>
        <w:shd w:val="clear"/>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（三）一般公共预算财政拨款支出决算具体情况。</w:t>
      </w:r>
    </w:p>
    <w:p>
      <w:pPr>
        <w:keepNext/>
        <w:keepLines/>
        <w:shd w:val="clear"/>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2022年一般公共预算支出决算数为1,695.68万元</w:t>
      </w:r>
      <w:r>
        <w:rPr>
          <w:rFonts w:hint="eastAsia" w:ascii="仿宋_GB2312" w:hAnsi="仿宋_GB2312" w:eastAsia="仿宋_GB2312"/>
          <w:color w:val="auto"/>
          <w:kern w:val="2"/>
          <w:sz w:val="32"/>
          <w:szCs w:val="24"/>
          <w:highlight w:val="none"/>
          <w:lang w:val="zh-CN"/>
        </w:rPr>
        <w:t>，</w:t>
      </w:r>
      <w:r>
        <w:rPr>
          <w:rFonts w:hint="eastAsia" w:ascii="仿宋_GB2312" w:hAnsi="仿宋_GB2312" w:eastAsia="仿宋_GB2312"/>
          <w:b/>
          <w:color w:val="auto"/>
          <w:kern w:val="2"/>
          <w:sz w:val="32"/>
          <w:szCs w:val="24"/>
          <w:highlight w:val="none"/>
          <w:lang w:val="zh-CN"/>
        </w:rPr>
        <w:t>完成预算100%。其中：</w:t>
      </w:r>
    </w:p>
    <w:p>
      <w:pPr>
        <w:shd w:val="clear"/>
        <w:spacing w:beforeLines="0" w:afterLines="0" w:line="600" w:lineRule="exact"/>
        <w:ind w:firstLine="640" w:firstLineChars="200"/>
        <w:rPr>
          <w:rFonts w:hint="eastAsia" w:ascii="仿宋" w:hAnsi="仿宋" w:eastAsia="仿宋"/>
          <w:b/>
          <w:color w:val="auto"/>
          <w:sz w:val="32"/>
          <w:szCs w:val="24"/>
          <w:highlight w:val="none"/>
        </w:rPr>
      </w:pPr>
      <w:r>
        <w:rPr>
          <w:rStyle w:val="16"/>
          <w:rFonts w:hint="eastAsia" w:ascii="仿宋" w:hAnsi="仿宋" w:eastAsia="仿宋"/>
          <w:color w:val="auto"/>
          <w:sz w:val="32"/>
          <w:szCs w:val="24"/>
          <w:highlight w:val="none"/>
        </w:rPr>
        <w:t>1.</w:t>
      </w:r>
      <w:r>
        <w:rPr>
          <w:rFonts w:hint="eastAsia" w:ascii="仿宋_GB2312" w:hAnsi="Times New Roman" w:eastAsia="仿宋_GB2312"/>
          <w:color w:val="auto"/>
          <w:sz w:val="32"/>
          <w:szCs w:val="24"/>
          <w:highlight w:val="none"/>
        </w:rPr>
        <w:t>公共安全支出（类）法院（款）行政运行（项）</w:t>
      </w:r>
      <w:r>
        <w:rPr>
          <w:rStyle w:val="16"/>
          <w:rFonts w:hint="eastAsia" w:ascii="仿宋" w:hAnsi="仿宋" w:eastAsia="仿宋"/>
          <w:color w:val="auto"/>
          <w:sz w:val="32"/>
          <w:szCs w:val="24"/>
          <w:highlight w:val="none"/>
        </w:rPr>
        <w:t>:</w:t>
      </w:r>
      <w:r>
        <w:rPr>
          <w:rStyle w:val="16"/>
          <w:rFonts w:hint="eastAsia" w:ascii="仿宋" w:hAnsi="仿宋" w:eastAsia="仿宋"/>
          <w:b w:val="0"/>
          <w:color w:val="auto"/>
          <w:sz w:val="32"/>
          <w:szCs w:val="24"/>
          <w:highlight w:val="none"/>
        </w:rPr>
        <w:t>支出决算为</w:t>
      </w:r>
      <w:r>
        <w:rPr>
          <w:rStyle w:val="16"/>
          <w:rFonts w:hint="eastAsia" w:ascii="仿宋" w:hAnsi="仿宋" w:eastAsia="仿宋"/>
          <w:b w:val="0"/>
          <w:color w:val="auto"/>
          <w:sz w:val="32"/>
          <w:szCs w:val="24"/>
          <w:highlight w:val="none"/>
          <w:lang w:val="en-US" w:eastAsia="zh-CN"/>
        </w:rPr>
        <w:t>1000.17</w:t>
      </w:r>
      <w:r>
        <w:rPr>
          <w:rStyle w:val="16"/>
          <w:rFonts w:hint="eastAsia" w:ascii="仿宋" w:hAnsi="仿宋" w:eastAsia="仿宋"/>
          <w:b w:val="0"/>
          <w:color w:val="auto"/>
          <w:sz w:val="32"/>
          <w:szCs w:val="24"/>
          <w:highlight w:val="none"/>
          <w:lang w:eastAsia="zh-CN"/>
        </w:rPr>
        <w:t>万元</w:t>
      </w:r>
      <w:r>
        <w:rPr>
          <w:rStyle w:val="16"/>
          <w:rFonts w:hint="eastAsia" w:ascii="仿宋" w:hAnsi="仿宋" w:eastAsia="仿宋"/>
          <w:b w:val="0"/>
          <w:color w:val="auto"/>
          <w:sz w:val="32"/>
          <w:szCs w:val="24"/>
          <w:highlight w:val="none"/>
        </w:rPr>
        <w:t>，完成预算</w:t>
      </w:r>
      <w:r>
        <w:rPr>
          <w:rStyle w:val="16"/>
          <w:rFonts w:hint="eastAsia" w:ascii="仿宋" w:hAnsi="仿宋" w:eastAsia="仿宋"/>
          <w:b w:val="0"/>
          <w:color w:val="auto"/>
          <w:sz w:val="32"/>
          <w:szCs w:val="24"/>
          <w:highlight w:val="none"/>
          <w:lang w:val="en-US" w:eastAsia="zh-CN"/>
        </w:rPr>
        <w:t>100</w:t>
      </w:r>
      <w:r>
        <w:rPr>
          <w:rStyle w:val="16"/>
          <w:rFonts w:hint="eastAsia" w:ascii="仿宋" w:hAnsi="仿宋" w:eastAsia="仿宋"/>
          <w:b w:val="0"/>
          <w:color w:val="auto"/>
          <w:sz w:val="32"/>
          <w:szCs w:val="24"/>
          <w:highlight w:val="none"/>
        </w:rPr>
        <w:t>%，</w:t>
      </w:r>
      <w:r>
        <w:rPr>
          <w:rStyle w:val="16"/>
          <w:rFonts w:hint="eastAsia" w:ascii="仿宋" w:hAnsi="仿宋" w:eastAsia="仿宋"/>
          <w:b w:val="0"/>
          <w:color w:val="auto"/>
          <w:sz w:val="32"/>
          <w:szCs w:val="24"/>
          <w:highlight w:val="none"/>
          <w:lang w:eastAsia="zh-CN"/>
        </w:rPr>
        <w:t>决算数与预算数持平</w:t>
      </w:r>
      <w:r>
        <w:rPr>
          <w:rStyle w:val="16"/>
          <w:rFonts w:hint="eastAsia" w:ascii="仿宋" w:hAnsi="仿宋" w:eastAsia="仿宋"/>
          <w:b w:val="0"/>
          <w:color w:val="auto"/>
          <w:sz w:val="32"/>
          <w:szCs w:val="24"/>
          <w:highlight w:val="none"/>
        </w:rPr>
        <w:t>。</w:t>
      </w:r>
    </w:p>
    <w:p>
      <w:pPr>
        <w:shd w:val="clear"/>
        <w:spacing w:beforeLines="0" w:afterLines="0" w:line="600" w:lineRule="exact"/>
        <w:ind w:firstLine="640" w:firstLineChars="200"/>
        <w:rPr>
          <w:rFonts w:hint="eastAsia" w:ascii="仿宋" w:hAnsi="仿宋" w:eastAsia="仿宋"/>
          <w:b/>
          <w:color w:val="auto"/>
          <w:sz w:val="32"/>
          <w:szCs w:val="24"/>
          <w:highlight w:val="none"/>
        </w:rPr>
      </w:pPr>
      <w:r>
        <w:rPr>
          <w:rStyle w:val="16"/>
          <w:rFonts w:hint="eastAsia" w:ascii="仿宋" w:hAnsi="仿宋" w:eastAsia="仿宋"/>
          <w:color w:val="auto"/>
          <w:sz w:val="32"/>
          <w:szCs w:val="24"/>
          <w:highlight w:val="none"/>
        </w:rPr>
        <w:t>2.</w:t>
      </w:r>
      <w:r>
        <w:rPr>
          <w:rFonts w:hint="eastAsia" w:ascii="仿宋_GB2312" w:hAnsi="Times New Roman" w:eastAsia="仿宋_GB2312"/>
          <w:color w:val="auto"/>
          <w:sz w:val="32"/>
          <w:szCs w:val="24"/>
          <w:highlight w:val="none"/>
        </w:rPr>
        <w:t>公共安全支出（类）法院（款）</w:t>
      </w:r>
      <w:r>
        <w:rPr>
          <w:rFonts w:hint="eastAsia" w:ascii="仿宋_GB2312" w:hAnsi="Times New Roman" w:eastAsia="仿宋_GB2312"/>
          <w:color w:val="auto"/>
          <w:sz w:val="32"/>
          <w:szCs w:val="24"/>
          <w:highlight w:val="none"/>
          <w:lang w:eastAsia="zh-CN"/>
        </w:rPr>
        <w:t>事业运行</w:t>
      </w:r>
      <w:r>
        <w:rPr>
          <w:rFonts w:hint="eastAsia" w:ascii="仿宋_GB2312" w:hAnsi="Times New Roman" w:eastAsia="仿宋_GB2312"/>
          <w:color w:val="auto"/>
          <w:sz w:val="32"/>
          <w:szCs w:val="24"/>
          <w:highlight w:val="none"/>
        </w:rPr>
        <w:t>（项）</w:t>
      </w:r>
      <w:r>
        <w:rPr>
          <w:rStyle w:val="16"/>
          <w:rFonts w:hint="eastAsia" w:ascii="仿宋" w:hAnsi="仿宋" w:eastAsia="仿宋"/>
          <w:color w:val="auto"/>
          <w:sz w:val="32"/>
          <w:szCs w:val="24"/>
          <w:highlight w:val="none"/>
        </w:rPr>
        <w:t>:</w:t>
      </w:r>
      <w:r>
        <w:rPr>
          <w:rStyle w:val="16"/>
          <w:rFonts w:hint="eastAsia" w:ascii="仿宋" w:hAnsi="仿宋" w:eastAsia="仿宋"/>
          <w:b w:val="0"/>
          <w:color w:val="auto"/>
          <w:sz w:val="32"/>
          <w:szCs w:val="24"/>
          <w:highlight w:val="none"/>
        </w:rPr>
        <w:t>支出决算为</w:t>
      </w:r>
      <w:r>
        <w:rPr>
          <w:rStyle w:val="16"/>
          <w:rFonts w:hint="eastAsia" w:ascii="仿宋" w:hAnsi="仿宋" w:eastAsia="仿宋"/>
          <w:b w:val="0"/>
          <w:color w:val="auto"/>
          <w:sz w:val="32"/>
          <w:szCs w:val="24"/>
          <w:highlight w:val="none"/>
          <w:lang w:val="en-US" w:eastAsia="zh-CN"/>
        </w:rPr>
        <w:t>27.56</w:t>
      </w:r>
      <w:r>
        <w:rPr>
          <w:rStyle w:val="16"/>
          <w:rFonts w:hint="eastAsia" w:ascii="仿宋" w:hAnsi="仿宋" w:eastAsia="仿宋"/>
          <w:b w:val="0"/>
          <w:color w:val="auto"/>
          <w:sz w:val="32"/>
          <w:szCs w:val="24"/>
          <w:highlight w:val="none"/>
          <w:lang w:eastAsia="zh-CN"/>
        </w:rPr>
        <w:t>万元</w:t>
      </w:r>
      <w:r>
        <w:rPr>
          <w:rStyle w:val="16"/>
          <w:rFonts w:hint="eastAsia" w:ascii="仿宋" w:hAnsi="仿宋" w:eastAsia="仿宋"/>
          <w:b w:val="0"/>
          <w:color w:val="auto"/>
          <w:sz w:val="32"/>
          <w:szCs w:val="24"/>
          <w:highlight w:val="none"/>
        </w:rPr>
        <w:t>，完成预算</w:t>
      </w:r>
      <w:r>
        <w:rPr>
          <w:rStyle w:val="16"/>
          <w:rFonts w:hint="eastAsia" w:ascii="仿宋" w:hAnsi="仿宋" w:eastAsia="仿宋"/>
          <w:b w:val="0"/>
          <w:color w:val="auto"/>
          <w:sz w:val="32"/>
          <w:szCs w:val="24"/>
          <w:highlight w:val="none"/>
          <w:lang w:val="en-US" w:eastAsia="zh-CN"/>
        </w:rPr>
        <w:t>100</w:t>
      </w:r>
      <w:r>
        <w:rPr>
          <w:rStyle w:val="16"/>
          <w:rFonts w:hint="eastAsia" w:ascii="仿宋" w:hAnsi="仿宋" w:eastAsia="仿宋"/>
          <w:b w:val="0"/>
          <w:color w:val="auto"/>
          <w:sz w:val="32"/>
          <w:szCs w:val="24"/>
          <w:highlight w:val="none"/>
        </w:rPr>
        <w:t>%，</w:t>
      </w:r>
      <w:r>
        <w:rPr>
          <w:rStyle w:val="16"/>
          <w:rFonts w:hint="eastAsia" w:ascii="仿宋" w:hAnsi="仿宋" w:eastAsia="仿宋"/>
          <w:b w:val="0"/>
          <w:color w:val="auto"/>
          <w:sz w:val="32"/>
          <w:szCs w:val="24"/>
          <w:highlight w:val="none"/>
          <w:lang w:eastAsia="zh-CN"/>
        </w:rPr>
        <w:t>决算数与预算数持平</w:t>
      </w:r>
      <w:r>
        <w:rPr>
          <w:rStyle w:val="16"/>
          <w:rFonts w:hint="eastAsia" w:ascii="仿宋" w:hAnsi="仿宋" w:eastAsia="仿宋"/>
          <w:b w:val="0"/>
          <w:color w:val="auto"/>
          <w:sz w:val="32"/>
          <w:szCs w:val="24"/>
          <w:highlight w:val="none"/>
        </w:rPr>
        <w:t>。</w:t>
      </w:r>
    </w:p>
    <w:p>
      <w:pPr>
        <w:shd w:val="clear"/>
        <w:spacing w:beforeLines="0" w:afterLines="0" w:line="600" w:lineRule="exact"/>
        <w:ind w:firstLine="640" w:firstLineChars="200"/>
        <w:rPr>
          <w:rFonts w:hint="eastAsia" w:ascii="仿宋" w:hAnsi="仿宋" w:eastAsia="仿宋"/>
          <w:b/>
          <w:color w:val="auto"/>
          <w:sz w:val="32"/>
          <w:szCs w:val="24"/>
          <w:highlight w:val="none"/>
        </w:rPr>
      </w:pPr>
      <w:r>
        <w:rPr>
          <w:rStyle w:val="16"/>
          <w:rFonts w:hint="eastAsia" w:ascii="仿宋" w:hAnsi="仿宋" w:eastAsia="仿宋"/>
          <w:color w:val="auto"/>
          <w:sz w:val="32"/>
          <w:szCs w:val="24"/>
          <w:highlight w:val="none"/>
        </w:rPr>
        <w:t>3.</w:t>
      </w:r>
      <w:r>
        <w:rPr>
          <w:rFonts w:hint="eastAsia" w:ascii="仿宋_GB2312" w:hAnsi="Times New Roman" w:eastAsia="仿宋_GB2312"/>
          <w:color w:val="auto"/>
          <w:sz w:val="32"/>
          <w:szCs w:val="24"/>
          <w:highlight w:val="none"/>
        </w:rPr>
        <w:t>公共安全支出（类）法院（款）</w:t>
      </w:r>
      <w:r>
        <w:rPr>
          <w:rFonts w:hint="eastAsia" w:ascii="仿宋_GB2312" w:hAnsi="Times New Roman" w:eastAsia="仿宋_GB2312"/>
          <w:color w:val="auto"/>
          <w:sz w:val="32"/>
          <w:szCs w:val="24"/>
          <w:highlight w:val="none"/>
          <w:lang w:eastAsia="zh-CN"/>
        </w:rPr>
        <w:t>其他法院支出</w:t>
      </w:r>
      <w:r>
        <w:rPr>
          <w:rFonts w:hint="eastAsia" w:ascii="仿宋_GB2312" w:hAnsi="Times New Roman" w:eastAsia="仿宋_GB2312"/>
          <w:color w:val="auto"/>
          <w:sz w:val="32"/>
          <w:szCs w:val="24"/>
          <w:highlight w:val="none"/>
        </w:rPr>
        <w:t>（项）</w:t>
      </w:r>
      <w:r>
        <w:rPr>
          <w:rStyle w:val="16"/>
          <w:rFonts w:hint="eastAsia" w:ascii="仿宋" w:hAnsi="仿宋" w:eastAsia="仿宋"/>
          <w:color w:val="auto"/>
          <w:sz w:val="32"/>
          <w:szCs w:val="24"/>
          <w:highlight w:val="none"/>
        </w:rPr>
        <w:t>:</w:t>
      </w:r>
      <w:r>
        <w:rPr>
          <w:rStyle w:val="16"/>
          <w:rFonts w:hint="eastAsia" w:ascii="仿宋" w:hAnsi="仿宋" w:eastAsia="仿宋"/>
          <w:b w:val="0"/>
          <w:color w:val="auto"/>
          <w:sz w:val="32"/>
          <w:szCs w:val="24"/>
          <w:highlight w:val="none"/>
        </w:rPr>
        <w:t>支出决算为</w:t>
      </w:r>
      <w:r>
        <w:rPr>
          <w:rStyle w:val="16"/>
          <w:rFonts w:hint="eastAsia" w:ascii="仿宋" w:hAnsi="仿宋" w:eastAsia="仿宋"/>
          <w:b w:val="0"/>
          <w:color w:val="auto"/>
          <w:sz w:val="32"/>
          <w:szCs w:val="24"/>
          <w:highlight w:val="none"/>
          <w:lang w:val="en-US" w:eastAsia="zh-CN"/>
        </w:rPr>
        <w:t>366.70</w:t>
      </w:r>
      <w:r>
        <w:rPr>
          <w:rStyle w:val="16"/>
          <w:rFonts w:hint="eastAsia" w:ascii="仿宋" w:hAnsi="仿宋" w:eastAsia="仿宋"/>
          <w:b w:val="0"/>
          <w:color w:val="auto"/>
          <w:sz w:val="32"/>
          <w:szCs w:val="24"/>
          <w:highlight w:val="none"/>
          <w:lang w:eastAsia="zh-CN"/>
        </w:rPr>
        <w:t>万元</w:t>
      </w:r>
      <w:r>
        <w:rPr>
          <w:rStyle w:val="16"/>
          <w:rFonts w:hint="eastAsia" w:ascii="仿宋" w:hAnsi="仿宋" w:eastAsia="仿宋"/>
          <w:b w:val="0"/>
          <w:color w:val="auto"/>
          <w:sz w:val="32"/>
          <w:szCs w:val="24"/>
          <w:highlight w:val="none"/>
        </w:rPr>
        <w:t>，完成预算</w:t>
      </w:r>
      <w:r>
        <w:rPr>
          <w:rStyle w:val="16"/>
          <w:rFonts w:hint="eastAsia" w:ascii="仿宋" w:hAnsi="仿宋" w:eastAsia="仿宋"/>
          <w:b w:val="0"/>
          <w:color w:val="auto"/>
          <w:sz w:val="32"/>
          <w:szCs w:val="24"/>
          <w:highlight w:val="none"/>
          <w:lang w:val="en-US" w:eastAsia="zh-CN"/>
        </w:rPr>
        <w:t>100</w:t>
      </w:r>
      <w:r>
        <w:rPr>
          <w:rStyle w:val="16"/>
          <w:rFonts w:hint="eastAsia" w:ascii="仿宋" w:hAnsi="仿宋" w:eastAsia="仿宋"/>
          <w:b w:val="0"/>
          <w:color w:val="auto"/>
          <w:sz w:val="32"/>
          <w:szCs w:val="24"/>
          <w:highlight w:val="none"/>
        </w:rPr>
        <w:t>%，决算数等于预算数。</w:t>
      </w:r>
    </w:p>
    <w:p>
      <w:pPr>
        <w:shd w:val="clear"/>
        <w:spacing w:beforeLines="0" w:afterLines="0" w:line="600" w:lineRule="exact"/>
        <w:ind w:firstLine="640" w:firstLineChars="200"/>
        <w:rPr>
          <w:rFonts w:hint="eastAsia" w:ascii="仿宋" w:hAnsi="仿宋" w:eastAsia="仿宋"/>
          <w:b/>
          <w:color w:val="auto"/>
          <w:sz w:val="32"/>
          <w:szCs w:val="24"/>
          <w:highlight w:val="none"/>
        </w:rPr>
      </w:pPr>
      <w:r>
        <w:rPr>
          <w:rStyle w:val="16"/>
          <w:rFonts w:hint="eastAsia" w:ascii="仿宋" w:hAnsi="仿宋" w:eastAsia="仿宋"/>
          <w:color w:val="auto"/>
          <w:sz w:val="32"/>
          <w:szCs w:val="24"/>
          <w:highlight w:val="none"/>
        </w:rPr>
        <w:t>4.</w:t>
      </w:r>
      <w:r>
        <w:rPr>
          <w:rFonts w:hint="eastAsia" w:ascii="仿宋_GB2312" w:hAnsi="Times New Roman" w:eastAsia="仿宋_GB2312"/>
          <w:color w:val="auto"/>
          <w:sz w:val="32"/>
          <w:szCs w:val="24"/>
          <w:highlight w:val="none"/>
        </w:rPr>
        <w:t>公共安全支出（类）</w:t>
      </w:r>
      <w:r>
        <w:rPr>
          <w:rFonts w:hint="eastAsia" w:ascii="仿宋_GB2312" w:hAnsi="Times New Roman" w:eastAsia="仿宋_GB2312"/>
          <w:color w:val="auto"/>
          <w:sz w:val="32"/>
          <w:szCs w:val="24"/>
          <w:highlight w:val="none"/>
          <w:lang w:eastAsia="zh-CN"/>
        </w:rPr>
        <w:t>其他公共安全支出</w:t>
      </w:r>
      <w:r>
        <w:rPr>
          <w:rFonts w:hint="eastAsia" w:ascii="仿宋_GB2312" w:hAnsi="Times New Roman" w:eastAsia="仿宋_GB2312"/>
          <w:color w:val="auto"/>
          <w:sz w:val="32"/>
          <w:szCs w:val="24"/>
          <w:highlight w:val="none"/>
        </w:rPr>
        <w:t>（款）</w:t>
      </w:r>
      <w:r>
        <w:rPr>
          <w:rFonts w:hint="eastAsia" w:ascii="仿宋_GB2312" w:hAnsi="Times New Roman" w:eastAsia="仿宋_GB2312"/>
          <w:color w:val="auto"/>
          <w:sz w:val="32"/>
          <w:szCs w:val="24"/>
          <w:highlight w:val="none"/>
          <w:lang w:eastAsia="zh-CN"/>
        </w:rPr>
        <w:t>其他公共安全支出</w:t>
      </w:r>
      <w:r>
        <w:rPr>
          <w:rFonts w:hint="eastAsia" w:ascii="仿宋_GB2312" w:hAnsi="Times New Roman" w:eastAsia="仿宋_GB2312"/>
          <w:color w:val="auto"/>
          <w:sz w:val="32"/>
          <w:szCs w:val="24"/>
          <w:highlight w:val="none"/>
        </w:rPr>
        <w:t>（项）</w:t>
      </w:r>
      <w:r>
        <w:rPr>
          <w:rStyle w:val="16"/>
          <w:rFonts w:hint="eastAsia" w:ascii="仿宋" w:hAnsi="仿宋" w:eastAsia="仿宋"/>
          <w:color w:val="auto"/>
          <w:sz w:val="32"/>
          <w:szCs w:val="24"/>
          <w:highlight w:val="none"/>
        </w:rPr>
        <w:t>:</w:t>
      </w:r>
      <w:r>
        <w:rPr>
          <w:rStyle w:val="16"/>
          <w:rFonts w:hint="eastAsia" w:ascii="仿宋" w:hAnsi="仿宋" w:eastAsia="仿宋"/>
          <w:b w:val="0"/>
          <w:color w:val="auto"/>
          <w:sz w:val="32"/>
          <w:szCs w:val="24"/>
          <w:highlight w:val="none"/>
        </w:rPr>
        <w:t>支出决算为</w:t>
      </w:r>
      <w:r>
        <w:rPr>
          <w:rStyle w:val="16"/>
          <w:rFonts w:hint="eastAsia" w:ascii="仿宋" w:hAnsi="仿宋" w:eastAsia="仿宋"/>
          <w:b w:val="0"/>
          <w:color w:val="auto"/>
          <w:sz w:val="32"/>
          <w:szCs w:val="24"/>
          <w:highlight w:val="none"/>
          <w:lang w:val="en-US" w:eastAsia="zh-CN"/>
        </w:rPr>
        <w:t>77.31</w:t>
      </w:r>
      <w:r>
        <w:rPr>
          <w:rStyle w:val="16"/>
          <w:rFonts w:hint="eastAsia" w:ascii="仿宋" w:hAnsi="仿宋" w:eastAsia="仿宋"/>
          <w:b w:val="0"/>
          <w:color w:val="auto"/>
          <w:sz w:val="32"/>
          <w:szCs w:val="24"/>
          <w:highlight w:val="none"/>
          <w:lang w:eastAsia="zh-CN"/>
        </w:rPr>
        <w:t>万元</w:t>
      </w:r>
      <w:r>
        <w:rPr>
          <w:rStyle w:val="16"/>
          <w:rFonts w:hint="eastAsia" w:ascii="仿宋" w:hAnsi="仿宋" w:eastAsia="仿宋"/>
          <w:b w:val="0"/>
          <w:color w:val="auto"/>
          <w:sz w:val="32"/>
          <w:szCs w:val="24"/>
          <w:highlight w:val="none"/>
        </w:rPr>
        <w:t>，完成预算</w:t>
      </w:r>
      <w:r>
        <w:rPr>
          <w:rStyle w:val="16"/>
          <w:rFonts w:hint="eastAsia" w:ascii="仿宋" w:hAnsi="仿宋" w:eastAsia="仿宋"/>
          <w:b w:val="0"/>
          <w:color w:val="auto"/>
          <w:sz w:val="32"/>
          <w:szCs w:val="24"/>
          <w:highlight w:val="none"/>
          <w:lang w:val="en-US" w:eastAsia="zh-CN"/>
        </w:rPr>
        <w:t>100</w:t>
      </w:r>
      <w:r>
        <w:rPr>
          <w:rStyle w:val="16"/>
          <w:rFonts w:hint="eastAsia" w:ascii="仿宋" w:hAnsi="仿宋" w:eastAsia="仿宋"/>
          <w:b w:val="0"/>
          <w:color w:val="auto"/>
          <w:sz w:val="32"/>
          <w:szCs w:val="24"/>
          <w:highlight w:val="none"/>
        </w:rPr>
        <w:t>%，</w:t>
      </w:r>
      <w:r>
        <w:rPr>
          <w:rStyle w:val="16"/>
          <w:rFonts w:hint="eastAsia" w:ascii="仿宋" w:hAnsi="仿宋" w:eastAsia="仿宋"/>
          <w:b w:val="0"/>
          <w:color w:val="auto"/>
          <w:sz w:val="32"/>
          <w:szCs w:val="24"/>
          <w:highlight w:val="none"/>
          <w:lang w:eastAsia="zh-CN"/>
        </w:rPr>
        <w:t>决算数与预算数持平</w:t>
      </w:r>
      <w:r>
        <w:rPr>
          <w:rStyle w:val="16"/>
          <w:rFonts w:hint="eastAsia" w:ascii="仿宋" w:hAnsi="仿宋" w:eastAsia="仿宋"/>
          <w:b w:val="0"/>
          <w:color w:val="auto"/>
          <w:sz w:val="32"/>
          <w:szCs w:val="24"/>
          <w:highlight w:val="none"/>
        </w:rPr>
        <w:t>。</w:t>
      </w:r>
    </w:p>
    <w:p>
      <w:pPr>
        <w:shd w:val="clear"/>
        <w:spacing w:beforeLines="0" w:afterLines="0" w:line="600" w:lineRule="exact"/>
        <w:ind w:firstLine="640" w:firstLineChars="200"/>
        <w:rPr>
          <w:rStyle w:val="16"/>
          <w:rFonts w:hint="eastAsia" w:ascii="仿宋" w:hAnsi="仿宋" w:eastAsia="仿宋"/>
          <w:b w:val="0"/>
          <w:color w:val="auto"/>
          <w:sz w:val="32"/>
          <w:szCs w:val="24"/>
          <w:highlight w:val="none"/>
        </w:rPr>
      </w:pPr>
      <w:r>
        <w:rPr>
          <w:rStyle w:val="16"/>
          <w:rFonts w:hint="eastAsia" w:ascii="仿宋" w:hAnsi="仿宋" w:eastAsia="仿宋"/>
          <w:color w:val="auto"/>
          <w:sz w:val="32"/>
          <w:szCs w:val="24"/>
          <w:highlight w:val="none"/>
        </w:rPr>
        <w:t>5.</w:t>
      </w:r>
      <w:r>
        <w:rPr>
          <w:rFonts w:hint="eastAsia" w:ascii="仿宋_GB2312" w:hAnsi="Times New Roman" w:eastAsia="仿宋_GB2312"/>
          <w:color w:val="auto"/>
          <w:sz w:val="32"/>
          <w:szCs w:val="24"/>
          <w:highlight w:val="none"/>
        </w:rPr>
        <w:t>社会保障和就业支出（类）行政事业单位养老支出（款）机关事业单位基本养老保险缴费支出（项）</w:t>
      </w:r>
      <w:r>
        <w:rPr>
          <w:rStyle w:val="16"/>
          <w:rFonts w:hint="eastAsia" w:ascii="仿宋" w:hAnsi="仿宋" w:eastAsia="仿宋"/>
          <w:color w:val="auto"/>
          <w:sz w:val="32"/>
          <w:szCs w:val="24"/>
          <w:highlight w:val="none"/>
        </w:rPr>
        <w:t>:</w:t>
      </w:r>
      <w:r>
        <w:rPr>
          <w:rStyle w:val="16"/>
          <w:rFonts w:hint="eastAsia" w:ascii="仿宋" w:hAnsi="仿宋" w:eastAsia="仿宋"/>
          <w:b w:val="0"/>
          <w:color w:val="auto"/>
          <w:sz w:val="32"/>
          <w:szCs w:val="24"/>
          <w:highlight w:val="none"/>
        </w:rPr>
        <w:t>支出决算为</w:t>
      </w:r>
      <w:r>
        <w:rPr>
          <w:rStyle w:val="16"/>
          <w:rFonts w:hint="eastAsia" w:ascii="仿宋" w:hAnsi="仿宋" w:eastAsia="仿宋"/>
          <w:b w:val="0"/>
          <w:color w:val="auto"/>
          <w:sz w:val="32"/>
          <w:szCs w:val="24"/>
          <w:highlight w:val="none"/>
          <w:lang w:val="en-US" w:eastAsia="zh-CN"/>
        </w:rPr>
        <w:t>97.03</w:t>
      </w:r>
      <w:r>
        <w:rPr>
          <w:rStyle w:val="16"/>
          <w:rFonts w:hint="eastAsia" w:ascii="仿宋" w:hAnsi="仿宋" w:eastAsia="仿宋"/>
          <w:b w:val="0"/>
          <w:color w:val="auto"/>
          <w:sz w:val="32"/>
          <w:szCs w:val="24"/>
          <w:highlight w:val="none"/>
          <w:lang w:eastAsia="zh-CN"/>
        </w:rPr>
        <w:t>万元</w:t>
      </w:r>
      <w:r>
        <w:rPr>
          <w:rStyle w:val="16"/>
          <w:rFonts w:hint="eastAsia" w:ascii="仿宋" w:hAnsi="仿宋" w:eastAsia="仿宋"/>
          <w:b w:val="0"/>
          <w:color w:val="auto"/>
          <w:sz w:val="32"/>
          <w:szCs w:val="24"/>
          <w:highlight w:val="none"/>
        </w:rPr>
        <w:t>，完成预算</w:t>
      </w:r>
      <w:r>
        <w:rPr>
          <w:rStyle w:val="16"/>
          <w:rFonts w:hint="eastAsia" w:ascii="仿宋" w:hAnsi="仿宋" w:eastAsia="仿宋"/>
          <w:b w:val="0"/>
          <w:color w:val="auto"/>
          <w:sz w:val="32"/>
          <w:szCs w:val="24"/>
          <w:highlight w:val="none"/>
          <w:lang w:val="en-US" w:eastAsia="zh-CN"/>
        </w:rPr>
        <w:t>100</w:t>
      </w:r>
      <w:r>
        <w:rPr>
          <w:rStyle w:val="16"/>
          <w:rFonts w:hint="eastAsia" w:ascii="仿宋" w:hAnsi="仿宋" w:eastAsia="仿宋"/>
          <w:b w:val="0"/>
          <w:color w:val="auto"/>
          <w:sz w:val="32"/>
          <w:szCs w:val="24"/>
          <w:highlight w:val="none"/>
        </w:rPr>
        <w:t>%，</w:t>
      </w:r>
      <w:r>
        <w:rPr>
          <w:rStyle w:val="16"/>
          <w:rFonts w:hint="eastAsia" w:ascii="仿宋" w:hAnsi="仿宋" w:eastAsia="仿宋"/>
          <w:b w:val="0"/>
          <w:color w:val="auto"/>
          <w:sz w:val="32"/>
          <w:szCs w:val="24"/>
          <w:highlight w:val="none"/>
          <w:lang w:eastAsia="zh-CN"/>
        </w:rPr>
        <w:t>决算数与预算数持平</w:t>
      </w:r>
      <w:r>
        <w:rPr>
          <w:rStyle w:val="16"/>
          <w:rFonts w:hint="eastAsia" w:ascii="仿宋" w:hAnsi="仿宋" w:eastAsia="仿宋"/>
          <w:b w:val="0"/>
          <w:color w:val="auto"/>
          <w:sz w:val="32"/>
          <w:szCs w:val="24"/>
          <w:highlight w:val="none"/>
        </w:rPr>
        <w:t>。</w:t>
      </w:r>
    </w:p>
    <w:p>
      <w:pPr>
        <w:shd w:val="clear"/>
        <w:spacing w:beforeLines="0" w:afterLines="0" w:line="600" w:lineRule="exact"/>
        <w:ind w:firstLine="640" w:firstLineChars="200"/>
        <w:rPr>
          <w:rStyle w:val="16"/>
          <w:rFonts w:hint="eastAsia" w:ascii="仿宋" w:hAnsi="仿宋" w:eastAsia="仿宋"/>
          <w:b w:val="0"/>
          <w:color w:val="auto"/>
          <w:sz w:val="32"/>
          <w:szCs w:val="24"/>
          <w:highlight w:val="none"/>
        </w:rPr>
      </w:pPr>
      <w:r>
        <w:rPr>
          <w:rStyle w:val="16"/>
          <w:rFonts w:hint="eastAsia" w:ascii="仿宋" w:hAnsi="仿宋" w:eastAsia="仿宋"/>
          <w:color w:val="auto"/>
          <w:sz w:val="32"/>
          <w:szCs w:val="24"/>
          <w:highlight w:val="none"/>
          <w:lang w:val="en-US" w:eastAsia="zh-CN"/>
        </w:rPr>
        <w:t>6</w:t>
      </w:r>
      <w:r>
        <w:rPr>
          <w:rStyle w:val="16"/>
          <w:rFonts w:hint="eastAsia" w:ascii="仿宋" w:hAnsi="仿宋" w:eastAsia="仿宋"/>
          <w:color w:val="auto"/>
          <w:sz w:val="32"/>
          <w:szCs w:val="24"/>
          <w:highlight w:val="none"/>
        </w:rPr>
        <w:t>.</w:t>
      </w:r>
      <w:r>
        <w:rPr>
          <w:rFonts w:hint="eastAsia" w:ascii="仿宋_GB2312" w:hAnsi="Times New Roman" w:eastAsia="仿宋_GB2312"/>
          <w:color w:val="auto"/>
          <w:sz w:val="32"/>
          <w:szCs w:val="24"/>
          <w:highlight w:val="none"/>
        </w:rPr>
        <w:t>卫生健康支出（类）行政事业单位医疗（款）行政单位医疗（项）</w:t>
      </w:r>
      <w:r>
        <w:rPr>
          <w:rStyle w:val="16"/>
          <w:rFonts w:hint="eastAsia" w:ascii="仿宋" w:hAnsi="仿宋" w:eastAsia="仿宋"/>
          <w:color w:val="auto"/>
          <w:sz w:val="32"/>
          <w:szCs w:val="24"/>
          <w:highlight w:val="none"/>
        </w:rPr>
        <w:t>:</w:t>
      </w:r>
      <w:r>
        <w:rPr>
          <w:rStyle w:val="16"/>
          <w:rFonts w:hint="eastAsia" w:ascii="仿宋" w:hAnsi="仿宋" w:eastAsia="仿宋"/>
          <w:b w:val="0"/>
          <w:color w:val="auto"/>
          <w:sz w:val="32"/>
          <w:szCs w:val="24"/>
          <w:highlight w:val="none"/>
        </w:rPr>
        <w:t>支出决算为</w:t>
      </w:r>
      <w:r>
        <w:rPr>
          <w:rStyle w:val="16"/>
          <w:rFonts w:hint="eastAsia" w:ascii="仿宋" w:hAnsi="仿宋" w:eastAsia="仿宋"/>
          <w:b w:val="0"/>
          <w:color w:val="auto"/>
          <w:sz w:val="32"/>
          <w:szCs w:val="24"/>
          <w:highlight w:val="none"/>
          <w:lang w:val="en-US" w:eastAsia="zh-CN"/>
        </w:rPr>
        <w:t>49.28</w:t>
      </w:r>
      <w:r>
        <w:rPr>
          <w:rStyle w:val="16"/>
          <w:rFonts w:hint="eastAsia" w:ascii="仿宋" w:hAnsi="仿宋" w:eastAsia="仿宋"/>
          <w:b w:val="0"/>
          <w:color w:val="auto"/>
          <w:sz w:val="32"/>
          <w:szCs w:val="24"/>
          <w:highlight w:val="none"/>
          <w:lang w:eastAsia="zh-CN"/>
        </w:rPr>
        <w:t>万元</w:t>
      </w:r>
      <w:r>
        <w:rPr>
          <w:rStyle w:val="16"/>
          <w:rFonts w:hint="eastAsia" w:ascii="仿宋" w:hAnsi="仿宋" w:eastAsia="仿宋"/>
          <w:b w:val="0"/>
          <w:color w:val="auto"/>
          <w:sz w:val="32"/>
          <w:szCs w:val="24"/>
          <w:highlight w:val="none"/>
        </w:rPr>
        <w:t>，完成预算</w:t>
      </w:r>
      <w:r>
        <w:rPr>
          <w:rStyle w:val="16"/>
          <w:rFonts w:hint="eastAsia" w:ascii="仿宋" w:hAnsi="仿宋" w:eastAsia="仿宋"/>
          <w:b w:val="0"/>
          <w:color w:val="auto"/>
          <w:sz w:val="32"/>
          <w:szCs w:val="24"/>
          <w:highlight w:val="none"/>
          <w:lang w:val="en-US" w:eastAsia="zh-CN"/>
        </w:rPr>
        <w:t>100</w:t>
      </w:r>
      <w:r>
        <w:rPr>
          <w:rStyle w:val="16"/>
          <w:rFonts w:hint="eastAsia" w:ascii="仿宋" w:hAnsi="仿宋" w:eastAsia="仿宋"/>
          <w:b w:val="0"/>
          <w:color w:val="auto"/>
          <w:sz w:val="32"/>
          <w:szCs w:val="24"/>
          <w:highlight w:val="none"/>
        </w:rPr>
        <w:t>%，</w:t>
      </w:r>
      <w:r>
        <w:rPr>
          <w:rStyle w:val="16"/>
          <w:rFonts w:hint="eastAsia" w:ascii="仿宋" w:hAnsi="仿宋" w:eastAsia="仿宋"/>
          <w:b w:val="0"/>
          <w:color w:val="auto"/>
          <w:sz w:val="32"/>
          <w:szCs w:val="24"/>
          <w:highlight w:val="none"/>
          <w:lang w:eastAsia="zh-CN"/>
        </w:rPr>
        <w:t>决算数与预算数持平</w:t>
      </w:r>
      <w:r>
        <w:rPr>
          <w:rStyle w:val="16"/>
          <w:rFonts w:hint="eastAsia" w:ascii="仿宋" w:hAnsi="仿宋" w:eastAsia="仿宋"/>
          <w:b w:val="0"/>
          <w:color w:val="auto"/>
          <w:sz w:val="32"/>
          <w:szCs w:val="24"/>
          <w:highlight w:val="none"/>
        </w:rPr>
        <w:t>。</w:t>
      </w:r>
    </w:p>
    <w:p>
      <w:pPr>
        <w:keepNext/>
        <w:keepLines/>
        <w:shd w:val="clear"/>
        <w:spacing w:beforeLines="0" w:afterLines="0" w:line="576" w:lineRule="exact"/>
        <w:ind w:firstLine="640"/>
        <w:jc w:val="both"/>
        <w:rPr>
          <w:rFonts w:hint="eastAsia" w:ascii="仿宋_GB2312" w:hAnsi="仿宋_GB2312" w:eastAsia="仿宋"/>
          <w:color w:val="auto"/>
          <w:kern w:val="2"/>
          <w:sz w:val="32"/>
          <w:szCs w:val="24"/>
          <w:highlight w:val="none"/>
          <w:lang w:val="en-US" w:eastAsia="zh-CN"/>
        </w:rPr>
      </w:pPr>
      <w:r>
        <w:rPr>
          <w:rStyle w:val="16"/>
          <w:rFonts w:hint="eastAsia" w:ascii="仿宋" w:hAnsi="仿宋" w:eastAsia="仿宋"/>
          <w:color w:val="auto"/>
          <w:sz w:val="32"/>
          <w:szCs w:val="24"/>
          <w:highlight w:val="none"/>
          <w:lang w:val="en-US" w:eastAsia="zh-CN"/>
        </w:rPr>
        <w:t>7.</w:t>
      </w:r>
      <w:r>
        <w:rPr>
          <w:rFonts w:hint="eastAsia" w:ascii="仿宋_GB2312" w:hAnsi="Times New Roman" w:eastAsia="仿宋_GB2312"/>
          <w:color w:val="auto"/>
          <w:sz w:val="32"/>
          <w:szCs w:val="24"/>
          <w:highlight w:val="none"/>
          <w:lang w:eastAsia="zh-CN"/>
        </w:rPr>
        <w:t>住房保障</w:t>
      </w:r>
      <w:r>
        <w:rPr>
          <w:rFonts w:hint="eastAsia" w:ascii="仿宋_GB2312" w:hAnsi="Times New Roman" w:eastAsia="仿宋_GB2312"/>
          <w:color w:val="auto"/>
          <w:sz w:val="32"/>
          <w:szCs w:val="24"/>
          <w:highlight w:val="none"/>
        </w:rPr>
        <w:t>支出（类）</w:t>
      </w:r>
      <w:r>
        <w:rPr>
          <w:rFonts w:hint="eastAsia" w:ascii="仿宋_GB2312" w:hAnsi="Times New Roman" w:eastAsia="仿宋_GB2312"/>
          <w:color w:val="auto"/>
          <w:sz w:val="32"/>
          <w:szCs w:val="24"/>
          <w:highlight w:val="none"/>
          <w:lang w:eastAsia="zh-CN"/>
        </w:rPr>
        <w:t>住房改革支出</w:t>
      </w:r>
      <w:r>
        <w:rPr>
          <w:rFonts w:hint="eastAsia" w:ascii="仿宋_GB2312" w:hAnsi="Times New Roman" w:eastAsia="仿宋_GB2312"/>
          <w:color w:val="auto"/>
          <w:sz w:val="32"/>
          <w:szCs w:val="24"/>
          <w:highlight w:val="none"/>
        </w:rPr>
        <w:t>（款）</w:t>
      </w:r>
      <w:r>
        <w:rPr>
          <w:rFonts w:hint="eastAsia" w:ascii="仿宋_GB2312" w:hAnsi="Times New Roman" w:eastAsia="仿宋_GB2312"/>
          <w:color w:val="auto"/>
          <w:sz w:val="32"/>
          <w:szCs w:val="24"/>
          <w:highlight w:val="none"/>
          <w:lang w:eastAsia="zh-CN"/>
        </w:rPr>
        <w:t>住房公积金</w:t>
      </w:r>
      <w:r>
        <w:rPr>
          <w:rFonts w:hint="eastAsia" w:ascii="仿宋_GB2312" w:hAnsi="Times New Roman" w:eastAsia="仿宋_GB2312"/>
          <w:color w:val="auto"/>
          <w:sz w:val="32"/>
          <w:szCs w:val="24"/>
          <w:highlight w:val="none"/>
        </w:rPr>
        <w:t>（项）</w:t>
      </w:r>
      <w:r>
        <w:rPr>
          <w:rFonts w:hint="default" w:ascii="宋体" w:hAnsi="Times New Roman" w:eastAsia="宋体"/>
          <w:color w:val="auto"/>
          <w:sz w:val="32"/>
          <w:szCs w:val="24"/>
          <w:highlight w:val="none"/>
          <w:lang w:val="en-US" w:eastAsia="zh-CN"/>
        </w:rPr>
        <w:t>:</w:t>
      </w:r>
      <w:r>
        <w:rPr>
          <w:rStyle w:val="16"/>
          <w:rFonts w:hint="eastAsia" w:ascii="仿宋" w:hAnsi="仿宋" w:eastAsia="仿宋"/>
          <w:b w:val="0"/>
          <w:color w:val="auto"/>
          <w:sz w:val="32"/>
          <w:szCs w:val="24"/>
          <w:highlight w:val="none"/>
        </w:rPr>
        <w:t>支出决算为</w:t>
      </w:r>
      <w:r>
        <w:rPr>
          <w:rStyle w:val="16"/>
          <w:rFonts w:hint="eastAsia" w:ascii="仿宋" w:hAnsi="仿宋" w:eastAsia="仿宋"/>
          <w:b w:val="0"/>
          <w:color w:val="auto"/>
          <w:sz w:val="32"/>
          <w:szCs w:val="24"/>
          <w:highlight w:val="none"/>
          <w:lang w:val="en-US" w:eastAsia="zh-CN"/>
        </w:rPr>
        <w:t>77.63</w:t>
      </w:r>
      <w:r>
        <w:rPr>
          <w:rStyle w:val="16"/>
          <w:rFonts w:hint="eastAsia" w:ascii="仿宋" w:hAnsi="仿宋" w:eastAsia="仿宋"/>
          <w:b w:val="0"/>
          <w:color w:val="auto"/>
          <w:sz w:val="32"/>
          <w:szCs w:val="24"/>
          <w:highlight w:val="none"/>
          <w:lang w:eastAsia="zh-CN"/>
        </w:rPr>
        <w:t>万元</w:t>
      </w:r>
      <w:r>
        <w:rPr>
          <w:rStyle w:val="16"/>
          <w:rFonts w:hint="eastAsia" w:ascii="仿宋" w:hAnsi="仿宋" w:eastAsia="仿宋"/>
          <w:b w:val="0"/>
          <w:color w:val="auto"/>
          <w:sz w:val="32"/>
          <w:szCs w:val="24"/>
          <w:highlight w:val="none"/>
        </w:rPr>
        <w:t>，完成预算</w:t>
      </w:r>
      <w:r>
        <w:rPr>
          <w:rStyle w:val="16"/>
          <w:rFonts w:hint="eastAsia" w:ascii="仿宋" w:hAnsi="仿宋" w:eastAsia="仿宋"/>
          <w:b w:val="0"/>
          <w:color w:val="auto"/>
          <w:sz w:val="32"/>
          <w:szCs w:val="24"/>
          <w:highlight w:val="none"/>
          <w:lang w:val="en-US" w:eastAsia="zh-CN"/>
        </w:rPr>
        <w:t>100</w:t>
      </w:r>
      <w:r>
        <w:rPr>
          <w:rStyle w:val="16"/>
          <w:rFonts w:hint="eastAsia" w:ascii="仿宋" w:hAnsi="仿宋" w:eastAsia="仿宋"/>
          <w:b w:val="0"/>
          <w:color w:val="auto"/>
          <w:sz w:val="32"/>
          <w:szCs w:val="24"/>
          <w:highlight w:val="none"/>
        </w:rPr>
        <w:t>%，</w:t>
      </w:r>
      <w:r>
        <w:rPr>
          <w:rStyle w:val="16"/>
          <w:rFonts w:hint="eastAsia" w:ascii="仿宋" w:hAnsi="仿宋" w:eastAsia="仿宋"/>
          <w:b w:val="0"/>
          <w:color w:val="auto"/>
          <w:sz w:val="32"/>
          <w:szCs w:val="24"/>
          <w:highlight w:val="none"/>
          <w:lang w:eastAsia="zh-CN"/>
        </w:rPr>
        <w:t>决算数与预算数持平。</w:t>
      </w:r>
    </w:p>
    <w:p>
      <w:pPr>
        <w:keepNext/>
        <w:keepLines/>
        <w:shd w:val="clear"/>
        <w:tabs>
          <w:tab w:val="right" w:pos="8306"/>
        </w:tabs>
        <w:spacing w:beforeLines="0" w:afterLines="0" w:line="576" w:lineRule="exact"/>
        <w:ind w:firstLine="640"/>
        <w:jc w:val="both"/>
        <w:outlineLvl w:val="1"/>
        <w:rPr>
          <w:rFonts w:hint="default" w:ascii="Cambria" w:hAnsi="Cambria" w:eastAsia="Cambria"/>
          <w:b/>
          <w:color w:val="auto"/>
          <w:kern w:val="2"/>
          <w:sz w:val="32"/>
          <w:szCs w:val="24"/>
          <w:highlight w:val="none"/>
          <w:lang w:val="zh-CN"/>
        </w:rPr>
      </w:pPr>
      <w:bookmarkStart w:id="13" w:name="_Toc24831"/>
      <w:r>
        <w:rPr>
          <w:rFonts w:hint="eastAsia" w:ascii="黑体" w:hAnsi="黑体" w:eastAsia="黑体"/>
          <w:color w:val="auto"/>
          <w:kern w:val="2"/>
          <w:sz w:val="32"/>
          <w:szCs w:val="24"/>
          <w:highlight w:val="none"/>
          <w:lang w:val="zh-CN"/>
        </w:rPr>
        <w:t>六</w:t>
      </w:r>
      <w:r>
        <w:rPr>
          <w:rFonts w:hint="eastAsia" w:ascii="黑体" w:hAnsi="黑体" w:eastAsia="黑体"/>
          <w:b/>
          <w:color w:val="auto"/>
          <w:kern w:val="2"/>
          <w:sz w:val="32"/>
          <w:szCs w:val="24"/>
          <w:highlight w:val="none"/>
          <w:lang w:val="zh-CN"/>
        </w:rPr>
        <w:t>、一</w:t>
      </w:r>
      <w:r>
        <w:rPr>
          <w:rFonts w:hint="eastAsia" w:ascii="黑体" w:hAnsi="黑体" w:eastAsia="黑体"/>
          <w:color w:val="auto"/>
          <w:kern w:val="2"/>
          <w:sz w:val="32"/>
          <w:szCs w:val="24"/>
          <w:highlight w:val="none"/>
          <w:lang w:val="zh-CN"/>
        </w:rPr>
        <w:t>般公共预算财政拨款基本支出决算情况说明</w:t>
      </w:r>
      <w:bookmarkEnd w:id="13"/>
      <w:r>
        <w:rPr>
          <w:rFonts w:hint="eastAsia" w:ascii="黑体" w:hAnsi="黑体" w:eastAsia="黑体"/>
          <w:color w:val="auto"/>
          <w:kern w:val="2"/>
          <w:sz w:val="32"/>
          <w:szCs w:val="24"/>
          <w:highlight w:val="none"/>
          <w:lang w:val="zh-CN"/>
        </w:rPr>
        <w:tab/>
      </w:r>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2022年一般公共预算财政拨款基本支出1,251.67万元，其中：</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人员经费</w:t>
      </w:r>
      <w:r>
        <w:rPr>
          <w:rFonts w:hint="eastAsia" w:ascii="仿宋_GB2312" w:hAnsi="仿宋_GB2312" w:eastAsia="仿宋_GB2312"/>
          <w:color w:val="auto"/>
          <w:kern w:val="2"/>
          <w:sz w:val="32"/>
          <w:szCs w:val="24"/>
          <w:highlight w:val="none"/>
          <w:lang w:val="zh-CN"/>
        </w:rPr>
        <w:t>1,030.83万元，主要包括：</w:t>
      </w:r>
      <w:r>
        <w:rPr>
          <w:rFonts w:hint="eastAsia" w:ascii="仿宋" w:hAnsi="仿宋" w:eastAsia="仿宋"/>
          <w:color w:val="auto"/>
          <w:kern w:val="2"/>
          <w:sz w:val="32"/>
          <w:szCs w:val="24"/>
          <w:highlight w:val="none"/>
          <w:lang w:val="en-US"/>
        </w:rPr>
        <w:t>基本工资、津贴补贴、奖金、绩效工资、机关事业单位基本养老保险缴费、</w:t>
      </w:r>
      <w:r>
        <w:rPr>
          <w:rFonts w:hint="eastAsia" w:ascii="仿宋" w:hAnsi="仿宋" w:eastAsia="仿宋"/>
          <w:color w:val="auto"/>
          <w:kern w:val="2"/>
          <w:sz w:val="32"/>
          <w:szCs w:val="24"/>
          <w:highlight w:val="none"/>
          <w:lang w:val="en-US" w:eastAsia="zh-CN"/>
        </w:rPr>
        <w:t>职工基本医疗保险缴费</w:t>
      </w:r>
      <w:r>
        <w:rPr>
          <w:rFonts w:hint="eastAsia" w:ascii="仿宋" w:hAnsi="仿宋" w:eastAsia="仿宋"/>
          <w:color w:val="auto"/>
          <w:kern w:val="2"/>
          <w:sz w:val="32"/>
          <w:szCs w:val="24"/>
          <w:highlight w:val="none"/>
          <w:lang w:val="en-US"/>
        </w:rPr>
        <w:t>、其他社会保障缴费、住房公积金</w:t>
      </w:r>
      <w:r>
        <w:rPr>
          <w:rFonts w:hint="eastAsia" w:ascii="仿宋" w:hAnsi="仿宋" w:eastAsia="仿宋"/>
          <w:color w:val="auto"/>
          <w:kern w:val="2"/>
          <w:sz w:val="32"/>
          <w:szCs w:val="24"/>
          <w:highlight w:val="none"/>
          <w:lang w:val="en-US" w:eastAsia="zh-CN"/>
        </w:rPr>
        <w:t>、</w:t>
      </w:r>
      <w:r>
        <w:rPr>
          <w:rFonts w:hint="eastAsia" w:ascii="仿宋" w:hAnsi="仿宋" w:eastAsia="仿宋"/>
          <w:color w:val="auto"/>
          <w:kern w:val="2"/>
          <w:sz w:val="32"/>
          <w:szCs w:val="24"/>
          <w:highlight w:val="none"/>
          <w:lang w:val="en-US"/>
        </w:rPr>
        <w:t>其他工资福利支出、生活补助</w:t>
      </w:r>
      <w:r>
        <w:rPr>
          <w:rFonts w:hint="eastAsia" w:ascii="仿宋_GB2312" w:hAnsi="仿宋_GB2312" w:eastAsia="仿宋_GB2312"/>
          <w:color w:val="auto"/>
          <w:kern w:val="2"/>
          <w:sz w:val="32"/>
          <w:szCs w:val="24"/>
          <w:highlight w:val="none"/>
          <w:lang w:val="zh-CN"/>
        </w:rPr>
        <w:t>。</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公用经费</w:t>
      </w:r>
      <w:r>
        <w:rPr>
          <w:rFonts w:hint="eastAsia" w:ascii="仿宋_GB2312" w:hAnsi="仿宋_GB2312" w:eastAsia="仿宋_GB2312"/>
          <w:color w:val="auto"/>
          <w:kern w:val="2"/>
          <w:sz w:val="32"/>
          <w:szCs w:val="24"/>
          <w:highlight w:val="none"/>
          <w:lang w:val="zh-CN"/>
        </w:rPr>
        <w:t>220.84万元，主要包括：</w:t>
      </w:r>
      <w:r>
        <w:rPr>
          <w:rFonts w:hint="eastAsia" w:ascii="仿宋" w:hAnsi="仿宋" w:eastAsia="仿宋"/>
          <w:color w:val="auto"/>
          <w:kern w:val="2"/>
          <w:sz w:val="32"/>
          <w:szCs w:val="24"/>
          <w:highlight w:val="none"/>
          <w:lang w:val="en-US"/>
        </w:rPr>
        <w:t>办公费、印刷费、水费、电费、邮电费、物业管理费、差旅费、维修（护）费、公务接待费、工会经费、福利费、公务用车运行维护费、其他交通费</w:t>
      </w:r>
      <w:r>
        <w:rPr>
          <w:rFonts w:hint="eastAsia" w:ascii="仿宋" w:hAnsi="仿宋" w:eastAsia="仿宋"/>
          <w:color w:val="auto"/>
          <w:kern w:val="2"/>
          <w:sz w:val="32"/>
          <w:szCs w:val="24"/>
          <w:highlight w:val="none"/>
          <w:lang w:val="en-US" w:eastAsia="zh-CN"/>
        </w:rPr>
        <w:t>用</w:t>
      </w:r>
      <w:r>
        <w:rPr>
          <w:rFonts w:hint="eastAsia" w:ascii="仿宋" w:hAnsi="仿宋" w:eastAsia="仿宋"/>
          <w:color w:val="auto"/>
          <w:kern w:val="2"/>
          <w:sz w:val="32"/>
          <w:szCs w:val="24"/>
          <w:highlight w:val="none"/>
          <w:lang w:val="en-US"/>
        </w:rPr>
        <w:t>、其他商品和服务支出</w:t>
      </w:r>
      <w:r>
        <w:rPr>
          <w:rFonts w:hint="eastAsia" w:ascii="仿宋_GB2312" w:hAnsi="仿宋_GB2312" w:eastAsia="仿宋_GB2312"/>
          <w:color w:val="auto"/>
          <w:kern w:val="2"/>
          <w:sz w:val="32"/>
          <w:szCs w:val="24"/>
          <w:highlight w:val="none"/>
          <w:lang w:val="zh-CN"/>
        </w:rPr>
        <w:t>。</w:t>
      </w:r>
    </w:p>
    <w:p>
      <w:pPr>
        <w:keepNext/>
        <w:keepLines/>
        <w:shd w:val="clear"/>
        <w:spacing w:beforeLines="0" w:afterLines="0" w:line="576" w:lineRule="exact"/>
        <w:ind w:firstLine="640"/>
        <w:jc w:val="both"/>
        <w:outlineLvl w:val="1"/>
        <w:rPr>
          <w:rFonts w:hint="eastAsia" w:ascii="黑体" w:hAnsi="黑体" w:eastAsia="黑体"/>
          <w:color w:val="auto"/>
          <w:kern w:val="2"/>
          <w:sz w:val="32"/>
          <w:szCs w:val="24"/>
          <w:highlight w:val="none"/>
          <w:lang w:val="zh-CN"/>
        </w:rPr>
      </w:pPr>
      <w:bookmarkStart w:id="14" w:name="_Toc16549"/>
      <w:r>
        <w:rPr>
          <w:rFonts w:hint="eastAsia" w:ascii="黑体" w:hAnsi="黑体" w:eastAsia="黑体"/>
          <w:color w:val="auto"/>
          <w:kern w:val="2"/>
          <w:sz w:val="32"/>
          <w:szCs w:val="24"/>
          <w:highlight w:val="none"/>
          <w:lang w:val="zh-CN"/>
        </w:rPr>
        <w:t>七、</w:t>
      </w:r>
      <w:r>
        <w:rPr>
          <w:rFonts w:hint="eastAsia" w:ascii="黑体" w:hAnsi="黑体" w:eastAsia="黑体"/>
          <w:b/>
          <w:color w:val="auto"/>
          <w:kern w:val="2"/>
          <w:sz w:val="32"/>
          <w:szCs w:val="24"/>
          <w:highlight w:val="none"/>
          <w:lang w:val="zh-CN"/>
        </w:rPr>
        <w:t>“</w:t>
      </w:r>
      <w:r>
        <w:rPr>
          <w:rFonts w:hint="eastAsia" w:ascii="黑体" w:hAnsi="黑体" w:eastAsia="黑体"/>
          <w:color w:val="auto"/>
          <w:kern w:val="2"/>
          <w:sz w:val="32"/>
          <w:szCs w:val="24"/>
          <w:highlight w:val="none"/>
          <w:lang w:val="zh-CN"/>
        </w:rPr>
        <w:t>三公”经费财政拨款支出决算情况说明</w:t>
      </w:r>
      <w:bookmarkEnd w:id="14"/>
    </w:p>
    <w:p>
      <w:pPr>
        <w:keepNext/>
        <w:keepLines/>
        <w:shd w:val="clear"/>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（一）“三公”经费财政拨款支出决算总体情况说明</w:t>
      </w:r>
    </w:p>
    <w:p>
      <w:pPr>
        <w:shd w:val="clear"/>
        <w:spacing w:beforeLines="0" w:afterLines="0" w:line="600" w:lineRule="exact"/>
        <w:ind w:firstLine="64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2022年“三公”经费财政拨款支出决算为75.5万元，完成预算100%；较上年增加12.5万元，增长19.8%。决算数同</w:t>
      </w:r>
      <w:r>
        <w:rPr>
          <w:rFonts w:hint="eastAsia" w:ascii="仿宋_GB2312" w:hAnsi="仿宋_GB2312" w:eastAsia="仿宋_GB2312"/>
          <w:color w:val="auto"/>
          <w:kern w:val="2"/>
          <w:sz w:val="32"/>
          <w:szCs w:val="24"/>
          <w:highlight w:val="none"/>
          <w:lang w:val="en-US"/>
        </w:rPr>
        <w:t>预算数持平</w:t>
      </w:r>
      <w:r>
        <w:rPr>
          <w:rFonts w:hint="eastAsia" w:ascii="仿宋_GB2312" w:hAnsi="仿宋_GB2312" w:eastAsia="仿宋_GB2312"/>
          <w:color w:val="auto"/>
          <w:kern w:val="2"/>
          <w:sz w:val="32"/>
          <w:szCs w:val="24"/>
          <w:highlight w:val="none"/>
          <w:lang w:val="zh-CN"/>
        </w:rPr>
        <w:t>，主要原因是</w:t>
      </w:r>
      <w:r>
        <w:rPr>
          <w:rFonts w:hint="eastAsia" w:ascii="仿宋" w:hAnsi="仿宋" w:eastAsia="仿宋"/>
          <w:color w:val="auto"/>
          <w:sz w:val="32"/>
          <w:szCs w:val="24"/>
          <w:highlight w:val="none"/>
          <w:lang w:eastAsia="zh-CN"/>
        </w:rPr>
        <w:t>本年度我院严格按照预算，严格规范车辆管理，严格接待标准来控制“三公”经费</w:t>
      </w:r>
      <w:r>
        <w:rPr>
          <w:rFonts w:hint="eastAsia" w:ascii="仿宋" w:hAnsi="仿宋" w:eastAsia="仿宋"/>
          <w:color w:val="auto"/>
          <w:sz w:val="32"/>
          <w:szCs w:val="24"/>
          <w:highlight w:val="none"/>
        </w:rPr>
        <w:t>。</w:t>
      </w:r>
    </w:p>
    <w:p>
      <w:pPr>
        <w:keepNext/>
        <w:keepLines/>
        <w:shd w:val="clear"/>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（二）“三公”经费财政拨款支出决算具体情况说明</w:t>
      </w:r>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2022年“三公”经费财政拨款支出决算中，因公出国（境）费支出决算0万元，占0%；公务用车购置及运行维护费支出决算70.7万元，占93.6</w:t>
      </w:r>
      <w:r>
        <w:rPr>
          <w:rFonts w:hint="eastAsia" w:ascii="仿宋_GB2312" w:hAnsi="仿宋_GB2312" w:eastAsia="仿宋_GB2312"/>
          <w:color w:val="auto"/>
          <w:kern w:val="2"/>
          <w:sz w:val="32"/>
          <w:szCs w:val="24"/>
          <w:highlight w:val="none"/>
          <w:lang w:val="en-US" w:eastAsia="zh-CN"/>
        </w:rPr>
        <w:t>4</w:t>
      </w:r>
      <w:r>
        <w:rPr>
          <w:rFonts w:hint="eastAsia" w:ascii="仿宋_GB2312" w:hAnsi="仿宋_GB2312" w:eastAsia="仿宋_GB2312"/>
          <w:color w:val="auto"/>
          <w:kern w:val="2"/>
          <w:sz w:val="32"/>
          <w:szCs w:val="24"/>
          <w:highlight w:val="none"/>
          <w:lang w:val="zh-CN"/>
        </w:rPr>
        <w:t>%；公务接待费支出决算4.8万元，占6.</w:t>
      </w:r>
      <w:r>
        <w:rPr>
          <w:rFonts w:hint="eastAsia" w:ascii="仿宋_GB2312" w:hAnsi="仿宋_GB2312" w:eastAsia="仿宋_GB2312"/>
          <w:color w:val="auto"/>
          <w:kern w:val="2"/>
          <w:sz w:val="32"/>
          <w:szCs w:val="24"/>
          <w:highlight w:val="none"/>
          <w:lang w:val="en-US" w:eastAsia="zh-CN"/>
        </w:rPr>
        <w:t>36</w:t>
      </w:r>
      <w:r>
        <w:rPr>
          <w:rFonts w:hint="eastAsia" w:ascii="仿宋_GB2312" w:hAnsi="仿宋_GB2312" w:eastAsia="仿宋_GB2312"/>
          <w:color w:val="auto"/>
          <w:kern w:val="2"/>
          <w:sz w:val="32"/>
          <w:szCs w:val="24"/>
          <w:highlight w:val="none"/>
          <w:lang w:val="zh-CN"/>
        </w:rPr>
        <w:t>%。具体情况如下：</w:t>
      </w:r>
    </w:p>
    <w:p>
      <w:pPr>
        <w:pStyle w:val="2"/>
        <w:shd w:val="clear"/>
        <w:jc w:val="center"/>
        <w:rPr>
          <w:rFonts w:hint="eastAsia" w:ascii="仿宋_GB2312" w:hAnsi="仿宋_GB2312" w:eastAsia="仿宋_GB2312"/>
          <w:color w:val="auto"/>
          <w:kern w:val="2"/>
          <w:sz w:val="32"/>
          <w:szCs w:val="24"/>
          <w:highlight w:val="none"/>
          <w:lang w:val="zh-CN"/>
        </w:rPr>
      </w:pPr>
      <w:r>
        <w:rPr>
          <w:color w:val="auto"/>
          <w:highlight w:val="none"/>
        </w:rPr>
        <w:drawing>
          <wp:inline distT="0" distB="0" distL="114300" distR="114300">
            <wp:extent cx="4067175" cy="2338705"/>
            <wp:effectExtent l="0" t="0" r="0"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3"/>
                    <a:stretch>
                      <a:fillRect/>
                    </a:stretch>
                  </pic:blipFill>
                  <pic:spPr>
                    <a:xfrm>
                      <a:off x="0" y="0"/>
                      <a:ext cx="4067175" cy="2338705"/>
                    </a:xfrm>
                    <a:prstGeom prst="rect">
                      <a:avLst/>
                    </a:prstGeom>
                    <a:noFill/>
                    <a:ln>
                      <a:noFill/>
                    </a:ln>
                  </pic:spPr>
                </pic:pic>
              </a:graphicData>
            </a:graphic>
          </wp:inline>
        </w:drawing>
      </w:r>
    </w:p>
    <w:p>
      <w:pPr>
        <w:pStyle w:val="2"/>
        <w:shd w:val="clear"/>
        <w:jc w:val="center"/>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（图7：“三公”经费财政拨款支出结构）</w:t>
      </w:r>
    </w:p>
    <w:p>
      <w:pPr>
        <w:pStyle w:val="13"/>
        <w:shd w:val="clear"/>
        <w:ind w:left="0" w:leftChars="0" w:firstLine="0" w:firstLineChars="0"/>
        <w:rPr>
          <w:rFonts w:hint="eastAsia"/>
          <w:color w:val="auto"/>
          <w:highlight w:val="none"/>
          <w:lang w:val="zh-CN"/>
        </w:rPr>
      </w:pPr>
    </w:p>
    <w:p>
      <w:pPr>
        <w:numPr>
          <w:ilvl w:val="0"/>
          <w:numId w:val="0"/>
        </w:numPr>
        <w:shd w:val="clear"/>
        <w:spacing w:beforeLines="0" w:afterLines="0" w:line="600" w:lineRule="exact"/>
        <w:ind w:firstLine="320" w:firstLineChars="100"/>
        <w:rPr>
          <w:rFonts w:hint="eastAsia" w:ascii="仿宋_GB2312" w:hAnsi="Times New Roman" w:eastAsia="仿宋_GB2312"/>
          <w:color w:val="auto"/>
          <w:sz w:val="32"/>
          <w:szCs w:val="24"/>
          <w:highlight w:val="none"/>
        </w:rPr>
      </w:pPr>
      <w:r>
        <w:rPr>
          <w:rFonts w:hint="eastAsia" w:ascii="仿宋_GB2312" w:hAnsi="仿宋_GB2312" w:eastAsia="仿宋_GB2312"/>
          <w:b/>
          <w:color w:val="auto"/>
          <w:kern w:val="2"/>
          <w:sz w:val="32"/>
          <w:szCs w:val="24"/>
          <w:highlight w:val="none"/>
          <w:lang w:val="en-US" w:eastAsia="zh-CN"/>
        </w:rPr>
        <w:t>1、</w:t>
      </w:r>
      <w:r>
        <w:rPr>
          <w:rFonts w:hint="eastAsia" w:ascii="仿宋_GB2312" w:hAnsi="仿宋_GB2312" w:eastAsia="仿宋_GB2312"/>
          <w:b/>
          <w:color w:val="auto"/>
          <w:kern w:val="2"/>
          <w:sz w:val="32"/>
          <w:szCs w:val="24"/>
          <w:highlight w:val="none"/>
          <w:lang w:val="zh-CN"/>
        </w:rPr>
        <w:t>因公出国（境）经费</w:t>
      </w:r>
      <w:r>
        <w:rPr>
          <w:rFonts w:hint="eastAsia" w:ascii="仿宋_GB2312" w:hAnsi="仿宋_GB2312" w:eastAsia="仿宋_GB2312"/>
          <w:color w:val="auto"/>
          <w:kern w:val="2"/>
          <w:sz w:val="32"/>
          <w:szCs w:val="24"/>
          <w:highlight w:val="none"/>
          <w:lang w:val="zh-CN"/>
        </w:rPr>
        <w:t>支出0万元，完成预算0%。全年安排因公出国（境）团组0个，出国（境）0人。因公出国（境）支出决算同2021年持平。</w:t>
      </w:r>
      <w:r>
        <w:rPr>
          <w:rFonts w:hint="eastAsia" w:ascii="仿宋_GB2312" w:hAnsi="Times New Roman" w:eastAsia="仿宋_GB2312"/>
          <w:color w:val="auto"/>
          <w:sz w:val="32"/>
          <w:szCs w:val="24"/>
          <w:highlight w:val="none"/>
        </w:rPr>
        <w:t>主要原因是</w:t>
      </w:r>
      <w:r>
        <w:rPr>
          <w:rFonts w:hint="eastAsia" w:ascii="仿宋_GB2312" w:hAnsi="Times New Roman" w:eastAsia="仿宋_GB2312"/>
          <w:color w:val="auto"/>
          <w:sz w:val="32"/>
          <w:szCs w:val="24"/>
          <w:highlight w:val="none"/>
          <w:lang w:eastAsia="zh-CN"/>
        </w:rPr>
        <w:t>本年无</w:t>
      </w:r>
      <w:r>
        <w:rPr>
          <w:rFonts w:hint="eastAsia" w:ascii="仿宋_GB2312" w:hAnsi="Times New Roman" w:eastAsia="仿宋_GB2312"/>
          <w:color w:val="auto"/>
          <w:sz w:val="32"/>
          <w:szCs w:val="24"/>
          <w:highlight w:val="none"/>
        </w:rPr>
        <w:t>因公出国（境）。</w:t>
      </w:r>
    </w:p>
    <w:p>
      <w:pPr>
        <w:shd w:val="clear"/>
        <w:spacing w:beforeLines="0" w:afterLines="0" w:line="600" w:lineRule="exact"/>
        <w:ind w:firstLine="64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2.公务用车购置及运行维护费</w:t>
      </w:r>
      <w:r>
        <w:rPr>
          <w:rFonts w:hint="eastAsia" w:ascii="仿宋_GB2312" w:hAnsi="仿宋_GB2312" w:eastAsia="仿宋_GB2312"/>
          <w:color w:val="auto"/>
          <w:kern w:val="2"/>
          <w:sz w:val="32"/>
          <w:szCs w:val="24"/>
          <w:highlight w:val="none"/>
          <w:lang w:val="zh-CN"/>
        </w:rPr>
        <w:t>支出70.7万元，完成预算100%。公务用车购置及运行维护费支出决算比2021年增加13.7万元，增长24%。</w:t>
      </w:r>
      <w:r>
        <w:rPr>
          <w:rFonts w:hint="eastAsia" w:ascii="仿宋_GB2312" w:hAnsi="Times New Roman" w:eastAsia="仿宋_GB2312"/>
          <w:color w:val="auto"/>
          <w:sz w:val="32"/>
          <w:szCs w:val="24"/>
          <w:highlight w:val="none"/>
        </w:rPr>
        <w:t>主要原因是</w:t>
      </w:r>
      <w:r>
        <w:rPr>
          <w:rFonts w:hint="eastAsia" w:ascii="仿宋_GB2312" w:hAnsi="Times New Roman" w:eastAsia="仿宋_GB2312"/>
          <w:color w:val="auto"/>
          <w:sz w:val="32"/>
          <w:szCs w:val="24"/>
          <w:highlight w:val="none"/>
          <w:lang w:eastAsia="zh-CN"/>
        </w:rPr>
        <w:t>本年度</w:t>
      </w:r>
      <w:r>
        <w:rPr>
          <w:rFonts w:hint="eastAsia" w:ascii="仿宋" w:hAnsi="仿宋" w:eastAsia="仿宋"/>
          <w:color w:val="auto"/>
          <w:sz w:val="32"/>
          <w:szCs w:val="24"/>
          <w:highlight w:val="none"/>
          <w:lang w:eastAsia="zh-CN"/>
        </w:rPr>
        <w:t>案件数量增加，以及防疫工作等</w:t>
      </w:r>
      <w:r>
        <w:rPr>
          <w:rFonts w:hint="eastAsia" w:ascii="仿宋_GB2312" w:hAnsi="Times New Roman" w:eastAsia="仿宋_GB2312"/>
          <w:color w:val="auto"/>
          <w:sz w:val="32"/>
          <w:szCs w:val="24"/>
          <w:highlight w:val="none"/>
        </w:rPr>
        <w:t>。</w:t>
      </w:r>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其中：</w:t>
      </w:r>
      <w:r>
        <w:rPr>
          <w:rFonts w:hint="eastAsia" w:ascii="仿宋_GB2312" w:hAnsi="仿宋_GB2312" w:eastAsia="仿宋_GB2312"/>
          <w:b/>
          <w:color w:val="auto"/>
          <w:kern w:val="2"/>
          <w:sz w:val="32"/>
          <w:szCs w:val="24"/>
          <w:highlight w:val="none"/>
          <w:lang w:val="zh-CN"/>
        </w:rPr>
        <w:t>公务用车购置费</w:t>
      </w:r>
      <w:r>
        <w:rPr>
          <w:rFonts w:hint="eastAsia" w:ascii="仿宋_GB2312" w:hAnsi="仿宋_GB2312" w:eastAsia="仿宋_GB2312"/>
          <w:color w:val="auto"/>
          <w:kern w:val="2"/>
          <w:sz w:val="32"/>
          <w:szCs w:val="24"/>
          <w:highlight w:val="none"/>
          <w:lang w:val="zh-CN"/>
        </w:rPr>
        <w:t>支出0万元。截至2022年12月底，本部门共有公务用车23辆，其中：轿车</w:t>
      </w:r>
      <w:r>
        <w:rPr>
          <w:rFonts w:hint="eastAsia" w:ascii="仿宋_GB2312" w:hAnsi="仿宋_GB2312" w:eastAsia="仿宋_GB2312"/>
          <w:color w:val="auto"/>
          <w:kern w:val="2"/>
          <w:sz w:val="32"/>
          <w:szCs w:val="24"/>
          <w:highlight w:val="none"/>
          <w:lang w:val="en-US" w:eastAsia="zh-CN"/>
        </w:rPr>
        <w:t>17</w:t>
      </w:r>
      <w:r>
        <w:rPr>
          <w:rFonts w:hint="eastAsia" w:ascii="仿宋_GB2312" w:hAnsi="仿宋_GB2312" w:eastAsia="仿宋_GB2312"/>
          <w:color w:val="auto"/>
          <w:kern w:val="2"/>
          <w:sz w:val="32"/>
          <w:szCs w:val="24"/>
          <w:highlight w:val="none"/>
          <w:lang w:val="zh-CN"/>
        </w:rPr>
        <w:t>辆、越野车</w:t>
      </w:r>
      <w:r>
        <w:rPr>
          <w:rFonts w:hint="eastAsia" w:ascii="仿宋_GB2312" w:hAnsi="仿宋_GB2312" w:eastAsia="仿宋_GB2312"/>
          <w:color w:val="auto"/>
          <w:kern w:val="2"/>
          <w:sz w:val="32"/>
          <w:szCs w:val="24"/>
          <w:highlight w:val="none"/>
          <w:lang w:val="en-US" w:eastAsia="zh-CN"/>
        </w:rPr>
        <w:t>3</w:t>
      </w:r>
      <w:r>
        <w:rPr>
          <w:rFonts w:hint="eastAsia" w:ascii="仿宋_GB2312" w:hAnsi="仿宋_GB2312" w:eastAsia="仿宋_GB2312"/>
          <w:color w:val="auto"/>
          <w:kern w:val="2"/>
          <w:sz w:val="32"/>
          <w:szCs w:val="24"/>
          <w:highlight w:val="none"/>
          <w:lang w:val="zh-CN"/>
        </w:rPr>
        <w:t>辆、小型载客汽车</w:t>
      </w:r>
      <w:r>
        <w:rPr>
          <w:rFonts w:hint="eastAsia" w:ascii="仿宋_GB2312" w:hAnsi="仿宋_GB2312" w:eastAsia="仿宋_GB2312"/>
          <w:color w:val="auto"/>
          <w:kern w:val="2"/>
          <w:sz w:val="32"/>
          <w:szCs w:val="24"/>
          <w:highlight w:val="none"/>
          <w:lang w:val="en-US" w:eastAsia="zh-CN"/>
        </w:rPr>
        <w:t>3</w:t>
      </w:r>
      <w:r>
        <w:rPr>
          <w:rFonts w:hint="eastAsia" w:ascii="仿宋_GB2312" w:hAnsi="仿宋_GB2312" w:eastAsia="仿宋_GB2312"/>
          <w:color w:val="auto"/>
          <w:kern w:val="2"/>
          <w:sz w:val="32"/>
          <w:szCs w:val="24"/>
          <w:highlight w:val="none"/>
          <w:lang w:val="zh-CN"/>
        </w:rPr>
        <w:t>辆。</w:t>
      </w:r>
    </w:p>
    <w:p>
      <w:pPr>
        <w:keepNext/>
        <w:keepLines/>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公务用车运行维护费</w:t>
      </w:r>
      <w:r>
        <w:rPr>
          <w:rFonts w:hint="eastAsia" w:ascii="仿宋_GB2312" w:hAnsi="仿宋_GB2312" w:eastAsia="仿宋_GB2312"/>
          <w:color w:val="auto"/>
          <w:kern w:val="2"/>
          <w:sz w:val="32"/>
          <w:szCs w:val="24"/>
          <w:highlight w:val="none"/>
          <w:lang w:val="zh-CN"/>
        </w:rPr>
        <w:t>支出70.7万元。主要用于审判执行工作、送达、调查等所需的公务用车燃料费、维修费、过路过桥费、保险费等支出。</w:t>
      </w:r>
    </w:p>
    <w:p>
      <w:pPr>
        <w:numPr>
          <w:ilvl w:val="0"/>
          <w:numId w:val="0"/>
        </w:numPr>
        <w:shd w:val="clear"/>
        <w:spacing w:beforeLines="0" w:afterLines="0" w:line="600" w:lineRule="exact"/>
        <w:ind w:firstLine="640" w:firstLineChars="200"/>
        <w:rPr>
          <w:rFonts w:hint="eastAsia" w:ascii="仿宋_GB2312" w:hAnsi="Times New Roman" w:eastAsia="仿宋_GB2312"/>
          <w:color w:val="auto"/>
          <w:sz w:val="32"/>
          <w:szCs w:val="24"/>
          <w:highlight w:val="none"/>
        </w:rPr>
      </w:pPr>
      <w:r>
        <w:rPr>
          <w:rFonts w:hint="eastAsia" w:ascii="仿宋_GB2312" w:hAnsi="仿宋_GB2312" w:eastAsia="仿宋_GB2312"/>
          <w:b/>
          <w:color w:val="auto"/>
          <w:kern w:val="2"/>
          <w:sz w:val="32"/>
          <w:szCs w:val="24"/>
          <w:highlight w:val="none"/>
          <w:lang w:val="zh-CN"/>
        </w:rPr>
        <w:t>3.公务接待费</w:t>
      </w:r>
      <w:r>
        <w:rPr>
          <w:rFonts w:hint="eastAsia" w:ascii="仿宋_GB2312" w:hAnsi="仿宋_GB2312" w:eastAsia="仿宋_GB2312"/>
          <w:color w:val="auto"/>
          <w:kern w:val="2"/>
          <w:sz w:val="32"/>
          <w:szCs w:val="24"/>
          <w:highlight w:val="none"/>
          <w:lang w:val="zh-CN"/>
        </w:rPr>
        <w:t>支出4.8万元，完成预算100%。公务接待费支出决算比2021年减少1.2万元，下降20%。</w:t>
      </w:r>
      <w:r>
        <w:rPr>
          <w:rFonts w:hint="eastAsia" w:ascii="仿宋_GB2312" w:hAnsi="Times New Roman" w:eastAsia="仿宋_GB2312"/>
          <w:color w:val="auto"/>
          <w:sz w:val="32"/>
          <w:szCs w:val="24"/>
          <w:highlight w:val="none"/>
        </w:rPr>
        <w:t>主要原因是</w:t>
      </w:r>
      <w:r>
        <w:rPr>
          <w:rFonts w:hint="eastAsia" w:ascii="仿宋_GB2312" w:hAnsi="Times New Roman" w:eastAsia="仿宋_GB2312"/>
          <w:color w:val="auto"/>
          <w:sz w:val="32"/>
          <w:szCs w:val="24"/>
          <w:highlight w:val="none"/>
          <w:lang w:eastAsia="zh-CN"/>
        </w:rPr>
        <w:t>本年度</w:t>
      </w:r>
      <w:r>
        <w:rPr>
          <w:rFonts w:hint="eastAsia" w:ascii="仿宋" w:hAnsi="仿宋" w:eastAsia="仿宋"/>
          <w:color w:val="auto"/>
          <w:sz w:val="32"/>
          <w:szCs w:val="24"/>
          <w:highlight w:val="none"/>
          <w:lang w:eastAsia="zh-CN"/>
        </w:rPr>
        <w:t>严格按照预算控制支出，厉行节约</w:t>
      </w:r>
      <w:r>
        <w:rPr>
          <w:rFonts w:hint="eastAsia" w:ascii="仿宋_GB2312" w:hAnsi="Times New Roman" w:eastAsia="仿宋_GB2312"/>
          <w:color w:val="auto"/>
          <w:sz w:val="32"/>
          <w:szCs w:val="24"/>
          <w:highlight w:val="none"/>
        </w:rPr>
        <w:t>。</w:t>
      </w:r>
    </w:p>
    <w:p>
      <w:pPr>
        <w:keepNext/>
        <w:keepLines/>
        <w:shd w:val="clear"/>
        <w:spacing w:beforeLines="0" w:afterLines="0" w:line="576" w:lineRule="exact"/>
        <w:ind w:firstLine="643"/>
        <w:jc w:val="both"/>
        <w:rPr>
          <w:rFonts w:hint="eastAsia" w:ascii="仿宋_GB2312" w:hAnsi="Times New Roman" w:eastAsia="仿宋_GB2312"/>
          <w:color w:val="auto"/>
          <w:sz w:val="32"/>
          <w:szCs w:val="24"/>
          <w:highlight w:val="none"/>
        </w:rPr>
      </w:pPr>
      <w:r>
        <w:rPr>
          <w:rFonts w:hint="eastAsia" w:ascii="仿宋_GB2312" w:hAnsi="仿宋_GB2312" w:eastAsia="仿宋_GB2312"/>
          <w:color w:val="auto"/>
          <w:kern w:val="2"/>
          <w:sz w:val="32"/>
          <w:szCs w:val="24"/>
          <w:highlight w:val="none"/>
          <w:lang w:val="zh-CN"/>
        </w:rPr>
        <w:t>其中：</w:t>
      </w:r>
      <w:r>
        <w:rPr>
          <w:rFonts w:hint="eastAsia" w:ascii="仿宋_GB2312" w:hAnsi="仿宋_GB2312" w:eastAsia="仿宋_GB2312"/>
          <w:b/>
          <w:color w:val="auto"/>
          <w:kern w:val="2"/>
          <w:sz w:val="32"/>
          <w:szCs w:val="24"/>
          <w:highlight w:val="none"/>
          <w:lang w:val="zh-CN"/>
        </w:rPr>
        <w:t>国内公务接待</w:t>
      </w:r>
      <w:r>
        <w:rPr>
          <w:rFonts w:hint="eastAsia" w:ascii="仿宋_GB2312" w:hAnsi="仿宋_GB2312" w:eastAsia="仿宋_GB2312"/>
          <w:color w:val="auto"/>
          <w:kern w:val="2"/>
          <w:sz w:val="32"/>
          <w:szCs w:val="24"/>
          <w:highlight w:val="none"/>
          <w:lang w:val="zh-CN"/>
        </w:rPr>
        <w:t>支出4.8万元。主要用于</w:t>
      </w:r>
      <w:r>
        <w:rPr>
          <w:rFonts w:hint="eastAsia" w:ascii="仿宋_GB2312" w:hAnsi="仿宋_GB2312" w:eastAsia="仿宋_GB2312"/>
          <w:color w:val="auto"/>
          <w:kern w:val="2"/>
          <w:sz w:val="32"/>
          <w:szCs w:val="24"/>
          <w:highlight w:val="none"/>
          <w:lang w:val="en-US"/>
        </w:rPr>
        <w:t>执行公务用餐费。</w:t>
      </w:r>
      <w:r>
        <w:rPr>
          <w:rFonts w:hint="eastAsia" w:ascii="仿宋_GB2312" w:hAnsi="仿宋_GB2312" w:eastAsia="仿宋_GB2312"/>
          <w:color w:val="auto"/>
          <w:kern w:val="2"/>
          <w:sz w:val="32"/>
          <w:szCs w:val="24"/>
          <w:highlight w:val="none"/>
          <w:lang w:val="zh-CN"/>
        </w:rPr>
        <w:t>国内公务接待</w:t>
      </w:r>
      <w:r>
        <w:rPr>
          <w:rFonts w:hint="eastAsia" w:ascii="仿宋_GB2312" w:hAnsi="仿宋_GB2312" w:eastAsia="仿宋_GB2312"/>
          <w:color w:val="auto"/>
          <w:kern w:val="2"/>
          <w:sz w:val="32"/>
          <w:szCs w:val="24"/>
          <w:highlight w:val="none"/>
          <w:lang w:val="en-US" w:eastAsia="zh-CN"/>
        </w:rPr>
        <w:t>91</w:t>
      </w:r>
      <w:r>
        <w:rPr>
          <w:rFonts w:hint="eastAsia" w:ascii="仿宋_GB2312" w:hAnsi="仿宋_GB2312" w:eastAsia="仿宋_GB2312"/>
          <w:color w:val="auto"/>
          <w:kern w:val="2"/>
          <w:sz w:val="32"/>
          <w:szCs w:val="24"/>
          <w:highlight w:val="none"/>
          <w:lang w:val="zh-CN"/>
        </w:rPr>
        <w:t>批次，</w:t>
      </w:r>
      <w:r>
        <w:rPr>
          <w:rFonts w:hint="eastAsia" w:ascii="仿宋_GB2312" w:hAnsi="仿宋_GB2312" w:eastAsia="仿宋_GB2312"/>
          <w:color w:val="auto"/>
          <w:kern w:val="2"/>
          <w:sz w:val="32"/>
          <w:szCs w:val="24"/>
          <w:highlight w:val="none"/>
          <w:lang w:val="en-US" w:eastAsia="zh-CN"/>
        </w:rPr>
        <w:t>353</w:t>
      </w:r>
      <w:r>
        <w:rPr>
          <w:rFonts w:hint="eastAsia" w:ascii="仿宋_GB2312" w:hAnsi="仿宋_GB2312" w:eastAsia="仿宋_GB2312"/>
          <w:color w:val="auto"/>
          <w:kern w:val="2"/>
          <w:sz w:val="32"/>
          <w:szCs w:val="24"/>
          <w:highlight w:val="none"/>
          <w:lang w:val="zh-CN"/>
        </w:rPr>
        <w:t>人次，共计支出4.8万元，具体内容包括</w:t>
      </w:r>
      <w:r>
        <w:rPr>
          <w:rFonts w:hint="eastAsia" w:ascii="仿宋_GB2312" w:hAnsi="Times New Roman" w:eastAsia="仿宋_GB2312"/>
          <w:color w:val="auto"/>
          <w:sz w:val="32"/>
          <w:szCs w:val="24"/>
          <w:highlight w:val="none"/>
          <w:lang w:eastAsia="zh-CN"/>
        </w:rPr>
        <w:t>接待上级法院、上级部门到我院指导检查工作</w:t>
      </w:r>
      <w:r>
        <w:rPr>
          <w:rFonts w:hint="eastAsia" w:ascii="仿宋_GB2312" w:hAnsi="Times New Roman" w:eastAsia="仿宋_GB2312"/>
          <w:color w:val="auto"/>
          <w:sz w:val="32"/>
          <w:szCs w:val="24"/>
          <w:highlight w:val="none"/>
          <w:lang w:val="en-US" w:eastAsia="zh-CN"/>
        </w:rPr>
        <w:t>50余次、小计2.1万元</w:t>
      </w:r>
      <w:r>
        <w:rPr>
          <w:rFonts w:hint="eastAsia" w:ascii="仿宋_GB2312" w:hAnsi="Times New Roman" w:eastAsia="仿宋_GB2312"/>
          <w:color w:val="auto"/>
          <w:sz w:val="32"/>
          <w:szCs w:val="24"/>
          <w:highlight w:val="none"/>
          <w:lang w:eastAsia="zh-CN"/>
        </w:rPr>
        <w:t>，其他法院到我院开庭</w:t>
      </w:r>
      <w:r>
        <w:rPr>
          <w:rFonts w:hint="eastAsia" w:ascii="仿宋_GB2312" w:hAnsi="Times New Roman" w:eastAsia="仿宋_GB2312"/>
          <w:color w:val="auto"/>
          <w:sz w:val="32"/>
          <w:szCs w:val="24"/>
          <w:highlight w:val="none"/>
          <w:lang w:val="en-US" w:eastAsia="zh-CN"/>
        </w:rPr>
        <w:t>41次、小计2.7万元</w:t>
      </w:r>
      <w:r>
        <w:rPr>
          <w:rFonts w:hint="eastAsia" w:ascii="仿宋_GB2312" w:hAnsi="Times New Roman" w:eastAsia="仿宋_GB2312"/>
          <w:color w:val="auto"/>
          <w:sz w:val="32"/>
          <w:szCs w:val="24"/>
          <w:highlight w:val="none"/>
          <w:lang w:eastAsia="zh-CN"/>
        </w:rPr>
        <w:t>等</w:t>
      </w:r>
      <w:r>
        <w:rPr>
          <w:rFonts w:hint="eastAsia" w:ascii="仿宋_GB2312" w:hAnsi="Times New Roman" w:eastAsia="仿宋_GB2312"/>
          <w:color w:val="auto"/>
          <w:sz w:val="32"/>
          <w:szCs w:val="24"/>
          <w:highlight w:val="none"/>
        </w:rPr>
        <w:t>。</w:t>
      </w:r>
    </w:p>
    <w:p>
      <w:pPr>
        <w:keepNext/>
        <w:keepLines/>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b/>
          <w:color w:val="auto"/>
          <w:kern w:val="2"/>
          <w:sz w:val="32"/>
          <w:szCs w:val="24"/>
          <w:highlight w:val="none"/>
          <w:lang w:val="zh-CN"/>
        </w:rPr>
        <w:t>外事接待</w:t>
      </w:r>
      <w:r>
        <w:rPr>
          <w:rFonts w:hint="eastAsia" w:ascii="仿宋_GB2312" w:hAnsi="仿宋_GB2312" w:eastAsia="仿宋_GB2312"/>
          <w:color w:val="auto"/>
          <w:kern w:val="2"/>
          <w:sz w:val="32"/>
          <w:szCs w:val="24"/>
          <w:highlight w:val="none"/>
          <w:lang w:val="zh-CN"/>
        </w:rPr>
        <w:t>支出0万元。外事接待0批次，0人，共计支出0万元。</w:t>
      </w:r>
    </w:p>
    <w:p>
      <w:pPr>
        <w:keepNext/>
        <w:keepLines/>
        <w:shd w:val="clear"/>
        <w:spacing w:beforeLines="0" w:afterLines="0" w:line="576" w:lineRule="exact"/>
        <w:ind w:firstLine="640"/>
        <w:jc w:val="both"/>
        <w:outlineLvl w:val="1"/>
        <w:rPr>
          <w:rFonts w:hint="eastAsia" w:ascii="黑体" w:hAnsi="黑体" w:eastAsia="黑体"/>
          <w:b/>
          <w:color w:val="auto"/>
          <w:kern w:val="2"/>
          <w:sz w:val="32"/>
          <w:szCs w:val="24"/>
          <w:highlight w:val="none"/>
          <w:lang w:val="zh-CN"/>
        </w:rPr>
      </w:pPr>
      <w:bookmarkStart w:id="15" w:name="_Toc12788"/>
      <w:r>
        <w:rPr>
          <w:rFonts w:hint="eastAsia" w:ascii="黑体" w:hAnsi="黑体" w:eastAsia="黑体"/>
          <w:color w:val="auto"/>
          <w:kern w:val="2"/>
          <w:sz w:val="32"/>
          <w:szCs w:val="24"/>
          <w:highlight w:val="none"/>
          <w:lang w:val="zh-CN"/>
        </w:rPr>
        <w:t>八、政府性基金预算支出决算情况说明</w:t>
      </w:r>
      <w:bookmarkEnd w:id="15"/>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2022年政府性基金预算拨款支出0万元。</w:t>
      </w:r>
    </w:p>
    <w:p>
      <w:pPr>
        <w:keepNext/>
        <w:keepLines/>
        <w:shd w:val="clear"/>
        <w:spacing w:beforeLines="0" w:afterLines="0" w:line="576" w:lineRule="exact"/>
        <w:ind w:firstLine="640"/>
        <w:jc w:val="both"/>
        <w:outlineLvl w:val="1"/>
        <w:rPr>
          <w:rFonts w:hint="eastAsia" w:ascii="黑体" w:hAnsi="黑体" w:eastAsia="黑体"/>
          <w:color w:val="auto"/>
          <w:kern w:val="2"/>
          <w:sz w:val="32"/>
          <w:szCs w:val="24"/>
          <w:highlight w:val="none"/>
          <w:lang w:val="zh-CN"/>
        </w:rPr>
      </w:pPr>
      <w:bookmarkStart w:id="16" w:name="_Toc6261"/>
      <w:r>
        <w:rPr>
          <w:rFonts w:hint="eastAsia" w:ascii="黑体" w:hAnsi="黑体" w:eastAsia="黑体"/>
          <w:color w:val="auto"/>
          <w:kern w:val="2"/>
          <w:sz w:val="32"/>
          <w:szCs w:val="24"/>
          <w:highlight w:val="none"/>
          <w:lang w:val="zh-CN"/>
        </w:rPr>
        <w:t>九、国有资本经营预算支出决算情况说明</w:t>
      </w:r>
      <w:bookmarkEnd w:id="16"/>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2022年国有资本经营预算拨款支出0万元。</w:t>
      </w:r>
    </w:p>
    <w:p>
      <w:pPr>
        <w:keepNext/>
        <w:keepLines/>
        <w:shd w:val="clear"/>
        <w:spacing w:beforeLines="0" w:afterLines="0" w:line="576" w:lineRule="exact"/>
        <w:ind w:firstLine="640"/>
        <w:jc w:val="both"/>
        <w:outlineLvl w:val="1"/>
        <w:rPr>
          <w:rFonts w:hint="eastAsia" w:ascii="黑体" w:hAnsi="黑体" w:eastAsia="黑体"/>
          <w:b/>
          <w:color w:val="auto"/>
          <w:kern w:val="2"/>
          <w:sz w:val="32"/>
          <w:szCs w:val="24"/>
          <w:highlight w:val="none"/>
          <w:lang w:val="zh-CN"/>
        </w:rPr>
      </w:pPr>
      <w:bookmarkStart w:id="17" w:name="_Toc13339"/>
      <w:r>
        <w:rPr>
          <w:rFonts w:hint="eastAsia" w:ascii="黑体" w:hAnsi="黑体" w:eastAsia="黑体"/>
          <w:color w:val="auto"/>
          <w:kern w:val="2"/>
          <w:sz w:val="32"/>
          <w:szCs w:val="24"/>
          <w:highlight w:val="none"/>
          <w:lang w:val="zh-CN"/>
        </w:rPr>
        <w:t>十</w:t>
      </w:r>
      <w:r>
        <w:rPr>
          <w:rFonts w:hint="eastAsia" w:ascii="黑体" w:hAnsi="黑体" w:eastAsia="黑体"/>
          <w:b/>
          <w:color w:val="auto"/>
          <w:kern w:val="2"/>
          <w:sz w:val="32"/>
          <w:szCs w:val="24"/>
          <w:highlight w:val="none"/>
          <w:lang w:val="zh-CN"/>
        </w:rPr>
        <w:t>、</w:t>
      </w:r>
      <w:r>
        <w:rPr>
          <w:rFonts w:hint="eastAsia" w:ascii="黑体" w:hAnsi="黑体" w:eastAsia="黑体"/>
          <w:color w:val="auto"/>
          <w:kern w:val="2"/>
          <w:sz w:val="32"/>
          <w:szCs w:val="24"/>
          <w:highlight w:val="none"/>
          <w:lang w:val="zh-CN"/>
        </w:rPr>
        <w:t>其他重要事项的情况说明</w:t>
      </w:r>
      <w:bookmarkEnd w:id="17"/>
    </w:p>
    <w:p>
      <w:pPr>
        <w:keepNext/>
        <w:keepLines/>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（一）机关运行经费支出情况</w:t>
      </w:r>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en-US" w:eastAsia="zh-CN"/>
        </w:rPr>
      </w:pPr>
      <w:r>
        <w:rPr>
          <w:rFonts w:hint="eastAsia" w:ascii="仿宋_GB2312" w:hAnsi="仿宋_GB2312" w:eastAsia="仿宋_GB2312"/>
          <w:color w:val="auto"/>
          <w:kern w:val="2"/>
          <w:sz w:val="32"/>
          <w:szCs w:val="24"/>
          <w:highlight w:val="none"/>
          <w:lang w:val="zh-CN"/>
        </w:rPr>
        <w:t>2022年，剑阁县人民法院机关运行经费支出220.84万元，比2021年增加25.3万元，增长12.9%。主要原因是本年度增加聘用人员</w:t>
      </w:r>
      <w:r>
        <w:rPr>
          <w:rFonts w:hint="eastAsia" w:ascii="仿宋_GB2312" w:hAnsi="仿宋_GB2312" w:eastAsia="仿宋_GB2312"/>
          <w:color w:val="auto"/>
          <w:kern w:val="2"/>
          <w:sz w:val="32"/>
          <w:szCs w:val="24"/>
          <w:highlight w:val="none"/>
          <w:lang w:val="en-US" w:eastAsia="zh-CN"/>
        </w:rPr>
        <w:t>10名，相关机关运行经费相应增加。</w:t>
      </w:r>
    </w:p>
    <w:p>
      <w:pPr>
        <w:keepNext/>
        <w:keepLines/>
        <w:shd w:val="clear"/>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（二）政府采购支出情况</w:t>
      </w:r>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2022年，剑阁县人民法院政府采购支出总额79.8万元，其中：政府采购货物支出79.8万元、政府采购工程支出0万元、政府采购服务支出0万元。主要用于执法执勤车辆的购置。授予中小企业合同金额</w:t>
      </w:r>
      <w:r>
        <w:rPr>
          <w:rFonts w:hint="eastAsia" w:ascii="仿宋_GB2312" w:hAnsi="仿宋_GB2312" w:eastAsia="仿宋_GB2312"/>
          <w:color w:val="auto"/>
          <w:kern w:val="2"/>
          <w:sz w:val="32"/>
          <w:szCs w:val="24"/>
          <w:highlight w:val="none"/>
          <w:lang w:val="en-US" w:eastAsia="zh-CN"/>
        </w:rPr>
        <w:t>79.8</w:t>
      </w:r>
      <w:r>
        <w:rPr>
          <w:rFonts w:hint="eastAsia" w:ascii="仿宋_GB2312" w:hAnsi="仿宋_GB2312" w:eastAsia="仿宋_GB2312"/>
          <w:color w:val="auto"/>
          <w:kern w:val="2"/>
          <w:sz w:val="32"/>
          <w:szCs w:val="24"/>
          <w:highlight w:val="none"/>
          <w:lang w:val="zh-CN"/>
        </w:rPr>
        <w:t>万元，占政府采购支出总额的</w:t>
      </w:r>
      <w:r>
        <w:rPr>
          <w:rFonts w:hint="eastAsia" w:ascii="仿宋_GB2312" w:hAnsi="仿宋_GB2312" w:eastAsia="仿宋_GB2312"/>
          <w:color w:val="auto"/>
          <w:kern w:val="2"/>
          <w:sz w:val="32"/>
          <w:szCs w:val="24"/>
          <w:highlight w:val="none"/>
          <w:lang w:val="en-US" w:eastAsia="zh-CN"/>
        </w:rPr>
        <w:t>100</w:t>
      </w:r>
      <w:r>
        <w:rPr>
          <w:rFonts w:hint="eastAsia" w:ascii="仿宋_GB2312" w:hAnsi="仿宋_GB2312" w:eastAsia="仿宋_GB2312"/>
          <w:color w:val="auto"/>
          <w:kern w:val="2"/>
          <w:sz w:val="32"/>
          <w:szCs w:val="24"/>
          <w:highlight w:val="none"/>
          <w:lang w:val="zh-CN"/>
        </w:rPr>
        <w:t>%，其中：授予小微企业合同金额</w:t>
      </w:r>
      <w:r>
        <w:rPr>
          <w:rFonts w:hint="eastAsia" w:ascii="仿宋_GB2312" w:hAnsi="仿宋_GB2312" w:eastAsia="仿宋_GB2312"/>
          <w:color w:val="auto"/>
          <w:kern w:val="2"/>
          <w:sz w:val="32"/>
          <w:szCs w:val="24"/>
          <w:highlight w:val="none"/>
          <w:lang w:val="en-US" w:eastAsia="zh-CN"/>
        </w:rPr>
        <w:t>79.8</w:t>
      </w:r>
      <w:r>
        <w:rPr>
          <w:rFonts w:hint="eastAsia" w:ascii="仿宋_GB2312" w:hAnsi="仿宋_GB2312" w:eastAsia="仿宋_GB2312"/>
          <w:color w:val="auto"/>
          <w:kern w:val="2"/>
          <w:sz w:val="32"/>
          <w:szCs w:val="24"/>
          <w:highlight w:val="none"/>
          <w:lang w:val="zh-CN"/>
        </w:rPr>
        <w:t>万元，</w:t>
      </w:r>
      <w:r>
        <w:rPr>
          <w:rFonts w:hint="eastAsia" w:ascii="仿宋_GB2312" w:hAnsi="仿宋_GB2312" w:eastAsia="仿宋_GB2312"/>
          <w:color w:val="auto"/>
          <w:kern w:val="2"/>
          <w:sz w:val="32"/>
          <w:szCs w:val="24"/>
          <w:highlight w:val="none"/>
          <w:lang w:val="en-US"/>
        </w:rPr>
        <w:t>占政府采购支出总额的</w:t>
      </w:r>
      <w:r>
        <w:rPr>
          <w:rFonts w:hint="eastAsia" w:ascii="仿宋_GB2312" w:hAnsi="仿宋_GB2312" w:eastAsia="仿宋_GB2312"/>
          <w:color w:val="auto"/>
          <w:kern w:val="2"/>
          <w:sz w:val="32"/>
          <w:szCs w:val="24"/>
          <w:highlight w:val="none"/>
          <w:lang w:val="en-US" w:eastAsia="zh-CN"/>
        </w:rPr>
        <w:t>100</w:t>
      </w:r>
      <w:r>
        <w:rPr>
          <w:rFonts w:hint="eastAsia" w:ascii="仿宋_GB2312" w:hAnsi="仿宋_GB2312" w:eastAsia="仿宋_GB2312"/>
          <w:color w:val="auto"/>
          <w:kern w:val="2"/>
          <w:sz w:val="32"/>
          <w:szCs w:val="24"/>
          <w:highlight w:val="none"/>
          <w:lang w:val="zh-CN"/>
        </w:rPr>
        <w:t>%。</w:t>
      </w:r>
    </w:p>
    <w:p>
      <w:pPr>
        <w:keepNext/>
        <w:keepLines/>
        <w:shd w:val="clear"/>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（三）国有资产占有使用情况</w:t>
      </w:r>
    </w:p>
    <w:p>
      <w:pPr>
        <w:shd w:val="clear"/>
        <w:spacing w:beforeLines="0" w:afterLines="0" w:line="576" w:lineRule="exact"/>
        <w:ind w:firstLine="64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截至2022年12月31日，剑阁县人民法院共有车辆23辆，其中：副部（省）级及以上领导用车0辆、主要领导干部用车0辆、机要通信用车0辆、应急保障用车0辆、执法执勤用车23辆、特种专业技术用车0辆、离退休干部用车0辆、其他用车0辆。单价100万元（含）以上设备0台（套）。</w:t>
      </w:r>
    </w:p>
    <w:p>
      <w:pPr>
        <w:keepNext/>
        <w:keepLines/>
        <w:shd w:val="clear"/>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（四）预算绩效管理情况。</w:t>
      </w:r>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color w:val="auto"/>
          <w:kern w:val="2"/>
          <w:sz w:val="32"/>
          <w:szCs w:val="24"/>
          <w:highlight w:val="none"/>
          <w:lang w:val="en-US"/>
        </w:rPr>
        <w:t>根据预算绩效管理要求，本部门在2022年度预算编制阶段，组织对</w:t>
      </w:r>
      <w:r>
        <w:rPr>
          <w:rFonts w:hint="eastAsia" w:ascii="仿宋_GB2312" w:hAnsi="仿宋_GB2312" w:eastAsia="仿宋_GB2312"/>
          <w:color w:val="auto"/>
          <w:kern w:val="2"/>
          <w:sz w:val="32"/>
          <w:szCs w:val="24"/>
          <w:highlight w:val="none"/>
          <w:lang w:val="en-US" w:eastAsia="zh-CN"/>
        </w:rPr>
        <w:t>警察加班补贴</w:t>
      </w:r>
      <w:r>
        <w:rPr>
          <w:rFonts w:hint="eastAsia" w:ascii="仿宋_GB2312" w:hAnsi="仿宋_GB2312" w:eastAsia="仿宋_GB2312"/>
          <w:color w:val="auto"/>
          <w:kern w:val="2"/>
          <w:sz w:val="32"/>
          <w:szCs w:val="24"/>
          <w:highlight w:val="none"/>
          <w:lang w:val="en-US"/>
        </w:rPr>
        <w:t>项目等</w:t>
      </w:r>
      <w:r>
        <w:rPr>
          <w:rFonts w:hint="eastAsia" w:ascii="仿宋_GB2312" w:hAnsi="仿宋_GB2312" w:eastAsia="仿宋_GB2312"/>
          <w:color w:val="auto"/>
          <w:kern w:val="2"/>
          <w:sz w:val="32"/>
          <w:szCs w:val="24"/>
          <w:highlight w:val="none"/>
          <w:lang w:val="en-US" w:eastAsia="zh-CN"/>
        </w:rPr>
        <w:t>5</w:t>
      </w:r>
      <w:r>
        <w:rPr>
          <w:rFonts w:hint="eastAsia" w:ascii="仿宋_GB2312" w:hAnsi="仿宋_GB2312" w:eastAsia="仿宋_GB2312"/>
          <w:color w:val="auto"/>
          <w:kern w:val="2"/>
          <w:sz w:val="32"/>
          <w:szCs w:val="24"/>
          <w:highlight w:val="none"/>
          <w:lang w:val="en-US"/>
        </w:rPr>
        <w:t>个项目开展了预算事前绩效评估，对</w:t>
      </w:r>
      <w:r>
        <w:rPr>
          <w:rFonts w:hint="eastAsia" w:ascii="仿宋_GB2312" w:hAnsi="仿宋_GB2312" w:eastAsia="仿宋_GB2312"/>
          <w:color w:val="auto"/>
          <w:kern w:val="2"/>
          <w:sz w:val="32"/>
          <w:szCs w:val="24"/>
          <w:highlight w:val="none"/>
          <w:lang w:val="en-US" w:eastAsia="zh-CN"/>
        </w:rPr>
        <w:t>5</w:t>
      </w:r>
      <w:r>
        <w:rPr>
          <w:rFonts w:hint="eastAsia" w:ascii="仿宋_GB2312" w:hAnsi="仿宋_GB2312" w:eastAsia="仿宋_GB2312"/>
          <w:color w:val="auto"/>
          <w:kern w:val="2"/>
          <w:sz w:val="32"/>
          <w:szCs w:val="24"/>
          <w:highlight w:val="none"/>
          <w:lang w:val="en-US"/>
        </w:rPr>
        <w:t>个项目编制了绩效目标，预算执行过程中，选取</w:t>
      </w:r>
      <w:r>
        <w:rPr>
          <w:rFonts w:hint="eastAsia" w:ascii="仿宋_GB2312" w:hAnsi="仿宋_GB2312" w:eastAsia="仿宋_GB2312"/>
          <w:color w:val="auto"/>
          <w:kern w:val="2"/>
          <w:sz w:val="32"/>
          <w:szCs w:val="24"/>
          <w:highlight w:val="none"/>
          <w:lang w:val="en-US" w:eastAsia="zh-CN"/>
        </w:rPr>
        <w:t>5</w:t>
      </w:r>
      <w:r>
        <w:rPr>
          <w:rFonts w:hint="eastAsia" w:ascii="仿宋_GB2312" w:hAnsi="仿宋_GB2312" w:eastAsia="仿宋_GB2312"/>
          <w:color w:val="auto"/>
          <w:kern w:val="2"/>
          <w:sz w:val="32"/>
          <w:szCs w:val="24"/>
          <w:highlight w:val="none"/>
          <w:lang w:val="en-US"/>
        </w:rPr>
        <w:t>个项目开展绩效监控。</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eastAsia="zh-CN"/>
        </w:rPr>
      </w:pPr>
      <w:r>
        <w:rPr>
          <w:rFonts w:hint="eastAsia" w:ascii="仿宋_GB2312" w:hAnsi="仿宋_GB2312" w:eastAsia="仿宋_GB2312"/>
          <w:color w:val="auto"/>
          <w:kern w:val="2"/>
          <w:sz w:val="32"/>
          <w:szCs w:val="24"/>
          <w:highlight w:val="none"/>
          <w:lang w:val="en-US"/>
        </w:rPr>
        <w:t>组织对2022年度一般公共预算</w:t>
      </w:r>
      <w:r>
        <w:rPr>
          <w:rFonts w:hint="default" w:ascii="仿宋_GB2312" w:hAnsi="仿宋_GB2312" w:eastAsia="仿宋_GB2312"/>
          <w:color w:val="auto"/>
          <w:kern w:val="2"/>
          <w:sz w:val="32"/>
          <w:szCs w:val="24"/>
          <w:highlight w:val="none"/>
          <w:woUserID w:val="2"/>
        </w:rPr>
        <w:t>资金</w:t>
      </w:r>
      <w:r>
        <w:rPr>
          <w:rFonts w:hint="eastAsia" w:ascii="仿宋_GB2312" w:hAnsi="仿宋_GB2312" w:eastAsia="仿宋_GB2312"/>
          <w:color w:val="auto"/>
          <w:kern w:val="2"/>
          <w:sz w:val="32"/>
          <w:szCs w:val="24"/>
          <w:highlight w:val="none"/>
          <w:lang w:val="en-US"/>
        </w:rPr>
        <w:t>全面开展绩效自评，形成</w:t>
      </w:r>
      <w:r>
        <w:rPr>
          <w:rFonts w:hint="eastAsia" w:ascii="仿宋_GB2312" w:hAnsi="仿宋_GB2312" w:eastAsia="仿宋_GB2312"/>
          <w:color w:val="auto"/>
          <w:kern w:val="2"/>
          <w:sz w:val="32"/>
          <w:szCs w:val="24"/>
          <w:highlight w:val="none"/>
          <w:lang w:val="en-US" w:eastAsia="zh-CN"/>
        </w:rPr>
        <w:t>剑阁人民法院</w:t>
      </w:r>
      <w:r>
        <w:rPr>
          <w:rFonts w:hint="eastAsia" w:ascii="仿宋_GB2312" w:hAnsi="仿宋_GB2312" w:eastAsia="仿宋_GB2312"/>
          <w:color w:val="auto"/>
          <w:kern w:val="2"/>
          <w:sz w:val="32"/>
          <w:szCs w:val="24"/>
          <w:highlight w:val="none"/>
          <w:lang w:val="en-US"/>
        </w:rPr>
        <w:t>部门整体绩效自评报告、</w:t>
      </w:r>
      <w:r>
        <w:rPr>
          <w:rFonts w:hint="eastAsia" w:ascii="仿宋_GB2312" w:hAnsi="仿宋_GB2312" w:eastAsia="仿宋_GB2312"/>
          <w:color w:val="auto"/>
          <w:kern w:val="2"/>
          <w:sz w:val="32"/>
          <w:szCs w:val="24"/>
          <w:highlight w:val="none"/>
          <w:lang w:val="en-US" w:eastAsia="zh-CN"/>
        </w:rPr>
        <w:t>法官加班补贴</w:t>
      </w:r>
      <w:r>
        <w:rPr>
          <w:rFonts w:hint="eastAsia" w:ascii="仿宋_GB2312" w:hAnsi="仿宋_GB2312" w:eastAsia="仿宋_GB2312"/>
          <w:color w:val="auto"/>
          <w:kern w:val="2"/>
          <w:sz w:val="32"/>
          <w:szCs w:val="24"/>
          <w:highlight w:val="none"/>
          <w:lang w:val="en-US"/>
        </w:rPr>
        <w:t>等专项预算项目绩效自评报告</w:t>
      </w:r>
      <w:r>
        <w:rPr>
          <w:rFonts w:hint="eastAsia" w:ascii="仿宋_GB2312" w:hAnsi="仿宋_GB2312" w:eastAsia="仿宋_GB2312"/>
          <w:color w:val="auto"/>
          <w:kern w:val="2"/>
          <w:sz w:val="32"/>
          <w:szCs w:val="24"/>
          <w:highlight w:val="none"/>
          <w:lang w:val="en-US" w:eastAsia="zh-CN"/>
        </w:rPr>
        <w:t>。</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color w:val="auto"/>
          <w:kern w:val="2"/>
          <w:sz w:val="32"/>
          <w:szCs w:val="24"/>
          <w:highlight w:val="none"/>
          <w:lang w:val="en-US"/>
        </w:rPr>
        <w:t>其中，</w:t>
      </w:r>
      <w:r>
        <w:rPr>
          <w:rFonts w:hint="eastAsia" w:ascii="仿宋_GB2312" w:hAnsi="仿宋_GB2312" w:eastAsia="仿宋_GB2312"/>
          <w:color w:val="auto"/>
          <w:kern w:val="2"/>
          <w:sz w:val="32"/>
          <w:szCs w:val="24"/>
          <w:highlight w:val="none"/>
          <w:lang w:val="en-US" w:eastAsia="zh-CN"/>
        </w:rPr>
        <w:t>剑阁县人民法院</w:t>
      </w:r>
      <w:r>
        <w:rPr>
          <w:rFonts w:hint="eastAsia" w:ascii="仿宋_GB2312" w:hAnsi="仿宋_GB2312" w:eastAsia="仿宋_GB2312"/>
          <w:color w:val="auto"/>
          <w:kern w:val="2"/>
          <w:sz w:val="32"/>
          <w:szCs w:val="24"/>
          <w:highlight w:val="none"/>
          <w:lang w:val="en-US"/>
        </w:rPr>
        <w:t>部门整体（含部门预算项目）绩效自评得分为</w:t>
      </w:r>
      <w:r>
        <w:rPr>
          <w:rFonts w:hint="eastAsia" w:ascii="仿宋_GB2312" w:hAnsi="仿宋_GB2312" w:eastAsia="仿宋_GB2312"/>
          <w:color w:val="auto"/>
          <w:kern w:val="2"/>
          <w:sz w:val="32"/>
          <w:szCs w:val="24"/>
          <w:highlight w:val="none"/>
          <w:lang w:val="en-US" w:eastAsia="zh-CN"/>
        </w:rPr>
        <w:t>98</w:t>
      </w:r>
      <w:r>
        <w:rPr>
          <w:rFonts w:hint="eastAsia" w:ascii="仿宋_GB2312" w:hAnsi="仿宋_GB2312" w:eastAsia="仿宋_GB2312"/>
          <w:color w:val="auto"/>
          <w:kern w:val="2"/>
          <w:sz w:val="32"/>
          <w:szCs w:val="24"/>
          <w:highlight w:val="none"/>
          <w:lang w:val="en-US"/>
        </w:rPr>
        <w:t>分，绩效自评综述：根据专项绩效评定指标各项目量化评价，自评得分98分</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2022年，我院</w:t>
      </w:r>
      <w:r>
        <w:rPr>
          <w:rFonts w:hint="eastAsia" w:ascii="仿宋_GB2312" w:hAnsi="仿宋_GB2312" w:eastAsia="仿宋_GB2312"/>
          <w:color w:val="auto"/>
          <w:kern w:val="2"/>
          <w:sz w:val="32"/>
          <w:szCs w:val="24"/>
          <w:highlight w:val="none"/>
          <w:lang w:val="en-US" w:eastAsia="zh-CN"/>
        </w:rPr>
        <w:t>按时</w:t>
      </w:r>
      <w:r>
        <w:rPr>
          <w:rFonts w:hint="eastAsia" w:ascii="仿宋_GB2312" w:hAnsi="仿宋_GB2312" w:eastAsia="仿宋_GB2312"/>
          <w:color w:val="auto"/>
          <w:kern w:val="2"/>
          <w:sz w:val="32"/>
          <w:szCs w:val="24"/>
          <w:highlight w:val="none"/>
          <w:lang w:val="en-US"/>
        </w:rPr>
        <w:t>拨付人员工资、</w:t>
      </w:r>
      <w:r>
        <w:rPr>
          <w:rFonts w:hint="eastAsia" w:ascii="仿宋_GB2312" w:hAnsi="仿宋_GB2312" w:eastAsia="仿宋_GB2312"/>
          <w:color w:val="auto"/>
          <w:kern w:val="2"/>
          <w:sz w:val="32"/>
          <w:szCs w:val="24"/>
          <w:highlight w:val="none"/>
          <w:lang w:val="en-US" w:eastAsia="zh-CN"/>
        </w:rPr>
        <w:t>保障</w:t>
      </w:r>
      <w:r>
        <w:rPr>
          <w:rFonts w:hint="eastAsia" w:ascii="仿宋_GB2312" w:hAnsi="仿宋_GB2312" w:eastAsia="仿宋_GB2312"/>
          <w:color w:val="auto"/>
          <w:kern w:val="2"/>
          <w:sz w:val="32"/>
          <w:szCs w:val="24"/>
          <w:highlight w:val="none"/>
          <w:lang w:val="en-US"/>
        </w:rPr>
        <w:t>日常公用经费，办案业务及装备所需的相关费用，维护我院日常开支及正常运转，我院各部门按程序报销办案及装备所需的相关费用，由领导审批后财务部门拨付相关</w:t>
      </w:r>
      <w:r>
        <w:rPr>
          <w:rFonts w:hint="eastAsia" w:ascii="仿宋_GB2312" w:hAnsi="仿宋_GB2312" w:eastAsia="仿宋_GB2312"/>
          <w:color w:val="auto"/>
          <w:kern w:val="2"/>
          <w:sz w:val="32"/>
          <w:szCs w:val="24"/>
          <w:highlight w:val="none"/>
          <w:lang w:val="en-US" w:eastAsia="zh-CN"/>
        </w:rPr>
        <w:t>费用</w:t>
      </w:r>
      <w:r>
        <w:rPr>
          <w:rFonts w:hint="eastAsia" w:ascii="仿宋_GB2312" w:hAnsi="仿宋_GB2312" w:eastAsia="仿宋_GB2312"/>
          <w:color w:val="auto"/>
          <w:kern w:val="2"/>
          <w:sz w:val="32"/>
          <w:szCs w:val="24"/>
          <w:highlight w:val="none"/>
          <w:lang w:val="en-US"/>
        </w:rPr>
        <w:t>，主要支付办案所需的差旅费，车辆运行维护费，办公用房维修维护费，人民陪审员费用及法治宣传费用等，提高了我院的办案质量，提升了干警的工作效率，提升干警获得感幸福感，也提高了司法公信力。</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color w:val="auto"/>
          <w:kern w:val="2"/>
          <w:sz w:val="32"/>
          <w:szCs w:val="24"/>
          <w:highlight w:val="none"/>
          <w:lang w:val="en-US" w:eastAsia="zh-CN"/>
        </w:rPr>
        <w:t>警察加班补贴</w:t>
      </w:r>
      <w:r>
        <w:rPr>
          <w:rFonts w:hint="eastAsia" w:ascii="仿宋_GB2312" w:hAnsi="仿宋_GB2312" w:eastAsia="仿宋_GB2312"/>
          <w:color w:val="auto"/>
          <w:kern w:val="2"/>
          <w:sz w:val="32"/>
          <w:szCs w:val="24"/>
          <w:highlight w:val="none"/>
          <w:lang w:val="en-US"/>
        </w:rPr>
        <w:t>专项预算项目</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绩效自评得分为</w:t>
      </w:r>
      <w:r>
        <w:rPr>
          <w:rFonts w:hint="eastAsia" w:ascii="仿宋_GB2312" w:hAnsi="仿宋_GB2312" w:eastAsia="仿宋_GB2312"/>
          <w:color w:val="auto"/>
          <w:kern w:val="2"/>
          <w:sz w:val="32"/>
          <w:szCs w:val="24"/>
          <w:highlight w:val="none"/>
          <w:lang w:val="en-US" w:eastAsia="zh-CN"/>
        </w:rPr>
        <w:t>100</w:t>
      </w:r>
      <w:r>
        <w:rPr>
          <w:rFonts w:hint="eastAsia" w:ascii="仿宋_GB2312" w:hAnsi="仿宋_GB2312" w:eastAsia="仿宋_GB2312"/>
          <w:color w:val="auto"/>
          <w:kern w:val="2"/>
          <w:sz w:val="32"/>
          <w:szCs w:val="24"/>
          <w:highlight w:val="none"/>
          <w:lang w:val="en-US"/>
        </w:rPr>
        <w:t>分</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绩效自评综述：根据专项绩效评定指标各项目量化评价，自评得分98分，专项绩效评定指标各项目量化评价，自评得分100分，2022年，我院按要求每月按时发放警察加班补贴，保障法警工作权益，提</w:t>
      </w:r>
      <w:r>
        <w:rPr>
          <w:rFonts w:hint="eastAsia" w:ascii="仿宋_GB2312" w:hAnsi="仿宋_GB2312" w:eastAsia="仿宋_GB2312"/>
          <w:color w:val="auto"/>
          <w:kern w:val="2"/>
          <w:sz w:val="32"/>
          <w:szCs w:val="24"/>
          <w:highlight w:val="none"/>
          <w:lang w:val="en-US" w:eastAsia="zh-CN"/>
        </w:rPr>
        <w:t>高</w:t>
      </w:r>
      <w:r>
        <w:rPr>
          <w:rFonts w:hint="eastAsia" w:ascii="仿宋_GB2312" w:hAnsi="仿宋_GB2312" w:eastAsia="仿宋_GB2312"/>
          <w:color w:val="auto"/>
          <w:kern w:val="2"/>
          <w:sz w:val="32"/>
          <w:szCs w:val="24"/>
          <w:highlight w:val="none"/>
          <w:lang w:val="en-US"/>
        </w:rPr>
        <w:t>法警工作效率。</w:t>
      </w:r>
      <w:r>
        <w:rPr>
          <w:rFonts w:hint="eastAsia" w:ascii="仿宋_GB2312" w:hAnsi="仿宋_GB2312" w:eastAsia="仿宋_GB2312"/>
          <w:color w:val="auto"/>
          <w:kern w:val="2"/>
          <w:sz w:val="32"/>
          <w:szCs w:val="24"/>
          <w:highlight w:val="none"/>
          <w:lang w:val="en-US" w:eastAsia="zh-CN"/>
        </w:rPr>
        <w:t>该项目经费</w:t>
      </w:r>
      <w:r>
        <w:rPr>
          <w:rFonts w:hint="eastAsia" w:ascii="仿宋_GB2312" w:hAnsi="仿宋_GB2312" w:eastAsia="仿宋_GB2312"/>
          <w:color w:val="auto"/>
          <w:kern w:val="2"/>
          <w:sz w:val="32"/>
          <w:szCs w:val="24"/>
          <w:highlight w:val="none"/>
          <w:lang w:val="en-US"/>
        </w:rPr>
        <w:t>按要求执行完毕。</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color w:val="auto"/>
          <w:kern w:val="2"/>
          <w:sz w:val="32"/>
          <w:szCs w:val="24"/>
          <w:highlight w:val="none"/>
          <w:lang w:val="en-US" w:eastAsia="zh-CN"/>
        </w:rPr>
        <w:t>法官加班补贴</w:t>
      </w:r>
      <w:r>
        <w:rPr>
          <w:rFonts w:hint="eastAsia" w:ascii="仿宋_GB2312" w:hAnsi="仿宋_GB2312" w:eastAsia="仿宋_GB2312"/>
          <w:color w:val="auto"/>
          <w:kern w:val="2"/>
          <w:sz w:val="32"/>
          <w:szCs w:val="24"/>
          <w:highlight w:val="none"/>
          <w:lang w:val="en-US"/>
        </w:rPr>
        <w:t>专项预算项目</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绩效自评得分为</w:t>
      </w:r>
      <w:r>
        <w:rPr>
          <w:rFonts w:hint="eastAsia" w:ascii="仿宋_GB2312" w:hAnsi="仿宋_GB2312" w:eastAsia="仿宋_GB2312"/>
          <w:color w:val="auto"/>
          <w:kern w:val="2"/>
          <w:sz w:val="32"/>
          <w:szCs w:val="24"/>
          <w:highlight w:val="none"/>
          <w:lang w:val="en-US" w:eastAsia="zh-CN"/>
        </w:rPr>
        <w:t>100</w:t>
      </w:r>
      <w:r>
        <w:rPr>
          <w:rFonts w:hint="eastAsia" w:ascii="仿宋_GB2312" w:hAnsi="仿宋_GB2312" w:eastAsia="仿宋_GB2312"/>
          <w:color w:val="auto"/>
          <w:kern w:val="2"/>
          <w:sz w:val="32"/>
          <w:szCs w:val="24"/>
          <w:highlight w:val="none"/>
          <w:lang w:val="en-US"/>
        </w:rPr>
        <w:t>分</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绩效自评综述：根据专项绩效评定指标各项目量化评价，自评得分100分，2022年，我院按要求每月按时发放法官加班补贴，保障干警工作权益，</w:t>
      </w:r>
      <w:r>
        <w:rPr>
          <w:rFonts w:hint="eastAsia" w:ascii="仿宋_GB2312" w:hAnsi="仿宋_GB2312" w:eastAsia="仿宋_GB2312"/>
          <w:color w:val="auto"/>
          <w:kern w:val="2"/>
          <w:sz w:val="32"/>
          <w:szCs w:val="24"/>
          <w:highlight w:val="none"/>
          <w:lang w:val="en-US" w:eastAsia="zh-CN"/>
        </w:rPr>
        <w:t>提高</w:t>
      </w:r>
      <w:r>
        <w:rPr>
          <w:rFonts w:hint="eastAsia" w:ascii="仿宋_GB2312" w:hAnsi="仿宋_GB2312" w:eastAsia="仿宋_GB2312"/>
          <w:color w:val="auto"/>
          <w:kern w:val="2"/>
          <w:sz w:val="32"/>
          <w:szCs w:val="24"/>
          <w:highlight w:val="none"/>
          <w:lang w:val="en-US"/>
        </w:rPr>
        <w:t>干警工作效率。</w:t>
      </w:r>
      <w:r>
        <w:rPr>
          <w:rFonts w:hint="eastAsia" w:ascii="仿宋_GB2312" w:hAnsi="仿宋_GB2312" w:eastAsia="仿宋_GB2312"/>
          <w:color w:val="auto"/>
          <w:kern w:val="2"/>
          <w:sz w:val="32"/>
          <w:szCs w:val="24"/>
          <w:highlight w:val="none"/>
          <w:lang w:val="en-US" w:eastAsia="zh-CN"/>
        </w:rPr>
        <w:t>该项目经费</w:t>
      </w:r>
      <w:r>
        <w:rPr>
          <w:rFonts w:hint="eastAsia" w:ascii="仿宋_GB2312" w:hAnsi="仿宋_GB2312" w:eastAsia="仿宋_GB2312"/>
          <w:color w:val="auto"/>
          <w:kern w:val="2"/>
          <w:sz w:val="32"/>
          <w:szCs w:val="24"/>
          <w:highlight w:val="none"/>
          <w:lang w:val="en-US"/>
        </w:rPr>
        <w:t>按要求执行完毕。</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color w:val="auto"/>
          <w:kern w:val="2"/>
          <w:sz w:val="32"/>
          <w:szCs w:val="24"/>
          <w:highlight w:val="none"/>
          <w:lang w:val="en-US" w:eastAsia="zh-CN"/>
        </w:rPr>
        <w:t>人民陪审员经费</w:t>
      </w:r>
      <w:r>
        <w:rPr>
          <w:rFonts w:hint="eastAsia" w:ascii="仿宋_GB2312" w:hAnsi="仿宋_GB2312" w:eastAsia="仿宋_GB2312"/>
          <w:color w:val="auto"/>
          <w:kern w:val="2"/>
          <w:sz w:val="32"/>
          <w:szCs w:val="24"/>
          <w:highlight w:val="none"/>
          <w:lang w:val="en-US"/>
        </w:rPr>
        <w:t>专项预算项目</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绩效自评得分为</w:t>
      </w:r>
      <w:r>
        <w:rPr>
          <w:rFonts w:hint="eastAsia" w:ascii="仿宋_GB2312" w:hAnsi="仿宋_GB2312" w:eastAsia="仿宋_GB2312"/>
          <w:color w:val="auto"/>
          <w:kern w:val="2"/>
          <w:sz w:val="32"/>
          <w:szCs w:val="24"/>
          <w:highlight w:val="none"/>
          <w:lang w:val="en-US" w:eastAsia="zh-CN"/>
        </w:rPr>
        <w:t>100</w:t>
      </w:r>
      <w:r>
        <w:rPr>
          <w:rFonts w:hint="eastAsia" w:ascii="仿宋_GB2312" w:hAnsi="仿宋_GB2312" w:eastAsia="仿宋_GB2312"/>
          <w:color w:val="auto"/>
          <w:kern w:val="2"/>
          <w:sz w:val="32"/>
          <w:szCs w:val="24"/>
          <w:highlight w:val="none"/>
          <w:lang w:val="en-US"/>
        </w:rPr>
        <w:t>分</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绩效自评综述：根据专项绩效评定指标各项目量化评价，自评得分100分，2022年，我院按要求按时发放人民陪审员劳务费，使得人民陪审员认真履职，保障人民陪审员工作权益，提人民陪审员工作效率，对参审案件进行监督，提高政法单位的司法公信力</w:t>
      </w:r>
      <w:r>
        <w:rPr>
          <w:rFonts w:hint="eastAsia" w:ascii="仿宋_GB2312" w:hAnsi="仿宋_GB2312" w:eastAsia="仿宋_GB2312"/>
          <w:color w:val="auto"/>
          <w:kern w:val="2"/>
          <w:sz w:val="32"/>
          <w:szCs w:val="24"/>
          <w:highlight w:val="none"/>
          <w:lang w:val="en-US" w:eastAsia="zh-CN"/>
        </w:rPr>
        <w:t>。该项目经费</w:t>
      </w:r>
      <w:r>
        <w:rPr>
          <w:rFonts w:hint="eastAsia" w:ascii="仿宋_GB2312" w:hAnsi="仿宋_GB2312" w:eastAsia="仿宋_GB2312"/>
          <w:color w:val="auto"/>
          <w:kern w:val="2"/>
          <w:sz w:val="32"/>
          <w:szCs w:val="24"/>
          <w:highlight w:val="none"/>
          <w:lang w:val="en-US"/>
        </w:rPr>
        <w:t>按要求执行完毕。</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color w:val="auto"/>
          <w:kern w:val="2"/>
          <w:sz w:val="32"/>
          <w:szCs w:val="24"/>
          <w:highlight w:val="none"/>
          <w:lang w:val="en-US" w:eastAsia="zh-CN"/>
        </w:rPr>
        <w:t>信息化建设经费</w:t>
      </w:r>
      <w:r>
        <w:rPr>
          <w:rFonts w:hint="eastAsia" w:ascii="仿宋_GB2312" w:hAnsi="仿宋_GB2312" w:eastAsia="仿宋_GB2312"/>
          <w:color w:val="auto"/>
          <w:kern w:val="2"/>
          <w:sz w:val="32"/>
          <w:szCs w:val="24"/>
          <w:highlight w:val="none"/>
          <w:lang w:val="en-US"/>
        </w:rPr>
        <w:t>专项预算项目</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绩效自评得分为</w:t>
      </w:r>
      <w:r>
        <w:rPr>
          <w:rFonts w:hint="eastAsia" w:ascii="仿宋_GB2312" w:hAnsi="仿宋_GB2312" w:eastAsia="仿宋_GB2312"/>
          <w:color w:val="auto"/>
          <w:kern w:val="2"/>
          <w:sz w:val="32"/>
          <w:szCs w:val="24"/>
          <w:highlight w:val="none"/>
          <w:lang w:val="en-US" w:eastAsia="zh-CN"/>
        </w:rPr>
        <w:t>97</w:t>
      </w:r>
      <w:r>
        <w:rPr>
          <w:rFonts w:hint="eastAsia" w:ascii="仿宋_GB2312" w:hAnsi="仿宋_GB2312" w:eastAsia="仿宋_GB2312"/>
          <w:color w:val="auto"/>
          <w:kern w:val="2"/>
          <w:sz w:val="32"/>
          <w:szCs w:val="24"/>
          <w:highlight w:val="none"/>
          <w:lang w:val="en-US"/>
        </w:rPr>
        <w:t>分</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绩效自评综述：根据专项绩效评定指标各项目量化评价，自评得分97分，2022我院按时支付了庭审直播费、网络维护费，保障我院庭审直播平台、电子送达平台</w:t>
      </w:r>
      <w:r>
        <w:rPr>
          <w:rFonts w:hint="eastAsia" w:ascii="仿宋_GB2312" w:hAnsi="仿宋_GB2312" w:eastAsia="仿宋_GB2312"/>
          <w:color w:val="auto"/>
          <w:kern w:val="2"/>
          <w:sz w:val="32"/>
          <w:szCs w:val="24"/>
          <w:highlight w:val="none"/>
          <w:lang w:val="en-US" w:eastAsia="zh-CN"/>
        </w:rPr>
        <w:t>及</w:t>
      </w:r>
      <w:r>
        <w:rPr>
          <w:rFonts w:hint="eastAsia" w:ascii="仿宋_GB2312" w:hAnsi="仿宋_GB2312" w:eastAsia="仿宋_GB2312"/>
          <w:color w:val="auto"/>
          <w:kern w:val="2"/>
          <w:sz w:val="32"/>
          <w:szCs w:val="24"/>
          <w:highlight w:val="none"/>
          <w:lang w:val="en-US"/>
        </w:rPr>
        <w:t>办案网络正常运行，保障我院干警办公、办案工作质量，提升我院干警工作效率，我院的“智慧法院”的建设再上新台阶。因本年度没有持续跟踪项目进度，致项目进展稍微滞后，故截止年末剩余2.91万元没有支付完毕。</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color w:val="auto"/>
          <w:kern w:val="2"/>
          <w:sz w:val="32"/>
          <w:szCs w:val="24"/>
          <w:highlight w:val="none"/>
          <w:lang w:val="en-US" w:eastAsia="zh-CN"/>
        </w:rPr>
        <w:t>聘用制书记员经费</w:t>
      </w:r>
      <w:r>
        <w:rPr>
          <w:rFonts w:hint="eastAsia" w:ascii="仿宋_GB2312" w:hAnsi="仿宋_GB2312" w:eastAsia="仿宋_GB2312"/>
          <w:color w:val="auto"/>
          <w:kern w:val="2"/>
          <w:sz w:val="32"/>
          <w:szCs w:val="24"/>
          <w:highlight w:val="none"/>
          <w:lang w:val="en-US"/>
        </w:rPr>
        <w:t>专项预算项目绩效自评得分为</w:t>
      </w:r>
      <w:r>
        <w:rPr>
          <w:rFonts w:hint="eastAsia" w:ascii="仿宋_GB2312" w:hAnsi="仿宋_GB2312" w:eastAsia="仿宋_GB2312"/>
          <w:color w:val="auto"/>
          <w:kern w:val="2"/>
          <w:sz w:val="32"/>
          <w:szCs w:val="24"/>
          <w:highlight w:val="none"/>
          <w:lang w:val="en-US" w:eastAsia="zh-CN"/>
        </w:rPr>
        <w:t>100</w:t>
      </w:r>
      <w:r>
        <w:rPr>
          <w:rFonts w:hint="eastAsia" w:ascii="仿宋_GB2312" w:hAnsi="仿宋_GB2312" w:eastAsia="仿宋_GB2312"/>
          <w:color w:val="auto"/>
          <w:kern w:val="2"/>
          <w:sz w:val="32"/>
          <w:szCs w:val="24"/>
          <w:highlight w:val="none"/>
          <w:lang w:val="en-US"/>
        </w:rPr>
        <w:t>分</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绩效自评综述：根据专项绩效评定指标各项目量化评价，自评得分100分，2022年，我院按要求每月按时发放聘用制书记员工资及保险，保障聘用制书记员工作权益，提高聘用制书记员工作效率，按要求执行完毕。</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en-US"/>
        </w:rPr>
        <w:t>绩效自评报告详见附件。</w:t>
      </w:r>
    </w:p>
    <w:p>
      <w:pPr>
        <w:keepNext/>
        <w:keepLines/>
        <w:numPr>
          <w:ilvl w:val="0"/>
          <w:numId w:val="1"/>
        </w:numPr>
        <w:shd w:val="clear"/>
        <w:spacing w:beforeLines="0" w:afterLines="0" w:line="576" w:lineRule="exact"/>
        <w:jc w:val="center"/>
        <w:outlineLvl w:val="0"/>
        <w:rPr>
          <w:rFonts w:hint="eastAsia" w:ascii="黑体" w:hAnsi="黑体" w:eastAsia="黑体"/>
          <w:color w:val="auto"/>
          <w:kern w:val="44"/>
          <w:sz w:val="44"/>
          <w:szCs w:val="24"/>
          <w:highlight w:val="none"/>
          <w:lang w:val="zh-CN"/>
        </w:rPr>
      </w:pPr>
      <w:bookmarkStart w:id="18" w:name="_Toc14428"/>
      <w:r>
        <w:rPr>
          <w:rFonts w:hint="eastAsia" w:ascii="黑体" w:hAnsi="黑体" w:eastAsia="黑体"/>
          <w:color w:val="auto"/>
          <w:kern w:val="2"/>
          <w:sz w:val="44"/>
          <w:szCs w:val="24"/>
          <w:highlight w:val="none"/>
          <w:lang w:val="zh-CN"/>
        </w:rPr>
        <w:t>名</w:t>
      </w:r>
      <w:r>
        <w:rPr>
          <w:rFonts w:hint="eastAsia" w:ascii="黑体" w:hAnsi="黑体" w:eastAsia="黑体"/>
          <w:color w:val="auto"/>
          <w:kern w:val="44"/>
          <w:sz w:val="44"/>
          <w:szCs w:val="24"/>
          <w:highlight w:val="none"/>
          <w:lang w:val="zh-CN"/>
        </w:rPr>
        <w:t>词解释</w:t>
      </w:r>
      <w:bookmarkEnd w:id="18"/>
    </w:p>
    <w:p>
      <w:pPr>
        <w:pStyle w:val="21"/>
        <w:numPr>
          <w:ilvl w:val="0"/>
          <w:numId w:val="2"/>
        </w:numPr>
        <w:shd w:val="clear"/>
        <w:spacing w:beforeLines="0" w:afterLines="0" w:line="560" w:lineRule="exact"/>
        <w:ind w:left="0" w:leftChars="0" w:firstLine="400" w:firstLineChars="0"/>
        <w:outlineLvl w:val="1"/>
        <w:rPr>
          <w:rFonts w:hint="eastAsia" w:ascii="仿宋_GB2312" w:eastAsia="仿宋_GB2312"/>
          <w:color w:val="auto"/>
          <w:sz w:val="32"/>
          <w:szCs w:val="32"/>
          <w:highlight w:val="none"/>
        </w:rPr>
      </w:pPr>
      <w:bookmarkStart w:id="19" w:name="_Toc6127"/>
      <w:r>
        <w:rPr>
          <w:rFonts w:hint="eastAsia" w:ascii="仿宋_GB2312" w:eastAsia="仿宋_GB2312"/>
          <w:color w:val="auto"/>
          <w:sz w:val="32"/>
          <w:szCs w:val="32"/>
          <w:highlight w:val="none"/>
        </w:rPr>
        <w:t>财政拨款收入：指单位从同级财政部门取得的财政预算资金。</w:t>
      </w:r>
      <w:bookmarkEnd w:id="19"/>
    </w:p>
    <w:p>
      <w:pPr>
        <w:pStyle w:val="21"/>
        <w:numPr>
          <w:ilvl w:val="0"/>
          <w:numId w:val="2"/>
        </w:numPr>
        <w:shd w:val="clear"/>
        <w:spacing w:beforeLines="0" w:afterLines="0"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p>
    <w:p>
      <w:pPr>
        <w:numPr>
          <w:ilvl w:val="0"/>
          <w:numId w:val="2"/>
        </w:numPr>
        <w:shd w:val="clear"/>
        <w:spacing w:beforeLines="0" w:afterLines="0" w:line="560" w:lineRule="exact"/>
        <w:ind w:left="0" w:leftChars="0" w:firstLine="400" w:firstLineChars="0"/>
        <w:rPr>
          <w:rFonts w:hint="eastAsia" w:ascii="仿宋_GB2312" w:hAnsi="Times New Roman" w:eastAsia="仿宋_GB2312"/>
          <w:color w:val="auto"/>
          <w:sz w:val="32"/>
          <w:szCs w:val="24"/>
          <w:highlight w:val="none"/>
        </w:rPr>
      </w:pPr>
      <w:r>
        <w:rPr>
          <w:rFonts w:hint="eastAsia" w:ascii="仿宋_GB2312" w:hAnsi="Times New Roman" w:eastAsia="仿宋_GB2312"/>
          <w:color w:val="auto"/>
          <w:sz w:val="32"/>
          <w:szCs w:val="24"/>
          <w:highlight w:val="none"/>
        </w:rPr>
        <w:t>公共安全支出（</w:t>
      </w:r>
      <w:r>
        <w:rPr>
          <w:rFonts w:hint="eastAsia" w:ascii="仿宋_GB2312" w:hAnsi="Times New Roman" w:eastAsia="仿宋_GB2312"/>
          <w:color w:val="auto"/>
          <w:sz w:val="32"/>
          <w:szCs w:val="24"/>
          <w:highlight w:val="none"/>
          <w:lang w:eastAsia="zh-CN"/>
        </w:rPr>
        <w:t>类</w:t>
      </w:r>
      <w:r>
        <w:rPr>
          <w:rFonts w:hint="eastAsia" w:ascii="仿宋_GB2312" w:hAnsi="Times New Roman" w:eastAsia="仿宋_GB2312"/>
          <w:color w:val="auto"/>
          <w:sz w:val="32"/>
          <w:szCs w:val="24"/>
          <w:highlight w:val="none"/>
        </w:rPr>
        <w:t>）法院（</w:t>
      </w:r>
      <w:r>
        <w:rPr>
          <w:rFonts w:hint="eastAsia" w:ascii="仿宋_GB2312" w:hAnsi="Times New Roman" w:eastAsia="仿宋_GB2312"/>
          <w:color w:val="auto"/>
          <w:sz w:val="32"/>
          <w:szCs w:val="24"/>
          <w:highlight w:val="none"/>
          <w:lang w:eastAsia="zh-CN"/>
        </w:rPr>
        <w:t>款</w:t>
      </w:r>
      <w:r>
        <w:rPr>
          <w:rFonts w:hint="eastAsia" w:ascii="仿宋_GB2312" w:hAnsi="Times New Roman" w:eastAsia="仿宋_GB2312"/>
          <w:color w:val="auto"/>
          <w:sz w:val="32"/>
          <w:szCs w:val="24"/>
          <w:highlight w:val="none"/>
        </w:rPr>
        <w:t>）行政运行（</w:t>
      </w:r>
      <w:r>
        <w:rPr>
          <w:rFonts w:hint="eastAsia" w:ascii="仿宋_GB2312" w:hAnsi="Times New Roman" w:eastAsia="仿宋_GB2312"/>
          <w:color w:val="auto"/>
          <w:sz w:val="32"/>
          <w:szCs w:val="24"/>
          <w:highlight w:val="none"/>
          <w:lang w:eastAsia="zh-CN"/>
        </w:rPr>
        <w:t>项</w:t>
      </w:r>
      <w:r>
        <w:rPr>
          <w:rFonts w:hint="eastAsia" w:ascii="仿宋_GB2312" w:hAnsi="Times New Roman" w:eastAsia="仿宋_GB2312"/>
          <w:color w:val="auto"/>
          <w:sz w:val="32"/>
          <w:szCs w:val="24"/>
          <w:highlight w:val="none"/>
        </w:rPr>
        <w:t>）：指行政单位（包括实行公务员管理的事业单位）的基本支出。</w:t>
      </w:r>
    </w:p>
    <w:p>
      <w:pPr>
        <w:numPr>
          <w:ilvl w:val="0"/>
          <w:numId w:val="2"/>
        </w:numPr>
        <w:shd w:val="clear"/>
        <w:spacing w:beforeLines="0" w:afterLines="0" w:line="560" w:lineRule="exact"/>
        <w:ind w:left="0" w:leftChars="0" w:firstLine="400" w:firstLineChars="0"/>
        <w:rPr>
          <w:rFonts w:hint="eastAsia" w:ascii="仿宋_GB2312" w:hAnsi="Times New Roman" w:eastAsia="仿宋_GB2312"/>
          <w:color w:val="auto"/>
          <w:sz w:val="32"/>
          <w:szCs w:val="24"/>
          <w:highlight w:val="none"/>
        </w:rPr>
      </w:pPr>
      <w:r>
        <w:rPr>
          <w:rFonts w:hint="eastAsia" w:ascii="仿宋_GB2312" w:hAnsi="Times New Roman" w:eastAsia="仿宋_GB2312"/>
          <w:color w:val="auto"/>
          <w:sz w:val="32"/>
          <w:szCs w:val="24"/>
          <w:highlight w:val="none"/>
        </w:rPr>
        <w:t>公共安全支出（</w:t>
      </w:r>
      <w:r>
        <w:rPr>
          <w:rFonts w:hint="eastAsia" w:ascii="仿宋_GB2312" w:hAnsi="Times New Roman" w:eastAsia="仿宋_GB2312"/>
          <w:color w:val="auto"/>
          <w:sz w:val="32"/>
          <w:szCs w:val="24"/>
          <w:highlight w:val="none"/>
          <w:lang w:eastAsia="zh-CN"/>
        </w:rPr>
        <w:t>类</w:t>
      </w:r>
      <w:r>
        <w:rPr>
          <w:rFonts w:hint="eastAsia" w:ascii="仿宋_GB2312" w:hAnsi="Times New Roman" w:eastAsia="仿宋_GB2312"/>
          <w:color w:val="auto"/>
          <w:sz w:val="32"/>
          <w:szCs w:val="24"/>
          <w:highlight w:val="none"/>
        </w:rPr>
        <w:t>）法院（</w:t>
      </w:r>
      <w:r>
        <w:rPr>
          <w:rFonts w:hint="eastAsia" w:ascii="仿宋_GB2312" w:hAnsi="Times New Roman" w:eastAsia="仿宋_GB2312"/>
          <w:color w:val="auto"/>
          <w:sz w:val="32"/>
          <w:szCs w:val="24"/>
          <w:highlight w:val="none"/>
          <w:lang w:eastAsia="zh-CN"/>
        </w:rPr>
        <w:t>款</w:t>
      </w:r>
      <w:r>
        <w:rPr>
          <w:rFonts w:hint="eastAsia" w:ascii="仿宋_GB2312" w:hAnsi="Times New Roman" w:eastAsia="仿宋_GB2312"/>
          <w:color w:val="auto"/>
          <w:sz w:val="32"/>
          <w:szCs w:val="24"/>
          <w:highlight w:val="none"/>
        </w:rPr>
        <w:t>）一般行政管理事务（</w:t>
      </w:r>
      <w:r>
        <w:rPr>
          <w:rFonts w:hint="eastAsia" w:ascii="仿宋_GB2312" w:hAnsi="Times New Roman" w:eastAsia="仿宋_GB2312"/>
          <w:color w:val="auto"/>
          <w:sz w:val="32"/>
          <w:szCs w:val="24"/>
          <w:highlight w:val="none"/>
          <w:lang w:eastAsia="zh-CN"/>
        </w:rPr>
        <w:t>项</w:t>
      </w:r>
      <w:r>
        <w:rPr>
          <w:rFonts w:hint="eastAsia" w:ascii="仿宋_GB2312" w:hAnsi="Times New Roman" w:eastAsia="仿宋_GB2312"/>
          <w:color w:val="auto"/>
          <w:sz w:val="32"/>
          <w:szCs w:val="24"/>
          <w:highlight w:val="none"/>
        </w:rPr>
        <w:t>）：</w:t>
      </w:r>
      <w:r>
        <w:rPr>
          <w:rFonts w:hint="eastAsia" w:ascii="仿宋_GB2312" w:eastAsia="仿宋_GB2312"/>
          <w:color w:val="auto"/>
          <w:sz w:val="32"/>
          <w:szCs w:val="24"/>
          <w:highlight w:val="none"/>
          <w:lang w:eastAsia="zh-CN"/>
        </w:rPr>
        <w:t>指人民法院用于未单独设立项级科目的其他项目支出。</w:t>
      </w:r>
      <w:r>
        <w:rPr>
          <w:rFonts w:hint="eastAsia" w:ascii="仿宋_GB2312" w:hAnsi="Times New Roman" w:eastAsia="仿宋_GB2312"/>
          <w:color w:val="auto"/>
          <w:sz w:val="32"/>
          <w:szCs w:val="24"/>
          <w:highlight w:val="none"/>
        </w:rPr>
        <w:t>。</w:t>
      </w:r>
    </w:p>
    <w:p>
      <w:pPr>
        <w:numPr>
          <w:ilvl w:val="0"/>
          <w:numId w:val="2"/>
        </w:numPr>
        <w:shd w:val="clear"/>
        <w:spacing w:beforeLines="0" w:afterLines="0" w:line="560" w:lineRule="exact"/>
        <w:ind w:left="0" w:leftChars="0" w:firstLine="400" w:firstLineChars="0"/>
        <w:rPr>
          <w:rFonts w:hint="eastAsia"/>
          <w:color w:val="auto"/>
          <w:highlight w:val="none"/>
        </w:rPr>
      </w:pPr>
      <w:r>
        <w:rPr>
          <w:rFonts w:hint="eastAsia" w:ascii="仿宋_GB2312" w:hAnsi="Times New Roman" w:eastAsia="仿宋_GB2312"/>
          <w:color w:val="auto"/>
          <w:sz w:val="32"/>
          <w:szCs w:val="24"/>
          <w:highlight w:val="none"/>
        </w:rPr>
        <w:t>公共安全支出（</w:t>
      </w:r>
      <w:r>
        <w:rPr>
          <w:rFonts w:hint="eastAsia" w:ascii="仿宋_GB2312" w:hAnsi="Times New Roman" w:eastAsia="仿宋_GB2312"/>
          <w:color w:val="auto"/>
          <w:sz w:val="32"/>
          <w:szCs w:val="24"/>
          <w:highlight w:val="none"/>
          <w:lang w:eastAsia="zh-CN"/>
        </w:rPr>
        <w:t>类</w:t>
      </w:r>
      <w:r>
        <w:rPr>
          <w:rFonts w:hint="eastAsia" w:ascii="仿宋_GB2312" w:hAnsi="Times New Roman" w:eastAsia="仿宋_GB2312"/>
          <w:color w:val="auto"/>
          <w:sz w:val="32"/>
          <w:szCs w:val="24"/>
          <w:highlight w:val="none"/>
        </w:rPr>
        <w:t>）法院（</w:t>
      </w:r>
      <w:r>
        <w:rPr>
          <w:rFonts w:hint="eastAsia" w:ascii="仿宋_GB2312" w:hAnsi="Times New Roman" w:eastAsia="仿宋_GB2312"/>
          <w:color w:val="auto"/>
          <w:sz w:val="32"/>
          <w:szCs w:val="24"/>
          <w:highlight w:val="none"/>
          <w:lang w:eastAsia="zh-CN"/>
        </w:rPr>
        <w:t>款</w:t>
      </w:r>
      <w:r>
        <w:rPr>
          <w:rFonts w:hint="eastAsia" w:ascii="仿宋_GB2312" w:hAnsi="Times New Roman" w:eastAsia="仿宋_GB2312"/>
          <w:color w:val="auto"/>
          <w:sz w:val="32"/>
          <w:szCs w:val="24"/>
          <w:highlight w:val="none"/>
        </w:rPr>
        <w:t>）“两庭”建设（</w:t>
      </w:r>
      <w:r>
        <w:rPr>
          <w:rFonts w:hint="eastAsia" w:ascii="仿宋_GB2312" w:hAnsi="Times New Roman" w:eastAsia="仿宋_GB2312"/>
          <w:color w:val="auto"/>
          <w:sz w:val="32"/>
          <w:szCs w:val="24"/>
          <w:highlight w:val="none"/>
          <w:lang w:eastAsia="zh-CN"/>
        </w:rPr>
        <w:t>项</w:t>
      </w:r>
      <w:r>
        <w:rPr>
          <w:rFonts w:hint="eastAsia" w:ascii="仿宋_GB2312" w:hAnsi="Times New Roman" w:eastAsia="仿宋_GB2312"/>
          <w:color w:val="auto"/>
          <w:sz w:val="32"/>
          <w:szCs w:val="24"/>
          <w:highlight w:val="none"/>
        </w:rPr>
        <w:t>）：</w:t>
      </w:r>
      <w:r>
        <w:rPr>
          <w:rFonts w:hint="eastAsia" w:ascii="仿宋_GB2312" w:hAnsi="Times New Roman" w:eastAsia="仿宋_GB2312"/>
          <w:color w:val="auto"/>
          <w:sz w:val="32"/>
          <w:szCs w:val="24"/>
          <w:highlight w:val="none"/>
          <w:woUserID w:val="1"/>
        </w:rPr>
        <w:t>反映人民法院审判用房、人民法庭用房、刑场建设维修和设备购置，以及审判庭安全设备购置及运行管理等支出</w:t>
      </w:r>
      <w:r>
        <w:rPr>
          <w:rFonts w:hint="eastAsia" w:ascii="仿宋_GB2312" w:hAnsi="Times New Roman" w:eastAsia="仿宋_GB2312"/>
          <w:color w:val="auto"/>
          <w:sz w:val="32"/>
          <w:szCs w:val="24"/>
          <w:highlight w:val="none"/>
        </w:rPr>
        <w:t>。</w:t>
      </w:r>
    </w:p>
    <w:p>
      <w:pPr>
        <w:numPr>
          <w:ilvl w:val="0"/>
          <w:numId w:val="2"/>
        </w:numPr>
        <w:shd w:val="clear"/>
        <w:spacing w:beforeLines="0" w:afterLines="0" w:line="560" w:lineRule="exact"/>
        <w:ind w:left="0" w:leftChars="0" w:firstLine="400" w:firstLineChars="0"/>
        <w:rPr>
          <w:rFonts w:hint="eastAsia" w:ascii="仿宋_GB2312" w:hAnsi="Times New Roman" w:eastAsia="仿宋_GB2312"/>
          <w:color w:val="auto"/>
          <w:sz w:val="32"/>
          <w:szCs w:val="24"/>
          <w:highlight w:val="none"/>
          <w:lang w:val="en-US" w:eastAsia="zh-CN"/>
        </w:rPr>
      </w:pPr>
      <w:r>
        <w:rPr>
          <w:rFonts w:hint="eastAsia" w:ascii="仿宋_GB2312" w:hAnsi="Times New Roman" w:eastAsia="仿宋_GB2312"/>
          <w:color w:val="auto"/>
          <w:sz w:val="32"/>
          <w:szCs w:val="24"/>
          <w:highlight w:val="none"/>
        </w:rPr>
        <w:t>公共安全支出（</w:t>
      </w:r>
      <w:r>
        <w:rPr>
          <w:rFonts w:hint="eastAsia" w:ascii="仿宋_GB2312" w:hAnsi="Times New Roman" w:eastAsia="仿宋_GB2312"/>
          <w:color w:val="auto"/>
          <w:sz w:val="32"/>
          <w:szCs w:val="24"/>
          <w:highlight w:val="none"/>
          <w:lang w:eastAsia="zh-CN"/>
        </w:rPr>
        <w:t>类</w:t>
      </w:r>
      <w:r>
        <w:rPr>
          <w:rFonts w:hint="eastAsia" w:ascii="仿宋_GB2312" w:hAnsi="Times New Roman" w:eastAsia="仿宋_GB2312"/>
          <w:color w:val="auto"/>
          <w:sz w:val="32"/>
          <w:szCs w:val="24"/>
          <w:highlight w:val="none"/>
        </w:rPr>
        <w:t>）法院（</w:t>
      </w:r>
      <w:r>
        <w:rPr>
          <w:rFonts w:hint="eastAsia" w:ascii="仿宋_GB2312" w:hAnsi="Times New Roman" w:eastAsia="仿宋_GB2312"/>
          <w:color w:val="auto"/>
          <w:sz w:val="32"/>
          <w:szCs w:val="24"/>
          <w:highlight w:val="none"/>
          <w:lang w:eastAsia="zh-CN"/>
        </w:rPr>
        <w:t>款</w:t>
      </w:r>
      <w:r>
        <w:rPr>
          <w:rFonts w:hint="eastAsia" w:ascii="仿宋_GB2312" w:hAnsi="Times New Roman" w:eastAsia="仿宋_GB2312"/>
          <w:color w:val="auto"/>
          <w:sz w:val="32"/>
          <w:szCs w:val="24"/>
          <w:highlight w:val="none"/>
        </w:rPr>
        <w:t>）</w:t>
      </w:r>
      <w:r>
        <w:rPr>
          <w:rFonts w:hint="eastAsia" w:ascii="仿宋_GB2312" w:hAnsi="Times New Roman" w:eastAsia="仿宋_GB2312"/>
          <w:color w:val="auto"/>
          <w:sz w:val="32"/>
          <w:szCs w:val="24"/>
          <w:highlight w:val="none"/>
          <w:lang w:eastAsia="zh-CN"/>
        </w:rPr>
        <w:t>事业运行</w:t>
      </w:r>
      <w:r>
        <w:rPr>
          <w:rFonts w:hint="eastAsia" w:ascii="仿宋_GB2312" w:hAnsi="Times New Roman" w:eastAsia="仿宋_GB2312"/>
          <w:color w:val="auto"/>
          <w:sz w:val="32"/>
          <w:szCs w:val="24"/>
          <w:highlight w:val="none"/>
        </w:rPr>
        <w:t>（</w:t>
      </w:r>
      <w:r>
        <w:rPr>
          <w:rFonts w:hint="eastAsia" w:ascii="仿宋_GB2312" w:hAnsi="Times New Roman" w:eastAsia="仿宋_GB2312"/>
          <w:color w:val="auto"/>
          <w:sz w:val="32"/>
          <w:szCs w:val="24"/>
          <w:highlight w:val="none"/>
          <w:lang w:eastAsia="zh-CN"/>
        </w:rPr>
        <w:t>项</w:t>
      </w:r>
      <w:r>
        <w:rPr>
          <w:rFonts w:hint="eastAsia" w:ascii="仿宋_GB2312" w:hAnsi="Times New Roman" w:eastAsia="仿宋_GB2312"/>
          <w:color w:val="auto"/>
          <w:sz w:val="32"/>
          <w:szCs w:val="24"/>
          <w:highlight w:val="none"/>
        </w:rPr>
        <w:t>）：指反映</w:t>
      </w:r>
      <w:r>
        <w:rPr>
          <w:rFonts w:hint="eastAsia" w:ascii="仿宋_GB2312" w:hAnsi="Times New Roman" w:eastAsia="仿宋_GB2312"/>
          <w:color w:val="auto"/>
          <w:sz w:val="32"/>
          <w:szCs w:val="24"/>
          <w:highlight w:val="none"/>
          <w:lang w:eastAsia="zh-CN"/>
        </w:rPr>
        <w:t>事业</w:t>
      </w:r>
      <w:r>
        <w:rPr>
          <w:rFonts w:hint="eastAsia" w:ascii="仿宋_GB2312" w:hAnsi="Times New Roman" w:eastAsia="仿宋_GB2312"/>
          <w:color w:val="auto"/>
          <w:sz w:val="32"/>
          <w:szCs w:val="24"/>
          <w:highlight w:val="none"/>
        </w:rPr>
        <w:t>单位</w:t>
      </w:r>
      <w:r>
        <w:rPr>
          <w:rFonts w:hint="eastAsia" w:ascii="仿宋_GB2312" w:hAnsi="Times New Roman" w:eastAsia="仿宋_GB2312"/>
          <w:color w:val="auto"/>
          <w:sz w:val="32"/>
          <w:szCs w:val="24"/>
          <w:highlight w:val="none"/>
          <w:lang w:eastAsia="zh-CN"/>
        </w:rPr>
        <w:t>的基本支出，不包括行政单位</w:t>
      </w:r>
      <w:r>
        <w:rPr>
          <w:rFonts w:hint="eastAsia" w:ascii="仿宋_GB2312" w:hAnsi="Times New Roman" w:eastAsia="仿宋_GB2312"/>
          <w:color w:val="auto"/>
          <w:sz w:val="32"/>
          <w:szCs w:val="24"/>
          <w:highlight w:val="none"/>
          <w:lang w:val="en-US" w:eastAsia="zh-CN"/>
        </w:rPr>
        <w:t>(包括实行公务员管理的事业单位）后勤服务中心、医务室等附属事业单位。</w:t>
      </w:r>
    </w:p>
    <w:p>
      <w:pPr>
        <w:numPr>
          <w:ilvl w:val="0"/>
          <w:numId w:val="2"/>
        </w:numPr>
        <w:shd w:val="clear"/>
        <w:spacing w:beforeLines="0" w:afterLines="0" w:line="560" w:lineRule="exact"/>
        <w:ind w:left="0" w:leftChars="0" w:firstLine="400" w:firstLineChars="0"/>
        <w:rPr>
          <w:rFonts w:hint="eastAsia" w:ascii="仿宋_GB2312" w:hAnsi="Times New Roman" w:eastAsia="仿宋_GB2312"/>
          <w:color w:val="auto"/>
          <w:sz w:val="32"/>
          <w:szCs w:val="24"/>
          <w:highlight w:val="none"/>
        </w:rPr>
      </w:pPr>
      <w:r>
        <w:rPr>
          <w:rFonts w:hint="eastAsia" w:ascii="仿宋_GB2312" w:hAnsi="Times New Roman" w:eastAsia="仿宋_GB2312"/>
          <w:color w:val="auto"/>
          <w:sz w:val="32"/>
          <w:szCs w:val="24"/>
          <w:highlight w:val="none"/>
        </w:rPr>
        <w:t>公共安全支出（</w:t>
      </w:r>
      <w:r>
        <w:rPr>
          <w:rFonts w:hint="eastAsia" w:ascii="仿宋_GB2312" w:hAnsi="Times New Roman" w:eastAsia="仿宋_GB2312"/>
          <w:color w:val="auto"/>
          <w:sz w:val="32"/>
          <w:szCs w:val="24"/>
          <w:highlight w:val="none"/>
          <w:lang w:eastAsia="zh-CN"/>
        </w:rPr>
        <w:t>类</w:t>
      </w:r>
      <w:r>
        <w:rPr>
          <w:rFonts w:hint="eastAsia" w:ascii="仿宋_GB2312" w:hAnsi="Times New Roman" w:eastAsia="仿宋_GB2312"/>
          <w:color w:val="auto"/>
          <w:sz w:val="32"/>
          <w:szCs w:val="24"/>
          <w:highlight w:val="none"/>
        </w:rPr>
        <w:t>）法院（</w:t>
      </w:r>
      <w:r>
        <w:rPr>
          <w:rFonts w:hint="eastAsia" w:ascii="仿宋_GB2312" w:hAnsi="Times New Roman" w:eastAsia="仿宋_GB2312"/>
          <w:color w:val="auto"/>
          <w:sz w:val="32"/>
          <w:szCs w:val="24"/>
          <w:highlight w:val="none"/>
          <w:lang w:eastAsia="zh-CN"/>
        </w:rPr>
        <w:t>款</w:t>
      </w:r>
      <w:r>
        <w:rPr>
          <w:rFonts w:hint="eastAsia" w:ascii="仿宋_GB2312" w:hAnsi="Times New Roman" w:eastAsia="仿宋_GB2312"/>
          <w:color w:val="auto"/>
          <w:sz w:val="32"/>
          <w:szCs w:val="24"/>
          <w:highlight w:val="none"/>
        </w:rPr>
        <w:t>）其他法院支出（</w:t>
      </w:r>
      <w:r>
        <w:rPr>
          <w:rFonts w:hint="eastAsia" w:ascii="仿宋_GB2312" w:hAnsi="Times New Roman" w:eastAsia="仿宋_GB2312"/>
          <w:color w:val="auto"/>
          <w:sz w:val="32"/>
          <w:szCs w:val="24"/>
          <w:highlight w:val="none"/>
          <w:lang w:eastAsia="zh-CN"/>
        </w:rPr>
        <w:t>项</w:t>
      </w:r>
      <w:r>
        <w:rPr>
          <w:rFonts w:hint="eastAsia" w:ascii="仿宋_GB2312" w:hAnsi="Times New Roman" w:eastAsia="仿宋_GB2312"/>
          <w:color w:val="auto"/>
          <w:sz w:val="32"/>
          <w:szCs w:val="24"/>
          <w:highlight w:val="none"/>
        </w:rPr>
        <w:t>）：指反映上述项目以外其他用于法院方面的支出</w:t>
      </w:r>
      <w:r>
        <w:rPr>
          <w:rFonts w:hint="eastAsia" w:ascii="仿宋_GB2312" w:eastAsia="仿宋_GB2312"/>
          <w:color w:val="auto"/>
          <w:sz w:val="32"/>
          <w:szCs w:val="24"/>
          <w:highlight w:val="none"/>
          <w:lang w:eastAsia="zh-CN"/>
        </w:rPr>
        <w:t>。</w:t>
      </w:r>
    </w:p>
    <w:p>
      <w:pPr>
        <w:numPr>
          <w:ilvl w:val="0"/>
          <w:numId w:val="2"/>
        </w:numPr>
        <w:shd w:val="clear"/>
        <w:spacing w:beforeLines="0" w:afterLines="0" w:line="560" w:lineRule="exact"/>
        <w:ind w:left="0" w:leftChars="0" w:firstLine="400" w:firstLineChars="0"/>
        <w:rPr>
          <w:rFonts w:hint="eastAsia" w:ascii="Times New Roman" w:hAnsi="Times New Roman" w:eastAsia="Times New Roman"/>
          <w:color w:val="auto"/>
          <w:sz w:val="24"/>
          <w:szCs w:val="24"/>
          <w:highlight w:val="none"/>
          <w:lang w:val="en-US" w:eastAsia="zh-CN"/>
        </w:rPr>
      </w:pPr>
      <w:r>
        <w:rPr>
          <w:rFonts w:hint="eastAsia" w:ascii="仿宋_GB2312" w:hAnsi="Times New Roman" w:eastAsia="仿宋_GB2312"/>
          <w:color w:val="auto"/>
          <w:sz w:val="32"/>
          <w:szCs w:val="24"/>
          <w:highlight w:val="none"/>
        </w:rPr>
        <w:t>公共安全支出（</w:t>
      </w:r>
      <w:r>
        <w:rPr>
          <w:rFonts w:hint="eastAsia" w:ascii="仿宋_GB2312" w:hAnsi="Times New Roman" w:eastAsia="仿宋_GB2312"/>
          <w:color w:val="auto"/>
          <w:sz w:val="32"/>
          <w:szCs w:val="24"/>
          <w:highlight w:val="none"/>
          <w:lang w:eastAsia="zh-CN"/>
        </w:rPr>
        <w:t>类</w:t>
      </w:r>
      <w:r>
        <w:rPr>
          <w:rFonts w:hint="eastAsia" w:ascii="仿宋_GB2312" w:hAnsi="Times New Roman" w:eastAsia="仿宋_GB2312"/>
          <w:color w:val="auto"/>
          <w:sz w:val="32"/>
          <w:szCs w:val="24"/>
          <w:highlight w:val="none"/>
        </w:rPr>
        <w:t>）</w:t>
      </w:r>
      <w:r>
        <w:rPr>
          <w:rFonts w:hint="eastAsia" w:ascii="仿宋_GB2312" w:hAnsi="Times New Roman" w:eastAsia="仿宋_GB2312"/>
          <w:color w:val="auto"/>
          <w:sz w:val="32"/>
          <w:szCs w:val="24"/>
          <w:highlight w:val="none"/>
          <w:lang w:eastAsia="zh-CN"/>
        </w:rPr>
        <w:t>其他公共安全支出</w:t>
      </w:r>
      <w:r>
        <w:rPr>
          <w:rFonts w:hint="eastAsia" w:ascii="仿宋_GB2312" w:hAnsi="Times New Roman" w:eastAsia="仿宋_GB2312"/>
          <w:color w:val="auto"/>
          <w:sz w:val="32"/>
          <w:szCs w:val="24"/>
          <w:highlight w:val="none"/>
        </w:rPr>
        <w:t>（</w:t>
      </w:r>
      <w:r>
        <w:rPr>
          <w:rFonts w:hint="eastAsia" w:ascii="仿宋_GB2312" w:hAnsi="Times New Roman" w:eastAsia="仿宋_GB2312"/>
          <w:color w:val="auto"/>
          <w:sz w:val="32"/>
          <w:szCs w:val="24"/>
          <w:highlight w:val="none"/>
          <w:lang w:eastAsia="zh-CN"/>
        </w:rPr>
        <w:t>款</w:t>
      </w:r>
      <w:r>
        <w:rPr>
          <w:rFonts w:hint="eastAsia" w:ascii="仿宋_GB2312" w:hAnsi="Times New Roman" w:eastAsia="仿宋_GB2312"/>
          <w:color w:val="auto"/>
          <w:sz w:val="32"/>
          <w:szCs w:val="24"/>
          <w:highlight w:val="none"/>
        </w:rPr>
        <w:t>）</w:t>
      </w:r>
      <w:r>
        <w:rPr>
          <w:rFonts w:hint="eastAsia" w:ascii="仿宋_GB2312" w:hAnsi="Times New Roman" w:eastAsia="仿宋_GB2312"/>
          <w:color w:val="auto"/>
          <w:sz w:val="32"/>
          <w:szCs w:val="24"/>
          <w:highlight w:val="none"/>
          <w:lang w:eastAsia="zh-CN"/>
        </w:rPr>
        <w:t>其他公共安全支出</w:t>
      </w:r>
      <w:r>
        <w:rPr>
          <w:rFonts w:hint="eastAsia" w:ascii="仿宋_GB2312" w:hAnsi="Times New Roman" w:eastAsia="仿宋_GB2312"/>
          <w:color w:val="auto"/>
          <w:sz w:val="32"/>
          <w:szCs w:val="24"/>
          <w:highlight w:val="none"/>
        </w:rPr>
        <w:t>（</w:t>
      </w:r>
      <w:r>
        <w:rPr>
          <w:rFonts w:hint="eastAsia" w:ascii="仿宋_GB2312" w:hAnsi="Times New Roman" w:eastAsia="仿宋_GB2312"/>
          <w:color w:val="auto"/>
          <w:sz w:val="32"/>
          <w:szCs w:val="24"/>
          <w:highlight w:val="none"/>
          <w:lang w:eastAsia="zh-CN"/>
        </w:rPr>
        <w:t>项</w:t>
      </w:r>
      <w:r>
        <w:rPr>
          <w:rFonts w:hint="eastAsia" w:ascii="仿宋_GB2312" w:hAnsi="Times New Roman" w:eastAsia="仿宋_GB2312"/>
          <w:color w:val="auto"/>
          <w:sz w:val="32"/>
          <w:szCs w:val="24"/>
          <w:highlight w:val="none"/>
        </w:rPr>
        <w:t>）：指反映</w:t>
      </w:r>
      <w:r>
        <w:rPr>
          <w:rFonts w:hint="eastAsia" w:ascii="仿宋_GB2312" w:hAnsi="Times New Roman" w:eastAsia="仿宋_GB2312"/>
          <w:color w:val="auto"/>
          <w:sz w:val="32"/>
          <w:szCs w:val="24"/>
          <w:highlight w:val="none"/>
          <w:lang w:eastAsia="zh-CN"/>
        </w:rPr>
        <w:t>除上述项目以外其他用于公共安全方面的</w:t>
      </w:r>
      <w:r>
        <w:rPr>
          <w:rFonts w:hint="eastAsia" w:ascii="仿宋_GB2312" w:hAnsi="Times New Roman" w:eastAsia="仿宋_GB2312"/>
          <w:color w:val="auto"/>
          <w:sz w:val="32"/>
          <w:szCs w:val="24"/>
          <w:highlight w:val="none"/>
        </w:rPr>
        <w:t>支出。</w:t>
      </w:r>
    </w:p>
    <w:p>
      <w:pPr>
        <w:numPr>
          <w:ilvl w:val="0"/>
          <w:numId w:val="2"/>
        </w:numPr>
        <w:shd w:val="clear"/>
        <w:spacing w:beforeLines="0" w:afterLines="0" w:line="560" w:lineRule="exact"/>
        <w:ind w:left="0" w:leftChars="0" w:firstLine="400" w:firstLineChars="0"/>
        <w:rPr>
          <w:rFonts w:hint="eastAsia" w:ascii="仿宋_GB2312" w:hAnsi="Times New Roman" w:eastAsia="仿宋_GB2312"/>
          <w:color w:val="auto"/>
          <w:sz w:val="32"/>
          <w:szCs w:val="24"/>
          <w:highlight w:val="none"/>
        </w:rPr>
      </w:pPr>
      <w:r>
        <w:rPr>
          <w:rFonts w:hint="eastAsia" w:ascii="仿宋_GB2312" w:hAnsi="Times New Roman" w:eastAsia="仿宋_GB2312"/>
          <w:color w:val="auto"/>
          <w:sz w:val="32"/>
          <w:szCs w:val="24"/>
          <w:highlight w:val="none"/>
        </w:rPr>
        <w:t>社会保障和就业（类）行政事业单位养老支出（款）机关事业单位基本养老保险缴费支出（项）：指部门实施养老保险制度由单位缴纳的养老保险费的支出。</w:t>
      </w:r>
    </w:p>
    <w:p>
      <w:pPr>
        <w:numPr>
          <w:ilvl w:val="0"/>
          <w:numId w:val="2"/>
        </w:numPr>
        <w:shd w:val="clear"/>
        <w:spacing w:beforeLines="0" w:afterLines="0" w:line="560" w:lineRule="exact"/>
        <w:ind w:left="0" w:leftChars="0" w:firstLine="400" w:firstLineChars="0"/>
        <w:rPr>
          <w:rFonts w:hint="eastAsia" w:ascii="仿宋_GB2312" w:hAnsi="Times New Roman" w:eastAsia="仿宋_GB2312"/>
          <w:color w:val="auto"/>
          <w:sz w:val="32"/>
          <w:szCs w:val="24"/>
          <w:highlight w:val="none"/>
        </w:rPr>
      </w:pPr>
      <w:r>
        <w:rPr>
          <w:rFonts w:hint="eastAsia" w:ascii="仿宋_GB2312" w:hAnsi="Times New Roman" w:eastAsia="仿宋_GB2312"/>
          <w:color w:val="auto"/>
          <w:sz w:val="32"/>
          <w:szCs w:val="24"/>
          <w:highlight w:val="none"/>
        </w:rPr>
        <w:t>卫生健康（类）行政事业单位医疗（款）行政单位医疗（项）：指</w:t>
      </w:r>
      <w:r>
        <w:rPr>
          <w:rFonts w:hint="eastAsia" w:ascii="仿宋_GB2312" w:hAnsi="Times New Roman" w:eastAsia="仿宋_GB2312"/>
          <w:color w:val="auto"/>
          <w:sz w:val="32"/>
          <w:szCs w:val="24"/>
          <w:highlight w:val="none"/>
          <w:lang w:eastAsia="zh-CN"/>
        </w:rPr>
        <w:t>反映财政部门安排的行政</w:t>
      </w:r>
      <w:r>
        <w:rPr>
          <w:rFonts w:hint="eastAsia" w:ascii="仿宋_GB2312" w:hAnsi="Times New Roman" w:eastAsia="仿宋_GB2312"/>
          <w:color w:val="auto"/>
          <w:sz w:val="32"/>
          <w:szCs w:val="24"/>
          <w:highlight w:val="none"/>
        </w:rPr>
        <w:t>单位</w:t>
      </w:r>
      <w:r>
        <w:rPr>
          <w:rFonts w:hint="eastAsia" w:ascii="仿宋_GB2312" w:hAnsi="Times New Roman" w:eastAsia="仿宋_GB2312"/>
          <w:color w:val="auto"/>
          <w:sz w:val="32"/>
          <w:szCs w:val="24"/>
          <w:highlight w:val="none"/>
          <w:lang w:eastAsia="zh-CN"/>
        </w:rPr>
        <w:t>（包括实行公务员管理的事业单位，下同）</w:t>
      </w:r>
      <w:r>
        <w:rPr>
          <w:rFonts w:hint="eastAsia" w:ascii="仿宋_GB2312" w:hAnsi="Times New Roman" w:eastAsia="仿宋_GB2312"/>
          <w:color w:val="auto"/>
          <w:sz w:val="32"/>
          <w:szCs w:val="24"/>
          <w:highlight w:val="none"/>
        </w:rPr>
        <w:t>基本医疗保险</w:t>
      </w:r>
      <w:r>
        <w:rPr>
          <w:rFonts w:hint="eastAsia" w:ascii="仿宋_GB2312" w:hAnsi="Times New Roman" w:eastAsia="仿宋_GB2312"/>
          <w:color w:val="auto"/>
          <w:sz w:val="32"/>
          <w:szCs w:val="24"/>
          <w:highlight w:val="none"/>
          <w:lang w:eastAsia="zh-CN"/>
        </w:rPr>
        <w:t>缴费经费，未参加医疗保险的行政单位的公费医疗经费，按国家规定享受离休人员、红军老战士待遇人员的医疗经费。</w:t>
      </w:r>
    </w:p>
    <w:p>
      <w:pPr>
        <w:numPr>
          <w:ilvl w:val="0"/>
          <w:numId w:val="2"/>
        </w:numPr>
        <w:shd w:val="clear"/>
        <w:spacing w:beforeLines="0" w:afterLines="0" w:line="560" w:lineRule="exact"/>
        <w:ind w:left="0" w:leftChars="0" w:firstLine="400" w:firstLineChars="0"/>
        <w:rPr>
          <w:rFonts w:hint="eastAsia" w:ascii="仿宋_GB2312" w:hAnsi="Times New Roman" w:eastAsia="仿宋_GB2312"/>
          <w:color w:val="auto"/>
          <w:sz w:val="32"/>
          <w:szCs w:val="24"/>
          <w:highlight w:val="none"/>
        </w:rPr>
      </w:pPr>
      <w:r>
        <w:rPr>
          <w:rFonts w:hint="eastAsia" w:ascii="仿宋_GB2312" w:hAnsi="Times New Roman" w:eastAsia="仿宋_GB2312"/>
          <w:color w:val="auto"/>
          <w:sz w:val="32"/>
          <w:szCs w:val="24"/>
          <w:highlight w:val="none"/>
        </w:rPr>
        <w:t>住房保障</w:t>
      </w:r>
      <w:r>
        <w:rPr>
          <w:rFonts w:hint="eastAsia" w:ascii="仿宋_GB2312" w:hAnsi="Times New Roman" w:eastAsia="仿宋_GB2312"/>
          <w:color w:val="auto"/>
          <w:sz w:val="32"/>
          <w:szCs w:val="24"/>
          <w:highlight w:val="none"/>
          <w:lang w:eastAsia="zh-CN"/>
        </w:rPr>
        <w:t>支出</w:t>
      </w:r>
      <w:r>
        <w:rPr>
          <w:rFonts w:hint="eastAsia" w:ascii="仿宋_GB2312" w:hAnsi="Times New Roman" w:eastAsia="仿宋_GB2312"/>
          <w:color w:val="auto"/>
          <w:sz w:val="32"/>
          <w:szCs w:val="24"/>
          <w:highlight w:val="none"/>
        </w:rPr>
        <w:t>（类）住房改革支出（款）住房公积金（项）：指</w:t>
      </w:r>
      <w:r>
        <w:rPr>
          <w:rFonts w:hint="eastAsia" w:ascii="仿宋_GB2312" w:hAnsi="Times New Roman" w:eastAsia="仿宋_GB2312"/>
          <w:color w:val="auto"/>
          <w:sz w:val="32"/>
          <w:szCs w:val="24"/>
          <w:highlight w:val="none"/>
          <w:lang w:eastAsia="zh-CN"/>
        </w:rPr>
        <w:t>反映</w:t>
      </w:r>
      <w:r>
        <w:rPr>
          <w:rFonts w:hint="eastAsia" w:ascii="仿宋_GB2312" w:hAnsi="Times New Roman" w:eastAsia="仿宋_GB2312"/>
          <w:color w:val="auto"/>
          <w:sz w:val="32"/>
          <w:szCs w:val="24"/>
          <w:highlight w:val="none"/>
        </w:rPr>
        <w:t>按照《住房公积金管理条例》的规定，由单位及其在职职工缴存的长期住房储金。</w:t>
      </w:r>
    </w:p>
    <w:p>
      <w:pPr>
        <w:numPr>
          <w:ilvl w:val="0"/>
          <w:numId w:val="2"/>
        </w:numPr>
        <w:shd w:val="clear"/>
        <w:spacing w:beforeLines="0" w:afterLines="0"/>
        <w:ind w:left="0" w:leftChars="0" w:firstLine="400" w:firstLineChars="0"/>
        <w:rPr>
          <w:rFonts w:hint="eastAsia" w:ascii="仿宋_GB2312" w:hAnsi="Times New Roman" w:eastAsia="仿宋_GB2312"/>
          <w:color w:val="auto"/>
          <w:sz w:val="32"/>
          <w:szCs w:val="24"/>
          <w:highlight w:val="none"/>
        </w:rPr>
      </w:pPr>
      <w:r>
        <w:rPr>
          <w:rFonts w:hint="eastAsia" w:ascii="仿宋_GB2312" w:hAnsi="Times New Roman" w:eastAsia="仿宋_GB2312"/>
          <w:color w:val="auto"/>
          <w:sz w:val="32"/>
          <w:szCs w:val="24"/>
          <w:highlight w:val="none"/>
        </w:rPr>
        <w:t>基本支出：指为保障机构正常运转、完成日常工作任而发生的人员支出和公用支出。</w:t>
      </w:r>
    </w:p>
    <w:p>
      <w:pPr>
        <w:numPr>
          <w:ilvl w:val="0"/>
          <w:numId w:val="2"/>
        </w:numPr>
        <w:shd w:val="clear"/>
        <w:spacing w:beforeLines="0" w:afterLines="0"/>
        <w:ind w:left="0" w:leftChars="0" w:firstLine="400" w:firstLineChars="0"/>
        <w:rPr>
          <w:rFonts w:hint="eastAsia" w:ascii="仿宋_GB2312" w:hAnsi="Times New Roman" w:eastAsia="仿宋_GB2312"/>
          <w:color w:val="auto"/>
          <w:sz w:val="32"/>
          <w:szCs w:val="24"/>
          <w:highlight w:val="none"/>
        </w:rPr>
      </w:pPr>
      <w:r>
        <w:rPr>
          <w:rFonts w:hint="eastAsia" w:ascii="仿宋_GB2312" w:hAnsi="Times New Roman" w:eastAsia="仿宋_GB2312"/>
          <w:color w:val="auto"/>
          <w:sz w:val="32"/>
          <w:szCs w:val="24"/>
          <w:highlight w:val="none"/>
        </w:rPr>
        <w:t>项目支出：指在基本支出之外为完成特定行政任务和事业发展目标所发生的支出。</w:t>
      </w:r>
    </w:p>
    <w:p>
      <w:pPr>
        <w:pStyle w:val="21"/>
        <w:numPr>
          <w:ilvl w:val="0"/>
          <w:numId w:val="2"/>
        </w:numPr>
        <w:shd w:val="clear"/>
        <w:spacing w:beforeLines="0" w:afterLines="0"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numPr>
          <w:ilvl w:val="0"/>
          <w:numId w:val="2"/>
        </w:numPr>
        <w:shd w:val="clear"/>
        <w:spacing w:beforeLines="0" w:afterLines="0" w:line="560" w:lineRule="exact"/>
        <w:ind w:left="0" w:leftChars="0" w:firstLine="400" w:firstLineChars="0"/>
        <w:rPr>
          <w:rFonts w:hint="eastAsia"/>
          <w:color w:val="auto"/>
          <w:sz w:val="24"/>
          <w:szCs w:val="24"/>
          <w:highlight w:val="none"/>
          <w:lang w:val="zh-CN"/>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keepLines/>
        <w:shd w:val="clear"/>
        <w:spacing w:beforeLines="0" w:afterLines="0" w:line="576" w:lineRule="exact"/>
        <w:jc w:val="center"/>
        <w:rPr>
          <w:rFonts w:hint="eastAsia" w:ascii="黑体" w:hAnsi="黑体" w:eastAsia="黑体"/>
          <w:color w:val="auto"/>
          <w:kern w:val="44"/>
          <w:sz w:val="44"/>
          <w:szCs w:val="24"/>
          <w:highlight w:val="none"/>
          <w:lang w:val="zh-CN"/>
        </w:rPr>
      </w:pPr>
    </w:p>
    <w:p>
      <w:pPr>
        <w:shd w:val="clear"/>
        <w:spacing w:beforeLines="0" w:afterLines="0" w:line="600" w:lineRule="exact"/>
        <w:jc w:val="center"/>
        <w:rPr>
          <w:rFonts w:hint="eastAsia" w:ascii="黑体" w:hAnsi="黑体" w:eastAsia="黑体"/>
          <w:color w:val="auto"/>
          <w:kern w:val="2"/>
          <w:sz w:val="44"/>
          <w:szCs w:val="24"/>
          <w:highlight w:val="none"/>
          <w:lang w:val="en-US"/>
        </w:rPr>
      </w:pPr>
    </w:p>
    <w:p>
      <w:pPr>
        <w:shd w:val="clear"/>
        <w:spacing w:beforeLines="0" w:afterLines="0" w:line="600" w:lineRule="exact"/>
        <w:jc w:val="center"/>
        <w:rPr>
          <w:rFonts w:hint="eastAsia" w:ascii="黑体" w:hAnsi="黑体" w:eastAsia="黑体"/>
          <w:color w:val="auto"/>
          <w:kern w:val="2"/>
          <w:sz w:val="44"/>
          <w:szCs w:val="24"/>
          <w:highlight w:val="none"/>
          <w:lang w:val="en-US"/>
        </w:rPr>
      </w:pPr>
    </w:p>
    <w:p>
      <w:pPr>
        <w:shd w:val="clear"/>
        <w:spacing w:beforeLines="0" w:afterLines="0" w:line="600" w:lineRule="exact"/>
        <w:jc w:val="center"/>
        <w:rPr>
          <w:rFonts w:hint="eastAsia" w:ascii="黑体" w:hAnsi="黑体" w:eastAsia="黑体"/>
          <w:color w:val="auto"/>
          <w:kern w:val="2"/>
          <w:sz w:val="44"/>
          <w:szCs w:val="24"/>
          <w:highlight w:val="none"/>
          <w:lang w:val="en-US"/>
        </w:rPr>
      </w:pPr>
    </w:p>
    <w:p>
      <w:pPr>
        <w:shd w:val="clear"/>
        <w:spacing w:beforeLines="0" w:afterLines="0" w:line="600" w:lineRule="exact"/>
        <w:jc w:val="center"/>
        <w:outlineLvl w:val="0"/>
        <w:rPr>
          <w:rFonts w:hint="eastAsia" w:ascii="黑体" w:hAnsi="黑体" w:eastAsia="黑体"/>
          <w:color w:val="auto"/>
          <w:kern w:val="2"/>
          <w:sz w:val="44"/>
          <w:szCs w:val="24"/>
          <w:highlight w:val="none"/>
          <w:lang w:val="en-US"/>
        </w:rPr>
      </w:pPr>
      <w:bookmarkStart w:id="20" w:name="_Toc7385"/>
    </w:p>
    <w:p>
      <w:pPr>
        <w:shd w:val="clear"/>
        <w:spacing w:beforeLines="0" w:afterLines="0" w:line="600" w:lineRule="exact"/>
        <w:jc w:val="center"/>
        <w:outlineLvl w:val="0"/>
        <w:rPr>
          <w:rFonts w:hint="eastAsia" w:ascii="黑体" w:hAnsi="黑体" w:eastAsia="黑体"/>
          <w:color w:val="auto"/>
          <w:kern w:val="2"/>
          <w:sz w:val="44"/>
          <w:szCs w:val="24"/>
          <w:highlight w:val="none"/>
          <w:lang w:val="en-US"/>
        </w:rPr>
      </w:pPr>
    </w:p>
    <w:p>
      <w:pPr>
        <w:shd w:val="clear"/>
        <w:spacing w:beforeLines="0" w:afterLines="0" w:line="600" w:lineRule="exact"/>
        <w:jc w:val="center"/>
        <w:outlineLvl w:val="0"/>
        <w:rPr>
          <w:rFonts w:hint="eastAsia" w:ascii="黑体" w:hAnsi="黑体" w:eastAsia="黑体"/>
          <w:color w:val="auto"/>
          <w:kern w:val="2"/>
          <w:sz w:val="44"/>
          <w:szCs w:val="24"/>
          <w:highlight w:val="none"/>
          <w:lang w:val="en-US"/>
        </w:rPr>
      </w:pPr>
    </w:p>
    <w:p>
      <w:pPr>
        <w:shd w:val="clear"/>
        <w:spacing w:beforeLines="0" w:afterLines="0" w:line="600" w:lineRule="exact"/>
        <w:jc w:val="center"/>
        <w:outlineLvl w:val="0"/>
        <w:rPr>
          <w:rFonts w:hint="eastAsia" w:ascii="黑体" w:hAnsi="黑体" w:eastAsia="黑体"/>
          <w:color w:val="auto"/>
          <w:kern w:val="2"/>
          <w:sz w:val="44"/>
          <w:szCs w:val="24"/>
          <w:highlight w:val="none"/>
          <w:lang w:val="en-US"/>
        </w:rPr>
      </w:pPr>
    </w:p>
    <w:p>
      <w:pPr>
        <w:shd w:val="clear"/>
        <w:spacing w:beforeLines="0" w:afterLines="0" w:line="600" w:lineRule="exact"/>
        <w:jc w:val="center"/>
        <w:outlineLvl w:val="0"/>
        <w:rPr>
          <w:rFonts w:hint="eastAsia" w:ascii="黑体" w:hAnsi="黑体" w:eastAsia="黑体"/>
          <w:color w:val="auto"/>
          <w:kern w:val="2"/>
          <w:sz w:val="44"/>
          <w:szCs w:val="24"/>
          <w:highlight w:val="none"/>
          <w:lang w:val="en-US"/>
        </w:rPr>
      </w:pPr>
    </w:p>
    <w:p>
      <w:pPr>
        <w:shd w:val="clear"/>
        <w:spacing w:beforeLines="0" w:afterLines="0" w:line="600" w:lineRule="exact"/>
        <w:jc w:val="center"/>
        <w:outlineLvl w:val="0"/>
        <w:rPr>
          <w:rFonts w:hint="eastAsia" w:ascii="黑体" w:hAnsi="黑体" w:eastAsia="黑体"/>
          <w:color w:val="auto"/>
          <w:kern w:val="2"/>
          <w:sz w:val="44"/>
          <w:szCs w:val="24"/>
          <w:highlight w:val="none"/>
          <w:lang w:val="en-US"/>
        </w:rPr>
      </w:pPr>
    </w:p>
    <w:p>
      <w:pPr>
        <w:shd w:val="clear"/>
        <w:spacing w:beforeLines="0" w:afterLines="0" w:line="600" w:lineRule="exact"/>
        <w:jc w:val="center"/>
        <w:outlineLvl w:val="0"/>
        <w:rPr>
          <w:rFonts w:hint="eastAsia" w:ascii="仿宋_GB2312" w:hAnsi="仿宋_GB2312" w:eastAsia="仿宋_GB2312" w:cs="仿宋_GB2312"/>
          <w:b/>
          <w:color w:val="auto"/>
          <w:kern w:val="2"/>
          <w:sz w:val="32"/>
          <w:szCs w:val="32"/>
          <w:highlight w:val="none"/>
          <w:lang w:val="en-US"/>
        </w:rPr>
      </w:pPr>
      <w:bookmarkStart w:id="39" w:name="_GoBack"/>
      <w:bookmarkEnd w:id="39"/>
      <w:r>
        <w:rPr>
          <w:rFonts w:hint="eastAsia" w:ascii="黑体" w:hAnsi="黑体" w:eastAsia="黑体"/>
          <w:color w:val="auto"/>
          <w:kern w:val="2"/>
          <w:sz w:val="44"/>
          <w:szCs w:val="24"/>
          <w:highlight w:val="none"/>
          <w:lang w:val="en-US"/>
        </w:rPr>
        <w:t>第</w:t>
      </w:r>
      <w:r>
        <w:rPr>
          <w:rFonts w:hint="eastAsia" w:ascii="黑体" w:hAnsi="黑体" w:eastAsia="黑体"/>
          <w:color w:val="auto"/>
          <w:kern w:val="44"/>
          <w:sz w:val="44"/>
          <w:szCs w:val="24"/>
          <w:highlight w:val="none"/>
          <w:lang w:val="en-US"/>
        </w:rPr>
        <w:t>四部分附件</w:t>
      </w:r>
      <w:bookmarkEnd w:id="20"/>
    </w:p>
    <w:p>
      <w:pPr>
        <w:keepNext/>
        <w:keepLines/>
        <w:pageBreakBefore w:val="0"/>
        <w:widowControl w:val="0"/>
        <w:shd w:val="clear"/>
        <w:kinsoku/>
        <w:wordWrap/>
        <w:overflowPunct/>
        <w:topLinePunct w:val="0"/>
        <w:bidi w:val="0"/>
        <w:spacing w:beforeLines="0" w:afterLines="0" w:line="600" w:lineRule="exact"/>
        <w:ind w:leftChars="0"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rPr>
        <w:t>2023年</w:t>
      </w:r>
      <w:r>
        <w:rPr>
          <w:rFonts w:hint="eastAsia" w:ascii="黑体" w:hAnsi="黑体" w:eastAsia="黑体" w:cs="黑体"/>
          <w:color w:val="auto"/>
          <w:sz w:val="32"/>
          <w:szCs w:val="32"/>
          <w:highlight w:val="none"/>
          <w:lang w:val="en-US" w:eastAsia="zh-CN"/>
        </w:rPr>
        <w:t>剑阁县人民法院</w:t>
      </w:r>
      <w:r>
        <w:rPr>
          <w:rFonts w:hint="eastAsia" w:ascii="黑体" w:hAnsi="黑体" w:eastAsia="黑体" w:cs="黑体"/>
          <w:color w:val="auto"/>
          <w:sz w:val="32"/>
          <w:szCs w:val="32"/>
          <w:highlight w:val="none"/>
          <w:lang w:val="en-US"/>
        </w:rPr>
        <w:t>整体绩效评价报告</w:t>
      </w:r>
    </w:p>
    <w:p>
      <w:pPr>
        <w:keepNext/>
        <w:keepLines/>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黑体" w:hAnsi="黑体" w:eastAsia="黑体" w:cs="黑体"/>
          <w:color w:val="auto"/>
          <w:kern w:val="2"/>
          <w:sz w:val="32"/>
          <w:szCs w:val="32"/>
          <w:highlight w:val="none"/>
          <w:lang w:val="en-US"/>
        </w:rPr>
      </w:pPr>
    </w:p>
    <w:p>
      <w:pPr>
        <w:keepNext/>
        <w:keepLines/>
        <w:pageBreakBefore w:val="0"/>
        <w:widowControl w:val="0"/>
        <w:shd w:val="clear"/>
        <w:kinsoku/>
        <w:wordWrap/>
        <w:overflowPunct/>
        <w:topLinePunct w:val="0"/>
        <w:bidi w:val="0"/>
        <w:spacing w:beforeLines="0" w:afterLines="0" w:line="600" w:lineRule="exact"/>
        <w:ind w:leftChars="0" w:firstLine="640" w:firstLineChars="200"/>
        <w:jc w:val="both"/>
        <w:textAlignment w:val="auto"/>
        <w:outlineLvl w:val="1"/>
        <w:rPr>
          <w:rFonts w:hint="eastAsia" w:ascii="黑体" w:hAnsi="黑体" w:eastAsia="黑体" w:cs="黑体"/>
          <w:color w:val="auto"/>
          <w:sz w:val="32"/>
          <w:szCs w:val="32"/>
          <w:highlight w:val="none"/>
          <w:lang w:val="zh-CN"/>
        </w:rPr>
      </w:pPr>
      <w:bookmarkStart w:id="21" w:name="_Toc10146"/>
      <w:r>
        <w:rPr>
          <w:rFonts w:hint="eastAsia" w:ascii="黑体" w:hAnsi="黑体" w:eastAsia="黑体" w:cs="黑体"/>
          <w:color w:val="auto"/>
          <w:kern w:val="2"/>
          <w:sz w:val="32"/>
          <w:szCs w:val="32"/>
          <w:highlight w:val="none"/>
          <w:lang w:val="en-US"/>
        </w:rPr>
        <w:t>一、</w:t>
      </w:r>
      <w:r>
        <w:rPr>
          <w:rFonts w:hint="eastAsia" w:ascii="黑体" w:hAnsi="黑体" w:eastAsia="黑体" w:cs="黑体"/>
          <w:color w:val="auto"/>
          <w:sz w:val="32"/>
          <w:szCs w:val="32"/>
          <w:highlight w:val="none"/>
          <w:lang w:val="zh-CN"/>
        </w:rPr>
        <w:t>部门（单位）基本情况</w:t>
      </w:r>
      <w:bookmarkEnd w:id="21"/>
    </w:p>
    <w:p>
      <w:pPr>
        <w:keepNext/>
        <w:keepLines/>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（一）机构组成。</w:t>
      </w:r>
    </w:p>
    <w:p>
      <w:pPr>
        <w:pStyle w:val="2"/>
        <w:pageBreakBefore w:val="0"/>
        <w:widowControl w:val="0"/>
        <w:shd w:val="clear"/>
        <w:kinsoku/>
        <w:wordWrap/>
        <w:overflowPunct/>
        <w:topLinePunct w:val="0"/>
        <w:bidi w:val="0"/>
        <w:spacing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我院有</w:t>
      </w:r>
      <w:r>
        <w:rPr>
          <w:rFonts w:hint="eastAsia" w:ascii="仿宋_GB2312" w:hAnsi="仿宋_GB2312" w:eastAsia="仿宋_GB2312" w:cs="仿宋_GB2312"/>
          <w:color w:val="auto"/>
          <w:sz w:val="32"/>
          <w:szCs w:val="32"/>
          <w:highlight w:val="none"/>
          <w:lang w:val="en-US" w:eastAsia="zh-CN"/>
        </w:rPr>
        <w:t>1</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个部门，</w:t>
      </w:r>
      <w:r>
        <w:rPr>
          <w:rFonts w:hint="eastAsia" w:ascii="仿宋_GB2312" w:hAnsi="仿宋_GB2312" w:eastAsia="仿宋_GB2312" w:cs="仿宋_GB2312"/>
          <w:color w:val="auto"/>
          <w:sz w:val="32"/>
          <w:szCs w:val="32"/>
          <w:highlight w:val="none"/>
          <w:lang w:val="zh-CN"/>
        </w:rPr>
        <w:t>综合办公室、政治部、立案庭、刑事审判庭、民事审判庭、行政审判庭、审判管理办公室、</w:t>
      </w:r>
      <w:r>
        <w:rPr>
          <w:rFonts w:hint="eastAsia" w:hAnsi="仿宋_GB2312" w:cs="仿宋_GB2312"/>
          <w:color w:val="auto"/>
          <w:sz w:val="32"/>
          <w:szCs w:val="32"/>
          <w:highlight w:val="none"/>
          <w:lang w:val="zh-CN"/>
        </w:rPr>
        <w:t>执行局、法警大队、</w:t>
      </w:r>
      <w:r>
        <w:rPr>
          <w:rFonts w:hint="eastAsia" w:ascii="仿宋_GB2312" w:hAnsi="仿宋_GB2312" w:eastAsia="仿宋_GB2312" w:cs="仿宋_GB2312"/>
          <w:color w:val="auto"/>
          <w:sz w:val="32"/>
          <w:szCs w:val="32"/>
          <w:highlight w:val="none"/>
          <w:lang w:val="zh-CN"/>
        </w:rPr>
        <w:t>普安人民法庭、剑门关人民法庭、开封人民法庭、白龙人民法庭、鹤龄人民法庭。</w:t>
      </w:r>
    </w:p>
    <w:p>
      <w:pPr>
        <w:pStyle w:val="2"/>
        <w:pageBreakBefore w:val="0"/>
        <w:widowControl w:val="0"/>
        <w:shd w:val="clear"/>
        <w:kinsoku/>
        <w:wordWrap/>
        <w:overflowPunct/>
        <w:topLinePunct w:val="0"/>
        <w:bidi w:val="0"/>
        <w:spacing w:afterLines="0" w:line="600" w:lineRule="exact"/>
        <w:ind w:leftChars="0" w:firstLine="640" w:firstLineChars="200"/>
        <w:jc w:val="both"/>
        <w:textAlignment w:val="auto"/>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（二）机构职能和人员概况。</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剑阁县人民法院是国家审判机关，对剑阁县人民代表大会及其常务委员会负责并报告工作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其主要职</w:t>
      </w:r>
      <w:r>
        <w:rPr>
          <w:rFonts w:hint="eastAsia" w:ascii="仿宋_GB2312" w:hAnsi="仿宋_GB2312" w:eastAsia="仿宋_GB2312" w:cs="仿宋_GB2312"/>
          <w:color w:val="auto"/>
          <w:sz w:val="32"/>
          <w:szCs w:val="32"/>
          <w:highlight w:val="none"/>
          <w:lang w:eastAsia="zh-CN"/>
        </w:rPr>
        <w:t>能</w:t>
      </w:r>
      <w:r>
        <w:rPr>
          <w:rFonts w:hint="eastAsia" w:ascii="仿宋_GB2312" w:hAnsi="仿宋_GB2312" w:eastAsia="仿宋_GB2312" w:cs="仿宋_GB2312"/>
          <w:color w:val="auto"/>
          <w:sz w:val="32"/>
          <w:szCs w:val="32"/>
          <w:highlight w:val="none"/>
        </w:rPr>
        <w:t>是：</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1、依法审判法律规定由基层人民法院管辖的刑事、民事、行政等一审案件。</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2、审理上级人民法院指令再审和本院按审判监督程序进行再审的案件以及本院管辖的各类申诉案件。</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3、依法审判二审法院发回重审和本院管辖的由人民检察院提出的抗诉案件。</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4、依法审判上级法院指令管辖的各类案件。</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5、负责管理全县各人民法庭的审判工作。</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6、依法行使司法执行权和司法决定权。</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7、对案件审理中发现的问题提出司法建议。</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8、对本院的法官和其他工作人员进行思想教育，组织专业培训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按规定管理应属于本院管理的人员和业务。</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9、管理本院的有关经费和各类物资装备。</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10、通过审判工作宣传法制，教育公民忠于社会主义祖国、自觉遵守宪法、法律和社会公德。参与社会治安综合治理工作。</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11、负责本院监察工作。</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12、承办其他应由本院负责的工作</w:t>
      </w:r>
    </w:p>
    <w:p>
      <w:pPr>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（三）年度主要工作任务。</w:t>
      </w:r>
    </w:p>
    <w:p>
      <w:pPr>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）打造法治高地，全力护航经济社会高质量发展</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坚持心存大局、融入大局，以新发展理念引领审判工作，发挥法治固根本、稳预期、利长远的保障作用，为经济社会发展提供有力的司法保障。</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强力优化法治化营商环境。围绕“打造最优营商环境”目标，依法严厉打击破坏市场经济秩序犯罪，审理案件5件。加强涉企案件审理，审结金融借款、建设工程、买卖、租赁等合同纠纷1615件，有效保护市场交易安全。其中审结涉民营企业案件951件，依法平等保护民营企业合法权益。持续推进四川兴能新材料、四川剑兴锂电池、四川恒昊房地产3个破产案件的办理，在资产拍卖处置过程中，有效兼顾全县产业发展、招商引资工作，维护社会稳定有序。设立民营企业快审快执“绿色通道”，为民营企业诉讼提供更加优质的司法服务。开展“法官进行业”专项活动，全覆盖走访全县商会，深入120余家民营企业调研，提供法律咨询500余次，有效提高企业依法治企能力。始终遵循善意文明执行理念，刚柔并济，审慎适用强制措施，善用“活封”手段，最大程度减少执行对企业的影响，及时为企业解困纾困。</w:t>
      </w:r>
    </w:p>
    <w:p>
      <w:pPr>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护航</w:t>
      </w:r>
      <w:r>
        <w:rPr>
          <w:rFonts w:hint="eastAsia" w:ascii="仿宋_GB2312" w:hAnsi="仿宋_GB2312" w:eastAsia="仿宋_GB2312" w:cs="仿宋_GB2312"/>
          <w:color w:val="auto"/>
          <w:sz w:val="32"/>
          <w:szCs w:val="32"/>
          <w:highlight w:val="none"/>
          <w:lang w:eastAsia="zh-CN"/>
        </w:rPr>
        <w:t>剑阁生态环境。</w:t>
      </w:r>
      <w:r>
        <w:rPr>
          <w:rFonts w:hint="eastAsia" w:ascii="仿宋_GB2312" w:hAnsi="仿宋_GB2312" w:eastAsia="仿宋_GB2312" w:cs="仿宋_GB2312"/>
          <w:color w:val="auto"/>
          <w:sz w:val="32"/>
          <w:szCs w:val="32"/>
          <w:highlight w:val="none"/>
        </w:rPr>
        <w:t>深入践行“两山”理念，打好蓝天碧水净土保卫战，严肃追究破坏生态环境法律责任，审结滥伐林木、非法捕猎等破坏环境资源案件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6件</w:t>
      </w:r>
      <w:r>
        <w:rPr>
          <w:rFonts w:hint="eastAsia" w:ascii="仿宋_GB2312" w:hAnsi="仿宋_GB2312" w:eastAsia="仿宋_GB2312" w:cs="仿宋_GB2312"/>
          <w:color w:val="auto"/>
          <w:sz w:val="32"/>
          <w:szCs w:val="32"/>
          <w:highlight w:val="none"/>
        </w:rPr>
        <w:t>。创新环资审判模式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首次适用七人合议庭审理环资类案件，</w:t>
      </w:r>
      <w:r>
        <w:rPr>
          <w:rFonts w:hint="eastAsia" w:ascii="仿宋_GB2312" w:hAnsi="仿宋_GB2312" w:eastAsia="仿宋_GB2312" w:cs="仿宋_GB2312"/>
          <w:color w:val="auto"/>
          <w:sz w:val="32"/>
          <w:szCs w:val="32"/>
          <w:highlight w:val="none"/>
          <w:lang w:eastAsia="zh-CN"/>
        </w:rPr>
        <w:t>探索</w:t>
      </w:r>
      <w:r>
        <w:rPr>
          <w:rFonts w:hint="eastAsia" w:ascii="仿宋_GB2312" w:hAnsi="仿宋_GB2312" w:eastAsia="仿宋_GB2312" w:cs="仿宋_GB2312"/>
          <w:color w:val="auto"/>
          <w:sz w:val="32"/>
          <w:szCs w:val="32"/>
          <w:highlight w:val="none"/>
        </w:rPr>
        <w:t>以劳代偿的方式审结刑附民公益诉讼案件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持续发挥“驿道古柏保护司法服务站”作用，加大古柏保护力度，组织干警开展值班巡视</w:t>
      </w:r>
      <w:r>
        <w:rPr>
          <w:rFonts w:hint="eastAsia" w:ascii="仿宋_GB2312" w:hAnsi="仿宋_GB2312" w:eastAsia="仿宋_GB2312" w:cs="仿宋_GB2312"/>
          <w:color w:val="auto"/>
          <w:sz w:val="32"/>
          <w:szCs w:val="32"/>
          <w:highlight w:val="none"/>
          <w:lang w:val="en-US" w:eastAsia="zh-CN"/>
        </w:rPr>
        <w:t>30余</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，发放宣传资料</w:t>
      </w:r>
      <w:r>
        <w:rPr>
          <w:rFonts w:hint="eastAsia" w:ascii="仿宋_GB2312" w:hAnsi="仿宋_GB2312" w:eastAsia="仿宋_GB2312" w:cs="仿宋_GB2312"/>
          <w:color w:val="auto"/>
          <w:sz w:val="32"/>
          <w:szCs w:val="32"/>
          <w:highlight w:val="none"/>
          <w:lang w:val="en-US" w:eastAsia="zh-CN"/>
        </w:rPr>
        <w:t>400余份</w:t>
      </w:r>
      <w:r>
        <w:rPr>
          <w:rFonts w:hint="eastAsia" w:ascii="仿宋_GB2312" w:hAnsi="仿宋_GB2312" w:eastAsia="仿宋_GB2312" w:cs="仿宋_GB2312"/>
          <w:color w:val="auto"/>
          <w:sz w:val="32"/>
          <w:szCs w:val="32"/>
          <w:highlight w:val="none"/>
        </w:rPr>
        <w:t>。充分</w:t>
      </w:r>
      <w:r>
        <w:rPr>
          <w:rFonts w:hint="eastAsia" w:ascii="仿宋_GB2312" w:hAnsi="仿宋_GB2312" w:eastAsia="仿宋_GB2312" w:cs="仿宋_GB2312"/>
          <w:color w:val="auto"/>
          <w:sz w:val="32"/>
          <w:szCs w:val="32"/>
          <w:highlight w:val="none"/>
          <w:lang w:eastAsia="zh-CN"/>
        </w:rPr>
        <w:t>利用</w:t>
      </w:r>
      <w:r>
        <w:rPr>
          <w:rFonts w:hint="eastAsia" w:ascii="仿宋_GB2312" w:hAnsi="仿宋_GB2312" w:eastAsia="仿宋_GB2312" w:cs="仿宋_GB2312"/>
          <w:color w:val="auto"/>
          <w:sz w:val="32"/>
          <w:szCs w:val="32"/>
          <w:highlight w:val="none"/>
        </w:rPr>
        <w:t>“剑阁县生态恢复教育实践基地”，补植复绿各类苗木一万余株</w:t>
      </w:r>
      <w:r>
        <w:rPr>
          <w:rFonts w:hint="eastAsia" w:ascii="仿宋_GB2312" w:hAnsi="仿宋_GB2312" w:eastAsia="仿宋_GB2312" w:cs="仿宋_GB2312"/>
          <w:color w:val="auto"/>
          <w:sz w:val="32"/>
          <w:szCs w:val="32"/>
          <w:highlight w:val="none"/>
          <w:lang w:eastAsia="zh-CN"/>
        </w:rPr>
        <w:t>。在亭子口设立“增殖放流”点，保护嘉陵江流域生态系统多样性。</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eastAsia="zh-CN"/>
        </w:rPr>
        <w:t>剑阁法院被确定为全省法院环资审判全市唯一联系点，</w:t>
      </w:r>
      <w:r>
        <w:rPr>
          <w:rFonts w:hint="eastAsia" w:ascii="仿宋_GB2312" w:hAnsi="仿宋_GB2312" w:eastAsia="仿宋_GB2312" w:cs="仿宋_GB2312"/>
          <w:color w:val="auto"/>
          <w:sz w:val="32"/>
          <w:szCs w:val="32"/>
          <w:highlight w:val="none"/>
        </w:rPr>
        <w:t>在“服务双碳经济”</w:t>
      </w:r>
      <w:r>
        <w:rPr>
          <w:rFonts w:hint="eastAsia" w:ascii="仿宋_GB2312" w:hAnsi="仿宋_GB2312" w:eastAsia="仿宋_GB2312" w:cs="仿宋_GB2312"/>
          <w:color w:val="auto"/>
          <w:kern w:val="2"/>
          <w:sz w:val="32"/>
          <w:szCs w:val="32"/>
          <w:highlight w:val="none"/>
          <w:lang w:val="en-US" w:eastAsia="zh-CN" w:bidi="ar-SA"/>
        </w:rPr>
        <w:t>专项联络</w:t>
      </w:r>
      <w:r>
        <w:rPr>
          <w:rFonts w:hint="eastAsia" w:ascii="仿宋_GB2312" w:hAnsi="仿宋_GB2312" w:eastAsia="仿宋_GB2312" w:cs="仿宋_GB2312"/>
          <w:color w:val="auto"/>
          <w:sz w:val="32"/>
          <w:szCs w:val="32"/>
          <w:highlight w:val="none"/>
        </w:rPr>
        <w:t>活动中，获得</w:t>
      </w:r>
      <w:r>
        <w:rPr>
          <w:rFonts w:hint="eastAsia" w:ascii="仿宋_GB2312" w:hAnsi="仿宋_GB2312" w:eastAsia="仿宋_GB2312" w:cs="仿宋_GB2312"/>
          <w:color w:val="auto"/>
          <w:sz w:val="32"/>
          <w:szCs w:val="32"/>
          <w:highlight w:val="none"/>
          <w:lang w:eastAsia="zh-CN"/>
        </w:rPr>
        <w:t>省高院</w:t>
      </w:r>
      <w:r>
        <w:rPr>
          <w:rFonts w:hint="eastAsia" w:ascii="仿宋_GB2312" w:hAnsi="仿宋_GB2312" w:eastAsia="仿宋_GB2312" w:cs="仿宋_GB2312"/>
          <w:color w:val="auto"/>
          <w:sz w:val="32"/>
          <w:szCs w:val="32"/>
          <w:highlight w:val="none"/>
        </w:rPr>
        <w:t>王树江院长以及代表委员一致点赞</w:t>
      </w:r>
      <w:r>
        <w:rPr>
          <w:rFonts w:hint="eastAsia" w:ascii="仿宋_GB2312" w:hAnsi="仿宋_GB2312" w:eastAsia="仿宋_GB2312" w:cs="仿宋_GB2312"/>
          <w:color w:val="auto"/>
          <w:sz w:val="32"/>
          <w:szCs w:val="32"/>
          <w:highlight w:val="none"/>
          <w:lang w:eastAsia="zh-CN"/>
        </w:rPr>
        <w:t>。</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t>高效应对疫情防控复杂环境。面对抗疫以来最复杂、最严峻的考验，县法院积极主动响应县委号召，迅速投入疫情防控阻击战，组织干警成立“共产党员突击队”，68名干警主动下沉社区驰援一线，开展卡点值守、入户排查、隔离服务、核酸采样等防控工作。积极为临时接驳点、方仓医院建设协调场地，有效缓解防疫资源压力。在疫情期间，网上立案、线上开庭等诉讼服务不停歇，实现公平正义不打烊。</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精准营造乡村振兴法治环境。</w:t>
      </w:r>
      <w:r>
        <w:rPr>
          <w:rFonts w:hint="eastAsia" w:ascii="仿宋_GB2312" w:hAnsi="仿宋_GB2312" w:eastAsia="仿宋_GB2312" w:cs="仿宋_GB2312"/>
          <w:color w:val="auto"/>
          <w:sz w:val="32"/>
          <w:szCs w:val="32"/>
          <w:highlight w:val="none"/>
        </w:rPr>
        <w:t>主动融入乡村振兴大局，与县委中心工作同频共振，审结涉农村土地承包、农村宅基地“三权分置”、耕地保护等纠纷16件。6名干警全脱产驻村，全力参与挂联村社乡村振兴工作，协助村社争取产业发展和实施项目4个，协调资金249万元，实现巩固拓展脱贫攻坚成果同乡村振兴有效衔接，为争创全省乡村振兴先进县贡献力量。</w:t>
      </w:r>
    </w:p>
    <w:p>
      <w:pPr>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）筑牢安全基石</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有效助推平安剑阁法治剑阁建设</w:t>
      </w:r>
    </w:p>
    <w:p>
      <w:pPr>
        <w:pStyle w:val="13"/>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坚决捍卫人民群众生命财产安全，努力保障社会安定有序、人民安居乐业。</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坚决维护社会安全稳定。认真落实总体国家安全观，审结刑事案件140件，判处罪犯243人，判处罚金1300万元，追缴违法所得3500万元。严厉打击“两抢一盗”，严惩抢劫、强奸、放火、伤害等严重暴力犯罪，审结案件85件102人，维护社会安定人民安宁。扎实开展禁毒、扫黄打非等专项行动，审结案件8件10人，切实维护社会管理秩序。严惩严重危害人民群众“两个安全”犯罪，审结案件52件，守护人民群众“舌尖上的安全”和“道路上的安全”。依法严惩侵害未成年人犯罪5件7人，加强未成年人司法保护。始终保持惩治腐败高压态势，审理贪污、贿赂等职务犯罪4件，主动邀请全县公职人员参加旁听接受警示教育300余人次。坚持宽严相济刑事司法政策，切实加强人权保障。2022年被表彰为“全省法院党的二十大信访维稳安保工作先进集体”。</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严惩黑恶势力和电信网络诈骗犯罪。健全常态化扫黑除恶机制，防止黑恶势力“死灰复燃”，加快案件清结，依法从重打击了曹天军等19人、李红谅等14人在社会有恶劣影响的黑恶势力，最高判处有期徒刑18年6个月，重刑率达46%。纵深推进“黑财清底”专项执行，执行到位财产99万元，切实维护人民群众生命财产安全。严厉打击“杀猪盘”“兼职刷单”、网络赌博等电信网络诈骗，积极参与“断卡”行动，从严从快审结苏某玲等31人、蒲某明等14人帮助信息网络犯罪案，绝不让网络空间成为法外之地。2022年被表彰为“全市扫黑除恶工作先进集体”，1人被评为“全市扫黑除恶工作先进个人”。</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力助推法治政府建设。监督支持依法行政，审结行政案件83件。采取“审前沟通、审中协调、审后疏导”工作模式，促成行政争议实质性化解，协调化解案件5件,有效化解“官民”矛盾。完善行政机关负责人出庭应诉制度，行政机关负责人出庭应诉率达100%，有效解决“告官不见官”现象。坚持良性互动，构建与政府、司法行政等部门的联席会议机制，定期会商和通报，为县委中心工作提供法律参考，促进司法与行政良性互动。及时发布年度行政案件司法审查报告，主动到行政机关开展行政专题讲座3次，发出司法建议16份，邀请行政机关代表旁听庭审200余人次，促进行政机关提升依法行政水平。在明镜砖厂案中，行政机关主动履行土地复垦监管职责，加快土地复绿，该案入选全省法院十大典型案例，被省高院评为2022年优秀庭审。</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（3）坚持人民至上，努力回应人民群众司法期待</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始终牢记“江山就是人民，人民就是江山”，用司法呵护民生福祉，以法治保障群众美好生活。</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积极回应民生诉求。准</w:t>
      </w:r>
      <w:r>
        <w:rPr>
          <w:rFonts w:hint="eastAsia" w:ascii="仿宋_GB2312" w:hAnsi="仿宋_GB2312" w:eastAsia="仿宋_GB2312" w:cs="仿宋_GB2312"/>
          <w:color w:val="auto"/>
          <w:spacing w:val="-6"/>
          <w:kern w:val="2"/>
          <w:sz w:val="32"/>
          <w:szCs w:val="32"/>
          <w:highlight w:val="none"/>
        </w:rPr>
        <w:t>确适用《民法典》，切实保障民生权益，</w:t>
      </w:r>
      <w:r>
        <w:rPr>
          <w:rFonts w:hint="eastAsia" w:ascii="仿宋_GB2312" w:hAnsi="仿宋_GB2312" w:eastAsia="仿宋_GB2312" w:cs="仿宋_GB2312"/>
          <w:color w:val="auto"/>
          <w:sz w:val="32"/>
          <w:szCs w:val="32"/>
          <w:highlight w:val="none"/>
        </w:rPr>
        <w:t>审结各类民商事案件2923件，依法保护合法权益。</w:t>
      </w:r>
      <w:r>
        <w:rPr>
          <w:rFonts w:hint="eastAsia" w:ascii="仿宋_GB2312" w:hAnsi="仿宋_GB2312" w:eastAsia="仿宋_GB2312" w:cs="仿宋_GB2312"/>
          <w:color w:val="auto"/>
          <w:spacing w:val="-6"/>
          <w:kern w:val="2"/>
          <w:sz w:val="32"/>
          <w:szCs w:val="32"/>
          <w:highlight w:val="none"/>
        </w:rPr>
        <w:t>审结涉教育、医疗、餐饮、消费者权益保护、交通事故等民生案件468件，解决人民群众的急难愁盼。</w:t>
      </w:r>
      <w:r>
        <w:rPr>
          <w:rFonts w:hint="eastAsia" w:ascii="仿宋_GB2312" w:hAnsi="仿宋_GB2312" w:eastAsia="仿宋_GB2312" w:cs="仿宋_GB2312"/>
          <w:color w:val="auto"/>
          <w:sz w:val="32"/>
          <w:szCs w:val="32"/>
          <w:highlight w:val="none"/>
        </w:rPr>
        <w:t>依法审结劳动争议、劳务合同等纠纷案件33件，切实维护劳动者合法权益。深化家事审判方式改革，妥善审结抚养、赡养、离婚等家事纠纷917件，把社会主义核心价值观融入裁判说理，引领社会良好风尚，实现“法结”“心结”同解。坚持“调解优先”原则，民商事案件调撤结案1787件，调撤率达61.1%，努力实现案结事了。强化妇女儿童、老年人权益保护，开展妇女儿童保护、养老诈骗等法律宣讲27场次。</w:t>
      </w:r>
      <w:r>
        <w:rPr>
          <w:rFonts w:hint="eastAsia" w:ascii="仿宋_GB2312" w:hAnsi="仿宋_GB2312" w:eastAsia="仿宋_GB2312" w:cs="仿宋_GB2312"/>
          <w:color w:val="auto"/>
          <w:spacing w:val="-6"/>
          <w:kern w:val="2"/>
          <w:sz w:val="32"/>
          <w:szCs w:val="32"/>
          <w:highlight w:val="none"/>
        </w:rPr>
        <w:t>依法落实司法救助，为困难当事人缓、减、免诉讼费30.36万元，发放司法救助金28.4万元，如对双目失明、生活不能自理的刘某某及时进行司法救助，传递司法温暖，彰显人文关怀。</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及时兑现胜诉权益。以咬定青山不放松的韧劲，持续深入破解“执行难”问题，彰显司法力度。全年受理各类执行案件1614件，执结1612件，执行到位金额4.15亿元。</w:t>
      </w:r>
      <w:r>
        <w:rPr>
          <w:rFonts w:hint="eastAsia" w:ascii="仿宋_GB2312" w:hAnsi="仿宋_GB2312" w:eastAsia="仿宋_GB2312" w:cs="仿宋_GB2312"/>
          <w:color w:val="auto"/>
          <w:spacing w:val="-6"/>
          <w:sz w:val="32"/>
          <w:szCs w:val="32"/>
          <w:highlight w:val="none"/>
        </w:rPr>
        <w:t>健全完善执行运行机制，配强执行力量，以“三统一”为抓手，推动“执行指挥中心实质化”运行。</w:t>
      </w:r>
      <w:r>
        <w:rPr>
          <w:rFonts w:hint="eastAsia" w:ascii="仿宋_GB2312" w:hAnsi="仿宋_GB2312" w:eastAsia="仿宋_GB2312" w:cs="仿宋_GB2312"/>
          <w:color w:val="auto"/>
          <w:sz w:val="32"/>
          <w:szCs w:val="32"/>
          <w:highlight w:val="none"/>
        </w:rPr>
        <w:t>坚持精准攻坚，常态化开展涉民生、涉民营企业专项执行活动，集中排查解决“腾房难”“讨薪难”等群众关切问题20余次，成功腾退王某某租占房屋5年拒不搬离一案，破除实现公平正义的最后一道藩篱，切实维护司法权威。加大拒执打击力度，以拒执罪判处案件2起，司法拘留35人，移送犯罪线索3条，努力将“纸上”胜诉权益兑现为“账上”真金白银。加大失信联合惩戒力度，助推社会诚信体系建设，对1005人限制高消费，将589名被执行人纳入失信名单，</w:t>
      </w:r>
      <w:r>
        <w:rPr>
          <w:rFonts w:hint="eastAsia" w:ascii="仿宋_GB2312" w:hAnsi="仿宋_GB2312" w:eastAsia="仿宋_GB2312" w:cs="仿宋_GB2312"/>
          <w:color w:val="auto"/>
          <w:spacing w:val="6"/>
          <w:sz w:val="32"/>
          <w:szCs w:val="32"/>
          <w:highlight w:val="none"/>
        </w:rPr>
        <w:t>逐步实现“一处失信、处处受限”的联合惩戒目标。</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切实提升诉讼服务水平。不断深化“一站式”诉讼服务体系建设，实现网上立案、跨域立案、诉前调解等网上诉讼服务一站式办理。依托网上诉讼服务平台，全面推行“非接触式”诉讼服务，网上立案3066件。全面整合窗口、微法院、12368热线等司法资源，开展“云解纷”“云审判”，网上开庭278件，网上调解1716件，努力实现“让数据多跑路，让群众少跑腿”，打通司法服务最后一公里。深度融入参与社会治理，开展巡回审判876场，诉前调解纠纷2611件，判后回访、判后答疑1000余次，服务水平不断提高，人民群众获得感满意度持续增强。</w:t>
      </w:r>
    </w:p>
    <w:p>
      <w:pPr>
        <w:pageBreakBefore w:val="0"/>
        <w:widowControl w:val="0"/>
        <w:numPr>
          <w:ilvl w:val="0"/>
          <w:numId w:val="0"/>
        </w:numPr>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（4）深化改革驱动，着力推进审判体系审判能力现代化</w:t>
      </w:r>
    </w:p>
    <w:p>
      <w:pPr>
        <w:pStyle w:val="13"/>
        <w:pageBreakBefore w:val="0"/>
        <w:widowControl w:val="0"/>
        <w:numPr>
          <w:ilvl w:val="0"/>
          <w:numId w:val="0"/>
        </w:numPr>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始终把司法体制改革作为内生动力，坚持体制改革与科技创新双轮驱动，不断提升司法公信力。</w:t>
      </w:r>
    </w:p>
    <w:p>
      <w:pPr>
        <w:pStyle w:val="13"/>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深化司法责任制改革。</w:t>
      </w:r>
      <w:r>
        <w:rPr>
          <w:rFonts w:hint="eastAsia" w:ascii="仿宋_GB2312" w:hAnsi="仿宋_GB2312" w:eastAsia="仿宋_GB2312" w:cs="仿宋_GB2312"/>
          <w:color w:val="auto"/>
          <w:sz w:val="32"/>
          <w:szCs w:val="32"/>
          <w:highlight w:val="none"/>
          <w:lang w:val="en-US" w:eastAsia="zh-CN"/>
        </w:rPr>
        <w:t>严格落实人员分类管理办法，合理调配岗位。常态化开展员额法官遴选、退出工作，有序退出3名，遴选3名青年法官到法庭，不断推动优质审判力量向一线倾斜。积极响应四级法院审级职能定位改革试点工作，加大改革配套措施建设。健全法官专业会议、审判委员会内部监督管理机制，建立责权分明的案件监管体系，实现“让审理者裁判，由裁判者负责”。深入落实院庭长办案责任制，全年院庭长办理重大、疑难、复杂、新类型案件2526件。</w:t>
      </w:r>
    </w:p>
    <w:p>
      <w:pPr>
        <w:pStyle w:val="13"/>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拓展智慧法院建设成果。</w:t>
      </w:r>
      <w:r>
        <w:rPr>
          <w:rFonts w:hint="eastAsia" w:ascii="仿宋_GB2312" w:hAnsi="仿宋_GB2312" w:eastAsia="仿宋_GB2312" w:cs="仿宋_GB2312"/>
          <w:color w:val="auto"/>
          <w:sz w:val="32"/>
          <w:szCs w:val="32"/>
          <w:highlight w:val="none"/>
          <w:lang w:val="en-US" w:eastAsia="zh-CN"/>
        </w:rPr>
        <w:t>不断加强基层基础建设，实现科技审判法庭全覆盖，法院新建审判法庭大楼主体现已完工。持续做好两项改革“后半篇”文章，统筹资源配置，优化人民法庭布局，大力推行“一镇一法官制度”,在全县29个乡镇建立法官诉讼服务工作站，打造“1小时诉讼服务圈”，不断满足人民群众多元司法需求。坚持司法改革与信息化建设深度融合，推行</w:t>
      </w:r>
      <w:r>
        <w:rPr>
          <w:rFonts w:hint="eastAsia" w:ascii="仿宋_GB2312" w:hAnsi="仿宋_GB2312" w:eastAsia="仿宋_GB2312" w:cs="仿宋_GB2312"/>
          <w:color w:val="auto"/>
          <w:sz w:val="32"/>
          <w:szCs w:val="32"/>
          <w:highlight w:val="none"/>
          <w:lang w:eastAsia="zh-CN"/>
        </w:rPr>
        <w:t>“智慧送达”提升送达效率，完成电子送达</w:t>
      </w:r>
      <w:r>
        <w:rPr>
          <w:rFonts w:hint="eastAsia" w:ascii="仿宋_GB2312" w:hAnsi="仿宋_GB2312" w:eastAsia="仿宋_GB2312" w:cs="仿宋_GB2312"/>
          <w:color w:val="auto"/>
          <w:sz w:val="32"/>
          <w:szCs w:val="32"/>
          <w:highlight w:val="none"/>
          <w:lang w:val="en-US" w:eastAsia="zh-CN"/>
        </w:rPr>
        <w:t>1.2万</w:t>
      </w:r>
      <w:r>
        <w:rPr>
          <w:rFonts w:hint="eastAsia" w:ascii="仿宋_GB2312" w:hAnsi="仿宋_GB2312" w:eastAsia="仿宋_GB2312" w:cs="仿宋_GB2312"/>
          <w:color w:val="auto"/>
          <w:sz w:val="32"/>
          <w:szCs w:val="32"/>
          <w:highlight w:val="none"/>
          <w:lang w:eastAsia="zh-CN"/>
        </w:rPr>
        <w:t>次，送达案件</w:t>
      </w:r>
      <w:r>
        <w:rPr>
          <w:rFonts w:hint="eastAsia" w:ascii="仿宋_GB2312" w:hAnsi="仿宋_GB2312" w:eastAsia="仿宋_GB2312" w:cs="仿宋_GB2312"/>
          <w:color w:val="auto"/>
          <w:sz w:val="32"/>
          <w:szCs w:val="32"/>
          <w:highlight w:val="none"/>
          <w:lang w:val="en-US" w:eastAsia="zh-CN"/>
        </w:rPr>
        <w:t>2178件。</w:t>
      </w:r>
      <w:r>
        <w:rPr>
          <w:rFonts w:hint="eastAsia" w:ascii="仿宋_GB2312" w:hAnsi="仿宋_GB2312" w:eastAsia="仿宋_GB2312" w:cs="仿宋_GB2312"/>
          <w:color w:val="auto"/>
          <w:sz w:val="32"/>
          <w:szCs w:val="32"/>
          <w:highlight w:val="none"/>
          <w:lang w:eastAsia="zh-CN"/>
        </w:rPr>
        <w:t>全面推进审判流程、裁判文书、执行信息、庭审直播等四大平台运用，坚持公开为原则，不公开为例外，审判执行流程信息公开率100%，通过互联网直播庭审118</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场，直播率</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%，上网裁判文书31</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lang w:eastAsia="zh-CN"/>
        </w:rPr>
        <w:t>份，上网率100%，逐步实现审判能力现代化。</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eastAsia="zh-CN"/>
        </w:rPr>
        <w:t>被省法院评选为“全省法庭优化布局先进集体”“</w:t>
      </w:r>
      <w:r>
        <w:rPr>
          <w:rFonts w:hint="eastAsia" w:ascii="仿宋_GB2312" w:hAnsi="仿宋_GB2312" w:eastAsia="仿宋_GB2312" w:cs="仿宋_GB2312"/>
          <w:color w:val="auto"/>
          <w:kern w:val="2"/>
          <w:sz w:val="32"/>
          <w:szCs w:val="32"/>
          <w:highlight w:val="none"/>
          <w:lang w:val="en-US" w:eastAsia="zh-CN" w:bidi="ar-SA"/>
        </w:rPr>
        <w:t>全省法院司法技术工作先进集体</w:t>
      </w:r>
      <w:r>
        <w:rPr>
          <w:rFonts w:hint="eastAsia" w:ascii="仿宋_GB2312" w:hAnsi="仿宋_GB2312" w:eastAsia="仿宋_GB2312" w:cs="仿宋_GB2312"/>
          <w:color w:val="auto"/>
          <w:sz w:val="32"/>
          <w:szCs w:val="32"/>
          <w:highlight w:val="none"/>
          <w:lang w:eastAsia="zh-CN"/>
        </w:rPr>
        <w:t>”。</w:t>
      </w:r>
    </w:p>
    <w:p>
      <w:pPr>
        <w:pStyle w:val="13"/>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加强审判监督管理。</w:t>
      </w:r>
      <w:r>
        <w:rPr>
          <w:rFonts w:hint="eastAsia" w:ascii="仿宋_GB2312" w:hAnsi="仿宋_GB2312" w:eastAsia="仿宋_GB2312" w:cs="仿宋_GB2312"/>
          <w:color w:val="auto"/>
          <w:sz w:val="32"/>
          <w:szCs w:val="32"/>
          <w:highlight w:val="none"/>
          <w:lang w:val="en-US" w:eastAsia="zh-CN"/>
        </w:rPr>
        <w:t>细化落实院庭长审判监督管理权责清单，实现有序放权与有效监管统一。</w:t>
      </w:r>
      <w:r>
        <w:rPr>
          <w:rFonts w:hint="eastAsia" w:ascii="仿宋_GB2312" w:hAnsi="仿宋_GB2312" w:eastAsia="仿宋_GB2312" w:cs="仿宋_GB2312"/>
          <w:color w:val="auto"/>
          <w:sz w:val="32"/>
          <w:szCs w:val="32"/>
          <w:highlight w:val="none"/>
        </w:rPr>
        <w:t>深化“四类案件”监督管理，全年纳入监管案件</w:t>
      </w:r>
      <w:r>
        <w:rPr>
          <w:rFonts w:hint="eastAsia" w:ascii="仿宋_GB2312" w:hAnsi="仿宋_GB2312" w:eastAsia="仿宋_GB2312" w:cs="仿宋_GB2312"/>
          <w:color w:val="auto"/>
          <w:sz w:val="32"/>
          <w:szCs w:val="32"/>
          <w:highlight w:val="none"/>
          <w:lang w:val="en-US" w:eastAsia="zh-CN"/>
        </w:rPr>
        <w:t>172</w:t>
      </w:r>
      <w:r>
        <w:rPr>
          <w:rFonts w:hint="eastAsia" w:ascii="仿宋_GB2312" w:hAnsi="仿宋_GB2312" w:eastAsia="仿宋_GB2312" w:cs="仿宋_GB2312"/>
          <w:color w:val="auto"/>
          <w:sz w:val="32"/>
          <w:szCs w:val="32"/>
          <w:highlight w:val="none"/>
        </w:rPr>
        <w:t>件，确保督促全程，监管留痕</w:t>
      </w:r>
      <w:r>
        <w:rPr>
          <w:rFonts w:hint="eastAsia" w:ascii="仿宋_GB2312" w:hAnsi="仿宋_GB2312" w:eastAsia="仿宋_GB2312" w:cs="仿宋_GB2312"/>
          <w:color w:val="auto"/>
          <w:sz w:val="32"/>
          <w:szCs w:val="32"/>
          <w:highlight w:val="none"/>
          <w:lang w:eastAsia="zh-CN"/>
        </w:rPr>
        <w:t>。坚决杜绝关系案、人情案、金钱案，实现“放权不放任，监管不缺位”。</w:t>
      </w:r>
      <w:r>
        <w:rPr>
          <w:rFonts w:hint="eastAsia" w:ascii="仿宋_GB2312" w:hAnsi="仿宋_GB2312" w:eastAsia="仿宋_GB2312" w:cs="仿宋_GB2312"/>
          <w:color w:val="auto"/>
          <w:sz w:val="32"/>
          <w:szCs w:val="32"/>
          <w:highlight w:val="none"/>
        </w:rPr>
        <w:t>深化案件“三评查”工作，评查案件</w:t>
      </w:r>
      <w:r>
        <w:rPr>
          <w:rFonts w:hint="eastAsia" w:ascii="仿宋_GB2312" w:hAnsi="仿宋_GB2312" w:eastAsia="仿宋_GB2312" w:cs="仿宋_GB2312"/>
          <w:color w:val="auto"/>
          <w:sz w:val="32"/>
          <w:szCs w:val="32"/>
          <w:highlight w:val="none"/>
          <w:lang w:val="en-US" w:eastAsia="zh-CN"/>
        </w:rPr>
        <w:t>1419</w:t>
      </w:r>
      <w:r>
        <w:rPr>
          <w:rFonts w:hint="eastAsia" w:ascii="仿宋_GB2312" w:hAnsi="仿宋_GB2312" w:eastAsia="仿宋_GB2312" w:cs="仿宋_GB2312"/>
          <w:color w:val="auto"/>
          <w:sz w:val="32"/>
          <w:szCs w:val="32"/>
          <w:highlight w:val="none"/>
        </w:rPr>
        <w:t>件，占受理案件的</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推行类案与关联案件强制检索，</w:t>
      </w:r>
      <w:r>
        <w:rPr>
          <w:rFonts w:hint="eastAsia" w:ascii="仿宋_GB2312" w:hAnsi="仿宋_GB2312" w:eastAsia="仿宋_GB2312" w:cs="仿宋_GB2312"/>
          <w:color w:val="auto"/>
          <w:sz w:val="32"/>
          <w:szCs w:val="32"/>
          <w:highlight w:val="none"/>
          <w:lang w:eastAsia="zh-CN"/>
        </w:rPr>
        <w:t>全年</w:t>
      </w:r>
      <w:r>
        <w:rPr>
          <w:rFonts w:hint="eastAsia" w:ascii="仿宋_GB2312" w:hAnsi="仿宋_GB2312" w:eastAsia="仿宋_GB2312" w:cs="仿宋_GB2312"/>
          <w:color w:val="auto"/>
          <w:sz w:val="32"/>
          <w:szCs w:val="32"/>
          <w:highlight w:val="none"/>
        </w:rPr>
        <w:t>累计检索</w:t>
      </w:r>
      <w:r>
        <w:rPr>
          <w:rFonts w:hint="eastAsia" w:ascii="仿宋_GB2312" w:hAnsi="仿宋_GB2312" w:eastAsia="仿宋_GB2312" w:cs="仿宋_GB2312"/>
          <w:color w:val="auto"/>
          <w:sz w:val="32"/>
          <w:szCs w:val="32"/>
          <w:highlight w:val="none"/>
          <w:lang w:val="en-US" w:eastAsia="zh-CN"/>
        </w:rPr>
        <w:t>8534</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规范自由裁量权行使，</w:t>
      </w:r>
      <w:r>
        <w:rPr>
          <w:rFonts w:hint="eastAsia" w:ascii="仿宋_GB2312" w:hAnsi="仿宋_GB2312" w:eastAsia="仿宋_GB2312" w:cs="仿宋_GB2312"/>
          <w:color w:val="auto"/>
          <w:sz w:val="32"/>
          <w:szCs w:val="32"/>
          <w:highlight w:val="none"/>
          <w:lang w:eastAsia="zh-CN"/>
        </w:rPr>
        <w:t>实现类案同判，</w:t>
      </w:r>
      <w:r>
        <w:rPr>
          <w:rFonts w:hint="eastAsia" w:ascii="仿宋_GB2312" w:hAnsi="仿宋_GB2312" w:eastAsia="仿宋_GB2312" w:cs="仿宋_GB2312"/>
          <w:color w:val="auto"/>
          <w:sz w:val="32"/>
          <w:szCs w:val="32"/>
          <w:highlight w:val="none"/>
        </w:rPr>
        <w:t>着力提升司法公信力。</w:t>
      </w:r>
    </w:p>
    <w:p>
      <w:pPr>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（5）注重固本强基，奋力锻造忠诚干净担当的法院铁军</w:t>
      </w:r>
    </w:p>
    <w:p>
      <w:pPr>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坚持</w:t>
      </w:r>
      <w:r>
        <w:rPr>
          <w:rFonts w:hint="eastAsia" w:ascii="仿宋_GB2312" w:hAnsi="仿宋_GB2312" w:eastAsia="仿宋_GB2312" w:cs="仿宋_GB2312"/>
          <w:color w:val="auto"/>
          <w:sz w:val="32"/>
          <w:szCs w:val="32"/>
          <w:highlight w:val="none"/>
        </w:rPr>
        <w:t>贯彻“五个过硬”要求，加强法院队伍建设，切实提升革命化、正规化、专业化、职业化水平。</w:t>
      </w:r>
    </w:p>
    <w:p>
      <w:pPr>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筑牢忠诚之魂。以习近平新时代中国特色社会主义思想为指</w:t>
      </w:r>
      <w:r>
        <w:rPr>
          <w:rFonts w:hint="eastAsia" w:ascii="仿宋_GB2312" w:hAnsi="仿宋_GB2312" w:eastAsia="仿宋_GB2312" w:cs="仿宋_GB2312"/>
          <w:color w:val="auto"/>
          <w:sz w:val="32"/>
          <w:szCs w:val="32"/>
          <w:highlight w:val="none"/>
          <w:lang w:eastAsia="zh-CN"/>
        </w:rPr>
        <w:t>导</w:t>
      </w:r>
      <w:r>
        <w:rPr>
          <w:rFonts w:hint="eastAsia" w:ascii="仿宋_GB2312" w:hAnsi="仿宋_GB2312" w:eastAsia="仿宋_GB2312" w:cs="仿宋_GB2312"/>
          <w:color w:val="auto"/>
          <w:sz w:val="32"/>
          <w:szCs w:val="32"/>
          <w:highlight w:val="none"/>
        </w:rPr>
        <w:t>，深入学习贯彻党的二十大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十九大</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十九届历次全会精神，全面领会习近平总书记来川视察重要指示精神，深刻领悟“两个确立”决定性意义，引导干警始终胸怀“两个大局”，心系“国之大者”，</w:t>
      </w:r>
      <w:r>
        <w:rPr>
          <w:rFonts w:hint="eastAsia" w:ascii="仿宋_GB2312" w:hAnsi="仿宋_GB2312" w:eastAsia="仿宋_GB2312" w:cs="仿宋_GB2312"/>
          <w:color w:val="auto"/>
          <w:sz w:val="32"/>
          <w:szCs w:val="32"/>
          <w:highlight w:val="none"/>
          <w:lang w:eastAsia="zh-CN"/>
        </w:rPr>
        <w:t>党组理论中</w:t>
      </w:r>
      <w:r>
        <w:rPr>
          <w:rFonts w:hint="eastAsia" w:ascii="仿宋_GB2312" w:hAnsi="仿宋_GB2312" w:eastAsia="仿宋_GB2312" w:cs="仿宋_GB2312"/>
          <w:color w:val="auto"/>
          <w:sz w:val="32"/>
          <w:szCs w:val="32"/>
          <w:highlight w:val="none"/>
        </w:rPr>
        <w:t>心组学习17次，班子带头开展集中夜学39次</w:t>
      </w:r>
      <w:r>
        <w:rPr>
          <w:rFonts w:hint="eastAsia" w:ascii="仿宋_GB2312" w:hAnsi="仿宋_GB2312" w:eastAsia="仿宋_GB2312" w:cs="仿宋_GB2312"/>
          <w:color w:val="auto"/>
          <w:sz w:val="32"/>
          <w:szCs w:val="32"/>
          <w:highlight w:val="none"/>
          <w:lang w:eastAsia="zh-CN"/>
        </w:rPr>
        <w:t>。坚持抓党建带队建促审判，落实党组党建主体责任，不断加强党组织建设，发挥领导核心作用、支部战斗堡垒作用、党员先锋模范作用。严格落实《中国共产党政法工作条例》，坚持重大事项请示报告，及时主动向县委汇报工作30余次，</w:t>
      </w:r>
      <w:r>
        <w:rPr>
          <w:rFonts w:hint="eastAsia" w:ascii="仿宋_GB2312" w:hAnsi="仿宋_GB2312" w:eastAsia="仿宋_GB2312" w:cs="仿宋_GB2312"/>
          <w:color w:val="auto"/>
          <w:sz w:val="32"/>
          <w:szCs w:val="32"/>
          <w:highlight w:val="none"/>
        </w:rPr>
        <w:t>不断凝聚走好新时代人民司法“赶考路”的强大动力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eastAsia="zh-CN"/>
        </w:rPr>
        <w:t>被省法院荣记为全省法院思想政治建设工作集体“三等功”，被表彰为“全省法院宣传文化工作先进集体”。</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砥砺担当之能。以队伍建设为根本，遴选法官3名，招录干警5名，通过教育培训、岗位练兵、技能竞赛等形式，组织干警参加“四川法官网络学院”等各类培训107人次。落实“青蓝工程”“薪火计划”，实行“1+1”导师培养计划，鼓励干警提升学历、参加司法考试。邀请专家学者开办讲座，鼓励干警开展学术论文创作、重点课题调研。开展十佳庭审、十佳裁判文书评选工作，提升干警司法能力。坚持“能上能下”的用人原则，提拔选用年轻干警充实到管理队伍，20余名干警轮岗交流，持续激发队伍内生动力，努力打造“智慧”“自信”法院队伍。</w:t>
      </w:r>
    </w:p>
    <w:p>
      <w:pPr>
        <w:pageBreakBefore w:val="0"/>
        <w:widowControl w:val="0"/>
        <w:shd w:val="clear"/>
        <w:kinsoku/>
        <w:wordWrap/>
        <w:overflowPunct/>
        <w:topLinePunct w:val="0"/>
        <w:autoSpaceDE/>
        <w:autoSpaceDN/>
        <w:bidi w:val="0"/>
        <w:adjustRightInd/>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坚守干净之本。</w:t>
      </w:r>
      <w:r>
        <w:rPr>
          <w:rFonts w:hint="eastAsia" w:ascii="仿宋_GB2312" w:hAnsi="仿宋_GB2312" w:eastAsia="仿宋_GB2312" w:cs="仿宋_GB2312"/>
          <w:color w:val="auto"/>
          <w:sz w:val="32"/>
          <w:szCs w:val="32"/>
          <w:highlight w:val="none"/>
          <w:lang w:eastAsia="zh-CN"/>
        </w:rPr>
        <w:t>驰而不息正风肃纪</w:t>
      </w:r>
      <w:r>
        <w:rPr>
          <w:rFonts w:hint="eastAsia" w:ascii="仿宋_GB2312" w:hAnsi="仿宋_GB2312" w:eastAsia="仿宋_GB2312" w:cs="仿宋_GB2312"/>
          <w:color w:val="auto"/>
          <w:sz w:val="32"/>
          <w:szCs w:val="32"/>
          <w:highlight w:val="none"/>
        </w:rPr>
        <w:t>，认真落实党风廉政建设“两个责任”，进一步厘清四责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以“忠诚铸魂铁纪担当”</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活动为契机，</w:t>
      </w:r>
      <w:r>
        <w:rPr>
          <w:rFonts w:hint="eastAsia" w:ascii="仿宋_GB2312" w:hAnsi="仿宋_GB2312" w:eastAsia="仿宋_GB2312" w:cs="仿宋_GB2312"/>
          <w:color w:val="auto"/>
          <w:sz w:val="32"/>
          <w:szCs w:val="32"/>
          <w:highlight w:val="none"/>
          <w:lang w:eastAsia="zh-CN"/>
        </w:rPr>
        <w:t>扎实开展周永康、沈德咏流毒肃清、纪律作风整顿“回头看”、</w:t>
      </w:r>
      <w:r>
        <w:rPr>
          <w:rFonts w:hint="eastAsia" w:ascii="仿宋_GB2312" w:hAnsi="仿宋_GB2312" w:eastAsia="仿宋_GB2312" w:cs="仿宋_GB2312"/>
          <w:color w:val="auto"/>
          <w:sz w:val="32"/>
          <w:szCs w:val="32"/>
          <w:highlight w:val="none"/>
        </w:rPr>
        <w:t>巡察反馈问题整改</w:t>
      </w:r>
      <w:r>
        <w:rPr>
          <w:rFonts w:hint="eastAsia" w:ascii="仿宋_GB2312" w:hAnsi="仿宋_GB2312" w:eastAsia="仿宋_GB2312" w:cs="仿宋_GB2312"/>
          <w:color w:val="auto"/>
          <w:sz w:val="32"/>
          <w:szCs w:val="32"/>
          <w:highlight w:val="none"/>
          <w:lang w:eastAsia="zh-CN"/>
        </w:rPr>
        <w:t>等专项活动，排查整治顽瘴痼疾。严格落实防止干预司法“三个规定”，主动记录报告</w:t>
      </w:r>
      <w:r>
        <w:rPr>
          <w:rFonts w:hint="eastAsia" w:ascii="仿宋_GB2312" w:hAnsi="仿宋_GB2312" w:eastAsia="仿宋_GB2312" w:cs="仿宋_GB2312"/>
          <w:color w:val="auto"/>
          <w:sz w:val="32"/>
          <w:szCs w:val="32"/>
          <w:highlight w:val="none"/>
          <w:lang w:val="en-US" w:eastAsia="zh-CN"/>
        </w:rPr>
        <w:t>19人</w:t>
      </w:r>
      <w:r>
        <w:rPr>
          <w:rFonts w:hint="eastAsia" w:ascii="仿宋_GB2312" w:hAnsi="仿宋_GB2312" w:eastAsia="仿宋_GB2312" w:cs="仿宋_GB2312"/>
          <w:color w:val="auto"/>
          <w:sz w:val="32"/>
          <w:szCs w:val="32"/>
          <w:highlight w:val="none"/>
          <w:lang w:eastAsia="zh-CN"/>
        </w:rPr>
        <w:t>次。常态化开展审务督察，加强廉洁警示教育，开展各类廉政</w:t>
      </w:r>
      <w:r>
        <w:rPr>
          <w:rFonts w:hint="eastAsia" w:ascii="仿宋_GB2312" w:hAnsi="仿宋_GB2312" w:eastAsia="仿宋_GB2312" w:cs="仿宋_GB2312"/>
          <w:color w:val="auto"/>
          <w:sz w:val="32"/>
          <w:szCs w:val="32"/>
          <w:highlight w:val="none"/>
        </w:rPr>
        <w:t>教育</w:t>
      </w:r>
      <w:r>
        <w:rPr>
          <w:rFonts w:hint="eastAsia" w:ascii="仿宋_GB2312" w:hAnsi="仿宋_GB2312" w:eastAsia="仿宋_GB2312" w:cs="仿宋_GB2312"/>
          <w:color w:val="auto"/>
          <w:sz w:val="32"/>
          <w:szCs w:val="32"/>
          <w:highlight w:val="none"/>
          <w:lang w:val="en-US" w:eastAsia="zh-CN"/>
        </w:rPr>
        <w:t>12次</w:t>
      </w:r>
      <w:r>
        <w:rPr>
          <w:rFonts w:hint="eastAsia" w:ascii="仿宋_GB2312" w:hAnsi="仿宋_GB2312" w:eastAsia="仿宋_GB2312" w:cs="仿宋_GB2312"/>
          <w:color w:val="auto"/>
          <w:sz w:val="32"/>
          <w:szCs w:val="32"/>
          <w:highlight w:val="none"/>
        </w:rPr>
        <w:t>，不断强化干警廉洁自律意识。</w:t>
      </w:r>
      <w:r>
        <w:rPr>
          <w:rFonts w:hint="eastAsia" w:ascii="仿宋_GB2312" w:hAnsi="仿宋_GB2312" w:eastAsia="仿宋_GB2312" w:cs="仿宋_GB2312"/>
          <w:color w:val="auto"/>
          <w:sz w:val="32"/>
          <w:szCs w:val="32"/>
          <w:highlight w:val="none"/>
          <w:lang w:eastAsia="zh-CN"/>
        </w:rPr>
        <w:t>坚持从严管理、从严教育，集中整治“五个看不惯”突出问题，进一步转变作风，提升队伍形象。</w:t>
      </w:r>
    </w:p>
    <w:p>
      <w:pPr>
        <w:pStyle w:val="21"/>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自觉接受监督。</w:t>
      </w:r>
      <w:r>
        <w:rPr>
          <w:rFonts w:hint="eastAsia" w:ascii="仿宋_GB2312" w:hAnsi="仿宋_GB2312" w:eastAsia="仿宋_GB2312" w:cs="仿宋_GB2312"/>
          <w:color w:val="auto"/>
          <w:sz w:val="32"/>
          <w:szCs w:val="32"/>
          <w:highlight w:val="none"/>
        </w:rPr>
        <w:t>始终牢记审判权来自人民，主动接受人大监督和审议，严格按照审议意见抓好整改落实，认真办理代表议案，并及时向县人大常委会报告办理情况。自觉接受政协民主监督，及时办理提案，加强联络沟通。做好代表委员联络工作，主动邀请人大代表、政协委员视察法院工作、旁听庭审、参与座谈、见证执行等110余人次。主动接受纪检监察机关监督，邀请派驻纪检监察组列席党组会。依法接受检察机关法律监督，邀请10余名检察官，现场监督见证。接受十三届县委第一巡察组的巡察，及时整改落实反馈意见。坚持开门纳谏，广泛接受社会监督，促进司法廉洁。主动加强与媒体沟通，及时回应社会关切。</w:t>
      </w:r>
    </w:p>
    <w:p>
      <w:pPr>
        <w:pageBreakBefore w:val="0"/>
        <w:widowControl w:val="0"/>
        <w:numPr>
          <w:ilvl w:val="0"/>
          <w:numId w:val="0"/>
        </w:numPr>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四）部门整体支出绩效目标</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zh-CN" w:eastAsia="zh-CN" w:bidi="ar-SA"/>
        </w:rPr>
        <w:t>抓好审判工作、执行工作服务全县发展大局，保障审判、执行工作的顺利开展。保障当年案件审判执行优质高效完成，提升人民法院在群众心中的形象。加强法院内部建设，改善干警工作环境，提升干警工作效率。对外开展法治宣传让更多的人民群众懂法、守法、依法。继续开展扫黑除恶工作，维护社会安定，服务发展大局。</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（四）部门整体支出绩效目标。</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outlineLvl w:val="1"/>
        <w:rPr>
          <w:rFonts w:hint="eastAsia" w:ascii="仿宋_GB2312" w:hAnsi="仿宋_GB2312" w:eastAsia="仿宋_GB2312" w:cs="仿宋_GB2312"/>
          <w:color w:val="auto"/>
          <w:sz w:val="32"/>
          <w:szCs w:val="32"/>
          <w:highlight w:val="none"/>
          <w:shd w:val="clear" w:color="auto" w:fill="FFFFFF"/>
        </w:rPr>
      </w:pPr>
      <w:bookmarkStart w:id="22" w:name="_Toc474"/>
      <w:r>
        <w:rPr>
          <w:rFonts w:hint="eastAsia" w:ascii="仿宋_GB2312" w:hAnsi="仿宋_GB2312" w:eastAsia="仿宋_GB2312" w:cs="仿宋_GB2312"/>
          <w:color w:val="auto"/>
          <w:sz w:val="32"/>
          <w:szCs w:val="32"/>
          <w:highlight w:val="none"/>
          <w:shd w:val="clear" w:color="auto" w:fill="FFFFFF"/>
        </w:rPr>
        <w:t>二、</w:t>
      </w:r>
      <w:r>
        <w:rPr>
          <w:rFonts w:hint="eastAsia" w:ascii="仿宋_GB2312" w:hAnsi="仿宋_GB2312" w:eastAsia="仿宋_GB2312" w:cs="仿宋_GB2312"/>
          <w:color w:val="auto"/>
          <w:sz w:val="32"/>
          <w:szCs w:val="32"/>
          <w:highlight w:val="none"/>
          <w:shd w:val="clear" w:color="auto" w:fill="FFFFFF"/>
          <w:lang w:eastAsia="zh-CN"/>
        </w:rPr>
        <w:t>部门</w:t>
      </w:r>
      <w:r>
        <w:rPr>
          <w:rFonts w:hint="eastAsia" w:ascii="仿宋_GB2312" w:hAnsi="仿宋_GB2312" w:eastAsia="仿宋_GB2312" w:cs="仿宋_GB2312"/>
          <w:color w:val="auto"/>
          <w:sz w:val="32"/>
          <w:szCs w:val="32"/>
          <w:highlight w:val="none"/>
          <w:shd w:val="clear" w:color="auto" w:fill="FFFFFF"/>
        </w:rPr>
        <w:t>资金收支情况</w:t>
      </w:r>
      <w:bookmarkEnd w:id="22"/>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color w:val="auto"/>
          <w:sz w:val="32"/>
          <w:szCs w:val="32"/>
          <w:highlight w:val="none"/>
          <w:shd w:val="clear" w:color="auto" w:fill="FFFFFF"/>
          <w:lang w:val="zh-CN"/>
        </w:rPr>
        <w:t>（一）部门总体收支情况。</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1.部门总体收入情况</w:t>
      </w:r>
    </w:p>
    <w:p>
      <w:pPr>
        <w:pStyle w:val="6"/>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剑阁县人民法院2022年总收入2089.72万元。</w:t>
      </w:r>
    </w:p>
    <w:p>
      <w:pPr>
        <w:pageBreakBefore w:val="0"/>
        <w:widowControl w:val="0"/>
        <w:numPr>
          <w:ilvl w:val="0"/>
          <w:numId w:val="0"/>
        </w:numPr>
        <w:shd w:val="clear"/>
        <w:kinsoku/>
        <w:wordWrap/>
        <w:overflowPunct/>
        <w:topLinePunct w:val="0"/>
        <w:autoSpaceDE/>
        <w:autoSpaceDN/>
        <w:bidi w:val="0"/>
        <w:snapToGrid w:val="0"/>
        <w:spacing w:beforeLines="0" w:afterLines="0" w:line="600" w:lineRule="exact"/>
        <w:ind w:left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2.部门总体支出情况</w:t>
      </w:r>
    </w:p>
    <w:p>
      <w:pPr>
        <w:pStyle w:val="6"/>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bidi="ar-SA"/>
        </w:rPr>
        <w:t>剑阁县人民法院2022年总支出1695.68万元。</w:t>
      </w:r>
    </w:p>
    <w:p>
      <w:pPr>
        <w:pageBreakBefore w:val="0"/>
        <w:widowControl w:val="0"/>
        <w:numPr>
          <w:ilvl w:val="0"/>
          <w:numId w:val="0"/>
        </w:numPr>
        <w:shd w:val="clear"/>
        <w:kinsoku/>
        <w:wordWrap/>
        <w:overflowPunct/>
        <w:topLinePunct w:val="0"/>
        <w:autoSpaceDE/>
        <w:autoSpaceDN/>
        <w:bidi w:val="0"/>
        <w:snapToGrid w:val="0"/>
        <w:spacing w:beforeLines="0" w:afterLines="0" w:line="600" w:lineRule="exact"/>
        <w:ind w:left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3.部门总体结转结余情况</w:t>
      </w:r>
    </w:p>
    <w:p>
      <w:pPr>
        <w:pStyle w:val="6"/>
        <w:pageBreakBefore w:val="0"/>
        <w:widowControl w:val="0"/>
        <w:numPr>
          <w:ilvl w:val="0"/>
          <w:numId w:val="0"/>
        </w:numPr>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剑阁县人民法院2022年总结转结余394.04万元</w:t>
      </w:r>
    </w:p>
    <w:p>
      <w:pPr>
        <w:pStyle w:val="6"/>
        <w:pageBreakBefore w:val="0"/>
        <w:widowControl w:val="0"/>
        <w:numPr>
          <w:ilvl w:val="0"/>
          <w:numId w:val="0"/>
        </w:numPr>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b/>
          <w:color w:val="auto"/>
          <w:sz w:val="32"/>
          <w:szCs w:val="32"/>
          <w:highlight w:val="none"/>
          <w:lang w:val="zh-CN"/>
        </w:rPr>
      </w:pPr>
      <w:r>
        <w:rPr>
          <w:rFonts w:hint="eastAsia" w:ascii="仿宋_GB2312" w:hAnsi="仿宋_GB2312" w:eastAsia="仿宋_GB2312" w:cs="仿宋_GB2312"/>
          <w:b/>
          <w:color w:val="auto"/>
          <w:sz w:val="32"/>
          <w:szCs w:val="32"/>
          <w:highlight w:val="none"/>
          <w:lang w:val="zh-CN"/>
        </w:rPr>
        <w:t>（二）部门财政拨款收支情况。</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1.部门财政拨款收入情况</w:t>
      </w:r>
    </w:p>
    <w:p>
      <w:pPr>
        <w:pStyle w:val="6"/>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剑阁县人民法院2022年部门财政拨款总体收入2089.72万元。</w:t>
      </w:r>
    </w:p>
    <w:p>
      <w:pPr>
        <w:pageBreakBefore w:val="0"/>
        <w:widowControl w:val="0"/>
        <w:numPr>
          <w:ilvl w:val="0"/>
          <w:numId w:val="0"/>
        </w:numPr>
        <w:shd w:val="clear"/>
        <w:kinsoku/>
        <w:wordWrap/>
        <w:overflowPunct/>
        <w:topLinePunct w:val="0"/>
        <w:autoSpaceDE/>
        <w:autoSpaceDN/>
        <w:bidi w:val="0"/>
        <w:snapToGrid w:val="0"/>
        <w:spacing w:beforeLines="0" w:afterLines="0" w:line="600" w:lineRule="exact"/>
        <w:ind w:leftChars="200" w:firstLine="320" w:firstLineChars="1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2.部门财政拨款支出情况</w:t>
      </w:r>
    </w:p>
    <w:p>
      <w:pPr>
        <w:pStyle w:val="6"/>
        <w:pageBreakBefore w:val="0"/>
        <w:widowControl w:val="0"/>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剑阁县人民法院2022年部门财政拨款总体支出1695.68万元。</w:t>
      </w:r>
    </w:p>
    <w:p>
      <w:pPr>
        <w:pageBreakBefore w:val="0"/>
        <w:widowControl w:val="0"/>
        <w:numPr>
          <w:ilvl w:val="0"/>
          <w:numId w:val="0"/>
        </w:numPr>
        <w:shd w:val="clear"/>
        <w:kinsoku/>
        <w:wordWrap/>
        <w:overflowPunct/>
        <w:topLinePunct w:val="0"/>
        <w:autoSpaceDE/>
        <w:autoSpaceDN/>
        <w:bidi w:val="0"/>
        <w:snapToGrid w:val="0"/>
        <w:spacing w:beforeLines="0" w:afterLines="0" w:line="600" w:lineRule="exact"/>
        <w:ind w:left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3.部门财政拨款结转结余情况</w:t>
      </w:r>
    </w:p>
    <w:p>
      <w:pPr>
        <w:keepNext/>
        <w:keepLines/>
        <w:pageBreakBefore w:val="0"/>
        <w:widowControl w:val="0"/>
        <w:shd w:val="clear"/>
        <w:kinsoku/>
        <w:wordWrap/>
        <w:overflowPunct/>
        <w:topLinePunct w:val="0"/>
        <w:bidi w:val="0"/>
        <w:spacing w:beforeLines="0" w:afterLines="0" w:line="600" w:lineRule="exact"/>
        <w:ind w:leftChars="0" w:firstLine="640" w:firstLineChars="200"/>
        <w:jc w:val="both"/>
        <w:textAlignment w:val="auto"/>
        <w:outlineLvl w:val="1"/>
        <w:rPr>
          <w:rFonts w:hint="eastAsia" w:ascii="仿宋_GB2312" w:hAnsi="仿宋_GB2312" w:eastAsia="仿宋_GB2312" w:cs="仿宋_GB2312"/>
          <w:color w:val="auto"/>
          <w:sz w:val="32"/>
          <w:szCs w:val="32"/>
          <w:highlight w:val="none"/>
          <w:lang w:val="en-US"/>
        </w:rPr>
      </w:pPr>
      <w:bookmarkStart w:id="23" w:name="_Toc7334"/>
      <w:r>
        <w:rPr>
          <w:rFonts w:hint="eastAsia" w:ascii="仿宋_GB2312" w:hAnsi="仿宋_GB2312" w:eastAsia="仿宋_GB2312" w:cs="仿宋_GB2312"/>
          <w:color w:val="auto"/>
          <w:sz w:val="32"/>
          <w:szCs w:val="32"/>
          <w:highlight w:val="none"/>
          <w:lang w:val="en-US"/>
        </w:rPr>
        <w:t>三、部门整体绩效分析</w:t>
      </w:r>
      <w:bookmarkEnd w:id="23"/>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color w:val="auto"/>
          <w:sz w:val="32"/>
          <w:szCs w:val="32"/>
          <w:highlight w:val="none"/>
          <w:shd w:val="clear" w:color="auto" w:fill="FFFFFF"/>
          <w:lang w:val="zh-CN"/>
        </w:rPr>
        <w:t>（一）部门预算项目绩效分析。</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1.人员类项目绩效分析</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zh-CN" w:eastAsia="zh-CN" w:bidi="ar-SA"/>
        </w:rPr>
        <w:t>我院根据年初在职人数及</w:t>
      </w:r>
      <w:r>
        <w:rPr>
          <w:rFonts w:hint="eastAsia" w:ascii="仿宋_GB2312" w:hAnsi="仿宋_GB2312" w:eastAsia="仿宋_GB2312" w:cs="仿宋_GB2312"/>
          <w:color w:val="auto"/>
          <w:sz w:val="32"/>
          <w:szCs w:val="32"/>
          <w:highlight w:val="none"/>
          <w:lang w:val="en-US" w:eastAsia="zh-CN" w:bidi="ar-SA"/>
        </w:rPr>
        <w:t>1月分人员工资预算全年人员经费，完成了全年的人员经费支出，保障了人员经费的按时发放，严格控制资金支出，不占用挪用资金，执行率89.05%，未执行完毕，其主要原因是由于我院年底要进行司改绩效考核，考核结果在次年年初出来，因为这部分考核资金结转到2023年支付。</w:t>
      </w:r>
    </w:p>
    <w:p>
      <w:pPr>
        <w:pageBreakBefore w:val="0"/>
        <w:widowControl w:val="0"/>
        <w:numPr>
          <w:ilvl w:val="0"/>
          <w:numId w:val="3"/>
        </w:numPr>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运转类项目绩效分析</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zh-CN" w:eastAsia="zh-CN" w:bidi="ar-SA"/>
        </w:rPr>
        <w:t>我院根据年初在职人数</w:t>
      </w:r>
      <w:r>
        <w:rPr>
          <w:rFonts w:hint="eastAsia" w:ascii="仿宋_GB2312" w:hAnsi="仿宋_GB2312" w:eastAsia="仿宋_GB2312" w:cs="仿宋_GB2312"/>
          <w:color w:val="auto"/>
          <w:sz w:val="32"/>
          <w:szCs w:val="32"/>
          <w:highlight w:val="none"/>
          <w:lang w:val="en-US" w:eastAsia="zh-CN" w:bidi="ar-SA"/>
        </w:rPr>
        <w:t>85人，按人均1.5万预算2022年运转类公用经费，完成了全年的运转类公用经费的支出，保障了我院基本运转，严格控制资金支出，不占用挪用资金，执行率99.99%，还有78元的公务接待未执行完毕，结转至次年使用，主要原因是我院厉行节约，严格控制公务接待经费。</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3.特定目标类项目绩效分析</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我院根据近几年实际支出数，预算我院所需的特定项目，完成了我院特定项目的支出，保障了我院信息化建设、办案及业务装备的需求，提升了法院在人民群众中的形象，严格控制资金支出，不占用挪用资金，执行率61.72%，主要原因是（一）2022年之前，县财政财力保障有限，故以前年度下达的转移支付资金未能按期支付，故结转较多，因此2022年我院大量使用以前年度转移支付资金支付结转金额。（二）2022年转移支付到达时间较晚，导致2022年转移支付资金支付率还有待提高。故部分资金结转到第二年使用。任务完成较好，达到所需的质量标准，进度合理，成本控制严格，达到了项目所需要的效果。</w:t>
      </w:r>
    </w:p>
    <w:p>
      <w:pPr>
        <w:pageBreakBefore w:val="0"/>
        <w:widowControl w:val="0"/>
        <w:numPr>
          <w:ilvl w:val="0"/>
          <w:numId w:val="0"/>
        </w:numPr>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color w:val="auto"/>
          <w:sz w:val="32"/>
          <w:szCs w:val="32"/>
          <w:highlight w:val="none"/>
          <w:shd w:val="clear" w:color="auto" w:fill="FFFFFF"/>
          <w:lang w:val="zh-CN"/>
        </w:rPr>
        <w:t>（二）部门整体履职绩效分析。</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bidi="ar-SA"/>
        </w:rPr>
      </w:pPr>
      <w:r>
        <w:rPr>
          <w:rFonts w:hint="eastAsia" w:ascii="仿宋_GB2312" w:hAnsi="仿宋_GB2312" w:eastAsia="仿宋_GB2312" w:cs="仿宋_GB2312"/>
          <w:color w:val="auto"/>
          <w:sz w:val="32"/>
          <w:szCs w:val="32"/>
          <w:highlight w:val="none"/>
          <w:lang w:val="zh-CN" w:eastAsia="zh-CN" w:bidi="ar-SA"/>
        </w:rPr>
        <w:t>我院2022年整体目标完成情况较好，拨款</w:t>
      </w:r>
      <w:r>
        <w:rPr>
          <w:rFonts w:hint="eastAsia" w:ascii="仿宋_GB2312" w:hAnsi="仿宋_GB2312" w:eastAsia="仿宋_GB2312" w:cs="仿宋_GB2312"/>
          <w:color w:val="auto"/>
          <w:sz w:val="32"/>
          <w:szCs w:val="32"/>
          <w:highlight w:val="none"/>
          <w:lang w:val="en-US" w:eastAsia="zh-CN" w:bidi="ar-SA"/>
        </w:rPr>
        <w:t>2089.72</w:t>
      </w:r>
      <w:r>
        <w:rPr>
          <w:rFonts w:hint="eastAsia" w:ascii="仿宋_GB2312" w:hAnsi="仿宋_GB2312" w:eastAsia="仿宋_GB2312" w:cs="仿宋_GB2312"/>
          <w:color w:val="auto"/>
          <w:sz w:val="32"/>
          <w:szCs w:val="32"/>
          <w:highlight w:val="none"/>
          <w:lang w:val="zh-CN" w:eastAsia="zh-CN" w:bidi="ar-SA"/>
        </w:rPr>
        <w:t>万，支付</w:t>
      </w:r>
      <w:r>
        <w:rPr>
          <w:rFonts w:hint="eastAsia" w:ascii="仿宋_GB2312" w:hAnsi="仿宋_GB2312" w:eastAsia="仿宋_GB2312" w:cs="仿宋_GB2312"/>
          <w:color w:val="auto"/>
          <w:sz w:val="32"/>
          <w:szCs w:val="32"/>
          <w:highlight w:val="none"/>
          <w:lang w:val="en-US" w:eastAsia="zh-CN" w:bidi="ar-SA"/>
        </w:rPr>
        <w:t>1695.68</w:t>
      </w:r>
      <w:r>
        <w:rPr>
          <w:rFonts w:hint="eastAsia" w:ascii="仿宋_GB2312" w:hAnsi="仿宋_GB2312" w:eastAsia="仿宋_GB2312" w:cs="仿宋_GB2312"/>
          <w:color w:val="auto"/>
          <w:sz w:val="32"/>
          <w:szCs w:val="32"/>
          <w:highlight w:val="none"/>
          <w:lang w:val="zh-CN" w:eastAsia="zh-CN" w:bidi="ar-SA"/>
        </w:rPr>
        <w:t>万，完成执行进度</w:t>
      </w:r>
      <w:r>
        <w:rPr>
          <w:rFonts w:hint="eastAsia" w:ascii="仿宋_GB2312" w:hAnsi="仿宋_GB2312" w:eastAsia="仿宋_GB2312" w:cs="仿宋_GB2312"/>
          <w:color w:val="auto"/>
          <w:sz w:val="32"/>
          <w:szCs w:val="32"/>
          <w:highlight w:val="none"/>
          <w:lang w:val="en-US" w:eastAsia="zh-CN" w:bidi="ar-SA"/>
        </w:rPr>
        <w:t>81.14</w:t>
      </w:r>
      <w:r>
        <w:rPr>
          <w:rFonts w:hint="eastAsia" w:ascii="仿宋_GB2312" w:hAnsi="仿宋_GB2312" w:eastAsia="仿宋_GB2312" w:cs="仿宋_GB2312"/>
          <w:color w:val="auto"/>
          <w:sz w:val="32"/>
          <w:szCs w:val="32"/>
          <w:highlight w:val="none"/>
          <w:lang w:val="zh-CN" w:eastAsia="zh-CN" w:bidi="ar-SA"/>
        </w:rPr>
        <w:t>%。</w:t>
      </w:r>
      <w:r>
        <w:rPr>
          <w:rFonts w:hint="eastAsia" w:ascii="仿宋_GB2312" w:hAnsi="仿宋_GB2312" w:eastAsia="仿宋_GB2312" w:cs="仿宋_GB2312"/>
          <w:color w:val="auto"/>
          <w:sz w:val="32"/>
          <w:szCs w:val="32"/>
          <w:highlight w:val="none"/>
          <w:lang w:val="en-US" w:eastAsia="zh-CN" w:bidi="ar-SA"/>
        </w:rPr>
        <w:t>2022年度绩效目标申报6个数量指标、5个质量指标、1个时效指标、2个成本指标、2个社会效益指标、2个满意度指标，目标实现均达到完成预期指标，占比100%。</w:t>
      </w:r>
      <w:r>
        <w:rPr>
          <w:rFonts w:hint="eastAsia" w:ascii="仿宋_GB2312" w:hAnsi="仿宋_GB2312" w:eastAsia="仿宋_GB2312" w:cs="仿宋_GB2312"/>
          <w:color w:val="auto"/>
          <w:sz w:val="32"/>
          <w:szCs w:val="32"/>
          <w:highlight w:val="none"/>
          <w:lang w:val="zh-CN" w:eastAsia="zh-CN" w:bidi="ar-SA"/>
        </w:rPr>
        <w:t>受理案件</w:t>
      </w:r>
      <w:r>
        <w:rPr>
          <w:rFonts w:hint="eastAsia" w:ascii="仿宋_GB2312" w:hAnsi="仿宋_GB2312" w:eastAsia="仿宋_GB2312" w:cs="仿宋_GB2312"/>
          <w:color w:val="auto"/>
          <w:sz w:val="32"/>
          <w:szCs w:val="32"/>
          <w:highlight w:val="none"/>
          <w:lang w:val="en-US" w:eastAsia="zh-CN" w:bidi="ar-SA"/>
        </w:rPr>
        <w:t>5235</w:t>
      </w:r>
      <w:r>
        <w:rPr>
          <w:rFonts w:hint="eastAsia" w:ascii="仿宋_GB2312" w:hAnsi="仿宋_GB2312" w:eastAsia="仿宋_GB2312" w:cs="仿宋_GB2312"/>
          <w:color w:val="auto"/>
          <w:sz w:val="32"/>
          <w:szCs w:val="32"/>
          <w:highlight w:val="none"/>
          <w:lang w:val="zh-CN" w:eastAsia="zh-CN" w:bidi="ar-SA"/>
        </w:rPr>
        <w:t>件，办结案件</w:t>
      </w:r>
      <w:r>
        <w:rPr>
          <w:rFonts w:hint="eastAsia" w:ascii="仿宋_GB2312" w:hAnsi="仿宋_GB2312" w:eastAsia="仿宋_GB2312" w:cs="仿宋_GB2312"/>
          <w:color w:val="auto"/>
          <w:sz w:val="32"/>
          <w:szCs w:val="32"/>
          <w:highlight w:val="none"/>
          <w:lang w:val="en-US" w:eastAsia="zh-CN" w:bidi="ar-SA"/>
        </w:rPr>
        <w:t>5197件，化解了社会矛盾，</w:t>
      </w:r>
      <w:r>
        <w:rPr>
          <w:rFonts w:hint="eastAsia" w:ascii="仿宋_GB2312" w:hAnsi="仿宋_GB2312" w:eastAsia="仿宋_GB2312" w:cs="仿宋_GB2312"/>
          <w:color w:val="auto"/>
          <w:sz w:val="32"/>
          <w:szCs w:val="32"/>
          <w:highlight w:val="none"/>
          <w:lang w:val="zh-CN" w:eastAsia="zh-CN" w:bidi="ar-SA"/>
        </w:rPr>
        <w:t>维护了社会的公平正义。全年组织干警培训40多人次，提高审判人员的专业素养。保障了警车运行及相关维护，提升了干警办案效率。保障了全年的办公设备购置及办案业务用房维修，改善了干警办公环境，保障干警办公期间的人身安全。维护我院网络设备，促进了案件审理及执行工作顺利开展。</w:t>
      </w:r>
    </w:p>
    <w:p>
      <w:pPr>
        <w:pageBreakBefore w:val="0"/>
        <w:widowControl w:val="0"/>
        <w:numPr>
          <w:ilvl w:val="0"/>
          <w:numId w:val="4"/>
        </w:numPr>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color w:val="auto"/>
          <w:sz w:val="32"/>
          <w:szCs w:val="32"/>
          <w:highlight w:val="none"/>
          <w:shd w:val="clear" w:color="auto" w:fill="FFFFFF"/>
          <w:lang w:val="zh-CN"/>
        </w:rPr>
        <w:t>结果应用情况。</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bidi="ar-SA"/>
        </w:rPr>
      </w:pPr>
      <w:r>
        <w:rPr>
          <w:rFonts w:hint="eastAsia" w:ascii="仿宋_GB2312" w:hAnsi="仿宋_GB2312" w:eastAsia="仿宋_GB2312" w:cs="仿宋_GB2312"/>
          <w:color w:val="auto"/>
          <w:sz w:val="32"/>
          <w:szCs w:val="32"/>
          <w:highlight w:val="none"/>
          <w:lang w:val="zh-CN" w:eastAsia="zh-CN" w:bidi="ar-SA"/>
        </w:rPr>
        <w:t>我院绩效目标管理严格按照财政绩效管理要求管理编报预算项目绩效目标，且绩效目标真实、可行、科学，整体运行良好，并按要求将相关绩效信息随同决算公开。</w:t>
      </w:r>
    </w:p>
    <w:p>
      <w:pPr>
        <w:pageBreakBefore w:val="0"/>
        <w:widowControl w:val="0"/>
        <w:numPr>
          <w:ilvl w:val="0"/>
          <w:numId w:val="5"/>
        </w:numPr>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color w:val="auto"/>
          <w:sz w:val="32"/>
          <w:szCs w:val="32"/>
          <w:highlight w:val="none"/>
          <w:shd w:val="clear" w:color="auto" w:fill="FFFFFF"/>
          <w:lang w:val="zh-CN"/>
        </w:rPr>
        <w:t>自评质量。</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我院按要求对绩效进行自评，绩效自评真实可靠，自评得分98分，符合财政局相关规定。</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outlineLvl w:val="1"/>
        <w:rPr>
          <w:rFonts w:hint="eastAsia" w:ascii="仿宋_GB2312" w:hAnsi="仿宋_GB2312" w:eastAsia="仿宋_GB2312" w:cs="仿宋_GB2312"/>
          <w:color w:val="auto"/>
          <w:sz w:val="32"/>
          <w:szCs w:val="32"/>
          <w:highlight w:val="none"/>
          <w:shd w:val="clear" w:color="auto" w:fill="FFFFFF"/>
        </w:rPr>
      </w:pPr>
      <w:bookmarkStart w:id="24" w:name="_Toc17500"/>
      <w:r>
        <w:rPr>
          <w:rFonts w:hint="eastAsia" w:ascii="仿宋_GB2312" w:hAnsi="仿宋_GB2312" w:eastAsia="仿宋_GB2312" w:cs="仿宋_GB2312"/>
          <w:color w:val="auto"/>
          <w:sz w:val="32"/>
          <w:szCs w:val="32"/>
          <w:highlight w:val="none"/>
          <w:shd w:val="clear" w:color="auto" w:fill="FFFFFF"/>
        </w:rPr>
        <w:t>四、评价结论及建议</w:t>
      </w:r>
      <w:bookmarkEnd w:id="24"/>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color w:val="auto"/>
          <w:sz w:val="32"/>
          <w:szCs w:val="32"/>
          <w:highlight w:val="none"/>
          <w:shd w:val="clear" w:color="auto" w:fill="FFFFFF"/>
          <w:lang w:val="zh-CN"/>
        </w:rPr>
        <w:t>（一）评价结论</w:t>
      </w:r>
    </w:p>
    <w:p>
      <w:pPr>
        <w:pageBreakBefore w:val="0"/>
        <w:widowControl w:val="0"/>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shd w:val="clear" w:color="auto" w:fill="FFFFFF"/>
          <w:lang w:val="zh-CN"/>
        </w:rPr>
        <w:t>通过绩效自评，</w:t>
      </w:r>
      <w:r>
        <w:rPr>
          <w:rFonts w:hint="eastAsia" w:ascii="仿宋_GB2312" w:hAnsi="仿宋_GB2312" w:eastAsia="仿宋_GB2312" w:cs="仿宋_GB2312"/>
          <w:color w:val="auto"/>
          <w:sz w:val="32"/>
          <w:szCs w:val="32"/>
          <w:highlight w:val="none"/>
          <w:shd w:val="clear" w:color="auto" w:fill="FFFFFF"/>
          <w:lang w:val="en-US" w:eastAsia="zh-CN"/>
        </w:rPr>
        <w:t>2022年整体支出政策依据充分，目标制定明确；按照计划有序实施，经费使用严格按照相关财务管理制度执行，对资金的使用监管有力有效。整个支出实施达到了预期的绩效目标。</w:t>
      </w:r>
    </w:p>
    <w:p>
      <w:pPr>
        <w:pageBreakBefore w:val="0"/>
        <w:widowControl w:val="0"/>
        <w:numPr>
          <w:ilvl w:val="0"/>
          <w:numId w:val="6"/>
        </w:numPr>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zh-CN"/>
        </w:rPr>
        <w:t>存在问题</w:t>
      </w:r>
    </w:p>
    <w:p>
      <w:pPr>
        <w:pageBreakBefore w:val="0"/>
        <w:widowControl w:val="0"/>
        <w:numPr>
          <w:ilvl w:val="0"/>
          <w:numId w:val="0"/>
        </w:numPr>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根据绩效评价工作要求，对自评工作进行了认真研究部署，并取得了较好的效果，梳理出存在的问题主要是对定性指标的评议上，由于采取问卷形式的自评，部分参与评价人员对指标不熟悉，不能客观地对本部门的支出绩效进行有效评价。</w:t>
      </w:r>
    </w:p>
    <w:p>
      <w:pPr>
        <w:pageBreakBefore w:val="0"/>
        <w:widowControl w:val="0"/>
        <w:numPr>
          <w:ilvl w:val="0"/>
          <w:numId w:val="6"/>
        </w:numPr>
        <w:shd w:val="clear"/>
        <w:kinsoku/>
        <w:wordWrap/>
        <w:overflowPunct/>
        <w:topLinePunct w:val="0"/>
        <w:autoSpaceDE/>
        <w:autoSpaceDN/>
        <w:bidi w:val="0"/>
        <w:snapToGrid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zh-CN"/>
        </w:rPr>
        <w:t>改进建议</w:t>
      </w:r>
    </w:p>
    <w:p>
      <w:pPr>
        <w:pStyle w:val="13"/>
        <w:pageBreakBefore w:val="0"/>
        <w:widowControl w:val="0"/>
        <w:numPr>
          <w:ilvl w:val="0"/>
          <w:numId w:val="0"/>
        </w:numPr>
        <w:shd w:val="clear"/>
        <w:kinsoku/>
        <w:wordWrap/>
        <w:overflowPunct/>
        <w:topLinePunct w:val="0"/>
        <w:bidi w:val="0"/>
        <w:spacing w:beforeLines="0" w:afterLines="0" w:line="600" w:lineRule="exact"/>
        <w:ind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一是加大对财务人员的业务培训力度，夯实财务理论基础，提高业务水平，增强工作效率；二是加大经费投入，提高预算基数，按申报项目资金有效预算；三是厉行勤俭节约，坚决执行中央八项规定，切实加强“三公”经费的管理，确保“三公”经费只减不增。今后在编制预算中，进一步重视预算的编制工作，提高预算编制的精确度，在预算执行中严格遵循“先有预算、后有支出”的原则，认真执行各项资金使用管理制度，确保各项支出真实合理，有效提升工作绩效。</w:t>
      </w:r>
    </w:p>
    <w:p>
      <w:pPr>
        <w:keepNext/>
        <w:keepLines/>
        <w:pageBreakBefore w:val="0"/>
        <w:widowControl w:val="0"/>
        <w:shd w:val="clear"/>
        <w:kinsoku/>
        <w:wordWrap/>
        <w:overflowPunct/>
        <w:topLinePunct w:val="0"/>
        <w:bidi w:val="0"/>
        <w:spacing w:beforeLines="0" w:after="120" w:afterLines="0" w:line="60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rPr>
      </w:pPr>
      <w:r>
        <w:rPr>
          <w:rFonts w:hint="eastAsia" w:ascii="仿宋_GB2312" w:hAnsi="仿宋_GB2312" w:eastAsia="仿宋_GB2312" w:cs="仿宋_GB2312"/>
          <w:color w:val="auto"/>
          <w:kern w:val="2"/>
          <w:sz w:val="32"/>
          <w:szCs w:val="32"/>
          <w:highlight w:val="none"/>
          <w:lang w:val="zh-CN"/>
        </w:rPr>
        <w:t>附表：</w:t>
      </w:r>
      <w:r>
        <w:rPr>
          <w:rFonts w:hint="eastAsia" w:ascii="仿宋_GB2312" w:hAnsi="仿宋_GB2312" w:eastAsia="仿宋_GB2312" w:cs="仿宋_GB2312"/>
          <w:color w:val="auto"/>
          <w:kern w:val="2"/>
          <w:sz w:val="32"/>
          <w:szCs w:val="32"/>
          <w:highlight w:val="none"/>
          <w:lang w:val="en-US"/>
        </w:rPr>
        <w:t>部门预算项目支出绩效自评表（2022年度）</w:t>
      </w:r>
    </w:p>
    <w:tbl>
      <w:tblPr>
        <w:tblStyle w:val="14"/>
        <w:tblW w:w="15152" w:type="dxa"/>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
        <w:gridCol w:w="630"/>
        <w:gridCol w:w="1335"/>
        <w:gridCol w:w="960"/>
        <w:gridCol w:w="540"/>
        <w:gridCol w:w="465"/>
        <w:gridCol w:w="540"/>
        <w:gridCol w:w="840"/>
        <w:gridCol w:w="945"/>
        <w:gridCol w:w="960"/>
        <w:gridCol w:w="91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745"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44"/>
                <w:szCs w:val="44"/>
                <w:highlight w:val="none"/>
                <w:u w:val="none"/>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剑阁县人民法院警察加班补贴项目支出绩效目标自评表（2022年度）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警察加班补贴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主管部门（盖章）</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剑阁县人民法院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实施单位（盖章）</w:t>
            </w:r>
          </w:p>
        </w:tc>
        <w:tc>
          <w:tcPr>
            <w:tcW w:w="4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剑阁县人民法院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4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保障2022年警察加班补贴发放，提高干警工作效率。</w:t>
            </w:r>
          </w:p>
        </w:tc>
        <w:tc>
          <w:tcPr>
            <w:tcW w:w="4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按时发放2022年警察加班补贴，提高警察工作效率，提升了警察获得感、幸福感，让法警更加履职尽责，提升法院司法公信力。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每月按时警察加班补贴，保障我院法警权益，提高我院法警办事效率，让法警更加履职尽责能力，提升法院司法公信力。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6"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发放加班补助人数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保障法警工作效率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完成时效</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预算资金控制数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可持续影响指标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增强法警职业尊荣感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法警全面依法履行职责，提高司法公信力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干警满意度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部门（单位）自评结论</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专项绩效评定指标各项目量化评价，自评得分100分，2022年，我院按要求每月按时发放警察加班补贴，保障法警工作权益，提法警工作效率。按要求执行完毕。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部门（单位）自评存在问题</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通过项目经费支出使用编写完成了项目的整体方案。但在项目的实施过程中有些工作还需要改进，主要问题是：对项目的项目支出按预算和工作进度执行需进一步规范，实际情况与预算不符合地方还需落实。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部门（单位）自评改进措施</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项目开展进度的跟踪，开展项目绩效评价，确保项目资金得到充分合理的运用，实行专款专用，认真审查项目的各项流程是否符合财务会计制度。健全财务制度，规范会计核算，不截留、挤占、挪用或超标准开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财政部门对口科室复评结论及整改要求</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单位项目负责人：李晓</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单位财务负责人：刘陶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部门项目负责人：李晓</w:t>
            </w:r>
          </w:p>
        </w:tc>
        <w:tc>
          <w:tcPr>
            <w:tcW w:w="8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部门财务负责人：刘陶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财政部门科室负责人：</w:t>
            </w:r>
          </w:p>
        </w:tc>
      </w:tr>
    </w:tbl>
    <w:p>
      <w:pPr>
        <w:pStyle w:val="13"/>
        <w:shd w:val="clear"/>
        <w:rPr>
          <w:rFonts w:hint="eastAsia" w:ascii="仿宋_GB2312" w:hAnsi="仿宋_GB2312" w:eastAsia="仿宋_GB2312"/>
          <w:color w:val="auto"/>
          <w:sz w:val="32"/>
          <w:szCs w:val="24"/>
          <w:highlight w:val="none"/>
          <w:lang w:val="en-US"/>
        </w:rPr>
      </w:pPr>
    </w:p>
    <w:tbl>
      <w:tblPr>
        <w:tblStyle w:val="14"/>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832"/>
        <w:gridCol w:w="784"/>
        <w:gridCol w:w="707"/>
        <w:gridCol w:w="511"/>
        <w:gridCol w:w="621"/>
        <w:gridCol w:w="397"/>
        <w:gridCol w:w="1052"/>
        <w:gridCol w:w="759"/>
        <w:gridCol w:w="920"/>
        <w:gridCol w:w="817"/>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947"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44"/>
                <w:szCs w:val="44"/>
                <w:highlight w:val="none"/>
                <w:u w:val="none"/>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剑阁县人民法院法官加班补贴项目支出绩效目标自评表（2022年度）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73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法官加班补贴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主管部门（盖章）</w:t>
            </w:r>
          </w:p>
        </w:tc>
        <w:tc>
          <w:tcPr>
            <w:tcW w:w="2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剑阁县人民法院</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实施单位（盖章）</w:t>
            </w:r>
          </w:p>
        </w:tc>
        <w:tc>
          <w:tcPr>
            <w:tcW w:w="3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剑阁县人民法院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2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4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2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保障2022年法官加班补贴发放，提高干警工作效率。</w:t>
            </w:r>
          </w:p>
        </w:tc>
        <w:tc>
          <w:tcPr>
            <w:tcW w:w="4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按时发放2022年法官加班补贴，提高了法官工作积极性，提升了法官获得感、幸福感。让法官更加履职尽责能力，提升法院司法公信力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73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每月按时法官加班补贴，保障我院法官权益，提高我院法官办事效率。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发放加班补助人数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保障干警工作效率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预算资金控制数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30.64</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可持续影响指标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增强法官职业尊荣感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法官全面依法履行职责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干警满意度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部门（单位）自评结论</w:t>
            </w:r>
          </w:p>
        </w:tc>
        <w:tc>
          <w:tcPr>
            <w:tcW w:w="8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根据专项绩效评定指标各项目量化评价，自评得分100分，2022年，我院按要求每月按时发放法官加班补贴，保障干警工作权益，提干警工作效率。按要求执行完毕。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部门（单位）自评存在问题</w:t>
            </w:r>
          </w:p>
        </w:tc>
        <w:tc>
          <w:tcPr>
            <w:tcW w:w="8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通过项目经费支出使用编写完成了项目的整体方案。但在项目的实施过程中有些工作还需要改进，主要问题是：对项目的项目支出按预算和工作进度执行需进一步规范，实际情况与预算不符合地方还需落实。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部门（单位）自评改进措施</w:t>
            </w:r>
          </w:p>
        </w:tc>
        <w:tc>
          <w:tcPr>
            <w:tcW w:w="8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加强项目开展进度的跟踪，开展项目绩效评价，确保项目资金得到充分合理的运用，实行专款专用，认真审查项目的各项流程是否符合财务会计制度。健全财务制度，规范会计核算，不截留、挤占、挪用或超标准开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财政部门对口科室复评结论及整改要求</w:t>
            </w:r>
          </w:p>
        </w:tc>
        <w:tc>
          <w:tcPr>
            <w:tcW w:w="81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6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单位项目负责人：李晓</w:t>
            </w:r>
          </w:p>
        </w:tc>
        <w:tc>
          <w:tcPr>
            <w:tcW w:w="52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单位财务负责人：刘陶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6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部门项目负责人：李晓</w:t>
            </w:r>
          </w:p>
        </w:tc>
        <w:tc>
          <w:tcPr>
            <w:tcW w:w="52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部门财务负责人：刘陶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4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财政部门科室负责人：</w:t>
            </w:r>
          </w:p>
        </w:tc>
      </w:tr>
    </w:tbl>
    <w:p>
      <w:pPr>
        <w:shd w:val="clear"/>
        <w:rPr>
          <w:rFonts w:hint="eastAsia" w:ascii="仿宋_GB2312" w:hAnsi="仿宋_GB2312" w:eastAsia="仿宋_GB2312"/>
          <w:color w:val="auto"/>
          <w:sz w:val="32"/>
          <w:szCs w:val="24"/>
          <w:highlight w:val="none"/>
          <w:lang w:val="en-US"/>
        </w:rPr>
      </w:pPr>
    </w:p>
    <w:p>
      <w:pPr>
        <w:pStyle w:val="13"/>
        <w:shd w:val="clear"/>
        <w:rPr>
          <w:rFonts w:hint="eastAsia" w:ascii="仿宋_GB2312" w:hAnsi="仿宋_GB2312" w:eastAsia="仿宋_GB2312"/>
          <w:color w:val="auto"/>
          <w:sz w:val="32"/>
          <w:szCs w:val="24"/>
          <w:highlight w:val="none"/>
          <w:lang w:val="en-US"/>
        </w:rPr>
      </w:pPr>
    </w:p>
    <w:tbl>
      <w:tblPr>
        <w:tblStyle w:val="14"/>
        <w:tblW w:w="9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825"/>
        <w:gridCol w:w="585"/>
        <w:gridCol w:w="660"/>
        <w:gridCol w:w="1080"/>
        <w:gridCol w:w="690"/>
        <w:gridCol w:w="1080"/>
        <w:gridCol w:w="975"/>
        <w:gridCol w:w="915"/>
        <w:gridCol w:w="7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190" w:type="dxa"/>
            <w:gridSpan w:val="11"/>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44"/>
                <w:szCs w:val="44"/>
                <w:highlight w:val="none"/>
                <w:u w:val="none"/>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剑阁县人民法院人民陪审员经费项目支出绩效目标自评表（2022年度）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6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人民陪审员经费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主管部门（盖章）</w:t>
            </w: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剑阁县人民法院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实施单位（盖章）</w:t>
            </w:r>
          </w:p>
        </w:tc>
        <w:tc>
          <w:tcPr>
            <w:tcW w:w="3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剑阁县人民法院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4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组织人民陪审员参审案件，认真履职，充分发挥亲近群众的优势，息诉止访，提高群众对司法的公信力，并对参审案件按100元/件发放人民陪审员劳务费。</w:t>
            </w:r>
          </w:p>
        </w:tc>
        <w:tc>
          <w:tcPr>
            <w:tcW w:w="4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人民陪审员对参审案件进行监督，并按时向人民陪审员发放参审案件的劳务费，提高人民陪审员参审案件的积极性，从而提高政法单位的司法公信力。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6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2022年组织人民陪审员共参审案件共602件，并按时向人民陪审员发放劳务费，使得人民陪审员认真履职，对参审案件进行监督，提高政法单位的司法公信力。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陪审案件数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完成时限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预算资金控制数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人民陪审员参与陪审案件的社会效益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人民陪审员充分发挥亲近群众的优势，息诉止访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人民陪审员充分发挥亲近群众的优势，对息诉止访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可持续影响指标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提高司法公信力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让人民群众直接感受司法公正，提高群众对司法的公信力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人民陪审员对参审案件进行监督，提高政法单位的司法公信力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4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部门（单位）自评结论</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专项绩效评定指标各项目量化评价，自评得分100分，2022年，我院按要求按时发放人民陪审员劳务费，使得人民陪审员认真履职，保障人民陪审员工作权益，提人民陪审员工作效率，对参审案件进行监督，提高政法单位的司法公信力，按要求执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部门（单位）自评存在问题</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通过项目经费支出使用编写完成了项目的整体方案。但在项目的实施过程中有些工作还需要改进，主要问题是：对人民陪审员参审案件的数量的预估不够精准，实际情况与预算略有一点差距。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部门（单位）自评改进措施</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加强同我院各业务部门的沟通，确保相关数量尽可能精准，确保项目预算金额足够。二、加强项目开展进度的跟踪，开展项目绩效评价，确保项目资金得到充分合理的运用，实行专款专用，认真审查项目的各项流程是否符合财务会计制度。三、健全财务制度，规范会计核算，不截留、挤占、挪用或超标准开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财政部门对口科室复评结论及整改要求</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单位项目负责人：李晓</w:t>
            </w:r>
          </w:p>
        </w:tc>
        <w:tc>
          <w:tcPr>
            <w:tcW w:w="4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单位财务负责人：刘陶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部门项目负责人：李晓</w:t>
            </w:r>
          </w:p>
        </w:tc>
        <w:tc>
          <w:tcPr>
            <w:tcW w:w="4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部门财务负责人：刘陶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财政部门科室负责人：</w:t>
            </w:r>
          </w:p>
        </w:tc>
      </w:tr>
    </w:tbl>
    <w:p>
      <w:pPr>
        <w:pStyle w:val="13"/>
        <w:shd w:val="clear"/>
        <w:ind w:left="0" w:leftChars="0" w:firstLine="0" w:firstLineChars="0"/>
        <w:rPr>
          <w:color w:val="auto"/>
          <w:highlight w:val="none"/>
        </w:rPr>
      </w:pPr>
    </w:p>
    <w:tbl>
      <w:tblPr>
        <w:tblStyle w:val="14"/>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0"/>
        <w:gridCol w:w="780"/>
        <w:gridCol w:w="780"/>
        <w:gridCol w:w="780"/>
        <w:gridCol w:w="780"/>
        <w:gridCol w:w="780"/>
        <w:gridCol w:w="780"/>
        <w:gridCol w:w="780"/>
        <w:gridCol w:w="780"/>
        <w:gridCol w:w="78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36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44"/>
                <w:szCs w:val="44"/>
                <w:highlight w:val="none"/>
                <w:u w:val="none"/>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剑阁县人民法院信息化建设项目支出绩效目标自评表（2022年度）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7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信息化建设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主管部门（盖章）</w:t>
            </w: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剑阁县人民法院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实施单位（盖章）</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剑阁县人民法院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保障我院2022执行指挥系统维护、保障庭审直播系统、电子送达平台及办案网络正常运行，保障我院干警办公、办案工作质量，提升我院干警工作效率，加强“智慧法院”的建设再上新台阶。</w:t>
            </w:r>
          </w:p>
        </w:tc>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2022我院执行指挥系统正常运行，庭审直播系统、电子送达平台及办案网络正常运行，保障我院干警办公、办案工作质量，提升我院干警工作效率，我院的“智慧法院”的建设再上新台阶。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7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2022我院按时支付了庭审直播费、网络维护费，保障我院庭审直播平台、电子送达平台、及办案网络正常运行，保障我院干警办公、办案工作质量，提升我院干警工作效率。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36.33</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33.42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91.99%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1.预算执行率=预算执行数/调整后预算数，预算执行率未达到90%的需说明原因（100字以内）</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维护网络次数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庭审网络直播数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网络流畅、不卡顿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完成时间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没有持续跟踪项目进度，项目进展稍微滞后，预算执行率待提高。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预算资金控制数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33.42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没有持续跟踪项目进度，项目进展稍微滞后，预算执行率待提高。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推进司法公开，提高政法单位司法公信力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可持续发展指标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保障办公办案所需，提高审判质量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人民群众满意度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iCs w:val="0"/>
                <w:color w:val="auto"/>
                <w:sz w:val="18"/>
                <w:szCs w:val="18"/>
                <w:highlight w:val="none"/>
                <w:u w:val="none"/>
              </w:rPr>
            </w:pPr>
            <w:r>
              <w:rPr>
                <w:rFonts w:hint="default" w:ascii="Arial" w:hAnsi="Arial" w:eastAsia="宋体" w:cs="Arial"/>
                <w:i w:val="0"/>
                <w:iCs w:val="0"/>
                <w:color w:val="auto"/>
                <w:kern w:val="0"/>
                <w:sz w:val="18"/>
                <w:szCs w:val="18"/>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部门（单位）自评结论</w:t>
            </w:r>
          </w:p>
        </w:tc>
        <w:tc>
          <w:tcPr>
            <w:tcW w:w="8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专项绩效评定指标各项目量化评价，自评得分97分，2022我院按时支付了庭审直播费、网络维护费，保障我院庭审直播平台、电子送达平台、及办案网络正常运行，保障我院干警办公、办案工作质量，提升我院干警工作效率，我院的“智慧法院”的建设再上新台阶。因本年度没有持续跟踪项目进度，致项目进展稍微滞后，故截止年末剩余2.91万元没有支付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部门（单位）自评存在问题</w:t>
            </w:r>
          </w:p>
        </w:tc>
        <w:tc>
          <w:tcPr>
            <w:tcW w:w="8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项目经费支出使用编写完成了项目的整体方案。但在项目的实施过程中有些工作还需要改进，主要问题是：没有持续跟踪项目进度，本年度项目进展稍微滞后，故截止年末剩余2.91万元没有支付完毕，执行进度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部门（单位）自评改进措施</w:t>
            </w:r>
          </w:p>
        </w:tc>
        <w:tc>
          <w:tcPr>
            <w:tcW w:w="8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项目开展进度的跟踪，提高预算执行率。开展项目绩效评价，确保项目资金得到充分合理的运用，实行专款专用，认真审查项目的各项流程是否符合财务会计制度。健全财务制度，规范会计核算，不截留、挤占、挪用或超标准开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财政部门对口科室复评结论及整改要求</w:t>
            </w:r>
          </w:p>
        </w:tc>
        <w:tc>
          <w:tcPr>
            <w:tcW w:w="8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单位项目负责人：李晓</w:t>
            </w:r>
          </w:p>
        </w:tc>
        <w:tc>
          <w:tcPr>
            <w:tcW w:w="5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单位财务负责人：刘陶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部门项目负责人：李晓</w:t>
            </w:r>
          </w:p>
        </w:tc>
        <w:tc>
          <w:tcPr>
            <w:tcW w:w="5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部门财务负责人：刘陶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3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财政部门科室负责人：</w:t>
            </w:r>
          </w:p>
        </w:tc>
      </w:tr>
    </w:tbl>
    <w:p>
      <w:pPr>
        <w:shd w:val="clear"/>
        <w:rPr>
          <w:rFonts w:hint="eastAsia" w:ascii="仿宋_GB2312" w:hAnsi="仿宋_GB2312" w:eastAsia="仿宋_GB2312"/>
          <w:color w:val="auto"/>
          <w:sz w:val="32"/>
          <w:szCs w:val="24"/>
          <w:highlight w:val="none"/>
          <w:lang w:val="en-US"/>
        </w:rPr>
      </w:pPr>
    </w:p>
    <w:p>
      <w:pPr>
        <w:pStyle w:val="13"/>
        <w:shd w:val="clear"/>
        <w:rPr>
          <w:rFonts w:hint="eastAsia"/>
          <w:color w:val="auto"/>
          <w:highlight w:val="none"/>
          <w:lang w:val="en-US"/>
        </w:rPr>
      </w:pPr>
    </w:p>
    <w:p>
      <w:pPr>
        <w:shd w:val="clear"/>
        <w:spacing w:beforeLines="0" w:afterLines="0"/>
        <w:jc w:val="center"/>
        <w:outlineLvl w:val="0"/>
        <w:rPr>
          <w:rFonts w:hint="eastAsia" w:ascii="仿宋" w:hAnsi="仿宋" w:eastAsia="仿宋"/>
          <w:color w:val="auto"/>
          <w:kern w:val="2"/>
          <w:sz w:val="21"/>
          <w:szCs w:val="24"/>
          <w:highlight w:val="none"/>
          <w:lang w:val="en-US"/>
        </w:rPr>
      </w:pPr>
      <w:r>
        <w:rPr>
          <w:rFonts w:hint="eastAsia" w:ascii="黑体" w:hAnsi="黑体" w:eastAsia="黑体"/>
          <w:color w:val="auto"/>
          <w:kern w:val="2"/>
          <w:sz w:val="44"/>
          <w:szCs w:val="24"/>
          <w:highlight w:val="none"/>
          <w:lang w:val="en-US"/>
        </w:rPr>
        <w:br w:type="page"/>
      </w:r>
      <w:bookmarkStart w:id="25" w:name="_Toc18334"/>
      <w:r>
        <w:rPr>
          <w:rFonts w:hint="eastAsia" w:ascii="黑体" w:hAnsi="黑体" w:eastAsia="黑体"/>
          <w:color w:val="auto"/>
          <w:kern w:val="2"/>
          <w:sz w:val="44"/>
          <w:szCs w:val="24"/>
          <w:highlight w:val="none"/>
          <w:lang w:val="en-US"/>
        </w:rPr>
        <w:t>第</w:t>
      </w:r>
      <w:r>
        <w:rPr>
          <w:rFonts w:hint="eastAsia" w:ascii="黑体" w:hAnsi="黑体" w:eastAsia="黑体"/>
          <w:color w:val="auto"/>
          <w:kern w:val="44"/>
          <w:sz w:val="44"/>
          <w:szCs w:val="24"/>
          <w:highlight w:val="none"/>
          <w:lang w:val="en-US"/>
        </w:rPr>
        <w:t>五部分附表</w:t>
      </w:r>
      <w:bookmarkEnd w:id="25"/>
    </w:p>
    <w:p>
      <w:pPr>
        <w:keepNext w:val="0"/>
        <w:keepLines w:val="0"/>
        <w:pageBreakBefore w:val="0"/>
        <w:widowControl w:val="0"/>
        <w:shd w:val="clea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olor w:val="auto"/>
          <w:kern w:val="2"/>
          <w:sz w:val="32"/>
          <w:szCs w:val="24"/>
          <w:highlight w:val="none"/>
          <w:lang w:val="en-US"/>
        </w:rPr>
      </w:pPr>
    </w:p>
    <w:p>
      <w:pPr>
        <w:pStyle w:val="4"/>
        <w:shd w:val="clear"/>
        <w:bidi w:val="0"/>
        <w:rPr>
          <w:rFonts w:hint="eastAsia"/>
          <w:color w:val="auto"/>
          <w:highlight w:val="none"/>
          <w:lang w:val="en-US"/>
        </w:rPr>
      </w:pPr>
      <w:bookmarkStart w:id="26" w:name="_Toc26265"/>
      <w:r>
        <w:rPr>
          <w:rFonts w:hint="eastAsia"/>
          <w:color w:val="auto"/>
          <w:highlight w:val="none"/>
          <w:lang w:val="en-US"/>
        </w:rPr>
        <w:t>一、收入支出决算总表</w:t>
      </w:r>
      <w:bookmarkEnd w:id="26"/>
    </w:p>
    <w:p>
      <w:pPr>
        <w:pStyle w:val="4"/>
        <w:shd w:val="clear"/>
        <w:bidi w:val="0"/>
        <w:rPr>
          <w:rFonts w:hint="eastAsia"/>
          <w:color w:val="auto"/>
          <w:highlight w:val="none"/>
          <w:lang w:val="en-US"/>
        </w:rPr>
      </w:pPr>
      <w:bookmarkStart w:id="27" w:name="_Toc1943"/>
      <w:r>
        <w:rPr>
          <w:rFonts w:hint="eastAsia"/>
          <w:color w:val="auto"/>
          <w:highlight w:val="none"/>
          <w:lang w:val="en-US"/>
        </w:rPr>
        <w:t>二、收入决算表</w:t>
      </w:r>
      <w:bookmarkEnd w:id="27"/>
    </w:p>
    <w:p>
      <w:pPr>
        <w:pStyle w:val="4"/>
        <w:shd w:val="clear"/>
        <w:bidi w:val="0"/>
        <w:rPr>
          <w:rFonts w:hint="eastAsia"/>
          <w:color w:val="auto"/>
          <w:highlight w:val="none"/>
          <w:lang w:val="en-US"/>
        </w:rPr>
      </w:pPr>
      <w:bookmarkStart w:id="28" w:name="_Toc576"/>
      <w:r>
        <w:rPr>
          <w:rFonts w:hint="eastAsia"/>
          <w:color w:val="auto"/>
          <w:highlight w:val="none"/>
          <w:lang w:val="en-US"/>
        </w:rPr>
        <w:t>三、支出决算表</w:t>
      </w:r>
      <w:bookmarkEnd w:id="28"/>
    </w:p>
    <w:p>
      <w:pPr>
        <w:pStyle w:val="4"/>
        <w:shd w:val="clear"/>
        <w:bidi w:val="0"/>
        <w:rPr>
          <w:rFonts w:hint="eastAsia"/>
          <w:color w:val="auto"/>
          <w:highlight w:val="none"/>
          <w:lang w:val="en-US"/>
        </w:rPr>
      </w:pPr>
      <w:bookmarkStart w:id="29" w:name="_Toc13068"/>
      <w:r>
        <w:rPr>
          <w:rFonts w:hint="eastAsia"/>
          <w:color w:val="auto"/>
          <w:highlight w:val="none"/>
          <w:lang w:val="en-US"/>
        </w:rPr>
        <w:t>四、财政拨款收入支出决算总表</w:t>
      </w:r>
      <w:bookmarkEnd w:id="29"/>
    </w:p>
    <w:p>
      <w:pPr>
        <w:pStyle w:val="4"/>
        <w:shd w:val="clear"/>
        <w:bidi w:val="0"/>
        <w:rPr>
          <w:rFonts w:hint="eastAsia"/>
          <w:color w:val="auto"/>
          <w:highlight w:val="none"/>
          <w:lang w:val="en-US"/>
        </w:rPr>
      </w:pPr>
      <w:bookmarkStart w:id="30" w:name="_Toc20799"/>
      <w:r>
        <w:rPr>
          <w:rFonts w:hint="eastAsia"/>
          <w:color w:val="auto"/>
          <w:highlight w:val="none"/>
          <w:lang w:val="en-US"/>
        </w:rPr>
        <w:t>五、财政拨款支出决算明细表</w:t>
      </w:r>
      <w:bookmarkEnd w:id="30"/>
    </w:p>
    <w:p>
      <w:pPr>
        <w:pStyle w:val="4"/>
        <w:shd w:val="clear"/>
        <w:bidi w:val="0"/>
        <w:rPr>
          <w:rFonts w:hint="eastAsia"/>
          <w:color w:val="auto"/>
          <w:highlight w:val="none"/>
          <w:lang w:val="en-US"/>
        </w:rPr>
      </w:pPr>
      <w:bookmarkStart w:id="31" w:name="_Toc27662"/>
      <w:r>
        <w:rPr>
          <w:rFonts w:hint="eastAsia"/>
          <w:color w:val="auto"/>
          <w:highlight w:val="none"/>
          <w:lang w:val="en-US"/>
        </w:rPr>
        <w:t>六、一般公共预算财政拨款支出决算表</w:t>
      </w:r>
      <w:bookmarkEnd w:id="31"/>
    </w:p>
    <w:p>
      <w:pPr>
        <w:pStyle w:val="4"/>
        <w:shd w:val="clear"/>
        <w:bidi w:val="0"/>
        <w:rPr>
          <w:rFonts w:hint="eastAsia"/>
          <w:color w:val="auto"/>
          <w:highlight w:val="none"/>
          <w:lang w:val="en-US"/>
        </w:rPr>
      </w:pPr>
      <w:bookmarkStart w:id="32" w:name="_Toc26075"/>
      <w:r>
        <w:rPr>
          <w:rFonts w:hint="eastAsia"/>
          <w:color w:val="auto"/>
          <w:highlight w:val="none"/>
          <w:lang w:val="en-US"/>
        </w:rPr>
        <w:t>七、一般公共预算财政拨款支出决算明细表</w:t>
      </w:r>
      <w:bookmarkEnd w:id="32"/>
    </w:p>
    <w:p>
      <w:pPr>
        <w:pStyle w:val="4"/>
        <w:shd w:val="clear"/>
        <w:bidi w:val="0"/>
        <w:rPr>
          <w:rFonts w:hint="eastAsia"/>
          <w:color w:val="auto"/>
          <w:highlight w:val="none"/>
          <w:lang w:val="en-US"/>
        </w:rPr>
      </w:pPr>
      <w:bookmarkStart w:id="33" w:name="_Toc23163"/>
      <w:r>
        <w:rPr>
          <w:rFonts w:hint="eastAsia"/>
          <w:color w:val="auto"/>
          <w:highlight w:val="none"/>
          <w:lang w:val="en-US"/>
        </w:rPr>
        <w:t>八、一般公共预算财政拨款基本支出决算表</w:t>
      </w:r>
      <w:bookmarkEnd w:id="33"/>
    </w:p>
    <w:p>
      <w:pPr>
        <w:pStyle w:val="4"/>
        <w:shd w:val="clear"/>
        <w:bidi w:val="0"/>
        <w:rPr>
          <w:rFonts w:hint="eastAsia"/>
          <w:color w:val="auto"/>
          <w:highlight w:val="none"/>
          <w:lang w:val="en-US"/>
        </w:rPr>
      </w:pPr>
      <w:bookmarkStart w:id="34" w:name="_Toc21623"/>
      <w:r>
        <w:rPr>
          <w:rFonts w:hint="eastAsia"/>
          <w:color w:val="auto"/>
          <w:highlight w:val="none"/>
          <w:lang w:val="en-US"/>
        </w:rPr>
        <w:t>九、一般公共预算财政拨款项目支出决算表</w:t>
      </w:r>
      <w:bookmarkEnd w:id="34"/>
    </w:p>
    <w:p>
      <w:pPr>
        <w:pStyle w:val="4"/>
        <w:shd w:val="clear"/>
        <w:bidi w:val="0"/>
        <w:rPr>
          <w:rFonts w:hint="eastAsia"/>
          <w:color w:val="auto"/>
          <w:highlight w:val="none"/>
          <w:lang w:val="en-US"/>
        </w:rPr>
      </w:pPr>
      <w:bookmarkStart w:id="35" w:name="_Toc9502"/>
      <w:r>
        <w:rPr>
          <w:rFonts w:hint="eastAsia"/>
          <w:color w:val="auto"/>
          <w:highlight w:val="none"/>
          <w:lang w:val="en-US"/>
        </w:rPr>
        <w:t>十、政府性基金预算财政拨款收入支出决算表</w:t>
      </w:r>
      <w:bookmarkEnd w:id="35"/>
    </w:p>
    <w:p>
      <w:pPr>
        <w:pStyle w:val="4"/>
        <w:shd w:val="clear"/>
        <w:bidi w:val="0"/>
        <w:rPr>
          <w:rFonts w:hint="eastAsia"/>
          <w:color w:val="auto"/>
          <w:highlight w:val="none"/>
          <w:lang w:val="en-US"/>
        </w:rPr>
      </w:pPr>
      <w:bookmarkStart w:id="36" w:name="_Toc25794"/>
      <w:r>
        <w:rPr>
          <w:rFonts w:hint="eastAsia"/>
          <w:color w:val="auto"/>
          <w:highlight w:val="none"/>
          <w:lang w:val="en-US"/>
        </w:rPr>
        <w:t>十一、国有资本经营预算财政拨款收入支出决算表</w:t>
      </w:r>
      <w:bookmarkEnd w:id="36"/>
    </w:p>
    <w:p>
      <w:pPr>
        <w:pStyle w:val="4"/>
        <w:shd w:val="clear"/>
        <w:bidi w:val="0"/>
        <w:rPr>
          <w:rFonts w:hint="eastAsia"/>
          <w:color w:val="auto"/>
          <w:highlight w:val="none"/>
          <w:lang w:val="en-US"/>
        </w:rPr>
      </w:pPr>
      <w:bookmarkStart w:id="37" w:name="_Toc2232"/>
      <w:r>
        <w:rPr>
          <w:rFonts w:hint="eastAsia"/>
          <w:color w:val="auto"/>
          <w:highlight w:val="none"/>
          <w:lang w:val="en-US"/>
        </w:rPr>
        <w:t>十二、国有资本经营预算财政拨款支出决算表</w:t>
      </w:r>
      <w:bookmarkEnd w:id="37"/>
    </w:p>
    <w:p>
      <w:pPr>
        <w:pStyle w:val="4"/>
        <w:shd w:val="clear"/>
        <w:bidi w:val="0"/>
        <w:rPr>
          <w:rFonts w:hint="eastAsia"/>
          <w:color w:val="auto"/>
          <w:highlight w:val="none"/>
          <w:lang w:val="en-US"/>
        </w:rPr>
      </w:pPr>
      <w:bookmarkStart w:id="38" w:name="_Toc19747"/>
      <w:r>
        <w:rPr>
          <w:rFonts w:hint="eastAsia"/>
          <w:color w:val="auto"/>
          <w:highlight w:val="none"/>
          <w:lang w:val="en-US"/>
        </w:rPr>
        <w:t>十三、财政拨款“三公”经费支出决算表</w:t>
      </w:r>
      <w:bookmarkEnd w:id="38"/>
    </w:p>
    <w:p>
      <w:pPr>
        <w:shd w:val="clear"/>
        <w:rPr>
          <w:rFonts w:hint="eastAsia" w:ascii="仿宋_GB2312" w:hAnsi="仿宋_GB2312" w:eastAsia="仿宋_GB2312" w:cs="仿宋_GB2312"/>
          <w:color w:val="auto"/>
          <w:sz w:val="32"/>
          <w:szCs w:val="32"/>
          <w:highlight w:val="none"/>
          <w:lang w:val="en-US"/>
        </w:rPr>
      </w:pPr>
    </w:p>
    <w:sectPr>
      <w:footerReference r:id="rId5" w:type="default"/>
      <w:pgSz w:w="12240" w:h="15840"/>
      <w:pgMar w:top="1440" w:right="1417" w:bottom="1440" w:left="1417" w:header="720" w:footer="720" w:gutter="0"/>
      <w:lnNumType w:countBy="0" w:distance="36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Times New Roman"/>
    <w:panose1 w:val="02010609030101010101"/>
    <w:charset w:val="86"/>
    <w:family w:val="modern"/>
    <w:pitch w:val="default"/>
    <w:sig w:usb0="00000000" w:usb1="00000000" w:usb2="00000010" w:usb3="00000000" w:csb0="00040000" w:csb1="00000000"/>
  </w:font>
  <w:font w:name="仿宋">
    <w:altName w:val="Times New Roman"/>
    <w:panose1 w:val="02010609060101010101"/>
    <w:charset w:val="86"/>
    <w:family w:val="modern"/>
    <w:pitch w:val="default"/>
    <w:sig w:usb0="00000000" w:usb1="00000000" w:usb2="00000016" w:usb3="00000000" w:csb0="00040001" w:csb1="00000000"/>
  </w:font>
  <w:font w:name="方正小标宋简体">
    <w:altName w:val="Times New Roman"/>
    <w:panose1 w:val="02000000000000000000"/>
    <w:charset w:val="86"/>
    <w:family w:val="script"/>
    <w:pitch w:val="default"/>
    <w:sig w:usb0="00000000" w:usb1="00000000" w:usb2="00000000" w:usb3="00000000" w:csb0="00040000" w:csb1="00000000"/>
  </w:font>
  <w:font w:name="Cambria">
    <w:altName w:val="Georgia"/>
    <w:panose1 w:val="02040503050406030204"/>
    <w:charset w:val="00"/>
    <w:family w:val="roman"/>
    <w:pitch w:val="default"/>
    <w:sig w:usb0="00000000" w:usb1="00000000" w:usb2="02000000" w:usb3="00000000" w:csb0="200001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20"/>
        <w:tab w:val="clear" w:pos="4153"/>
      </w:tabs>
      <w:spacing w:beforeLines="0" w:afterLines="0"/>
      <w:rPr>
        <w:rFonts w:hint="default"/>
        <w:sz w:val="18"/>
        <w:szCs w:val="24"/>
      </w:rPr>
    </w:pPr>
    <w:r>
      <w:rPr>
        <w:rFonts w:hint="default"/>
        <w:sz w:val="18"/>
        <w:szCs w:val="24"/>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20"/>
        <w:tab w:val="clear" w:pos="4153"/>
      </w:tabs>
      <w:spacing w:beforeLines="0" w:afterLines="0"/>
      <w:rPr>
        <w:rFonts w:hint="default"/>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24"/>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D3F6B"/>
    <w:multiLevelType w:val="multilevel"/>
    <w:tmpl w:val="947D3F6B"/>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6FBAA26"/>
    <w:multiLevelType w:val="multilevel"/>
    <w:tmpl w:val="B6FBAA26"/>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DEBEF323"/>
    <w:multiLevelType w:val="multilevel"/>
    <w:tmpl w:val="DEBEF323"/>
    <w:lvl w:ilvl="0" w:tentative="0">
      <w:start w:val="4"/>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E4B46E4E"/>
    <w:multiLevelType w:val="multilevel"/>
    <w:tmpl w:val="E4B46E4E"/>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ECBD4201"/>
    <w:multiLevelType w:val="singleLevel"/>
    <w:tmpl w:val="ECBD4201"/>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abstractNum w:abstractNumId="5">
    <w:nsid w:val="3E2302E5"/>
    <w:multiLevelType w:val="multilevel"/>
    <w:tmpl w:val="3E2302E5"/>
    <w:lvl w:ilvl="0" w:tentative="0">
      <w:start w:val="3"/>
      <w:numFmt w:val="chineseCounting"/>
      <w:suff w:val="space"/>
      <w:lvlText w:val="第%1部分"/>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2CD1E8C"/>
    <w:rsid w:val="057F2AA0"/>
    <w:rsid w:val="0ACC30B8"/>
    <w:rsid w:val="0CC32BCB"/>
    <w:rsid w:val="15E50F8E"/>
    <w:rsid w:val="1FD71DAD"/>
    <w:rsid w:val="20377CCF"/>
    <w:rsid w:val="2699707D"/>
    <w:rsid w:val="2A6E7887"/>
    <w:rsid w:val="2D15593A"/>
    <w:rsid w:val="3251234F"/>
    <w:rsid w:val="34492783"/>
    <w:rsid w:val="3C104043"/>
    <w:rsid w:val="43E0541A"/>
    <w:rsid w:val="47BB1D35"/>
    <w:rsid w:val="4B1154BD"/>
    <w:rsid w:val="4EAF7830"/>
    <w:rsid w:val="4FCA2133"/>
    <w:rsid w:val="50713F3A"/>
    <w:rsid w:val="52056214"/>
    <w:rsid w:val="58855680"/>
    <w:rsid w:val="607F337F"/>
    <w:rsid w:val="610A0923"/>
    <w:rsid w:val="645A02DA"/>
    <w:rsid w:val="65FB3EB8"/>
    <w:rsid w:val="6D417E13"/>
    <w:rsid w:val="6F3931B2"/>
    <w:rsid w:val="6F5B7934"/>
    <w:rsid w:val="6F89118C"/>
    <w:rsid w:val="71956B0C"/>
    <w:rsid w:val="72566824"/>
    <w:rsid w:val="79DD5F66"/>
    <w:rsid w:val="7A4B4BB4"/>
    <w:rsid w:val="7CB66AC5"/>
    <w:rsid w:val="AE6F7903"/>
    <w:rsid w:val="FF7E4F1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uiPriority="99" w:semiHidden="0" w:name="heading 1"/>
    <w:lsdException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3">
    <w:name w:val="heading 1"/>
    <w:basedOn w:val="1"/>
    <w:next w:val="1"/>
    <w:link w:val="18"/>
    <w:unhideWhenUsed/>
    <w:uiPriority w:val="99"/>
    <w:pPr>
      <w:widowControl w:val="0"/>
      <w:autoSpaceDE w:val="0"/>
      <w:autoSpaceDN w:val="0"/>
      <w:adjustRightInd w:val="0"/>
      <w:spacing w:beforeLines="0" w:afterLines="0"/>
    </w:pPr>
    <w:rPr>
      <w:rFonts w:hint="default"/>
      <w:sz w:val="24"/>
      <w:szCs w:val="24"/>
    </w:rPr>
  </w:style>
  <w:style w:type="paragraph" w:styleId="4">
    <w:name w:val="heading 2"/>
    <w:basedOn w:val="1"/>
    <w:next w:val="1"/>
    <w:link w:val="19"/>
    <w:unhideWhenUsed/>
    <w:uiPriority w:val="99"/>
    <w:pPr>
      <w:widowControl w:val="0"/>
      <w:autoSpaceDE w:val="0"/>
      <w:autoSpaceDN w:val="0"/>
      <w:adjustRightInd w:val="0"/>
      <w:spacing w:beforeLines="0" w:afterLines="0"/>
    </w:pPr>
    <w:rPr>
      <w:rFonts w:hint="default"/>
      <w:sz w:val="24"/>
      <w:szCs w:val="24"/>
    </w:rPr>
  </w:style>
  <w:style w:type="character" w:default="1" w:styleId="15">
    <w:name w:val="Default Paragraph Font"/>
    <w:unhideWhenUsed/>
    <w:uiPriority w:val="99"/>
    <w:rPr>
      <w:rFonts w:hint="default"/>
      <w:sz w:val="24"/>
      <w:szCs w:val="24"/>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Lines="30" w:afterLines="0"/>
    </w:pPr>
    <w:rPr>
      <w:rFonts w:hint="eastAsia" w:ascii="仿宋_GB2312" w:hAnsi="Times New Roman" w:eastAsia="仿宋_GB2312"/>
      <w:sz w:val="30"/>
      <w:szCs w:val="24"/>
    </w:rPr>
  </w:style>
  <w:style w:type="paragraph" w:styleId="5">
    <w:name w:val="Normal Indent"/>
    <w:basedOn w:val="1"/>
    <w:unhideWhenUsed/>
    <w:qFormat/>
    <w:uiPriority w:val="0"/>
    <w:pPr>
      <w:spacing w:beforeLines="0" w:afterLines="0"/>
      <w:ind w:firstLine="420"/>
    </w:pPr>
    <w:rPr>
      <w:rFonts w:hint="eastAsia" w:ascii="Times New Roman" w:hAnsi="Times New Roman" w:eastAsia="Times New Roman" w:cs="Times New Roman"/>
      <w:sz w:val="24"/>
      <w:szCs w:val="20"/>
    </w:rPr>
  </w:style>
  <w:style w:type="paragraph" w:styleId="6">
    <w:name w:val="Salutation"/>
    <w:basedOn w:val="1"/>
    <w:next w:val="1"/>
    <w:unhideWhenUsed/>
    <w:qFormat/>
    <w:uiPriority w:val="0"/>
    <w:pPr>
      <w:spacing w:beforeLines="0" w:afterLines="0"/>
    </w:pPr>
    <w:rPr>
      <w:rFonts w:hint="eastAsia" w:ascii="Times New Roman" w:hAnsi="Times New Roman" w:eastAsia="Times New Roman"/>
      <w:sz w:val="24"/>
      <w:szCs w:val="24"/>
    </w:rPr>
  </w:style>
  <w:style w:type="paragraph" w:styleId="7">
    <w:name w:val="Body Text Indent"/>
    <w:basedOn w:val="1"/>
    <w:unhideWhenUsed/>
    <w:qFormat/>
    <w:uiPriority w:val="0"/>
    <w:pPr>
      <w:spacing w:beforeLines="0" w:afterLines="0"/>
      <w:ind w:firstLine="640" w:firstLineChars="200"/>
    </w:pPr>
    <w:rPr>
      <w:rFonts w:hint="eastAsia" w:ascii="仿宋_GB2312" w:hAnsi="Times New Roman" w:eastAsia="仿宋_GB2312"/>
      <w:sz w:val="32"/>
      <w:szCs w:val="24"/>
    </w:rPr>
  </w:style>
  <w:style w:type="paragraph" w:styleId="8">
    <w:name w:val="footer"/>
    <w:basedOn w:val="1"/>
    <w:unhideWhenUsed/>
    <w:qFormat/>
    <w:uiPriority w:val="99"/>
    <w:pPr>
      <w:tabs>
        <w:tab w:val="center" w:pos="4153"/>
        <w:tab w:val="right" w:pos="8306"/>
      </w:tabs>
      <w:snapToGrid w:val="0"/>
      <w:spacing w:beforeLines="0" w:afterLines="0"/>
    </w:pPr>
    <w:rPr>
      <w:rFonts w:hint="default"/>
      <w:sz w:val="18"/>
      <w:szCs w:val="24"/>
    </w:rPr>
  </w:style>
  <w:style w:type="paragraph" w:styleId="9">
    <w:name w:val="header"/>
    <w:basedOn w:val="1"/>
    <w:unhideWhenUsed/>
    <w:qFormat/>
    <w:uiPriority w:val="99"/>
    <w:pPr>
      <w:tabs>
        <w:tab w:val="center" w:pos="4153"/>
        <w:tab w:val="right" w:pos="8306"/>
      </w:tabs>
      <w:snapToGrid w:val="0"/>
      <w:spacing w:beforeLines="0" w:afterLines="0"/>
      <w:jc w:val="both"/>
    </w:pPr>
    <w:rPr>
      <w:rFonts w:hint="default"/>
      <w:sz w:val="18"/>
      <w:szCs w:val="24"/>
    </w:rPr>
  </w:style>
  <w:style w:type="paragraph" w:styleId="10">
    <w:name w:val="toc 1"/>
    <w:basedOn w:val="1"/>
    <w:next w:val="1"/>
    <w:unhideWhenUsed/>
    <w:qFormat/>
    <w:uiPriority w:val="39"/>
    <w:pPr>
      <w:tabs>
        <w:tab w:val="right" w:leader="dot" w:pos="8296"/>
      </w:tabs>
      <w:spacing w:before="93" w:beforeLines="0" w:afterLines="0"/>
      <w:jc w:val="center"/>
    </w:pPr>
    <w:rPr>
      <w:rFonts w:hint="eastAsia" w:ascii="仿宋" w:hAnsi="仿宋" w:eastAsia="仿宋"/>
      <w:sz w:val="28"/>
      <w:szCs w:val="24"/>
    </w:rPr>
  </w:style>
  <w:style w:type="paragraph" w:styleId="11">
    <w:name w:val="toc 2"/>
    <w:basedOn w:val="1"/>
    <w:next w:val="1"/>
    <w:unhideWhenUsed/>
    <w:qFormat/>
    <w:uiPriority w:val="39"/>
    <w:pPr>
      <w:tabs>
        <w:tab w:val="right" w:leader="dot" w:pos="8296"/>
      </w:tabs>
      <w:spacing w:beforeLines="0" w:afterLines="0"/>
      <w:ind w:left="420" w:leftChars="200"/>
    </w:pPr>
    <w:rPr>
      <w:rFonts w:hint="default"/>
      <w:sz w:val="24"/>
      <w:szCs w:val="24"/>
    </w:rPr>
  </w:style>
  <w:style w:type="paragraph" w:styleId="12">
    <w:name w:val="Normal (Web)"/>
    <w:basedOn w:val="1"/>
    <w:unhideWhenUsed/>
    <w:qFormat/>
    <w:uiPriority w:val="0"/>
    <w:pPr>
      <w:spacing w:beforeLines="0" w:afterLines="0"/>
    </w:pPr>
    <w:rPr>
      <w:rFonts w:hint="default"/>
      <w:sz w:val="24"/>
      <w:szCs w:val="24"/>
    </w:rPr>
  </w:style>
  <w:style w:type="paragraph" w:styleId="13">
    <w:name w:val="Body Text First Indent 2"/>
    <w:basedOn w:val="7"/>
    <w:next w:val="1"/>
    <w:unhideWhenUsed/>
    <w:qFormat/>
    <w:uiPriority w:val="99"/>
    <w:pPr>
      <w:spacing w:beforeLines="0" w:afterLines="0"/>
      <w:ind w:firstLine="420"/>
    </w:pPr>
    <w:rPr>
      <w:rFonts w:hint="eastAsia" w:ascii="Times New Roman" w:eastAsia="Times New Roman"/>
      <w:sz w:val="32"/>
      <w:szCs w:val="24"/>
    </w:rPr>
  </w:style>
  <w:style w:type="character" w:styleId="16">
    <w:name w:val="Strong"/>
    <w:basedOn w:val="15"/>
    <w:unhideWhenUsed/>
    <w:qFormat/>
    <w:uiPriority w:val="99"/>
    <w:rPr>
      <w:rFonts w:hint="default"/>
      <w:b/>
      <w:sz w:val="24"/>
      <w:szCs w:val="24"/>
    </w:rPr>
  </w:style>
  <w:style w:type="character" w:styleId="17">
    <w:name w:val="Hyperlink"/>
    <w:basedOn w:val="15"/>
    <w:unhideWhenUsed/>
    <w:qFormat/>
    <w:uiPriority w:val="99"/>
    <w:rPr>
      <w:rFonts w:hint="default"/>
      <w:color w:val="0000FF"/>
      <w:sz w:val="24"/>
      <w:szCs w:val="24"/>
      <w:u w:val="single"/>
    </w:rPr>
  </w:style>
  <w:style w:type="character" w:customStyle="1" w:styleId="18">
    <w:name w:val="标题 1 Char"/>
    <w:basedOn w:val="15"/>
    <w:link w:val="3"/>
    <w:qFormat/>
    <w:uiPriority w:val="9"/>
    <w:rPr>
      <w:rFonts w:hint="default"/>
      <w:sz w:val="24"/>
      <w:szCs w:val="24"/>
    </w:rPr>
  </w:style>
  <w:style w:type="character" w:customStyle="1" w:styleId="19">
    <w:name w:val="标题 2 Char"/>
    <w:basedOn w:val="15"/>
    <w:link w:val="4"/>
    <w:qFormat/>
    <w:uiPriority w:val="9"/>
    <w:rPr>
      <w:rFonts w:hint="default"/>
      <w:sz w:val="24"/>
      <w:szCs w:val="24"/>
    </w:rPr>
  </w:style>
  <w:style w:type="paragraph" w:customStyle="1" w:styleId="20">
    <w:name w:val="文本"/>
    <w:basedOn w:val="1"/>
    <w:next w:val="5"/>
    <w:unhideWhenUsed/>
    <w:qFormat/>
    <w:uiPriority w:val="0"/>
    <w:pPr>
      <w:spacing w:beforeLines="0" w:afterLines="0"/>
      <w:ind w:firstLine="480"/>
    </w:pPr>
    <w:rPr>
      <w:rFonts w:hint="default" w:cs="宋体"/>
      <w:color w:val="000000"/>
      <w:spacing w:val="-8"/>
      <w:sz w:val="24"/>
      <w:szCs w:val="24"/>
    </w:rPr>
  </w:style>
  <w:style w:type="paragraph" w:customStyle="1" w:styleId="21">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paragraph" w:customStyle="1" w:styleId="22">
    <w:name w:val="WPSOffice手动目录 1"/>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22&#24180;&#20915;&#31639;&#35828;&#26126;&#23548;&#65288;&#21073;&#38401;&#27861;&#38498;&#65289;.rtf"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2270;&#34920;%20&#22312;%202022&#24180;&#20915;&#31639;&#35828;&#26126;&#23548;&#65288;&#21073;&#38401;&#27861;&#38498;&#65289;.rtf"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2022&#24180;&#20915;&#31639;&#35828;&#26126;&#23548;&#65288;&#21073;&#38401;&#27861;&#38498;&#65289;.rtf"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2270;&#34920;%20&#22312;%202022&#24180;&#20915;&#31639;&#35828;&#26126;&#23548;&#65288;&#21073;&#38401;&#27861;&#38498;&#65289;.rtf"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2270;&#34920;%20&#22312;%202022&#24180;&#20915;&#31639;&#35828;&#26126;&#23548;&#65288;&#21073;&#38401;&#27861;&#38498;&#65289;.rtf"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2270;&#34920;%20&#22312;%202022&#24180;&#20915;&#31639;&#35828;&#26126;&#23548;&#65288;&#21073;&#38401;&#27861;&#38498;&#65289;.rtf"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barChart>
        <c:barDir val="col"/>
        <c:grouping val="clustered"/>
        <c:varyColors val="0"/>
        <c:ser>
          <c:idx val="0"/>
          <c:order val="0"/>
          <c:tx>
            <c:strRef>
              <c:f>'[图表 在 2022年决算说明导（剑阁法院）.rtf]Sheet1'!$B$3</c:f>
              <c:strCache>
                <c:ptCount val="1"/>
                <c:pt idx="0">
                  <c:v>收入总计</c:v>
                </c:pt>
              </c:strCache>
            </c:strRef>
          </c:tx>
          <c:spPr>
            <a:solidFill>
              <a:srgbClr val="5B9BD5">
                <a:alpha val="100000"/>
              </a:srgbClr>
            </a:solidFill>
            <a:ln w="3175">
              <a:noFill/>
            </a:ln>
          </c:spPr>
          <c:invertIfNegative val="0"/>
          <c:dLbls>
            <c:delete val="1"/>
          </c:dLbls>
          <c:cat>
            <c:strRef>
              <c:f>[0104a8931]Sheet1!$C$2:$D$2</c:f>
              <c:strCache>
                <c:ptCount val="2"/>
                <c:pt idx="0">
                  <c:v>2021年</c:v>
                </c:pt>
                <c:pt idx="1">
                  <c:v>2022年</c:v>
                </c:pt>
              </c:strCache>
            </c:strRef>
          </c:cat>
          <c:val>
            <c:numRef>
              <c:f>[0104a8931]Sheet1!$C$3:$D$3</c:f>
              <c:numCache>
                <c:formatCode>General</c:formatCode>
                <c:ptCount val="2"/>
                <c:pt idx="0">
                  <c:v>5111.13</c:v>
                </c:pt>
                <c:pt idx="1">
                  <c:v>3939.68</c:v>
                </c:pt>
              </c:numCache>
            </c:numRef>
          </c:val>
        </c:ser>
        <c:ser>
          <c:idx val="1"/>
          <c:order val="1"/>
          <c:tx>
            <c:strRef>
              <c:f>'[图表 在 2022年决算说明导（剑阁法院）.rtf]Sheet1'!$B$4</c:f>
              <c:strCache>
                <c:ptCount val="1"/>
                <c:pt idx="0">
                  <c:v>支出总计</c:v>
                </c:pt>
              </c:strCache>
            </c:strRef>
          </c:tx>
          <c:spPr>
            <a:solidFill>
              <a:srgbClr val="ED7D31">
                <a:alpha val="100000"/>
              </a:srgbClr>
            </a:solidFill>
            <a:ln w="3175">
              <a:noFill/>
            </a:ln>
          </c:spPr>
          <c:invertIfNegative val="0"/>
          <c:dLbls>
            <c:delete val="1"/>
          </c:dLbls>
          <c:cat>
            <c:strRef>
              <c:f>[0104a8931]Sheet1!$C$2:$D$2</c:f>
              <c:strCache>
                <c:ptCount val="2"/>
                <c:pt idx="0">
                  <c:v>2021年</c:v>
                </c:pt>
                <c:pt idx="1">
                  <c:v>2022年</c:v>
                </c:pt>
              </c:strCache>
            </c:strRef>
          </c:cat>
          <c:val>
            <c:numRef>
              <c:f>[0104a8931]Sheet1!$C$4:$D$4</c:f>
              <c:numCache>
                <c:formatCode>General</c:formatCode>
                <c:ptCount val="2"/>
                <c:pt idx="0">
                  <c:v>5111.13</c:v>
                </c:pt>
                <c:pt idx="1">
                  <c:v>3939.68</c:v>
                </c:pt>
              </c:numCache>
            </c:numRef>
          </c:val>
        </c:ser>
        <c:ser>
          <c:idx val="2"/>
          <c:order val="2"/>
          <c:tx>
            <c:strRef>
              <c:f>'[图表 在 2022年决算说明导（剑阁法院）.rtf]Sheet1'!#REF!</c:f>
              <c:strCache>
                <c:ptCount val="1"/>
                <c:pt idx="0">
                  <c:v/>
                </c:pt>
              </c:strCache>
            </c:strRef>
          </c:tx>
          <c:spPr>
            <a:solidFill>
              <a:srgbClr val="A5A5A5">
                <a:alpha val="100000"/>
              </a:srgbClr>
            </a:solidFill>
            <a:ln w="3175">
              <a:noFill/>
            </a:ln>
          </c:spPr>
          <c:invertIfNegative val="0"/>
          <c:dLbls>
            <c:delete val="1"/>
          </c:dLbls>
          <c:cat>
            <c:strRef>
              <c:f>[0104a8931]Sheet1!$C$2:$D$2</c:f>
              <c:strCache>
                <c:ptCount val="2"/>
                <c:pt idx="0">
                  <c:v>2021年</c:v>
                </c:pt>
                <c:pt idx="1">
                  <c:v>2022年</c:v>
                </c:pt>
              </c:strCache>
            </c:strRef>
          </c:cat>
          <c:val>
            <c:numRef>
              <c:f>[0104a8931]Sheet1!#REF!</c:f>
              <c:numCache>
                <c:formatCode>General</c:formatCode>
                <c:ptCount val="1"/>
              </c:numCache>
            </c:numRef>
          </c:val>
        </c:ser>
        <c:dLbls>
          <c:showLegendKey val="0"/>
          <c:showVal val="0"/>
          <c:showCatName val="0"/>
          <c:showSerName val="0"/>
          <c:showPercent val="0"/>
          <c:showBubbleSize val="0"/>
        </c:dLbls>
        <c:gapWidth val="219"/>
        <c:overlap val="-27"/>
        <c:axId val="493360383"/>
        <c:axId val="197669170"/>
      </c:barChart>
      <c:catAx>
        <c:axId val="493360383"/>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97669170"/>
        <c:crosses val="autoZero"/>
        <c:auto val="1"/>
        <c:lblAlgn val="ctr"/>
        <c:lblOffset val="100"/>
        <c:noMultiLvlLbl val="0"/>
      </c:catAx>
      <c:valAx>
        <c:axId val="197669170"/>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93360383"/>
        <c:crosses val="autoZero"/>
        <c:crossBetween val="between"/>
      </c:valAx>
      <c:spPr>
        <a:noFill/>
        <a:ln w="3175">
          <a:noFill/>
        </a:ln>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2756183745583"/>
          <c:y val="0.024305555555555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'[图表 在 2022年决算说明导（剑阁法院）.rtf]Sheet1'!$B$3</c:f>
              <c:strCache>
                <c:ptCount val="1"/>
                <c:pt idx="0">
                  <c:v>2022年本年收入合计</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'[图表 在 2022年决算说明导（剑阁法院）.rtf]Sheet1'!$C$2:$D$2</c:f>
              <c:strCache>
                <c:ptCount val="2"/>
                <c:pt idx="0">
                  <c:v>一般公共预算财政拨款收入</c:v>
                </c:pt>
                <c:pt idx="1">
                  <c:v>其他收入</c:v>
                </c:pt>
              </c:strCache>
            </c:strRef>
          </c:cat>
          <c:val>
            <c:numRef>
              <c:f>'[图表 在 2022年决算说明导（剑阁法院）.rtf]Sheet1'!$C$3:$D$3</c:f>
              <c:numCache>
                <c:formatCode>General</c:formatCode>
                <c:ptCount val="2"/>
                <c:pt idx="0">
                  <c:v>1695.68</c:v>
                </c:pt>
                <c:pt idx="1">
                  <c:v>591.2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'[图表 在 2022年决算说明导（剑阁法院）.rtf]Sheet1'!$B$3</c:f>
              <c:strCache>
                <c:ptCount val="1"/>
                <c:pt idx="0">
                  <c:v>2022年本年支出合计</c:v>
                </c:pt>
              </c:strCache>
            </c:strRef>
          </c:tx>
          <c:spPr>
            <a:solidFill>
              <a:srgbClr val="4F81BD"/>
            </a:solidFill>
          </c:spPr>
          <c:explosion val="0"/>
          <c:dPt>
            <c:idx val="0"/>
            <c:bubble3D val="0"/>
            <c:spPr>
              <a:solidFill>
                <a:srgbClr val="4F81BD"/>
              </a:solidFill>
            </c:spPr>
          </c:dPt>
          <c:dPt>
            <c:idx val="1"/>
            <c:bubble3D val="0"/>
            <c:spPr>
              <a:solidFill>
                <a:srgbClr val="C0504D"/>
              </a:solidFill>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mn-lt"/>
                        <a:ea typeface="+mn-ea"/>
                        <a:cs typeface="+mn-cs"/>
                      </a:defRPr>
                    </a:pPr>
                    <a:r>
                      <a:t>1705.88万元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mn-lt"/>
                        <a:ea typeface="+mn-ea"/>
                        <a:cs typeface="+mn-cs"/>
                      </a:defRPr>
                    </a:pPr>
                    <a:r>
                      <a:t>2233.81万元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 在 2022年决算说明导（剑阁法院）.rtf]Sheet1'!$C$2:$D$2</c:f>
              <c:strCache>
                <c:ptCount val="2"/>
                <c:pt idx="0">
                  <c:v>基本支出</c:v>
                </c:pt>
                <c:pt idx="1">
                  <c:v>项目支出</c:v>
                </c:pt>
              </c:strCache>
            </c:strRef>
          </c:cat>
          <c:val>
            <c:numRef>
              <c:f>'[图表 在 2022年决算说明导（剑阁法院）.rtf]Sheet1'!$C$3:$D$3</c:f>
              <c:numCache>
                <c:formatCode>General</c:formatCode>
                <c:ptCount val="2"/>
                <c:pt idx="0">
                  <c:v>1705.88</c:v>
                </c:pt>
                <c:pt idx="1">
                  <c:v>2233.81</c:v>
                </c:pt>
              </c:numCache>
            </c:numRef>
          </c:val>
        </c:ser>
        <c:ser>
          <c:idx val="1"/>
          <c:order val="1"/>
          <c:tx>
            <c:strRef>
              <c:f>'[图表 在 2022年决算说明导（剑阁法院）.rtf]Sheet1'!#REF!</c:f>
              <c:strCache>
                <c:ptCount val="1"/>
                <c:pt idx="0">
                  <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 在 2022年决算说明导（剑阁法院）.rtf]Sheet1'!$C$2:$D$2</c:f>
              <c:strCache>
                <c:ptCount val="2"/>
                <c:pt idx="0">
                  <c:v>基本支出</c:v>
                </c:pt>
                <c:pt idx="1">
                  <c:v>项目支出</c:v>
                </c:pt>
              </c:strCache>
            </c:strRef>
          </c:cat>
          <c:val>
            <c:numRef>
              <c:f>'[图表 在 2022年决算说明导（剑阁法院）.rtf]Sheet1'!#REF!</c:f>
              <c:numCache>
                <c:formatCode>General</c:formatCode>
                <c:ptCount val="1"/>
                <c:pt idx="0">
                  <c:v>1</c:v>
                </c:pt>
              </c:numCache>
            </c:numRef>
          </c:val>
        </c:ser>
        <c:ser>
          <c:idx val="2"/>
          <c:order val="2"/>
          <c:tx>
            <c:strRef>
              <c:f>'[图表 在 2022年决算说明导（剑阁法院）.rtf]Sheet1'!#REF!</c:f>
              <c:strCache>
                <c:ptCount val="1"/>
                <c:pt idx="0">
                  <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 在 2022年决算说明导（剑阁法院）.rtf]Sheet1'!$C$2:$D$2</c:f>
              <c:strCache>
                <c:ptCount val="2"/>
                <c:pt idx="0">
                  <c:v>基本支出</c:v>
                </c:pt>
                <c:pt idx="1">
                  <c:v>项目支出</c:v>
                </c:pt>
              </c:strCache>
            </c:strRef>
          </c:cat>
          <c:val>
            <c:numRef>
              <c:f>'[图表 在 2022年决算说明导（剑阁法院）.rtf]Sheet1'!#REF!</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sz="1400" b="0" i="0" u="none" strike="noStrike" kern="1200" spc="0" baseline="0">
                <a:solidFill>
                  <a:srgbClr val="595959">
                    <a:lumMod val="65000"/>
                    <a:lumOff val="35000"/>
                  </a:srgbClr>
                </a:solidFill>
                <a:latin typeface="+mn-lt"/>
                <a:ea typeface="+mn-ea"/>
                <a:cs typeface="+mn-cs"/>
              </a:rPr>
              <a:t>财政拨款收入支出决算总体情况</a:t>
            </a:r>
            <a:endParaRPr sz="1400" b="0" i="0" u="none" strike="noStrike" kern="1200" spc="0" baseline="0">
              <a:solidFill>
                <a:srgbClr val="595959">
                  <a:lumMod val="65000"/>
                  <a:lumOff val="35000"/>
                </a:srgbClr>
              </a:solidFill>
              <a:latin typeface="+mn-lt"/>
              <a:ea typeface="+mn-ea"/>
              <a:cs typeface="+mn-cs"/>
            </a:endParaRPr>
          </a:p>
        </c:rich>
      </c:tx>
      <c:layout/>
      <c:overlay val="0"/>
    </c:title>
    <c:autoTitleDeleted val="0"/>
    <c:plotArea>
      <c:layout/>
      <c:barChart>
        <c:barDir val="col"/>
        <c:grouping val="clustered"/>
        <c:varyColors val="0"/>
        <c:ser>
          <c:idx val="0"/>
          <c:order val="0"/>
          <c:tx>
            <c:strRef>
              <c:f>'[图表 在 2022年决算说明导（剑阁法院）.rtf]Sheet1'!$B$3</c:f>
              <c:strCache>
                <c:ptCount val="1"/>
                <c:pt idx="0">
                  <c:v>财政拨款收入总计</c:v>
                </c:pt>
              </c:strCache>
            </c:strRef>
          </c:tx>
          <c:spPr>
            <a:solidFill>
              <a:srgbClr val="5B9BD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2022年决算说明导（剑阁法院）.rtf]Sheet1'!$C$2:$D$2</c:f>
              <c:strCache>
                <c:ptCount val="2"/>
                <c:pt idx="0">
                  <c:v>2021年</c:v>
                </c:pt>
                <c:pt idx="1">
                  <c:v>2022年</c:v>
                </c:pt>
              </c:strCache>
            </c:strRef>
          </c:cat>
          <c:val>
            <c:numRef>
              <c:f>'[图表 在 2022年决算说明导（剑阁法院）.rtf]Sheet1'!$C$3:$D$3</c:f>
              <c:numCache>
                <c:formatCode>General</c:formatCode>
                <c:ptCount val="2"/>
                <c:pt idx="0">
                  <c:v>5111.13</c:v>
                </c:pt>
                <c:pt idx="1">
                  <c:v>1695.68</c:v>
                </c:pt>
              </c:numCache>
            </c:numRef>
          </c:val>
        </c:ser>
        <c:ser>
          <c:idx val="1"/>
          <c:order val="1"/>
          <c:tx>
            <c:strRef>
              <c:f>'[图表 在 2022年决算说明导（剑阁法院）.rtf]Sheet1'!$B$4</c:f>
              <c:strCache>
                <c:ptCount val="1"/>
                <c:pt idx="0">
                  <c:v>财政拨款支出总计</c:v>
                </c:pt>
              </c:strCache>
            </c:strRef>
          </c:tx>
          <c:spPr>
            <a:solidFill>
              <a:srgbClr val="ED7D31">
                <a:alpha val="100000"/>
              </a:srgbClr>
            </a:solidFill>
            <a:ln w="3175">
              <a:noFill/>
            </a:ln>
          </c:spPr>
          <c:invertIfNegative val="0"/>
          <c:dLbls>
            <c:dLbl>
              <c:idx val="0"/>
              <c:layout>
                <c:manualLayout>
                  <c:x val="0.0393013100436681"/>
                  <c:y val="0.020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27510917030568"/>
                  <c:y val="0.02430555555555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2022年决算说明导（剑阁法院）.rtf]Sheet1'!$C$2:$D$2</c:f>
              <c:strCache>
                <c:ptCount val="2"/>
                <c:pt idx="0">
                  <c:v>2021年</c:v>
                </c:pt>
                <c:pt idx="1">
                  <c:v>2022年</c:v>
                </c:pt>
              </c:strCache>
            </c:strRef>
          </c:cat>
          <c:val>
            <c:numRef>
              <c:f>'[图表 在 2022年决算说明导（剑阁法院）.rtf]Sheet1'!$C$4:$D$4</c:f>
              <c:numCache>
                <c:formatCode>General</c:formatCode>
                <c:ptCount val="2"/>
                <c:pt idx="0">
                  <c:v>5111.13</c:v>
                </c:pt>
                <c:pt idx="1">
                  <c:v>1695.68</c:v>
                </c:pt>
              </c:numCache>
            </c:numRef>
          </c:val>
        </c:ser>
        <c:ser>
          <c:idx val="2"/>
          <c:order val="2"/>
          <c:tx>
            <c:strRef>
              <c:f>'[图表 在 2022年决算说明导（剑阁法院）.rtf]Sheet1'!#REF!</c:f>
              <c:strCache>
                <c:ptCount val="1"/>
                <c:pt idx="0">
                  <c:v/>
                </c:pt>
              </c:strCache>
            </c:strRef>
          </c:tx>
          <c:spPr>
            <a:solidFill>
              <a:srgbClr val="A5A5A5">
                <a:alpha val="100000"/>
              </a:srgbClr>
            </a:solidFill>
            <a:ln w="3175">
              <a:noFill/>
            </a:ln>
          </c:spPr>
          <c:invertIfNegative val="0"/>
          <c:dLbls>
            <c:delete val="1"/>
          </c:dLbls>
          <c:cat>
            <c:strRef>
              <c:f>'[图表 在 2022年决算说明导（剑阁法院）.rtf]Sheet1'!$C$2:$D$2</c:f>
              <c:strCache>
                <c:ptCount val="2"/>
                <c:pt idx="0">
                  <c:v>2021年</c:v>
                </c:pt>
                <c:pt idx="1">
                  <c:v>2022年</c:v>
                </c:pt>
              </c:strCache>
            </c:strRef>
          </c:cat>
          <c:val>
            <c:numRef>
              <c:f>'[图表 在 2022年决算说明导（剑阁法院）.rtf]Sheet1'!#REF!</c:f>
              <c:numCache>
                <c:formatCode>General</c:formatCode>
                <c:ptCount val="1"/>
                <c:pt idx="0">
                  <c:v>1</c:v>
                </c:pt>
              </c:numCache>
            </c:numRef>
          </c:val>
        </c:ser>
        <c:dLbls>
          <c:showLegendKey val="0"/>
          <c:showVal val="1"/>
          <c:showCatName val="0"/>
          <c:showSerName val="0"/>
          <c:showPercent val="0"/>
          <c:showBubbleSize val="0"/>
        </c:dLbls>
        <c:gapWidth val="219"/>
        <c:overlap val="-27"/>
        <c:axId val="378971619"/>
        <c:axId val="325159122"/>
      </c:barChart>
      <c:catAx>
        <c:axId val="378971619"/>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25159122"/>
        <c:crosses val="autoZero"/>
        <c:auto val="1"/>
        <c:lblAlgn val="ctr"/>
        <c:lblOffset val="100"/>
        <c:noMultiLvlLbl val="0"/>
      </c:catAx>
      <c:valAx>
        <c:axId val="32515912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78971619"/>
        <c:crosses val="autoZero"/>
        <c:crossBetween val="between"/>
      </c:valAx>
      <c:spPr>
        <a:noFill/>
        <a:ln>
          <a:noFill/>
        </a:ln>
        <a:effectLst/>
      </c:spPr>
    </c:plotArea>
    <c:legend>
      <c:legendPos val="b"/>
      <c:legendEntry>
        <c:idx val="2"/>
        <c:delete val="1"/>
      </c:legendEntry>
      <c:layout/>
      <c:overlay val="0"/>
      <c:spPr>
        <a:noFill/>
        <a:ln w="3175">
          <a:noFill/>
        </a:ln>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sz="1400" b="0" i="0" u="none" strike="noStrike" kern="1200" spc="0" baseline="0">
                <a:solidFill>
                  <a:srgbClr val="595959">
                    <a:lumMod val="65000"/>
                    <a:lumOff val="35000"/>
                  </a:srgbClr>
                </a:solidFill>
                <a:latin typeface="+mn-lt"/>
                <a:ea typeface="+mn-ea"/>
                <a:cs typeface="+mn-cs"/>
              </a:rPr>
              <a:t>一般公共预算财政拨款支出决算总体情况</a:t>
            </a:r>
            <a:endParaRPr sz="1400" b="0" i="0" u="none" strike="noStrike" kern="1200" spc="0" baseline="0">
              <a:solidFill>
                <a:srgbClr val="595959">
                  <a:lumMod val="65000"/>
                  <a:lumOff val="35000"/>
                </a:srgbClr>
              </a:solidFill>
              <a:latin typeface="+mn-lt"/>
              <a:ea typeface="+mn-ea"/>
              <a:cs typeface="+mn-cs"/>
            </a:endParaRPr>
          </a:p>
        </c:rich>
      </c:tx>
      <c:layout>
        <c:manualLayout>
          <c:xMode val="edge"/>
          <c:yMode val="edge"/>
          <c:x val="0.175721784776903"/>
          <c:y val="0.00694444444444444"/>
        </c:manualLayout>
      </c:layout>
      <c:overlay val="0"/>
    </c:title>
    <c:autoTitleDeleted val="0"/>
    <c:plotArea>
      <c:layout>
        <c:manualLayout>
          <c:layoutTarget val="inner"/>
          <c:xMode val="edge"/>
          <c:yMode val="edge"/>
          <c:x val="0.137217847769029"/>
          <c:y val="0.175"/>
          <c:w val="0.833910761154856"/>
          <c:h val="0.510509259259259"/>
        </c:manualLayout>
      </c:layout>
      <c:barChart>
        <c:barDir val="col"/>
        <c:grouping val="clustered"/>
        <c:varyColors val="0"/>
        <c:ser>
          <c:idx val="0"/>
          <c:order val="0"/>
          <c:tx>
            <c:strRef>
              <c:f>'[图表 在 2022年决算说明导（剑阁法院）.rtf]Sheet1'!$B$3</c:f>
              <c:strCache>
                <c:ptCount val="1"/>
                <c:pt idx="0">
                  <c:v>一般公共预算财政拨款支出决算总体情况</c:v>
                </c:pt>
              </c:strCache>
            </c:strRef>
          </c:tx>
          <c:spPr>
            <a:solidFill>
              <a:srgbClr val="5B9BD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2022年决算说明导（剑阁法院）.rtf]Sheet1'!$C$2:$D$2</c:f>
              <c:strCache>
                <c:ptCount val="2"/>
                <c:pt idx="0">
                  <c:v>2021年</c:v>
                </c:pt>
                <c:pt idx="1">
                  <c:v>2022年</c:v>
                </c:pt>
              </c:strCache>
            </c:strRef>
          </c:cat>
          <c:val>
            <c:numRef>
              <c:f>'[图表 在 2022年决算说明导（剑阁法院）.rtf]Sheet1'!$C$3:$D$3</c:f>
              <c:numCache>
                <c:formatCode>General</c:formatCode>
                <c:ptCount val="2"/>
                <c:pt idx="0">
                  <c:v>2326.47</c:v>
                </c:pt>
                <c:pt idx="1">
                  <c:v>1695.68</c:v>
                </c:pt>
              </c:numCache>
            </c:numRef>
          </c:val>
        </c:ser>
        <c:ser>
          <c:idx val="1"/>
          <c:order val="1"/>
          <c:tx>
            <c:strRef>
              <c:f>'[图表 在 2022年决算说明导（剑阁法院）.rtf]Sheet1'!#REF!</c:f>
              <c:strCache>
                <c:ptCount val="1"/>
                <c:pt idx="0">
                  <c:v/>
                </c:pt>
              </c:strCache>
            </c:strRef>
          </c:tx>
          <c:spPr>
            <a:solidFill>
              <a:srgbClr val="ED7D31">
                <a:alpha val="100000"/>
              </a:srgbClr>
            </a:solidFill>
            <a:ln w="3175">
              <a:noFill/>
            </a:ln>
          </c:spPr>
          <c:invertIfNegative val="0"/>
          <c:dLbls>
            <c:delete val="1"/>
          </c:dLbls>
          <c:cat>
            <c:strRef>
              <c:f>'[图表 在 2022年决算说明导（剑阁法院）.rtf]Sheet1'!$C$2:$D$2</c:f>
              <c:strCache>
                <c:ptCount val="2"/>
                <c:pt idx="0">
                  <c:v>2021年</c:v>
                </c:pt>
                <c:pt idx="1">
                  <c:v>2022年</c:v>
                </c:pt>
              </c:strCache>
            </c:strRef>
          </c:cat>
          <c:val>
            <c:numRef>
              <c:f>'[图表 在 2022年决算说明导（剑阁法院）.rtf]Sheet1'!#REF!</c:f>
              <c:numCache>
                <c:formatCode>General</c:formatCode>
                <c:ptCount val="1"/>
                <c:pt idx="0">
                  <c:v>1</c:v>
                </c:pt>
              </c:numCache>
            </c:numRef>
          </c:val>
        </c:ser>
        <c:ser>
          <c:idx val="2"/>
          <c:order val="2"/>
          <c:tx>
            <c:strRef>
              <c:f>'[图表 在 2022年决算说明导（剑阁法院）.rtf]Sheet1'!#REF!</c:f>
              <c:strCache>
                <c:ptCount val="1"/>
                <c:pt idx="0">
                  <c:v/>
                </c:pt>
              </c:strCache>
            </c:strRef>
          </c:tx>
          <c:spPr>
            <a:solidFill>
              <a:srgbClr val="A5A5A5">
                <a:alpha val="100000"/>
              </a:srgbClr>
            </a:solidFill>
            <a:ln w="3175">
              <a:noFill/>
            </a:ln>
          </c:spPr>
          <c:invertIfNegative val="0"/>
          <c:dLbls>
            <c:delete val="1"/>
          </c:dLbls>
          <c:cat>
            <c:strRef>
              <c:f>'[图表 在 2022年决算说明导（剑阁法院）.rtf]Sheet1'!$C$2:$D$2</c:f>
              <c:strCache>
                <c:ptCount val="2"/>
                <c:pt idx="0">
                  <c:v>2021年</c:v>
                </c:pt>
                <c:pt idx="1">
                  <c:v>2022年</c:v>
                </c:pt>
              </c:strCache>
            </c:strRef>
          </c:cat>
          <c:val>
            <c:numRef>
              <c:f>'[图表 在 2022年决算说明导（剑阁法院）.rtf]Sheet1'!#REF!</c:f>
              <c:numCache>
                <c:formatCode>General</c:formatCode>
                <c:ptCount val="1"/>
                <c:pt idx="0">
                  <c:v>1</c:v>
                </c:pt>
              </c:numCache>
            </c:numRef>
          </c:val>
        </c:ser>
        <c:dLbls>
          <c:showLegendKey val="0"/>
          <c:showVal val="1"/>
          <c:showCatName val="0"/>
          <c:showSerName val="0"/>
          <c:showPercent val="0"/>
          <c:showBubbleSize val="0"/>
        </c:dLbls>
        <c:gapWidth val="219"/>
        <c:overlap val="-27"/>
        <c:axId val="393344956"/>
        <c:axId val="466319748"/>
      </c:barChart>
      <c:catAx>
        <c:axId val="393344956"/>
        <c:scaling>
          <c:orientation val="minMax"/>
        </c:scaling>
        <c:delete val="0"/>
        <c:axPos val="b"/>
        <c:title>
          <c:layout>
            <c:manualLayout>
              <c:xMode val="edge"/>
              <c:yMode val="edge"/>
              <c:x val="0.482847769028871"/>
              <c:y val="0.774305555555556"/>
            </c:manualLayout>
          </c:layout>
          <c:overlay val="0"/>
          <c:txPr>
            <a:bodyPr rot="0" spcFirstLastPara="0" vertOverflow="ellipsis" vert="horz" wrap="square" anchor="ctr" anchorCtr="1"/>
            <a:lstStyle/>
            <a:p>
              <a:pPr>
                <a:defRPr lang="zh-CN" sz="1000" b="1" i="0" u="none" strike="noStrike" kern="1200" baseline="0">
                  <a:solidFill>
                    <a:srgbClr val="000000"/>
                  </a:solidFill>
                  <a:latin typeface="+mn-lt"/>
                  <a:ea typeface="+mn-ea"/>
                  <a:cs typeface="+mn-cs"/>
                </a:defRPr>
              </a:pPr>
            </a:p>
          </c:txPr>
        </c:title>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66319748"/>
        <c:crosses val="autoZero"/>
        <c:auto val="1"/>
        <c:lblAlgn val="ctr"/>
        <c:lblOffset val="100"/>
        <c:noMultiLvlLbl val="0"/>
      </c:catAx>
      <c:valAx>
        <c:axId val="466319748"/>
        <c:scaling>
          <c:orientation val="minMax"/>
        </c:scaling>
        <c:delete val="0"/>
        <c:axPos val="l"/>
        <c:majorGridlines>
          <c:spPr>
            <a:ln w="9525" cap="flat" cmpd="sng" algn="ctr">
              <a:solidFill>
                <a:srgbClr val="D9D9D9">
                  <a:lumMod val="15000"/>
                  <a:lumOff val="85000"/>
                </a:srgbClr>
              </a:solidFill>
              <a:prstDash val="solid"/>
              <a:round/>
            </a:ln>
            <a:effectLst/>
          </c:spPr>
        </c:majorGridlines>
        <c:title>
          <c:tx>
            <c:rich>
              <a:bodyPr rot="-5400000" spcFirstLastPara="0" vertOverflow="ellipsis" vert="horz" wrap="square" anchor="ctr" anchorCtr="1"/>
              <a:lstStyle/>
              <a:p>
                <a:pPr defTabSz="914400">
                  <a:defRPr lang="zh-CN" sz="1000" b="1" i="0" u="none" strike="noStrike" kern="1200" baseline="0">
                    <a:solidFill>
                      <a:srgbClr val="000000"/>
                    </a:solidFill>
                    <a:latin typeface="+mn-lt"/>
                    <a:ea typeface="+mn-ea"/>
                    <a:cs typeface="+mn-cs"/>
                  </a:defRPr>
                </a:pPr>
                <a:r>
                  <a:t>金额</a:t>
                </a:r>
              </a:p>
            </c:rich>
          </c:tx>
          <c:layout/>
          <c:overlay val="0"/>
        </c:title>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3344956"/>
        <c:crosses val="autoZero"/>
        <c:crossBetween val="between"/>
      </c:valAx>
      <c:spPr>
        <a:noFill/>
        <a:ln>
          <a:noFill/>
        </a:ln>
        <a:effectLst/>
      </c:spPr>
    </c:plotArea>
    <c:legend>
      <c:legendPos val="b"/>
      <c:legendEntry>
        <c:idx val="1"/>
        <c:delete val="1"/>
      </c:legendEntry>
      <c:legendEntry>
        <c:idx val="2"/>
        <c:delete val="1"/>
      </c:legendEntry>
      <c:layout/>
      <c:overlay val="0"/>
      <c:spPr>
        <a:noFill/>
        <a:ln w="3175">
          <a:noFill/>
        </a:ln>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'[图表 在 2022年决算说明导（剑阁法院）.rtf]Sheet1'!$B$3</c:f>
              <c:strCache>
                <c:ptCount val="1"/>
                <c:pt idx="0">
                  <c:v>2022年一般公共预算财政拨款支出</c:v>
                </c:pt>
              </c:strCache>
            </c:strRef>
          </c:tx>
          <c:spPr>
            <a:solidFill>
              <a:srgbClr val="5B9BD5">
                <a:alpha val="100000"/>
              </a:srgbClr>
            </a:solidFill>
            <a:ln w="3175">
              <a:noFill/>
            </a:ln>
          </c:spPr>
          <c:explosion val="0"/>
          <c:dPt>
            <c:idx val="0"/>
            <c:bubble3D val="0"/>
            <c:explosion val="0"/>
            <c:spPr>
              <a:solidFill>
                <a:srgbClr val="5B9BD5">
                  <a:alpha val="100000"/>
                </a:srgbClr>
              </a:solidFill>
              <a:ln w="3175">
                <a:noFill/>
              </a:ln>
            </c:spPr>
          </c:dPt>
          <c:dPt>
            <c:idx val="1"/>
            <c:bubble3D val="0"/>
            <c:spPr>
              <a:solidFill>
                <a:srgbClr val="FF0000"/>
              </a:solidFill>
              <a:ln w="3175">
                <a:noFill/>
              </a:ln>
            </c:spPr>
          </c:dPt>
          <c:dPt>
            <c:idx val="2"/>
            <c:bubble3D val="0"/>
            <c:spPr>
              <a:solidFill>
                <a:srgbClr val="00B050"/>
              </a:solidFill>
              <a:ln w="3175">
                <a:noFill/>
              </a:ln>
            </c:spPr>
          </c:dPt>
          <c:dPt>
            <c:idx val="3"/>
            <c:bubble3D val="0"/>
            <c:spPr>
              <a:solidFill>
                <a:srgbClr val="C0504D"/>
              </a:solidFill>
              <a:ln w="3175">
                <a:noFill/>
              </a:ln>
            </c:spPr>
          </c:dPt>
          <c:dLbls>
            <c:dLbl>
              <c:idx val="1"/>
              <c:layout>
                <c:manualLayout>
                  <c:x val="-0.0112215695165188"/>
                  <c:y val="0.008611954196543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58811761355745"/>
                  <c:y val="0.005556658488783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 在 2022年决算说明导（剑阁法院）.rtf]Sheet1'!$C$2:$F$2</c:f>
              <c:strCache>
                <c:ptCount val="4"/>
                <c:pt idx="0">
                  <c:v>公共安全支出</c:v>
                </c:pt>
                <c:pt idx="1">
                  <c:v>社会保障和就业支出</c:v>
                </c:pt>
                <c:pt idx="2">
                  <c:v>卫生健康支出</c:v>
                </c:pt>
                <c:pt idx="3">
                  <c:v>住房保障支出</c:v>
                </c:pt>
              </c:strCache>
            </c:strRef>
          </c:cat>
          <c:val>
            <c:numRef>
              <c:f>'[图表 在 2022年决算说明导（剑阁法院）.rtf]Sheet1'!$C$3:$F$3</c:f>
              <c:numCache>
                <c:formatCode>General</c:formatCode>
                <c:ptCount val="4"/>
                <c:pt idx="0">
                  <c:v>1471.74</c:v>
                </c:pt>
                <c:pt idx="1">
                  <c:v>97.03</c:v>
                </c:pt>
                <c:pt idx="2">
                  <c:v>49.28</c:v>
                </c:pt>
                <c:pt idx="3">
                  <c:v>77.63</c:v>
                </c:pt>
              </c:numCache>
            </c:numRef>
          </c:val>
        </c:ser>
        <c:ser>
          <c:idx val="1"/>
          <c:order val="1"/>
          <c:tx>
            <c:strRef>
              <c:f>'[图表 在 2022年决算说明导（剑阁法院）.rtf]Sheet1'!#REF!</c:f>
              <c:strCache>
                <c:ptCount val="1"/>
                <c:pt idx="0">
                  <c:v/>
                </c:pt>
              </c:strCache>
            </c:strRef>
          </c:tx>
          <c:spPr>
            <a:solidFill>
              <a:srgbClr val="ED7D31">
                <a:alpha val="100000"/>
              </a:srgbClr>
            </a:solidFill>
            <a:ln w="3175">
              <a:noFill/>
            </a:ln>
          </c:spPr>
          <c:explosion val="0"/>
          <c:dPt>
            <c:idx val="0"/>
            <c:bubble3D val="0"/>
            <c:spPr>
              <a:solidFill>
                <a:srgbClr val="ED7D31">
                  <a:alpha val="100000"/>
                </a:srgbClr>
              </a:solidFill>
              <a:ln w="3175">
                <a:noFill/>
              </a:ln>
            </c:spPr>
          </c:dPt>
          <c:dLbls>
            <c:delete val="1"/>
          </c:dLbls>
          <c:cat>
            <c:strRef>
              <c:f>'[图表 在 2022年决算说明导（剑阁法院）.rtf]Sheet1'!$C$2:$F$2</c:f>
              <c:strCache>
                <c:ptCount val="4"/>
                <c:pt idx="0">
                  <c:v>公共安全支出</c:v>
                </c:pt>
                <c:pt idx="1">
                  <c:v>社会保障和就业支出</c:v>
                </c:pt>
                <c:pt idx="2">
                  <c:v>卫生健康支出</c:v>
                </c:pt>
                <c:pt idx="3">
                  <c:v>住房保障支出</c:v>
                </c:pt>
              </c:strCache>
            </c:strRef>
          </c:cat>
          <c:val>
            <c:numRef>
              <c:f>'[图表 在 2022年决算说明导（剑阁法院）.rtf]Sheet1'!#REF!</c:f>
              <c:numCache>
                <c:formatCode>General</c:formatCode>
                <c:ptCount val="1"/>
                <c:pt idx="0">
                  <c:v>1</c:v>
                </c:pt>
              </c:numCache>
            </c:numRef>
          </c:val>
        </c:ser>
        <c:ser>
          <c:idx val="2"/>
          <c:order val="2"/>
          <c:tx>
            <c:strRef>
              <c:f>'[图表 在 2022年决算说明导（剑阁法院）.rtf]Sheet1'!#REF!</c:f>
              <c:strCache>
                <c:ptCount val="1"/>
                <c:pt idx="0">
                  <c:v/>
                </c:pt>
              </c:strCache>
            </c:strRef>
          </c:tx>
          <c:spPr>
            <a:solidFill>
              <a:srgbClr val="A5A5A5">
                <a:alpha val="100000"/>
              </a:srgbClr>
            </a:solidFill>
            <a:ln w="3175">
              <a:noFill/>
            </a:ln>
          </c:spPr>
          <c:explosion val="0"/>
          <c:dPt>
            <c:idx val="0"/>
            <c:bubble3D val="0"/>
            <c:spPr>
              <a:solidFill>
                <a:srgbClr val="A5A5A5">
                  <a:alpha val="100000"/>
                </a:srgbClr>
              </a:solidFill>
              <a:ln w="3175">
                <a:noFill/>
              </a:ln>
            </c:spPr>
          </c:dPt>
          <c:dLbls>
            <c:delete val="1"/>
          </c:dLbls>
          <c:cat>
            <c:strRef>
              <c:f>'[图表 在 2022年决算说明导（剑阁法院）.rtf]Sheet1'!$C$2:$F$2</c:f>
              <c:strCache>
                <c:ptCount val="4"/>
                <c:pt idx="0">
                  <c:v>公共安全支出</c:v>
                </c:pt>
                <c:pt idx="1">
                  <c:v>社会保障和就业支出</c:v>
                </c:pt>
                <c:pt idx="2">
                  <c:v>卫生健康支出</c:v>
                </c:pt>
                <c:pt idx="3">
                  <c:v>住房保障支出</c:v>
                </c:pt>
              </c:strCache>
            </c:strRef>
          </c:cat>
          <c:val>
            <c:numRef>
              <c:f>'[图表 在 2022年决算说明导（剑阁法院）.rtf]Sheet1'!#REF!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 WWO_wpscloud_20230921224350-945aa172bf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2023-09-22T19:41:00Z</dcterms:created>
  <dc:creator>Administrator</dc:creator>
  <cp:lastModifiedBy>玖千余为春秋</cp:lastModifiedBy>
  <dcterms:modified xsi:type="dcterms:W3CDTF">2023-09-27T15:43:15Z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4CF0DA7C1A1D4EC0B05AB6F0A3796E6E</vt:lpwstr>
  </property>
</Properties>
</file>