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96475"/>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昭化区人民法院</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公开时间：2023年10月7日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sz w:val="24"/>
        </w:rPr>
        <w:t>………………………………………………………………</w:t>
      </w:r>
      <w:r>
        <w:rPr>
          <w:rFonts w:hint="eastAsia"/>
          <w:sz w:val="24"/>
        </w:rPr>
        <w:t>4-5</w:t>
      </w:r>
    </w:p>
    <w:p>
      <w:pPr>
        <w:pStyle w:val="12"/>
        <w:adjustRightInd w:val="0"/>
        <w:snapToGrid w:val="0"/>
        <w:spacing w:line="440" w:lineRule="exact"/>
        <w:jc w:val="left"/>
        <w:rPr>
          <w:rFonts w:ascii="仿宋" w:hAnsi="仿宋" w:eastAsia="仿宋"/>
          <w:sz w:val="24"/>
        </w:rPr>
      </w:pPr>
      <w:r>
        <w:rPr>
          <w:rFonts w:hint="eastAsia"/>
          <w:sz w:val="24"/>
        </w:rPr>
        <w:t>一、部门职责</w:t>
      </w:r>
      <w:r>
        <w:rPr>
          <w:sz w:val="24"/>
        </w:rPr>
        <w:t>……………………………………………………………………</w:t>
      </w:r>
      <w:r>
        <w:rPr>
          <w:rFonts w:hint="eastAsia"/>
          <w:sz w:val="24"/>
        </w:rPr>
        <w:t>4</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r>
        <w:rPr>
          <w:sz w:val="24"/>
        </w:rPr>
        <w:t>……………………………………………………………………</w:t>
      </w:r>
      <w:r>
        <w:rPr>
          <w:rFonts w:hint="eastAsia"/>
          <w:sz w:val="24"/>
        </w:rPr>
        <w:t>5</w:t>
      </w:r>
    </w:p>
    <w:p>
      <w:pPr>
        <w:pStyle w:val="11"/>
        <w:adjustRightInd w:val="0"/>
        <w:snapToGrid w:val="0"/>
        <w:spacing w:before="0" w:line="440" w:lineRule="exact"/>
        <w:jc w:val="left"/>
        <w:rPr>
          <w:sz w:val="24"/>
          <w:szCs w:val="24"/>
        </w:rPr>
      </w:pPr>
      <w:r>
        <w:rPr>
          <w:rFonts w:hint="eastAsia"/>
          <w:sz w:val="24"/>
        </w:rPr>
        <w:t>第二部分 2022年度部门决算情况说明...............................6-16</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w:t>
      </w:r>
      <w:r>
        <w:rPr>
          <w:rFonts w:hint="eastAsia"/>
          <w:sz w:val="24"/>
        </w:rPr>
        <w:t>7</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w:t>
      </w:r>
      <w:r>
        <w:rPr>
          <w:rFonts w:hint="eastAsia"/>
          <w:sz w:val="24"/>
        </w:rPr>
        <w:t>8</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w:t>
      </w:r>
      <w:r>
        <w:rPr>
          <w:rFonts w:hint="eastAsia"/>
          <w:sz w:val="24"/>
        </w:rPr>
        <w:t>8</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9-11</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w:t>
      </w:r>
      <w:r>
        <w:rPr>
          <w:rFonts w:hint="eastAsia"/>
          <w:sz w:val="24"/>
        </w:rPr>
        <w:t>...</w:t>
      </w:r>
      <w:r>
        <w:rPr>
          <w:sz w:val="24"/>
        </w:rPr>
        <w:t>……</w:t>
      </w:r>
      <w:r>
        <w:rPr>
          <w:rFonts w:hint="eastAsia"/>
          <w:sz w:val="24"/>
        </w:rPr>
        <w:t>12</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sz w:val="24"/>
        </w:rPr>
        <w:t>…………………………</w:t>
      </w:r>
      <w:r>
        <w:rPr>
          <w:rFonts w:hint="eastAsia"/>
          <w:sz w:val="24"/>
        </w:rPr>
        <w:t>..12-14</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w:t>
      </w:r>
      <w:r>
        <w:rPr>
          <w:rFonts w:hint="eastAsia"/>
          <w:sz w:val="24"/>
        </w:rPr>
        <w:t>....14</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14</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其他重要事项的情况说明...................................15-16</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名词解释...............................................17-18</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附件...................................................19-36</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附表......................................................37</w:t>
      </w:r>
    </w:p>
    <w:p>
      <w:pPr>
        <w:pStyle w:val="12"/>
        <w:adjustRightInd w:val="0"/>
        <w:snapToGrid w:val="0"/>
        <w:spacing w:line="440" w:lineRule="exact"/>
        <w:jc w:val="left"/>
        <w:rPr>
          <w:sz w:val="24"/>
        </w:rPr>
      </w:pPr>
      <w:r>
        <w:rPr>
          <w:rFonts w:hint="eastAsia"/>
          <w:sz w:val="24"/>
        </w:rPr>
        <w:t>一、收入支出决算总表</w:t>
      </w:r>
      <w:r>
        <w:rPr>
          <w:sz w:val="24"/>
        </w:rPr>
        <w:t>……………………………………………………</w:t>
      </w:r>
      <w:r>
        <w:rPr>
          <w:rFonts w:hint="eastAsia"/>
          <w:sz w:val="24"/>
        </w:rPr>
        <w:t>..</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二、收入决算表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三、支出决算表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四、财政拨款收入支出决算总表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五、财政拨款支出决算明细表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六、一般公共预算财政拨款支出决算表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七、一般公共预算财政拨款支出决算明细表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八、一般公共预算财政拨款基本支出决算明细表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九、一般公共预算财政拨款项目支出决算表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十、政府性基金预算财政拨款收入支出决算表</w:t>
      </w:r>
      <w:r>
        <w:rPr>
          <w:sz w:val="24"/>
        </w:rPr>
        <w:t>………………………</w:t>
      </w:r>
      <w:r>
        <w:rPr>
          <w:rFonts w:hint="eastAsia"/>
          <w:sz w:val="24"/>
        </w:rPr>
        <w:t>.</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十一、国有资本经营预算财政拨款收入支出决算表</w:t>
      </w:r>
      <w:r>
        <w:rPr>
          <w:sz w:val="24"/>
        </w:rPr>
        <w:t>…………………………</w:t>
      </w:r>
      <w:r>
        <w:rPr>
          <w:rFonts w:hint="eastAsia"/>
          <w:sz w:val="24"/>
        </w:rPr>
        <w:t>37</w:t>
      </w:r>
    </w:p>
    <w:p>
      <w:pPr>
        <w:pStyle w:val="12"/>
        <w:adjustRightInd w:val="0"/>
        <w:snapToGrid w:val="0"/>
        <w:spacing w:line="440" w:lineRule="exact"/>
        <w:jc w:val="left"/>
        <w:rPr>
          <w:sz w:val="24"/>
        </w:rPr>
      </w:pPr>
      <w:r>
        <w:rPr>
          <w:rFonts w:hint="eastAsia"/>
          <w:sz w:val="24"/>
        </w:rPr>
        <w:t>十二、国有资本经营预算财政拨款支出决算表</w:t>
      </w:r>
      <w:r>
        <w:rPr>
          <w:sz w:val="24"/>
        </w:rPr>
        <w:t>………………………………</w:t>
      </w:r>
      <w:r>
        <w:rPr>
          <w:rFonts w:hint="eastAsia"/>
          <w:sz w:val="24"/>
        </w:rPr>
        <w:t>.37</w:t>
      </w:r>
    </w:p>
    <w:p>
      <w:pPr>
        <w:pStyle w:val="12"/>
        <w:spacing w:line="440" w:lineRule="exact"/>
        <w:jc w:val="left"/>
        <w:rPr>
          <w:rFonts w:ascii="仿宋" w:hAnsi="仿宋" w:eastAsia="仿宋"/>
          <w:sz w:val="24"/>
        </w:rPr>
      </w:pPr>
      <w:r>
        <w:rPr>
          <w:rFonts w:hint="eastAsia"/>
          <w:sz w:val="24"/>
        </w:rPr>
        <w:t>十三、财政拨款“三公”经费支出决算表........................................................37</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rPr>
          <w:rFonts w:ascii="黑体" w:hAnsi="黑体" w:eastAsia="黑体"/>
          <w:b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ind w:firstLine="640" w:firstLineChars="200"/>
        <w:rPr>
          <w:rFonts w:ascii="仿宋" w:hAnsi="仿宋" w:eastAsia="仿宋"/>
          <w:sz w:val="32"/>
          <w:szCs w:val="32"/>
        </w:rPr>
      </w:pPr>
      <w:r>
        <w:rPr>
          <w:rFonts w:hint="eastAsia" w:ascii="仿宋" w:hAnsi="仿宋" w:eastAsia="仿宋"/>
          <w:sz w:val="32"/>
          <w:szCs w:val="32"/>
        </w:rPr>
        <w:t>1.依法审理法律规定由基层人民法院管辖、中级人民法院指定管辖或者认为应当由本法院审理的刑事、民事、行政等一审案件。</w:t>
      </w:r>
    </w:p>
    <w:p>
      <w:pPr>
        <w:ind w:firstLine="640" w:firstLineChars="200"/>
        <w:rPr>
          <w:rFonts w:ascii="仿宋" w:hAnsi="仿宋" w:eastAsia="仿宋"/>
          <w:sz w:val="32"/>
          <w:szCs w:val="32"/>
        </w:rPr>
      </w:pPr>
      <w:r>
        <w:rPr>
          <w:rFonts w:hint="eastAsia" w:ascii="仿宋" w:hAnsi="仿宋" w:eastAsia="仿宋"/>
          <w:sz w:val="32"/>
          <w:szCs w:val="32"/>
        </w:rPr>
        <w:t>2.依法审理中级人民法院指定再审的案件和市人民检察院抗诉的案件。受理当事人不服本院发生法律效力的判决、裁定并提起申诉的刑事、行政诉讼案件。</w:t>
      </w:r>
    </w:p>
    <w:p>
      <w:pPr>
        <w:ind w:firstLine="640" w:firstLineChars="200"/>
        <w:rPr>
          <w:rFonts w:ascii="仿宋" w:hAnsi="仿宋" w:eastAsia="仿宋"/>
          <w:sz w:val="32"/>
          <w:szCs w:val="32"/>
        </w:rPr>
      </w:pPr>
      <w:r>
        <w:rPr>
          <w:rFonts w:hint="eastAsia" w:ascii="仿宋" w:hAnsi="仿宋" w:eastAsia="仿宋"/>
          <w:sz w:val="32"/>
          <w:szCs w:val="32"/>
        </w:rPr>
        <w:t>3.依法行使执行权和司法决定权。</w:t>
      </w:r>
    </w:p>
    <w:p>
      <w:pPr>
        <w:ind w:firstLine="640" w:firstLineChars="200"/>
        <w:rPr>
          <w:rFonts w:ascii="仿宋" w:hAnsi="仿宋" w:eastAsia="仿宋"/>
          <w:sz w:val="32"/>
          <w:szCs w:val="32"/>
        </w:rPr>
      </w:pPr>
      <w:r>
        <w:rPr>
          <w:rFonts w:hint="eastAsia" w:ascii="仿宋" w:hAnsi="仿宋" w:eastAsia="仿宋"/>
          <w:sz w:val="32"/>
          <w:szCs w:val="32"/>
        </w:rPr>
        <w:t>4.对法律规定、规章等草案提出意见，对案件审理中发现的问题提出司法建议。</w:t>
      </w:r>
    </w:p>
    <w:p>
      <w:pPr>
        <w:ind w:firstLine="640" w:firstLineChars="200"/>
        <w:rPr>
          <w:rFonts w:ascii="仿宋" w:hAnsi="仿宋" w:eastAsia="仿宋"/>
          <w:sz w:val="32"/>
          <w:szCs w:val="32"/>
        </w:rPr>
      </w:pPr>
      <w:r>
        <w:rPr>
          <w:rFonts w:hint="eastAsia" w:ascii="仿宋" w:hAnsi="仿宋" w:eastAsia="仿宋"/>
          <w:sz w:val="32"/>
          <w:szCs w:val="32"/>
        </w:rPr>
        <w:t>5.指导基层法庭工作。</w:t>
      </w:r>
    </w:p>
    <w:p>
      <w:pPr>
        <w:ind w:firstLine="640" w:firstLineChars="200"/>
        <w:rPr>
          <w:rFonts w:ascii="仿宋" w:hAnsi="仿宋" w:eastAsia="仿宋"/>
          <w:sz w:val="32"/>
          <w:szCs w:val="32"/>
        </w:rPr>
      </w:pPr>
      <w:r>
        <w:rPr>
          <w:rFonts w:hint="eastAsia" w:ascii="仿宋" w:hAnsi="仿宋" w:eastAsia="仿宋"/>
          <w:sz w:val="32"/>
          <w:szCs w:val="32"/>
        </w:rPr>
        <w:t>6.负责全院的思想政治、教育培训工作和干部管理工作。</w:t>
      </w:r>
    </w:p>
    <w:p>
      <w:pPr>
        <w:ind w:firstLine="640" w:firstLineChars="200"/>
        <w:rPr>
          <w:rFonts w:ascii="仿宋" w:hAnsi="仿宋" w:eastAsia="仿宋"/>
          <w:sz w:val="32"/>
          <w:szCs w:val="32"/>
        </w:rPr>
      </w:pPr>
      <w:r>
        <w:rPr>
          <w:rFonts w:hint="eastAsia" w:ascii="仿宋" w:hAnsi="仿宋" w:eastAsia="仿宋"/>
          <w:sz w:val="32"/>
          <w:szCs w:val="32"/>
        </w:rPr>
        <w:t>7.负责全院财务、专项投资的计划管理及分配。</w:t>
      </w:r>
    </w:p>
    <w:p>
      <w:pPr>
        <w:ind w:firstLine="640" w:firstLineChars="200"/>
        <w:rPr>
          <w:rFonts w:ascii="仿宋" w:hAnsi="仿宋" w:eastAsia="仿宋"/>
          <w:sz w:val="32"/>
          <w:szCs w:val="32"/>
        </w:rPr>
      </w:pPr>
      <w:r>
        <w:rPr>
          <w:rFonts w:hint="eastAsia" w:ascii="仿宋" w:hAnsi="仿宋" w:eastAsia="仿宋"/>
          <w:sz w:val="32"/>
          <w:szCs w:val="32"/>
        </w:rPr>
        <w:t>8.负责全院的监察工作。</w:t>
      </w:r>
    </w:p>
    <w:p>
      <w:pPr>
        <w:ind w:firstLine="640" w:firstLineChars="200"/>
        <w:rPr>
          <w:rFonts w:ascii="仿宋" w:hAnsi="仿宋" w:eastAsia="仿宋"/>
          <w:sz w:val="32"/>
          <w:szCs w:val="32"/>
        </w:rPr>
      </w:pPr>
      <w:r>
        <w:rPr>
          <w:rFonts w:hint="eastAsia" w:ascii="仿宋" w:hAnsi="仿宋" w:eastAsia="仿宋"/>
          <w:sz w:val="32"/>
          <w:szCs w:val="32"/>
        </w:rPr>
        <w:t>9.管理人民法院司法警察工作。</w:t>
      </w:r>
    </w:p>
    <w:p>
      <w:pPr>
        <w:ind w:firstLine="640" w:firstLineChars="200"/>
        <w:rPr>
          <w:rFonts w:ascii="仿宋" w:hAnsi="仿宋" w:eastAsia="仿宋"/>
          <w:sz w:val="32"/>
          <w:szCs w:val="32"/>
        </w:rPr>
      </w:pPr>
      <w:r>
        <w:rPr>
          <w:rFonts w:hint="eastAsia" w:ascii="仿宋" w:hAnsi="仿宋" w:eastAsia="仿宋"/>
          <w:sz w:val="32"/>
          <w:szCs w:val="32"/>
        </w:rPr>
        <w:t>10.做好本院行政、后勤事业管理和服务工作。</w:t>
      </w:r>
    </w:p>
    <w:p>
      <w:pPr>
        <w:ind w:firstLine="640" w:firstLineChars="200"/>
        <w:rPr>
          <w:rFonts w:ascii="仿宋" w:hAnsi="仿宋" w:eastAsia="仿宋"/>
          <w:sz w:val="32"/>
          <w:szCs w:val="32"/>
        </w:rPr>
      </w:pPr>
      <w:r>
        <w:rPr>
          <w:rFonts w:hint="eastAsia" w:ascii="仿宋" w:hAnsi="仿宋" w:eastAsia="仿宋"/>
          <w:sz w:val="32"/>
          <w:szCs w:val="32"/>
        </w:rPr>
        <w:t>11.宣传法制，教育公民忠于社会主义祖国，自觉遵守宪法、法律和社会公德。</w:t>
      </w:r>
    </w:p>
    <w:p>
      <w:pPr>
        <w:ind w:firstLine="800" w:firstLineChars="250"/>
        <w:rPr>
          <w:rFonts w:ascii="仿宋" w:hAnsi="仿宋" w:eastAsia="仿宋"/>
          <w:sz w:val="32"/>
          <w:szCs w:val="32"/>
        </w:rPr>
      </w:pPr>
      <w:r>
        <w:rPr>
          <w:rFonts w:hint="eastAsia" w:ascii="仿宋" w:hAnsi="仿宋" w:eastAsia="仿宋"/>
          <w:sz w:val="32"/>
          <w:szCs w:val="32"/>
        </w:rPr>
        <w:t>12.积极参与社会治安综合治理。</w:t>
      </w:r>
    </w:p>
    <w:p>
      <w:pPr>
        <w:ind w:firstLine="800" w:firstLineChars="250"/>
        <w:rPr>
          <w:rFonts w:ascii="仿宋" w:hAnsi="仿宋" w:eastAsia="仿宋"/>
          <w:sz w:val="32"/>
          <w:szCs w:val="32"/>
        </w:rPr>
      </w:pPr>
      <w:r>
        <w:rPr>
          <w:rFonts w:hint="eastAsia" w:ascii="仿宋" w:hAnsi="仿宋" w:eastAsia="仿宋"/>
          <w:sz w:val="32"/>
          <w:szCs w:val="32"/>
        </w:rPr>
        <w:t>13.承办其它应由基层人民法院负责的工作。</w:t>
      </w:r>
    </w:p>
    <w:p/>
    <w:p>
      <w:pPr>
        <w:pStyle w:val="4"/>
        <w:rPr>
          <w:rStyle w:val="29"/>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pPr>
        <w:ind w:firstLine="640" w:firstLineChars="200"/>
        <w:rPr>
          <w:rFonts w:ascii="仿宋" w:hAnsi="仿宋" w:eastAsia="仿宋" w:cs="仿宋"/>
          <w:sz w:val="32"/>
          <w:szCs w:val="32"/>
        </w:rPr>
      </w:pPr>
      <w:r>
        <w:rPr>
          <w:rFonts w:hint="eastAsia" w:ascii="仿宋" w:hAnsi="仿宋" w:eastAsia="仿宋" w:cs="仿宋"/>
          <w:sz w:val="32"/>
          <w:szCs w:val="32"/>
        </w:rPr>
        <w:t>广元市昭化区人民法院下属部门13个，其中院机关部门十个，基层法庭三个，主要包括：政治处、机关党委、办公室、刑庭、民庭、行政庭、立案庭、审管办、执行局、司法警察大队、卫子法庭、昭化法庭、虎跳法庭。</w:t>
      </w:r>
    </w:p>
    <w:p>
      <w:pPr>
        <w:pStyle w:val="2"/>
        <w:spacing w:before="93"/>
        <w:ind w:firstLine="640" w:firstLineChars="200"/>
      </w:pPr>
      <w:r>
        <w:rPr>
          <w:rFonts w:hint="eastAsia" w:ascii="仿宋" w:hAnsi="仿宋" w:eastAsia="仿宋" w:cs="仿宋"/>
          <w:sz w:val="32"/>
          <w:szCs w:val="32"/>
        </w:rPr>
        <w:t>无下属二级单位。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8" w:name="_Toc15396602"/>
      <w:bookmarkStart w:id="19"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18"/>
      <w:bookmarkEnd w:id="19"/>
    </w:p>
    <w:p/>
    <w:p>
      <w:pPr>
        <w:pStyle w:val="27"/>
        <w:numPr>
          <w:ilvl w:val="0"/>
          <w:numId w:val="1"/>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2022年度收、支总计2292.63万元。与2021年相比，收、支总计各增加857.72万元，增长59.8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22年本年收入合计2292.63万元，其中：一般公共预算财政拨款收入1635.31万元，占71.3</w:t>
      </w:r>
      <w:r>
        <w:rPr>
          <w:rFonts w:ascii="仿宋" w:hAnsi="仿宋" w:eastAsia="仿宋"/>
          <w:sz w:val="32"/>
          <w:szCs w:val="32"/>
        </w:rPr>
        <w:t>%</w:t>
      </w:r>
      <w:r>
        <w:rPr>
          <w:rFonts w:hint="eastAsia" w:ascii="仿宋" w:hAnsi="仿宋" w:eastAsia="仿宋"/>
          <w:sz w:val="32"/>
          <w:szCs w:val="32"/>
        </w:rPr>
        <w:t>；其他收入657.32万元，占28.7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rPr>
          <w:rFonts w:hint="eastAsia"/>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spacing w:line="600" w:lineRule="exact"/>
        <w:ind w:firstLine="640" w:firstLineChars="200"/>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22年本年支出合计2292.63元，其中：基本支出2087.95万元，占91.1</w:t>
      </w:r>
      <w:r>
        <w:rPr>
          <w:rFonts w:ascii="仿宋" w:hAnsi="仿宋" w:eastAsia="仿宋"/>
          <w:sz w:val="32"/>
          <w:szCs w:val="32"/>
        </w:rPr>
        <w:t>%</w:t>
      </w:r>
      <w:r>
        <w:rPr>
          <w:rFonts w:hint="eastAsia" w:ascii="仿宋" w:hAnsi="仿宋" w:eastAsia="仿宋"/>
          <w:sz w:val="32"/>
          <w:szCs w:val="32"/>
        </w:rPr>
        <w:t>；项目支出204.68万元，占8.9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22年财政拨款收、支总计1635.31万元。与</w:t>
      </w:r>
      <w:r>
        <w:rPr>
          <w:rFonts w:ascii="仿宋" w:hAnsi="仿宋" w:eastAsia="仿宋"/>
          <w:sz w:val="32"/>
          <w:szCs w:val="32"/>
        </w:rPr>
        <w:t>20</w:t>
      </w:r>
      <w:r>
        <w:rPr>
          <w:rFonts w:hint="eastAsia" w:ascii="仿宋" w:hAnsi="仿宋" w:eastAsia="仿宋"/>
          <w:sz w:val="32"/>
          <w:szCs w:val="32"/>
        </w:rPr>
        <w:t>21年相比，财政拨款收、支总计各增加200.4万元，增长14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sz w:val="32"/>
          <w:szCs w:val="32"/>
        </w:rPr>
        <w:t>。</w:t>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r>
        <w:drawing>
          <wp:inline distT="0" distB="0" distL="0" distR="0">
            <wp:extent cx="5274310" cy="3076575"/>
            <wp:effectExtent l="19050" t="0" r="2159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pP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22年一般公共预算财政拨款支出1635.31万元，占本年支出合计的71.3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21年相比，一般公共预算财政拨款支出增加200.4万元，增长14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drawing>
          <wp:inline distT="0" distB="0" distL="0" distR="0">
            <wp:extent cx="5274310" cy="3076575"/>
            <wp:effectExtent l="19050" t="0" r="2159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22年一般公共预算财政拨款支出1635.31万元，主要用于以下方面</w:t>
      </w:r>
      <w:r>
        <w:rPr>
          <w:rFonts w:ascii="仿宋" w:hAnsi="仿宋" w:eastAsia="仿宋"/>
          <w:sz w:val="32"/>
          <w:szCs w:val="32"/>
        </w:rPr>
        <w:t>:</w:t>
      </w:r>
      <w:r>
        <w:rPr>
          <w:rFonts w:hint="eastAsia" w:ascii="仿宋" w:hAnsi="仿宋" w:eastAsia="仿宋"/>
          <w:b/>
          <w:sz w:val="32"/>
          <w:szCs w:val="32"/>
        </w:rPr>
        <w:t>公共安全</w:t>
      </w:r>
      <w:r>
        <w:rPr>
          <w:rFonts w:hint="eastAsia" w:ascii="仿宋" w:hAnsi="仿宋" w:eastAsia="仿宋"/>
          <w:b/>
          <w:bCs/>
          <w:sz w:val="32"/>
          <w:szCs w:val="32"/>
        </w:rPr>
        <w:t>支出</w:t>
      </w:r>
      <w:r>
        <w:rPr>
          <w:rFonts w:hint="eastAsia" w:ascii="仿宋" w:hAnsi="仿宋" w:eastAsia="仿宋"/>
          <w:sz w:val="32"/>
          <w:szCs w:val="32"/>
        </w:rPr>
        <w:t>1454.36万元，占88.9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79.56万元，占4.9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39.2万元，占2.4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62.19万元，占3.8</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444"/>
      <w:bookmarkStart w:id="34" w:name="_Toc15377213"/>
      <w:bookmarkStart w:id="35" w:name="_Toc15378460"/>
      <w:r>
        <w:rPr>
          <w:rFonts w:hint="eastAsia" w:ascii="仿宋" w:hAnsi="仿宋" w:eastAsia="仿宋"/>
          <w:b/>
          <w:sz w:val="32"/>
          <w:szCs w:val="32"/>
        </w:rPr>
        <w:t>2022年一般公共预算支出决算数为1635.31万元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sz w:val="32"/>
          <w:szCs w:val="32"/>
        </w:rPr>
      </w:pPr>
      <w:r>
        <w:rPr>
          <w:rStyle w:val="17"/>
          <w:rFonts w:ascii="仿宋" w:hAnsi="仿宋" w:eastAsia="仿宋"/>
          <w:bCs/>
          <w:sz w:val="32"/>
          <w:szCs w:val="32"/>
        </w:rPr>
        <w:t>1.</w:t>
      </w:r>
      <w:r>
        <w:rPr>
          <w:rStyle w:val="17"/>
          <w:rFonts w:hint="eastAsia" w:ascii="仿宋" w:hAnsi="仿宋" w:eastAsia="仿宋"/>
          <w:bCs/>
          <w:sz w:val="32"/>
          <w:szCs w:val="32"/>
        </w:rPr>
        <w:t>公共安全（类）法院（款）行政运行（项）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支出决算为1249.68万元，完成预算100</w:t>
      </w:r>
      <w:r>
        <w:rPr>
          <w:rStyle w:val="17"/>
          <w:rFonts w:ascii="仿宋" w:hAnsi="仿宋" w:eastAsia="仿宋"/>
          <w:b w:val="0"/>
          <w:bCs/>
          <w:sz w:val="32"/>
          <w:szCs w:val="32"/>
        </w:rPr>
        <w:t>%</w:t>
      </w:r>
      <w:r>
        <w:rPr>
          <w:rStyle w:val="17"/>
          <w:rFonts w:hint="eastAsia" w:ascii="仿宋" w:hAnsi="仿宋" w:eastAsia="仿宋"/>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公共安全（类）法院（款）其他法院支出（项）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支出决算为204.68万元，完成预算100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ascii="仿宋" w:hAnsi="仿宋" w:eastAsia="仿宋"/>
          <w:bCs/>
          <w:sz w:val="32"/>
          <w:szCs w:val="32"/>
        </w:rPr>
        <w:t>3.</w:t>
      </w:r>
      <w:r>
        <w:rPr>
          <w:rStyle w:val="17"/>
          <w:rFonts w:hint="eastAsia" w:ascii="仿宋" w:hAnsi="仿宋" w:eastAsia="仿宋"/>
          <w:bCs/>
          <w:sz w:val="32"/>
          <w:szCs w:val="32"/>
        </w:rPr>
        <w:t>社会保障和就业（类）</w:t>
      </w:r>
      <w:r>
        <w:rPr>
          <w:rStyle w:val="17"/>
          <w:rFonts w:hint="eastAsia" w:ascii="仿宋" w:hAnsi="仿宋" w:eastAsia="仿宋"/>
          <w:bCs/>
          <w:color w:val="000000"/>
          <w:sz w:val="32"/>
          <w:szCs w:val="32"/>
        </w:rPr>
        <w:t>行政事业单位养老</w:t>
      </w:r>
      <w:r>
        <w:rPr>
          <w:rStyle w:val="17"/>
          <w:rFonts w:hint="eastAsia" w:ascii="仿宋" w:hAnsi="仿宋" w:eastAsia="仿宋"/>
          <w:bCs/>
          <w:sz w:val="32"/>
          <w:szCs w:val="32"/>
        </w:rPr>
        <w:t>（款）</w:t>
      </w:r>
      <w:r>
        <w:rPr>
          <w:rStyle w:val="17"/>
          <w:rFonts w:hint="eastAsia" w:ascii="仿宋" w:hAnsi="仿宋" w:eastAsia="仿宋"/>
          <w:bCs/>
          <w:color w:val="000000"/>
          <w:sz w:val="32"/>
          <w:szCs w:val="32"/>
        </w:rPr>
        <w:t>机关事业单位基本养老保险缴费</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支出决算为77.19万元，完成预算100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 xml:space="preserve"> 4.</w:t>
      </w:r>
      <w:r>
        <w:rPr>
          <w:rStyle w:val="17"/>
          <w:rFonts w:hint="eastAsia" w:ascii="仿宋" w:hAnsi="仿宋" w:eastAsia="仿宋"/>
          <w:bCs/>
          <w:sz w:val="32"/>
          <w:szCs w:val="32"/>
        </w:rPr>
        <w:t xml:space="preserve"> 社会保障和就业（类）</w:t>
      </w:r>
      <w:r>
        <w:rPr>
          <w:rStyle w:val="17"/>
          <w:rFonts w:hint="eastAsia" w:ascii="仿宋" w:hAnsi="仿宋" w:eastAsia="仿宋"/>
          <w:bCs/>
          <w:color w:val="000000"/>
          <w:sz w:val="32"/>
          <w:szCs w:val="32"/>
        </w:rPr>
        <w:t>其他社会保障和就业</w:t>
      </w:r>
      <w:r>
        <w:rPr>
          <w:rStyle w:val="17"/>
          <w:rFonts w:hint="eastAsia" w:ascii="仿宋" w:hAnsi="仿宋" w:eastAsia="仿宋"/>
          <w:bCs/>
          <w:sz w:val="32"/>
          <w:szCs w:val="32"/>
        </w:rPr>
        <w:t>（款）其他社会保障和就业（项）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支出决算为2.37万元，完成预算100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卫生健康（类）</w:t>
      </w:r>
      <w:r>
        <w:rPr>
          <w:rStyle w:val="17"/>
          <w:rFonts w:hint="eastAsia" w:ascii="仿宋" w:hAnsi="仿宋" w:eastAsia="仿宋"/>
          <w:bCs/>
          <w:color w:val="000000"/>
          <w:sz w:val="32"/>
          <w:szCs w:val="32"/>
        </w:rPr>
        <w:t>行政事业单位医疗</w:t>
      </w:r>
      <w:r>
        <w:rPr>
          <w:rStyle w:val="17"/>
          <w:rFonts w:hint="eastAsia" w:ascii="仿宋" w:hAnsi="仿宋" w:eastAsia="仿宋"/>
          <w:bCs/>
          <w:sz w:val="32"/>
          <w:szCs w:val="32"/>
        </w:rPr>
        <w:t>（款）行政单位医疗（项）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支出决算为39.2万元，完成预算100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6.</w:t>
      </w:r>
      <w:r>
        <w:rPr>
          <w:rFonts w:hint="eastAsia" w:ascii="仿宋" w:hAnsi="仿宋" w:eastAsia="仿宋"/>
          <w:b/>
          <w:bCs/>
          <w:sz w:val="32"/>
          <w:szCs w:val="32"/>
        </w:rPr>
        <w:t>住房保障</w:t>
      </w:r>
      <w:r>
        <w:rPr>
          <w:rStyle w:val="17"/>
          <w:rFonts w:hint="eastAsia" w:ascii="仿宋" w:hAnsi="仿宋" w:eastAsia="仿宋"/>
          <w:bCs/>
          <w:sz w:val="32"/>
          <w:szCs w:val="32"/>
        </w:rPr>
        <w:t>（类）住房改革（款）住房公积金（项）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支出决算为62.19万元，完成预算100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22年一般公共预算财政拨款基本支出1430.63万元，其中：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人员经费920.42万元，主要包括：基本工资、津贴补贴、奖金、机关事业单位基本养老保险缴费、职工基本医疗保险缴费、其他社会保障缴费、住房公积金</w:t>
      </w:r>
      <w:r>
        <w:rPr>
          <w:rFonts w:hint="default" w:ascii="仿宋" w:hAnsi="仿宋" w:eastAsia="仿宋"/>
          <w:sz w:val="32"/>
          <w:szCs w:val="32"/>
        </w:rPr>
        <w:t>、</w:t>
      </w:r>
      <w:r>
        <w:rPr>
          <w:rFonts w:hint="eastAsia" w:ascii="仿宋" w:hAnsi="仿宋" w:eastAsia="仿宋"/>
          <w:sz w:val="32"/>
          <w:szCs w:val="32"/>
        </w:rPr>
        <w:t>其他工资福利支出、生活补助等。</w:t>
      </w:r>
      <w:r>
        <w:rPr>
          <w:rFonts w:ascii="仿宋" w:hAnsi="仿宋" w:eastAsia="仿宋"/>
          <w:sz w:val="32"/>
          <w:szCs w:val="32"/>
        </w:rPr>
        <w:br w:type="textWrapping"/>
      </w:r>
      <w:r>
        <w:rPr>
          <w:rFonts w:hint="eastAsia" w:ascii="仿宋" w:hAnsi="仿宋" w:eastAsia="仿宋"/>
          <w:sz w:val="32"/>
          <w:szCs w:val="32"/>
        </w:rPr>
        <w:t>　　公用经费510.21万元，主要包括：办公费、印刷费、手续费、水费、电费、邮电费、物业管理费、差旅费、维修（护）费、培训费、公务接待费、劳务费、委托业务费、工会经费、公务用车运行维护费、其他交通费、其他商品和服务支出等。</w:t>
      </w:r>
    </w:p>
    <w:p>
      <w:pPr>
        <w:spacing w:line="600" w:lineRule="exact"/>
        <w:ind w:firstLine="640"/>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22年“三公”经费财政拨款支出决算为22.95万元，完成预算100</w:t>
      </w:r>
      <w:r>
        <w:rPr>
          <w:rFonts w:ascii="仿宋" w:hAnsi="仿宋" w:eastAsia="仿宋"/>
          <w:sz w:val="32"/>
          <w:szCs w:val="32"/>
        </w:rPr>
        <w:t>%</w:t>
      </w:r>
      <w:r>
        <w:rPr>
          <w:rFonts w:hint="eastAsia" w:ascii="仿宋" w:hAnsi="仿宋" w:eastAsia="仿宋"/>
          <w:sz w:val="32"/>
          <w:szCs w:val="32"/>
        </w:rPr>
        <w:t>，较上年减少0.25万元，下降1.1%。决算数与预算数持平的主要原因是厉行节约，压减三公经费支出。</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；公务用车购置及运行维护费支出决算20.63万元，占89.9</w:t>
      </w:r>
      <w:r>
        <w:rPr>
          <w:rFonts w:ascii="仿宋" w:hAnsi="仿宋" w:eastAsia="仿宋"/>
          <w:sz w:val="32"/>
          <w:szCs w:val="32"/>
        </w:rPr>
        <w:t>%</w:t>
      </w:r>
      <w:r>
        <w:rPr>
          <w:rFonts w:hint="eastAsia" w:ascii="仿宋" w:hAnsi="仿宋" w:eastAsia="仿宋"/>
          <w:sz w:val="32"/>
          <w:szCs w:val="32"/>
        </w:rPr>
        <w:t>；公务接待费支出决算2.32万元，占10.1</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年初未安排预算。</w:t>
      </w:r>
      <w:r>
        <w:rPr>
          <w:rFonts w:hint="eastAsia" w:ascii="仿宋_GB2312" w:eastAsia="仿宋_GB2312"/>
          <w:sz w:val="32"/>
          <w:szCs w:val="32"/>
        </w:rPr>
        <w:t>因公出国（境）支出决算较</w:t>
      </w:r>
      <w:r>
        <w:rPr>
          <w:rFonts w:ascii="仿宋_GB2312" w:eastAsia="仿宋_GB2312"/>
          <w:sz w:val="32"/>
          <w:szCs w:val="32"/>
        </w:rPr>
        <w:t>20</w:t>
      </w:r>
      <w:r>
        <w:rPr>
          <w:rFonts w:hint="eastAsia" w:ascii="仿宋_GB2312" w:eastAsia="仿宋_GB2312"/>
          <w:sz w:val="32"/>
          <w:szCs w:val="32"/>
        </w:rPr>
        <w:t>21年无变化。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20.63万元,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21年增加0.63万元，增长3.2</w:t>
      </w:r>
      <w:r>
        <w:rPr>
          <w:rFonts w:ascii="仿宋_GB2312" w:eastAsia="仿宋_GB2312"/>
          <w:sz w:val="32"/>
          <w:szCs w:val="32"/>
        </w:rPr>
        <w:t>%</w:t>
      </w:r>
      <w:r>
        <w:rPr>
          <w:rFonts w:hint="eastAsia" w:ascii="仿宋_GB2312" w:eastAsia="仿宋_GB2312"/>
          <w:sz w:val="32"/>
          <w:szCs w:val="32"/>
        </w:rPr>
        <w:t>。主要原因是办案数量增加随之公务用车使用量增加，故运行维护费略有增加。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0万元。全年未购置公务用车。截至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月底，单位共有公务用车9辆，其中：轿车5辆、越野车2辆、其他车型2辆。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20.63万元。主要用于办案执行等法院业务工作所需的公务用车燃料费、维修费、过路过桥费、保险费等支出。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2.32万元，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21年减少0.88万元，下降27.5</w:t>
      </w:r>
      <w:r>
        <w:rPr>
          <w:rFonts w:ascii="仿宋_GB2312" w:eastAsia="仿宋_GB2312"/>
          <w:sz w:val="32"/>
          <w:szCs w:val="32"/>
        </w:rPr>
        <w:t>%</w:t>
      </w:r>
      <w:r>
        <w:rPr>
          <w:rFonts w:hint="eastAsia" w:ascii="仿宋_GB2312" w:eastAsia="仿宋_GB2312"/>
          <w:sz w:val="32"/>
          <w:szCs w:val="32"/>
        </w:rPr>
        <w:t>。主要原因是厉行节约，响应中央政策，压减公务接待费支出。其中：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2.32</w:t>
      </w:r>
      <w:r>
        <w:rPr>
          <w:rFonts w:hint="eastAsia" w:ascii="仿宋_GB2312" w:eastAsia="仿宋_GB2312"/>
          <w:sz w:val="32"/>
          <w:szCs w:val="32"/>
        </w:rPr>
        <w:t>万元，主要用于接待上级法院、政府部门指导考察工作及执行公务、开展业务活动开支的交通费、住宿费、用餐费等。国内公务接待65批次，266人次（不包括陪同人员），共计支出2.32万元，具体内容包括：</w:t>
      </w:r>
      <w:r>
        <w:rPr>
          <w:rFonts w:hint="eastAsia" w:ascii="仿宋_GB2312" w:hAnsi="仿宋_GB2312" w:eastAsia="仿宋_GB2312" w:cs="仿宋_GB2312"/>
          <w:sz w:val="32"/>
          <w:szCs w:val="32"/>
        </w:rPr>
        <w:t>外地以及上级法院到我院刑事案件开庭，接待参与诉讼的法官、书记员、人民陪审员、值庭法警、接待外地法院到我区执行案件、接待其它公务活动开支</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9"/>
          <w:rFonts w:ascii="黑体" w:hAnsi="黑体" w:eastAsia="黑体"/>
        </w:rPr>
      </w:pPr>
      <w:bookmarkStart w:id="42" w:name="_Toc15396610"/>
      <w:bookmarkStart w:id="43" w:name="_Toc15377218"/>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2"/>
        </w:numPr>
        <w:spacing w:line="600" w:lineRule="exact"/>
        <w:ind w:firstLine="640"/>
        <w:outlineLvl w:val="1"/>
        <w:rPr>
          <w:rStyle w:val="29"/>
          <w:rFonts w:ascii="黑体" w:hAnsi="黑体" w:eastAsia="黑体"/>
          <w:b w:val="0"/>
        </w:rPr>
      </w:pPr>
      <w:bookmarkStart w:id="44" w:name="_Toc15377219"/>
      <w:bookmarkStart w:id="45" w:name="_Toc15396611"/>
      <w:r>
        <w:rPr>
          <w:rStyle w:val="29"/>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2"/>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22年，广元市昭化区人民法院机关运行经费支出510.21万元，比</w:t>
      </w:r>
      <w:r>
        <w:rPr>
          <w:rFonts w:ascii="仿宋_GB2312" w:eastAsia="仿宋_GB2312"/>
          <w:sz w:val="32"/>
          <w:szCs w:val="32"/>
        </w:rPr>
        <w:t>20</w:t>
      </w:r>
      <w:r>
        <w:rPr>
          <w:rFonts w:hint="eastAsia" w:ascii="仿宋_GB2312" w:eastAsia="仿宋_GB2312"/>
          <w:sz w:val="32"/>
          <w:szCs w:val="32"/>
        </w:rPr>
        <w:t>21年增加224.84万元，增长78.8</w:t>
      </w:r>
      <w:r>
        <w:rPr>
          <w:rFonts w:ascii="仿宋_GB2312" w:eastAsia="仿宋_GB2312"/>
          <w:sz w:val="32"/>
          <w:szCs w:val="32"/>
        </w:rPr>
        <w:t>%</w:t>
      </w:r>
      <w:r>
        <w:rPr>
          <w:rFonts w:hint="eastAsia" w:ascii="仿宋_GB2312" w:eastAsia="仿宋_GB2312"/>
          <w:sz w:val="32"/>
          <w:szCs w:val="32"/>
        </w:rPr>
        <w:t>。主要原因是体制上划，保障经费发生变化。</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22年，广元市昭化区人民法院政府采购支出总额0万元，其中：政府采购货物支出0万元、政府采购工程支出0万元、政府采购服务支出0万元。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日，广元市昭化区人民法院共有车辆9辆，其中：执法执勤用车9辆。单价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人民陪审员经费、法院工作人员加班补贴、司法警察加班补贴等3个项目开展了预算事前绩效评估，对3个项目编制了绩效目标，预算执行过程中，选取3个项目开展绩效监控。</w:t>
      </w:r>
    </w:p>
    <w:p>
      <w:pPr>
        <w:widowControl/>
        <w:ind w:firstLine="640" w:firstLineChars="200"/>
        <w:jc w:val="left"/>
        <w:rPr>
          <w:rFonts w:ascii="仿宋_GB2312" w:eastAsia="仿宋_GB2312"/>
          <w:b/>
          <w:sz w:val="32"/>
          <w:szCs w:val="32"/>
          <w:highlight w:val="yellow"/>
        </w:rPr>
      </w:pPr>
      <w:r>
        <w:rPr>
          <w:rFonts w:hint="eastAsia" w:ascii="仿宋_GB2312" w:hAnsi="仿宋_GB2312" w:eastAsia="仿宋_GB2312" w:cs="仿宋_GB2312"/>
          <w:sz w:val="32"/>
          <w:szCs w:val="32"/>
        </w:rPr>
        <w:t>组织对2022年度一般公共预算资金等全面开展绩效自评，形成广元市昭化区人民法院部门整体（含部门预算项目）绩效自评报告、人民陪审员经费、 法院工作人员加班补贴、司法警察加班补贴等专项预算项目绩效自评报告，其中，广元市昭化区人民法院部门整体（含部门预算项目）绩效自评得分为95分，绩效自评综述：年初设定全年绩效目标完成良好；人民陪审员经费、 法院工作人员加班补贴、司法警察加班补贴专项预算项目绩效自评得分为95分，绩效自评综述：年初设定全年绩效目标完成良好。绩效自评报告详见附件。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8"/>
          <w:rFonts w:hint="eastAsia" w:ascii="黑体" w:hAnsi="黑体" w:eastAsia="黑体"/>
          <w:b w:val="0"/>
        </w:rPr>
        <w:t>词解释</w:t>
      </w:r>
      <w:bookmarkEnd w:id="51"/>
      <w:bookmarkEnd w:id="52"/>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其他收入：指单位取得的除上述收入以外的各项收入。主要是区级财政拨款收入等。</w:t>
      </w:r>
      <w:r>
        <w:rPr>
          <w:rFonts w:ascii="仿宋_GB2312" w:eastAsia="仿宋_GB2312"/>
          <w:color w:val="auto"/>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公共安全（类）法院（款）行政运行（项）：指法院机关的基本支出。</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公共安全（类）法院（款）其他法院支出（项）：指法院机关的项目支出。</w:t>
      </w:r>
    </w:p>
    <w:p>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社会保障和就业（类）行政事业单位养老（款）机关事业单位基本养老保险缴费（项）：</w:t>
      </w:r>
      <w:r>
        <w:rPr>
          <w:rFonts w:hint="eastAsia" w:ascii="仿宋_GB2312" w:eastAsia="仿宋_GB2312"/>
          <w:color w:val="000000"/>
          <w:sz w:val="32"/>
          <w:szCs w:val="32"/>
        </w:rPr>
        <w:t>指机关事业单位实施养老保险制度由单位缴纳的基本养老保险费支出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 xml:space="preserve"> 社会保障和就业（类）其他社会保障和就业（款）其他社会保障和就业（项）：指</w:t>
      </w:r>
      <w:r>
        <w:rPr>
          <w:rFonts w:hint="eastAsia" w:ascii="仿宋_GB2312" w:eastAsia="仿宋_GB2312"/>
          <w:color w:val="000000"/>
          <w:sz w:val="32"/>
          <w:szCs w:val="32"/>
        </w:rPr>
        <w:t>机关事业单位实施保险制度由单位缴纳的其他保险支出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卫生健康（类）行政事业单位医疗（款）行政单位医疗（项）：</w:t>
      </w:r>
      <w:r>
        <w:rPr>
          <w:rFonts w:hint="eastAsia" w:ascii="仿宋_GB2312" w:eastAsia="仿宋_GB2312"/>
          <w:color w:val="000000"/>
          <w:sz w:val="32"/>
          <w:szCs w:val="32"/>
        </w:rPr>
        <w:t>指财政部门安排的由单位缴纳的基本医疗保险缴费支出。</w:t>
      </w:r>
    </w:p>
    <w:p>
      <w:pPr>
        <w:ind w:firstLine="640" w:firstLineChars="200"/>
        <w:rPr>
          <w:rFonts w:ascii="仿宋_GB2312" w:eastAsia="仿宋_GB2312"/>
          <w:color w:val="000000"/>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住房保障（类）住房改革（款）住房公积金（项）：指</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ind w:firstLine="640" w:firstLineChars="200"/>
        <w:jc w:val="both"/>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ind w:firstLine="640" w:firstLineChars="200"/>
        <w:jc w:val="both"/>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手续费、水电费、邮电费、物业管理费、差旅费、维修（护）费、培训费、公务接待费、劳务费、委托业务费、工会经费、其他交通费、公务用车运行维护费以及其他费用。</w:t>
      </w:r>
    </w:p>
    <w:p>
      <w:pPr>
        <w:pStyle w:val="26"/>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p>
    <w:p>
      <w:pPr>
        <w:spacing w:line="600" w:lineRule="exact"/>
        <w:jc w:val="right"/>
        <w:outlineLvl w:val="0"/>
        <w:rPr>
          <w:rFonts w:ascii="宋体"/>
          <w:b/>
          <w:sz w:val="44"/>
          <w:szCs w:val="44"/>
        </w:rPr>
      </w:pPr>
      <w:bookmarkStart w:id="53" w:name="_Toc15377226"/>
    </w:p>
    <w:p>
      <w:pPr>
        <w:spacing w:line="600" w:lineRule="exact"/>
        <w:jc w:val="center"/>
        <w:outlineLvl w:val="0"/>
        <w:rPr>
          <w:rStyle w:val="28"/>
          <w:rFonts w:ascii="黑体" w:hAnsi="黑体" w:eastAsia="黑体"/>
          <w:b w:val="0"/>
        </w:rPr>
      </w:pPr>
      <w:r>
        <w:rPr>
          <w:rFonts w:ascii="宋体"/>
          <w:sz w:val="44"/>
          <w:szCs w:val="44"/>
        </w:rPr>
        <w:br w:type="page"/>
      </w:r>
      <w:bookmarkStart w:id="54" w:name="_Toc15396614"/>
      <w:r>
        <w:rPr>
          <w:rFonts w:hint="eastAsia" w:ascii="黑体" w:hAnsi="黑体" w:eastAsia="黑体"/>
          <w:sz w:val="44"/>
          <w:szCs w:val="44"/>
        </w:rPr>
        <w:t>第</w:t>
      </w:r>
      <w:r>
        <w:rPr>
          <w:rStyle w:val="28"/>
          <w:rFonts w:hint="eastAsia" w:ascii="黑体" w:hAnsi="黑体" w:eastAsia="黑体"/>
          <w:b w:val="0"/>
        </w:rPr>
        <w:t>四部分 附件</w:t>
      </w:r>
      <w:bookmarkEnd w:id="54"/>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2023年广元市昭化区人民法院</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pStyle w:val="27"/>
        <w:widowControl/>
        <w:numPr>
          <w:ilvl w:val="0"/>
          <w:numId w:val="5"/>
        </w:numPr>
        <w:adjustRightInd w:val="0"/>
        <w:snapToGrid w:val="0"/>
        <w:spacing w:line="600" w:lineRule="exact"/>
        <w:ind w:firstLineChars="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广元市昭化区人民法院下属部门13个，其中院机关部门十个，基层法庭三个，主要包括：政治处、机关党委、办公室、刑庭、民庭、行政庭、立案庭、审管办、执行局、司法警察大队、卫子法庭、昭化法庭、虎跳法庭。</w:t>
      </w:r>
    </w:p>
    <w:p>
      <w:pPr>
        <w:pStyle w:val="27"/>
        <w:widowControl/>
        <w:numPr>
          <w:ilvl w:val="0"/>
          <w:numId w:val="5"/>
        </w:numPr>
        <w:adjustRightInd w:val="0"/>
        <w:snapToGrid w:val="0"/>
        <w:spacing w:line="600" w:lineRule="exact"/>
        <w:ind w:firstLineChars="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pStyle w:val="2"/>
        <w:spacing w:beforeLines="0" w:line="600"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一、机构职能</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1.依法审判法律规定应由基层人民法院管辖的刑事、民事、行政等一审案件。</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2.依法审理上级人民法院指令再审的案件和本院审理的已发生法律效力后按审判监督程序进行再审的案件。</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3.依法审理由广元市人民检察院，昭化区人民检察院按审判监督程序提出的抗诉案件。</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4.依法行使司法决定权和司法执行权。</w:t>
      </w:r>
    </w:p>
    <w:p>
      <w:pPr>
        <w:pStyle w:val="13"/>
        <w:widowControl/>
        <w:shd w:val="clear" w:color="auto" w:fill="FFFFFF"/>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5.依法决定国家赔偿。</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6.对案件审理中发现的问题提出司法建议。</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7.对</w:t>
      </w:r>
      <w:r>
        <w:rPr>
          <w:rFonts w:hint="eastAsia" w:ascii="仿宋" w:hAnsi="仿宋" w:eastAsia="仿宋" w:cs="仿宋"/>
          <w:sz w:val="32"/>
          <w:szCs w:val="32"/>
          <w:shd w:val="clear" w:color="auto" w:fill="FFFFFF"/>
        </w:rPr>
        <w:t>昭化区法院</w:t>
      </w:r>
      <w:r>
        <w:rPr>
          <w:rFonts w:hint="eastAsia" w:ascii="仿宋" w:hAnsi="仿宋" w:eastAsia="仿宋" w:cs="仿宋"/>
          <w:color w:val="000000"/>
          <w:sz w:val="32"/>
          <w:szCs w:val="32"/>
          <w:shd w:val="clear" w:color="auto" w:fill="FFFFFF"/>
        </w:rPr>
        <w:t>的法官和其它工作人员进行思想政治教育，组织专业培训，按权限管理法官，执行员、书记员、司法警察、司法鉴定人员和司法行政人员，协同主管部门管理本院机构设置，人员编制，领导本院按有关规定分类管理其工作人员。</w:t>
      </w:r>
    </w:p>
    <w:p>
      <w:pPr>
        <w:pStyle w:val="13"/>
        <w:widowControl/>
        <w:shd w:val="clear" w:color="auto" w:fill="FFFFFF"/>
        <w:spacing w:line="600" w:lineRule="exact"/>
        <w:ind w:firstLine="800" w:firstLineChars="25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8.协同区纪委处理本院干警的违法违纪行为，领导本院的监察工作。</w:t>
      </w:r>
    </w:p>
    <w:p>
      <w:pPr>
        <w:pStyle w:val="2"/>
        <w:spacing w:beforeLines="0" w:line="600" w:lineRule="exact"/>
        <w:ind w:firstLine="643" w:firstLineChars="200"/>
        <w:rPr>
          <w:rFonts w:ascii="仿宋" w:hAnsi="仿宋" w:eastAsia="仿宋"/>
          <w:b/>
          <w:sz w:val="32"/>
          <w:szCs w:val="32"/>
        </w:rPr>
      </w:pPr>
      <w:r>
        <w:rPr>
          <w:rFonts w:hint="eastAsia" w:ascii="仿宋" w:hAnsi="仿宋" w:eastAsia="仿宋"/>
          <w:b/>
          <w:sz w:val="32"/>
          <w:szCs w:val="32"/>
        </w:rPr>
        <w:t>二、人员概况</w:t>
      </w:r>
    </w:p>
    <w:p>
      <w:pPr>
        <w:pStyle w:val="14"/>
        <w:spacing w:after="0" w:line="600" w:lineRule="exact"/>
        <w:ind w:left="0" w:leftChars="0" w:firstLine="640"/>
        <w:rPr>
          <w:rFonts w:ascii="仿宋" w:hAnsi="仿宋" w:eastAsia="仿宋"/>
          <w:sz w:val="32"/>
        </w:rPr>
      </w:pPr>
      <w:r>
        <w:rPr>
          <w:rFonts w:hint="eastAsia" w:ascii="仿宋" w:hAnsi="仿宋" w:eastAsia="仿宋" w:cs="仿宋_GB2312"/>
          <w:sz w:val="32"/>
        </w:rPr>
        <w:t>昭化区人民法院共有编制67名，其中：政法编制59人，工勤编制1人，事业编制7人。2022年预算实有在职编制内人员66人，较去年66人无变化。其中：政法编制55人，工勤编制1人，事业编制7人。退休人员24人。</w:t>
      </w:r>
    </w:p>
    <w:p>
      <w:pPr>
        <w:widowControl/>
        <w:adjustRightInd w:val="0"/>
        <w:snapToGrid w:val="0"/>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加力增强党的全面领导，坚决落实党的决策部署。在思想上政治上行动上同以习近平同志为核心的党中央保持高度一致，确保习近平总书记重要指示批示、党中央和省委各项决策部署不折不扣落地落实。建立健全不忘初心、牢记使命长效机制，巩固主题教育成果。</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2.助推平安昭化的建设工作。与纪委监委、组织、检察、公安等部门密切配合，巩固扫黑除恶专项斗争成果，主动融入党委政府主导的社会治理体系，建设平安昭化。</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3.促进生态文明建设。助力打赢污染防治攻坚战，依法适用刑事制裁、损害赔偿、修复补偿等举措,守护绿水青山。推动环境公益诉讼，开展环保法制宣传，引导全社会共同参与保护生态环境。</w:t>
      </w:r>
    </w:p>
    <w:p>
      <w:pPr>
        <w:pStyle w:val="13"/>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4.平等保护民事权益。保障群众学有所教、劳有所得、病有所医、住有所居、弱有所扶。规范契约关系，促进社会诚信集约高效审理借贷、保险、证券等金融案件，防范化解金融风险，服务大众创业创新。</w:t>
      </w:r>
    </w:p>
    <w:p>
      <w:pPr>
        <w:pStyle w:val="13"/>
        <w:widowControl/>
        <w:shd w:val="clear" w:color="auto" w:fill="FFFFFF"/>
        <w:spacing w:line="600" w:lineRule="exact"/>
        <w:ind w:firstLine="640" w:firstLineChars="200"/>
        <w:rPr>
          <w:rFonts w:ascii="楷体_GB2312" w:eastAsia="楷体_GB2312" w:cs="楷体_GB2312"/>
          <w:b/>
          <w:color w:val="333333"/>
          <w:sz w:val="32"/>
          <w:szCs w:val="32"/>
          <w:shd w:val="clear" w:color="auto" w:fill="FFFFFF"/>
        </w:rPr>
      </w:pPr>
      <w:r>
        <w:rPr>
          <w:rFonts w:hint="eastAsia" w:ascii="仿宋" w:hAnsi="仿宋" w:eastAsia="仿宋" w:cs="仿宋"/>
          <w:color w:val="000000"/>
          <w:sz w:val="32"/>
          <w:szCs w:val="32"/>
          <w:shd w:val="clear" w:color="auto" w:fill="FFFFFF"/>
        </w:rPr>
        <w:t>5.执行攻坚保障民利。巩固“三年基本解决执行难”工作成果,开展集中执行专项行动,加大执行强制性措施运用力度,探索执行案件繁简分流、裁执分离、团队合作的办案模式，建立健全“基本解决执行难”工作长效机制。</w:t>
      </w:r>
    </w:p>
    <w:p>
      <w:pPr>
        <w:pStyle w:val="14"/>
        <w:spacing w:after="0" w:line="600" w:lineRule="exact"/>
        <w:ind w:left="0" w:leftChars="0" w:firstLine="643"/>
        <w:rPr>
          <w:rFonts w:ascii="楷体_GB2312" w:hAnsi="楷体_GB2312" w:eastAsia="楷体_GB2312" w:cs="楷体_GB2312"/>
          <w:b/>
          <w:bCs/>
          <w:kern w:val="0"/>
          <w:sz w:val="32"/>
          <w:shd w:val="clear" w:color="auto" w:fill="FFFFFF"/>
          <w:lang w:val="zh-CN"/>
        </w:rPr>
      </w:pPr>
      <w:r>
        <w:rPr>
          <w:rFonts w:hint="eastAsia" w:ascii="楷体_GB2312" w:hAnsi="楷体_GB2312" w:eastAsia="楷体_GB2312" w:cs="楷体_GB2312"/>
          <w:b/>
          <w:bCs/>
          <w:kern w:val="0"/>
          <w:sz w:val="32"/>
          <w:shd w:val="clear" w:color="auto" w:fill="FFFFFF"/>
          <w:lang w:val="zh-CN"/>
        </w:rPr>
        <w:t>（四）部门整体支出绩效目标。</w:t>
      </w:r>
    </w:p>
    <w:p>
      <w:pPr>
        <w:pStyle w:val="14"/>
        <w:spacing w:after="0" w:line="600" w:lineRule="exact"/>
        <w:ind w:left="0" w:leftChars="0" w:firstLine="640"/>
        <w:rPr>
          <w:rFonts w:ascii="仿宋" w:hAnsi="仿宋" w:eastAsia="仿宋"/>
          <w:sz w:val="32"/>
          <w:lang w:val="zh-CN"/>
        </w:rPr>
      </w:pPr>
      <w:r>
        <w:rPr>
          <w:rFonts w:hint="eastAsia" w:ascii="仿宋" w:hAnsi="仿宋" w:eastAsia="仿宋"/>
          <w:sz w:val="32"/>
          <w:lang w:val="zh-CN"/>
        </w:rPr>
        <w:t>办案数量大于2700件；全年干警培训人次大于40人次；开展法制宣传超过20次；办案及业务用房维修面积大于300平方米；法官人均结案数大于120件，长期未结案件化解率大于98%，生效案件改发率0%，案件办结率大于98%，执行标的额到位率大于70%，服判息诉率大于95%，印刷法制宣传资料大于40000份；办案业务费全部用于办案差旅补助、车辆运行维护等；业务装备用费于购买业务装备等。</w:t>
      </w:r>
    </w:p>
    <w:p>
      <w:pPr>
        <w:widowControl/>
        <w:spacing w:line="600" w:lineRule="exact"/>
        <w:ind w:firstLine="640" w:firstLineChars="200"/>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spacing w:line="600" w:lineRule="exact"/>
        <w:ind w:firstLine="643" w:firstLineChars="200"/>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spacing w:line="600" w:lineRule="exact"/>
        <w:ind w:firstLine="643" w:firstLineChars="200"/>
        <w:rPr>
          <w:rFonts w:ascii="仿宋_GB2312" w:hAnsi="仿宋" w:eastAsia="仿宋_GB2312" w:cs="仿宋_GB2312"/>
          <w:b/>
          <w:color w:val="000000"/>
          <w:kern w:val="0"/>
          <w:sz w:val="32"/>
          <w:szCs w:val="32"/>
          <w:shd w:val="clear" w:color="auto" w:fill="FFFFFF"/>
        </w:rPr>
      </w:pPr>
      <w:r>
        <w:rPr>
          <w:rFonts w:hint="eastAsia" w:ascii="仿宋_GB2312" w:hAnsi="仿宋" w:eastAsia="仿宋_GB2312" w:cs="仿宋_GB2312"/>
          <w:b/>
          <w:color w:val="000000"/>
          <w:kern w:val="0"/>
          <w:sz w:val="32"/>
          <w:szCs w:val="32"/>
          <w:shd w:val="clear" w:color="auto" w:fill="FFFFFF"/>
        </w:rPr>
        <w:t>1.部门总体收入情况</w:t>
      </w:r>
    </w:p>
    <w:p>
      <w:pPr>
        <w:pStyle w:val="14"/>
        <w:spacing w:after="0" w:line="600" w:lineRule="exact"/>
        <w:ind w:left="0" w:leftChars="0" w:firstLine="640"/>
        <w:rPr>
          <w:rFonts w:ascii="仿宋" w:hAnsi="仿宋" w:eastAsia="仿宋"/>
          <w:sz w:val="32"/>
        </w:rPr>
      </w:pPr>
      <w:r>
        <w:rPr>
          <w:rFonts w:hint="eastAsia" w:ascii="仿宋" w:hAnsi="仿宋" w:eastAsia="仿宋"/>
          <w:sz w:val="32"/>
        </w:rPr>
        <w:t>2022年昭化区人民法院部门一般公共预算财政拨款收入1635.31万元，其他收入657.32万元。总体收入2292.63万元。</w:t>
      </w:r>
    </w:p>
    <w:p>
      <w:pPr>
        <w:spacing w:line="600" w:lineRule="exact"/>
        <w:ind w:firstLine="643" w:firstLineChars="20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2.部门总体支出情况</w:t>
      </w:r>
    </w:p>
    <w:p>
      <w:pPr>
        <w:pStyle w:val="14"/>
        <w:spacing w:after="0" w:line="600" w:lineRule="exact"/>
        <w:ind w:left="0" w:leftChars="0" w:firstLine="640"/>
        <w:rPr>
          <w:rFonts w:ascii="仿宋" w:hAnsi="仿宋" w:eastAsia="仿宋"/>
          <w:sz w:val="32"/>
        </w:rPr>
      </w:pPr>
      <w:r>
        <w:rPr>
          <w:rFonts w:hint="eastAsia" w:ascii="仿宋" w:hAnsi="仿宋" w:eastAsia="仿宋"/>
          <w:sz w:val="32"/>
        </w:rPr>
        <w:t>2022年昭化区人民法院部门安全支出2111.68万元，社会保障和就业支出79.56万元，卫生健康支出39.20万元，住房保障支出62.19万元。总体支出2292.63万元。</w:t>
      </w:r>
    </w:p>
    <w:p>
      <w:pPr>
        <w:spacing w:line="600" w:lineRule="exact"/>
        <w:ind w:firstLine="643" w:firstLineChars="20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3.部门总体结转结余情况</w:t>
      </w:r>
    </w:p>
    <w:p>
      <w:pPr>
        <w:pStyle w:val="14"/>
        <w:spacing w:after="0" w:line="600" w:lineRule="exact"/>
        <w:ind w:left="0" w:leftChars="0" w:firstLine="640"/>
        <w:rPr>
          <w:rFonts w:ascii="楷体" w:hAnsi="楷体" w:eastAsia="楷体"/>
        </w:rPr>
      </w:pPr>
      <w:r>
        <w:rPr>
          <w:rFonts w:hint="eastAsia" w:ascii="仿宋" w:hAnsi="仿宋" w:eastAsia="仿宋"/>
          <w:sz w:val="32"/>
        </w:rPr>
        <w:t>2022年昭化区人民法院部门无结转结余。</w:t>
      </w:r>
    </w:p>
    <w:p>
      <w:pPr>
        <w:widowControl/>
        <w:spacing w:line="600" w:lineRule="exact"/>
        <w:ind w:firstLine="643" w:firstLineChars="200"/>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spacing w:line="600" w:lineRule="exact"/>
        <w:ind w:firstLine="643" w:firstLineChars="20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1.部门财政拨款收入情况</w:t>
      </w:r>
    </w:p>
    <w:p>
      <w:pPr>
        <w:spacing w:line="600" w:lineRule="exac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2022年</w:t>
      </w:r>
      <w:r>
        <w:rPr>
          <w:rFonts w:hint="eastAsia" w:ascii="仿宋" w:hAnsi="仿宋" w:eastAsia="仿宋"/>
          <w:sz w:val="32"/>
          <w:szCs w:val="32"/>
        </w:rPr>
        <w:t>昭化区人民法院部门一般公共预算财政拨款收入1635.31万元。</w:t>
      </w:r>
    </w:p>
    <w:p>
      <w:pPr>
        <w:spacing w:line="600" w:lineRule="exact"/>
        <w:ind w:firstLine="643" w:firstLineChars="20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2.部门财政拨款支出情况</w:t>
      </w:r>
    </w:p>
    <w:p>
      <w:pPr>
        <w:spacing w:line="600" w:lineRule="exac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2022年</w:t>
      </w:r>
      <w:r>
        <w:rPr>
          <w:rFonts w:hint="eastAsia" w:ascii="仿宋" w:hAnsi="仿宋" w:eastAsia="仿宋"/>
          <w:sz w:val="32"/>
          <w:szCs w:val="32"/>
        </w:rPr>
        <w:t>昭化区人民法院部门一般公共预算财政拨款基本支出1430.63万元，项目支出204.68万元。财政拨款总支出1635.31万元。</w:t>
      </w:r>
    </w:p>
    <w:p>
      <w:pPr>
        <w:spacing w:line="600" w:lineRule="exact"/>
        <w:ind w:firstLine="643" w:firstLineChars="200"/>
        <w:rPr>
          <w:rFonts w:ascii="仿宋" w:hAnsi="仿宋" w:eastAsia="仿宋" w:cs="仿宋_GB2312"/>
          <w:b/>
          <w:color w:val="000000"/>
          <w:kern w:val="0"/>
          <w:sz w:val="32"/>
          <w:szCs w:val="32"/>
          <w:shd w:val="clear" w:color="auto" w:fill="FFFFFF"/>
        </w:rPr>
      </w:pPr>
      <w:r>
        <w:rPr>
          <w:rFonts w:hint="eastAsia" w:ascii="仿宋" w:hAnsi="仿宋" w:eastAsia="仿宋" w:cs="仿宋_GB2312"/>
          <w:b/>
          <w:color w:val="000000"/>
          <w:kern w:val="0"/>
          <w:sz w:val="32"/>
          <w:szCs w:val="32"/>
          <w:shd w:val="clear" w:color="auto" w:fill="FFFFFF"/>
        </w:rPr>
        <w:t>3.部门财政拨款结转结余情况</w:t>
      </w:r>
    </w:p>
    <w:p>
      <w:pPr>
        <w:pStyle w:val="14"/>
        <w:spacing w:after="0" w:line="600" w:lineRule="exact"/>
        <w:ind w:left="0" w:leftChars="0" w:firstLine="640"/>
        <w:rPr>
          <w:rFonts w:ascii="仿宋" w:hAnsi="仿宋" w:eastAsia="仿宋"/>
          <w:sz w:val="32"/>
        </w:rPr>
      </w:pPr>
      <w:r>
        <w:rPr>
          <w:rFonts w:hint="eastAsia" w:ascii="仿宋" w:hAnsi="仿宋" w:eastAsia="仿宋"/>
          <w:sz w:val="32"/>
        </w:rPr>
        <w:t>2022年昭化区人民法院部门无财政拨款结转结余。</w:t>
      </w:r>
    </w:p>
    <w:p>
      <w:pPr>
        <w:widowControl/>
        <w:spacing w:line="600" w:lineRule="exact"/>
        <w:ind w:firstLine="640" w:firstLineChars="200"/>
        <w:contextualSpacing/>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spacing w:line="600" w:lineRule="exact"/>
        <w:ind w:firstLine="643" w:firstLineChars="200"/>
        <w:contextualSpacing/>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spacing w:line="600" w:lineRule="exact"/>
        <w:ind w:firstLine="643" w:firstLineChars="200"/>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1.人员类项目绩效分析</w:t>
      </w:r>
    </w:p>
    <w:p>
      <w:pPr>
        <w:widowControl/>
        <w:spacing w:line="60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人员类项目主要为工资性支出，年度绩效目标设置为：严格执行相关政策，保障工资及时、足额发放，保障社保及时、足额缴纳，预算编制科学合理，减少结余资金，目标实现情况良好，发放（缴纳）覆盖率及足额保障率高，支出执行进度按时推进，预算完成情况较好，资金结余率低，无违规记录。</w:t>
      </w:r>
    </w:p>
    <w:p>
      <w:pPr>
        <w:widowControl/>
        <w:spacing w:line="600" w:lineRule="exact"/>
        <w:ind w:firstLine="643" w:firstLineChars="200"/>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2.运转类项目绩效分析</w:t>
      </w:r>
    </w:p>
    <w:p>
      <w:pPr>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运转类项目为定额公用经费和其他公用经费，年度绩效目标设置为：保障单位日常运转，提高预算编制质量，严格执行预算。</w:t>
      </w:r>
      <w:r>
        <w:rPr>
          <w:rFonts w:hint="eastAsia" w:ascii="仿宋" w:hAnsi="仿宋" w:eastAsia="仿宋" w:cs="仿宋_GB2312"/>
          <w:kern w:val="0"/>
          <w:sz w:val="32"/>
          <w:szCs w:val="32"/>
          <w:shd w:val="clear" w:color="auto" w:fill="FFFFFF"/>
          <w:lang w:val="zh-CN"/>
        </w:rPr>
        <w:t>该项目绩效目标实现情况良好，运转保障率高及三公经费控制率符合要求，支出执行进度按时推进，预算完成情况较好，资金结余率低，无违规记录。</w:t>
      </w:r>
    </w:p>
    <w:p>
      <w:pPr>
        <w:widowControl/>
        <w:spacing w:line="600" w:lineRule="exact"/>
        <w:ind w:firstLine="643" w:firstLineChars="200"/>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3.特定目标类项目绩效分析</w:t>
      </w:r>
    </w:p>
    <w:p>
      <w:pPr>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sz w:val="32"/>
          <w:szCs w:val="32"/>
        </w:rPr>
        <w:t>特定目标类项目有三个，分别为：人民陪审员经费、司法警察加班补贴、法院工作人员加班补贴。特定目标类项目绩效目标设定合规合理，</w:t>
      </w:r>
      <w:r>
        <w:rPr>
          <w:rFonts w:hint="eastAsia" w:ascii="仿宋" w:hAnsi="仿宋" w:eastAsia="仿宋" w:cs="仿宋_GB2312"/>
          <w:kern w:val="0"/>
          <w:sz w:val="32"/>
          <w:szCs w:val="32"/>
          <w:shd w:val="clear" w:color="auto" w:fill="FFFFFF"/>
          <w:lang w:val="zh-CN"/>
        </w:rPr>
        <w:t>绩效目标实现情况良好，支出执行进度按时推进，预算完成情况较好，资金结余率低，无违规记录。</w:t>
      </w:r>
    </w:p>
    <w:p>
      <w:pPr>
        <w:widowControl/>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spacing w:line="600" w:lineRule="exact"/>
        <w:ind w:firstLine="640" w:firstLineChars="200"/>
        <w:contextualSpacing/>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2022年我院部门整体绩效目标完成情况为：办案数量2766件；法官人均案件结案数（件）133.5件；长期未结案件化解率（%）为100%；全年干警培训人次大于40人次；开展法制宣传超过20次；办案及业务用房维修面积大于300平方米；印刷法制宣传资料大于40000份；办案业务费全部用于办案差旅补助、车辆运行维护等；业务装备用费于购买业务装备等。2022年部门整体绩效完成情况较好。</w:t>
      </w:r>
    </w:p>
    <w:p>
      <w:pPr>
        <w:widowControl/>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楷体" w:eastAsia="仿宋_GB2312" w:cs="宋体"/>
          <w:color w:val="000000"/>
          <w:kern w:val="0"/>
          <w:sz w:val="32"/>
          <w:szCs w:val="32"/>
          <w:shd w:val="clear" w:color="auto" w:fill="FFFFFF"/>
          <w:lang w:val="zh-CN"/>
        </w:rPr>
        <w:t>内部应用合理合规，按要求自评公开，应用反馈良好。</w:t>
      </w:r>
    </w:p>
    <w:p>
      <w:pPr>
        <w:widowControl/>
        <w:numPr>
          <w:ilvl w:val="0"/>
          <w:numId w:val="6"/>
        </w:numPr>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spacing w:line="60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包括评价部门整体自评准确情况。</w:t>
      </w:r>
    </w:p>
    <w:p>
      <w:pPr>
        <w:widowControl/>
        <w:spacing w:line="600" w:lineRule="exact"/>
        <w:ind w:firstLine="640" w:firstLineChars="200"/>
        <w:contextualSpacing/>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2"/>
        <w:spacing w:beforeLines="0" w:line="600" w:lineRule="exact"/>
        <w:ind w:firstLine="600" w:firstLineChars="200"/>
        <w:contextualSpacing/>
        <w:rPr>
          <w:lang w:val="zh-CN"/>
        </w:rPr>
      </w:pPr>
      <w:r>
        <w:rPr>
          <w:rFonts w:hint="eastAsia"/>
          <w:lang w:val="zh-CN"/>
        </w:rPr>
        <w:t>我院2022年整体绩效目标完成情况良好。</w:t>
      </w:r>
    </w:p>
    <w:p>
      <w:pPr>
        <w:widowControl/>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Style w:val="2"/>
        <w:spacing w:beforeLines="0" w:line="600" w:lineRule="exact"/>
        <w:ind w:firstLine="600" w:firstLineChars="200"/>
        <w:contextualSpacing/>
        <w:rPr>
          <w:lang w:val="zh-CN"/>
        </w:rPr>
      </w:pPr>
      <w:r>
        <w:rPr>
          <w:rFonts w:hint="eastAsia"/>
          <w:lang w:val="zh-CN"/>
        </w:rPr>
        <w:t>无。</w:t>
      </w:r>
    </w:p>
    <w:p>
      <w:pPr>
        <w:widowControl/>
        <w:spacing w:line="600" w:lineRule="exact"/>
        <w:ind w:firstLine="643" w:firstLineChars="200"/>
        <w:contextualSpacing/>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Style w:val="14"/>
        <w:spacing w:after="0" w:line="600" w:lineRule="exact"/>
        <w:ind w:left="0" w:leftChars="0" w:firstLine="640"/>
        <w:contextualSpacing/>
        <w:rPr>
          <w:rFonts w:hAnsi="楷体" w:eastAsia="仿宋_GB2312" w:cs="仿宋_GB2312"/>
          <w:sz w:val="32"/>
        </w:rPr>
      </w:pPr>
      <w:r>
        <w:rPr>
          <w:rFonts w:hint="eastAsia" w:hAnsi="楷体" w:eastAsia="仿宋_GB2312" w:cs="仿宋_GB2312"/>
          <w:sz w:val="32"/>
        </w:rPr>
        <w:t>强化对资金绩效实现情况的责任约束,对偏离预算绩效目标的项目资金,及时采取有效纠偏措施，进一步规范资金使用绩效。</w:t>
      </w:r>
    </w:p>
    <w:p>
      <w:pPr>
        <w:ind w:firstLine="643"/>
        <w:rPr>
          <w:rFonts w:ascii="仿宋_GB2312" w:eastAsia="仿宋_GB2312"/>
          <w:sz w:val="32"/>
          <w:szCs w:val="32"/>
          <w:lang w:val="zh-CN"/>
        </w:rPr>
      </w:pP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4"/>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bookmarkStart w:id="75" w:name="_GoBack"/>
      <w:r>
        <w:rPr>
          <w:rFonts w:hAnsi="宋体" w:cs="宋体"/>
          <w:sz w:val="32"/>
          <w:szCs w:val="32"/>
          <w:shd w:val="clear" w:color="auto" w:fill="FFFFFF"/>
          <w:lang w:val="zh-CN"/>
        </w:rPr>
        <w:object>
          <v:shape id="_x0000_i1029" o:spt="75" alt="" type="#_x0000_t75" style="height:621.3pt;width:444.95pt;" o:ole="t" filled="f" o:preferrelative="t" stroked="f" coordsize="21600,21600">
            <v:path/>
            <v:fill on="f" focussize="0,0"/>
            <v:stroke on="f"/>
            <v:imagedata r:id="rId14" o:title=""/>
            <o:lock v:ext="edit" aspectratio="f"/>
            <w10:wrap type="none"/>
            <w10:anchorlock/>
          </v:shape>
          <o:OLEObject Type="Embed" ProgID="Office12.Excel.Template" ShapeID="_x0000_i1029" DrawAspect="Content" ObjectID="_1468075725" r:id="rId13">
            <o:LockedField>false</o:LockedField>
          </o:OLEObject>
        </w:object>
      </w:r>
      <w:bookmarkEnd w:id="75"/>
    </w:p>
    <w:p>
      <w:pPr>
        <w:pStyle w:val="2"/>
        <w:spacing w:before="93"/>
        <w:rPr>
          <w:rFonts w:hint="eastAsia" w:hAnsi="宋体" w:cs="宋体"/>
          <w:sz w:val="32"/>
          <w:szCs w:val="32"/>
          <w:shd w:val="clear" w:color="auto" w:fill="FFFFFF"/>
          <w:lang w:val="zh-CN"/>
        </w:r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4"/>
        <w:spacing w:line="578" w:lineRule="exact"/>
        <w:jc w:val="center"/>
        <w:rPr>
          <w:rFonts w:ascii="方正小标宋简体" w:hAnsi="方正小标宋简体" w:eastAsia="方正小标宋简体" w:cs="方正小标宋简体"/>
          <w:b/>
          <w:color w:val="auto"/>
          <w:kern w:val="2"/>
          <w:sz w:val="32"/>
          <w:szCs w:val="32"/>
          <w:lang w:val="en-US"/>
        </w:rPr>
      </w:pPr>
      <w:r>
        <w:rPr>
          <w:rFonts w:hint="eastAsia" w:ascii="方正小标宋简体" w:hAnsi="方正小标宋简体" w:eastAsia="方正小标宋简体" w:cs="方正小标宋简体"/>
          <w:b/>
          <w:color w:val="auto"/>
          <w:kern w:val="2"/>
          <w:sz w:val="32"/>
          <w:szCs w:val="32"/>
          <w:lang w:val="en-US"/>
        </w:rPr>
        <w:t>2023年市级专项资金预算项目（法院工作人员加班补贴）支出绩效自评报告</w:t>
      </w:r>
    </w:p>
    <w:p>
      <w:pPr>
        <w:pStyle w:val="34"/>
        <w:spacing w:line="578" w:lineRule="exact"/>
        <w:ind w:firstLine="640"/>
        <w:jc w:val="center"/>
        <w:rPr>
          <w:rFonts w:ascii="宋体" w:hAnsi="宋体"/>
          <w:b/>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1．我院在法院工作人员加班补贴项目资金的使用过程中严格监管并按资金管理办法规定的范围和标准分配资金。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2．项目立项按照法院工作人员加班补贴发放规定设立。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4．资金分配的范围和标准按照法院工作人员加班补贴发放规定执行。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1．此项目主要用于法院工作人员加班补贴发放。</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2．法院工作人员加班补贴项目主要达到了以下绩效目标：办案数量2766件，足额保障了58名干警加班补贴，增强了法院审判的社会公信力和认同感，提高了办事人民群众满意度，完成了年初设定的目标。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仿宋_GB2312" w:hAnsi="仿宋_GB2312" w:cs="仿宋_GB2312"/>
          <w:kern w:val="0"/>
          <w:sz w:val="32"/>
          <w:szCs w:val="32"/>
          <w:shd w:val="clear" w:color="auto" w:fill="FFFFFF"/>
          <w:lang w:val="zh-CN"/>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仿宋_GB2312" w:hAnsi="仿宋_GB2312" w:cs="仿宋_GB2312"/>
          <w:kern w:val="0"/>
          <w:sz w:val="32"/>
          <w:szCs w:val="32"/>
          <w:shd w:val="clear" w:color="auto" w:fill="FFFFFF"/>
          <w:lang w:val="zh-CN"/>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rPr>
        <w:t>此项目绩效目标完成及时，办案数量2766件，足额保障了58名干警加班补贴，增强了法院审判的社会公信力和认同感，提高了办事人民群众满意度</w:t>
      </w:r>
    </w:p>
    <w:p>
      <w:pPr>
        <w:adjustRightInd w:val="0"/>
        <w:snapToGrid w:val="0"/>
        <w:spacing w:line="578" w:lineRule="exact"/>
        <w:ind w:firstLine="640" w:firstLineChars="20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bookmarkStart w:id="55" w:name="_MON_1756795559"/>
      <w:bookmarkEnd w:id="55"/>
      <w:bookmarkStart w:id="56" w:name="_MON_1756795567"/>
      <w:bookmarkEnd w:id="56"/>
      <w:bookmarkStart w:id="57" w:name="_MON_1756795577"/>
      <w:bookmarkEnd w:id="57"/>
      <w:bookmarkStart w:id="58" w:name="_MON_1756795609"/>
      <w:bookmarkEnd w:id="58"/>
      <w:bookmarkStart w:id="59" w:name="_MON_1756795752"/>
      <w:bookmarkEnd w:id="59"/>
      <w:r>
        <w:rPr>
          <w:lang w:val="zh-CN"/>
        </w:rPr>
        <w:pict>
          <v:shape id="_x0000_i1025" o:spt="75" type="#_x0000_t75" style="height:681.2pt;width:452.05pt;" filled="f" o:preferrelative="t" stroked="f" coordsize="21600,21600">
            <v:path/>
            <v:fill on="f" focussize="0,0"/>
            <v:stroke on="f" joinstyle="miter"/>
            <v:imagedata r:id="rId15" o:title=""/>
            <o:lock v:ext="edit" aspectratio="t"/>
            <w10:wrap type="none"/>
            <w10:anchorlock/>
          </v:shape>
        </w:pict>
      </w:r>
    </w:p>
    <w:p>
      <w:pPr>
        <w:pStyle w:val="34"/>
        <w:spacing w:line="578" w:lineRule="exact"/>
        <w:jc w:val="center"/>
        <w:rPr>
          <w:rFonts w:ascii="方正小标宋简体" w:hAnsi="方正小标宋简体" w:eastAsia="方正小标宋简体" w:cs="方正小标宋简体"/>
          <w:color w:val="auto"/>
          <w:kern w:val="2"/>
          <w:sz w:val="32"/>
          <w:szCs w:val="32"/>
          <w:lang w:val="en-US"/>
        </w:rPr>
      </w:pPr>
    </w:p>
    <w:p>
      <w:pPr>
        <w:pStyle w:val="34"/>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2023年市级专项资金预算项目（人民陪审员经费）支出绩效自评报告</w:t>
      </w:r>
    </w:p>
    <w:p>
      <w:pPr>
        <w:pStyle w:val="34"/>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1．我院在人民陪审员经费项目资金的使用过程中严格监管并按资金管理办法规定的范围和标准分配资金。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2．项目立项按照人民陪审员制度设立。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4．资金分配的范围和标准围绕人民陪审员的相关支出执行。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1．此项目主要用于保障人民陪审员相关支出，主要用于陪审员差旅费、业务培训费等。</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2．人民陪审员经费项目主要达到了以下绩效目标：陪审案件数达到205件，陪审员数量达到23人，增强法院审判的社会公信力和认同感，提高办事人民群众满意度，完成了年初设定的目标。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此项目绩效目标完成及时，全年陪审案件数205件，保障人民陪审员23人，增强了法院审判的社会公信力和认同感，群众满意度高。</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widowControl/>
        <w:jc w:val="left"/>
        <w:rPr>
          <w:rStyle w:val="28"/>
          <w:rFonts w:ascii="黑体" w:hAnsi="黑体" w:eastAsia="黑体"/>
          <w:b w:val="0"/>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jc w:val="center"/>
      </w:pPr>
      <w:bookmarkStart w:id="60" w:name="_MON_1756796332"/>
      <w:bookmarkEnd w:id="60"/>
      <w:r>
        <w:pict>
          <v:shape id="_x0000_i1026" o:spt="75" type="#_x0000_t75" style="height:667.4pt;width:485.85pt;" filled="f" o:preferrelative="t" stroked="f" coordsize="21600,21600">
            <v:path/>
            <v:fill on="f" focussize="0,0"/>
            <v:stroke on="f" joinstyle="miter"/>
            <v:imagedata r:id="rId16" o:title=""/>
            <o:lock v:ext="edit" aspectratio="t"/>
            <w10:wrap type="none"/>
            <w10:anchorlock/>
          </v:shape>
        </w:pict>
      </w:r>
    </w:p>
    <w:p>
      <w:pPr>
        <w:pStyle w:val="34"/>
        <w:spacing w:line="578" w:lineRule="exact"/>
        <w:jc w:val="center"/>
        <w:rPr>
          <w:rFonts w:ascii="方正小标宋简体" w:hAnsi="方正小标宋简体" w:eastAsia="方正小标宋简体" w:cs="方正小标宋简体"/>
          <w:color w:val="auto"/>
          <w:kern w:val="2"/>
          <w:sz w:val="32"/>
          <w:szCs w:val="32"/>
          <w:lang w:val="en-US"/>
        </w:rPr>
      </w:pPr>
      <w:bookmarkStart w:id="61" w:name="_Toc15396618"/>
      <w:r>
        <w:rPr>
          <w:rFonts w:hint="eastAsia" w:ascii="方正小标宋简体" w:hAnsi="方正小标宋简体" w:eastAsia="方正小标宋简体" w:cs="方正小标宋简体"/>
          <w:color w:val="auto"/>
          <w:kern w:val="2"/>
          <w:sz w:val="32"/>
          <w:szCs w:val="32"/>
          <w:lang w:val="en-US"/>
        </w:rPr>
        <w:t>2023年市级专项资金预算项目(司法警察加班补贴)</w:t>
      </w:r>
    </w:p>
    <w:p>
      <w:pPr>
        <w:pStyle w:val="34"/>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支出绩效自评报告</w:t>
      </w:r>
    </w:p>
    <w:p>
      <w:pPr>
        <w:pStyle w:val="34"/>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1．我院在司法警察加班补贴项目资金的使用过程中严格监管并按资金管理办法规定的范围和标准分配资金。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2．项目立项按照司法警察加班补贴发放规定设立。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4．资金分配的范围和标准按照司法警察加班补贴发放规定执行。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1．此项目主要用于司法警察加班补贴发放。</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司法警察加班补贴项目主要达到了以下绩效目标：执行执结案件数852件，足额保障了7司法警察加班补贴，大练兵次数12次，增强了法院审判的社会公信力和认同感，提高了办事人民群众满意度，完成了年初设定的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rPr>
        <w:t>此项目绩效目标完成及时，执行执结案件数852件，足额保障了7司法警察加班补贴，大练兵次数12次，增强了法院审判的社会公信力和认同感，提高了办事人民群众满意度。</w:t>
      </w:r>
    </w:p>
    <w:p>
      <w:pPr>
        <w:adjustRightInd w:val="0"/>
        <w:snapToGrid w:val="0"/>
        <w:spacing w:line="578" w:lineRule="exact"/>
        <w:ind w:firstLine="640" w:firstLineChars="20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pict>
          <v:shape id="_x0000_i1027" o:spt="75" type="#_x0000_t75" style="height:686.2pt;width:458.9pt;" filled="f" o:preferrelative="t" stroked="f" coordsize="21600,21600">
            <v:path/>
            <v:fill on="f" focussize="0,0"/>
            <v:stroke on="f" joinstyle="miter"/>
            <v:imagedata r:id="rId17" o:title=""/>
            <o:lock v:ext="edit" aspectratio="t"/>
            <w10:wrap type="none"/>
            <w10:anchorlock/>
          </v:shape>
        </w:pict>
      </w: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3"/>
      <w:bookmarkEnd w:id="61"/>
      <w:bookmarkStart w:id="62"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62"/>
    </w:p>
    <w:p>
      <w:pPr>
        <w:pStyle w:val="4"/>
        <w:rPr>
          <w:rFonts w:ascii="仿宋" w:hAnsi="仿宋" w:eastAsia="仿宋"/>
        </w:rPr>
      </w:pPr>
      <w:bookmarkStart w:id="63" w:name="_Toc15396620"/>
      <w:r>
        <w:rPr>
          <w:rFonts w:hint="eastAsia" w:ascii="仿宋" w:hAnsi="仿宋" w:eastAsia="仿宋"/>
          <w:b w:val="0"/>
        </w:rPr>
        <w:t>二、收</w:t>
      </w:r>
      <w:r>
        <w:rPr>
          <w:rStyle w:val="29"/>
          <w:rFonts w:hint="eastAsia" w:ascii="仿宋" w:hAnsi="仿宋" w:eastAsia="仿宋"/>
          <w:b w:val="0"/>
          <w:bCs w:val="0"/>
        </w:rPr>
        <w:t>入决算表</w:t>
      </w:r>
      <w:bookmarkEnd w:id="63"/>
    </w:p>
    <w:p>
      <w:pPr>
        <w:pStyle w:val="4"/>
        <w:rPr>
          <w:rFonts w:ascii="仿宋" w:hAnsi="仿宋" w:eastAsia="仿宋"/>
        </w:rPr>
      </w:pPr>
      <w:bookmarkStart w:id="6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4"/>
    </w:p>
    <w:p>
      <w:pPr>
        <w:pStyle w:val="4"/>
        <w:rPr>
          <w:rFonts w:ascii="仿宋" w:hAnsi="仿宋" w:eastAsia="仿宋"/>
          <w:b w:val="0"/>
        </w:rPr>
      </w:pPr>
      <w:bookmarkStart w:id="65"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5"/>
    </w:p>
    <w:p>
      <w:pPr>
        <w:pStyle w:val="4"/>
        <w:rPr>
          <w:rStyle w:val="29"/>
          <w:rFonts w:ascii="仿宋" w:hAnsi="仿宋" w:eastAsia="仿宋"/>
          <w:b w:val="0"/>
          <w:bCs w:val="0"/>
        </w:rPr>
      </w:pPr>
      <w:bookmarkStart w:id="66"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6"/>
      <w:bookmarkStart w:id="67"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7"/>
    </w:p>
    <w:p>
      <w:pPr>
        <w:pStyle w:val="4"/>
        <w:rPr>
          <w:rFonts w:ascii="仿宋" w:hAnsi="仿宋" w:eastAsia="仿宋"/>
        </w:rPr>
      </w:pPr>
      <w:bookmarkStart w:id="68"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8"/>
    </w:p>
    <w:p>
      <w:pPr>
        <w:pStyle w:val="4"/>
        <w:rPr>
          <w:rFonts w:ascii="仿宋" w:hAnsi="仿宋" w:eastAsia="仿宋"/>
        </w:rPr>
      </w:pPr>
      <w:bookmarkStart w:id="69"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9"/>
    </w:p>
    <w:p>
      <w:pPr>
        <w:pStyle w:val="4"/>
        <w:rPr>
          <w:rFonts w:ascii="仿宋" w:hAnsi="仿宋" w:eastAsia="仿宋"/>
        </w:rPr>
      </w:pPr>
      <w:bookmarkStart w:id="70"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70"/>
    </w:p>
    <w:p>
      <w:pPr>
        <w:pStyle w:val="4"/>
        <w:rPr>
          <w:rFonts w:ascii="仿宋" w:hAnsi="仿宋" w:eastAsia="仿宋"/>
        </w:rPr>
      </w:pPr>
      <w:bookmarkStart w:id="71" w:name="_Toc15396628"/>
      <w:r>
        <w:rPr>
          <w:rStyle w:val="29"/>
          <w:rFonts w:hint="eastAsia" w:ascii="仿宋" w:hAnsi="仿宋" w:eastAsia="仿宋"/>
          <w:b w:val="0"/>
          <w:bCs w:val="0"/>
        </w:rPr>
        <w:t>十、</w:t>
      </w:r>
      <w:bookmarkEnd w:id="71"/>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72" w:name="_Toc15396629"/>
      <w:r>
        <w:rPr>
          <w:rStyle w:val="29"/>
          <w:rFonts w:hint="eastAsia" w:ascii="仿宋" w:hAnsi="仿宋" w:eastAsia="仿宋"/>
          <w:b w:val="0"/>
          <w:bCs w:val="0"/>
        </w:rPr>
        <w:t>十一、</w:t>
      </w:r>
      <w:bookmarkEnd w:id="72"/>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73" w:name="_Toc15396630"/>
      <w:r>
        <w:rPr>
          <w:rStyle w:val="29"/>
          <w:rFonts w:hint="eastAsia" w:ascii="仿宋" w:hAnsi="仿宋" w:eastAsia="仿宋"/>
          <w:b w:val="0"/>
          <w:bCs w:val="0"/>
        </w:rPr>
        <w:t>十二、</w:t>
      </w:r>
      <w:bookmarkEnd w:id="73"/>
      <w:r>
        <w:rPr>
          <w:rStyle w:val="29"/>
          <w:rFonts w:hint="eastAsia" w:ascii="仿宋" w:hAnsi="仿宋" w:eastAsia="仿宋"/>
          <w:b w:val="0"/>
          <w:bCs w:val="0"/>
        </w:rPr>
        <w:t>国有资本经营预算财政拨款支出决算表</w:t>
      </w:r>
    </w:p>
    <w:p>
      <w:pPr>
        <w:pStyle w:val="4"/>
        <w:rPr>
          <w:rFonts w:ascii="仿宋" w:hAnsi="仿宋" w:eastAsia="仿宋"/>
          <w:b w:val="0"/>
          <w:bCs w:val="0"/>
        </w:rPr>
      </w:pPr>
      <w:bookmarkStart w:id="74" w:name="_Toc15396631"/>
      <w:r>
        <w:rPr>
          <w:rStyle w:val="29"/>
          <w:rFonts w:hint="eastAsia" w:ascii="仿宋" w:hAnsi="仿宋" w:eastAsia="仿宋"/>
          <w:b w:val="0"/>
          <w:bCs w:val="0"/>
        </w:rPr>
        <w:t>十三、</w:t>
      </w:r>
      <w:bookmarkEnd w:id="74"/>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DFD2E8A"/>
    <w:multiLevelType w:val="multilevel"/>
    <w:tmpl w:val="1DFD2E8A"/>
    <w:lvl w:ilvl="0" w:tentative="0">
      <w:start w:val="1"/>
      <w:numFmt w:val="japaneseCounting"/>
      <w:lvlText w:val="（%1）"/>
      <w:lvlJc w:val="left"/>
      <w:pPr>
        <w:ind w:left="1648" w:hanging="100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2YjI4NjA1MTZjN2UxZmRjZDQ5MTc3ZTkzYjg0OGMifQ=="/>
  </w:docVars>
  <w:rsids>
    <w:rsidRoot w:val="00F1361C"/>
    <w:rsid w:val="00000259"/>
    <w:rsid w:val="00002DC5"/>
    <w:rsid w:val="000054EC"/>
    <w:rsid w:val="00011DF3"/>
    <w:rsid w:val="00020D14"/>
    <w:rsid w:val="000222C6"/>
    <w:rsid w:val="000246E3"/>
    <w:rsid w:val="0002549F"/>
    <w:rsid w:val="000307A0"/>
    <w:rsid w:val="000320F9"/>
    <w:rsid w:val="00036ED9"/>
    <w:rsid w:val="0004021D"/>
    <w:rsid w:val="000468DB"/>
    <w:rsid w:val="0005097A"/>
    <w:rsid w:val="00056DA9"/>
    <w:rsid w:val="00061AAD"/>
    <w:rsid w:val="0006487A"/>
    <w:rsid w:val="0006499E"/>
    <w:rsid w:val="00065F8F"/>
    <w:rsid w:val="00070A43"/>
    <w:rsid w:val="00076382"/>
    <w:rsid w:val="000768F2"/>
    <w:rsid w:val="000776A4"/>
    <w:rsid w:val="00083FC1"/>
    <w:rsid w:val="0009184B"/>
    <w:rsid w:val="00092421"/>
    <w:rsid w:val="00094236"/>
    <w:rsid w:val="0009593C"/>
    <w:rsid w:val="00097322"/>
    <w:rsid w:val="000A4921"/>
    <w:rsid w:val="000A6A92"/>
    <w:rsid w:val="000A747D"/>
    <w:rsid w:val="000B047F"/>
    <w:rsid w:val="000B3394"/>
    <w:rsid w:val="000B5923"/>
    <w:rsid w:val="000B5A48"/>
    <w:rsid w:val="000B6FF3"/>
    <w:rsid w:val="000C3467"/>
    <w:rsid w:val="000C3CA6"/>
    <w:rsid w:val="000D1267"/>
    <w:rsid w:val="000D1D50"/>
    <w:rsid w:val="000D5782"/>
    <w:rsid w:val="000E0799"/>
    <w:rsid w:val="000E0931"/>
    <w:rsid w:val="000E3873"/>
    <w:rsid w:val="000E552F"/>
    <w:rsid w:val="000E6613"/>
    <w:rsid w:val="000E7119"/>
    <w:rsid w:val="000F683C"/>
    <w:rsid w:val="00106EFA"/>
    <w:rsid w:val="00113564"/>
    <w:rsid w:val="0011477D"/>
    <w:rsid w:val="00114E9B"/>
    <w:rsid w:val="00115330"/>
    <w:rsid w:val="0012491A"/>
    <w:rsid w:val="00142216"/>
    <w:rsid w:val="0014498F"/>
    <w:rsid w:val="00144D6A"/>
    <w:rsid w:val="0014729F"/>
    <w:rsid w:val="00147770"/>
    <w:rsid w:val="001520D3"/>
    <w:rsid w:val="001548FF"/>
    <w:rsid w:val="00157BAB"/>
    <w:rsid w:val="001654D1"/>
    <w:rsid w:val="001678BD"/>
    <w:rsid w:val="00174518"/>
    <w:rsid w:val="0018106D"/>
    <w:rsid w:val="00183A04"/>
    <w:rsid w:val="001851A1"/>
    <w:rsid w:val="00185D41"/>
    <w:rsid w:val="001877A7"/>
    <w:rsid w:val="00191536"/>
    <w:rsid w:val="00195CA2"/>
    <w:rsid w:val="00196687"/>
    <w:rsid w:val="00196EEC"/>
    <w:rsid w:val="001A3C03"/>
    <w:rsid w:val="001C0962"/>
    <w:rsid w:val="001C6818"/>
    <w:rsid w:val="001D4B3B"/>
    <w:rsid w:val="001D7531"/>
    <w:rsid w:val="001D7D36"/>
    <w:rsid w:val="001E508C"/>
    <w:rsid w:val="001E737D"/>
    <w:rsid w:val="001F0592"/>
    <w:rsid w:val="001F5CBE"/>
    <w:rsid w:val="001F7506"/>
    <w:rsid w:val="002006CD"/>
    <w:rsid w:val="00200F84"/>
    <w:rsid w:val="00202B36"/>
    <w:rsid w:val="00204B7A"/>
    <w:rsid w:val="00204CDE"/>
    <w:rsid w:val="002067E7"/>
    <w:rsid w:val="0021101A"/>
    <w:rsid w:val="00212C37"/>
    <w:rsid w:val="00220536"/>
    <w:rsid w:val="00223641"/>
    <w:rsid w:val="002238C1"/>
    <w:rsid w:val="0022450B"/>
    <w:rsid w:val="0022455C"/>
    <w:rsid w:val="00227EED"/>
    <w:rsid w:val="00235629"/>
    <w:rsid w:val="00236B39"/>
    <w:rsid w:val="002566D2"/>
    <w:rsid w:val="00260C38"/>
    <w:rsid w:val="00261286"/>
    <w:rsid w:val="002616C0"/>
    <w:rsid w:val="00265372"/>
    <w:rsid w:val="002662AA"/>
    <w:rsid w:val="00272030"/>
    <w:rsid w:val="00280496"/>
    <w:rsid w:val="0029285E"/>
    <w:rsid w:val="00294DC9"/>
    <w:rsid w:val="00295495"/>
    <w:rsid w:val="002A31DE"/>
    <w:rsid w:val="002A6174"/>
    <w:rsid w:val="002B2613"/>
    <w:rsid w:val="002B6705"/>
    <w:rsid w:val="002C39AD"/>
    <w:rsid w:val="002D6D05"/>
    <w:rsid w:val="002F1818"/>
    <w:rsid w:val="002F567B"/>
    <w:rsid w:val="00300A3F"/>
    <w:rsid w:val="00300FB8"/>
    <w:rsid w:val="00303B1D"/>
    <w:rsid w:val="0031120A"/>
    <w:rsid w:val="00313A3E"/>
    <w:rsid w:val="00316762"/>
    <w:rsid w:val="003216A9"/>
    <w:rsid w:val="00335A74"/>
    <w:rsid w:val="0036485A"/>
    <w:rsid w:val="0036561B"/>
    <w:rsid w:val="00366050"/>
    <w:rsid w:val="0037013F"/>
    <w:rsid w:val="00373DCF"/>
    <w:rsid w:val="00376508"/>
    <w:rsid w:val="00380C92"/>
    <w:rsid w:val="00382994"/>
    <w:rsid w:val="003838A0"/>
    <w:rsid w:val="003A284D"/>
    <w:rsid w:val="003A484F"/>
    <w:rsid w:val="003A4883"/>
    <w:rsid w:val="003A60B7"/>
    <w:rsid w:val="003B0BE0"/>
    <w:rsid w:val="003B0C1B"/>
    <w:rsid w:val="003B688C"/>
    <w:rsid w:val="003B726B"/>
    <w:rsid w:val="003C0291"/>
    <w:rsid w:val="003C39AE"/>
    <w:rsid w:val="003C4FCA"/>
    <w:rsid w:val="003C7B60"/>
    <w:rsid w:val="003D0C0F"/>
    <w:rsid w:val="003D1FB2"/>
    <w:rsid w:val="003D43BC"/>
    <w:rsid w:val="003D66DA"/>
    <w:rsid w:val="003D7321"/>
    <w:rsid w:val="003D7B72"/>
    <w:rsid w:val="003E1310"/>
    <w:rsid w:val="003E15DF"/>
    <w:rsid w:val="003E6F55"/>
    <w:rsid w:val="003F3093"/>
    <w:rsid w:val="00406254"/>
    <w:rsid w:val="00415F14"/>
    <w:rsid w:val="00421EDD"/>
    <w:rsid w:val="004223DE"/>
    <w:rsid w:val="00434489"/>
    <w:rsid w:val="00437085"/>
    <w:rsid w:val="0044239A"/>
    <w:rsid w:val="00443880"/>
    <w:rsid w:val="004464F4"/>
    <w:rsid w:val="004572CE"/>
    <w:rsid w:val="00465C73"/>
    <w:rsid w:val="00466B6A"/>
    <w:rsid w:val="00471401"/>
    <w:rsid w:val="00473F31"/>
    <w:rsid w:val="00474F5A"/>
    <w:rsid w:val="00480666"/>
    <w:rsid w:val="0048263A"/>
    <w:rsid w:val="00487E5D"/>
    <w:rsid w:val="004912A4"/>
    <w:rsid w:val="004954EE"/>
    <w:rsid w:val="004A687D"/>
    <w:rsid w:val="004A711F"/>
    <w:rsid w:val="004B199D"/>
    <w:rsid w:val="004B4690"/>
    <w:rsid w:val="004C0D9F"/>
    <w:rsid w:val="004C0E88"/>
    <w:rsid w:val="004C7703"/>
    <w:rsid w:val="004D54D4"/>
    <w:rsid w:val="004D6D04"/>
    <w:rsid w:val="004E0A2D"/>
    <w:rsid w:val="004E206B"/>
    <w:rsid w:val="004E38C3"/>
    <w:rsid w:val="004E3EA1"/>
    <w:rsid w:val="004E6DF7"/>
    <w:rsid w:val="004E7DB0"/>
    <w:rsid w:val="004F0FBD"/>
    <w:rsid w:val="00505A47"/>
    <w:rsid w:val="00510AE9"/>
    <w:rsid w:val="00511D1E"/>
    <w:rsid w:val="00512FDA"/>
    <w:rsid w:val="00514A77"/>
    <w:rsid w:val="00520DA0"/>
    <w:rsid w:val="00527937"/>
    <w:rsid w:val="00552D88"/>
    <w:rsid w:val="00560262"/>
    <w:rsid w:val="005664BB"/>
    <w:rsid w:val="00566FFA"/>
    <w:rsid w:val="00567376"/>
    <w:rsid w:val="0057481D"/>
    <w:rsid w:val="0058486E"/>
    <w:rsid w:val="00585980"/>
    <w:rsid w:val="00585B33"/>
    <w:rsid w:val="0059014D"/>
    <w:rsid w:val="005A0751"/>
    <w:rsid w:val="005A5548"/>
    <w:rsid w:val="005B5C64"/>
    <w:rsid w:val="005C5337"/>
    <w:rsid w:val="005C6BD0"/>
    <w:rsid w:val="005D1C8B"/>
    <w:rsid w:val="005D468D"/>
    <w:rsid w:val="005D5CED"/>
    <w:rsid w:val="005E4737"/>
    <w:rsid w:val="005E6B80"/>
    <w:rsid w:val="005F1A4C"/>
    <w:rsid w:val="00602215"/>
    <w:rsid w:val="00605688"/>
    <w:rsid w:val="006070AF"/>
    <w:rsid w:val="00607E6C"/>
    <w:rsid w:val="006101B1"/>
    <w:rsid w:val="00613A9D"/>
    <w:rsid w:val="00614E44"/>
    <w:rsid w:val="0062270A"/>
    <w:rsid w:val="00622830"/>
    <w:rsid w:val="00623DA0"/>
    <w:rsid w:val="00630AEF"/>
    <w:rsid w:val="006325F8"/>
    <w:rsid w:val="00633463"/>
    <w:rsid w:val="00634C9A"/>
    <w:rsid w:val="00636301"/>
    <w:rsid w:val="006440E4"/>
    <w:rsid w:val="00652149"/>
    <w:rsid w:val="0066343B"/>
    <w:rsid w:val="006634BE"/>
    <w:rsid w:val="00663FA3"/>
    <w:rsid w:val="00664777"/>
    <w:rsid w:val="006748A4"/>
    <w:rsid w:val="00681A31"/>
    <w:rsid w:val="00683E73"/>
    <w:rsid w:val="00684D10"/>
    <w:rsid w:val="00685CA2"/>
    <w:rsid w:val="00687BED"/>
    <w:rsid w:val="006928F8"/>
    <w:rsid w:val="006949E9"/>
    <w:rsid w:val="006A0E42"/>
    <w:rsid w:val="006A3141"/>
    <w:rsid w:val="006A5E34"/>
    <w:rsid w:val="006B2422"/>
    <w:rsid w:val="006B2B9A"/>
    <w:rsid w:val="006C0C01"/>
    <w:rsid w:val="006C14E0"/>
    <w:rsid w:val="006C1937"/>
    <w:rsid w:val="006C5679"/>
    <w:rsid w:val="006C74D4"/>
    <w:rsid w:val="006D1FAE"/>
    <w:rsid w:val="006E6FF2"/>
    <w:rsid w:val="006F020C"/>
    <w:rsid w:val="00700124"/>
    <w:rsid w:val="0071001E"/>
    <w:rsid w:val="007127B7"/>
    <w:rsid w:val="0071798E"/>
    <w:rsid w:val="007356B4"/>
    <w:rsid w:val="007416B6"/>
    <w:rsid w:val="00746F48"/>
    <w:rsid w:val="0075404D"/>
    <w:rsid w:val="00757D36"/>
    <w:rsid w:val="0076182A"/>
    <w:rsid w:val="00767B7E"/>
    <w:rsid w:val="00775D2E"/>
    <w:rsid w:val="007770C3"/>
    <w:rsid w:val="00784D24"/>
    <w:rsid w:val="00785FBA"/>
    <w:rsid w:val="00786E4A"/>
    <w:rsid w:val="007875EB"/>
    <w:rsid w:val="00793C01"/>
    <w:rsid w:val="0079426B"/>
    <w:rsid w:val="007A401B"/>
    <w:rsid w:val="007A66FB"/>
    <w:rsid w:val="007B3284"/>
    <w:rsid w:val="007B33E3"/>
    <w:rsid w:val="007B4618"/>
    <w:rsid w:val="007D1682"/>
    <w:rsid w:val="007D312A"/>
    <w:rsid w:val="007D3F19"/>
    <w:rsid w:val="007E23B0"/>
    <w:rsid w:val="007E23E5"/>
    <w:rsid w:val="007E5BCC"/>
    <w:rsid w:val="007F1991"/>
    <w:rsid w:val="007F2C2F"/>
    <w:rsid w:val="007F2DB9"/>
    <w:rsid w:val="007F55FC"/>
    <w:rsid w:val="007F5665"/>
    <w:rsid w:val="00800112"/>
    <w:rsid w:val="0081058C"/>
    <w:rsid w:val="00813348"/>
    <w:rsid w:val="008167B5"/>
    <w:rsid w:val="00816E4F"/>
    <w:rsid w:val="008209AB"/>
    <w:rsid w:val="008253BB"/>
    <w:rsid w:val="008256AA"/>
    <w:rsid w:val="0083706E"/>
    <w:rsid w:val="008408F6"/>
    <w:rsid w:val="008423A5"/>
    <w:rsid w:val="008434E3"/>
    <w:rsid w:val="00850625"/>
    <w:rsid w:val="00853718"/>
    <w:rsid w:val="00855221"/>
    <w:rsid w:val="00860645"/>
    <w:rsid w:val="00864CA3"/>
    <w:rsid w:val="008662D7"/>
    <w:rsid w:val="008663D1"/>
    <w:rsid w:val="00871F71"/>
    <w:rsid w:val="00872FD8"/>
    <w:rsid w:val="00876B39"/>
    <w:rsid w:val="00876BD9"/>
    <w:rsid w:val="00880D22"/>
    <w:rsid w:val="00885AF4"/>
    <w:rsid w:val="00885B40"/>
    <w:rsid w:val="008939CD"/>
    <w:rsid w:val="008A00BD"/>
    <w:rsid w:val="008A04BF"/>
    <w:rsid w:val="008B4272"/>
    <w:rsid w:val="008B4E3A"/>
    <w:rsid w:val="008B768C"/>
    <w:rsid w:val="008C4DB1"/>
    <w:rsid w:val="008C4EAF"/>
    <w:rsid w:val="008C5176"/>
    <w:rsid w:val="008C7FD0"/>
    <w:rsid w:val="008D1AAB"/>
    <w:rsid w:val="008D77D2"/>
    <w:rsid w:val="008E1DE7"/>
    <w:rsid w:val="008E707C"/>
    <w:rsid w:val="008F2F29"/>
    <w:rsid w:val="00900B08"/>
    <w:rsid w:val="00902155"/>
    <w:rsid w:val="00902FA3"/>
    <w:rsid w:val="0091096F"/>
    <w:rsid w:val="009208B0"/>
    <w:rsid w:val="00923564"/>
    <w:rsid w:val="0092392E"/>
    <w:rsid w:val="009315F9"/>
    <w:rsid w:val="00933499"/>
    <w:rsid w:val="00935C98"/>
    <w:rsid w:val="00937B99"/>
    <w:rsid w:val="00943934"/>
    <w:rsid w:val="00946945"/>
    <w:rsid w:val="00950672"/>
    <w:rsid w:val="00951248"/>
    <w:rsid w:val="0095152F"/>
    <w:rsid w:val="00954C49"/>
    <w:rsid w:val="00955E37"/>
    <w:rsid w:val="00963C1B"/>
    <w:rsid w:val="009700C4"/>
    <w:rsid w:val="0097099F"/>
    <w:rsid w:val="00971997"/>
    <w:rsid w:val="00971FFC"/>
    <w:rsid w:val="00983BDE"/>
    <w:rsid w:val="0098660A"/>
    <w:rsid w:val="009915EF"/>
    <w:rsid w:val="009931C3"/>
    <w:rsid w:val="00995442"/>
    <w:rsid w:val="009A03FF"/>
    <w:rsid w:val="009A4030"/>
    <w:rsid w:val="009A6811"/>
    <w:rsid w:val="009B2C43"/>
    <w:rsid w:val="009B4EAE"/>
    <w:rsid w:val="009B632D"/>
    <w:rsid w:val="009B7573"/>
    <w:rsid w:val="009C22F4"/>
    <w:rsid w:val="009C2A4B"/>
    <w:rsid w:val="009C2E98"/>
    <w:rsid w:val="009D294C"/>
    <w:rsid w:val="009D3447"/>
    <w:rsid w:val="009D4711"/>
    <w:rsid w:val="009F1185"/>
    <w:rsid w:val="009F18CD"/>
    <w:rsid w:val="009F2A13"/>
    <w:rsid w:val="009F7527"/>
    <w:rsid w:val="009F7B49"/>
    <w:rsid w:val="00A04EB0"/>
    <w:rsid w:val="00A13CC1"/>
    <w:rsid w:val="00A16847"/>
    <w:rsid w:val="00A219A1"/>
    <w:rsid w:val="00A237D8"/>
    <w:rsid w:val="00A268C4"/>
    <w:rsid w:val="00A307CD"/>
    <w:rsid w:val="00A30CC5"/>
    <w:rsid w:val="00A331C8"/>
    <w:rsid w:val="00A40A00"/>
    <w:rsid w:val="00A4142F"/>
    <w:rsid w:val="00A41FEE"/>
    <w:rsid w:val="00A422EB"/>
    <w:rsid w:val="00A443BF"/>
    <w:rsid w:val="00A45BB7"/>
    <w:rsid w:val="00A51B87"/>
    <w:rsid w:val="00A53570"/>
    <w:rsid w:val="00A56DF2"/>
    <w:rsid w:val="00A56E6E"/>
    <w:rsid w:val="00A63858"/>
    <w:rsid w:val="00A67AB5"/>
    <w:rsid w:val="00A72840"/>
    <w:rsid w:val="00A733B2"/>
    <w:rsid w:val="00A741C2"/>
    <w:rsid w:val="00A751CC"/>
    <w:rsid w:val="00A81D12"/>
    <w:rsid w:val="00A85E94"/>
    <w:rsid w:val="00A91760"/>
    <w:rsid w:val="00A93B00"/>
    <w:rsid w:val="00A93C21"/>
    <w:rsid w:val="00AB2FD0"/>
    <w:rsid w:val="00AB64C9"/>
    <w:rsid w:val="00AC3C6A"/>
    <w:rsid w:val="00AC4F05"/>
    <w:rsid w:val="00AC5722"/>
    <w:rsid w:val="00AD5620"/>
    <w:rsid w:val="00AD656B"/>
    <w:rsid w:val="00AD7C1B"/>
    <w:rsid w:val="00AE032B"/>
    <w:rsid w:val="00AE16BA"/>
    <w:rsid w:val="00AE1EBE"/>
    <w:rsid w:val="00AE5E34"/>
    <w:rsid w:val="00B03C9D"/>
    <w:rsid w:val="00B0560B"/>
    <w:rsid w:val="00B060AE"/>
    <w:rsid w:val="00B10517"/>
    <w:rsid w:val="00B14E76"/>
    <w:rsid w:val="00B161B8"/>
    <w:rsid w:val="00B2048C"/>
    <w:rsid w:val="00B20A9B"/>
    <w:rsid w:val="00B27317"/>
    <w:rsid w:val="00B310B9"/>
    <w:rsid w:val="00B31D39"/>
    <w:rsid w:val="00B32041"/>
    <w:rsid w:val="00B35F3F"/>
    <w:rsid w:val="00B36CBB"/>
    <w:rsid w:val="00B425E0"/>
    <w:rsid w:val="00B440AA"/>
    <w:rsid w:val="00B44B70"/>
    <w:rsid w:val="00B501A0"/>
    <w:rsid w:val="00B534F2"/>
    <w:rsid w:val="00B53C56"/>
    <w:rsid w:val="00B55328"/>
    <w:rsid w:val="00B5582B"/>
    <w:rsid w:val="00B56F7C"/>
    <w:rsid w:val="00B57DAF"/>
    <w:rsid w:val="00B77EA6"/>
    <w:rsid w:val="00B81598"/>
    <w:rsid w:val="00B841F1"/>
    <w:rsid w:val="00B944D6"/>
    <w:rsid w:val="00BA15C0"/>
    <w:rsid w:val="00BA555D"/>
    <w:rsid w:val="00BA6310"/>
    <w:rsid w:val="00BB35D3"/>
    <w:rsid w:val="00BB39B0"/>
    <w:rsid w:val="00BB4DF0"/>
    <w:rsid w:val="00BC1544"/>
    <w:rsid w:val="00BC289F"/>
    <w:rsid w:val="00BC2D50"/>
    <w:rsid w:val="00BC5361"/>
    <w:rsid w:val="00BC5460"/>
    <w:rsid w:val="00BC6B50"/>
    <w:rsid w:val="00BD0E25"/>
    <w:rsid w:val="00BE1D24"/>
    <w:rsid w:val="00BE262F"/>
    <w:rsid w:val="00BE2C80"/>
    <w:rsid w:val="00BF5BD6"/>
    <w:rsid w:val="00C03E31"/>
    <w:rsid w:val="00C104AF"/>
    <w:rsid w:val="00C13D3D"/>
    <w:rsid w:val="00C14EEC"/>
    <w:rsid w:val="00C302E0"/>
    <w:rsid w:val="00C30EF5"/>
    <w:rsid w:val="00C33E72"/>
    <w:rsid w:val="00C354B2"/>
    <w:rsid w:val="00C35554"/>
    <w:rsid w:val="00C41868"/>
    <w:rsid w:val="00C42709"/>
    <w:rsid w:val="00C513FD"/>
    <w:rsid w:val="00C533CC"/>
    <w:rsid w:val="00C5751C"/>
    <w:rsid w:val="00C61BFC"/>
    <w:rsid w:val="00C6295E"/>
    <w:rsid w:val="00C62B85"/>
    <w:rsid w:val="00C65438"/>
    <w:rsid w:val="00C65B3D"/>
    <w:rsid w:val="00C66F82"/>
    <w:rsid w:val="00C71A3F"/>
    <w:rsid w:val="00C87610"/>
    <w:rsid w:val="00C87FD8"/>
    <w:rsid w:val="00C91381"/>
    <w:rsid w:val="00C91CBB"/>
    <w:rsid w:val="00CA2C67"/>
    <w:rsid w:val="00CA7A6E"/>
    <w:rsid w:val="00CB376F"/>
    <w:rsid w:val="00CB4E70"/>
    <w:rsid w:val="00CC09B6"/>
    <w:rsid w:val="00CC2055"/>
    <w:rsid w:val="00CC2086"/>
    <w:rsid w:val="00CC666F"/>
    <w:rsid w:val="00CD1E3F"/>
    <w:rsid w:val="00CE2AAD"/>
    <w:rsid w:val="00CE3F54"/>
    <w:rsid w:val="00CE44F6"/>
    <w:rsid w:val="00CE49DA"/>
    <w:rsid w:val="00CE7B61"/>
    <w:rsid w:val="00CF2BFE"/>
    <w:rsid w:val="00D00095"/>
    <w:rsid w:val="00D114F0"/>
    <w:rsid w:val="00D20620"/>
    <w:rsid w:val="00D23A9A"/>
    <w:rsid w:val="00D254F7"/>
    <w:rsid w:val="00D2563F"/>
    <w:rsid w:val="00D26091"/>
    <w:rsid w:val="00D2685C"/>
    <w:rsid w:val="00D34E7C"/>
    <w:rsid w:val="00D35489"/>
    <w:rsid w:val="00D36AFE"/>
    <w:rsid w:val="00D455D6"/>
    <w:rsid w:val="00D50E8F"/>
    <w:rsid w:val="00D51276"/>
    <w:rsid w:val="00D5367D"/>
    <w:rsid w:val="00D5470D"/>
    <w:rsid w:val="00D55A57"/>
    <w:rsid w:val="00D606FD"/>
    <w:rsid w:val="00D613A4"/>
    <w:rsid w:val="00D6568C"/>
    <w:rsid w:val="00D7035F"/>
    <w:rsid w:val="00D76E35"/>
    <w:rsid w:val="00D823C3"/>
    <w:rsid w:val="00D83066"/>
    <w:rsid w:val="00D8612C"/>
    <w:rsid w:val="00D93BC4"/>
    <w:rsid w:val="00DA5543"/>
    <w:rsid w:val="00DA634F"/>
    <w:rsid w:val="00DA65AC"/>
    <w:rsid w:val="00DB1913"/>
    <w:rsid w:val="00DC0993"/>
    <w:rsid w:val="00DC410D"/>
    <w:rsid w:val="00DC5A81"/>
    <w:rsid w:val="00DC68CA"/>
    <w:rsid w:val="00DC7CBA"/>
    <w:rsid w:val="00DD1458"/>
    <w:rsid w:val="00DD41E7"/>
    <w:rsid w:val="00DD73B7"/>
    <w:rsid w:val="00DE0797"/>
    <w:rsid w:val="00DE47EB"/>
    <w:rsid w:val="00DF28BC"/>
    <w:rsid w:val="00DF34B9"/>
    <w:rsid w:val="00DF670A"/>
    <w:rsid w:val="00DF6979"/>
    <w:rsid w:val="00E01053"/>
    <w:rsid w:val="00E03075"/>
    <w:rsid w:val="00E062BC"/>
    <w:rsid w:val="00E07ACF"/>
    <w:rsid w:val="00E162B2"/>
    <w:rsid w:val="00E25A18"/>
    <w:rsid w:val="00E331A1"/>
    <w:rsid w:val="00E33202"/>
    <w:rsid w:val="00E336A9"/>
    <w:rsid w:val="00E37801"/>
    <w:rsid w:val="00E472B1"/>
    <w:rsid w:val="00E50624"/>
    <w:rsid w:val="00E568DF"/>
    <w:rsid w:val="00E64269"/>
    <w:rsid w:val="00E65874"/>
    <w:rsid w:val="00E737AF"/>
    <w:rsid w:val="00E81D33"/>
    <w:rsid w:val="00E82267"/>
    <w:rsid w:val="00E853CE"/>
    <w:rsid w:val="00E85831"/>
    <w:rsid w:val="00E867B6"/>
    <w:rsid w:val="00E9376C"/>
    <w:rsid w:val="00E93E6C"/>
    <w:rsid w:val="00E94D10"/>
    <w:rsid w:val="00EA010F"/>
    <w:rsid w:val="00EB18B1"/>
    <w:rsid w:val="00EC0FF8"/>
    <w:rsid w:val="00EC48A8"/>
    <w:rsid w:val="00EC4EB3"/>
    <w:rsid w:val="00EC68CF"/>
    <w:rsid w:val="00ED1B63"/>
    <w:rsid w:val="00ED3C1F"/>
    <w:rsid w:val="00ED4085"/>
    <w:rsid w:val="00ED420E"/>
    <w:rsid w:val="00ED6FBE"/>
    <w:rsid w:val="00EE0337"/>
    <w:rsid w:val="00EE18FE"/>
    <w:rsid w:val="00EE2F57"/>
    <w:rsid w:val="00EE33DD"/>
    <w:rsid w:val="00EF4C34"/>
    <w:rsid w:val="00EF77C6"/>
    <w:rsid w:val="00F00621"/>
    <w:rsid w:val="00F0396A"/>
    <w:rsid w:val="00F05438"/>
    <w:rsid w:val="00F1361C"/>
    <w:rsid w:val="00F14685"/>
    <w:rsid w:val="00F152E2"/>
    <w:rsid w:val="00F156F0"/>
    <w:rsid w:val="00F160C7"/>
    <w:rsid w:val="00F20208"/>
    <w:rsid w:val="00F2408F"/>
    <w:rsid w:val="00F240E9"/>
    <w:rsid w:val="00F36D8F"/>
    <w:rsid w:val="00F417B1"/>
    <w:rsid w:val="00F45853"/>
    <w:rsid w:val="00F4641B"/>
    <w:rsid w:val="00F47DAA"/>
    <w:rsid w:val="00F521FE"/>
    <w:rsid w:val="00F56EEA"/>
    <w:rsid w:val="00F57045"/>
    <w:rsid w:val="00F602DF"/>
    <w:rsid w:val="00F62B9F"/>
    <w:rsid w:val="00F65AF4"/>
    <w:rsid w:val="00F72B70"/>
    <w:rsid w:val="00F754A1"/>
    <w:rsid w:val="00F8055D"/>
    <w:rsid w:val="00F81FD9"/>
    <w:rsid w:val="00F83D02"/>
    <w:rsid w:val="00F841AA"/>
    <w:rsid w:val="00F84A94"/>
    <w:rsid w:val="00F87E96"/>
    <w:rsid w:val="00FA23E8"/>
    <w:rsid w:val="00FA28BB"/>
    <w:rsid w:val="00FB524C"/>
    <w:rsid w:val="00FD05C0"/>
    <w:rsid w:val="00FD35BD"/>
    <w:rsid w:val="00FD3CC1"/>
    <w:rsid w:val="00FE10B8"/>
    <w:rsid w:val="00FF1E02"/>
    <w:rsid w:val="00FF2162"/>
    <w:rsid w:val="00FF30B4"/>
    <w:rsid w:val="015975B8"/>
    <w:rsid w:val="02143E91"/>
    <w:rsid w:val="066E0107"/>
    <w:rsid w:val="07996F6E"/>
    <w:rsid w:val="0A2032A3"/>
    <w:rsid w:val="0F8E47D8"/>
    <w:rsid w:val="0F98263C"/>
    <w:rsid w:val="101860EC"/>
    <w:rsid w:val="108F5D13"/>
    <w:rsid w:val="10C055FF"/>
    <w:rsid w:val="118107EC"/>
    <w:rsid w:val="13D50BC4"/>
    <w:rsid w:val="16BB723D"/>
    <w:rsid w:val="1BE8440E"/>
    <w:rsid w:val="1D155CEE"/>
    <w:rsid w:val="1FF35744"/>
    <w:rsid w:val="23860B96"/>
    <w:rsid w:val="240371BF"/>
    <w:rsid w:val="26C26CF7"/>
    <w:rsid w:val="29FD04D3"/>
    <w:rsid w:val="2C8A61B5"/>
    <w:rsid w:val="2DF04E50"/>
    <w:rsid w:val="2F040D46"/>
    <w:rsid w:val="306D4B10"/>
    <w:rsid w:val="319F7F4E"/>
    <w:rsid w:val="32A9493D"/>
    <w:rsid w:val="3304709D"/>
    <w:rsid w:val="33DF3EB8"/>
    <w:rsid w:val="36AA5135"/>
    <w:rsid w:val="376D39B2"/>
    <w:rsid w:val="37E16F03"/>
    <w:rsid w:val="38D469F0"/>
    <w:rsid w:val="39A46823"/>
    <w:rsid w:val="3D98207C"/>
    <w:rsid w:val="3E78745D"/>
    <w:rsid w:val="44E268DA"/>
    <w:rsid w:val="45140D01"/>
    <w:rsid w:val="4A627F82"/>
    <w:rsid w:val="4B0E749A"/>
    <w:rsid w:val="4B4F25DA"/>
    <w:rsid w:val="4BE068DB"/>
    <w:rsid w:val="4D577224"/>
    <w:rsid w:val="4EAB630A"/>
    <w:rsid w:val="4ECE2238"/>
    <w:rsid w:val="537E6D0A"/>
    <w:rsid w:val="55185431"/>
    <w:rsid w:val="5AF92295"/>
    <w:rsid w:val="5CD71FC4"/>
    <w:rsid w:val="6C4A05C8"/>
    <w:rsid w:val="6E7E3605"/>
    <w:rsid w:val="6FF5CC65"/>
    <w:rsid w:val="715C0E4B"/>
    <w:rsid w:val="72734D90"/>
    <w:rsid w:val="72C232B3"/>
    <w:rsid w:val="73AD73D5"/>
    <w:rsid w:val="73B6EB34"/>
    <w:rsid w:val="744731E5"/>
    <w:rsid w:val="76E3355F"/>
    <w:rsid w:val="777F8318"/>
    <w:rsid w:val="778769C8"/>
    <w:rsid w:val="79EE5BA4"/>
    <w:rsid w:val="7A894339"/>
    <w:rsid w:val="7EEF11D3"/>
    <w:rsid w:val="7F6102E0"/>
    <w:rsid w:val="7FA30C79"/>
    <w:rsid w:val="7FB7269E"/>
    <w:rsid w:val="7FC96657"/>
    <w:rsid w:val="D8D6DB89"/>
    <w:rsid w:val="DB6F4CAB"/>
    <w:rsid w:val="DF6F9789"/>
    <w:rsid w:val="DFDB5C9D"/>
    <w:rsid w:val="F5F9AF56"/>
    <w:rsid w:val="FA7F54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uppressAutoHyphens/>
    </w:pPr>
    <w:rPr>
      <w:rFonts w:ascii="Calibri" w:hAnsi="Calibri"/>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收支总计（单位：万元）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1434.91</c:v>
                </c:pt>
                <c:pt idx="1">
                  <c:v>2292.63</c:v>
                </c:pt>
              </c:numCache>
            </c:numRef>
          </c:val>
        </c:ser>
        <c:dLbls>
          <c:showLegendKey val="0"/>
          <c:showVal val="1"/>
          <c:showCatName val="0"/>
          <c:showSerName val="0"/>
          <c:showPercent val="0"/>
          <c:showBubbleSize val="0"/>
        </c:dLbls>
        <c:gapWidth val="150"/>
        <c:overlap val="100"/>
        <c:axId val="69098880"/>
        <c:axId val="69108864"/>
      </c:barChart>
      <c:catAx>
        <c:axId val="69098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108864"/>
        <c:crosses val="autoZero"/>
        <c:auto val="1"/>
        <c:lblAlgn val="ctr"/>
        <c:lblOffset val="100"/>
        <c:noMultiLvlLbl val="0"/>
      </c:catAx>
      <c:valAx>
        <c:axId val="69108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0988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71.3</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28.7</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71.3</c:v>
                </c:pt>
                <c:pt idx="1">
                  <c:v>28.7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91.1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91.1</c:v>
                </c:pt>
                <c:pt idx="1">
                  <c:v>8.9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财政拨款收支总计（单位：万元）</c:v>
                </c:pt>
              </c:strCache>
            </c:strRef>
          </c:tx>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1434.91</c:v>
                </c:pt>
                <c:pt idx="1">
                  <c:v>1635.31</c:v>
                </c:pt>
              </c:numCache>
            </c:numRef>
          </c:val>
        </c:ser>
        <c:dLbls>
          <c:showLegendKey val="0"/>
          <c:showVal val="0"/>
          <c:showCatName val="0"/>
          <c:showSerName val="0"/>
          <c:showPercent val="0"/>
          <c:showBubbleSize val="0"/>
        </c:dLbls>
        <c:gapWidth val="150"/>
        <c:overlap val="100"/>
        <c:axId val="165120256"/>
        <c:axId val="165140352"/>
      </c:barChart>
      <c:catAx>
        <c:axId val="165120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140352"/>
        <c:crosses val="autoZero"/>
        <c:auto val="1"/>
        <c:lblAlgn val="ctr"/>
        <c:lblOffset val="100"/>
        <c:noMultiLvlLbl val="0"/>
      </c:catAx>
      <c:valAx>
        <c:axId val="165140352"/>
        <c:scaling>
          <c:orientation val="minMax"/>
          <c:max val="170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120256"/>
        <c:crosses val="autoZero"/>
        <c:crossBetween val="between"/>
        <c:majorUnit val="500"/>
        <c:minorUnit val="10"/>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一般公共预算财政拨款支出（单位：万元）</a:t>
            </a:r>
            <a:endParaRPr lang="zh-CN" altLang="en-US" sz="1600"/>
          </a:p>
        </c:rich>
      </c:tx>
      <c:layout/>
      <c:overlay val="0"/>
    </c:title>
    <c:autoTitleDeleted val="0"/>
    <c:plotArea>
      <c:layout/>
      <c:barChart>
        <c:barDir val="col"/>
        <c:grouping val="stacked"/>
        <c:varyColors val="0"/>
        <c:ser>
          <c:idx val="0"/>
          <c:order val="0"/>
          <c:tx>
            <c:strRef>
              <c:f>Sheet1!$B$1</c:f>
              <c:strCache>
                <c:ptCount val="1"/>
                <c:pt idx="0">
                  <c:v>财政拨款收支总计（单位：万元）</c:v>
                </c:pt>
              </c:strCache>
            </c:strRef>
          </c:tx>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1434.91</c:v>
                </c:pt>
                <c:pt idx="1">
                  <c:v>1635.31</c:v>
                </c:pt>
              </c:numCache>
            </c:numRef>
          </c:val>
        </c:ser>
        <c:dLbls>
          <c:showLegendKey val="0"/>
          <c:showVal val="0"/>
          <c:showCatName val="0"/>
          <c:showSerName val="0"/>
          <c:showPercent val="0"/>
          <c:showBubbleSize val="0"/>
        </c:dLbls>
        <c:gapWidth val="150"/>
        <c:overlap val="100"/>
        <c:axId val="69223168"/>
        <c:axId val="69224704"/>
      </c:barChart>
      <c:catAx>
        <c:axId val="69223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224704"/>
        <c:crosses val="autoZero"/>
        <c:auto val="1"/>
        <c:lblAlgn val="ctr"/>
        <c:lblOffset val="100"/>
        <c:noMultiLvlLbl val="0"/>
      </c:catAx>
      <c:valAx>
        <c:axId val="69224704"/>
        <c:scaling>
          <c:orientation val="minMax"/>
          <c:max val="170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223168"/>
        <c:crosses val="autoZero"/>
        <c:crossBetween val="between"/>
        <c:majorUnit val="500"/>
        <c:minorUnit val="10"/>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baseline="0"/>
              <a:t>一般公共预算财政拨款支出决算结构</a:t>
            </a:r>
            <a:endParaRPr lang="zh-CN" altLang="zh-CN"/>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2"/>
              <c:layout>
                <c:manualLayout>
                  <c:x val="0.0342784174612414"/>
                  <c:y val="0.08589681707743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88.9</c:v>
                </c:pt>
                <c:pt idx="1">
                  <c:v>4.9</c:v>
                </c:pt>
                <c:pt idx="2">
                  <c:v>2.4</c:v>
                </c:pt>
                <c:pt idx="3">
                  <c:v>3.8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96040619531275"/>
                  <c:y val="-0.16169831712212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89.9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10.1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89.9</c:v>
                </c:pt>
                <c:pt idx="2">
                  <c:v>10.1</c:v>
                </c:pt>
              </c:numCache>
            </c:numRef>
          </c:val>
        </c:ser>
        <c:ser>
          <c:idx val="1"/>
          <c:order val="1"/>
          <c:tx>
            <c:strRef>
              <c:f>Sheet1!$C$1</c:f>
              <c:strCache>
                <c:ptCount val="1"/>
                <c:pt idx="0">
                  <c:v>列1</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1C4BC89D-ADA3-4455-B228-E0F59F77D0E3}">
  <ds:schemaRefs/>
</ds:datastoreItem>
</file>

<file path=docProps/app.xml><?xml version="1.0" encoding="utf-8"?>
<Properties xmlns="http://schemas.openxmlformats.org/officeDocument/2006/extended-properties" xmlns:vt="http://schemas.openxmlformats.org/officeDocument/2006/docPropsVTypes">
  <Company>四川省财政厅</Company>
  <Pages>38</Pages>
  <Words>9658</Words>
  <Characters>10975</Characters>
  <Lines>81</Lines>
  <Paragraphs>22</Paragraphs>
  <TotalTime>0</TotalTime>
  <ScaleCrop>false</ScaleCrop>
  <LinksUpToDate>false</LinksUpToDate>
  <CharactersWithSpaces>11018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2023-09-11T23:15:00Z</dcterms:created>
  <dc:creator>曹颖</dc:creator>
  <cp:lastModifiedBy>Administrator</cp:lastModifiedBy>
  <cp:lastPrinted>2023-07-31T18:35:00Z</cp:lastPrinted>
  <dcterms:modified xsi:type="dcterms:W3CDTF">2023-09-27T08:58:21Z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1BF328E4FCBC46E183310AF8D9815CC9</vt:lpwstr>
  </property>
</Properties>
</file>