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425"/>
      <w:bookmarkStart w:id="2" w:name="_Toc15396597"/>
      <w:bookmarkStart w:id="3" w:name="_Toc15377193"/>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96476"/>
      <w:bookmarkStart w:id="7" w:name="_Toc15396598"/>
      <w:bookmarkStart w:id="8" w:name="_Toc15377194"/>
      <w:bookmarkStart w:id="9" w:name="_Toc15377426"/>
      <w:bookmarkStart w:id="10" w:name="_Toc15378442"/>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苍溪县人民法院</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部门</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rPr>
          <w:color w:val="auto"/>
          <w:highlight w:val="none"/>
        </w:rPr>
      </w:pPr>
    </w:p>
    <w:p>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...................................................1</w:t>
      </w:r>
    </w:p>
    <w:p>
      <w:pPr>
        <w:pStyle w:val="14"/>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..........................................................................................................1</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..........................................................................................................1</w:t>
      </w:r>
    </w:p>
    <w:p>
      <w:pPr>
        <w:pStyle w:val="13"/>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color w:val="auto"/>
          <w:sz w:val="24"/>
          <w:highlight w:val="none"/>
          <w:lang w:val="en-US" w:eastAsia="zh-CN"/>
        </w:rPr>
        <w:t>..................................3</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.........................................................................3</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...........................................................................................3</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........................................................................................4</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.........................................................5</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...................................................5</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...........................................7</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................................................8</w:t>
      </w:r>
    </w:p>
    <w:p>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.............................................................10</w:t>
      </w:r>
    </w:p>
    <w:p>
      <w:pPr>
        <w:pStyle w:val="14"/>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...........................10</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val="en-US" w:eastAsia="zh-CN"/>
        </w:rPr>
        <w:t>.....................................10</w:t>
      </w:r>
    </w:p>
    <w:p>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..................................................13</w:t>
      </w:r>
    </w:p>
    <w:p>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......................................................15</w:t>
      </w:r>
    </w:p>
    <w:p>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...............................................43</w:t>
      </w:r>
    </w:p>
    <w:p>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.......................................43</w:t>
      </w:r>
    </w:p>
    <w:p>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国有资本经营预算财政拨款支出决算表.................................................43</w:t>
      </w:r>
    </w:p>
    <w:p>
      <w:pPr>
        <w:pStyle w:val="14"/>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........................................................43</w:t>
      </w:r>
    </w:p>
    <w:p>
      <w:pPr>
        <w:pStyle w:val="4"/>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pPr>
        <w:pStyle w:val="4"/>
        <w:jc w:val="center"/>
        <w:rPr>
          <w:rStyle w:val="2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5"/>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1．依法审判法律规定由基层法院管辖的刑事、民事、行政第一审案件。</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2．审判上级法院指定管辖、发回重审、本院一审案件发生法律效力后按审判监督程序进行再审的案件和申诉案件。</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3．复议本院作出的具有权利义务法律关系的各种决定。</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4．执行本院已发生法律效力的判决、裁定、决定和调解法律文书。</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5．依法行使司法决定权和执行权。</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6．负责办理审判工作中提出的具体适用法律方面问题的请示报告。</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7．对案件审理中发现的问题提出司法建议。</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s="宋体"/>
          <w:color w:val="000000"/>
          <w:kern w:val="0"/>
          <w:sz w:val="32"/>
          <w:szCs w:val="32"/>
        </w:rPr>
        <w:t>8．负责本单位的思想政治、教育培训工作，协同有关部门管理本院机构设置、人员编制和中层领导班子。</w:t>
      </w:r>
    </w:p>
    <w:p>
      <w:pPr>
        <w:pStyle w:val="8"/>
        <w:adjustRightInd w:val="0"/>
        <w:snapToGrid w:val="0"/>
        <w:spacing w:beforeLines="0" w:line="600" w:lineRule="exact"/>
        <w:ind w:firstLine="640" w:firstLineChars="200"/>
        <w:outlineLvl w:val="2"/>
        <w:rPr>
          <w:rFonts w:hint="eastAsia"/>
          <w:lang w:eastAsia="zh-CN"/>
        </w:rPr>
      </w:pPr>
      <w:r>
        <w:rPr>
          <w:rFonts w:hint="eastAsia" w:ascii="仿宋" w:hAnsi="仿宋" w:eastAsia="仿宋" w:cs="宋体"/>
          <w:color w:val="000000"/>
          <w:sz w:val="32"/>
          <w:szCs w:val="32"/>
        </w:rPr>
        <w:t>9．参与社会治安综合治理及其他应由县法院负责的工作。</w:t>
      </w:r>
    </w:p>
    <w:p>
      <w:pPr>
        <w:pStyle w:val="5"/>
        <w:rPr>
          <w:rFonts w:hint="eastAsia" w:asci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4" w:name="_Toc15377200"/>
      <w:bookmarkStart w:id="15" w:name="_Toc15396601"/>
    </w:p>
    <w:p>
      <w:pPr>
        <w:pStyle w:val="5"/>
        <w:rPr>
          <w:rStyle w:val="3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pPr>
        <w:pStyle w:val="8"/>
        <w:ind w:firstLine="640" w:firstLineChars="200"/>
        <w:rPr>
          <w:rFonts w:hint="eastAsia" w:eastAsia="仿宋"/>
          <w:color w:val="000000" w:themeColor="text1"/>
          <w:lang w:val="en-US"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苍溪县人民法院属一级预算单位，无</w:t>
      </w:r>
      <w:r>
        <w:rPr>
          <w:rFonts w:hint="eastAsia" w:ascii="仿宋" w:hAnsi="仿宋" w:eastAsia="仿宋"/>
          <w:color w:val="000000" w:themeColor="text1"/>
          <w:sz w:val="32"/>
          <w:szCs w:val="32"/>
          <w:highlight w:val="none"/>
          <w14:textFill>
            <w14:solidFill>
              <w14:schemeClr w14:val="tx1"/>
            </w14:solidFill>
          </w14:textFill>
        </w:rPr>
        <w:t>下属二级</w:t>
      </w:r>
      <w:r>
        <w:rPr>
          <w:rFonts w:hint="eastAsia" w:ascii="仿宋" w:hAnsi="仿宋" w:eastAsia="仿宋"/>
          <w:color w:val="000000" w:themeColor="text1"/>
          <w:sz w:val="32"/>
          <w:szCs w:val="32"/>
          <w:highlight w:val="none"/>
          <w:lang w:eastAsia="zh-CN"/>
          <w14:textFill>
            <w14:solidFill>
              <w14:schemeClr w14:val="tx1"/>
            </w14:solidFill>
          </w14:textFill>
        </w:rPr>
        <w:t>单位。</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both"/>
        <w:rPr>
          <w:rStyle w:val="29"/>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16"/>
      <w:bookmarkEnd w:id="17"/>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2022年度收、支总计3,270.93万元。与2021年相比，收、支总计各增加747.01万元，增长29.6%。</w:t>
      </w:r>
      <w:r>
        <w:rPr>
          <w:rFonts w:hint="eastAsia" w:ascii="仿宋" w:hAnsi="仿宋" w:eastAsia="仿宋"/>
          <w:color w:val="auto"/>
          <w:sz w:val="32"/>
          <w:szCs w:val="32"/>
          <w:highlight w:val="none"/>
        </w:rPr>
        <w:t>主要变动原因是</w:t>
      </w:r>
      <w:r>
        <w:rPr>
          <w:rFonts w:hint="eastAsia" w:ascii="仿宋_GB2312" w:hAnsi="宋体" w:eastAsia="仿宋_GB2312" w:cs="宋体"/>
          <w:color w:val="000000"/>
          <w:kern w:val="0"/>
          <w:sz w:val="32"/>
          <w:szCs w:val="32"/>
          <w:shd w:val="clear" w:color="auto" w:fill="FFFFFF"/>
          <w:lang w:bidi="ar"/>
        </w:rPr>
        <w:t>体制上划，保障标准发生改变</w:t>
      </w:r>
      <w:r>
        <w:rPr>
          <w:rFonts w:hint="eastAsia" w:ascii="仿宋" w:hAnsi="仿宋" w:eastAsia="仿宋"/>
          <w:color w:val="auto"/>
          <w:sz w:val="32"/>
          <w:szCs w:val="32"/>
          <w:highlight w:val="none"/>
          <w:lang w:eastAsia="zh-CN"/>
        </w:rPr>
        <w:t>。</w:t>
      </w:r>
    </w:p>
    <w:p>
      <w:pPr>
        <w:pStyle w:val="8"/>
        <w:rPr>
          <w:rFonts w:hint="eastAsia"/>
          <w:lang w:eastAsia="zh-CN"/>
        </w:rPr>
      </w:pPr>
      <w:r>
        <w:rPr>
          <w:rFonts w:hint="eastAsia"/>
          <w:lang w:val="en-US" w:eastAsia="zh-CN"/>
        </w:rPr>
        <w:t xml:space="preserve">        </w:t>
      </w:r>
      <w:r>
        <w:rPr>
          <w:rFonts w:hint="eastAsia"/>
          <w:lang w:eastAsia="zh-CN"/>
        </w:rPr>
        <w:drawing>
          <wp:inline distT="0" distB="0" distL="114300" distR="114300">
            <wp:extent cx="3286125" cy="2628900"/>
            <wp:effectExtent l="0" t="0" r="9525" b="0"/>
            <wp:docPr id="2" name="图片 2" descr="169414228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4142289890"/>
                    <pic:cNvPicPr>
                      <a:picLocks noChangeAspect="1"/>
                    </pic:cNvPicPr>
                  </pic:nvPicPr>
                  <pic:blipFill>
                    <a:blip r:embed="rId10"/>
                    <a:stretch>
                      <a:fillRect/>
                    </a:stretch>
                  </pic:blipFill>
                  <pic:spPr>
                    <a:xfrm>
                      <a:off x="0" y="0"/>
                      <a:ext cx="3286125" cy="2628900"/>
                    </a:xfrm>
                    <a:prstGeom prst="rect">
                      <a:avLst/>
                    </a:prstGeom>
                  </pic:spPr>
                </pic:pic>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单位：万元</w:t>
      </w:r>
      <w:r>
        <w:rPr>
          <w:rFonts w:hint="eastAsia" w:ascii="仿宋" w:hAnsi="仿宋" w:eastAsia="仿宋"/>
          <w:color w:val="auto"/>
          <w:sz w:val="32"/>
          <w:szCs w:val="32"/>
          <w:highlight w:val="none"/>
        </w:rPr>
        <w:t>）</w:t>
      </w:r>
    </w:p>
    <w:p>
      <w:pPr>
        <w:pStyle w:val="28"/>
        <w:numPr>
          <w:ilvl w:val="0"/>
          <w:numId w:val="2"/>
        </w:numPr>
        <w:spacing w:line="600" w:lineRule="exact"/>
        <w:ind w:firstLineChars="0"/>
        <w:outlineLvl w:val="1"/>
        <w:rPr>
          <w:rFonts w:hint="eastAsia" w:ascii="仿宋_GB2312" w:hAnsi="仿宋_GB2312" w:eastAsia="仿宋_GB2312"/>
          <w:color w:val="000000"/>
          <w:kern w:val="2"/>
          <w:sz w:val="32"/>
          <w:szCs w:val="24"/>
          <w:lang w:val="zh-CN"/>
        </w:rPr>
      </w:pPr>
      <w:bookmarkStart w:id="20" w:name="_Toc15396604"/>
      <w:bookmarkStart w:id="21"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pStyle w:val="28"/>
        <w:numPr>
          <w:ilvl w:val="0"/>
          <w:numId w:val="0"/>
        </w:numPr>
        <w:spacing w:line="600" w:lineRule="exact"/>
        <w:ind w:firstLine="640" w:firstLineChars="200"/>
        <w:outlineLvl w:val="1"/>
        <w:rPr>
          <w:rFonts w:hint="eastAsia" w:ascii="仿宋" w:hAnsi="仿宋" w:eastAsia="仿宋"/>
          <w:color w:val="auto"/>
          <w:sz w:val="32"/>
          <w:szCs w:val="32"/>
          <w:highlight w:val="none"/>
          <w:lang w:val="en-US" w:eastAsia="zh-CN"/>
        </w:rPr>
      </w:pPr>
      <w:r>
        <w:rPr>
          <w:rFonts w:hint="eastAsia" w:ascii="仿宋_GB2312" w:hAnsi="仿宋_GB2312" w:eastAsia="仿宋_GB2312"/>
          <w:color w:val="000000"/>
          <w:kern w:val="2"/>
          <w:sz w:val="32"/>
          <w:szCs w:val="24"/>
          <w:lang w:val="zh-CN"/>
        </w:rPr>
        <w:t>2022年本年收入合计3,270.93万元，其中：一般公共预算财政拨款收入2,455.86万元，占75.1%；其他收入815.07万元，占24.9%。</w:t>
      </w:r>
    </w:p>
    <w:p>
      <w:pPr>
        <w:spacing w:line="240" w:lineRule="auto"/>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429125" cy="2705100"/>
            <wp:effectExtent l="0" t="0" r="9525" b="0"/>
            <wp:docPr id="13" name="图片 13"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二"/>
                    <pic:cNvPicPr>
                      <a:picLocks noChangeAspect="1"/>
                    </pic:cNvPicPr>
                  </pic:nvPicPr>
                  <pic:blipFill>
                    <a:blip r:embed="rId11"/>
                    <a:stretch>
                      <a:fillRect/>
                    </a:stretch>
                  </pic:blipFill>
                  <pic:spPr>
                    <a:xfrm>
                      <a:off x="0" y="0"/>
                      <a:ext cx="4429125" cy="2705100"/>
                    </a:xfrm>
                    <a:prstGeom prst="rect">
                      <a:avLst/>
                    </a:prstGeom>
                  </pic:spPr>
                </pic:pic>
              </a:graphicData>
            </a:graphic>
          </wp:inline>
        </w:drawing>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2022年本年支出合计3,270.93万元，其中：基本支出2,199.8万元，占67.3%；项目支出1,071.13万元，占32.7%。</w:t>
      </w:r>
    </w:p>
    <w:p>
      <w:pPr>
        <w:spacing w:line="240" w:lineRule="auto"/>
        <w:ind w:firstLine="640"/>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4486275" cy="2752725"/>
            <wp:effectExtent l="0" t="0" r="9525" b="9525"/>
            <wp:docPr id="14" name="图片 14" descr="图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三"/>
                    <pic:cNvPicPr>
                      <a:picLocks noChangeAspect="1"/>
                    </pic:cNvPicPr>
                  </pic:nvPicPr>
                  <pic:blipFill>
                    <a:blip r:embed="rId12"/>
                    <a:stretch>
                      <a:fillRect/>
                    </a:stretch>
                  </pic:blipFill>
                  <pic:spPr>
                    <a:xfrm>
                      <a:off x="0" y="0"/>
                      <a:ext cx="4486275" cy="2752725"/>
                    </a:xfrm>
                    <a:prstGeom prst="rect">
                      <a:avLst/>
                    </a:prstGeom>
                  </pic:spPr>
                </pic:pic>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2022年财政拨款收、支总计2,455.86万元。与2021年相比，财政拨款收、支总计各减少68.06万元，</w:t>
      </w:r>
      <w:r>
        <w:rPr>
          <w:rFonts w:hint="eastAsia" w:ascii="仿宋_GB2312" w:hAnsi="仿宋_GB2312" w:eastAsia="仿宋_GB2312"/>
          <w:color w:val="000000" w:themeColor="text1"/>
          <w:kern w:val="2"/>
          <w:sz w:val="32"/>
          <w:szCs w:val="24"/>
          <w:lang w:val="zh-CN"/>
          <w14:textFill>
            <w14:solidFill>
              <w14:schemeClr w14:val="tx1"/>
            </w14:solidFill>
          </w14:textFill>
        </w:rPr>
        <w:t>下降2.7%</w:t>
      </w:r>
      <w:r>
        <w:rPr>
          <w:rFonts w:hint="eastAsia" w:ascii="仿宋_GB2312" w:hAnsi="仿宋_GB2312" w:eastAsia="仿宋_GB2312"/>
          <w:color w:val="00B0F0"/>
          <w:kern w:val="2"/>
          <w:sz w:val="32"/>
          <w:szCs w:val="24"/>
          <w:lang w:val="zh-CN"/>
        </w:rPr>
        <w:t>。</w:t>
      </w:r>
      <w:r>
        <w:rPr>
          <w:rFonts w:hint="eastAsia" w:ascii="仿宋_GB2312" w:hAnsi="仿宋_GB2312" w:eastAsia="仿宋_GB2312"/>
          <w:color w:val="000000"/>
          <w:kern w:val="2"/>
          <w:sz w:val="32"/>
          <w:szCs w:val="24"/>
          <w:lang w:val="zh-CN"/>
        </w:rPr>
        <w:t>主要变动原因是</w:t>
      </w:r>
      <w:r>
        <w:rPr>
          <w:rFonts w:hint="eastAsia" w:ascii="仿宋_GB2312" w:hAnsi="宋体" w:eastAsia="仿宋_GB2312" w:cs="宋体"/>
          <w:color w:val="000000"/>
          <w:kern w:val="0"/>
          <w:sz w:val="32"/>
          <w:szCs w:val="32"/>
          <w:shd w:val="clear" w:color="auto" w:fill="FFFFFF"/>
          <w:lang w:bidi="ar"/>
        </w:rPr>
        <w:t>体制上划，保障标准发生改变</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240" w:lineRule="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345940" cy="2686050"/>
            <wp:effectExtent l="0" t="0" r="16510" b="0"/>
            <wp:docPr id="15" name="图片 15"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4"/>
                    <pic:cNvPicPr>
                      <a:picLocks noChangeAspect="1"/>
                    </pic:cNvPicPr>
                  </pic:nvPicPr>
                  <pic:blipFill>
                    <a:blip r:embed="rId13"/>
                    <a:stretch>
                      <a:fillRect/>
                    </a:stretch>
                  </pic:blipFill>
                  <pic:spPr>
                    <a:xfrm>
                      <a:off x="0" y="0"/>
                      <a:ext cx="4345940" cy="2686050"/>
                    </a:xfrm>
                    <a:prstGeom prst="rect">
                      <a:avLst/>
                    </a:prstGeom>
                  </pic:spPr>
                </pic:pic>
              </a:graphicData>
            </a:graphic>
          </wp:inline>
        </w:drawing>
      </w:r>
    </w:p>
    <w:p>
      <w:pPr>
        <w:spacing w:line="600" w:lineRule="exact"/>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r>
        <w:rPr>
          <w:rFonts w:hint="eastAsia" w:ascii="仿宋" w:hAnsi="仿宋" w:eastAsia="仿宋"/>
          <w:color w:val="auto"/>
          <w:sz w:val="32"/>
          <w:szCs w:val="32"/>
          <w:highlight w:val="none"/>
          <w:lang w:eastAsia="zh-CN"/>
        </w:rPr>
        <w:t>单位：万元</w:t>
      </w:r>
      <w:r>
        <w:rPr>
          <w:rFonts w:hint="eastAsia" w:ascii="仿宋" w:hAnsi="仿宋" w:eastAsia="仿宋"/>
          <w:color w:val="auto"/>
          <w:sz w:val="32"/>
          <w:szCs w:val="32"/>
          <w:highlight w:val="none"/>
        </w:rPr>
        <w:t>）</w:t>
      </w:r>
    </w:p>
    <w:p>
      <w:pPr>
        <w:spacing w:line="600" w:lineRule="exact"/>
        <w:ind w:firstLine="640" w:firstLineChars="200"/>
        <w:outlineLvl w:val="1"/>
        <w:rPr>
          <w:rStyle w:val="30"/>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0"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_GB2312" w:hAnsi="仿宋_GB2312" w:eastAsia="仿宋_GB2312"/>
          <w:color w:val="000000"/>
          <w:kern w:val="2"/>
          <w:sz w:val="32"/>
          <w:szCs w:val="24"/>
          <w:lang w:val="zh-CN"/>
        </w:rPr>
        <w:t>2022年一般公共预算财政拨款支出2,455.86万元，占本年支出合计的75.1%。与2021年相比，一般公共预算财政拨款支出减少68.06万元，下降2.7%。</w:t>
      </w:r>
      <w:r>
        <w:rPr>
          <w:rFonts w:hint="eastAsia" w:ascii="仿宋" w:hAnsi="仿宋" w:eastAsia="仿宋"/>
          <w:color w:val="auto"/>
          <w:sz w:val="32"/>
          <w:szCs w:val="32"/>
          <w:highlight w:val="none"/>
        </w:rPr>
        <w:t>主要变动原因是</w:t>
      </w:r>
      <w:r>
        <w:rPr>
          <w:rFonts w:hint="eastAsia" w:ascii="仿宋_GB2312" w:hAnsi="宋体" w:eastAsia="仿宋_GB2312" w:cs="宋体"/>
          <w:color w:val="000000"/>
          <w:kern w:val="0"/>
          <w:sz w:val="32"/>
          <w:szCs w:val="32"/>
          <w:shd w:val="clear" w:color="auto" w:fill="FFFFFF"/>
          <w:lang w:bidi="ar"/>
        </w:rPr>
        <w:t>体制上划，保障标准发生改变</w:t>
      </w:r>
      <w:r>
        <w:rPr>
          <w:rFonts w:hint="eastAsia" w:ascii="仿宋" w:hAnsi="仿宋" w:eastAsia="仿宋"/>
          <w:color w:val="auto"/>
          <w:sz w:val="32"/>
          <w:szCs w:val="32"/>
          <w:highlight w:val="none"/>
          <w:lang w:eastAsia="zh-CN"/>
        </w:rPr>
        <w:t>。</w:t>
      </w:r>
    </w:p>
    <w:p>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43425" cy="2743200"/>
            <wp:effectExtent l="0" t="0" r="9525" b="0"/>
            <wp:docPr id="16" name="图片 16"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5"/>
                    <pic:cNvPicPr>
                      <a:picLocks noChangeAspect="1"/>
                    </pic:cNvPicPr>
                  </pic:nvPicPr>
                  <pic:blipFill>
                    <a:blip r:embed="rId14"/>
                    <a:stretch>
                      <a:fillRect/>
                    </a:stretch>
                  </pic:blipFill>
                  <pic:spPr>
                    <a:xfrm>
                      <a:off x="0" y="0"/>
                      <a:ext cx="4543425" cy="2743200"/>
                    </a:xfrm>
                    <a:prstGeom prst="rect">
                      <a:avLst/>
                    </a:prstGeom>
                  </pic:spPr>
                </pic:pic>
              </a:graphicData>
            </a:graphic>
          </wp:inline>
        </w:drawing>
      </w:r>
    </w:p>
    <w:p>
      <w:pPr>
        <w:spacing w:line="24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r>
        <w:rPr>
          <w:rFonts w:hint="eastAsia" w:ascii="仿宋" w:hAnsi="仿宋" w:eastAsia="仿宋"/>
          <w:color w:val="auto"/>
          <w:sz w:val="32"/>
          <w:szCs w:val="32"/>
          <w:highlight w:val="none"/>
          <w:lang w:eastAsia="zh-CN"/>
        </w:rPr>
        <w:t>单位：万元</w:t>
      </w:r>
      <w:r>
        <w:rPr>
          <w:rFonts w:hint="eastAsia" w:ascii="仿宋" w:hAnsi="仿宋" w:eastAsia="仿宋"/>
          <w:color w:val="auto"/>
          <w:sz w:val="32"/>
          <w:szCs w:val="32"/>
          <w:highlight w:val="none"/>
        </w:rPr>
        <w:t>）</w:t>
      </w:r>
    </w:p>
    <w:p>
      <w:pPr>
        <w:numPr>
          <w:ilvl w:val="0"/>
          <w:numId w:val="3"/>
        </w:numPr>
        <w:spacing w:line="600" w:lineRule="exact"/>
        <w:ind w:firstLine="640" w:firstLineChars="200"/>
        <w:outlineLvl w:val="2"/>
        <w:rPr>
          <w:rFonts w:hint="eastAsia"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一般公共预算财政拨款支出决算结构情况</w:t>
      </w:r>
      <w:bookmarkEnd w:id="29"/>
    </w:p>
    <w:p>
      <w:pPr>
        <w:numPr>
          <w:ilvl w:val="0"/>
          <w:numId w:val="0"/>
        </w:numPr>
        <w:spacing w:line="600" w:lineRule="exact"/>
        <w:ind w:firstLine="640" w:firstLineChars="200"/>
        <w:outlineLvl w:val="2"/>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2022年一般公共预算财政拨款支出2,455.86万元，主要用于以下方面: 公共安全支出2,218.9</w:t>
      </w:r>
      <w:r>
        <w:rPr>
          <w:rFonts w:hint="default" w:ascii="仿宋_GB2312" w:hAnsi="仿宋_GB2312" w:eastAsia="仿宋_GB2312"/>
          <w:color w:val="000000"/>
          <w:kern w:val="2"/>
          <w:sz w:val="32"/>
          <w:szCs w:val="24"/>
          <w:woUserID w:val="1"/>
        </w:rPr>
        <w:t>5</w:t>
      </w:r>
      <w:r>
        <w:rPr>
          <w:rFonts w:hint="eastAsia" w:ascii="仿宋_GB2312" w:hAnsi="仿宋_GB2312" w:eastAsia="仿宋_GB2312"/>
          <w:color w:val="000000"/>
          <w:kern w:val="2"/>
          <w:sz w:val="32"/>
          <w:szCs w:val="24"/>
          <w:lang w:val="zh-CN"/>
        </w:rPr>
        <w:t>万元，占90.4%；社会保障和就业支出102.53万元，占4.2%；卫生健康支出43.23万元，占1.8%；住房保障支出91.15万元，占3.7%。</w:t>
      </w:r>
    </w:p>
    <w:p>
      <w:pPr>
        <w:spacing w:line="240" w:lineRule="auto"/>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52950" cy="2724150"/>
            <wp:effectExtent l="0" t="0" r="0" b="0"/>
            <wp:docPr id="17" name="图片 17"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6"/>
                    <pic:cNvPicPr>
                      <a:picLocks noChangeAspect="1"/>
                    </pic:cNvPicPr>
                  </pic:nvPicPr>
                  <pic:blipFill>
                    <a:blip r:embed="rId15"/>
                    <a:stretch>
                      <a:fillRect/>
                    </a:stretch>
                  </pic:blipFill>
                  <pic:spPr>
                    <a:xfrm>
                      <a:off x="0" y="0"/>
                      <a:ext cx="4552950" cy="2724150"/>
                    </a:xfrm>
                    <a:prstGeom prst="rect">
                      <a:avLst/>
                    </a:prstGeom>
                  </pic:spPr>
                </pic:pic>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2022年一般公共预算支出决算数为2,455.86万元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完成预算100%。其中：</w:t>
      </w:r>
    </w:p>
    <w:p>
      <w:pPr>
        <w:keepNext/>
        <w:keepLines/>
        <w:numPr>
          <w:ilvl w:val="0"/>
          <w:numId w:val="0"/>
        </w:numPr>
        <w:spacing w:beforeLines="0" w:afterLines="0" w:line="576" w:lineRule="exact"/>
        <w:ind w:firstLine="640"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1.公共安全支出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法院</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lang w:val="en-US"/>
        </w:rPr>
        <w:t>（项）:</w:t>
      </w:r>
      <w:r>
        <w:rPr>
          <w:rFonts w:hint="eastAsia" w:ascii="仿宋_GB2312" w:hAnsi="仿宋_GB2312" w:eastAsia="仿宋_GB2312"/>
          <w:color w:val="000000"/>
          <w:kern w:val="2"/>
          <w:sz w:val="32"/>
          <w:szCs w:val="24"/>
          <w:lang w:val="en-US"/>
        </w:rPr>
        <w:t xml:space="preserve"> </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1443.73</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p>
    <w:p>
      <w:pPr>
        <w:keepNext/>
        <w:keepLines/>
        <w:numPr>
          <w:ilvl w:val="0"/>
          <w:numId w:val="0"/>
        </w:numPr>
        <w:spacing w:beforeLines="0" w:afterLines="0" w:line="576" w:lineRule="exact"/>
        <w:ind w:firstLine="640"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2.公共安全支出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法院</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一般行政管理事务</w:t>
      </w:r>
      <w:r>
        <w:rPr>
          <w:rFonts w:hint="eastAsia" w:ascii="仿宋_GB2312" w:hAnsi="仿宋_GB2312" w:eastAsia="仿宋_GB2312"/>
          <w:b/>
          <w:color w:val="000000"/>
          <w:kern w:val="2"/>
          <w:sz w:val="32"/>
          <w:szCs w:val="24"/>
          <w:lang w:val="en-US"/>
        </w:rPr>
        <w:t>（项）:</w:t>
      </w:r>
      <w:r>
        <w:rPr>
          <w:rFonts w:hint="eastAsia" w:ascii="仿宋_GB2312" w:hAnsi="仿宋_GB2312" w:eastAsia="仿宋_GB2312"/>
          <w:color w:val="000000"/>
          <w:kern w:val="2"/>
          <w:sz w:val="32"/>
          <w:szCs w:val="24"/>
          <w:lang w:val="en-US"/>
        </w:rPr>
        <w:t xml:space="preserve"> </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732.48</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p>
    <w:p>
      <w:pPr>
        <w:keepNext/>
        <w:keepLines/>
        <w:numPr>
          <w:ilvl w:val="0"/>
          <w:numId w:val="0"/>
        </w:numPr>
        <w:spacing w:beforeLines="0" w:afterLines="0" w:line="576" w:lineRule="exact"/>
        <w:ind w:firstLine="640" w:firstLineChars="200"/>
        <w:jc w:val="both"/>
        <w:rPr>
          <w:rFonts w:hint="eastAsia" w:ascii="仿宋" w:hAnsi="仿宋" w:eastAsia="仿宋"/>
          <w:color w:val="auto"/>
          <w:kern w:val="2"/>
          <w:sz w:val="32"/>
          <w:szCs w:val="24"/>
          <w:lang w:val="en-US"/>
        </w:rPr>
      </w:pPr>
      <w:r>
        <w:rPr>
          <w:rFonts w:hint="eastAsia" w:ascii="仿宋_GB2312" w:hAnsi="仿宋_GB2312" w:eastAsia="仿宋_GB2312"/>
          <w:b/>
          <w:color w:val="000000"/>
          <w:kern w:val="2"/>
          <w:sz w:val="32"/>
          <w:szCs w:val="24"/>
          <w:lang w:val="en-US" w:eastAsia="zh-CN"/>
        </w:rPr>
        <w:t>3.公共安全支出</w:t>
      </w:r>
      <w:r>
        <w:rPr>
          <w:rFonts w:hint="eastAsia" w:ascii="仿宋_GB2312" w:hAnsi="仿宋_GB2312" w:eastAsia="仿宋_GB2312"/>
          <w:b/>
          <w:color w:val="000000"/>
          <w:kern w:val="2"/>
          <w:sz w:val="32"/>
          <w:szCs w:val="24"/>
          <w:lang w:val="en-US"/>
        </w:rPr>
        <w:t>（类）</w:t>
      </w:r>
      <w:r>
        <w:rPr>
          <w:rFonts w:hint="eastAsia" w:ascii="仿宋_GB2312" w:hAnsi="仿宋_GB2312" w:eastAsia="仿宋_GB2312"/>
          <w:b/>
          <w:color w:val="000000"/>
          <w:kern w:val="2"/>
          <w:sz w:val="32"/>
          <w:szCs w:val="24"/>
          <w:lang w:val="en-US" w:eastAsia="zh-CN"/>
        </w:rPr>
        <w:t>法院</w:t>
      </w:r>
      <w:r>
        <w:rPr>
          <w:rFonts w:hint="eastAsia" w:ascii="仿宋_GB2312" w:hAnsi="仿宋_GB2312" w:eastAsia="仿宋_GB2312"/>
          <w:b/>
          <w:color w:val="000000"/>
          <w:kern w:val="2"/>
          <w:sz w:val="32"/>
          <w:szCs w:val="24"/>
          <w:lang w:val="en-US"/>
        </w:rPr>
        <w:t>（款）</w:t>
      </w:r>
      <w:r>
        <w:rPr>
          <w:rFonts w:hint="eastAsia" w:ascii="仿宋_GB2312" w:hAnsi="仿宋_GB2312" w:eastAsia="仿宋_GB2312"/>
          <w:b/>
          <w:color w:val="000000"/>
          <w:kern w:val="2"/>
          <w:sz w:val="32"/>
          <w:szCs w:val="24"/>
          <w:lang w:val="en-US" w:eastAsia="zh-CN"/>
        </w:rPr>
        <w:t>案件执行</w:t>
      </w:r>
      <w:r>
        <w:rPr>
          <w:rFonts w:hint="eastAsia" w:ascii="仿宋_GB2312" w:hAnsi="仿宋_GB2312" w:eastAsia="仿宋_GB2312"/>
          <w:b/>
          <w:color w:val="000000"/>
          <w:kern w:val="2"/>
          <w:sz w:val="32"/>
          <w:szCs w:val="24"/>
          <w:lang w:val="en-US"/>
        </w:rPr>
        <w:t>（项）:</w:t>
      </w:r>
      <w:r>
        <w:rPr>
          <w:rFonts w:hint="eastAsia" w:ascii="仿宋_GB2312" w:hAnsi="仿宋_GB2312" w:eastAsia="仿宋_GB2312"/>
          <w:color w:val="000000"/>
          <w:kern w:val="2"/>
          <w:sz w:val="32"/>
          <w:szCs w:val="24"/>
          <w:lang w:val="en-US"/>
        </w:rPr>
        <w:t xml:space="preserve"> </w:t>
      </w:r>
      <w:r>
        <w:rPr>
          <w:rFonts w:hint="eastAsia" w:ascii="仿宋" w:hAnsi="仿宋" w:eastAsia="仿宋"/>
          <w:color w:val="auto"/>
          <w:kern w:val="2"/>
          <w:sz w:val="32"/>
          <w:szCs w:val="24"/>
          <w:lang w:val="en-US"/>
        </w:rPr>
        <w:t>支出决算为</w:t>
      </w:r>
      <w:r>
        <w:rPr>
          <w:rFonts w:hint="eastAsia" w:ascii="仿宋" w:hAnsi="仿宋" w:eastAsia="仿宋"/>
          <w:color w:val="auto"/>
          <w:kern w:val="2"/>
          <w:sz w:val="32"/>
          <w:szCs w:val="24"/>
          <w:lang w:val="en-US" w:eastAsia="zh-CN"/>
        </w:rPr>
        <w:t>42.74</w:t>
      </w:r>
      <w:r>
        <w:rPr>
          <w:rFonts w:hint="eastAsia" w:ascii="仿宋" w:hAnsi="仿宋" w:eastAsia="仿宋"/>
          <w:color w:val="auto"/>
          <w:kern w:val="2"/>
          <w:sz w:val="32"/>
          <w:szCs w:val="24"/>
          <w:lang w:val="en-US"/>
        </w:rPr>
        <w:t>万元，完成预算</w:t>
      </w:r>
      <w:r>
        <w:rPr>
          <w:rFonts w:hint="eastAsia" w:ascii="仿宋" w:hAnsi="仿宋" w:eastAsia="仿宋"/>
          <w:color w:val="auto"/>
          <w:kern w:val="2"/>
          <w:sz w:val="32"/>
          <w:szCs w:val="24"/>
          <w:lang w:val="en-US" w:eastAsia="zh-CN"/>
        </w:rPr>
        <w:t>100</w:t>
      </w:r>
      <w:r>
        <w:rPr>
          <w:rFonts w:hint="eastAsia" w:ascii="仿宋" w:hAnsi="仿宋" w:eastAsia="仿宋"/>
          <w:color w:val="auto"/>
          <w:kern w:val="2"/>
          <w:sz w:val="32"/>
          <w:szCs w:val="24"/>
          <w:lang w:val="en-US"/>
        </w:rPr>
        <w:t>%。</w:t>
      </w:r>
    </w:p>
    <w:p>
      <w:pPr>
        <w:spacing w:line="600" w:lineRule="exact"/>
        <w:ind w:firstLine="640" w:firstLineChars="200"/>
        <w:rPr>
          <w:rFonts w:ascii="仿宋" w:hAnsi="仿宋" w:eastAsia="仿宋"/>
          <w:b/>
          <w:color w:val="000000" w:themeColor="text1"/>
          <w:sz w:val="32"/>
          <w:szCs w:val="32"/>
          <w14:textFill>
            <w14:solidFill>
              <w14:schemeClr w14:val="tx1"/>
            </w14:solidFill>
          </w14:textFill>
        </w:rPr>
      </w:pPr>
      <w:r>
        <w:rPr>
          <w:rStyle w:val="18"/>
          <w:rFonts w:hint="eastAsia" w:ascii="仿宋" w:hAnsi="仿宋" w:eastAsia="仿宋"/>
          <w:bCs/>
          <w:sz w:val="32"/>
          <w:szCs w:val="32"/>
          <w:lang w:val="en-US" w:eastAsia="zh-CN"/>
        </w:rPr>
        <w:t>4.</w:t>
      </w:r>
      <w:r>
        <w:rPr>
          <w:rStyle w:val="18"/>
          <w:rFonts w:hint="eastAsia" w:ascii="仿宋" w:hAnsi="仿宋" w:eastAsia="仿宋"/>
          <w:bCs/>
          <w:color w:val="auto"/>
          <w:sz w:val="32"/>
          <w:szCs w:val="32"/>
        </w:rPr>
        <w:t>社会保障和就业（类）</w:t>
      </w:r>
      <w:r>
        <w:rPr>
          <w:rStyle w:val="18"/>
          <w:rFonts w:hint="eastAsia" w:ascii="仿宋" w:hAnsi="仿宋" w:eastAsia="仿宋"/>
          <w:bCs/>
          <w:color w:val="000000" w:themeColor="text1"/>
          <w:sz w:val="32"/>
          <w:szCs w:val="32"/>
          <w14:textFill>
            <w14:solidFill>
              <w14:schemeClr w14:val="tx1"/>
            </w14:solidFill>
          </w14:textFill>
        </w:rPr>
        <w:t>行政事业单位养老支出（款）机关事业单位基本养老保险缴费支出（项）</w:t>
      </w:r>
      <w:r>
        <w:rPr>
          <w:rStyle w:val="18"/>
          <w:rFonts w:ascii="仿宋" w:hAnsi="仿宋" w:eastAsia="仿宋"/>
          <w:bCs/>
          <w:color w:val="000000" w:themeColor="text1"/>
          <w:sz w:val="32"/>
          <w:szCs w:val="32"/>
          <w14:textFill>
            <w14:solidFill>
              <w14:schemeClr w14:val="tx1"/>
            </w14:solidFill>
          </w14:textFill>
        </w:rPr>
        <w:t>:</w:t>
      </w:r>
      <w:r>
        <w:rPr>
          <w:rStyle w:val="18"/>
          <w:rFonts w:ascii="仿宋" w:hAnsi="仿宋" w:eastAsia="仿宋"/>
          <w:b w:val="0"/>
          <w:bCs/>
          <w:color w:val="000000" w:themeColor="text1"/>
          <w:sz w:val="32"/>
          <w:szCs w:val="32"/>
          <w14:textFill>
            <w14:solidFill>
              <w14:schemeClr w14:val="tx1"/>
            </w14:solidFill>
          </w14:textFill>
        </w:rPr>
        <w:t xml:space="preserve"> </w:t>
      </w:r>
      <w:r>
        <w:rPr>
          <w:rStyle w:val="18"/>
          <w:rFonts w:hint="eastAsia" w:ascii="仿宋" w:hAnsi="仿宋" w:eastAsia="仿宋"/>
          <w:b w:val="0"/>
          <w:bCs/>
          <w:color w:val="000000" w:themeColor="text1"/>
          <w:sz w:val="32"/>
          <w:szCs w:val="32"/>
          <w14:textFill>
            <w14:solidFill>
              <w14:schemeClr w14:val="tx1"/>
            </w14:solidFill>
          </w14:textFill>
        </w:rPr>
        <w:t>支出决算为</w:t>
      </w:r>
      <w:r>
        <w:rPr>
          <w:rStyle w:val="18"/>
          <w:rFonts w:hint="eastAsia" w:ascii="仿宋" w:hAnsi="仿宋" w:eastAsia="仿宋"/>
          <w:b w:val="0"/>
          <w:bCs/>
          <w:color w:val="000000" w:themeColor="text1"/>
          <w:sz w:val="32"/>
          <w:szCs w:val="32"/>
          <w:lang w:val="en-US" w:eastAsia="zh-CN"/>
          <w14:textFill>
            <w14:solidFill>
              <w14:schemeClr w14:val="tx1"/>
            </w14:solidFill>
          </w14:textFill>
        </w:rPr>
        <w:t>102.53</w:t>
      </w:r>
      <w:r>
        <w:rPr>
          <w:rStyle w:val="18"/>
          <w:rFonts w:hint="eastAsia" w:ascii="仿宋" w:hAnsi="仿宋" w:eastAsia="仿宋"/>
          <w:b w:val="0"/>
          <w:bCs/>
          <w:color w:val="000000" w:themeColor="text1"/>
          <w:sz w:val="32"/>
          <w:szCs w:val="32"/>
          <w14:textFill>
            <w14:solidFill>
              <w14:schemeClr w14:val="tx1"/>
            </w14:solidFill>
          </w14:textFill>
        </w:rPr>
        <w:t>万元，完成预算100</w:t>
      </w:r>
      <w:r>
        <w:rPr>
          <w:rStyle w:val="18"/>
          <w:rFonts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w:t>
      </w:r>
    </w:p>
    <w:p>
      <w:pPr>
        <w:spacing w:line="600" w:lineRule="exact"/>
        <w:ind w:firstLine="640" w:firstLineChars="200"/>
        <w:rPr>
          <w:rStyle w:val="18"/>
          <w:rFonts w:ascii="仿宋" w:hAnsi="仿宋" w:eastAsia="仿宋"/>
          <w:b w:val="0"/>
          <w:bCs/>
          <w:color w:val="000000" w:themeColor="text1"/>
          <w:sz w:val="32"/>
          <w:szCs w:val="32"/>
          <w14:textFill>
            <w14:solidFill>
              <w14:schemeClr w14:val="tx1"/>
            </w14:solidFill>
          </w14:textFill>
        </w:rPr>
      </w:pPr>
      <w:r>
        <w:rPr>
          <w:rStyle w:val="18"/>
          <w:rFonts w:hint="eastAsia" w:ascii="仿宋" w:hAnsi="仿宋" w:eastAsia="仿宋"/>
          <w:bCs/>
          <w:color w:val="000000" w:themeColor="text1"/>
          <w:sz w:val="32"/>
          <w:szCs w:val="32"/>
          <w:lang w:val="en-US" w:eastAsia="zh-CN"/>
          <w14:textFill>
            <w14:solidFill>
              <w14:schemeClr w14:val="tx1"/>
            </w14:solidFill>
          </w14:textFill>
        </w:rPr>
        <w:t>5.</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themeColor="text1"/>
          <w:sz w:val="32"/>
          <w:szCs w:val="32"/>
          <w14:textFill>
            <w14:solidFill>
              <w14:schemeClr w14:val="tx1"/>
            </w14:solidFill>
          </w14:textFill>
        </w:rPr>
        <w:t>（类）行政事业单位医疗（款）行政单位医疗（项）</w:t>
      </w:r>
      <w:r>
        <w:rPr>
          <w:rStyle w:val="18"/>
          <w:rFonts w:ascii="仿宋" w:hAnsi="仿宋" w:eastAsia="仿宋"/>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支出决算为</w:t>
      </w:r>
      <w:r>
        <w:rPr>
          <w:rStyle w:val="18"/>
          <w:rFonts w:hint="eastAsia" w:ascii="仿宋" w:hAnsi="仿宋" w:eastAsia="仿宋"/>
          <w:b w:val="0"/>
          <w:bCs/>
          <w:color w:val="000000" w:themeColor="text1"/>
          <w:sz w:val="32"/>
          <w:szCs w:val="32"/>
          <w:lang w:val="en-US" w:eastAsia="zh-CN"/>
          <w14:textFill>
            <w14:solidFill>
              <w14:schemeClr w14:val="tx1"/>
            </w14:solidFill>
          </w14:textFill>
        </w:rPr>
        <w:t>43.23</w:t>
      </w:r>
      <w:r>
        <w:rPr>
          <w:rStyle w:val="18"/>
          <w:rFonts w:hint="eastAsia" w:ascii="仿宋" w:hAnsi="仿宋" w:eastAsia="仿宋"/>
          <w:b w:val="0"/>
          <w:bCs/>
          <w:color w:val="000000" w:themeColor="text1"/>
          <w:sz w:val="32"/>
          <w:szCs w:val="32"/>
          <w14:textFill>
            <w14:solidFill>
              <w14:schemeClr w14:val="tx1"/>
            </w14:solidFill>
          </w14:textFill>
        </w:rPr>
        <w:t>万元，完成预算100</w:t>
      </w:r>
      <w:r>
        <w:rPr>
          <w:rStyle w:val="18"/>
          <w:rFonts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6.</w:t>
      </w:r>
      <w:r>
        <w:rPr>
          <w:rFonts w:hint="eastAsia" w:ascii="仿宋" w:hAnsi="仿宋" w:eastAsia="仿宋"/>
          <w:b/>
          <w:bCs/>
          <w:color w:val="000000" w:themeColor="text1"/>
          <w:sz w:val="32"/>
          <w:szCs w:val="32"/>
          <w14:textFill>
            <w14:solidFill>
              <w14:schemeClr w14:val="tx1"/>
            </w14:solidFill>
          </w14:textFill>
        </w:rPr>
        <w:t>住房保障</w:t>
      </w:r>
      <w:r>
        <w:rPr>
          <w:rStyle w:val="18"/>
          <w:rFonts w:hint="eastAsia" w:ascii="仿宋" w:hAnsi="仿宋" w:eastAsia="仿宋"/>
          <w:bCs/>
          <w:color w:val="000000" w:themeColor="text1"/>
          <w:sz w:val="32"/>
          <w:szCs w:val="32"/>
          <w14:textFill>
            <w14:solidFill>
              <w14:schemeClr w14:val="tx1"/>
            </w14:solidFill>
          </w14:textFill>
        </w:rPr>
        <w:t>（类）住房改革支出（款）住房公积金（项）</w:t>
      </w:r>
      <w:r>
        <w:rPr>
          <w:rStyle w:val="18"/>
          <w:rFonts w:ascii="仿宋" w:hAnsi="仿宋" w:eastAsia="仿宋"/>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支出决算为</w:t>
      </w:r>
      <w:r>
        <w:rPr>
          <w:rStyle w:val="18"/>
          <w:rFonts w:hint="eastAsia" w:ascii="仿宋" w:hAnsi="仿宋" w:eastAsia="仿宋"/>
          <w:b w:val="0"/>
          <w:bCs/>
          <w:color w:val="000000" w:themeColor="text1"/>
          <w:sz w:val="32"/>
          <w:szCs w:val="32"/>
          <w:lang w:val="en-US" w:eastAsia="zh-CN"/>
          <w14:textFill>
            <w14:solidFill>
              <w14:schemeClr w14:val="tx1"/>
            </w14:solidFill>
          </w14:textFill>
        </w:rPr>
        <w:t>91.15</w:t>
      </w:r>
      <w:r>
        <w:rPr>
          <w:rStyle w:val="18"/>
          <w:rFonts w:hint="eastAsia" w:ascii="仿宋" w:hAnsi="仿宋" w:eastAsia="仿宋"/>
          <w:b w:val="0"/>
          <w:bCs/>
          <w:color w:val="000000" w:themeColor="text1"/>
          <w:sz w:val="32"/>
          <w:szCs w:val="32"/>
          <w14:textFill>
            <w14:solidFill>
              <w14:schemeClr w14:val="tx1"/>
            </w14:solidFill>
          </w14:textFill>
        </w:rPr>
        <w:t>万元，完成预算100</w:t>
      </w:r>
      <w:r>
        <w:rPr>
          <w:rStyle w:val="18"/>
          <w:rFonts w:ascii="仿宋" w:hAnsi="仿宋" w:eastAsia="仿宋"/>
          <w:b w:val="0"/>
          <w:bCs/>
          <w:color w:val="000000" w:themeColor="text1"/>
          <w:sz w:val="32"/>
          <w:szCs w:val="32"/>
          <w14:textFill>
            <w14:solidFill>
              <w14:schemeClr w14:val="tx1"/>
            </w14:solidFill>
          </w14:textFill>
        </w:rPr>
        <w:t>%</w:t>
      </w:r>
      <w:r>
        <w:rPr>
          <w:rStyle w:val="18"/>
          <w:rFonts w:hint="eastAsia" w:ascii="仿宋" w:hAnsi="仿宋" w:eastAsia="仿宋"/>
          <w:b w:val="0"/>
          <w:bCs/>
          <w:color w:val="000000" w:themeColor="text1"/>
          <w:sz w:val="32"/>
          <w:szCs w:val="32"/>
          <w14:textFill>
            <w14:solidFill>
              <w14:schemeClr w14:val="tx1"/>
            </w14:solidFill>
          </w14:textFill>
        </w:rPr>
        <w:t>。</w:t>
      </w:r>
    </w:p>
    <w:p>
      <w:pPr>
        <w:tabs>
          <w:tab w:val="right" w:pos="8306"/>
        </w:tabs>
        <w:spacing w:line="600" w:lineRule="exact"/>
        <w:ind w:firstLine="640"/>
        <w:outlineLvl w:val="1"/>
        <w:rPr>
          <w:rStyle w:val="30"/>
          <w:color w:val="auto"/>
          <w:highlight w:val="none"/>
        </w:rPr>
      </w:pPr>
      <w:bookmarkStart w:id="31" w:name="_Toc15396608"/>
      <w:bookmarkStart w:id="32"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1"/>
      <w:bookmarkEnd w:id="32"/>
      <w:r>
        <w:rPr>
          <w:rStyle w:val="30"/>
          <w:rFonts w:ascii="黑体" w:hAnsi="黑体" w:eastAsia="黑体"/>
          <w:b w:val="0"/>
          <w:color w:val="auto"/>
          <w:highlight w:val="none"/>
        </w:rPr>
        <w:tab/>
      </w:r>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2022年一般公共预算财政拨款基本支出1,680.64万元，其中：</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1,344.2</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基本工资、津贴补贴、奖金、机关事业单位基本养老保险缴费、</w:t>
      </w:r>
      <w:r>
        <w:rPr>
          <w:rFonts w:hint="default" w:ascii="仿宋" w:hAnsi="仿宋" w:eastAsia="仿宋"/>
          <w:color w:val="auto"/>
          <w:kern w:val="2"/>
          <w:sz w:val="32"/>
          <w:szCs w:val="24"/>
          <w:woUserID w:val="1"/>
        </w:rPr>
        <w:t>职工基本医疗保险缴费、</w:t>
      </w:r>
      <w:r>
        <w:rPr>
          <w:rFonts w:hint="eastAsia" w:ascii="仿宋" w:hAnsi="仿宋" w:eastAsia="仿宋"/>
          <w:color w:val="auto"/>
          <w:kern w:val="2"/>
          <w:sz w:val="32"/>
          <w:szCs w:val="24"/>
          <w:lang w:val="en-US"/>
        </w:rPr>
        <w:t>其他社会保障缴费、</w:t>
      </w:r>
      <w:r>
        <w:rPr>
          <w:rFonts w:hint="eastAsia" w:ascii="仿宋" w:hAnsi="仿宋" w:eastAsia="仿宋"/>
          <w:color w:val="auto"/>
          <w:kern w:val="2"/>
          <w:sz w:val="32"/>
          <w:szCs w:val="24"/>
          <w:lang w:val="en-US"/>
          <w:woUserID w:val="1"/>
        </w:rPr>
        <w:t>住房公积金</w:t>
      </w:r>
      <w:r>
        <w:rPr>
          <w:rFonts w:hint="default" w:ascii="仿宋" w:hAnsi="仿宋" w:eastAsia="仿宋"/>
          <w:color w:val="auto"/>
          <w:kern w:val="2"/>
          <w:sz w:val="32"/>
          <w:szCs w:val="24"/>
          <w:woUserID w:val="1"/>
        </w:rPr>
        <w:t>、</w:t>
      </w:r>
      <w:r>
        <w:rPr>
          <w:rFonts w:hint="eastAsia" w:ascii="仿宋" w:hAnsi="仿宋" w:eastAsia="仿宋"/>
          <w:color w:val="auto"/>
          <w:kern w:val="2"/>
          <w:sz w:val="32"/>
          <w:szCs w:val="24"/>
          <w:lang w:val="en-US"/>
        </w:rPr>
        <w:t>其他工资福利支出、生活补助、奖励金等</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336.39万元，主要包括：</w:t>
      </w:r>
      <w:r>
        <w:rPr>
          <w:rFonts w:hint="eastAsia" w:ascii="仿宋" w:hAnsi="仿宋" w:eastAsia="仿宋"/>
          <w:color w:val="auto"/>
          <w:kern w:val="2"/>
          <w:sz w:val="32"/>
          <w:szCs w:val="24"/>
          <w:lang w:val="en-US"/>
        </w:rPr>
        <w:t>办公费、印刷费、水费、电费、邮电费、物业管理费、差旅费、维修（护）费、租赁费、会议费、培训费、公务接待费、</w:t>
      </w:r>
      <w:r>
        <w:rPr>
          <w:rFonts w:hint="eastAsia" w:ascii="仿宋" w:hAnsi="仿宋" w:eastAsia="仿宋"/>
          <w:color w:val="auto"/>
          <w:kern w:val="2"/>
          <w:sz w:val="32"/>
          <w:szCs w:val="24"/>
          <w:lang w:val="en-US" w:eastAsia="zh-CN"/>
        </w:rPr>
        <w:t>被装购置费、</w:t>
      </w:r>
      <w:r>
        <w:rPr>
          <w:rFonts w:hint="eastAsia" w:ascii="仿宋" w:hAnsi="仿宋" w:eastAsia="仿宋"/>
          <w:color w:val="auto"/>
          <w:kern w:val="2"/>
          <w:sz w:val="32"/>
          <w:szCs w:val="24"/>
          <w:lang w:val="en-US"/>
        </w:rPr>
        <w:t>劳务费、工会经费、福利费、公务用车运行维护费、其他交通费</w:t>
      </w:r>
      <w:r>
        <w:rPr>
          <w:rFonts w:hint="default" w:ascii="仿宋" w:hAnsi="仿宋" w:eastAsia="仿宋"/>
          <w:color w:val="auto"/>
          <w:kern w:val="2"/>
          <w:sz w:val="32"/>
          <w:szCs w:val="24"/>
          <w:woUserID w:val="1"/>
        </w:rPr>
        <w:t>用</w:t>
      </w:r>
      <w:r>
        <w:rPr>
          <w:rFonts w:hint="eastAsia" w:ascii="仿宋" w:hAnsi="仿宋" w:eastAsia="仿宋"/>
          <w:color w:val="auto"/>
          <w:kern w:val="2"/>
          <w:sz w:val="32"/>
          <w:szCs w:val="24"/>
          <w:lang w:val="en-US"/>
        </w:rPr>
        <w:t>、其他商品和服务支出、办公设备购置等</w:t>
      </w:r>
      <w:r>
        <w:rPr>
          <w:rFonts w:hint="eastAsia" w:ascii="仿宋_GB2312" w:hAnsi="仿宋_GB2312" w:eastAsia="仿宋_GB2312"/>
          <w:color w:val="000000"/>
          <w:kern w:val="2"/>
          <w:sz w:val="32"/>
          <w:szCs w:val="24"/>
          <w:lang w:val="zh-CN"/>
        </w:rPr>
        <w:t>。</w:t>
      </w:r>
    </w:p>
    <w:p>
      <w:pPr>
        <w:spacing w:line="600" w:lineRule="exact"/>
        <w:ind w:firstLine="640" w:firstLineChars="200"/>
        <w:outlineLvl w:val="1"/>
        <w:rPr>
          <w:rStyle w:val="30"/>
          <w:rFonts w:ascii="黑体" w:hAnsi="黑体" w:eastAsia="黑体"/>
          <w:b w:val="0"/>
          <w:color w:val="auto"/>
          <w:highlight w:val="none"/>
        </w:rPr>
      </w:pPr>
      <w:bookmarkStart w:id="33" w:name="_Toc15377215"/>
      <w:bookmarkStart w:id="34"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3"/>
      <w:bookmarkEnd w:id="34"/>
    </w:p>
    <w:p>
      <w:pPr>
        <w:spacing w:line="600" w:lineRule="exact"/>
        <w:ind w:firstLine="640"/>
        <w:outlineLvl w:val="2"/>
        <w:rPr>
          <w:rFonts w:ascii="仿宋" w:hAnsi="仿宋" w:eastAsia="仿宋"/>
          <w:b/>
          <w:color w:val="auto"/>
          <w:sz w:val="32"/>
          <w:szCs w:val="32"/>
          <w:highlight w:val="none"/>
        </w:rPr>
      </w:pPr>
      <w:bookmarkStart w:id="35" w:name="_Toc15377216"/>
      <w:r>
        <w:rPr>
          <w:rFonts w:hint="eastAsia" w:ascii="仿宋" w:hAnsi="仿宋" w:eastAsia="仿宋"/>
          <w:b/>
          <w:color w:val="auto"/>
          <w:sz w:val="32"/>
          <w:szCs w:val="32"/>
          <w:highlight w:val="none"/>
        </w:rPr>
        <w:t>（一）“三公”经费财政拨款支出决算总体情况说明</w:t>
      </w:r>
      <w:bookmarkEnd w:id="35"/>
    </w:p>
    <w:p>
      <w:pPr>
        <w:spacing w:line="600" w:lineRule="exact"/>
        <w:ind w:firstLine="640"/>
        <w:rPr>
          <w:rFonts w:ascii="仿宋" w:hAnsi="仿宋" w:eastAsia="仿宋"/>
          <w:color w:val="auto"/>
          <w:sz w:val="32"/>
          <w:szCs w:val="32"/>
          <w:highlight w:val="none"/>
        </w:rPr>
      </w:pPr>
      <w:r>
        <w:rPr>
          <w:rFonts w:hint="eastAsia" w:ascii="仿宋_GB2312" w:hAnsi="仿宋_GB2312" w:eastAsia="仿宋_GB2312"/>
          <w:color w:val="000000"/>
          <w:kern w:val="2"/>
          <w:sz w:val="32"/>
          <w:szCs w:val="24"/>
          <w:lang w:val="zh-CN"/>
        </w:rPr>
        <w:t>2022年“三公”经费财政拨款支出决算为98.14万元，完成预算100%；较上年增加18.71万元，增长23.6%。决算</w:t>
      </w:r>
      <w:r>
        <w:rPr>
          <w:rFonts w:hint="default" w:ascii="仿宋_GB2312" w:hAnsi="仿宋_GB2312" w:eastAsia="仿宋_GB2312"/>
          <w:color w:val="000000"/>
          <w:kern w:val="2"/>
          <w:sz w:val="32"/>
          <w:szCs w:val="24"/>
          <w:woUserID w:val="1"/>
        </w:rPr>
        <w:t>数</w:t>
      </w:r>
      <w:r>
        <w:rPr>
          <w:rFonts w:hint="eastAsia" w:ascii="仿宋_GB2312" w:hAnsi="仿宋_GB2312" w:eastAsia="仿宋_GB2312"/>
          <w:color w:val="000000"/>
          <w:kern w:val="2"/>
          <w:sz w:val="32"/>
          <w:szCs w:val="24"/>
          <w:highlight w:val="white"/>
          <w:lang w:val="en-US"/>
        </w:rPr>
        <w:t>与预算数持平</w:t>
      </w:r>
      <w:r>
        <w:rPr>
          <w:rFonts w:hint="eastAsia" w:ascii="仿宋" w:hAnsi="仿宋" w:eastAsia="仿宋"/>
          <w:color w:val="auto"/>
          <w:sz w:val="32"/>
          <w:szCs w:val="32"/>
          <w:highlight w:val="none"/>
        </w:rPr>
        <w:t>。</w:t>
      </w:r>
    </w:p>
    <w:p>
      <w:pPr>
        <w:numPr>
          <w:ilvl w:val="0"/>
          <w:numId w:val="3"/>
        </w:numPr>
        <w:spacing w:line="600" w:lineRule="exact"/>
        <w:ind w:left="0" w:leftChars="0" w:firstLine="640" w:firstLineChars="200"/>
        <w:outlineLvl w:val="2"/>
        <w:rPr>
          <w:rFonts w:hint="eastAsia" w:ascii="仿宋" w:hAnsi="仿宋" w:eastAsia="仿宋"/>
          <w:b/>
          <w:color w:val="auto"/>
          <w:sz w:val="32"/>
          <w:szCs w:val="32"/>
          <w:highlight w:val="none"/>
        </w:rPr>
      </w:pPr>
      <w:bookmarkStart w:id="36" w:name="_Toc15377217"/>
      <w:r>
        <w:rPr>
          <w:rFonts w:hint="eastAsia" w:ascii="仿宋" w:hAnsi="仿宋" w:eastAsia="仿宋"/>
          <w:b/>
          <w:color w:val="auto"/>
          <w:sz w:val="32"/>
          <w:szCs w:val="32"/>
          <w:highlight w:val="none"/>
        </w:rPr>
        <w:t>“三公”经费财政拨款支出决算具体情况说明</w:t>
      </w:r>
      <w:bookmarkEnd w:id="36"/>
    </w:p>
    <w:p>
      <w:pPr>
        <w:numPr>
          <w:ilvl w:val="0"/>
          <w:numId w:val="0"/>
        </w:numPr>
        <w:spacing w:line="600" w:lineRule="exact"/>
        <w:ind w:leftChars="200" w:firstLine="640" w:firstLineChars="200"/>
        <w:outlineLvl w:val="2"/>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2022年“三公”经费财政拨款支出决算中，因公出国（境）费支出决算0万元，占0%；公务用车购置及运行维护费支出决算90.14万元，占91.8%；公务接待费支出决算8万元，占8.2%。具体情况如下：</w:t>
      </w:r>
    </w:p>
    <w:p>
      <w:pPr>
        <w:pStyle w:val="8"/>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drawing>
          <wp:inline distT="0" distB="0" distL="114300" distR="114300">
            <wp:extent cx="4819650" cy="2676525"/>
            <wp:effectExtent l="0" t="0" r="0" b="9525"/>
            <wp:docPr id="1" name="图片 1" descr="图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七"/>
                    <pic:cNvPicPr>
                      <a:picLocks noChangeAspect="1"/>
                    </pic:cNvPicPr>
                  </pic:nvPicPr>
                  <pic:blipFill>
                    <a:blip r:embed="rId16"/>
                    <a:stretch>
                      <a:fillRect/>
                    </a:stretch>
                  </pic:blipFill>
                  <pic:spPr>
                    <a:xfrm>
                      <a:off x="0" y="0"/>
                      <a:ext cx="4819650" cy="2676525"/>
                    </a:xfrm>
                    <a:prstGeom prst="rect">
                      <a:avLst/>
                    </a:prstGeom>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5"/>
        <w:rPr>
          <w:color w:val="000000" w:themeColor="text1"/>
          <w14:textFill>
            <w14:solidFill>
              <w14:schemeClr w14:val="tx1"/>
            </w14:solidFill>
          </w14:textFill>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sz w:val="32"/>
          <w:szCs w:val="32"/>
        </w:rPr>
        <w:t>年初未安排预算。</w:t>
      </w:r>
      <w:r>
        <w:rPr>
          <w:rFonts w:hint="eastAsia" w:ascii="仿宋_GB2312" w:eastAsia="仿宋_GB2312"/>
          <w:color w:val="000000" w:themeColor="text1"/>
          <w:sz w:val="32"/>
          <w:szCs w:val="32"/>
          <w14:textFill>
            <w14:solidFill>
              <w14:schemeClr w14:val="tx1"/>
            </w14:solidFill>
          </w14:textFill>
        </w:rPr>
        <w:t>因公出国（境）经费支出决算较2021年无变化。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olor w:val="000000"/>
          <w:kern w:val="2"/>
          <w:sz w:val="32"/>
          <w:szCs w:val="24"/>
          <w:lang w:val="zh-CN"/>
        </w:rPr>
        <w:t>90.14万元，完成预算100%。公务用车购置及运行维护费支出决算比2021年增加19.9万元，增长28.3%。主要原因是</w:t>
      </w:r>
      <w:r>
        <w:rPr>
          <w:rFonts w:hint="eastAsia" w:ascii="仿宋_GB2312" w:hAnsi="仿宋_GB2312" w:eastAsia="仿宋_GB2312"/>
          <w:color w:val="000000"/>
          <w:kern w:val="2"/>
          <w:sz w:val="32"/>
          <w:szCs w:val="24"/>
          <w:lang w:val="en-US" w:eastAsia="zh-CN"/>
        </w:rPr>
        <w:t>2022年案件数量增加、燃油费上涨导致公务用车金额增加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hAnsi="仿宋_GB2312" w:eastAsia="仿宋_GB2312"/>
          <w:b/>
          <w:color w:val="000000"/>
          <w:kern w:val="2"/>
          <w:sz w:val="32"/>
          <w:szCs w:val="24"/>
          <w:lang w:val="zh-CN"/>
        </w:rPr>
        <w:t>公务用车购置费</w:t>
      </w:r>
      <w:r>
        <w:rPr>
          <w:rFonts w:hint="eastAsia" w:ascii="仿宋_GB2312" w:hAnsi="仿宋_GB2312" w:eastAsia="仿宋_GB2312"/>
          <w:color w:val="000000"/>
          <w:kern w:val="2"/>
          <w:sz w:val="32"/>
          <w:szCs w:val="24"/>
          <w:lang w:val="zh-CN"/>
        </w:rPr>
        <w:t>支出2.67万元。全年按规定更新购置公务用车2辆</w:t>
      </w:r>
      <w:r>
        <w:rPr>
          <w:rFonts w:hint="eastAsia" w:ascii="仿宋_GB2312" w:eastAsia="仿宋_GB2312"/>
          <w:color w:val="auto"/>
          <w:sz w:val="32"/>
          <w:szCs w:val="32"/>
          <w:highlight w:val="none"/>
        </w:rPr>
        <w:t>，其中：轿车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2.67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。（实际</w:t>
      </w:r>
      <w:r>
        <w:rPr>
          <w:rFonts w:hint="eastAsia" w:ascii="仿宋_GB2312" w:eastAsia="仿宋_GB2312"/>
          <w:color w:val="auto"/>
          <w:sz w:val="32"/>
          <w:szCs w:val="32"/>
          <w:highlight w:val="none"/>
          <w:lang w:val="en-US" w:eastAsia="zh-CN"/>
        </w:rPr>
        <w:t>2车共花费39.36万，另外36.69万元是非同级财政拨款，未统计进三公经费中。）</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保障我院审判、执行及行政管理工作的正常运行</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，商务车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，越野车</w:t>
      </w:r>
      <w:r>
        <w:rPr>
          <w:rFonts w:hint="eastAsia" w:ascii="仿宋_GB2312" w:eastAsia="仿宋_GB2312"/>
          <w:color w:val="auto"/>
          <w:sz w:val="32"/>
          <w:szCs w:val="32"/>
          <w:highlight w:val="none"/>
          <w:lang w:val="en-US" w:eastAsia="zh-CN"/>
        </w:rPr>
        <w:t>2辆</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sz w:val="32"/>
          <w:szCs w:val="32"/>
        </w:rPr>
      </w:pPr>
      <w:r>
        <w:rPr>
          <w:rFonts w:hint="eastAsia" w:ascii="仿宋_GB2312" w:hAnsi="仿宋_GB2312" w:eastAsia="仿宋_GB2312"/>
          <w:b/>
          <w:color w:val="000000"/>
          <w:kern w:val="2"/>
          <w:sz w:val="32"/>
          <w:szCs w:val="24"/>
          <w:lang w:val="zh-CN"/>
        </w:rPr>
        <w:t>公务用车运行维护费</w:t>
      </w:r>
      <w:r>
        <w:rPr>
          <w:rFonts w:hint="eastAsia" w:ascii="仿宋_GB2312" w:hAnsi="仿宋_GB2312" w:eastAsia="仿宋_GB2312"/>
          <w:color w:val="000000"/>
          <w:kern w:val="2"/>
          <w:sz w:val="32"/>
          <w:szCs w:val="24"/>
          <w:lang w:val="zh-CN"/>
        </w:rPr>
        <w:t>支出87.47万元。</w:t>
      </w:r>
      <w:r>
        <w:rPr>
          <w:rFonts w:hint="eastAsia" w:ascii="仿宋_GB2312" w:eastAsia="仿宋_GB2312"/>
          <w:sz w:val="32"/>
          <w:szCs w:val="32"/>
        </w:rPr>
        <w:t>主要用于我院审判执行等所需的公务用车燃料费、维修费、过路过桥费、保险费等支出。</w:t>
      </w:r>
    </w:p>
    <w:p>
      <w:pPr>
        <w:spacing w:line="600" w:lineRule="exact"/>
        <w:ind w:firstLine="640"/>
        <w:rPr>
          <w:rFonts w:hint="eastAsia" w:ascii="仿宋_GB2312" w:hAnsi="仿宋_GB2312" w:eastAsia="仿宋_GB2312"/>
          <w:color w:val="000000"/>
          <w:kern w:val="2"/>
          <w:sz w:val="32"/>
          <w:szCs w:val="24"/>
          <w:lang w:val="en-US" w:eastAsia="zh-CN"/>
        </w:rPr>
      </w:pPr>
      <w:r>
        <w:rPr>
          <w:rFonts w:ascii="仿宋_GB2312" w:eastAsia="仿宋_GB2312"/>
          <w:b/>
          <w:color w:val="auto"/>
          <w:sz w:val="32"/>
          <w:szCs w:val="32"/>
          <w:highlight w:val="none"/>
        </w:rPr>
        <w:t>3.</w:t>
      </w:r>
      <w:r>
        <w:rPr>
          <w:rFonts w:hint="eastAsia" w:ascii="仿宋_GB2312" w:hAnsi="仿宋_GB2312" w:eastAsia="仿宋_GB2312"/>
          <w:b/>
          <w:color w:val="000000"/>
          <w:kern w:val="2"/>
          <w:sz w:val="32"/>
          <w:szCs w:val="24"/>
          <w:lang w:val="zh-CN"/>
        </w:rPr>
        <w:t>公务接待费</w:t>
      </w:r>
      <w:r>
        <w:rPr>
          <w:rFonts w:hint="eastAsia" w:ascii="仿宋_GB2312" w:hAnsi="仿宋_GB2312" w:eastAsia="仿宋_GB2312"/>
          <w:color w:val="000000"/>
          <w:kern w:val="2"/>
          <w:sz w:val="32"/>
          <w:szCs w:val="24"/>
          <w:lang w:val="zh-CN"/>
        </w:rPr>
        <w:t>支出8万元，完成预算100%。公务接待费支出决算比2021年</w:t>
      </w:r>
      <w:r>
        <w:rPr>
          <w:rFonts w:hint="eastAsia" w:ascii="仿宋_GB2312" w:hAnsi="仿宋_GB2312" w:eastAsia="仿宋_GB2312"/>
          <w:color w:val="000000" w:themeColor="text1"/>
          <w:kern w:val="2"/>
          <w:sz w:val="32"/>
          <w:szCs w:val="24"/>
          <w:lang w:val="zh-CN"/>
          <w14:textFill>
            <w14:solidFill>
              <w14:schemeClr w14:val="tx1"/>
            </w14:solidFill>
          </w14:textFill>
        </w:rPr>
        <w:t>减少1.19万元，下降12.9%。主要原因是</w:t>
      </w:r>
      <w:r>
        <w:rPr>
          <w:rFonts w:hint="eastAsia" w:ascii="仿宋_GB2312" w:eastAsia="仿宋_GB2312"/>
          <w:color w:val="000000" w:themeColor="text1"/>
          <w:sz w:val="32"/>
          <w:szCs w:val="32"/>
          <w14:textFill>
            <w14:solidFill>
              <w14:schemeClr w14:val="tx1"/>
            </w14:solidFill>
          </w14:textFill>
        </w:rPr>
        <w:t>我院压缩公务接待，落实过紧日子要求、大多数接待</w:t>
      </w:r>
      <w:r>
        <w:rPr>
          <w:rFonts w:hint="eastAsia" w:ascii="仿宋_GB2312" w:eastAsia="仿宋_GB2312"/>
          <w:sz w:val="32"/>
          <w:szCs w:val="32"/>
        </w:rPr>
        <w:t>在伙食团，节约经费。</w:t>
      </w:r>
      <w:r>
        <w:rPr>
          <w:rFonts w:hint="eastAsia" w:ascii="仿宋_GB2312" w:hAnsi="仿宋_GB2312" w:eastAsia="仿宋_GB2312"/>
          <w:color w:val="000000"/>
          <w:kern w:val="2"/>
          <w:sz w:val="32"/>
          <w:szCs w:val="24"/>
          <w:lang w:val="zh-CN"/>
        </w:rPr>
        <w:t>其中：用餐费</w:t>
      </w:r>
      <w:r>
        <w:rPr>
          <w:rFonts w:hint="eastAsia" w:ascii="仿宋_GB2312" w:hAnsi="仿宋_GB2312" w:eastAsia="仿宋_GB2312"/>
          <w:color w:val="000000"/>
          <w:kern w:val="2"/>
          <w:sz w:val="32"/>
          <w:szCs w:val="24"/>
          <w:lang w:val="en-US" w:eastAsia="zh-CN"/>
        </w:rPr>
        <w:t>8万元。</w:t>
      </w:r>
    </w:p>
    <w:p>
      <w:pPr>
        <w:keepNext/>
        <w:keepLines/>
        <w:spacing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zh-CN"/>
        </w:rPr>
        <w:t>国内公务接待</w:t>
      </w:r>
      <w:r>
        <w:rPr>
          <w:rFonts w:hint="eastAsia" w:ascii="仿宋_GB2312" w:hAnsi="仿宋_GB2312" w:eastAsia="仿宋_GB2312"/>
          <w:color w:val="000000"/>
          <w:kern w:val="2"/>
          <w:sz w:val="32"/>
          <w:szCs w:val="24"/>
          <w:lang w:val="zh-CN"/>
        </w:rPr>
        <w:t>支出8万元。主要用于</w:t>
      </w:r>
      <w:r>
        <w:rPr>
          <w:rFonts w:hint="eastAsia" w:ascii="仿宋_GB2312" w:hAnsi="仿宋_GB2312" w:eastAsia="仿宋_GB2312"/>
          <w:color w:val="000000"/>
          <w:kern w:val="2"/>
          <w:sz w:val="32"/>
          <w:szCs w:val="24"/>
          <w:lang w:val="en-US" w:eastAsia="zh-CN"/>
        </w:rPr>
        <w:t>我院</w:t>
      </w:r>
      <w:r>
        <w:rPr>
          <w:rFonts w:hint="eastAsia" w:ascii="仿宋_GB2312" w:hAnsi="仿宋_GB2312" w:eastAsia="仿宋_GB2312"/>
          <w:color w:val="000000"/>
          <w:kern w:val="2"/>
          <w:sz w:val="32"/>
          <w:szCs w:val="24"/>
          <w:highlight w:val="white"/>
          <w:lang w:val="en-US"/>
        </w:rPr>
        <w:t>执行公务、开展业务活动开支的用餐费等。</w:t>
      </w:r>
      <w:r>
        <w:rPr>
          <w:rFonts w:hint="eastAsia" w:ascii="仿宋_GB2312" w:hAnsi="仿宋_GB2312" w:eastAsia="仿宋_GB2312"/>
          <w:color w:val="000000"/>
          <w:kern w:val="2"/>
          <w:sz w:val="32"/>
          <w:szCs w:val="24"/>
          <w:lang w:val="zh-CN"/>
        </w:rPr>
        <w:t>国内公务接待76批次，550人次，共计支出8万元，具体内容包括</w:t>
      </w:r>
      <w:r>
        <w:rPr>
          <w:rFonts w:hint="eastAsia" w:ascii="仿宋" w:hAnsi="仿宋" w:eastAsia="仿宋"/>
          <w:color w:val="000000"/>
          <w:sz w:val="32"/>
          <w:szCs w:val="32"/>
        </w:rPr>
        <w:t>办案协作和各类专项活动、等级达标创建、上级检查等业务接待的用餐费等。</w:t>
      </w:r>
    </w:p>
    <w:p>
      <w:pPr>
        <w:keepNext/>
        <w:keepLines/>
        <w:spacing w:line="576" w:lineRule="exact"/>
        <w:ind w:firstLine="643"/>
        <w:jc w:val="both"/>
        <w:rPr>
          <w:rFonts w:hint="eastAsia" w:ascii="仿宋_GB2312" w:eastAsia="仿宋_GB2312"/>
          <w:color w:val="auto"/>
          <w:sz w:val="32"/>
          <w:szCs w:val="32"/>
          <w:highlight w:val="none"/>
        </w:rPr>
      </w:pPr>
      <w:r>
        <w:rPr>
          <w:rFonts w:hint="eastAsia" w:ascii="仿宋_GB2312" w:hAnsi="仿宋_GB2312" w:eastAsia="仿宋_GB2312"/>
          <w:b/>
          <w:color w:val="000000"/>
          <w:kern w:val="2"/>
          <w:sz w:val="32"/>
          <w:szCs w:val="24"/>
          <w:lang w:val="zh-CN"/>
        </w:rPr>
        <w:t>外事接待</w:t>
      </w:r>
      <w:r>
        <w:rPr>
          <w:rFonts w:hint="eastAsia" w:ascii="仿宋_GB2312" w:hAnsi="仿宋_GB2312" w:eastAsia="仿宋_GB2312"/>
          <w:color w:val="000000"/>
          <w:kern w:val="2"/>
          <w:sz w:val="32"/>
          <w:szCs w:val="24"/>
          <w:lang w:val="zh-CN"/>
        </w:rPr>
        <w:t>支出0万元，外事接待0批次，0人，共计支出0万元。</w:t>
      </w:r>
    </w:p>
    <w:p>
      <w:pPr>
        <w:spacing w:line="600" w:lineRule="exact"/>
        <w:ind w:firstLine="640"/>
        <w:outlineLvl w:val="1"/>
        <w:rPr>
          <w:rStyle w:val="30"/>
          <w:rFonts w:ascii="黑体" w:hAnsi="黑体" w:eastAsia="黑体"/>
          <w:color w:val="auto"/>
          <w:highlight w:val="none"/>
        </w:rPr>
      </w:pPr>
      <w:bookmarkStart w:id="37" w:name="_Toc15396610"/>
      <w:bookmarkStart w:id="38" w:name="_Toc1537721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37"/>
      <w:bookmarkEnd w:id="3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0"/>
          <w:rFonts w:ascii="黑体" w:hAnsi="黑体" w:eastAsia="黑体"/>
          <w:b w:val="0"/>
          <w:color w:val="auto"/>
          <w:highlight w:val="none"/>
        </w:rPr>
      </w:pPr>
      <w:bookmarkStart w:id="39" w:name="_Toc15396611"/>
      <w:bookmarkStart w:id="40" w:name="_Toc15377219"/>
      <w:r>
        <w:rPr>
          <w:rStyle w:val="30"/>
          <w:rFonts w:hint="eastAsia" w:ascii="黑体" w:hAnsi="黑体" w:eastAsia="黑体"/>
          <w:b w:val="0"/>
          <w:color w:val="auto"/>
          <w:highlight w:val="none"/>
        </w:rPr>
        <w:t>国有资本经营预算支出决算情况说明</w:t>
      </w:r>
      <w:bookmarkEnd w:id="39"/>
      <w:bookmarkEnd w:id="40"/>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0"/>
          <w:rFonts w:hint="eastAsia" w:ascii="黑体" w:hAnsi="黑体" w:eastAsia="黑体"/>
          <w:b w:val="0"/>
          <w:color w:val="auto"/>
          <w:highlight w:val="none"/>
        </w:rPr>
      </w:pPr>
      <w:bookmarkStart w:id="41" w:name="_Toc15377221"/>
      <w:bookmarkStart w:id="42" w:name="_Toc15396612"/>
      <w:r>
        <w:rPr>
          <w:rStyle w:val="30"/>
          <w:rFonts w:hint="eastAsia" w:ascii="黑体" w:hAnsi="黑体" w:eastAsia="黑体"/>
          <w:b w:val="0"/>
          <w:color w:val="auto"/>
          <w:highlight w:val="none"/>
        </w:rPr>
        <w:t>其他重要事项的情况说明</w:t>
      </w:r>
      <w:bookmarkEnd w:id="41"/>
      <w:bookmarkEnd w:id="42"/>
    </w:p>
    <w:p>
      <w:pPr>
        <w:spacing w:line="600" w:lineRule="exact"/>
        <w:ind w:firstLine="640" w:firstLineChars="200"/>
        <w:outlineLvl w:val="2"/>
        <w:rPr>
          <w:rFonts w:ascii="仿宋" w:hAnsi="仿宋" w:eastAsia="仿宋"/>
          <w:color w:val="auto"/>
          <w:sz w:val="32"/>
          <w:szCs w:val="32"/>
          <w:highlight w:val="none"/>
        </w:rPr>
      </w:pPr>
      <w:bookmarkStart w:id="43" w:name="_Toc15377222"/>
      <w:r>
        <w:rPr>
          <w:rFonts w:hint="eastAsia" w:ascii="仿宋" w:hAnsi="仿宋" w:eastAsia="仿宋"/>
          <w:b/>
          <w:color w:val="auto"/>
          <w:sz w:val="32"/>
          <w:szCs w:val="32"/>
          <w:highlight w:val="none"/>
        </w:rPr>
        <w:t>（一）机关运行经费支出情况</w:t>
      </w:r>
      <w:bookmarkEnd w:id="43"/>
    </w:p>
    <w:p>
      <w:pPr>
        <w:spacing w:beforeLines="0" w:afterLines="0" w:line="576" w:lineRule="exact"/>
        <w:ind w:firstLine="640"/>
        <w:jc w:val="both"/>
        <w:rPr>
          <w:rFonts w:hint="eastAsia"/>
          <w:lang w:eastAsia="zh-CN"/>
        </w:rPr>
      </w:pPr>
      <w:r>
        <w:rPr>
          <w:rFonts w:hint="eastAsia" w:ascii="仿宋_GB2312" w:hAnsi="仿宋_GB2312" w:eastAsia="仿宋_GB2312"/>
          <w:color w:val="000000"/>
          <w:kern w:val="2"/>
          <w:sz w:val="32"/>
          <w:szCs w:val="24"/>
          <w:lang w:val="zh-CN"/>
        </w:rPr>
        <w:t>2022年，苍溪县人民法院机关运行经费支出336.39万元，比2021年增加17.13万元，增长5.4%。主要原因是</w:t>
      </w:r>
      <w:r>
        <w:rPr>
          <w:rFonts w:hint="eastAsia" w:ascii="仿宋_GB2312" w:hAnsi="仿宋_GB2312" w:eastAsia="仿宋_GB2312"/>
          <w:color w:val="000000"/>
          <w:kern w:val="2"/>
          <w:sz w:val="32"/>
          <w:szCs w:val="24"/>
          <w:lang w:val="en-US" w:eastAsia="zh-CN"/>
        </w:rPr>
        <w:t>2022年我院新增空调较多，电费增加，案件数量增加导致办公用品增加。</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4" w:name="_Toc15377223"/>
      <w:r>
        <w:rPr>
          <w:rFonts w:hint="eastAsia" w:ascii="仿宋" w:hAnsi="仿宋" w:eastAsia="仿宋"/>
          <w:b/>
          <w:color w:val="auto"/>
          <w:sz w:val="32"/>
          <w:szCs w:val="32"/>
          <w:highlight w:val="none"/>
        </w:rPr>
        <w:t>（二）政府采购支出情况</w:t>
      </w:r>
      <w:bookmarkEnd w:id="44"/>
    </w:p>
    <w:p>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2022年，苍溪县人民法院政府采购支出总额28.32万元，其中：政府采购货物支出28.32万元、政府采购工程支出0万元、政府采购服务支出0万元。</w:t>
      </w:r>
      <w:r>
        <w:rPr>
          <w:rFonts w:hint="eastAsia" w:ascii="仿宋_GB2312" w:eastAsia="仿宋_GB2312"/>
          <w:sz w:val="32"/>
          <w:szCs w:val="32"/>
        </w:rPr>
        <w:t>主要用于我院办公物质采购</w:t>
      </w:r>
      <w:r>
        <w:rPr>
          <w:rFonts w:hint="eastAsia" w:ascii="仿宋_GB2312" w:hAnsi="仿宋_GB2312" w:eastAsia="仿宋_GB2312"/>
          <w:color w:val="000000"/>
          <w:kern w:val="2"/>
          <w:sz w:val="32"/>
          <w:szCs w:val="24"/>
          <w:highlight w:val="white"/>
          <w:lang w:val="zh-CN"/>
        </w:rPr>
        <w:t>。</w:t>
      </w:r>
      <w:r>
        <w:rPr>
          <w:rFonts w:hint="eastAsia" w:ascii="仿宋_GB2312" w:hAnsi="仿宋_GB2312" w:eastAsia="仿宋_GB2312"/>
          <w:color w:val="000000"/>
          <w:kern w:val="2"/>
          <w:sz w:val="32"/>
          <w:szCs w:val="24"/>
          <w:lang w:val="zh-CN"/>
        </w:rPr>
        <w:t>授予中小企业合同金额</w:t>
      </w:r>
      <w:r>
        <w:rPr>
          <w:rFonts w:hint="eastAsia" w:ascii="仿宋_GB2312" w:hAnsi="仿宋_GB2312" w:eastAsia="仿宋_GB2312"/>
          <w:color w:val="000000" w:themeColor="text1"/>
          <w:kern w:val="2"/>
          <w:sz w:val="32"/>
          <w:szCs w:val="24"/>
          <w:lang w:val="en-US" w:eastAsia="zh-CN"/>
          <w14:textFill>
            <w14:solidFill>
              <w14:schemeClr w14:val="tx1"/>
            </w14:solidFill>
          </w14:textFill>
        </w:rPr>
        <w:t>0</w:t>
      </w:r>
      <w:r>
        <w:rPr>
          <w:rFonts w:hint="eastAsia" w:ascii="仿宋_GB2312" w:hAnsi="仿宋_GB2312" w:eastAsia="仿宋_GB2312"/>
          <w:color w:val="000000"/>
          <w:kern w:val="2"/>
          <w:sz w:val="32"/>
          <w:szCs w:val="24"/>
          <w:lang w:val="zh-CN"/>
        </w:rPr>
        <w:t>万元，其中：授予小微企业合同金额0万元，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0%。</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5" w:name="_Toc15377224"/>
      <w:r>
        <w:rPr>
          <w:rFonts w:hint="eastAsia" w:ascii="仿宋" w:hAnsi="仿宋" w:eastAsia="仿宋"/>
          <w:b/>
          <w:color w:val="auto"/>
          <w:sz w:val="32"/>
          <w:szCs w:val="32"/>
          <w:highlight w:val="none"/>
        </w:rPr>
        <w:t>（三）国有资产占有使用情况</w:t>
      </w:r>
      <w:bookmarkEnd w:id="45"/>
    </w:p>
    <w:p>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截至2022年12月31日，苍溪县人民法院共有车辆25辆，其中：</w:t>
      </w:r>
      <w:r>
        <w:rPr>
          <w:rFonts w:hint="eastAsia" w:ascii="仿宋_GB2312" w:hAnsi="仿宋_GB2312" w:eastAsia="仿宋_GB2312"/>
          <w:color w:val="000000" w:themeColor="text1"/>
          <w:kern w:val="2"/>
          <w:sz w:val="32"/>
          <w:szCs w:val="24"/>
          <w:lang w:val="zh-CN"/>
          <w14:textFill>
            <w14:solidFill>
              <w14:schemeClr w14:val="tx1"/>
            </w14:solidFill>
          </w14:textFill>
        </w:rPr>
        <w:t>执法执勤</w:t>
      </w:r>
      <w:r>
        <w:rPr>
          <w:rFonts w:hint="eastAsia" w:ascii="仿宋_GB2312" w:hAnsi="仿宋_GB2312" w:eastAsia="仿宋_GB2312"/>
          <w:color w:val="000000"/>
          <w:kern w:val="2"/>
          <w:sz w:val="32"/>
          <w:szCs w:val="24"/>
          <w:lang w:val="zh-CN"/>
        </w:rPr>
        <w:t>用车25辆。单价100万元以上设备0台（套)。</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1个</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w:t>
      </w:r>
      <w:r>
        <w:rPr>
          <w:rFonts w:hint="default" w:ascii="仿宋_GB2312" w:hAnsi="仿宋_GB2312" w:eastAsia="仿宋_GB2312" w:cs="仿宋_GB2312"/>
          <w:color w:val="auto"/>
          <w:sz w:val="32"/>
          <w:szCs w:val="32"/>
          <w:highlight w:val="none"/>
          <w:woUserID w:val="2"/>
        </w:rPr>
        <w:t>资金</w:t>
      </w:r>
      <w:r>
        <w:rPr>
          <w:rFonts w:hint="eastAsia" w:ascii="仿宋_GB2312" w:hAnsi="仿宋_GB2312" w:eastAsia="仿宋_GB2312" w:cs="仿宋_GB2312"/>
          <w:color w:val="auto"/>
          <w:sz w:val="32"/>
          <w:szCs w:val="32"/>
          <w:highlight w:val="none"/>
        </w:rPr>
        <w:t>等全面开展绩效自评，形成</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部门整体（含部门预算项目）绩效自评报告、中央政法纪检监察转移支付资金专项预算项目绩效自评报告，其中，</w:t>
      </w:r>
      <w:r>
        <w:rPr>
          <w:rFonts w:hint="eastAsia" w:ascii="仿宋_GB2312" w:hAnsi="仿宋_GB2312" w:eastAsia="仿宋_GB2312" w:cs="仿宋_GB2312"/>
          <w:color w:val="auto"/>
          <w:sz w:val="32"/>
          <w:szCs w:val="32"/>
          <w:highlight w:val="none"/>
          <w:lang w:eastAsia="zh-CN"/>
        </w:rPr>
        <w:t>苍溪县人民法院</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 w:hAnsi="仿宋" w:eastAsia="仿宋" w:cs="仿宋"/>
          <w:color w:val="000000"/>
          <w:kern w:val="0"/>
          <w:sz w:val="32"/>
          <w:szCs w:val="32"/>
          <w:shd w:val="clear" w:color="auto" w:fill="FFFFFF"/>
          <w:lang w:val="zh-CN"/>
        </w:rPr>
        <w:t>通过绩效自评，</w:t>
      </w:r>
      <w:r>
        <w:rPr>
          <w:rFonts w:hint="eastAsia" w:ascii="仿宋" w:hAnsi="仿宋" w:eastAsia="仿宋" w:cs="仿宋"/>
          <w:color w:val="000000"/>
          <w:kern w:val="0"/>
          <w:sz w:val="32"/>
          <w:szCs w:val="32"/>
          <w:shd w:val="clear" w:color="auto" w:fill="FFFFFF"/>
          <w:lang w:val="en-US" w:eastAsia="zh-CN"/>
        </w:rPr>
        <w:t>2022年整体支出政策依据充分，目标制定明确；按照计划有序实施，经费使用严格按照相关财务管理制度执行，对资金的使用监管有力有效。整个支出实施达到了预期的绩效目标</w:t>
      </w:r>
      <w:r>
        <w:rPr>
          <w:rFonts w:hint="eastAsia" w:ascii="仿宋_GB2312" w:hAnsi="仿宋_GB2312" w:eastAsia="仿宋_GB2312" w:cs="仿宋_GB2312"/>
          <w:color w:val="auto"/>
          <w:sz w:val="32"/>
          <w:szCs w:val="32"/>
          <w:highlight w:val="none"/>
        </w:rPr>
        <w:t>；中央政法纪检监察转移支付资金专项预算项目绩效自评得分为</w:t>
      </w:r>
      <w:r>
        <w:rPr>
          <w:rFonts w:hint="eastAsia" w:ascii="仿宋_GB2312" w:hAnsi="仿宋_GB2312" w:eastAsia="仿宋_GB2312" w:cs="仿宋_GB2312"/>
          <w:color w:val="auto"/>
          <w:sz w:val="32"/>
          <w:szCs w:val="32"/>
          <w:highlight w:val="none"/>
          <w:lang w:val="en-US" w:eastAsia="zh-CN"/>
        </w:rPr>
        <w:t>99</w:t>
      </w:r>
      <w:r>
        <w:rPr>
          <w:rFonts w:hint="eastAsia" w:ascii="仿宋_GB2312" w:hAnsi="仿宋_GB2312" w:eastAsia="仿宋_GB2312" w:cs="仿宋_GB2312"/>
          <w:color w:val="auto"/>
          <w:sz w:val="32"/>
          <w:szCs w:val="32"/>
          <w:highlight w:val="none"/>
        </w:rPr>
        <w:t>分，绩效自评综述：</w:t>
      </w:r>
      <w:r>
        <w:rPr>
          <w:rFonts w:hint="eastAsia" w:ascii="仿宋" w:hAnsi="仿宋" w:eastAsia="仿宋" w:cs="仿宋"/>
          <w:color w:val="000000"/>
          <w:kern w:val="0"/>
          <w:sz w:val="32"/>
          <w:szCs w:val="32"/>
          <w:shd w:val="clear" w:color="auto" w:fill="FFFFFF"/>
          <w:lang w:val="zh-CN"/>
        </w:rPr>
        <w:t>通过绩效自评，</w:t>
      </w:r>
      <w:r>
        <w:rPr>
          <w:rFonts w:hint="eastAsia" w:ascii="仿宋" w:hAnsi="仿宋" w:eastAsia="仿宋" w:cs="仿宋"/>
          <w:color w:val="000000"/>
          <w:kern w:val="0"/>
          <w:sz w:val="32"/>
          <w:szCs w:val="32"/>
          <w:shd w:val="clear" w:color="auto" w:fill="FFFFFF"/>
          <w:lang w:val="en-US" w:eastAsia="zh-CN"/>
        </w:rPr>
        <w:t>2022年</w:t>
      </w:r>
      <w:r>
        <w:rPr>
          <w:rFonts w:hint="eastAsia" w:ascii="仿宋_GB2312" w:hAnsi="仿宋_GB2312" w:eastAsia="仿宋_GB2312" w:cs="仿宋_GB2312"/>
          <w:color w:val="auto"/>
          <w:sz w:val="32"/>
          <w:szCs w:val="32"/>
          <w:highlight w:val="none"/>
        </w:rPr>
        <w:t>中央政法纪检监察转移支付资金</w:t>
      </w:r>
      <w:r>
        <w:rPr>
          <w:rFonts w:hint="eastAsia" w:ascii="仿宋" w:hAnsi="仿宋" w:eastAsia="仿宋" w:cs="仿宋"/>
          <w:color w:val="000000"/>
          <w:kern w:val="0"/>
          <w:sz w:val="32"/>
          <w:szCs w:val="32"/>
          <w:shd w:val="clear" w:color="auto" w:fill="FFFFFF"/>
          <w:lang w:val="en-US" w:eastAsia="zh-CN"/>
        </w:rPr>
        <w:t>支出政策依据充分，目标制定明确；按照计划有序实施，经费使用严格按照相关财务管理制度执行，对资金的使用监管有力有效。整个支出实施达到了预期的绩效目标，</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5"/>
        </w:numPr>
        <w:spacing w:line="600" w:lineRule="exact"/>
        <w:ind w:firstLine="660" w:firstLineChars="150"/>
        <w:jc w:val="center"/>
        <w:outlineLvl w:val="0"/>
        <w:rPr>
          <w:rStyle w:val="29"/>
          <w:rFonts w:ascii="黑体" w:hAnsi="黑体" w:eastAsia="黑体"/>
          <w:b w:val="0"/>
          <w:color w:val="auto"/>
          <w:highlight w:val="none"/>
        </w:rPr>
      </w:pPr>
      <w:bookmarkStart w:id="46" w:name="_Toc15396613"/>
      <w:bookmarkStart w:id="47"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6"/>
      <w:bookmarkEnd w:id="47"/>
    </w:p>
    <w:p>
      <w:pPr>
        <w:spacing w:line="600" w:lineRule="exact"/>
        <w:jc w:val="left"/>
        <w:rPr>
          <w:rFonts w:ascii="宋体"/>
          <w:b/>
          <w:color w:val="auto"/>
          <w:sz w:val="44"/>
          <w:szCs w:val="44"/>
          <w:highlight w:val="none"/>
        </w:rPr>
      </w:pP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1．财政拨款收入：指单位从同级财政部门取得的财政预算资金。</w:t>
      </w:r>
    </w:p>
    <w:p>
      <w:pPr>
        <w:spacing w:line="580" w:lineRule="exact"/>
        <w:ind w:firstLine="640" w:firstLineChars="200"/>
        <w:rPr>
          <w:rFonts w:hint="default" w:eastAsia="仿宋"/>
          <w:lang w:val="en-US" w:eastAsia="zh-CN"/>
        </w:rPr>
      </w:pPr>
      <w:r>
        <w:rPr>
          <w:rFonts w:hint="eastAsia" w:ascii="仿宋" w:hAnsi="仿宋" w:eastAsia="仿宋" w:cs="仿宋"/>
          <w:color w:val="000000"/>
          <w:kern w:val="0"/>
          <w:sz w:val="32"/>
          <w:szCs w:val="32"/>
        </w:rPr>
        <w:t xml:space="preserve">2．其他收入：指单位取得的除上述收入以外的各项收入。 </w:t>
      </w:r>
    </w:p>
    <w:p>
      <w:pPr>
        <w:spacing w:line="580" w:lineRule="exact"/>
        <w:ind w:firstLine="640" w:firstLineChars="200"/>
        <w:rPr>
          <w:rFonts w:hint="default"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w:t>
      </w:r>
      <w:r>
        <w:rPr>
          <w:rFonts w:hint="default" w:ascii="仿宋" w:hAnsi="仿宋" w:eastAsia="仿宋" w:cs="仿宋"/>
          <w:color w:val="000000"/>
          <w:kern w:val="0"/>
          <w:sz w:val="32"/>
          <w:szCs w:val="32"/>
        </w:rPr>
        <w:t>一般公共服务支出(类)政府办公厅（室）及相关机构事务（款）信访事务（项）：指</w:t>
      </w:r>
      <w:r>
        <w:rPr>
          <w:rFonts w:hint="eastAsia" w:ascii="仿宋" w:hAnsi="仿宋" w:eastAsia="仿宋" w:cs="仿宋"/>
          <w:color w:val="000000"/>
          <w:kern w:val="0"/>
          <w:sz w:val="32"/>
          <w:szCs w:val="32"/>
        </w:rPr>
        <w:t>各级政府单位用于接待群众来信来访方面的支出。</w:t>
      </w:r>
    </w:p>
    <w:p>
      <w:pPr>
        <w:spacing w:line="580" w:lineRule="exact"/>
        <w:ind w:firstLine="640" w:firstLineChars="200"/>
        <w:rPr>
          <w:rFonts w:ascii="仿宋" w:hAnsi="仿宋" w:eastAsia="仿宋" w:cs="仿宋"/>
          <w:color w:val="000000"/>
          <w:kern w:val="0"/>
          <w:sz w:val="32"/>
          <w:szCs w:val="32"/>
        </w:rPr>
      </w:pPr>
      <w:r>
        <w:rPr>
          <w:rFonts w:hint="default" w:ascii="仿宋" w:hAnsi="仿宋" w:eastAsia="仿宋" w:cs="仿宋"/>
          <w:color w:val="000000"/>
          <w:kern w:val="0"/>
          <w:sz w:val="32"/>
          <w:szCs w:val="32"/>
          <w:woUserID w:val="1"/>
        </w:rPr>
        <w:t>4.</w:t>
      </w:r>
      <w:r>
        <w:rPr>
          <w:rFonts w:hint="eastAsia" w:ascii="仿宋" w:hAnsi="仿宋" w:eastAsia="仿宋" w:cs="仿宋"/>
          <w:color w:val="000000"/>
          <w:kern w:val="0"/>
          <w:sz w:val="32"/>
          <w:szCs w:val="32"/>
        </w:rPr>
        <w:t>公共安全（类）法院（款）行政运行（项）：指法院（包括各专门法院）的支出。指行政单位（包括实行公务员管理的事业单位）的基本支出。</w:t>
      </w:r>
    </w:p>
    <w:p>
      <w:pPr>
        <w:spacing w:line="580" w:lineRule="exact"/>
        <w:ind w:firstLine="640" w:firstLineChars="200"/>
        <w:rPr>
          <w:rFonts w:ascii="仿宋" w:hAnsi="仿宋" w:eastAsia="仿宋" w:cs="仿宋"/>
          <w:color w:val="000000"/>
          <w:kern w:val="0"/>
          <w:sz w:val="32"/>
          <w:szCs w:val="32"/>
        </w:rPr>
      </w:pPr>
      <w:r>
        <w:rPr>
          <w:rFonts w:hint="default" w:ascii="仿宋" w:hAnsi="仿宋" w:eastAsia="仿宋" w:cs="仿宋"/>
          <w:color w:val="000000"/>
          <w:kern w:val="0"/>
          <w:sz w:val="32"/>
          <w:szCs w:val="32"/>
          <w:lang w:eastAsia="zh-CN"/>
          <w:woUserID w:val="1"/>
        </w:rPr>
        <w:t>5</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公共安全（类）法院（款）一般行政管理（项）：指行政单位未单独设置项级科目的其他项目支出。</w:t>
      </w:r>
    </w:p>
    <w:p>
      <w:pPr>
        <w:spacing w:line="580" w:lineRule="exact"/>
        <w:ind w:firstLine="640" w:firstLineChars="200"/>
        <w:rPr>
          <w:rFonts w:hint="eastAsia" w:ascii="仿宋" w:hAnsi="仿宋" w:eastAsia="仿宋" w:cs="仿宋"/>
          <w:color w:val="000000"/>
          <w:kern w:val="0"/>
          <w:sz w:val="32"/>
          <w:szCs w:val="32"/>
        </w:rPr>
      </w:pPr>
      <w:r>
        <w:rPr>
          <w:rFonts w:hint="default" w:ascii="仿宋" w:hAnsi="仿宋" w:eastAsia="仿宋" w:cs="仿宋"/>
          <w:color w:val="000000"/>
          <w:kern w:val="0"/>
          <w:sz w:val="32"/>
          <w:szCs w:val="32"/>
          <w:lang w:eastAsia="zh-CN"/>
          <w:woUserID w:val="1"/>
        </w:rPr>
        <w:t>6</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公共安全（类）法院（款）案件执行（项）：指人民法院对刑事、民事、行政、涉外等案件执行活动和对各种非诉执行活动的支出。</w:t>
      </w:r>
    </w:p>
    <w:p>
      <w:pPr>
        <w:pStyle w:val="2"/>
        <w:ind w:left="0" w:leftChars="0" w:firstLine="640" w:firstLineChars="200"/>
        <w:rPr>
          <w:rFonts w:hint="default"/>
          <w:highlight w:val="yellow"/>
          <w:woUserID w:val="2"/>
        </w:rPr>
      </w:pPr>
      <w:r>
        <w:rPr>
          <w:rFonts w:hint="default"/>
          <w:highlight w:val="yellow"/>
          <w:woUserID w:val="2"/>
        </w:rPr>
        <w:t>7.2040599：</w:t>
      </w:r>
    </w:p>
    <w:p>
      <w:pPr>
        <w:spacing w:line="580" w:lineRule="exact"/>
        <w:ind w:firstLine="640" w:firstLineChars="200"/>
        <w:rPr>
          <w:rFonts w:ascii="仿宋" w:hAnsi="仿宋" w:eastAsia="仿宋" w:cs="仿宋"/>
          <w:color w:val="000000"/>
          <w:kern w:val="0"/>
          <w:sz w:val="32"/>
          <w:szCs w:val="32"/>
        </w:rPr>
      </w:pPr>
      <w:r>
        <w:rPr>
          <w:rFonts w:hint="default" w:ascii="仿宋" w:hAnsi="仿宋" w:eastAsia="仿宋" w:cs="仿宋"/>
          <w:color w:val="000000"/>
          <w:kern w:val="0"/>
          <w:sz w:val="32"/>
          <w:szCs w:val="32"/>
          <w:woUserID w:val="1"/>
        </w:rPr>
        <w:t>7</w:t>
      </w:r>
      <w:r>
        <w:rPr>
          <w:rFonts w:hint="eastAsia" w:ascii="仿宋" w:hAnsi="仿宋" w:eastAsia="仿宋" w:cs="仿宋"/>
          <w:color w:val="000000"/>
          <w:kern w:val="0"/>
          <w:sz w:val="32"/>
          <w:szCs w:val="32"/>
        </w:rPr>
        <w:t>．社会保障和就业(类)行政事业单位</w:t>
      </w:r>
      <w:r>
        <w:rPr>
          <w:rFonts w:hint="eastAsia" w:ascii="仿宋" w:hAnsi="仿宋" w:eastAsia="仿宋" w:cs="仿宋"/>
          <w:color w:val="000000"/>
          <w:kern w:val="0"/>
          <w:sz w:val="32"/>
          <w:szCs w:val="32"/>
          <w:lang w:eastAsia="zh-CN"/>
        </w:rPr>
        <w:t>养老支出</w:t>
      </w:r>
      <w:r>
        <w:rPr>
          <w:rFonts w:hint="eastAsia" w:ascii="仿宋" w:hAnsi="仿宋" w:eastAsia="仿宋" w:cs="仿宋"/>
          <w:color w:val="000000"/>
          <w:kern w:val="0"/>
          <w:sz w:val="32"/>
          <w:szCs w:val="32"/>
        </w:rPr>
        <w:t>（款）机关事业单位基本养老保险缴费支出（项）：指单位基本养老保险缴费支出。</w:t>
      </w:r>
    </w:p>
    <w:p>
      <w:pPr>
        <w:spacing w:line="580" w:lineRule="exact"/>
        <w:ind w:firstLine="640" w:firstLineChars="200"/>
        <w:rPr>
          <w:rFonts w:hint="default" w:eastAsia="仿宋"/>
          <w:lang w:val="en-US" w:eastAsia="zh-CN"/>
        </w:rPr>
      </w:pPr>
      <w:r>
        <w:rPr>
          <w:rFonts w:hint="default" w:ascii="仿宋" w:hAnsi="仿宋" w:eastAsia="仿宋" w:cs="仿宋"/>
          <w:color w:val="000000"/>
          <w:kern w:val="0"/>
          <w:sz w:val="32"/>
          <w:szCs w:val="32"/>
          <w:woUserID w:val="1"/>
        </w:rPr>
        <w:t>8</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卫生健康支出</w:t>
      </w:r>
      <w:r>
        <w:rPr>
          <w:rFonts w:hint="eastAsia" w:ascii="仿宋" w:hAnsi="仿宋" w:eastAsia="仿宋" w:cs="仿宋"/>
          <w:color w:val="000000"/>
          <w:kern w:val="0"/>
          <w:sz w:val="32"/>
          <w:szCs w:val="32"/>
        </w:rPr>
        <w:t>（类）</w:t>
      </w:r>
      <w:r>
        <w:rPr>
          <w:rFonts w:hint="eastAsia" w:ascii="仿宋" w:hAnsi="仿宋" w:eastAsia="仿宋" w:cs="仿宋"/>
          <w:color w:val="000000"/>
          <w:kern w:val="0"/>
          <w:sz w:val="32"/>
          <w:szCs w:val="32"/>
          <w:lang w:eastAsia="zh-CN"/>
        </w:rPr>
        <w:t>行政事业单位医疗</w:t>
      </w:r>
      <w:r>
        <w:rPr>
          <w:rFonts w:hint="eastAsia" w:ascii="仿宋" w:hAnsi="仿宋" w:eastAsia="仿宋" w:cs="仿宋"/>
          <w:color w:val="000000"/>
          <w:kern w:val="0"/>
          <w:sz w:val="32"/>
          <w:szCs w:val="32"/>
        </w:rPr>
        <w:t>（款）行政单位医疗（项）：指单位基本医疗保险缴费支出。</w:t>
      </w:r>
    </w:p>
    <w:p>
      <w:pPr>
        <w:spacing w:line="580" w:lineRule="exact"/>
        <w:ind w:firstLine="640" w:firstLineChars="200"/>
        <w:rPr>
          <w:rFonts w:hint="default" w:ascii="仿宋" w:hAnsi="仿宋" w:eastAsia="仿宋" w:cs="仿宋"/>
          <w:color w:val="000000"/>
          <w:kern w:val="0"/>
          <w:sz w:val="32"/>
          <w:szCs w:val="32"/>
          <w:woUserID w:val="1"/>
        </w:rPr>
      </w:pPr>
      <w:r>
        <w:rPr>
          <w:rFonts w:hint="default" w:ascii="仿宋" w:hAnsi="仿宋" w:eastAsia="仿宋" w:cs="仿宋"/>
          <w:color w:val="000000"/>
          <w:kern w:val="0"/>
          <w:sz w:val="32"/>
          <w:szCs w:val="32"/>
          <w:woUserID w:val="1"/>
        </w:rPr>
        <w:t>9</w:t>
      </w:r>
      <w:r>
        <w:rPr>
          <w:rFonts w:hint="eastAsia" w:ascii="仿宋" w:hAnsi="仿宋" w:eastAsia="仿宋" w:cs="仿宋"/>
          <w:color w:val="000000"/>
          <w:kern w:val="0"/>
          <w:sz w:val="32"/>
          <w:szCs w:val="32"/>
        </w:rPr>
        <w:t>．</w:t>
      </w:r>
      <w:r>
        <w:rPr>
          <w:rFonts w:hint="default" w:ascii="仿宋" w:hAnsi="仿宋" w:eastAsia="仿宋" w:cs="仿宋"/>
          <w:color w:val="000000"/>
          <w:kern w:val="0"/>
          <w:sz w:val="32"/>
          <w:szCs w:val="32"/>
          <w:lang w:eastAsia="zh-CN"/>
        </w:rPr>
        <w:t>农林水支出</w:t>
      </w:r>
      <w:r>
        <w:rPr>
          <w:rFonts w:hint="eastAsia" w:ascii="仿宋" w:hAnsi="仿宋" w:eastAsia="仿宋" w:cs="仿宋"/>
          <w:color w:val="000000"/>
          <w:kern w:val="0"/>
          <w:sz w:val="32"/>
          <w:szCs w:val="32"/>
          <w:lang w:eastAsia="zh-CN"/>
        </w:rPr>
        <w:t>（类）</w:t>
      </w:r>
      <w:r>
        <w:rPr>
          <w:rFonts w:hint="default" w:ascii="仿宋" w:hAnsi="仿宋" w:eastAsia="仿宋" w:cs="仿宋"/>
          <w:color w:val="000000"/>
          <w:kern w:val="0"/>
          <w:sz w:val="32"/>
          <w:szCs w:val="32"/>
          <w:lang w:eastAsia="zh-CN"/>
        </w:rPr>
        <w:t>巩固脱贫衔接乡村振兴</w:t>
      </w:r>
      <w:r>
        <w:rPr>
          <w:rFonts w:hint="eastAsia" w:ascii="仿宋" w:hAnsi="仿宋" w:eastAsia="仿宋" w:cs="仿宋"/>
          <w:color w:val="000000"/>
          <w:kern w:val="0"/>
          <w:sz w:val="32"/>
          <w:szCs w:val="32"/>
          <w:lang w:eastAsia="zh-CN"/>
        </w:rPr>
        <w:t>（款）</w:t>
      </w:r>
      <w:r>
        <w:rPr>
          <w:rFonts w:hint="default" w:ascii="仿宋" w:hAnsi="仿宋" w:eastAsia="仿宋" w:cs="仿宋"/>
          <w:color w:val="000000"/>
          <w:kern w:val="0"/>
          <w:sz w:val="32"/>
          <w:szCs w:val="32"/>
          <w:lang w:eastAsia="zh-CN"/>
        </w:rPr>
        <w:t>其他巩固脱贫衔接乡村振兴支出</w:t>
      </w:r>
      <w:r>
        <w:rPr>
          <w:rFonts w:hint="eastAsia" w:ascii="仿宋" w:hAnsi="仿宋" w:eastAsia="仿宋" w:cs="仿宋"/>
          <w:color w:val="000000"/>
          <w:kern w:val="0"/>
          <w:sz w:val="32"/>
          <w:szCs w:val="32"/>
          <w:lang w:eastAsia="zh-CN"/>
        </w:rPr>
        <w:t>（项）：</w:t>
      </w:r>
      <w:r>
        <w:rPr>
          <w:rFonts w:hint="default" w:ascii="仿宋" w:hAnsi="仿宋" w:eastAsia="仿宋" w:cs="仿宋"/>
          <w:color w:val="000000"/>
          <w:kern w:val="0"/>
          <w:sz w:val="32"/>
          <w:szCs w:val="32"/>
          <w:lang w:eastAsia="zh-CN"/>
        </w:rPr>
        <w:t>指</w:t>
      </w:r>
      <w:r>
        <w:rPr>
          <w:rFonts w:hint="eastAsia" w:ascii="仿宋" w:hAnsi="仿宋" w:eastAsia="仿宋" w:cs="仿宋"/>
          <w:color w:val="000000"/>
          <w:kern w:val="0"/>
          <w:sz w:val="32"/>
          <w:szCs w:val="32"/>
          <w:lang w:eastAsia="zh-CN"/>
        </w:rPr>
        <w:t xml:space="preserve">单位用于农村（包括国有农村、国有林场）巩固拓展脱贫攻坚成果同乡村振兴有效衔接等方面支出。 </w:t>
      </w:r>
    </w:p>
    <w:p>
      <w:pPr>
        <w:spacing w:line="580" w:lineRule="exact"/>
        <w:ind w:firstLine="640" w:firstLineChars="200"/>
        <w:rPr>
          <w:rFonts w:ascii="仿宋" w:hAnsi="仿宋" w:eastAsia="仿宋" w:cs="仿宋"/>
          <w:color w:val="000000"/>
          <w:kern w:val="0"/>
          <w:sz w:val="32"/>
          <w:szCs w:val="32"/>
        </w:rPr>
      </w:pPr>
      <w:r>
        <w:rPr>
          <w:rFonts w:hint="default" w:ascii="仿宋" w:hAnsi="仿宋" w:eastAsia="仿宋" w:cs="仿宋"/>
          <w:color w:val="000000"/>
          <w:kern w:val="0"/>
          <w:sz w:val="32"/>
          <w:szCs w:val="32"/>
          <w:woUserID w:val="1"/>
        </w:rPr>
        <w:t>10.</w:t>
      </w:r>
      <w:r>
        <w:rPr>
          <w:rFonts w:hint="eastAsia" w:ascii="仿宋" w:hAnsi="仿宋" w:eastAsia="仿宋" w:cs="仿宋"/>
          <w:color w:val="000000"/>
          <w:kern w:val="0"/>
          <w:sz w:val="32"/>
          <w:szCs w:val="32"/>
        </w:rPr>
        <w:t>住房保障（类）住房改革支出（款）住房公积金（项）：指职工缴纳的住房公积金支出。</w:t>
      </w:r>
    </w:p>
    <w:p>
      <w:pPr>
        <w:spacing w:line="580" w:lineRule="exact"/>
        <w:ind w:firstLine="640" w:firstLineChars="200"/>
        <w:rPr>
          <w:rFonts w:ascii="仿宋" w:hAnsi="仿宋" w:eastAsia="仿宋" w:cs="仿宋"/>
          <w:color w:val="000000"/>
          <w:kern w:val="0"/>
          <w:sz w:val="32"/>
          <w:szCs w:val="32"/>
        </w:rPr>
      </w:pPr>
      <w:r>
        <w:rPr>
          <w:rFonts w:hint="default" w:ascii="仿宋" w:hAnsi="仿宋" w:eastAsia="仿宋" w:cs="仿宋"/>
          <w:color w:val="000000"/>
          <w:kern w:val="0"/>
          <w:sz w:val="32"/>
          <w:szCs w:val="32"/>
          <w:woUserID w:val="1"/>
        </w:rPr>
        <w:t>11</w:t>
      </w:r>
      <w:r>
        <w:rPr>
          <w:rFonts w:hint="eastAsia" w:ascii="仿宋" w:hAnsi="仿宋" w:eastAsia="仿宋" w:cs="仿宋"/>
          <w:color w:val="000000"/>
          <w:kern w:val="0"/>
          <w:sz w:val="32"/>
          <w:szCs w:val="32"/>
        </w:rPr>
        <w:t>．基本支出：指为保障机构正常运转、完成日常工作任务而发生的人员支出和公用支出。</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default" w:ascii="仿宋" w:hAnsi="仿宋" w:eastAsia="仿宋" w:cs="仿宋"/>
          <w:color w:val="000000"/>
          <w:kern w:val="0"/>
          <w:sz w:val="32"/>
          <w:szCs w:val="32"/>
          <w:lang w:eastAsia="zh-CN"/>
          <w:woUserID w:val="1"/>
        </w:rPr>
        <w:t>2</w:t>
      </w:r>
      <w:r>
        <w:rPr>
          <w:rFonts w:hint="eastAsia" w:ascii="仿宋" w:hAnsi="仿宋" w:eastAsia="仿宋" w:cs="仿宋"/>
          <w:color w:val="000000"/>
          <w:kern w:val="0"/>
          <w:sz w:val="32"/>
          <w:szCs w:val="32"/>
        </w:rPr>
        <w:t xml:space="preserve">．项目支出：指在基本支出之外为完成特定行政任务和事业发展目标所发生的支出。 </w:t>
      </w:r>
    </w:p>
    <w:p>
      <w:pPr>
        <w:spacing w:line="58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default" w:ascii="仿宋" w:hAnsi="仿宋" w:eastAsia="仿宋" w:cs="仿宋"/>
          <w:color w:val="000000"/>
          <w:kern w:val="0"/>
          <w:sz w:val="32"/>
          <w:szCs w:val="32"/>
          <w:lang w:eastAsia="zh-CN"/>
          <w:woUserID w:val="1"/>
        </w:rPr>
        <w:t>3</w:t>
      </w:r>
      <w:r>
        <w:rPr>
          <w:rFonts w:hint="eastAsia" w:ascii="仿宋" w:hAnsi="仿宋" w:eastAsia="仿宋" w:cs="仿宋"/>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8"/>
        <w:ind w:firstLine="640" w:firstLineChars="200"/>
      </w:pPr>
      <w:r>
        <w:rPr>
          <w:rFonts w:hint="eastAsia" w:ascii="仿宋" w:hAnsi="仿宋" w:eastAsia="仿宋" w:cs="仿宋"/>
          <w:color w:val="000000"/>
          <w:kern w:val="0"/>
          <w:sz w:val="32"/>
          <w:szCs w:val="32"/>
          <w:lang w:val="en-US" w:eastAsia="zh-CN"/>
        </w:rPr>
        <w:t>1</w:t>
      </w:r>
      <w:r>
        <w:rPr>
          <w:rFonts w:hint="default" w:ascii="仿宋" w:hAnsi="仿宋" w:eastAsia="仿宋" w:cs="仿宋"/>
          <w:color w:val="000000"/>
          <w:kern w:val="0"/>
          <w:sz w:val="32"/>
          <w:szCs w:val="32"/>
          <w:lang w:eastAsia="zh-CN"/>
          <w:woUserID w:val="1"/>
        </w:rPr>
        <w:t>4</w:t>
      </w:r>
      <w:r>
        <w:rPr>
          <w:rFonts w:hint="eastAsia" w:ascii="仿宋" w:hAnsi="仿宋" w:eastAsia="仿宋" w:cs="仿宋"/>
          <w:color w:val="000000"/>
          <w:kern w:val="0"/>
          <w:sz w:val="32"/>
          <w:szCs w:val="32"/>
        </w:rPr>
        <w:t>．机关运行经费：为保障行政单位（含参照公务员法管理的事业单位）运行用于购买货物和服务的各项资金，包括办公及印刷费、邮电费、差旅费、会议费、福利费、日常维修费、一般设备购置费、办公用房水电费、办公用房物业管理费、公务用车运行维护费以及其他费用。</w:t>
      </w:r>
    </w:p>
    <w:p>
      <w:pPr>
        <w:spacing w:line="600" w:lineRule="exact"/>
        <w:jc w:val="center"/>
        <w:outlineLvl w:val="0"/>
        <w:rPr>
          <w:rStyle w:val="29"/>
          <w:rFonts w:hint="eastAsia" w:ascii="黑体" w:hAnsi="黑体" w:eastAsia="黑体"/>
          <w:b w:val="0"/>
          <w:color w:val="auto"/>
          <w:highlight w:val="none"/>
          <w:lang w:eastAsia="zh-CN"/>
        </w:rPr>
      </w:pPr>
      <w:bookmarkStart w:id="48" w:name="_Toc15377226"/>
      <w:r>
        <w:rPr>
          <w:rFonts w:ascii="宋体"/>
          <w:b/>
          <w:color w:val="auto"/>
          <w:sz w:val="44"/>
          <w:szCs w:val="44"/>
          <w:highlight w:val="none"/>
        </w:rPr>
        <w:br w:type="page"/>
      </w:r>
      <w:bookmarkStart w:id="49"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49"/>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spacing w:line="572" w:lineRule="exact"/>
        <w:jc w:val="center"/>
        <w:rPr>
          <w:rFonts w:hint="eastAsia" w:ascii="方正小标宋简体" w:hAnsi="宋体" w:eastAsia="方正小标宋简体" w:cs="Times New Roman"/>
          <w:kern w:val="0"/>
          <w:sz w:val="40"/>
          <w:szCs w:val="44"/>
        </w:rPr>
      </w:pPr>
      <w:r>
        <w:rPr>
          <w:rFonts w:hint="eastAsia" w:ascii="方正小标宋简体" w:hAnsi="宋体" w:eastAsia="方正小标宋简体" w:cs="Times New Roman"/>
          <w:kern w:val="0"/>
          <w:sz w:val="40"/>
          <w:szCs w:val="44"/>
        </w:rPr>
        <w:t>20</w:t>
      </w:r>
      <w:r>
        <w:rPr>
          <w:rFonts w:hint="eastAsia" w:ascii="方正小标宋简体" w:hAnsi="宋体" w:eastAsia="方正小标宋简体" w:cs="Times New Roman"/>
          <w:kern w:val="0"/>
          <w:sz w:val="40"/>
          <w:szCs w:val="44"/>
          <w:lang w:val="en-US" w:eastAsia="zh-CN"/>
        </w:rPr>
        <w:t>22</w:t>
      </w:r>
      <w:r>
        <w:rPr>
          <w:rFonts w:hint="eastAsia" w:ascii="方正小标宋简体" w:hAnsi="宋体" w:eastAsia="方正小标宋简体" w:cs="Times New Roman"/>
          <w:kern w:val="0"/>
          <w:sz w:val="40"/>
          <w:szCs w:val="44"/>
        </w:rPr>
        <w:t>年</w:t>
      </w:r>
      <w:r>
        <w:rPr>
          <w:rFonts w:hint="eastAsia" w:ascii="方正小标宋简体" w:hAnsi="宋体" w:eastAsia="方正小标宋简体" w:cs="Times New Roman"/>
          <w:kern w:val="0"/>
          <w:sz w:val="40"/>
          <w:szCs w:val="44"/>
          <w:lang w:eastAsia="zh-CN"/>
        </w:rPr>
        <w:t>苍溪县人民法院</w:t>
      </w:r>
      <w:r>
        <w:rPr>
          <w:rFonts w:hint="eastAsia" w:ascii="方正小标宋简体" w:hAnsi="宋体" w:eastAsia="方正小标宋简体" w:cs="Times New Roman"/>
          <w:kern w:val="0"/>
          <w:sz w:val="40"/>
          <w:szCs w:val="44"/>
        </w:rPr>
        <w:t>整体绩效评价报告</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ind w:firstLine="800" w:firstLineChars="250"/>
        <w:rPr>
          <w:rFonts w:hint="eastAsia"/>
          <w:lang w:val="zh-CN"/>
        </w:rPr>
      </w:pPr>
      <w:r>
        <w:rPr>
          <w:rFonts w:hint="eastAsia" w:ascii="仿宋" w:hAnsi="仿宋" w:eastAsia="仿宋"/>
          <w:color w:val="000000" w:themeColor="text1"/>
          <w:sz w:val="32"/>
          <w:szCs w:val="32"/>
          <w14:textFill>
            <w14:solidFill>
              <w14:schemeClr w14:val="tx1"/>
            </w14:solidFill>
          </w14:textFill>
        </w:rPr>
        <w:t>苍溪县人民法院</w:t>
      </w:r>
      <w:r>
        <w:rPr>
          <w:rFonts w:hint="default" w:ascii="仿宋" w:hAnsi="仿宋" w:eastAsia="仿宋"/>
          <w:color w:val="000000" w:themeColor="text1"/>
          <w:sz w:val="32"/>
          <w:szCs w:val="32"/>
          <w14:textFill>
            <w14:solidFill>
              <w14:schemeClr w14:val="tx1"/>
            </w14:solidFill>
          </w14:textFill>
          <w:woUserID w:val="2"/>
        </w:rPr>
        <w:t>无</w:t>
      </w:r>
      <w:r>
        <w:rPr>
          <w:rFonts w:hint="eastAsia" w:ascii="仿宋" w:hAnsi="仿宋" w:eastAsia="仿宋"/>
          <w:color w:val="000000" w:themeColor="text1"/>
          <w:sz w:val="32"/>
          <w:szCs w:val="32"/>
          <w14:textFill>
            <w14:solidFill>
              <w14:schemeClr w14:val="tx1"/>
            </w14:solidFill>
          </w14:textFill>
        </w:rPr>
        <w:t>下属二级单位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个，参照公务员法管理的事业单位</w:t>
      </w:r>
      <w:r>
        <w:rPr>
          <w:rFonts w:hint="eastAsia" w:ascii="仿宋" w:hAnsi="仿宋" w:eastAsia="仿宋"/>
          <w:bCs/>
          <w:color w:val="000000" w:themeColor="text1"/>
          <w:sz w:val="32"/>
          <w:szCs w:val="32"/>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个，其他事业单位0个。</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pStyle w:val="8"/>
        <w:ind w:firstLine="640" w:firstLineChars="200"/>
        <w:rPr>
          <w:rFonts w:hint="eastAsia" w:ascii="仿宋" w:hAnsi="仿宋" w:eastAsia="仿宋" w:cs="宋体"/>
          <w:color w:val="000000"/>
          <w:kern w:val="0"/>
          <w:sz w:val="32"/>
          <w:szCs w:val="32"/>
          <w:shd w:val="clear" w:color="auto" w:fill="FFFFFF"/>
          <w:lang w:val="zh-CN" w:eastAsia="zh-CN" w:bidi="ar-SA"/>
        </w:rPr>
      </w:pPr>
      <w:r>
        <w:rPr>
          <w:rFonts w:hint="eastAsia" w:ascii="仿宋" w:hAnsi="仿宋" w:eastAsia="仿宋" w:cs="宋体"/>
          <w:color w:val="000000"/>
          <w:kern w:val="0"/>
          <w:sz w:val="32"/>
          <w:szCs w:val="32"/>
          <w:shd w:val="clear" w:color="auto" w:fill="FFFFFF"/>
          <w:lang w:val="zh-CN" w:eastAsia="zh-CN" w:bidi="ar-SA"/>
        </w:rPr>
        <w:t>机构职能：</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1．依法审判法律规定由基层法院管辖的刑事、民事、行政第一审案件。</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2．审判上级法院指定管辖、发回重审、本院一审案件发生法律效力后按审判监督程序进行再审的案件和申诉案件。</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3．复议本院作出的具有权利义务法律关系的各种决定。</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4．执行本院已发生法律效力的判决、裁定、决定和调解法律文书。</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5．依法行使司法决定权和执行权。</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6．负责办理审判工作中提出的具体适用法律方面问题的请示报告。</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7．对案件审理中发现的问题提出司法建议。</w:t>
      </w:r>
    </w:p>
    <w:p>
      <w:pPr>
        <w:adjustRightInd w:val="0"/>
        <w:snapToGrid w:val="0"/>
        <w:spacing w:line="580" w:lineRule="exact"/>
        <w:ind w:firstLine="640" w:firstLineChars="200"/>
        <w:contextualSpacing/>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8．负责本单位的思想政治、教育培训工作，协同有关部门管理本院机构设置、人员编制和中层领导班子。</w:t>
      </w:r>
    </w:p>
    <w:p>
      <w:pPr>
        <w:adjustRightInd w:val="0"/>
        <w:snapToGrid w:val="0"/>
        <w:spacing w:line="580" w:lineRule="exact"/>
        <w:ind w:firstLine="640" w:firstLineChars="200"/>
        <w:contextualSpacing/>
        <w:rPr>
          <w:rFonts w:hint="eastAsia"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9．参与社会治安综合治理及其他应由县法院负责的工作。</w:t>
      </w:r>
    </w:p>
    <w:p>
      <w:pPr>
        <w:adjustRightInd w:val="0"/>
        <w:snapToGrid w:val="0"/>
        <w:spacing w:line="580" w:lineRule="exact"/>
        <w:ind w:firstLine="640" w:firstLineChars="200"/>
        <w:contextualSpacing/>
        <w:rPr>
          <w:rFonts w:hint="eastAsia"/>
          <w:lang w:val="zh-CN"/>
        </w:rPr>
      </w:pPr>
      <w:r>
        <w:rPr>
          <w:rFonts w:hint="eastAsia" w:ascii="仿宋" w:hAnsi="仿宋" w:eastAsia="仿宋" w:cs="宋体"/>
          <w:color w:val="000000"/>
          <w:kern w:val="0"/>
          <w:sz w:val="32"/>
          <w:szCs w:val="32"/>
          <w:shd w:val="clear" w:color="auto" w:fill="FFFFFF"/>
          <w:lang w:eastAsia="zh-CN"/>
        </w:rPr>
        <w:t>人员概况：</w:t>
      </w:r>
      <w:r>
        <w:rPr>
          <w:rFonts w:hint="eastAsia" w:ascii="仿宋" w:hAnsi="仿宋" w:eastAsia="仿宋" w:cs="宋体"/>
          <w:color w:val="000000"/>
          <w:kern w:val="0"/>
          <w:sz w:val="32"/>
          <w:szCs w:val="32"/>
          <w:shd w:val="clear" w:color="auto" w:fill="FFFFFF"/>
        </w:rPr>
        <w:t>苍溪县人民法院实有编制内在职人数10</w:t>
      </w:r>
      <w:r>
        <w:rPr>
          <w:rFonts w:hint="eastAsia" w:ascii="仿宋" w:hAnsi="仿宋" w:eastAsia="仿宋" w:cs="宋体"/>
          <w:color w:val="000000"/>
          <w:kern w:val="0"/>
          <w:sz w:val="32"/>
          <w:szCs w:val="32"/>
          <w:shd w:val="clear" w:color="auto" w:fill="FFFFFF"/>
          <w:lang w:val="en-US" w:eastAsia="zh-CN"/>
        </w:rPr>
        <w:t>1</w:t>
      </w:r>
      <w:r>
        <w:rPr>
          <w:rFonts w:hint="eastAsia" w:ascii="仿宋" w:hAnsi="仿宋" w:eastAsia="仿宋" w:cs="宋体"/>
          <w:color w:val="000000"/>
          <w:kern w:val="0"/>
          <w:sz w:val="32"/>
          <w:szCs w:val="32"/>
          <w:shd w:val="clear" w:color="auto" w:fill="FFFFFF"/>
        </w:rPr>
        <w:t>人，其中：行政编制10</w:t>
      </w:r>
      <w:r>
        <w:rPr>
          <w:rFonts w:hint="eastAsia" w:ascii="仿宋" w:hAnsi="仿宋" w:eastAsia="仿宋" w:cs="宋体"/>
          <w:color w:val="000000"/>
          <w:kern w:val="0"/>
          <w:sz w:val="32"/>
          <w:szCs w:val="32"/>
          <w:shd w:val="clear" w:color="auto" w:fill="FFFFFF"/>
          <w:lang w:val="en-US" w:eastAsia="zh-CN"/>
        </w:rPr>
        <w:t>1</w:t>
      </w:r>
      <w:r>
        <w:rPr>
          <w:rFonts w:hint="eastAsia" w:ascii="仿宋" w:hAnsi="仿宋" w:eastAsia="仿宋" w:cs="宋体"/>
          <w:color w:val="000000"/>
          <w:kern w:val="0"/>
          <w:sz w:val="32"/>
          <w:szCs w:val="32"/>
          <w:shd w:val="clear" w:color="auto" w:fill="FFFFFF"/>
        </w:rPr>
        <w:t>人。有临聘人员</w:t>
      </w:r>
      <w:r>
        <w:rPr>
          <w:rFonts w:hint="eastAsia" w:ascii="仿宋" w:hAnsi="仿宋" w:eastAsia="仿宋" w:cs="宋体"/>
          <w:color w:val="000000"/>
          <w:kern w:val="0"/>
          <w:sz w:val="32"/>
          <w:szCs w:val="32"/>
          <w:shd w:val="clear" w:color="auto" w:fill="FFFFFF"/>
          <w:lang w:val="en-US" w:eastAsia="zh-CN"/>
        </w:rPr>
        <w:t>66</w:t>
      </w:r>
      <w:r>
        <w:rPr>
          <w:rFonts w:hint="eastAsia" w:ascii="仿宋" w:hAnsi="仿宋" w:eastAsia="仿宋" w:cs="宋体"/>
          <w:color w:val="000000"/>
          <w:kern w:val="0"/>
          <w:sz w:val="32"/>
          <w:szCs w:val="32"/>
          <w:shd w:val="clear" w:color="auto" w:fill="FFFFFF"/>
        </w:rPr>
        <w:t>人。</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pStyle w:val="15"/>
        <w:widowControl/>
        <w:shd w:val="clear" w:color="auto" w:fill="FFFFFF"/>
        <w:spacing w:line="580" w:lineRule="atLeast"/>
        <w:ind w:firstLine="640" w:firstLineChars="200"/>
        <w:rPr>
          <w:rFonts w:hint="eastAsia" w:ascii="仿宋" w:hAnsi="仿宋" w:eastAsia="仿宋" w:cs="仿宋"/>
          <w:sz w:val="32"/>
          <w:szCs w:val="32"/>
          <w:lang w:val="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苍溪县人民法院</w:t>
      </w:r>
      <w:r>
        <w:rPr>
          <w:rFonts w:hint="eastAsia" w:ascii="仿宋" w:hAnsi="仿宋" w:eastAsia="仿宋" w:cs="仿宋"/>
          <w:color w:val="000000"/>
          <w:sz w:val="32"/>
          <w:szCs w:val="32"/>
        </w:rPr>
        <w:t>法院将在县委的坚强领导下，全面贯彻落实县第十四次党代会和县委十四届历次全会精神以及本次会议各项决策部署，立足审判职能，踔厉奋发、勇毅前行，埋头苦干、拼搏实干，奋力推动法院各项工作高质量发展，为以中国式现代化引领苍溪现代化建设，在新征程上奋力谱写苍溪发展新篇章贡献更多智慧和力量！</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抓好审判工作、执行工作服务全县发展大局，保障审判、执行工作的顺利开展。保障当年案件审判执行优质高效完成，提升人民法院在群众心中的形象。加强法院内部建设，改善干警工作环境，提升干警工作效率。对外开展法治宣传让更多的人民群众懂法、守法、依法。继续开展扫黑除恶工作，维护社会安定，服务发展大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苍溪县人民法院2022年总体收入2583.08万元。</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部门总体支出情况</w:t>
      </w:r>
    </w:p>
    <w:p>
      <w:pPr>
        <w:widowControl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苍溪县人民法院2022年总体支出2455.86万元。</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部门总体结转结余情况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苍溪县人民法院2022年总体结转结余127.22万元。</w:t>
      </w:r>
    </w:p>
    <w:p>
      <w:pPr>
        <w:keepNext w:val="0"/>
        <w:keepLines w:val="0"/>
        <w:pageBreakBefore w:val="0"/>
        <w:widowControl/>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widowControl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苍溪县人民法院2022年部门财政拨款总体收入2583.08万元。</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部门财政拨款支出情况</w:t>
      </w:r>
    </w:p>
    <w:p>
      <w:pPr>
        <w:widowControl w:val="0"/>
        <w:ind w:firstLine="640" w:firstLineChars="200"/>
        <w:jc w:val="both"/>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苍溪县人民法院2022年部门财政拨款总体支出2455.86万元。</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Times New Roman"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部门</w:t>
      </w:r>
      <w:r>
        <w:rPr>
          <w:rFonts w:hint="eastAsia" w:ascii="Times New Roman" w:hAnsi="仿宋_GB2312" w:eastAsia="仿宋_GB2312" w:cs="仿宋_GB2312"/>
          <w:b w:val="0"/>
          <w:bCs w:val="0"/>
          <w:color w:val="000000"/>
          <w:kern w:val="0"/>
          <w:sz w:val="32"/>
          <w:szCs w:val="32"/>
          <w:highlight w:val="none"/>
          <w:shd w:val="clear" w:color="auto" w:fill="FFFFFF"/>
          <w:lang w:val="en-US" w:eastAsia="zh-CN"/>
        </w:rPr>
        <w:t>财政拨款结转结余情况</w:t>
      </w:r>
    </w:p>
    <w:p>
      <w:pPr>
        <w:widowControl w:val="0"/>
        <w:ind w:firstLine="640" w:firstLineChars="200"/>
        <w:jc w:val="both"/>
        <w:rPr>
          <w:rFonts w:hint="default"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bidi="ar-SA"/>
        </w:rPr>
        <w:t>苍溪县人民法院2022年部门财政拨款结转结余127.22万元。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zh-CN"/>
        </w:rPr>
        <w:t>我院根据年初在职人数及</w:t>
      </w:r>
      <w:r>
        <w:rPr>
          <w:rFonts w:hint="eastAsia" w:ascii="仿宋_GB2312" w:hAnsi="宋体" w:eastAsia="仿宋_GB2312" w:cs="宋体"/>
          <w:b w:val="0"/>
          <w:bCs w:val="0"/>
          <w:color w:val="000000"/>
          <w:kern w:val="0"/>
          <w:sz w:val="32"/>
          <w:szCs w:val="32"/>
          <w:highlight w:val="none"/>
          <w:shd w:val="clear" w:color="auto" w:fill="FFFFFF"/>
          <w:lang w:val="en-US" w:eastAsia="zh-CN"/>
        </w:rPr>
        <w:t>1月分人员工资预算全年人员经费，完成了全年的人员经费支出，保障了人员经费的按时发放，严格控制资金支出，不占用挪用资金，执行率94.79%，未执行完毕，其主要原因是由于我院年底要进行司改绩效考核，考核结果在第二年年初出来，因为这部分考核资金结转到2023年支付。</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运转类项目绩效分析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sz w:val="32"/>
          <w:lang w:val="en-US" w:eastAsia="zh-CN"/>
        </w:rPr>
      </w:pPr>
      <w:r>
        <w:rPr>
          <w:rFonts w:hint="eastAsia" w:ascii="仿宋_GB2312" w:hAnsi="宋体" w:eastAsia="仿宋_GB2312" w:cs="宋体"/>
          <w:b w:val="0"/>
          <w:bCs w:val="0"/>
          <w:color w:val="000000"/>
          <w:kern w:val="0"/>
          <w:sz w:val="32"/>
          <w:szCs w:val="32"/>
          <w:highlight w:val="none"/>
          <w:shd w:val="clear" w:color="auto" w:fill="FFFFFF"/>
          <w:lang w:val="zh-CN"/>
        </w:rPr>
        <w:t>我院根据年初在职人数</w:t>
      </w:r>
      <w:r>
        <w:rPr>
          <w:rFonts w:hint="eastAsia" w:ascii="仿宋_GB2312" w:hAnsi="宋体" w:eastAsia="仿宋_GB2312" w:cs="宋体"/>
          <w:b w:val="0"/>
          <w:bCs w:val="0"/>
          <w:color w:val="000000"/>
          <w:kern w:val="0"/>
          <w:sz w:val="32"/>
          <w:szCs w:val="32"/>
          <w:highlight w:val="none"/>
          <w:shd w:val="clear" w:color="auto" w:fill="FFFFFF"/>
          <w:lang w:val="en-US" w:eastAsia="zh-CN"/>
        </w:rPr>
        <w:t>104人，人均1.5万预算2022年运转类公用经费，完成了全年的运转类公用经费的支出，保障了我院基本运转，严格控制资金支出，不占用挪用资金，执行率100%。执行完毕。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3.特定目标类项目绩效分析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b w:val="0"/>
          <w:bCs w:val="0"/>
          <w:color w:val="000000"/>
          <w:kern w:val="0"/>
          <w:sz w:val="32"/>
          <w:szCs w:val="32"/>
          <w:highlight w:val="none"/>
          <w:shd w:val="clear" w:color="auto" w:fill="FFFFFF"/>
          <w:lang w:val="en-US" w:eastAsia="zh-CN"/>
        </w:rPr>
      </w:pPr>
      <w:r>
        <w:rPr>
          <w:rFonts w:hint="eastAsia" w:ascii="仿宋_GB2312" w:hAnsi="宋体" w:eastAsia="仿宋_GB2312" w:cs="宋体"/>
          <w:b w:val="0"/>
          <w:bCs w:val="0"/>
          <w:color w:val="000000"/>
          <w:kern w:val="0"/>
          <w:sz w:val="32"/>
          <w:szCs w:val="32"/>
          <w:highlight w:val="none"/>
          <w:shd w:val="clear" w:color="auto" w:fill="FFFFFF"/>
          <w:lang w:val="en-US" w:eastAsia="zh-CN"/>
        </w:rPr>
        <w:t>我院根据近几年实际支出数，预算我院所需的特定项目，完成了我院特定项目的支出，保障了我院办案及业务装备的需求，提升了法院在人民群众中的形象，严格控制资金支出，不占用挪用资金，执行率92%，主要原因是转移支付到达时间较晚，我院部分业务装备采购流程尚未走完，故部分资金结转到第二年使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b w:val="0"/>
          <w:bCs w:val="0"/>
          <w:color w:val="000000"/>
          <w:kern w:val="0"/>
          <w:sz w:val="32"/>
          <w:szCs w:val="32"/>
          <w:highlight w:val="none"/>
          <w:shd w:val="clear" w:color="auto" w:fill="FFFFFF"/>
          <w:lang w:val="zh-CN"/>
        </w:rPr>
      </w:pPr>
      <w:r>
        <w:rPr>
          <w:rFonts w:hint="eastAsia" w:ascii="仿宋_GB2312" w:hAnsi="宋体" w:eastAsia="仿宋_GB2312" w:cs="宋体"/>
          <w:b w:val="0"/>
          <w:bCs w:val="0"/>
          <w:color w:val="000000"/>
          <w:kern w:val="0"/>
          <w:sz w:val="32"/>
          <w:szCs w:val="32"/>
          <w:highlight w:val="none"/>
          <w:shd w:val="clear" w:color="auto" w:fill="FFFFFF"/>
          <w:lang w:val="zh-CN" w:eastAsia="zh-CN"/>
        </w:rPr>
        <w:t>我院2022年整体目标完成情况较好，拨款</w:t>
      </w:r>
      <w:r>
        <w:rPr>
          <w:rFonts w:hint="eastAsia" w:ascii="仿宋_GB2312" w:hAnsi="宋体" w:eastAsia="仿宋_GB2312" w:cs="宋体"/>
          <w:b w:val="0"/>
          <w:bCs w:val="0"/>
          <w:color w:val="000000"/>
          <w:kern w:val="0"/>
          <w:sz w:val="32"/>
          <w:szCs w:val="32"/>
          <w:highlight w:val="none"/>
          <w:shd w:val="clear" w:color="auto" w:fill="FFFFFF"/>
          <w:lang w:val="en-US" w:eastAsia="zh-CN"/>
        </w:rPr>
        <w:t>2583.08</w:t>
      </w:r>
      <w:r>
        <w:rPr>
          <w:rFonts w:hint="eastAsia" w:ascii="仿宋_GB2312" w:hAnsi="宋体" w:eastAsia="仿宋_GB2312" w:cs="宋体"/>
          <w:b w:val="0"/>
          <w:bCs w:val="0"/>
          <w:color w:val="000000"/>
          <w:kern w:val="0"/>
          <w:sz w:val="32"/>
          <w:szCs w:val="32"/>
          <w:highlight w:val="none"/>
          <w:shd w:val="clear" w:color="auto" w:fill="FFFFFF"/>
          <w:lang w:val="zh-CN" w:eastAsia="zh-CN"/>
        </w:rPr>
        <w:t>万，支付</w:t>
      </w:r>
      <w:r>
        <w:rPr>
          <w:rFonts w:hint="eastAsia" w:ascii="仿宋_GB2312" w:hAnsi="宋体" w:eastAsia="仿宋_GB2312" w:cs="宋体"/>
          <w:b w:val="0"/>
          <w:bCs w:val="0"/>
          <w:color w:val="000000"/>
          <w:kern w:val="0"/>
          <w:sz w:val="32"/>
          <w:szCs w:val="32"/>
          <w:highlight w:val="none"/>
          <w:shd w:val="clear" w:color="auto" w:fill="FFFFFF"/>
          <w:lang w:val="en-US" w:eastAsia="zh-CN"/>
        </w:rPr>
        <w:t>2455.86</w:t>
      </w:r>
      <w:r>
        <w:rPr>
          <w:rFonts w:hint="eastAsia" w:ascii="仿宋_GB2312" w:hAnsi="宋体" w:eastAsia="仿宋_GB2312" w:cs="宋体"/>
          <w:b w:val="0"/>
          <w:bCs w:val="0"/>
          <w:color w:val="000000"/>
          <w:kern w:val="0"/>
          <w:sz w:val="32"/>
          <w:szCs w:val="32"/>
          <w:highlight w:val="none"/>
          <w:shd w:val="clear" w:color="auto" w:fill="FFFFFF"/>
          <w:lang w:val="zh-CN" w:eastAsia="zh-CN"/>
        </w:rPr>
        <w:t>万，完成执行进度</w:t>
      </w:r>
      <w:r>
        <w:rPr>
          <w:rFonts w:hint="eastAsia" w:ascii="仿宋_GB2312" w:hAnsi="宋体" w:eastAsia="仿宋_GB2312" w:cs="宋体"/>
          <w:b w:val="0"/>
          <w:bCs w:val="0"/>
          <w:color w:val="000000"/>
          <w:kern w:val="0"/>
          <w:sz w:val="32"/>
          <w:szCs w:val="32"/>
          <w:highlight w:val="none"/>
          <w:shd w:val="clear" w:color="auto" w:fill="FFFFFF"/>
          <w:lang w:val="en-US" w:eastAsia="zh-CN"/>
        </w:rPr>
        <w:t>95.07</w:t>
      </w:r>
      <w:r>
        <w:rPr>
          <w:rFonts w:hint="eastAsia" w:ascii="仿宋_GB2312" w:hAnsi="宋体" w:eastAsia="仿宋_GB2312" w:cs="宋体"/>
          <w:b w:val="0"/>
          <w:bCs w:val="0"/>
          <w:color w:val="000000"/>
          <w:kern w:val="0"/>
          <w:sz w:val="32"/>
          <w:szCs w:val="32"/>
          <w:highlight w:val="none"/>
          <w:shd w:val="clear" w:color="auto" w:fill="FFFFFF"/>
          <w:lang w:val="zh-CN" w:eastAsia="zh-CN"/>
        </w:rPr>
        <w:t>%。</w:t>
      </w:r>
      <w:r>
        <w:rPr>
          <w:rFonts w:hint="eastAsia" w:ascii="仿宋" w:hAnsi="仿宋" w:eastAsia="仿宋" w:cs="仿宋"/>
          <w:color w:val="000000"/>
          <w:kern w:val="0"/>
          <w:sz w:val="32"/>
          <w:szCs w:val="32"/>
          <w:shd w:val="clear" w:color="auto" w:fill="FFFFFF"/>
          <w:lang w:val="en-US" w:eastAsia="zh-CN"/>
        </w:rPr>
        <w:t>2022年度绩效目标申报4个数量指标、3个质量指标、1个时效指标、1个成本指标、1个社会效益指标、2个满意度指标，目标实现均达到完成预期指标，占比100%。</w:t>
      </w:r>
      <w:r>
        <w:rPr>
          <w:rFonts w:hint="eastAsia" w:ascii="仿宋_GB2312" w:hAnsi="宋体" w:eastAsia="仿宋_GB2312" w:cs="宋体"/>
          <w:b w:val="0"/>
          <w:bCs w:val="0"/>
          <w:color w:val="000000"/>
          <w:kern w:val="0"/>
          <w:sz w:val="32"/>
          <w:szCs w:val="32"/>
          <w:highlight w:val="none"/>
          <w:shd w:val="clear" w:color="auto" w:fill="FFFFFF"/>
          <w:lang w:val="zh-CN" w:eastAsia="zh-CN"/>
        </w:rPr>
        <w:t>办理办结案件8575件，维护了社会的公平正义。全年组织办案业务培训及会议40多次，提高审判人员的专业素养。保障了警车运行及相关维护，提升了干警办案效率。保障了全年的办公设备购置及办案业务用房维修，改善了干警办公环境，保障干警办公期间的人身安全。维护我院网络设备，促进了案件审理及执行工作顺利开展。</w:t>
      </w:r>
    </w:p>
    <w:p>
      <w:pPr>
        <w:keepNext w:val="0"/>
        <w:keepLines w:val="0"/>
        <w:pageBreakBefore w:val="0"/>
        <w:widowControl/>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b w:val="0"/>
          <w:bCs w:val="0"/>
          <w:color w:val="000000"/>
          <w:kern w:val="0"/>
          <w:sz w:val="32"/>
          <w:szCs w:val="32"/>
          <w:highlight w:val="none"/>
          <w:shd w:val="clear" w:color="auto" w:fill="FFFFFF"/>
          <w:lang w:val="zh-CN" w:eastAsia="zh-CN"/>
        </w:rPr>
      </w:pPr>
      <w:r>
        <w:rPr>
          <w:rFonts w:hint="eastAsia" w:ascii="仿宋" w:hAnsi="仿宋" w:eastAsia="仿宋" w:cs="仿宋"/>
          <w:color w:val="000000"/>
          <w:kern w:val="0"/>
          <w:sz w:val="32"/>
          <w:szCs w:val="32"/>
          <w:shd w:val="clear" w:color="auto" w:fill="FFFFFF"/>
          <w:lang w:val="zh-CN"/>
        </w:rPr>
        <w:t>我</w:t>
      </w:r>
      <w:r>
        <w:rPr>
          <w:rFonts w:hint="eastAsia" w:ascii="仿宋_GB2312" w:hAnsi="宋体" w:eastAsia="仿宋_GB2312" w:cs="宋体"/>
          <w:b w:val="0"/>
          <w:bCs w:val="0"/>
          <w:color w:val="000000"/>
          <w:kern w:val="0"/>
          <w:sz w:val="32"/>
          <w:szCs w:val="32"/>
          <w:highlight w:val="none"/>
          <w:shd w:val="clear" w:color="auto" w:fill="FFFFFF"/>
          <w:lang w:val="zh-CN" w:eastAsia="zh-CN"/>
        </w:rPr>
        <w:t>院绩效目标管理严格按照财政绩效管理要求管理编报预算项目绩效目标，且绩效目标真实、可行、科学，整体运行良好，并按要求将相关绩效信息随同决算公开。</w:t>
      </w:r>
    </w:p>
    <w:p>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sz w:val="32"/>
          <w:highlight w:val="none"/>
          <w:lang w:val="en-US" w:eastAsia="zh-CN"/>
        </w:rPr>
      </w:pPr>
      <w:r>
        <w:rPr>
          <w:rFonts w:hint="eastAsia" w:ascii="Times New Roman" w:hAnsi="Times New Roman" w:eastAsia="仿宋_GB2312" w:cs="Times New Roman"/>
          <w:b w:val="0"/>
          <w:bCs w:val="0"/>
          <w:sz w:val="32"/>
          <w:highlight w:val="none"/>
          <w:lang w:val="en-US" w:eastAsia="zh-CN"/>
        </w:rPr>
        <w:t>我院按要求对绩效进行自评，绩效自评真实可靠，符合财政局相关规定。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lang w:val="zh-CN"/>
        </w:rPr>
      </w:pPr>
      <w:r>
        <w:rPr>
          <w:rFonts w:hint="eastAsia" w:ascii="仿宋" w:hAnsi="仿宋" w:eastAsia="仿宋" w:cs="仿宋"/>
          <w:color w:val="000000"/>
          <w:kern w:val="0"/>
          <w:sz w:val="32"/>
          <w:szCs w:val="32"/>
          <w:shd w:val="clear" w:color="auto" w:fill="FFFFFF"/>
          <w:lang w:val="zh-CN"/>
        </w:rPr>
        <w:t>通过绩效自评，</w:t>
      </w:r>
      <w:r>
        <w:rPr>
          <w:rFonts w:hint="eastAsia" w:ascii="仿宋" w:hAnsi="仿宋" w:eastAsia="仿宋" w:cs="仿宋"/>
          <w:color w:val="000000"/>
          <w:kern w:val="0"/>
          <w:sz w:val="32"/>
          <w:szCs w:val="32"/>
          <w:shd w:val="clear" w:color="auto" w:fill="FFFFFF"/>
          <w:lang w:val="en-US" w:eastAsia="zh-CN"/>
        </w:rPr>
        <w:t>2022年整体支出政策依据充分，目标制定明确；按照计划有序实施，经费使用严格按照相关财务管理制度执行，对资金的使用监管有力有效。整个支出实施达到了预期的绩效目标。</w:t>
      </w:r>
    </w:p>
    <w:p>
      <w:pPr>
        <w:keepNext w:val="0"/>
        <w:keepLines w:val="0"/>
        <w:pageBreakBefore w:val="0"/>
        <w:widowControl/>
        <w:numPr>
          <w:ilvl w:val="0"/>
          <w:numId w:val="12"/>
        </w:numPr>
        <w:kinsoku/>
        <w:wordWrap/>
        <w:overflowPunct/>
        <w:topLinePunct w:val="0"/>
        <w:autoSpaceDE/>
        <w:autoSpaceDN/>
        <w:bidi w:val="0"/>
        <w:adjustRightInd w:val="0"/>
        <w:snapToGrid w:val="0"/>
        <w:spacing w:line="560" w:lineRule="exact"/>
        <w:ind w:firstLine="641"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pStyle w:val="2"/>
        <w:numPr>
          <w:ilvl w:val="0"/>
          <w:numId w:val="0"/>
        </w:numPr>
        <w:ind w:firstLine="640" w:firstLineChars="200"/>
        <w:rPr>
          <w:rFonts w:hint="eastAsia"/>
          <w:lang w:val="zh-CN"/>
        </w:rPr>
      </w:pPr>
      <w:r>
        <w:rPr>
          <w:rFonts w:hint="eastAsia" w:ascii="仿宋" w:hAnsi="仿宋" w:eastAsia="仿宋" w:cs="仿宋"/>
          <w:color w:val="000000"/>
          <w:kern w:val="0"/>
          <w:sz w:val="32"/>
          <w:szCs w:val="32"/>
          <w:shd w:val="clear" w:color="auto" w:fill="FFFFFF"/>
          <w:lang w:val="en-US" w:eastAsia="zh-CN"/>
        </w:rPr>
        <w:t>根据绩效评价工作要求，对自评工作进行了认真研究部署，并取得了较好的效果，梳理出存在的问题主要是对定性指标的评议上，由于采取问卷形式的自评，部分参与评价人员对指标不熟悉，不能客观地对本部门的支出绩效进行有效评价。</w:t>
      </w:r>
    </w:p>
    <w:p>
      <w:pPr>
        <w:keepNext w:val="0"/>
        <w:keepLines w:val="0"/>
        <w:pageBreakBefore w:val="0"/>
        <w:widowControl/>
        <w:numPr>
          <w:ilvl w:val="0"/>
          <w:numId w:val="12"/>
        </w:numPr>
        <w:kinsoku/>
        <w:wordWrap/>
        <w:overflowPunct/>
        <w:topLinePunct w:val="0"/>
        <w:autoSpaceDE/>
        <w:autoSpaceDN/>
        <w:bidi w:val="0"/>
        <w:adjustRightInd w:val="0"/>
        <w:snapToGrid w:val="0"/>
        <w:spacing w:line="560" w:lineRule="exact"/>
        <w:ind w:left="0" w:leftChars="0" w:firstLine="641" w:firstLineChars="200"/>
        <w:contextualSpacing/>
        <w:jc w:val="left"/>
        <w:textAlignment w:val="auto"/>
        <w:rPr>
          <w:rFonts w:hint="eastAsia" w:ascii="仿宋" w:hAnsi="仿宋" w:eastAsia="仿宋" w:cs="仿宋"/>
          <w:color w:val="000000"/>
          <w:kern w:val="0"/>
          <w:sz w:val="32"/>
          <w:szCs w:val="32"/>
          <w:shd w:val="clear" w:color="auto" w:fill="FFFFFF"/>
          <w:lang w:val="en-US"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lang w:val="en-US" w:eastAsia="zh-CN"/>
        </w:rPr>
      </w:pPr>
      <w:r>
        <w:rPr>
          <w:rFonts w:hint="eastAsia" w:ascii="仿宋" w:hAnsi="仿宋" w:eastAsia="仿宋" w:cs="仿宋"/>
          <w:color w:val="000000"/>
          <w:kern w:val="0"/>
          <w:sz w:val="32"/>
          <w:szCs w:val="32"/>
          <w:shd w:val="clear" w:color="auto" w:fill="FFFFFF"/>
          <w:lang w:val="en-US" w:eastAsia="zh-CN" w:bidi="ar-SA"/>
        </w:rPr>
        <w:t>一是加大对财务人员的业务培训力度，夯实财务理论基础，提高业务水平，增强工作效率；二是加大经费投入，提高预算基数，按申报项目资金有效预算；三是厉行勤俭节约，坚决执行中央八项规定，切实加强“三公”经费的管理，确保“三公”经费只减不增。今后在编制预算中，进一步重视预算的编制工作，提高预算编制的精确度，在预算执行中严格遵循“先有预算、后有支出”的原则，认真执行各项资金使用管理制度，确保各项支出真实合理，有效提升工作绩效。</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zh-CN" w:eastAsia="zh-CN"/>
        </w:rPr>
        <w:t>附表：</w:t>
      </w:r>
      <w:r>
        <w:rPr>
          <w:rFonts w:hint="eastAsia" w:ascii="仿宋" w:hAnsi="仿宋" w:eastAsia="仿宋" w:cs="仿宋"/>
          <w:b/>
          <w:bCs/>
          <w:color w:val="auto"/>
          <w:sz w:val="28"/>
          <w:szCs w:val="28"/>
          <w:highlight w:val="none"/>
          <w:lang w:val="en-US" w:eastAsia="zh-CN"/>
        </w:rPr>
        <w:t xml:space="preserve">部门预算项目支出绩效自评表（2022年度） </w:t>
      </w:r>
      <w:r>
        <w:rPr>
          <w:rFonts w:hint="eastAsia" w:ascii="仿宋" w:hAnsi="仿宋" w:eastAsia="仿宋" w:cs="仿宋"/>
          <w:b/>
          <w:bCs/>
          <w:color w:val="000000"/>
          <w:kern w:val="0"/>
          <w:sz w:val="28"/>
          <w:szCs w:val="28"/>
        </w:rPr>
        <w:t>单</w:t>
      </w:r>
      <w:r>
        <w:rPr>
          <w:rFonts w:hint="eastAsia" w:ascii="仿宋" w:hAnsi="仿宋" w:eastAsia="仿宋" w:cs="仿宋"/>
          <w:b/>
          <w:bCs/>
          <w:color w:val="auto"/>
          <w:sz w:val="28"/>
          <w:szCs w:val="28"/>
          <w:highlight w:val="none"/>
          <w:lang w:val="en-US" w:eastAsia="zh-CN"/>
        </w:rPr>
        <w:t>位：万元</w:t>
      </w:r>
    </w:p>
    <w:tbl>
      <w:tblPr>
        <w:tblStyle w:val="16"/>
        <w:tblW w:w="10531" w:type="dxa"/>
        <w:jc w:val="center"/>
        <w:tblLayout w:type="autofit"/>
        <w:tblCellMar>
          <w:top w:w="0" w:type="dxa"/>
          <w:left w:w="108" w:type="dxa"/>
          <w:bottom w:w="0" w:type="dxa"/>
          <w:right w:w="108" w:type="dxa"/>
        </w:tblCellMar>
      </w:tblPr>
      <w:tblGrid>
        <w:gridCol w:w="930"/>
        <w:gridCol w:w="950"/>
        <w:gridCol w:w="756"/>
        <w:gridCol w:w="1541"/>
        <w:gridCol w:w="608"/>
        <w:gridCol w:w="756"/>
        <w:gridCol w:w="586"/>
        <w:gridCol w:w="846"/>
        <w:gridCol w:w="532"/>
        <w:gridCol w:w="803"/>
        <w:gridCol w:w="900"/>
        <w:gridCol w:w="1323"/>
      </w:tblGrid>
      <w:tr>
        <w:tblPrEx>
          <w:tblCellMar>
            <w:top w:w="0" w:type="dxa"/>
            <w:left w:w="108" w:type="dxa"/>
            <w:bottom w:w="0" w:type="dxa"/>
            <w:right w:w="108" w:type="dxa"/>
          </w:tblCellMar>
        </w:tblPrEx>
        <w:trPr>
          <w:trHeight w:val="268" w:hRule="atLeast"/>
          <w:jc w:val="center"/>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8641"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办案业务经费支出</w:t>
            </w:r>
          </w:p>
        </w:tc>
      </w:tr>
      <w:tr>
        <w:tblPrEx>
          <w:tblCellMar>
            <w:top w:w="0" w:type="dxa"/>
            <w:left w:w="108" w:type="dxa"/>
            <w:bottom w:w="0" w:type="dxa"/>
            <w:right w:w="108" w:type="dxa"/>
          </w:tblCellMar>
        </w:tblPrEx>
        <w:trPr>
          <w:trHeight w:val="260" w:hRule="atLeast"/>
          <w:jc w:val="center"/>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主管部门（盖章）</w:t>
            </w:r>
          </w:p>
        </w:tc>
        <w:tc>
          <w:tcPr>
            <w:tcW w:w="425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苍溪县人民法院</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实施单位 （盖章）</w:t>
            </w:r>
          </w:p>
        </w:tc>
        <w:tc>
          <w:tcPr>
            <w:tcW w:w="353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苍溪县人民法院</w:t>
            </w:r>
          </w:p>
        </w:tc>
      </w:tr>
      <w:tr>
        <w:tblPrEx>
          <w:tblCellMar>
            <w:top w:w="0" w:type="dxa"/>
            <w:left w:w="108" w:type="dxa"/>
            <w:bottom w:w="0" w:type="dxa"/>
            <w:right w:w="108" w:type="dxa"/>
          </w:tblCellMar>
        </w:tblPrEx>
        <w:trPr>
          <w:trHeight w:val="42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项目基本情况</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1.项目年度目标完成情况</w:t>
            </w:r>
          </w:p>
        </w:tc>
        <w:tc>
          <w:tcPr>
            <w:tcW w:w="425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项目年度目标</w:t>
            </w:r>
          </w:p>
        </w:tc>
        <w:tc>
          <w:tcPr>
            <w:tcW w:w="43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248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425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1.保障全年办理案件</w:t>
            </w:r>
            <w:r>
              <w:rPr>
                <w:rFonts w:hint="eastAsia" w:ascii="宋体" w:hAnsi="宋体" w:cs="宋体"/>
                <w:color w:val="000000"/>
                <w:kern w:val="0"/>
                <w:sz w:val="18"/>
                <w:szCs w:val="18"/>
                <w:lang w:val="en-US" w:eastAsia="zh-CN"/>
              </w:rPr>
              <w:t>2000</w:t>
            </w:r>
            <w:r>
              <w:rPr>
                <w:rFonts w:hint="eastAsia" w:ascii="宋体" w:hAnsi="宋体" w:cs="宋体"/>
                <w:color w:val="000000"/>
                <w:kern w:val="0"/>
                <w:sz w:val="18"/>
                <w:szCs w:val="18"/>
              </w:rPr>
              <w:t>多件。2.全年组织办案业务培训、会议</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多次。3.保障全年警车的运行及维护。4.大力打击黑恶势力，维护社会和平稳定。  5.维修维护审判庭桌椅设备、租赁音响，保障案件审判正常进行。6</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保障我院办公设备的购置及办案业务用房的维修。</w:t>
            </w:r>
            <w:r>
              <w:rPr>
                <w:rFonts w:hint="eastAsia" w:ascii="宋体" w:hAnsi="宋体" w:cs="宋体"/>
                <w:color w:val="000000"/>
                <w:kern w:val="0"/>
                <w:sz w:val="18"/>
                <w:szCs w:val="18"/>
                <w:lang w:val="en-US" w:eastAsia="zh-CN"/>
              </w:rPr>
              <w:t>7.</w:t>
            </w:r>
            <w:r>
              <w:rPr>
                <w:rFonts w:hint="eastAsia" w:ascii="宋体" w:hAnsi="宋体" w:cs="宋体"/>
                <w:color w:val="000000"/>
                <w:kern w:val="0"/>
                <w:sz w:val="18"/>
                <w:szCs w:val="18"/>
              </w:rPr>
              <w:t>维护我院网络设备，提升干警办公效率，保障审判顺利进行。</w:t>
            </w:r>
          </w:p>
        </w:tc>
        <w:tc>
          <w:tcPr>
            <w:tcW w:w="438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办理办结案件</w:t>
            </w:r>
            <w:r>
              <w:rPr>
                <w:rFonts w:hint="eastAsia" w:ascii="宋体" w:hAnsi="宋体" w:cs="宋体"/>
                <w:color w:val="000000"/>
                <w:kern w:val="0"/>
                <w:sz w:val="18"/>
                <w:szCs w:val="18"/>
                <w:lang w:val="en-US" w:eastAsia="zh-CN"/>
              </w:rPr>
              <w:t>2300</w:t>
            </w:r>
            <w:r>
              <w:rPr>
                <w:rFonts w:hint="eastAsia" w:ascii="宋体" w:hAnsi="宋体" w:cs="宋体"/>
                <w:color w:val="000000"/>
                <w:kern w:val="0"/>
                <w:sz w:val="18"/>
                <w:szCs w:val="18"/>
              </w:rPr>
              <w:t>件，维护了社会的公平正义。全年组织办案业务培训及会议</w:t>
            </w: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多次，提高审判人员的专业素养。保障了警车运行及相关维护，提升了干警办案效率。保障了全年的办公设备购置及办案业务用房维修，改善了干警办公环境，保障干警办公期间的人身安全。维护我院网络设备，促进了案件审理及执行工作顺利开展。</w:t>
            </w:r>
          </w:p>
        </w:tc>
      </w:tr>
      <w:tr>
        <w:tblPrEx>
          <w:tblCellMar>
            <w:top w:w="0" w:type="dxa"/>
            <w:left w:w="108" w:type="dxa"/>
            <w:bottom w:w="0" w:type="dxa"/>
            <w:right w:w="108" w:type="dxa"/>
          </w:tblCellMar>
        </w:tblPrEx>
        <w:trPr>
          <w:trHeight w:val="1396"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2.项目实施内容及过程概述</w:t>
            </w:r>
          </w:p>
        </w:tc>
        <w:tc>
          <w:tcPr>
            <w:tcW w:w="8641"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我院按要求拨付办案业务的相关费用，我院各办案部门按程序报销办案所需的相关费用，由领导审批后财务部门拨付相关补助，主要支付办案所需的差旅费，车辆运行维护费，办公用房维修维护费，法治宣传费用等，提高了我院的办案质量，提升了干警的工作效率，提升了法院在人民群众心中的形象。</w:t>
            </w:r>
          </w:p>
        </w:tc>
      </w:tr>
      <w:tr>
        <w:tblPrEx>
          <w:tblCellMar>
            <w:top w:w="0" w:type="dxa"/>
            <w:left w:w="108" w:type="dxa"/>
            <w:bottom w:w="0" w:type="dxa"/>
            <w:right w:w="108" w:type="dxa"/>
          </w:tblCellMar>
        </w:tblPrEx>
        <w:trPr>
          <w:trHeight w:val="380"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预算执行情况（10分）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年度预算数（万元）</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年初</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调整后预算数</w:t>
            </w: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预算执行率</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财政部门科室复评得分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45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总额</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9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其中：财政资金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19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75"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11"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6"/>
                <w:szCs w:val="16"/>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6"/>
                <w:szCs w:val="16"/>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91"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绩效</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指标（90分）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二级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指标值</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完成值</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部门自评得分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财政部门科室复评得分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未完成原因</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分析</w:t>
            </w:r>
          </w:p>
        </w:tc>
      </w:tr>
      <w:tr>
        <w:tblPrEx>
          <w:tblCellMar>
            <w:top w:w="0" w:type="dxa"/>
            <w:left w:w="108" w:type="dxa"/>
            <w:bottom w:w="0" w:type="dxa"/>
            <w:right w:w="108" w:type="dxa"/>
          </w:tblCellMar>
        </w:tblPrEx>
        <w:trPr>
          <w:trHeight w:val="18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restart"/>
            <w:tcBorders>
              <w:top w:val="single" w:color="000000" w:sz="4" w:space="0"/>
              <w:left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restart"/>
            <w:tcBorders>
              <w:top w:val="single" w:color="000000" w:sz="4" w:space="0"/>
              <w:left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保障办案数量</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2500</w:t>
            </w:r>
            <w:r>
              <w:rPr>
                <w:rFonts w:hint="eastAsia" w:ascii="宋体" w:hAnsi="宋体" w:cs="宋体"/>
                <w:color w:val="000000"/>
                <w:kern w:val="0"/>
                <w:sz w:val="18"/>
                <w:szCs w:val="18"/>
              </w:rPr>
              <w:t xml:space="preserve">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8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法官人均案件结案数（件）</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226.00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73"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办案及业务用房维修面积（平方米）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6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当年培训人次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586"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结案均衡度（%）</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8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一审判决案件改发率</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0.77%</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10"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生效案件改发率</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0.04%</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8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执行案件法定期限内执结率（%）</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99.96%</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219"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项目完成所需成本</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162.88</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162.88</w:t>
            </w:r>
            <w:r>
              <w:rPr>
                <w:rFonts w:hint="eastAsia" w:ascii="宋体" w:hAnsi="宋体" w:cs="宋体"/>
                <w:color w:val="000000"/>
                <w:kern w:val="0"/>
                <w:sz w:val="18"/>
                <w:szCs w:val="18"/>
              </w:rPr>
              <w:t>万</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469"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所达到社会影响</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80" w:lineRule="exact"/>
              <w:jc w:val="center"/>
              <w:rPr>
                <w:rFonts w:ascii="宋体" w:hAnsi="宋体" w:cs="宋体"/>
                <w:color w:val="000000"/>
                <w:kern w:val="0"/>
                <w:sz w:val="18"/>
                <w:szCs w:val="18"/>
              </w:rPr>
            </w:pPr>
            <w:r>
              <w:rPr>
                <w:rFonts w:hint="eastAsia" w:ascii="宋体" w:hAnsi="宋体" w:cs="宋体"/>
                <w:color w:val="000000"/>
                <w:kern w:val="0"/>
                <w:sz w:val="18"/>
                <w:szCs w:val="18"/>
              </w:rPr>
              <w:t>产生了较好的社会影响，提升了法院的形象。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18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人民群众对法院的满意度</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493" w:hRule="atLeast"/>
          <w:jc w:val="center"/>
        </w:trPr>
        <w:tc>
          <w:tcPr>
            <w:tcW w:w="6993"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99</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4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部门（单位）自评结论</w:t>
            </w:r>
          </w:p>
        </w:tc>
        <w:tc>
          <w:tcPr>
            <w:tcW w:w="9596"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根据专项绩效评定指标各项目量化评价，自评得分</w:t>
            </w:r>
            <w:r>
              <w:rPr>
                <w:rFonts w:hint="eastAsia" w:ascii="宋体" w:hAnsi="宋体" w:cs="宋体"/>
                <w:color w:val="000000"/>
                <w:kern w:val="0"/>
                <w:sz w:val="16"/>
                <w:szCs w:val="16"/>
                <w:lang w:val="en-US" w:eastAsia="zh-CN"/>
              </w:rPr>
              <w:t>99</w:t>
            </w:r>
            <w:r>
              <w:rPr>
                <w:rFonts w:hint="eastAsia" w:ascii="宋体" w:hAnsi="宋体" w:cs="宋体"/>
                <w:color w:val="000000"/>
                <w:kern w:val="0"/>
                <w:sz w:val="16"/>
                <w:szCs w:val="16"/>
              </w:rPr>
              <w:t>分，2022年，我院按要求拨付办案业务所需的相关费用，我院各办案部门按程序报销办案所需的相关费用，由领导审批后财务部门拨付相关补助，主要支付办案所需的差旅费，车辆运行维护费，办公用房维修维护费，法治宣传费用等，提高了我院的办案质量，提升了干警的工作效率，提升了法院在人民群众心中的形象。</w:t>
            </w:r>
          </w:p>
        </w:tc>
      </w:tr>
      <w:tr>
        <w:tblPrEx>
          <w:tblCellMar>
            <w:top w:w="0" w:type="dxa"/>
            <w:left w:w="108" w:type="dxa"/>
            <w:bottom w:w="0" w:type="dxa"/>
            <w:right w:w="108" w:type="dxa"/>
          </w:tblCellMar>
        </w:tblPrEx>
        <w:trPr>
          <w:trHeight w:val="1243"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部门（单位）自评存在问题</w:t>
            </w:r>
          </w:p>
        </w:tc>
        <w:tc>
          <w:tcPr>
            <w:tcW w:w="9596"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通过项目经费支出使用编写完成了项目的整体方案。但在项目的实施过程中有些工作还需要改进，主要问题是：对项目的项目支出按预算和工作进度执行需进一步规范，实际情况与预算不符合地方还需落实。</w:t>
            </w:r>
          </w:p>
        </w:tc>
      </w:tr>
      <w:tr>
        <w:tblPrEx>
          <w:tblCellMar>
            <w:top w:w="0" w:type="dxa"/>
            <w:left w:w="108" w:type="dxa"/>
            <w:bottom w:w="0" w:type="dxa"/>
            <w:right w:w="108" w:type="dxa"/>
          </w:tblCellMar>
        </w:tblPrEx>
        <w:trPr>
          <w:trHeight w:val="1227"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部门（单位）自评改进措施</w:t>
            </w:r>
          </w:p>
        </w:tc>
        <w:tc>
          <w:tcPr>
            <w:tcW w:w="9596"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加强项目开展进度的跟踪，开展项目绩效评价，确保项目资金得到充分合理的运用，实行专款专用，认真审查项目的各项流程是否符合财务会计制度。健全财务制度，规范会计核算，不截留、挤占、挪用或超标准开支情况。</w:t>
            </w:r>
          </w:p>
        </w:tc>
      </w:tr>
      <w:tr>
        <w:tblPrEx>
          <w:tblCellMar>
            <w:top w:w="0" w:type="dxa"/>
            <w:left w:w="108" w:type="dxa"/>
            <w:bottom w:w="0" w:type="dxa"/>
            <w:right w:w="108" w:type="dxa"/>
          </w:tblCellMar>
        </w:tblPrEx>
        <w:trPr>
          <w:trHeight w:val="2300"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财政部门对口科室复评结论及整改要求</w:t>
            </w:r>
          </w:p>
        </w:tc>
        <w:tc>
          <w:tcPr>
            <w:tcW w:w="9596"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宋体"/>
                <w:color w:val="000000"/>
                <w:kern w:val="0"/>
                <w:sz w:val="16"/>
                <w:szCs w:val="16"/>
              </w:rPr>
            </w:pPr>
          </w:p>
        </w:tc>
      </w:tr>
      <w:tr>
        <w:tblPrEx>
          <w:tblCellMar>
            <w:top w:w="0" w:type="dxa"/>
            <w:left w:w="108" w:type="dxa"/>
            <w:bottom w:w="0" w:type="dxa"/>
            <w:right w:w="108" w:type="dxa"/>
          </w:tblCellMar>
        </w:tblPrEx>
        <w:trPr>
          <w:trHeight w:val="773" w:hRule="atLeast"/>
          <w:jc w:val="center"/>
        </w:trPr>
        <w:tc>
          <w:tcPr>
            <w:tcW w:w="480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单位项目负责人：陈萍</w:t>
            </w:r>
          </w:p>
        </w:tc>
        <w:tc>
          <w:tcPr>
            <w:tcW w:w="572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单位财务负责人：李锦桦</w:t>
            </w:r>
          </w:p>
        </w:tc>
      </w:tr>
      <w:tr>
        <w:tblPrEx>
          <w:tblCellMar>
            <w:top w:w="0" w:type="dxa"/>
            <w:left w:w="108" w:type="dxa"/>
            <w:bottom w:w="0" w:type="dxa"/>
            <w:right w:w="108" w:type="dxa"/>
          </w:tblCellMar>
        </w:tblPrEx>
        <w:trPr>
          <w:trHeight w:val="769" w:hRule="atLeast"/>
          <w:jc w:val="center"/>
        </w:trPr>
        <w:tc>
          <w:tcPr>
            <w:tcW w:w="480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部门项目负责人：陈萍</w:t>
            </w:r>
          </w:p>
        </w:tc>
        <w:tc>
          <w:tcPr>
            <w:tcW w:w="572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部门财务负责人：李锦桦</w:t>
            </w:r>
          </w:p>
        </w:tc>
      </w:tr>
      <w:tr>
        <w:tblPrEx>
          <w:tblCellMar>
            <w:top w:w="0" w:type="dxa"/>
            <w:left w:w="108" w:type="dxa"/>
            <w:bottom w:w="0" w:type="dxa"/>
            <w:right w:w="108" w:type="dxa"/>
          </w:tblCellMar>
        </w:tblPrEx>
        <w:trPr>
          <w:trHeight w:val="921" w:hRule="atLeast"/>
          <w:jc w:val="center"/>
        </w:trPr>
        <w:tc>
          <w:tcPr>
            <w:tcW w:w="10531"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财政部门科室负责人：李锦桦</w:t>
            </w:r>
          </w:p>
        </w:tc>
      </w:tr>
    </w:tbl>
    <w:p/>
    <w:p>
      <w:pPr>
        <w:rPr>
          <w:rFonts w:hint="eastAsia"/>
          <w:lang w:val="zh-CN" w:eastAsia="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zh-CN"/>
        </w:rPr>
      </w:pPr>
    </w:p>
    <w:p>
      <w:pPr>
        <w:pStyle w:val="8"/>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8"/>
        <w:rPr>
          <w:rFonts w:hint="eastAsia" w:hAnsi="宋体" w:cs="宋体"/>
          <w:color w:val="auto"/>
          <w:kern w:val="0"/>
          <w:sz w:val="32"/>
          <w:szCs w:val="32"/>
          <w:highlight w:val="none"/>
          <w:shd w:val="clear" w:color="auto" w:fill="FFFFFF"/>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2022年苍溪县人民法院办案业务经费项目支出绩效自评报告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1．项目主管单位全面主持项目管理部各项工作，全部负责单位所有项目实施期间发生的费用，依据项目实际情况进行款项支付，提交成果，负责项目进度跟踪管理。</w:t>
      </w:r>
    </w:p>
    <w:p>
      <w:pPr>
        <w:snapToGrid w:val="0"/>
        <w:spacing w:line="600" w:lineRule="exact"/>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_GB2312" w:hAnsi="宋体" w:eastAsia="仿宋_GB2312" w:cs="Times New Roman"/>
          <w:sz w:val="32"/>
          <w:szCs w:val="32"/>
        </w:rPr>
        <w:t>根据我国依法治国的根本策略，让群众在每一个司法案件中感受公平正义的需求，拉近人民群众与法院的距离，消除院机关及派出法庭业务用房安全隐患，通过项目的实施，提升我院干警的办案效率，让案件审理在阳光下运行，使人民群众对法院的监督更加便捷有力，进一步提升司法公信力。评估认为，该项目立项依据充分</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eastAsia" w:ascii="Times New Roman" w:hAnsi="Times New Roman" w:eastAsia="仿宋_GB2312" w:cs="Times New Roman"/>
          <w:sz w:val="32"/>
          <w:szCs w:val="32"/>
        </w:rPr>
        <w:t>按照厉行节约的要求，根据相关费用标准及市场价格水平，结合202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年实际支出情况评估，该项目任务数量基本合理、预算测算过程较为详细、测算依据基本充分、有一定的经济性。</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4．资金分配的原则及考虑因素。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根据办案需求等实际工作的需要分配资金。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p>
    <w:p>
      <w:pPr>
        <w:ind w:firstLine="640" w:firstLineChars="200"/>
        <w:outlineLvl w:val="0"/>
        <w:rPr>
          <w:rFonts w:hint="eastAsia"/>
          <w:lang w:val="zh-CN"/>
        </w:rPr>
      </w:pPr>
      <w:r>
        <w:rPr>
          <w:rFonts w:hint="eastAsia" w:ascii="仿宋_GB2312" w:hAnsi="Times New Roman" w:eastAsia="仿宋_GB2312" w:cs="Times New Roman"/>
          <w:sz w:val="32"/>
          <w:szCs w:val="32"/>
        </w:rPr>
        <w:t>保障</w:t>
      </w:r>
      <w:r>
        <w:rPr>
          <w:rFonts w:hint="eastAsia" w:ascii="仿宋_GB2312" w:eastAsia="仿宋_GB2312" w:cs="Times New Roman"/>
          <w:sz w:val="32"/>
          <w:szCs w:val="32"/>
          <w:lang w:eastAsia="zh-CN"/>
        </w:rPr>
        <w:t>我院</w:t>
      </w:r>
      <w:r>
        <w:rPr>
          <w:rFonts w:hint="eastAsia" w:ascii="仿宋_GB2312" w:hAnsi="Times New Roman" w:eastAsia="仿宋_GB2312" w:cs="Times New Roman"/>
          <w:sz w:val="32"/>
          <w:szCs w:val="32"/>
        </w:rPr>
        <w:t>办理案</w:t>
      </w:r>
      <w:r>
        <w:rPr>
          <w:rFonts w:hint="eastAsia" w:ascii="仿宋_GB2312" w:eastAsia="仿宋_GB2312" w:cs="Times New Roman"/>
          <w:sz w:val="32"/>
          <w:szCs w:val="32"/>
          <w:lang w:eastAsia="zh-CN"/>
        </w:rPr>
        <w:t>件</w:t>
      </w:r>
      <w:r>
        <w:rPr>
          <w:rFonts w:hint="eastAsia" w:ascii="仿宋_GB2312" w:eastAsia="仿宋_GB2312" w:cs="Times New Roman"/>
          <w:sz w:val="32"/>
          <w:szCs w:val="32"/>
          <w:lang w:val="en-US" w:eastAsia="zh-CN"/>
        </w:rPr>
        <w:t>2000</w:t>
      </w:r>
      <w:r>
        <w:rPr>
          <w:rFonts w:hint="eastAsia" w:ascii="仿宋_GB2312" w:hAnsi="Times New Roman" w:eastAsia="仿宋_GB2312" w:cs="Times New Roman"/>
          <w:sz w:val="32"/>
          <w:szCs w:val="32"/>
        </w:rPr>
        <w:t>多件；全年组织办案业务培训会议</w:t>
      </w:r>
      <w:r>
        <w:rPr>
          <w:rFonts w:hint="eastAsia" w:ascii="仿宋_GB2312" w:eastAsia="仿宋_GB2312" w:cs="Times New Roman"/>
          <w:sz w:val="32"/>
          <w:szCs w:val="32"/>
          <w:lang w:val="en-US" w:eastAsia="zh-CN"/>
        </w:rPr>
        <w:t>10</w:t>
      </w:r>
      <w:r>
        <w:rPr>
          <w:rFonts w:hint="eastAsia" w:ascii="仿宋_GB2312" w:hAnsi="Times New Roman" w:eastAsia="仿宋_GB2312" w:cs="Times New Roman"/>
          <w:sz w:val="32"/>
          <w:szCs w:val="32"/>
          <w:lang w:val="en-US" w:eastAsia="zh-CN"/>
        </w:rPr>
        <w:t>多</w:t>
      </w:r>
      <w:r>
        <w:rPr>
          <w:rFonts w:hint="eastAsia" w:ascii="仿宋_GB2312" w:hAnsi="Times New Roman" w:eastAsia="仿宋_GB2312" w:cs="Times New Roman"/>
          <w:sz w:val="32"/>
          <w:szCs w:val="32"/>
        </w:rPr>
        <w:t>次；提前介入案件收集扫黑除恶相关线索</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保障扫黑除恶案件的审理。大力打击黑恶势力，维护社会和平稳定。</w:t>
      </w:r>
      <w:r>
        <w:rPr>
          <w:rFonts w:hint="eastAsia" w:ascii="仿宋_GB2312" w:hAnsi="Times New Roman" w:eastAsia="仿宋_GB2312" w:cs="Times New Roman"/>
          <w:sz w:val="32"/>
          <w:szCs w:val="32"/>
          <w:lang w:eastAsia="zh-CN"/>
        </w:rPr>
        <w:t>保障全年公务用车的运行及维护，</w:t>
      </w:r>
      <w:r>
        <w:rPr>
          <w:rFonts w:hint="eastAsia" w:ascii="仿宋_GB2312" w:hAnsi="Times New Roman" w:eastAsia="仿宋_GB2312" w:cs="Times New Roman"/>
          <w:sz w:val="32"/>
          <w:szCs w:val="32"/>
        </w:rPr>
        <w:t>宣传</w:t>
      </w:r>
      <w:r>
        <w:rPr>
          <w:rFonts w:hint="eastAsia" w:ascii="仿宋_GB2312" w:hAnsi="Times New Roman" w:eastAsia="仿宋_GB2312" w:cs="Times New Roman"/>
          <w:sz w:val="32"/>
          <w:szCs w:val="32"/>
          <w:lang w:eastAsia="zh-CN"/>
        </w:rPr>
        <w:t>法律</w:t>
      </w:r>
      <w:r>
        <w:rPr>
          <w:rFonts w:hint="eastAsia" w:ascii="仿宋_GB2312" w:eastAsia="仿宋_GB2312" w:cs="Times New Roman"/>
          <w:sz w:val="32"/>
          <w:szCs w:val="32"/>
          <w:lang w:val="en-US" w:eastAsia="zh-CN"/>
        </w:rPr>
        <w:t>法规</w:t>
      </w:r>
      <w:r>
        <w:rPr>
          <w:rFonts w:hint="eastAsia" w:ascii="仿宋_GB2312" w:hAnsi="Times New Roman" w:eastAsia="仿宋_GB2312" w:cs="Times New Roman"/>
          <w:sz w:val="32"/>
          <w:szCs w:val="32"/>
          <w:lang w:eastAsia="zh-CN"/>
        </w:rPr>
        <w:t>，提升人民群众知法守法意识</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维修</w:t>
      </w:r>
      <w:r>
        <w:rPr>
          <w:rFonts w:hint="eastAsia" w:ascii="仿宋_GB2312" w:hAnsi="Times New Roman" w:eastAsia="仿宋_GB2312" w:cs="Times New Roman"/>
          <w:sz w:val="32"/>
          <w:szCs w:val="32"/>
        </w:rPr>
        <w:t>审判庭桌椅设备</w:t>
      </w:r>
      <w:r>
        <w:rPr>
          <w:rFonts w:hint="eastAsia" w:ascii="仿宋_GB2312" w:hAnsi="Times New Roman" w:eastAsia="仿宋_GB2312" w:cs="Times New Roman"/>
          <w:sz w:val="32"/>
          <w:szCs w:val="32"/>
          <w:lang w:eastAsia="zh-CN"/>
        </w:rPr>
        <w:t>，维修办公用房</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改善干警办公环境；</w:t>
      </w:r>
      <w:r>
        <w:rPr>
          <w:rFonts w:hint="eastAsia" w:ascii="仿宋_GB2312" w:hAnsi="Times New Roman" w:eastAsia="仿宋_GB2312" w:cs="Times New Roman"/>
          <w:sz w:val="32"/>
          <w:szCs w:val="32"/>
        </w:rPr>
        <w:t xml:space="preserve">合理的使用下达的资金，维护我院的正常运转。  </w:t>
      </w:r>
    </w:p>
    <w:p>
      <w:pPr>
        <w:keepNext w:val="0"/>
        <w:keepLines w:val="0"/>
        <w:pageBreakBefore w:val="0"/>
        <w:widowControl/>
        <w:numPr>
          <w:ilvl w:val="0"/>
          <w:numId w:val="1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w:t>
      </w:r>
      <w:r>
        <w:rPr>
          <w:rFonts w:hint="eastAsia" w:ascii="仿宋_GB2312" w:hAnsi="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绩效</w:t>
      </w:r>
      <w:r>
        <w:rPr>
          <w:rFonts w:hint="eastAsia" w:ascii="仿宋_GB2312" w:hAnsi="仿宋_GB2312" w:eastAsia="仿宋_GB2312" w:cs="仿宋_GB2312"/>
          <w:color w:val="auto"/>
          <w:kern w:val="0"/>
          <w:sz w:val="32"/>
          <w:szCs w:val="32"/>
          <w:highlight w:val="none"/>
          <w:u w:val="none"/>
          <w:shd w:val="clear" w:color="auto" w:fill="FFFFFF"/>
          <w:lang w:val="zh-CN"/>
        </w:rPr>
        <w:t>目标的量化细化情况</w:t>
      </w:r>
      <w:r>
        <w:rPr>
          <w:rFonts w:hint="eastAsia" w:ascii="仿宋_GB2312" w:hAnsi="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zh-CN"/>
        </w:rPr>
        <w:t>项目实施进度计划等。</w:t>
      </w:r>
    </w:p>
    <w:p>
      <w:pPr>
        <w:numPr>
          <w:ilvl w:val="0"/>
          <w:numId w:val="0"/>
        </w:numPr>
        <w:ind w:firstLine="640" w:firstLineChars="200"/>
        <w:outlineLvl w:val="0"/>
        <w:rPr>
          <w:rFonts w:hint="eastAsia"/>
          <w:lang w:val="zh-CN"/>
        </w:rPr>
      </w:pPr>
      <w:r>
        <w:rPr>
          <w:rFonts w:hint="eastAsia" w:ascii="仿宋_GB2312" w:hAnsi="Times New Roman" w:eastAsia="仿宋_GB2312" w:cs="Times New Roman"/>
          <w:sz w:val="32"/>
          <w:szCs w:val="32"/>
          <w:lang w:eastAsia="zh-CN"/>
        </w:rPr>
        <w:t>我院</w:t>
      </w:r>
      <w:r>
        <w:rPr>
          <w:rFonts w:hint="eastAsia" w:ascii="仿宋_GB2312" w:hAnsi="Times New Roman" w:eastAsia="仿宋_GB2312" w:cs="Times New Roman"/>
          <w:sz w:val="32"/>
          <w:szCs w:val="32"/>
          <w:lang w:val="en-US" w:eastAsia="zh-CN"/>
        </w:rPr>
        <w:t>2022年政法转移资金完成情况较好，拨款</w:t>
      </w:r>
      <w:r>
        <w:rPr>
          <w:rFonts w:hint="eastAsia" w:ascii="仿宋_GB2312" w:eastAsia="仿宋_GB2312" w:cs="Times New Roman"/>
          <w:sz w:val="32"/>
          <w:szCs w:val="32"/>
          <w:lang w:val="en-US" w:eastAsia="zh-CN"/>
        </w:rPr>
        <w:t>162.88</w:t>
      </w:r>
      <w:r>
        <w:rPr>
          <w:rFonts w:hint="eastAsia" w:ascii="仿宋_GB2312" w:hAnsi="Times New Roman" w:eastAsia="仿宋_GB2312" w:cs="Times New Roman"/>
          <w:sz w:val="32"/>
          <w:szCs w:val="32"/>
          <w:lang w:val="en-US" w:eastAsia="zh-CN"/>
        </w:rPr>
        <w:t>万，支付</w:t>
      </w:r>
      <w:r>
        <w:rPr>
          <w:rFonts w:hint="eastAsia" w:ascii="仿宋_GB2312" w:eastAsia="仿宋_GB2312" w:cs="Times New Roman"/>
          <w:sz w:val="32"/>
          <w:szCs w:val="32"/>
          <w:lang w:val="en-US" w:eastAsia="zh-CN"/>
        </w:rPr>
        <w:t>162.88</w:t>
      </w:r>
      <w:r>
        <w:rPr>
          <w:rFonts w:hint="eastAsia" w:ascii="仿宋_GB2312" w:hAnsi="Times New Roman" w:eastAsia="仿宋_GB2312" w:cs="Times New Roman"/>
          <w:sz w:val="32"/>
          <w:szCs w:val="32"/>
          <w:lang w:val="en-US" w:eastAsia="zh-CN"/>
        </w:rPr>
        <w:t>万，完成执行进度</w:t>
      </w:r>
      <w:r>
        <w:rPr>
          <w:rFonts w:hint="eastAsia" w:ascii="仿宋_GB2312" w:eastAsia="仿宋_GB2312" w:cs="Times New Roman"/>
          <w:sz w:val="32"/>
          <w:szCs w:val="32"/>
          <w:lang w:val="en-US" w:eastAsia="zh-CN"/>
        </w:rPr>
        <w:t>100</w:t>
      </w:r>
      <w:r>
        <w:rPr>
          <w:rFonts w:hint="eastAsia" w:ascii="仿宋_GB2312" w:hAnsi="Times New Roman" w:eastAsia="仿宋_GB2312" w:cs="Times New Roman"/>
          <w:sz w:val="32"/>
          <w:szCs w:val="32"/>
          <w:lang w:val="en-US" w:eastAsia="zh-CN"/>
        </w:rPr>
        <w:t>%。办理办结案件</w:t>
      </w:r>
      <w:r>
        <w:rPr>
          <w:rFonts w:hint="eastAsia" w:ascii="仿宋_GB2312" w:eastAsia="仿宋_GB2312" w:cs="Times New Roman"/>
          <w:sz w:val="32"/>
          <w:szCs w:val="32"/>
          <w:lang w:val="en-US" w:eastAsia="zh-CN"/>
        </w:rPr>
        <w:t>2500</w:t>
      </w:r>
      <w:r>
        <w:rPr>
          <w:rFonts w:hint="eastAsia" w:ascii="仿宋_GB2312" w:hAnsi="Times New Roman" w:eastAsia="仿宋_GB2312" w:cs="Times New Roman"/>
          <w:sz w:val="32"/>
          <w:szCs w:val="32"/>
          <w:lang w:val="en-US" w:eastAsia="zh-CN"/>
        </w:rPr>
        <w:t>件，维护了社会的公平正义。全年组织办案业务培训及会议</w:t>
      </w:r>
      <w:r>
        <w:rPr>
          <w:rFonts w:hint="eastAsia" w:ascii="仿宋_GB2312" w:eastAsia="仿宋_GB2312" w:cs="Times New Roman"/>
          <w:sz w:val="32"/>
          <w:szCs w:val="32"/>
          <w:lang w:val="en-US" w:eastAsia="zh-CN"/>
        </w:rPr>
        <w:t>10</w:t>
      </w:r>
      <w:r>
        <w:rPr>
          <w:rFonts w:hint="eastAsia" w:ascii="仿宋_GB2312" w:hAnsi="Times New Roman" w:eastAsia="仿宋_GB2312" w:cs="Times New Roman"/>
          <w:sz w:val="32"/>
          <w:szCs w:val="32"/>
          <w:lang w:val="en-US" w:eastAsia="zh-CN"/>
        </w:rPr>
        <w:t>多次，提高审判人员的专业素养。保障了警车运行及相关维护，提升了干警办案效率。</w:t>
      </w:r>
      <w:r>
        <w:rPr>
          <w:rFonts w:hint="eastAsia" w:ascii="仿宋_GB2312" w:eastAsia="仿宋_GB2312" w:cs="Times New Roman"/>
          <w:sz w:val="32"/>
          <w:szCs w:val="32"/>
          <w:lang w:val="en-US" w:eastAsia="zh-CN"/>
        </w:rPr>
        <w:t>有力的</w:t>
      </w:r>
      <w:r>
        <w:rPr>
          <w:rFonts w:hint="eastAsia" w:ascii="仿宋_GB2312" w:hAnsi="Times New Roman" w:eastAsia="仿宋_GB2312" w:cs="Times New Roman"/>
          <w:sz w:val="32"/>
          <w:szCs w:val="32"/>
          <w:lang w:val="en-US" w:eastAsia="zh-CN"/>
        </w:rPr>
        <w:t>保障了全年的办公设备购置及办案业务用房维修，改善了干警办公环境，保障干警办公期间的人身安全。维护我院网络设备，促进了案件审理及执行工作顺利开展。</w:t>
      </w:r>
    </w:p>
    <w:p>
      <w:pPr>
        <w:keepNext w:val="0"/>
        <w:keepLines w:val="0"/>
        <w:pageBreakBefore w:val="0"/>
        <w:widowControl/>
        <w:numPr>
          <w:ilvl w:val="0"/>
          <w:numId w:val="1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分析评价申报内容是否与实际相符，申报目标是否合理可行。</w:t>
      </w:r>
    </w:p>
    <w:p>
      <w:pPr>
        <w:widowControl w:val="0"/>
        <w:numPr>
          <w:ilvl w:val="0"/>
          <w:numId w:val="0"/>
        </w:numPr>
        <w:spacing w:after="120"/>
        <w:ind w:firstLine="640" w:firstLineChars="200"/>
        <w:jc w:val="both"/>
        <w:rPr>
          <w:rFonts w:hint="eastAsia"/>
          <w:lang w:val="zh-CN"/>
        </w:rPr>
      </w:pPr>
      <w:r>
        <w:rPr>
          <w:rFonts w:hint="eastAsia" w:ascii="Times New Roman" w:hAnsi="Times New Roman" w:eastAsia="仿宋_GB2312" w:cs="Times New Roman"/>
          <w:kern w:val="2"/>
          <w:sz w:val="32"/>
          <w:szCs w:val="32"/>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adjustRightInd w:val="0"/>
        <w:snapToGrid w:val="0"/>
        <w:spacing w:line="58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 w:hAnsi="仿宋" w:eastAsia="仿宋"/>
          <w:sz w:val="32"/>
          <w:szCs w:val="32"/>
        </w:rPr>
        <w:t>本部门对项目有关资料进行核查、了解，对照项目绩效目标指标认真分析衡量项目是否达到预期目标，项目资金使用是否有效，项目运行是否可持续等情况随时进行跟踪调查，及时了解项目的运行情况。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该资金经</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年初</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预算下达，属于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财政拨款资金，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经财政审核通过。上报市人大会议通过，财政纳入预算安排。</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bookmarkStart w:id="64" w:name="_GoBack"/>
      <w:bookmarkEnd w:id="64"/>
      <w:r>
        <w:rPr>
          <w:rFonts w:hint="eastAsia" w:ascii="楷体_GB2312" w:hAnsi="宋体" w:eastAsia="楷体_GB2312"/>
          <w:b/>
          <w:color w:val="auto"/>
          <w:sz w:val="32"/>
          <w:szCs w:val="32"/>
          <w:highlight w:val="none"/>
          <w:u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1．资金计划。市财政局拨款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 xml:space="preserve">162.88万元。 </w:t>
      </w:r>
    </w:p>
    <w:p>
      <w:pPr>
        <w:adjustRightInd w:val="0"/>
        <w:snapToGrid w:val="0"/>
        <w:spacing w:line="600" w:lineRule="exact"/>
        <w:ind w:firstLine="720"/>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2．资金到位。市财政局拨款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162.88万元全部到位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。到位率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w:t>
      </w:r>
      <w:r>
        <w:rPr>
          <w:rFonts w:hint="eastAsia" w:ascii="仿宋" w:hAnsi="仿宋" w:eastAsia="仿宋" w:cs="仿宋_GB2312"/>
          <w:sz w:val="32"/>
          <w:szCs w:val="32"/>
        </w:rPr>
        <w:t>保障了项目的按时进行，维护了我院机关的正常运转。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2022年我院办案业务经费使用162.88万元，资金使用安全规范，支付依据合法合规，与预算相符。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苍溪县人民法院财务管理制度健全，严格按照财务管理制度执行，及时处理账务，会计核算规范。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adjustRightInd w:val="0"/>
        <w:snapToGrid w:val="0"/>
        <w:spacing w:line="600" w:lineRule="exact"/>
        <w:ind w:firstLine="720"/>
        <w:rPr>
          <w:rFonts w:ascii="仿宋" w:hAnsi="仿宋" w:eastAsia="仿宋" w:cs="Times New Roman"/>
          <w:sz w:val="32"/>
          <w:szCs w:val="32"/>
        </w:rPr>
      </w:pPr>
      <w:r>
        <w:rPr>
          <w:rFonts w:hint="eastAsia" w:ascii="仿宋" w:hAnsi="仿宋" w:eastAsia="仿宋" w:cs="Times New Roman"/>
          <w:sz w:val="32"/>
          <w:szCs w:val="32"/>
        </w:rPr>
        <w:t>1.制定工作计划和目标任务。</w:t>
      </w:r>
    </w:p>
    <w:p>
      <w:pPr>
        <w:adjustRightInd w:val="0"/>
        <w:snapToGrid w:val="0"/>
        <w:spacing w:line="600" w:lineRule="exact"/>
        <w:ind w:firstLine="720"/>
        <w:rPr>
          <w:rFonts w:ascii="仿宋" w:hAnsi="仿宋" w:eastAsia="仿宋" w:cs="Times New Roman"/>
          <w:sz w:val="32"/>
          <w:szCs w:val="32"/>
        </w:rPr>
      </w:pPr>
      <w:r>
        <w:rPr>
          <w:rFonts w:hint="eastAsia" w:ascii="仿宋" w:hAnsi="仿宋" w:eastAsia="仿宋" w:cs="Times New Roman"/>
          <w:sz w:val="32"/>
          <w:szCs w:val="32"/>
        </w:rPr>
        <w:t>2.落实项目实施具体责任人。</w:t>
      </w:r>
    </w:p>
    <w:p>
      <w:pPr>
        <w:adjustRightInd w:val="0"/>
        <w:snapToGrid w:val="0"/>
        <w:spacing w:line="600" w:lineRule="exact"/>
        <w:ind w:firstLine="720"/>
        <w:rPr>
          <w:rFonts w:hint="eastAsia" w:eastAsia="仿宋"/>
          <w:lang w:val="zh-CN" w:eastAsia="zh-CN"/>
        </w:rPr>
      </w:pPr>
      <w:r>
        <w:rPr>
          <w:rFonts w:hint="eastAsia" w:ascii="仿宋" w:hAnsi="仿宋" w:eastAsia="仿宋" w:cs="Times New Roman"/>
          <w:sz w:val="32"/>
          <w:szCs w:val="32"/>
        </w:rPr>
        <w:t>3.按照计划开展工作</w:t>
      </w:r>
      <w:r>
        <w:rPr>
          <w:rFonts w:hint="eastAsia" w:ascii="仿宋" w:hAnsi="仿宋" w:eastAsia="仿宋" w:cs="Times New Roman"/>
          <w:sz w:val="32"/>
          <w:szCs w:val="32"/>
          <w:lang w:eastAsia="zh-CN"/>
        </w:rPr>
        <w:t>。</w:t>
      </w:r>
    </w:p>
    <w:p>
      <w:pPr>
        <w:adjustRightInd w:val="0"/>
        <w:snapToGrid w:val="0"/>
        <w:spacing w:line="600" w:lineRule="exact"/>
        <w:ind w:firstLine="72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adjustRightInd w:val="0"/>
        <w:snapToGrid w:val="0"/>
        <w:spacing w:line="600" w:lineRule="exact"/>
        <w:ind w:firstLine="720"/>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 w:hAnsi="仿宋" w:eastAsia="仿宋"/>
          <w:sz w:val="32"/>
          <w:szCs w:val="32"/>
          <w:lang w:val="zh-CN"/>
        </w:rPr>
        <w:t>该</w:t>
      </w:r>
      <w:r>
        <w:rPr>
          <w:rFonts w:hint="eastAsia" w:ascii="仿宋_GB2312" w:hAnsi="仿宋_GB2312" w:eastAsia="仿宋_GB2312" w:cs="仿宋_GB2312"/>
          <w:color w:val="auto"/>
          <w:kern w:val="0"/>
          <w:sz w:val="32"/>
          <w:szCs w:val="32"/>
          <w:highlight w:val="none"/>
          <w:u w:val="none"/>
          <w:shd w:val="clear" w:color="auto" w:fill="FFFFFF"/>
          <w:lang w:val="zh-CN"/>
        </w:rPr>
        <w:t>项目严格按照相关的法律法规及项目管理制度流程进行，符合招投标、政府采购、项目公示等相关规定。严格按照财务管理制度对该项目资金进行管理和使用。资金使用规范合理，无占有、挪用资金的情况。</w:t>
      </w:r>
    </w:p>
    <w:p>
      <w:pPr>
        <w:adjustRightInd w:val="0"/>
        <w:snapToGrid w:val="0"/>
        <w:spacing w:line="600" w:lineRule="exact"/>
        <w:ind w:firstLine="720"/>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（三）项目监管情况。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我院项目监管，采取委托专人管理、及财务双控。对项目实施中的各个阶段的质量、进度、安全、资金进行实时的监督与控制。监管工作有序开展，监督有序、有力、到位。对项目的有序进程起到了良好的监督管理作用，让资金在项目进行过程中合理的使用，分配。促进了项目的有序开展与进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Times New Roman" w:eastAsia="仿宋_GB2312" w:cs="仿宋_GB2312"/>
          <w:sz w:val="32"/>
          <w:szCs w:val="32"/>
          <w:lang w:val="zh-CN"/>
        </w:rPr>
      </w:pPr>
      <w:r>
        <w:rPr>
          <w:rFonts w:hint="eastAsia" w:ascii="仿宋_GB2312" w:eastAsia="仿宋_GB2312" w:cs="仿宋_GB2312"/>
          <w:sz w:val="32"/>
          <w:szCs w:val="32"/>
          <w:lang w:val="en-US" w:eastAsia="zh-CN"/>
        </w:rPr>
        <w:t>1.</w:t>
      </w:r>
      <w:r>
        <w:rPr>
          <w:rFonts w:hint="eastAsia" w:ascii="仿宋_GB2312" w:hAnsi="Times New Roman" w:eastAsia="仿宋_GB2312" w:cs="仿宋_GB2312"/>
          <w:sz w:val="32"/>
          <w:szCs w:val="32"/>
          <w:lang w:val="zh-CN"/>
        </w:rPr>
        <w:t>数量指标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lang w:eastAsia="zh-CN"/>
        </w:rPr>
        <w:t>我</w:t>
      </w:r>
      <w:r>
        <w:rPr>
          <w:rFonts w:hint="eastAsia" w:ascii="仿宋_GB2312" w:hAnsi="Times New Roman" w:eastAsia="仿宋_GB2312" w:cs="仿宋_GB2312"/>
          <w:sz w:val="32"/>
          <w:szCs w:val="32"/>
        </w:rPr>
        <w:t>年初预定</w:t>
      </w:r>
      <w:r>
        <w:rPr>
          <w:rFonts w:hint="eastAsia" w:ascii="仿宋_GB2312" w:eastAsia="仿宋_GB2312" w:cs="仿宋_GB2312"/>
          <w:sz w:val="32"/>
          <w:szCs w:val="32"/>
          <w:lang w:eastAsia="zh-CN"/>
        </w:rPr>
        <w:t>保障</w:t>
      </w:r>
      <w:r>
        <w:rPr>
          <w:rFonts w:hint="eastAsia" w:ascii="仿宋_GB2312" w:hAnsi="Times New Roman" w:eastAsia="仿宋_GB2312" w:cs="仿宋_GB2312"/>
          <w:sz w:val="32"/>
          <w:szCs w:val="32"/>
        </w:rPr>
        <w:t>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年案件结案数量</w:t>
      </w:r>
      <w:r>
        <w:rPr>
          <w:rFonts w:hint="eastAsia" w:ascii="仿宋_GB2312" w:eastAsia="仿宋_GB2312" w:cs="仿宋_GB2312"/>
          <w:sz w:val="32"/>
          <w:szCs w:val="32"/>
          <w:lang w:val="en-US" w:eastAsia="zh-CN"/>
        </w:rPr>
        <w:t>2000多</w:t>
      </w:r>
      <w:r>
        <w:rPr>
          <w:rFonts w:hint="eastAsia" w:ascii="仿宋_GB2312" w:hAnsi="Times New Roman" w:eastAsia="仿宋_GB2312" w:cs="仿宋_GB2312"/>
          <w:sz w:val="32"/>
          <w:szCs w:val="32"/>
        </w:rPr>
        <w:t>件，年底</w:t>
      </w:r>
      <w:r>
        <w:rPr>
          <w:rFonts w:hint="eastAsia" w:ascii="仿宋_GB2312" w:hAnsi="Times New Roman" w:eastAsia="仿宋_GB2312" w:cs="仿宋_GB2312"/>
          <w:sz w:val="32"/>
          <w:szCs w:val="32"/>
          <w:lang w:eastAsia="zh-CN"/>
        </w:rPr>
        <w:t>实际</w:t>
      </w:r>
      <w:r>
        <w:rPr>
          <w:rFonts w:hint="eastAsia" w:ascii="仿宋_GB2312" w:hAnsi="Times New Roman" w:eastAsia="仿宋_GB2312" w:cs="仿宋_GB2312"/>
          <w:sz w:val="32"/>
          <w:szCs w:val="32"/>
        </w:rPr>
        <w:t>完成</w:t>
      </w:r>
      <w:r>
        <w:rPr>
          <w:rFonts w:hint="eastAsia" w:ascii="仿宋_GB2312" w:eastAsia="仿宋_GB2312" w:cs="仿宋_GB2312"/>
          <w:sz w:val="32"/>
          <w:szCs w:val="32"/>
          <w:lang w:val="en-US" w:eastAsia="zh-CN"/>
        </w:rPr>
        <w:t>2500</w:t>
      </w:r>
      <w:r>
        <w:rPr>
          <w:rFonts w:hint="eastAsia" w:ascii="仿宋_GB2312" w:hAnsi="Times New Roman" w:eastAsia="仿宋_GB2312" w:cs="仿宋_GB2312"/>
          <w:sz w:val="32"/>
          <w:szCs w:val="32"/>
        </w:rPr>
        <w:t>件。202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年年初预定法官人均诉讼结案数为</w:t>
      </w:r>
      <w:r>
        <w:rPr>
          <w:rFonts w:hint="eastAsia" w:ascii="仿宋_GB2312" w:hAnsi="Times New Roman" w:eastAsia="仿宋_GB2312" w:cs="仿宋_GB2312"/>
          <w:sz w:val="32"/>
          <w:szCs w:val="32"/>
          <w:lang w:val="en-US" w:eastAsia="zh-CN"/>
        </w:rPr>
        <w:t>150</w:t>
      </w:r>
      <w:r>
        <w:rPr>
          <w:rFonts w:hint="eastAsia" w:ascii="仿宋_GB2312" w:hAnsi="Times New Roman" w:eastAsia="仿宋_GB2312" w:cs="仿宋_GB2312"/>
          <w:sz w:val="32"/>
          <w:szCs w:val="32"/>
        </w:rPr>
        <w:t>件，年底</w:t>
      </w:r>
      <w:r>
        <w:rPr>
          <w:rFonts w:hint="eastAsia" w:ascii="仿宋_GB2312" w:hAnsi="Times New Roman" w:eastAsia="仿宋_GB2312" w:cs="仿宋_GB2312"/>
          <w:sz w:val="32"/>
          <w:szCs w:val="32"/>
          <w:lang w:eastAsia="zh-CN"/>
        </w:rPr>
        <w:t>实际</w:t>
      </w:r>
      <w:r>
        <w:rPr>
          <w:rFonts w:hint="eastAsia" w:ascii="仿宋_GB2312" w:hAnsi="Times New Roman" w:eastAsia="仿宋_GB2312" w:cs="仿宋_GB2312"/>
          <w:sz w:val="32"/>
          <w:szCs w:val="32"/>
        </w:rPr>
        <w:t>完成为</w:t>
      </w:r>
      <w:r>
        <w:rPr>
          <w:rFonts w:hint="eastAsia" w:ascii="仿宋_GB2312" w:hAnsi="Times New Roman" w:eastAsia="仿宋_GB2312" w:cs="仿宋_GB2312"/>
          <w:sz w:val="32"/>
          <w:szCs w:val="32"/>
          <w:lang w:val="en-US" w:eastAsia="zh-CN"/>
        </w:rPr>
        <w:t>225.55</w:t>
      </w:r>
      <w:r>
        <w:rPr>
          <w:rFonts w:hint="eastAsia" w:ascii="仿宋_GB2312" w:hAnsi="Times New Roman" w:eastAsia="仿宋_GB2312" w:cs="仿宋_GB2312"/>
          <w:sz w:val="32"/>
          <w:szCs w:val="32"/>
        </w:rPr>
        <w:t>件。我院数量指标按照年初预定的数量，按质按量完成。确保资金合理规范使用。</w:t>
      </w:r>
    </w:p>
    <w:p>
      <w:pPr>
        <w:ind w:firstLine="640" w:firstLineChars="200"/>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hAnsi="Times New Roman" w:eastAsia="仿宋_GB2312" w:cs="仿宋_GB2312"/>
          <w:sz w:val="32"/>
          <w:szCs w:val="32"/>
        </w:rPr>
        <w:t>质量指标。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lang w:eastAsia="zh-CN"/>
        </w:rPr>
        <w:t>均衡结案度</w:t>
      </w:r>
      <w:r>
        <w:rPr>
          <w:rFonts w:hint="eastAsia" w:ascii="仿宋_GB2312" w:hAnsi="Times New Roman" w:eastAsia="仿宋_GB2312" w:cs="仿宋_GB2312"/>
          <w:sz w:val="32"/>
          <w:szCs w:val="32"/>
          <w:lang w:val="en-US" w:eastAsia="zh-CN"/>
        </w:rPr>
        <w:t>67.08%，一审判决案件改发率0.77%，生效案件改发率0.04%，较好的完成全年的任务</w:t>
      </w:r>
      <w:r>
        <w:rPr>
          <w:rFonts w:hint="eastAsia" w:ascii="仿宋_GB2312" w:hAnsi="Times New Roman" w:eastAsia="仿宋_GB2312" w:cs="仿宋_GB2312"/>
          <w:sz w:val="32"/>
          <w:szCs w:val="32"/>
        </w:rPr>
        <w:t>。</w:t>
      </w:r>
    </w:p>
    <w:p>
      <w:pPr>
        <w:ind w:firstLine="640" w:firstLineChars="200"/>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hAnsi="Times New Roman" w:eastAsia="仿宋_GB2312" w:cs="仿宋_GB2312"/>
          <w:sz w:val="32"/>
          <w:szCs w:val="32"/>
        </w:rPr>
        <w:t>时效指标。</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sz w:val="32"/>
          <w:szCs w:val="32"/>
        </w:rPr>
        <w:t>我院在202</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年12月31日之前完成</w:t>
      </w:r>
      <w:r>
        <w:rPr>
          <w:rFonts w:hint="eastAsia" w:ascii="仿宋_GB2312" w:eastAsia="仿宋_GB2312" w:cs="仿宋_GB2312"/>
          <w:sz w:val="32"/>
          <w:szCs w:val="32"/>
          <w:lang w:eastAsia="zh-CN"/>
        </w:rPr>
        <w:t>办案业务经费</w:t>
      </w:r>
      <w:r>
        <w:rPr>
          <w:rFonts w:hint="eastAsia" w:ascii="仿宋_GB2312" w:hAnsi="Times New Roman" w:eastAsia="仿宋_GB2312" w:cs="仿宋_GB2312"/>
          <w:sz w:val="32"/>
          <w:szCs w:val="32"/>
        </w:rPr>
        <w:t>的使用，</w:t>
      </w:r>
      <w:r>
        <w:rPr>
          <w:rFonts w:hint="eastAsia" w:ascii="仿宋_GB2312" w:hAnsi="Times New Roman" w:eastAsia="仿宋_GB2312" w:cs="仿宋_GB2312"/>
          <w:sz w:val="32"/>
          <w:szCs w:val="32"/>
          <w:lang w:eastAsia="zh-CN"/>
        </w:rPr>
        <w:t>案件办结率</w:t>
      </w:r>
      <w:r>
        <w:rPr>
          <w:rFonts w:hint="eastAsia" w:ascii="仿宋_GB2312" w:hAnsi="Times New Roman" w:eastAsia="仿宋_GB2312" w:cs="仿宋_GB2312"/>
          <w:sz w:val="32"/>
          <w:szCs w:val="32"/>
          <w:lang w:val="en-US" w:eastAsia="zh-CN"/>
        </w:rPr>
        <w:t>98.89%</w:t>
      </w:r>
      <w:r>
        <w:rPr>
          <w:rFonts w:hint="eastAsia" w:ascii="仿宋_GB2312" w:hAnsi="Times New Roman" w:eastAsia="仿宋_GB2312" w:cs="仿宋_GB2312"/>
          <w:sz w:val="32"/>
          <w:szCs w:val="32"/>
        </w:rPr>
        <w:t>。</w:t>
      </w:r>
    </w:p>
    <w:p>
      <w:pPr>
        <w:ind w:firstLine="640" w:firstLineChars="200"/>
        <w:rPr>
          <w:rFonts w:ascii="仿宋_GB2312" w:hAnsi="Times New Roman"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hAnsi="Times New Roman" w:eastAsia="仿宋_GB2312" w:cs="仿宋_GB2312"/>
          <w:sz w:val="32"/>
          <w:szCs w:val="32"/>
        </w:rPr>
        <w:t>成本指标。</w:t>
      </w:r>
    </w:p>
    <w:p>
      <w:pPr>
        <w:ind w:firstLine="640" w:firstLineChars="200"/>
        <w:rPr>
          <w:rFonts w:hint="default"/>
          <w:lang w:val="en-US" w:eastAsia="zh-CN"/>
        </w:rPr>
      </w:pPr>
      <w:r>
        <w:rPr>
          <w:rFonts w:hint="eastAsia" w:ascii="仿宋_GB2312" w:hAnsi="Times New Roman" w:eastAsia="仿宋_GB2312" w:cs="仿宋_GB2312"/>
          <w:sz w:val="32"/>
          <w:szCs w:val="32"/>
        </w:rPr>
        <w:t>严格控制成本，把成本控制在</w:t>
      </w:r>
      <w:r>
        <w:rPr>
          <w:rFonts w:hint="eastAsia" w:ascii="仿宋_GB2312" w:eastAsia="仿宋_GB2312" w:cs="仿宋_GB2312"/>
          <w:sz w:val="32"/>
          <w:szCs w:val="32"/>
          <w:lang w:val="en-US" w:eastAsia="zh-CN"/>
        </w:rPr>
        <w:t>办案业务经费</w:t>
      </w:r>
      <w:r>
        <w:rPr>
          <w:rFonts w:hint="eastAsia" w:ascii="仿宋_GB2312" w:hAnsi="Times New Roman" w:eastAsia="仿宋_GB2312" w:cs="仿宋_GB2312"/>
          <w:sz w:val="32"/>
          <w:szCs w:val="32"/>
        </w:rPr>
        <w:t>资金范围之</w:t>
      </w:r>
      <w:r>
        <w:rPr>
          <w:rFonts w:hint="eastAsia" w:ascii="仿宋_GB2312" w:hAnsi="Times New Roman" w:eastAsia="仿宋_GB2312" w:cs="仿宋_GB2312"/>
          <w:sz w:val="32"/>
          <w:szCs w:val="32"/>
          <w:lang w:eastAsia="zh-CN"/>
        </w:rPr>
        <w:t>内</w:t>
      </w:r>
      <w:r>
        <w:rPr>
          <w:rFonts w:hint="eastAsia" w:ascii="仿宋_GB2312" w:hAnsi="Times New Roman" w:eastAsia="仿宋_GB2312" w:cs="仿宋_GB2312"/>
          <w:sz w:val="32"/>
          <w:szCs w:val="32"/>
        </w:rPr>
        <w:t>。</w:t>
      </w:r>
      <w:r>
        <w:rPr>
          <w:rFonts w:hint="eastAsia" w:ascii="仿宋_GB2312" w:hAnsi="宋体" w:eastAsia="仿宋_GB2312" w:cs="宋体"/>
          <w:b w:val="0"/>
          <w:bCs w:val="0"/>
          <w:color w:val="000000"/>
          <w:kern w:val="0"/>
          <w:sz w:val="32"/>
          <w:szCs w:val="32"/>
          <w:highlight w:val="none"/>
          <w:shd w:val="clear" w:color="auto" w:fill="FFFFFF"/>
          <w:lang w:val="en-US" w:eastAsia="zh-CN"/>
        </w:rPr>
        <w:t>任务完成较好，达到所需的质量标准，进度合理，成本控制严格，达到了项目所需要的效果。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传播</w:t>
      </w:r>
      <w:r>
        <w:rPr>
          <w:rFonts w:hint="eastAsia" w:ascii="仿宋_GB2312" w:hAnsi="Times New Roman" w:eastAsia="仿宋_GB2312" w:cs="Times New Roman"/>
          <w:sz w:val="32"/>
          <w:szCs w:val="32"/>
          <w:lang w:eastAsia="zh-CN"/>
        </w:rPr>
        <w:t>了法治</w:t>
      </w:r>
      <w:r>
        <w:rPr>
          <w:rFonts w:hint="eastAsia" w:ascii="仿宋_GB2312" w:hAnsi="Times New Roman" w:eastAsia="仿宋_GB2312" w:cs="Times New Roman"/>
          <w:sz w:val="32"/>
          <w:szCs w:val="32"/>
        </w:rPr>
        <w:t>思想，弘扬公正、廉洁、为民的司法核心价值观。树立群众法治意识，为建设社会主义法治社会做出贡献。</w:t>
      </w:r>
      <w:r>
        <w:rPr>
          <w:rFonts w:hint="eastAsia" w:ascii="仿宋_GB2312" w:hAnsi="Times New Roman" w:eastAsia="仿宋_GB2312" w:cs="仿宋_GB2312"/>
          <w:sz w:val="32"/>
          <w:szCs w:val="32"/>
          <w:lang w:eastAsia="zh-CN"/>
        </w:rPr>
        <w:t>人民群众满意度及案件满意度均达到</w:t>
      </w:r>
      <w:r>
        <w:rPr>
          <w:rFonts w:hint="eastAsia" w:ascii="仿宋_GB2312" w:hAnsi="Times New Roman" w:eastAsia="仿宋_GB2312" w:cs="仿宋_GB2312"/>
          <w:sz w:val="32"/>
          <w:szCs w:val="32"/>
          <w:lang w:val="en-US" w:eastAsia="zh-CN"/>
        </w:rPr>
        <w:t>92%，</w:t>
      </w:r>
      <w:r>
        <w:rPr>
          <w:rFonts w:hint="eastAsia" w:ascii="仿宋_GB2312" w:hAnsi="Times New Roman" w:eastAsia="仿宋_GB2312" w:cs="仿宋_GB2312"/>
          <w:sz w:val="32"/>
          <w:szCs w:val="32"/>
        </w:rPr>
        <w:t>达到定纷止争的效果，维护社会和平稳定。</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zh-CN"/>
        </w:rPr>
        <w:t>通过绩效自评，</w:t>
      </w:r>
      <w:r>
        <w:rPr>
          <w:rFonts w:hint="eastAsia" w:ascii="仿宋_GB2312" w:hAnsi="Times New Roman" w:eastAsia="仿宋_GB2312" w:cs="Times New Roman"/>
          <w:sz w:val="32"/>
          <w:szCs w:val="32"/>
          <w:lang w:val="en-US" w:eastAsia="zh-CN"/>
        </w:rPr>
        <w:t>2022年</w:t>
      </w:r>
      <w:r>
        <w:rPr>
          <w:rFonts w:hint="eastAsia" w:ascii="仿宋_GB2312" w:eastAsia="仿宋_GB2312" w:cs="Times New Roman"/>
          <w:sz w:val="32"/>
          <w:szCs w:val="32"/>
          <w:lang w:val="en-US" w:eastAsia="zh-CN"/>
        </w:rPr>
        <w:t>办案业务经费</w:t>
      </w:r>
      <w:r>
        <w:rPr>
          <w:rFonts w:hint="eastAsia" w:ascii="仿宋_GB2312" w:hAnsi="Times New Roman" w:eastAsia="仿宋_GB2312" w:cs="Times New Roman"/>
          <w:sz w:val="32"/>
          <w:szCs w:val="32"/>
          <w:lang w:val="en-US" w:eastAsia="zh-CN"/>
        </w:rPr>
        <w:t>支出政策依据充分，目标制定明确；按照计划有序实施，经费使用严格按照相关财务管理制度执行，对资金的使用监管有力有效。整个支出实施达到了预期的绩效目标。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adjustRightInd w:val="0"/>
        <w:snapToGrid w:val="0"/>
        <w:spacing w:line="60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 w:hAnsi="仿宋" w:eastAsia="仿宋"/>
          <w:sz w:val="32"/>
          <w:szCs w:val="32"/>
        </w:rPr>
        <w:t>通过项目经费支出使用编写完成了项目的整体方案。但在项目的实施过程中有些工作还需要改进，主要问题是：对项目的项目支出按预算和工作进度执行需进一步规范，实际情况与预算不符合地方还需落实。</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一是加大对财务人员的业务培训力度，夯实财务理论基础，提高业务水平，增强工作效率；加大经费投入，提高预算基数，按申报项目资金有效预算，今后在编制预算中，进一步重视预算的编制工作，提高预算编制的精确度，在预算执行中严格遵循“先有预算、后有支出”的原则，认真执行各项资金使用管理制度，确保各项支出真实合理，有效提升工作绩效。</w:t>
      </w: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
        <w:rPr>
          <w:rFonts w:hint="eastAsia"/>
          <w:lang w:val="zh-CN" w:eastAsia="zh-CN"/>
        </w:rPr>
      </w:pPr>
    </w:p>
    <w:p>
      <w:pPr>
        <w:rPr>
          <w:rFonts w:hint="eastAsia"/>
          <w:lang w:val="zh-CN" w:eastAsia="zh-CN"/>
        </w:rPr>
      </w:pPr>
    </w:p>
    <w:p>
      <w:pPr>
        <w:pStyle w:val="2"/>
        <w:rPr>
          <w:rFonts w:hint="eastAsia"/>
          <w:lang w:val="zh-CN" w:eastAsia="zh-CN"/>
        </w:rPr>
      </w:pPr>
    </w:p>
    <w:tbl>
      <w:tblPr>
        <w:tblStyle w:val="16"/>
        <w:tblpPr w:leftFromText="180" w:rightFromText="180" w:vertAnchor="text" w:horzAnchor="page" w:tblpX="1045" w:tblpY="703"/>
        <w:tblOverlap w:val="never"/>
        <w:tblW w:w="10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937"/>
        <w:gridCol w:w="776"/>
        <w:gridCol w:w="800"/>
        <w:gridCol w:w="397"/>
        <w:gridCol w:w="675"/>
        <w:gridCol w:w="397"/>
        <w:gridCol w:w="1433"/>
        <w:gridCol w:w="532"/>
        <w:gridCol w:w="522"/>
        <w:gridCol w:w="626"/>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10015" w:type="dxa"/>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小标宋简体" w:hAnsi="方正小标宋简体" w:eastAsia="方正小标宋简体" w:cs="方正小标宋简体"/>
                <w:i w:val="0"/>
                <w:iCs w:val="0"/>
                <w:color w:val="000000"/>
                <w:sz w:val="44"/>
                <w:szCs w:val="44"/>
                <w:u w:val="none"/>
              </w:rPr>
            </w:pPr>
            <w:bookmarkStart w:id="50" w:name="_Toc15396618"/>
            <w:r>
              <w:rPr>
                <w:rFonts w:hint="default" w:ascii="方正小标宋简体" w:hAnsi="宋体" w:eastAsia="方正小标宋简体" w:cs="宋体"/>
                <w:color w:val="000000"/>
                <w:w w:val="90"/>
                <w:kern w:val="0"/>
                <w:sz w:val="36"/>
                <w:szCs w:val="36"/>
                <w:lang w:val="en-US" w:eastAsia="zh-CN"/>
              </w:rPr>
              <w:t>部门预算、专项资金预算项目支出绩效目标自评表</w:t>
            </w:r>
            <w:r>
              <w:rPr>
                <w:rFonts w:hint="eastAsia" w:ascii="方正小标宋简体" w:hAnsi="宋体" w:eastAsia="方正小标宋简体" w:cs="宋体"/>
                <w:color w:val="000000"/>
                <w:w w:val="90"/>
                <w:kern w:val="0"/>
                <w:sz w:val="36"/>
                <w:szCs w:val="36"/>
                <w:lang w:val="en-US" w:eastAsia="zh-CN"/>
              </w:rPr>
              <w:t xml:space="preserve">  </w:t>
            </w:r>
            <w:r>
              <w:rPr>
                <w:rFonts w:hint="default" w:ascii="方正小标宋简体" w:hAnsi="宋体" w:eastAsia="方正小标宋简体" w:cs="宋体"/>
                <w:color w:val="000000"/>
                <w:w w:val="90"/>
                <w:kern w:val="0"/>
                <w:sz w:val="36"/>
                <w:szCs w:val="36"/>
                <w:lang w:val="en-US" w:eastAsia="zh-CN"/>
              </w:rPr>
              <w:t xml:space="preserve">（2022年度）  </w:t>
            </w:r>
            <w:r>
              <w:rPr>
                <w:rFonts w:hint="eastAsia" w:ascii="方正小标宋简体" w:hAnsi="宋体" w:eastAsia="方正小标宋简体" w:cs="宋体"/>
                <w:color w:val="000000"/>
                <w:w w:val="90"/>
                <w:kern w:val="0"/>
                <w:sz w:val="36"/>
                <w:szCs w:val="36"/>
                <w:lang w:val="en-US" w:eastAsia="zh-CN"/>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聘用制书记员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2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苍溪县人民法院</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3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2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1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发放聘用制书记员工资、保险、办公经费等。</w:t>
            </w:r>
          </w:p>
        </w:tc>
        <w:tc>
          <w:tcPr>
            <w:tcW w:w="51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按时发放发放聘用制书记员工资、保险、办公经费等。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每月按时发放聘用制书记员工资及保险，保障聘用制书记员权益，提高聘用制书记员办事效率。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9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发放聘用制书记员工资人数</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提高聘用制书记员工作效率</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较好的提高聘用制书记员工作效率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2022年支付完毕，完成了既定的目标任务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完成该项目所需成本</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161万</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所产生的社会影响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产生了较好的社会影响，提升了法院的形象。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聘用制书记员满意度</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9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根据专项绩效评定指标各项目量化评价，自评得分100分，2022年，我院按要求每月按时发放聘用制书记员工资及保险，保障聘用制书记员工作权益，提高聘用制书记员工作效率。按要求执行完毕。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9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通过项目经费支出使用编写完成了项目的整体方案。但在项目的实施过程中有些工作还需要改进，主要问题是：对项目的项目支出按预算和工作进度执行需进一步规范，实际情况与预算不符合地方还需落实。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9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项目开展进度的跟踪，开展项目绩效评价，确保项目资金得到充分合理的运用，实行专款专用，认真审查项目的各项流程是否符合财务会计制度。健全财务制度，规范会计核算，不截留、挤占、挪用或超标准开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9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8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单位项目负责人：陈萍</w:t>
            </w:r>
          </w:p>
        </w:tc>
        <w:tc>
          <w:tcPr>
            <w:tcW w:w="61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单位财务负责人：李锦桦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8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部门项目负责人：陈萍</w:t>
            </w:r>
          </w:p>
        </w:tc>
        <w:tc>
          <w:tcPr>
            <w:tcW w:w="61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部门财务负责人：李锦桦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00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财政部门科室负责人：李锦桦</w:t>
            </w:r>
          </w:p>
        </w:tc>
      </w:tr>
    </w:tbl>
    <w:p/>
    <w:p>
      <w:pPr>
        <w:pStyle w:val="2"/>
      </w:pPr>
    </w:p>
    <w:p/>
    <w:p>
      <w:pPr>
        <w:spacing w:line="600" w:lineRule="exact"/>
        <w:jc w:val="both"/>
        <w:outlineLvl w:val="0"/>
        <w:rPr>
          <w:rFonts w:hint="eastAsia" w:ascii="黑体" w:hAnsi="黑体" w:eastAsia="黑体"/>
          <w:color w:val="auto"/>
          <w:sz w:val="44"/>
          <w:szCs w:val="44"/>
          <w:highlight w:val="none"/>
        </w:rPr>
      </w:pPr>
    </w:p>
    <w:p>
      <w:pPr>
        <w:pStyle w:val="15"/>
        <w:keepNext w:val="0"/>
        <w:keepLines w:val="0"/>
        <w:widowControl w:val="0"/>
        <w:suppressLineNumbers w:val="0"/>
        <w:autoSpaceDE w:val="0"/>
        <w:autoSpaceDN/>
        <w:spacing w:before="0" w:beforeAutospacing="0" w:after="0" w:afterAutospacing="0" w:line="578" w:lineRule="exact"/>
        <w:ind w:left="0" w:right="0"/>
        <w:jc w:val="center"/>
        <w:rPr>
          <w:rFonts w:hint="default" w:ascii="方正小标宋简体" w:hAnsi="方正小标宋简体" w:eastAsia="方正小标宋简体" w:cs="方正小标宋简体"/>
          <w:b w:val="0"/>
          <w:bCs w:val="0"/>
          <w:kern w:val="2"/>
          <w:sz w:val="44"/>
          <w:szCs w:val="44"/>
        </w:rPr>
      </w:pPr>
      <w:r>
        <w:rPr>
          <w:rFonts w:hint="default" w:ascii="方正小标宋简体" w:hAnsi="方正小标宋简体" w:eastAsia="方正小标宋简体" w:cs="方正小标宋简体"/>
          <w:b w:val="0"/>
          <w:bCs w:val="0"/>
          <w:color w:val="000000"/>
          <w:kern w:val="2"/>
          <w:sz w:val="44"/>
          <w:szCs w:val="44"/>
          <w:lang w:val="en-US" w:eastAsia="zh-CN" w:bidi="ar"/>
        </w:rPr>
        <w:t>202</w:t>
      </w:r>
      <w:r>
        <w:rPr>
          <w:rFonts w:hint="eastAsia" w:ascii="方正小标宋简体" w:hAnsi="方正小标宋简体" w:eastAsia="方正小标宋简体" w:cs="方正小标宋简体"/>
          <w:b w:val="0"/>
          <w:bCs w:val="0"/>
          <w:color w:val="000000"/>
          <w:kern w:val="2"/>
          <w:sz w:val="44"/>
          <w:szCs w:val="44"/>
          <w:lang w:val="en-US" w:eastAsia="zh-CN" w:bidi="ar"/>
        </w:rPr>
        <w:t>2</w:t>
      </w:r>
      <w:r>
        <w:rPr>
          <w:rFonts w:hint="default" w:ascii="方正小标宋简体" w:hAnsi="方正小标宋简体" w:eastAsia="方正小标宋简体" w:cs="方正小标宋简体"/>
          <w:b w:val="0"/>
          <w:bCs w:val="0"/>
          <w:color w:val="000000"/>
          <w:kern w:val="2"/>
          <w:sz w:val="44"/>
          <w:szCs w:val="44"/>
          <w:lang w:val="en-US" w:eastAsia="zh-CN" w:bidi="ar"/>
        </w:rPr>
        <w:t>年苍溪县人民法院政</w:t>
      </w:r>
      <w:r>
        <w:rPr>
          <w:rFonts w:hint="eastAsia" w:ascii="方正小标宋简体" w:hAnsi="方正小标宋简体" w:eastAsia="方正小标宋简体" w:cs="方正小标宋简体"/>
          <w:b w:val="0"/>
          <w:bCs w:val="0"/>
          <w:color w:val="000000"/>
          <w:kern w:val="2"/>
          <w:sz w:val="44"/>
          <w:szCs w:val="44"/>
          <w:lang w:val="en-US" w:eastAsia="zh-CN" w:bidi="ar"/>
        </w:rPr>
        <w:t>聘用制书记员</w:t>
      </w:r>
      <w:r>
        <w:rPr>
          <w:rFonts w:hint="default" w:ascii="方正小标宋简体" w:hAnsi="方正小标宋简体" w:eastAsia="方正小标宋简体" w:cs="方正小标宋简体"/>
          <w:b w:val="0"/>
          <w:bCs w:val="0"/>
          <w:color w:val="000000"/>
          <w:kern w:val="2"/>
          <w:sz w:val="44"/>
          <w:szCs w:val="44"/>
          <w:lang w:val="en-US" w:eastAsia="zh-CN" w:bidi="ar"/>
        </w:rPr>
        <w:t>预算项目支出绩效自评报告</w:t>
      </w:r>
    </w:p>
    <w:p>
      <w:pPr>
        <w:pStyle w:val="15"/>
        <w:keepNext w:val="0"/>
        <w:keepLines w:val="0"/>
        <w:widowControl w:val="0"/>
        <w:suppressLineNumbers w:val="0"/>
        <w:autoSpaceDE w:val="0"/>
        <w:autoSpaceDN/>
        <w:spacing w:before="0" w:beforeAutospacing="0" w:after="0" w:afterAutospacing="0" w:line="578" w:lineRule="exact"/>
        <w:ind w:left="0" w:right="0" w:firstLine="640"/>
        <w:jc w:val="center"/>
        <w:rPr>
          <w:rFonts w:hint="eastAsia" w:ascii="宋体" w:hAnsi="宋体" w:eastAsia="宋体" w:cs="Times New Roman"/>
          <w:b w:val="0"/>
          <w:bCs w:val="0"/>
          <w:kern w:val="2"/>
          <w:sz w:val="32"/>
          <w:szCs w:val="32"/>
        </w:rPr>
      </w:pPr>
      <w:r>
        <w:rPr>
          <w:rFonts w:hint="eastAsia" w:ascii="宋体" w:hAnsi="宋体" w:eastAsia="宋体" w:cs="Times New Roman"/>
          <w:b w:val="0"/>
          <w:bCs w:val="0"/>
          <w:color w:val="000000"/>
          <w:kern w:val="2"/>
          <w:sz w:val="32"/>
          <w:szCs w:val="32"/>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一、项目概况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（一）项目基本情况。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1．项目主管单位全面主持项目管理部各项工作，全部负责</w:t>
      </w:r>
      <w:r>
        <w:rPr>
          <w:rFonts w:hint="eastAsia" w:ascii="仿宋_GB2312" w:eastAsia="仿宋_GB2312" w:cs="仿宋_GB2312"/>
          <w:b w:val="0"/>
          <w:bCs w:val="0"/>
          <w:kern w:val="0"/>
          <w:sz w:val="32"/>
          <w:szCs w:val="32"/>
          <w:shd w:val="clear" w:fill="FFFFFF"/>
          <w:lang w:val="en-US" w:eastAsia="zh-CN" w:bidi="ar"/>
        </w:rPr>
        <w:t>单位</w:t>
      </w:r>
      <w:r>
        <w:rPr>
          <w:rFonts w:hint="default" w:ascii="仿宋_GB2312" w:hAnsi="Times New Roman" w:eastAsia="仿宋_GB2312" w:cs="仿宋_GB2312"/>
          <w:b w:val="0"/>
          <w:bCs w:val="0"/>
          <w:kern w:val="0"/>
          <w:sz w:val="32"/>
          <w:szCs w:val="32"/>
          <w:shd w:val="clear" w:fill="FFFFFF"/>
          <w:lang w:val="en-US" w:eastAsia="zh-CN" w:bidi="ar"/>
        </w:rPr>
        <w:t>所有项目实施期间发生的费用，依据项目实际情况进行款项支付，提交成果，负责项目进度跟踪管理。</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2．</w:t>
      </w:r>
      <w:r>
        <w:rPr>
          <w:rFonts w:hint="default" w:ascii="仿宋_GB2312" w:hAnsi="宋体" w:eastAsia="仿宋_GB2312" w:cs="仿宋_GB2312"/>
          <w:kern w:val="2"/>
          <w:sz w:val="32"/>
          <w:szCs w:val="32"/>
          <w:lang w:val="en-US" w:eastAsia="zh-CN" w:bidi="ar"/>
        </w:rPr>
        <w:t>该项目用于发放聘用制书记员工资、保险、办公经费等。评估认为，保障法院工作的正常运转，提高工作效率。评估认为，该项目立项依据充分。</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b w:val="0"/>
          <w:bCs w:val="0"/>
          <w:kern w:val="0"/>
          <w:sz w:val="32"/>
          <w:szCs w:val="32"/>
          <w:shd w:val="clear" w:fill="FFFFFF"/>
          <w:lang w:val="en-US" w:eastAsia="zh-CN" w:bidi="ar"/>
        </w:rPr>
        <w:t>3．</w:t>
      </w:r>
      <w:r>
        <w:rPr>
          <w:rFonts w:hint="default" w:ascii="仿宋_GB2312" w:hAnsi="Times New Roman" w:eastAsia="仿宋_GB2312" w:cs="仿宋_GB2312"/>
          <w:kern w:val="2"/>
          <w:sz w:val="32"/>
          <w:szCs w:val="32"/>
          <w:lang w:val="en-US" w:eastAsia="zh-CN" w:bidi="ar"/>
        </w:rPr>
        <w:t>按照厉行节约的要求，根据相关费用标准及市场价格水平，结合</w:t>
      </w:r>
      <w:r>
        <w:rPr>
          <w:rFonts w:hint="default" w:ascii="Times New Roman" w:hAnsi="Times New Roman" w:eastAsia="仿宋_GB2312" w:cs="Times New Roman"/>
          <w:kern w:val="2"/>
          <w:sz w:val="32"/>
          <w:szCs w:val="32"/>
          <w:lang w:val="en-US" w:eastAsia="zh-CN" w:bidi="ar"/>
        </w:rPr>
        <w:t>2022</w:t>
      </w:r>
      <w:r>
        <w:rPr>
          <w:rFonts w:hint="default" w:ascii="仿宋_GB2312" w:hAnsi="Times New Roman" w:eastAsia="仿宋_GB2312" w:cs="仿宋_GB2312"/>
          <w:kern w:val="2"/>
          <w:sz w:val="32"/>
          <w:szCs w:val="32"/>
          <w:lang w:val="en-US" w:eastAsia="zh-CN" w:bidi="ar"/>
        </w:rPr>
        <w:t>年实际支出情况评估，该项目任务数量基本合理、预算测算过程较为详细、测算依据基本充分、有一定的经济性。根据执行业务需求等实际工作的需要分配资金。</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（二）项目绩效目标。</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1．项目主要内容。</w:t>
      </w:r>
    </w:p>
    <w:p>
      <w:pPr>
        <w:keepNext w:val="0"/>
        <w:keepLines w:val="0"/>
        <w:widowControl w:val="0"/>
        <w:suppressLineNumbers w:val="0"/>
        <w:spacing w:before="0" w:beforeAutospacing="0" w:after="0" w:afterAutospacing="0"/>
        <w:ind w:left="0" w:right="0" w:firstLine="640" w:firstLineChars="200"/>
        <w:jc w:val="both"/>
        <w:outlineLvl w:val="0"/>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主要是</w:t>
      </w:r>
      <w:r>
        <w:rPr>
          <w:rFonts w:hint="default" w:ascii="仿宋_GB2312" w:hAnsi="宋体" w:eastAsia="仿宋_GB2312" w:cs="仿宋_GB2312"/>
          <w:kern w:val="2"/>
          <w:sz w:val="32"/>
          <w:szCs w:val="32"/>
          <w:lang w:val="en-US" w:eastAsia="zh-CN" w:bidi="ar"/>
        </w:rPr>
        <w:t>发放聘用制书记员工资、保险、办公经费等</w:t>
      </w:r>
      <w:r>
        <w:rPr>
          <w:rFonts w:hint="default" w:ascii="仿宋_GB2312" w:hAnsi="Times New Roman" w:eastAsia="仿宋_GB2312" w:cs="仿宋_GB2312"/>
          <w:kern w:val="2"/>
          <w:sz w:val="32"/>
          <w:szCs w:val="32"/>
          <w:lang w:val="en-US" w:eastAsia="zh-CN" w:bidi="ar"/>
        </w:rPr>
        <w:t>。合理的使用下达的资金，维护我院的正常运转。</w:t>
      </w:r>
      <w:r>
        <w:rPr>
          <w:rFonts w:hint="default" w:ascii="仿宋_GB2312" w:hAnsi="Times New Roman" w:eastAsia="仿宋_GB2312" w:cs="Times New Roman"/>
          <w:kern w:val="2"/>
          <w:sz w:val="32"/>
          <w:szCs w:val="32"/>
          <w:lang w:val="en-US" w:eastAsia="zh-CN" w:bidi="ar"/>
        </w:rPr>
        <w:t xml:space="preserve">  </w:t>
      </w:r>
    </w:p>
    <w:p>
      <w:pPr>
        <w:keepNext w:val="0"/>
        <w:keepLines w:val="0"/>
        <w:widowControl w:val="0"/>
        <w:numPr>
          <w:ilvl w:val="0"/>
          <w:numId w:val="13"/>
        </w:numPr>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项目应实现的具体绩效目标。</w:t>
      </w:r>
    </w:p>
    <w:p>
      <w:pPr>
        <w:keepNext w:val="0"/>
        <w:keepLines w:val="0"/>
        <w:widowControl w:val="0"/>
        <w:suppressLineNumbers w:val="0"/>
        <w:spacing w:before="0" w:beforeAutospacing="0" w:after="0" w:afterAutospacing="0"/>
        <w:ind w:left="0" w:right="0" w:firstLine="640" w:firstLineChars="200"/>
        <w:jc w:val="both"/>
        <w:outlineLvl w:val="0"/>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我院2022年聘用制书记员项目情况较好，拨款161万，支付161万，完成执行进度100%。保障了</w:t>
      </w:r>
      <w:r>
        <w:rPr>
          <w:rFonts w:hint="default" w:ascii="仿宋_GB2312" w:hAnsi="宋体" w:eastAsia="仿宋_GB2312" w:cs="仿宋_GB2312"/>
          <w:kern w:val="2"/>
          <w:sz w:val="32"/>
          <w:szCs w:val="32"/>
          <w:lang w:val="en-US" w:eastAsia="zh-CN" w:bidi="ar"/>
        </w:rPr>
        <w:t>用制书记员工资、保险、办公经费，提升聘用制书记员工作效率</w:t>
      </w:r>
      <w:r>
        <w:rPr>
          <w:rFonts w:hint="default" w:ascii="仿宋_GB2312" w:hAnsi="Times New Roman" w:eastAsia="仿宋_GB2312" w:cs="仿宋_GB2312"/>
          <w:kern w:val="2"/>
          <w:sz w:val="32"/>
          <w:szCs w:val="32"/>
          <w:lang w:val="en-US" w:eastAsia="zh-CN" w:bidi="ar"/>
        </w:rPr>
        <w:t>。</w:t>
      </w:r>
    </w:p>
    <w:p>
      <w:pPr>
        <w:keepNext w:val="0"/>
        <w:keepLines w:val="0"/>
        <w:widowControl w:val="0"/>
        <w:numPr>
          <w:ilvl w:val="0"/>
          <w:numId w:val="13"/>
        </w:numPr>
        <w:suppressLineNumbers w:val="0"/>
        <w:autoSpaceDE w:val="0"/>
        <w:autoSpaceDN/>
        <w:adjustRightInd w:val="0"/>
        <w:snapToGrid w:val="0"/>
        <w:spacing w:before="0" w:beforeAutospacing="0" w:after="0" w:afterAutospacing="0" w:line="578" w:lineRule="exact"/>
        <w:ind w:left="0" w:leftChars="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分析评价申报内容是否与实际相符，申报目标是否合理可行。</w:t>
      </w:r>
    </w:p>
    <w:p>
      <w:pPr>
        <w:pStyle w:val="2"/>
        <w:widowControl/>
        <w:spacing w:before="0" w:beforeAutospacing="1"/>
        <w:ind w:leftChars="200" w:right="0"/>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rPr>
        <w:t>申报内容与实际相符，申报目标合理可行。</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（三）项目自评步骤及方法。</w:t>
      </w:r>
    </w:p>
    <w:p>
      <w:pPr>
        <w:adjustRightInd w:val="0"/>
        <w:snapToGrid w:val="0"/>
        <w:spacing w:line="580" w:lineRule="exact"/>
        <w:ind w:firstLine="720"/>
        <w:rPr>
          <w:rFonts w:hint="default" w:ascii="仿宋_GB2312" w:eastAsia="仿宋_GB2312" w:cs="仿宋_GB2312"/>
          <w:b w:val="0"/>
          <w:bCs w:val="0"/>
          <w:kern w:val="0"/>
          <w:sz w:val="32"/>
          <w:szCs w:val="32"/>
          <w:shd w:val="clear" w:fill="FFFFFF"/>
        </w:rPr>
      </w:pPr>
      <w:r>
        <w:rPr>
          <w:rFonts w:hint="eastAsia" w:ascii="仿宋" w:hAnsi="仿宋" w:eastAsia="仿宋"/>
          <w:sz w:val="32"/>
          <w:szCs w:val="32"/>
        </w:rPr>
        <w:t>本部门对项目有关资料进行核查、了解，对照项目绩效目标指标认真分析衡量项目是否达到预期目标，项目资金使用是否有效，项目运行是否可持续等情况随时进行跟踪调查，及时了解项目的运行情况。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二、项目资金申报及使用情况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（一）项目资金申报及批复情况。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在2022年年初申报项目专项资金161万元，经财政审核通过。上报市人大会议通过，财政纳入预算安排。</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仿宋_GB2312" w:hAnsi="宋体" w:eastAsia="仿宋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（二）资金计划、到位及使用情况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 xml:space="preserve">1．资金计划。市财政局拨款161万元。 </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2．资金到位。市财政局拨款161万元全部到位。</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3．资金使用。2022年我院转移资金使用161万元，资金使用安全规范，支付依据合法合规，与预算相符。</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（三）项目财务管理情况。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contextualSpacing/>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苍溪法院财务管理制度健全，严格按照财务管理制度执行，及时处理账务，会计核算规范。</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三、项目实施及管理情况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（一）项目组织架构及实施流程。</w:t>
      </w:r>
    </w:p>
    <w:p>
      <w:pPr>
        <w:adjustRightInd w:val="0"/>
        <w:snapToGrid w:val="0"/>
        <w:spacing w:line="600" w:lineRule="exact"/>
        <w:ind w:firstLine="720"/>
        <w:rPr>
          <w:rFonts w:ascii="仿宋" w:hAnsi="仿宋" w:eastAsia="仿宋" w:cs="Times New Roman"/>
          <w:sz w:val="32"/>
          <w:szCs w:val="32"/>
        </w:rPr>
      </w:pPr>
      <w:r>
        <w:rPr>
          <w:rFonts w:hint="eastAsia" w:ascii="仿宋" w:hAnsi="仿宋" w:eastAsia="仿宋" w:cs="Times New Roman"/>
          <w:sz w:val="32"/>
          <w:szCs w:val="32"/>
        </w:rPr>
        <w:t>1.制定工作计划和目标任务。</w:t>
      </w:r>
    </w:p>
    <w:p>
      <w:pPr>
        <w:adjustRightInd w:val="0"/>
        <w:snapToGrid w:val="0"/>
        <w:spacing w:line="600" w:lineRule="exact"/>
        <w:ind w:firstLine="720"/>
        <w:rPr>
          <w:rFonts w:ascii="仿宋" w:hAnsi="仿宋" w:eastAsia="仿宋" w:cs="Times New Roman"/>
          <w:sz w:val="32"/>
          <w:szCs w:val="32"/>
        </w:rPr>
      </w:pPr>
      <w:r>
        <w:rPr>
          <w:rFonts w:hint="eastAsia" w:ascii="仿宋" w:hAnsi="仿宋" w:eastAsia="仿宋" w:cs="Times New Roman"/>
          <w:sz w:val="32"/>
          <w:szCs w:val="32"/>
        </w:rPr>
        <w:t>2.落实项目实施具体责任人。</w:t>
      </w:r>
    </w:p>
    <w:p>
      <w:pPr>
        <w:adjustRightInd w:val="0"/>
        <w:snapToGrid w:val="0"/>
        <w:spacing w:line="600" w:lineRule="exact"/>
        <w:ind w:firstLine="720"/>
        <w:rPr>
          <w:rFonts w:hint="eastAsia" w:eastAsia="仿宋"/>
          <w:lang w:val="zh-CN" w:eastAsia="zh-CN"/>
        </w:rPr>
      </w:pPr>
      <w:r>
        <w:rPr>
          <w:rFonts w:hint="eastAsia" w:ascii="仿宋" w:hAnsi="仿宋" w:eastAsia="仿宋" w:cs="Times New Roman"/>
          <w:sz w:val="32"/>
          <w:szCs w:val="32"/>
        </w:rPr>
        <w:t>3.按照计划开展工作</w:t>
      </w:r>
      <w:r>
        <w:rPr>
          <w:rFonts w:hint="eastAsia" w:ascii="仿宋" w:hAnsi="仿宋" w:eastAsia="仿宋" w:cs="Times New Roman"/>
          <w:sz w:val="32"/>
          <w:szCs w:val="32"/>
          <w:lang w:eastAsia="zh-CN"/>
        </w:rPr>
        <w:t>。</w:t>
      </w:r>
    </w:p>
    <w:p>
      <w:pPr>
        <w:pStyle w:val="2"/>
        <w:widowControl/>
        <w:numPr>
          <w:ilvl w:val="0"/>
          <w:numId w:val="14"/>
        </w:numPr>
        <w:spacing w:before="0" w:beforeAutospacing="1"/>
        <w:ind w:left="0" w:leftChars="0" w:right="0" w:firstLine="640" w:firstLineChars="200"/>
        <w:rPr>
          <w:rFonts w:hint="default" w:ascii="仿宋_GB2312" w:eastAsia="仿宋_GB2312" w:cs="仿宋_GB2312"/>
          <w:b w:val="0"/>
          <w:bCs w:val="0"/>
          <w:kern w:val="0"/>
          <w:sz w:val="32"/>
          <w:szCs w:val="32"/>
          <w:shd w:val="clear" w:fill="FFFFFF"/>
        </w:rPr>
      </w:pPr>
      <w:r>
        <w:rPr>
          <w:rFonts w:hint="default" w:ascii="楷体_GB2312" w:hAnsi="宋体" w:eastAsia="楷体_GB2312" w:cs="楷体_GB2312"/>
          <w:b w:val="0"/>
          <w:bCs w:val="0"/>
          <w:kern w:val="2"/>
          <w:sz w:val="32"/>
          <w:szCs w:val="32"/>
        </w:rPr>
        <w:t>项目管理情况。</w:t>
      </w:r>
    </w:p>
    <w:p>
      <w:pPr>
        <w:pStyle w:val="2"/>
        <w:widowControl/>
        <w:numPr>
          <w:ilvl w:val="0"/>
          <w:numId w:val="0"/>
        </w:numPr>
        <w:spacing w:before="0" w:beforeAutospacing="1"/>
        <w:ind w:leftChars="200" w:right="0" w:rightChars="0" w:firstLine="640" w:firstLineChars="200"/>
        <w:rPr>
          <w:rFonts w:hint="default" w:ascii="仿宋_GB2312" w:eastAsia="仿宋_GB2312" w:cs="仿宋_GB2312"/>
          <w:b w:val="0"/>
          <w:bCs w:val="0"/>
          <w:kern w:val="0"/>
          <w:sz w:val="32"/>
          <w:szCs w:val="32"/>
          <w:shd w:val="clear" w:fill="FFFFFF"/>
        </w:rPr>
      </w:pPr>
      <w:r>
        <w:rPr>
          <w:rFonts w:hint="default" w:ascii="仿宋_GB2312" w:eastAsia="仿宋_GB2312" w:cs="仿宋_GB2312"/>
          <w:b w:val="0"/>
          <w:bCs w:val="0"/>
          <w:kern w:val="0"/>
          <w:sz w:val="32"/>
          <w:szCs w:val="32"/>
          <w:shd w:val="clear" w:fill="FFFFFF"/>
        </w:rPr>
        <w:t>严格执行相关项目管理制度，各项支出符合专项资金使用要求。</w:t>
      </w:r>
    </w:p>
    <w:p>
      <w:pPr>
        <w:keepNext w:val="0"/>
        <w:keepLines w:val="0"/>
        <w:widowControl w:val="0"/>
        <w:numPr>
          <w:ilvl w:val="0"/>
          <w:numId w:val="14"/>
        </w:numPr>
        <w:suppressLineNumbers w:val="0"/>
        <w:autoSpaceDE w:val="0"/>
        <w:autoSpaceDN/>
        <w:adjustRightInd w:val="0"/>
        <w:snapToGrid w:val="0"/>
        <w:spacing w:before="0" w:beforeAutospacing="0" w:after="0" w:afterAutospacing="0" w:line="578" w:lineRule="exact"/>
        <w:ind w:left="0" w:leftChars="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项目监管情况。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仿宋_GB2312" w:eastAsia="仿宋_GB2312" w:cs="仿宋_GB2312"/>
          <w:b w:val="0"/>
          <w:bCs w:val="0"/>
          <w:kern w:val="0"/>
          <w:sz w:val="32"/>
          <w:szCs w:val="32"/>
          <w:shd w:val="clear" w:fill="FFFFFF"/>
        </w:rPr>
      </w:pPr>
      <w:r>
        <w:rPr>
          <w:rFonts w:hint="default" w:ascii="仿宋_GB2312" w:hAnsi="Times New Roman" w:eastAsia="仿宋_GB2312" w:cs="仿宋_GB2312"/>
          <w:b w:val="0"/>
          <w:bCs w:val="0"/>
          <w:kern w:val="0"/>
          <w:sz w:val="32"/>
          <w:szCs w:val="32"/>
          <w:shd w:val="clear" w:fill="FFFFFF"/>
          <w:lang w:val="en-US" w:eastAsia="zh-CN" w:bidi="ar"/>
        </w:rPr>
        <w:t>苍溪县人民法院严格按照财务管理制度对该项目资金进行管理和使用。资金使用规范合理，无占有、挪用资金的情况。</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仿宋_GB2312" w:hAnsi="宋体" w:eastAsia="仿宋_GB2312" w:cs="Times New Roman"/>
          <w:b w:val="0"/>
          <w:bCs w:val="0"/>
          <w:kern w:val="2"/>
          <w:sz w:val="32"/>
          <w:szCs w:val="32"/>
        </w:rPr>
      </w:pPr>
      <w:r>
        <w:rPr>
          <w:rFonts w:hint="eastAsia" w:ascii="黑体" w:hAnsi="宋体" w:eastAsia="黑体" w:cs="黑体"/>
          <w:b w:val="0"/>
          <w:bCs w:val="0"/>
          <w:kern w:val="2"/>
          <w:sz w:val="32"/>
          <w:szCs w:val="32"/>
          <w:lang w:val="en-US" w:eastAsia="zh-CN" w:bidi="ar"/>
        </w:rPr>
        <w:t>四、项目绩效情况</w:t>
      </w:r>
      <w:r>
        <w:rPr>
          <w:rFonts w:hint="default" w:ascii="仿宋_GB2312" w:hAnsi="宋体" w:eastAsia="仿宋_GB2312" w:cs="Times New Roman"/>
          <w:b w:val="0"/>
          <w:bCs w:val="0"/>
          <w:kern w:val="2"/>
          <w:sz w:val="32"/>
          <w:szCs w:val="32"/>
          <w:lang w:val="en-US" w:eastAsia="zh-CN" w:bidi="ar"/>
        </w:rPr>
        <w:tab/>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（一）项目完成情况。</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（1）数量指标。</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我年初预定2022年发放聘用制书记员工资人数≥46人，年底发放人数66人。我院数量指标按照年初预定的数量，按质按量完成。确保资金合理规范使用。</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（2）质量指标。</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利用聘用制书记员项目的实施较好的较好的提高聘用制书记员工作效率。</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（3）时效指标。</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我院在2022年12月31日之前完成</w:t>
      </w:r>
      <w:r>
        <w:rPr>
          <w:rFonts w:hint="eastAsia" w:ascii="仿宋_GB2312" w:eastAsia="仿宋_GB2312" w:cs="仿宋_GB2312"/>
          <w:kern w:val="2"/>
          <w:sz w:val="32"/>
          <w:szCs w:val="32"/>
          <w:lang w:val="en-US" w:eastAsia="zh-CN" w:bidi="ar"/>
        </w:rPr>
        <w:t>聘用制书记员专项</w:t>
      </w:r>
      <w:r>
        <w:rPr>
          <w:rFonts w:hint="default" w:ascii="仿宋_GB2312" w:hAnsi="Times New Roman" w:eastAsia="仿宋_GB2312" w:cs="仿宋_GB2312"/>
          <w:kern w:val="2"/>
          <w:sz w:val="32"/>
          <w:szCs w:val="32"/>
          <w:lang w:val="en-US" w:eastAsia="zh-CN" w:bidi="ar"/>
        </w:rPr>
        <w:t>资金的使用。</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（4）成本指标。</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严格控制成本，把成本控制在</w:t>
      </w:r>
      <w:r>
        <w:rPr>
          <w:rFonts w:hint="eastAsia" w:ascii="仿宋_GB2312" w:eastAsia="仿宋_GB2312" w:cs="仿宋_GB2312"/>
          <w:kern w:val="2"/>
          <w:sz w:val="32"/>
          <w:szCs w:val="32"/>
          <w:lang w:val="en-US" w:eastAsia="zh-CN" w:bidi="ar"/>
        </w:rPr>
        <w:t>聘用制书记员</w:t>
      </w:r>
      <w:r>
        <w:rPr>
          <w:rFonts w:hint="default" w:ascii="仿宋_GB2312" w:hAnsi="Times New Roman" w:eastAsia="仿宋_GB2312" w:cs="仿宋_GB2312"/>
          <w:kern w:val="2"/>
          <w:sz w:val="32"/>
          <w:szCs w:val="32"/>
          <w:lang w:val="en-US" w:eastAsia="zh-CN" w:bidi="ar"/>
        </w:rPr>
        <w:t>资金范围之内。</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（二）项目效益情况。</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传播了崇法思想，弘扬公正、廉洁、为民的司法核心价值观。树立群众法治意识，为建设社会主义法治社会做出贡献。聘用制书记员满意度均达到90%以上，达到定纷止争的效果，维护社会和平稳定。</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eastAsia" w:ascii="黑体" w:hAnsi="宋体"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五、评价结论及建议</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（一）评价结论。</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contextualSpacing/>
        <w:jc w:val="left"/>
        <w:rPr>
          <w:rFonts w:hint="eastAsia" w:ascii="仿宋" w:hAnsi="仿宋" w:eastAsia="仿宋" w:cs="仿宋"/>
          <w:kern w:val="2"/>
          <w:sz w:val="32"/>
          <w:szCs w:val="32"/>
        </w:rPr>
      </w:pPr>
      <w:r>
        <w:rPr>
          <w:rFonts w:hint="eastAsia" w:ascii="仿宋" w:hAnsi="仿宋" w:eastAsia="仿宋" w:cs="仿宋"/>
          <w:color w:val="000000"/>
          <w:kern w:val="0"/>
          <w:sz w:val="32"/>
          <w:szCs w:val="32"/>
          <w:shd w:val="clear" w:fill="FFFFFF"/>
          <w:lang w:val="en-US" w:eastAsia="zh-CN" w:bidi="ar"/>
        </w:rPr>
        <w:t>通过绩效自评，2022年</w:t>
      </w:r>
      <w:r>
        <w:rPr>
          <w:rFonts w:hint="eastAsia" w:ascii="仿宋_GB2312" w:eastAsia="仿宋_GB2312" w:cs="仿宋_GB2312"/>
          <w:kern w:val="2"/>
          <w:sz w:val="32"/>
          <w:szCs w:val="32"/>
          <w:lang w:val="en-US" w:eastAsia="zh-CN" w:bidi="ar"/>
        </w:rPr>
        <w:t>聘用制书记员</w:t>
      </w:r>
      <w:r>
        <w:rPr>
          <w:rFonts w:hint="default" w:ascii="仿宋_GB2312" w:hAnsi="Times New Roman" w:eastAsia="仿宋_GB2312" w:cs="仿宋_GB2312"/>
          <w:kern w:val="2"/>
          <w:sz w:val="32"/>
          <w:szCs w:val="32"/>
          <w:lang w:val="en-US" w:eastAsia="zh-CN" w:bidi="ar"/>
        </w:rPr>
        <w:t>专项资金</w:t>
      </w:r>
      <w:r>
        <w:rPr>
          <w:rFonts w:hint="eastAsia" w:ascii="仿宋" w:hAnsi="仿宋" w:eastAsia="仿宋" w:cs="仿宋"/>
          <w:color w:val="000000"/>
          <w:kern w:val="0"/>
          <w:sz w:val="32"/>
          <w:szCs w:val="32"/>
          <w:shd w:val="clear" w:fill="FFFFFF"/>
          <w:lang w:val="en-US" w:eastAsia="zh-CN" w:bidi="ar"/>
        </w:rPr>
        <w:t>支出政策依据充分，目标制定明确；按照计划有序实施，经费使用严格按照相关财务管理制度执行，对资金的使用监管有力有效。整个支出实施达到了预期的绩效目标。</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（二）存在的问题。</w:t>
      </w:r>
    </w:p>
    <w:p>
      <w:pPr>
        <w:keepNext w:val="0"/>
        <w:keepLines w:val="0"/>
        <w:widowControl w:val="0"/>
        <w:suppressLineNumbers w:val="0"/>
        <w:spacing w:before="0" w:beforeAutospacing="0" w:after="0" w:afterAutospacing="0"/>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预算资金使用计划性有待加强，完善用款计划管理，更科学合理的编制资金使用计划，进一步细化收支项目、按时间、按进度支出，提高资金的使用效益。</w:t>
      </w:r>
    </w:p>
    <w:p>
      <w:pPr>
        <w:keepNext w:val="0"/>
        <w:keepLines w:val="0"/>
        <w:widowControl w:val="0"/>
        <w:suppressLineNumbers w:val="0"/>
        <w:autoSpaceDE w:val="0"/>
        <w:autoSpaceDN/>
        <w:adjustRightInd w:val="0"/>
        <w:snapToGrid w:val="0"/>
        <w:spacing w:before="0" w:beforeAutospacing="0" w:after="0" w:afterAutospacing="0" w:line="578" w:lineRule="exact"/>
        <w:ind w:left="0" w:right="0" w:firstLine="640" w:firstLineChars="200"/>
        <w:jc w:val="both"/>
        <w:rPr>
          <w:rFonts w:hint="default" w:ascii="楷体_GB2312" w:hAnsi="宋体" w:eastAsia="楷体_GB2312" w:cs="Times New Roman"/>
          <w:b w:val="0"/>
          <w:bCs w:val="0"/>
          <w:kern w:val="2"/>
          <w:sz w:val="32"/>
          <w:szCs w:val="32"/>
        </w:rPr>
      </w:pPr>
      <w:r>
        <w:rPr>
          <w:rFonts w:hint="default" w:ascii="楷体_GB2312" w:hAnsi="宋体" w:eastAsia="楷体_GB2312" w:cs="楷体_GB2312"/>
          <w:b w:val="0"/>
          <w:bCs w:val="0"/>
          <w:kern w:val="2"/>
          <w:sz w:val="32"/>
          <w:szCs w:val="32"/>
          <w:lang w:val="en-US" w:eastAsia="zh-CN" w:bidi="ar"/>
        </w:rPr>
        <w:t>（三）相关建议。</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contextualSpacing/>
        <w:jc w:val="left"/>
        <w:rPr>
          <w:rFonts w:hint="default" w:ascii="仿宋_GB2312" w:hAnsi="Times New Roman" w:eastAsia="仿宋_GB2312" w:cs="仿宋_GB2312"/>
          <w:b w:val="0"/>
          <w:bCs w:val="0"/>
          <w:kern w:val="0"/>
          <w:sz w:val="32"/>
          <w:szCs w:val="32"/>
          <w:shd w:val="clear" w:fill="FFFFFF"/>
          <w:lang w:val="en-US" w:eastAsia="zh-CN" w:bidi="ar"/>
        </w:rPr>
      </w:pPr>
      <w:r>
        <w:rPr>
          <w:rFonts w:hint="default" w:ascii="仿宋_GB2312" w:hAnsi="Times New Roman" w:eastAsia="仿宋_GB2312" w:cs="仿宋_GB2312"/>
          <w:b w:val="0"/>
          <w:bCs w:val="0"/>
          <w:kern w:val="0"/>
          <w:sz w:val="32"/>
          <w:szCs w:val="32"/>
          <w:shd w:val="clear" w:fill="FFFFFF"/>
          <w:lang w:val="en-US" w:eastAsia="zh-CN" w:bidi="ar"/>
        </w:rPr>
        <w:t>加大对财务人员的业务培训力度，夯实财务理论基础，提高业务水平，增强工作效率；加大经费投入，提高预算基数，按申报项目资金有效预算；今后在编制预算中，进一步重视预算的编制工作，提高预算编制的精确度，在预算执行中严格遵循“先有预算、后有支出”的原则，认真执行各项资效。金使用管理制度，确保各项支出真实合理，有效提升工</w:t>
      </w:r>
      <w:r>
        <w:rPr>
          <w:rFonts w:hint="eastAsia" w:ascii="仿宋_GB2312" w:eastAsia="仿宋_GB2312" w:cs="仿宋_GB2312"/>
          <w:b w:val="0"/>
          <w:bCs w:val="0"/>
          <w:kern w:val="0"/>
          <w:sz w:val="32"/>
          <w:szCs w:val="32"/>
          <w:shd w:val="clear" w:fill="FFFFFF"/>
          <w:lang w:val="en-US" w:eastAsia="zh-CN" w:bidi="ar"/>
        </w:rPr>
        <w:t>作绩效。</w:t>
      </w:r>
    </w:p>
    <w:tbl>
      <w:tblPr>
        <w:tblStyle w:val="16"/>
        <w:tblpPr w:leftFromText="180" w:rightFromText="180" w:vertAnchor="text" w:horzAnchor="page" w:tblpX="1045" w:tblpY="703"/>
        <w:tblOverlap w:val="never"/>
        <w:tblW w:w="10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1001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宋体" w:eastAsia="方正小标宋简体" w:cs="宋体"/>
                <w:color w:val="000000"/>
                <w:w w:val="90"/>
                <w:kern w:val="0"/>
                <w:sz w:val="36"/>
                <w:szCs w:val="36"/>
                <w:lang w:val="en-US" w:eastAsia="zh-CN"/>
              </w:rPr>
              <w:t>部门预算、专项资金预算项目支出绩效目标自评表</w:t>
            </w:r>
            <w:r>
              <w:rPr>
                <w:rFonts w:hint="eastAsia" w:ascii="方正小标宋简体" w:hAnsi="宋体" w:eastAsia="方正小标宋简体" w:cs="宋体"/>
                <w:color w:val="000000"/>
                <w:w w:val="90"/>
                <w:kern w:val="0"/>
                <w:sz w:val="36"/>
                <w:szCs w:val="36"/>
                <w:lang w:val="en-US" w:eastAsia="zh-CN"/>
              </w:rPr>
              <w:t xml:space="preserve">  </w:t>
            </w:r>
            <w:r>
              <w:rPr>
                <w:rFonts w:hint="default" w:ascii="方正小标宋简体" w:hAnsi="宋体" w:eastAsia="方正小标宋简体" w:cs="宋体"/>
                <w:color w:val="000000"/>
                <w:w w:val="90"/>
                <w:kern w:val="0"/>
                <w:sz w:val="36"/>
                <w:szCs w:val="36"/>
                <w:lang w:val="en-US" w:eastAsia="zh-CN"/>
              </w:rPr>
              <w:t xml:space="preserve">（2022年度）  </w:t>
            </w:r>
            <w:r>
              <w:rPr>
                <w:rFonts w:hint="eastAsia" w:ascii="方正小标宋简体" w:hAnsi="宋体" w:eastAsia="方正小标宋简体" w:cs="宋体"/>
                <w:color w:val="000000"/>
                <w:w w:val="90"/>
                <w:kern w:val="0"/>
                <w:sz w:val="36"/>
                <w:szCs w:val="36"/>
                <w:lang w:val="en-US" w:eastAsia="zh-CN"/>
              </w:rPr>
              <w:t xml:space="preserve">                 单位：万元</w:t>
            </w:r>
          </w:p>
        </w:tc>
      </w:tr>
    </w:tbl>
    <w:p>
      <w:pPr>
        <w:keepNext w:val="0"/>
        <w:keepLines w:val="0"/>
        <w:widowControl w:val="0"/>
        <w:suppressLineNumbers w:val="0"/>
        <w:autoSpaceDE w:val="0"/>
        <w:autoSpaceDN/>
        <w:adjustRightInd w:val="0"/>
        <w:snapToGrid w:val="0"/>
        <w:spacing w:before="0" w:beforeAutospacing="0" w:after="0" w:afterAutospacing="0" w:line="576" w:lineRule="exact"/>
        <w:ind w:right="0"/>
        <w:contextualSpacing/>
        <w:jc w:val="left"/>
        <w:rPr>
          <w:rFonts w:hint="default" w:ascii="仿宋_GB2312" w:eastAsia="仿宋_GB2312" w:cs="仿宋_GB2312"/>
          <w:b w:val="0"/>
          <w:bCs w:val="0"/>
          <w:kern w:val="0"/>
          <w:sz w:val="32"/>
          <w:szCs w:val="32"/>
          <w:shd w:val="clear" w:fill="FFFFFF"/>
        </w:rPr>
      </w:pPr>
    </w:p>
    <w:tbl>
      <w:tblPr>
        <w:tblStyle w:val="16"/>
        <w:tblpPr w:leftFromText="180" w:rightFromText="180" w:vertAnchor="text" w:horzAnchor="page" w:tblpX="1575" w:tblpY="-132"/>
        <w:tblOverlap w:val="never"/>
        <w:tblW w:w="93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609"/>
        <w:gridCol w:w="1276"/>
        <w:gridCol w:w="830"/>
        <w:gridCol w:w="504"/>
        <w:gridCol w:w="784"/>
        <w:gridCol w:w="387"/>
        <w:gridCol w:w="810"/>
        <w:gridCol w:w="472"/>
        <w:gridCol w:w="470"/>
        <w:gridCol w:w="387"/>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8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案件执行业务专项经费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3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苍溪县人民法院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苍溪县人民法院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3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3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3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用于执行办案所需的差旅费、公务用车运行维护费、执行所需业务宣传费，以及执行专项活动的开展等，保障我院执行工作的顺利开展，完成本年度执行案件数量，保障法院工作的正常进行。</w:t>
            </w:r>
          </w:p>
        </w:tc>
        <w:tc>
          <w:tcPr>
            <w:tcW w:w="3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我院按要求支付用于执行办案所需的差旅费、公务用车运行维护费、执行所需业务宣传费，以及执行专项活动的开展等，保障我院执行工作的顺利开展，完成本年度执行案件数量，保障法院工作的正常进行。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68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院按要求拨付执行所需的相关费用，我院执行局按程序报销执行所需的相关费用，由领导审批后财务部门拨付相关补助，主要支付执行所需的差旅费费，车辆运行维护费，法治宣传费用等，提高了我院的执行质量，提升了干警的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1"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42.74</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42.74</w:t>
            </w: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42.74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7"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1" w:hRule="atLeast"/>
        </w:trPr>
        <w:tc>
          <w:tcPr>
            <w:tcW w:w="89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开展法制宣传数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法官人均结案数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出差次数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600余次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提升干警工作效率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2022年完成</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项目完成所需成本</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30万</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所达到社会影响</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产生了较好的社会影响，提升了法院的形象。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8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人民群众对法院的满意度</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0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专项绩效评定指标各项目量化评价，自评得分100分，2022年，我院按要求支付用于执行办案所需的差旅费、公务用车运行维护费、执行所需业务宣传费，以及执行专项活动的开展等，保障我院执行工作的顺利开展，完成本年度执行案件数量，保障法院工作的正常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通过项目经费支出使用编写完成了项目的整体方案。但在项目的实施过程中有些工作还需要改进，主要问题是：对项目的项目支出按预算和工作进度执行需进一步规范，实际情况与预算不符合地方还需落实。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项目开展进度的跟踪，开展项目绩效评价，确保项目资金得到充分合理的运用，实行专款专用，认真审查项目的各项流程是否符合财务会计制度。健全财务制度，规范会计核算，不截留、挤占、挪用或超标准开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单位项目负责人：陈萍</w:t>
            </w:r>
          </w:p>
        </w:tc>
        <w:tc>
          <w:tcPr>
            <w:tcW w:w="4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单位财务负责人：李锦桦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1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部门项目负责人：陈萍</w:t>
            </w:r>
          </w:p>
        </w:tc>
        <w:tc>
          <w:tcPr>
            <w:tcW w:w="4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部门财务负责人：李锦桦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4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财政部门科室负责人：李锦桦</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2022年苍溪县人民法院案件执行专项资金预算项目支出绩效自评报告</w:t>
      </w:r>
    </w:p>
    <w:p>
      <w:pPr>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1．项目主管单位全面主持项目管理部各项工作，全部负责</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所有项目实施期间发生的费用，依据项目实际情况进行款项支付，提交成果，负责项目进度跟踪管理。</w:t>
      </w:r>
    </w:p>
    <w:p>
      <w:pPr>
        <w:snapToGrid w:val="0"/>
        <w:spacing w:line="600" w:lineRule="exact"/>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_GB2312" w:hAnsi="宋体" w:eastAsia="仿宋_GB2312"/>
          <w:sz w:val="32"/>
          <w:szCs w:val="32"/>
        </w:rPr>
        <w:t>根据我国依法治国的根本策略，让群众在每一个司法案件中感受公平正义的需求，拉近人民群众与法院的距离，消除院机关及派出法庭业务用房安全隐患，通过项目的实施，提升我院干警的办案效率，让案件审理在阳光下运行，使人民群众对法院的监督更加便捷有力，进一步提升司法公信力。评估认为，该项目立项依据充分</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eastAsia" w:ascii="Times New Roman" w:hAnsi="Times New Roman" w:eastAsia="仿宋_GB2312"/>
          <w:sz w:val="32"/>
          <w:szCs w:val="32"/>
        </w:rPr>
        <w:t>按照厉行节约的要求，根据相关费用标准及市场价格水平，结合202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年实际支出情况评估，该项目任务数量基本合理、预算测算过程较为详细、测算依据基本充分、有一定的经济性。</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4．资金分配的原则及考虑因素。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根据</w:t>
      </w:r>
      <w:r>
        <w:rPr>
          <w:rFonts w:hint="eastAsia" w:eastAsia="仿宋_GB2312"/>
          <w:sz w:val="32"/>
          <w:szCs w:val="32"/>
          <w:lang w:eastAsia="zh-CN"/>
        </w:rPr>
        <w:t>执行业务</w:t>
      </w:r>
      <w:r>
        <w:rPr>
          <w:rFonts w:hint="eastAsia" w:ascii="Times New Roman" w:hAnsi="Times New Roman" w:eastAsia="仿宋_GB2312"/>
          <w:sz w:val="32"/>
          <w:szCs w:val="32"/>
          <w:lang w:eastAsia="zh-CN"/>
        </w:rPr>
        <w:t>需求等实际工作的需要分配资金。</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p>
    <w:p>
      <w:pPr>
        <w:ind w:firstLine="640" w:firstLineChars="200"/>
        <w:outlineLvl w:val="0"/>
        <w:rPr>
          <w:rFonts w:hint="eastAsia" w:eastAsia="仿宋_GB2312"/>
          <w:sz w:val="32"/>
          <w:szCs w:val="32"/>
          <w:lang w:val="zh-CN"/>
        </w:rPr>
      </w:pPr>
      <w:r>
        <w:rPr>
          <w:rFonts w:hint="eastAsia" w:ascii="仿宋_GB2312" w:eastAsia="仿宋_GB2312"/>
          <w:sz w:val="32"/>
          <w:szCs w:val="32"/>
        </w:rPr>
        <w:t>用于执行办案所需的差旅费、公务用车运行维护费、执行所需业务宣传费，以及执行专项活动的开展等，保障我院执行工作的顺利开展，完成本年度执行案件数量，保障法院工作的正常进行</w:t>
      </w:r>
      <w:r>
        <w:rPr>
          <w:rFonts w:hint="eastAsia" w:ascii="仿宋_GB2312" w:eastAsia="仿宋_GB2312"/>
          <w:sz w:val="32"/>
          <w:szCs w:val="32"/>
          <w:lang w:eastAsia="zh-CN"/>
        </w:rPr>
        <w:t>。</w:t>
      </w:r>
      <w:r>
        <w:rPr>
          <w:rFonts w:hint="eastAsia" w:ascii="仿宋_GB2312" w:eastAsia="仿宋_GB2312"/>
          <w:sz w:val="32"/>
          <w:szCs w:val="32"/>
        </w:rPr>
        <w:t xml:space="preserve">合理的使用下达的资金，维护我院的正常运转。  </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项目应实现的具体绩效目标。</w:t>
      </w:r>
    </w:p>
    <w:p>
      <w:pPr>
        <w:numPr>
          <w:ilvl w:val="0"/>
          <w:numId w:val="0"/>
        </w:numPr>
        <w:ind w:firstLine="640" w:firstLineChars="200"/>
        <w:outlineLvl w:val="0"/>
        <w:rPr>
          <w:rFonts w:hint="eastAsia" w:ascii="仿宋_GB2312" w:eastAsia="仿宋_GB2312"/>
          <w:sz w:val="32"/>
          <w:szCs w:val="32"/>
          <w:lang w:val="en-US" w:eastAsia="zh-CN"/>
        </w:rPr>
      </w:pPr>
      <w:r>
        <w:rPr>
          <w:rFonts w:hint="eastAsia" w:ascii="仿宋_GB2312" w:eastAsia="仿宋_GB2312"/>
          <w:sz w:val="32"/>
          <w:szCs w:val="32"/>
          <w:lang w:eastAsia="zh-CN"/>
        </w:rPr>
        <w:t>我院</w:t>
      </w:r>
      <w:r>
        <w:rPr>
          <w:rFonts w:hint="eastAsia" w:ascii="仿宋_GB2312" w:eastAsia="仿宋_GB2312"/>
          <w:sz w:val="32"/>
          <w:szCs w:val="32"/>
          <w:lang w:val="en-US" w:eastAsia="zh-CN"/>
        </w:rPr>
        <w:t>2022年执行专项经费完成情况较好，拨款42.74万，支付42.74万，完成执行进度100%。我院按要求支付用于执行办案所需的差旅费、公务用车运行维护费、执行所需业务宣传费，以及执行专项活动的开展等，保障我院执行工作的顺利开展，完成本年度执行案件数量，保障法院工作的正常进行</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分析评价申报内容是否与实际相符，申报目标是否合理可行。</w:t>
      </w:r>
    </w:p>
    <w:p>
      <w:pPr>
        <w:widowControl w:val="0"/>
        <w:numPr>
          <w:ilvl w:val="0"/>
          <w:numId w:val="0"/>
        </w:numPr>
        <w:spacing w:after="120"/>
        <w:ind w:left="420" w:leftChars="200"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sz w:val="32"/>
          <w:szCs w:val="32"/>
        </w:rPr>
        <w:t>本部门对项目有关资料进行核查、了解，对照项目绩效目标指标认真分析衡量项目是否达到预期目标，项目资金使用是否有效，项目运行是否可持续等情况随时进行跟踪调查，及时了解项目的运行情况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在202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年年初申报项目专项资金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42.74</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万元，经财政审核通过。上报市人大会议通过，财政纳入预算安排。</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eastAsia="仿宋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（二）资金计划、到位及使用情况（可用表格形式反映）。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1．资金计划。市财政局拨款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 xml:space="preserve">42.74万元。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2．资金到位。市财政局拨款</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42.74万元全部到位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2022年我院转移资金使用42.74万元，资金使用安全规范，支付依据合法合规，与预算相符。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苍溪法院财务管理制度健全，严格按照财务管理制度执行，及时处理账务，会计核算规范。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（一）项目组织架构及实施流程。</w:t>
      </w:r>
    </w:p>
    <w:p>
      <w:pPr>
        <w:adjustRightInd w:val="0"/>
        <w:snapToGrid w:val="0"/>
        <w:spacing w:line="600" w:lineRule="exact"/>
        <w:ind w:firstLine="720"/>
        <w:rPr>
          <w:rFonts w:ascii="仿宋" w:hAnsi="仿宋" w:eastAsia="仿宋" w:cs="Times New Roman"/>
          <w:sz w:val="32"/>
          <w:szCs w:val="32"/>
        </w:rPr>
      </w:pPr>
      <w:r>
        <w:rPr>
          <w:rFonts w:hint="eastAsia" w:ascii="仿宋" w:hAnsi="仿宋" w:eastAsia="仿宋" w:cs="Times New Roman"/>
          <w:sz w:val="32"/>
          <w:szCs w:val="32"/>
        </w:rPr>
        <w:t>1.制定工作计划和目标任务。</w:t>
      </w:r>
    </w:p>
    <w:p>
      <w:pPr>
        <w:adjustRightInd w:val="0"/>
        <w:snapToGrid w:val="0"/>
        <w:spacing w:line="600" w:lineRule="exact"/>
        <w:ind w:firstLine="720"/>
        <w:rPr>
          <w:rFonts w:ascii="仿宋" w:hAnsi="仿宋" w:eastAsia="仿宋" w:cs="Times New Roman"/>
          <w:sz w:val="32"/>
          <w:szCs w:val="32"/>
        </w:rPr>
      </w:pPr>
      <w:r>
        <w:rPr>
          <w:rFonts w:hint="eastAsia" w:ascii="仿宋" w:hAnsi="仿宋" w:eastAsia="仿宋" w:cs="Times New Roman"/>
          <w:sz w:val="32"/>
          <w:szCs w:val="32"/>
        </w:rPr>
        <w:t>2.落实项目实施具体责任人。</w:t>
      </w:r>
    </w:p>
    <w:p>
      <w:pPr>
        <w:adjustRightInd w:val="0"/>
        <w:snapToGrid w:val="0"/>
        <w:spacing w:line="600" w:lineRule="exact"/>
        <w:ind w:firstLine="720"/>
        <w:rPr>
          <w:rFonts w:hint="eastAsia" w:eastAsia="仿宋"/>
          <w:lang w:val="zh-CN" w:eastAsia="zh-CN"/>
        </w:rPr>
      </w:pPr>
      <w:r>
        <w:rPr>
          <w:rFonts w:hint="eastAsia" w:ascii="仿宋" w:hAnsi="仿宋" w:eastAsia="仿宋" w:cs="Times New Roman"/>
          <w:sz w:val="32"/>
          <w:szCs w:val="32"/>
        </w:rPr>
        <w:t>3.按照计划开展工作</w:t>
      </w:r>
      <w:r>
        <w:rPr>
          <w:rFonts w:hint="eastAsia" w:ascii="仿宋" w:hAnsi="仿宋" w:eastAsia="仿宋" w:cs="Times New Roman"/>
          <w:sz w:val="32"/>
          <w:szCs w:val="32"/>
          <w:lang w:eastAsia="zh-CN"/>
        </w:rPr>
        <w:t>。</w:t>
      </w:r>
    </w:p>
    <w:p>
      <w:pPr>
        <w:widowControl w:val="0"/>
        <w:numPr>
          <w:ilvl w:val="0"/>
          <w:numId w:val="16"/>
        </w:numPr>
        <w:spacing w:after="120"/>
        <w:ind w:left="0" w:leftChars="0" w:firstLine="640" w:firstLineChars="200"/>
        <w:jc w:val="both"/>
        <w:rPr>
          <w:rFonts w:hint="eastAsia" w:ascii="楷体_GB2312" w:hAnsi="宋体" w:eastAsia="楷体_GB2312" w:cs="Times New Roman"/>
          <w:b w:val="0"/>
          <w:bCs w:val="0"/>
          <w:color w:val="auto"/>
          <w:kern w:val="2"/>
          <w:sz w:val="32"/>
          <w:szCs w:val="32"/>
          <w:highlight w:val="none"/>
          <w:u w:val="none"/>
          <w:lang w:val="zh-CN" w:eastAsia="zh-CN" w:bidi="ar-SA"/>
        </w:rPr>
      </w:pPr>
      <w:r>
        <w:rPr>
          <w:rFonts w:hint="eastAsia" w:ascii="楷体_GB2312" w:hAnsi="宋体" w:eastAsia="楷体_GB2312" w:cs="Times New Roman"/>
          <w:b w:val="0"/>
          <w:bCs w:val="0"/>
          <w:color w:val="auto"/>
          <w:kern w:val="2"/>
          <w:sz w:val="32"/>
          <w:szCs w:val="32"/>
          <w:highlight w:val="none"/>
          <w:u w:val="none"/>
          <w:lang w:val="zh-CN" w:eastAsia="zh-CN" w:bidi="ar-SA"/>
        </w:rPr>
        <w:t>项目管理情况。</w:t>
      </w:r>
    </w:p>
    <w:p>
      <w:pPr>
        <w:widowControl w:val="0"/>
        <w:numPr>
          <w:ilvl w:val="0"/>
          <w:numId w:val="0"/>
        </w:numPr>
        <w:spacing w:after="120"/>
        <w:ind w:left="420" w:leftChars="200" w:firstLine="640" w:firstLineChars="200"/>
        <w:jc w:val="both"/>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严格执行相关项目管理制度，各项支出符合专项资金使用要求。</w:t>
      </w:r>
    </w:p>
    <w:p>
      <w:pPr>
        <w:keepNext w:val="0"/>
        <w:keepLines w:val="0"/>
        <w:pageBreakBefore w:val="0"/>
        <w:widowControl w:val="0"/>
        <w:numPr>
          <w:ilvl w:val="0"/>
          <w:numId w:val="16"/>
        </w:numPr>
        <w:kinsoku/>
        <w:wordWrap/>
        <w:overflowPunct/>
        <w:topLinePunct w:val="0"/>
        <w:autoSpaceDE/>
        <w:autoSpaceDN/>
        <w:bidi w:val="0"/>
        <w:adjustRightInd w:val="0"/>
        <w:snapToGrid w:val="0"/>
        <w:spacing w:line="578" w:lineRule="exact"/>
        <w:ind w:left="0" w:leftChars="0"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项目监管情况。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苍溪县人民法院严格按照财务管理制度对该项目资金进行管理和使用。资金使用规范合理，无占有、挪用资金的情况。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eastAsia="仿宋_GB2312"/>
          <w:b w:val="0"/>
          <w:bCs w:val="0"/>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r>
        <w:rPr>
          <w:rFonts w:hint="eastAsia" w:ascii="仿宋_GB2312" w:eastAsia="仿宋_GB2312" w:cs="仿宋_GB2312"/>
          <w:sz w:val="32"/>
          <w:szCs w:val="32"/>
          <w:lang w:eastAsia="zh-CN"/>
        </w:rPr>
        <w:t>数量</w:t>
      </w:r>
      <w:r>
        <w:rPr>
          <w:rFonts w:hint="eastAsia" w:ascii="仿宋_GB2312" w:eastAsia="仿宋_GB2312" w:cs="仿宋_GB2312"/>
          <w:sz w:val="32"/>
          <w:szCs w:val="32"/>
        </w:rPr>
        <w:t>指标。</w:t>
      </w:r>
    </w:p>
    <w:p>
      <w:pPr>
        <w:ind w:firstLine="640" w:firstLineChars="200"/>
        <w:rPr>
          <w:rFonts w:ascii="仿宋_GB2312" w:eastAsia="仿宋_GB2312"/>
          <w:sz w:val="32"/>
          <w:szCs w:val="32"/>
        </w:rPr>
      </w:pPr>
      <w:r>
        <w:rPr>
          <w:rFonts w:hint="eastAsia" w:ascii="仿宋_GB2312" w:eastAsia="仿宋_GB2312" w:cs="仿宋_GB2312"/>
          <w:sz w:val="32"/>
          <w:szCs w:val="32"/>
          <w:lang w:eastAsia="zh-CN"/>
        </w:rPr>
        <w:t>我</w:t>
      </w:r>
      <w:r>
        <w:rPr>
          <w:rFonts w:hint="eastAsia" w:ascii="仿宋_GB2312" w:eastAsia="仿宋_GB2312" w:cs="仿宋_GB2312"/>
          <w:sz w:val="32"/>
          <w:szCs w:val="32"/>
        </w:rPr>
        <w:t>年初预定202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w:t>
      </w:r>
      <w:r>
        <w:rPr>
          <w:rFonts w:hint="eastAsia" w:ascii="仿宋_GB2312" w:eastAsia="仿宋_GB2312" w:cs="仿宋_GB2312"/>
          <w:sz w:val="32"/>
          <w:szCs w:val="32"/>
          <w:lang w:eastAsia="zh-CN"/>
        </w:rPr>
        <w:t>开展法治宣传≥</w:t>
      </w:r>
      <w:r>
        <w:rPr>
          <w:rFonts w:hint="eastAsia" w:ascii="仿宋_GB2312" w:eastAsia="仿宋_GB2312" w:cs="仿宋_GB2312"/>
          <w:sz w:val="32"/>
          <w:szCs w:val="32"/>
          <w:lang w:val="en-US" w:eastAsia="zh-CN"/>
        </w:rPr>
        <w:t>10次</w:t>
      </w:r>
      <w:r>
        <w:rPr>
          <w:rFonts w:hint="eastAsia" w:ascii="仿宋_GB2312" w:eastAsia="仿宋_GB2312" w:cs="仿宋_GB2312"/>
          <w:sz w:val="32"/>
          <w:szCs w:val="32"/>
        </w:rPr>
        <w:t>，年底</w:t>
      </w:r>
      <w:r>
        <w:rPr>
          <w:rFonts w:hint="eastAsia" w:ascii="仿宋_GB2312" w:eastAsia="仿宋_GB2312" w:cs="仿宋_GB2312"/>
          <w:sz w:val="32"/>
          <w:szCs w:val="32"/>
          <w:lang w:eastAsia="zh-CN"/>
        </w:rPr>
        <w:t>实际宣传次数</w:t>
      </w:r>
      <w:r>
        <w:rPr>
          <w:rFonts w:hint="eastAsia" w:ascii="仿宋_GB2312" w:eastAsia="仿宋_GB2312" w:cs="仿宋_GB2312"/>
          <w:sz w:val="32"/>
          <w:szCs w:val="32"/>
          <w:lang w:val="en-US" w:eastAsia="zh-CN"/>
        </w:rPr>
        <w:t>15次</w:t>
      </w:r>
      <w:r>
        <w:rPr>
          <w:rFonts w:hint="eastAsia" w:ascii="仿宋_GB2312" w:eastAsia="仿宋_GB2312" w:cs="仿宋_GB2312"/>
          <w:sz w:val="32"/>
          <w:szCs w:val="32"/>
        </w:rPr>
        <w:t>。</w:t>
      </w:r>
      <w:r>
        <w:rPr>
          <w:rFonts w:hint="eastAsia" w:ascii="仿宋_GB2312" w:eastAsia="仿宋_GB2312" w:cs="仿宋_GB2312"/>
          <w:sz w:val="32"/>
          <w:szCs w:val="32"/>
          <w:lang w:eastAsia="zh-CN"/>
        </w:rPr>
        <w:t>我</w:t>
      </w:r>
      <w:r>
        <w:rPr>
          <w:rFonts w:hint="eastAsia" w:ascii="仿宋_GB2312" w:eastAsia="仿宋_GB2312" w:cs="仿宋_GB2312"/>
          <w:sz w:val="32"/>
          <w:szCs w:val="32"/>
        </w:rPr>
        <w:t>年初预定</w:t>
      </w:r>
      <w:r>
        <w:rPr>
          <w:rFonts w:hint="eastAsia" w:ascii="仿宋_GB2312" w:eastAsia="仿宋_GB2312" w:cs="仿宋_GB2312"/>
          <w:sz w:val="32"/>
          <w:szCs w:val="32"/>
          <w:lang w:eastAsia="zh-CN"/>
        </w:rPr>
        <w:t>人均结案率</w:t>
      </w:r>
      <w:r>
        <w:rPr>
          <w:rFonts w:hint="eastAsia" w:ascii="仿宋_GB2312" w:eastAsia="仿宋_GB2312" w:cs="仿宋_GB2312"/>
          <w:sz w:val="32"/>
          <w:szCs w:val="32"/>
          <w:lang w:val="en-US" w:eastAsia="zh-CN"/>
        </w:rPr>
        <w:t>200件</w:t>
      </w:r>
      <w:r>
        <w:rPr>
          <w:rFonts w:hint="eastAsia" w:ascii="仿宋_GB2312" w:eastAsia="仿宋_GB2312" w:cs="仿宋_GB2312"/>
          <w:sz w:val="32"/>
          <w:szCs w:val="32"/>
        </w:rPr>
        <w:t>，年底</w:t>
      </w:r>
      <w:r>
        <w:rPr>
          <w:rFonts w:hint="eastAsia" w:ascii="仿宋_GB2312" w:eastAsia="仿宋_GB2312" w:cs="仿宋_GB2312"/>
          <w:sz w:val="32"/>
          <w:szCs w:val="32"/>
          <w:lang w:eastAsia="zh-CN"/>
        </w:rPr>
        <w:t>实际</w:t>
      </w:r>
      <w:r>
        <w:rPr>
          <w:rFonts w:hint="eastAsia" w:ascii="仿宋_GB2312" w:eastAsia="仿宋_GB2312" w:cs="仿宋_GB2312"/>
          <w:sz w:val="32"/>
          <w:szCs w:val="32"/>
        </w:rPr>
        <w:t>完成</w:t>
      </w:r>
      <w:r>
        <w:rPr>
          <w:rFonts w:hint="eastAsia" w:ascii="仿宋_GB2312" w:eastAsia="仿宋_GB2312" w:cs="仿宋_GB2312"/>
          <w:sz w:val="32"/>
          <w:szCs w:val="32"/>
          <w:lang w:val="en-US" w:eastAsia="zh-CN"/>
        </w:rPr>
        <w:t>226</w:t>
      </w:r>
      <w:r>
        <w:rPr>
          <w:rFonts w:hint="eastAsia" w:ascii="仿宋_GB2312" w:eastAsia="仿宋_GB2312" w:cs="仿宋_GB2312"/>
          <w:sz w:val="32"/>
          <w:szCs w:val="32"/>
        </w:rPr>
        <w:t>件。</w:t>
      </w:r>
      <w:r>
        <w:rPr>
          <w:rFonts w:hint="eastAsia" w:ascii="仿宋_GB2312" w:eastAsia="仿宋_GB2312" w:cs="仿宋_GB2312"/>
          <w:sz w:val="32"/>
          <w:szCs w:val="32"/>
          <w:lang w:eastAsia="zh-CN"/>
        </w:rPr>
        <w:t>我</w:t>
      </w:r>
      <w:r>
        <w:rPr>
          <w:rFonts w:hint="eastAsia" w:ascii="仿宋_GB2312" w:eastAsia="仿宋_GB2312" w:cs="仿宋_GB2312"/>
          <w:sz w:val="32"/>
          <w:szCs w:val="32"/>
        </w:rPr>
        <w:t>年初预定</w:t>
      </w:r>
      <w:r>
        <w:rPr>
          <w:rFonts w:hint="eastAsia" w:ascii="仿宋_GB2312" w:eastAsia="仿宋_GB2312" w:cs="仿宋_GB2312"/>
          <w:sz w:val="32"/>
          <w:szCs w:val="32"/>
          <w:lang w:eastAsia="zh-CN"/>
        </w:rPr>
        <w:t>出差次数</w:t>
      </w:r>
      <w:r>
        <w:rPr>
          <w:rFonts w:hint="eastAsia" w:ascii="仿宋_GB2312" w:eastAsia="仿宋_GB2312" w:cs="仿宋_GB2312"/>
          <w:sz w:val="32"/>
          <w:szCs w:val="32"/>
          <w:lang w:val="en-US" w:eastAsia="zh-CN"/>
        </w:rPr>
        <w:t>500次</w:t>
      </w:r>
      <w:r>
        <w:rPr>
          <w:rFonts w:hint="eastAsia" w:ascii="仿宋_GB2312" w:eastAsia="仿宋_GB2312" w:cs="仿宋_GB2312"/>
          <w:sz w:val="32"/>
          <w:szCs w:val="32"/>
        </w:rPr>
        <w:t>，年底</w:t>
      </w:r>
      <w:r>
        <w:rPr>
          <w:rFonts w:hint="eastAsia" w:ascii="仿宋_GB2312" w:eastAsia="仿宋_GB2312" w:cs="仿宋_GB2312"/>
          <w:sz w:val="32"/>
          <w:szCs w:val="32"/>
          <w:lang w:eastAsia="zh-CN"/>
        </w:rPr>
        <w:t>实际出差</w:t>
      </w:r>
      <w:r>
        <w:rPr>
          <w:rFonts w:hint="eastAsia" w:ascii="仿宋_GB2312" w:eastAsia="仿宋_GB2312" w:cs="仿宋_GB2312"/>
          <w:sz w:val="32"/>
          <w:szCs w:val="32"/>
          <w:lang w:val="en-US" w:eastAsia="zh-CN"/>
        </w:rPr>
        <w:t>600余次</w:t>
      </w:r>
      <w:r>
        <w:rPr>
          <w:rFonts w:hint="eastAsia" w:ascii="仿宋_GB2312" w:eastAsia="仿宋_GB2312" w:cs="仿宋_GB2312"/>
          <w:sz w:val="32"/>
          <w:szCs w:val="32"/>
        </w:rPr>
        <w:t>。我院数量指标按照年初预定的数量，按质按量完成。确保资金合理规范使用。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）质量指标。</w:t>
      </w:r>
    </w:p>
    <w:p>
      <w:pPr>
        <w:ind w:firstLine="640" w:firstLineChars="200"/>
        <w:rPr>
          <w:rFonts w:ascii="仿宋_GB2312" w:eastAsia="仿宋_GB2312"/>
          <w:sz w:val="32"/>
          <w:szCs w:val="32"/>
        </w:rPr>
      </w:pPr>
      <w:r>
        <w:rPr>
          <w:rFonts w:hint="eastAsia" w:ascii="仿宋_GB2312" w:eastAsia="仿宋_GB2312" w:cs="仿宋_GB2312"/>
          <w:sz w:val="32"/>
          <w:szCs w:val="32"/>
        </w:rPr>
        <w:t>利用</w:t>
      </w:r>
      <w:r>
        <w:rPr>
          <w:rFonts w:hint="eastAsia" w:ascii="仿宋_GB2312" w:eastAsia="仿宋_GB2312" w:cs="仿宋_GB2312"/>
          <w:sz w:val="32"/>
          <w:szCs w:val="32"/>
          <w:lang w:eastAsia="zh-CN"/>
        </w:rPr>
        <w:t>执行专项经费</w:t>
      </w:r>
      <w:r>
        <w:rPr>
          <w:rFonts w:hint="eastAsia" w:ascii="仿宋_GB2312" w:eastAsia="仿宋_GB2312" w:cs="仿宋_GB2312"/>
          <w:sz w:val="32"/>
          <w:szCs w:val="32"/>
        </w:rPr>
        <w:t>实施的项目</w:t>
      </w:r>
      <w:r>
        <w:rPr>
          <w:rFonts w:hint="eastAsia" w:ascii="仿宋_GB2312" w:eastAsia="仿宋_GB2312" w:cs="仿宋_GB2312"/>
          <w:sz w:val="32"/>
          <w:szCs w:val="32"/>
          <w:lang w:eastAsia="zh-CN"/>
        </w:rPr>
        <w:t>达到的提升了干警的工作效率，</w:t>
      </w:r>
      <w:r>
        <w:rPr>
          <w:rFonts w:hint="eastAsia" w:ascii="仿宋_GB2312" w:eastAsia="仿宋_GB2312" w:cs="仿宋_GB2312"/>
          <w:sz w:val="32"/>
          <w:szCs w:val="32"/>
          <w:lang w:val="en-US" w:eastAsia="zh-CN"/>
        </w:rPr>
        <w:t>较好的完成全年的任务</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）时效指标。</w:t>
      </w:r>
    </w:p>
    <w:p>
      <w:pPr>
        <w:ind w:firstLine="640" w:firstLineChars="200"/>
        <w:rPr>
          <w:rFonts w:ascii="仿宋_GB2312" w:eastAsia="仿宋_GB2312"/>
          <w:sz w:val="32"/>
          <w:szCs w:val="32"/>
        </w:rPr>
      </w:pPr>
      <w:r>
        <w:rPr>
          <w:rFonts w:hint="eastAsia" w:ascii="仿宋_GB2312" w:eastAsia="仿宋_GB2312" w:cs="仿宋_GB2312"/>
          <w:sz w:val="32"/>
          <w:szCs w:val="32"/>
        </w:rPr>
        <w:t>我院在202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年12月31日之前完成</w:t>
      </w:r>
      <w:r>
        <w:rPr>
          <w:rFonts w:hint="eastAsia" w:ascii="仿宋_GB2312" w:eastAsia="仿宋_GB2312" w:cs="仿宋_GB2312"/>
          <w:sz w:val="32"/>
          <w:szCs w:val="32"/>
          <w:lang w:eastAsia="zh-CN"/>
        </w:rPr>
        <w:t>执行专项</w:t>
      </w:r>
      <w:r>
        <w:rPr>
          <w:rFonts w:hint="eastAsia" w:ascii="仿宋_GB2312" w:eastAsia="仿宋_GB2312" w:cs="仿宋_GB2312"/>
          <w:sz w:val="32"/>
          <w:szCs w:val="32"/>
        </w:rPr>
        <w:t>资金的使用。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）成本指标。</w:t>
      </w:r>
    </w:p>
    <w:p>
      <w:pPr>
        <w:ind w:firstLine="640" w:firstLineChars="200"/>
        <w:rPr>
          <w:rFonts w:hint="default" w:eastAsia="仿宋_GB2312"/>
          <w:sz w:val="32"/>
          <w:szCs w:val="32"/>
          <w:lang w:val="en-US" w:eastAsia="zh-CN"/>
        </w:rPr>
      </w:pPr>
      <w:r>
        <w:rPr>
          <w:rFonts w:hint="eastAsia" w:ascii="仿宋_GB2312" w:eastAsia="仿宋_GB2312" w:cs="仿宋_GB2312"/>
          <w:sz w:val="32"/>
          <w:szCs w:val="32"/>
        </w:rPr>
        <w:t>严格控制成本，把成本控制在</w:t>
      </w:r>
      <w:r>
        <w:rPr>
          <w:rFonts w:hint="eastAsia" w:ascii="仿宋_GB2312" w:eastAsia="仿宋_GB2312" w:cs="仿宋_GB2312"/>
          <w:sz w:val="32"/>
          <w:szCs w:val="32"/>
          <w:lang w:val="en-US" w:eastAsia="zh-CN"/>
        </w:rPr>
        <w:t>执行专项经费</w:t>
      </w:r>
      <w:r>
        <w:rPr>
          <w:rFonts w:hint="eastAsia" w:ascii="仿宋_GB2312" w:eastAsia="仿宋_GB2312" w:cs="仿宋_GB2312"/>
          <w:sz w:val="32"/>
          <w:szCs w:val="32"/>
        </w:rPr>
        <w:t>资金范围之</w:t>
      </w:r>
      <w:r>
        <w:rPr>
          <w:rFonts w:hint="eastAsia" w:ascii="仿宋_GB2312" w:eastAsia="仿宋_GB2312" w:cs="仿宋_GB2312"/>
          <w:sz w:val="32"/>
          <w:szCs w:val="32"/>
          <w:lang w:eastAsia="zh-CN"/>
        </w:rPr>
        <w:t>内</w:t>
      </w:r>
      <w:r>
        <w:rPr>
          <w:rFonts w:hint="eastAsia" w:ascii="仿宋_GB2312" w:eastAsia="仿宋_GB2312" w:cs="仿宋_GB2312"/>
          <w:sz w:val="32"/>
          <w:szCs w:val="32"/>
        </w:rPr>
        <w:t>。</w:t>
      </w:r>
      <w:r>
        <w:rPr>
          <w:rFonts w:hint="eastAsia" w:eastAsia="仿宋_GB2312"/>
          <w:sz w:val="32"/>
          <w:szCs w:val="32"/>
          <w:lang w:val="zh-CN"/>
        </w:rPr>
        <w:t>资金结余</w:t>
      </w:r>
      <w:r>
        <w:rPr>
          <w:rFonts w:hint="eastAsia" w:eastAsia="仿宋_GB2312"/>
          <w:sz w:val="32"/>
          <w:szCs w:val="32"/>
          <w:lang w:val="en-US" w:eastAsia="zh-CN"/>
        </w:rPr>
        <w:t>0万元。</w:t>
      </w:r>
      <w:r>
        <w:rPr>
          <w:rFonts w:hint="eastAsia" w:ascii="仿宋_GB2312" w:hAnsi="宋体" w:eastAsia="仿宋_GB2312" w:cs="宋体"/>
          <w:b w:val="0"/>
          <w:bCs w:val="0"/>
          <w:color w:val="000000"/>
          <w:kern w:val="0"/>
          <w:sz w:val="32"/>
          <w:szCs w:val="32"/>
          <w:highlight w:val="none"/>
          <w:shd w:val="clear" w:color="auto" w:fill="FFFFFF"/>
          <w:lang w:val="en-US" w:eastAsia="zh-CN"/>
        </w:rPr>
        <w:t>任务完成较好，达到所需的质量标准，进度合理，成本控制严格，达到了项目所需要的效果。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ind w:firstLine="640" w:firstLineChars="200"/>
        <w:rPr>
          <w:rFonts w:ascii="仿宋_GB2312" w:eastAsia="仿宋_GB2312"/>
          <w:sz w:val="32"/>
          <w:szCs w:val="32"/>
        </w:rPr>
      </w:pPr>
      <w:r>
        <w:rPr>
          <w:rFonts w:hint="eastAsia" w:ascii="仿宋_GB2312" w:eastAsia="仿宋_GB2312"/>
          <w:sz w:val="32"/>
          <w:szCs w:val="32"/>
        </w:rPr>
        <w:t>传播</w:t>
      </w:r>
      <w:r>
        <w:rPr>
          <w:rFonts w:hint="eastAsia" w:ascii="仿宋_GB2312" w:eastAsia="仿宋_GB2312"/>
          <w:sz w:val="32"/>
          <w:szCs w:val="32"/>
          <w:lang w:eastAsia="zh-CN"/>
        </w:rPr>
        <w:t>了</w:t>
      </w:r>
      <w:r>
        <w:rPr>
          <w:rFonts w:hint="eastAsia" w:ascii="仿宋_GB2312" w:eastAsia="仿宋_GB2312"/>
          <w:sz w:val="32"/>
          <w:szCs w:val="32"/>
        </w:rPr>
        <w:t>崇法思想，弘扬公正、廉洁、为民的司法核心价值观。树立群众法治意识，为建设社会主义法治社会做出贡献。</w:t>
      </w:r>
      <w:r>
        <w:rPr>
          <w:rFonts w:hint="eastAsia" w:ascii="仿宋_GB2312" w:eastAsia="仿宋_GB2312" w:cs="仿宋_GB2312"/>
          <w:sz w:val="32"/>
          <w:szCs w:val="32"/>
          <w:lang w:eastAsia="zh-CN"/>
        </w:rPr>
        <w:t>人民群众满意度及案件满意度均达到</w:t>
      </w:r>
      <w:r>
        <w:rPr>
          <w:rFonts w:hint="eastAsia" w:ascii="仿宋_GB2312" w:eastAsia="仿宋_GB2312" w:cs="仿宋_GB2312"/>
          <w:sz w:val="32"/>
          <w:szCs w:val="32"/>
          <w:lang w:val="en-US" w:eastAsia="zh-CN"/>
        </w:rPr>
        <w:t>92%，</w:t>
      </w:r>
      <w:r>
        <w:rPr>
          <w:rFonts w:hint="eastAsia" w:ascii="仿宋_GB2312" w:eastAsia="仿宋_GB2312" w:cs="仿宋_GB2312"/>
          <w:sz w:val="32"/>
          <w:szCs w:val="32"/>
        </w:rPr>
        <w:t>达到定纷止争的效果，维护社会和平稳定。</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val="zh-CN"/>
        </w:rPr>
        <w:t>通过绩效自评，</w:t>
      </w:r>
      <w:r>
        <w:rPr>
          <w:rFonts w:hint="eastAsia" w:ascii="仿宋" w:hAnsi="仿宋" w:eastAsia="仿宋" w:cs="仿宋"/>
          <w:color w:val="000000"/>
          <w:kern w:val="0"/>
          <w:sz w:val="32"/>
          <w:szCs w:val="32"/>
          <w:shd w:val="clear" w:color="auto" w:fill="FFFFFF"/>
          <w:lang w:val="en-US" w:eastAsia="zh-CN"/>
        </w:rPr>
        <w:t>2022年</w:t>
      </w:r>
      <w:r>
        <w:rPr>
          <w:rFonts w:hint="eastAsia" w:ascii="仿宋_GB2312" w:eastAsia="仿宋_GB2312" w:cs="仿宋_GB2312"/>
          <w:sz w:val="32"/>
          <w:szCs w:val="32"/>
          <w:lang w:eastAsia="zh-CN"/>
        </w:rPr>
        <w:t>执行专项</w:t>
      </w:r>
      <w:r>
        <w:rPr>
          <w:rFonts w:hint="eastAsia" w:ascii="仿宋_GB2312" w:eastAsia="仿宋_GB2312" w:cs="仿宋_GB2312"/>
          <w:sz w:val="32"/>
          <w:szCs w:val="32"/>
        </w:rPr>
        <w:t>资金</w:t>
      </w:r>
      <w:r>
        <w:rPr>
          <w:rFonts w:hint="eastAsia" w:ascii="仿宋" w:hAnsi="仿宋" w:eastAsia="仿宋" w:cs="仿宋"/>
          <w:color w:val="000000"/>
          <w:kern w:val="0"/>
          <w:sz w:val="32"/>
          <w:szCs w:val="32"/>
          <w:shd w:val="clear" w:color="auto" w:fill="FFFFFF"/>
          <w:lang w:val="en-US" w:eastAsia="zh-CN"/>
        </w:rPr>
        <w:t>支出政策依据充分，目标制定明确；按照计划有序实施，经费使用严格按照相关财务管理制度执行，对资金的使用监管有力有效。整个支出实施达到了预期的绩效目标。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ind w:firstLine="640" w:firstLineChars="200"/>
        <w:rPr>
          <w:rFonts w:ascii="仿宋_GB2312" w:eastAsia="仿宋_GB2312"/>
          <w:sz w:val="32"/>
          <w:szCs w:val="32"/>
        </w:rPr>
      </w:pPr>
      <w:r>
        <w:rPr>
          <w:rFonts w:hint="eastAsia" w:ascii="仿宋_GB2312" w:eastAsia="仿宋_GB2312" w:cs="仿宋_GB2312"/>
          <w:sz w:val="32"/>
          <w:szCs w:val="32"/>
          <w:lang w:eastAsia="zh-CN"/>
        </w:rPr>
        <w:t>预算资金使用计划性有待加强，完善用款计划管理，更科学合理的编制资金使用计划，进一步细化收支项目、按时间、按进度支出，提高资金的使用效益</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加大对财务人员的业务培训力度，夯实财务理论基础，提高业务水平，增强工作效率；加大经费投入，提高预算基数，按申报项目资金有效预算。今后在编制预算中，进一步重视预算的编制工作，提高预算编制的精确度，在预算执行中严格遵循“先有预算、后有支出”的原则，认真执行各项资金使用管理制度，确保各项支出真实合理，有效提升工作绩效。</w:t>
      </w: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pStyle w:val="8"/>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pStyle w:val="2"/>
        <w:rPr>
          <w:rFonts w:hint="eastAsia"/>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48"/>
      <w:bookmarkEnd w:id="50"/>
      <w:bookmarkStart w:id="51"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1"/>
    </w:p>
    <w:p>
      <w:pPr>
        <w:pStyle w:val="5"/>
        <w:rPr>
          <w:rFonts w:ascii="仿宋" w:hAnsi="仿宋" w:eastAsia="仿宋"/>
          <w:color w:val="auto"/>
          <w:highlight w:val="none"/>
        </w:rPr>
      </w:pPr>
      <w:bookmarkStart w:id="52"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2"/>
    </w:p>
    <w:p>
      <w:pPr>
        <w:pStyle w:val="5"/>
        <w:rPr>
          <w:rFonts w:ascii="仿宋" w:hAnsi="仿宋" w:eastAsia="仿宋"/>
          <w:color w:val="auto"/>
          <w:highlight w:val="none"/>
        </w:rPr>
      </w:pPr>
      <w:bookmarkStart w:id="53"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3"/>
    </w:p>
    <w:p>
      <w:pPr>
        <w:pStyle w:val="5"/>
        <w:rPr>
          <w:rFonts w:ascii="仿宋" w:hAnsi="仿宋" w:eastAsia="仿宋"/>
          <w:b w:val="0"/>
          <w:color w:val="auto"/>
          <w:highlight w:val="none"/>
        </w:rPr>
      </w:pPr>
      <w:bookmarkStart w:id="54"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4"/>
    </w:p>
    <w:p>
      <w:pPr>
        <w:pStyle w:val="5"/>
        <w:rPr>
          <w:rStyle w:val="30"/>
          <w:rFonts w:ascii="仿宋" w:hAnsi="仿宋" w:eastAsia="仿宋"/>
          <w:b w:val="0"/>
          <w:bCs w:val="0"/>
          <w:color w:val="auto"/>
          <w:highlight w:val="none"/>
        </w:rPr>
      </w:pPr>
      <w:bookmarkStart w:id="55"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5"/>
      <w:bookmarkStart w:id="56" w:name="_Toc15396624"/>
    </w:p>
    <w:p>
      <w:pPr>
        <w:pStyle w:val="5"/>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6"/>
    </w:p>
    <w:p>
      <w:pPr>
        <w:pStyle w:val="5"/>
        <w:rPr>
          <w:rFonts w:ascii="仿宋" w:hAnsi="仿宋" w:eastAsia="仿宋"/>
          <w:color w:val="auto"/>
          <w:highlight w:val="none"/>
        </w:rPr>
      </w:pPr>
      <w:bookmarkStart w:id="57"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57"/>
    </w:p>
    <w:p>
      <w:pPr>
        <w:pStyle w:val="5"/>
        <w:rPr>
          <w:rFonts w:ascii="仿宋" w:hAnsi="仿宋" w:eastAsia="仿宋"/>
          <w:color w:val="auto"/>
          <w:highlight w:val="none"/>
        </w:rPr>
      </w:pPr>
      <w:bookmarkStart w:id="58"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58"/>
    </w:p>
    <w:p>
      <w:pPr>
        <w:pStyle w:val="5"/>
        <w:rPr>
          <w:rFonts w:ascii="仿宋" w:hAnsi="仿宋" w:eastAsia="仿宋"/>
          <w:color w:val="auto"/>
          <w:highlight w:val="none"/>
        </w:rPr>
      </w:pPr>
      <w:bookmarkStart w:id="59"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59"/>
    </w:p>
    <w:p>
      <w:pPr>
        <w:pStyle w:val="5"/>
        <w:rPr>
          <w:rFonts w:ascii="仿宋" w:hAnsi="仿宋" w:eastAsia="仿宋"/>
          <w:color w:val="auto"/>
          <w:highlight w:val="none"/>
        </w:rPr>
      </w:pPr>
      <w:bookmarkStart w:id="60" w:name="_Toc15396628"/>
      <w:r>
        <w:rPr>
          <w:rStyle w:val="30"/>
          <w:rFonts w:hint="eastAsia" w:ascii="仿宋" w:hAnsi="仿宋" w:eastAsia="仿宋"/>
          <w:b w:val="0"/>
          <w:bCs w:val="0"/>
          <w:color w:val="auto"/>
          <w:highlight w:val="none"/>
        </w:rPr>
        <w:t>十、</w:t>
      </w:r>
      <w:bookmarkEnd w:id="60"/>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5"/>
        <w:rPr>
          <w:rFonts w:ascii="仿宋" w:hAnsi="仿宋" w:eastAsia="仿宋"/>
          <w:color w:val="auto"/>
          <w:highlight w:val="none"/>
        </w:rPr>
      </w:pPr>
      <w:bookmarkStart w:id="61" w:name="_Toc15396629"/>
      <w:r>
        <w:rPr>
          <w:rStyle w:val="30"/>
          <w:rFonts w:hint="eastAsia" w:ascii="仿宋" w:hAnsi="仿宋" w:eastAsia="仿宋"/>
          <w:b w:val="0"/>
          <w:bCs w:val="0"/>
          <w:color w:val="auto"/>
          <w:highlight w:val="none"/>
        </w:rPr>
        <w:t>十一、</w:t>
      </w:r>
      <w:bookmarkEnd w:id="61"/>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pStyle w:val="5"/>
        <w:rPr>
          <w:rFonts w:ascii="仿宋" w:hAnsi="仿宋" w:eastAsia="仿宋"/>
          <w:color w:val="auto"/>
          <w:highlight w:val="none"/>
        </w:rPr>
      </w:pPr>
      <w:bookmarkStart w:id="62" w:name="_Toc15396630"/>
      <w:r>
        <w:rPr>
          <w:rStyle w:val="30"/>
          <w:rFonts w:hint="eastAsia" w:ascii="仿宋" w:hAnsi="仿宋" w:eastAsia="仿宋"/>
          <w:b w:val="0"/>
          <w:bCs w:val="0"/>
          <w:color w:val="auto"/>
          <w:highlight w:val="none"/>
        </w:rPr>
        <w:t>十二、</w:t>
      </w:r>
      <w:bookmarkEnd w:id="62"/>
      <w:r>
        <w:rPr>
          <w:rStyle w:val="30"/>
          <w:rFonts w:hint="eastAsia" w:ascii="仿宋" w:hAnsi="仿宋" w:eastAsia="仿宋"/>
          <w:b w:val="0"/>
          <w:bCs w:val="0"/>
          <w:color w:val="auto"/>
          <w:highlight w:val="none"/>
          <w:lang w:eastAsia="zh-CN"/>
        </w:rPr>
        <w:t>国有资本经营预算财政拨款支出决算表</w:t>
      </w:r>
    </w:p>
    <w:p>
      <w:pPr>
        <w:pStyle w:val="5"/>
        <w:rPr>
          <w:rFonts w:hint="eastAsia" w:eastAsia="仿宋"/>
          <w:color w:val="auto"/>
          <w:highlight w:val="none"/>
          <w:lang w:eastAsia="zh-CN"/>
        </w:rPr>
      </w:pPr>
      <w:bookmarkStart w:id="63" w:name="_Toc15396631"/>
      <w:r>
        <w:rPr>
          <w:rStyle w:val="30"/>
          <w:rFonts w:hint="eastAsia" w:ascii="仿宋" w:hAnsi="仿宋" w:eastAsia="仿宋"/>
          <w:b w:val="0"/>
          <w:bCs w:val="0"/>
          <w:color w:val="auto"/>
          <w:highlight w:val="none"/>
        </w:rPr>
        <w:t>十三、</w:t>
      </w:r>
      <w:bookmarkEnd w:id="63"/>
      <w:r>
        <w:rPr>
          <w:rStyle w:val="30"/>
          <w:rFonts w:hint="eastAsia" w:ascii="仿宋" w:hAnsi="仿宋" w:eastAsia="仿宋"/>
          <w:b w:val="0"/>
          <w:bCs w:val="0"/>
          <w:color w:val="auto"/>
          <w:highlight w:val="none"/>
          <w:lang w:eastAsia="zh-CN"/>
        </w:rPr>
        <w:t>财政拨款“三公”经费支出决算表</w:t>
      </w:r>
    </w:p>
    <w:sectPr>
      <w:footerReference r:id="rId8" w:type="firs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Times New Roman"/>
    <w:panose1 w:val="02000000000000000000"/>
    <w:charset w:val="86"/>
    <w:family w:val="script"/>
    <w:pitch w:val="default"/>
    <w:sig w:usb0="00000000" w:usb1="00000000" w:usb2="00000012" w:usb3="00000000" w:csb0="00040001" w:csb1="00000000"/>
  </w:font>
  <w:font w:name="楷体_GB2312">
    <w:altName w:val="汉仪楷体KW"/>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sdt>
      <w:sdtPr>
        <w:id w:val="114881040"/>
      </w:sdtPr>
      <w:sdtContent>
        <w:r>
          <w:rPr>
            <w:rFonts w:hint="eastAsia"/>
            <w:lang w:val="en-US" w:eastAsia="zh-CN"/>
          </w:rPr>
          <w:t>1</w:t>
        </w:r>
      </w:sdtContent>
    </w:sdt>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Hl7XO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giIG5hbWU9IuaWh+acrOahhiA4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s0lY7goBAAAFAQAADwAAAAAAAAABACAAAAAiAAAAZHJzL2Rvd25yZXYueG1sUEsBAhQAFAAAAAgA&#10;h07iQMeXtc5mBAAAYQQAAA4AAAAAAAAAAQAgAAAAWQEAAGRycy9lMm9Eb2MueG1sUEsFBgAAAAAG&#10;AAYAWQEAADEI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B/jq0R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UiIG5hbWU9IuaWh+acrOahhiA1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s0lY7goBAAAFAQAADwAAAAAAAAABACAAAAAiAAAAZHJzL2Rvd25yZXYueG1sUEsBAhQAFAAAAAgA&#10;h07iQH+OrRFmBAAAYQQAAA4AAAAAAAAAAQAgAAAAWQEAAGRycy9lMm9Eb2MueG1sUEsFBgAAAAAG&#10;AAYAWQEAADEI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sdt>
      <w:sdtPr>
        <w:id w:val="321458022"/>
      </w:sdtPr>
      <w:sdtContent/>
    </w:sdt>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wiRJe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YiIG5hbWU9IuaWh+acrOahhiA2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s0lY7goBAAAFAQAADwAAAAAAAAABACAAAAAiAAAAZHJzL2Rvd25yZXYueG1sUEsBAhQAFAAAAAgA&#10;h07iQDCJEl5mBAAAYQQAAA4AAAAAAAAAAQAgAAAAWQEAAGRycy9lMm9Eb2MueG1sUEsFBgAAAAAG&#10;AAYAWQEAADEI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C1E01"/>
    <w:multiLevelType w:val="singleLevel"/>
    <w:tmpl w:val="AF4C1E01"/>
    <w:lvl w:ilvl="0" w:tentative="0">
      <w:start w:val="1"/>
      <w:numFmt w:val="chineseCounting"/>
      <w:suff w:val="nothing"/>
      <w:lvlText w:val="%1、"/>
      <w:lvlJc w:val="left"/>
      <w:rPr>
        <w:rFonts w:hint="eastAsia"/>
      </w:rPr>
    </w:lvl>
  </w:abstractNum>
  <w:abstractNum w:abstractNumId="1">
    <w:nsid w:val="B87DE8ED"/>
    <w:multiLevelType w:val="singleLevel"/>
    <w:tmpl w:val="B87DE8ED"/>
    <w:lvl w:ilvl="0" w:tentative="0">
      <w:start w:val="2"/>
      <w:numFmt w:val="chineseCounting"/>
      <w:suff w:val="nothing"/>
      <w:lvlText w:val="（%1）"/>
      <w:lvlJc w:val="left"/>
      <w:rPr>
        <w:rFonts w:hint="eastAsia"/>
      </w:rPr>
    </w:lvl>
  </w:abstractNum>
  <w:abstractNum w:abstractNumId="2">
    <w:nsid w:val="C5B4633D"/>
    <w:multiLevelType w:val="singleLevel"/>
    <w:tmpl w:val="C5B4633D"/>
    <w:lvl w:ilvl="0" w:tentative="0">
      <w:start w:val="2"/>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4B46E4E"/>
    <w:multiLevelType w:val="singleLevel"/>
    <w:tmpl w:val="E4B46E4E"/>
    <w:lvl w:ilvl="0" w:tentative="0">
      <w:start w:val="2"/>
      <w:numFmt w:val="decimal"/>
      <w:lvlText w:val="%1."/>
      <w:lvlJc w:val="left"/>
      <w:pPr>
        <w:tabs>
          <w:tab w:val="left" w:pos="312"/>
        </w:tabs>
      </w:pPr>
    </w:lvl>
  </w:abstractNum>
  <w:abstractNum w:abstractNumId="7">
    <w:nsid w:val="FFF674BC"/>
    <w:multiLevelType w:val="singleLevel"/>
    <w:tmpl w:val="FFF674BC"/>
    <w:lvl w:ilvl="0" w:tentative="0">
      <w:start w:val="1"/>
      <w:numFmt w:val="chineseCounting"/>
      <w:suff w:val="nothing"/>
      <w:lvlText w:val="%1、"/>
      <w:lvlJc w:val="left"/>
      <w:rPr>
        <w:rFonts w:hint="eastAsia"/>
      </w:rPr>
    </w:lvl>
  </w:abstractNum>
  <w:abstractNum w:abstractNumId="8">
    <w:nsid w:val="07AC82B4"/>
    <w:multiLevelType w:val="multilevel"/>
    <w:tmpl w:val="07AC82B4"/>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479EDF7F"/>
    <w:multiLevelType w:val="multilevel"/>
    <w:tmpl w:val="479EDF7F"/>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5DD296C3"/>
    <w:multiLevelType w:val="singleLevel"/>
    <w:tmpl w:val="5DD296C3"/>
    <w:lvl w:ilvl="0" w:tentative="0">
      <w:start w:val="1"/>
      <w:numFmt w:val="chineseCounting"/>
      <w:suff w:val="nothing"/>
      <w:lvlText w:val="（%1）"/>
      <w:lvlJc w:val="left"/>
      <w:rPr>
        <w:rFonts w:hint="eastAsia"/>
      </w:rPr>
    </w:lvl>
  </w:abstractNum>
  <w:abstractNum w:abstractNumId="12">
    <w:nsid w:val="624D1D5F"/>
    <w:multiLevelType w:val="singleLevel"/>
    <w:tmpl w:val="624D1D5F"/>
    <w:lvl w:ilvl="0" w:tentative="0">
      <w:start w:val="2"/>
      <w:numFmt w:val="chineseCounting"/>
      <w:suff w:val="nothing"/>
      <w:lvlText w:val="（%1）"/>
      <w:lvlJc w:val="left"/>
      <w:rPr>
        <w:rFonts w:hint="eastAsia"/>
      </w:rPr>
    </w:lvl>
  </w:abstractNum>
  <w:abstractNum w:abstractNumId="13">
    <w:nsid w:val="64D4E3D9"/>
    <w:multiLevelType w:val="singleLevel"/>
    <w:tmpl w:val="64D4E3D9"/>
    <w:lvl w:ilvl="0" w:tentative="0">
      <w:start w:val="2"/>
      <w:numFmt w:val="decimal"/>
      <w:suff w:val="nothing"/>
      <w:lvlText w:val="%1．"/>
      <w:lvlJc w:val="left"/>
    </w:lvl>
  </w:abstractNum>
  <w:abstractNum w:abstractNumId="14">
    <w:nsid w:val="67085DFA"/>
    <w:multiLevelType w:val="singleLevel"/>
    <w:tmpl w:val="67085DFA"/>
    <w:lvl w:ilvl="0" w:tentative="0">
      <w:start w:val="2"/>
      <w:numFmt w:val="decimal"/>
      <w:lvlText w:val="%1."/>
      <w:lvlJc w:val="left"/>
      <w:pPr>
        <w:tabs>
          <w:tab w:val="left" w:pos="312"/>
        </w:tabs>
      </w:pPr>
    </w:lvl>
  </w:abstractNum>
  <w:abstractNum w:abstractNumId="15">
    <w:nsid w:val="70D8C0A4"/>
    <w:multiLevelType w:val="singleLevel"/>
    <w:tmpl w:val="70D8C0A4"/>
    <w:lvl w:ilvl="0" w:tentative="0">
      <w:start w:val="2"/>
      <w:numFmt w:val="chineseCounting"/>
      <w:suff w:val="nothing"/>
      <w:lvlText w:val="（%1）"/>
      <w:lvlJc w:val="left"/>
      <w:rPr>
        <w:rFonts w:hint="eastAsia"/>
      </w:rPr>
    </w:lvl>
  </w:abstractNum>
  <w:num w:numId="1">
    <w:abstractNumId w:val="0"/>
  </w:num>
  <w:num w:numId="2">
    <w:abstractNumId w:val="9"/>
  </w:num>
  <w:num w:numId="3">
    <w:abstractNumId w:val="12"/>
  </w:num>
  <w:num w:numId="4">
    <w:abstractNumId w:val="3"/>
  </w:num>
  <w:num w:numId="5">
    <w:abstractNumId w:val="5"/>
  </w:num>
  <w:num w:numId="6">
    <w:abstractNumId w:val="7"/>
  </w:num>
  <w:num w:numId="7">
    <w:abstractNumId w:val="11"/>
  </w:num>
  <w:num w:numId="8">
    <w:abstractNumId w:val="14"/>
  </w:num>
  <w:num w:numId="9">
    <w:abstractNumId w:val="2"/>
  </w:num>
  <w:num w:numId="10">
    <w:abstractNumId w:val="6"/>
  </w:num>
  <w:num w:numId="11">
    <w:abstractNumId w:val="4"/>
  </w:num>
  <w:num w:numId="12">
    <w:abstractNumId w:val="15"/>
  </w:num>
  <w:num w:numId="13">
    <w:abstractNumId w:val="10"/>
  </w:num>
  <w:num w:numId="14">
    <w:abstractNumId w:val="8"/>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TJkYWRjMmYxMWU1MWYwMzM1MjQ3ZTVlZGUyY2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3C83"/>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8325D2"/>
    <w:rsid w:val="066E0107"/>
    <w:rsid w:val="06E44C90"/>
    <w:rsid w:val="07996F6E"/>
    <w:rsid w:val="07A46C81"/>
    <w:rsid w:val="082D3FB0"/>
    <w:rsid w:val="08AC3BD8"/>
    <w:rsid w:val="08DA6375"/>
    <w:rsid w:val="0A0B20BA"/>
    <w:rsid w:val="0A2032A3"/>
    <w:rsid w:val="0C2661F0"/>
    <w:rsid w:val="0E975183"/>
    <w:rsid w:val="0F98263C"/>
    <w:rsid w:val="101860EC"/>
    <w:rsid w:val="108F5D13"/>
    <w:rsid w:val="10A018A1"/>
    <w:rsid w:val="10C055FF"/>
    <w:rsid w:val="118107EC"/>
    <w:rsid w:val="125535EC"/>
    <w:rsid w:val="13D50BC4"/>
    <w:rsid w:val="15DF34F1"/>
    <w:rsid w:val="16BB723D"/>
    <w:rsid w:val="17090BA6"/>
    <w:rsid w:val="17D35D21"/>
    <w:rsid w:val="188B7B07"/>
    <w:rsid w:val="1A002777"/>
    <w:rsid w:val="1AF83375"/>
    <w:rsid w:val="1B55264E"/>
    <w:rsid w:val="1BE8440E"/>
    <w:rsid w:val="1CD52F90"/>
    <w:rsid w:val="1D155CEE"/>
    <w:rsid w:val="1D7F86A9"/>
    <w:rsid w:val="1ED039AC"/>
    <w:rsid w:val="1F6C6416"/>
    <w:rsid w:val="1F6F58C3"/>
    <w:rsid w:val="1FF35744"/>
    <w:rsid w:val="1FFF56A0"/>
    <w:rsid w:val="21110DC5"/>
    <w:rsid w:val="23860B96"/>
    <w:rsid w:val="240371BF"/>
    <w:rsid w:val="26C26CF7"/>
    <w:rsid w:val="29FD04D3"/>
    <w:rsid w:val="2C8A61B5"/>
    <w:rsid w:val="2DF04E50"/>
    <w:rsid w:val="2F040D46"/>
    <w:rsid w:val="2FEF3D99"/>
    <w:rsid w:val="306D4B10"/>
    <w:rsid w:val="319F7F4E"/>
    <w:rsid w:val="32A9493D"/>
    <w:rsid w:val="3304709D"/>
    <w:rsid w:val="34684A64"/>
    <w:rsid w:val="34E762EE"/>
    <w:rsid w:val="36AA5135"/>
    <w:rsid w:val="376D39B2"/>
    <w:rsid w:val="377E13A9"/>
    <w:rsid w:val="37E16F03"/>
    <w:rsid w:val="38D469F0"/>
    <w:rsid w:val="3A2F7CD1"/>
    <w:rsid w:val="3D98207C"/>
    <w:rsid w:val="3E78745D"/>
    <w:rsid w:val="3FFEE8A6"/>
    <w:rsid w:val="44E268DA"/>
    <w:rsid w:val="48233009"/>
    <w:rsid w:val="4981448B"/>
    <w:rsid w:val="498A5F41"/>
    <w:rsid w:val="4A627F82"/>
    <w:rsid w:val="4A7F1F19"/>
    <w:rsid w:val="4B0E749A"/>
    <w:rsid w:val="4B4F25DA"/>
    <w:rsid w:val="4BE068DB"/>
    <w:rsid w:val="4D577224"/>
    <w:rsid w:val="4DB11619"/>
    <w:rsid w:val="4E7B0135"/>
    <w:rsid w:val="4EAB630A"/>
    <w:rsid w:val="4ECE2238"/>
    <w:rsid w:val="4F6E62A9"/>
    <w:rsid w:val="4FBE207E"/>
    <w:rsid w:val="537E6D0A"/>
    <w:rsid w:val="57106E4E"/>
    <w:rsid w:val="5AF92295"/>
    <w:rsid w:val="5CAA564F"/>
    <w:rsid w:val="5CD71FC4"/>
    <w:rsid w:val="5E596AD4"/>
    <w:rsid w:val="604B053B"/>
    <w:rsid w:val="60CE0B25"/>
    <w:rsid w:val="611E2EDC"/>
    <w:rsid w:val="64426F3E"/>
    <w:rsid w:val="64BF7529"/>
    <w:rsid w:val="65BF03BD"/>
    <w:rsid w:val="66CB3F19"/>
    <w:rsid w:val="67E52B96"/>
    <w:rsid w:val="6C4A05C8"/>
    <w:rsid w:val="6DF606F4"/>
    <w:rsid w:val="6E7E3605"/>
    <w:rsid w:val="6FF5CC65"/>
    <w:rsid w:val="70476A93"/>
    <w:rsid w:val="715C0E4B"/>
    <w:rsid w:val="72734D90"/>
    <w:rsid w:val="72C232B3"/>
    <w:rsid w:val="73AD73D5"/>
    <w:rsid w:val="73B6EB34"/>
    <w:rsid w:val="744731E5"/>
    <w:rsid w:val="74A25132"/>
    <w:rsid w:val="763FF44A"/>
    <w:rsid w:val="76E3355F"/>
    <w:rsid w:val="778769C8"/>
    <w:rsid w:val="77DB6758"/>
    <w:rsid w:val="79EE5BA4"/>
    <w:rsid w:val="7A894339"/>
    <w:rsid w:val="7B4440DD"/>
    <w:rsid w:val="7B5E49DA"/>
    <w:rsid w:val="7D264462"/>
    <w:rsid w:val="7D5A3CD7"/>
    <w:rsid w:val="7DEB0C43"/>
    <w:rsid w:val="7EEF11D3"/>
    <w:rsid w:val="7FA30C79"/>
    <w:rsid w:val="7FB7269E"/>
    <w:rsid w:val="7FC96657"/>
    <w:rsid w:val="8FC5232C"/>
    <w:rsid w:val="AFD9B534"/>
    <w:rsid w:val="B59F007D"/>
    <w:rsid w:val="D8D6DB89"/>
    <w:rsid w:val="DB6F4CAB"/>
    <w:rsid w:val="DCD7616E"/>
    <w:rsid w:val="DDDE05A6"/>
    <w:rsid w:val="DED72BAF"/>
    <w:rsid w:val="DF6F9789"/>
    <w:rsid w:val="F9CFC24D"/>
    <w:rsid w:val="FBFAC4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仿宋_GB2312" w:cs="Times New Roman"/>
      <w:kern w:val="2"/>
      <w:sz w:val="32"/>
      <w:szCs w:val="32"/>
      <w:lang w:val="en-US" w:eastAsia="zh-CN" w:bidi="ar"/>
    </w:rPr>
  </w:style>
  <w:style w:type="paragraph" w:styleId="3">
    <w:name w:val="Body Text Indent"/>
    <w:basedOn w:val="1"/>
    <w:qFormat/>
    <w:uiPriority w:val="0"/>
    <w:pPr>
      <w:spacing w:after="120"/>
      <w:ind w:leftChars="200"/>
    </w:pPr>
    <w:rPr>
      <w:rFonts w:ascii="仿宋_GB2312"/>
      <w:szCs w:val="32"/>
    </w:rPr>
  </w:style>
  <w:style w:type="paragraph" w:styleId="7">
    <w:name w:val="Salutation"/>
    <w:basedOn w:val="1"/>
    <w:next w:val="1"/>
    <w:qFormat/>
    <w:uiPriority w:val="0"/>
    <w:rPr>
      <w:rFonts w:ascii="Times New Roman" w:hAnsi="Times New Roman"/>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71"/>
    <w:basedOn w:val="17"/>
    <w:qFormat/>
    <w:uiPriority w:val="0"/>
    <w:rPr>
      <w:rFonts w:hint="default" w:ascii="方正小标宋简体" w:hAnsi="方正小标宋简体" w:eastAsia="方正小标宋简体" w:cs="方正小标宋简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Pages>
  <Words>1299</Words>
  <Characters>7410</Characters>
  <Lines>1</Lines>
  <Paragraphs>1</Paragraphs>
  <TotalTime>0</TotalTime>
  <ScaleCrop>false</ScaleCrop>
  <LinksUpToDate>false</LinksUpToDate>
  <CharactersWithSpaces>8692</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7000-14</cp:lastModifiedBy>
  <cp:lastPrinted>2023-08-01T18:35:00Z</cp:lastPrinted>
  <dcterms:modified xsi:type="dcterms:W3CDTF">2023-09-27T21:38:56Z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