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78441"/>
      <w:bookmarkStart w:id="3" w:name="_Toc15396475"/>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291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5396598"/>
      <w:bookmarkStart w:id="9" w:name="_Toc15378442"/>
      <w:bookmarkStart w:id="10" w:name="_Toc15377426"/>
      <w:bookmarkStart w:id="11" w:name="_Toc15377194"/>
      <w:bookmarkStart w:id="12" w:name="_Toc1835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旺苍县人民检察院</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stheme="minorBidi"/>
          <w:color w:val="auto"/>
          <w:sz w:val="28"/>
          <w:szCs w:val="28"/>
          <w:highlight w:val="none"/>
        </w:rPr>
      </w:pPr>
      <w:r>
        <w:rPr>
          <w:rFonts w:hint="eastAsia" w:ascii="黑体" w:hAnsi="黑体" w:eastAsia="黑体"/>
          <w:color w:val="auto"/>
          <w:spacing w:val="480"/>
          <w:kern w:val="0"/>
          <w:sz w:val="48"/>
          <w:szCs w:val="48"/>
          <w:highlight w:val="none"/>
          <w:fitText w:val="1920" w:id="2066296690"/>
        </w:rPr>
        <w:t>目</w:t>
      </w:r>
      <w:r>
        <w:rPr>
          <w:rFonts w:hint="eastAsia" w:ascii="黑体" w:hAnsi="黑体" w:eastAsia="黑体"/>
          <w:color w:val="auto"/>
          <w:spacing w:val="0"/>
          <w:kern w:val="0"/>
          <w:sz w:val="48"/>
          <w:szCs w:val="48"/>
          <w:highlight w:val="none"/>
          <w:fitText w:val="1920" w:id="2066296690"/>
        </w:rPr>
        <w:t>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sdt>
      <w:sdtPr>
        <w:rPr>
          <w:rFonts w:ascii="宋体" w:hAnsi="宋体" w:eastAsia="宋体" w:cs="Times New Roman"/>
          <w:kern w:val="2"/>
          <w:sz w:val="21"/>
          <w:szCs w:val="24"/>
          <w:lang w:val="en-US" w:eastAsia="zh-CN" w:bidi="ar-SA"/>
        </w:rPr>
        <w:id w:val="147474960"/>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_Toc10789 </w:instrText>
          </w:r>
          <w:r>
            <w:rPr>
              <w:b/>
              <w:highlight w:val="none"/>
            </w:rPr>
            <w:fldChar w:fldCharType="separate"/>
          </w:r>
          <w:r>
            <w:rPr>
              <w:rFonts w:hint="eastAsia" w:ascii="黑体" w:hAnsi="黑体" w:eastAsia="黑体"/>
              <w:b/>
              <w:highlight w:val="none"/>
            </w:rPr>
            <w:t>第一部分</w:t>
          </w:r>
          <w:r>
            <w:rPr>
              <w:rFonts w:hint="eastAsia" w:ascii="黑体" w:hAnsi="黑体" w:eastAsia="黑体"/>
              <w:b/>
              <w:bCs w:val="0"/>
              <w:highlight w:val="none"/>
            </w:rPr>
            <w:t>部门概况</w:t>
          </w:r>
          <w:r>
            <w:rPr>
              <w:b/>
            </w:rPr>
            <w:tab/>
          </w:r>
          <w:r>
            <w:rPr>
              <w:b/>
            </w:rPr>
            <w:fldChar w:fldCharType="begin"/>
          </w:r>
          <w:r>
            <w:rPr>
              <w:b/>
            </w:rPr>
            <w:instrText xml:space="preserve"> PAGEREF _Toc10789 \h </w:instrText>
          </w:r>
          <w:r>
            <w:rPr>
              <w:b/>
            </w:rPr>
            <w:fldChar w:fldCharType="separate"/>
          </w:r>
          <w:r>
            <w:rPr>
              <w:b/>
            </w:rPr>
            <w:t>1</w:t>
          </w:r>
          <w:r>
            <w:rPr>
              <w:b/>
            </w:rPr>
            <w:fldChar w:fldCharType="end"/>
          </w:r>
          <w:r>
            <w:rPr>
              <w:b/>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_Toc20667 </w:instrText>
          </w:r>
          <w:r>
            <w:rPr>
              <w:rFonts w:hint="eastAsia" w:ascii="仿宋" w:hAnsi="仿宋" w:eastAsia="仿宋" w:cs="仿宋"/>
              <w:highlight w:val="none"/>
            </w:rPr>
            <w:fldChar w:fldCharType="separate"/>
          </w:r>
          <w:r>
            <w:rPr>
              <w:rFonts w:hint="eastAsia" w:ascii="仿宋" w:hAnsi="仿宋" w:eastAsia="仿宋" w:cs="仿宋"/>
              <w:lang w:eastAsia="zh-CN"/>
            </w:rPr>
            <w:t>一、</w:t>
          </w:r>
          <w:r>
            <w:rPr>
              <w:rFonts w:hint="eastAsia" w:ascii="仿宋" w:hAnsi="仿宋" w:eastAsia="仿宋" w:cs="仿宋"/>
              <w:highlight w:val="none"/>
              <w:lang w:eastAsia="zh-CN"/>
            </w:rPr>
            <w:t>部门职责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_Toc20667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_Toc6310 </w:instrText>
          </w:r>
          <w:r>
            <w:rPr>
              <w:rFonts w:hint="eastAsia" w:ascii="仿宋" w:hAnsi="仿宋" w:eastAsia="仿宋" w:cs="仿宋"/>
              <w:highlight w:val="none"/>
            </w:rPr>
            <w:fldChar w:fldCharType="separate"/>
          </w:r>
          <w:r>
            <w:rPr>
              <w:rFonts w:hint="eastAsia" w:ascii="仿宋" w:hAnsi="仿宋" w:eastAsia="仿宋" w:cs="仿宋"/>
              <w:highlight w:val="none"/>
            </w:rPr>
            <w:t>二、机</w:t>
          </w:r>
          <w:r>
            <w:rPr>
              <w:rFonts w:hint="eastAsia" w:ascii="仿宋" w:hAnsi="仿宋" w:eastAsia="仿宋" w:cs="仿宋"/>
              <w:bCs w:val="0"/>
              <w:highlight w:val="none"/>
            </w:rPr>
            <w:t>构设置</w:t>
          </w:r>
          <w:r>
            <w:rPr>
              <w:rFonts w:hint="eastAsia" w:ascii="仿宋" w:hAnsi="仿宋" w:eastAsia="仿宋" w:cs="仿宋"/>
            </w:rPr>
            <w:tab/>
          </w:r>
          <w:r>
            <w:rPr>
              <w:rFonts w:hint="eastAsia" w:ascii="仿宋" w:hAnsi="仿宋" w:eastAsia="仿宋" w:cs="仿宋"/>
              <w:lang w:val="en-US" w:eastAsia="zh-CN"/>
            </w:rPr>
            <w:t>4</w:t>
          </w:r>
          <w:r>
            <w:rPr>
              <w:rFonts w:hint="eastAsia" w:ascii="仿宋" w:hAnsi="仿宋" w:eastAsia="仿宋" w:cs="仿宋"/>
              <w:color w:val="auto"/>
              <w:highlight w:val="none"/>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_Toc21198 </w:instrText>
          </w:r>
          <w:r>
            <w:rPr>
              <w:b/>
              <w:highlight w:val="none"/>
            </w:rPr>
            <w:fldChar w:fldCharType="separate"/>
          </w:r>
          <w:r>
            <w:rPr>
              <w:rFonts w:hint="eastAsia" w:ascii="黑体" w:hAnsi="黑体" w:eastAsia="黑体"/>
              <w:b/>
              <w:bCs/>
              <w:highlight w:val="none"/>
            </w:rPr>
            <w:t>第二部分</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_Toc21198 \h </w:instrText>
          </w:r>
          <w:r>
            <w:rPr>
              <w:b/>
            </w:rPr>
            <w:fldChar w:fldCharType="separate"/>
          </w:r>
          <w:r>
            <w:rPr>
              <w:b/>
            </w:rPr>
            <w:t>4</w:t>
          </w:r>
          <w:r>
            <w:rPr>
              <w:b/>
            </w:rPr>
            <w:fldChar w:fldCharType="end"/>
          </w:r>
          <w:r>
            <w:rPr>
              <w:b/>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_Toc24519 </w:instrText>
          </w:r>
          <w:r>
            <w:rPr>
              <w:rFonts w:hint="eastAsia" w:ascii="仿宋" w:hAnsi="仿宋" w:eastAsia="仿宋" w:cs="仿宋"/>
              <w:highlight w:val="none"/>
            </w:rPr>
            <w:fldChar w:fldCharType="separate"/>
          </w:r>
          <w:r>
            <w:rPr>
              <w:rFonts w:hint="eastAsia" w:ascii="仿宋" w:hAnsi="仿宋" w:eastAsia="仿宋" w:cs="仿宋"/>
            </w:rPr>
            <w:t>一、</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_Toc24519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_Toc29437 </w:instrText>
          </w:r>
          <w:r>
            <w:rPr>
              <w:rFonts w:hint="eastAsia" w:ascii="仿宋" w:hAnsi="仿宋" w:eastAsia="仿宋" w:cs="仿宋"/>
              <w:highlight w:val="none"/>
            </w:rPr>
            <w:fldChar w:fldCharType="separate"/>
          </w:r>
          <w:r>
            <w:rPr>
              <w:rFonts w:hint="eastAsia" w:ascii="仿宋" w:hAnsi="仿宋" w:eastAsia="仿宋" w:cs="仿宋"/>
            </w:rPr>
            <w:t>二、</w:t>
          </w:r>
          <w:r>
            <w:rPr>
              <w:rFonts w:hint="eastAsia" w:ascii="仿宋" w:hAnsi="仿宋" w:eastAsia="仿宋" w:cs="仿宋"/>
              <w:szCs w:val="32"/>
              <w:highlight w:val="none"/>
            </w:rPr>
            <w:t>收</w:t>
          </w:r>
          <w:r>
            <w:rPr>
              <w:rFonts w:hint="eastAsia" w:ascii="仿宋" w:hAnsi="仿宋" w:eastAsia="仿宋" w:cs="仿宋"/>
              <w:highlight w:val="none"/>
            </w:rPr>
            <w:t>入决算情况说明</w:t>
          </w:r>
          <w:r>
            <w:rPr>
              <w:rFonts w:hint="eastAsia" w:ascii="仿宋" w:hAnsi="仿宋" w:eastAsia="仿宋" w:cs="仿宋"/>
            </w:rPr>
            <w:tab/>
          </w:r>
          <w:r>
            <w:rPr>
              <w:rFonts w:hint="eastAsia" w:ascii="仿宋" w:hAnsi="仿宋" w:eastAsia="仿宋" w:cs="仿宋"/>
              <w:lang w:val="en-US" w:eastAsia="zh-CN"/>
            </w:rPr>
            <w:t>5</w:t>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_Toc14482 </w:instrText>
          </w:r>
          <w:r>
            <w:rPr>
              <w:rFonts w:hint="eastAsia" w:ascii="仿宋" w:hAnsi="仿宋" w:eastAsia="仿宋" w:cs="仿宋"/>
              <w:highlight w:val="none"/>
            </w:rPr>
            <w:fldChar w:fldCharType="separate"/>
          </w:r>
          <w:r>
            <w:rPr>
              <w:rFonts w:hint="eastAsia" w:ascii="仿宋" w:hAnsi="仿宋" w:eastAsia="仿宋" w:cs="仿宋"/>
            </w:rPr>
            <w:t>三、</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_Toc14482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_Toc27863 </w:instrText>
          </w:r>
          <w:r>
            <w:rPr>
              <w:rFonts w:hint="eastAsia" w:ascii="仿宋" w:hAnsi="仿宋" w:eastAsia="仿宋" w:cs="仿宋"/>
              <w:highlight w:val="none"/>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rPr>
            <w:tab/>
          </w:r>
          <w:r>
            <w:rPr>
              <w:rFonts w:hint="eastAsia" w:ascii="仿宋" w:hAnsi="仿宋" w:eastAsia="仿宋" w:cs="仿宋"/>
              <w:lang w:val="en-US" w:eastAsia="zh-CN"/>
            </w:rPr>
            <w:t>6</w:t>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_Toc8449 </w:instrText>
          </w:r>
          <w:r>
            <w:rPr>
              <w:rFonts w:hint="eastAsia" w:ascii="仿宋" w:hAnsi="仿宋" w:eastAsia="仿宋" w:cs="仿宋"/>
              <w:highlight w:val="none"/>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_Toc9928 </w:instrText>
          </w:r>
          <w:r>
            <w:rPr>
              <w:rFonts w:hint="eastAsia" w:ascii="仿宋" w:hAnsi="仿宋" w:eastAsia="仿宋" w:cs="仿宋"/>
              <w:highlight w:val="none"/>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_Toc9928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_Toc28930 </w:instrText>
          </w:r>
          <w:r>
            <w:rPr>
              <w:rFonts w:hint="eastAsia" w:ascii="仿宋" w:hAnsi="仿宋" w:eastAsia="仿宋" w:cs="仿宋"/>
              <w:highlight w:val="none"/>
            </w:rPr>
            <w:fldChar w:fldCharType="separate"/>
          </w:r>
          <w:r>
            <w:rPr>
              <w:rFonts w:hint="eastAsia" w:ascii="仿宋" w:hAnsi="仿宋" w:eastAsia="仿宋" w:cs="仿宋"/>
              <w:szCs w:val="32"/>
              <w:highlight w:val="none"/>
            </w:rPr>
            <w:t>七、</w:t>
          </w:r>
          <w:r>
            <w:rPr>
              <w:rFonts w:hint="eastAsia" w:ascii="仿宋" w:hAnsi="仿宋" w:eastAsia="仿宋" w:cs="仿宋"/>
              <w:highlight w:val="none"/>
            </w:rPr>
            <w:t>财政拨款“三公”经费支出决算情况说明</w:t>
          </w:r>
          <w:r>
            <w:rPr>
              <w:rFonts w:hint="eastAsia" w:ascii="仿宋" w:hAnsi="仿宋" w:eastAsia="仿宋" w:cs="仿宋"/>
            </w:rPr>
            <w:tab/>
          </w:r>
          <w:r>
            <w:rPr>
              <w:rFonts w:hint="eastAsia" w:ascii="仿宋" w:hAnsi="仿宋" w:eastAsia="仿宋" w:cs="仿宋"/>
              <w:lang w:val="en-US" w:eastAsia="zh-CN"/>
            </w:rPr>
            <w:t>9</w:t>
          </w:r>
          <w:r>
            <w:rPr>
              <w:rFonts w:hint="eastAsia" w:ascii="仿宋" w:hAnsi="仿宋" w:eastAsia="仿宋" w:cs="仿宋"/>
              <w:color w:val="auto"/>
              <w:highlight w:val="none"/>
            </w:rPr>
            <w:fldChar w:fldCharType="end"/>
          </w:r>
          <w:bookmarkStart w:id="108" w:name="_GoBack"/>
          <w:bookmarkEnd w:id="108"/>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lang w:val="en-US" w:eastAsia="zh-CN"/>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_Toc30984 </w:instrText>
          </w:r>
          <w:r>
            <w:rPr>
              <w:rFonts w:hint="eastAsia" w:ascii="仿宋" w:hAnsi="仿宋" w:eastAsia="仿宋" w:cs="仿宋"/>
              <w:highlight w:val="none"/>
            </w:rPr>
            <w:fldChar w:fldCharType="separate"/>
          </w:r>
          <w:r>
            <w:rPr>
              <w:rFonts w:hint="eastAsia" w:ascii="仿宋" w:hAnsi="仿宋" w:eastAsia="仿宋" w:cs="仿宋"/>
              <w:szCs w:val="32"/>
              <w:highlight w:val="none"/>
            </w:rPr>
            <w:t>八、</w:t>
          </w:r>
          <w:r>
            <w:rPr>
              <w:rFonts w:hint="eastAsia" w:ascii="仿宋" w:hAnsi="仿宋" w:eastAsia="仿宋" w:cs="仿宋"/>
              <w:highlight w:val="none"/>
            </w:rPr>
            <w:t>政府性基金预算支出决算情况说明</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lang w:val="en-US" w:eastAsia="zh-CN"/>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_Toc25288 </w:instrText>
          </w:r>
          <w:r>
            <w:rPr>
              <w:rFonts w:hint="eastAsia" w:ascii="仿宋" w:hAnsi="仿宋" w:eastAsia="仿宋" w:cs="仿宋"/>
              <w:highlight w:val="none"/>
            </w:rPr>
            <w:fldChar w:fldCharType="separate"/>
          </w:r>
          <w:r>
            <w:rPr>
              <w:rFonts w:hint="eastAsia" w:ascii="仿宋" w:hAnsi="仿宋" w:eastAsia="仿宋" w:cs="仿宋"/>
            </w:rPr>
            <w:t>九、</w:t>
          </w:r>
          <w:r>
            <w:rPr>
              <w:rFonts w:hint="eastAsia" w:ascii="仿宋" w:hAnsi="仿宋" w:eastAsia="仿宋" w:cs="仿宋"/>
              <w:highlight w:val="none"/>
            </w:rPr>
            <w:t>国有资本经营预算支出决算情况说明</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lang w:val="en-US" w:eastAsia="zh-CN"/>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_Toc15938 </w:instrText>
          </w:r>
          <w:r>
            <w:rPr>
              <w:rFonts w:hint="eastAsia" w:ascii="仿宋" w:hAnsi="仿宋" w:eastAsia="仿宋" w:cs="仿宋"/>
              <w:highlight w:val="none"/>
            </w:rPr>
            <w:fldChar w:fldCharType="separate"/>
          </w:r>
          <w:r>
            <w:rPr>
              <w:rFonts w:hint="eastAsia" w:ascii="仿宋" w:hAnsi="仿宋" w:eastAsia="仿宋" w:cs="仿宋"/>
            </w:rPr>
            <w:t>十、</w:t>
          </w:r>
          <w:r>
            <w:rPr>
              <w:rFonts w:hint="eastAsia" w:ascii="仿宋" w:hAnsi="仿宋" w:eastAsia="仿宋" w:cs="仿宋"/>
              <w:highlight w:val="none"/>
            </w:rPr>
            <w:t>其他重要事项的情况说明</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_Toc18197 </w:instrText>
          </w:r>
          <w:r>
            <w:rPr>
              <w:b/>
              <w:highlight w:val="none"/>
            </w:rPr>
            <w:fldChar w:fldCharType="separate"/>
          </w:r>
          <w:r>
            <w:rPr>
              <w:rFonts w:hint="eastAsia" w:ascii="黑体" w:hAnsi="黑体" w:eastAsia="黑体"/>
              <w:b/>
            </w:rPr>
            <w:t>第三部分</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_Toc18197 \h </w:instrText>
          </w:r>
          <w:r>
            <w:rPr>
              <w:b/>
            </w:rPr>
            <w:fldChar w:fldCharType="separate"/>
          </w:r>
          <w:r>
            <w:rPr>
              <w:b/>
            </w:rPr>
            <w:t>13</w:t>
          </w:r>
          <w:r>
            <w:rPr>
              <w:b/>
            </w:rPr>
            <w:fldChar w:fldCharType="end"/>
          </w:r>
          <w:r>
            <w:rPr>
              <w:b/>
              <w:color w:val="auto"/>
              <w:highlight w:val="none"/>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_Toc27274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四部分附件</w:t>
          </w:r>
          <w:r>
            <w:rPr>
              <w:b/>
            </w:rPr>
            <w:tab/>
          </w:r>
          <w:r>
            <w:rPr>
              <w:b/>
            </w:rPr>
            <w:fldChar w:fldCharType="begin"/>
          </w:r>
          <w:r>
            <w:rPr>
              <w:b/>
            </w:rPr>
            <w:instrText xml:space="preserve"> PAGEREF _Toc27274 \h </w:instrText>
          </w:r>
          <w:r>
            <w:rPr>
              <w:b/>
            </w:rPr>
            <w:fldChar w:fldCharType="separate"/>
          </w:r>
          <w:r>
            <w:rPr>
              <w:b/>
            </w:rPr>
            <w:t>16</w:t>
          </w:r>
          <w:r>
            <w:rPr>
              <w:b/>
            </w:rPr>
            <w:fldChar w:fldCharType="end"/>
          </w:r>
          <w:r>
            <w:rPr>
              <w:b/>
              <w:color w:val="auto"/>
              <w:highlight w:val="none"/>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b/>
              <w:lang w:val="en-US" w:eastAsia="zh-CN"/>
            </w:rPr>
          </w:pPr>
          <w:r>
            <w:rPr>
              <w:b/>
              <w:color w:val="auto"/>
              <w:highlight w:val="none"/>
            </w:rPr>
            <w:fldChar w:fldCharType="begin"/>
          </w:r>
          <w:r>
            <w:rPr>
              <w:b/>
              <w:highlight w:val="none"/>
            </w:rPr>
            <w:instrText xml:space="preserve"> HYPERLINK \l _Toc11638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五部分附表</w:t>
          </w:r>
          <w:r>
            <w:rPr>
              <w:b/>
            </w:rPr>
            <w:tab/>
          </w:r>
          <w:r>
            <w:rPr>
              <w:rFonts w:hint="eastAsia"/>
              <w:b/>
              <w:lang w:val="en-US" w:eastAsia="zh-CN"/>
            </w:rPr>
            <w:t>4</w:t>
          </w:r>
          <w:r>
            <w:rPr>
              <w:b/>
              <w:color w:val="auto"/>
              <w:highlight w:val="none"/>
            </w:rPr>
            <w:fldChar w:fldCharType="end"/>
          </w:r>
          <w:r>
            <w:rPr>
              <w:rFonts w:hint="eastAsia"/>
              <w:b/>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_Toc30599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_Toc23948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_Toc30146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_Toc18816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_Toc18325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_Toc13852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_Toc29217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_Toc8567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_Toc15027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_Toc17651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_Toc332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_Toc25640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eastAsia="宋体"/>
              <w:lang w:val="en-US" w:eastAsia="zh-CN"/>
            </w:rPr>
          </w:pPr>
          <w:r>
            <w:rPr>
              <w:color w:val="auto"/>
              <w:highlight w:val="none"/>
            </w:rPr>
            <w:fldChar w:fldCharType="begin"/>
          </w:r>
          <w:r>
            <w:rPr>
              <w:highlight w:val="none"/>
            </w:rPr>
            <w:instrText xml:space="preserve"> HYPERLINK \l _Toc14416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4</w:t>
          </w:r>
        </w:p>
        <w:p>
          <w:pPr>
            <w:rPr>
              <w:color w:val="auto"/>
              <w:highlight w:val="none"/>
            </w:rPr>
          </w:pPr>
          <w:r>
            <w:rPr>
              <w:b/>
              <w:color w:val="auto"/>
              <w:highlight w:val="none"/>
            </w:rPr>
            <w:fldChar w:fldCharType="end"/>
          </w:r>
        </w:p>
      </w:sdtContent>
    </w:sdt>
    <w:p>
      <w:pPr>
        <w:pStyle w:val="3"/>
        <w:jc w:val="center"/>
        <w:outlineLvl w:val="9"/>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bookmarkStart w:id="14" w:name="_Toc15396599"/>
      <w:bookmarkStart w:id="15" w:name="_Toc15377196"/>
    </w:p>
    <w:p>
      <w:pPr>
        <w:pStyle w:val="3"/>
        <w:jc w:val="center"/>
        <w:rPr>
          <w:rFonts w:ascii="黑体" w:eastAsia="黑体"/>
          <w:color w:val="auto"/>
          <w:sz w:val="32"/>
          <w:szCs w:val="32"/>
          <w:highlight w:val="none"/>
        </w:rPr>
      </w:pPr>
      <w:bookmarkStart w:id="16" w:name="_Toc10789"/>
      <w:r>
        <w:rPr>
          <w:rFonts w:hint="eastAsia" w:ascii="黑体" w:hAnsi="黑体" w:eastAsia="黑体"/>
          <w:b w:val="0"/>
          <w:color w:val="auto"/>
          <w:highlight w:val="none"/>
        </w:rPr>
        <w:t>第一部分</w:t>
      </w:r>
      <w:r>
        <w:rPr>
          <w:rStyle w:val="20"/>
          <w:rFonts w:hint="eastAsia" w:ascii="黑体" w:hAnsi="黑体" w:eastAsia="黑体"/>
          <w:b w:val="0"/>
          <w:bCs w:val="0"/>
          <w:color w:val="auto"/>
          <w:highlight w:val="none"/>
        </w:rPr>
        <w:t>部门概况</w:t>
      </w:r>
      <w:bookmarkEnd w:id="14"/>
      <w:bookmarkEnd w:id="15"/>
      <w:bookmarkEnd w:id="16"/>
    </w:p>
    <w:p>
      <w:pPr>
        <w:pStyle w:val="4"/>
        <w:numPr>
          <w:ilvl w:val="0"/>
          <w:numId w:val="1"/>
        </w:numPr>
        <w:rPr>
          <w:rFonts w:hint="eastAsia" w:ascii="黑体" w:hAnsi="黑体" w:eastAsia="黑体"/>
          <w:b w:val="0"/>
          <w:color w:val="auto"/>
          <w:highlight w:val="none"/>
          <w:lang w:eastAsia="zh-CN"/>
        </w:rPr>
      </w:pPr>
      <w:bookmarkStart w:id="17" w:name="_Toc20667"/>
      <w:r>
        <w:rPr>
          <w:rFonts w:hint="eastAsia" w:ascii="黑体" w:hAnsi="黑体" w:eastAsia="黑体"/>
          <w:b w:val="0"/>
          <w:color w:val="auto"/>
          <w:highlight w:val="none"/>
          <w:lang w:eastAsia="zh-CN"/>
        </w:rPr>
        <w:t>部门职责</w:t>
      </w:r>
      <w:bookmarkEnd w:id="17"/>
    </w:p>
    <w:p>
      <w:pPr>
        <w:pStyle w:val="6"/>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eastAsia" w:ascii="仿宋_GB2312" w:hAnsi="仿宋_GB2312" w:eastAsia="仿宋_GB2312" w:cs="仿宋_GB2312"/>
          <w:bCs/>
          <w:color w:val="auto"/>
          <w:sz w:val="32"/>
          <w:szCs w:val="32"/>
          <w:highlight w:val="none"/>
        </w:rPr>
      </w:pPr>
      <w:bookmarkStart w:id="18" w:name="_Toc15377198"/>
      <w:bookmarkStart w:id="19" w:name="_Toc15378445"/>
      <w:r>
        <w:rPr>
          <w:rFonts w:hint="eastAsia" w:ascii="仿宋_GB2312" w:hAnsi="仿宋_GB2312" w:eastAsia="仿宋_GB2312" w:cs="仿宋_GB2312"/>
          <w:bCs/>
          <w:color w:val="auto"/>
          <w:sz w:val="32"/>
          <w:szCs w:val="32"/>
          <w:highlight w:val="none"/>
        </w:rPr>
        <w:t>（一）主要职能</w:t>
      </w:r>
      <w:bookmarkEnd w:id="18"/>
      <w:bookmarkEnd w:id="19"/>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rPr>
        <w:t>人民检察院是国家的法律监督机关。人民检察院通过依法独立行使检察权，监督法律实施，惩罚犯罪活动，保护国家安全、人民民主专政政权和社会主义制度，保护公民、法人和其他组织的合法权益，维护国家法律的统一和正确实施。</w:t>
      </w:r>
      <w:r>
        <w:rPr>
          <w:rFonts w:hint="eastAsia" w:ascii="仿宋_GB2312" w:hAnsi="仿宋_GB2312" w:eastAsia="仿宋_GB2312" w:cs="仿宋_GB2312"/>
          <w:b w:val="0"/>
          <w:bCs w:val="0"/>
          <w:i w:val="0"/>
          <w:caps w:val="0"/>
          <w:color w:val="auto"/>
          <w:spacing w:val="0"/>
          <w:sz w:val="32"/>
          <w:szCs w:val="32"/>
          <w:highlight w:val="none"/>
          <w:shd w:val="clear" w:color="auto" w:fill="auto"/>
          <w:lang w:val="en-US" w:eastAsia="zh-CN"/>
        </w:rPr>
        <w:t>旺苍县人民检察院</w:t>
      </w:r>
      <w:r>
        <w:rPr>
          <w:rFonts w:hint="eastAsia" w:ascii="仿宋_GB2312" w:hAnsi="仿宋_GB2312" w:eastAsia="仿宋_GB2312" w:cs="仿宋_GB2312"/>
          <w:b w:val="0"/>
          <w:bCs w:val="0"/>
          <w:i w:val="0"/>
          <w:iCs w:val="0"/>
          <w:color w:val="auto"/>
          <w:sz w:val="32"/>
          <w:szCs w:val="32"/>
          <w:highlight w:val="none"/>
        </w:rPr>
        <w:t>接受县委和上级检察机关的领导，对旺苍县人民代表大会及其常委</w:t>
      </w:r>
      <w:r>
        <w:rPr>
          <w:rFonts w:hint="eastAsia" w:ascii="仿宋_GB2312" w:hAnsi="仿宋_GB2312" w:eastAsia="仿宋_GB2312" w:cs="仿宋_GB2312"/>
          <w:b w:val="0"/>
          <w:bCs w:val="0"/>
          <w:i w:val="0"/>
          <w:iCs w:val="0"/>
          <w:color w:val="auto"/>
          <w:sz w:val="32"/>
          <w:szCs w:val="32"/>
          <w:highlight w:val="none"/>
          <w:lang w:val="en-US" w:eastAsia="zh-CN"/>
        </w:rPr>
        <w:t>会</w:t>
      </w:r>
      <w:r>
        <w:rPr>
          <w:rFonts w:hint="eastAsia" w:ascii="仿宋_GB2312" w:hAnsi="仿宋_GB2312" w:eastAsia="仿宋_GB2312" w:cs="仿宋_GB2312"/>
          <w:b w:val="0"/>
          <w:bCs w:val="0"/>
          <w:i w:val="0"/>
          <w:iCs w:val="0"/>
          <w:color w:val="auto"/>
          <w:sz w:val="32"/>
          <w:szCs w:val="32"/>
          <w:highlight w:val="none"/>
        </w:rPr>
        <w:t>负责并报告工作，接受监督，不受行政机关、社会团体和个人的干涉。</w:t>
      </w:r>
    </w:p>
    <w:p>
      <w:pPr>
        <w:pStyle w:val="6"/>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eastAsia" w:ascii="仿宋_GB2312" w:hAnsi="仿宋_GB2312" w:eastAsia="仿宋_GB2312" w:cs="仿宋_GB2312"/>
          <w:bCs/>
          <w:color w:val="auto"/>
          <w:sz w:val="32"/>
          <w:szCs w:val="32"/>
          <w:highlight w:val="none"/>
        </w:rPr>
      </w:pPr>
      <w:bookmarkStart w:id="20" w:name="_Toc15378446"/>
      <w:bookmarkStart w:id="21" w:name="_Toc15377199"/>
      <w:r>
        <w:rPr>
          <w:rFonts w:hint="eastAsia" w:ascii="仿宋_GB2312" w:hAnsi="仿宋_GB2312" w:eastAsia="仿宋_GB2312" w:cs="仿宋_GB2312"/>
          <w:bCs/>
          <w:color w:val="auto"/>
          <w:sz w:val="32"/>
          <w:szCs w:val="32"/>
          <w:highlight w:val="none"/>
        </w:rPr>
        <w:t>（二）20</w:t>
      </w:r>
      <w:r>
        <w:rPr>
          <w:rFonts w:hint="eastAsia" w:ascii="仿宋_GB2312" w:hAnsi="仿宋_GB2312" w:eastAsia="仿宋_GB2312" w:cs="仿宋_GB2312"/>
          <w:bCs/>
          <w:color w:val="auto"/>
          <w:sz w:val="32"/>
          <w:szCs w:val="32"/>
          <w:highlight w:val="none"/>
          <w:lang w:val="en-US" w:eastAsia="zh-CN"/>
        </w:rPr>
        <w:t>2</w:t>
      </w:r>
      <w:r>
        <w:rPr>
          <w:rFonts w:hint="eastAsia" w:hAnsi="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年重点工作完成情况</w:t>
      </w:r>
      <w:bookmarkEnd w:id="20"/>
      <w:bookmarkEnd w:id="21"/>
    </w:p>
    <w:p>
      <w:pPr>
        <w:pStyle w:val="13"/>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eastAsia" w:ascii="方正楷体_GBK" w:hAnsi="方正楷体_GBK" w:eastAsia="方正楷体_GBK" w:cs="方正楷体_GBK"/>
          <w:color w:val="FF0000"/>
          <w:sz w:val="32"/>
          <w:szCs w:val="32"/>
          <w:lang w:val="en-US" w:eastAsia="zh-CN"/>
        </w:rPr>
      </w:pPr>
      <w:r>
        <w:rPr>
          <w:rFonts w:hint="eastAsia" w:ascii="仿宋_GB2312" w:hAnsi="仿宋_GB2312" w:eastAsia="仿宋_GB2312" w:cs="仿宋_GB2312"/>
          <w:color w:val="000000"/>
          <w:kern w:val="2"/>
          <w:sz w:val="32"/>
          <w:szCs w:val="32"/>
          <w:lang w:val="en-US" w:eastAsia="zh-CN" w:bidi="ar-SA"/>
        </w:rPr>
        <w:t>更有力维护安全。全面贯彻总体国家</w:t>
      </w:r>
      <w:r>
        <w:rPr>
          <w:rFonts w:hint="eastAsia" w:ascii="仿宋_GB2312" w:hAnsi="Times New Roman" w:eastAsia="仿宋_GB2312" w:cs="Times New Roman"/>
          <w:color w:val="000000"/>
          <w:sz w:val="32"/>
          <w:szCs w:val="32"/>
          <w:u w:val="none"/>
          <w:lang w:val="en-US" w:eastAsia="zh-CN"/>
        </w:rPr>
        <w:t>安全观，坚决维护国家安全，</w:t>
      </w:r>
      <w:r>
        <w:rPr>
          <w:rFonts w:hint="eastAsia" w:ascii="仿宋_GB2312" w:hAnsi="仿宋_GB2312" w:eastAsia="仿宋_GB2312" w:cs="仿宋_GB2312"/>
          <w:color w:val="000000"/>
          <w:kern w:val="2"/>
          <w:sz w:val="32"/>
          <w:szCs w:val="32"/>
          <w:lang w:val="en-US" w:eastAsia="zh-CN" w:bidi="ar-SA"/>
        </w:rPr>
        <w:t>打击“法轮功”“全能神”犯罪6人，教育转化4人。坚决维护政治安全，深化、做实“反制”“筑墙”“净土”“攻心”四大工程。合力推进反腐败斗争，坚决斩断围猎之手，</w:t>
      </w:r>
      <w:r>
        <w:rPr>
          <w:rFonts w:hint="eastAsia" w:ascii="仿宋_GB2312" w:hAnsi="仿宋_GB2312" w:eastAsia="仿宋_GB2312" w:cs="仿宋_GB2312"/>
          <w:color w:val="000000"/>
          <w:sz w:val="32"/>
          <w:szCs w:val="32"/>
          <w:u w:val="none"/>
          <w:lang w:val="en-US" w:eastAsia="zh-CN"/>
        </w:rPr>
        <w:t>落实行受贿一起查，提前介入监委调查6件，起诉8人</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其中行贿犯罪1人</w:t>
      </w:r>
      <w:r>
        <w:rPr>
          <w:rFonts w:hint="eastAsia" w:ascii="仿宋_GB2312" w:hAnsi="仿宋_GB2312" w:eastAsia="仿宋_GB2312" w:cs="仿宋_GB2312"/>
          <w:color w:val="000000"/>
          <w:sz w:val="32"/>
          <w:szCs w:val="32"/>
          <w:u w:val="none"/>
          <w:lang w:val="en" w:eastAsia="zh-CN"/>
        </w:rPr>
        <w:t>。</w:t>
      </w:r>
      <w:r>
        <w:rPr>
          <w:rFonts w:hint="eastAsia" w:ascii="仿宋_GB2312" w:hAnsi="仿宋_GB2312" w:eastAsia="仿宋_GB2312" w:cs="仿宋_GB2312"/>
          <w:color w:val="000000"/>
          <w:sz w:val="32"/>
          <w:szCs w:val="32"/>
          <w:u w:val="none"/>
          <w:lang w:val="en-US" w:eastAsia="zh-CN"/>
        </w:rPr>
        <w:t>坚决维</w:t>
      </w:r>
      <w:r>
        <w:rPr>
          <w:rFonts w:hint="eastAsia" w:ascii="仿宋_GB2312" w:hAnsi="仿宋_GB2312" w:eastAsia="仿宋_GB2312" w:cs="仿宋_GB2312"/>
          <w:color w:val="000000"/>
          <w:kern w:val="2"/>
          <w:sz w:val="32"/>
          <w:szCs w:val="32"/>
          <w:lang w:val="en-US" w:eastAsia="zh-CN" w:bidi="ar-SA"/>
        </w:rPr>
        <w:t>护公共安全，常态化开展扫黑除恶斗争，对徐雪涉黑案提起公诉，起诉的84名被告人均被判处刑罚；严厉打击故意杀人、强奸等严重暴力犯罪，批捕2人、起诉6人；严厉打击毒品犯罪，批捕13人、起诉</w:t>
      </w: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000000"/>
          <w:kern w:val="2"/>
          <w:sz w:val="32"/>
          <w:szCs w:val="32"/>
          <w:lang w:val="en-US" w:eastAsia="zh-CN" w:bidi="ar-SA"/>
        </w:rPr>
        <w:t>人，并开展寄递违禁品专项监督。坚决维护网络安全，依法打击利用网络实施诈骗、赌博等犯罪，批捕14人、起诉69人，</w:t>
      </w:r>
      <w:r>
        <w:rPr>
          <w:rFonts w:hint="eastAsia" w:ascii="仿宋_GB2312" w:hAnsi="仿宋_GB2312" w:eastAsia="仿宋_GB2312" w:cs="仿宋_GB2312"/>
          <w:color w:val="auto"/>
          <w:sz w:val="32"/>
          <w:szCs w:val="32"/>
          <w:lang w:val="en-US" w:eastAsia="zh-CN"/>
        </w:rPr>
        <w:t>全面审查公安部督办的“2.02”专案152人，进一步</w:t>
      </w:r>
      <w:r>
        <w:rPr>
          <w:rFonts w:hint="eastAsia" w:ascii="仿宋_GB2312" w:hAnsi="仿宋_GB2312" w:eastAsia="仿宋_GB2312" w:cs="仿宋_GB2312"/>
          <w:color w:val="000000"/>
          <w:sz w:val="32"/>
          <w:szCs w:val="32"/>
          <w:highlight w:val="none"/>
          <w:lang w:val="en-US" w:eastAsia="zh-CN"/>
        </w:rPr>
        <w:t>追赃挽损460余万元。</w:t>
      </w:r>
      <w:r>
        <w:rPr>
          <w:rFonts w:hint="eastAsia" w:ascii="仿宋_GB2312" w:hAnsi="Times New Roman" w:eastAsia="仿宋_GB2312" w:cs="Times New Roman"/>
          <w:color w:val="000000"/>
          <w:sz w:val="32"/>
          <w:szCs w:val="32"/>
          <w:u w:val="none"/>
          <w:lang w:val="en-US" w:eastAsia="zh-CN"/>
        </w:rPr>
        <w:t>聚焦安全生产，严格落实最高检第八号检察建议，从快起诉非法作业、重大责任事故等犯罪2人</w:t>
      </w:r>
      <w:r>
        <w:rPr>
          <w:rFonts w:hint="eastAsia" w:ascii="仿宋_GB2312" w:hAnsi="Times New Roman" w:eastAsia="仿宋_GB2312" w:cs="Times New Roman"/>
          <w:color w:val="0000FF"/>
          <w:sz w:val="32"/>
          <w:szCs w:val="32"/>
          <w:u w:val="none"/>
          <w:lang w:val="en-US" w:eastAsia="zh-CN"/>
        </w:rPr>
        <w:t>。</w:t>
      </w:r>
      <w:r>
        <w:rPr>
          <w:rFonts w:hint="eastAsia" w:ascii="仿宋_GB2312" w:hAnsi="Times New Roman" w:eastAsia="仿宋_GB2312" w:cs="Times New Roman"/>
          <w:color w:val="000000"/>
          <w:sz w:val="32"/>
          <w:szCs w:val="32"/>
          <w:u w:val="none"/>
          <w:lang w:val="en-US" w:eastAsia="zh-CN"/>
        </w:rPr>
        <w:t>坚持宽严相济，深入落实少捕慎诉慎押刑事司法政策和认罪认罚从宽制度，不捕37人、不诉125人、变更强制措施18人，同比分别增加117%、82%、157%，刑事案件诉前</w:t>
      </w:r>
      <w:r>
        <w:rPr>
          <w:rFonts w:hint="eastAsia" w:ascii="仿宋_GB2312" w:hAnsi="Times New Roman" w:eastAsia="仿宋_GB2312" w:cs="Times New Roman"/>
          <w:color w:val="000000"/>
          <w:sz w:val="32"/>
          <w:szCs w:val="32"/>
          <w:highlight w:val="none"/>
          <w:u w:val="none"/>
          <w:lang w:val="en-US" w:eastAsia="zh-CN"/>
        </w:rPr>
        <w:t>羁押率16.81%，</w:t>
      </w:r>
      <w:r>
        <w:rPr>
          <w:rFonts w:hint="eastAsia" w:ascii="仿宋_GB2312" w:hAnsi="Times New Roman" w:eastAsia="仿宋_GB2312" w:cs="Times New Roman"/>
          <w:color w:val="000000"/>
          <w:sz w:val="32"/>
          <w:szCs w:val="32"/>
          <w:u w:val="none"/>
          <w:lang w:val="en-US" w:eastAsia="zh-CN"/>
        </w:rPr>
        <w:t>认罪认罚从宽制度适用率</w:t>
      </w:r>
      <w:r>
        <w:rPr>
          <w:rFonts w:hint="eastAsia" w:ascii="仿宋_GB2312" w:hAnsi="Times New Roman" w:eastAsia="仿宋_GB2312" w:cs="Times New Roman"/>
          <w:color w:val="000000"/>
          <w:sz w:val="32"/>
          <w:szCs w:val="32"/>
          <w:highlight w:val="none"/>
          <w:u w:val="none"/>
          <w:lang w:val="en-US" w:eastAsia="zh-CN"/>
        </w:rPr>
        <w:t>83.4%</w:t>
      </w:r>
      <w:r>
        <w:rPr>
          <w:rFonts w:hint="eastAsia" w:ascii="仿宋_GB2312" w:hAnsi="Times New Roman" w:eastAsia="仿宋_GB2312" w:cs="Times New Roman"/>
          <w:color w:val="000000"/>
          <w:sz w:val="32"/>
          <w:szCs w:val="32"/>
          <w:u w:val="none"/>
          <w:lang w:val="en-US" w:eastAsia="zh-CN"/>
        </w:rPr>
        <w:t>、一审服判率98%</w:t>
      </w:r>
      <w:r>
        <w:rPr>
          <w:rFonts w:hint="eastAsia" w:ascii="仿宋_GB2312" w:hAnsi="仿宋_GB2312" w:eastAsia="仿宋_GB2312" w:cs="仿宋_GB2312"/>
          <w:color w:val="auto"/>
          <w:kern w:val="2"/>
          <w:sz w:val="32"/>
          <w:szCs w:val="32"/>
          <w:lang w:val="en-US" w:eastAsia="zh-CN" w:bidi="ar-SA"/>
        </w:rPr>
        <w:t>，</w:t>
      </w:r>
      <w:r>
        <w:rPr>
          <w:rFonts w:hint="eastAsia" w:ascii="仿宋_GB2312" w:hAnsi="Times New Roman" w:eastAsia="仿宋_GB2312" w:cs="Times New Roman"/>
          <w:color w:val="000000"/>
          <w:sz w:val="32"/>
          <w:szCs w:val="32"/>
          <w:u w:val="none"/>
          <w:lang w:val="en-US" w:eastAsia="zh-CN"/>
        </w:rPr>
        <w:t>促进社会内生稳定。</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color w:val="000000"/>
          <w:kern w:val="2"/>
          <w:sz w:val="32"/>
          <w:szCs w:val="32"/>
          <w:lang w:val="en-US" w:eastAsia="zh-CN" w:bidi="ar-SA"/>
        </w:rPr>
        <w:t>更有力服务发展。</w:t>
      </w:r>
      <w:r>
        <w:rPr>
          <w:rFonts w:hint="eastAsia" w:ascii="仿宋_GB2312" w:hAnsi="仿宋_GB2312" w:eastAsia="仿宋_GB2312" w:cs="仿宋_GB2312"/>
          <w:color w:val="000000"/>
          <w:sz w:val="32"/>
          <w:szCs w:val="32"/>
          <w:lang w:eastAsia="zh-CN"/>
        </w:rPr>
        <w:t>服务打造法治化营商环境，形成</w:t>
      </w:r>
      <w:r>
        <w:rPr>
          <w:rFonts w:hint="eastAsia" w:ascii="仿宋_GB2312" w:hAnsi="仿宋_GB2312" w:eastAsia="仿宋_GB2312" w:cs="仿宋_GB2312"/>
          <w:color w:val="000000"/>
          <w:sz w:val="32"/>
          <w:szCs w:val="32"/>
          <w:lang w:val="en-US" w:eastAsia="zh-CN"/>
        </w:rPr>
        <w:t>集惩治、帮教、预防、保障于一体的</w:t>
      </w:r>
      <w:r>
        <w:rPr>
          <w:rFonts w:hint="eastAsia" w:ascii="仿宋_GB2312" w:hAnsi="仿宋_GB2312" w:eastAsia="仿宋_GB2312" w:cs="仿宋_GB2312"/>
          <w:color w:val="000000"/>
          <w:sz w:val="32"/>
          <w:szCs w:val="32"/>
          <w:lang w:eastAsia="zh-CN"/>
        </w:rPr>
        <w:t>涉</w:t>
      </w:r>
      <w:r>
        <w:rPr>
          <w:rFonts w:hint="eastAsia" w:ascii="仿宋_GB2312" w:hAnsi="仿宋_GB2312" w:eastAsia="仿宋_GB2312" w:cs="仿宋_GB2312"/>
          <w:color w:val="000000"/>
          <w:sz w:val="32"/>
          <w:szCs w:val="32"/>
          <w:lang w:val="en-US" w:eastAsia="zh-CN"/>
        </w:rPr>
        <w:t>民营企业案件综合性全链条司法新模式。</w:t>
      </w:r>
      <w:r>
        <w:rPr>
          <w:rFonts w:hint="eastAsia" w:ascii="仿宋_GB2312" w:hAnsi="仿宋_GB2312" w:eastAsia="仿宋_GB2312" w:cs="仿宋_GB2312"/>
          <w:color w:val="000000"/>
          <w:sz w:val="32"/>
          <w:szCs w:val="32"/>
        </w:rPr>
        <w:t>严厉打击破坏社会主义市场经济秩序犯罪，批捕</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人、起诉</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依法不捕</w:t>
      </w:r>
      <w:r>
        <w:rPr>
          <w:rFonts w:hint="eastAsia" w:ascii="仿宋_GB2312" w:hAnsi="仿宋_GB2312" w:eastAsia="仿宋_GB2312" w:cs="仿宋_GB2312"/>
          <w:color w:val="000000"/>
          <w:sz w:val="32"/>
          <w:szCs w:val="32"/>
          <w:lang w:val="en-US" w:eastAsia="zh-CN"/>
        </w:rPr>
        <w:t>6名涉案</w:t>
      </w:r>
      <w:r>
        <w:rPr>
          <w:rFonts w:hint="eastAsia" w:ascii="仿宋_GB2312" w:hAnsi="仿宋_GB2312" w:eastAsia="仿宋_GB2312" w:cs="仿宋_GB2312"/>
          <w:color w:val="000000"/>
          <w:sz w:val="32"/>
          <w:szCs w:val="32"/>
          <w:lang w:eastAsia="zh-CN"/>
        </w:rPr>
        <w:t>民营企业家，探索开展涉案企业合规试点改革工作；结合服务企业“五大行动”，深入走访企业</w:t>
      </w:r>
      <w:r>
        <w:rPr>
          <w:rFonts w:hint="eastAsia" w:ascii="仿宋_GB2312" w:hAnsi="仿宋_GB2312" w:eastAsia="仿宋_GB2312" w:cs="仿宋_GB2312"/>
          <w:color w:val="000000"/>
          <w:sz w:val="32"/>
          <w:szCs w:val="32"/>
          <w:lang w:val="en-US" w:eastAsia="zh-CN"/>
        </w:rPr>
        <w:t>53家，开展座谈、法治讲座4次，协调解决园区</w:t>
      </w:r>
      <w:r>
        <w:rPr>
          <w:rFonts w:hint="eastAsia" w:ascii="仿宋_GB2312" w:hAnsi="仿宋_GB2312" w:eastAsia="仿宋_GB2312" w:cs="仿宋_GB2312"/>
          <w:color w:val="auto"/>
          <w:sz w:val="32"/>
          <w:szCs w:val="32"/>
          <w:lang w:val="en-US" w:eastAsia="zh-CN"/>
        </w:rPr>
        <w:t>建筑垃圾</w:t>
      </w:r>
      <w:r>
        <w:rPr>
          <w:rFonts w:hint="eastAsia" w:ascii="仿宋_GB2312" w:hAnsi="仿宋_GB2312" w:eastAsia="仿宋_GB2312" w:cs="仿宋_GB2312"/>
          <w:color w:val="000000"/>
          <w:sz w:val="32"/>
          <w:szCs w:val="32"/>
          <w:lang w:val="en-US" w:eastAsia="zh-CN"/>
        </w:rPr>
        <w:t>清运等问题4个；高度重视涉企来信来访，建立民营企业“绿色通道”，提供法律咨询48件次，办理涉企控告申诉案件3件</w:t>
      </w:r>
      <w:r>
        <w:rPr>
          <w:rFonts w:hint="eastAsia" w:ascii="仿宋_GB2312" w:hAnsi="仿宋_GB2312" w:eastAsia="仿宋_GB2312" w:cs="仿宋_GB2312"/>
          <w:color w:val="000000"/>
          <w:sz w:val="32"/>
          <w:szCs w:val="32"/>
          <w:lang w:eastAsia="zh-CN"/>
        </w:rPr>
        <w:t>。倾力服务创新驱动发展，</w:t>
      </w:r>
      <w:r>
        <w:rPr>
          <w:rFonts w:hint="eastAsia" w:ascii="仿宋_GB2312" w:hAnsi="仿宋_GB2312" w:eastAsia="仿宋_GB2312" w:cs="仿宋_GB2312"/>
          <w:color w:val="auto"/>
          <w:sz w:val="32"/>
          <w:szCs w:val="32"/>
          <w:lang w:eastAsia="zh-CN"/>
        </w:rPr>
        <w:t>深化</w:t>
      </w:r>
      <w:r>
        <w:rPr>
          <w:rFonts w:hint="eastAsia" w:ascii="仿宋_GB2312" w:hAnsi="仿宋_GB2312" w:eastAsia="仿宋_GB2312" w:cs="仿宋_GB2312"/>
          <w:color w:val="000000"/>
          <w:sz w:val="32"/>
          <w:szCs w:val="32"/>
          <w:lang w:eastAsia="zh-CN"/>
        </w:rPr>
        <w:t>知识产权检察</w:t>
      </w:r>
      <w:r>
        <w:rPr>
          <w:rFonts w:hint="eastAsia" w:ascii="仿宋_GB2312" w:hAnsi="仿宋_GB2312" w:eastAsia="仿宋_GB2312" w:cs="仿宋_GB2312"/>
          <w:color w:val="auto"/>
          <w:sz w:val="32"/>
          <w:szCs w:val="32"/>
          <w:lang w:eastAsia="zh-CN"/>
        </w:rPr>
        <w:t>集中统一履职</w:t>
      </w:r>
      <w:r>
        <w:rPr>
          <w:rFonts w:hint="eastAsia" w:ascii="仿宋_GB2312" w:hAnsi="仿宋_GB2312" w:eastAsia="仿宋_GB2312" w:cs="仿宋_GB2312"/>
          <w:color w:val="000000"/>
          <w:sz w:val="32"/>
          <w:szCs w:val="32"/>
          <w:lang w:eastAsia="zh-CN"/>
        </w:rPr>
        <w:t>，组建</w:t>
      </w:r>
      <w:r>
        <w:rPr>
          <w:rFonts w:hint="eastAsia" w:ascii="仿宋_GB2312" w:hAnsi="仿宋_GB2312" w:eastAsia="仿宋_GB2312" w:cs="仿宋_GB2312"/>
          <w:b w:val="0"/>
          <w:bCs w:val="0"/>
          <w:color w:val="000000"/>
          <w:sz w:val="32"/>
          <w:szCs w:val="32"/>
          <w:lang w:eastAsia="zh-CN"/>
        </w:rPr>
        <w:t>“米仓</w:t>
      </w:r>
      <w:r>
        <w:rPr>
          <w:rFonts w:hint="eastAsia" w:ascii="仿宋_GB2312" w:hAnsi="仿宋_GB2312" w:eastAsia="仿宋_GB2312" w:cs="仿宋_GB2312"/>
          <w:b w:val="0"/>
          <w:bCs w:val="0"/>
          <w:color w:val="000000"/>
          <w:sz w:val="32"/>
          <w:szCs w:val="32"/>
          <w:lang w:val="en-US" w:eastAsia="zh-CN"/>
        </w:rPr>
        <w:t>·检盾</w:t>
      </w:r>
      <w:r>
        <w:rPr>
          <w:rFonts w:hint="eastAsia" w:ascii="仿宋_GB2312" w:hAnsi="仿宋_GB2312" w:eastAsia="仿宋_GB2312" w:cs="仿宋_GB2312"/>
          <w:b w:val="0"/>
          <w:bCs w:val="0"/>
          <w:color w:val="000000"/>
          <w:sz w:val="32"/>
          <w:szCs w:val="32"/>
          <w:lang w:eastAsia="zh-CN"/>
        </w:rPr>
        <w:t>”办案团队，</w:t>
      </w:r>
      <w:r>
        <w:rPr>
          <w:rFonts w:hint="eastAsia" w:ascii="仿宋_GB2312" w:hAnsi="仿宋_GB2312" w:eastAsia="仿宋_GB2312" w:cs="仿宋_GB2312"/>
          <w:b w:val="0"/>
          <w:bCs w:val="0"/>
          <w:color w:val="auto"/>
          <w:sz w:val="32"/>
          <w:szCs w:val="32"/>
          <w:lang w:eastAsia="zh-CN"/>
        </w:rPr>
        <w:t>完善</w:t>
      </w:r>
      <w:r>
        <w:rPr>
          <w:rFonts w:hint="eastAsia" w:ascii="仿宋_GB2312" w:hAnsi="仿宋_GB2312" w:eastAsia="仿宋_GB2312" w:cs="仿宋_GB2312"/>
          <w:b w:val="0"/>
          <w:bCs w:val="0"/>
          <w:color w:val="000000"/>
          <w:sz w:val="32"/>
          <w:szCs w:val="32"/>
          <w:lang w:eastAsia="zh-CN"/>
        </w:rPr>
        <w:t>“米仓山茶”品牌“产业协会</w:t>
      </w:r>
      <w:r>
        <w:rPr>
          <w:rFonts w:hint="eastAsia" w:ascii="仿宋_GB2312" w:hAnsi="仿宋_GB2312" w:eastAsia="仿宋_GB2312" w:cs="仿宋_GB2312"/>
          <w:b w:val="0"/>
          <w:bCs w:val="0"/>
          <w:color w:val="000000"/>
          <w:sz w:val="32"/>
          <w:szCs w:val="32"/>
          <w:lang w:val="en-US" w:eastAsia="zh-CN"/>
        </w:rPr>
        <w:t>+行政执法+刑事司法</w:t>
      </w:r>
      <w:r>
        <w:rPr>
          <w:rFonts w:hint="eastAsia" w:ascii="仿宋_GB2312" w:hAnsi="仿宋_GB2312" w:eastAsia="仿宋_GB2312" w:cs="仿宋_GB2312"/>
          <w:b w:val="0"/>
          <w:bCs w:val="0"/>
          <w:color w:val="000000"/>
          <w:sz w:val="32"/>
          <w:szCs w:val="32"/>
          <w:lang w:eastAsia="zh-CN"/>
        </w:rPr>
        <w:t>”综合保护体系，督促查处商标侵权行为公益诉讼案入选最高检《检察</w:t>
      </w:r>
      <w:r>
        <w:rPr>
          <w:rFonts w:hint="eastAsia" w:ascii="仿宋_GB2312" w:hAnsi="仿宋_GB2312" w:eastAsia="仿宋_GB2312" w:cs="仿宋_GB2312"/>
          <w:b w:val="0"/>
          <w:bCs w:val="0"/>
          <w:color w:val="000000"/>
          <w:sz w:val="32"/>
          <w:szCs w:val="32"/>
          <w:lang w:val="en-US" w:eastAsia="zh-CN"/>
        </w:rPr>
        <w:t>·非凡十年</w:t>
      </w:r>
      <w:r>
        <w:rPr>
          <w:rFonts w:hint="eastAsia" w:ascii="仿宋_GB2312" w:hAnsi="仿宋_GB2312" w:eastAsia="仿宋_GB2312" w:cs="仿宋_GB2312"/>
          <w:b w:val="0"/>
          <w:bCs w:val="0"/>
          <w:color w:val="000000"/>
          <w:sz w:val="32"/>
          <w:szCs w:val="32"/>
          <w:lang w:eastAsia="zh-CN"/>
        </w:rPr>
        <w:t>》主题宣传活动案例。防范化解经济金融风险，依法办理弘道公司系列非法吸收公众存款案，起诉</w:t>
      </w:r>
      <w:r>
        <w:rPr>
          <w:rFonts w:hint="eastAsia" w:ascii="仿宋_GB2312" w:hAnsi="仿宋_GB2312" w:eastAsia="仿宋_GB2312" w:cs="仿宋_GB2312"/>
          <w:b w:val="0"/>
          <w:bCs w:val="0"/>
          <w:color w:val="000000"/>
          <w:sz w:val="32"/>
          <w:szCs w:val="32"/>
          <w:lang w:val="en-US" w:eastAsia="zh-CN"/>
        </w:rPr>
        <w:t>33人，协助追赃挽损1100余万</w:t>
      </w:r>
      <w:r>
        <w:rPr>
          <w:rFonts w:hint="eastAsia" w:ascii="仿宋_GB2312" w:hAnsi="仿宋_GB2312" w:eastAsia="仿宋_GB2312" w:cs="仿宋_GB2312"/>
          <w:b w:val="0"/>
          <w:bCs w:val="0"/>
          <w:color w:val="000000"/>
          <w:sz w:val="32"/>
          <w:szCs w:val="32"/>
          <w:lang w:eastAsia="zh-CN"/>
        </w:rPr>
        <w:t>。依法保障绿色发展，深入</w:t>
      </w:r>
      <w:r>
        <w:rPr>
          <w:rFonts w:hint="eastAsia" w:ascii="仿宋_GB2312" w:hAnsi="仿宋_GB2312" w:eastAsia="仿宋_GB2312" w:cs="仿宋_GB2312"/>
          <w:b w:val="0"/>
          <w:bCs w:val="0"/>
          <w:color w:val="000000"/>
          <w:sz w:val="32"/>
          <w:szCs w:val="32"/>
          <w:lang w:val="en-US" w:eastAsia="zh-CN"/>
        </w:rPr>
        <w:t>实施</w:t>
      </w:r>
      <w:r>
        <w:rPr>
          <w:rFonts w:hint="eastAsia" w:ascii="仿宋_GB2312" w:hAnsi="仿宋_GB2312" w:eastAsia="仿宋_GB2312" w:cs="仿宋_GB2312"/>
          <w:b w:val="0"/>
          <w:bCs w:val="0"/>
          <w:color w:val="000000"/>
          <w:sz w:val="32"/>
          <w:szCs w:val="32"/>
          <w:lang w:eastAsia="zh-CN"/>
        </w:rPr>
        <w:t>生态环境大保护，</w:t>
      </w:r>
      <w:r>
        <w:rPr>
          <w:rFonts w:hint="eastAsia" w:ascii="仿宋_GB2312" w:hAnsi="仿宋_GB2312" w:eastAsia="仿宋_GB2312" w:cs="仿宋_GB2312"/>
          <w:b w:val="0"/>
          <w:bCs w:val="0"/>
          <w:color w:val="000000"/>
          <w:sz w:val="32"/>
          <w:szCs w:val="32"/>
          <w:lang w:val="en-US" w:eastAsia="zh-CN"/>
        </w:rPr>
        <w:t>助力“十年</w:t>
      </w:r>
      <w:r>
        <w:rPr>
          <w:rFonts w:hint="eastAsia" w:ascii="Times New Roman" w:hAnsi="Times New Roman" w:eastAsia="仿宋_GB2312" w:cs="Times New Roman"/>
          <w:color w:val="000000"/>
          <w:sz w:val="32"/>
          <w:szCs w:val="32"/>
          <w:lang w:val="en-US" w:eastAsia="zh-CN"/>
        </w:rPr>
        <w:t>禁捕”“全域禁猎”，</w:t>
      </w:r>
      <w:r>
        <w:rPr>
          <w:rFonts w:hint="eastAsia" w:ascii="仿宋_GB2312" w:hAnsi="仿宋_GB2312" w:eastAsia="仿宋_GB2312" w:cs="仿宋_GB2312"/>
          <w:b w:val="0"/>
          <w:bCs w:val="0"/>
          <w:color w:val="000000"/>
          <w:sz w:val="32"/>
          <w:szCs w:val="32"/>
          <w:lang w:eastAsia="zh-CN"/>
        </w:rPr>
        <w:t>起诉</w:t>
      </w:r>
      <w:r>
        <w:rPr>
          <w:rFonts w:hint="eastAsia" w:ascii="仿宋_GB2312" w:hAnsi="仿宋_GB2312" w:eastAsia="仿宋_GB2312" w:cs="仿宋_GB2312"/>
          <w:b w:val="0"/>
          <w:bCs w:val="0"/>
          <w:color w:val="000000"/>
          <w:sz w:val="32"/>
          <w:szCs w:val="32"/>
        </w:rPr>
        <w:t>破坏环境资源犯罪</w:t>
      </w:r>
      <w:r>
        <w:rPr>
          <w:rFonts w:hint="eastAsia" w:ascii="仿宋_GB2312" w:hAnsi="仿宋_GB2312" w:eastAsia="仿宋_GB2312" w:cs="仿宋_GB2312"/>
          <w:b w:val="0"/>
          <w:bCs w:val="0"/>
          <w:color w:val="000000"/>
          <w:sz w:val="32"/>
          <w:szCs w:val="32"/>
          <w:lang w:val="en-US" w:eastAsia="zh-CN"/>
        </w:rPr>
        <w:t>23人</w:t>
      </w:r>
      <w:r>
        <w:rPr>
          <w:rFonts w:hint="eastAsia" w:ascii="仿宋_GB2312" w:hAnsi="仿宋_GB2312" w:eastAsia="仿宋_GB2312" w:cs="仿宋_GB2312"/>
          <w:b w:val="0"/>
          <w:bCs w:val="0"/>
          <w:color w:val="auto"/>
          <w:sz w:val="32"/>
          <w:szCs w:val="32"/>
          <w:lang w:eastAsia="zh-CN"/>
        </w:rPr>
        <w:t>，督促</w:t>
      </w:r>
      <w:r>
        <w:rPr>
          <w:rFonts w:hint="eastAsia" w:ascii="Times New Roman" w:hAnsi="Times New Roman" w:eastAsia="仿宋_GB2312" w:cs="Times New Roman"/>
          <w:color w:val="auto"/>
          <w:sz w:val="32"/>
          <w:szCs w:val="32"/>
          <w:lang w:val="en-US" w:eastAsia="zh-CN"/>
        </w:rPr>
        <w:t>赔付生态修复费用13.4</w:t>
      </w:r>
      <w:r>
        <w:rPr>
          <w:rFonts w:hint="eastAsia" w:ascii="Times New Roman" w:hAnsi="Times New Roman" w:eastAsia="仿宋_GB2312" w:cs="Times New Roman"/>
          <w:color w:val="auto"/>
          <w:sz w:val="32"/>
          <w:szCs w:val="32"/>
          <w:lang w:eastAsia="zh-CN"/>
        </w:rPr>
        <w:t>万余元、增殖放流</w:t>
      </w:r>
      <w:r>
        <w:rPr>
          <w:rFonts w:hint="eastAsia" w:ascii="Times New Roman" w:hAnsi="Times New Roman" w:eastAsia="仿宋_GB2312" w:cs="Times New Roman"/>
          <w:color w:val="auto"/>
          <w:sz w:val="32"/>
          <w:szCs w:val="32"/>
          <w:lang w:val="en-US" w:eastAsia="zh-CN"/>
        </w:rPr>
        <w:t>2万余尾</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b w:val="0"/>
          <w:bCs w:val="0"/>
          <w:color w:val="000000"/>
          <w:sz w:val="32"/>
          <w:szCs w:val="32"/>
          <w:lang w:val="en-US" w:eastAsia="zh-CN"/>
        </w:rPr>
        <w:t>认真贯彻“抓前端、治未病”理念，促进诉源治理，制发社会治理类检察建议8份，督促相关主管部门集中整治政府采购监管不到位、职业教育机构资质认定不规范等问题。</w:t>
      </w:r>
    </w:p>
    <w:p>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sz w:val="32"/>
          <w:lang w:val="en-US" w:eastAsia="zh-CN"/>
        </w:rPr>
        <w:t>更有力保障民生。积极投身民生旺苍“九大行动”，3名干警驻村开展乡村振兴工作，组织干警450余人次参与疫情防控、联系群众“五大行动”、撂荒地整治、清洁红城等活动。用心纾解群众急难愁盼，深化做实群众信访“件件有回复”，常态化开展检察长接访，办理各类群众信访7件，院领导包案办理刑事申诉、立案监督案件5件。</w:t>
      </w:r>
      <w:r>
        <w:rPr>
          <w:rFonts w:hint="eastAsia" w:ascii="仿宋_GB2312" w:hAnsi="仿宋_GB2312" w:eastAsia="仿宋_GB2312" w:cs="仿宋_GB2312"/>
          <w:color w:val="auto"/>
          <w:kern w:val="2"/>
          <w:sz w:val="32"/>
          <w:szCs w:val="32"/>
          <w:lang w:val="en-US" w:eastAsia="zh-CN" w:bidi="ar-SA"/>
        </w:rPr>
        <w:t>牵头建立《刑事案件赔偿保证金提存公证制度》，最大程度保障轻微刑事案件被害人获得赔偿；</w:t>
      </w:r>
      <w:r>
        <w:rPr>
          <w:rFonts w:hint="eastAsia" w:ascii="仿宋_GB2312" w:hAnsi="仿宋_GB2312" w:eastAsia="仿宋_GB2312" w:cs="仿宋_GB2312"/>
          <w:color w:val="000000"/>
          <w:sz w:val="32"/>
          <w:lang w:val="en-US" w:eastAsia="zh-CN"/>
        </w:rPr>
        <w:t>从</w:t>
      </w:r>
      <w:r>
        <w:rPr>
          <w:rFonts w:hint="eastAsia" w:ascii="仿宋_GB2312" w:hAnsi="仿宋_GB2312" w:eastAsia="仿宋_GB2312" w:cs="仿宋_GB2312"/>
          <w:color w:val="auto"/>
          <w:sz w:val="32"/>
          <w:lang w:val="en-US" w:eastAsia="zh-CN"/>
        </w:rPr>
        <w:t>县市场监管局、自然资源局共聘任2名“特邀检察官助理”，参与办案8件；</w:t>
      </w:r>
      <w:r>
        <w:rPr>
          <w:rFonts w:hint="eastAsia" w:ascii="仿宋_GB2312" w:hAnsi="仿宋_GB2312" w:eastAsia="仿宋_GB2312" w:cs="仿宋_GB2312"/>
          <w:color w:val="000000"/>
          <w:sz w:val="32"/>
          <w:lang w:val="en-US" w:eastAsia="zh-CN"/>
        </w:rPr>
        <w:t>邀请人大代表、政协委员、人民监督员参加争议案件公开听证52件，实现“法结”“心结”一起解。强化特殊群体权益保障，协同开展</w:t>
      </w:r>
      <w:r>
        <w:rPr>
          <w:rFonts w:hint="default" w:ascii="仿宋_GB2312" w:hAnsi="仿宋_GB2312" w:eastAsia="仿宋_GB2312" w:cs="仿宋_GB2312"/>
          <w:color w:val="000000"/>
          <w:sz w:val="32"/>
          <w:lang w:val="en-US" w:eastAsia="zh-CN"/>
        </w:rPr>
        <w:t>打击整治养老诈骗专项行动</w:t>
      </w:r>
      <w:r>
        <w:rPr>
          <w:rFonts w:hint="eastAsia" w:ascii="仿宋_GB2312" w:hAnsi="仿宋_GB2312" w:eastAsia="仿宋_GB2312" w:cs="仿宋_GB2312"/>
          <w:color w:val="000000"/>
          <w:sz w:val="32"/>
          <w:lang w:val="en-US" w:eastAsia="zh-CN"/>
        </w:rPr>
        <w:t>，联合职能部门及乡镇开展法治宣传16次；与县司法局制定了</w:t>
      </w:r>
      <w:r>
        <w:rPr>
          <w:rFonts w:hint="eastAsia" w:ascii="仿宋_GB2312" w:hAnsi="仿宋_GB2312" w:eastAsia="仿宋_GB2312" w:cs="仿宋_GB2312"/>
          <w:color w:val="000000"/>
          <w:sz w:val="32"/>
          <w:szCs w:val="32"/>
          <w:lang w:val="en-US" w:eastAsia="zh-CN"/>
        </w:rPr>
        <w:t>《关于处置拖欠农民工工资的意见》，</w:t>
      </w:r>
      <w:r>
        <w:rPr>
          <w:rFonts w:hint="eastAsia" w:ascii="仿宋_GB2312" w:hAnsi="仿宋_GB2312" w:eastAsia="仿宋_GB2312" w:cs="仿宋_GB2312"/>
          <w:color w:val="000000"/>
          <w:sz w:val="32"/>
          <w:lang w:val="en-US" w:eastAsia="zh-CN"/>
        </w:rPr>
        <w:t>积极开展整治拖欠农民工工资专项行动，</w:t>
      </w:r>
      <w:r>
        <w:rPr>
          <w:rFonts w:hint="eastAsia" w:ascii="仿宋_GB2312" w:hAnsi="仿宋_GB2312" w:eastAsia="仿宋_GB2312" w:cs="仿宋_GB2312"/>
          <w:color w:val="000000"/>
          <w:sz w:val="32"/>
          <w:szCs w:val="32"/>
          <w:lang w:val="en-US" w:eastAsia="zh-CN"/>
        </w:rPr>
        <w:t>支持起诉17件，帮助讨薪105.6万元；持续加大司法救助力度，及时救助18名因案生活陷入困境的当事人及其近亲属，发放救助金10.8万元。加强未成年人综合保护，严惩侵害未成年人犯罪5人，依法对涉罪未成年不起诉1人，与县妇联联合成立“家庭教育指导站”，牵头制定《未成年人全面综合司法</w:t>
      </w:r>
      <w:r>
        <w:rPr>
          <w:rFonts w:hint="eastAsia" w:ascii="仿宋_GB2312" w:hAnsi="仿宋_GB2312" w:eastAsia="仿宋_GB2312" w:cs="仿宋_GB2312"/>
          <w:color w:val="000000"/>
          <w:sz w:val="32"/>
          <w:lang w:val="en-US" w:eastAsia="zh-CN"/>
        </w:rPr>
        <w:t>保护协作办法》，</w:t>
      </w:r>
      <w:r>
        <w:rPr>
          <w:rFonts w:hint="eastAsia" w:ascii="仿宋_GB2312" w:hAnsi="仿宋_GB2312" w:eastAsia="仿宋_GB2312" w:cs="仿宋_GB2312"/>
          <w:color w:val="000000"/>
          <w:sz w:val="32"/>
          <w:szCs w:val="32"/>
          <w:lang w:val="en-US" w:eastAsia="zh-CN"/>
        </w:rPr>
        <w:t>推动四大检察一体取证、强制报告每案必查等要求落地落实，该做法</w:t>
      </w:r>
      <w:r>
        <w:rPr>
          <w:rFonts w:hint="eastAsia" w:ascii="仿宋_GB2312" w:hAnsi="仿宋_GB2312" w:eastAsia="仿宋_GB2312" w:cs="仿宋_GB2312"/>
          <w:color w:val="000000"/>
          <w:sz w:val="32"/>
          <w:lang w:val="en-US" w:eastAsia="zh-CN"/>
        </w:rPr>
        <w:t>被省检察院转发推广</w:t>
      </w:r>
      <w:r>
        <w:rPr>
          <w:rFonts w:hint="eastAsia" w:ascii="仿宋_GB2312" w:hAnsi="仿宋_GB2312" w:eastAsia="仿宋_GB2312" w:cs="仿宋_GB2312"/>
          <w:color w:val="000000"/>
          <w:sz w:val="32"/>
          <w:szCs w:val="32"/>
          <w:lang w:val="en-US" w:eastAsia="zh-CN"/>
        </w:rPr>
        <w:t>，我院</w:t>
      </w:r>
      <w:r>
        <w:rPr>
          <w:rFonts w:hint="eastAsia" w:ascii="仿宋_GB2312" w:hAnsi="仿宋_GB2312" w:eastAsia="仿宋_GB2312" w:cs="仿宋_GB2312"/>
          <w:color w:val="000000"/>
          <w:sz w:val="32"/>
          <w:lang w:val="en-US" w:eastAsia="zh-CN"/>
        </w:rPr>
        <w:t>获评四川省家庭工作先进集体。</w:t>
      </w:r>
    </w:p>
    <w:p>
      <w:pPr>
        <w:pStyle w:val="4"/>
        <w:rPr>
          <w:rStyle w:val="21"/>
          <w:b w:val="0"/>
          <w:bCs w:val="0"/>
          <w:color w:val="auto"/>
          <w:highlight w:val="none"/>
        </w:rPr>
      </w:pPr>
      <w:bookmarkStart w:id="22" w:name="_Toc6310"/>
      <w:bookmarkStart w:id="23" w:name="_Toc15396601"/>
      <w:bookmarkStart w:id="24"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22"/>
      <w:bookmarkEnd w:id="23"/>
      <w:bookmarkEnd w:id="24"/>
    </w:p>
    <w:p>
      <w:pPr>
        <w:ind w:firstLine="800" w:firstLineChars="250"/>
        <w:rPr>
          <w:rFonts w:ascii="仿宋" w:hAnsi="仿宋" w:eastAsia="仿宋"/>
          <w:color w:val="auto"/>
          <w:sz w:val="32"/>
          <w:szCs w:val="32"/>
          <w:highlight w:val="none"/>
        </w:rPr>
      </w:pPr>
      <w:r>
        <w:rPr>
          <w:rFonts w:hint="eastAsia" w:ascii="仿宋_GB2312" w:hAnsi="仿宋_GB2312" w:eastAsia="仿宋_GB2312" w:cs="仿宋_GB2312"/>
          <w:bCs/>
          <w:color w:val="auto"/>
          <w:sz w:val="32"/>
          <w:szCs w:val="32"/>
          <w:highlight w:val="none"/>
        </w:rPr>
        <w:t>旺苍县人民检察院</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Style w:val="3"/>
        <w:ind w:right="440"/>
        <w:jc w:val="center"/>
        <w:rPr>
          <w:rStyle w:val="20"/>
          <w:rFonts w:ascii="黑体" w:hAnsi="黑体" w:eastAsia="黑体"/>
          <w:b w:val="0"/>
          <w:bCs/>
          <w:color w:val="auto"/>
          <w:highlight w:val="none"/>
        </w:rPr>
      </w:pPr>
      <w:bookmarkStart w:id="25" w:name="_Toc21198"/>
      <w:bookmarkStart w:id="26" w:name="_Toc15396602"/>
      <w:bookmarkStart w:id="27" w:name="_Toc1537720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5"/>
      <w:bookmarkEnd w:id="26"/>
      <w:bookmarkEnd w:id="27"/>
    </w:p>
    <w:p>
      <w:pPr>
        <w:rPr>
          <w:color w:val="auto"/>
          <w:highlight w:val="none"/>
        </w:rPr>
      </w:pP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28" w:name="_Toc24519"/>
      <w:bookmarkStart w:id="29" w:name="_Toc15377205"/>
      <w:bookmarkStart w:id="30"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rPr>
          <w:rFonts w:hint="eastAsia" w:ascii="仿宋" w:hAnsi="仿宋" w:eastAsia="仿宋"/>
          <w:color w:val="auto"/>
          <w:sz w:val="32"/>
          <w:szCs w:val="32"/>
          <w:highlight w:val="green"/>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1315.83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年相比，收、支总计减少</w:t>
      </w:r>
      <w:r>
        <w:rPr>
          <w:rFonts w:hint="eastAsia" w:ascii="仿宋" w:hAnsi="仿宋" w:eastAsia="仿宋"/>
          <w:color w:val="auto"/>
          <w:sz w:val="32"/>
          <w:szCs w:val="32"/>
          <w:highlight w:val="none"/>
          <w:lang w:val="en-US" w:eastAsia="zh-CN"/>
        </w:rPr>
        <w:t>88.55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人员减少，</w:t>
      </w:r>
      <w:r>
        <w:rPr>
          <w:rFonts w:hint="eastAsia" w:ascii="仿宋" w:hAnsi="仿宋" w:eastAsia="仿宋"/>
          <w:color w:val="auto"/>
          <w:sz w:val="32"/>
          <w:szCs w:val="32"/>
          <w:highlight w:val="none"/>
          <w:lang w:val="en-US" w:eastAsia="zh-CN"/>
        </w:rPr>
        <w:t>2022年</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2021年减少3人，对应的人员经费支出相对减少，同时在2021年支付以前年度工程欠款</w:t>
      </w:r>
      <w:r>
        <w:rPr>
          <w:rFonts w:hint="eastAsia" w:ascii="仿宋" w:hAnsi="仿宋" w:eastAsia="仿宋"/>
          <w:color w:val="auto"/>
          <w:sz w:val="32"/>
          <w:szCs w:val="32"/>
          <w:highlight w:val="none"/>
          <w:lang w:eastAsia="zh-CN"/>
        </w:rPr>
        <w:t>。</w:t>
      </w:r>
    </w:p>
    <w:p>
      <w:pPr>
        <w:pStyle w:val="6"/>
        <w:jc w:val="center"/>
      </w:pPr>
      <w:r>
        <w:drawing>
          <wp:inline distT="0" distB="0" distL="114300" distR="114300">
            <wp:extent cx="3840480" cy="2069465"/>
            <wp:effectExtent l="4445" t="4445" r="22225"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31" w:name="_Toc15396604"/>
      <w:bookmarkStart w:id="32" w:name="_Toc29437"/>
      <w:bookmarkStart w:id="33" w:name="_Toc15377206"/>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outlineLvl w:val="1"/>
        <w:rPr>
          <w:highlight w:val="none"/>
        </w:rPr>
      </w:pPr>
      <w:bookmarkStart w:id="34" w:name="_Toc145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1315.83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1023.30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77.77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eastAsia="zh-CN"/>
        </w:rPr>
        <w:t>（旺苍县财政局拨款）</w:t>
      </w:r>
      <w:r>
        <w:rPr>
          <w:rFonts w:hint="eastAsia" w:ascii="仿宋" w:hAnsi="仿宋" w:eastAsia="仿宋"/>
          <w:color w:val="auto"/>
          <w:sz w:val="32"/>
          <w:szCs w:val="32"/>
          <w:highlight w:val="none"/>
          <w:lang w:val="en-US" w:eastAsia="zh-CN"/>
        </w:rPr>
        <w:t>292.53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pStyle w:val="6"/>
      </w:pPr>
    </w:p>
    <w:p>
      <w:pPr>
        <w:pStyle w:val="6"/>
        <w:jc w:val="center"/>
      </w:pPr>
      <w:r>
        <w:drawing>
          <wp:inline distT="0" distB="0" distL="114300" distR="114300">
            <wp:extent cx="3296920" cy="2352675"/>
            <wp:effectExtent l="4445" t="4445" r="13335" b="5080"/>
            <wp:docPr id="3" name="图表 2"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35" w:name="_Toc15396605"/>
      <w:bookmarkStart w:id="36" w:name="_Toc14482"/>
      <w:bookmarkStart w:id="37" w:name="_Toc15377207"/>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5"/>
      <w:bookmarkEnd w:id="36"/>
      <w:bookmarkEnd w:id="37"/>
    </w:p>
    <w:p>
      <w:pPr>
        <w:spacing w:line="600" w:lineRule="exact"/>
        <w:ind w:firstLine="640" w:firstLineChars="200"/>
        <w:outlineLvl w:val="1"/>
      </w:pPr>
      <w:bookmarkStart w:id="38" w:name="_Toc1208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1315.83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996.90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75.76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318.93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p>
    <w:p>
      <w:pPr>
        <w:pStyle w:val="6"/>
        <w:jc w:val="center"/>
      </w:pPr>
      <w:r>
        <w:drawing>
          <wp:inline distT="0" distB="0" distL="114300" distR="114300">
            <wp:extent cx="3357245" cy="2715895"/>
            <wp:effectExtent l="4445" t="4445" r="10160" b="22860"/>
            <wp:docPr id="4" name="图表 3" descr="7b0a202020202263686172745265734964223a2022323034373538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1"/>
          <w:rFonts w:ascii="黑体" w:hAnsi="黑体" w:eastAsia="黑体"/>
          <w:b w:val="0"/>
          <w:color w:val="auto"/>
          <w:highlight w:val="none"/>
        </w:rPr>
      </w:pPr>
      <w:bookmarkStart w:id="39" w:name="_Toc15377208"/>
      <w:bookmarkStart w:id="40" w:name="_Toc15396606"/>
      <w:bookmarkStart w:id="41" w:name="_Toc27863"/>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9"/>
      <w:bookmarkEnd w:id="40"/>
      <w:bookmarkEnd w:id="41"/>
    </w:p>
    <w:p>
      <w:pPr>
        <w:spacing w:line="600" w:lineRule="exact"/>
        <w:ind w:firstLine="640"/>
        <w:rPr>
          <w:rFonts w:hint="eastAsia" w:ascii="仿宋" w:hAnsi="仿宋" w:eastAsia="仿宋"/>
          <w:color w:val="auto"/>
          <w:sz w:val="32"/>
          <w:szCs w:val="32"/>
          <w:highlight w:val="yellow"/>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1023.30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2021年</w:t>
      </w:r>
      <w:r>
        <w:rPr>
          <w:rFonts w:hint="eastAsia" w:ascii="仿宋_GB2312" w:hAnsi="仿宋_GB2312" w:eastAsia="仿宋_GB2312" w:cs="仿宋_GB2312"/>
          <w:bCs/>
          <w:color w:val="auto"/>
          <w:sz w:val="32"/>
          <w:szCs w:val="32"/>
          <w:highlight w:val="none"/>
          <w:lang w:val="en-US" w:eastAsia="zh-CN"/>
        </w:rPr>
        <w:t>度收支总计1404.08</w:t>
      </w:r>
      <w:r>
        <w:rPr>
          <w:rFonts w:hint="eastAsia" w:ascii="仿宋_GB2312" w:hAnsi="仿宋_GB2312" w:eastAsia="仿宋_GB2312" w:cs="仿宋_GB2312"/>
          <w:bCs/>
          <w:color w:val="auto"/>
          <w:sz w:val="32"/>
          <w:szCs w:val="32"/>
          <w:highlight w:val="none"/>
          <w:lang w:val="en-US"/>
        </w:rPr>
        <w:t>万元</w:t>
      </w:r>
      <w:r>
        <w:rPr>
          <w:rFonts w:hint="eastAsia" w:ascii="仿宋_GB2312" w:hAnsi="仿宋_GB2312" w:eastAsia="仿宋_GB2312" w:cs="仿宋_GB2312"/>
          <w:bCs/>
          <w:color w:val="auto"/>
          <w:sz w:val="32"/>
          <w:szCs w:val="32"/>
          <w:highlight w:val="none"/>
          <w:lang w:val="en-US" w:eastAsia="zh-CN"/>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年相比，财政拨款收、支总计减少</w:t>
      </w:r>
      <w:r>
        <w:rPr>
          <w:rFonts w:hint="eastAsia" w:ascii="仿宋" w:hAnsi="仿宋" w:eastAsia="仿宋"/>
          <w:color w:val="auto"/>
          <w:sz w:val="32"/>
          <w:szCs w:val="32"/>
          <w:highlight w:val="none"/>
          <w:lang w:val="en-US" w:eastAsia="zh-CN"/>
        </w:rPr>
        <w:t>380.78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27.12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本年将旺苍县财政局拨款列入其他收入。</w:t>
      </w:r>
    </w:p>
    <w:p>
      <w:pPr>
        <w:pStyle w:val="6"/>
        <w:jc w:val="center"/>
      </w:pPr>
      <w:r>
        <w:drawing>
          <wp:inline distT="0" distB="0" distL="114300" distR="114300">
            <wp:extent cx="4131945" cy="2695575"/>
            <wp:effectExtent l="4445" t="4445" r="1651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1"/>
          <w:rFonts w:ascii="黑体" w:hAnsi="黑体" w:eastAsia="黑体"/>
          <w:b w:val="0"/>
          <w:color w:val="auto"/>
          <w:highlight w:val="none"/>
        </w:rPr>
      </w:pPr>
      <w:bookmarkStart w:id="42" w:name="_Toc15377209"/>
      <w:bookmarkStart w:id="43" w:name="_Toc15396607"/>
      <w:bookmarkStart w:id="44" w:name="_Toc844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pacing w:line="600" w:lineRule="exact"/>
        <w:ind w:firstLine="640" w:firstLineChars="20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1023.30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77.77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14.33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pPr>
    </w:p>
    <w:p>
      <w:pPr>
        <w:pStyle w:val="6"/>
        <w:jc w:val="center"/>
      </w:pPr>
      <w:r>
        <w:drawing>
          <wp:inline distT="0" distB="0" distL="114300" distR="114300">
            <wp:extent cx="4150995" cy="2620010"/>
            <wp:effectExtent l="4445" t="5080" r="16510" b="228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6" w:name="_Toc15377211"/>
      <w:r>
        <w:rPr>
          <w:rFonts w:hint="eastAsia" w:ascii="仿宋" w:hAnsi="仿宋" w:eastAsia="仿宋"/>
          <w:b/>
          <w:color w:val="auto"/>
          <w:sz w:val="32"/>
          <w:szCs w:val="32"/>
          <w:highlight w:val="none"/>
        </w:rPr>
        <w:t>（二）一般公共预算财政拨款支出决算结构情况</w:t>
      </w:r>
      <w:bookmarkEnd w:id="46"/>
    </w:p>
    <w:p>
      <w:pPr>
        <w:spacing w:line="600" w:lineRule="exact"/>
        <w:ind w:firstLine="64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1023.30</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公共</w:t>
      </w:r>
      <w:r>
        <w:rPr>
          <w:rFonts w:hint="eastAsia" w:ascii="仿宋" w:hAnsi="仿宋" w:eastAsia="仿宋"/>
          <w:b/>
          <w:color w:val="auto"/>
          <w:sz w:val="32"/>
          <w:szCs w:val="32"/>
          <w:highlight w:val="none"/>
          <w:lang w:eastAsia="zh-CN"/>
        </w:rPr>
        <w:t>安全</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902.05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52.07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26.29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42.89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6"/>
        <w:jc w:val="center"/>
      </w:pPr>
      <w:r>
        <w:drawing>
          <wp:inline distT="0" distB="0" distL="114300" distR="114300">
            <wp:extent cx="4121785" cy="2752725"/>
            <wp:effectExtent l="4445" t="4445" r="762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7" w:name="_Toc15377212"/>
      <w:r>
        <w:rPr>
          <w:rFonts w:hint="eastAsia" w:ascii="仿宋" w:hAnsi="仿宋" w:eastAsia="仿宋"/>
          <w:b/>
          <w:color w:val="auto"/>
          <w:sz w:val="32"/>
          <w:szCs w:val="32"/>
          <w:highlight w:val="none"/>
        </w:rPr>
        <w:t>（三）一般公共预算财政拨款支出决算具体情况</w:t>
      </w:r>
      <w:bookmarkEnd w:id="47"/>
    </w:p>
    <w:p>
      <w:pPr>
        <w:spacing w:line="600" w:lineRule="exact"/>
        <w:ind w:firstLine="643" w:firstLineChars="200"/>
        <w:outlineLvl w:val="1"/>
        <w:rPr>
          <w:rFonts w:ascii="仿宋" w:hAnsi="仿宋" w:eastAsia="仿宋"/>
          <w:color w:val="auto"/>
          <w:sz w:val="32"/>
          <w:szCs w:val="32"/>
          <w:highlight w:val="none"/>
        </w:rPr>
      </w:pPr>
      <w:bookmarkStart w:id="48" w:name="_Toc2097"/>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1023.30万元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8"/>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583.12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highlight w:val="yellow"/>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174.13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yellow"/>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“两房建设”</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检查监督</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cstheme="minorBidi"/>
          <w:bCs/>
          <w:color w:val="auto"/>
          <w:sz w:val="32"/>
          <w:szCs w:val="32"/>
          <w:highlight w:val="none"/>
          <w:lang w:val="en-US" w:eastAsia="zh-CN"/>
        </w:rPr>
        <w:t>5.</w:t>
      </w: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其他检察支出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87.80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（款）机关事业单位基本养老保险缴费支出（项）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52.07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26.29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cstheme="minorBidi"/>
          <w:bCs/>
          <w:color w:val="auto"/>
          <w:sz w:val="32"/>
          <w:szCs w:val="32"/>
          <w:highlight w:val="none"/>
          <w:lang w:val="en-US" w:eastAsia="zh-CN"/>
        </w:rPr>
        <w:t>8.</w:t>
      </w:r>
      <w:r>
        <w:rPr>
          <w:rFonts w:hint="eastAsia" w:ascii="仿宋" w:hAnsi="仿宋" w:eastAsia="仿宋"/>
          <w:b/>
          <w:bCs/>
          <w:color w:val="auto"/>
          <w:sz w:val="32"/>
          <w:szCs w:val="32"/>
          <w:highlight w:val="none"/>
          <w:lang w:eastAsia="zh-CN"/>
        </w:rPr>
        <w:t>住房保障支出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住房改革支出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住房公积金</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42.89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1"/>
          <w:color w:val="auto"/>
          <w:highlight w:val="none"/>
        </w:rPr>
      </w:pPr>
      <w:bookmarkStart w:id="49" w:name="_Toc15396608"/>
      <w:bookmarkStart w:id="50" w:name="_Toc15377214"/>
      <w:bookmarkStart w:id="51" w:name="_Toc992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9"/>
      <w:bookmarkEnd w:id="50"/>
      <w:bookmarkEnd w:id="51"/>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704.37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590.95</w:t>
      </w:r>
      <w:r>
        <w:rPr>
          <w:rFonts w:hint="eastAsia" w:ascii="仿宋" w:hAnsi="仿宋" w:eastAsia="仿宋"/>
          <w:color w:val="auto"/>
          <w:sz w:val="32"/>
          <w:szCs w:val="32"/>
          <w:highlight w:val="none"/>
        </w:rPr>
        <w:t>万元，主要包括：基本工资、津贴补贴、奖金、机关事业单位基本养老保险缴费、职工基本医疗保险缴费、其他社会保障缴费、住房公积金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113.42</w:t>
      </w:r>
      <w:r>
        <w:rPr>
          <w:rFonts w:hint="eastAsia" w:ascii="仿宋" w:hAnsi="仿宋" w:eastAsia="仿宋"/>
          <w:color w:val="auto"/>
          <w:sz w:val="32"/>
          <w:szCs w:val="32"/>
          <w:highlight w:val="none"/>
        </w:rPr>
        <w:t>万元，主要包括：办公费、印刷费、水费、电费、邮电费、物业管理费、租赁费、公务接待费、工会经费、福利费、公务用车运行维护费、其他交通</w:t>
      </w:r>
      <w:r>
        <w:rPr>
          <w:rFonts w:hint="eastAsia" w:ascii="仿宋" w:hAnsi="仿宋" w:eastAsia="仿宋"/>
          <w:color w:val="auto"/>
          <w:sz w:val="32"/>
          <w:szCs w:val="32"/>
          <w:highlight w:val="none"/>
          <w:lang w:val="en-US" w:eastAsia="zh-CN"/>
        </w:rPr>
        <w:t>费用</w:t>
      </w:r>
      <w:r>
        <w:rPr>
          <w:rFonts w:hint="eastAsia" w:ascii="仿宋" w:hAnsi="仿宋" w:eastAsia="仿宋"/>
          <w:color w:val="auto"/>
          <w:sz w:val="32"/>
          <w:szCs w:val="32"/>
          <w:highlight w:val="none"/>
        </w:rPr>
        <w:t>。</w:t>
      </w:r>
    </w:p>
    <w:p>
      <w:pPr>
        <w:spacing w:line="600" w:lineRule="exact"/>
        <w:ind w:firstLine="640"/>
        <w:outlineLvl w:val="1"/>
        <w:rPr>
          <w:rStyle w:val="21"/>
          <w:rFonts w:ascii="黑体" w:hAnsi="黑体" w:eastAsia="黑体"/>
          <w:b w:val="0"/>
          <w:color w:val="auto"/>
          <w:highlight w:val="none"/>
        </w:rPr>
      </w:pPr>
      <w:bookmarkStart w:id="52" w:name="_Toc15396609"/>
      <w:bookmarkStart w:id="53" w:name="_Toc15377215"/>
      <w:bookmarkStart w:id="54" w:name="_Toc28930"/>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35.74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减少2.06万元，下降5.45%。</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25.90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72.47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9.84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27.53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jc w:val="center"/>
        <w:rPr>
          <w:rFonts w:hint="eastAsia" w:ascii="仿宋" w:hAnsi="仿宋" w:eastAsia="仿宋"/>
          <w:color w:val="auto"/>
          <w:sz w:val="32"/>
          <w:szCs w:val="32"/>
          <w:highlight w:val="none"/>
        </w:rPr>
      </w:pPr>
      <w:r>
        <w:drawing>
          <wp:inline distT="0" distB="0" distL="114300" distR="114300">
            <wp:extent cx="3877945" cy="2600960"/>
            <wp:effectExtent l="4445" t="4445" r="22860" b="23495"/>
            <wp:docPr id="9" name="图表 8" descr="7b0a202020202263686172745265734964223a2022323034373538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numPr>
          <w:ilvl w:val="0"/>
          <w:numId w:val="3"/>
        </w:numPr>
        <w:spacing w:line="600" w:lineRule="exact"/>
        <w:ind w:firstLine="640"/>
        <w:rPr>
          <w:rStyle w:val="18"/>
          <w:rFonts w:hint="eastAsia" w:ascii="仿宋" w:hAnsi="仿宋" w:eastAsia="仿宋"/>
          <w:b w:val="0"/>
          <w:bCs/>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p>
    <w:p>
      <w:pPr>
        <w:pStyle w:val="2"/>
        <w:numPr>
          <w:ilvl w:val="0"/>
          <w:numId w:val="0"/>
        </w:numPr>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因公出国（境）经费支出决算较2021年无变化。</w:t>
      </w:r>
    </w:p>
    <w:p>
      <w:pPr>
        <w:spacing w:line="600" w:lineRule="exact"/>
        <w:ind w:firstLine="640"/>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25.90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主要原因是物价上涨，汽车零部件、燃料成本上涨，导致维护费用增加；车辆老化、用车频繁，车辆损耗程度加剧，维修频率增加。</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25.90</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办理公诉、批捕、刑执、民事行政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公益诉讼</w:t>
      </w:r>
      <w:r>
        <w:rPr>
          <w:rFonts w:hint="eastAsia" w:ascii="仿宋_GB2312" w:hAnsi="仿宋_GB2312" w:eastAsia="仿宋_GB2312" w:cs="仿宋_GB2312"/>
          <w:color w:val="000000"/>
          <w:sz w:val="32"/>
          <w:szCs w:val="32"/>
        </w:rPr>
        <w:t>案件</w:t>
      </w:r>
      <w:r>
        <w:rPr>
          <w:rFonts w:hint="eastAsia" w:ascii="仿宋_GB2312" w:eastAsia="仿宋_GB2312"/>
          <w:color w:val="auto"/>
          <w:sz w:val="32"/>
          <w:szCs w:val="32"/>
          <w:highlight w:val="none"/>
        </w:rPr>
        <w:t>等所需的公务用车燃料费、维修费、过路过桥费、保险费等支出。</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9.84</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2.30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18.95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color w:val="000000"/>
          <w:sz w:val="32"/>
          <w:szCs w:val="32"/>
        </w:rPr>
        <w:t>我院坚持厉行节约</w:t>
      </w:r>
      <w:r>
        <w:rPr>
          <w:rFonts w:hint="eastAsia" w:ascii="仿宋_GB2312" w:eastAsia="仿宋_GB2312"/>
          <w:color w:val="auto"/>
          <w:sz w:val="32"/>
          <w:szCs w:val="32"/>
          <w:highlight w:val="none"/>
        </w:rPr>
        <w:t>。其中：</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9.84</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175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1394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9.84</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color w:val="000000"/>
          <w:kern w:val="0"/>
          <w:sz w:val="32"/>
          <w:szCs w:val="32"/>
        </w:rPr>
        <w:t>上级检察机关检查指导工作及其他检察机关协助办案费用</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1"/>
          <w:rFonts w:ascii="黑体" w:hAnsi="黑体" w:eastAsia="黑体"/>
          <w:color w:val="auto"/>
          <w:highlight w:val="none"/>
        </w:rPr>
      </w:pPr>
      <w:bookmarkStart w:id="57" w:name="_Toc15377218"/>
      <w:bookmarkStart w:id="58" w:name="_Toc15396610"/>
      <w:bookmarkStart w:id="59" w:name="_Toc30984"/>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ascii="黑体" w:hAnsi="黑体" w:eastAsia="黑体"/>
          <w:b w:val="0"/>
          <w:color w:val="auto"/>
          <w:highlight w:val="none"/>
        </w:rPr>
      </w:pPr>
      <w:bookmarkStart w:id="60" w:name="_Toc15377219"/>
      <w:bookmarkStart w:id="61" w:name="_Toc15396611"/>
      <w:bookmarkStart w:id="62" w:name="_Toc25288"/>
      <w:r>
        <w:rPr>
          <w:rStyle w:val="21"/>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hint="eastAsia" w:ascii="黑体" w:hAnsi="黑体" w:eastAsia="黑体"/>
          <w:b w:val="0"/>
          <w:color w:val="auto"/>
          <w:highlight w:val="none"/>
        </w:rPr>
      </w:pPr>
      <w:bookmarkStart w:id="63" w:name="_Toc15396612"/>
      <w:bookmarkStart w:id="64" w:name="_Toc15938"/>
      <w:bookmarkStart w:id="65" w:name="_Toc15377221"/>
      <w:r>
        <w:rPr>
          <w:rStyle w:val="21"/>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113.42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22.58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。主要原因是体制上划，保障标准发生改变</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旺苍县人民检察院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技术侦查取证</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旺苍县人民检察院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hAnsi="仿宋_GB2312" w:eastAsia="仿宋_GB2312" w:cs="仿宋_GB2312"/>
          <w:color w:val="000000"/>
          <w:sz w:val="32"/>
          <w:szCs w:val="32"/>
        </w:rPr>
        <w:t>办理公诉、批捕、刑执、民事行政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公益诉讼</w:t>
      </w:r>
      <w:r>
        <w:rPr>
          <w:rFonts w:hint="eastAsia" w:ascii="仿宋_GB2312" w:hAnsi="仿宋_GB2312" w:eastAsia="仿宋_GB2312" w:cs="仿宋_GB2312"/>
          <w:color w:val="000000"/>
          <w:sz w:val="32"/>
          <w:szCs w:val="32"/>
        </w:rPr>
        <w:t>案件</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highlight w:val="none"/>
        </w:rPr>
        <w:t>党组织活动经费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w:t>
      </w:r>
    </w:p>
    <w:p>
      <w:pPr>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rPr>
        <w:t>组织对2022年度一般公共预算资金等全面开展绩效自评，形成旺苍县人民检察院</w:t>
      </w:r>
      <w:r>
        <w:rPr>
          <w:rFonts w:hint="eastAsia" w:ascii="仿宋_GB2312" w:hAnsi="仿宋_GB2312" w:eastAsia="仿宋_GB2312" w:cs="仿宋_GB2312"/>
          <w:color w:val="auto"/>
          <w:sz w:val="32"/>
          <w:szCs w:val="32"/>
          <w:highlight w:val="none"/>
          <w:lang w:eastAsia="zh-CN"/>
        </w:rPr>
        <w:t>关于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年部门整体（含部门预算项目）绩效自评报告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自评得分为</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分，绩效自评综述：</w:t>
      </w:r>
      <w:r>
        <w:rPr>
          <w:rFonts w:hint="eastAsia" w:ascii="仿宋_GB2312" w:eastAsia="仿宋_GB2312"/>
          <w:sz w:val="32"/>
          <w:szCs w:val="32"/>
          <w:lang w:val="en-US" w:eastAsia="zh-CN"/>
        </w:rPr>
        <w:t>本部门2022年严格按照年度目标任务，完整及时编制单位预算，做到预算编制准确，完整、规范。预算执行刚性、平衡。按时报送部门决算，决算数据真实准确，账表一致全年无违规记录。</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本部门预算项目程序严密、规划合理、结果符合、分配科学、分配及时，按要求完成绩效目标、达到预期绩效，无违规现象。</w:t>
      </w:r>
    </w:p>
    <w:p>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2022年，我院预算资金使用合理、合规，</w:t>
      </w:r>
      <w:r>
        <w:rPr>
          <w:rFonts w:hint="eastAsia" w:ascii="仿宋_GB2312" w:eastAsia="仿宋_GB2312"/>
          <w:sz w:val="32"/>
          <w:szCs w:val="32"/>
          <w:lang w:val="zh-CN" w:eastAsia="zh-CN"/>
        </w:rPr>
        <w:t>根据202</w:t>
      </w:r>
      <w:r>
        <w:rPr>
          <w:rFonts w:hint="eastAsia" w:ascii="仿宋_GB2312" w:eastAsia="仿宋_GB2312"/>
          <w:sz w:val="32"/>
          <w:szCs w:val="32"/>
          <w:lang w:val="en-US" w:eastAsia="zh-CN"/>
        </w:rPr>
        <w:t>3</w:t>
      </w:r>
      <w:r>
        <w:rPr>
          <w:rFonts w:hint="eastAsia" w:ascii="仿宋_GB2312" w:eastAsia="仿宋_GB2312"/>
          <w:sz w:val="32"/>
          <w:szCs w:val="32"/>
          <w:lang w:val="zh-CN" w:eastAsia="zh-CN"/>
        </w:rPr>
        <w:t>年部门整体支出绩效评价指标体系的计分标准，对我院202</w:t>
      </w:r>
      <w:r>
        <w:rPr>
          <w:rFonts w:hint="eastAsia" w:ascii="仿宋_GB2312" w:eastAsia="仿宋_GB2312"/>
          <w:sz w:val="32"/>
          <w:szCs w:val="32"/>
          <w:lang w:val="en-US" w:eastAsia="zh-CN"/>
        </w:rPr>
        <w:t>2</w:t>
      </w:r>
      <w:r>
        <w:rPr>
          <w:rFonts w:hint="eastAsia" w:ascii="仿宋_GB2312" w:eastAsia="仿宋_GB2312"/>
          <w:sz w:val="32"/>
          <w:szCs w:val="32"/>
          <w:lang w:val="zh-CN" w:eastAsia="zh-CN"/>
        </w:rPr>
        <w:t>年度整体支出绩效评价进行了自评打分。</w:t>
      </w:r>
      <w:r>
        <w:rPr>
          <w:rFonts w:hint="eastAsia" w:ascii="仿宋_GB2312" w:eastAsia="仿宋_GB2312"/>
          <w:sz w:val="32"/>
          <w:szCs w:val="32"/>
          <w:lang w:val="en-US" w:eastAsia="zh-CN"/>
        </w:rPr>
        <w:t>2022年我院部门整体支出绩效评价得分为93分</w:t>
      </w:r>
      <w:r>
        <w:rPr>
          <w:rFonts w:hint="eastAsia" w:ascii="仿宋_GB2312" w:hAnsi="Times New Roman" w:eastAsia="仿宋_GB2312" w:cs="Times New Roman"/>
          <w:kern w:val="2"/>
          <w:sz w:val="32"/>
          <w:szCs w:val="32"/>
          <w:lang w:val="en-US" w:eastAsia="zh-CN" w:bidi="ar-SA"/>
        </w:rPr>
        <w:t>。</w:t>
      </w:r>
    </w:p>
    <w:p>
      <w:pPr>
        <w:widowControl/>
        <w:ind w:firstLine="643"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20"/>
          <w:rFonts w:ascii="黑体" w:hAnsi="黑体" w:eastAsia="黑体"/>
          <w:b w:val="0"/>
          <w:color w:val="auto"/>
          <w:highlight w:val="none"/>
        </w:rPr>
      </w:pPr>
      <w:bookmarkStart w:id="69" w:name="_Toc15377225"/>
      <w:bookmarkStart w:id="70" w:name="_Toc15396613"/>
      <w:bookmarkStart w:id="71" w:name="_Toc18197"/>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p>
    <w:p>
      <w:pPr>
        <w:numPr>
          <w:ilvl w:val="0"/>
          <w:numId w:val="6"/>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公共</w:t>
      </w:r>
      <w:r>
        <w:rPr>
          <w:rFonts w:hint="eastAsia" w:ascii="仿宋_GB2312" w:eastAsia="仿宋_GB2312"/>
          <w:color w:val="auto"/>
          <w:sz w:val="32"/>
          <w:szCs w:val="32"/>
          <w:highlight w:val="none"/>
          <w:lang w:eastAsia="zh-CN"/>
        </w:rPr>
        <w:t>安全支出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行政单位（包括实行公务员管理的事业单位）的基本支出</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公共</w:t>
      </w:r>
      <w:r>
        <w:rPr>
          <w:rFonts w:hint="eastAsia" w:ascii="仿宋_GB2312" w:eastAsia="仿宋_GB2312"/>
          <w:color w:val="auto"/>
          <w:sz w:val="32"/>
          <w:szCs w:val="32"/>
          <w:highlight w:val="none"/>
          <w:lang w:eastAsia="zh-CN"/>
        </w:rPr>
        <w:t>安全支出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一般行政管理事务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行政单位（包括实行公务员管理的事业单位）未单独设置项级科目的其他项目支出</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公共</w:t>
      </w:r>
      <w:r>
        <w:rPr>
          <w:rFonts w:hint="eastAsia" w:ascii="仿宋_GB2312" w:eastAsia="仿宋_GB2312"/>
          <w:color w:val="auto"/>
          <w:sz w:val="32"/>
          <w:szCs w:val="32"/>
          <w:highlight w:val="none"/>
          <w:lang w:eastAsia="zh-CN"/>
        </w:rPr>
        <w:t>安全支出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“两房”建设</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办案用房和专业技术用房及附属设施的建设和修缮支出</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公共</w:t>
      </w:r>
      <w:r>
        <w:rPr>
          <w:rFonts w:hint="eastAsia" w:ascii="仿宋_GB2312" w:eastAsia="仿宋_GB2312"/>
          <w:color w:val="auto"/>
          <w:sz w:val="32"/>
          <w:szCs w:val="32"/>
          <w:highlight w:val="none"/>
          <w:lang w:eastAsia="zh-CN"/>
        </w:rPr>
        <w:t>安全支出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检查监督</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检察机关依法开展法律监督工作的支出，包括侦察监督、公诉、审判监督、执行监督、民事行政监督、公益诉讼、控告申诉等</w:t>
      </w:r>
      <w:r>
        <w:rPr>
          <w:rFonts w:hint="eastAsia" w:ascii="仿宋_GB2312" w:eastAsia="仿宋_GB2312"/>
          <w:color w:val="auto"/>
          <w:sz w:val="32"/>
          <w:szCs w:val="32"/>
          <w:highlight w:val="none"/>
        </w:rPr>
        <w:t>。</w:t>
      </w:r>
    </w:p>
    <w:p>
      <w:pPr>
        <w:numPr>
          <w:ilvl w:val="0"/>
          <w:numId w:val="6"/>
        </w:numPr>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公共安全支出（类）检察（款）其他检察支出（项）：指上述项目以外其他用于检察方面的支出。</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（类）行政事业单位养老支出（款）机关事业单位基本养老保险缴费支出（项）：指</w:t>
      </w:r>
      <w:r>
        <w:rPr>
          <w:rFonts w:hint="eastAsia" w:ascii="仿宋_GB2312" w:eastAsia="仿宋_GB2312"/>
          <w:color w:val="auto"/>
          <w:sz w:val="32"/>
          <w:szCs w:val="32"/>
          <w:highlight w:val="none"/>
          <w:lang w:eastAsia="zh-CN"/>
        </w:rPr>
        <w:t>机关事业单位实施养老保险制度由单位缴纳的基本养老保险费的支出</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行政单位医疗</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财政部门安排的行政单位（包括实行公务员管理的事业单位）基本医疗保险缴费经费，未参加医疗保险的行政单位的公费医疗经费，按国家规定享受离休人员、红军老战士待遇人员的医疗经费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6"/>
        </w:numPr>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0"/>
          <w:rFonts w:hint="eastAsia" w:ascii="黑体" w:hAnsi="黑体" w:eastAsia="黑体"/>
          <w:b w:val="0"/>
          <w:color w:val="auto"/>
          <w:highlight w:val="none"/>
          <w:lang w:eastAsia="zh-CN"/>
        </w:rPr>
      </w:pPr>
      <w:bookmarkStart w:id="72" w:name="_Toc15377226"/>
      <w:r>
        <w:rPr>
          <w:rFonts w:ascii="宋体"/>
          <w:b/>
          <w:color w:val="auto"/>
          <w:sz w:val="44"/>
          <w:szCs w:val="44"/>
          <w:highlight w:val="none"/>
        </w:rPr>
        <w:br w:type="page"/>
      </w:r>
      <w:bookmarkStart w:id="73" w:name="_Toc27274"/>
      <w:bookmarkStart w:id="74" w:name="_Toc15396614"/>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1"/>
        <w:rPr>
          <w:rFonts w:hint="default" w:ascii="黑体" w:hAnsi="宋体" w:eastAsia="黑体" w:cs="宋体"/>
          <w:color w:val="auto"/>
          <w:kern w:val="0"/>
          <w:sz w:val="32"/>
          <w:szCs w:val="32"/>
          <w:highlight w:val="none"/>
          <w:shd w:val="clear" w:color="auto" w:fill="FFFFFF"/>
          <w:lang w:val="en-US" w:eastAsia="zh-CN"/>
        </w:rPr>
      </w:pPr>
      <w:bookmarkStart w:id="75" w:name="_Toc22348"/>
      <w:r>
        <w:rPr>
          <w:rFonts w:hint="eastAsia" w:ascii="黑体" w:hAnsi="黑体" w:eastAsia="黑体" w:cs="黑体"/>
          <w:color w:val="auto"/>
          <w:sz w:val="32"/>
          <w:szCs w:val="32"/>
          <w:highlight w:val="none"/>
        </w:rPr>
        <w:t>附件</w:t>
      </w:r>
      <w:bookmarkEnd w:id="75"/>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b/>
          <w:color w:val="auto"/>
          <w:sz w:val="32"/>
          <w:szCs w:val="32"/>
          <w:highlight w:val="none"/>
          <w:shd w:val="clear" w:color="auto" w:fill="FFFFFF"/>
          <w:lang w:val="en-US" w:eastAsia="zh-CN"/>
        </w:rPr>
      </w:pPr>
      <w:r>
        <w:rPr>
          <w:rFonts w:hint="eastAsia" w:ascii="宋体" w:hAnsi="宋体" w:eastAsia="宋体"/>
          <w:b/>
          <w:color w:val="auto"/>
          <w:sz w:val="32"/>
          <w:szCs w:val="32"/>
          <w:highlight w:val="none"/>
          <w:shd w:val="clear" w:color="auto" w:fill="FFFFFF"/>
          <w:lang w:val="en-US" w:eastAsia="zh-CN"/>
        </w:rPr>
        <w:t>2022年旺苍县人民检察院部门整体绩效评价报告</w:t>
      </w:r>
    </w:p>
    <w:p>
      <w:pPr>
        <w:pStyle w:val="2"/>
        <w:rPr>
          <w:rFonts w:hint="default"/>
          <w:lang w:val="en-US" w:eastAsia="zh-CN"/>
        </w:rPr>
      </w:pP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6" w:name="_Toc6355"/>
      <w:r>
        <w:rPr>
          <w:rFonts w:hint="eastAsia" w:ascii="黑体" w:hAnsi="宋体" w:eastAsia="黑体" w:cs="宋体"/>
          <w:color w:val="auto"/>
          <w:kern w:val="0"/>
          <w:sz w:val="32"/>
          <w:szCs w:val="32"/>
          <w:highlight w:val="none"/>
          <w:shd w:val="clear" w:color="auto" w:fill="FFFFFF"/>
          <w:lang w:val="zh-CN"/>
        </w:rPr>
        <w:t>部门（单位）基本情况</w:t>
      </w:r>
      <w:bookmarkEnd w:id="76"/>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spacing w:line="576" w:lineRule="exact"/>
        <w:ind w:firstLine="640" w:firstLineChars="200"/>
        <w:rPr>
          <w:rFonts w:hint="eastAsia"/>
          <w:lang w:val="zh-CN"/>
        </w:rPr>
      </w:pPr>
      <w:r>
        <w:rPr>
          <w:rFonts w:hint="eastAsia" w:ascii="仿宋_GB2312" w:hAnsi="仿宋_GB2312" w:eastAsia="仿宋_GB2312" w:cs="仿宋_GB2312"/>
          <w:sz w:val="32"/>
          <w:szCs w:val="32"/>
        </w:rPr>
        <w:t>旺苍县人民检察院属于一级行政单位，无下属二级单位。设立了办公室、政治部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司法警察)、第一检察部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未成年人检察部)、第二检察部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生态环境资源检察部)、第三检察部共5个内设机构。</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机构职能：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民检察院是国家的法律监督机关。旺苍县人民检察院通过依法独立行使检察权，监督法律实施，惩罚犯罪活动，保护国家安全、人民民主专政政权和社会主义制度，保护公民、法人和其他组织的合法权益，维护国家法律的统一和正确实施。接受县委和上级检察机关的领导，对旺苍县人民代表大会及其常委负责并报告工作，接受监督。不受行政机关、社会团体和个人的干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依法向旺苍县人民代表大会常务委员会提出议案。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贯彻执行上级检察机关的工作方针和工作部署。</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对叛国案、分裂国家案以及严重破坏国家政策、法律、法令、政令统一实施的重大犯罪案件，依法行使检察权。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依法审查公安机关提请批捕和移送起诉的刑事犯罪案件，决定是否逮捕和依法向同级人民法院提起公诉，并对侦查和审判活动依法进行监督。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5</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负责对执行机关执行刑罚的活动依法实行监督。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6</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依法对民事、行政、经济案件的审判、裁定活动实行监督。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7</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对同级人民法院确有错误的判决、裁定依法提请或提起抗诉。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受理单位和个人的报案、控告、申诉和举报，接受犯罪嫌疑人的自首。</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9</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负责本院的行政装备、检察技术、检察宣传和应用法律的调研工作。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10</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负责本院干警的思想政治工作和队伍建设，依法管理检察官和其他检察人员的工作，制定管理办法。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按照干部管理权限规定，协同县委和市检察</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党组考核副检察长、政治处主任；协同县委及组织部门对其他科级领导干部的考核；协助县委组织部门管理、考核检察员、检察委员会委员及考察、任免中层领导干部；依法办理向人大常委会提请任免副检察长、检察委员会委员、检察员的议案工作。</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）协助县级主管部门和市检察院管理本院机构设置和人员编制。</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）负责其他应当由本院承办的事项。</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2.人员结构</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旺苍县人民检察院现有政法专项编制44名，有3名机关工勤人员没有编制。现有在职干警39名，其中政法人员36名。</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不忘初心、牢记使命，充分发挥法治固根本、稳预期、利长远的保障作用，为大局服务、为人民司法</w:t>
      </w:r>
      <w:r>
        <w:rPr>
          <w:rFonts w:hint="eastAsia" w:ascii="仿宋_GB2312" w:hAnsi="仿宋_GB2312" w:cs="仿宋_GB2312"/>
          <w:sz w:val="32"/>
          <w:szCs w:val="32"/>
          <w:lang w:val="en-US" w:eastAsia="zh-CN"/>
        </w:rPr>
        <w:t>。</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敢于监督、善于监督，严格公正司法，在推进法治旺苍建设中恪尽法律监督职责</w:t>
      </w:r>
      <w:r>
        <w:rPr>
          <w:rFonts w:hint="eastAsia" w:ascii="仿宋_GB2312" w:hAnsi="仿宋_GB2312" w:cs="仿宋_GB2312"/>
          <w:sz w:val="32"/>
          <w:szCs w:val="32"/>
          <w:lang w:val="en-US" w:eastAsia="zh-CN"/>
        </w:rPr>
        <w:t>。</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谦虚谨慎、艰苦奋斗，坚定不移全面从严治检，锻造适应新时代要求的高素质检察队伍</w:t>
      </w:r>
      <w:r>
        <w:rPr>
          <w:rFonts w:hint="eastAsia" w:ascii="仿宋_GB2312" w:hAnsi="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目标一：明确责任积极作为，服务保障中心大局。积极开展乡村振兴，积极服务民营经济；</w:t>
      </w:r>
    </w:p>
    <w:p>
      <w:pPr>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目标二：突出重点履职尽责，大力推进扫黑除恶，依法打击刑事犯罪，持续强化未检工作；</w:t>
      </w:r>
    </w:p>
    <w:p>
      <w:pPr>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目标三：树新理念提升质效，纵深推进法治建设。做优刑事诉讼监督，做强民事行政检察，深化公益诉讼检察，积极开展社会治理。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2183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7"/>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2"/>
        <w:ind w:firstLine="640" w:firstLineChars="200"/>
        <w:rPr>
          <w:rFonts w:hint="eastAsia"/>
          <w:lang w:val="en-US" w:eastAsia="zh-CN"/>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年县检察院财政资金收入决算总额</w:t>
      </w:r>
      <w:r>
        <w:rPr>
          <w:rFonts w:hint="eastAsia" w:ascii="仿宋_GB2312" w:hAnsi="仿宋_GB2312" w:cs="仿宋_GB2312"/>
          <w:sz w:val="32"/>
          <w:szCs w:val="32"/>
          <w:lang w:val="en-US" w:eastAsia="zh-CN"/>
        </w:rPr>
        <w:t>1315.83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包含广元市财政局拨款收入</w:t>
      </w:r>
      <w:r>
        <w:rPr>
          <w:rFonts w:hint="eastAsia" w:ascii="仿宋_GB2312" w:hAnsi="仿宋_GB2312" w:eastAsia="仿宋_GB2312" w:cs="仿宋_GB2312"/>
          <w:sz w:val="32"/>
          <w:szCs w:val="32"/>
          <w:lang w:val="en-US" w:eastAsia="zh-CN"/>
        </w:rPr>
        <w:t>1023.30万元，其他收入292.53万元（旺苍县财政局拨款）。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2022年县检察院全年财政资金支出决算总额1315.83万元。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320" w:firstLineChars="1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县检察院</w:t>
      </w:r>
      <w:r>
        <w:rPr>
          <w:rFonts w:hint="eastAsia" w:ascii="仿宋_GB2312" w:hAnsi="仿宋_GB2312" w:eastAsia="仿宋_GB2312" w:cs="仿宋_GB2312"/>
          <w:sz w:val="32"/>
          <w:szCs w:val="32"/>
          <w:lang w:val="en-US" w:eastAsia="zh-CN"/>
        </w:rPr>
        <w:t>部门财政拨款结转共计116.20万元，为政法转移资金。</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2022年县检察院财政资金收入1315.83万元，均为财政拨款。包含广元市财政局拨款收入1023.30万元，其他收入292.53万元（旺苍县财政局拨款）。其中：基本收入996.90万元，项目收入318.93万元。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2"/>
        <w:numPr>
          <w:ilvl w:val="0"/>
          <w:numId w:val="0"/>
        </w:numPr>
        <w:ind w:firstLine="640" w:firstLineChars="200"/>
        <w:rPr>
          <w:rFonts w:hint="eastAsia"/>
          <w:lang w:val="en-US" w:eastAsia="zh-CN"/>
        </w:rPr>
      </w:pPr>
      <w:r>
        <w:rPr>
          <w:rFonts w:hint="eastAsia" w:ascii="仿宋_GB2312" w:hAnsi="仿宋_GB2312" w:eastAsia="仿宋_GB2312" w:cs="仿宋_GB2312"/>
          <w:kern w:val="2"/>
          <w:sz w:val="32"/>
          <w:szCs w:val="32"/>
          <w:lang w:val="en-US" w:eastAsia="zh-CN" w:bidi="ar-SA"/>
        </w:rPr>
        <w:t>2022年县检察院全年财政资金支出决算总额1315.83万元，其中：基本支出996.90万元，项目支出318.93万元。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2022年县检察院部门财政拨款结转共计116.20万元，为政法转移资金。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yellow"/>
          <w:shd w:val="clear" w:color="auto" w:fill="FFFFFF"/>
        </w:rPr>
      </w:pPr>
      <w:bookmarkStart w:id="78" w:name="_Toc4969"/>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yellow"/>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院人员类项目绩效目标按照我院实际情况制定，能合理保障检察人员薪资福利，提高检察人员工作积极性与工作效率，保障检察工作顺利开展。规划合理、分配科学、分配及时，按要求完成绩效目标、达到预期绩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我院运转类项目绩效目标按照我院实际情况制定，以保障我单位日常运转。该项目资金支出严格执行财务制度，按要求完成绩效目标，达到预期绩效，无资金结余，无违规现象。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我院运转类项目绩效目标按照我院实际情况制定，其中：检察官、司法警察加班补助项目资金，通过项目的实施，充分的保障了干警工作福利，提高干警工作积极性与工作效率，保障检察工作顺利开展；检察官培训费项目资金，通过项目的实施，有效提高全院干警政治、业务素质，提升专业能力，使得检察工作稳步提升，保障了检察工作的顺利开展；检察监督项目资金，通过项目的实施，有效完成了扫黑除恶、断卡行动等涉众犯罪专案或大要案；公益诉讼办案经费及线索举报奖励；多媒体示证、认罪认罚同步录音录像；法治宣传教育等检察工作。保障了依法实行法律监督，维护司法公正，保护国家安全，保护公民、法人和其他组织的合法权益；两房及附属工程运行维护项目资金，通过项目的实施，为我院干警提供了良好的办案环境，保障办案安全，促进检察工作的顺利开展；派驻检察室经费项目资金，通过项目的实施，有效的提高了人民群众的法治理念，普法学法用法贯穿于群众日常生活中。同时提高检察人员履职水平，更有利于检察工作的顺利开展，也为社会稳定做出了贡献；聘用制书记员及聘用人员工作经费项目资金，通过项目的实施，保障书记员的日常生活开支，提高工作积极性，协助检察官办案，提高办案效率；乡村振兴工作经费项目资金，通过项目的实施，保障了检察院驻村工作队的生活补助、房租、贫困户慰问经费、结对帮扶工作经费，巩固脱贫攻坚成效，确保贫困户稳定脱贫。提高了驻村干部工作积极性，保障了驻村帮扶工作的顺利开展；信息化建设项目资金，通过项目的实施，保障了信息化建设经费，提高了检察人员工作效率，实现以信息化推动检察业务网络化和规范化，提高办案效率和质量，促进检察队伍专业化，带动管理科学化。</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pStyle w:val="13"/>
        <w:keepNext w:val="0"/>
        <w:keepLines w:val="0"/>
        <w:pageBreakBefore w:val="0"/>
        <w:widowControl w:val="0"/>
        <w:kinsoku/>
        <w:wordWrap/>
        <w:overflowPunct/>
        <w:topLinePunct w:val="0"/>
        <w:autoSpaceDE/>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年，</w:t>
      </w:r>
      <w:r>
        <w:rPr>
          <w:rFonts w:hint="eastAsia" w:ascii="仿宋_GB2312" w:hAnsi="仿宋_GB2312" w:eastAsia="仿宋_GB2312" w:cs="仿宋_GB2312"/>
          <w:sz w:val="32"/>
          <w:szCs w:val="32"/>
        </w:rPr>
        <w:t>县检察院在县委和市检察院的坚强领导下</w:t>
      </w:r>
      <w:r>
        <w:rPr>
          <w:rFonts w:hint="eastAsia" w:ascii="仿宋_GB2312" w:hAnsi="仿宋_GB2312" w:eastAsia="仿宋_GB2312" w:cs="仿宋_GB2312"/>
          <w:sz w:val="32"/>
          <w:szCs w:val="32"/>
          <w:lang w:eastAsia="zh-CN"/>
        </w:rPr>
        <w:t>，坚持</w:t>
      </w:r>
      <w:r>
        <w:rPr>
          <w:rFonts w:hint="default" w:ascii="Times New Roman" w:hAnsi="Times New Roman" w:eastAsia="仿宋_GB2312" w:cs="Times New Roman"/>
          <w:color w:val="auto"/>
          <w:sz w:val="32"/>
          <w:szCs w:val="32"/>
          <w:highlight w:val="none"/>
          <w:lang w:val="en-US" w:eastAsia="zh-CN"/>
        </w:rPr>
        <w:t>以习近平新时代中国特色社会主义思想为指导，</w:t>
      </w:r>
      <w:r>
        <w:rPr>
          <w:rFonts w:hint="eastAsia" w:ascii="Times New Roman" w:hAnsi="Times New Roman" w:eastAsia="仿宋_GB2312" w:cs="Times New Roman"/>
          <w:color w:val="auto"/>
          <w:sz w:val="32"/>
          <w:szCs w:val="32"/>
          <w:highlight w:val="none"/>
          <w:lang w:val="en-US" w:eastAsia="zh-CN"/>
        </w:rPr>
        <w:t>认真贯彻习近平法治思想，</w:t>
      </w:r>
      <w:r>
        <w:rPr>
          <w:rFonts w:hint="default" w:ascii="Times New Roman" w:hAnsi="Times New Roman" w:eastAsia="仿宋_GB2312" w:cs="Times New Roman"/>
          <w:color w:val="auto"/>
          <w:sz w:val="32"/>
          <w:szCs w:val="32"/>
          <w:highlight w:val="none"/>
          <w:lang w:val="en-US" w:eastAsia="zh-CN"/>
        </w:rPr>
        <w:t>深入</w:t>
      </w:r>
      <w:r>
        <w:rPr>
          <w:rFonts w:hint="eastAsia" w:ascii="Times New Roman" w:hAnsi="Times New Roman" w:eastAsia="仿宋_GB2312" w:cs="Times New Roman"/>
          <w:color w:val="auto"/>
          <w:sz w:val="32"/>
          <w:szCs w:val="32"/>
          <w:highlight w:val="none"/>
          <w:lang w:val="en-US" w:eastAsia="zh-CN"/>
        </w:rPr>
        <w:t>学习</w:t>
      </w:r>
      <w:r>
        <w:rPr>
          <w:rFonts w:hint="default" w:ascii="Times New Roman" w:hAnsi="Times New Roman" w:eastAsia="仿宋_GB2312" w:cs="Times New Roman"/>
          <w:color w:val="auto"/>
          <w:sz w:val="32"/>
          <w:szCs w:val="32"/>
          <w:highlight w:val="none"/>
          <w:lang w:val="en-US" w:eastAsia="zh-CN"/>
        </w:rPr>
        <w:t>贯彻</w:t>
      </w:r>
      <w:r>
        <w:rPr>
          <w:rFonts w:hint="eastAsia" w:ascii="Times New Roman" w:hAnsi="Times New Roman" w:eastAsia="仿宋_GB2312" w:cs="Times New Roman"/>
          <w:color w:val="auto"/>
          <w:sz w:val="32"/>
          <w:szCs w:val="32"/>
          <w:highlight w:val="none"/>
          <w:lang w:val="en-US" w:eastAsia="zh-CN"/>
        </w:rPr>
        <w:t>党的二十大精神，贯彻落实省第十二次党代会、省委十二届二次全会、市第八次党代会、县第十三次党代会决策部署，</w:t>
      </w:r>
      <w:r>
        <w:rPr>
          <w:rFonts w:hint="eastAsia" w:ascii="仿宋_GB2312" w:hAnsi="仿宋_GB2312" w:eastAsia="仿宋_GB2312" w:cs="仿宋_GB2312"/>
          <w:sz w:val="32"/>
          <w:szCs w:val="32"/>
          <w:lang w:eastAsia="zh-CN"/>
        </w:rPr>
        <w:t>切实践行“三个务必”要求，</w:t>
      </w:r>
      <w:r>
        <w:rPr>
          <w:rFonts w:hint="eastAsia" w:ascii="仿宋_GB2312" w:hAnsi="仿宋_GB2312" w:eastAsia="仿宋_GB2312" w:cs="仿宋_GB2312"/>
          <w:sz w:val="32"/>
          <w:szCs w:val="32"/>
        </w:rPr>
        <w:t>全面提升新时代检察工作水平</w:t>
      </w:r>
      <w:r>
        <w:rPr>
          <w:rFonts w:hint="eastAsia" w:ascii="仿宋_GB2312" w:hAnsi="仿宋_GB2312" w:eastAsia="仿宋_GB2312" w:cs="仿宋_GB2312"/>
          <w:sz w:val="32"/>
          <w:szCs w:val="32"/>
          <w:lang w:eastAsia="zh-CN"/>
        </w:rPr>
        <w:t>，为旺苍经济社会高质量发展</w:t>
      </w:r>
      <w:r>
        <w:rPr>
          <w:rFonts w:hint="eastAsia" w:ascii="仿宋_GB2312" w:hAnsi="仿宋_GB2312" w:eastAsia="仿宋_GB2312" w:cs="仿宋_GB2312"/>
          <w:sz w:val="32"/>
          <w:szCs w:val="32"/>
        </w:rPr>
        <w:t>提供了有力的法治保障</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000000"/>
          <w:sz w:val="32"/>
          <w:szCs w:val="32"/>
        </w:rPr>
        <w:t>全年共</w:t>
      </w:r>
      <w:r>
        <w:rPr>
          <w:rFonts w:hint="eastAsia" w:ascii="仿宋_GB2312" w:hAnsi="仿宋_GB2312" w:eastAsia="仿宋_GB2312" w:cs="仿宋_GB2312"/>
          <w:color w:val="000000"/>
          <w:sz w:val="32"/>
          <w:szCs w:val="32"/>
          <w:lang w:eastAsia="zh-CN"/>
        </w:rPr>
        <w:t>办</w:t>
      </w:r>
      <w:r>
        <w:rPr>
          <w:rFonts w:hint="eastAsia" w:ascii="仿宋_GB2312" w:hAnsi="仿宋_GB2312" w:eastAsia="仿宋_GB2312" w:cs="仿宋_GB2312"/>
          <w:color w:val="000000"/>
          <w:sz w:val="32"/>
          <w:szCs w:val="32"/>
        </w:rPr>
        <w:t>理各类案件</w:t>
      </w:r>
      <w:r>
        <w:rPr>
          <w:rFonts w:hint="eastAsia" w:ascii="仿宋_GB2312" w:hAnsi="仿宋_GB2312" w:eastAsia="仿宋_GB2312" w:cs="仿宋_GB2312"/>
          <w:color w:val="000000"/>
          <w:sz w:val="32"/>
          <w:szCs w:val="32"/>
          <w:lang w:eastAsia="zh-CN"/>
        </w:rPr>
        <w:t>共计</w:t>
      </w:r>
      <w:r>
        <w:rPr>
          <w:rFonts w:hint="eastAsia" w:ascii="仿宋_GB2312" w:hAnsi="仿宋_GB2312" w:eastAsia="仿宋_GB2312" w:cs="仿宋_GB2312"/>
          <w:color w:val="000000"/>
          <w:sz w:val="32"/>
          <w:szCs w:val="32"/>
          <w:lang w:val="en-US" w:eastAsia="zh-CN"/>
        </w:rPr>
        <w:t>840</w:t>
      </w:r>
      <w:r>
        <w:rPr>
          <w:rFonts w:hint="eastAsia" w:ascii="仿宋_GB2312" w:hAnsi="仿宋_GB2312" w:eastAsia="仿宋_GB2312" w:cs="仿宋_GB2312"/>
          <w:color w:val="000000"/>
          <w:sz w:val="32"/>
          <w:szCs w:val="32"/>
        </w:rPr>
        <w:t>件。</w:t>
      </w:r>
      <w:r>
        <w:rPr>
          <w:rFonts w:hint="eastAsia" w:ascii="仿宋_GB2312" w:hAnsi="仿宋_GB2312" w:eastAsia="仿宋_GB2312" w:cs="仿宋_GB2312"/>
          <w:color w:val="000000"/>
          <w:sz w:val="32"/>
          <w:szCs w:val="32"/>
          <w:lang w:eastAsia="zh-CN"/>
        </w:rPr>
        <w:t>实现以下三个目标：</w:t>
      </w:r>
    </w:p>
    <w:p>
      <w:pPr>
        <w:ind w:firstLine="640" w:firstLineChars="200"/>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目标一：明确责任积极作为，服务保障中心大局。积极开展乡村振兴，积极服务民营经济；</w:t>
      </w:r>
    </w:p>
    <w:p>
      <w:pPr>
        <w:ind w:firstLine="640" w:firstLineChars="200"/>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目标二：突出重点履职尽责，大力推进扫黑除恶，依法打击刑事犯罪，持续强化未检工作；</w:t>
      </w:r>
    </w:p>
    <w:p>
      <w:pPr>
        <w:ind w:firstLine="640" w:firstLineChars="200"/>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目标三：树新理念提升质效，纵深推进法治建设。做优刑事诉讼监督，做强民事行政检察，深化公益诉讼检察，积极开展社会治理。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spacing w:line="576" w:lineRule="exact"/>
        <w:ind w:firstLine="640" w:firstLineChars="200"/>
        <w:rPr>
          <w:rFonts w:hint="eastAsia" w:ascii="仿宋_GB2312" w:hAnsi="宋体" w:cs="宋体"/>
          <w:b w:val="0"/>
          <w:bCs w:val="0"/>
          <w:color w:val="000000"/>
          <w:kern w:val="0"/>
          <w:szCs w:val="32"/>
          <w:highlight w:val="none"/>
          <w:shd w:val="clear" w:color="auto" w:fill="FFFFFF"/>
          <w:lang w:val="zh-CN"/>
        </w:rPr>
      </w:pPr>
      <w:r>
        <w:rPr>
          <w:rFonts w:hint="eastAsia" w:ascii="仿宋_GB2312" w:hAnsi="仿宋_GB2312" w:eastAsia="仿宋_GB2312" w:cs="仿宋_GB2312"/>
          <w:sz w:val="32"/>
          <w:szCs w:val="32"/>
        </w:rPr>
        <w:t>本部门自评质按要求完成绩效目标公开和自评公开、评价结果整改和应用结果反馈科学。</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pStyle w:val="15"/>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本部门自评质量</w:t>
      </w:r>
      <w:r>
        <w:rPr>
          <w:rFonts w:hint="eastAsia" w:hAnsi="仿宋_GB2312" w:cs="仿宋_GB2312"/>
          <w:sz w:val="32"/>
          <w:szCs w:val="32"/>
          <w:lang w:eastAsia="zh-CN"/>
        </w:rPr>
        <w:t>较</w:t>
      </w:r>
      <w:r>
        <w:rPr>
          <w:rFonts w:hint="eastAsia" w:ascii="仿宋_GB2312" w:hAnsi="仿宋_GB2312" w:eastAsia="仿宋_GB2312" w:cs="仿宋_GB2312"/>
          <w:sz w:val="32"/>
          <w:szCs w:val="32"/>
        </w:rPr>
        <w:t>高</w:t>
      </w:r>
      <w:r>
        <w:rPr>
          <w:rFonts w:hint="eastAsia" w:hAnsi="仿宋_GB2312" w:cs="仿宋_GB2312"/>
          <w:sz w:val="32"/>
          <w:szCs w:val="32"/>
          <w:lang w:eastAsia="zh-CN"/>
        </w:rPr>
        <w:t>，</w:t>
      </w:r>
      <w:r>
        <w:rPr>
          <w:rFonts w:hint="eastAsia" w:ascii="仿宋_GB2312" w:hAnsi="宋体" w:eastAsia="仿宋_GB2312" w:cs="宋体"/>
          <w:color w:val="000000"/>
          <w:kern w:val="0"/>
          <w:sz w:val="32"/>
          <w:szCs w:val="32"/>
          <w:shd w:val="clear" w:color="auto" w:fill="FFFFFF"/>
          <w:lang w:val="zh-CN"/>
        </w:rPr>
        <w:t>按照预算绩效管理要求，</w:t>
      </w:r>
      <w:r>
        <w:rPr>
          <w:rFonts w:hint="eastAsia" w:ascii="仿宋_GB2312" w:hAnsi="仿宋_GB2312" w:eastAsia="仿宋_GB2312" w:cs="仿宋_GB2312"/>
          <w:sz w:val="32"/>
          <w:szCs w:val="32"/>
          <w:lang w:val="zh-CN"/>
        </w:rPr>
        <w:t>根据我院预算执行的实际情况，根据</w:t>
      </w:r>
      <w:r>
        <w:rPr>
          <w:rFonts w:hint="eastAsia" w:ascii="仿宋_GB2312" w:hAnsi="仿宋_GB2312" w:eastAsia="仿宋_GB2312" w:cs="仿宋_GB2312"/>
          <w:sz w:val="32"/>
          <w:szCs w:val="32"/>
          <w:lang w:val="en-US" w:eastAsia="zh-CN"/>
        </w:rPr>
        <w:t>2023年市级部门整体支出评价指标体系，</w:t>
      </w:r>
      <w:r>
        <w:rPr>
          <w:rFonts w:hint="eastAsia" w:ascii="仿宋_GB2312" w:hAnsi="仿宋_GB2312" w:eastAsia="仿宋_GB2312" w:cs="仿宋_GB2312"/>
          <w:sz w:val="32"/>
          <w:szCs w:val="32"/>
        </w:rPr>
        <w:t>在绩效目标管理基础上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对本部门开展了</w:t>
      </w:r>
      <w:r>
        <w:rPr>
          <w:rFonts w:hint="eastAsia" w:ascii="仿宋_GB2312" w:hAnsi="仿宋_GB2312" w:eastAsia="仿宋_GB2312" w:cs="仿宋_GB2312"/>
          <w:sz w:val="32"/>
          <w:szCs w:val="32"/>
          <w:lang w:val="en-US" w:eastAsia="zh-CN"/>
        </w:rPr>
        <w:t>2022年部门整体支出自评</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9" w:name="_Toc23150"/>
      <w:r>
        <w:rPr>
          <w:rFonts w:hint="eastAsia" w:ascii="黑体" w:hAnsi="宋体" w:eastAsia="黑体" w:cs="宋体"/>
          <w:color w:val="auto"/>
          <w:kern w:val="0"/>
          <w:sz w:val="32"/>
          <w:szCs w:val="32"/>
          <w:highlight w:val="none"/>
          <w:shd w:val="clear" w:color="auto" w:fill="FFFFFF"/>
        </w:rPr>
        <w:t>四、评价结论及建议</w:t>
      </w:r>
      <w:bookmarkEnd w:id="7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本部门2022年严格按照年度目标任务，完整及时编制单位预算，做到预算编制准确，完整、规范。预算执行刚性、平衡。按时报送部门决算，决算数据真实准确，账表一致全年无违规记录。</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本部门预算项目程序严密、规划合理、结果符合、分配科学、分配及时，按要求完成绩效目标、达到预期绩效，无违规现象。</w:t>
      </w:r>
    </w:p>
    <w:p>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2022年，我院预算资金使用合理、合规，</w:t>
      </w:r>
      <w:r>
        <w:rPr>
          <w:rFonts w:hint="eastAsia" w:ascii="仿宋_GB2312" w:eastAsia="仿宋_GB2312"/>
          <w:sz w:val="32"/>
          <w:szCs w:val="32"/>
          <w:lang w:val="zh-CN" w:eastAsia="zh-CN"/>
        </w:rPr>
        <w:t>根据202</w:t>
      </w:r>
      <w:r>
        <w:rPr>
          <w:rFonts w:hint="eastAsia" w:ascii="仿宋_GB2312" w:eastAsia="仿宋_GB2312"/>
          <w:sz w:val="32"/>
          <w:szCs w:val="32"/>
          <w:lang w:val="en-US" w:eastAsia="zh-CN"/>
        </w:rPr>
        <w:t>3</w:t>
      </w:r>
      <w:r>
        <w:rPr>
          <w:rFonts w:hint="eastAsia" w:ascii="仿宋_GB2312" w:eastAsia="仿宋_GB2312"/>
          <w:sz w:val="32"/>
          <w:szCs w:val="32"/>
          <w:lang w:val="zh-CN" w:eastAsia="zh-CN"/>
        </w:rPr>
        <w:t>年部门整体支出绩效评价指标体系的计分标准，对我院202</w:t>
      </w:r>
      <w:r>
        <w:rPr>
          <w:rFonts w:hint="eastAsia" w:ascii="仿宋_GB2312" w:eastAsia="仿宋_GB2312"/>
          <w:sz w:val="32"/>
          <w:szCs w:val="32"/>
          <w:lang w:val="en-US" w:eastAsia="zh-CN"/>
        </w:rPr>
        <w:t>2</w:t>
      </w:r>
      <w:r>
        <w:rPr>
          <w:rFonts w:hint="eastAsia" w:ascii="仿宋_GB2312" w:eastAsia="仿宋_GB2312"/>
          <w:sz w:val="32"/>
          <w:szCs w:val="32"/>
          <w:lang w:val="zh-CN" w:eastAsia="zh-CN"/>
        </w:rPr>
        <w:t>年度整体支出绩效评价进行了自评打分。</w:t>
      </w:r>
      <w:r>
        <w:rPr>
          <w:rFonts w:hint="eastAsia" w:ascii="仿宋_GB2312" w:eastAsia="仿宋_GB2312"/>
          <w:sz w:val="32"/>
          <w:szCs w:val="32"/>
          <w:lang w:val="en-US" w:eastAsia="zh-CN"/>
        </w:rPr>
        <w:t>2022年我院部门整体支出绩效评价得分为93分</w:t>
      </w:r>
      <w:r>
        <w:rPr>
          <w:rFonts w:hint="eastAsia" w:ascii="仿宋_GB2312" w:hAnsi="Times New Roman" w:eastAsia="仿宋_GB2312" w:cs="Times New Roman"/>
          <w:kern w:val="2"/>
          <w:sz w:val="32"/>
          <w:szCs w:val="32"/>
          <w:lang w:val="en-US" w:eastAsia="zh-CN" w:bidi="ar-SA"/>
        </w:rPr>
        <w:t>。</w:t>
      </w:r>
    </w:p>
    <w:p>
      <w:pPr>
        <w:pStyle w:val="2"/>
        <w:rPr>
          <w:rFonts w:hint="eastAsia"/>
          <w:lang w:val="zh-CN"/>
        </w:rPr>
      </w:pP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本次自评过程中发现，在部门预算项目绩效管理过程中，</w:t>
      </w:r>
      <w:r>
        <w:rPr>
          <w:rFonts w:hint="eastAsia" w:ascii="仿宋_GB2312" w:hAnsi="Calibri" w:eastAsia="仿宋_GB2312" w:cs="Times New Roman"/>
          <w:sz w:val="32"/>
          <w:szCs w:val="32"/>
          <w:lang w:val="zh-CN"/>
        </w:rPr>
        <w:t>预算执行进度未达到</w:t>
      </w:r>
      <w:r>
        <w:rPr>
          <w:rFonts w:hint="eastAsia" w:ascii="仿宋_GB2312" w:hAnsi="Calibri" w:eastAsia="仿宋_GB2312" w:cs="Times New Roman"/>
          <w:sz w:val="32"/>
          <w:szCs w:val="32"/>
          <w:lang w:val="en-US" w:eastAsia="zh-CN"/>
        </w:rPr>
        <w:t>时序</w:t>
      </w:r>
      <w:r>
        <w:rPr>
          <w:rFonts w:hint="eastAsia" w:ascii="仿宋_GB2312" w:hAnsi="Calibri" w:eastAsia="仿宋_GB2312" w:cs="Times New Roman"/>
          <w:sz w:val="32"/>
          <w:szCs w:val="32"/>
          <w:lang w:val="zh-CN"/>
        </w:rPr>
        <w:t>量化指标</w:t>
      </w:r>
      <w:r>
        <w:rPr>
          <w:rFonts w:hint="eastAsia" w:ascii="仿宋_GB2312"/>
          <w:sz w:val="32"/>
          <w:szCs w:val="32"/>
          <w:lang w:val="zh-CN"/>
        </w:rPr>
        <w:t>。</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spacing w:line="56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en-US" w:eastAsia="zh-CN"/>
        </w:rPr>
        <w:t>在今后的预算执行过程中，</w:t>
      </w:r>
      <w:r>
        <w:rPr>
          <w:rFonts w:hint="eastAsia" w:ascii="仿宋_GB2312" w:eastAsia="仿宋_GB2312"/>
          <w:sz w:val="32"/>
          <w:szCs w:val="32"/>
          <w:lang w:val="zh-CN"/>
        </w:rPr>
        <w:t>加强预算执行管理遵循预算管理办法</w:t>
      </w:r>
      <w:r>
        <w:rPr>
          <w:rFonts w:hint="eastAsia" w:ascii="仿宋_GB2312" w:eastAsia="仿宋_GB2312"/>
          <w:sz w:val="32"/>
          <w:szCs w:val="32"/>
          <w:lang w:val="zh-CN" w:eastAsia="zh-CN"/>
        </w:rPr>
        <w:t>，合理安排资金支出，及时办理资金支付手续。提高财务人员工作能力、履职能力，提高预算执行</w:t>
      </w:r>
      <w:r>
        <w:rPr>
          <w:rFonts w:hint="eastAsia" w:ascii="仿宋_GB2312" w:eastAsia="仿宋_GB2312"/>
          <w:sz w:val="32"/>
          <w:szCs w:val="32"/>
          <w:lang w:val="en-US" w:eastAsia="zh-CN"/>
        </w:rPr>
        <w:t>效率</w:t>
      </w:r>
      <w:r>
        <w:rPr>
          <w:rFonts w:hint="eastAsia" w:ascii="仿宋_GB2312" w:eastAsia="仿宋_GB2312"/>
          <w:sz w:val="32"/>
          <w:szCs w:val="32"/>
          <w:lang w:val="zh-CN" w:eastAsia="zh-CN"/>
        </w:rPr>
        <w:t>。</w:t>
      </w:r>
    </w:p>
    <w:p>
      <w:pPr>
        <w:pStyle w:val="2"/>
        <w:numPr>
          <w:ilvl w:val="0"/>
          <w:numId w:val="0"/>
        </w:numPr>
        <w:ind w:leftChars="200"/>
        <w:rPr>
          <w:rFonts w:hint="eastAsia"/>
          <w:lang w:val="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6"/>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16"/>
        <w:gridCol w:w="1198"/>
        <w:gridCol w:w="1665"/>
        <w:gridCol w:w="451"/>
        <w:gridCol w:w="1053"/>
        <w:gridCol w:w="450"/>
        <w:gridCol w:w="952"/>
        <w:gridCol w:w="576"/>
        <w:gridCol w:w="422"/>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588.36</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588.36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588.36</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588.36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51080022T000005053904-党建经费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改善机关形象，增强党员能力素质，发挥党组织的堡垒作用</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建设活动阵地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规范开展党建活动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改善机关形象</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发挥党组织核心堡垒作用，本单位工作得到提升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本单位干警满意度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51080022T000005054016-检察官培训费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提高全院干警政治、业务素质，使得检察工作稳步提升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专业培训</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提升专业能力</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促进检察工作稳步提升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全院干警政治和业务素质普遍提高</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全院干警及相关群众</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51080022T000005054067-派驻检察室经费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提高基层人民法治观念。</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受理辖区内举报、控告案件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检察人员履职</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全部费用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提高基层人民群众法治观念</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提升基层组织服务群众的能力</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51080022T000005054139-两房及附属工程运行维护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提供良好的办案环境，保障办案安全</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绿化面积</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两房外墙、围墙修补；屋顶防水处漏；电梯、空调运维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促进城市发展，适合城市韵味</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深化“绿色检察”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51080022T000005054209-乡村振兴工作经费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巩固脱贫攻坚成效，确保贫困户稳定脱贫</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驻村工作队员年度考核</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驻村工作队员生活补助</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驻村工作经费</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巩固脱贫攻坚成效</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51080022T000005054256-检察监督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依法实行法律监督，维护司法公正，保护国家安全，保护公民、法人和其他组织的合法权益</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办理司法救助、案件质量评查、检察技术等案件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办理民事检察案件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办理刑事诉讼监督</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办理各类审查逮捕、审查起诉案件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办理公益诉讼案件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办理行政检察案件</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检察建议回复落实率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依法实行法律监督，维护司法公正</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所需费用</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上级检察院绩效考核等次</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当事人申请监督办理结果满意度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51080022T000005054337-信息化建设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实现以信息化推动检察业务网络化和规范化，提高办案效率和质量，促进检察队伍专业化，带动管理科学化</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档案数字化建设</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互联网终端及软件国产化替代</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检察听证室规范化建设</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涉密系统分级保护测评、运维服务</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提高办案效率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促进检察队伍规范化，带动管理科学化</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检察人员</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51080022T000005054384-聘用制书记员及聘用人员工作经费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协助检察官办案，提高办案效率。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聘用制书记员人数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保障聘用制书记员工作效率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所产生的社会影响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聘用制书记员满意度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51080022T000005054496-检察官、司法警察加班补助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保障干警加班福利</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发放加班补助人数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保障干警工作效率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社会影响力</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可持续影响力</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51080022T000006963750-特定转移支付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51080023T000007918390-第二批特定转移支付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旺苍县人民检察院部门</w:t>
            </w:r>
          </w:p>
        </w:tc>
        <w:tc>
          <w:tcPr>
            <w:tcW w:w="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20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20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20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20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6"/>
        <w:tblW w:w="16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627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bl>
    <w:p>
      <w:pPr>
        <w:pStyle w:val="6"/>
        <w:rPr>
          <w:rFonts w:hint="eastAsia" w:hAnsi="宋体" w:cs="宋体"/>
          <w:color w:val="auto"/>
          <w:kern w:val="0"/>
          <w:sz w:val="32"/>
          <w:szCs w:val="32"/>
          <w:highlight w:val="none"/>
          <w:shd w:val="clear" w:color="auto" w:fill="FFFFFF"/>
          <w:lang w:val="zh-CN"/>
        </w:rPr>
      </w:pPr>
    </w:p>
    <w:tbl>
      <w:tblPr>
        <w:tblStyle w:val="16"/>
        <w:tblW w:w="6248" w:type="pct"/>
        <w:tblInd w:w="-10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550"/>
        <w:gridCol w:w="1051"/>
        <w:gridCol w:w="1261"/>
        <w:gridCol w:w="2212"/>
        <w:gridCol w:w="798"/>
        <w:gridCol w:w="411"/>
        <w:gridCol w:w="474"/>
        <w:gridCol w:w="423"/>
        <w:gridCol w:w="440"/>
        <w:gridCol w:w="46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80" w:name="_Toc15396618"/>
            <w:r>
              <w:rPr>
                <w:rFonts w:hint="eastAsia" w:ascii="宋体" w:hAnsi="宋体" w:eastAsia="宋体" w:cs="宋体"/>
                <w:i w:val="0"/>
                <w:iCs w:val="0"/>
                <w:color w:val="000000"/>
                <w:kern w:val="0"/>
                <w:sz w:val="20"/>
                <w:szCs w:val="20"/>
                <w:u w:val="none"/>
                <w:lang w:val="en-US" w:eastAsia="zh-CN" w:bidi="ar"/>
              </w:rPr>
              <w:t>部门名称</w:t>
            </w:r>
          </w:p>
        </w:tc>
        <w:tc>
          <w:tcPr>
            <w:tcW w:w="42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旺苍县人民检察院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任务</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21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15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年度任务</w:t>
            </w: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人员工资福利支出、社会保障缴费及住房公积金</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661.6</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661.6</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113.45</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113.45</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检察监督职能</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检察官培训费</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信息化建设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77.34</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77.34</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基层党组织活动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派驻检察室</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两房及附属工程运行维护</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政法转移资金</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1139.49</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1139.49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1023.29</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1023.29</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1343"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1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2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目标一：明确责任积极作为，服务保障中心大局。积极开展乡村振兴，积极服务民营经济；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目标二：突出重点履职尽责，大力推进扫黑除恶，依法打击刑事犯罪，持续强化未检工作；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目标三：树新理念提升质效，纵深推进法治建设。做优刑事诉讼监督，做强民事行政检察，深化公益诉讼检察，积极开展社会治理。</w:t>
            </w:r>
          </w:p>
        </w:tc>
        <w:tc>
          <w:tcPr>
            <w:tcW w:w="3128"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目标一：明确责任积极作为，服务保障中心大局。积极开展乡村振兴，积极服务民营经济；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目标二：突出重点履职尽责，大力推进扫黑除恶，依法打击刑事犯罪，持续强化未检工作；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目标三：树新理念提升质效，纵深推进法治建设。做优刑事诉讼监督，做强民事行政检察，深化公益诉讼检察，积极开展社会治理。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部门自评得分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财政部门科室复评得分</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办理各类审查逮捕、审查起诉案件</w:t>
            </w:r>
          </w:p>
        </w:tc>
        <w:tc>
          <w:tcPr>
            <w:tcW w:w="37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260件</w:t>
            </w:r>
          </w:p>
        </w:tc>
        <w:tc>
          <w:tcPr>
            <w:tcW w:w="41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260件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办理刑事诉讼监督</w:t>
            </w:r>
          </w:p>
        </w:tc>
        <w:tc>
          <w:tcPr>
            <w:tcW w:w="37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46件</w:t>
            </w:r>
          </w:p>
        </w:tc>
        <w:tc>
          <w:tcPr>
            <w:tcW w:w="41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46件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办理民事检察案件</w:t>
            </w:r>
          </w:p>
        </w:tc>
        <w:tc>
          <w:tcPr>
            <w:tcW w:w="37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35件</w:t>
            </w:r>
          </w:p>
        </w:tc>
        <w:tc>
          <w:tcPr>
            <w:tcW w:w="41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办理司法救助、案件质量评查、检察技术等案件</w:t>
            </w:r>
          </w:p>
        </w:tc>
        <w:tc>
          <w:tcPr>
            <w:tcW w:w="37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56件</w:t>
            </w:r>
          </w:p>
        </w:tc>
        <w:tc>
          <w:tcPr>
            <w:tcW w:w="41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办理公益诉讼案件</w:t>
            </w:r>
          </w:p>
        </w:tc>
        <w:tc>
          <w:tcPr>
            <w:tcW w:w="37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55件</w:t>
            </w:r>
          </w:p>
        </w:tc>
        <w:tc>
          <w:tcPr>
            <w:tcW w:w="41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55件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建设活动阵地</w:t>
            </w:r>
          </w:p>
        </w:tc>
        <w:tc>
          <w:tcPr>
            <w:tcW w:w="3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3个 </w:t>
            </w:r>
          </w:p>
        </w:tc>
        <w:tc>
          <w:tcPr>
            <w:tcW w:w="41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3个 </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检察建议回复落实率</w:t>
            </w:r>
          </w:p>
        </w:tc>
        <w:tc>
          <w:tcPr>
            <w:tcW w:w="3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提高办案效率</w:t>
            </w:r>
          </w:p>
        </w:tc>
        <w:tc>
          <w:tcPr>
            <w:tcW w:w="3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检察人员履职</w:t>
            </w:r>
          </w:p>
        </w:tc>
        <w:tc>
          <w:tcPr>
            <w:tcW w:w="3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改善机关形象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发挥党组织核心堡垒作用，本单位工作得到提升</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发挥党组织核心堡垒作用，本单位工作得到提升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促进检察工作稳步提升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提高业务水平，增强办案效率</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提高业务水平，增强办案效率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可持续影响力</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1年</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提升基层组织服务群众的能力</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提高基层人民法治观念。</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提高基层人民法治观念。</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干警满意度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当事人申请监督办理结果满意度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447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部门2022年严格按照年度目标任务，完整及时编制单位预算，做到预算编制准确，完整、规范。预算执行刚性、平衡。按时报送部门决算，决算数据真实准确，账表一致全年无违规记录。预算项目程序严密、规划合理、结果符合、分配科学、分配及时，按要求完成绩效目标、达到预期绩效，无违规现象。我院预算资金使用合理、合规，根据2023年部门整体支出绩效评价指标体系的计分标准，对我院2022年度整体支出绩效评价进行了自评打分。2022年我院部门整体支出绩效评价得分为93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447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本次自评过程中发现，在部门预算项目绩效管理过程中，预算执行情况较差。预算执行进度未达到量化指标。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447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在今后的预算执行过程中，加强预算执行管理遵循预算管理办法，合理安排资金支出，及时办理资金支付手续。提高财务人员工作能力、履职能力，提高预算执行速度。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财政部门对口科室复评结论及整改要求</w:t>
            </w:r>
          </w:p>
        </w:tc>
        <w:tc>
          <w:tcPr>
            <w:tcW w:w="447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单位项目负责人：</w:t>
            </w:r>
          </w:p>
        </w:tc>
        <w:tc>
          <w:tcPr>
            <w:tcW w:w="208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单位财务负责人：李治昊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部门项目负责人：</w:t>
            </w:r>
          </w:p>
        </w:tc>
        <w:tc>
          <w:tcPr>
            <w:tcW w:w="208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2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财政部门科室负责人：杜雪梅</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5000" w:type="pct"/>
            <w:gridSpan w:val="1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pStyle w:val="6"/>
        <w:rPr>
          <w:rFonts w:hint="eastAsia" w:hAnsi="宋体" w:cs="宋体"/>
          <w:color w:val="auto"/>
          <w:kern w:val="0"/>
          <w:sz w:val="32"/>
          <w:szCs w:val="32"/>
          <w:highlight w:val="none"/>
          <w:shd w:val="clear" w:color="auto" w:fill="FFFFFF"/>
          <w:lang w:val="zh-CN"/>
        </w:r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spacing w:line="600" w:lineRule="exact"/>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本单位专项资金属于涉密资金，按照相关规定，不予以公开。</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rPr>
          <w:rFonts w:hint="eastAsia"/>
        </w:rPr>
      </w:pPr>
    </w:p>
    <w:p>
      <w:pPr>
        <w:spacing w:line="600" w:lineRule="exact"/>
        <w:jc w:val="center"/>
        <w:outlineLvl w:val="0"/>
        <w:rPr>
          <w:rFonts w:hint="eastAsia" w:ascii="仿宋" w:hAnsi="仿宋" w:eastAsia="仿宋"/>
          <w:b w:val="0"/>
          <w:color w:val="auto"/>
          <w:highlight w:val="none"/>
        </w:rPr>
      </w:pPr>
      <w:bookmarkStart w:id="81" w:name="_Toc1163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五部分附表</w:t>
      </w:r>
      <w:bookmarkEnd w:id="72"/>
      <w:bookmarkEnd w:id="80"/>
      <w:bookmarkEnd w:id="81"/>
      <w:bookmarkStart w:id="82" w:name="_Toc15396619"/>
    </w:p>
    <w:p>
      <w:pPr>
        <w:pStyle w:val="4"/>
        <w:rPr>
          <w:rFonts w:ascii="仿宋" w:hAnsi="仿宋" w:eastAsia="仿宋"/>
          <w:color w:val="auto"/>
          <w:highlight w:val="none"/>
        </w:rPr>
      </w:pPr>
      <w:bookmarkStart w:id="83" w:name="_Toc30599"/>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82"/>
      <w:bookmarkEnd w:id="83"/>
    </w:p>
    <w:p>
      <w:pPr>
        <w:pStyle w:val="4"/>
        <w:rPr>
          <w:rFonts w:ascii="仿宋" w:hAnsi="仿宋" w:eastAsia="仿宋"/>
          <w:color w:val="auto"/>
          <w:highlight w:val="none"/>
        </w:rPr>
      </w:pPr>
      <w:bookmarkStart w:id="84" w:name="_Toc15396620"/>
      <w:bookmarkStart w:id="85" w:name="_Toc23948"/>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84"/>
      <w:bookmarkEnd w:id="85"/>
    </w:p>
    <w:p>
      <w:pPr>
        <w:pStyle w:val="4"/>
        <w:rPr>
          <w:rFonts w:ascii="仿宋" w:hAnsi="仿宋" w:eastAsia="仿宋"/>
          <w:color w:val="auto"/>
          <w:highlight w:val="none"/>
        </w:rPr>
      </w:pPr>
      <w:bookmarkStart w:id="86" w:name="_Toc15396621"/>
      <w:bookmarkStart w:id="87" w:name="_Toc30146"/>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86"/>
      <w:bookmarkEnd w:id="87"/>
    </w:p>
    <w:p>
      <w:pPr>
        <w:pStyle w:val="4"/>
        <w:rPr>
          <w:rFonts w:ascii="仿宋" w:hAnsi="仿宋" w:eastAsia="仿宋"/>
          <w:b w:val="0"/>
          <w:color w:val="auto"/>
          <w:highlight w:val="none"/>
        </w:rPr>
      </w:pPr>
      <w:bookmarkStart w:id="88" w:name="_Toc18816"/>
      <w:bookmarkStart w:id="89"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88"/>
      <w:bookmarkEnd w:id="89"/>
    </w:p>
    <w:p>
      <w:pPr>
        <w:pStyle w:val="4"/>
        <w:rPr>
          <w:rStyle w:val="21"/>
          <w:rFonts w:ascii="仿宋" w:hAnsi="仿宋" w:eastAsia="仿宋"/>
          <w:b w:val="0"/>
          <w:bCs w:val="0"/>
          <w:color w:val="auto"/>
          <w:highlight w:val="none"/>
        </w:rPr>
      </w:pPr>
      <w:bookmarkStart w:id="90" w:name="_Toc18325"/>
      <w:bookmarkStart w:id="91" w:name="_Toc153966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90"/>
      <w:bookmarkEnd w:id="91"/>
      <w:bookmarkStart w:id="92" w:name="_Toc15396624"/>
    </w:p>
    <w:p>
      <w:pPr>
        <w:pStyle w:val="4"/>
        <w:rPr>
          <w:rFonts w:ascii="仿宋" w:hAnsi="仿宋" w:eastAsia="仿宋"/>
          <w:color w:val="auto"/>
          <w:highlight w:val="none"/>
        </w:rPr>
      </w:pPr>
      <w:bookmarkStart w:id="93" w:name="_Toc13852"/>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92"/>
      <w:bookmarkEnd w:id="93"/>
    </w:p>
    <w:p>
      <w:pPr>
        <w:pStyle w:val="4"/>
        <w:rPr>
          <w:rFonts w:ascii="仿宋" w:hAnsi="仿宋" w:eastAsia="仿宋"/>
          <w:color w:val="auto"/>
          <w:highlight w:val="none"/>
        </w:rPr>
      </w:pPr>
      <w:bookmarkStart w:id="94" w:name="_Toc29217"/>
      <w:bookmarkStart w:id="95"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94"/>
      <w:bookmarkEnd w:id="95"/>
    </w:p>
    <w:p>
      <w:pPr>
        <w:pStyle w:val="4"/>
        <w:rPr>
          <w:rFonts w:ascii="仿宋" w:hAnsi="仿宋" w:eastAsia="仿宋"/>
          <w:color w:val="auto"/>
          <w:highlight w:val="none"/>
        </w:rPr>
      </w:pPr>
      <w:bookmarkStart w:id="96" w:name="_Toc8567"/>
      <w:bookmarkStart w:id="97"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96"/>
      <w:bookmarkEnd w:id="97"/>
    </w:p>
    <w:p>
      <w:pPr>
        <w:pStyle w:val="4"/>
        <w:rPr>
          <w:rFonts w:ascii="仿宋" w:hAnsi="仿宋" w:eastAsia="仿宋"/>
          <w:color w:val="auto"/>
          <w:highlight w:val="none"/>
        </w:rPr>
      </w:pPr>
      <w:bookmarkStart w:id="98" w:name="_Toc15396627"/>
      <w:bookmarkStart w:id="99" w:name="_Toc150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98"/>
      <w:bookmarkEnd w:id="99"/>
    </w:p>
    <w:p>
      <w:pPr>
        <w:pStyle w:val="4"/>
        <w:rPr>
          <w:rFonts w:ascii="仿宋" w:hAnsi="仿宋" w:eastAsia="仿宋"/>
          <w:color w:val="auto"/>
          <w:highlight w:val="none"/>
        </w:rPr>
      </w:pPr>
      <w:bookmarkStart w:id="100" w:name="_Toc15396628"/>
      <w:bookmarkStart w:id="101" w:name="_Toc17651"/>
      <w:r>
        <w:rPr>
          <w:rStyle w:val="21"/>
          <w:rFonts w:hint="eastAsia" w:ascii="仿宋" w:hAnsi="仿宋" w:eastAsia="仿宋"/>
          <w:b w:val="0"/>
          <w:bCs w:val="0"/>
          <w:color w:val="auto"/>
          <w:highlight w:val="none"/>
        </w:rPr>
        <w:t>十、</w:t>
      </w:r>
      <w:bookmarkEnd w:id="100"/>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01"/>
    </w:p>
    <w:p>
      <w:pPr>
        <w:pStyle w:val="4"/>
        <w:rPr>
          <w:rFonts w:ascii="仿宋" w:hAnsi="仿宋" w:eastAsia="仿宋"/>
          <w:color w:val="auto"/>
          <w:highlight w:val="none"/>
        </w:rPr>
      </w:pPr>
      <w:bookmarkStart w:id="102" w:name="_Toc15396629"/>
      <w:bookmarkStart w:id="103" w:name="_Toc332"/>
      <w:r>
        <w:rPr>
          <w:rStyle w:val="21"/>
          <w:rFonts w:hint="eastAsia" w:ascii="仿宋" w:hAnsi="仿宋" w:eastAsia="仿宋"/>
          <w:b w:val="0"/>
          <w:bCs w:val="0"/>
          <w:color w:val="auto"/>
          <w:highlight w:val="none"/>
        </w:rPr>
        <w:t>十一、</w:t>
      </w:r>
      <w:bookmarkEnd w:id="102"/>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03"/>
    </w:p>
    <w:p>
      <w:pPr>
        <w:pStyle w:val="4"/>
        <w:rPr>
          <w:rFonts w:ascii="仿宋" w:hAnsi="仿宋" w:eastAsia="仿宋"/>
          <w:color w:val="auto"/>
          <w:highlight w:val="none"/>
        </w:rPr>
      </w:pPr>
      <w:bookmarkStart w:id="104" w:name="_Toc15396630"/>
      <w:bookmarkStart w:id="105" w:name="_Toc25640"/>
      <w:r>
        <w:rPr>
          <w:rStyle w:val="21"/>
          <w:rFonts w:hint="eastAsia" w:ascii="仿宋" w:hAnsi="仿宋" w:eastAsia="仿宋"/>
          <w:b w:val="0"/>
          <w:bCs w:val="0"/>
          <w:color w:val="auto"/>
          <w:highlight w:val="none"/>
        </w:rPr>
        <w:t>十二、</w:t>
      </w:r>
      <w:bookmarkEnd w:id="104"/>
      <w:r>
        <w:rPr>
          <w:rStyle w:val="21"/>
          <w:rFonts w:hint="eastAsia" w:ascii="仿宋" w:hAnsi="仿宋" w:eastAsia="仿宋"/>
          <w:b w:val="0"/>
          <w:bCs w:val="0"/>
          <w:color w:val="auto"/>
          <w:highlight w:val="none"/>
          <w:lang w:eastAsia="zh-CN"/>
        </w:rPr>
        <w:t>国有资本经营预算财政拨款支出决算表</w:t>
      </w:r>
      <w:bookmarkEnd w:id="105"/>
    </w:p>
    <w:p>
      <w:pPr>
        <w:pStyle w:val="4"/>
        <w:rPr>
          <w:rFonts w:hint="eastAsia" w:eastAsia="仿宋"/>
          <w:color w:val="auto"/>
          <w:highlight w:val="none"/>
          <w:lang w:eastAsia="zh-CN"/>
        </w:rPr>
      </w:pPr>
      <w:bookmarkStart w:id="106" w:name="_Toc15396631"/>
      <w:bookmarkStart w:id="107" w:name="_Toc14416"/>
      <w:r>
        <w:rPr>
          <w:rStyle w:val="21"/>
          <w:rFonts w:hint="eastAsia" w:ascii="仿宋" w:hAnsi="仿宋" w:eastAsia="仿宋"/>
          <w:b w:val="0"/>
          <w:bCs w:val="0"/>
          <w:color w:val="auto"/>
          <w:highlight w:val="none"/>
        </w:rPr>
        <w:t>十三、</w:t>
      </w:r>
      <w:bookmarkEnd w:id="106"/>
      <w:r>
        <w:rPr>
          <w:rStyle w:val="21"/>
          <w:rFonts w:hint="eastAsia" w:ascii="仿宋" w:hAnsi="仿宋" w:eastAsia="仿宋"/>
          <w:b w:val="0"/>
          <w:bCs w:val="0"/>
          <w:color w:val="auto"/>
          <w:highlight w:val="none"/>
          <w:lang w:eastAsia="zh-CN"/>
        </w:rPr>
        <w:t>财政拨款“三公”经费支出决算表</w:t>
      </w:r>
      <w:bookmarkEnd w:id="107"/>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0DA9C-8563-4FCF-B684-4F99234860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D5C86F1-37EF-4F11-9071-CCF7CD3B0AAC}"/>
  </w:font>
  <w:font w:name="Cambria">
    <w:panose1 w:val="02040503050406030204"/>
    <w:charset w:val="00"/>
    <w:family w:val="roman"/>
    <w:pitch w:val="default"/>
    <w:sig w:usb0="E00002FF" w:usb1="400004FF" w:usb2="00000000" w:usb3="00000000" w:csb0="2000019F" w:csb1="00000000"/>
    <w:embedRegular r:id="rId3" w:fontKey="{024DF647-D763-4C3B-AD33-728A13432E2D}"/>
  </w:font>
  <w:font w:name="仿宋_GB2312">
    <w:panose1 w:val="02010609030101010101"/>
    <w:charset w:val="86"/>
    <w:family w:val="modern"/>
    <w:pitch w:val="default"/>
    <w:sig w:usb0="00000001" w:usb1="080E0000" w:usb2="00000000" w:usb3="00000000" w:csb0="00040000" w:csb1="00000000"/>
    <w:embedRegular r:id="rId4" w:fontKey="{28F98308-8ED6-472F-9F1F-8D8046559813}"/>
  </w:font>
  <w:font w:name="仿宋">
    <w:panose1 w:val="02010609060101010101"/>
    <w:charset w:val="86"/>
    <w:family w:val="auto"/>
    <w:pitch w:val="default"/>
    <w:sig w:usb0="800002BF" w:usb1="38CF7CFA" w:usb2="00000016" w:usb3="00000000" w:csb0="00040001" w:csb1="00000000"/>
    <w:embedRegular r:id="rId5" w:fontKey="{53194056-B17E-4C13-9EB8-5649A2B93ECB}"/>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6" w:fontKey="{0F7A7894-AB96-4B5B-9DA2-072DA859EE47}"/>
  </w:font>
  <w:font w:name="楷体_GB2312">
    <w:panose1 w:val="02010609030101010101"/>
    <w:charset w:val="86"/>
    <w:family w:val="auto"/>
    <w:pitch w:val="default"/>
    <w:sig w:usb0="00000001" w:usb1="080E0000" w:usb2="00000000" w:usb3="00000000" w:csb0="00040000" w:csb1="00000000"/>
    <w:embedRegular r:id="rId7" w:fontKey="{90FF24DB-8A5D-4057-9B6A-E880CB014FFD}"/>
  </w:font>
  <w:font w:name="微软雅黑">
    <w:panose1 w:val="020B0503020204020204"/>
    <w:charset w:val="86"/>
    <w:family w:val="auto"/>
    <w:pitch w:val="default"/>
    <w:sig w:usb0="80000287" w:usb1="280F3C52" w:usb2="00000016" w:usb3="00000000" w:csb0="0004001F" w:csb1="00000000"/>
    <w:embedRegular r:id="rId8" w:fontKey="{5AC69005-C43C-4974-84C1-EF411623B2DB}"/>
  </w:font>
  <w:font w:name="等线">
    <w:altName w:val="微软雅黑"/>
    <w:panose1 w:val="00000000000000000000"/>
    <w:charset w:val="00"/>
    <w:family w:val="auto"/>
    <w:pitch w:val="default"/>
    <w:sig w:usb0="00000000" w:usb1="00000000" w:usb2="00000000" w:usb3="00000000" w:csb0="00000000" w:csb1="00000000"/>
    <w:embedRegular r:id="rId9" w:fontKey="{C2364331-238E-456A-B31D-ECCD9CDE3305}"/>
  </w:font>
  <w:font w:name="方正楷体_GBK">
    <w:altName w:val="微软雅黑"/>
    <w:panose1 w:val="02000000000000000000"/>
    <w:charset w:val="86"/>
    <w:family w:val="auto"/>
    <w:pitch w:val="default"/>
    <w:sig w:usb0="00000000" w:usb1="00000000" w:usb2="00000000" w:usb3="00000000" w:csb0="00040000" w:csb1="00000000"/>
    <w:embedRegular r:id="rId10" w:fontKey="{4E24874C-4C80-4CE0-B9D0-0C70B063E6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810"/>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48812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tabs>
        <w:tab w:val="left" w:pos="4810"/>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941B"/>
    <w:multiLevelType w:val="singleLevel"/>
    <w:tmpl w:val="894D941B"/>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436F05"/>
    <w:multiLevelType w:val="singleLevel"/>
    <w:tmpl w:val="DE436F05"/>
    <w:lvl w:ilvl="0" w:tentative="0">
      <w:start w:val="2"/>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54B803D"/>
    <w:multiLevelType w:val="singleLevel"/>
    <w:tmpl w:val="254B803D"/>
    <w:lvl w:ilvl="0" w:tentative="0">
      <w:start w:val="1"/>
      <w:numFmt w:val="decimal"/>
      <w:lvlText w:val="%1."/>
      <w:lvlJc w:val="left"/>
      <w:pPr>
        <w:tabs>
          <w:tab w:val="left" w:pos="312"/>
        </w:tabs>
      </w:pPr>
    </w:lvl>
  </w:abstractNum>
  <w:abstractNum w:abstractNumId="8">
    <w:nsid w:val="5BEAF4CC"/>
    <w:multiLevelType w:val="singleLevel"/>
    <w:tmpl w:val="5BEAF4CC"/>
    <w:lvl w:ilvl="0" w:tentative="0">
      <w:start w:val="1"/>
      <w:numFmt w:val="chineseCounting"/>
      <w:suff w:val="nothing"/>
      <w:lvlText w:val="（%1）"/>
      <w:lvlJc w:val="left"/>
      <w:rPr>
        <w:rFonts w:hint="eastAsia"/>
      </w:rPr>
    </w:lvl>
  </w:abstractNum>
  <w:abstractNum w:abstractNumId="9">
    <w:nsid w:val="732A9D7D"/>
    <w:multiLevelType w:val="singleLevel"/>
    <w:tmpl w:val="732A9D7D"/>
    <w:lvl w:ilvl="0" w:tentative="0">
      <w:start w:val="1"/>
      <w:numFmt w:val="chineseCounting"/>
      <w:suff w:val="nothing"/>
      <w:lvlText w:val="%1、"/>
      <w:lvlJc w:val="left"/>
      <w:rPr>
        <w:rFonts w:hint="eastAsia"/>
      </w:rPr>
    </w:lvl>
  </w:abstractNum>
  <w:num w:numId="1">
    <w:abstractNumId w:val="9"/>
  </w:num>
  <w:num w:numId="2">
    <w:abstractNumId w:val="6"/>
  </w:num>
  <w:num w:numId="3">
    <w:abstractNumId w:val="7"/>
  </w:num>
  <w:num w:numId="4">
    <w:abstractNumId w:val="1"/>
  </w:num>
  <w:num w:numId="5">
    <w:abstractNumId w:val="4"/>
  </w:num>
  <w:num w:numId="6">
    <w:abstractNumId w:val="0"/>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Y4ODU1ODY0YWNlNzRlNTA4ZTBlMjg5OWQ4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31"/>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5461621"/>
    <w:rsid w:val="066E0107"/>
    <w:rsid w:val="07996F6E"/>
    <w:rsid w:val="09EE09FE"/>
    <w:rsid w:val="0A2032A3"/>
    <w:rsid w:val="0A7C206F"/>
    <w:rsid w:val="0E3422FD"/>
    <w:rsid w:val="0F98263C"/>
    <w:rsid w:val="101860EC"/>
    <w:rsid w:val="108F5D13"/>
    <w:rsid w:val="10C055FF"/>
    <w:rsid w:val="118107EC"/>
    <w:rsid w:val="131048DA"/>
    <w:rsid w:val="13D50BC4"/>
    <w:rsid w:val="16BB723D"/>
    <w:rsid w:val="18084F4F"/>
    <w:rsid w:val="196E231C"/>
    <w:rsid w:val="1A5F124B"/>
    <w:rsid w:val="1ADF78E1"/>
    <w:rsid w:val="1BE8440E"/>
    <w:rsid w:val="1D155CEE"/>
    <w:rsid w:val="1FF35744"/>
    <w:rsid w:val="21CF210A"/>
    <w:rsid w:val="23794661"/>
    <w:rsid w:val="23860B96"/>
    <w:rsid w:val="23ED2E97"/>
    <w:rsid w:val="240371BF"/>
    <w:rsid w:val="26C26CF7"/>
    <w:rsid w:val="29FD04D3"/>
    <w:rsid w:val="2C8A61B5"/>
    <w:rsid w:val="2D884AEB"/>
    <w:rsid w:val="2DF04E50"/>
    <w:rsid w:val="2F040D46"/>
    <w:rsid w:val="306D4B10"/>
    <w:rsid w:val="30AD0B0B"/>
    <w:rsid w:val="319F7F4E"/>
    <w:rsid w:val="32A9493D"/>
    <w:rsid w:val="3304709D"/>
    <w:rsid w:val="356000B1"/>
    <w:rsid w:val="36AA5135"/>
    <w:rsid w:val="376D39B2"/>
    <w:rsid w:val="37E16F03"/>
    <w:rsid w:val="38D469F0"/>
    <w:rsid w:val="3B9A7EDD"/>
    <w:rsid w:val="3D3215BC"/>
    <w:rsid w:val="3D98207C"/>
    <w:rsid w:val="3E78745D"/>
    <w:rsid w:val="3ECD4691"/>
    <w:rsid w:val="3FA464CD"/>
    <w:rsid w:val="432F53AF"/>
    <w:rsid w:val="44E268DA"/>
    <w:rsid w:val="45F242F7"/>
    <w:rsid w:val="4A627F82"/>
    <w:rsid w:val="4B0E749A"/>
    <w:rsid w:val="4B4F25DA"/>
    <w:rsid w:val="4BE068DB"/>
    <w:rsid w:val="4D577224"/>
    <w:rsid w:val="4EAB630A"/>
    <w:rsid w:val="4ECE2238"/>
    <w:rsid w:val="537E6D0A"/>
    <w:rsid w:val="53E616A0"/>
    <w:rsid w:val="57A03AEE"/>
    <w:rsid w:val="5AF92295"/>
    <w:rsid w:val="5CD71FC4"/>
    <w:rsid w:val="5D286CB8"/>
    <w:rsid w:val="5E447C83"/>
    <w:rsid w:val="5E683121"/>
    <w:rsid w:val="5FDFA387"/>
    <w:rsid w:val="600C48A5"/>
    <w:rsid w:val="60A2202B"/>
    <w:rsid w:val="622F79DB"/>
    <w:rsid w:val="680367E7"/>
    <w:rsid w:val="68BE7F21"/>
    <w:rsid w:val="696A4AE4"/>
    <w:rsid w:val="6C4A05C8"/>
    <w:rsid w:val="6E7E3605"/>
    <w:rsid w:val="6FF5CC65"/>
    <w:rsid w:val="70814187"/>
    <w:rsid w:val="715C0E4B"/>
    <w:rsid w:val="72046866"/>
    <w:rsid w:val="72734D90"/>
    <w:rsid w:val="72AE5A41"/>
    <w:rsid w:val="72C232B3"/>
    <w:rsid w:val="7352461E"/>
    <w:rsid w:val="73AD73D5"/>
    <w:rsid w:val="73B6EB34"/>
    <w:rsid w:val="744731E5"/>
    <w:rsid w:val="748527D2"/>
    <w:rsid w:val="76E3355F"/>
    <w:rsid w:val="778769C8"/>
    <w:rsid w:val="780401C1"/>
    <w:rsid w:val="78F04E11"/>
    <w:rsid w:val="790064A6"/>
    <w:rsid w:val="79EE5BA4"/>
    <w:rsid w:val="7A894339"/>
    <w:rsid w:val="7B507820"/>
    <w:rsid w:val="7D9121E7"/>
    <w:rsid w:val="7EEF11D3"/>
    <w:rsid w:val="7F045A2D"/>
    <w:rsid w:val="7FA30C79"/>
    <w:rsid w:val="7FB7269E"/>
    <w:rsid w:val="7FC96657"/>
    <w:rsid w:val="D8D6DB89"/>
    <w:rsid w:val="DB6F4CAB"/>
    <w:rsid w:val="DF6F9789"/>
    <w:rsid w:val="FFBD68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eastAsia="仿宋"/>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Users\lenovo\Desktop\&#36130;&#21153;&#24037;&#20316;\2023&#24180;\2022&#24180;&#20915;&#31639;&#20844;&#24320;\&#20915;&#31639;&#20844;&#24320;&#30456;&#20851;&#36164;&#26009;\&#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收入总支</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工作表.xlsx]Sheet1'!$A$1:$B$1</c:f>
              <c:strCache>
                <c:ptCount val="2"/>
                <c:pt idx="0">
                  <c:v>2021年度</c:v>
                </c:pt>
                <c:pt idx="1">
                  <c:v>2022年度</c:v>
                </c:pt>
              </c:strCache>
            </c:strRef>
          </c:cat>
          <c:val>
            <c:numRef>
              <c:f>'[新建 XLSX 工作表.xlsx]Sheet1'!$A$2:$B$2</c:f>
              <c:numCache>
                <c:formatCode>General</c:formatCode>
                <c:ptCount val="2"/>
                <c:pt idx="0">
                  <c:v>1404.38</c:v>
                </c:pt>
                <c:pt idx="1">
                  <c:v>1315.83</c:v>
                </c:pt>
              </c:numCache>
            </c:numRef>
          </c:val>
        </c:ser>
        <c:dLbls>
          <c:showLegendKey val="0"/>
          <c:showVal val="1"/>
          <c:showCatName val="0"/>
          <c:showSerName val="0"/>
          <c:showPercent val="0"/>
          <c:showBubbleSize val="0"/>
        </c:dLbls>
        <c:gapWidth val="246"/>
        <c:overlap val="-28"/>
        <c:axId val="179605162"/>
        <c:axId val="315919708"/>
      </c:barChart>
      <c:catAx>
        <c:axId val="1796051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919708"/>
        <c:crosses val="autoZero"/>
        <c:auto val="1"/>
        <c:lblAlgn val="ctr"/>
        <c:lblOffset val="100"/>
        <c:noMultiLvlLbl val="0"/>
      </c:catAx>
      <c:valAx>
        <c:axId val="3159197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6051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本年收入</a:t>
            </a: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explosion val="1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numFmt formatCode="0.00%" sourceLinked="0"/>
              <c:spPr>
                <a:solidFill>
                  <a:sysClr val="window" lastClr="FFFFFF"/>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solidFill>
                  <a:sysClr val="window" lastClr="FFFFFF"/>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'[新建 XLSX 工作表.xlsx]Sheet1'!$A$20:$B$20</c:f>
              <c:strCache>
                <c:ptCount val="2"/>
                <c:pt idx="0">
                  <c:v>一般公共预算财政拨款收入</c:v>
                </c:pt>
                <c:pt idx="1">
                  <c:v>其他收入</c:v>
                </c:pt>
              </c:strCache>
            </c:strRef>
          </c:cat>
          <c:val>
            <c:numRef>
              <c:f>'[新建 XLSX 工作表.xlsx]Sheet1'!$A$21:$B$21</c:f>
              <c:numCache>
                <c:formatCode>General</c:formatCode>
                <c:ptCount val="2"/>
                <c:pt idx="0">
                  <c:v>1023.3</c:v>
                </c:pt>
                <c:pt idx="1">
                  <c:v>292.53</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spPr/>
          <c:explosion val="4"/>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工作表.xlsx]Sheet1'!$A$38:$B$38</c:f>
              <c:strCache>
                <c:ptCount val="2"/>
                <c:pt idx="0">
                  <c:v>基本支出</c:v>
                </c:pt>
                <c:pt idx="1">
                  <c:v>项目支出</c:v>
                </c:pt>
              </c:strCache>
            </c:strRef>
          </c:cat>
          <c:val>
            <c:numRef>
              <c:f>'[新建 XLSX 工作表.xlsx]Sheet1'!$A$39:$B$39</c:f>
              <c:numCache>
                <c:formatCode>General</c:formatCode>
                <c:ptCount val="2"/>
                <c:pt idx="0">
                  <c:v>996.9</c:v>
                </c:pt>
                <c:pt idx="1">
                  <c:v>318.93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财政拨款收、支总计</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工作表.xlsx]Sheet1'!$A$57:$B$57</c:f>
              <c:strCache>
                <c:ptCount val="2"/>
                <c:pt idx="0">
                  <c:v>2021年度</c:v>
                </c:pt>
                <c:pt idx="1">
                  <c:v>2022年度</c:v>
                </c:pt>
              </c:strCache>
            </c:strRef>
          </c:cat>
          <c:val>
            <c:numRef>
              <c:f>'[新建 XLSX 工作表.xlsx]Sheet1'!$A$58:$B$58</c:f>
              <c:numCache>
                <c:formatCode>General</c:formatCode>
                <c:ptCount val="2"/>
                <c:pt idx="0">
                  <c:v>1404.08</c:v>
                </c:pt>
                <c:pt idx="1" c:formatCode="0.00_ ">
                  <c:v>1023.3</c:v>
                </c:pt>
              </c:numCache>
            </c:numRef>
          </c:val>
        </c:ser>
        <c:dLbls>
          <c:showLegendKey val="0"/>
          <c:showVal val="1"/>
          <c:showCatName val="0"/>
          <c:showSerName val="0"/>
          <c:showPercent val="1"/>
          <c:showBubbleSize val="0"/>
        </c:dLbls>
        <c:gapWidth val="246"/>
        <c:overlap val="-28"/>
        <c:axId val="247681989"/>
        <c:axId val="548764032"/>
      </c:barChart>
      <c:catAx>
        <c:axId val="2476819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764032"/>
        <c:crosses val="autoZero"/>
        <c:auto val="1"/>
        <c:lblAlgn val="ctr"/>
        <c:lblOffset val="100"/>
        <c:noMultiLvlLbl val="0"/>
      </c:catAx>
      <c:valAx>
        <c:axId val="54876403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6819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工作表.xlsx]Sheet1'!$A$76:$B$76</c:f>
              <c:strCache>
                <c:ptCount val="2"/>
                <c:pt idx="0">
                  <c:v>2021年度</c:v>
                </c:pt>
                <c:pt idx="1">
                  <c:v>2022年度</c:v>
                </c:pt>
              </c:strCache>
            </c:strRef>
          </c:cat>
          <c:val>
            <c:numRef>
              <c:f>'[新建 XLSX 工作表.xlsx]Sheet1'!$A$77:$B$77</c:f>
              <c:numCache>
                <c:formatCode>General</c:formatCode>
                <c:ptCount val="2"/>
                <c:pt idx="0">
                  <c:v>1008.97</c:v>
                </c:pt>
                <c:pt idx="1" c:formatCode="0.00_ ">
                  <c:v>1023.3</c:v>
                </c:pt>
              </c:numCache>
            </c:numRef>
          </c:val>
        </c:ser>
        <c:dLbls>
          <c:showLegendKey val="0"/>
          <c:showVal val="1"/>
          <c:showCatName val="0"/>
          <c:showSerName val="0"/>
          <c:showPercent val="1"/>
          <c:showBubbleSize val="0"/>
        </c:dLbls>
        <c:gapWidth val="246"/>
        <c:overlap val="-28"/>
        <c:axId val="115284073"/>
        <c:axId val="470987954"/>
      </c:barChart>
      <c:catAx>
        <c:axId val="11528407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987954"/>
        <c:crosses val="autoZero"/>
        <c:auto val="1"/>
        <c:lblAlgn val="ctr"/>
        <c:lblOffset val="100"/>
        <c:noMultiLvlLbl val="0"/>
      </c:catAx>
      <c:valAx>
        <c:axId val="47098795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2840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explosion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dLbl>
              <c:idx val="1"/>
              <c:layout>
                <c:manualLayout>
                  <c:x val="-0.00789473684210532"/>
                  <c:y val="0.03472222222222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56578947368422"/>
                  <c:y val="-0.01041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18000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工作表.xlsx]Sheet1'!$A$95:$D$95</c:f>
              <c:strCache>
                <c:ptCount val="4"/>
                <c:pt idx="0">
                  <c:v>公共安全支出</c:v>
                </c:pt>
                <c:pt idx="1">
                  <c:v>社会保障和就业支出</c:v>
                </c:pt>
                <c:pt idx="2">
                  <c:v>卫生健康支出</c:v>
                </c:pt>
                <c:pt idx="3">
                  <c:v>住房保障支出</c:v>
                </c:pt>
              </c:strCache>
            </c:strRef>
          </c:cat>
          <c:val>
            <c:numRef>
              <c:f>'[新建 XLSX 工作表.xlsx]Sheet1'!$A$96:$D$96</c:f>
              <c:numCache>
                <c:formatCode>General</c:formatCode>
                <c:ptCount val="4"/>
                <c:pt idx="0">
                  <c:v>902.05</c:v>
                </c:pt>
                <c:pt idx="1">
                  <c:v>52.07</c:v>
                </c:pt>
                <c:pt idx="2">
                  <c:v>26.29</c:v>
                </c:pt>
                <c:pt idx="3">
                  <c:v>42.89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三公经费</a:t>
            </a:r>
          </a:p>
        </c:rich>
      </c:tx>
      <c:layout/>
      <c:overlay val="0"/>
      <c:spPr>
        <a:noFill/>
        <a:ln>
          <a:noFill/>
        </a:ln>
        <a:effectLst/>
      </c:spPr>
    </c:title>
    <c:autoTitleDeleted val="0"/>
    <c:plotArea>
      <c:layout/>
      <c:pieChart>
        <c:varyColors val="1"/>
        <c:ser>
          <c:idx val="0"/>
          <c:order val="0"/>
          <c:spPr/>
          <c:explosion val="3"/>
          <c:dPt>
            <c:idx val="0"/>
            <c:bubble3D val="0"/>
            <c:spPr>
              <a:gradFill>
                <a:gsLst>
                  <a:gs pos="0">
                    <a:schemeClr val="accent1">
                      <a:shade val="65000"/>
                      <a:lumMod val="40000"/>
                      <a:lumOff val="60000"/>
                    </a:schemeClr>
                  </a:gs>
                  <a:gs pos="90000">
                    <a:schemeClr val="accent1">
                      <a:shade val="65000"/>
                    </a:schemeClr>
                  </a:gs>
                </a:gsLst>
                <a:lin ang="5400000" scaled="0"/>
              </a:gradFill>
              <a:ln>
                <a:gradFill>
                  <a:gsLst>
                    <a:gs pos="0">
                      <a:schemeClr val="accent1">
                        <a:shade val="65000"/>
                      </a:schemeClr>
                    </a:gs>
                    <a:gs pos="100000">
                      <a:schemeClr val="accent1">
                        <a:shade val="65000"/>
                        <a:lumMod val="75000"/>
                      </a:schemeClr>
                    </a:gs>
                  </a:gsLst>
                  <a:lin ang="5400000" scaled="1"/>
                </a:gradFill>
              </a:ln>
              <a:effectLst/>
            </c:spPr>
          </c:dPt>
          <c:dPt>
            <c:idx val="1"/>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2"/>
            <c:bubble3D val="0"/>
            <c:spPr>
              <a:gradFill>
                <a:gsLst>
                  <a:gs pos="0">
                    <a:schemeClr val="accent1">
                      <a:tint val="65000"/>
                      <a:lumMod val="40000"/>
                      <a:lumOff val="60000"/>
                    </a:schemeClr>
                  </a:gs>
                  <a:gs pos="90000">
                    <a:schemeClr val="accent1">
                      <a:tint val="65000"/>
                    </a:schemeClr>
                  </a:gs>
                </a:gsLst>
                <a:lin ang="5400000" scaled="0"/>
              </a:gradFill>
              <a:ln>
                <a:gradFill>
                  <a:gsLst>
                    <a:gs pos="0">
                      <a:schemeClr val="accent1">
                        <a:tint val="65000"/>
                      </a:schemeClr>
                    </a:gs>
                    <a:gs pos="100000">
                      <a:schemeClr val="accent1">
                        <a:tint val="65000"/>
                        <a:lumMod val="75000"/>
                      </a:schemeClr>
                    </a:gs>
                  </a:gsLst>
                  <a:lin ang="5400000" scaled="1"/>
                </a:gra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工作表.xlsx]Sheet1'!$A$114:$C$114</c:f>
              <c:strCache>
                <c:ptCount val="3"/>
                <c:pt idx="0">
                  <c:v>公出国（境）费</c:v>
                </c:pt>
                <c:pt idx="1">
                  <c:v>公务用车购置及运行维护费</c:v>
                </c:pt>
                <c:pt idx="2">
                  <c:v>公务接待费</c:v>
                </c:pt>
              </c:strCache>
            </c:strRef>
          </c:cat>
          <c:val>
            <c:numRef>
              <c:f>'[新建 XLSX 工作表.xlsx]Sheet1'!$A$115:$C$115</c:f>
              <c:numCache>
                <c:formatCode>General</c:formatCode>
                <c:ptCount val="3"/>
                <c:pt idx="0">
                  <c:v>0</c:v>
                </c:pt>
                <c:pt idx="1" c:formatCode="0.00_ ">
                  <c:v>25.9</c:v>
                </c:pt>
                <c:pt idx="2">
                  <c:v>9.84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4</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微信用户</cp:lastModifiedBy>
  <cp:lastPrinted>2023-07-31T10:35:00Z</cp:lastPrinted>
  <dcterms:modified xsi:type="dcterms:W3CDTF">2023-09-28T00:58:08Z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