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color w:val="auto"/>
          <w:sz w:val="72"/>
          <w:szCs w:val="72"/>
          <w:highlight w:val="none"/>
        </w:rPr>
      </w:pPr>
      <w:bookmarkStart w:id="0" w:name="_Toc15377193"/>
      <w:bookmarkStart w:id="1" w:name="_Toc15396475"/>
      <w:bookmarkStart w:id="2" w:name="_Toc15377425"/>
      <w:bookmarkStart w:id="3" w:name="_Toc15378441"/>
      <w:bookmarkStart w:id="4" w:name="_Toc15396597"/>
      <w:bookmarkStart w:id="5"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23056"/>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6"/>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7" w:name="_Toc15396476"/>
      <w:bookmarkStart w:id="8" w:name="_Toc15377194"/>
      <w:bookmarkStart w:id="9" w:name="_Toc28143"/>
      <w:bookmarkStart w:id="10" w:name="_Toc15377426"/>
      <w:bookmarkStart w:id="11" w:name="_Toc15378442"/>
      <w:bookmarkStart w:id="12" w:name="_Toc15396598"/>
      <w:r>
        <w:rPr>
          <w:rFonts w:hint="eastAsia" w:ascii="方正小标宋简体" w:hAnsi="方正小标宋简体" w:eastAsia="方正小标宋简体" w:cs="方正小标宋简体"/>
          <w:color w:val="auto"/>
          <w:sz w:val="72"/>
          <w:szCs w:val="72"/>
          <w:highlight w:val="none"/>
          <w:lang w:eastAsia="zh-CN"/>
        </w:rPr>
        <w:t>广元市</w:t>
      </w:r>
      <w:bookmarkEnd w:id="5"/>
      <w:bookmarkStart w:id="13" w:name="_Toc15306268"/>
      <w:r>
        <w:rPr>
          <w:rFonts w:hint="eastAsia" w:ascii="方正小标宋简体" w:hAnsi="方正小标宋简体" w:eastAsia="方正小标宋简体" w:cs="方正小标宋简体"/>
          <w:color w:val="auto"/>
          <w:sz w:val="72"/>
          <w:szCs w:val="72"/>
          <w:highlight w:val="none"/>
          <w:lang w:eastAsia="zh-CN"/>
        </w:rPr>
        <w:t>昭化区人民检察院</w:t>
      </w:r>
      <w:r>
        <w:rPr>
          <w:rFonts w:hint="eastAsia" w:ascii="方正小标宋简体" w:hAnsi="方正小标宋简体" w:eastAsia="方正小标宋简体" w:cs="方正小标宋简体"/>
          <w:color w:val="auto"/>
          <w:sz w:val="72"/>
          <w:szCs w:val="72"/>
          <w:highlight w:val="none"/>
        </w:rPr>
        <w:t>部门决算</w:t>
      </w:r>
      <w:bookmarkEnd w:id="7"/>
      <w:bookmarkEnd w:id="8"/>
      <w:bookmarkEnd w:id="9"/>
      <w:bookmarkEnd w:id="10"/>
      <w:bookmarkEnd w:id="11"/>
      <w:bookmarkEnd w:id="12"/>
      <w:bookmarkEnd w:id="13"/>
    </w:p>
    <w:p>
      <w:pPr>
        <w:adjustRightInd w:val="0"/>
        <w:snapToGrid w:val="0"/>
        <w:spacing w:line="360" w:lineRule="auto"/>
        <w:jc w:val="both"/>
        <w:outlineLvl w:val="9"/>
        <w:rPr>
          <w:rFonts w:ascii="方正小标宋简体" w:hAnsi="宋体" w:eastAsia="方正小标宋简体"/>
          <w:color w:val="auto"/>
          <w:sz w:val="52"/>
          <w:szCs w:val="52"/>
          <w:highlight w:val="none"/>
        </w:rPr>
      </w:pPr>
    </w:p>
    <w:p>
      <w:pPr>
        <w:widowControl/>
        <w:jc w:val="center"/>
        <w:rPr>
          <w:rFonts w:ascii="黑体" w:hAnsi="黑体" w:eastAsia="黑体" w:cstheme="minorBidi"/>
          <w:color w:val="auto"/>
          <w:sz w:val="28"/>
          <w:szCs w:val="2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pStyle w:val="13"/>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7</w:t>
      </w:r>
      <w:r>
        <w:rPr>
          <w:rFonts w:hint="eastAsia"/>
          <w:color w:val="auto"/>
          <w:highlight w:val="none"/>
        </w:rPr>
        <w:t>日</w:t>
      </w:r>
    </w:p>
    <w:sdt>
      <w:sdtPr>
        <w:rPr>
          <w:rFonts w:ascii="宋体" w:hAnsi="宋体" w:eastAsia="宋体" w:cs="Times New Roman"/>
          <w:kern w:val="2"/>
          <w:sz w:val="21"/>
          <w:szCs w:val="24"/>
          <w:lang w:val="en-US" w:eastAsia="zh-CN" w:bidi="ar-SA"/>
        </w:rPr>
        <w:id w:val="147456496"/>
        <w15:color w:val="DBDBDB"/>
        <w:docPartObj>
          <w:docPartGallery w:val="Table of Contents"/>
          <w:docPartUnique/>
        </w:docPartObj>
      </w:sdtPr>
      <w:sdtEndPr>
        <w:rPr>
          <w:rFonts w:ascii="Times New Roman" w:hAnsi="Times New Roman" w:eastAsia="宋体" w:cs="Times New Roman"/>
          <w:b/>
          <w:color w:val="auto"/>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pPr>
        </w:p>
        <w:p>
          <w:pPr>
            <w:pStyle w:val="36"/>
            <w:tabs>
              <w:tab w:val="right" w:leader="dot" w:pos="8306"/>
            </w:tabs>
            <w:rPr>
              <w:b/>
            </w:rPr>
          </w:pPr>
          <w:r>
            <w:rPr>
              <w:color w:val="auto"/>
              <w:highlight w:val="none"/>
            </w:rPr>
            <w:fldChar w:fldCharType="begin"/>
          </w:r>
          <w:r>
            <w:rPr>
              <w:color w:val="auto"/>
              <w:highlight w:val="none"/>
            </w:rPr>
            <w:instrText xml:space="preserve">TOC \o "1-2" \h \u </w:instrText>
          </w:r>
          <w:r>
            <w:rPr>
              <w:color w:val="auto"/>
              <w:highlight w:val="none"/>
            </w:rPr>
            <w:fldChar w:fldCharType="separate"/>
          </w:r>
          <w:r>
            <w:rPr>
              <w:b/>
              <w:color w:val="auto"/>
              <w:highlight w:val="none"/>
            </w:rPr>
            <w:fldChar w:fldCharType="begin"/>
          </w:r>
          <w:r>
            <w:rPr>
              <w:b/>
              <w:highlight w:val="none"/>
            </w:rPr>
            <w:instrText xml:space="preserve"> HYPERLINK \l _Toc558 </w:instrText>
          </w:r>
          <w:r>
            <w:rPr>
              <w:b/>
              <w:highlight w:val="none"/>
            </w:rPr>
            <w:fldChar w:fldCharType="separate"/>
          </w:r>
          <w:r>
            <w:rPr>
              <w:rFonts w:hint="eastAsia" w:ascii="黑体" w:hAnsi="黑体" w:eastAsia="黑体"/>
              <w:b/>
              <w:highlight w:val="none"/>
            </w:rPr>
            <w:t xml:space="preserve">第一部分 </w:t>
          </w:r>
          <w:r>
            <w:rPr>
              <w:rFonts w:hint="eastAsia" w:ascii="黑体" w:hAnsi="黑体" w:eastAsia="黑体"/>
              <w:b/>
              <w:bCs w:val="0"/>
              <w:highlight w:val="none"/>
            </w:rPr>
            <w:t>部门概况</w:t>
          </w:r>
          <w:r>
            <w:rPr>
              <w:rFonts w:hint="eastAsia" w:ascii="黑体" w:hAnsi="黑体" w:eastAsia="黑体"/>
              <w:b/>
              <w:highlight w:val="none"/>
              <w:lang w:eastAsia="zh-CN"/>
            </w:rPr>
            <w:t>部门职责</w:t>
          </w:r>
          <w:r>
            <w:rPr>
              <w:b/>
            </w:rPr>
            <w:tab/>
          </w:r>
          <w:r>
            <w:rPr>
              <w:b/>
            </w:rPr>
            <w:fldChar w:fldCharType="begin"/>
          </w:r>
          <w:r>
            <w:rPr>
              <w:b/>
            </w:rPr>
            <w:instrText xml:space="preserve"> PAGEREF _Toc558 \h </w:instrText>
          </w:r>
          <w:r>
            <w:rPr>
              <w:b/>
            </w:rPr>
            <w:fldChar w:fldCharType="separate"/>
          </w:r>
          <w:r>
            <w:rPr>
              <w:b/>
            </w:rPr>
            <w:t>1</w:t>
          </w:r>
          <w:r>
            <w:rPr>
              <w:b/>
            </w:rPr>
            <w:fldChar w:fldCharType="end"/>
          </w:r>
          <w:r>
            <w:rPr>
              <w:b/>
              <w:color w:val="auto"/>
              <w:highlight w:val="none"/>
            </w:rPr>
            <w:fldChar w:fldCharType="end"/>
          </w:r>
        </w:p>
        <w:p>
          <w:pPr>
            <w:pStyle w:val="37"/>
            <w:tabs>
              <w:tab w:val="right" w:leader="dot" w:pos="8306"/>
            </w:tabs>
          </w:pPr>
          <w:r>
            <w:rPr>
              <w:color w:val="auto"/>
              <w:highlight w:val="none"/>
            </w:rPr>
            <w:fldChar w:fldCharType="begin"/>
          </w:r>
          <w:r>
            <w:rPr>
              <w:highlight w:val="none"/>
            </w:rPr>
            <w:instrText xml:space="preserve"> HYPERLINK \l _Toc25871 </w:instrText>
          </w:r>
          <w:r>
            <w:rPr>
              <w:highlight w:val="none"/>
            </w:rPr>
            <w:fldChar w:fldCharType="separate"/>
          </w:r>
          <w:r>
            <w:rPr>
              <w:rFonts w:hint="eastAsia" w:ascii="黑体" w:hAnsi="黑体" w:eastAsia="黑体" w:cs="黑体"/>
              <w:szCs w:val="32"/>
              <w:lang w:val="en-US" w:eastAsia="zh-CN"/>
            </w:rPr>
            <w:t>一、部门职责</w:t>
          </w:r>
          <w:r>
            <w:tab/>
          </w:r>
          <w:r>
            <w:fldChar w:fldCharType="begin"/>
          </w:r>
          <w:r>
            <w:instrText xml:space="preserve"> PAGEREF _Toc25871 \h </w:instrText>
          </w:r>
          <w:r>
            <w:fldChar w:fldCharType="separate"/>
          </w:r>
          <w:r>
            <w:t>1</w:t>
          </w:r>
          <w:r>
            <w:fldChar w:fldCharType="end"/>
          </w:r>
          <w:r>
            <w:rPr>
              <w:color w:val="auto"/>
              <w:highlight w:val="none"/>
            </w:rPr>
            <w:fldChar w:fldCharType="end"/>
          </w:r>
        </w:p>
        <w:p>
          <w:pPr>
            <w:pStyle w:val="37"/>
            <w:tabs>
              <w:tab w:val="right" w:leader="dot" w:pos="8306"/>
            </w:tabs>
          </w:pPr>
          <w:r>
            <w:rPr>
              <w:color w:val="auto"/>
              <w:highlight w:val="none"/>
            </w:rPr>
            <w:fldChar w:fldCharType="begin"/>
          </w:r>
          <w:r>
            <w:rPr>
              <w:highlight w:val="none"/>
            </w:rPr>
            <w:instrText xml:space="preserve"> HYPERLINK \l _Toc19312 </w:instrText>
          </w:r>
          <w:r>
            <w:rPr>
              <w:highlight w:val="none"/>
            </w:rPr>
            <w:fldChar w:fldCharType="separate"/>
          </w:r>
          <w:r>
            <w:rPr>
              <w:rFonts w:hint="eastAsia" w:ascii="黑体" w:hAnsi="黑体" w:eastAsia="黑体" w:cs="黑体"/>
              <w:szCs w:val="32"/>
              <w:lang w:val="en-US" w:eastAsia="zh-CN"/>
            </w:rPr>
            <w:t>二、 机构设置</w:t>
          </w:r>
          <w:r>
            <w:tab/>
          </w:r>
          <w:r>
            <w:fldChar w:fldCharType="begin"/>
          </w:r>
          <w:r>
            <w:instrText xml:space="preserve"> PAGEREF _Toc19312 \h </w:instrText>
          </w:r>
          <w:r>
            <w:fldChar w:fldCharType="separate"/>
          </w:r>
          <w:r>
            <w:t>1</w:t>
          </w:r>
          <w:r>
            <w:fldChar w:fldCharType="end"/>
          </w:r>
          <w:r>
            <w:rPr>
              <w:color w:val="auto"/>
              <w:highlight w:val="none"/>
            </w:rPr>
            <w:fldChar w:fldCharType="end"/>
          </w:r>
        </w:p>
        <w:p>
          <w:pPr>
            <w:pStyle w:val="36"/>
            <w:tabs>
              <w:tab w:val="right" w:leader="dot" w:pos="8306"/>
            </w:tabs>
            <w:rPr>
              <w:b/>
            </w:rPr>
          </w:pPr>
          <w:r>
            <w:rPr>
              <w:b/>
              <w:color w:val="auto"/>
              <w:highlight w:val="none"/>
            </w:rPr>
            <w:fldChar w:fldCharType="begin"/>
          </w:r>
          <w:r>
            <w:rPr>
              <w:b/>
              <w:highlight w:val="none"/>
            </w:rPr>
            <w:instrText xml:space="preserve"> HYPERLINK \l _Toc23536 </w:instrText>
          </w:r>
          <w:r>
            <w:rPr>
              <w:b/>
              <w:highlight w:val="none"/>
            </w:rPr>
            <w:fldChar w:fldCharType="separate"/>
          </w:r>
          <w:r>
            <w:rPr>
              <w:rFonts w:hint="eastAsia" w:ascii="黑体" w:hAnsi="黑体" w:eastAsia="黑体"/>
              <w:b/>
              <w:bCs/>
              <w:highlight w:val="none"/>
            </w:rPr>
            <w:t xml:space="preserve">第二部分 </w:t>
          </w:r>
          <w:r>
            <w:rPr>
              <w:rFonts w:hint="eastAsia" w:ascii="黑体" w:hAnsi="黑体" w:eastAsia="黑体"/>
              <w:b/>
              <w:bCs/>
              <w:highlight w:val="none"/>
              <w:lang w:val="en-US" w:eastAsia="zh-CN"/>
            </w:rPr>
            <w:t>2022年度</w:t>
          </w:r>
          <w:r>
            <w:rPr>
              <w:rFonts w:hint="eastAsia" w:ascii="黑体" w:hAnsi="黑体" w:eastAsia="黑体"/>
              <w:b/>
              <w:bCs/>
              <w:highlight w:val="none"/>
            </w:rPr>
            <w:t>部门决算情况说明</w:t>
          </w:r>
          <w:r>
            <w:rPr>
              <w:b/>
            </w:rPr>
            <w:tab/>
          </w:r>
          <w:r>
            <w:rPr>
              <w:b/>
            </w:rPr>
            <w:fldChar w:fldCharType="begin"/>
          </w:r>
          <w:r>
            <w:rPr>
              <w:b/>
            </w:rPr>
            <w:instrText xml:space="preserve"> PAGEREF _Toc23536 \h </w:instrText>
          </w:r>
          <w:r>
            <w:rPr>
              <w:b/>
            </w:rPr>
            <w:fldChar w:fldCharType="separate"/>
          </w:r>
          <w:r>
            <w:rPr>
              <w:b/>
            </w:rPr>
            <w:t>2</w:t>
          </w:r>
          <w:r>
            <w:rPr>
              <w:b/>
            </w:rPr>
            <w:fldChar w:fldCharType="end"/>
          </w:r>
          <w:r>
            <w:rPr>
              <w:b/>
              <w:color w:val="auto"/>
              <w:highlight w:val="none"/>
            </w:rPr>
            <w:fldChar w:fldCharType="end"/>
          </w:r>
        </w:p>
        <w:p>
          <w:pPr>
            <w:pStyle w:val="37"/>
            <w:tabs>
              <w:tab w:val="right" w:leader="dot" w:pos="8306"/>
            </w:tabs>
          </w:pPr>
          <w:r>
            <w:rPr>
              <w:color w:val="auto"/>
              <w:highlight w:val="none"/>
            </w:rPr>
            <w:fldChar w:fldCharType="begin"/>
          </w:r>
          <w:r>
            <w:rPr>
              <w:highlight w:val="none"/>
            </w:rPr>
            <w:instrText xml:space="preserve"> HYPERLINK \l _Toc19830 </w:instrText>
          </w:r>
          <w:r>
            <w:rPr>
              <w:highlight w:val="none"/>
            </w:rP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_Toc19830 \h </w:instrText>
          </w:r>
          <w:r>
            <w:fldChar w:fldCharType="separate"/>
          </w:r>
          <w:r>
            <w:t>2</w:t>
          </w:r>
          <w:r>
            <w:fldChar w:fldCharType="end"/>
          </w:r>
          <w:r>
            <w:rPr>
              <w:color w:val="auto"/>
              <w:highlight w:val="none"/>
            </w:rPr>
            <w:fldChar w:fldCharType="end"/>
          </w:r>
        </w:p>
        <w:p>
          <w:pPr>
            <w:pStyle w:val="37"/>
            <w:tabs>
              <w:tab w:val="right" w:leader="dot" w:pos="8306"/>
            </w:tabs>
          </w:pPr>
          <w:r>
            <w:rPr>
              <w:color w:val="auto"/>
              <w:highlight w:val="none"/>
            </w:rPr>
            <w:fldChar w:fldCharType="begin"/>
          </w:r>
          <w:r>
            <w:rPr>
              <w:highlight w:val="none"/>
            </w:rPr>
            <w:instrText xml:space="preserve"> HYPERLINK \l _Toc1533 </w:instrText>
          </w:r>
          <w:r>
            <w:rPr>
              <w:highlight w:val="none"/>
            </w:rPr>
            <w:fldChar w:fldCharType="separate"/>
          </w:r>
          <w:r>
            <w:rPr>
              <w:rFonts w:hint="default" w:ascii="黑体" w:hAnsi="黑体" w:eastAsia="黑体"/>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_Toc1533 \h </w:instrText>
          </w:r>
          <w:r>
            <w:fldChar w:fldCharType="separate"/>
          </w:r>
          <w:r>
            <w:t>2</w:t>
          </w:r>
          <w:r>
            <w:fldChar w:fldCharType="end"/>
          </w:r>
          <w:r>
            <w:rPr>
              <w:color w:val="auto"/>
              <w:highlight w:val="none"/>
            </w:rPr>
            <w:fldChar w:fldCharType="end"/>
          </w:r>
        </w:p>
        <w:p>
          <w:pPr>
            <w:pStyle w:val="37"/>
            <w:tabs>
              <w:tab w:val="right" w:leader="dot" w:pos="8306"/>
            </w:tabs>
          </w:pPr>
          <w:r>
            <w:rPr>
              <w:color w:val="auto"/>
              <w:highlight w:val="none"/>
            </w:rPr>
            <w:fldChar w:fldCharType="begin"/>
          </w:r>
          <w:r>
            <w:rPr>
              <w:highlight w:val="none"/>
            </w:rPr>
            <w:instrText xml:space="preserve"> HYPERLINK \l _Toc29209 </w:instrText>
          </w:r>
          <w:r>
            <w:rPr>
              <w:highlight w:val="none"/>
            </w:rPr>
            <w:fldChar w:fldCharType="separate"/>
          </w:r>
          <w:r>
            <w:rPr>
              <w:rFonts w:hint="default" w:ascii="黑体" w:hAnsi="黑体" w:eastAsia="黑体"/>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_Toc29209 \h </w:instrText>
          </w:r>
          <w:r>
            <w:fldChar w:fldCharType="separate"/>
          </w:r>
          <w:r>
            <w:t>3</w:t>
          </w:r>
          <w:r>
            <w:fldChar w:fldCharType="end"/>
          </w:r>
          <w:r>
            <w:rPr>
              <w:color w:val="auto"/>
              <w:highlight w:val="none"/>
            </w:rPr>
            <w:fldChar w:fldCharType="end"/>
          </w:r>
        </w:p>
        <w:p>
          <w:pPr>
            <w:pStyle w:val="37"/>
            <w:tabs>
              <w:tab w:val="right" w:leader="dot" w:pos="8306"/>
            </w:tabs>
          </w:pPr>
          <w:r>
            <w:rPr>
              <w:color w:val="auto"/>
              <w:highlight w:val="none"/>
            </w:rPr>
            <w:fldChar w:fldCharType="begin"/>
          </w:r>
          <w:r>
            <w:rPr>
              <w:highlight w:val="none"/>
            </w:rPr>
            <w:instrText xml:space="preserve"> HYPERLINK \l _Toc30325 </w:instrText>
          </w:r>
          <w:r>
            <w:rPr>
              <w:highlight w:val="none"/>
            </w:rP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_Toc30325 \h </w:instrText>
          </w:r>
          <w:r>
            <w:fldChar w:fldCharType="separate"/>
          </w:r>
          <w:r>
            <w:t>4</w:t>
          </w:r>
          <w:r>
            <w:fldChar w:fldCharType="end"/>
          </w:r>
          <w:r>
            <w:rPr>
              <w:color w:val="auto"/>
              <w:highlight w:val="none"/>
            </w:rPr>
            <w:fldChar w:fldCharType="end"/>
          </w:r>
        </w:p>
        <w:p>
          <w:pPr>
            <w:pStyle w:val="37"/>
            <w:tabs>
              <w:tab w:val="right" w:leader="dot" w:pos="8306"/>
            </w:tabs>
          </w:pPr>
          <w:r>
            <w:rPr>
              <w:color w:val="auto"/>
              <w:highlight w:val="none"/>
            </w:rPr>
            <w:fldChar w:fldCharType="begin"/>
          </w:r>
          <w:r>
            <w:rPr>
              <w:highlight w:val="none"/>
            </w:rPr>
            <w:instrText xml:space="preserve"> HYPERLINK \l _Toc7417 </w:instrText>
          </w:r>
          <w:r>
            <w:rPr>
              <w:highlight w:val="none"/>
            </w:rP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fldChar w:fldCharType="begin"/>
          </w:r>
          <w:r>
            <w:instrText xml:space="preserve"> PAGEREF _Toc7417 \h </w:instrText>
          </w:r>
          <w:r>
            <w:fldChar w:fldCharType="separate"/>
          </w:r>
          <w:r>
            <w:t>4</w:t>
          </w:r>
          <w:r>
            <w:fldChar w:fldCharType="end"/>
          </w:r>
          <w:r>
            <w:rPr>
              <w:color w:val="auto"/>
              <w:highlight w:val="none"/>
            </w:rPr>
            <w:fldChar w:fldCharType="end"/>
          </w:r>
        </w:p>
        <w:p>
          <w:pPr>
            <w:pStyle w:val="37"/>
            <w:tabs>
              <w:tab w:val="right" w:leader="dot" w:pos="8306"/>
            </w:tabs>
          </w:pPr>
          <w:r>
            <w:rPr>
              <w:color w:val="auto"/>
              <w:highlight w:val="none"/>
            </w:rPr>
            <w:fldChar w:fldCharType="begin"/>
          </w:r>
          <w:r>
            <w:rPr>
              <w:highlight w:val="none"/>
            </w:rPr>
            <w:instrText xml:space="preserve"> HYPERLINK \l _Toc10239 </w:instrText>
          </w:r>
          <w:r>
            <w:rPr>
              <w:highlight w:val="none"/>
            </w:rP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_Toc10239 \h </w:instrText>
          </w:r>
          <w:r>
            <w:fldChar w:fldCharType="separate"/>
          </w:r>
          <w:r>
            <w:t>7</w:t>
          </w:r>
          <w:r>
            <w:fldChar w:fldCharType="end"/>
          </w:r>
          <w:r>
            <w:rPr>
              <w:color w:val="auto"/>
              <w:highlight w:val="none"/>
            </w:rPr>
            <w:fldChar w:fldCharType="end"/>
          </w:r>
        </w:p>
        <w:p>
          <w:pPr>
            <w:pStyle w:val="37"/>
            <w:tabs>
              <w:tab w:val="right" w:leader="dot" w:pos="8306"/>
            </w:tabs>
          </w:pPr>
          <w:r>
            <w:rPr>
              <w:color w:val="auto"/>
              <w:highlight w:val="none"/>
            </w:rPr>
            <w:fldChar w:fldCharType="begin"/>
          </w:r>
          <w:r>
            <w:rPr>
              <w:highlight w:val="none"/>
            </w:rPr>
            <w:instrText xml:space="preserve"> HYPERLINK \l _Toc6938 </w:instrText>
          </w:r>
          <w:r>
            <w:rPr>
              <w:highlight w:val="none"/>
            </w:rPr>
            <w:fldChar w:fldCharType="separate"/>
          </w:r>
          <w:r>
            <w:rPr>
              <w:rFonts w:hint="eastAsia" w:ascii="黑体" w:eastAsia="黑体"/>
              <w:szCs w:val="32"/>
              <w:highlight w:val="none"/>
            </w:rPr>
            <w:t>七、</w:t>
          </w:r>
          <w:r>
            <w:rPr>
              <w:rFonts w:hint="eastAsia" w:ascii="黑体" w:hAnsi="黑体" w:eastAsia="黑体"/>
              <w:highlight w:val="none"/>
            </w:rPr>
            <w:t>财政拨款“三公”经费支出决算情况说明</w:t>
          </w:r>
          <w:r>
            <w:tab/>
          </w:r>
          <w:r>
            <w:fldChar w:fldCharType="begin"/>
          </w:r>
          <w:r>
            <w:instrText xml:space="preserve"> PAGEREF _Toc6938 \h </w:instrText>
          </w:r>
          <w:r>
            <w:fldChar w:fldCharType="separate"/>
          </w:r>
          <w:r>
            <w:t>7</w:t>
          </w:r>
          <w:r>
            <w:fldChar w:fldCharType="end"/>
          </w:r>
          <w:r>
            <w:rPr>
              <w:color w:val="auto"/>
              <w:highlight w:val="none"/>
            </w:rPr>
            <w:fldChar w:fldCharType="end"/>
          </w:r>
        </w:p>
        <w:p>
          <w:pPr>
            <w:pStyle w:val="37"/>
            <w:tabs>
              <w:tab w:val="right" w:leader="dot" w:pos="8306"/>
            </w:tabs>
          </w:pPr>
          <w:r>
            <w:rPr>
              <w:color w:val="auto"/>
              <w:highlight w:val="none"/>
            </w:rPr>
            <w:fldChar w:fldCharType="begin"/>
          </w:r>
          <w:r>
            <w:rPr>
              <w:highlight w:val="none"/>
            </w:rPr>
            <w:instrText xml:space="preserve"> HYPERLINK \l _Toc9622 </w:instrText>
          </w:r>
          <w:r>
            <w:rPr>
              <w:highlight w:val="none"/>
            </w:rP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_Toc9622 \h </w:instrText>
          </w:r>
          <w:r>
            <w:fldChar w:fldCharType="separate"/>
          </w:r>
          <w:r>
            <w:t>9</w:t>
          </w:r>
          <w:r>
            <w:fldChar w:fldCharType="end"/>
          </w:r>
          <w:r>
            <w:rPr>
              <w:color w:val="auto"/>
              <w:highlight w:val="none"/>
            </w:rPr>
            <w:fldChar w:fldCharType="end"/>
          </w:r>
        </w:p>
        <w:p>
          <w:pPr>
            <w:pStyle w:val="37"/>
            <w:tabs>
              <w:tab w:val="right" w:leader="dot" w:pos="8306"/>
            </w:tabs>
          </w:pPr>
          <w:r>
            <w:rPr>
              <w:color w:val="auto"/>
              <w:highlight w:val="none"/>
            </w:rPr>
            <w:fldChar w:fldCharType="begin"/>
          </w:r>
          <w:r>
            <w:rPr>
              <w:highlight w:val="none"/>
            </w:rPr>
            <w:instrText xml:space="preserve"> HYPERLINK \l _Toc106 </w:instrText>
          </w:r>
          <w:r>
            <w:rPr>
              <w:highlight w:val="none"/>
            </w:rPr>
            <w:fldChar w:fldCharType="separate"/>
          </w:r>
          <w:r>
            <w:rPr>
              <w:rFonts w:hint="eastAsia" w:ascii="黑体" w:hAnsi="黑体" w:eastAsia="黑体"/>
            </w:rPr>
            <w:t xml:space="preserve">九、 </w:t>
          </w:r>
          <w:r>
            <w:rPr>
              <w:rFonts w:hint="eastAsia" w:ascii="黑体" w:hAnsi="黑体" w:eastAsia="黑体"/>
              <w:highlight w:val="none"/>
            </w:rPr>
            <w:t>国有资本经营预算支出决算情况说明</w:t>
          </w:r>
          <w:r>
            <w:tab/>
          </w:r>
          <w:r>
            <w:fldChar w:fldCharType="begin"/>
          </w:r>
          <w:r>
            <w:instrText xml:space="preserve"> PAGEREF _Toc106 \h </w:instrText>
          </w:r>
          <w:r>
            <w:fldChar w:fldCharType="separate"/>
          </w:r>
          <w:r>
            <w:t>9</w:t>
          </w:r>
          <w:r>
            <w:fldChar w:fldCharType="end"/>
          </w:r>
          <w:r>
            <w:rPr>
              <w:color w:val="auto"/>
              <w:highlight w:val="none"/>
            </w:rPr>
            <w:fldChar w:fldCharType="end"/>
          </w:r>
        </w:p>
        <w:p>
          <w:pPr>
            <w:pStyle w:val="37"/>
            <w:tabs>
              <w:tab w:val="right" w:leader="dot" w:pos="8306"/>
            </w:tabs>
          </w:pPr>
          <w:r>
            <w:rPr>
              <w:color w:val="auto"/>
              <w:highlight w:val="none"/>
            </w:rPr>
            <w:fldChar w:fldCharType="begin"/>
          </w:r>
          <w:r>
            <w:rPr>
              <w:highlight w:val="none"/>
            </w:rPr>
            <w:instrText xml:space="preserve"> HYPERLINK \l _Toc20488 </w:instrText>
          </w:r>
          <w:r>
            <w:rPr>
              <w:highlight w:val="none"/>
            </w:rPr>
            <w:fldChar w:fldCharType="separate"/>
          </w:r>
          <w:r>
            <w:rPr>
              <w:rFonts w:hint="eastAsia" w:ascii="黑体" w:hAnsi="黑体" w:eastAsia="黑体"/>
            </w:rPr>
            <w:t xml:space="preserve">十、 </w:t>
          </w:r>
          <w:r>
            <w:rPr>
              <w:rFonts w:hint="eastAsia" w:ascii="黑体" w:hAnsi="黑体" w:eastAsia="黑体"/>
              <w:highlight w:val="none"/>
            </w:rPr>
            <w:t>其他重要事项的情况说明</w:t>
          </w:r>
          <w:r>
            <w:tab/>
          </w:r>
          <w:r>
            <w:fldChar w:fldCharType="begin"/>
          </w:r>
          <w:r>
            <w:instrText xml:space="preserve"> PAGEREF _Toc20488 \h </w:instrText>
          </w:r>
          <w:r>
            <w:fldChar w:fldCharType="separate"/>
          </w:r>
          <w:r>
            <w:t>10</w:t>
          </w:r>
          <w:r>
            <w:fldChar w:fldCharType="end"/>
          </w:r>
          <w:r>
            <w:rPr>
              <w:color w:val="auto"/>
              <w:highlight w:val="none"/>
            </w:rPr>
            <w:fldChar w:fldCharType="end"/>
          </w:r>
        </w:p>
        <w:p>
          <w:pPr>
            <w:pStyle w:val="36"/>
            <w:tabs>
              <w:tab w:val="right" w:leader="dot" w:pos="8306"/>
            </w:tabs>
            <w:rPr>
              <w:b/>
            </w:rPr>
          </w:pPr>
          <w:r>
            <w:rPr>
              <w:b/>
              <w:color w:val="auto"/>
              <w:highlight w:val="none"/>
            </w:rPr>
            <w:fldChar w:fldCharType="begin"/>
          </w:r>
          <w:r>
            <w:rPr>
              <w:b/>
              <w:highlight w:val="none"/>
            </w:rPr>
            <w:instrText xml:space="preserve"> HYPERLINK \l _Toc5133 </w:instrText>
          </w:r>
          <w:r>
            <w:rPr>
              <w:b/>
              <w:highlight w:val="none"/>
            </w:rPr>
            <w:fldChar w:fldCharType="separate"/>
          </w:r>
          <w:r>
            <w:rPr>
              <w:rFonts w:hint="eastAsia" w:ascii="黑体" w:hAnsi="黑体" w:eastAsia="黑体"/>
              <w:b/>
            </w:rPr>
            <w:t xml:space="preserve">第三部分 </w:t>
          </w:r>
          <w:r>
            <w:rPr>
              <w:rFonts w:hint="eastAsia" w:ascii="黑体" w:hAnsi="黑体" w:eastAsia="黑体"/>
              <w:b/>
              <w:szCs w:val="44"/>
              <w:highlight w:val="none"/>
            </w:rPr>
            <w:t>名</w:t>
          </w:r>
          <w:r>
            <w:rPr>
              <w:rFonts w:hint="eastAsia" w:ascii="黑体" w:hAnsi="黑体" w:eastAsia="黑体"/>
              <w:b/>
              <w:highlight w:val="none"/>
            </w:rPr>
            <w:t>词解释</w:t>
          </w:r>
          <w:r>
            <w:rPr>
              <w:b/>
            </w:rPr>
            <w:tab/>
          </w:r>
          <w:r>
            <w:rPr>
              <w:b/>
            </w:rPr>
            <w:fldChar w:fldCharType="begin"/>
          </w:r>
          <w:r>
            <w:rPr>
              <w:b/>
            </w:rPr>
            <w:instrText xml:space="preserve"> PAGEREF _Toc5133 \h </w:instrText>
          </w:r>
          <w:r>
            <w:rPr>
              <w:b/>
            </w:rPr>
            <w:fldChar w:fldCharType="separate"/>
          </w:r>
          <w:r>
            <w:rPr>
              <w:b/>
            </w:rPr>
            <w:t>12</w:t>
          </w:r>
          <w:r>
            <w:rPr>
              <w:b/>
            </w:rPr>
            <w:fldChar w:fldCharType="end"/>
          </w:r>
          <w:r>
            <w:rPr>
              <w:b/>
              <w:color w:val="auto"/>
              <w:highlight w:val="none"/>
            </w:rPr>
            <w:fldChar w:fldCharType="end"/>
          </w:r>
        </w:p>
        <w:p>
          <w:pPr>
            <w:pStyle w:val="36"/>
            <w:tabs>
              <w:tab w:val="right" w:leader="dot" w:pos="8306"/>
            </w:tabs>
            <w:rPr>
              <w:b/>
            </w:rPr>
          </w:pPr>
          <w:r>
            <w:rPr>
              <w:b/>
              <w:color w:val="auto"/>
              <w:highlight w:val="none"/>
            </w:rPr>
            <w:fldChar w:fldCharType="begin"/>
          </w:r>
          <w:r>
            <w:rPr>
              <w:b/>
              <w:highlight w:val="none"/>
            </w:rPr>
            <w:instrText xml:space="preserve"> HYPERLINK \l _Toc13240 </w:instrText>
          </w:r>
          <w:r>
            <w:rPr>
              <w:b/>
              <w:highlight w:val="none"/>
            </w:rPr>
            <w:fldChar w:fldCharType="separate"/>
          </w:r>
          <w:r>
            <w:rPr>
              <w:rFonts w:hint="eastAsia" w:ascii="黑体" w:hAnsi="黑体" w:eastAsia="黑体"/>
              <w:b/>
              <w:szCs w:val="44"/>
              <w:highlight w:val="none"/>
            </w:rPr>
            <w:t>第</w:t>
          </w:r>
          <w:r>
            <w:rPr>
              <w:rFonts w:hint="eastAsia" w:ascii="黑体" w:hAnsi="黑体" w:eastAsia="黑体"/>
              <w:b/>
              <w:highlight w:val="none"/>
            </w:rPr>
            <w:t>四部分 附件</w:t>
          </w:r>
          <w:r>
            <w:rPr>
              <w:b/>
            </w:rPr>
            <w:tab/>
          </w:r>
          <w:r>
            <w:rPr>
              <w:b/>
            </w:rPr>
            <w:fldChar w:fldCharType="begin"/>
          </w:r>
          <w:r>
            <w:rPr>
              <w:b/>
            </w:rPr>
            <w:instrText xml:space="preserve"> PAGEREF _Toc13240 \h </w:instrText>
          </w:r>
          <w:r>
            <w:rPr>
              <w:b/>
            </w:rPr>
            <w:fldChar w:fldCharType="separate"/>
          </w:r>
          <w:r>
            <w:rPr>
              <w:b/>
            </w:rPr>
            <w:t>14</w:t>
          </w:r>
          <w:r>
            <w:rPr>
              <w:b/>
            </w:rPr>
            <w:fldChar w:fldCharType="end"/>
          </w:r>
          <w:r>
            <w:rPr>
              <w:b/>
              <w:color w:val="auto"/>
              <w:highlight w:val="none"/>
            </w:rPr>
            <w:fldChar w:fldCharType="end"/>
          </w:r>
        </w:p>
        <w:p>
          <w:pPr>
            <w:pStyle w:val="36"/>
            <w:tabs>
              <w:tab w:val="right" w:leader="dot" w:pos="8306"/>
            </w:tabs>
            <w:rPr>
              <w:b/>
            </w:rPr>
          </w:pPr>
          <w:r>
            <w:rPr>
              <w:b/>
              <w:color w:val="auto"/>
              <w:highlight w:val="none"/>
            </w:rPr>
            <w:fldChar w:fldCharType="begin"/>
          </w:r>
          <w:r>
            <w:rPr>
              <w:b/>
              <w:highlight w:val="none"/>
            </w:rPr>
            <w:instrText xml:space="preserve"> HYPERLINK \l _Toc17645 </w:instrText>
          </w:r>
          <w:r>
            <w:rPr>
              <w:b/>
              <w:highlight w:val="none"/>
            </w:rPr>
            <w:fldChar w:fldCharType="separate"/>
          </w:r>
          <w:r>
            <w:rPr>
              <w:rFonts w:hint="eastAsia" w:ascii="黑体" w:hAnsi="黑体" w:eastAsia="黑体"/>
              <w:b/>
              <w:szCs w:val="44"/>
              <w:highlight w:val="none"/>
            </w:rPr>
            <w:t>第</w:t>
          </w:r>
          <w:r>
            <w:rPr>
              <w:rFonts w:hint="eastAsia" w:ascii="黑体" w:hAnsi="黑体" w:eastAsia="黑体"/>
              <w:b/>
              <w:highlight w:val="none"/>
            </w:rPr>
            <w:t>五部分 附表</w:t>
          </w:r>
          <w:r>
            <w:rPr>
              <w:b/>
            </w:rPr>
            <w:tab/>
          </w:r>
          <w:r>
            <w:rPr>
              <w:b/>
            </w:rPr>
            <w:fldChar w:fldCharType="begin"/>
          </w:r>
          <w:r>
            <w:rPr>
              <w:b/>
            </w:rPr>
            <w:instrText xml:space="preserve"> PAGEREF _Toc17645 \h </w:instrText>
          </w:r>
          <w:r>
            <w:rPr>
              <w:b/>
            </w:rPr>
            <w:fldChar w:fldCharType="separate"/>
          </w:r>
          <w:r>
            <w:rPr>
              <w:b/>
            </w:rPr>
            <w:t>40</w:t>
          </w:r>
          <w:r>
            <w:rPr>
              <w:b/>
            </w:rPr>
            <w:fldChar w:fldCharType="end"/>
          </w:r>
          <w:r>
            <w:rPr>
              <w:b/>
              <w:color w:val="auto"/>
              <w:highlight w:val="none"/>
            </w:rPr>
            <w:fldChar w:fldCharType="end"/>
          </w:r>
        </w:p>
        <w:p>
          <w:pPr>
            <w:pStyle w:val="37"/>
            <w:tabs>
              <w:tab w:val="right" w:leader="dot" w:pos="8306"/>
            </w:tabs>
          </w:pPr>
          <w:r>
            <w:rPr>
              <w:color w:val="auto"/>
              <w:highlight w:val="none"/>
            </w:rPr>
            <w:fldChar w:fldCharType="begin"/>
          </w:r>
          <w:r>
            <w:rPr>
              <w:highlight w:val="none"/>
            </w:rPr>
            <w:instrText xml:space="preserve"> HYPERLINK \l _Toc5455 </w:instrText>
          </w:r>
          <w:r>
            <w:rPr>
              <w:highlight w:val="none"/>
            </w:rP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fldChar w:fldCharType="begin"/>
          </w:r>
          <w:r>
            <w:instrText xml:space="preserve"> PAGEREF _Toc5455 \h </w:instrText>
          </w:r>
          <w:r>
            <w:fldChar w:fldCharType="separate"/>
          </w:r>
          <w:r>
            <w:t>40</w:t>
          </w:r>
          <w:r>
            <w:fldChar w:fldCharType="end"/>
          </w:r>
          <w:r>
            <w:rPr>
              <w:color w:val="auto"/>
              <w:highlight w:val="none"/>
            </w:rPr>
            <w:fldChar w:fldCharType="end"/>
          </w:r>
        </w:p>
        <w:p>
          <w:pPr>
            <w:pStyle w:val="37"/>
            <w:tabs>
              <w:tab w:val="right" w:leader="dot" w:pos="8306"/>
            </w:tabs>
          </w:pPr>
          <w:r>
            <w:rPr>
              <w:color w:val="auto"/>
              <w:highlight w:val="none"/>
            </w:rPr>
            <w:fldChar w:fldCharType="begin"/>
          </w:r>
          <w:r>
            <w:rPr>
              <w:highlight w:val="none"/>
            </w:rPr>
            <w:instrText xml:space="preserve"> HYPERLINK \l _Toc5379 </w:instrText>
          </w:r>
          <w:r>
            <w:rPr>
              <w:highlight w:val="none"/>
            </w:rP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fldChar w:fldCharType="begin"/>
          </w:r>
          <w:r>
            <w:instrText xml:space="preserve"> PAGEREF _Toc5379 \h </w:instrText>
          </w:r>
          <w:r>
            <w:fldChar w:fldCharType="separate"/>
          </w:r>
          <w:r>
            <w:t>40</w:t>
          </w:r>
          <w:r>
            <w:fldChar w:fldCharType="end"/>
          </w:r>
          <w:r>
            <w:rPr>
              <w:color w:val="auto"/>
              <w:highlight w:val="none"/>
            </w:rPr>
            <w:fldChar w:fldCharType="end"/>
          </w:r>
        </w:p>
        <w:p>
          <w:pPr>
            <w:pStyle w:val="37"/>
            <w:tabs>
              <w:tab w:val="right" w:leader="dot" w:pos="8306"/>
            </w:tabs>
          </w:pPr>
          <w:r>
            <w:rPr>
              <w:color w:val="auto"/>
              <w:highlight w:val="none"/>
            </w:rPr>
            <w:fldChar w:fldCharType="begin"/>
          </w:r>
          <w:r>
            <w:rPr>
              <w:highlight w:val="none"/>
            </w:rPr>
            <w:instrText xml:space="preserve"> HYPERLINK \l _Toc25802 </w:instrText>
          </w:r>
          <w:r>
            <w:rPr>
              <w:highlight w:val="none"/>
            </w:rP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fldChar w:fldCharType="begin"/>
          </w:r>
          <w:r>
            <w:instrText xml:space="preserve"> PAGEREF _Toc25802 \h </w:instrText>
          </w:r>
          <w:r>
            <w:fldChar w:fldCharType="separate"/>
          </w:r>
          <w:r>
            <w:t>40</w:t>
          </w:r>
          <w:r>
            <w:fldChar w:fldCharType="end"/>
          </w:r>
          <w:r>
            <w:rPr>
              <w:color w:val="auto"/>
              <w:highlight w:val="none"/>
            </w:rPr>
            <w:fldChar w:fldCharType="end"/>
          </w:r>
        </w:p>
        <w:p>
          <w:pPr>
            <w:pStyle w:val="37"/>
            <w:tabs>
              <w:tab w:val="right" w:leader="dot" w:pos="8306"/>
            </w:tabs>
          </w:pPr>
          <w:r>
            <w:rPr>
              <w:color w:val="auto"/>
              <w:highlight w:val="none"/>
            </w:rPr>
            <w:fldChar w:fldCharType="begin"/>
          </w:r>
          <w:r>
            <w:rPr>
              <w:highlight w:val="none"/>
            </w:rPr>
            <w:instrText xml:space="preserve"> HYPERLINK \l _Toc25724 </w:instrText>
          </w:r>
          <w:r>
            <w:rPr>
              <w:highlight w:val="none"/>
            </w:rP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fldChar w:fldCharType="begin"/>
          </w:r>
          <w:r>
            <w:instrText xml:space="preserve"> PAGEREF _Toc25724 \h </w:instrText>
          </w:r>
          <w:r>
            <w:fldChar w:fldCharType="separate"/>
          </w:r>
          <w:r>
            <w:t>40</w:t>
          </w:r>
          <w:r>
            <w:fldChar w:fldCharType="end"/>
          </w:r>
          <w:r>
            <w:rPr>
              <w:color w:val="auto"/>
              <w:highlight w:val="none"/>
            </w:rPr>
            <w:fldChar w:fldCharType="end"/>
          </w:r>
        </w:p>
        <w:p>
          <w:pPr>
            <w:pStyle w:val="37"/>
            <w:tabs>
              <w:tab w:val="right" w:leader="dot" w:pos="8306"/>
            </w:tabs>
          </w:pPr>
          <w:r>
            <w:rPr>
              <w:color w:val="auto"/>
              <w:highlight w:val="none"/>
            </w:rPr>
            <w:fldChar w:fldCharType="begin"/>
          </w:r>
          <w:r>
            <w:rPr>
              <w:highlight w:val="none"/>
            </w:rPr>
            <w:instrText xml:space="preserve"> HYPERLINK \l _Toc17730 </w:instrText>
          </w:r>
          <w:r>
            <w:rPr>
              <w:highlight w:val="none"/>
            </w:rP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fldChar w:fldCharType="begin"/>
          </w:r>
          <w:r>
            <w:instrText xml:space="preserve"> PAGEREF _Toc17730 \h </w:instrText>
          </w:r>
          <w:r>
            <w:fldChar w:fldCharType="separate"/>
          </w:r>
          <w:r>
            <w:t>40</w:t>
          </w:r>
          <w:r>
            <w:fldChar w:fldCharType="end"/>
          </w:r>
          <w:r>
            <w:rPr>
              <w:color w:val="auto"/>
              <w:highlight w:val="none"/>
            </w:rPr>
            <w:fldChar w:fldCharType="end"/>
          </w:r>
        </w:p>
        <w:p>
          <w:pPr>
            <w:pStyle w:val="37"/>
            <w:tabs>
              <w:tab w:val="right" w:leader="dot" w:pos="8306"/>
            </w:tabs>
          </w:pPr>
          <w:r>
            <w:rPr>
              <w:color w:val="auto"/>
              <w:highlight w:val="none"/>
            </w:rPr>
            <w:fldChar w:fldCharType="begin"/>
          </w:r>
          <w:r>
            <w:rPr>
              <w:highlight w:val="none"/>
            </w:rPr>
            <w:instrText xml:space="preserve"> HYPERLINK \l _Toc15500 </w:instrText>
          </w:r>
          <w:r>
            <w:rPr>
              <w:highlight w:val="none"/>
            </w:rP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fldChar w:fldCharType="begin"/>
          </w:r>
          <w:r>
            <w:instrText xml:space="preserve"> PAGEREF _Toc15500 \h </w:instrText>
          </w:r>
          <w:r>
            <w:fldChar w:fldCharType="separate"/>
          </w:r>
          <w:r>
            <w:t>40</w:t>
          </w:r>
          <w:r>
            <w:fldChar w:fldCharType="end"/>
          </w:r>
          <w:r>
            <w:rPr>
              <w:color w:val="auto"/>
              <w:highlight w:val="none"/>
            </w:rPr>
            <w:fldChar w:fldCharType="end"/>
          </w:r>
        </w:p>
        <w:p>
          <w:pPr>
            <w:pStyle w:val="37"/>
            <w:tabs>
              <w:tab w:val="right" w:leader="dot" w:pos="8306"/>
            </w:tabs>
          </w:pPr>
          <w:r>
            <w:rPr>
              <w:color w:val="auto"/>
              <w:highlight w:val="none"/>
            </w:rPr>
            <w:fldChar w:fldCharType="begin"/>
          </w:r>
          <w:r>
            <w:rPr>
              <w:highlight w:val="none"/>
            </w:rPr>
            <w:instrText xml:space="preserve"> HYPERLINK \l _Toc7759 </w:instrText>
          </w:r>
          <w:r>
            <w:rPr>
              <w:highlight w:val="none"/>
            </w:rP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fldChar w:fldCharType="begin"/>
          </w:r>
          <w:r>
            <w:instrText xml:space="preserve"> PAGEREF _Toc7759 \h </w:instrText>
          </w:r>
          <w:r>
            <w:fldChar w:fldCharType="separate"/>
          </w:r>
          <w:r>
            <w:t>40</w:t>
          </w:r>
          <w:r>
            <w:fldChar w:fldCharType="end"/>
          </w:r>
          <w:r>
            <w:rPr>
              <w:color w:val="auto"/>
              <w:highlight w:val="none"/>
            </w:rPr>
            <w:fldChar w:fldCharType="end"/>
          </w:r>
        </w:p>
        <w:p>
          <w:pPr>
            <w:pStyle w:val="37"/>
            <w:tabs>
              <w:tab w:val="right" w:leader="dot" w:pos="8306"/>
            </w:tabs>
          </w:pPr>
          <w:r>
            <w:rPr>
              <w:color w:val="auto"/>
              <w:highlight w:val="none"/>
            </w:rPr>
            <w:fldChar w:fldCharType="begin"/>
          </w:r>
          <w:r>
            <w:rPr>
              <w:highlight w:val="none"/>
            </w:rPr>
            <w:instrText xml:space="preserve"> HYPERLINK \l _Toc9425 </w:instrText>
          </w:r>
          <w:r>
            <w:rPr>
              <w:highlight w:val="none"/>
            </w:rP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fldChar w:fldCharType="begin"/>
          </w:r>
          <w:r>
            <w:instrText xml:space="preserve"> PAGEREF _Toc9425 \h </w:instrText>
          </w:r>
          <w:r>
            <w:fldChar w:fldCharType="separate"/>
          </w:r>
          <w:r>
            <w:t>40</w:t>
          </w:r>
          <w:r>
            <w:fldChar w:fldCharType="end"/>
          </w:r>
          <w:r>
            <w:rPr>
              <w:color w:val="auto"/>
              <w:highlight w:val="none"/>
            </w:rPr>
            <w:fldChar w:fldCharType="end"/>
          </w:r>
        </w:p>
        <w:p>
          <w:pPr>
            <w:pStyle w:val="37"/>
            <w:tabs>
              <w:tab w:val="right" w:leader="dot" w:pos="8306"/>
            </w:tabs>
          </w:pPr>
          <w:r>
            <w:rPr>
              <w:color w:val="auto"/>
              <w:highlight w:val="none"/>
            </w:rPr>
            <w:fldChar w:fldCharType="begin"/>
          </w:r>
          <w:r>
            <w:rPr>
              <w:highlight w:val="none"/>
            </w:rPr>
            <w:instrText xml:space="preserve"> HYPERLINK \l _Toc17876 </w:instrText>
          </w:r>
          <w:r>
            <w:rPr>
              <w:highlight w:val="none"/>
            </w:rP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fldChar w:fldCharType="begin"/>
          </w:r>
          <w:r>
            <w:instrText xml:space="preserve"> PAGEREF _Toc17876 \h </w:instrText>
          </w:r>
          <w:r>
            <w:fldChar w:fldCharType="separate"/>
          </w:r>
          <w:r>
            <w:t>40</w:t>
          </w:r>
          <w:r>
            <w:fldChar w:fldCharType="end"/>
          </w:r>
          <w:r>
            <w:rPr>
              <w:color w:val="auto"/>
              <w:highlight w:val="none"/>
            </w:rPr>
            <w:fldChar w:fldCharType="end"/>
          </w:r>
        </w:p>
        <w:p>
          <w:pPr>
            <w:pStyle w:val="37"/>
            <w:tabs>
              <w:tab w:val="right" w:leader="dot" w:pos="8306"/>
            </w:tabs>
          </w:pPr>
          <w:r>
            <w:rPr>
              <w:color w:val="auto"/>
              <w:highlight w:val="none"/>
            </w:rPr>
            <w:fldChar w:fldCharType="begin"/>
          </w:r>
          <w:r>
            <w:rPr>
              <w:highlight w:val="none"/>
            </w:rPr>
            <w:instrText xml:space="preserve"> HYPERLINK \l _Toc7773 </w:instrText>
          </w:r>
          <w:r>
            <w:rPr>
              <w:highlight w:val="none"/>
            </w:rPr>
            <w:fldChar w:fldCharType="separate"/>
          </w:r>
          <w:r>
            <w:rPr>
              <w:rFonts w:hint="eastAsia" w:ascii="仿宋" w:hAnsi="仿宋" w:eastAsia="仿宋"/>
              <w:bCs w:val="0"/>
              <w:highlight w:val="none"/>
            </w:rPr>
            <w:t>十、</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fldChar w:fldCharType="begin"/>
          </w:r>
          <w:r>
            <w:instrText xml:space="preserve"> PAGEREF _Toc7773 \h </w:instrText>
          </w:r>
          <w:r>
            <w:fldChar w:fldCharType="separate"/>
          </w:r>
          <w:r>
            <w:t>40</w:t>
          </w:r>
          <w:r>
            <w:fldChar w:fldCharType="end"/>
          </w:r>
          <w:r>
            <w:rPr>
              <w:color w:val="auto"/>
              <w:highlight w:val="none"/>
            </w:rPr>
            <w:fldChar w:fldCharType="end"/>
          </w:r>
        </w:p>
        <w:p>
          <w:pPr>
            <w:pStyle w:val="37"/>
            <w:tabs>
              <w:tab w:val="right" w:leader="dot" w:pos="8306"/>
            </w:tabs>
          </w:pPr>
          <w:r>
            <w:rPr>
              <w:color w:val="auto"/>
              <w:highlight w:val="none"/>
            </w:rPr>
            <w:fldChar w:fldCharType="begin"/>
          </w:r>
          <w:r>
            <w:rPr>
              <w:highlight w:val="none"/>
            </w:rPr>
            <w:instrText xml:space="preserve"> HYPERLINK \l _Toc7715 </w:instrText>
          </w:r>
          <w:r>
            <w:rPr>
              <w:highlight w:val="none"/>
            </w:rPr>
            <w:fldChar w:fldCharType="separate"/>
          </w:r>
          <w:r>
            <w:rPr>
              <w:rFonts w:hint="eastAsia" w:ascii="仿宋" w:hAnsi="仿宋" w:eastAsia="仿宋"/>
              <w:bCs w:val="0"/>
              <w:highlight w:val="none"/>
            </w:rPr>
            <w:t>十一、</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_Toc7715 \h </w:instrText>
          </w:r>
          <w:r>
            <w:fldChar w:fldCharType="separate"/>
          </w:r>
          <w:r>
            <w:t>40</w:t>
          </w:r>
          <w:r>
            <w:fldChar w:fldCharType="end"/>
          </w:r>
          <w:r>
            <w:rPr>
              <w:color w:val="auto"/>
              <w:highlight w:val="none"/>
            </w:rPr>
            <w:fldChar w:fldCharType="end"/>
          </w:r>
        </w:p>
        <w:p>
          <w:pPr>
            <w:pStyle w:val="37"/>
            <w:tabs>
              <w:tab w:val="right" w:leader="dot" w:pos="8306"/>
            </w:tabs>
          </w:pPr>
          <w:r>
            <w:rPr>
              <w:color w:val="auto"/>
              <w:highlight w:val="none"/>
            </w:rPr>
            <w:fldChar w:fldCharType="begin"/>
          </w:r>
          <w:r>
            <w:rPr>
              <w:highlight w:val="none"/>
            </w:rPr>
            <w:instrText xml:space="preserve"> HYPERLINK \l _Toc2480 </w:instrText>
          </w:r>
          <w:r>
            <w:rPr>
              <w:highlight w:val="none"/>
            </w:rPr>
            <w:fldChar w:fldCharType="separate"/>
          </w:r>
          <w:r>
            <w:rPr>
              <w:rFonts w:hint="eastAsia" w:ascii="仿宋" w:hAnsi="仿宋" w:eastAsia="仿宋"/>
              <w:bCs w:val="0"/>
              <w:highlight w:val="none"/>
            </w:rPr>
            <w:t>十二、</w:t>
          </w:r>
          <w:r>
            <w:rPr>
              <w:rFonts w:hint="eastAsia" w:ascii="仿宋" w:hAnsi="仿宋" w:eastAsia="仿宋"/>
              <w:bCs w:val="0"/>
              <w:highlight w:val="none"/>
              <w:lang w:eastAsia="zh-CN"/>
            </w:rPr>
            <w:t>国有资本经营预算财政拨款支出决算表</w:t>
          </w:r>
          <w:r>
            <w:tab/>
          </w:r>
          <w:r>
            <w:fldChar w:fldCharType="begin"/>
          </w:r>
          <w:r>
            <w:instrText xml:space="preserve"> PAGEREF _Toc2480 \h </w:instrText>
          </w:r>
          <w:r>
            <w:fldChar w:fldCharType="separate"/>
          </w:r>
          <w:r>
            <w:t>40</w:t>
          </w:r>
          <w:r>
            <w:fldChar w:fldCharType="end"/>
          </w:r>
          <w:r>
            <w:rPr>
              <w:color w:val="auto"/>
              <w:highlight w:val="none"/>
            </w:rPr>
            <w:fldChar w:fldCharType="end"/>
          </w:r>
        </w:p>
        <w:p>
          <w:pPr>
            <w:pStyle w:val="37"/>
            <w:tabs>
              <w:tab w:val="right" w:leader="dot" w:pos="8306"/>
            </w:tabs>
          </w:pPr>
          <w:r>
            <w:rPr>
              <w:color w:val="auto"/>
              <w:highlight w:val="none"/>
            </w:rPr>
            <w:fldChar w:fldCharType="begin"/>
          </w:r>
          <w:r>
            <w:rPr>
              <w:highlight w:val="none"/>
            </w:rPr>
            <w:instrText xml:space="preserve"> HYPERLINK \l _Toc11672 </w:instrText>
          </w:r>
          <w:r>
            <w:rPr>
              <w:highlight w:val="none"/>
            </w:rPr>
            <w:fldChar w:fldCharType="separate"/>
          </w:r>
          <w:r>
            <w:rPr>
              <w:rFonts w:hint="eastAsia" w:ascii="仿宋" w:hAnsi="仿宋" w:eastAsia="仿宋"/>
              <w:bCs w:val="0"/>
              <w:highlight w:val="none"/>
            </w:rPr>
            <w:t>十三、</w:t>
          </w:r>
          <w:r>
            <w:rPr>
              <w:rFonts w:hint="eastAsia" w:ascii="仿宋" w:hAnsi="仿宋" w:eastAsia="仿宋"/>
              <w:bCs w:val="0"/>
              <w:highlight w:val="none"/>
              <w:lang w:eastAsia="zh-CN"/>
            </w:rPr>
            <w:t>财政拨款“三公”经费支出决算表</w:t>
          </w:r>
          <w:r>
            <w:tab/>
          </w:r>
          <w:r>
            <w:fldChar w:fldCharType="begin"/>
          </w:r>
          <w:r>
            <w:instrText xml:space="preserve"> PAGEREF _Toc11672 \h </w:instrText>
          </w:r>
          <w:r>
            <w:fldChar w:fldCharType="separate"/>
          </w:r>
          <w:r>
            <w:t>40</w:t>
          </w:r>
          <w:r>
            <w:fldChar w:fldCharType="end"/>
          </w:r>
          <w:r>
            <w:rPr>
              <w:color w:val="auto"/>
              <w:highlight w:val="none"/>
            </w:rPr>
            <w:fldChar w:fldCharType="end"/>
          </w:r>
        </w:p>
        <w:p>
          <w:pPr>
            <w:rPr>
              <w:color w:val="auto"/>
              <w:highlight w:val="none"/>
            </w:rPr>
          </w:pPr>
          <w:r>
            <w:rPr>
              <w:b/>
              <w:color w:val="auto"/>
              <w:highlight w:val="none"/>
            </w:rPr>
            <w:fldChar w:fldCharType="end"/>
          </w:r>
        </w:p>
      </w:sdtContent>
    </w:sdt>
    <w:p>
      <w:pPr>
        <w:pStyle w:val="3"/>
        <w:jc w:val="center"/>
        <w:rPr>
          <w:rFonts w:hint="eastAsia" w:ascii="黑体" w:hAnsi="黑体" w:eastAsia="黑体"/>
          <w:b w:val="0"/>
          <w:color w:val="auto"/>
          <w:highlight w:val="none"/>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bookmarkStart w:id="14" w:name="_Toc15396599"/>
      <w:bookmarkStart w:id="15" w:name="_Toc15377196"/>
      <w:bookmarkStart w:id="16" w:name="_Toc558"/>
    </w:p>
    <w:p>
      <w:pPr>
        <w:pStyle w:val="3"/>
        <w:jc w:val="center"/>
        <w:rPr>
          <w:rFonts w:hint="eastAsia" w:ascii="黑体" w:hAnsi="黑体" w:eastAsia="黑体"/>
          <w:b w:val="0"/>
          <w:color w:val="auto"/>
          <w:highlight w:val="none"/>
          <w:lang w:eastAsia="zh-CN"/>
        </w:rPr>
      </w:pPr>
      <w:r>
        <w:rPr>
          <w:rFonts w:hint="eastAsia" w:ascii="黑体" w:hAnsi="黑体" w:eastAsia="黑体"/>
          <w:b w:val="0"/>
          <w:color w:val="auto"/>
          <w:highlight w:val="none"/>
        </w:rPr>
        <w:t xml:space="preserve">第一部分 </w:t>
      </w:r>
      <w:r>
        <w:rPr>
          <w:rStyle w:val="20"/>
          <w:rFonts w:hint="eastAsia" w:ascii="黑体" w:hAnsi="黑体" w:eastAsia="黑体"/>
          <w:b w:val="0"/>
          <w:bCs w:val="0"/>
          <w:color w:val="auto"/>
          <w:highlight w:val="none"/>
        </w:rPr>
        <w:t>部门概况</w:t>
      </w:r>
      <w:bookmarkEnd w:id="14"/>
      <w:bookmarkEnd w:id="15"/>
      <w:r>
        <w:rPr>
          <w:rFonts w:hint="eastAsia" w:ascii="黑体" w:hAnsi="黑体" w:eastAsia="黑体"/>
          <w:b w:val="0"/>
          <w:color w:val="auto"/>
          <w:highlight w:val="none"/>
          <w:lang w:eastAsia="zh-CN"/>
        </w:rPr>
        <w:t>部门职责</w:t>
      </w:r>
      <w:bookmarkEnd w:id="16"/>
    </w:p>
    <w:p>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right="0" w:rightChars="0" w:firstLine="640" w:firstLineChars="200"/>
        <w:textAlignment w:val="auto"/>
        <w:outlineLvl w:val="1"/>
        <w:rPr>
          <w:rFonts w:hint="eastAsia" w:ascii="黑体" w:hAnsi="黑体" w:eastAsia="黑体" w:cs="黑体"/>
          <w:color w:val="auto"/>
          <w:sz w:val="32"/>
          <w:szCs w:val="32"/>
          <w:lang w:val="en-US" w:eastAsia="zh-CN"/>
        </w:rPr>
      </w:pPr>
      <w:bookmarkStart w:id="17" w:name="_Toc25871"/>
      <w:bookmarkStart w:id="18" w:name="_Toc15377200"/>
      <w:bookmarkStart w:id="19" w:name="_Toc15396601"/>
      <w:r>
        <w:rPr>
          <w:rFonts w:hint="eastAsia" w:ascii="黑体" w:hAnsi="黑体" w:eastAsia="黑体" w:cs="黑体"/>
          <w:color w:val="auto"/>
          <w:sz w:val="32"/>
          <w:szCs w:val="32"/>
          <w:lang w:val="en-US" w:eastAsia="zh-CN"/>
        </w:rPr>
        <w:t>一、部门职责</w:t>
      </w:r>
      <w:bookmarkEnd w:id="17"/>
    </w:p>
    <w:p>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right="0" w:rightChars="0" w:firstLine="640" w:firstLineChars="200"/>
        <w:textAlignment w:val="auto"/>
        <w:rPr>
          <w:rFonts w:hint="eastAsia" w:ascii="黑体" w:hAnsi="黑体" w:eastAsia="黑体" w:cs="黑体"/>
          <w:color w:val="auto"/>
          <w:sz w:val="32"/>
          <w:szCs w:val="32"/>
          <w:lang w:val="en-US" w:eastAsia="zh-CN"/>
        </w:rPr>
      </w:pPr>
      <w:r>
        <w:rPr>
          <w:rFonts w:hint="eastAsia" w:ascii="仿宋_GB2312" w:hAnsi="微软雅黑" w:eastAsia="仿宋_GB2312" w:cs="仿宋_GB2312"/>
          <w:color w:val="auto"/>
          <w:sz w:val="32"/>
          <w:szCs w:val="32"/>
        </w:rPr>
        <w:t>人民检察院是国家的法律监督机关，通过履行侦查、批准逮捕、审查起诉、支持公诉等法律监督职能，保证国家法律的统一和正确实施。对于侦查机关侦查的案件进行审查</w:t>
      </w:r>
      <w:r>
        <w:rPr>
          <w:rFonts w:hint="eastAsia" w:ascii="仿宋_GB2312" w:hAnsi="微软雅黑" w:eastAsia="仿宋_GB2312" w:cs="仿宋_GB2312"/>
          <w:color w:val="auto"/>
          <w:sz w:val="32"/>
          <w:szCs w:val="32"/>
          <w:lang w:eastAsia="zh-CN"/>
        </w:rPr>
        <w:t>，</w:t>
      </w:r>
      <w:r>
        <w:rPr>
          <w:rFonts w:hint="eastAsia" w:ascii="仿宋_GB2312" w:hAnsi="微软雅黑" w:eastAsia="仿宋_GB2312" w:cs="仿宋_GB2312"/>
          <w:color w:val="auto"/>
          <w:sz w:val="32"/>
          <w:szCs w:val="32"/>
        </w:rPr>
        <w:t>决定是否逮捕、起诉或者不起诉。并对侦查机关的立案、侦查活动是否合法实行监督。对于刑事案件提起公诉</w:t>
      </w:r>
      <w:r>
        <w:rPr>
          <w:rFonts w:hint="eastAsia" w:ascii="仿宋_GB2312" w:hAnsi="微软雅黑" w:eastAsia="仿宋_GB2312" w:cs="仿宋_GB2312"/>
          <w:color w:val="auto"/>
          <w:sz w:val="32"/>
          <w:szCs w:val="32"/>
          <w:lang w:eastAsia="zh-CN"/>
        </w:rPr>
        <w:t>，</w:t>
      </w:r>
      <w:r>
        <w:rPr>
          <w:rFonts w:hint="eastAsia" w:ascii="仿宋_GB2312" w:hAnsi="微软雅黑" w:eastAsia="仿宋_GB2312" w:cs="仿宋_GB2312"/>
          <w:color w:val="auto"/>
          <w:sz w:val="32"/>
          <w:szCs w:val="32"/>
        </w:rPr>
        <w:t>支持公诉</w:t>
      </w:r>
      <w:r>
        <w:rPr>
          <w:rFonts w:hint="eastAsia" w:ascii="仿宋_GB2312" w:hAnsi="微软雅黑" w:eastAsia="仿宋_GB2312" w:cs="仿宋_GB2312"/>
          <w:color w:val="auto"/>
          <w:sz w:val="32"/>
          <w:szCs w:val="32"/>
          <w:lang w:eastAsia="zh-CN"/>
        </w:rPr>
        <w:t>；</w:t>
      </w:r>
      <w:r>
        <w:rPr>
          <w:rFonts w:hint="eastAsia" w:ascii="仿宋_GB2312" w:hAnsi="微软雅黑" w:eastAsia="仿宋_GB2312" w:cs="仿宋_GB2312"/>
          <w:color w:val="auto"/>
          <w:sz w:val="32"/>
          <w:szCs w:val="32"/>
        </w:rPr>
        <w:t>对于人民法院的刑事判决、裁定是否正确和审判活动是否合法实行监督。对于监狱、看守所等执行机关执行刑罚的活动是否合法实行监</w:t>
      </w:r>
      <w:r>
        <w:rPr>
          <w:rFonts w:hint="eastAsia" w:ascii="仿宋_GB2312" w:hAnsi="微软雅黑" w:eastAsia="仿宋_GB2312" w:cs="仿宋_GB2312"/>
          <w:color w:val="auto"/>
          <w:sz w:val="32"/>
          <w:szCs w:val="32"/>
          <w:lang w:eastAsia="zh-CN"/>
        </w:rPr>
        <w:t>督</w:t>
      </w:r>
      <w:r>
        <w:rPr>
          <w:rFonts w:hint="eastAsia" w:ascii="仿宋_GB2312" w:hAnsi="微软雅黑" w:eastAsia="仿宋_GB2312" w:cs="仿宋_GB2312"/>
          <w:color w:val="auto"/>
          <w:sz w:val="32"/>
          <w:szCs w:val="32"/>
        </w:rPr>
        <w:t>。对于人民法院的民事审判活动实行法律监督</w:t>
      </w:r>
      <w:r>
        <w:rPr>
          <w:rFonts w:hint="eastAsia" w:ascii="仿宋_GB2312" w:hAnsi="微软雅黑" w:eastAsia="仿宋_GB2312" w:cs="仿宋_GB2312"/>
          <w:color w:val="auto"/>
          <w:sz w:val="32"/>
          <w:szCs w:val="32"/>
          <w:lang w:eastAsia="zh-CN"/>
        </w:rPr>
        <w:t>，</w:t>
      </w:r>
      <w:r>
        <w:rPr>
          <w:rFonts w:hint="eastAsia" w:ascii="仿宋_GB2312" w:hAnsi="微软雅黑" w:eastAsia="仿宋_GB2312" w:cs="仿宋_GB2312"/>
          <w:color w:val="auto"/>
          <w:sz w:val="32"/>
          <w:szCs w:val="32"/>
        </w:rPr>
        <w:t>对人民法院已经发生效力的判决、裁定</w:t>
      </w:r>
      <w:r>
        <w:rPr>
          <w:rFonts w:hint="eastAsia" w:ascii="仿宋_GB2312" w:hAnsi="微软雅黑" w:eastAsia="仿宋_GB2312" w:cs="仿宋_GB2312"/>
          <w:color w:val="auto"/>
          <w:sz w:val="32"/>
          <w:szCs w:val="32"/>
          <w:lang w:eastAsia="zh-CN"/>
        </w:rPr>
        <w:t>，</w:t>
      </w:r>
      <w:r>
        <w:rPr>
          <w:rFonts w:hint="eastAsia" w:ascii="仿宋_GB2312" w:hAnsi="微软雅黑" w:eastAsia="仿宋_GB2312" w:cs="仿宋_GB2312"/>
          <w:color w:val="auto"/>
          <w:sz w:val="32"/>
          <w:szCs w:val="32"/>
        </w:rPr>
        <w:t>发现违反法律、法规规定的</w:t>
      </w:r>
      <w:r>
        <w:rPr>
          <w:rFonts w:hint="eastAsia" w:ascii="仿宋_GB2312" w:hAnsi="微软雅黑" w:eastAsia="仿宋_GB2312" w:cs="仿宋_GB2312"/>
          <w:color w:val="auto"/>
          <w:sz w:val="32"/>
          <w:szCs w:val="32"/>
          <w:lang w:eastAsia="zh-CN"/>
        </w:rPr>
        <w:t>，</w:t>
      </w:r>
      <w:r>
        <w:rPr>
          <w:rFonts w:hint="eastAsia" w:ascii="仿宋_GB2312" w:hAnsi="微软雅黑" w:eastAsia="仿宋_GB2312" w:cs="仿宋_GB2312"/>
          <w:color w:val="auto"/>
          <w:sz w:val="32"/>
          <w:szCs w:val="32"/>
        </w:rPr>
        <w:t>依法提出抗诉。对于行政诉讼实行法律监督。对人民法院已经发生效力的判决、裁定发现</w:t>
      </w:r>
      <w:r>
        <w:rPr>
          <w:rFonts w:hint="eastAsia" w:ascii="仿宋_GB2312" w:hAnsi="微软雅黑" w:eastAsia="仿宋_GB2312" w:cs="仿宋_GB2312"/>
          <w:color w:val="auto"/>
          <w:sz w:val="32"/>
          <w:szCs w:val="32"/>
          <w:lang w:eastAsia="zh-CN"/>
        </w:rPr>
        <w:t>违反法律、</w:t>
      </w:r>
      <w:r>
        <w:rPr>
          <w:rFonts w:hint="eastAsia" w:ascii="仿宋_GB2312" w:hAnsi="微软雅黑" w:eastAsia="仿宋_GB2312" w:cs="仿宋_GB2312"/>
          <w:color w:val="auto"/>
          <w:sz w:val="32"/>
          <w:szCs w:val="32"/>
          <w:lang w:val="en-US" w:eastAsia="zh-CN"/>
        </w:rPr>
        <w:t>法规规定的，依法提出抗诉。</w:t>
      </w:r>
    </w:p>
    <w:p>
      <w:pPr>
        <w:pStyle w:val="15"/>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76" w:lineRule="exact"/>
        <w:ind w:right="0" w:rightChars="0" w:firstLine="640" w:firstLineChars="200"/>
        <w:textAlignment w:val="auto"/>
        <w:outlineLvl w:val="1"/>
        <w:rPr>
          <w:rFonts w:hint="eastAsia" w:ascii="黑体" w:hAnsi="黑体" w:eastAsia="黑体" w:cs="黑体"/>
          <w:color w:val="auto"/>
          <w:sz w:val="32"/>
          <w:szCs w:val="32"/>
          <w:lang w:val="en-US" w:eastAsia="zh-CN"/>
        </w:rPr>
      </w:pPr>
      <w:bookmarkStart w:id="20" w:name="_Toc19312"/>
      <w:r>
        <w:rPr>
          <w:rFonts w:hint="eastAsia" w:ascii="黑体" w:hAnsi="黑体" w:eastAsia="黑体" w:cs="黑体"/>
          <w:color w:val="auto"/>
          <w:sz w:val="32"/>
          <w:szCs w:val="32"/>
          <w:lang w:val="en-US" w:eastAsia="zh-CN"/>
        </w:rPr>
        <w:t>机构设置</w:t>
      </w:r>
      <w:bookmarkEnd w:id="18"/>
      <w:bookmarkEnd w:id="19"/>
      <w:bookmarkEnd w:id="20"/>
    </w:p>
    <w:p>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昭化区人民检察院为一级预算单位，无下属二级单位。</w:t>
      </w:r>
    </w:p>
    <w:p>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right="0" w:rightChars="0" w:firstLine="320" w:firstLineChars="100"/>
        <w:textAlignment w:val="auto"/>
        <w:rPr>
          <w:rFonts w:ascii="仿宋" w:hAnsi="仿宋" w:eastAsia="仿宋"/>
          <w:color w:val="auto"/>
          <w:kern w:val="0"/>
          <w:sz w:val="32"/>
          <w:szCs w:val="32"/>
          <w:highlight w:val="none"/>
        </w:rPr>
      </w:pPr>
      <w:r>
        <w:rPr>
          <w:rFonts w:hint="eastAsia" w:ascii="仿宋_GB2312" w:hAnsi="仿宋_GB2312" w:eastAsia="仿宋_GB2312" w:cs="仿宋_GB2312"/>
          <w:color w:val="auto"/>
          <w:sz w:val="32"/>
          <w:szCs w:val="32"/>
          <w:lang w:val="en-US" w:eastAsia="zh-CN"/>
        </w:rPr>
        <w:t>昭化区人民检察院为一级预算单位，无下属二级单位。</w:t>
      </w:r>
      <w:r>
        <w:rPr>
          <w:rFonts w:hint="eastAsia" w:ascii="仿宋_GB2312" w:hAnsi="仿宋_GB2312" w:eastAsia="仿宋_GB2312"/>
          <w:color w:val="000000"/>
          <w:sz w:val="32"/>
          <w:u w:val="none"/>
          <w:lang w:eastAsia="zh-CN"/>
        </w:rPr>
        <w:t>区检察院下属内设机构</w:t>
      </w:r>
      <w:r>
        <w:rPr>
          <w:rFonts w:hint="eastAsia" w:ascii="仿宋_GB2312" w:hAnsi="仿宋_GB2312" w:eastAsia="仿宋_GB2312"/>
          <w:color w:val="000000"/>
          <w:sz w:val="32"/>
          <w:u w:val="none"/>
          <w:lang w:val="en-US" w:eastAsia="zh-CN"/>
        </w:rPr>
        <w:t>5</w:t>
      </w:r>
      <w:r>
        <w:rPr>
          <w:rFonts w:hint="eastAsia" w:ascii="仿宋_GB2312" w:hAnsi="仿宋_GB2312" w:eastAsia="仿宋_GB2312"/>
          <w:color w:val="000000"/>
          <w:sz w:val="32"/>
          <w:u w:val="none"/>
          <w:lang w:eastAsia="zh-CN"/>
        </w:rPr>
        <w:t>个，其中</w:t>
      </w:r>
      <w:r>
        <w:rPr>
          <w:rFonts w:hint="eastAsia" w:ascii="仿宋_GB2312" w:hAnsi="仿宋_GB2312" w:eastAsia="仿宋_GB2312"/>
          <w:color w:val="000000"/>
          <w:sz w:val="32"/>
          <w:u w:val="none"/>
        </w:rPr>
        <w:t>业务部门3个（第一、第二、第三检察部），综合部门2个（办公室、政治部）。</w:t>
      </w:r>
      <w:r>
        <w:rPr>
          <w:rFonts w:hint="eastAsia" w:ascii="仿宋" w:hAnsi="仿宋" w:eastAsia="仿宋" w:cs="仿宋"/>
          <w:sz w:val="32"/>
          <w:szCs w:val="32"/>
        </w:rPr>
        <w:t>无下属二级单位。</w:t>
      </w:r>
      <w:r>
        <w:rPr>
          <w:rFonts w:ascii="仿宋" w:hAnsi="仿宋" w:eastAsia="仿宋"/>
          <w:color w:val="auto"/>
          <w:sz w:val="32"/>
          <w:szCs w:val="32"/>
          <w:highlight w:val="none"/>
        </w:rPr>
        <w:br w:type="page"/>
      </w:r>
    </w:p>
    <w:p>
      <w:pPr>
        <w:pStyle w:val="3"/>
        <w:ind w:right="440"/>
        <w:jc w:val="center"/>
        <w:rPr>
          <w:rStyle w:val="20"/>
          <w:rFonts w:ascii="黑体" w:hAnsi="黑体" w:eastAsia="黑体"/>
          <w:b w:val="0"/>
          <w:bCs/>
          <w:color w:val="auto"/>
          <w:highlight w:val="none"/>
        </w:rPr>
      </w:pPr>
      <w:bookmarkStart w:id="21" w:name="_Toc15377204"/>
      <w:bookmarkStart w:id="22" w:name="_Toc23536"/>
      <w:bookmarkStart w:id="23"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0"/>
          <w:rFonts w:hint="eastAsia" w:ascii="黑体" w:hAnsi="黑体" w:eastAsia="黑体"/>
          <w:b w:val="0"/>
          <w:bCs/>
          <w:color w:val="auto"/>
          <w:highlight w:val="none"/>
        </w:rPr>
        <w:t>部门决算情况说明</w:t>
      </w:r>
      <w:bookmarkEnd w:id="21"/>
      <w:bookmarkEnd w:id="22"/>
      <w:bookmarkEnd w:id="23"/>
    </w:p>
    <w:p>
      <w:pPr>
        <w:rPr>
          <w:color w:val="auto"/>
          <w:highlight w:val="none"/>
        </w:rPr>
      </w:pPr>
    </w:p>
    <w:p>
      <w:pPr>
        <w:pStyle w:val="31"/>
        <w:numPr>
          <w:ilvl w:val="0"/>
          <w:numId w:val="2"/>
        </w:numPr>
        <w:spacing w:line="600" w:lineRule="exact"/>
        <w:ind w:firstLineChars="0"/>
        <w:outlineLvl w:val="1"/>
        <w:rPr>
          <w:rStyle w:val="21"/>
          <w:rFonts w:ascii="黑体" w:hAnsi="黑体" w:eastAsia="黑体"/>
          <w:b w:val="0"/>
          <w:color w:val="auto"/>
          <w:highlight w:val="none"/>
        </w:rPr>
      </w:pPr>
      <w:bookmarkStart w:id="24" w:name="_Toc15396603"/>
      <w:bookmarkStart w:id="25" w:name="_Toc15377205"/>
      <w:bookmarkStart w:id="26" w:name="_Toc19830"/>
      <w:r>
        <w:rPr>
          <w:rFonts w:hint="eastAsia" w:ascii="黑体" w:hAnsi="黑体" w:eastAsia="黑体"/>
          <w:color w:val="auto"/>
          <w:sz w:val="32"/>
          <w:szCs w:val="32"/>
          <w:highlight w:val="none"/>
        </w:rPr>
        <w:t>收</w:t>
      </w:r>
      <w:r>
        <w:rPr>
          <w:rStyle w:val="21"/>
          <w:rFonts w:hint="eastAsia" w:ascii="黑体" w:hAnsi="黑体" w:eastAsia="黑体"/>
          <w:b w:val="0"/>
          <w:color w:val="auto"/>
          <w:highlight w:val="none"/>
        </w:rPr>
        <w:t>入支出决算总体情况说明</w:t>
      </w:r>
      <w:bookmarkEnd w:id="24"/>
      <w:bookmarkEnd w:id="25"/>
      <w:bookmarkEnd w:id="26"/>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1154.44</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496.66</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75.51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s="仿宋"/>
          <w:color w:val="333333"/>
          <w:kern w:val="0"/>
          <w:sz w:val="32"/>
          <w:szCs w:val="32"/>
          <w:shd w:val="clear" w:color="auto" w:fill="FFFFFF"/>
        </w:rPr>
        <w:t>体制上划，保障标准发生变化</w:t>
      </w:r>
      <w:r>
        <w:rPr>
          <w:rFonts w:hint="eastAsia" w:ascii="仿宋" w:hAnsi="仿宋" w:eastAsia="仿宋"/>
          <w:color w:val="auto"/>
          <w:sz w:val="32"/>
          <w:szCs w:val="32"/>
          <w:highlight w:val="none"/>
          <w:lang w:eastAsia="zh-CN"/>
        </w:rPr>
        <w:t>。</w:t>
      </w:r>
    </w:p>
    <w:p>
      <w:pPr>
        <w:spacing w:line="600" w:lineRule="exact"/>
        <w:ind w:firstLine="640" w:firstLineChars="200"/>
        <w:rPr>
          <w:rFonts w:hint="eastAsia"/>
          <w:lang w:eastAsia="zh-CN"/>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pStyle w:val="2"/>
        <w:rPr>
          <w:rFonts w:ascii="仿宋_GB2312" w:eastAsia="仿宋_GB2312"/>
          <w:color w:val="auto"/>
          <w:sz w:val="32"/>
          <w:szCs w:val="32"/>
          <w:highlight w:val="none"/>
        </w:rPr>
      </w:pPr>
      <w:r>
        <w:drawing>
          <wp:inline distT="0" distB="0" distL="0" distR="0">
            <wp:extent cx="5274310" cy="3076575"/>
            <wp:effectExtent l="5080" t="4445" r="16510" b="508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31"/>
        <w:numPr>
          <w:ilvl w:val="0"/>
          <w:numId w:val="2"/>
        </w:numPr>
        <w:spacing w:line="600" w:lineRule="exact"/>
        <w:ind w:firstLineChars="0"/>
        <w:outlineLvl w:val="1"/>
        <w:rPr>
          <w:rStyle w:val="21"/>
          <w:rFonts w:ascii="黑体" w:hAnsi="黑体" w:eastAsia="黑体"/>
          <w:b w:val="0"/>
          <w:color w:val="auto"/>
          <w:highlight w:val="none"/>
        </w:rPr>
      </w:pPr>
      <w:bookmarkStart w:id="27" w:name="_Toc15377206"/>
      <w:bookmarkStart w:id="28" w:name="_Toc1533"/>
      <w:bookmarkStart w:id="29" w:name="_Toc15396604"/>
      <w:r>
        <w:rPr>
          <w:rFonts w:hint="eastAsia" w:ascii="黑体" w:hAnsi="黑体" w:eastAsia="黑体"/>
          <w:color w:val="auto"/>
          <w:sz w:val="32"/>
          <w:szCs w:val="32"/>
          <w:highlight w:val="none"/>
        </w:rPr>
        <w:t>收</w:t>
      </w:r>
      <w:r>
        <w:rPr>
          <w:rStyle w:val="21"/>
          <w:rFonts w:hint="eastAsia" w:ascii="黑体" w:hAnsi="黑体" w:eastAsia="黑体"/>
          <w:b w:val="0"/>
          <w:color w:val="auto"/>
          <w:highlight w:val="none"/>
        </w:rPr>
        <w:t>入决算情况说明</w:t>
      </w:r>
      <w:bookmarkEnd w:id="27"/>
      <w:bookmarkEnd w:id="28"/>
      <w:bookmarkEnd w:id="29"/>
    </w:p>
    <w:p>
      <w:pPr>
        <w:spacing w:line="600" w:lineRule="exact"/>
        <w:ind w:firstLine="640" w:firstLineChars="200"/>
        <w:outlineLvl w:val="1"/>
        <w:rPr>
          <w:rFonts w:hint="eastAsia" w:ascii="仿宋" w:hAnsi="仿宋" w:eastAsia="仿宋"/>
          <w:color w:val="auto"/>
          <w:sz w:val="32"/>
          <w:szCs w:val="32"/>
          <w:highlight w:val="none"/>
        </w:rPr>
      </w:pPr>
      <w:bookmarkStart w:id="30" w:name="_Toc4750"/>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1154.44</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707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61.24</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447.44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38.76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0"/>
    </w:p>
    <w:p>
      <w:pPr>
        <w:spacing w:line="600" w:lineRule="exact"/>
        <w:jc w:val="center"/>
        <w:rPr>
          <w:rFonts w:ascii="仿宋_GB2312" w:eastAsia="仿宋_GB2312"/>
          <w:color w:val="auto"/>
          <w:sz w:val="32"/>
          <w:szCs w:val="32"/>
          <w:highlight w:val="none"/>
        </w:rPr>
      </w:pPr>
      <w:r>
        <w:rPr>
          <w:rFonts w:hint="eastAsia" w:ascii="仿宋" w:hAnsi="仿宋" w:eastAsia="仿宋"/>
          <w:color w:val="auto"/>
          <w:sz w:val="32"/>
          <w:szCs w:val="32"/>
          <w:highlight w:val="none"/>
        </w:rPr>
        <w:t>（图2：收入决算结构图）（饼状图）</w:t>
      </w:r>
    </w:p>
    <w:p>
      <w:pPr>
        <w:pStyle w:val="2"/>
        <w:rPr>
          <w:rFonts w:ascii="仿宋_GB2312" w:eastAsia="仿宋_GB2312"/>
          <w:color w:val="auto"/>
          <w:sz w:val="32"/>
          <w:szCs w:val="32"/>
          <w:highlight w:val="none"/>
        </w:rPr>
      </w:pPr>
      <w:r>
        <w:rPr>
          <w:rFonts w:hint="eastAsia"/>
        </w:rPr>
        <w:drawing>
          <wp:inline distT="0" distB="0" distL="0" distR="0">
            <wp:extent cx="5274310" cy="3076575"/>
            <wp:effectExtent l="5080" t="4445" r="16510" b="508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31"/>
        <w:numPr>
          <w:ilvl w:val="0"/>
          <w:numId w:val="2"/>
        </w:numPr>
        <w:spacing w:line="600" w:lineRule="exact"/>
        <w:ind w:firstLineChars="0"/>
        <w:outlineLvl w:val="1"/>
        <w:rPr>
          <w:rStyle w:val="21"/>
          <w:rFonts w:ascii="黑体" w:hAnsi="黑体" w:eastAsia="黑体"/>
          <w:b w:val="0"/>
          <w:color w:val="auto"/>
          <w:highlight w:val="none"/>
        </w:rPr>
      </w:pPr>
      <w:bookmarkStart w:id="31" w:name="_Toc15377207"/>
      <w:bookmarkStart w:id="32" w:name="_Toc29209"/>
      <w:bookmarkStart w:id="33" w:name="_Toc15396605"/>
      <w:r>
        <w:rPr>
          <w:rFonts w:hint="eastAsia" w:ascii="黑体" w:hAnsi="黑体" w:eastAsia="黑体"/>
          <w:color w:val="auto"/>
          <w:sz w:val="32"/>
          <w:szCs w:val="32"/>
          <w:highlight w:val="none"/>
        </w:rPr>
        <w:t>支</w:t>
      </w:r>
      <w:r>
        <w:rPr>
          <w:rStyle w:val="21"/>
          <w:rFonts w:hint="eastAsia" w:ascii="黑体" w:hAnsi="黑体" w:eastAsia="黑体"/>
          <w:b w:val="0"/>
          <w:color w:val="auto"/>
          <w:highlight w:val="none"/>
        </w:rPr>
        <w:t>出决算情况说明</w:t>
      </w:r>
      <w:bookmarkEnd w:id="31"/>
      <w:bookmarkEnd w:id="32"/>
      <w:bookmarkEnd w:id="33"/>
    </w:p>
    <w:p>
      <w:pPr>
        <w:spacing w:line="600" w:lineRule="exact"/>
        <w:ind w:firstLine="640" w:firstLineChars="200"/>
        <w:outlineLvl w:val="1"/>
        <w:rPr>
          <w:rFonts w:hint="eastAsia" w:ascii="仿宋" w:hAnsi="仿宋" w:eastAsia="仿宋"/>
          <w:sz w:val="32"/>
          <w:szCs w:val="32"/>
        </w:rPr>
      </w:pPr>
      <w:bookmarkStart w:id="34" w:name="_Toc3248"/>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1154.44</w:t>
      </w:r>
      <w:r>
        <w:rPr>
          <w:rFonts w:hint="eastAsia" w:ascii="仿宋" w:hAnsi="仿宋" w:eastAsia="仿宋"/>
          <w:color w:val="auto"/>
          <w:sz w:val="32"/>
          <w:szCs w:val="32"/>
          <w:highlight w:val="none"/>
        </w:rPr>
        <w:t>万元，其中：</w:t>
      </w:r>
      <w:r>
        <w:rPr>
          <w:rFonts w:hint="eastAsia" w:ascii="仿宋" w:hAnsi="仿宋" w:eastAsia="仿宋"/>
          <w:sz w:val="32"/>
          <w:szCs w:val="32"/>
        </w:rPr>
        <w:t>基本支出</w:t>
      </w:r>
      <w:r>
        <w:rPr>
          <w:rFonts w:hint="eastAsia" w:ascii="仿宋" w:hAnsi="仿宋" w:eastAsia="仿宋"/>
          <w:sz w:val="32"/>
          <w:szCs w:val="32"/>
          <w:lang w:val="en-US" w:eastAsia="zh-CN"/>
        </w:rPr>
        <w:t>922.01</w:t>
      </w:r>
      <w:r>
        <w:rPr>
          <w:rFonts w:hint="eastAsia" w:ascii="仿宋" w:hAnsi="仿宋" w:eastAsia="仿宋"/>
          <w:sz w:val="32"/>
          <w:szCs w:val="32"/>
        </w:rPr>
        <w:t>万元，占</w:t>
      </w:r>
      <w:r>
        <w:rPr>
          <w:rFonts w:hint="eastAsia" w:ascii="仿宋" w:hAnsi="仿宋" w:eastAsia="仿宋"/>
          <w:sz w:val="32"/>
          <w:szCs w:val="32"/>
          <w:lang w:val="en-US" w:eastAsia="zh-CN"/>
        </w:rPr>
        <w:t>80</w:t>
      </w:r>
      <w:r>
        <w:rPr>
          <w:rFonts w:ascii="仿宋" w:hAnsi="仿宋" w:eastAsia="仿宋"/>
          <w:sz w:val="32"/>
          <w:szCs w:val="32"/>
        </w:rPr>
        <w:t>%</w:t>
      </w:r>
      <w:r>
        <w:rPr>
          <w:rFonts w:hint="eastAsia" w:ascii="仿宋" w:hAnsi="仿宋" w:eastAsia="仿宋"/>
          <w:sz w:val="32"/>
          <w:szCs w:val="32"/>
        </w:rPr>
        <w:t>；项目支出2</w:t>
      </w:r>
      <w:r>
        <w:rPr>
          <w:rFonts w:hint="eastAsia" w:ascii="仿宋" w:hAnsi="仿宋" w:eastAsia="仿宋"/>
          <w:sz w:val="32"/>
          <w:szCs w:val="32"/>
          <w:lang w:val="en-US" w:eastAsia="zh-CN"/>
        </w:rPr>
        <w:t>32.44</w:t>
      </w:r>
      <w:r>
        <w:rPr>
          <w:rFonts w:hint="eastAsia" w:ascii="仿宋" w:hAnsi="仿宋" w:eastAsia="仿宋"/>
          <w:sz w:val="32"/>
          <w:szCs w:val="32"/>
        </w:rPr>
        <w:t>万元，占</w:t>
      </w:r>
      <w:r>
        <w:rPr>
          <w:rFonts w:hint="eastAsia" w:ascii="仿宋" w:hAnsi="仿宋" w:eastAsia="仿宋"/>
          <w:sz w:val="32"/>
          <w:szCs w:val="32"/>
          <w:lang w:val="en-US" w:eastAsia="zh-CN"/>
        </w:rPr>
        <w:t>20</w:t>
      </w:r>
      <w:r>
        <w:rPr>
          <w:rFonts w:ascii="仿宋" w:hAnsi="仿宋" w:eastAsia="仿宋"/>
          <w:sz w:val="32"/>
          <w:szCs w:val="32"/>
        </w:rPr>
        <w:t>%</w:t>
      </w:r>
      <w:r>
        <w:rPr>
          <w:rFonts w:hint="eastAsia" w:ascii="仿宋" w:hAnsi="仿宋" w:eastAsia="仿宋"/>
          <w:sz w:val="32"/>
          <w:szCs w:val="32"/>
        </w:rPr>
        <w:t>。</w:t>
      </w:r>
      <w:bookmarkEnd w:id="34"/>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spacing w:line="600" w:lineRule="exact"/>
        <w:ind w:firstLine="640" w:firstLineChars="200"/>
        <w:rPr>
          <w:rFonts w:ascii="仿宋_GB2312" w:eastAsia="仿宋_GB2312"/>
          <w:color w:val="auto"/>
          <w:sz w:val="32"/>
          <w:szCs w:val="32"/>
          <w:highlight w:val="none"/>
        </w:rPr>
      </w:pPr>
    </w:p>
    <w:p>
      <w:pPr>
        <w:pStyle w:val="2"/>
        <w:rPr>
          <w:rFonts w:ascii="仿宋_GB2312" w:eastAsia="仿宋_GB2312"/>
          <w:color w:val="auto"/>
          <w:sz w:val="32"/>
          <w:szCs w:val="32"/>
          <w:highlight w:val="none"/>
        </w:rPr>
      </w:pPr>
      <w:r>
        <w:drawing>
          <wp:inline distT="0" distB="0" distL="0" distR="0">
            <wp:extent cx="5274310" cy="3076575"/>
            <wp:effectExtent l="5080" t="4445" r="6985" b="508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spacing w:line="600" w:lineRule="exact"/>
        <w:ind w:firstLine="640" w:firstLineChars="200"/>
        <w:outlineLvl w:val="1"/>
        <w:rPr>
          <w:rStyle w:val="21"/>
          <w:rFonts w:ascii="黑体" w:hAnsi="黑体" w:eastAsia="黑体"/>
          <w:b w:val="0"/>
          <w:color w:val="auto"/>
          <w:highlight w:val="none"/>
        </w:rPr>
      </w:pPr>
      <w:bookmarkStart w:id="35" w:name="_Toc15396606"/>
      <w:bookmarkStart w:id="36" w:name="_Toc15377208"/>
      <w:bookmarkStart w:id="37" w:name="_Toc30325"/>
      <w:r>
        <w:rPr>
          <w:rFonts w:hint="eastAsia" w:ascii="黑体" w:hAnsi="黑体" w:eastAsia="黑体"/>
          <w:color w:val="auto"/>
          <w:sz w:val="32"/>
          <w:szCs w:val="32"/>
          <w:highlight w:val="none"/>
        </w:rPr>
        <w:t>四、财</w:t>
      </w:r>
      <w:r>
        <w:rPr>
          <w:rStyle w:val="21"/>
          <w:rFonts w:hint="eastAsia" w:ascii="黑体" w:hAnsi="黑体" w:eastAsia="黑体"/>
          <w:b w:val="0"/>
          <w:color w:val="auto"/>
          <w:highlight w:val="none"/>
        </w:rPr>
        <w:t>政拨款收入支出决算总体情况说明</w:t>
      </w:r>
      <w:bookmarkEnd w:id="35"/>
      <w:bookmarkEnd w:id="36"/>
      <w:bookmarkEnd w:id="37"/>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707</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49.22</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7.5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s="仿宋"/>
          <w:color w:val="333333"/>
          <w:kern w:val="0"/>
          <w:sz w:val="32"/>
          <w:szCs w:val="32"/>
          <w:shd w:val="clear" w:color="auto" w:fill="FFFFFF"/>
        </w:rPr>
        <w:t>体制上划，保障标准发生变化</w:t>
      </w:r>
      <w:r>
        <w:rPr>
          <w:rFonts w:hint="eastAsia" w:ascii="仿宋" w:hAnsi="仿宋" w:eastAsia="仿宋"/>
          <w:sz w:val="32"/>
          <w:szCs w:val="32"/>
        </w:rPr>
        <w:t>。</w:t>
      </w:r>
    </w:p>
    <w:p>
      <w:pPr>
        <w:spacing w:line="600" w:lineRule="exact"/>
        <w:ind w:firstLine="640" w:firstLineChars="200"/>
        <w:rPr>
          <w:rFonts w:ascii="仿宋" w:hAnsi="仿宋" w:eastAsia="仿宋"/>
          <w:b/>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pStyle w:val="2"/>
        <w:rPr>
          <w:rFonts w:ascii="仿宋" w:hAnsi="仿宋" w:eastAsia="仿宋"/>
          <w:b/>
          <w:color w:val="auto"/>
          <w:sz w:val="32"/>
          <w:szCs w:val="32"/>
          <w:highlight w:val="none"/>
        </w:rPr>
      </w:pPr>
      <w:r>
        <w:drawing>
          <wp:inline distT="0" distB="0" distL="0" distR="0">
            <wp:extent cx="5274310" cy="3076575"/>
            <wp:effectExtent l="5080" t="4445" r="16510" b="508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firstLineChars="200"/>
        <w:outlineLvl w:val="1"/>
        <w:rPr>
          <w:rStyle w:val="21"/>
          <w:rFonts w:ascii="黑体" w:hAnsi="黑体" w:eastAsia="黑体"/>
          <w:b w:val="0"/>
          <w:color w:val="auto"/>
          <w:highlight w:val="none"/>
        </w:rPr>
      </w:pPr>
      <w:bookmarkStart w:id="38" w:name="_Toc7417"/>
      <w:bookmarkStart w:id="39" w:name="_Toc15377209"/>
      <w:bookmarkStart w:id="40"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1"/>
          <w:rFonts w:hint="eastAsia" w:ascii="黑体" w:hAnsi="黑体" w:eastAsia="黑体"/>
          <w:b w:val="0"/>
          <w:color w:val="auto"/>
          <w:highlight w:val="none"/>
        </w:rPr>
        <w:t>般公共预算财政拨款支出决算情况说明</w:t>
      </w:r>
      <w:bookmarkEnd w:id="38"/>
      <w:bookmarkEnd w:id="39"/>
      <w:bookmarkEnd w:id="40"/>
    </w:p>
    <w:p>
      <w:pPr>
        <w:spacing w:line="600" w:lineRule="exact"/>
        <w:ind w:firstLine="643" w:firstLineChars="200"/>
        <w:outlineLvl w:val="2"/>
        <w:rPr>
          <w:rFonts w:ascii="仿宋" w:hAnsi="仿宋" w:eastAsia="仿宋"/>
          <w:b/>
          <w:color w:val="auto"/>
          <w:sz w:val="32"/>
          <w:szCs w:val="32"/>
          <w:highlight w:val="none"/>
        </w:rPr>
      </w:pPr>
      <w:bookmarkStart w:id="41" w:name="_Toc15377210"/>
      <w:r>
        <w:rPr>
          <w:rFonts w:hint="eastAsia" w:ascii="仿宋" w:hAnsi="仿宋" w:eastAsia="仿宋"/>
          <w:b/>
          <w:color w:val="auto"/>
          <w:sz w:val="32"/>
          <w:szCs w:val="32"/>
          <w:highlight w:val="none"/>
        </w:rPr>
        <w:t>（一）一般公共预算财政拨款支出决算总体情况</w:t>
      </w:r>
      <w:bookmarkEnd w:id="41"/>
    </w:p>
    <w:p>
      <w:pP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707</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61.24</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49.22</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7.5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s="仿宋"/>
          <w:color w:val="333333"/>
          <w:kern w:val="0"/>
          <w:sz w:val="32"/>
          <w:szCs w:val="32"/>
          <w:shd w:val="clear" w:color="auto" w:fill="FFFFFF"/>
        </w:rPr>
        <w:t>体制上划，保障标准发生变化</w:t>
      </w:r>
      <w:r>
        <w:rPr>
          <w:rFonts w:hint="eastAsia" w:ascii="仿宋" w:hAnsi="仿宋" w:eastAsia="仿宋"/>
          <w:sz w:val="32"/>
          <w:szCs w:val="32"/>
        </w:rPr>
        <w:t>。</w:t>
      </w: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ind w:firstLine="640" w:firstLineChars="200"/>
        <w:rPr>
          <w:rFonts w:ascii="仿宋" w:hAnsi="仿宋" w:eastAsia="仿宋"/>
          <w:color w:val="auto"/>
          <w:sz w:val="32"/>
          <w:szCs w:val="32"/>
          <w:highlight w:val="none"/>
        </w:rPr>
      </w:pPr>
    </w:p>
    <w:p>
      <w:pPr>
        <w:pStyle w:val="2"/>
        <w:rPr>
          <w:rFonts w:ascii="仿宋" w:hAnsi="仿宋" w:eastAsia="仿宋"/>
          <w:color w:val="auto"/>
          <w:sz w:val="32"/>
          <w:szCs w:val="32"/>
          <w:highlight w:val="none"/>
        </w:rPr>
      </w:pPr>
      <w:r>
        <w:drawing>
          <wp:inline distT="0" distB="0" distL="0" distR="0">
            <wp:extent cx="5274310" cy="3076575"/>
            <wp:effectExtent l="5080" t="4445" r="16510" b="508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2"/>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42" w:name="_Toc15377211"/>
      <w:r>
        <w:rPr>
          <w:rFonts w:hint="eastAsia" w:ascii="仿宋" w:hAnsi="仿宋" w:eastAsia="仿宋"/>
          <w:b/>
          <w:color w:val="auto"/>
          <w:sz w:val="32"/>
          <w:szCs w:val="32"/>
          <w:highlight w:val="none"/>
        </w:rPr>
        <w:t>（二）一般公共预算财政拨款支出决算结构情况</w:t>
      </w:r>
      <w:bookmarkEnd w:id="42"/>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707</w:t>
      </w:r>
      <w:r>
        <w:rPr>
          <w:rFonts w:hint="eastAsia" w:ascii="仿宋" w:hAnsi="仿宋" w:eastAsia="仿宋"/>
          <w:color w:val="auto"/>
          <w:sz w:val="32"/>
          <w:szCs w:val="32"/>
          <w:highlight w:val="none"/>
        </w:rPr>
        <w:t>万元，主要用于以下方面</w:t>
      </w:r>
      <w:r>
        <w:rPr>
          <w:rFonts w:hint="eastAsia" w:ascii="仿宋" w:hAnsi="仿宋" w:eastAsia="仿宋"/>
          <w:color w:val="auto"/>
          <w:sz w:val="32"/>
          <w:szCs w:val="32"/>
          <w:highlight w:val="none"/>
          <w:lang w:eastAsia="zh-CN"/>
        </w:rPr>
        <w:t>：</w:t>
      </w:r>
      <w:r>
        <w:rPr>
          <w:rFonts w:hint="eastAsia" w:ascii="仿宋" w:hAnsi="仿宋" w:eastAsia="仿宋"/>
          <w:b/>
          <w:color w:val="auto"/>
          <w:sz w:val="32"/>
          <w:szCs w:val="32"/>
          <w:highlight w:val="none"/>
        </w:rPr>
        <w:t>公共</w:t>
      </w:r>
      <w:r>
        <w:rPr>
          <w:rFonts w:hint="eastAsia" w:ascii="仿宋" w:hAnsi="仿宋" w:eastAsia="仿宋"/>
          <w:b/>
          <w:color w:val="auto"/>
          <w:sz w:val="32"/>
          <w:szCs w:val="32"/>
          <w:highlight w:val="none"/>
          <w:lang w:eastAsia="zh-CN"/>
        </w:rPr>
        <w:t>安全</w:t>
      </w:r>
      <w:r>
        <w:rPr>
          <w:rFonts w:hint="eastAsia" w:ascii="仿宋" w:hAnsi="仿宋" w:eastAsia="仿宋"/>
          <w:b/>
          <w:bCs/>
          <w:color w:val="auto"/>
          <w:sz w:val="32"/>
          <w:szCs w:val="32"/>
          <w:highlight w:val="none"/>
        </w:rPr>
        <w:t>支出</w:t>
      </w:r>
      <w:r>
        <w:rPr>
          <w:rFonts w:hint="eastAsia" w:ascii="仿宋" w:hAnsi="仿宋" w:eastAsia="仿宋"/>
          <w:b/>
          <w:bCs/>
          <w:color w:val="auto"/>
          <w:sz w:val="32"/>
          <w:szCs w:val="32"/>
          <w:highlight w:val="none"/>
          <w:lang w:val="en-US" w:eastAsia="zh-CN"/>
        </w:rPr>
        <w:t>623.62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88.21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b/>
          <w:bCs/>
          <w:color w:val="auto"/>
          <w:sz w:val="32"/>
          <w:szCs w:val="32"/>
          <w:highlight w:val="none"/>
          <w:lang w:val="en-US" w:eastAsia="zh-CN"/>
        </w:rPr>
        <w:t>40.98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b/>
          <w:bCs/>
          <w:color w:val="auto"/>
          <w:sz w:val="32"/>
          <w:szCs w:val="32"/>
          <w:highlight w:val="none"/>
          <w:lang w:val="en-US" w:eastAsia="zh-CN"/>
        </w:rPr>
        <w:t>16.42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2.32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b/>
          <w:bCs/>
          <w:color w:val="auto"/>
          <w:sz w:val="32"/>
          <w:szCs w:val="32"/>
          <w:highlight w:val="none"/>
          <w:lang w:val="en-US" w:eastAsia="zh-CN"/>
        </w:rPr>
        <w:t>25.98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3.67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pacing w:line="600" w:lineRule="exact"/>
        <w:ind w:firstLine="640" w:firstLineChars="200"/>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r>
        <w:drawing>
          <wp:inline distT="0" distB="0" distL="0" distR="0">
            <wp:extent cx="5274310" cy="3076575"/>
            <wp:effectExtent l="5080" t="4445" r="16510" b="508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2"/>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43" w:name="_Toc15377212"/>
      <w:r>
        <w:rPr>
          <w:rFonts w:hint="eastAsia" w:ascii="仿宋" w:hAnsi="仿宋" w:eastAsia="仿宋"/>
          <w:b/>
          <w:color w:val="auto"/>
          <w:sz w:val="32"/>
          <w:szCs w:val="32"/>
          <w:highlight w:val="none"/>
        </w:rPr>
        <w:t>（三）一般公共预算财政拨款支出决算具体情况</w:t>
      </w:r>
      <w:bookmarkEnd w:id="43"/>
    </w:p>
    <w:p>
      <w:pPr>
        <w:spacing w:line="600" w:lineRule="exact"/>
        <w:ind w:firstLine="643" w:firstLineChars="200"/>
        <w:outlineLvl w:val="1"/>
        <w:rPr>
          <w:rFonts w:ascii="仿宋" w:hAnsi="仿宋" w:eastAsia="仿宋"/>
          <w:color w:val="auto"/>
          <w:sz w:val="32"/>
          <w:szCs w:val="32"/>
          <w:highlight w:val="none"/>
        </w:rPr>
      </w:pPr>
      <w:bookmarkStart w:id="44" w:name="_Toc15377213"/>
      <w:bookmarkStart w:id="45" w:name="_Toc3233"/>
      <w:bookmarkStart w:id="46" w:name="_Toc15378460"/>
      <w:bookmarkStart w:id="47"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707万元</w:t>
      </w:r>
      <w:r>
        <w:rPr>
          <w:rFonts w:hint="eastAsia" w:ascii="仿宋" w:hAnsi="仿宋" w:eastAsia="仿宋"/>
          <w:color w:val="auto"/>
          <w:sz w:val="32"/>
          <w:szCs w:val="32"/>
          <w:highlight w:val="none"/>
        </w:rPr>
        <w:t>，</w:t>
      </w:r>
      <w:r>
        <w:rPr>
          <w:rStyle w:val="18"/>
          <w:rFonts w:hint="eastAsia" w:ascii="仿宋" w:hAnsi="仿宋" w:eastAsia="仿宋"/>
          <w:bCs/>
          <w:color w:val="auto"/>
          <w:sz w:val="32"/>
          <w:szCs w:val="32"/>
          <w:highlight w:val="none"/>
        </w:rPr>
        <w:t>完成预算</w:t>
      </w:r>
      <w:r>
        <w:rPr>
          <w:rStyle w:val="18"/>
          <w:rFonts w:hint="eastAsia" w:ascii="仿宋" w:hAnsi="仿宋" w:eastAsia="仿宋"/>
          <w:bCs/>
          <w:color w:val="auto"/>
          <w:sz w:val="32"/>
          <w:szCs w:val="32"/>
          <w:highlight w:val="none"/>
          <w:lang w:val="en-US" w:eastAsia="zh-CN"/>
        </w:rPr>
        <w:t>100</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。其中：</w:t>
      </w:r>
      <w:bookmarkEnd w:id="44"/>
      <w:bookmarkEnd w:id="45"/>
      <w:bookmarkEnd w:id="46"/>
      <w:bookmarkEnd w:id="47"/>
    </w:p>
    <w:p>
      <w:pPr>
        <w:numPr>
          <w:ilvl w:val="0"/>
          <w:numId w:val="3"/>
        </w:numPr>
        <w:spacing w:line="600" w:lineRule="exact"/>
        <w:ind w:left="0" w:leftChars="0" w:firstLine="400" w:firstLineChars="0"/>
        <w:rPr>
          <w:rStyle w:val="18"/>
          <w:rFonts w:hint="eastAsia" w:ascii="仿宋" w:hAnsi="仿宋" w:eastAsia="仿宋"/>
          <w:b w:val="0"/>
          <w:bCs/>
          <w:color w:val="auto"/>
          <w:sz w:val="32"/>
          <w:szCs w:val="32"/>
          <w:highlight w:val="none"/>
          <w:lang w:eastAsia="zh-CN"/>
        </w:rPr>
      </w:pPr>
      <w:r>
        <w:rPr>
          <w:rStyle w:val="18"/>
          <w:rFonts w:hint="eastAsia" w:ascii="仿宋" w:hAnsi="仿宋" w:eastAsia="仿宋"/>
          <w:bCs/>
          <w:color w:val="auto"/>
          <w:sz w:val="32"/>
          <w:szCs w:val="32"/>
          <w:highlight w:val="none"/>
        </w:rPr>
        <w:t>公共</w:t>
      </w:r>
      <w:r>
        <w:rPr>
          <w:rStyle w:val="18"/>
          <w:rFonts w:hint="eastAsia" w:ascii="仿宋" w:hAnsi="仿宋" w:eastAsia="仿宋"/>
          <w:bCs/>
          <w:color w:val="auto"/>
          <w:sz w:val="32"/>
          <w:szCs w:val="32"/>
          <w:highlight w:val="none"/>
          <w:lang w:eastAsia="zh-CN"/>
        </w:rPr>
        <w:t>安全</w:t>
      </w:r>
      <w:r>
        <w:rPr>
          <w:rStyle w:val="18"/>
          <w:rFonts w:hint="eastAsia" w:ascii="仿宋" w:hAnsi="仿宋" w:eastAsia="仿宋"/>
          <w:bCs/>
          <w:color w:val="auto"/>
          <w:sz w:val="32"/>
          <w:szCs w:val="32"/>
          <w:highlight w:val="none"/>
        </w:rPr>
        <w:t>服务（类）</w:t>
      </w:r>
      <w:r>
        <w:rPr>
          <w:rStyle w:val="18"/>
          <w:rFonts w:hint="eastAsia" w:ascii="仿宋" w:hAnsi="仿宋" w:eastAsia="仿宋"/>
          <w:bCs/>
          <w:color w:val="auto"/>
          <w:sz w:val="32"/>
          <w:szCs w:val="32"/>
          <w:highlight w:val="none"/>
          <w:lang w:eastAsia="zh-CN"/>
        </w:rPr>
        <w:t>检察</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eastAsia="zh-CN"/>
        </w:rPr>
        <w:t>行政运行</w:t>
      </w:r>
      <w:r>
        <w:rPr>
          <w:rStyle w:val="18"/>
          <w:rFonts w:hint="eastAsia" w:ascii="仿宋" w:hAnsi="仿宋" w:eastAsia="仿宋"/>
          <w:bCs/>
          <w:color w:val="auto"/>
          <w:sz w:val="32"/>
          <w:szCs w:val="32"/>
          <w:highlight w:val="none"/>
        </w:rPr>
        <w:t>（项）</w:t>
      </w:r>
      <w:r>
        <w:rPr>
          <w:rStyle w:val="18"/>
          <w:rFonts w:hint="eastAsia" w:ascii="仿宋" w:hAnsi="仿宋" w:eastAsia="仿宋"/>
          <w:bCs/>
          <w:color w:val="auto"/>
          <w:sz w:val="32"/>
          <w:szCs w:val="32"/>
          <w:highlight w:val="none"/>
          <w:lang w:eastAsia="zh-CN"/>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358.98</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eastAsia="zh-CN"/>
        </w:rPr>
        <w:t>。</w:t>
      </w:r>
    </w:p>
    <w:p>
      <w:pPr>
        <w:pStyle w:val="2"/>
        <w:numPr>
          <w:ilvl w:val="0"/>
          <w:numId w:val="3"/>
        </w:numPr>
        <w:ind w:left="0" w:leftChars="0" w:firstLine="400" w:firstLineChars="0"/>
        <w:rPr>
          <w:rStyle w:val="18"/>
          <w:rFonts w:hint="eastAsia" w:ascii="仿宋" w:hAnsi="仿宋" w:eastAsia="仿宋"/>
          <w:b w:val="0"/>
          <w:bCs/>
          <w:sz w:val="32"/>
          <w:szCs w:val="32"/>
          <w:lang w:eastAsia="zh-CN"/>
        </w:rPr>
      </w:pPr>
      <w:r>
        <w:rPr>
          <w:rStyle w:val="18"/>
          <w:rFonts w:hint="eastAsia" w:ascii="仿宋" w:hAnsi="仿宋" w:eastAsia="仿宋"/>
          <w:bCs/>
          <w:color w:val="auto"/>
          <w:sz w:val="32"/>
          <w:szCs w:val="32"/>
          <w:highlight w:val="none"/>
        </w:rPr>
        <w:t>公共</w:t>
      </w:r>
      <w:r>
        <w:rPr>
          <w:rStyle w:val="18"/>
          <w:rFonts w:hint="eastAsia" w:ascii="仿宋" w:hAnsi="仿宋" w:eastAsia="仿宋"/>
          <w:bCs/>
          <w:color w:val="auto"/>
          <w:sz w:val="32"/>
          <w:szCs w:val="32"/>
          <w:highlight w:val="none"/>
          <w:lang w:eastAsia="zh-CN"/>
        </w:rPr>
        <w:t>安全</w:t>
      </w:r>
      <w:r>
        <w:rPr>
          <w:rStyle w:val="18"/>
          <w:rFonts w:hint="eastAsia" w:ascii="仿宋" w:hAnsi="仿宋" w:eastAsia="仿宋"/>
          <w:bCs/>
          <w:color w:val="auto"/>
          <w:sz w:val="32"/>
          <w:szCs w:val="32"/>
          <w:highlight w:val="none"/>
        </w:rPr>
        <w:t>服务（类）</w:t>
      </w:r>
      <w:r>
        <w:rPr>
          <w:rStyle w:val="18"/>
          <w:rFonts w:hint="eastAsia" w:ascii="仿宋" w:hAnsi="仿宋" w:eastAsia="仿宋"/>
          <w:bCs/>
          <w:color w:val="auto"/>
          <w:sz w:val="32"/>
          <w:szCs w:val="32"/>
          <w:highlight w:val="none"/>
          <w:lang w:eastAsia="zh-CN"/>
        </w:rPr>
        <w:t>检察</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eastAsia="zh-CN"/>
        </w:rPr>
        <w:t>事业运行</w:t>
      </w:r>
      <w:r>
        <w:rPr>
          <w:rStyle w:val="18"/>
          <w:rFonts w:hint="eastAsia" w:ascii="仿宋" w:hAnsi="仿宋" w:eastAsia="仿宋"/>
          <w:bCs/>
          <w:sz w:val="32"/>
          <w:szCs w:val="32"/>
        </w:rPr>
        <w:t>（项）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w:t>
      </w:r>
      <w:r>
        <w:rPr>
          <w:rStyle w:val="18"/>
          <w:rFonts w:hint="eastAsia" w:ascii="仿宋" w:hAnsi="仿宋" w:eastAsia="仿宋"/>
          <w:b w:val="0"/>
          <w:bCs/>
          <w:sz w:val="32"/>
          <w:szCs w:val="32"/>
          <w:lang w:eastAsia="zh-CN"/>
        </w:rPr>
        <w:t>为</w:t>
      </w:r>
      <w:r>
        <w:rPr>
          <w:rStyle w:val="18"/>
          <w:rFonts w:hint="eastAsia" w:ascii="仿宋" w:hAnsi="仿宋" w:eastAsia="仿宋"/>
          <w:b w:val="0"/>
          <w:bCs/>
          <w:sz w:val="32"/>
          <w:szCs w:val="32"/>
          <w:lang w:val="en-US" w:eastAsia="zh-CN"/>
        </w:rPr>
        <w:t>32.2</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lang w:eastAsia="zh-CN"/>
        </w:rPr>
        <w:t>。</w:t>
      </w:r>
    </w:p>
    <w:p>
      <w:pPr>
        <w:pStyle w:val="2"/>
        <w:numPr>
          <w:ilvl w:val="0"/>
          <w:numId w:val="3"/>
        </w:numPr>
        <w:ind w:left="0" w:leftChars="0" w:firstLine="400" w:firstLineChars="0"/>
        <w:rPr>
          <w:rStyle w:val="18"/>
          <w:rFonts w:ascii="仿宋" w:hAnsi="仿宋" w:eastAsia="仿宋"/>
          <w:b w:val="0"/>
          <w:bCs/>
          <w:sz w:val="32"/>
          <w:szCs w:val="32"/>
        </w:rPr>
      </w:pPr>
      <w:r>
        <w:rPr>
          <w:rStyle w:val="18"/>
          <w:rFonts w:hint="eastAsia" w:ascii="仿宋" w:hAnsi="仿宋" w:eastAsia="仿宋"/>
          <w:bCs/>
          <w:color w:val="auto"/>
          <w:sz w:val="32"/>
          <w:szCs w:val="32"/>
          <w:highlight w:val="none"/>
        </w:rPr>
        <w:t>公共</w:t>
      </w:r>
      <w:r>
        <w:rPr>
          <w:rStyle w:val="18"/>
          <w:rFonts w:hint="eastAsia" w:ascii="仿宋" w:hAnsi="仿宋" w:eastAsia="仿宋"/>
          <w:bCs/>
          <w:color w:val="auto"/>
          <w:sz w:val="32"/>
          <w:szCs w:val="32"/>
          <w:highlight w:val="none"/>
          <w:lang w:eastAsia="zh-CN"/>
        </w:rPr>
        <w:t>安全</w:t>
      </w:r>
      <w:r>
        <w:rPr>
          <w:rStyle w:val="18"/>
          <w:rFonts w:hint="eastAsia" w:ascii="仿宋" w:hAnsi="仿宋" w:eastAsia="仿宋"/>
          <w:bCs/>
          <w:color w:val="auto"/>
          <w:sz w:val="32"/>
          <w:szCs w:val="32"/>
          <w:highlight w:val="none"/>
        </w:rPr>
        <w:t>服务（类）</w:t>
      </w:r>
      <w:r>
        <w:rPr>
          <w:rStyle w:val="18"/>
          <w:rFonts w:hint="eastAsia" w:ascii="仿宋" w:hAnsi="仿宋" w:eastAsia="仿宋"/>
          <w:bCs/>
          <w:color w:val="auto"/>
          <w:sz w:val="32"/>
          <w:szCs w:val="32"/>
          <w:highlight w:val="none"/>
          <w:lang w:eastAsia="zh-CN"/>
        </w:rPr>
        <w:t>检察</w:t>
      </w:r>
      <w:r>
        <w:rPr>
          <w:rStyle w:val="18"/>
          <w:rFonts w:hint="eastAsia" w:ascii="仿宋" w:hAnsi="仿宋" w:eastAsia="仿宋"/>
          <w:bCs/>
          <w:color w:val="auto"/>
          <w:sz w:val="32"/>
          <w:szCs w:val="32"/>
          <w:highlight w:val="none"/>
        </w:rPr>
        <w:t>（款）</w:t>
      </w:r>
      <w:r>
        <w:rPr>
          <w:rStyle w:val="18"/>
          <w:rFonts w:hint="eastAsia" w:ascii="仿宋" w:hAnsi="仿宋" w:eastAsia="仿宋"/>
          <w:bCs/>
          <w:sz w:val="32"/>
          <w:szCs w:val="32"/>
        </w:rPr>
        <w:t>其他</w:t>
      </w:r>
      <w:r>
        <w:rPr>
          <w:rStyle w:val="18"/>
          <w:rFonts w:hint="eastAsia" w:ascii="仿宋" w:hAnsi="仿宋" w:eastAsia="仿宋"/>
          <w:bCs/>
          <w:sz w:val="32"/>
          <w:szCs w:val="32"/>
          <w:lang w:eastAsia="zh-CN"/>
        </w:rPr>
        <w:t>检查</w:t>
      </w:r>
      <w:r>
        <w:rPr>
          <w:rStyle w:val="18"/>
          <w:rFonts w:hint="eastAsia" w:ascii="仿宋" w:hAnsi="仿宋" w:eastAsia="仿宋"/>
          <w:bCs/>
          <w:sz w:val="32"/>
          <w:szCs w:val="32"/>
        </w:rPr>
        <w:t>支出（项）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支出决算为2</w:t>
      </w:r>
      <w:r>
        <w:rPr>
          <w:rStyle w:val="18"/>
          <w:rFonts w:hint="eastAsia" w:ascii="仿宋" w:hAnsi="仿宋" w:eastAsia="仿宋"/>
          <w:b w:val="0"/>
          <w:bCs/>
          <w:sz w:val="32"/>
          <w:szCs w:val="32"/>
          <w:lang w:val="en-US" w:eastAsia="zh-CN"/>
        </w:rPr>
        <w:t>32.44</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lang w:eastAsia="zh-CN"/>
        </w:rPr>
        <w:t>。</w:t>
      </w:r>
    </w:p>
    <w:p>
      <w:pPr>
        <w:numPr>
          <w:ilvl w:val="0"/>
          <w:numId w:val="3"/>
        </w:numPr>
        <w:spacing w:line="600" w:lineRule="exact"/>
        <w:ind w:left="0" w:leftChars="0" w:firstLine="400" w:firstLineChars="0"/>
        <w:rPr>
          <w:rStyle w:val="18"/>
          <w:rFonts w:hint="eastAsia" w:ascii="仿宋" w:hAnsi="仿宋" w:eastAsia="仿宋"/>
          <w:b w:val="0"/>
          <w:bCs/>
          <w:color w:val="auto"/>
          <w:sz w:val="32"/>
          <w:szCs w:val="32"/>
          <w:highlight w:val="none"/>
          <w:lang w:eastAsia="zh-CN"/>
        </w:rPr>
      </w:pPr>
      <w:r>
        <w:rPr>
          <w:rStyle w:val="18"/>
          <w:rFonts w:hint="eastAsia" w:ascii="仿宋" w:hAnsi="仿宋" w:eastAsia="仿宋"/>
          <w:bCs/>
          <w:color w:val="auto"/>
          <w:sz w:val="32"/>
          <w:szCs w:val="32"/>
          <w:highlight w:val="none"/>
          <w:lang w:eastAsia="zh-CN"/>
        </w:rPr>
        <w:t>社会保障和就业支出</w:t>
      </w:r>
      <w:r>
        <w:rPr>
          <w:rStyle w:val="18"/>
          <w:rFonts w:hint="eastAsia" w:ascii="仿宋" w:hAnsi="仿宋" w:eastAsia="仿宋"/>
          <w:bCs/>
          <w:color w:val="auto"/>
          <w:sz w:val="32"/>
          <w:szCs w:val="32"/>
          <w:highlight w:val="none"/>
        </w:rPr>
        <w:t>（类）</w:t>
      </w:r>
      <w:r>
        <w:rPr>
          <w:rStyle w:val="18"/>
          <w:rFonts w:hint="eastAsia" w:ascii="仿宋" w:hAnsi="仿宋" w:eastAsia="仿宋"/>
          <w:bCs/>
          <w:color w:val="000000"/>
          <w:sz w:val="32"/>
          <w:szCs w:val="32"/>
        </w:rPr>
        <w:t>行政事业单位养老</w:t>
      </w:r>
      <w:r>
        <w:rPr>
          <w:rStyle w:val="18"/>
          <w:rFonts w:hint="eastAsia" w:ascii="仿宋" w:hAnsi="仿宋" w:eastAsia="仿宋"/>
          <w:bCs/>
          <w:color w:val="auto"/>
          <w:sz w:val="32"/>
          <w:szCs w:val="32"/>
          <w:highlight w:val="none"/>
        </w:rPr>
        <w:t>（款）</w:t>
      </w:r>
      <w:r>
        <w:rPr>
          <w:rStyle w:val="18"/>
          <w:rFonts w:hint="eastAsia" w:ascii="仿宋" w:hAnsi="仿宋" w:eastAsia="仿宋"/>
          <w:bCs/>
          <w:color w:val="000000"/>
          <w:sz w:val="32"/>
          <w:szCs w:val="32"/>
        </w:rPr>
        <w:t>机关事业单位基本养老保险缴费</w:t>
      </w:r>
      <w:r>
        <w:rPr>
          <w:rStyle w:val="18"/>
          <w:rFonts w:hint="eastAsia" w:ascii="仿宋" w:hAnsi="仿宋" w:eastAsia="仿宋"/>
          <w:bCs/>
          <w:color w:val="auto"/>
          <w:sz w:val="32"/>
          <w:szCs w:val="32"/>
          <w:highlight w:val="none"/>
        </w:rPr>
        <w:t>（项）</w:t>
      </w:r>
      <w:r>
        <w:rPr>
          <w:rStyle w:val="18"/>
          <w:rFonts w:hint="eastAsia" w:ascii="仿宋" w:hAnsi="仿宋" w:eastAsia="仿宋"/>
          <w:bCs/>
          <w:color w:val="auto"/>
          <w:sz w:val="32"/>
          <w:szCs w:val="32"/>
          <w:highlight w:val="none"/>
          <w:lang w:eastAsia="zh-CN"/>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32.34</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eastAsia="zh-CN"/>
        </w:rPr>
        <w:t>。</w:t>
      </w:r>
    </w:p>
    <w:p>
      <w:pPr>
        <w:numPr>
          <w:ilvl w:val="0"/>
          <w:numId w:val="3"/>
        </w:numPr>
        <w:spacing w:line="600" w:lineRule="exact"/>
        <w:ind w:left="0" w:leftChars="0" w:firstLine="400" w:firstLineChars="0"/>
        <w:rPr>
          <w:rStyle w:val="18"/>
          <w:rFonts w:hint="eastAsia" w:ascii="仿宋" w:hAnsi="仿宋" w:eastAsia="仿宋"/>
          <w:b w:val="0"/>
          <w:bCs/>
          <w:color w:val="auto"/>
          <w:sz w:val="32"/>
          <w:szCs w:val="32"/>
          <w:highlight w:val="none"/>
          <w:lang w:eastAsia="zh-CN"/>
        </w:rPr>
      </w:pPr>
      <w:r>
        <w:rPr>
          <w:rStyle w:val="18"/>
          <w:rFonts w:hint="eastAsia" w:ascii="仿宋" w:hAnsi="仿宋" w:eastAsia="仿宋"/>
          <w:bCs/>
          <w:color w:val="auto"/>
          <w:sz w:val="32"/>
          <w:szCs w:val="32"/>
          <w:highlight w:val="none"/>
          <w:lang w:eastAsia="zh-CN"/>
        </w:rPr>
        <w:t>社会保障和就业支出</w:t>
      </w:r>
      <w:r>
        <w:rPr>
          <w:rStyle w:val="18"/>
          <w:rFonts w:hint="eastAsia" w:ascii="仿宋" w:hAnsi="仿宋" w:eastAsia="仿宋"/>
          <w:bCs/>
          <w:color w:val="auto"/>
          <w:sz w:val="32"/>
          <w:szCs w:val="32"/>
          <w:highlight w:val="none"/>
        </w:rPr>
        <w:t>（类）</w:t>
      </w:r>
      <w:r>
        <w:rPr>
          <w:rStyle w:val="18"/>
          <w:rFonts w:hint="eastAsia" w:ascii="仿宋" w:hAnsi="仿宋" w:eastAsia="仿宋"/>
          <w:bCs/>
          <w:color w:val="000000"/>
          <w:sz w:val="32"/>
          <w:szCs w:val="32"/>
        </w:rPr>
        <w:t>行政事业单位养老</w:t>
      </w:r>
      <w:r>
        <w:rPr>
          <w:rStyle w:val="18"/>
          <w:rFonts w:hint="eastAsia" w:ascii="仿宋" w:hAnsi="仿宋" w:eastAsia="仿宋"/>
          <w:bCs/>
          <w:color w:val="auto"/>
          <w:sz w:val="32"/>
          <w:szCs w:val="32"/>
          <w:highlight w:val="none"/>
        </w:rPr>
        <w:t>（款）</w:t>
      </w:r>
      <w:r>
        <w:rPr>
          <w:rStyle w:val="18"/>
          <w:rFonts w:hint="eastAsia" w:ascii="仿宋" w:hAnsi="仿宋" w:eastAsia="仿宋"/>
          <w:bCs/>
          <w:color w:val="000000"/>
          <w:sz w:val="32"/>
          <w:szCs w:val="32"/>
        </w:rPr>
        <w:t>机关事业单位职业年金缴费</w:t>
      </w:r>
      <w:r>
        <w:rPr>
          <w:rStyle w:val="18"/>
          <w:rFonts w:hint="eastAsia" w:ascii="仿宋" w:hAnsi="仿宋" w:eastAsia="仿宋"/>
          <w:bCs/>
          <w:color w:val="auto"/>
          <w:sz w:val="32"/>
          <w:szCs w:val="32"/>
          <w:highlight w:val="none"/>
        </w:rPr>
        <w:t>（项）</w:t>
      </w:r>
      <w:r>
        <w:rPr>
          <w:rStyle w:val="18"/>
          <w:rFonts w:hint="eastAsia" w:ascii="仿宋" w:hAnsi="仿宋" w:eastAsia="仿宋"/>
          <w:bCs/>
          <w:color w:val="auto"/>
          <w:sz w:val="32"/>
          <w:szCs w:val="32"/>
          <w:highlight w:val="none"/>
          <w:lang w:eastAsia="zh-CN"/>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8.64</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eastAsia="zh-CN"/>
        </w:rPr>
        <w:t>。</w:t>
      </w:r>
    </w:p>
    <w:p>
      <w:pPr>
        <w:numPr>
          <w:ilvl w:val="0"/>
          <w:numId w:val="3"/>
        </w:numPr>
        <w:spacing w:line="600" w:lineRule="exact"/>
        <w:ind w:left="0" w:leftChars="0" w:firstLine="400" w:firstLineChars="0"/>
        <w:rPr>
          <w:rFonts w:ascii="仿宋" w:hAnsi="仿宋" w:eastAsia="仿宋"/>
          <w:b/>
          <w:sz w:val="32"/>
          <w:szCs w:val="32"/>
        </w:rPr>
      </w:pPr>
      <w:r>
        <w:rPr>
          <w:rStyle w:val="18"/>
          <w:rFonts w:hint="eastAsia" w:ascii="仿宋" w:hAnsi="仿宋" w:eastAsia="仿宋"/>
          <w:bCs/>
          <w:sz w:val="32"/>
          <w:szCs w:val="32"/>
        </w:rPr>
        <w:t>卫生健康（类）</w:t>
      </w:r>
      <w:r>
        <w:rPr>
          <w:rStyle w:val="18"/>
          <w:rFonts w:hint="eastAsia" w:ascii="仿宋" w:hAnsi="仿宋" w:eastAsia="仿宋"/>
          <w:bCs/>
          <w:color w:val="000000"/>
          <w:sz w:val="32"/>
          <w:szCs w:val="32"/>
        </w:rPr>
        <w:t>行政事业单位医疗</w:t>
      </w:r>
      <w:r>
        <w:rPr>
          <w:rStyle w:val="18"/>
          <w:rFonts w:hint="eastAsia" w:ascii="仿宋" w:hAnsi="仿宋" w:eastAsia="仿宋"/>
          <w:bCs/>
          <w:sz w:val="32"/>
          <w:szCs w:val="32"/>
        </w:rPr>
        <w:t>（款）行政单位医疗（项）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16.42</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numPr>
          <w:ilvl w:val="0"/>
          <w:numId w:val="3"/>
        </w:numPr>
        <w:spacing w:line="600" w:lineRule="exact"/>
        <w:ind w:left="0" w:leftChars="0" w:firstLine="400" w:firstLineChars="0"/>
      </w:pPr>
      <w:r>
        <w:rPr>
          <w:rFonts w:hint="eastAsia" w:ascii="仿宋" w:hAnsi="仿宋" w:eastAsia="仿宋"/>
          <w:b/>
          <w:bCs/>
          <w:sz w:val="32"/>
          <w:szCs w:val="32"/>
        </w:rPr>
        <w:t>住房保障</w:t>
      </w:r>
      <w:r>
        <w:rPr>
          <w:rStyle w:val="18"/>
          <w:rFonts w:hint="eastAsia" w:ascii="仿宋" w:hAnsi="仿宋" w:eastAsia="仿宋"/>
          <w:bCs/>
          <w:sz w:val="32"/>
          <w:szCs w:val="32"/>
        </w:rPr>
        <w:t>（类）住房改革（款）住房公积金（项）</w:t>
      </w:r>
      <w:r>
        <w:rPr>
          <w:rStyle w:val="18"/>
          <w:rFonts w:hint="eastAsia" w:ascii="仿宋" w:hAnsi="仿宋" w:eastAsia="仿宋"/>
          <w:bCs/>
          <w:sz w:val="32"/>
          <w:szCs w:val="32"/>
          <w:lang w:eastAsia="zh-CN"/>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25.98</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tabs>
          <w:tab w:val="right" w:pos="8306"/>
        </w:tabs>
        <w:spacing w:line="600" w:lineRule="exact"/>
        <w:ind w:firstLine="640"/>
        <w:outlineLvl w:val="1"/>
        <w:rPr>
          <w:rStyle w:val="21"/>
          <w:color w:val="auto"/>
          <w:highlight w:val="none"/>
        </w:rPr>
      </w:pPr>
      <w:bookmarkStart w:id="48" w:name="_Toc10239"/>
      <w:bookmarkStart w:id="49" w:name="_Toc15377214"/>
      <w:bookmarkStart w:id="50"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1"/>
          <w:rFonts w:hint="eastAsia" w:ascii="黑体" w:hAnsi="黑体" w:eastAsia="黑体"/>
          <w:b w:val="0"/>
          <w:color w:val="auto"/>
          <w:highlight w:val="none"/>
        </w:rPr>
        <w:t>般公共预算财政拨款基本支出决算情况说明</w:t>
      </w:r>
      <w:bookmarkEnd w:id="48"/>
      <w:bookmarkEnd w:id="49"/>
      <w:bookmarkEnd w:id="50"/>
      <w:r>
        <w:rPr>
          <w:rStyle w:val="21"/>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474.57</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345.88</w:t>
      </w:r>
      <w:r>
        <w:rPr>
          <w:rFonts w:hint="eastAsia" w:ascii="仿宋" w:hAnsi="仿宋" w:eastAsia="仿宋"/>
          <w:color w:val="auto"/>
          <w:sz w:val="32"/>
          <w:szCs w:val="32"/>
          <w:highlight w:val="none"/>
        </w:rPr>
        <w:t>万元，主要包括：基本工资、津贴补贴、奖金、绩效工资、机关事业单位基本养老保险缴费、职业年金缴费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职工基本医疗保险缴费、住房公积金</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其他工资福利支出。</w:t>
      </w:r>
    </w:p>
    <w:p>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128.69</w:t>
      </w:r>
      <w:r>
        <w:rPr>
          <w:rFonts w:hint="eastAsia" w:ascii="仿宋" w:hAnsi="仿宋" w:eastAsia="仿宋"/>
          <w:color w:val="auto"/>
          <w:sz w:val="32"/>
          <w:szCs w:val="32"/>
          <w:highlight w:val="none"/>
        </w:rPr>
        <w:t>万元，主要包括：办公费、印刷费、邮电费、差旅费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维修（护）费、培训费、公务接待费、工会经费、福利费、公务用车运行维护费、其他交通费</w:t>
      </w:r>
      <w:r>
        <w:rPr>
          <w:rFonts w:hint="eastAsia" w:ascii="仿宋" w:hAnsi="仿宋" w:eastAsia="仿宋"/>
          <w:color w:val="auto"/>
          <w:sz w:val="32"/>
          <w:szCs w:val="32"/>
          <w:highlight w:val="none"/>
          <w:lang w:val="en-US" w:eastAsia="zh-CN"/>
        </w:rPr>
        <w:t>用</w:t>
      </w:r>
      <w:r>
        <w:rPr>
          <w:rFonts w:hint="eastAsia" w:ascii="仿宋" w:hAnsi="仿宋" w:eastAsia="仿宋"/>
          <w:color w:val="auto"/>
          <w:sz w:val="32"/>
          <w:szCs w:val="32"/>
          <w:highlight w:val="none"/>
        </w:rPr>
        <w:t>、其他商品和服务支出等。</w:t>
      </w:r>
    </w:p>
    <w:p>
      <w:pPr>
        <w:spacing w:line="600" w:lineRule="exact"/>
        <w:ind w:firstLine="640"/>
        <w:outlineLvl w:val="1"/>
        <w:rPr>
          <w:rStyle w:val="21"/>
          <w:rFonts w:ascii="黑体" w:hAnsi="黑体" w:eastAsia="黑体"/>
          <w:b w:val="0"/>
          <w:color w:val="auto"/>
          <w:highlight w:val="none"/>
        </w:rPr>
      </w:pPr>
      <w:bookmarkStart w:id="51" w:name="_Toc15396609"/>
      <w:bookmarkStart w:id="52" w:name="_Toc15377215"/>
      <w:bookmarkStart w:id="53" w:name="_Toc6938"/>
      <w:r>
        <w:rPr>
          <w:rFonts w:hint="eastAsia" w:ascii="黑体" w:eastAsia="黑体"/>
          <w:color w:val="auto"/>
          <w:sz w:val="32"/>
          <w:szCs w:val="32"/>
          <w:highlight w:val="none"/>
        </w:rPr>
        <w:t>七、</w:t>
      </w:r>
      <w:r>
        <w:rPr>
          <w:rStyle w:val="21"/>
          <w:rFonts w:hint="eastAsia" w:ascii="黑体" w:hAnsi="黑体" w:eastAsia="黑体"/>
          <w:b w:val="0"/>
          <w:color w:val="auto"/>
          <w:highlight w:val="none"/>
        </w:rPr>
        <w:t>财政拨款</w:t>
      </w:r>
      <w:r>
        <w:rPr>
          <w:rStyle w:val="21"/>
          <w:rFonts w:hint="eastAsia" w:ascii="黑体" w:hAnsi="黑体" w:eastAsia="黑体"/>
          <w:color w:val="auto"/>
          <w:highlight w:val="none"/>
        </w:rPr>
        <w:t>“</w:t>
      </w:r>
      <w:r>
        <w:rPr>
          <w:rStyle w:val="21"/>
          <w:rFonts w:hint="eastAsia" w:ascii="黑体" w:hAnsi="黑体" w:eastAsia="黑体"/>
          <w:b w:val="0"/>
          <w:color w:val="auto"/>
          <w:highlight w:val="none"/>
        </w:rPr>
        <w:t>三公”经费支出决算情况说明</w:t>
      </w:r>
      <w:bookmarkEnd w:id="51"/>
      <w:bookmarkEnd w:id="52"/>
      <w:bookmarkEnd w:id="53"/>
    </w:p>
    <w:p>
      <w:pPr>
        <w:spacing w:line="600" w:lineRule="exact"/>
        <w:ind w:firstLine="640"/>
        <w:outlineLvl w:val="2"/>
        <w:rPr>
          <w:rFonts w:ascii="仿宋" w:hAnsi="仿宋" w:eastAsia="仿宋"/>
          <w:b/>
          <w:color w:val="auto"/>
          <w:sz w:val="32"/>
          <w:szCs w:val="32"/>
          <w:highlight w:val="none"/>
        </w:rPr>
      </w:pPr>
      <w:bookmarkStart w:id="54" w:name="_Toc15377216"/>
      <w:r>
        <w:rPr>
          <w:rFonts w:hint="eastAsia" w:ascii="仿宋" w:hAnsi="仿宋" w:eastAsia="仿宋"/>
          <w:b/>
          <w:color w:val="auto"/>
          <w:sz w:val="32"/>
          <w:szCs w:val="32"/>
          <w:highlight w:val="none"/>
        </w:rPr>
        <w:t>（一）“三公”经费财政拨款支出决算总体情况说明</w:t>
      </w:r>
      <w:bookmarkEnd w:id="54"/>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7.75</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89.08%</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减少1.33万元，下降14.65%。</w:t>
      </w:r>
      <w:r>
        <w:rPr>
          <w:rFonts w:hint="eastAsia" w:ascii="仿宋" w:hAnsi="仿宋" w:eastAsia="仿宋"/>
          <w:color w:val="auto"/>
          <w:sz w:val="32"/>
          <w:szCs w:val="32"/>
          <w:highlight w:val="none"/>
        </w:rPr>
        <w:t>决算数小于预算数的主要原因是</w:t>
      </w:r>
      <w:r>
        <w:rPr>
          <w:rFonts w:hint="eastAsia" w:ascii="仿宋" w:hAnsi="仿宋" w:eastAsia="仿宋"/>
          <w:sz w:val="32"/>
          <w:szCs w:val="32"/>
        </w:rPr>
        <w:t>厉行节约，压减三公经费支出</w:t>
      </w:r>
      <w:r>
        <w:rPr>
          <w:rFonts w:hint="eastAsia" w:ascii="仿宋" w:hAnsi="仿宋" w:eastAsia="仿宋"/>
          <w:color w:val="auto"/>
          <w:sz w:val="32"/>
          <w:szCs w:val="32"/>
          <w:highlight w:val="none"/>
        </w:rPr>
        <w:t>。</w:t>
      </w:r>
    </w:p>
    <w:p>
      <w:pPr>
        <w:spacing w:line="600" w:lineRule="exact"/>
        <w:outlineLvl w:val="2"/>
        <w:rPr>
          <w:rFonts w:ascii="仿宋" w:hAnsi="仿宋" w:eastAsia="仿宋"/>
          <w:b/>
          <w:color w:val="auto"/>
          <w:sz w:val="32"/>
          <w:szCs w:val="32"/>
          <w:highlight w:val="none"/>
        </w:rPr>
      </w:pPr>
      <w:bookmarkStart w:id="55" w:name="_Toc15377217"/>
      <w:r>
        <w:rPr>
          <w:rFonts w:hint="eastAsia" w:ascii="仿宋" w:hAnsi="仿宋" w:eastAsia="仿宋"/>
          <w:b/>
          <w:color w:val="auto"/>
          <w:sz w:val="32"/>
          <w:szCs w:val="32"/>
          <w:highlight w:val="none"/>
        </w:rPr>
        <w:t>（二）“三公”经费财政拨款支出决算具体情况说明</w:t>
      </w:r>
      <w:bookmarkEnd w:id="55"/>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7.50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96.77</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0.25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3.23</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spacing w:line="600" w:lineRule="exact"/>
        <w:rPr>
          <w:rFonts w:hint="eastAsia" w:ascii="仿宋" w:hAnsi="仿宋" w:eastAsia="仿宋"/>
          <w:color w:val="auto"/>
          <w:sz w:val="32"/>
          <w:szCs w:val="32"/>
          <w:highlight w:val="none"/>
        </w:rPr>
      </w:pPr>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pStyle w:val="2"/>
        <w:rPr>
          <w:rFonts w:hint="eastAsia" w:ascii="仿宋" w:hAnsi="仿宋" w:eastAsia="仿宋"/>
          <w:color w:val="auto"/>
          <w:sz w:val="32"/>
          <w:szCs w:val="32"/>
          <w:highlight w:val="none"/>
        </w:rPr>
      </w:pPr>
    </w:p>
    <w:p>
      <w:pPr>
        <w:pStyle w:val="2"/>
        <w:rPr>
          <w:rFonts w:hint="eastAsia" w:ascii="仿宋" w:hAnsi="仿宋" w:eastAsia="仿宋"/>
          <w:color w:val="auto"/>
          <w:sz w:val="32"/>
          <w:szCs w:val="32"/>
          <w:highlight w:val="none"/>
        </w:rPr>
      </w:pPr>
      <w:r>
        <w:drawing>
          <wp:inline distT="0" distB="0" distL="0" distR="0">
            <wp:extent cx="5274310" cy="3076575"/>
            <wp:effectExtent l="5080" t="4445" r="16510" b="508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spacing w:line="600" w:lineRule="exact"/>
        <w:ind w:firstLine="640"/>
      </w:pPr>
      <w:r>
        <w:rPr>
          <w:rFonts w:ascii="仿宋_GB2312" w:eastAsia="仿宋_GB2312"/>
          <w:b/>
          <w:color w:val="auto"/>
          <w:sz w:val="32"/>
          <w:szCs w:val="32"/>
          <w:highlight w:val="none"/>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8"/>
          <w:rFonts w:hint="eastAsia" w:ascii="仿宋" w:hAnsi="仿宋" w:eastAsia="仿宋"/>
          <w:b w:val="0"/>
          <w:bCs/>
          <w:sz w:val="32"/>
          <w:szCs w:val="32"/>
        </w:rPr>
        <w:t>年初未安排预算。</w:t>
      </w:r>
      <w:r>
        <w:rPr>
          <w:rFonts w:hint="eastAsia" w:ascii="仿宋_GB2312" w:eastAsia="仿宋_GB2312"/>
          <w:sz w:val="32"/>
          <w:szCs w:val="32"/>
        </w:rPr>
        <w:t>因公出国（境）支出决算较</w:t>
      </w:r>
      <w:r>
        <w:rPr>
          <w:rFonts w:ascii="仿宋_GB2312" w:eastAsia="仿宋_GB2312"/>
          <w:sz w:val="32"/>
          <w:szCs w:val="32"/>
        </w:rPr>
        <w:t>20</w:t>
      </w:r>
      <w:r>
        <w:rPr>
          <w:rFonts w:hint="eastAsia" w:ascii="仿宋_GB2312" w:eastAsia="仿宋_GB2312"/>
          <w:sz w:val="32"/>
          <w:szCs w:val="32"/>
        </w:rPr>
        <w:t>21年无变化。</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b/>
          <w:color w:val="auto"/>
          <w:sz w:val="32"/>
          <w:szCs w:val="32"/>
          <w:highlight w:val="none"/>
          <w:lang w:val="en-US" w:eastAsia="zh-CN"/>
        </w:rPr>
        <w:t>7.50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减少</w:t>
      </w:r>
      <w:r>
        <w:rPr>
          <w:rFonts w:hint="eastAsia" w:ascii="仿宋_GB2312" w:eastAsia="仿宋_GB2312"/>
          <w:sz w:val="32"/>
          <w:szCs w:val="32"/>
        </w:rPr>
        <w:t>0.</w:t>
      </w:r>
      <w:r>
        <w:rPr>
          <w:rFonts w:hint="eastAsia" w:ascii="仿宋_GB2312" w:eastAsia="仿宋_GB2312"/>
          <w:sz w:val="32"/>
          <w:szCs w:val="32"/>
          <w:lang w:val="en-US" w:eastAsia="zh-CN"/>
        </w:rPr>
        <w:t>4</w:t>
      </w:r>
      <w:r>
        <w:rPr>
          <w:rFonts w:hint="eastAsia" w:ascii="仿宋_GB2312" w:eastAsia="仿宋_GB2312"/>
          <w:sz w:val="32"/>
          <w:szCs w:val="32"/>
        </w:rPr>
        <w:t>万元，</w:t>
      </w:r>
      <w:r>
        <w:rPr>
          <w:rFonts w:hint="eastAsia" w:ascii="仿宋_GB2312" w:eastAsia="仿宋_GB2312"/>
          <w:sz w:val="32"/>
          <w:szCs w:val="32"/>
          <w:lang w:eastAsia="zh-CN"/>
        </w:rPr>
        <w:t>降低</w:t>
      </w:r>
      <w:r>
        <w:rPr>
          <w:rFonts w:hint="eastAsia" w:ascii="仿宋_GB2312" w:eastAsia="仿宋_GB2312"/>
          <w:sz w:val="32"/>
          <w:szCs w:val="32"/>
          <w:lang w:val="en-US" w:eastAsia="zh-CN"/>
        </w:rPr>
        <w:t>5.3</w:t>
      </w:r>
      <w:r>
        <w:rPr>
          <w:rFonts w:ascii="仿宋_GB2312" w:eastAsia="仿宋_GB2312"/>
          <w:sz w:val="32"/>
          <w:szCs w:val="32"/>
        </w:rPr>
        <w:t>%</w:t>
      </w:r>
      <w:r>
        <w:rPr>
          <w:rFonts w:hint="eastAsia" w:ascii="仿宋_GB2312" w:eastAsia="仿宋_GB2312"/>
          <w:sz w:val="32"/>
          <w:szCs w:val="32"/>
        </w:rPr>
        <w:t>。主要原因是办案数量</w:t>
      </w:r>
      <w:r>
        <w:rPr>
          <w:rFonts w:hint="eastAsia" w:ascii="仿宋_GB2312" w:eastAsia="仿宋_GB2312"/>
          <w:sz w:val="32"/>
          <w:szCs w:val="32"/>
          <w:lang w:eastAsia="zh-CN"/>
        </w:rPr>
        <w:t>减少</w:t>
      </w:r>
      <w:r>
        <w:rPr>
          <w:rFonts w:hint="eastAsia" w:ascii="仿宋_GB2312" w:eastAsia="仿宋_GB2312"/>
          <w:sz w:val="32"/>
          <w:szCs w:val="32"/>
        </w:rPr>
        <w:t>随之公务用车使用量</w:t>
      </w:r>
      <w:r>
        <w:rPr>
          <w:rFonts w:hint="eastAsia" w:ascii="仿宋_GB2312" w:eastAsia="仿宋_GB2312"/>
          <w:sz w:val="32"/>
          <w:szCs w:val="32"/>
          <w:lang w:eastAsia="zh-CN"/>
        </w:rPr>
        <w:t>减少</w:t>
      </w:r>
      <w:r>
        <w:rPr>
          <w:rFonts w:hint="eastAsia" w:ascii="仿宋_GB2312" w:eastAsia="仿宋_GB2312"/>
          <w:sz w:val="32"/>
          <w:szCs w:val="32"/>
        </w:rPr>
        <w:t>，故运行维护费略有</w:t>
      </w:r>
      <w:r>
        <w:rPr>
          <w:rFonts w:hint="eastAsia" w:ascii="仿宋_GB2312" w:eastAsia="仿宋_GB2312"/>
          <w:sz w:val="32"/>
          <w:szCs w:val="32"/>
          <w:lang w:eastAsia="zh-CN"/>
        </w:rPr>
        <w:t>减少</w:t>
      </w:r>
      <w:r>
        <w:rPr>
          <w:rFonts w:hint="eastAsia" w:ascii="仿宋_GB2312" w:eastAsia="仿宋_GB2312"/>
          <w:sz w:val="32"/>
          <w:szCs w:val="32"/>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b/>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b/>
          <w:color w:val="auto"/>
          <w:sz w:val="32"/>
          <w:szCs w:val="32"/>
          <w:highlight w:val="none"/>
          <w:lang w:val="en-US" w:eastAsia="zh-CN"/>
        </w:rPr>
        <w:t>7.50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主要用于</w:t>
      </w:r>
      <w:r>
        <w:rPr>
          <w:rFonts w:hint="eastAsia" w:ascii="仿宋_GB2312" w:eastAsia="仿宋_GB2312"/>
          <w:sz w:val="32"/>
          <w:szCs w:val="32"/>
        </w:rPr>
        <w:t>办案执行等法院业务工作所需的公务用车燃料费、维修费、过路过桥费、保险费等支出。</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b/>
          <w:color w:val="auto"/>
          <w:sz w:val="32"/>
          <w:szCs w:val="32"/>
          <w:highlight w:val="none"/>
          <w:lang w:val="en-US" w:eastAsia="zh-CN"/>
        </w:rPr>
        <w:t>0.25</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w:t>
      </w:r>
      <w:r>
        <w:rPr>
          <w:rStyle w:val="18"/>
          <w:rFonts w:hint="eastAsia" w:ascii="仿宋" w:hAnsi="仿宋" w:eastAsia="仿宋"/>
          <w:b w:val="0"/>
          <w:bCs/>
          <w:color w:val="auto"/>
          <w:sz w:val="32"/>
          <w:szCs w:val="32"/>
          <w:highlight w:val="none"/>
          <w:lang w:eastAsia="zh-CN"/>
        </w:rPr>
        <w:t>算</w:t>
      </w:r>
      <w:r>
        <w:rPr>
          <w:rStyle w:val="18"/>
          <w:rFonts w:hint="eastAsia" w:ascii="仿宋" w:hAnsi="仿宋" w:eastAsia="仿宋"/>
          <w:b w:val="0"/>
          <w:bCs/>
          <w:color w:val="auto"/>
          <w:sz w:val="32"/>
          <w:szCs w:val="32"/>
          <w:highlight w:val="none"/>
          <w:lang w:val="en-US" w:eastAsia="zh-CN"/>
        </w:rPr>
        <w:t>31.25%</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0.93</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78.81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sz w:val="32"/>
          <w:szCs w:val="32"/>
          <w:highlight w:val="none"/>
        </w:rPr>
        <w:t>厉行节约，响应中央政策，压减公务接待费支出</w:t>
      </w:r>
      <w:r>
        <w:rPr>
          <w:rFonts w:hint="eastAsia" w:ascii="仿宋_GB2312" w:eastAsia="仿宋_GB2312"/>
          <w:color w:val="auto"/>
          <w:sz w:val="32"/>
          <w:szCs w:val="32"/>
          <w:highlight w:val="none"/>
        </w:rPr>
        <w:t>。其中：</w:t>
      </w:r>
    </w:p>
    <w:p>
      <w:pPr>
        <w:spacing w:line="600" w:lineRule="exact"/>
        <w:ind w:firstLine="640"/>
        <w:rPr>
          <w:rFonts w:hint="eastAsia" w:ascii="仿宋_GB2312" w:eastAsia="仿宋_GB2312"/>
          <w:color w:val="auto"/>
          <w:sz w:val="32"/>
          <w:szCs w:val="32"/>
          <w:highlight w:val="yellow"/>
        </w:rPr>
      </w:pPr>
      <w:r>
        <w:rPr>
          <w:rFonts w:hint="eastAsia" w:ascii="仿宋" w:hAnsi="仿宋" w:eastAsia="仿宋"/>
          <w:b/>
          <w:color w:val="auto"/>
          <w:sz w:val="32"/>
          <w:szCs w:val="32"/>
          <w:highlight w:val="none"/>
        </w:rPr>
        <w:t>国内公务接待支出</w:t>
      </w:r>
      <w:r>
        <w:rPr>
          <w:rFonts w:hint="eastAsia" w:ascii="仿宋" w:hAnsi="仿宋" w:eastAsia="仿宋"/>
          <w:b/>
          <w:color w:val="auto"/>
          <w:sz w:val="32"/>
          <w:szCs w:val="32"/>
          <w:highlight w:val="none"/>
          <w:lang w:val="en-US" w:eastAsia="zh-CN"/>
        </w:rPr>
        <w:t>0.25</w:t>
      </w:r>
      <w:r>
        <w:rPr>
          <w:rFonts w:hint="eastAsia" w:ascii="仿宋_GB2312" w:eastAsia="仿宋_GB2312"/>
          <w:color w:val="auto"/>
          <w:sz w:val="32"/>
          <w:szCs w:val="32"/>
          <w:highlight w:val="none"/>
        </w:rPr>
        <w:t>万元，主要用于</w:t>
      </w:r>
      <w:r>
        <w:rPr>
          <w:rFonts w:hint="eastAsia" w:ascii="仿宋_GB2312" w:eastAsia="仿宋_GB2312"/>
          <w:sz w:val="32"/>
          <w:szCs w:val="32"/>
          <w:highlight w:val="none"/>
        </w:rPr>
        <w:t>接待上级</w:t>
      </w:r>
      <w:r>
        <w:rPr>
          <w:rFonts w:hint="eastAsia" w:ascii="仿宋_GB2312" w:eastAsia="仿宋_GB2312"/>
          <w:sz w:val="32"/>
          <w:szCs w:val="32"/>
          <w:highlight w:val="none"/>
          <w:lang w:eastAsia="zh-CN"/>
        </w:rPr>
        <w:t>检察院</w:t>
      </w:r>
      <w:r>
        <w:rPr>
          <w:rFonts w:hint="eastAsia" w:ascii="仿宋_GB2312" w:eastAsia="仿宋_GB2312"/>
          <w:sz w:val="32"/>
          <w:szCs w:val="32"/>
          <w:highlight w:val="none"/>
        </w:rPr>
        <w:t>、政府部门指导考察工作及执行公务、开展业务活动开支的交通费、住宿费、用餐费等</w:t>
      </w:r>
      <w:r>
        <w:rPr>
          <w:rFonts w:hint="eastAsia" w:ascii="仿宋_GB2312" w:eastAsia="仿宋_GB2312"/>
          <w:color w:val="auto"/>
          <w:sz w:val="32"/>
          <w:szCs w:val="32"/>
          <w:highlight w:val="none"/>
        </w:rPr>
        <w:t>。国内公务接待</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36</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0.25</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eastAsia="zh-CN"/>
        </w:rPr>
        <w:t>上级调研、工作交流</w:t>
      </w:r>
      <w:r>
        <w:rPr>
          <w:rFonts w:hint="eastAsia" w:ascii="仿宋_GB2312" w:eastAsia="仿宋_GB2312"/>
          <w:color w:val="auto"/>
          <w:sz w:val="32"/>
          <w:szCs w:val="32"/>
          <w:highlight w:val="none"/>
        </w:rPr>
        <w:t>。</w:t>
      </w:r>
    </w:p>
    <w:p>
      <w:pPr>
        <w:spacing w:line="600" w:lineRule="exact"/>
        <w:ind w:firstLine="643" w:firstLineChars="200"/>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万元，外事接待0批次，0人次（不包括陪同人员），共计支出0万元。</w:t>
      </w:r>
    </w:p>
    <w:p>
      <w:pPr>
        <w:spacing w:line="600" w:lineRule="exact"/>
        <w:ind w:firstLine="640"/>
        <w:outlineLvl w:val="1"/>
        <w:rPr>
          <w:rStyle w:val="21"/>
          <w:rFonts w:ascii="黑体" w:hAnsi="黑体" w:eastAsia="黑体"/>
          <w:color w:val="auto"/>
          <w:highlight w:val="none"/>
        </w:rPr>
      </w:pPr>
      <w:bookmarkStart w:id="56" w:name="_Toc15396610"/>
      <w:bookmarkStart w:id="57" w:name="_Toc15377218"/>
      <w:bookmarkStart w:id="58" w:name="_Toc9622"/>
      <w:r>
        <w:rPr>
          <w:rFonts w:hint="eastAsia" w:ascii="黑体" w:eastAsia="黑体"/>
          <w:color w:val="auto"/>
          <w:sz w:val="32"/>
          <w:szCs w:val="32"/>
          <w:highlight w:val="none"/>
        </w:rPr>
        <w:t>八、</w:t>
      </w:r>
      <w:r>
        <w:rPr>
          <w:rStyle w:val="21"/>
          <w:rFonts w:hint="eastAsia" w:ascii="黑体" w:hAnsi="黑体" w:eastAsia="黑体"/>
          <w:b w:val="0"/>
          <w:color w:val="auto"/>
          <w:highlight w:val="none"/>
        </w:rPr>
        <w:t>政府性基金预算支出决算情况说明</w:t>
      </w:r>
      <w:bookmarkEnd w:id="56"/>
      <w:bookmarkEnd w:id="57"/>
      <w:bookmarkEnd w:id="58"/>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4"/>
        </w:numPr>
        <w:spacing w:line="600" w:lineRule="exact"/>
        <w:ind w:firstLine="640"/>
        <w:outlineLvl w:val="1"/>
        <w:rPr>
          <w:rStyle w:val="21"/>
          <w:rFonts w:ascii="黑体" w:hAnsi="黑体" w:eastAsia="黑体"/>
          <w:b w:val="0"/>
          <w:color w:val="auto"/>
          <w:highlight w:val="none"/>
        </w:rPr>
      </w:pPr>
      <w:bookmarkStart w:id="59" w:name="_Toc106"/>
      <w:bookmarkStart w:id="60" w:name="_Toc15377219"/>
      <w:bookmarkStart w:id="61" w:name="_Toc15396611"/>
      <w:r>
        <w:rPr>
          <w:rStyle w:val="21"/>
          <w:rFonts w:hint="eastAsia" w:ascii="黑体" w:hAnsi="黑体" w:eastAsia="黑体"/>
          <w:b w:val="0"/>
          <w:color w:val="auto"/>
          <w:highlight w:val="none"/>
        </w:rPr>
        <w:t>国有资本经营预算支出决算情况说明</w:t>
      </w:r>
      <w:bookmarkEnd w:id="59"/>
      <w:bookmarkEnd w:id="60"/>
      <w:bookmarkEnd w:id="61"/>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4"/>
        </w:numPr>
        <w:spacing w:line="600" w:lineRule="exact"/>
        <w:ind w:firstLine="640"/>
        <w:outlineLvl w:val="1"/>
        <w:rPr>
          <w:rStyle w:val="21"/>
          <w:rFonts w:hint="eastAsia" w:ascii="黑体" w:hAnsi="黑体" w:eastAsia="黑体"/>
          <w:b w:val="0"/>
          <w:color w:val="auto"/>
          <w:highlight w:val="none"/>
        </w:rPr>
      </w:pPr>
      <w:bookmarkStart w:id="62" w:name="_Toc20488"/>
      <w:bookmarkStart w:id="63" w:name="_Toc15396612"/>
      <w:bookmarkStart w:id="64" w:name="_Toc15377221"/>
      <w:r>
        <w:rPr>
          <w:rStyle w:val="21"/>
          <w:rFonts w:hint="eastAsia" w:ascii="黑体" w:hAnsi="黑体" w:eastAsia="黑体"/>
          <w:b w:val="0"/>
          <w:color w:val="auto"/>
          <w:highlight w:val="none"/>
        </w:rPr>
        <w:t>其他重要事项的情况说明</w:t>
      </w:r>
      <w:bookmarkEnd w:id="62"/>
      <w:bookmarkEnd w:id="63"/>
      <w:bookmarkEnd w:id="64"/>
    </w:p>
    <w:p>
      <w:pPr>
        <w:spacing w:line="600" w:lineRule="exact"/>
        <w:ind w:firstLine="643" w:firstLineChars="200"/>
        <w:outlineLvl w:val="2"/>
        <w:rPr>
          <w:rFonts w:ascii="仿宋" w:hAnsi="仿宋" w:eastAsia="仿宋"/>
          <w:color w:val="auto"/>
          <w:sz w:val="32"/>
          <w:szCs w:val="32"/>
          <w:highlight w:val="none"/>
        </w:rPr>
      </w:pPr>
      <w:bookmarkStart w:id="65" w:name="_Toc15377222"/>
      <w:r>
        <w:rPr>
          <w:rFonts w:hint="eastAsia" w:ascii="仿宋" w:hAnsi="仿宋" w:eastAsia="仿宋"/>
          <w:b/>
          <w:color w:val="auto"/>
          <w:sz w:val="32"/>
          <w:szCs w:val="32"/>
          <w:highlight w:val="none"/>
        </w:rPr>
        <w:t>（一）机关运行经费支出情况</w:t>
      </w:r>
      <w:bookmarkEnd w:id="65"/>
    </w:p>
    <w:p>
      <w:pPr>
        <w:spacing w:line="600" w:lineRule="exact"/>
        <w:ind w:firstLine="640" w:firstLineChars="200"/>
        <w:rPr>
          <w:rFonts w:hint="eastAsia" w:ascii="仿宋" w:hAnsi="仿宋" w:eastAsia="仿宋" w:cs="仿宋"/>
          <w:b/>
          <w:bCs w:val="0"/>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sz w:val="32"/>
          <w:szCs w:val="32"/>
          <w:highlight w:val="none"/>
        </w:rPr>
        <w:t>广元市昭化区人民</w:t>
      </w:r>
      <w:r>
        <w:rPr>
          <w:rFonts w:hint="eastAsia" w:ascii="仿宋_GB2312" w:eastAsia="仿宋_GB2312"/>
          <w:sz w:val="32"/>
          <w:szCs w:val="32"/>
          <w:highlight w:val="none"/>
          <w:lang w:eastAsia="zh-CN"/>
        </w:rPr>
        <w:t>检察院</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128.68</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8.61</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7.17</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响应中央政策，厉行节约，反对浪费，压缩经费开支。</w:t>
      </w:r>
      <w:bookmarkStart w:id="66" w:name="_Toc15377223"/>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（二）政府采购支出情况</w:t>
      </w:r>
      <w:bookmarkEnd w:id="66"/>
    </w:p>
    <w:p>
      <w:pPr>
        <w:spacing w:line="600" w:lineRule="exact"/>
        <w:ind w:firstLine="640" w:firstLineChars="200"/>
        <w:rPr>
          <w:rFonts w:ascii="仿宋" w:hAnsi="仿宋" w:eastAsia="仿宋"/>
          <w:b/>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sz w:val="32"/>
          <w:szCs w:val="32"/>
        </w:rPr>
        <w:t>广元市昭化区人民</w:t>
      </w:r>
      <w:r>
        <w:rPr>
          <w:rFonts w:hint="eastAsia" w:ascii="仿宋_GB2312" w:eastAsia="仿宋_GB2312"/>
          <w:sz w:val="32"/>
          <w:szCs w:val="32"/>
          <w:lang w:eastAsia="zh-CN"/>
        </w:rPr>
        <w:t>检察院</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7" w:name="_Toc15377224"/>
      <w:r>
        <w:rPr>
          <w:rFonts w:hint="eastAsia" w:ascii="仿宋" w:hAnsi="仿宋" w:eastAsia="仿宋"/>
          <w:b/>
          <w:color w:val="auto"/>
          <w:sz w:val="32"/>
          <w:szCs w:val="32"/>
          <w:highlight w:val="none"/>
        </w:rPr>
        <w:t>（三）国有资产占有使用情况</w:t>
      </w:r>
      <w:bookmarkEnd w:id="67"/>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yellow"/>
          <w:lang w:eastAsia="zh-CN"/>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sz w:val="32"/>
          <w:szCs w:val="32"/>
          <w:highlight w:val="none"/>
        </w:rPr>
        <w:t>广元市昭化区人民</w:t>
      </w:r>
      <w:r>
        <w:rPr>
          <w:rFonts w:hint="eastAsia" w:ascii="仿宋_GB2312" w:eastAsia="仿宋_GB2312"/>
          <w:sz w:val="32"/>
          <w:szCs w:val="32"/>
          <w:highlight w:val="none"/>
          <w:lang w:eastAsia="zh-CN"/>
        </w:rPr>
        <w:t>检察院</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执勤执法用车</w:t>
      </w:r>
      <w:r>
        <w:rPr>
          <w:rFonts w:hint="eastAsia" w:ascii="仿宋_GB2312" w:eastAsia="仿宋_GB2312"/>
          <w:color w:val="auto"/>
          <w:sz w:val="32"/>
          <w:szCs w:val="32"/>
          <w:highlight w:val="none"/>
          <w:lang w:val="en-US" w:eastAsia="zh-CN"/>
        </w:rPr>
        <w:t>4辆、</w:t>
      </w:r>
      <w:r>
        <w:rPr>
          <w:rFonts w:hint="eastAsia" w:ascii="仿宋_GB2312" w:eastAsia="仿宋_GB2312"/>
          <w:color w:val="auto"/>
          <w:sz w:val="32"/>
          <w:szCs w:val="32"/>
          <w:highlight w:val="none"/>
        </w:rPr>
        <w:t>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r>
        <w:rPr>
          <w:rFonts w:hint="eastAsia" w:ascii="仿宋_GB2312" w:eastAsia="仿宋_GB2312"/>
          <w:color w:val="auto"/>
          <w:sz w:val="32"/>
          <w:szCs w:val="32"/>
          <w:highlight w:val="none"/>
          <w:lang w:eastAsia="zh-CN"/>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color w:val="auto"/>
          <w:sz w:val="32"/>
          <w:szCs w:val="32"/>
          <w:highlight w:val="none"/>
          <w:lang w:eastAsia="zh-CN"/>
        </w:rPr>
        <w:t>书记员经费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检察</w:t>
      </w:r>
      <w:r>
        <w:rPr>
          <w:rFonts w:hint="eastAsia" w:ascii="仿宋_GB2312" w:hAnsi="仿宋_GB2312" w:eastAsia="仿宋_GB2312" w:cs="仿宋_GB2312"/>
          <w:sz w:val="32"/>
          <w:szCs w:val="32"/>
        </w:rPr>
        <w:t>院工作人员加班补贴、司法警察加班补贴</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个项目开展绩效监控。</w:t>
      </w:r>
    </w:p>
    <w:p>
      <w:pPr>
        <w:widowControl/>
        <w:ind w:firstLine="640" w:firstLineChars="200"/>
        <w:jc w:val="left"/>
        <w:rPr>
          <w:rFonts w:ascii="仿宋_GB2312" w:eastAsia="仿宋_GB2312"/>
          <w:b/>
          <w:sz w:val="32"/>
          <w:szCs w:val="32"/>
          <w:highlight w:val="yellow"/>
        </w:rPr>
      </w:pPr>
      <w:r>
        <w:rPr>
          <w:rFonts w:hint="eastAsia" w:ascii="仿宋_GB2312" w:hAnsi="仿宋_GB2312" w:eastAsia="仿宋_GB2312" w:cs="仿宋_GB2312"/>
          <w:color w:val="auto"/>
          <w:sz w:val="32"/>
          <w:szCs w:val="32"/>
          <w:highlight w:val="none"/>
        </w:rPr>
        <w:t>组织对2022年度一般公共预算资金等全面开展绩效自评，形成</w:t>
      </w:r>
      <w:r>
        <w:rPr>
          <w:rFonts w:hint="eastAsia" w:ascii="仿宋_GB2312" w:hAnsi="仿宋_GB2312" w:eastAsia="仿宋_GB2312" w:cs="仿宋_GB2312"/>
          <w:sz w:val="32"/>
          <w:szCs w:val="32"/>
        </w:rPr>
        <w:t>广元市昭化区人民</w:t>
      </w:r>
      <w:r>
        <w:rPr>
          <w:rFonts w:hint="eastAsia" w:ascii="仿宋_GB2312" w:hAnsi="仿宋_GB2312" w:eastAsia="仿宋_GB2312" w:cs="仿宋_GB2312"/>
          <w:sz w:val="32"/>
          <w:szCs w:val="32"/>
          <w:lang w:eastAsia="zh-CN"/>
        </w:rPr>
        <w:t>检察院</w:t>
      </w:r>
      <w:r>
        <w:rPr>
          <w:rFonts w:hint="eastAsia" w:ascii="仿宋_GB2312" w:hAnsi="仿宋_GB2312" w:eastAsia="仿宋_GB2312" w:cs="仿宋_GB2312"/>
          <w:color w:val="auto"/>
          <w:sz w:val="32"/>
          <w:szCs w:val="32"/>
          <w:highlight w:val="none"/>
        </w:rPr>
        <w:t>部门整体（含部门预算项目）绩效自评报告、</w:t>
      </w:r>
      <w:r>
        <w:rPr>
          <w:rFonts w:hint="eastAsia" w:ascii="仿宋_GB2312" w:hAnsi="仿宋_GB2312" w:eastAsia="仿宋_GB2312" w:cs="仿宋_GB2312"/>
          <w:color w:val="auto"/>
          <w:sz w:val="32"/>
          <w:szCs w:val="32"/>
          <w:highlight w:val="none"/>
          <w:lang w:eastAsia="zh-CN"/>
        </w:rPr>
        <w:t>书记员</w:t>
      </w:r>
      <w:r>
        <w:rPr>
          <w:rFonts w:hint="eastAsia" w:ascii="仿宋_GB2312" w:hAnsi="仿宋_GB2312" w:eastAsia="仿宋_GB2312" w:cs="仿宋_GB2312"/>
          <w:sz w:val="32"/>
          <w:szCs w:val="32"/>
        </w:rPr>
        <w:t>经费、 </w:t>
      </w:r>
      <w:r>
        <w:rPr>
          <w:rFonts w:hint="eastAsia" w:ascii="仿宋_GB2312" w:hAnsi="仿宋_GB2312" w:eastAsia="仿宋_GB2312" w:cs="仿宋_GB2312"/>
          <w:sz w:val="32"/>
          <w:szCs w:val="32"/>
          <w:lang w:eastAsia="zh-CN"/>
        </w:rPr>
        <w:t>检察院</w:t>
      </w:r>
      <w:r>
        <w:rPr>
          <w:rFonts w:hint="eastAsia" w:ascii="仿宋_GB2312" w:hAnsi="仿宋_GB2312" w:eastAsia="仿宋_GB2312" w:cs="仿宋_GB2312"/>
          <w:sz w:val="32"/>
          <w:szCs w:val="32"/>
        </w:rPr>
        <w:t>工作人员加班补贴、司法警察加班补贴</w:t>
      </w:r>
      <w:r>
        <w:rPr>
          <w:rFonts w:hint="eastAsia" w:ascii="仿宋_GB2312" w:hAnsi="仿宋_GB2312" w:eastAsia="仿宋_GB2312" w:cs="仿宋_GB2312"/>
          <w:color w:val="auto"/>
          <w:sz w:val="32"/>
          <w:szCs w:val="32"/>
          <w:highlight w:val="none"/>
        </w:rPr>
        <w:t>等专项预算项目绩效自评报告，其中，</w:t>
      </w:r>
      <w:r>
        <w:rPr>
          <w:rFonts w:hint="eastAsia" w:ascii="仿宋_GB2312" w:hAnsi="仿宋_GB2312" w:eastAsia="仿宋_GB2312" w:cs="仿宋_GB2312"/>
          <w:sz w:val="32"/>
          <w:szCs w:val="32"/>
        </w:rPr>
        <w:t>广元市昭化区人民</w:t>
      </w:r>
      <w:r>
        <w:rPr>
          <w:rFonts w:hint="eastAsia" w:ascii="仿宋_GB2312" w:hAnsi="仿宋_GB2312" w:eastAsia="仿宋_GB2312" w:cs="仿宋_GB2312"/>
          <w:sz w:val="32"/>
          <w:szCs w:val="32"/>
          <w:lang w:eastAsia="zh-CN"/>
        </w:rPr>
        <w:t>检察</w:t>
      </w:r>
      <w:r>
        <w:rPr>
          <w:rFonts w:hint="eastAsia" w:ascii="仿宋_GB2312" w:hAnsi="仿宋_GB2312" w:eastAsia="仿宋_GB2312" w:cs="仿宋_GB2312"/>
          <w:sz w:val="32"/>
          <w:szCs w:val="32"/>
        </w:rPr>
        <w:t>院</w:t>
      </w:r>
      <w:r>
        <w:rPr>
          <w:rFonts w:hint="eastAsia" w:ascii="仿宋_GB2312" w:hAnsi="仿宋_GB2312" w:eastAsia="仿宋_GB2312" w:cs="仿宋_GB2312"/>
          <w:color w:val="auto"/>
          <w:sz w:val="32"/>
          <w:szCs w:val="32"/>
          <w:highlight w:val="none"/>
        </w:rPr>
        <w:t>部门整体（含部门预算项目）绩效自评得分为</w:t>
      </w:r>
      <w:r>
        <w:rPr>
          <w:rFonts w:hint="eastAsia" w:ascii="仿宋_GB2312" w:hAnsi="仿宋_GB2312" w:eastAsia="仿宋_GB2312" w:cs="仿宋_GB2312"/>
          <w:color w:val="auto"/>
          <w:sz w:val="32"/>
          <w:szCs w:val="32"/>
          <w:highlight w:val="none"/>
          <w:lang w:val="en-US" w:eastAsia="zh-CN"/>
        </w:rPr>
        <w:t>95</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sz w:val="32"/>
          <w:szCs w:val="32"/>
        </w:rPr>
        <w:t>绩效自评综述：年初设定全年绩效目标完成良好；</w:t>
      </w:r>
      <w:r>
        <w:rPr>
          <w:rFonts w:hint="eastAsia" w:ascii="仿宋_GB2312" w:hAnsi="仿宋_GB2312" w:eastAsia="仿宋_GB2312" w:cs="仿宋_GB2312"/>
          <w:sz w:val="32"/>
          <w:szCs w:val="32"/>
          <w:lang w:eastAsia="zh-CN"/>
        </w:rPr>
        <w:t>书记员</w:t>
      </w:r>
      <w:r>
        <w:rPr>
          <w:rFonts w:hint="eastAsia" w:ascii="仿宋_GB2312" w:hAnsi="仿宋_GB2312" w:eastAsia="仿宋_GB2312" w:cs="仿宋_GB2312"/>
          <w:sz w:val="32"/>
          <w:szCs w:val="32"/>
        </w:rPr>
        <w:t>经费、 </w:t>
      </w:r>
      <w:r>
        <w:rPr>
          <w:rFonts w:hint="eastAsia" w:ascii="仿宋_GB2312" w:hAnsi="仿宋_GB2312" w:eastAsia="仿宋_GB2312" w:cs="仿宋_GB2312"/>
          <w:sz w:val="32"/>
          <w:szCs w:val="32"/>
          <w:lang w:eastAsia="zh-CN"/>
        </w:rPr>
        <w:t>检察</w:t>
      </w:r>
      <w:r>
        <w:rPr>
          <w:rFonts w:hint="eastAsia" w:ascii="仿宋_GB2312" w:hAnsi="仿宋_GB2312" w:eastAsia="仿宋_GB2312" w:cs="仿宋_GB2312"/>
          <w:sz w:val="32"/>
          <w:szCs w:val="32"/>
        </w:rPr>
        <w:t>院工作人员加班补贴、司法警察加班补贴专项预算项目绩效自评得分为95分，绩效自评综述：年初设定全年绩效目标完成良好。绩效自评报告详见附件。</w:t>
      </w:r>
      <w:r>
        <w:rPr>
          <w:rFonts w:ascii="仿宋_GB2312" w:eastAsia="仿宋_GB2312"/>
          <w:b/>
          <w:sz w:val="32"/>
          <w:szCs w:val="32"/>
        </w:rPr>
        <w:br w:type="page"/>
      </w:r>
    </w:p>
    <w:p>
      <w:pPr>
        <w:widowControl/>
        <w:jc w:val="left"/>
        <w:rPr>
          <w:rFonts w:ascii="仿宋_GB2312" w:eastAsia="仿宋_GB2312"/>
          <w:b/>
          <w:color w:val="auto"/>
          <w:sz w:val="32"/>
          <w:szCs w:val="32"/>
          <w:highlight w:val="yellow"/>
        </w:rPr>
      </w:pPr>
    </w:p>
    <w:p>
      <w:pPr>
        <w:numPr>
          <w:ilvl w:val="0"/>
          <w:numId w:val="5"/>
        </w:numPr>
        <w:spacing w:line="600" w:lineRule="exact"/>
        <w:ind w:firstLine="660" w:firstLineChars="150"/>
        <w:jc w:val="center"/>
        <w:outlineLvl w:val="0"/>
        <w:rPr>
          <w:rStyle w:val="20"/>
          <w:rFonts w:ascii="黑体" w:hAnsi="黑体" w:eastAsia="黑体"/>
          <w:b w:val="0"/>
          <w:color w:val="auto"/>
          <w:highlight w:val="none"/>
        </w:rPr>
      </w:pPr>
      <w:bookmarkStart w:id="68" w:name="_Toc5133"/>
      <w:bookmarkStart w:id="69" w:name="_Toc15396613"/>
      <w:bookmarkStart w:id="70" w:name="_Toc15377225"/>
      <w:r>
        <w:rPr>
          <w:rFonts w:hint="eastAsia" w:ascii="黑体" w:hAnsi="黑体" w:eastAsia="黑体"/>
          <w:color w:val="auto"/>
          <w:sz w:val="44"/>
          <w:szCs w:val="44"/>
          <w:highlight w:val="none"/>
        </w:rPr>
        <w:t>名</w:t>
      </w:r>
      <w:r>
        <w:rPr>
          <w:rStyle w:val="20"/>
          <w:rFonts w:hint="eastAsia" w:ascii="黑体" w:hAnsi="黑体" w:eastAsia="黑体"/>
          <w:b w:val="0"/>
          <w:color w:val="auto"/>
          <w:highlight w:val="none"/>
        </w:rPr>
        <w:t>词解释</w:t>
      </w:r>
      <w:bookmarkEnd w:id="68"/>
      <w:bookmarkEnd w:id="69"/>
      <w:bookmarkEnd w:id="70"/>
    </w:p>
    <w:p>
      <w:pPr>
        <w:spacing w:line="600" w:lineRule="exact"/>
        <w:jc w:val="left"/>
        <w:rPr>
          <w:rFonts w:ascii="宋体"/>
          <w:b/>
          <w:color w:val="auto"/>
          <w:sz w:val="44"/>
          <w:szCs w:val="44"/>
          <w:highlight w:val="none"/>
        </w:rPr>
      </w:pPr>
    </w:p>
    <w:p>
      <w:pPr>
        <w:pStyle w:val="30"/>
        <w:numPr>
          <w:ilvl w:val="0"/>
          <w:numId w:val="6"/>
        </w:numPr>
        <w:spacing w:line="560" w:lineRule="exact"/>
        <w:ind w:left="0" w:leftChars="0" w:firstLine="400" w:firstLineChars="0"/>
        <w:outlineLvl w:val="1"/>
        <w:rPr>
          <w:rFonts w:ascii="仿宋_GB2312" w:eastAsia="仿宋_GB2312"/>
          <w:color w:val="auto"/>
          <w:sz w:val="32"/>
          <w:szCs w:val="32"/>
          <w:highlight w:val="none"/>
        </w:rPr>
      </w:pPr>
      <w:bookmarkStart w:id="71" w:name="_Toc30162"/>
      <w:bookmarkStart w:id="72" w:name="_Toc15377226"/>
      <w:r>
        <w:rPr>
          <w:rFonts w:hint="eastAsia" w:ascii="仿宋_GB2312" w:eastAsia="仿宋_GB2312"/>
          <w:color w:val="auto"/>
          <w:sz w:val="32"/>
          <w:szCs w:val="32"/>
          <w:highlight w:val="none"/>
        </w:rPr>
        <w:t>财政拨款收入：指单位从同级财政部门取得的财政预算资金。</w:t>
      </w:r>
      <w:bookmarkEnd w:id="71"/>
      <w:r>
        <w:rPr>
          <w:rFonts w:ascii="仿宋_GB2312" w:eastAsia="仿宋_GB2312"/>
          <w:color w:val="auto"/>
          <w:sz w:val="32"/>
          <w:szCs w:val="32"/>
          <w:highlight w:val="none"/>
        </w:rPr>
        <w:t xml:space="preserve"> </w:t>
      </w:r>
    </w:p>
    <w:p>
      <w:pPr>
        <w:pStyle w:val="30"/>
        <w:numPr>
          <w:ilvl w:val="0"/>
          <w:numId w:val="6"/>
        </w:numPr>
        <w:spacing w:line="560" w:lineRule="exact"/>
        <w:ind w:left="0" w:leftChars="0" w:firstLine="400" w:firstLineChars="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其他收入：指单位取得的除上述收入以外的各项收入。</w:t>
      </w:r>
    </w:p>
    <w:p>
      <w:pPr>
        <w:pStyle w:val="30"/>
        <w:numPr>
          <w:ilvl w:val="0"/>
          <w:numId w:val="6"/>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公共安全（类）</w:t>
      </w:r>
      <w:r>
        <w:rPr>
          <w:rFonts w:hint="eastAsia" w:ascii="仿宋_GB2312" w:eastAsia="仿宋_GB2312"/>
          <w:color w:val="auto"/>
          <w:sz w:val="32"/>
          <w:szCs w:val="32"/>
          <w:highlight w:val="none"/>
          <w:lang w:eastAsia="zh-CN"/>
        </w:rPr>
        <w:t>检察</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行政运行</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检察院机关的基本支出</w:t>
      </w:r>
      <w:r>
        <w:rPr>
          <w:rFonts w:hint="eastAsia" w:ascii="仿宋_GB2312" w:eastAsia="仿宋_GB2312"/>
          <w:color w:val="auto"/>
          <w:sz w:val="32"/>
          <w:szCs w:val="32"/>
          <w:highlight w:val="none"/>
        </w:rPr>
        <w:t>。</w:t>
      </w:r>
    </w:p>
    <w:p>
      <w:pPr>
        <w:pStyle w:val="30"/>
        <w:numPr>
          <w:ilvl w:val="0"/>
          <w:numId w:val="6"/>
        </w:numPr>
        <w:spacing w:beforeLines="0" w:afterLines="0" w:line="560" w:lineRule="exact"/>
        <w:ind w:left="0" w:leftChars="0" w:firstLine="400" w:firstLineChars="0"/>
        <w:jc w:val="both"/>
        <w:rPr>
          <w:rStyle w:val="18"/>
          <w:rFonts w:hint="eastAsia" w:ascii="仿宋" w:hAnsi="仿宋" w:eastAsia="仿宋"/>
          <w:b w:val="0"/>
          <w:bCs w:val="0"/>
          <w:color w:val="000000"/>
          <w:sz w:val="32"/>
          <w:szCs w:val="32"/>
          <w:lang w:val="en-US" w:eastAsia="zh-CN"/>
        </w:rPr>
      </w:pPr>
      <w:r>
        <w:rPr>
          <w:rFonts w:hint="eastAsia" w:ascii="仿宋_GB2312" w:eastAsia="仿宋_GB2312"/>
          <w:color w:val="auto"/>
          <w:sz w:val="32"/>
          <w:szCs w:val="32"/>
        </w:rPr>
        <w:t>公共安全（类）检察（款）事业运行（项）：主要用于保障事业单位正常运行，开展日常工作的基本支出。</w:t>
      </w:r>
    </w:p>
    <w:p>
      <w:pPr>
        <w:numPr>
          <w:ilvl w:val="0"/>
          <w:numId w:val="6"/>
        </w:numPr>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公共安全</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检察</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其他检察支出</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检察院</w:t>
      </w:r>
      <w:r>
        <w:rPr>
          <w:rFonts w:hint="eastAsia" w:ascii="仿宋_GB2312" w:eastAsia="仿宋_GB2312"/>
          <w:color w:val="000000"/>
          <w:sz w:val="32"/>
          <w:szCs w:val="32"/>
        </w:rPr>
        <w:t>机关未单独设置项级科目的其他项目支出</w:t>
      </w:r>
      <w:r>
        <w:rPr>
          <w:rFonts w:hint="eastAsia" w:ascii="仿宋_GB2312" w:eastAsia="仿宋_GB2312"/>
          <w:color w:val="auto"/>
          <w:sz w:val="32"/>
          <w:szCs w:val="32"/>
          <w:highlight w:val="none"/>
        </w:rPr>
        <w:t>。</w:t>
      </w:r>
    </w:p>
    <w:p>
      <w:pPr>
        <w:numPr>
          <w:ilvl w:val="0"/>
          <w:numId w:val="6"/>
        </w:numPr>
        <w:ind w:left="0" w:leftChars="0" w:firstLine="400" w:firstLineChars="0"/>
        <w:rPr>
          <w:rStyle w:val="18"/>
          <w:rFonts w:hint="eastAsia" w:ascii="仿宋" w:hAnsi="仿宋" w:eastAsia="仿宋_GB2312"/>
          <w:b w:val="0"/>
          <w:bCs w:val="0"/>
          <w:color w:val="000000"/>
          <w:sz w:val="32"/>
          <w:szCs w:val="32"/>
          <w:lang w:eastAsia="zh-CN"/>
        </w:rPr>
      </w:pPr>
      <w:r>
        <w:rPr>
          <w:rStyle w:val="18"/>
          <w:rFonts w:hint="eastAsia" w:ascii="仿宋" w:hAnsi="仿宋" w:eastAsia="仿宋"/>
          <w:b w:val="0"/>
          <w:bCs w:val="0"/>
          <w:color w:val="000000"/>
          <w:sz w:val="32"/>
          <w:szCs w:val="32"/>
          <w:lang w:eastAsia="zh-CN"/>
        </w:rPr>
        <w:t>社会保障和就业支出</w:t>
      </w:r>
      <w:r>
        <w:rPr>
          <w:rStyle w:val="18"/>
          <w:rFonts w:hint="eastAsia" w:ascii="仿宋" w:hAnsi="仿宋" w:eastAsia="仿宋"/>
          <w:b w:val="0"/>
          <w:bCs w:val="0"/>
          <w:color w:val="000000"/>
          <w:sz w:val="32"/>
          <w:szCs w:val="32"/>
        </w:rPr>
        <w:t>（类）</w:t>
      </w:r>
      <w:r>
        <w:rPr>
          <w:rStyle w:val="18"/>
          <w:rFonts w:hint="eastAsia" w:ascii="仿宋" w:hAnsi="仿宋" w:eastAsia="仿宋"/>
          <w:b w:val="0"/>
          <w:bCs w:val="0"/>
          <w:color w:val="000000"/>
          <w:sz w:val="32"/>
          <w:szCs w:val="32"/>
          <w:lang w:eastAsia="zh-CN"/>
        </w:rPr>
        <w:t>行政事业单位养老支出</w:t>
      </w:r>
      <w:r>
        <w:rPr>
          <w:rStyle w:val="18"/>
          <w:rFonts w:hint="eastAsia" w:ascii="仿宋" w:hAnsi="仿宋" w:eastAsia="仿宋"/>
          <w:b w:val="0"/>
          <w:bCs w:val="0"/>
          <w:color w:val="000000"/>
          <w:sz w:val="32"/>
          <w:szCs w:val="32"/>
        </w:rPr>
        <w:t>（款）</w:t>
      </w:r>
      <w:r>
        <w:rPr>
          <w:rStyle w:val="18"/>
          <w:rFonts w:hint="eastAsia" w:ascii="仿宋" w:hAnsi="仿宋" w:eastAsia="仿宋"/>
          <w:b w:val="0"/>
          <w:bCs w:val="0"/>
          <w:color w:val="000000"/>
          <w:sz w:val="32"/>
          <w:szCs w:val="32"/>
          <w:lang w:eastAsia="zh-CN"/>
        </w:rPr>
        <w:t>机关事业单位基本养老保险缴费支出</w:t>
      </w:r>
      <w:r>
        <w:rPr>
          <w:rStyle w:val="18"/>
          <w:rFonts w:hint="eastAsia" w:ascii="仿宋" w:hAnsi="仿宋" w:eastAsia="仿宋"/>
          <w:b w:val="0"/>
          <w:bCs w:val="0"/>
          <w:color w:val="000000"/>
          <w:sz w:val="32"/>
          <w:szCs w:val="32"/>
        </w:rPr>
        <w:t>（项）</w:t>
      </w:r>
      <w:r>
        <w:rPr>
          <w:rStyle w:val="18"/>
          <w:rFonts w:hint="eastAsia" w:ascii="仿宋" w:hAnsi="仿宋" w:eastAsia="仿宋"/>
          <w:b w:val="0"/>
          <w:bCs w:val="0"/>
          <w:color w:val="000000"/>
          <w:sz w:val="32"/>
          <w:szCs w:val="32"/>
          <w:lang w:eastAsia="zh-CN"/>
        </w:rPr>
        <w:t>：</w:t>
      </w:r>
      <w:r>
        <w:rPr>
          <w:rFonts w:hint="eastAsia" w:ascii="仿宋_GB2312" w:eastAsia="仿宋_GB2312"/>
          <w:b w:val="0"/>
          <w:bCs w:val="0"/>
          <w:color w:val="000000"/>
          <w:sz w:val="32"/>
          <w:szCs w:val="32"/>
        </w:rPr>
        <w:t>指机关事业单位实施养老保险制度由单位缴纳的基本养老保险费支出</w:t>
      </w:r>
      <w:r>
        <w:rPr>
          <w:rFonts w:hint="eastAsia" w:ascii="仿宋_GB2312" w:eastAsia="仿宋_GB2312"/>
          <w:b w:val="0"/>
          <w:bCs w:val="0"/>
          <w:color w:val="000000"/>
          <w:sz w:val="32"/>
          <w:szCs w:val="32"/>
          <w:lang w:eastAsia="zh-CN"/>
        </w:rPr>
        <w:t>。</w:t>
      </w:r>
    </w:p>
    <w:p>
      <w:pPr>
        <w:numPr>
          <w:ilvl w:val="0"/>
          <w:numId w:val="6"/>
        </w:numPr>
        <w:ind w:left="0" w:leftChars="0" w:firstLine="400" w:firstLineChars="0"/>
        <w:rPr>
          <w:rStyle w:val="18"/>
          <w:rFonts w:hint="eastAsia" w:ascii="仿宋" w:hAnsi="仿宋" w:eastAsia="仿宋_GB2312"/>
          <w:bCs/>
          <w:color w:val="000000"/>
          <w:sz w:val="32"/>
          <w:szCs w:val="32"/>
          <w:lang w:eastAsia="zh-CN"/>
        </w:rPr>
      </w:pPr>
      <w:r>
        <w:rPr>
          <w:rStyle w:val="18"/>
          <w:rFonts w:hint="eastAsia" w:ascii="仿宋" w:hAnsi="仿宋" w:eastAsia="仿宋"/>
          <w:b w:val="0"/>
          <w:bCs w:val="0"/>
          <w:color w:val="000000"/>
          <w:sz w:val="32"/>
          <w:szCs w:val="32"/>
          <w:lang w:eastAsia="zh-CN"/>
        </w:rPr>
        <w:t>社会保障和就业支出</w:t>
      </w:r>
      <w:r>
        <w:rPr>
          <w:rStyle w:val="18"/>
          <w:rFonts w:hint="eastAsia" w:ascii="仿宋" w:hAnsi="仿宋" w:eastAsia="仿宋"/>
          <w:b w:val="0"/>
          <w:bCs w:val="0"/>
          <w:color w:val="000000"/>
          <w:sz w:val="32"/>
          <w:szCs w:val="32"/>
        </w:rPr>
        <w:t>（类）</w:t>
      </w:r>
      <w:r>
        <w:rPr>
          <w:rStyle w:val="18"/>
          <w:rFonts w:hint="eastAsia" w:ascii="仿宋" w:hAnsi="仿宋" w:eastAsia="仿宋"/>
          <w:b w:val="0"/>
          <w:bCs w:val="0"/>
          <w:color w:val="000000"/>
          <w:sz w:val="32"/>
          <w:szCs w:val="32"/>
          <w:lang w:eastAsia="zh-CN"/>
        </w:rPr>
        <w:t>行政事业单位养老支出</w:t>
      </w:r>
      <w:r>
        <w:rPr>
          <w:rStyle w:val="18"/>
          <w:rFonts w:hint="eastAsia" w:ascii="仿宋" w:hAnsi="仿宋" w:eastAsia="仿宋"/>
          <w:b w:val="0"/>
          <w:bCs w:val="0"/>
          <w:color w:val="000000"/>
          <w:sz w:val="32"/>
          <w:szCs w:val="32"/>
        </w:rPr>
        <w:t>（款）</w:t>
      </w:r>
      <w:r>
        <w:rPr>
          <w:rStyle w:val="18"/>
          <w:rFonts w:hint="eastAsia" w:ascii="仿宋" w:hAnsi="仿宋" w:eastAsia="仿宋"/>
          <w:b w:val="0"/>
          <w:bCs w:val="0"/>
          <w:color w:val="000000"/>
          <w:sz w:val="32"/>
          <w:szCs w:val="32"/>
          <w:lang w:eastAsia="zh-CN"/>
        </w:rPr>
        <w:t>机关事业单位职业年金缴费支出</w:t>
      </w:r>
      <w:r>
        <w:rPr>
          <w:rStyle w:val="18"/>
          <w:rFonts w:hint="eastAsia" w:ascii="仿宋" w:hAnsi="仿宋" w:eastAsia="仿宋"/>
          <w:b w:val="0"/>
          <w:bCs w:val="0"/>
          <w:color w:val="000000"/>
          <w:sz w:val="32"/>
          <w:szCs w:val="32"/>
        </w:rPr>
        <w:t>（项）</w:t>
      </w:r>
      <w:r>
        <w:rPr>
          <w:rStyle w:val="18"/>
          <w:rFonts w:hint="eastAsia" w:ascii="仿宋" w:hAnsi="仿宋" w:eastAsia="仿宋"/>
          <w:b w:val="0"/>
          <w:bCs w:val="0"/>
          <w:color w:val="000000"/>
          <w:sz w:val="32"/>
          <w:szCs w:val="32"/>
          <w:lang w:eastAsia="zh-CN"/>
        </w:rPr>
        <w:t>：</w:t>
      </w:r>
      <w:r>
        <w:rPr>
          <w:rFonts w:hint="eastAsia" w:ascii="仿宋_GB2312" w:eastAsia="仿宋_GB2312"/>
          <w:b w:val="0"/>
          <w:bCs w:val="0"/>
          <w:color w:val="000000"/>
          <w:sz w:val="32"/>
          <w:szCs w:val="32"/>
        </w:rPr>
        <w:t>指机关事</w:t>
      </w:r>
      <w:r>
        <w:rPr>
          <w:rFonts w:hint="eastAsia" w:ascii="仿宋_GB2312" w:eastAsia="仿宋_GB2312"/>
          <w:color w:val="000000"/>
          <w:sz w:val="32"/>
          <w:szCs w:val="32"/>
        </w:rPr>
        <w:t>业单位实施</w:t>
      </w:r>
      <w:r>
        <w:rPr>
          <w:rFonts w:hint="eastAsia" w:ascii="仿宋_GB2312" w:eastAsia="仿宋_GB2312"/>
          <w:color w:val="000000"/>
          <w:sz w:val="32"/>
          <w:szCs w:val="32"/>
          <w:lang w:eastAsia="zh-CN"/>
        </w:rPr>
        <w:t>职业年金</w:t>
      </w:r>
      <w:r>
        <w:rPr>
          <w:rFonts w:hint="eastAsia" w:ascii="仿宋_GB2312" w:eastAsia="仿宋_GB2312"/>
          <w:color w:val="000000"/>
          <w:sz w:val="32"/>
          <w:szCs w:val="32"/>
        </w:rPr>
        <w:t>制度缴纳的</w:t>
      </w:r>
      <w:r>
        <w:rPr>
          <w:rFonts w:hint="eastAsia" w:ascii="仿宋_GB2312" w:eastAsia="仿宋_GB2312"/>
          <w:color w:val="000000"/>
          <w:sz w:val="32"/>
          <w:szCs w:val="32"/>
          <w:lang w:eastAsia="zh-CN"/>
        </w:rPr>
        <w:t>职业年金</w:t>
      </w:r>
      <w:r>
        <w:rPr>
          <w:rFonts w:hint="eastAsia" w:ascii="仿宋_GB2312" w:eastAsia="仿宋_GB2312"/>
          <w:color w:val="000000"/>
          <w:sz w:val="32"/>
          <w:szCs w:val="32"/>
        </w:rPr>
        <w:t>支出</w:t>
      </w:r>
      <w:r>
        <w:rPr>
          <w:rFonts w:hint="eastAsia" w:ascii="仿宋_GB2312" w:eastAsia="仿宋_GB2312"/>
          <w:color w:val="000000"/>
          <w:sz w:val="32"/>
          <w:szCs w:val="32"/>
          <w:lang w:eastAsia="zh-CN"/>
        </w:rPr>
        <w:t>。</w:t>
      </w:r>
    </w:p>
    <w:p>
      <w:pPr>
        <w:numPr>
          <w:ilvl w:val="0"/>
          <w:numId w:val="6"/>
        </w:numPr>
        <w:spacing w:line="600" w:lineRule="exact"/>
        <w:ind w:left="0" w:leftChars="0" w:firstLine="400" w:firstLineChars="0"/>
        <w:rPr>
          <w:rStyle w:val="18"/>
          <w:rFonts w:hint="eastAsia" w:ascii="仿宋" w:hAnsi="仿宋" w:eastAsia="仿宋"/>
          <w:b w:val="0"/>
          <w:bCs/>
          <w:color w:val="000000"/>
          <w:sz w:val="32"/>
          <w:szCs w:val="32"/>
          <w:lang w:eastAsia="zh-CN"/>
        </w:rPr>
      </w:pPr>
      <w:r>
        <w:rPr>
          <w:rStyle w:val="18"/>
          <w:rFonts w:hint="eastAsia" w:ascii="仿宋" w:hAnsi="仿宋" w:eastAsia="仿宋"/>
          <w:b w:val="0"/>
          <w:bCs w:val="0"/>
          <w:color w:val="000000"/>
          <w:sz w:val="32"/>
          <w:szCs w:val="32"/>
          <w:lang w:eastAsia="zh-CN"/>
        </w:rPr>
        <w:t>卫生健康支出</w:t>
      </w:r>
      <w:r>
        <w:rPr>
          <w:rStyle w:val="18"/>
          <w:rFonts w:hint="eastAsia" w:ascii="仿宋" w:hAnsi="仿宋" w:eastAsia="仿宋"/>
          <w:b w:val="0"/>
          <w:bCs w:val="0"/>
          <w:color w:val="000000"/>
          <w:sz w:val="32"/>
          <w:szCs w:val="32"/>
        </w:rPr>
        <w:t>（类）</w:t>
      </w:r>
      <w:r>
        <w:rPr>
          <w:rStyle w:val="18"/>
          <w:rFonts w:hint="eastAsia" w:ascii="仿宋" w:hAnsi="仿宋" w:eastAsia="仿宋"/>
          <w:b w:val="0"/>
          <w:bCs w:val="0"/>
          <w:color w:val="000000"/>
          <w:sz w:val="32"/>
          <w:szCs w:val="32"/>
          <w:lang w:eastAsia="zh-CN"/>
        </w:rPr>
        <w:t>行政事业单位医疗</w:t>
      </w:r>
      <w:r>
        <w:rPr>
          <w:rStyle w:val="18"/>
          <w:rFonts w:hint="eastAsia" w:ascii="仿宋" w:hAnsi="仿宋" w:eastAsia="仿宋"/>
          <w:b w:val="0"/>
          <w:bCs w:val="0"/>
          <w:color w:val="000000"/>
          <w:sz w:val="32"/>
          <w:szCs w:val="32"/>
        </w:rPr>
        <w:t>（款）</w:t>
      </w:r>
      <w:r>
        <w:rPr>
          <w:rStyle w:val="18"/>
          <w:rFonts w:hint="eastAsia" w:ascii="仿宋" w:hAnsi="仿宋" w:eastAsia="仿宋"/>
          <w:b w:val="0"/>
          <w:bCs w:val="0"/>
          <w:color w:val="000000"/>
          <w:sz w:val="32"/>
          <w:szCs w:val="32"/>
          <w:lang w:eastAsia="zh-CN"/>
        </w:rPr>
        <w:t>行政单位医疗</w:t>
      </w:r>
      <w:r>
        <w:rPr>
          <w:rStyle w:val="18"/>
          <w:rFonts w:hint="eastAsia" w:ascii="仿宋" w:hAnsi="仿宋" w:eastAsia="仿宋"/>
          <w:b w:val="0"/>
          <w:bCs w:val="0"/>
          <w:color w:val="000000"/>
          <w:sz w:val="32"/>
          <w:szCs w:val="32"/>
        </w:rPr>
        <w:t>（项）</w:t>
      </w:r>
      <w:r>
        <w:rPr>
          <w:rStyle w:val="18"/>
          <w:rFonts w:hint="eastAsia" w:ascii="仿宋" w:hAnsi="仿宋" w:eastAsia="仿宋"/>
          <w:b w:val="0"/>
          <w:bCs w:val="0"/>
          <w:color w:val="000000"/>
          <w:sz w:val="32"/>
          <w:szCs w:val="32"/>
          <w:lang w:eastAsia="zh-CN"/>
        </w:rPr>
        <w:t>：</w:t>
      </w:r>
      <w:r>
        <w:rPr>
          <w:rStyle w:val="18"/>
          <w:rFonts w:ascii="仿宋" w:hAnsi="仿宋" w:eastAsia="仿宋"/>
          <w:b w:val="0"/>
          <w:bCs w:val="0"/>
          <w:color w:val="000000"/>
          <w:sz w:val="32"/>
          <w:szCs w:val="32"/>
        </w:rPr>
        <w:t xml:space="preserve"> </w:t>
      </w:r>
      <w:r>
        <w:rPr>
          <w:rStyle w:val="18"/>
          <w:rFonts w:hint="eastAsia" w:ascii="仿宋" w:hAnsi="仿宋" w:eastAsia="仿宋"/>
          <w:b w:val="0"/>
          <w:bCs w:val="0"/>
          <w:color w:val="000000"/>
          <w:sz w:val="32"/>
          <w:szCs w:val="32"/>
          <w:lang w:eastAsia="zh-CN"/>
        </w:rPr>
        <w:t>指机关事业单位公务员缴纳的医疗保险支出。</w:t>
      </w:r>
    </w:p>
    <w:p>
      <w:pPr>
        <w:numPr>
          <w:ilvl w:val="0"/>
          <w:numId w:val="6"/>
        </w:numPr>
        <w:ind w:left="0" w:leftChars="0" w:firstLine="400" w:firstLineChars="0"/>
        <w:rPr>
          <w:rFonts w:ascii="仿宋_GB2312" w:eastAsia="仿宋_GB2312"/>
          <w:color w:val="000000"/>
          <w:sz w:val="32"/>
          <w:szCs w:val="32"/>
        </w:rPr>
      </w:pPr>
      <w:r>
        <w:rPr>
          <w:rStyle w:val="18"/>
          <w:rFonts w:hint="eastAsia" w:ascii="仿宋" w:hAnsi="仿宋" w:eastAsia="仿宋"/>
          <w:b w:val="0"/>
          <w:bCs w:val="0"/>
          <w:color w:val="000000"/>
          <w:sz w:val="32"/>
          <w:szCs w:val="32"/>
          <w:lang w:eastAsia="zh-CN"/>
        </w:rPr>
        <w:t>住房保障支出</w:t>
      </w:r>
      <w:r>
        <w:rPr>
          <w:rStyle w:val="18"/>
          <w:rFonts w:hint="eastAsia" w:ascii="仿宋" w:hAnsi="仿宋" w:eastAsia="仿宋"/>
          <w:b w:val="0"/>
          <w:bCs w:val="0"/>
          <w:color w:val="000000"/>
          <w:sz w:val="32"/>
          <w:szCs w:val="32"/>
        </w:rPr>
        <w:t>（类）</w:t>
      </w:r>
      <w:r>
        <w:rPr>
          <w:rStyle w:val="18"/>
          <w:rFonts w:hint="eastAsia" w:ascii="仿宋" w:hAnsi="仿宋" w:eastAsia="仿宋"/>
          <w:b w:val="0"/>
          <w:bCs w:val="0"/>
          <w:color w:val="000000"/>
          <w:sz w:val="32"/>
          <w:szCs w:val="32"/>
          <w:lang w:eastAsia="zh-CN"/>
        </w:rPr>
        <w:t>住房改革支出</w:t>
      </w:r>
      <w:r>
        <w:rPr>
          <w:rStyle w:val="18"/>
          <w:rFonts w:hint="eastAsia" w:ascii="仿宋" w:hAnsi="仿宋" w:eastAsia="仿宋"/>
          <w:b w:val="0"/>
          <w:bCs w:val="0"/>
          <w:color w:val="000000"/>
          <w:sz w:val="32"/>
          <w:szCs w:val="32"/>
        </w:rPr>
        <w:t>（款）</w:t>
      </w:r>
      <w:r>
        <w:rPr>
          <w:rStyle w:val="18"/>
          <w:rFonts w:hint="eastAsia" w:ascii="仿宋" w:hAnsi="仿宋" w:eastAsia="仿宋"/>
          <w:b w:val="0"/>
          <w:bCs w:val="0"/>
          <w:color w:val="000000"/>
          <w:sz w:val="32"/>
          <w:szCs w:val="32"/>
          <w:lang w:eastAsia="zh-CN"/>
        </w:rPr>
        <w:t>住房公积金</w:t>
      </w:r>
      <w:r>
        <w:rPr>
          <w:rStyle w:val="18"/>
          <w:rFonts w:hint="eastAsia" w:ascii="仿宋" w:hAnsi="仿宋" w:eastAsia="仿宋"/>
          <w:b w:val="0"/>
          <w:bCs w:val="0"/>
          <w:color w:val="000000"/>
          <w:sz w:val="32"/>
          <w:szCs w:val="32"/>
        </w:rPr>
        <w:t>（项）</w:t>
      </w:r>
      <w:r>
        <w:rPr>
          <w:rStyle w:val="18"/>
          <w:rFonts w:hint="eastAsia" w:ascii="仿宋" w:hAnsi="仿宋" w:eastAsia="仿宋"/>
          <w:b w:val="0"/>
          <w:bCs w:val="0"/>
          <w:color w:val="000000"/>
          <w:sz w:val="32"/>
          <w:szCs w:val="32"/>
          <w:lang w:eastAsia="zh-CN"/>
        </w:rPr>
        <w:t>：</w:t>
      </w:r>
      <w:r>
        <w:rPr>
          <w:rStyle w:val="18"/>
          <w:rFonts w:ascii="仿宋" w:hAnsi="仿宋" w:eastAsia="仿宋"/>
          <w:b w:val="0"/>
          <w:bCs w:val="0"/>
          <w:color w:val="000000"/>
          <w:sz w:val="32"/>
          <w:szCs w:val="32"/>
        </w:rPr>
        <w:t xml:space="preserve"> </w:t>
      </w:r>
      <w:r>
        <w:rPr>
          <w:rFonts w:hint="eastAsia" w:ascii="仿宋_GB2312" w:eastAsia="仿宋_GB2312"/>
          <w:b w:val="0"/>
          <w:bCs w:val="0"/>
          <w:color w:val="000000"/>
          <w:sz w:val="32"/>
          <w:szCs w:val="32"/>
        </w:rPr>
        <w:t>指反映行政事业单位按人力资源和社会保</w:t>
      </w:r>
      <w:r>
        <w:rPr>
          <w:rFonts w:hint="eastAsia" w:ascii="仿宋_GB2312" w:eastAsia="仿宋_GB2312"/>
          <w:color w:val="000000"/>
          <w:sz w:val="32"/>
          <w:szCs w:val="32"/>
        </w:rPr>
        <w:t>障部、财政部规定的基本工资和津贴补贴以及规定比例为职工缴纳的住房公积金。</w:t>
      </w:r>
    </w:p>
    <w:p>
      <w:pPr>
        <w:numPr>
          <w:ilvl w:val="0"/>
          <w:numId w:val="6"/>
        </w:numPr>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基本支出：指为保障机构正常运转、完成日常工作任务而发生的人员支出和公用支出。</w:t>
      </w:r>
    </w:p>
    <w:p>
      <w:pPr>
        <w:numPr>
          <w:ilvl w:val="0"/>
          <w:numId w:val="6"/>
        </w:numPr>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30"/>
        <w:numPr>
          <w:ilvl w:val="0"/>
          <w:numId w:val="6"/>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0"/>
        <w:numPr>
          <w:ilvl w:val="0"/>
          <w:numId w:val="6"/>
        </w:numPr>
        <w:spacing w:line="560" w:lineRule="exact"/>
        <w:ind w:left="0" w:leftChars="0" w:firstLine="400" w:firstLineChars="0"/>
        <w:jc w:val="left"/>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w:t>
      </w:r>
      <w:r>
        <w:rPr>
          <w:rFonts w:hint="eastAsia" w:ascii="仿宋_GB2312" w:eastAsia="仿宋_GB2312"/>
          <w:color w:val="auto"/>
          <w:sz w:val="32"/>
          <w:szCs w:val="32"/>
          <w:highlight w:val="none"/>
          <w:lang w:eastAsia="zh-CN"/>
        </w:rPr>
        <w:t>公务用车运行维护费及其他费用。</w:t>
      </w:r>
    </w:p>
    <w:p>
      <w:pPr>
        <w:pStyle w:val="30"/>
        <w:spacing w:line="560" w:lineRule="exact"/>
        <w:ind w:firstLine="883" w:firstLineChars="200"/>
        <w:jc w:val="center"/>
        <w:outlineLvl w:val="0"/>
        <w:rPr>
          <w:rStyle w:val="20"/>
          <w:rFonts w:hint="eastAsia" w:ascii="黑体" w:hAnsi="黑体" w:eastAsia="黑体"/>
          <w:b w:val="0"/>
          <w:color w:val="auto"/>
          <w:highlight w:val="yellow"/>
          <w:lang w:eastAsia="zh-CN"/>
        </w:rPr>
      </w:pPr>
      <w:r>
        <w:rPr>
          <w:rFonts w:ascii="宋体"/>
          <w:b/>
          <w:color w:val="auto"/>
          <w:sz w:val="44"/>
          <w:szCs w:val="44"/>
          <w:highlight w:val="none"/>
        </w:rPr>
        <w:br w:type="page"/>
      </w:r>
      <w:bookmarkStart w:id="73" w:name="_Toc15396614"/>
      <w:bookmarkStart w:id="74" w:name="_Toc13240"/>
      <w:r>
        <w:rPr>
          <w:rFonts w:hint="eastAsia" w:ascii="黑体" w:hAnsi="黑体" w:eastAsia="黑体"/>
          <w:color w:val="auto"/>
          <w:sz w:val="44"/>
          <w:szCs w:val="44"/>
          <w:highlight w:val="none"/>
        </w:rPr>
        <w:t>第</w:t>
      </w:r>
      <w:r>
        <w:rPr>
          <w:rStyle w:val="20"/>
          <w:rFonts w:hint="eastAsia" w:ascii="黑体" w:hAnsi="黑体" w:eastAsia="黑体"/>
          <w:b w:val="0"/>
          <w:color w:val="auto"/>
          <w:highlight w:val="none"/>
        </w:rPr>
        <w:t>四部分 附件</w:t>
      </w:r>
      <w:bookmarkEnd w:id="73"/>
      <w:bookmarkEnd w:id="74"/>
    </w:p>
    <w:p>
      <w:pPr>
        <w:keepNext w:val="0"/>
        <w:keepLines w:val="0"/>
        <w:pageBreakBefore w:val="0"/>
        <w:kinsoku/>
        <w:wordWrap/>
        <w:overflowPunct/>
        <w:topLinePunct w:val="0"/>
        <w:autoSpaceDE/>
        <w:autoSpaceDN/>
        <w:bidi w:val="0"/>
        <w:spacing w:line="572" w:lineRule="exact"/>
        <w:jc w:val="left"/>
        <w:textAlignment w:val="auto"/>
        <w:outlineLvl w:val="1"/>
        <w:rPr>
          <w:rFonts w:hint="eastAsia" w:ascii="方正小标宋简体" w:hAnsi="方正小标宋简体" w:eastAsia="黑体" w:cs="方正小标宋简体"/>
          <w:color w:val="auto"/>
          <w:sz w:val="44"/>
          <w:szCs w:val="44"/>
          <w:highlight w:val="none"/>
          <w:lang w:val="en-US" w:eastAsia="zh-CN"/>
        </w:rPr>
      </w:pPr>
      <w:bookmarkStart w:id="75" w:name="_Toc19030"/>
      <w:r>
        <w:rPr>
          <w:rFonts w:hint="eastAsia" w:ascii="黑体" w:hAnsi="黑体" w:eastAsia="黑体" w:cs="黑体"/>
          <w:color w:val="auto"/>
          <w:sz w:val="32"/>
          <w:szCs w:val="32"/>
          <w:highlight w:val="none"/>
        </w:rPr>
        <w:t>附件</w:t>
      </w:r>
      <w:bookmarkEnd w:id="75"/>
    </w:p>
    <w:p>
      <w:pPr>
        <w:widowControl/>
        <w:spacing w:line="560" w:lineRule="exact"/>
        <w:contextualSpacing/>
        <w:jc w:val="center"/>
        <w:rPr>
          <w:rFonts w:ascii="宋体" w:hAnsi="宋体"/>
          <w:b/>
          <w:sz w:val="44"/>
          <w:szCs w:val="44"/>
          <w:shd w:val="clear" w:color="auto" w:fill="FFFFFF"/>
        </w:rPr>
      </w:pPr>
      <w:r>
        <w:rPr>
          <w:rFonts w:hint="eastAsia" w:ascii="宋体" w:hAnsi="宋体"/>
          <w:b/>
          <w:sz w:val="44"/>
          <w:szCs w:val="44"/>
          <w:shd w:val="clear" w:color="auto" w:fill="FFFFFF"/>
        </w:rPr>
        <w:t>202</w:t>
      </w:r>
      <w:r>
        <w:rPr>
          <w:rFonts w:hint="eastAsia" w:ascii="宋体" w:hAnsi="宋体"/>
          <w:b/>
          <w:sz w:val="44"/>
          <w:szCs w:val="44"/>
          <w:shd w:val="clear" w:color="auto" w:fill="FFFFFF"/>
          <w:lang w:val="en-US" w:eastAsia="zh-CN"/>
        </w:rPr>
        <w:t>3</w:t>
      </w:r>
      <w:r>
        <w:rPr>
          <w:rFonts w:hint="eastAsia" w:ascii="宋体" w:hAnsi="宋体"/>
          <w:b/>
          <w:sz w:val="44"/>
          <w:szCs w:val="44"/>
          <w:shd w:val="clear" w:color="auto" w:fill="FFFFFF"/>
        </w:rPr>
        <w:t>年广元市昭化区人民</w:t>
      </w:r>
      <w:r>
        <w:rPr>
          <w:rFonts w:hint="eastAsia" w:ascii="宋体" w:hAnsi="宋体"/>
          <w:b/>
          <w:sz w:val="44"/>
          <w:szCs w:val="44"/>
          <w:shd w:val="clear" w:color="auto" w:fill="FFFFFF"/>
          <w:lang w:eastAsia="zh-CN"/>
        </w:rPr>
        <w:t>检察</w:t>
      </w:r>
      <w:r>
        <w:rPr>
          <w:rFonts w:hint="eastAsia" w:ascii="宋体" w:hAnsi="宋体"/>
          <w:b/>
          <w:sz w:val="44"/>
          <w:szCs w:val="44"/>
          <w:shd w:val="clear" w:color="auto" w:fill="FFFFFF"/>
        </w:rPr>
        <w:t>院</w:t>
      </w:r>
    </w:p>
    <w:p>
      <w:pPr>
        <w:widowControl/>
        <w:spacing w:line="560" w:lineRule="exact"/>
        <w:contextualSpacing/>
        <w:jc w:val="center"/>
        <w:rPr>
          <w:rFonts w:ascii="宋体" w:hAnsi="宋体"/>
          <w:b/>
          <w:sz w:val="44"/>
          <w:szCs w:val="44"/>
          <w:shd w:val="clear" w:color="auto" w:fill="FFFFFF"/>
        </w:rPr>
      </w:pPr>
      <w:r>
        <w:rPr>
          <w:rFonts w:hint="eastAsia" w:ascii="宋体" w:hAnsi="宋体"/>
          <w:b/>
          <w:sz w:val="44"/>
          <w:szCs w:val="44"/>
          <w:shd w:val="clear" w:color="auto" w:fill="FFFFFF"/>
        </w:rPr>
        <w:t>整体绩效评价报告</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p>
    <w:p>
      <w:pPr>
        <w:keepNext w:val="0"/>
        <w:keepLines w:val="0"/>
        <w:pageBreakBefore w:val="0"/>
        <w:widowControl/>
        <w:numPr>
          <w:ilvl w:val="0"/>
          <w:numId w:val="7"/>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hint="eastAsia" w:ascii="黑体" w:hAnsi="宋体" w:eastAsia="黑体" w:cs="宋体"/>
          <w:color w:val="auto"/>
          <w:kern w:val="0"/>
          <w:sz w:val="32"/>
          <w:szCs w:val="32"/>
          <w:highlight w:val="none"/>
          <w:shd w:val="clear" w:color="auto" w:fill="FFFFFF"/>
          <w:lang w:val="zh-CN"/>
        </w:rPr>
      </w:pPr>
      <w:bookmarkStart w:id="76" w:name="_Toc26557"/>
      <w:r>
        <w:rPr>
          <w:rFonts w:hint="eastAsia" w:ascii="黑体" w:hAnsi="宋体" w:eastAsia="黑体" w:cs="宋体"/>
          <w:color w:val="auto"/>
          <w:kern w:val="0"/>
          <w:sz w:val="32"/>
          <w:szCs w:val="32"/>
          <w:highlight w:val="none"/>
          <w:shd w:val="clear" w:color="auto" w:fill="FFFFFF"/>
          <w:lang w:val="zh-CN"/>
        </w:rPr>
        <w:t>部门（单位）基本情况</w:t>
      </w:r>
      <w:bookmarkEnd w:id="76"/>
    </w:p>
    <w:p>
      <w:pPr>
        <w:keepNext w:val="0"/>
        <w:keepLines w:val="0"/>
        <w:pageBreakBefore w:val="0"/>
        <w:widowControl/>
        <w:numPr>
          <w:ilvl w:val="0"/>
          <w:numId w:val="8"/>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机构组成。</w:t>
      </w:r>
    </w:p>
    <w:p>
      <w:pPr>
        <w:ind w:firstLine="640" w:firstLineChars="200"/>
        <w:rPr>
          <w:rFonts w:hint="eastAsia" w:ascii="仿宋" w:hAnsi="仿宋" w:eastAsia="仿宋" w:cs="仿宋"/>
          <w:sz w:val="32"/>
          <w:szCs w:val="32"/>
          <w:lang w:val="zh-CN"/>
        </w:rPr>
      </w:pPr>
      <w:r>
        <w:rPr>
          <w:rFonts w:hint="eastAsia" w:ascii="仿宋_GB2312" w:hAnsi="仿宋_GB2312" w:eastAsia="仿宋_GB2312"/>
          <w:color w:val="000000"/>
          <w:sz w:val="32"/>
          <w:u w:val="none"/>
          <w:lang w:eastAsia="zh-CN"/>
        </w:rPr>
        <w:t>区检察院下属内设机构</w:t>
      </w:r>
      <w:r>
        <w:rPr>
          <w:rFonts w:hint="eastAsia" w:ascii="仿宋_GB2312" w:hAnsi="仿宋_GB2312" w:eastAsia="仿宋_GB2312"/>
          <w:color w:val="000000"/>
          <w:sz w:val="32"/>
          <w:u w:val="none"/>
          <w:lang w:val="en-US" w:eastAsia="zh-CN"/>
        </w:rPr>
        <w:t>5</w:t>
      </w:r>
      <w:r>
        <w:rPr>
          <w:rFonts w:hint="eastAsia" w:ascii="仿宋_GB2312" w:hAnsi="仿宋_GB2312" w:eastAsia="仿宋_GB2312"/>
          <w:color w:val="000000"/>
          <w:sz w:val="32"/>
          <w:u w:val="none"/>
          <w:lang w:eastAsia="zh-CN"/>
        </w:rPr>
        <w:t>个，其中</w:t>
      </w:r>
      <w:r>
        <w:rPr>
          <w:rFonts w:hint="eastAsia" w:ascii="仿宋_GB2312" w:hAnsi="仿宋_GB2312" w:eastAsia="仿宋_GB2312"/>
          <w:color w:val="000000"/>
          <w:sz w:val="32"/>
          <w:u w:val="none"/>
        </w:rPr>
        <w:t>业务部门3个（第一、第二、第三检察部），综合部门2个（办公室、政治部）。</w:t>
      </w:r>
      <w:r>
        <w:rPr>
          <w:rFonts w:hint="eastAsia" w:ascii="仿宋" w:hAnsi="仿宋" w:eastAsia="仿宋" w:cs="仿宋"/>
          <w:sz w:val="32"/>
          <w:szCs w:val="32"/>
        </w:rPr>
        <w:t>无下属二级单位。</w:t>
      </w:r>
    </w:p>
    <w:p>
      <w:pPr>
        <w:keepNext w:val="0"/>
        <w:keepLines w:val="0"/>
        <w:pageBreakBefore w:val="0"/>
        <w:widowControl/>
        <w:numPr>
          <w:ilvl w:val="0"/>
          <w:numId w:val="8"/>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机构职能和人员概况</w:t>
      </w:r>
      <w:r>
        <w:rPr>
          <w:rFonts w:hint="eastAsia" w:ascii="楷体_GB2312" w:hAnsi="楷体_GB2312" w:eastAsia="楷体_GB2312" w:cs="楷体_GB2312"/>
          <w:b/>
          <w:bCs/>
          <w:color w:val="auto"/>
          <w:kern w:val="0"/>
          <w:sz w:val="32"/>
          <w:szCs w:val="32"/>
          <w:highlight w:val="none"/>
          <w:shd w:val="clear" w:color="auto" w:fill="FFFFFF"/>
          <w:lang w:val="zh-CN" w:eastAsia="zh-CN"/>
        </w:rPr>
        <w:t>。</w:t>
      </w:r>
    </w:p>
    <w:p>
      <w:pPr>
        <w:pStyle w:val="1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56" w:lineRule="exact"/>
        <w:ind w:right="0" w:rightChars="0" w:firstLine="640" w:firstLineChars="200"/>
        <w:textAlignment w:val="auto"/>
        <w:rPr>
          <w:rFonts w:hint="eastAsia"/>
          <w:lang w:val="zh-CN"/>
        </w:rPr>
      </w:pPr>
      <w:r>
        <w:rPr>
          <w:rFonts w:hint="eastAsia" w:ascii="仿宋_GB2312" w:hAnsi="微软雅黑" w:eastAsia="仿宋_GB2312" w:cs="仿宋_GB2312"/>
          <w:color w:val="auto"/>
          <w:sz w:val="32"/>
          <w:szCs w:val="32"/>
        </w:rPr>
        <w:t>人民检察院是国家的法律监督机关，通过履行侦查、批准逮捕、审查起诉、支持公诉等法律监督职能，保证国家法律的统一和正确实施。对于侦查机关侦查的案件进行审查</w:t>
      </w:r>
      <w:r>
        <w:rPr>
          <w:rFonts w:hint="eastAsia" w:ascii="仿宋_GB2312" w:hAnsi="微软雅黑" w:eastAsia="仿宋_GB2312" w:cs="仿宋_GB2312"/>
          <w:color w:val="auto"/>
          <w:sz w:val="32"/>
          <w:szCs w:val="32"/>
          <w:lang w:eastAsia="zh-CN"/>
        </w:rPr>
        <w:t>，</w:t>
      </w:r>
      <w:r>
        <w:rPr>
          <w:rFonts w:hint="eastAsia" w:ascii="仿宋_GB2312" w:hAnsi="微软雅黑" w:eastAsia="仿宋_GB2312" w:cs="仿宋_GB2312"/>
          <w:color w:val="auto"/>
          <w:sz w:val="32"/>
          <w:szCs w:val="32"/>
        </w:rPr>
        <w:t>决定是否逮捕、起诉或者不起诉。并对侦查机关的立案、侦查活动是否合法实行监督。对于刑事案件提起公诉</w:t>
      </w:r>
      <w:r>
        <w:rPr>
          <w:rFonts w:hint="eastAsia" w:ascii="仿宋_GB2312" w:hAnsi="微软雅黑" w:eastAsia="仿宋_GB2312" w:cs="仿宋_GB2312"/>
          <w:color w:val="auto"/>
          <w:sz w:val="32"/>
          <w:szCs w:val="32"/>
          <w:lang w:eastAsia="zh-CN"/>
        </w:rPr>
        <w:t>，</w:t>
      </w:r>
      <w:r>
        <w:rPr>
          <w:rFonts w:hint="eastAsia" w:ascii="仿宋_GB2312" w:hAnsi="微软雅黑" w:eastAsia="仿宋_GB2312" w:cs="仿宋_GB2312"/>
          <w:color w:val="auto"/>
          <w:sz w:val="32"/>
          <w:szCs w:val="32"/>
        </w:rPr>
        <w:t>支持公诉</w:t>
      </w:r>
      <w:r>
        <w:rPr>
          <w:rFonts w:hint="eastAsia" w:ascii="仿宋_GB2312" w:hAnsi="微软雅黑" w:eastAsia="仿宋_GB2312" w:cs="仿宋_GB2312"/>
          <w:color w:val="auto"/>
          <w:sz w:val="32"/>
          <w:szCs w:val="32"/>
          <w:lang w:eastAsia="zh-CN"/>
        </w:rPr>
        <w:t>；</w:t>
      </w:r>
      <w:r>
        <w:rPr>
          <w:rFonts w:hint="eastAsia" w:ascii="仿宋_GB2312" w:hAnsi="微软雅黑" w:eastAsia="仿宋_GB2312" w:cs="仿宋_GB2312"/>
          <w:color w:val="auto"/>
          <w:sz w:val="32"/>
          <w:szCs w:val="32"/>
        </w:rPr>
        <w:t>对于人民法院的刑事判决、裁定是否正确和审判活动是否合法实行监督。对于监狱、看守所等执行机关执行刑罚的活动是否合法实行监</w:t>
      </w:r>
      <w:r>
        <w:rPr>
          <w:rFonts w:hint="eastAsia" w:ascii="仿宋_GB2312" w:hAnsi="微软雅黑" w:eastAsia="仿宋_GB2312" w:cs="仿宋_GB2312"/>
          <w:color w:val="auto"/>
          <w:sz w:val="32"/>
          <w:szCs w:val="32"/>
          <w:lang w:eastAsia="zh-CN"/>
        </w:rPr>
        <w:t>督</w:t>
      </w:r>
      <w:r>
        <w:rPr>
          <w:rFonts w:hint="eastAsia" w:ascii="仿宋_GB2312" w:hAnsi="微软雅黑" w:eastAsia="仿宋_GB2312" w:cs="仿宋_GB2312"/>
          <w:color w:val="auto"/>
          <w:sz w:val="32"/>
          <w:szCs w:val="32"/>
        </w:rPr>
        <w:t>。对于人民法院的民事审判活动实行法律监督</w:t>
      </w:r>
      <w:r>
        <w:rPr>
          <w:rFonts w:hint="eastAsia" w:ascii="仿宋_GB2312" w:hAnsi="微软雅黑" w:eastAsia="仿宋_GB2312" w:cs="仿宋_GB2312"/>
          <w:color w:val="auto"/>
          <w:sz w:val="32"/>
          <w:szCs w:val="32"/>
          <w:lang w:eastAsia="zh-CN"/>
        </w:rPr>
        <w:t>，</w:t>
      </w:r>
      <w:r>
        <w:rPr>
          <w:rFonts w:hint="eastAsia" w:ascii="仿宋_GB2312" w:hAnsi="微软雅黑" w:eastAsia="仿宋_GB2312" w:cs="仿宋_GB2312"/>
          <w:color w:val="auto"/>
          <w:sz w:val="32"/>
          <w:szCs w:val="32"/>
        </w:rPr>
        <w:t>对人民法院已经发生效力的判决、裁定</w:t>
      </w:r>
      <w:r>
        <w:rPr>
          <w:rFonts w:hint="eastAsia" w:ascii="仿宋_GB2312" w:hAnsi="微软雅黑" w:eastAsia="仿宋_GB2312" w:cs="仿宋_GB2312"/>
          <w:color w:val="auto"/>
          <w:sz w:val="32"/>
          <w:szCs w:val="32"/>
          <w:lang w:eastAsia="zh-CN"/>
        </w:rPr>
        <w:t>，</w:t>
      </w:r>
      <w:r>
        <w:rPr>
          <w:rFonts w:hint="eastAsia" w:ascii="仿宋_GB2312" w:hAnsi="微软雅黑" w:eastAsia="仿宋_GB2312" w:cs="仿宋_GB2312"/>
          <w:color w:val="auto"/>
          <w:sz w:val="32"/>
          <w:szCs w:val="32"/>
        </w:rPr>
        <w:t>发现违反法律、法规规定的</w:t>
      </w:r>
      <w:r>
        <w:rPr>
          <w:rFonts w:hint="eastAsia" w:ascii="仿宋_GB2312" w:hAnsi="微软雅黑" w:eastAsia="仿宋_GB2312" w:cs="仿宋_GB2312"/>
          <w:color w:val="auto"/>
          <w:sz w:val="32"/>
          <w:szCs w:val="32"/>
          <w:lang w:eastAsia="zh-CN"/>
        </w:rPr>
        <w:t>，</w:t>
      </w:r>
      <w:r>
        <w:rPr>
          <w:rFonts w:hint="eastAsia" w:ascii="仿宋_GB2312" w:hAnsi="微软雅黑" w:eastAsia="仿宋_GB2312" w:cs="仿宋_GB2312"/>
          <w:color w:val="auto"/>
          <w:sz w:val="32"/>
          <w:szCs w:val="32"/>
        </w:rPr>
        <w:t>依法提出抗诉。对于行政诉讼实行法律监督。对人民法院已经发生效力的判决、裁定发现</w:t>
      </w:r>
      <w:r>
        <w:rPr>
          <w:rFonts w:hint="eastAsia" w:ascii="仿宋_GB2312" w:hAnsi="微软雅黑" w:eastAsia="仿宋_GB2312" w:cs="仿宋_GB2312"/>
          <w:color w:val="auto"/>
          <w:sz w:val="32"/>
          <w:szCs w:val="32"/>
          <w:lang w:eastAsia="zh-CN"/>
        </w:rPr>
        <w:t>违反法律、法规规定的，依法提出抗诉。</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（三）年度主要工作任务。</w:t>
      </w:r>
    </w:p>
    <w:p>
      <w:pPr>
        <w:ind w:firstLine="960" w:firstLineChars="300"/>
        <w:rPr>
          <w:rFonts w:hint="eastAsia" w:ascii="仿宋_GB2312" w:hAnsi="仿宋_GB2312" w:eastAsia="仿宋_GB2312"/>
          <w:color w:val="000000"/>
          <w:sz w:val="32"/>
          <w:u w:val="none"/>
          <w:lang w:val="en-US" w:eastAsia="zh-CN"/>
        </w:rPr>
      </w:pPr>
      <w:r>
        <w:rPr>
          <w:rFonts w:hint="eastAsia" w:ascii="仿宋_GB2312" w:hAnsi="仿宋_GB2312" w:eastAsia="仿宋_GB2312"/>
          <w:color w:val="000000"/>
          <w:sz w:val="32"/>
          <w:u w:val="none"/>
          <w:lang w:val="en-US" w:eastAsia="zh-CN"/>
        </w:rPr>
        <w:t>1.</w:t>
      </w:r>
      <w:r>
        <w:rPr>
          <w:rFonts w:hint="default" w:ascii="仿宋_GB2312" w:hAnsi="仿宋_GB2312" w:eastAsia="仿宋_GB2312"/>
          <w:color w:val="000000"/>
          <w:sz w:val="32"/>
          <w:u w:val="none"/>
          <w:lang w:val="en-US" w:eastAsia="zh-CN"/>
        </w:rPr>
        <w:t>主动融入工作大局，以检察履职服务高质量发展</w:t>
      </w:r>
      <w:r>
        <w:rPr>
          <w:rFonts w:hint="eastAsia" w:ascii="仿宋_GB2312" w:hAnsi="仿宋_GB2312" w:eastAsia="仿宋_GB2312"/>
          <w:color w:val="000000"/>
          <w:sz w:val="32"/>
          <w:u w:val="none"/>
          <w:lang w:val="en-US" w:eastAsia="zh-CN"/>
        </w:rPr>
        <w:t>。</w:t>
      </w:r>
    </w:p>
    <w:p>
      <w:pPr>
        <w:pStyle w:val="8"/>
        <w:ind w:left="0" w:leftChars="0" w:firstLine="960" w:firstLineChars="300"/>
        <w:rPr>
          <w:rFonts w:hint="eastAsia" w:hAnsi="仿宋_GB2312" w:eastAsia="仿宋_GB2312" w:cs="Times New Roman"/>
          <w:color w:val="000000"/>
          <w:kern w:val="2"/>
          <w:sz w:val="32"/>
          <w:szCs w:val="24"/>
          <w:u w:val="none"/>
          <w:lang w:val="en-US" w:eastAsia="zh-CN" w:bidi="ar-SA"/>
        </w:rPr>
      </w:pPr>
      <w:r>
        <w:rPr>
          <w:rFonts w:hint="eastAsia" w:ascii="仿宋_GB2312" w:hAnsi="仿宋_GB2312" w:eastAsia="仿宋_GB2312" w:cs="Times New Roman"/>
          <w:color w:val="000000"/>
          <w:kern w:val="2"/>
          <w:sz w:val="32"/>
          <w:szCs w:val="24"/>
          <w:u w:val="none"/>
          <w:lang w:val="en-US" w:eastAsia="zh-CN" w:bidi="ar-SA"/>
        </w:rPr>
        <w:t>2.</w:t>
      </w:r>
      <w:r>
        <w:rPr>
          <w:rFonts w:hint="default" w:ascii="仿宋_GB2312" w:hAnsi="仿宋_GB2312" w:eastAsia="仿宋_GB2312" w:cs="Times New Roman"/>
          <w:color w:val="000000"/>
          <w:kern w:val="2"/>
          <w:sz w:val="32"/>
          <w:szCs w:val="24"/>
          <w:u w:val="none"/>
          <w:lang w:val="en-US" w:eastAsia="zh-CN" w:bidi="ar-SA"/>
        </w:rPr>
        <w:t>着力维护公平正义，积极推进检察监督协调发展</w:t>
      </w:r>
      <w:r>
        <w:rPr>
          <w:rFonts w:hint="eastAsia" w:hAnsi="仿宋_GB2312" w:eastAsia="仿宋_GB2312" w:cs="Times New Roman"/>
          <w:color w:val="000000"/>
          <w:kern w:val="2"/>
          <w:sz w:val="32"/>
          <w:szCs w:val="24"/>
          <w:u w:val="none"/>
          <w:lang w:val="en-US" w:eastAsia="zh-CN" w:bidi="ar-SA"/>
        </w:rPr>
        <w:t>。</w:t>
      </w:r>
    </w:p>
    <w:p>
      <w:pPr>
        <w:pStyle w:val="8"/>
        <w:ind w:left="0" w:leftChars="0" w:firstLine="960" w:firstLineChars="300"/>
        <w:rPr>
          <w:rFonts w:hint="default" w:ascii="仿宋_GB2312" w:hAnsi="仿宋_GB2312" w:eastAsia="仿宋_GB2312" w:cs="Times New Roman"/>
          <w:color w:val="000000"/>
          <w:kern w:val="2"/>
          <w:sz w:val="32"/>
          <w:szCs w:val="24"/>
          <w:u w:val="none"/>
          <w:lang w:val="en-US" w:eastAsia="zh-CN" w:bidi="ar-SA"/>
        </w:rPr>
      </w:pPr>
      <w:r>
        <w:rPr>
          <w:rFonts w:hint="eastAsia" w:ascii="仿宋_GB2312" w:hAnsi="仿宋_GB2312" w:eastAsia="仿宋_GB2312" w:cs="Times New Roman"/>
          <w:color w:val="000000"/>
          <w:kern w:val="2"/>
          <w:sz w:val="32"/>
          <w:szCs w:val="24"/>
          <w:u w:val="none"/>
          <w:lang w:val="en-US" w:eastAsia="zh-CN" w:bidi="ar-SA"/>
        </w:rPr>
        <w:t>3.</w:t>
      </w:r>
      <w:r>
        <w:rPr>
          <w:rFonts w:hint="default" w:ascii="仿宋_GB2312" w:hAnsi="仿宋_GB2312" w:eastAsia="仿宋_GB2312" w:cs="Times New Roman"/>
          <w:color w:val="000000"/>
          <w:kern w:val="2"/>
          <w:sz w:val="32"/>
          <w:szCs w:val="24"/>
          <w:u w:val="none"/>
          <w:lang w:val="en-US" w:eastAsia="zh-CN" w:bidi="ar-SA"/>
        </w:rPr>
        <w:t>践行司法为民宗旨，自觉为人民群众办实事解难题</w:t>
      </w:r>
      <w:r>
        <w:rPr>
          <w:rFonts w:hint="eastAsia" w:ascii="仿宋_GB2312" w:hAnsi="仿宋_GB2312" w:eastAsia="仿宋_GB2312" w:cs="Times New Roman"/>
          <w:color w:val="000000"/>
          <w:kern w:val="2"/>
          <w:sz w:val="32"/>
          <w:szCs w:val="24"/>
          <w:u w:val="none"/>
          <w:lang w:val="en-US" w:eastAsia="zh-CN" w:bidi="ar-SA"/>
        </w:rPr>
        <w:t>。</w:t>
      </w:r>
    </w:p>
    <w:p>
      <w:pPr>
        <w:ind w:firstLine="960" w:firstLineChars="300"/>
        <w:rPr>
          <w:rFonts w:hint="eastAsia"/>
          <w:lang w:val="zh-CN"/>
        </w:rPr>
      </w:pPr>
      <w:r>
        <w:rPr>
          <w:rFonts w:hint="eastAsia" w:ascii="仿宋_GB2312" w:hAnsi="仿宋_GB2312" w:eastAsia="仿宋_GB2312" w:cs="Times New Roman"/>
          <w:color w:val="000000"/>
          <w:kern w:val="2"/>
          <w:sz w:val="32"/>
          <w:szCs w:val="24"/>
          <w:u w:val="none"/>
          <w:lang w:val="en-US" w:eastAsia="zh-CN" w:bidi="ar-SA"/>
        </w:rPr>
        <w:t>4.</w:t>
      </w:r>
      <w:r>
        <w:rPr>
          <w:rFonts w:hint="default" w:ascii="仿宋_GB2312" w:hAnsi="仿宋_GB2312" w:eastAsia="仿宋_GB2312" w:cs="Times New Roman"/>
          <w:color w:val="000000"/>
          <w:kern w:val="2"/>
          <w:sz w:val="32"/>
          <w:szCs w:val="24"/>
          <w:u w:val="none"/>
          <w:lang w:val="en-US" w:eastAsia="zh-CN" w:bidi="ar-SA"/>
        </w:rPr>
        <w:t>锻造过硬检察队伍，在强化政治引领中提升履职能力</w:t>
      </w:r>
      <w:r>
        <w:rPr>
          <w:rFonts w:hint="eastAsia" w:ascii="仿宋_GB2312" w:hAnsi="仿宋_GB2312" w:eastAsia="仿宋_GB2312" w:cs="Times New Roman"/>
          <w:color w:val="000000"/>
          <w:kern w:val="2"/>
          <w:sz w:val="32"/>
          <w:szCs w:val="24"/>
          <w:u w:val="none"/>
          <w:lang w:val="en-US" w:eastAsia="zh-CN" w:bidi="ar-SA"/>
        </w:rPr>
        <w:t>。</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（四）部门整体支出绩效目标。</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黑体" w:hAnsi="宋体" w:eastAsia="仿宋_GB2312" w:cs="宋体"/>
          <w:color w:val="auto"/>
          <w:kern w:val="0"/>
          <w:sz w:val="32"/>
          <w:szCs w:val="32"/>
          <w:highlight w:val="none"/>
          <w:shd w:val="clear" w:color="auto" w:fill="FFFFFF"/>
          <w:lang w:val="en-US" w:eastAsia="zh-CN"/>
        </w:rPr>
      </w:pPr>
      <w:r>
        <w:rPr>
          <w:rFonts w:hint="default" w:ascii="Times New Roman" w:hAnsi="Times New Roman" w:eastAsia="仿宋_GB2312" w:cs="Times New Roman"/>
          <w:color w:val="auto"/>
          <w:sz w:val="32"/>
          <w:szCs w:val="32"/>
          <w:lang w:val="en-US" w:eastAsia="zh-CN"/>
        </w:rPr>
        <w:t>全年</w:t>
      </w:r>
      <w:r>
        <w:rPr>
          <w:rFonts w:hint="eastAsia" w:eastAsia="仿宋_GB2312" w:cs="Times New Roman"/>
          <w:color w:val="auto"/>
          <w:sz w:val="32"/>
          <w:szCs w:val="32"/>
          <w:lang w:val="en-US" w:eastAsia="zh-CN"/>
        </w:rPr>
        <w:t>预计</w:t>
      </w:r>
      <w:r>
        <w:rPr>
          <w:rFonts w:hint="default" w:ascii="Times New Roman" w:hAnsi="Times New Roman" w:eastAsia="仿宋_GB2312" w:cs="Times New Roman"/>
          <w:color w:val="auto"/>
          <w:sz w:val="32"/>
          <w:szCs w:val="32"/>
          <w:lang w:val="en-US" w:eastAsia="zh-CN"/>
        </w:rPr>
        <w:t>受理审查批捕</w:t>
      </w:r>
      <w:r>
        <w:rPr>
          <w:rFonts w:hint="eastAsia" w:eastAsia="仿宋_GB2312" w:cs="Times New Roman"/>
          <w:color w:val="auto"/>
          <w:sz w:val="32"/>
          <w:szCs w:val="32"/>
          <w:lang w:val="en-US" w:eastAsia="zh-CN"/>
        </w:rPr>
        <w:t>大于</w:t>
      </w:r>
      <w:r>
        <w:rPr>
          <w:rFonts w:hint="default" w:ascii="Times New Roman" w:hAnsi="Times New Roman" w:eastAsia="仿宋_GB2312" w:cs="Times New Roman"/>
          <w:color w:val="auto"/>
          <w:sz w:val="32"/>
          <w:szCs w:val="32"/>
          <w:lang w:val="en-US" w:eastAsia="zh-CN"/>
        </w:rPr>
        <w:t>2</w:t>
      </w:r>
      <w:r>
        <w:rPr>
          <w:rFonts w:hint="eastAsia"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件，审查起诉</w:t>
      </w:r>
      <w:r>
        <w:rPr>
          <w:rFonts w:hint="eastAsia" w:eastAsia="仿宋_GB2312" w:cs="Times New Roman"/>
          <w:color w:val="auto"/>
          <w:sz w:val="32"/>
          <w:szCs w:val="32"/>
          <w:lang w:val="en-US" w:eastAsia="zh-CN"/>
        </w:rPr>
        <w:t>大于</w:t>
      </w:r>
      <w:r>
        <w:rPr>
          <w:rFonts w:hint="default" w:ascii="Times New Roman" w:hAnsi="Times New Roman" w:eastAsia="仿宋_GB2312" w:cs="Times New Roman"/>
          <w:color w:val="auto"/>
          <w:sz w:val="32"/>
          <w:szCs w:val="32"/>
          <w:lang w:val="en-US" w:eastAsia="zh-CN"/>
        </w:rPr>
        <w:t>15</w:t>
      </w:r>
      <w:r>
        <w:rPr>
          <w:rFonts w:hint="eastAsia"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件。严厉惩处涉枪涉爆、涉毒违法犯罪活动，批准逮捕</w:t>
      </w:r>
      <w:r>
        <w:rPr>
          <w:rFonts w:hint="eastAsia" w:eastAsia="仿宋_GB2312" w:cs="Times New Roman"/>
          <w:color w:val="auto"/>
          <w:sz w:val="32"/>
          <w:szCs w:val="32"/>
          <w:lang w:val="en-US" w:eastAsia="zh-CN"/>
        </w:rPr>
        <w:t>大于1</w:t>
      </w:r>
      <w:r>
        <w:rPr>
          <w:rFonts w:hint="default" w:ascii="Times New Roman" w:hAnsi="Times New Roman" w:eastAsia="仿宋_GB2312" w:cs="Times New Roman"/>
          <w:color w:val="auto"/>
          <w:sz w:val="32"/>
          <w:szCs w:val="32"/>
          <w:lang w:val="en-US" w:eastAsia="zh-CN"/>
        </w:rPr>
        <w:t>件，起诉</w:t>
      </w:r>
      <w:r>
        <w:rPr>
          <w:rFonts w:hint="eastAsia" w:eastAsia="仿宋_GB2312" w:cs="Times New Roman"/>
          <w:color w:val="auto"/>
          <w:sz w:val="32"/>
          <w:szCs w:val="32"/>
          <w:lang w:val="en-US" w:eastAsia="zh-CN"/>
        </w:rPr>
        <w:t>大于</w:t>
      </w:r>
      <w:r>
        <w:rPr>
          <w:rFonts w:hint="default" w:ascii="Times New Roman" w:hAnsi="Times New Roman" w:eastAsia="仿宋_GB2312" w:cs="Times New Roman"/>
          <w:color w:val="auto"/>
          <w:sz w:val="32"/>
          <w:szCs w:val="32"/>
          <w:lang w:val="en-US" w:eastAsia="zh-CN"/>
        </w:rPr>
        <w:t>9件14人；严厉打击</w:t>
      </w:r>
      <w:r>
        <w:rPr>
          <w:rFonts w:hint="default" w:ascii="Times New Roman" w:hAnsi="Times New Roman" w:eastAsia="仿宋_GB2312" w:cs="Times New Roman"/>
          <w:color w:val="auto"/>
          <w:sz w:val="32"/>
          <w:szCs w:val="32"/>
          <w:lang w:val="en" w:eastAsia="zh-CN"/>
        </w:rPr>
        <w:t>盗窃、诈骗等多发性侵财犯罪，批准逮捕</w:t>
      </w:r>
      <w:r>
        <w:rPr>
          <w:rFonts w:hint="eastAsia" w:eastAsia="仿宋_GB2312" w:cs="Times New Roman"/>
          <w:color w:val="auto"/>
          <w:sz w:val="32"/>
          <w:szCs w:val="32"/>
          <w:lang w:val="en" w:eastAsia="zh-CN"/>
        </w:rPr>
        <w:t>大于</w:t>
      </w:r>
      <w:r>
        <w:rPr>
          <w:rFonts w:hint="eastAsia"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件，起诉</w:t>
      </w:r>
      <w:r>
        <w:rPr>
          <w:rFonts w:hint="eastAsia" w:eastAsia="仿宋_GB2312" w:cs="Times New Roman"/>
          <w:color w:val="auto"/>
          <w:sz w:val="32"/>
          <w:szCs w:val="32"/>
          <w:lang w:val="en-US" w:eastAsia="zh-CN"/>
        </w:rPr>
        <w:t>大于</w:t>
      </w:r>
      <w:r>
        <w:rPr>
          <w:rFonts w:hint="default" w:ascii="Times New Roman" w:hAnsi="Times New Roman" w:eastAsia="仿宋_GB2312" w:cs="Times New Roman"/>
          <w:color w:val="auto"/>
          <w:sz w:val="32"/>
          <w:szCs w:val="32"/>
          <w:lang w:val="en-US" w:eastAsia="zh-CN"/>
        </w:rPr>
        <w:t>2</w:t>
      </w:r>
      <w:r>
        <w:rPr>
          <w:rFonts w:hint="eastAsia"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件；从严打击电信网络诈骗和养老诈骗犯罪，批准逮捕</w:t>
      </w:r>
      <w:r>
        <w:rPr>
          <w:rFonts w:hint="eastAsia" w:eastAsia="仿宋_GB2312" w:cs="Times New Roman"/>
          <w:color w:val="auto"/>
          <w:sz w:val="32"/>
          <w:szCs w:val="32"/>
          <w:lang w:val="en-US" w:eastAsia="zh-CN"/>
        </w:rPr>
        <w:t>大于3</w:t>
      </w:r>
      <w:r>
        <w:rPr>
          <w:rFonts w:hint="default" w:ascii="Times New Roman" w:hAnsi="Times New Roman" w:eastAsia="仿宋_GB2312" w:cs="Times New Roman"/>
          <w:color w:val="auto"/>
          <w:sz w:val="32"/>
          <w:szCs w:val="32"/>
          <w:lang w:val="en-US" w:eastAsia="zh-CN"/>
        </w:rPr>
        <w:t>件，起诉</w:t>
      </w:r>
      <w:r>
        <w:rPr>
          <w:rFonts w:hint="eastAsia" w:eastAsia="仿宋_GB2312" w:cs="Times New Roman"/>
          <w:color w:val="auto"/>
          <w:sz w:val="32"/>
          <w:szCs w:val="32"/>
          <w:lang w:val="en-US" w:eastAsia="zh-CN"/>
        </w:rPr>
        <w:t>大于</w:t>
      </w:r>
      <w:r>
        <w:rPr>
          <w:rFonts w:hint="default" w:ascii="Times New Roman" w:hAnsi="Times New Roman" w:eastAsia="仿宋_GB2312" w:cs="Times New Roman"/>
          <w:color w:val="auto"/>
          <w:sz w:val="32"/>
          <w:szCs w:val="32"/>
          <w:lang w:val="en-US" w:eastAsia="zh-CN"/>
        </w:rPr>
        <w:t>3</w:t>
      </w:r>
      <w:r>
        <w:rPr>
          <w:rFonts w:hint="eastAsia"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件；</w:t>
      </w:r>
      <w:r>
        <w:rPr>
          <w:rFonts w:hint="default" w:ascii="Times New Roman" w:hAnsi="Times New Roman" w:eastAsia="仿宋_GB2312" w:cs="Times New Roman"/>
          <w:color w:val="auto"/>
          <w:sz w:val="32"/>
          <w:szCs w:val="32"/>
          <w:u w:val="none"/>
          <w:lang w:val="en-US" w:eastAsia="zh-CN"/>
        </w:rPr>
        <w:t>聚力守护群众身体健康，全力打击食药领域犯罪，审查起诉</w:t>
      </w:r>
      <w:r>
        <w:rPr>
          <w:rFonts w:hint="eastAsia" w:eastAsia="仿宋_GB2312" w:cs="Times New Roman"/>
          <w:color w:val="auto"/>
          <w:sz w:val="32"/>
          <w:szCs w:val="32"/>
          <w:u w:val="none"/>
          <w:lang w:val="en-US" w:eastAsia="zh-CN"/>
        </w:rPr>
        <w:t>大于</w:t>
      </w:r>
      <w:r>
        <w:rPr>
          <w:rFonts w:hint="default" w:ascii="Times New Roman" w:hAnsi="Times New Roman" w:eastAsia="仿宋_GB2312" w:cs="Times New Roman"/>
          <w:color w:val="auto"/>
          <w:sz w:val="32"/>
          <w:szCs w:val="32"/>
          <w:u w:val="none"/>
          <w:lang w:val="en-US" w:eastAsia="zh-CN"/>
        </w:rPr>
        <w:t>3</w:t>
      </w:r>
      <w:r>
        <w:rPr>
          <w:rFonts w:hint="eastAsia"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lang w:val="en-US" w:eastAsia="zh-CN"/>
        </w:rPr>
        <w:t>件</w:t>
      </w:r>
      <w:r>
        <w:rPr>
          <w:rFonts w:hint="eastAsia" w:eastAsia="仿宋_GB2312" w:cs="Times New Roman"/>
          <w:color w:val="auto"/>
          <w:sz w:val="32"/>
          <w:szCs w:val="32"/>
          <w:u w:val="none"/>
          <w:lang w:val="en-US" w:eastAsia="zh-CN"/>
        </w:rPr>
        <w:t>等。</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ascii="黑体" w:hAnsi="宋体" w:eastAsia="黑体" w:cs="宋体"/>
          <w:color w:val="auto"/>
          <w:kern w:val="0"/>
          <w:sz w:val="32"/>
          <w:szCs w:val="32"/>
          <w:highlight w:val="none"/>
          <w:shd w:val="clear" w:color="auto" w:fill="FFFFFF"/>
        </w:rPr>
      </w:pPr>
      <w:bookmarkStart w:id="77" w:name="_Toc13614"/>
      <w:r>
        <w:rPr>
          <w:rFonts w:hint="eastAsia" w:ascii="黑体" w:hAnsi="宋体" w:eastAsia="黑体" w:cs="宋体"/>
          <w:color w:val="auto"/>
          <w:kern w:val="0"/>
          <w:sz w:val="32"/>
          <w:szCs w:val="32"/>
          <w:highlight w:val="none"/>
          <w:shd w:val="clear" w:color="auto" w:fill="FFFFFF"/>
        </w:rPr>
        <w:t>二、</w:t>
      </w:r>
      <w:r>
        <w:rPr>
          <w:rFonts w:hint="eastAsia" w:ascii="黑体" w:hAnsi="宋体" w:eastAsia="黑体" w:cs="宋体"/>
          <w:color w:val="auto"/>
          <w:kern w:val="0"/>
          <w:sz w:val="32"/>
          <w:szCs w:val="32"/>
          <w:highlight w:val="none"/>
          <w:shd w:val="clear" w:color="auto" w:fill="FFFFFF"/>
          <w:lang w:eastAsia="zh-CN"/>
        </w:rPr>
        <w:t>部门</w:t>
      </w:r>
      <w:r>
        <w:rPr>
          <w:rFonts w:hint="eastAsia" w:ascii="黑体" w:hAnsi="宋体" w:eastAsia="黑体" w:cs="宋体"/>
          <w:color w:val="auto"/>
          <w:kern w:val="0"/>
          <w:sz w:val="32"/>
          <w:szCs w:val="32"/>
          <w:highlight w:val="none"/>
          <w:shd w:val="clear" w:color="auto" w:fill="FFFFFF"/>
        </w:rPr>
        <w:t>资金收支情况</w:t>
      </w:r>
      <w:bookmarkEnd w:id="77"/>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（一）部门总体收支情况。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1.部门总体收入情况</w:t>
      </w:r>
    </w:p>
    <w:p>
      <w:pPr>
        <w:pStyle w:val="8"/>
        <w:spacing w:after="0" w:line="600" w:lineRule="exact"/>
        <w:ind w:left="0" w:leftChars="0" w:firstLine="640"/>
        <w:rPr>
          <w:rFonts w:hint="eastAsia"/>
          <w:lang w:val="en-US" w:eastAsia="zh-CN"/>
        </w:rPr>
      </w:pPr>
      <w:r>
        <w:rPr>
          <w:rFonts w:hint="eastAsia" w:ascii="仿宋" w:hAnsi="仿宋" w:eastAsia="仿宋"/>
          <w:sz w:val="32"/>
        </w:rPr>
        <w:t>2022年昭化区人民</w:t>
      </w:r>
      <w:r>
        <w:rPr>
          <w:rFonts w:hint="eastAsia" w:ascii="仿宋" w:hAnsi="仿宋" w:eastAsia="仿宋"/>
          <w:sz w:val="32"/>
          <w:lang w:eastAsia="zh-CN"/>
        </w:rPr>
        <w:t>检察</w:t>
      </w:r>
      <w:r>
        <w:rPr>
          <w:rFonts w:hint="eastAsia" w:ascii="仿宋" w:hAnsi="仿宋" w:eastAsia="仿宋"/>
          <w:sz w:val="32"/>
        </w:rPr>
        <w:t>院部门一般公共预算财政拨款收入</w:t>
      </w:r>
      <w:r>
        <w:rPr>
          <w:rFonts w:hint="eastAsia" w:ascii="仿宋" w:hAnsi="仿宋" w:eastAsia="仿宋"/>
          <w:sz w:val="32"/>
          <w:lang w:val="en-US" w:eastAsia="zh-CN"/>
        </w:rPr>
        <w:t>707</w:t>
      </w:r>
      <w:r>
        <w:rPr>
          <w:rFonts w:hint="eastAsia" w:ascii="仿宋" w:hAnsi="仿宋" w:eastAsia="仿宋"/>
          <w:sz w:val="32"/>
        </w:rPr>
        <w:t>万元，其他收入</w:t>
      </w:r>
      <w:r>
        <w:rPr>
          <w:rFonts w:hint="eastAsia" w:ascii="仿宋" w:hAnsi="仿宋" w:eastAsia="仿宋"/>
          <w:sz w:val="32"/>
          <w:lang w:val="en-US" w:eastAsia="zh-CN"/>
        </w:rPr>
        <w:t>447.44</w:t>
      </w:r>
      <w:r>
        <w:rPr>
          <w:rFonts w:hint="eastAsia" w:ascii="仿宋" w:hAnsi="仿宋" w:eastAsia="仿宋"/>
          <w:sz w:val="32"/>
        </w:rPr>
        <w:t>万元。总体收入</w:t>
      </w:r>
      <w:r>
        <w:rPr>
          <w:rFonts w:hint="eastAsia" w:ascii="仿宋" w:hAnsi="仿宋" w:eastAsia="仿宋"/>
          <w:sz w:val="32"/>
          <w:lang w:val="en-US" w:eastAsia="zh-CN"/>
        </w:rPr>
        <w:t>1154.44</w:t>
      </w:r>
      <w:r>
        <w:rPr>
          <w:rFonts w:hint="eastAsia" w:ascii="仿宋" w:hAnsi="仿宋" w:eastAsia="仿宋"/>
          <w:sz w:val="32"/>
        </w:rPr>
        <w:t>万元。</w:t>
      </w:r>
    </w:p>
    <w:p>
      <w:pPr>
        <w:keepNext w:val="0"/>
        <w:keepLines w:val="0"/>
        <w:pageBreakBefore w:val="0"/>
        <w:widowControl/>
        <w:numPr>
          <w:ilvl w:val="0"/>
          <w:numId w:val="9"/>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部门总体支出情况</w:t>
      </w:r>
    </w:p>
    <w:p>
      <w:pPr>
        <w:pStyle w:val="2"/>
        <w:numPr>
          <w:ilvl w:val="0"/>
          <w:numId w:val="0"/>
        </w:numPr>
        <w:ind w:firstLine="640" w:firstLineChars="200"/>
        <w:rPr>
          <w:rFonts w:hint="eastAsia"/>
          <w:lang w:val="en-US" w:eastAsia="zh-CN"/>
        </w:rPr>
      </w:pPr>
      <w:r>
        <w:rPr>
          <w:rFonts w:hint="eastAsia" w:ascii="仿宋" w:hAnsi="仿宋" w:eastAsia="仿宋"/>
          <w:sz w:val="32"/>
        </w:rPr>
        <w:t>2022年昭化区人民</w:t>
      </w:r>
      <w:r>
        <w:rPr>
          <w:rFonts w:hint="eastAsia" w:ascii="仿宋" w:hAnsi="仿宋" w:eastAsia="仿宋"/>
          <w:sz w:val="32"/>
          <w:lang w:eastAsia="zh-CN"/>
        </w:rPr>
        <w:t>检察</w:t>
      </w:r>
      <w:r>
        <w:rPr>
          <w:rFonts w:hint="eastAsia" w:ascii="仿宋" w:hAnsi="仿宋" w:eastAsia="仿宋"/>
          <w:sz w:val="32"/>
        </w:rPr>
        <w:t>院部门</w:t>
      </w:r>
      <w:r>
        <w:rPr>
          <w:rFonts w:hint="eastAsia" w:ascii="仿宋" w:hAnsi="仿宋" w:eastAsia="仿宋"/>
          <w:sz w:val="32"/>
          <w:lang w:eastAsia="zh-CN"/>
        </w:rPr>
        <w:t>公共</w:t>
      </w:r>
      <w:r>
        <w:rPr>
          <w:rFonts w:hint="eastAsia" w:ascii="仿宋" w:hAnsi="仿宋" w:eastAsia="仿宋"/>
          <w:sz w:val="32"/>
        </w:rPr>
        <w:t>安全支出</w:t>
      </w:r>
      <w:r>
        <w:rPr>
          <w:rFonts w:hint="eastAsia" w:ascii="仿宋" w:hAnsi="仿宋" w:eastAsia="仿宋"/>
          <w:sz w:val="32"/>
          <w:lang w:val="en-US" w:eastAsia="zh-CN"/>
        </w:rPr>
        <w:t>1071.06</w:t>
      </w:r>
      <w:r>
        <w:rPr>
          <w:rFonts w:hint="eastAsia" w:ascii="仿宋" w:hAnsi="仿宋" w:eastAsia="仿宋"/>
          <w:sz w:val="32"/>
        </w:rPr>
        <w:t>万元，社会保障和就业支出</w:t>
      </w:r>
      <w:r>
        <w:rPr>
          <w:rFonts w:hint="eastAsia" w:ascii="仿宋" w:hAnsi="仿宋" w:eastAsia="仿宋"/>
          <w:sz w:val="32"/>
          <w:lang w:val="en-US" w:eastAsia="zh-CN"/>
        </w:rPr>
        <w:t>40.98</w:t>
      </w:r>
      <w:r>
        <w:rPr>
          <w:rFonts w:hint="eastAsia" w:ascii="仿宋" w:hAnsi="仿宋" w:eastAsia="仿宋"/>
          <w:sz w:val="32"/>
        </w:rPr>
        <w:t>万元，卫生健康支出</w:t>
      </w:r>
      <w:r>
        <w:rPr>
          <w:rFonts w:hint="eastAsia" w:ascii="仿宋" w:hAnsi="仿宋" w:eastAsia="仿宋"/>
          <w:sz w:val="32"/>
          <w:lang w:val="en-US" w:eastAsia="zh-CN"/>
        </w:rPr>
        <w:t>16.42</w:t>
      </w:r>
      <w:r>
        <w:rPr>
          <w:rFonts w:hint="eastAsia" w:ascii="仿宋" w:hAnsi="仿宋" w:eastAsia="仿宋"/>
          <w:sz w:val="32"/>
        </w:rPr>
        <w:t>万元，住房保障支出</w:t>
      </w:r>
      <w:r>
        <w:rPr>
          <w:rFonts w:hint="eastAsia" w:ascii="仿宋" w:hAnsi="仿宋" w:eastAsia="仿宋"/>
          <w:sz w:val="32"/>
          <w:lang w:val="en-US" w:eastAsia="zh-CN"/>
        </w:rPr>
        <w:t>25.98</w:t>
      </w:r>
      <w:r>
        <w:rPr>
          <w:rFonts w:hint="eastAsia" w:ascii="仿宋" w:hAnsi="仿宋" w:eastAsia="仿宋"/>
          <w:sz w:val="32"/>
        </w:rPr>
        <w:t>万元。总体支出</w:t>
      </w:r>
      <w:r>
        <w:rPr>
          <w:rFonts w:hint="eastAsia" w:ascii="仿宋" w:hAnsi="仿宋" w:eastAsia="仿宋"/>
          <w:sz w:val="32"/>
          <w:lang w:val="en-US" w:eastAsia="zh-CN"/>
        </w:rPr>
        <w:t>1154.44</w:t>
      </w:r>
      <w:r>
        <w:rPr>
          <w:rFonts w:hint="eastAsia" w:ascii="仿宋" w:hAnsi="仿宋" w:eastAsia="仿宋"/>
          <w:sz w:val="32"/>
        </w:rPr>
        <w:t>万元。</w:t>
      </w:r>
    </w:p>
    <w:p>
      <w:pPr>
        <w:keepNext w:val="0"/>
        <w:keepLines w:val="0"/>
        <w:pageBreakBefore w:val="0"/>
        <w:widowControl/>
        <w:numPr>
          <w:ilvl w:val="0"/>
          <w:numId w:val="9"/>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部门总体结转结余情况</w:t>
      </w:r>
    </w:p>
    <w:p>
      <w:pPr>
        <w:pStyle w:val="8"/>
        <w:spacing w:after="0" w:line="600" w:lineRule="exact"/>
        <w:ind w:left="0" w:leftChars="0" w:firstLine="640"/>
        <w:rPr>
          <w:rFonts w:hint="eastAsia"/>
          <w:lang w:val="en-US" w:eastAsia="zh-CN"/>
        </w:rPr>
      </w:pPr>
      <w:r>
        <w:rPr>
          <w:rFonts w:hint="eastAsia" w:ascii="仿宋" w:hAnsi="仿宋" w:eastAsia="仿宋"/>
          <w:sz w:val="32"/>
        </w:rPr>
        <w:t>2022年昭化区人民</w:t>
      </w:r>
      <w:r>
        <w:rPr>
          <w:rFonts w:hint="eastAsia" w:ascii="仿宋" w:hAnsi="仿宋" w:eastAsia="仿宋"/>
          <w:sz w:val="32"/>
          <w:lang w:eastAsia="zh-CN"/>
        </w:rPr>
        <w:t>检察</w:t>
      </w:r>
      <w:r>
        <w:rPr>
          <w:rFonts w:hint="eastAsia" w:ascii="仿宋" w:hAnsi="仿宋" w:eastAsia="仿宋"/>
          <w:sz w:val="32"/>
        </w:rPr>
        <w:t>院部门无结转结余。</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（二）部门财政拨款收支情况。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1.部门财政拨款收入情况</w:t>
      </w:r>
    </w:p>
    <w:p>
      <w:pPr>
        <w:spacing w:line="600" w:lineRule="exact"/>
        <w:ind w:firstLine="640" w:firstLineChars="200"/>
        <w:rPr>
          <w:rFonts w:hint="eastAsia"/>
          <w:lang w:val="en-US" w:eastAsia="zh-CN"/>
        </w:rPr>
      </w:pPr>
      <w:r>
        <w:rPr>
          <w:rFonts w:hint="eastAsia" w:ascii="仿宋" w:hAnsi="仿宋" w:eastAsia="仿宋" w:cs="仿宋_GB2312"/>
          <w:color w:val="000000"/>
          <w:kern w:val="0"/>
          <w:sz w:val="32"/>
          <w:szCs w:val="32"/>
          <w:shd w:val="clear" w:color="auto" w:fill="FFFFFF"/>
        </w:rPr>
        <w:t>2022年</w:t>
      </w:r>
      <w:r>
        <w:rPr>
          <w:rFonts w:hint="eastAsia" w:ascii="仿宋" w:hAnsi="仿宋" w:eastAsia="仿宋"/>
          <w:sz w:val="32"/>
          <w:szCs w:val="32"/>
        </w:rPr>
        <w:t>昭化区人民</w:t>
      </w:r>
      <w:r>
        <w:rPr>
          <w:rFonts w:hint="eastAsia" w:ascii="仿宋" w:hAnsi="仿宋" w:eastAsia="仿宋"/>
          <w:sz w:val="32"/>
          <w:szCs w:val="32"/>
          <w:lang w:eastAsia="zh-CN"/>
        </w:rPr>
        <w:t>检察</w:t>
      </w:r>
      <w:r>
        <w:rPr>
          <w:rFonts w:hint="eastAsia" w:ascii="仿宋" w:hAnsi="仿宋" w:eastAsia="仿宋"/>
          <w:sz w:val="32"/>
          <w:szCs w:val="32"/>
        </w:rPr>
        <w:t>院部门一般公共预算财政拨款收入</w:t>
      </w:r>
      <w:r>
        <w:rPr>
          <w:rFonts w:hint="eastAsia" w:ascii="仿宋" w:hAnsi="仿宋" w:eastAsia="仿宋"/>
          <w:sz w:val="32"/>
          <w:szCs w:val="32"/>
          <w:lang w:val="en-US" w:eastAsia="zh-CN"/>
        </w:rPr>
        <w:t>707</w:t>
      </w:r>
      <w:r>
        <w:rPr>
          <w:rFonts w:hint="eastAsia" w:ascii="仿宋" w:hAnsi="仿宋" w:eastAsia="仿宋"/>
          <w:sz w:val="32"/>
          <w:szCs w:val="32"/>
        </w:rPr>
        <w:t>万元。</w:t>
      </w:r>
    </w:p>
    <w:p>
      <w:pPr>
        <w:keepNext w:val="0"/>
        <w:keepLines w:val="0"/>
        <w:pageBreakBefore w:val="0"/>
        <w:widowControl/>
        <w:numPr>
          <w:ilvl w:val="0"/>
          <w:numId w:val="1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部门财政拨款支出情况</w:t>
      </w:r>
    </w:p>
    <w:p>
      <w:pPr>
        <w:spacing w:line="600" w:lineRule="exact"/>
        <w:ind w:firstLine="640" w:firstLineChars="200"/>
        <w:rPr>
          <w:rFonts w:hint="eastAsia"/>
          <w:lang w:val="en-US" w:eastAsia="zh-CN"/>
        </w:rPr>
      </w:pPr>
      <w:r>
        <w:rPr>
          <w:rFonts w:hint="eastAsia" w:ascii="仿宋" w:hAnsi="仿宋" w:eastAsia="仿宋" w:cs="仿宋_GB2312"/>
          <w:color w:val="000000"/>
          <w:kern w:val="0"/>
          <w:sz w:val="32"/>
          <w:szCs w:val="32"/>
          <w:shd w:val="clear" w:color="auto" w:fill="FFFFFF"/>
        </w:rPr>
        <w:t>2022年</w:t>
      </w:r>
      <w:r>
        <w:rPr>
          <w:rFonts w:hint="eastAsia" w:ascii="仿宋" w:hAnsi="仿宋" w:eastAsia="仿宋"/>
          <w:sz w:val="32"/>
          <w:szCs w:val="32"/>
        </w:rPr>
        <w:t>昭化区人民</w:t>
      </w:r>
      <w:r>
        <w:rPr>
          <w:rFonts w:hint="eastAsia" w:ascii="仿宋" w:hAnsi="仿宋" w:eastAsia="仿宋"/>
          <w:sz w:val="32"/>
          <w:szCs w:val="32"/>
          <w:lang w:eastAsia="zh-CN"/>
        </w:rPr>
        <w:t>检察</w:t>
      </w:r>
      <w:r>
        <w:rPr>
          <w:rFonts w:hint="eastAsia" w:ascii="仿宋" w:hAnsi="仿宋" w:eastAsia="仿宋"/>
          <w:sz w:val="32"/>
          <w:szCs w:val="32"/>
        </w:rPr>
        <w:t>院部门一般公共预算财政拨款基本支出</w:t>
      </w:r>
      <w:r>
        <w:rPr>
          <w:rFonts w:hint="eastAsia" w:ascii="仿宋" w:hAnsi="仿宋" w:eastAsia="仿宋"/>
          <w:sz w:val="32"/>
          <w:szCs w:val="32"/>
          <w:lang w:val="en-US" w:eastAsia="zh-CN"/>
        </w:rPr>
        <w:t>474.57</w:t>
      </w:r>
      <w:r>
        <w:rPr>
          <w:rFonts w:hint="eastAsia" w:ascii="仿宋" w:hAnsi="仿宋" w:eastAsia="仿宋"/>
          <w:sz w:val="32"/>
          <w:szCs w:val="32"/>
        </w:rPr>
        <w:t>万元，项目支出</w:t>
      </w:r>
      <w:r>
        <w:rPr>
          <w:rFonts w:hint="eastAsia" w:ascii="仿宋" w:hAnsi="仿宋" w:eastAsia="仿宋"/>
          <w:sz w:val="32"/>
          <w:szCs w:val="32"/>
          <w:lang w:val="en-US" w:eastAsia="zh-CN"/>
        </w:rPr>
        <w:t>232.44</w:t>
      </w:r>
      <w:r>
        <w:rPr>
          <w:rFonts w:hint="eastAsia" w:ascii="仿宋" w:hAnsi="仿宋" w:eastAsia="仿宋"/>
          <w:sz w:val="32"/>
          <w:szCs w:val="32"/>
        </w:rPr>
        <w:t>万元。财政拨款总支出</w:t>
      </w:r>
      <w:r>
        <w:rPr>
          <w:rFonts w:hint="eastAsia" w:ascii="仿宋" w:hAnsi="仿宋" w:eastAsia="仿宋"/>
          <w:sz w:val="32"/>
          <w:szCs w:val="32"/>
          <w:lang w:val="en-US" w:eastAsia="zh-CN"/>
        </w:rPr>
        <w:t>707</w:t>
      </w:r>
      <w:r>
        <w:rPr>
          <w:rFonts w:hint="eastAsia" w:ascii="仿宋" w:hAnsi="仿宋" w:eastAsia="仿宋"/>
          <w:sz w:val="32"/>
          <w:szCs w:val="32"/>
        </w:rPr>
        <w:t>万元。</w:t>
      </w:r>
    </w:p>
    <w:p>
      <w:pPr>
        <w:keepNext w:val="0"/>
        <w:keepLines w:val="0"/>
        <w:pageBreakBefore w:val="0"/>
        <w:widowControl/>
        <w:numPr>
          <w:ilvl w:val="0"/>
          <w:numId w:val="10"/>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部门财政拨款结转结余情况</w:t>
      </w:r>
    </w:p>
    <w:p>
      <w:pPr>
        <w:pStyle w:val="2"/>
        <w:numPr>
          <w:ilvl w:val="0"/>
          <w:numId w:val="0"/>
        </w:numPr>
        <w:ind w:leftChars="200" w:firstLine="320" w:firstLineChars="100"/>
        <w:rPr>
          <w:rFonts w:hint="eastAsia" w:eastAsia="仿宋"/>
          <w:lang w:val="en-US" w:eastAsia="zh-CN"/>
        </w:rPr>
      </w:pPr>
      <w:r>
        <w:rPr>
          <w:rFonts w:hint="eastAsia" w:ascii="仿宋" w:hAnsi="仿宋" w:eastAsia="仿宋"/>
          <w:sz w:val="32"/>
        </w:rPr>
        <w:t>2022年昭化区人民</w:t>
      </w:r>
      <w:r>
        <w:rPr>
          <w:rFonts w:hint="eastAsia" w:ascii="仿宋" w:hAnsi="仿宋" w:eastAsia="仿宋"/>
          <w:sz w:val="32"/>
          <w:lang w:eastAsia="zh-CN"/>
        </w:rPr>
        <w:t>检察</w:t>
      </w:r>
      <w:r>
        <w:rPr>
          <w:rFonts w:hint="eastAsia" w:ascii="仿宋" w:hAnsi="仿宋" w:eastAsia="仿宋"/>
          <w:sz w:val="32"/>
        </w:rPr>
        <w:t>院部门无财政拨款结转结余</w:t>
      </w:r>
      <w:r>
        <w:rPr>
          <w:rFonts w:hint="eastAsia" w:ascii="仿宋" w:hAnsi="仿宋" w:eastAsia="仿宋"/>
          <w:sz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ascii="黑体" w:hAnsi="宋体" w:eastAsia="黑体" w:cs="宋体"/>
          <w:color w:val="auto"/>
          <w:kern w:val="0"/>
          <w:sz w:val="32"/>
          <w:szCs w:val="32"/>
          <w:highlight w:val="none"/>
          <w:shd w:val="clear" w:color="auto" w:fill="FFFFFF"/>
        </w:rPr>
      </w:pPr>
      <w:bookmarkStart w:id="78" w:name="_Toc16285"/>
      <w:r>
        <w:rPr>
          <w:rFonts w:hint="eastAsia" w:ascii="黑体" w:hAnsi="宋体" w:eastAsia="黑体" w:cs="宋体"/>
          <w:color w:val="auto"/>
          <w:kern w:val="0"/>
          <w:sz w:val="32"/>
          <w:szCs w:val="32"/>
          <w:highlight w:val="none"/>
          <w:shd w:val="clear" w:color="auto" w:fill="FFFFFF"/>
        </w:rPr>
        <w:t>三、</w:t>
      </w:r>
      <w:r>
        <w:rPr>
          <w:rFonts w:hint="eastAsia" w:ascii="黑体" w:hAnsi="宋体" w:eastAsia="黑体" w:cs="宋体"/>
          <w:color w:val="auto"/>
          <w:kern w:val="0"/>
          <w:sz w:val="32"/>
          <w:szCs w:val="32"/>
          <w:highlight w:val="none"/>
          <w:u w:val="none"/>
          <w:shd w:val="clear" w:color="auto" w:fill="FFFFFF"/>
        </w:rPr>
        <w:t>部门整体绩效</w:t>
      </w:r>
      <w:r>
        <w:rPr>
          <w:rFonts w:hint="eastAsia" w:ascii="黑体" w:hAnsi="宋体" w:eastAsia="黑体" w:cs="宋体"/>
          <w:color w:val="auto"/>
          <w:kern w:val="0"/>
          <w:sz w:val="32"/>
          <w:szCs w:val="32"/>
          <w:highlight w:val="none"/>
          <w:u w:val="none"/>
          <w:shd w:val="clear" w:color="auto" w:fill="FFFFFF"/>
          <w:lang w:eastAsia="zh-CN"/>
        </w:rPr>
        <w:t>分析</w:t>
      </w:r>
      <w:bookmarkEnd w:id="78"/>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楷体_GB2312" w:hAnsi="楷体_GB2312" w:eastAsia="楷体_GB2312" w:cs="楷体_GB2312"/>
          <w:b/>
          <w:bCs/>
          <w:color w:val="auto"/>
          <w:kern w:val="0"/>
          <w:sz w:val="32"/>
          <w:szCs w:val="32"/>
          <w:highlight w:val="none"/>
          <w:shd w:val="clear" w:color="auto" w:fill="FFFFFF"/>
          <w:lang w:val="zh-CN"/>
        </w:rPr>
        <w:t>（一）部门预算项目绩效分析。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1.人员类项目绩效分析</w:t>
      </w:r>
    </w:p>
    <w:p>
      <w:pPr>
        <w:widowControl/>
        <w:spacing w:line="600" w:lineRule="exact"/>
        <w:ind w:firstLine="640" w:firstLineChars="200"/>
        <w:contextualSpacing/>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kern w:val="0"/>
          <w:sz w:val="32"/>
          <w:szCs w:val="32"/>
          <w:shd w:val="clear" w:color="auto" w:fill="FFFFFF"/>
          <w:lang w:val="zh-CN"/>
        </w:rPr>
        <w:t>人员类项目主要为工资性支出，年度绩效目标设置为：严格执行相关政策，保障工资及时、足额发放，保障社保及时、足额缴纳，预算编制科学合理，减少结余资金，目标实现情况良好，发放（缴纳）覆盖率及足额保障率高，支出执行进度按时推进，预算完成情况较好，资金结余率低，无违规记录。</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2.运转类项目绩效分析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_GB2312"/>
          <w:kern w:val="0"/>
          <w:sz w:val="32"/>
          <w:szCs w:val="32"/>
          <w:shd w:val="clear" w:color="auto" w:fill="FFFFFF"/>
          <w:lang w:val="zh-CN"/>
        </w:rPr>
      </w:pPr>
      <w:r>
        <w:rPr>
          <w:rFonts w:hint="eastAsia" w:ascii="仿宋" w:hAnsi="仿宋" w:eastAsia="仿宋" w:cs="宋体"/>
          <w:color w:val="000000"/>
          <w:kern w:val="0"/>
          <w:sz w:val="32"/>
          <w:szCs w:val="32"/>
          <w:shd w:val="clear" w:color="auto" w:fill="FFFFFF"/>
        </w:rPr>
        <w:t>运转类项目为定额公用经费和其他公用经费，年度绩效目标设置为：保障单位日常运转，提高预算编制质量，严格执行预算。</w:t>
      </w:r>
      <w:r>
        <w:rPr>
          <w:rFonts w:hint="eastAsia" w:ascii="仿宋" w:hAnsi="仿宋" w:eastAsia="仿宋" w:cs="仿宋_GB2312"/>
          <w:kern w:val="0"/>
          <w:sz w:val="32"/>
          <w:szCs w:val="32"/>
          <w:shd w:val="clear" w:color="auto" w:fill="FFFFFF"/>
          <w:lang w:val="zh-CN"/>
        </w:rPr>
        <w:t>该项目绩效目标实现情况良好，运转保障率高及三公经费控制率符合要求，支出执行进度按时推进，预算完成情况较好，资金结余率低，无违规记录。</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3.特定目标类项目绩效分析</w:t>
      </w:r>
    </w:p>
    <w:p>
      <w:pPr>
        <w:spacing w:line="600" w:lineRule="exact"/>
        <w:ind w:firstLine="640" w:firstLineChars="200"/>
        <w:contextualSpacing/>
        <w:rPr>
          <w:rFonts w:ascii="仿宋" w:hAnsi="仿宋" w:eastAsia="仿宋" w:cs="宋体"/>
          <w:color w:val="000000"/>
          <w:kern w:val="0"/>
          <w:sz w:val="32"/>
          <w:szCs w:val="32"/>
          <w:shd w:val="clear" w:color="auto" w:fill="FFFFFF"/>
        </w:rPr>
      </w:pPr>
      <w:r>
        <w:rPr>
          <w:rFonts w:hint="eastAsia" w:ascii="仿宋" w:hAnsi="仿宋" w:eastAsia="仿宋"/>
          <w:sz w:val="32"/>
          <w:szCs w:val="32"/>
        </w:rPr>
        <w:t>特定目标类项目有三个，分别为：</w:t>
      </w:r>
      <w:r>
        <w:rPr>
          <w:rFonts w:hint="eastAsia" w:ascii="仿宋" w:hAnsi="仿宋" w:eastAsia="仿宋"/>
          <w:sz w:val="32"/>
          <w:szCs w:val="32"/>
          <w:lang w:eastAsia="zh-CN"/>
        </w:rPr>
        <w:t>书记员</w:t>
      </w:r>
      <w:r>
        <w:rPr>
          <w:rFonts w:hint="eastAsia" w:ascii="仿宋" w:hAnsi="仿宋" w:eastAsia="仿宋"/>
          <w:sz w:val="32"/>
          <w:szCs w:val="32"/>
        </w:rPr>
        <w:t>经费、司法警察加班补贴、法院工作人员加班补贴。特定目标类项目绩效目标设定合规合理，</w:t>
      </w:r>
      <w:r>
        <w:rPr>
          <w:rFonts w:hint="eastAsia" w:ascii="仿宋" w:hAnsi="仿宋" w:eastAsia="仿宋" w:cs="仿宋_GB2312"/>
          <w:kern w:val="0"/>
          <w:sz w:val="32"/>
          <w:szCs w:val="32"/>
          <w:shd w:val="clear" w:color="auto" w:fill="FFFFFF"/>
          <w:lang w:val="zh-CN"/>
        </w:rPr>
        <w:t>绩效目标实现情况良好，支出执行进度按时推进，预算完成情况较好，资金结余率低，无违规记录。</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（二）部门整体履职绩效分析。</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default" w:ascii="Times New Roman" w:hAnsi="Times New Roman" w:eastAsia="仿宋_GB2312" w:cs="Times New Roman"/>
          <w:color w:val="auto"/>
          <w:sz w:val="32"/>
          <w:szCs w:val="32"/>
          <w:lang w:val="en-US" w:eastAsia="zh-CN"/>
        </w:rPr>
        <w:t>全年共受理审查批捕23件31人，审查起诉156件310人，审查后，批准逮捕17件22人，起诉120件211人。严厉惩处涉枪涉爆、涉毒违法犯罪活动，批准逮捕2件5人，起诉9件14人；严厉打击</w:t>
      </w:r>
      <w:r>
        <w:rPr>
          <w:rFonts w:hint="default" w:ascii="Times New Roman" w:hAnsi="Times New Roman" w:eastAsia="仿宋_GB2312" w:cs="Times New Roman"/>
          <w:color w:val="auto"/>
          <w:sz w:val="32"/>
          <w:szCs w:val="32"/>
          <w:lang w:val="en" w:eastAsia="zh-CN"/>
        </w:rPr>
        <w:t>盗窃、诈骗等多发性侵财犯罪，批准逮捕</w:t>
      </w:r>
      <w:r>
        <w:rPr>
          <w:rFonts w:hint="default" w:ascii="Times New Roman" w:hAnsi="Times New Roman" w:eastAsia="仿宋_GB2312" w:cs="Times New Roman"/>
          <w:color w:val="auto"/>
          <w:sz w:val="32"/>
          <w:szCs w:val="32"/>
          <w:lang w:val="en-US" w:eastAsia="zh-CN"/>
        </w:rPr>
        <w:t>9件10人，起诉21件28人；守好群众“钱袋子”，从严打击电信网络诈骗和养老诈骗犯罪，批准逮捕5件6人，起诉39件100人；</w:t>
      </w:r>
      <w:r>
        <w:rPr>
          <w:rFonts w:hint="default" w:ascii="Times New Roman" w:hAnsi="Times New Roman" w:eastAsia="仿宋_GB2312" w:cs="Times New Roman"/>
          <w:color w:val="auto"/>
          <w:sz w:val="32"/>
          <w:szCs w:val="32"/>
          <w:u w:val="none"/>
          <w:lang w:val="en-US" w:eastAsia="zh-CN"/>
        </w:rPr>
        <w:t>聚力守护群众身体健康，全力打击食药领域犯罪，批准逮捕1件1人，审查起诉38件60人</w:t>
      </w:r>
      <w:r>
        <w:rPr>
          <w:rFonts w:hint="eastAsia" w:ascii="Times New Roman" w:hAnsi="Times New Roman" w:eastAsia="仿宋_GB2312" w:cs="Times New Roman"/>
          <w:color w:val="auto"/>
          <w:sz w:val="32"/>
          <w:szCs w:val="32"/>
          <w:u w:val="none"/>
          <w:lang w:val="en-US" w:eastAsia="zh-CN"/>
        </w:rPr>
        <w:t>，</w:t>
      </w:r>
      <w:r>
        <w:rPr>
          <w:rFonts w:hint="eastAsia" w:ascii="仿宋" w:hAnsi="仿宋" w:eastAsia="仿宋" w:cs="宋体"/>
          <w:color w:val="000000"/>
          <w:kern w:val="0"/>
          <w:sz w:val="32"/>
          <w:szCs w:val="32"/>
          <w:shd w:val="clear" w:color="auto" w:fill="FFFFFF"/>
          <w:lang w:val="zh-CN"/>
        </w:rPr>
        <w:t>2022年部门整体绩效完成情况较好</w:t>
      </w:r>
      <w:r>
        <w:rPr>
          <w:rFonts w:hint="default" w:ascii="Times New Roman" w:hAnsi="Times New Roman" w:eastAsia="仿宋_GB2312" w:cs="Times New Roman"/>
          <w:color w:val="auto"/>
          <w:sz w:val="32"/>
          <w:szCs w:val="32"/>
          <w:u w:val="none"/>
          <w:lang w:val="en-US"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（三）结果应用情况。</w:t>
      </w:r>
    </w:p>
    <w:p>
      <w:pPr>
        <w:widowControl/>
        <w:spacing w:line="600"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楷体" w:eastAsia="仿宋_GB2312" w:cs="宋体"/>
          <w:color w:val="000000"/>
          <w:kern w:val="0"/>
          <w:sz w:val="32"/>
          <w:szCs w:val="32"/>
          <w:shd w:val="clear" w:color="auto" w:fill="FFFFFF"/>
          <w:lang w:val="zh-CN"/>
        </w:rPr>
        <w:t>内部应用合理合规，按要求自评公开，应用反馈良好。</w:t>
      </w:r>
    </w:p>
    <w:p>
      <w:pPr>
        <w:keepNext w:val="0"/>
        <w:keepLines w:val="0"/>
        <w:pageBreakBefore w:val="0"/>
        <w:widowControl/>
        <w:numPr>
          <w:ilvl w:val="0"/>
          <w:numId w:val="11"/>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自评质量。</w:t>
      </w:r>
    </w:p>
    <w:p>
      <w:pPr>
        <w:widowControl/>
        <w:spacing w:line="600" w:lineRule="exact"/>
        <w:ind w:firstLine="640" w:firstLineChars="200"/>
        <w:contextualSpacing/>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包括评价部门整体自评准确情况。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ascii="黑体" w:hAnsi="宋体" w:eastAsia="黑体" w:cs="宋体"/>
          <w:color w:val="auto"/>
          <w:kern w:val="0"/>
          <w:sz w:val="32"/>
          <w:szCs w:val="32"/>
          <w:highlight w:val="none"/>
          <w:shd w:val="clear" w:color="auto" w:fill="FFFFFF"/>
        </w:rPr>
      </w:pPr>
      <w:bookmarkStart w:id="79" w:name="_Toc23805"/>
      <w:r>
        <w:rPr>
          <w:rFonts w:hint="eastAsia" w:ascii="黑体" w:hAnsi="宋体" w:eastAsia="黑体" w:cs="宋体"/>
          <w:color w:val="auto"/>
          <w:kern w:val="0"/>
          <w:sz w:val="32"/>
          <w:szCs w:val="32"/>
          <w:highlight w:val="none"/>
          <w:shd w:val="clear" w:color="auto" w:fill="FFFFFF"/>
        </w:rPr>
        <w:t>四、评价结论及建议</w:t>
      </w:r>
      <w:bookmarkEnd w:id="79"/>
    </w:p>
    <w:p>
      <w:pPr>
        <w:pStyle w:val="2"/>
        <w:spacing w:beforeLines="0" w:line="600" w:lineRule="exact"/>
        <w:ind w:firstLine="643" w:firstLineChars="200"/>
        <w:contextualSpacing/>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（一）评价结论。</w:t>
      </w:r>
    </w:p>
    <w:p>
      <w:pPr>
        <w:pStyle w:val="2"/>
        <w:spacing w:beforeLines="0" w:line="600" w:lineRule="exact"/>
        <w:ind w:firstLine="600" w:firstLineChars="200"/>
        <w:contextualSpacing/>
        <w:rPr>
          <w:rFonts w:hint="eastAsia"/>
          <w:lang w:val="zh-CN"/>
        </w:rPr>
      </w:pPr>
      <w:r>
        <w:rPr>
          <w:rFonts w:hint="eastAsia"/>
          <w:lang w:val="zh-CN"/>
        </w:rPr>
        <w:t>我院2022年整体绩效目标完成情况良好。</w:t>
      </w:r>
    </w:p>
    <w:p>
      <w:pPr>
        <w:keepNext w:val="0"/>
        <w:keepLines w:val="0"/>
        <w:pageBreakBefore w:val="0"/>
        <w:widowControl/>
        <w:numPr>
          <w:ilvl w:val="0"/>
          <w:numId w:val="8"/>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存在问题。</w:t>
      </w:r>
    </w:p>
    <w:p>
      <w:pPr>
        <w:pStyle w:val="2"/>
        <w:numPr>
          <w:ilvl w:val="0"/>
          <w:numId w:val="0"/>
        </w:numPr>
        <w:ind w:leftChars="200" w:firstLine="600" w:firstLineChars="200"/>
        <w:rPr>
          <w:rFonts w:hint="default" w:eastAsia="仿宋_GB2312"/>
          <w:lang w:val="en-US" w:eastAsia="zh-CN"/>
        </w:rPr>
      </w:pPr>
      <w:r>
        <w:rPr>
          <w:rFonts w:hint="eastAsia"/>
          <w:lang w:val="zh-CN"/>
        </w:rPr>
        <w:t>截止目前，我院</w:t>
      </w:r>
      <w:r>
        <w:rPr>
          <w:rFonts w:hint="eastAsia"/>
          <w:lang w:val="en-US" w:eastAsia="zh-CN"/>
        </w:rPr>
        <w:t>2022年整体绩效目标运行情况较良好，绩效效能得到释放，下一步将严格执行财经纪律，按照资金支付要求，进一步提高资金预算执行质量。</w:t>
      </w:r>
    </w:p>
    <w:p>
      <w:pPr>
        <w:keepNext w:val="0"/>
        <w:keepLines w:val="0"/>
        <w:pageBreakBefore w:val="0"/>
        <w:widowControl/>
        <w:numPr>
          <w:ilvl w:val="0"/>
          <w:numId w:val="8"/>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改进建议。</w:t>
      </w:r>
    </w:p>
    <w:p>
      <w:pPr>
        <w:pStyle w:val="2"/>
        <w:numPr>
          <w:ilvl w:val="0"/>
          <w:numId w:val="0"/>
        </w:numPr>
        <w:ind w:leftChars="200" w:firstLine="640" w:firstLineChars="200"/>
        <w:rPr>
          <w:rFonts w:hint="eastAsia"/>
          <w:lang w:val="zh-CN"/>
        </w:rPr>
      </w:pPr>
      <w:r>
        <w:rPr>
          <w:rFonts w:hint="eastAsia" w:hAnsi="楷体" w:eastAsia="仿宋_GB2312" w:cs="仿宋_GB2312"/>
          <w:sz w:val="32"/>
        </w:rPr>
        <w:t>强化对资金绩效实现情况的责任约束</w:t>
      </w:r>
      <w:r>
        <w:rPr>
          <w:rFonts w:hint="eastAsia" w:hAnsi="楷体" w:cs="仿宋_GB2312"/>
          <w:sz w:val="32"/>
          <w:lang w:eastAsia="zh-CN"/>
        </w:rPr>
        <w:t>，</w:t>
      </w:r>
      <w:r>
        <w:rPr>
          <w:rFonts w:hint="eastAsia" w:hAnsi="楷体" w:eastAsia="仿宋_GB2312" w:cs="仿宋_GB2312"/>
          <w:sz w:val="32"/>
        </w:rPr>
        <w:t>对偏离预算绩效目标的项目资金</w:t>
      </w:r>
      <w:r>
        <w:rPr>
          <w:rFonts w:hint="eastAsia" w:hAnsi="楷体" w:cs="仿宋_GB2312"/>
          <w:sz w:val="32"/>
          <w:lang w:eastAsia="zh-CN"/>
        </w:rPr>
        <w:t>，</w:t>
      </w:r>
      <w:r>
        <w:rPr>
          <w:rFonts w:hint="eastAsia" w:hAnsi="楷体" w:eastAsia="仿宋_GB2312" w:cs="仿宋_GB2312"/>
          <w:sz w:val="32"/>
        </w:rPr>
        <w:t>及时采取有效纠偏措施，进一步规范资金使用绩效。</w:t>
      </w:r>
    </w:p>
    <w:p>
      <w:pPr>
        <w:pStyle w:val="8"/>
        <w:keepNext w:val="0"/>
        <w:keepLines w:val="0"/>
        <w:pageBreakBefore w:val="0"/>
        <w:numPr>
          <w:ilvl w:val="0"/>
          <w:numId w:val="0"/>
        </w:numPr>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val="zh-CN" w:eastAsia="zh-CN"/>
        </w:rPr>
      </w:pPr>
    </w:p>
    <w:p>
      <w:pPr>
        <w:rPr>
          <w:rFonts w:hint="eastAsia"/>
          <w:lang w:val="zh-CN" w:eastAsia="zh-CN"/>
        </w:rPr>
      </w:pPr>
    </w:p>
    <w:p>
      <w:pPr>
        <w:pStyle w:val="2"/>
        <w:rPr>
          <w:rFonts w:hint="eastAsia"/>
          <w:lang w:val="zh-CN" w:eastAsia="zh-CN"/>
        </w:rPr>
      </w:pPr>
    </w:p>
    <w:p>
      <w:pPr>
        <w:pStyle w:val="2"/>
        <w:rPr>
          <w:rFonts w:hint="eastAsia"/>
          <w:lang w:val="zh-CN" w:eastAsia="zh-CN"/>
        </w:rPr>
      </w:pPr>
    </w:p>
    <w:p>
      <w:pPr>
        <w:pStyle w:val="2"/>
        <w:rPr>
          <w:rFonts w:hint="eastAsia"/>
          <w:lang w:val="zh-CN" w:eastAsia="zh-CN"/>
        </w:rPr>
      </w:pPr>
    </w:p>
    <w:p>
      <w:pPr>
        <w:pStyle w:val="2"/>
        <w:rPr>
          <w:rFonts w:hint="eastAsia"/>
          <w:lang w:val="zh-CN" w:eastAsia="zh-CN"/>
        </w:rPr>
      </w:pPr>
      <w:r>
        <w:drawing>
          <wp:inline distT="0" distB="0" distL="114300" distR="114300">
            <wp:extent cx="5267960" cy="3211830"/>
            <wp:effectExtent l="0" t="0" r="8890" b="762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18"/>
                    <a:stretch>
                      <a:fillRect/>
                    </a:stretch>
                  </pic:blipFill>
                  <pic:spPr>
                    <a:xfrm>
                      <a:off x="0" y="0"/>
                      <a:ext cx="5267960" cy="3211830"/>
                    </a:xfrm>
                    <a:prstGeom prst="rect">
                      <a:avLst/>
                    </a:prstGeom>
                    <a:noFill/>
                    <a:ln>
                      <a:noFill/>
                    </a:ln>
                  </pic:spPr>
                </pic:pic>
              </a:graphicData>
            </a:graphic>
          </wp:inline>
        </w:drawing>
      </w:r>
      <w:bookmarkStart w:id="134" w:name="_GoBack"/>
      <w:bookmarkEnd w:id="134"/>
    </w:p>
    <w:p>
      <w:pPr>
        <w:pStyle w:val="2"/>
        <w:rPr>
          <w:rFonts w:hint="eastAsia"/>
          <w:lang w:val="zh-CN" w:eastAsia="zh-CN"/>
        </w:rPr>
      </w:pPr>
    </w:p>
    <w:p>
      <w:pPr>
        <w:pStyle w:val="2"/>
        <w:rPr>
          <w:rFonts w:hint="eastAsia"/>
          <w:lang w:val="zh-CN" w:eastAsia="zh-CN"/>
        </w:rPr>
      </w:pPr>
    </w:p>
    <w:p>
      <w:pPr>
        <w:pStyle w:val="2"/>
        <w:rPr>
          <w:rFonts w:hint="eastAsia"/>
          <w:lang w:val="zh-CN" w:eastAsia="zh-CN"/>
        </w:rPr>
      </w:pPr>
    </w:p>
    <w:p>
      <w:pPr>
        <w:pStyle w:val="2"/>
        <w:rPr>
          <w:rFonts w:hint="eastAsia"/>
          <w:lang w:val="zh-CN" w:eastAsia="zh-CN"/>
        </w:rPr>
      </w:pPr>
    </w:p>
    <w:p>
      <w:pPr>
        <w:pStyle w:val="2"/>
        <w:rPr>
          <w:rFonts w:hint="eastAsia"/>
          <w:lang w:val="zh-CN" w:eastAsia="zh-CN"/>
        </w:rPr>
      </w:pPr>
    </w:p>
    <w:p>
      <w:pPr>
        <w:pStyle w:val="2"/>
        <w:rPr>
          <w:rFonts w:hint="eastAsia"/>
          <w:lang w:val="zh-CN" w:eastAsia="zh-CN"/>
        </w:rPr>
      </w:pPr>
    </w:p>
    <w:p>
      <w:pPr>
        <w:pStyle w:val="2"/>
        <w:rPr>
          <w:rFonts w:hint="eastAsia"/>
          <w:lang w:val="zh-CN" w:eastAsia="zh-CN"/>
        </w:rPr>
      </w:pPr>
    </w:p>
    <w:p>
      <w:pPr>
        <w:pStyle w:val="2"/>
        <w:rPr>
          <w:rFonts w:hint="eastAsia"/>
          <w:lang w:val="zh-CN" w:eastAsia="zh-CN"/>
        </w:rPr>
      </w:pPr>
    </w:p>
    <w:p>
      <w:pPr>
        <w:pStyle w:val="2"/>
        <w:rPr>
          <w:rFonts w:hint="eastAsia"/>
          <w:lang w:val="zh-CN" w:eastAsia="zh-CN"/>
        </w:rPr>
      </w:pPr>
    </w:p>
    <w:p>
      <w:pPr>
        <w:pStyle w:val="2"/>
        <w:rPr>
          <w:rFonts w:hint="eastAsia"/>
          <w:lang w:val="zh-CN" w:eastAsia="zh-CN"/>
        </w:rPr>
      </w:pPr>
    </w:p>
    <w:p>
      <w:pPr>
        <w:pStyle w:val="2"/>
        <w:rPr>
          <w:rFonts w:hint="eastAsia"/>
          <w:lang w:val="zh-CN" w:eastAsia="zh-CN"/>
        </w:rPr>
      </w:pPr>
    </w:p>
    <w:p>
      <w:pPr>
        <w:pStyle w:val="2"/>
        <w:rPr>
          <w:rFonts w:hint="eastAsia"/>
          <w:lang w:val="zh-CN" w:eastAsia="zh-CN"/>
        </w:rPr>
      </w:pPr>
    </w:p>
    <w:p>
      <w:pPr>
        <w:pStyle w:val="8"/>
        <w:keepNext w:val="0"/>
        <w:keepLines w:val="0"/>
        <w:pageBreakBefore w:val="0"/>
        <w:numPr>
          <w:ilvl w:val="0"/>
          <w:numId w:val="0"/>
        </w:numPr>
        <w:kinsoku/>
        <w:wordWrap/>
        <w:overflowPunct/>
        <w:topLinePunct w:val="0"/>
        <w:autoSpaceDE/>
        <w:autoSpaceDN/>
        <w:bidi w:val="0"/>
        <w:spacing w:line="560" w:lineRule="exact"/>
        <w:jc w:val="center"/>
        <w:textAlignment w:val="auto"/>
        <w:rPr>
          <w:rFonts w:hint="eastAsia" w:hAnsi="宋体" w:cs="宋体"/>
          <w:color w:val="auto"/>
          <w:kern w:val="0"/>
          <w:sz w:val="32"/>
          <w:szCs w:val="32"/>
          <w:highlight w:val="yellow"/>
          <w:shd w:val="clear" w:color="auto" w:fill="FFFFFF"/>
          <w:lang w:val="zh-CN"/>
        </w:rPr>
      </w:pPr>
      <w:r>
        <w:rPr>
          <w:rFonts w:hint="eastAsia" w:ascii="仿宋_GB2312" w:hAnsi="仿宋_GB2312" w:eastAsia="仿宋_GB2312" w:cs="仿宋_GB2312"/>
          <w:color w:val="auto"/>
          <w:sz w:val="32"/>
          <w:szCs w:val="32"/>
          <w:highlight w:val="none"/>
          <w:lang w:val="zh-CN" w:eastAsia="zh-CN"/>
        </w:rPr>
        <w:t>附表：</w:t>
      </w:r>
      <w:r>
        <w:rPr>
          <w:rFonts w:hint="eastAsia" w:ascii="仿宋_GB2312" w:hAnsi="仿宋_GB2312" w:eastAsia="仿宋_GB2312" w:cs="仿宋_GB2312"/>
          <w:color w:val="auto"/>
          <w:sz w:val="32"/>
          <w:szCs w:val="32"/>
          <w:highlight w:val="none"/>
          <w:lang w:val="en-US" w:eastAsia="zh-CN"/>
        </w:rPr>
        <w:t>部门预算项目支出绩效自评表（2022年度）</w:t>
      </w:r>
    </w:p>
    <w:p>
      <w:pPr>
        <w:pStyle w:val="2"/>
        <w:outlineLvl w:val="1"/>
        <w:rPr>
          <w:rFonts w:hint="eastAsia" w:eastAsia="仿宋_GB2312"/>
          <w:color w:val="auto"/>
          <w:sz w:val="32"/>
          <w:szCs w:val="32"/>
          <w:highlight w:val="none"/>
          <w:lang w:val="en-US" w:eastAsia="zh-CN"/>
        </w:rPr>
      </w:pPr>
      <w:bookmarkStart w:id="80" w:name="_Toc20481"/>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w:t>
      </w:r>
      <w:bookmarkEnd w:id="80"/>
    </w:p>
    <w:p>
      <w:pPr>
        <w:pStyle w:val="35"/>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2023年专项资金预算项目</w:t>
      </w:r>
    </w:p>
    <w:p>
      <w:pPr>
        <w:pStyle w:val="35"/>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（办案技术用房维护及修缮费）</w:t>
      </w:r>
    </w:p>
    <w:p>
      <w:pPr>
        <w:pStyle w:val="35"/>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支出绩效自评报告</w:t>
      </w:r>
    </w:p>
    <w:p>
      <w:pPr>
        <w:pStyle w:val="35"/>
        <w:keepNext w:val="0"/>
        <w:keepLines w:val="0"/>
        <w:pageBreakBefore w:val="0"/>
        <w:widowControl w:val="0"/>
        <w:kinsoku/>
        <w:wordWrap/>
        <w:overflowPunct/>
        <w:topLinePunct w:val="0"/>
        <w:autoSpaceDE/>
        <w:autoSpaceDN/>
        <w:bidi w:val="0"/>
        <w:spacing w:line="578" w:lineRule="exact"/>
        <w:ind w:firstLine="640"/>
        <w:jc w:val="center"/>
        <w:textAlignment w:val="auto"/>
        <w:rPr>
          <w:rFonts w:ascii="宋体" w:hAnsi="宋体"/>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outlineLvl w:val="1"/>
        <w:rPr>
          <w:rFonts w:ascii="黑体" w:hAnsi="宋体" w:eastAsia="黑体"/>
          <w:color w:val="auto"/>
          <w:sz w:val="32"/>
          <w:szCs w:val="32"/>
          <w:highlight w:val="none"/>
          <w:lang w:val="zh-CN"/>
        </w:rPr>
      </w:pPr>
      <w:bookmarkStart w:id="81" w:name="_Toc20986"/>
      <w:r>
        <w:rPr>
          <w:rFonts w:hint="eastAsia" w:ascii="黑体" w:hAnsi="宋体" w:eastAsia="黑体"/>
          <w:color w:val="auto"/>
          <w:sz w:val="32"/>
          <w:szCs w:val="32"/>
          <w:highlight w:val="none"/>
        </w:rPr>
        <w:t>一、</w:t>
      </w:r>
      <w:r>
        <w:rPr>
          <w:rFonts w:hint="eastAsia" w:ascii="黑体" w:hAnsi="宋体" w:eastAsia="黑体"/>
          <w:color w:val="auto"/>
          <w:sz w:val="32"/>
          <w:szCs w:val="32"/>
          <w:highlight w:val="none"/>
          <w:lang w:val="zh-CN"/>
        </w:rPr>
        <w:t>项目概况</w:t>
      </w:r>
      <w:bookmarkEnd w:id="81"/>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（一）项目基本情况。</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1．我院在</w:t>
      </w:r>
      <w:r>
        <w:rPr>
          <w:rFonts w:hint="eastAsia" w:ascii="仿宋_GB2312" w:hAnsi="仿宋_GB2312" w:cs="仿宋_GB2312"/>
          <w:kern w:val="0"/>
          <w:sz w:val="32"/>
          <w:szCs w:val="32"/>
          <w:shd w:val="clear" w:color="auto" w:fill="FFFFFF"/>
          <w:lang w:val="en-US" w:eastAsia="zh-CN"/>
        </w:rPr>
        <w:t>办案技术用房维护及修缮费</w:t>
      </w:r>
      <w:r>
        <w:rPr>
          <w:rFonts w:hint="eastAsia" w:ascii="仿宋_GB2312" w:hAnsi="仿宋_GB2312" w:cs="仿宋_GB2312"/>
          <w:kern w:val="0"/>
          <w:sz w:val="32"/>
          <w:szCs w:val="32"/>
          <w:shd w:val="clear" w:color="auto" w:fill="FFFFFF"/>
          <w:lang w:val="zh-CN"/>
        </w:rPr>
        <w:t>项目资金的使用过程中严格监管并按资金管理办法规定的范围和标准分配资金。</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2．项目立项按照</w:t>
      </w:r>
      <w:r>
        <w:rPr>
          <w:rFonts w:hint="eastAsia" w:ascii="仿宋_GB2312" w:hAnsi="仿宋_GB2312" w:cs="仿宋_GB2312"/>
          <w:kern w:val="0"/>
          <w:sz w:val="32"/>
          <w:szCs w:val="32"/>
          <w:shd w:val="clear" w:color="auto" w:fill="FFFFFF"/>
          <w:lang w:val="en-US" w:eastAsia="zh-CN"/>
        </w:rPr>
        <w:t>办案技术用房维护及修缮费</w:t>
      </w:r>
      <w:r>
        <w:rPr>
          <w:rFonts w:hint="eastAsia" w:ascii="仿宋_GB2312" w:hAnsi="仿宋_GB2312" w:cs="仿宋_GB2312"/>
          <w:kern w:val="0"/>
          <w:sz w:val="32"/>
          <w:szCs w:val="32"/>
          <w:shd w:val="clear" w:color="auto" w:fill="FFFFFF"/>
          <w:lang w:val="zh-CN"/>
        </w:rPr>
        <w:t>发放规定设立。</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3．严格执行资金使用审核制度。</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4．资金分配的范围和标准按照</w:t>
      </w:r>
      <w:r>
        <w:rPr>
          <w:rFonts w:hint="eastAsia" w:ascii="仿宋_GB2312" w:hAnsi="仿宋_GB2312" w:cs="仿宋_GB2312"/>
          <w:kern w:val="0"/>
          <w:sz w:val="32"/>
          <w:szCs w:val="32"/>
          <w:shd w:val="clear" w:color="auto" w:fill="FFFFFF"/>
          <w:lang w:val="en-US" w:eastAsia="zh-CN"/>
        </w:rPr>
        <w:t>办案技术用房维护及修缮费</w:t>
      </w:r>
      <w:r>
        <w:rPr>
          <w:rFonts w:hint="eastAsia" w:ascii="仿宋_GB2312" w:hAnsi="仿宋_GB2312" w:cs="仿宋_GB2312"/>
          <w:kern w:val="0"/>
          <w:sz w:val="32"/>
          <w:szCs w:val="32"/>
          <w:shd w:val="clear" w:color="auto" w:fill="FFFFFF"/>
          <w:lang w:val="zh-CN"/>
        </w:rPr>
        <w:t>发放规定执行。</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（二）项目绩效目标。</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1．此项目主要用于</w:t>
      </w:r>
      <w:r>
        <w:rPr>
          <w:rFonts w:hint="eastAsia" w:ascii="仿宋_GB2312" w:hAnsi="仿宋_GB2312" w:cs="仿宋_GB2312"/>
          <w:kern w:val="0"/>
          <w:sz w:val="32"/>
          <w:szCs w:val="32"/>
          <w:shd w:val="clear" w:color="auto" w:fill="FFFFFF"/>
          <w:lang w:val="en-US" w:eastAsia="zh-CN"/>
        </w:rPr>
        <w:t>办案技术用房维护及修缮费</w:t>
      </w:r>
      <w:r>
        <w:rPr>
          <w:rFonts w:hint="eastAsia" w:ascii="仿宋_GB2312" w:hAnsi="仿宋_GB2312" w:cs="仿宋_GB2312"/>
          <w:kern w:val="0"/>
          <w:sz w:val="32"/>
          <w:szCs w:val="32"/>
          <w:shd w:val="clear" w:color="auto" w:fill="FFFFFF"/>
          <w:lang w:val="zh-CN"/>
        </w:rPr>
        <w:t>发放。</w:t>
      </w:r>
    </w:p>
    <w:p>
      <w:pPr>
        <w:adjustRightInd w:val="0"/>
        <w:snapToGrid w:val="0"/>
        <w:spacing w:line="578" w:lineRule="exact"/>
        <w:ind w:firstLine="640" w:firstLineChars="200"/>
        <w:contextualSpacing/>
        <w:rPr>
          <w:rFonts w:hint="eastAsia" w:ascii="仿宋_GB2312" w:hAnsi="仿宋_GB2312" w:eastAsia="宋体" w:cs="仿宋_GB2312"/>
          <w:kern w:val="0"/>
          <w:sz w:val="32"/>
          <w:szCs w:val="32"/>
          <w:shd w:val="clear" w:color="auto" w:fill="FFFFFF"/>
          <w:lang w:val="en-US" w:eastAsia="zh-CN"/>
        </w:rPr>
      </w:pPr>
      <w:r>
        <w:rPr>
          <w:rFonts w:hint="eastAsia" w:ascii="仿宋_GB2312" w:hAnsi="仿宋_GB2312" w:cs="仿宋_GB2312"/>
          <w:kern w:val="0"/>
          <w:sz w:val="32"/>
          <w:szCs w:val="32"/>
          <w:shd w:val="clear" w:color="auto" w:fill="FFFFFF"/>
          <w:lang w:val="zh-CN"/>
        </w:rPr>
        <w:t>2．</w:t>
      </w:r>
      <w:r>
        <w:rPr>
          <w:rFonts w:hint="eastAsia" w:ascii="仿宋_GB2312" w:hAnsi="仿宋_GB2312" w:cs="仿宋_GB2312"/>
          <w:kern w:val="0"/>
          <w:sz w:val="32"/>
          <w:szCs w:val="32"/>
          <w:shd w:val="clear" w:color="auto" w:fill="FFFFFF"/>
          <w:lang w:val="en-US" w:eastAsia="zh-CN"/>
        </w:rPr>
        <w:t>办案技术用房维护及修缮费</w:t>
      </w:r>
      <w:r>
        <w:rPr>
          <w:rFonts w:hint="eastAsia" w:ascii="仿宋_GB2312" w:hAnsi="仿宋_GB2312" w:cs="仿宋_GB2312"/>
          <w:kern w:val="0"/>
          <w:sz w:val="32"/>
          <w:szCs w:val="32"/>
          <w:shd w:val="clear" w:color="auto" w:fill="FFFFFF"/>
          <w:lang w:val="zh-CN"/>
        </w:rPr>
        <w:t>项目主要达到了以下绩效目标：做好办案技术用房维护及修缮费，完成了年初设定预算执行率</w:t>
      </w:r>
      <w:r>
        <w:rPr>
          <w:rFonts w:hint="eastAsia" w:ascii="仿宋_GB2312" w:hAnsi="仿宋_GB2312" w:cs="仿宋_GB2312"/>
          <w:kern w:val="0"/>
          <w:sz w:val="32"/>
          <w:szCs w:val="32"/>
          <w:shd w:val="clear" w:color="auto" w:fill="FFFFFF"/>
          <w:lang w:val="en-US" w:eastAsia="zh-CN"/>
        </w:rPr>
        <w:t>86.84%</w:t>
      </w:r>
      <w:r>
        <w:rPr>
          <w:rFonts w:hint="eastAsia" w:ascii="仿宋_GB2312" w:hAnsi="仿宋_GB2312" w:cs="仿宋_GB2312"/>
          <w:kern w:val="0"/>
          <w:sz w:val="32"/>
          <w:szCs w:val="32"/>
          <w:shd w:val="clear" w:color="auto" w:fill="FFFFFF"/>
          <w:lang w:val="zh-CN"/>
        </w:rPr>
        <w:t>目标，达到人民满意度</w:t>
      </w:r>
      <w:r>
        <w:rPr>
          <w:rFonts w:hint="eastAsia" w:ascii="仿宋_GB2312" w:hAnsi="仿宋_GB2312" w:cs="仿宋_GB2312"/>
          <w:kern w:val="0"/>
          <w:sz w:val="32"/>
          <w:szCs w:val="32"/>
          <w:shd w:val="clear" w:color="auto" w:fill="FFFFFF"/>
          <w:lang w:val="en-US" w:eastAsia="zh-CN"/>
        </w:rPr>
        <w:t>95%以上。</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3．申报内容与实际相结合，申报目标严格测算，合理可行。</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（三）项目自评步骤及方法。</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项目绩效自评按照年初设置的绩效目标逐一仔细的对照核查，寻找合理的数据支撑。</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1"/>
        <w:rPr>
          <w:rFonts w:ascii="黑体" w:hAnsi="宋体" w:eastAsia="黑体"/>
          <w:color w:val="auto"/>
          <w:sz w:val="32"/>
          <w:szCs w:val="32"/>
          <w:highlight w:val="none"/>
          <w:u w:val="none"/>
        </w:rPr>
      </w:pPr>
      <w:bookmarkStart w:id="82" w:name="_Toc17845"/>
      <w:r>
        <w:rPr>
          <w:rFonts w:hint="eastAsia" w:ascii="黑体" w:hAnsi="宋体" w:eastAsia="黑体"/>
          <w:color w:val="auto"/>
          <w:sz w:val="32"/>
          <w:szCs w:val="32"/>
          <w:highlight w:val="none"/>
          <w:u w:val="none"/>
        </w:rPr>
        <w:t>二、项目资金申报及使用情况</w:t>
      </w:r>
      <w:bookmarkEnd w:id="82"/>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（一）项目资金申报及批复情况。</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项目资金于年初预算申报，按时申请支出计划，财政批复及时。</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仿宋_GB2312" w:hAnsi="宋体"/>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（二）资金计划、到位及使用情况。</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1．资金计划。该项目由市级财政资金全额拨款保障。</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2．资金到位。资金到位及时，到位率高，使用效率高。</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3．资金使用。资金使用注重安全性、规范性、有效性，按项目管理办法规定的范围和标准分配资金，资金支付范围、支付标准、支付进度、支付依据等合规合法、与预算相符。</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（三）项目财务管理情况。</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我院财务管理制度健全，严格执行财务管理制度，账务处理及时，会计核算规范等。</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1"/>
        <w:rPr>
          <w:rFonts w:ascii="黑体" w:hAnsi="宋体" w:eastAsia="黑体"/>
          <w:color w:val="auto"/>
          <w:sz w:val="32"/>
          <w:szCs w:val="32"/>
          <w:highlight w:val="none"/>
          <w:u w:val="none"/>
        </w:rPr>
      </w:pPr>
      <w:bookmarkStart w:id="83" w:name="_Toc7550"/>
      <w:r>
        <w:rPr>
          <w:rFonts w:hint="eastAsia" w:ascii="黑体" w:hAnsi="宋体" w:eastAsia="黑体"/>
          <w:color w:val="auto"/>
          <w:sz w:val="32"/>
          <w:szCs w:val="32"/>
          <w:highlight w:val="none"/>
          <w:u w:val="none"/>
        </w:rPr>
        <w:t>三、项目实施及管理情况</w:t>
      </w:r>
      <w:bookmarkEnd w:id="83"/>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（一）项目实施严格遵照项目</w:t>
      </w:r>
      <w:r>
        <w:rPr>
          <w:rFonts w:hint="eastAsia" w:ascii="仿宋_GB2312" w:hAnsi="仿宋_GB2312" w:cs="仿宋_GB2312"/>
          <w:kern w:val="0"/>
          <w:sz w:val="32"/>
          <w:szCs w:val="32"/>
          <w:shd w:val="clear" w:color="auto" w:fill="FFFFFF"/>
          <w:lang w:val="zh-CN"/>
        </w:rPr>
        <w:t>组织实施管理办法</w:t>
      </w:r>
      <w:r>
        <w:rPr>
          <w:rFonts w:hint="eastAsia" w:ascii="楷体_GB2312" w:hAnsi="宋体" w:eastAsia="楷体_GB2312"/>
          <w:sz w:val="32"/>
          <w:szCs w:val="32"/>
          <w:lang w:val="zh-CN"/>
        </w:rPr>
        <w:t>。</w:t>
      </w:r>
    </w:p>
    <w:p>
      <w:pPr>
        <w:adjustRightInd w:val="0"/>
        <w:snapToGrid w:val="0"/>
        <w:spacing w:line="578" w:lineRule="exact"/>
        <w:ind w:firstLine="640" w:firstLineChars="200"/>
        <w:rPr>
          <w:rFonts w:ascii="仿宋_GB2312" w:hAnsi="仿宋_GB2312" w:cs="仿宋_GB2312"/>
          <w:kern w:val="0"/>
          <w:sz w:val="32"/>
          <w:szCs w:val="32"/>
          <w:shd w:val="clear" w:color="auto" w:fill="FFFFFF"/>
          <w:lang w:val="zh-CN"/>
        </w:rPr>
      </w:pPr>
      <w:r>
        <w:rPr>
          <w:rFonts w:hint="eastAsia" w:ascii="楷体_GB2312" w:hAnsi="宋体" w:eastAsia="楷体_GB2312"/>
          <w:sz w:val="32"/>
          <w:szCs w:val="32"/>
          <w:lang w:val="zh-CN"/>
        </w:rPr>
        <w:t>（二）</w:t>
      </w:r>
      <w:r>
        <w:rPr>
          <w:rFonts w:hint="eastAsia" w:ascii="仿宋_GB2312" w:hAnsi="仿宋_GB2312" w:cs="仿宋_GB2312"/>
          <w:kern w:val="0"/>
          <w:sz w:val="32"/>
          <w:szCs w:val="32"/>
          <w:shd w:val="clear" w:color="auto" w:fill="FFFFFF"/>
          <w:lang w:val="zh-CN"/>
        </w:rPr>
        <w:t>我单位执行此项目资金严格按照资金管理办法分配执行。</w:t>
      </w:r>
    </w:p>
    <w:p>
      <w:pPr>
        <w:adjustRightInd w:val="0"/>
        <w:snapToGrid w:val="0"/>
        <w:spacing w:line="578" w:lineRule="exact"/>
        <w:ind w:firstLine="640" w:firstLineChars="200"/>
        <w:rPr>
          <w:rFonts w:ascii="仿宋_GB2312" w:hAnsi="仿宋_GB2312" w:cs="仿宋_GB2312"/>
          <w:kern w:val="0"/>
          <w:sz w:val="32"/>
          <w:szCs w:val="32"/>
          <w:shd w:val="clear" w:color="auto" w:fill="FFFFFF"/>
          <w:lang w:val="zh-CN"/>
        </w:rPr>
      </w:pPr>
      <w:r>
        <w:rPr>
          <w:rFonts w:hint="eastAsia" w:ascii="楷体_GB2312" w:hAnsi="宋体" w:eastAsia="楷体_GB2312"/>
          <w:sz w:val="32"/>
          <w:szCs w:val="32"/>
          <w:lang w:val="zh-CN"/>
        </w:rPr>
        <w:t>（三）项目监管到位，使用范围及执行流程合理、合规。</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（一）项目组织架构及实施流程。</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（二）项目管理情况。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我院根据相关财经法律，对项目管理进行严格管控等情况，如招投标、政府采购、项目公示制等相关规定。</w:t>
      </w:r>
    </w:p>
    <w:p>
      <w:pPr>
        <w:keepNext w:val="0"/>
        <w:keepLines w:val="0"/>
        <w:pageBreakBefore w:val="0"/>
        <w:numPr>
          <w:ilvl w:val="0"/>
          <w:numId w:val="12"/>
        </w:numPr>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项目监管情况。</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我院为加强项目管理所采取的监管手段、监管程序、监管工作开展情况及实现的效果等。</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1"/>
        <w:rPr>
          <w:rFonts w:ascii="仿宋_GB2312" w:hAnsi="宋体"/>
          <w:color w:val="auto"/>
          <w:sz w:val="32"/>
          <w:szCs w:val="32"/>
          <w:highlight w:val="none"/>
          <w:u w:val="none"/>
          <w:lang w:val="zh-CN"/>
        </w:rPr>
      </w:pPr>
      <w:bookmarkStart w:id="84" w:name="_Toc23908"/>
      <w:r>
        <w:rPr>
          <w:rFonts w:hint="eastAsia" w:ascii="黑体" w:hAnsi="宋体" w:eastAsia="黑体"/>
          <w:color w:val="auto"/>
          <w:sz w:val="32"/>
          <w:szCs w:val="32"/>
          <w:highlight w:val="none"/>
          <w:u w:val="none"/>
        </w:rPr>
        <w:t>四、项目绩效情况</w:t>
      </w:r>
      <w:bookmarkEnd w:id="84"/>
      <w:r>
        <w:rPr>
          <w:rFonts w:hint="eastAsia" w:ascii="仿宋_GB2312" w:hAnsi="宋体"/>
          <w:color w:val="auto"/>
          <w:sz w:val="32"/>
          <w:szCs w:val="32"/>
          <w:highlight w:val="none"/>
          <w:u w:val="none"/>
          <w:lang w:val="zh-CN"/>
        </w:rPr>
        <w:tab/>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（一）项目完成情况。</w:t>
      </w:r>
    </w:p>
    <w:p>
      <w:pPr>
        <w:pStyle w:val="2"/>
        <w:numPr>
          <w:ilvl w:val="0"/>
          <w:numId w:val="0"/>
        </w:numPr>
        <w:ind w:leftChars="200" w:firstLine="600" w:firstLineChars="200"/>
        <w:rPr>
          <w:rFonts w:hint="eastAsia"/>
          <w:lang w:val="zh-CN" w:eastAsia="zh-CN"/>
        </w:rPr>
      </w:pPr>
      <w:r>
        <w:rPr>
          <w:rFonts w:hint="eastAsia"/>
          <w:lang w:val="en-US" w:eastAsia="zh-CN"/>
        </w:rPr>
        <w:t>我院分项目类别对应项目安排时确定的绩效目标完成情况进行分析，</w:t>
      </w:r>
      <w:r>
        <w:rPr>
          <w:rFonts w:hint="eastAsia"/>
          <w:lang w:val="zh-CN" w:eastAsia="zh-CN"/>
        </w:rPr>
        <w:t>包括项目完成数量、质量、时效、成本等情况，资金结余情况，违规记录等，对照项目计划完成目标对截止评价时点的任务量完成、质量标准、进度计划、成本控制目标的实现程度进行评价，并进行分析说明。</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（二）项目效益情况。</w:t>
      </w:r>
    </w:p>
    <w:p>
      <w:pPr>
        <w:pStyle w:val="2"/>
        <w:numPr>
          <w:ilvl w:val="0"/>
          <w:numId w:val="0"/>
        </w:numPr>
        <w:ind w:leftChars="200" w:firstLine="600" w:firstLineChars="200"/>
        <w:rPr>
          <w:rFonts w:hint="eastAsia"/>
          <w:lang w:val="zh-CN" w:eastAsia="zh-CN"/>
        </w:rPr>
      </w:pPr>
      <w:r>
        <w:rPr>
          <w:rFonts w:hint="eastAsia"/>
          <w:lang w:val="en-US" w:eastAsia="zh-CN"/>
        </w:rPr>
        <w:t>该项目在可持续影响指标方面营造了和谐稳定的社会环境，在社会效益指标方面提升了司法公信力，在满意度指标方面提高了办事人民群众的满意度。</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1"/>
        <w:rPr>
          <w:rFonts w:ascii="黑体" w:hAnsi="宋体" w:eastAsia="黑体"/>
          <w:color w:val="auto"/>
          <w:sz w:val="32"/>
          <w:szCs w:val="32"/>
          <w:highlight w:val="none"/>
          <w:u w:val="none"/>
        </w:rPr>
      </w:pPr>
      <w:bookmarkStart w:id="85" w:name="_Toc26464"/>
      <w:r>
        <w:rPr>
          <w:rFonts w:hint="eastAsia" w:ascii="黑体" w:hAnsi="宋体" w:eastAsia="黑体"/>
          <w:color w:val="auto"/>
          <w:sz w:val="32"/>
          <w:szCs w:val="32"/>
          <w:highlight w:val="none"/>
          <w:u w:val="none"/>
        </w:rPr>
        <w:t>五、评价结论及建议</w:t>
      </w:r>
      <w:bookmarkEnd w:id="85"/>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（一）评价结论。</w:t>
      </w:r>
    </w:p>
    <w:p>
      <w:pPr>
        <w:adjustRightInd w:val="0"/>
        <w:snapToGrid w:val="0"/>
        <w:spacing w:line="578" w:lineRule="exact"/>
        <w:ind w:firstLine="600" w:firstLineChars="200"/>
        <w:contextualSpacing/>
        <w:rPr>
          <w:rFonts w:hint="eastAsia" w:ascii="仿宋_GB2312" w:hAnsi="Times New Roman" w:eastAsia="仿宋_GB2312" w:cs="Times New Roman"/>
          <w:kern w:val="0"/>
          <w:sz w:val="30"/>
          <w:szCs w:val="24"/>
          <w:lang w:val="zh-CN" w:eastAsia="zh-CN" w:bidi="ar-SA"/>
        </w:rPr>
      </w:pPr>
      <w:r>
        <w:rPr>
          <w:rFonts w:hint="eastAsia" w:ascii="仿宋_GB2312" w:hAnsi="Times New Roman" w:eastAsia="仿宋_GB2312" w:cs="Times New Roman"/>
          <w:kern w:val="0"/>
          <w:sz w:val="30"/>
          <w:szCs w:val="24"/>
          <w:lang w:val="zh-CN" w:eastAsia="zh-CN" w:bidi="ar-SA"/>
        </w:rPr>
        <w:t>该项目立项合理，申报及时，使用效率高，使用范围合规。</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（二）存在的问题。</w:t>
      </w:r>
    </w:p>
    <w:p>
      <w:pPr>
        <w:pStyle w:val="2"/>
        <w:numPr>
          <w:ilvl w:val="0"/>
          <w:numId w:val="0"/>
        </w:numPr>
        <w:ind w:leftChars="200" w:firstLine="600" w:firstLineChars="200"/>
        <w:rPr>
          <w:rFonts w:hint="default" w:eastAsia="仿宋_GB2312"/>
          <w:lang w:val="en-US" w:eastAsia="zh-CN"/>
        </w:rPr>
      </w:pPr>
      <w:r>
        <w:rPr>
          <w:rFonts w:hint="eastAsia"/>
          <w:lang w:val="zh-CN"/>
        </w:rPr>
        <w:t>截止目前，我院</w:t>
      </w:r>
      <w:r>
        <w:rPr>
          <w:rFonts w:hint="eastAsia"/>
          <w:lang w:val="en-US" w:eastAsia="zh-CN"/>
        </w:rPr>
        <w:t>2022年整体绩效目标运行情况较良好，绩效效能得到释放，下一步将严格执行财经纪律，按照资金支付要求，进一步提高资金预算执行质量。</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（三）相关建议。</w:t>
      </w:r>
    </w:p>
    <w:p>
      <w:pPr>
        <w:pStyle w:val="2"/>
        <w:numPr>
          <w:ilvl w:val="0"/>
          <w:numId w:val="0"/>
        </w:numPr>
        <w:ind w:leftChars="200" w:firstLine="600" w:firstLineChars="200"/>
        <w:rPr>
          <w:rFonts w:hint="eastAsia"/>
          <w:lang w:val="zh-CN"/>
        </w:rPr>
      </w:pPr>
      <w:r>
        <w:rPr>
          <w:rFonts w:hint="eastAsia"/>
          <w:lang w:val="en-US" w:eastAsia="zh-CN"/>
        </w:rPr>
        <w:t>强化对资金绩效实现情况的责任约束，对偏离预算绩效目标的项目资金，及时采取有效纠偏措施，进一步规范资金使用绩效。</w:t>
      </w:r>
    </w:p>
    <w:p>
      <w:pPr>
        <w:widowControl/>
        <w:jc w:val="left"/>
        <w:rPr>
          <w:rFonts w:hint="eastAsia" w:ascii="黑体" w:hAnsi="黑体" w:eastAsia="黑体"/>
          <w:color w:val="auto"/>
          <w:sz w:val="44"/>
          <w:szCs w:val="44"/>
          <w:highlight w:val="none"/>
        </w:rPr>
      </w:pPr>
      <w:r>
        <w:rPr>
          <w:rStyle w:val="20"/>
          <w:rFonts w:ascii="黑体" w:hAnsi="黑体" w:eastAsia="黑体"/>
          <w:b w:val="0"/>
          <w:color w:val="auto"/>
          <w:highlight w:val="none"/>
        </w:rPr>
        <w:br w:type="page"/>
      </w:r>
      <w:bookmarkStart w:id="86" w:name="_Toc15396618"/>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r>
        <w:drawing>
          <wp:inline distT="0" distB="0" distL="114300" distR="114300">
            <wp:extent cx="4933950" cy="4086225"/>
            <wp:effectExtent l="0" t="0" r="0" b="9525"/>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9"/>
                    <a:stretch>
                      <a:fillRect/>
                    </a:stretch>
                  </pic:blipFill>
                  <pic:spPr>
                    <a:xfrm>
                      <a:off x="0" y="0"/>
                      <a:ext cx="4933950" cy="4086225"/>
                    </a:xfrm>
                    <a:prstGeom prst="rect">
                      <a:avLst/>
                    </a:prstGeom>
                    <a:noFill/>
                    <a:ln>
                      <a:noFill/>
                    </a:ln>
                  </pic:spPr>
                </pic:pic>
              </a:graphicData>
            </a:graphic>
          </wp:inline>
        </w:drawing>
      </w: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35"/>
        <w:spacing w:line="578" w:lineRule="exact"/>
        <w:jc w:val="center"/>
        <w:rPr>
          <w:rFonts w:hint="eastAsia" w:ascii="方正小标宋简体" w:hAnsi="方正小标宋简体" w:eastAsia="方正小标宋简体" w:cs="方正小标宋简体"/>
          <w:color w:val="auto"/>
          <w:kern w:val="2"/>
          <w:sz w:val="32"/>
          <w:szCs w:val="32"/>
          <w:lang w:val="en-US"/>
        </w:rPr>
      </w:pPr>
    </w:p>
    <w:p>
      <w:pPr>
        <w:pStyle w:val="35"/>
        <w:spacing w:line="578" w:lineRule="exact"/>
        <w:jc w:val="center"/>
        <w:rPr>
          <w:rFonts w:hint="eastAsia" w:ascii="方正小标宋简体" w:hAnsi="方正小标宋简体" w:eastAsia="方正小标宋简体" w:cs="方正小标宋简体"/>
          <w:color w:val="auto"/>
          <w:kern w:val="2"/>
          <w:sz w:val="32"/>
          <w:szCs w:val="32"/>
          <w:lang w:val="en-US"/>
        </w:rPr>
      </w:pPr>
    </w:p>
    <w:p>
      <w:pPr>
        <w:pStyle w:val="35"/>
        <w:spacing w:line="578" w:lineRule="exact"/>
        <w:jc w:val="center"/>
        <w:rPr>
          <w:rFonts w:hint="eastAsia" w:ascii="方正小标宋简体" w:hAnsi="方正小标宋简体" w:eastAsia="方正小标宋简体" w:cs="方正小标宋简体"/>
          <w:color w:val="auto"/>
          <w:kern w:val="2"/>
          <w:sz w:val="32"/>
          <w:szCs w:val="32"/>
          <w:lang w:val="en-US"/>
        </w:rPr>
      </w:pPr>
    </w:p>
    <w:p>
      <w:pPr>
        <w:pStyle w:val="35"/>
        <w:spacing w:line="578" w:lineRule="exact"/>
        <w:jc w:val="center"/>
        <w:rPr>
          <w:rFonts w:hint="eastAsia" w:ascii="方正小标宋简体" w:hAnsi="方正小标宋简体" w:eastAsia="方正小标宋简体" w:cs="方正小标宋简体"/>
          <w:color w:val="auto"/>
          <w:kern w:val="2"/>
          <w:sz w:val="32"/>
          <w:szCs w:val="32"/>
          <w:lang w:val="en-US"/>
        </w:rPr>
      </w:pPr>
    </w:p>
    <w:p>
      <w:pPr>
        <w:pStyle w:val="35"/>
        <w:spacing w:line="578" w:lineRule="exact"/>
        <w:jc w:val="center"/>
        <w:rPr>
          <w:rFonts w:hint="eastAsia" w:ascii="方正小标宋简体" w:hAnsi="方正小标宋简体" w:eastAsia="方正小标宋简体" w:cs="方正小标宋简体"/>
          <w:color w:val="auto"/>
          <w:kern w:val="2"/>
          <w:sz w:val="32"/>
          <w:szCs w:val="32"/>
          <w:lang w:val="en-US"/>
        </w:rPr>
      </w:pPr>
    </w:p>
    <w:p>
      <w:pPr>
        <w:pStyle w:val="35"/>
        <w:spacing w:line="578" w:lineRule="exact"/>
        <w:jc w:val="center"/>
        <w:rPr>
          <w:rFonts w:hint="eastAsia" w:ascii="方正小标宋简体" w:hAnsi="方正小标宋简体" w:eastAsia="方正小标宋简体" w:cs="方正小标宋简体"/>
          <w:color w:val="auto"/>
          <w:kern w:val="2"/>
          <w:sz w:val="32"/>
          <w:szCs w:val="32"/>
          <w:lang w:val="en-US"/>
        </w:rPr>
      </w:pPr>
    </w:p>
    <w:p>
      <w:pPr>
        <w:pStyle w:val="35"/>
        <w:spacing w:line="578" w:lineRule="exact"/>
        <w:jc w:val="center"/>
        <w:rPr>
          <w:rFonts w:hint="eastAsia" w:ascii="方正小标宋简体" w:hAnsi="方正小标宋简体" w:eastAsia="方正小标宋简体" w:cs="方正小标宋简体"/>
          <w:color w:val="auto"/>
          <w:kern w:val="2"/>
          <w:sz w:val="32"/>
          <w:szCs w:val="32"/>
          <w:lang w:val="en-US"/>
        </w:rPr>
      </w:pPr>
    </w:p>
    <w:p>
      <w:pPr>
        <w:pStyle w:val="35"/>
        <w:spacing w:line="578" w:lineRule="exact"/>
        <w:jc w:val="center"/>
        <w:rPr>
          <w:rFonts w:hint="eastAsia" w:ascii="方正小标宋简体" w:hAnsi="方正小标宋简体" w:eastAsia="方正小标宋简体" w:cs="方正小标宋简体"/>
          <w:color w:val="auto"/>
          <w:kern w:val="2"/>
          <w:sz w:val="32"/>
          <w:szCs w:val="32"/>
          <w:lang w:val="en-US"/>
        </w:rPr>
      </w:pPr>
    </w:p>
    <w:p>
      <w:pPr>
        <w:pStyle w:val="35"/>
        <w:spacing w:line="578" w:lineRule="exact"/>
        <w:jc w:val="center"/>
        <w:rPr>
          <w:rFonts w:hint="eastAsia" w:ascii="方正小标宋简体" w:hAnsi="方正小标宋简体" w:eastAsia="方正小标宋简体" w:cs="方正小标宋简体"/>
          <w:color w:val="auto"/>
          <w:kern w:val="2"/>
          <w:sz w:val="32"/>
          <w:szCs w:val="32"/>
          <w:lang w:val="en-US"/>
        </w:rPr>
      </w:pPr>
    </w:p>
    <w:p>
      <w:pPr>
        <w:pStyle w:val="35"/>
        <w:spacing w:line="578" w:lineRule="exact"/>
        <w:jc w:val="center"/>
        <w:rPr>
          <w:rFonts w:hint="eastAsia" w:ascii="方正小标宋简体" w:hAnsi="方正小标宋简体" w:eastAsia="方正小标宋简体" w:cs="方正小标宋简体"/>
          <w:color w:val="auto"/>
          <w:kern w:val="2"/>
          <w:sz w:val="32"/>
          <w:szCs w:val="32"/>
          <w:lang w:val="en-US"/>
        </w:rPr>
      </w:pPr>
    </w:p>
    <w:p>
      <w:pPr>
        <w:pStyle w:val="35"/>
        <w:spacing w:line="578" w:lineRule="exact"/>
        <w:jc w:val="center"/>
        <w:rPr>
          <w:rFonts w:hint="eastAsia" w:ascii="方正小标宋简体" w:hAnsi="方正小标宋简体" w:eastAsia="方正小标宋简体" w:cs="方正小标宋简体"/>
          <w:color w:val="auto"/>
          <w:kern w:val="2"/>
          <w:sz w:val="32"/>
          <w:szCs w:val="32"/>
          <w:lang w:val="en-US"/>
        </w:rPr>
      </w:pPr>
    </w:p>
    <w:p>
      <w:pPr>
        <w:pStyle w:val="35"/>
        <w:spacing w:line="578" w:lineRule="exact"/>
        <w:jc w:val="center"/>
        <w:rPr>
          <w:rFonts w:hint="eastAsia" w:ascii="方正小标宋简体" w:hAnsi="方正小标宋简体" w:eastAsia="方正小标宋简体" w:cs="方正小标宋简体"/>
          <w:color w:val="auto"/>
          <w:kern w:val="2"/>
          <w:sz w:val="32"/>
          <w:szCs w:val="32"/>
          <w:lang w:val="en-US"/>
        </w:rPr>
      </w:pPr>
    </w:p>
    <w:p>
      <w:pPr>
        <w:pStyle w:val="35"/>
        <w:spacing w:line="578" w:lineRule="exact"/>
        <w:jc w:val="center"/>
        <w:rPr>
          <w:rFonts w:hint="eastAsia" w:ascii="方正小标宋简体" w:hAnsi="方正小标宋简体" w:eastAsia="方正小标宋简体" w:cs="方正小标宋简体"/>
          <w:color w:val="auto"/>
          <w:kern w:val="2"/>
          <w:sz w:val="32"/>
          <w:szCs w:val="32"/>
          <w:lang w:val="en-US"/>
        </w:rPr>
      </w:pPr>
    </w:p>
    <w:p>
      <w:pPr>
        <w:pStyle w:val="35"/>
        <w:spacing w:line="578" w:lineRule="exact"/>
        <w:jc w:val="center"/>
        <w:rPr>
          <w:rFonts w:hint="eastAsia"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202</w:t>
      </w:r>
      <w:r>
        <w:rPr>
          <w:rFonts w:hint="eastAsia" w:ascii="方正小标宋简体" w:hAnsi="方正小标宋简体" w:eastAsia="方正小标宋简体" w:cs="方正小标宋简体"/>
          <w:color w:val="auto"/>
          <w:kern w:val="2"/>
          <w:sz w:val="32"/>
          <w:szCs w:val="32"/>
          <w:lang w:val="en-US" w:eastAsia="zh-CN"/>
        </w:rPr>
        <w:t>3</w:t>
      </w:r>
      <w:r>
        <w:rPr>
          <w:rFonts w:hint="eastAsia" w:ascii="方正小标宋简体" w:hAnsi="方正小标宋简体" w:eastAsia="方正小标宋简体" w:cs="方正小标宋简体"/>
          <w:color w:val="auto"/>
          <w:kern w:val="2"/>
          <w:sz w:val="32"/>
          <w:szCs w:val="32"/>
          <w:lang w:val="en-US"/>
        </w:rPr>
        <w:t>年市级专项资金预算项目</w:t>
      </w:r>
    </w:p>
    <w:p>
      <w:pPr>
        <w:pStyle w:val="35"/>
        <w:spacing w:line="578" w:lineRule="exact"/>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(公益诉讼办案经费)</w:t>
      </w:r>
    </w:p>
    <w:p>
      <w:pPr>
        <w:pStyle w:val="35"/>
        <w:spacing w:line="578" w:lineRule="exact"/>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支出绩效自评报告</w:t>
      </w:r>
    </w:p>
    <w:p>
      <w:pPr>
        <w:pStyle w:val="35"/>
        <w:spacing w:line="578" w:lineRule="exact"/>
        <w:ind w:firstLine="640"/>
        <w:jc w:val="center"/>
        <w:rPr>
          <w:rFonts w:ascii="宋体" w:hAnsi="宋体"/>
          <w:color w:val="auto"/>
          <w:kern w:val="2"/>
          <w:sz w:val="32"/>
          <w:szCs w:val="32"/>
        </w:rPr>
      </w:pPr>
    </w:p>
    <w:p>
      <w:pPr>
        <w:adjustRightInd w:val="0"/>
        <w:snapToGrid w:val="0"/>
        <w:spacing w:line="578" w:lineRule="exact"/>
        <w:ind w:firstLine="640" w:firstLineChars="200"/>
        <w:outlineLvl w:val="1"/>
        <w:rPr>
          <w:rFonts w:ascii="黑体" w:hAnsi="宋体" w:eastAsia="黑体"/>
          <w:sz w:val="32"/>
          <w:szCs w:val="32"/>
          <w:lang w:val="zh-CN"/>
        </w:rPr>
      </w:pPr>
      <w:bookmarkStart w:id="87" w:name="_Toc19988"/>
      <w:r>
        <w:rPr>
          <w:rFonts w:hint="eastAsia" w:ascii="黑体" w:hAnsi="宋体" w:eastAsia="黑体"/>
          <w:sz w:val="32"/>
          <w:szCs w:val="32"/>
        </w:rPr>
        <w:t>一、</w:t>
      </w:r>
      <w:r>
        <w:rPr>
          <w:rFonts w:hint="eastAsia" w:ascii="黑体" w:hAnsi="宋体" w:eastAsia="黑体"/>
          <w:sz w:val="32"/>
          <w:szCs w:val="32"/>
          <w:lang w:val="zh-CN"/>
        </w:rPr>
        <w:t>项目概况</w:t>
      </w:r>
      <w:bookmarkEnd w:id="87"/>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（一）项目基本情况。</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1．我院在</w:t>
      </w:r>
      <w:r>
        <w:rPr>
          <w:rFonts w:hint="eastAsia" w:ascii="仿宋_GB2312" w:hAnsi="仿宋_GB2312" w:cs="仿宋_GB2312"/>
          <w:kern w:val="0"/>
          <w:sz w:val="32"/>
          <w:szCs w:val="32"/>
          <w:shd w:val="clear" w:color="auto" w:fill="FFFFFF"/>
          <w:lang w:val="en-US"/>
        </w:rPr>
        <w:t>公益诉讼办案经费</w:t>
      </w:r>
      <w:r>
        <w:rPr>
          <w:rFonts w:hint="eastAsia" w:ascii="仿宋_GB2312" w:hAnsi="仿宋_GB2312" w:cs="仿宋_GB2312"/>
          <w:kern w:val="0"/>
          <w:sz w:val="32"/>
          <w:szCs w:val="32"/>
          <w:shd w:val="clear" w:color="auto" w:fill="FFFFFF"/>
          <w:lang w:val="zh-CN"/>
        </w:rPr>
        <w:t>项目资金的使用过程中严格监管并按资金管理办法规定的范围和标准分配资金。</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2．项目立项按照</w:t>
      </w:r>
      <w:r>
        <w:rPr>
          <w:rFonts w:hint="eastAsia" w:ascii="仿宋_GB2312" w:hAnsi="仿宋_GB2312" w:cs="仿宋_GB2312"/>
          <w:kern w:val="0"/>
          <w:sz w:val="32"/>
          <w:szCs w:val="32"/>
          <w:shd w:val="clear" w:color="auto" w:fill="FFFFFF"/>
          <w:lang w:val="en-US"/>
        </w:rPr>
        <w:t>公益诉讼办案经费</w:t>
      </w:r>
      <w:r>
        <w:rPr>
          <w:rFonts w:hint="eastAsia" w:ascii="仿宋_GB2312" w:hAnsi="仿宋_GB2312" w:cs="仿宋_GB2312"/>
          <w:kern w:val="0"/>
          <w:sz w:val="32"/>
          <w:szCs w:val="32"/>
          <w:shd w:val="clear" w:color="auto" w:fill="FFFFFF"/>
          <w:lang w:val="zh-CN"/>
        </w:rPr>
        <w:t>发放规定设立。</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3．严格执行资金使用审核制度。</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4．资金分配的范围和标准按照</w:t>
      </w:r>
      <w:r>
        <w:rPr>
          <w:rFonts w:hint="eastAsia" w:ascii="仿宋_GB2312" w:hAnsi="仿宋_GB2312" w:cs="仿宋_GB2312"/>
          <w:kern w:val="0"/>
          <w:sz w:val="32"/>
          <w:szCs w:val="32"/>
          <w:shd w:val="clear" w:color="auto" w:fill="FFFFFF"/>
          <w:lang w:val="en-US"/>
        </w:rPr>
        <w:t>公益诉讼办案经费</w:t>
      </w:r>
      <w:r>
        <w:rPr>
          <w:rFonts w:hint="eastAsia" w:ascii="仿宋_GB2312" w:hAnsi="仿宋_GB2312" w:cs="仿宋_GB2312"/>
          <w:kern w:val="0"/>
          <w:sz w:val="32"/>
          <w:szCs w:val="32"/>
          <w:shd w:val="clear" w:color="auto" w:fill="FFFFFF"/>
          <w:lang w:val="zh-CN"/>
        </w:rPr>
        <w:t>发放规定执行。</w:t>
      </w:r>
    </w:p>
    <w:p>
      <w:pPr>
        <w:adjustRightInd w:val="0"/>
        <w:snapToGrid w:val="0"/>
        <w:spacing w:line="578" w:lineRule="exact"/>
        <w:ind w:firstLine="640" w:firstLineChars="200"/>
        <w:rPr>
          <w:rFonts w:ascii="楷体_GB2312" w:hAnsi="宋体" w:eastAsia="楷体_GB2312"/>
          <w:color w:val="auto"/>
          <w:sz w:val="32"/>
          <w:szCs w:val="32"/>
          <w:lang w:val="zh-CN"/>
        </w:rPr>
      </w:pPr>
      <w:r>
        <w:rPr>
          <w:rFonts w:hint="eastAsia" w:ascii="楷体_GB2312" w:hAnsi="宋体" w:eastAsia="楷体_GB2312"/>
          <w:color w:val="auto"/>
          <w:sz w:val="32"/>
          <w:szCs w:val="32"/>
          <w:lang w:val="zh-CN"/>
        </w:rPr>
        <w:t>（二）项目绩效目标。</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1．此项目主要用于</w:t>
      </w:r>
      <w:r>
        <w:rPr>
          <w:rFonts w:hint="eastAsia" w:ascii="仿宋_GB2312" w:hAnsi="仿宋_GB2312" w:cs="仿宋_GB2312"/>
          <w:kern w:val="0"/>
          <w:sz w:val="32"/>
          <w:szCs w:val="32"/>
          <w:shd w:val="clear" w:color="auto" w:fill="FFFFFF"/>
          <w:lang w:val="en-US"/>
        </w:rPr>
        <w:t>公益诉讼办案经费</w:t>
      </w:r>
      <w:r>
        <w:rPr>
          <w:rFonts w:hint="eastAsia" w:ascii="仿宋_GB2312" w:hAnsi="仿宋_GB2312" w:cs="仿宋_GB2312"/>
          <w:kern w:val="0"/>
          <w:sz w:val="32"/>
          <w:szCs w:val="32"/>
          <w:shd w:val="clear" w:color="auto" w:fill="FFFFFF"/>
          <w:lang w:val="zh-CN"/>
        </w:rPr>
        <w:t>发放。</w:t>
      </w:r>
    </w:p>
    <w:p>
      <w:pPr>
        <w:adjustRightInd w:val="0"/>
        <w:snapToGrid w:val="0"/>
        <w:spacing w:line="578" w:lineRule="exact"/>
        <w:ind w:firstLine="640" w:firstLineChars="200"/>
        <w:contextualSpacing/>
        <w:rPr>
          <w:rFonts w:hint="eastAsia" w:ascii="仿宋_GB2312" w:hAnsi="仿宋_GB2312" w:cs="仿宋_GB2312"/>
          <w:kern w:val="0"/>
          <w:sz w:val="32"/>
          <w:szCs w:val="32"/>
          <w:shd w:val="clear" w:color="auto" w:fill="FFFFFF"/>
          <w:lang w:val="en-US" w:eastAsia="zh-CN"/>
        </w:rPr>
      </w:pPr>
      <w:r>
        <w:rPr>
          <w:rFonts w:hint="eastAsia" w:ascii="仿宋_GB2312" w:hAnsi="仿宋_GB2312" w:cs="仿宋_GB2312"/>
          <w:kern w:val="0"/>
          <w:sz w:val="32"/>
          <w:szCs w:val="32"/>
          <w:shd w:val="clear" w:color="auto" w:fill="FFFFFF"/>
          <w:lang w:val="zh-CN"/>
        </w:rPr>
        <w:t>2．</w:t>
      </w:r>
      <w:r>
        <w:rPr>
          <w:rFonts w:hint="eastAsia" w:ascii="仿宋_GB2312" w:hAnsi="仿宋_GB2312" w:cs="仿宋_GB2312"/>
          <w:kern w:val="0"/>
          <w:sz w:val="32"/>
          <w:szCs w:val="32"/>
          <w:shd w:val="clear" w:color="auto" w:fill="FFFFFF"/>
          <w:lang w:val="en-US"/>
        </w:rPr>
        <w:t>公益诉讼办案经费</w:t>
      </w:r>
      <w:r>
        <w:rPr>
          <w:rFonts w:hint="eastAsia" w:ascii="仿宋_GB2312" w:hAnsi="仿宋_GB2312" w:cs="仿宋_GB2312"/>
          <w:kern w:val="0"/>
          <w:sz w:val="32"/>
          <w:szCs w:val="32"/>
          <w:shd w:val="clear" w:color="auto" w:fill="FFFFFF"/>
          <w:lang w:val="zh-CN"/>
        </w:rPr>
        <w:t>项目主要达到了以下绩效目标：</w:t>
      </w:r>
      <w:r>
        <w:rPr>
          <w:rFonts w:hint="eastAsia" w:ascii="仿宋_GB2312" w:hAnsi="仿宋_GB2312" w:cs="仿宋_GB2312"/>
          <w:kern w:val="0"/>
          <w:sz w:val="32"/>
          <w:szCs w:val="32"/>
          <w:shd w:val="clear" w:color="auto" w:fill="FFFFFF"/>
          <w:lang w:val="en-US" w:eastAsia="zh-CN"/>
        </w:rPr>
        <w:t>全年办理公益诉讼案件数、2022年度公益诉讼办案费。保证案件质量。</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3．申报内容与实际相结合，申报目标严格测算，合理可行。</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（三）项目自评步骤及方法。</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项目绩效自评按照年初设置的绩效目标逐一仔细的对照核查，寻找合理的数据支撑。</w:t>
      </w:r>
    </w:p>
    <w:p>
      <w:pPr>
        <w:adjustRightInd w:val="0"/>
        <w:snapToGrid w:val="0"/>
        <w:spacing w:line="578" w:lineRule="exact"/>
        <w:ind w:firstLine="640" w:firstLineChars="200"/>
        <w:outlineLvl w:val="1"/>
        <w:rPr>
          <w:rFonts w:ascii="黑体" w:hAnsi="宋体" w:eastAsia="黑体"/>
          <w:sz w:val="32"/>
          <w:szCs w:val="32"/>
        </w:rPr>
      </w:pPr>
      <w:bookmarkStart w:id="88" w:name="_Toc9963"/>
      <w:r>
        <w:rPr>
          <w:rFonts w:hint="eastAsia" w:ascii="黑体" w:hAnsi="宋体" w:eastAsia="黑体"/>
          <w:sz w:val="32"/>
          <w:szCs w:val="32"/>
        </w:rPr>
        <w:t>二、项目资金申报及使用情况</w:t>
      </w:r>
      <w:bookmarkEnd w:id="88"/>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项目资金于年初预算申报，按时申请支出计划，财政批复及时。</w:t>
      </w:r>
    </w:p>
    <w:p>
      <w:pPr>
        <w:adjustRightInd w:val="0"/>
        <w:snapToGrid w:val="0"/>
        <w:spacing w:line="578" w:lineRule="exact"/>
        <w:ind w:firstLine="640" w:firstLineChars="200"/>
        <w:rPr>
          <w:rFonts w:ascii="仿宋_GB2312" w:hAnsi="宋体"/>
          <w:sz w:val="32"/>
          <w:szCs w:val="32"/>
          <w:lang w:val="zh-CN"/>
        </w:rPr>
      </w:pPr>
      <w:r>
        <w:rPr>
          <w:rFonts w:hint="eastAsia" w:ascii="楷体_GB2312" w:hAnsi="宋体" w:eastAsia="楷体_GB2312"/>
          <w:sz w:val="32"/>
          <w:szCs w:val="32"/>
          <w:lang w:val="zh-CN"/>
        </w:rPr>
        <w:t>（二）资金计划、到位及使用情况。</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1．资金计划。该项目由市级财政资金全额拨款保障。</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2．资金到位。资金到位及时，到位率高，使用效率高。</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3．资金使用。资金使用注重安全性、规范性、有效性，按项目管理办法规定的范围和标准分配资金，资金支付范围、支付标准、支付进度、支付依据等合规合法、与预算相符。</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（三）项目财务管理情况。</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我院财务管理制度健全，严格执行财务管理制度，账务处理及时，会计核算规范等。</w:t>
      </w:r>
    </w:p>
    <w:p>
      <w:pPr>
        <w:adjustRightInd w:val="0"/>
        <w:snapToGrid w:val="0"/>
        <w:spacing w:line="578" w:lineRule="exact"/>
        <w:ind w:firstLine="640" w:firstLineChars="200"/>
        <w:outlineLvl w:val="1"/>
        <w:rPr>
          <w:rFonts w:ascii="黑体" w:hAnsi="宋体" w:eastAsia="黑体"/>
          <w:sz w:val="32"/>
          <w:szCs w:val="32"/>
        </w:rPr>
      </w:pPr>
      <w:bookmarkStart w:id="89" w:name="_Toc25791"/>
      <w:r>
        <w:rPr>
          <w:rFonts w:hint="eastAsia" w:ascii="黑体" w:hAnsi="宋体" w:eastAsia="黑体"/>
          <w:sz w:val="32"/>
          <w:szCs w:val="32"/>
        </w:rPr>
        <w:t>三、项目实施及管理情况</w:t>
      </w:r>
      <w:bookmarkEnd w:id="89"/>
    </w:p>
    <w:p>
      <w:pPr>
        <w:adjustRightInd w:val="0"/>
        <w:snapToGrid w:val="0"/>
        <w:spacing w:line="578" w:lineRule="exact"/>
        <w:ind w:firstLine="640" w:firstLineChars="200"/>
        <w:rPr>
          <w:rFonts w:ascii="黑体" w:hAnsi="宋体" w:eastAsia="黑体"/>
          <w:sz w:val="32"/>
          <w:szCs w:val="32"/>
        </w:rPr>
      </w:pPr>
      <w:r>
        <w:rPr>
          <w:rFonts w:hint="eastAsia" w:ascii="楷体_GB2312" w:hAnsi="宋体" w:eastAsia="楷体_GB2312"/>
          <w:sz w:val="32"/>
          <w:szCs w:val="32"/>
          <w:lang w:val="zh-CN"/>
        </w:rPr>
        <w:t>（一）项目实施严格遵照项目</w:t>
      </w:r>
      <w:r>
        <w:rPr>
          <w:rFonts w:hint="eastAsia" w:ascii="仿宋_GB2312" w:hAnsi="仿宋_GB2312" w:cs="仿宋_GB2312"/>
          <w:kern w:val="0"/>
          <w:sz w:val="32"/>
          <w:szCs w:val="32"/>
          <w:shd w:val="clear" w:color="auto" w:fill="FFFFFF"/>
          <w:lang w:val="zh-CN"/>
        </w:rPr>
        <w:t>组织实施管理办法</w:t>
      </w:r>
      <w:r>
        <w:rPr>
          <w:rFonts w:hint="eastAsia" w:ascii="楷体_GB2312" w:hAnsi="宋体" w:eastAsia="楷体_GB2312"/>
          <w:sz w:val="32"/>
          <w:szCs w:val="32"/>
          <w:lang w:val="zh-CN"/>
        </w:rPr>
        <w:t>。</w:t>
      </w:r>
    </w:p>
    <w:p>
      <w:pPr>
        <w:adjustRightInd w:val="0"/>
        <w:snapToGrid w:val="0"/>
        <w:spacing w:line="578" w:lineRule="exact"/>
        <w:ind w:firstLine="640" w:firstLineChars="200"/>
        <w:rPr>
          <w:rFonts w:ascii="黑体" w:hAnsi="宋体" w:eastAsia="黑体"/>
          <w:sz w:val="32"/>
          <w:szCs w:val="32"/>
        </w:rPr>
      </w:pPr>
      <w:r>
        <w:rPr>
          <w:rFonts w:hint="eastAsia" w:ascii="楷体_GB2312" w:hAnsi="宋体" w:eastAsia="楷体_GB2312"/>
          <w:sz w:val="32"/>
          <w:szCs w:val="32"/>
          <w:lang w:val="zh-CN"/>
        </w:rPr>
        <w:t>（二）</w:t>
      </w:r>
      <w:r>
        <w:rPr>
          <w:rFonts w:hint="eastAsia" w:ascii="仿宋_GB2312" w:hAnsi="仿宋_GB2312" w:cs="仿宋_GB2312"/>
          <w:kern w:val="0"/>
          <w:sz w:val="32"/>
          <w:szCs w:val="32"/>
          <w:shd w:val="clear" w:color="auto" w:fill="FFFFFF"/>
          <w:lang w:val="zh-CN"/>
        </w:rPr>
        <w:t>我单位执行此项目资金严格按照资金管理办法分配执行。</w:t>
      </w:r>
    </w:p>
    <w:p>
      <w:pPr>
        <w:adjustRightInd w:val="0"/>
        <w:snapToGrid w:val="0"/>
        <w:spacing w:line="578" w:lineRule="exact"/>
        <w:ind w:firstLine="640" w:firstLineChars="200"/>
        <w:rPr>
          <w:rFonts w:ascii="黑体" w:hAnsi="宋体" w:eastAsia="黑体"/>
          <w:sz w:val="32"/>
          <w:szCs w:val="32"/>
        </w:rPr>
      </w:pPr>
      <w:r>
        <w:rPr>
          <w:rFonts w:hint="eastAsia" w:ascii="楷体_GB2312" w:hAnsi="宋体" w:eastAsia="楷体_GB2312"/>
          <w:sz w:val="32"/>
          <w:szCs w:val="32"/>
          <w:lang w:val="zh-CN"/>
        </w:rPr>
        <w:t>（三）项目监管到位，使用范围及执行流程合理、合规。</w:t>
      </w:r>
    </w:p>
    <w:p>
      <w:pPr>
        <w:adjustRightInd w:val="0"/>
        <w:snapToGrid w:val="0"/>
        <w:spacing w:line="578" w:lineRule="exact"/>
        <w:ind w:firstLine="640" w:firstLineChars="200"/>
        <w:outlineLvl w:val="1"/>
        <w:rPr>
          <w:rFonts w:ascii="仿宋_GB2312" w:hAnsi="宋体"/>
          <w:sz w:val="32"/>
          <w:szCs w:val="32"/>
          <w:lang w:val="zh-CN"/>
        </w:rPr>
      </w:pPr>
      <w:bookmarkStart w:id="90" w:name="_Toc17573"/>
      <w:r>
        <w:rPr>
          <w:rFonts w:hint="eastAsia" w:ascii="黑体" w:hAnsi="宋体" w:eastAsia="黑体"/>
          <w:sz w:val="32"/>
          <w:szCs w:val="32"/>
          <w:highlight w:val="none"/>
        </w:rPr>
        <w:t>四、项目绩效情况</w:t>
      </w:r>
      <w:bookmarkEnd w:id="90"/>
      <w:r>
        <w:rPr>
          <w:rFonts w:hint="eastAsia" w:ascii="仿宋_GB2312" w:hAnsi="宋体"/>
          <w:sz w:val="32"/>
          <w:szCs w:val="32"/>
          <w:highlight w:val="none"/>
          <w:lang w:val="zh-CN"/>
        </w:rPr>
        <w:tab/>
      </w:r>
    </w:p>
    <w:p>
      <w:pPr>
        <w:adjustRightInd w:val="0"/>
        <w:snapToGrid w:val="0"/>
        <w:spacing w:line="578" w:lineRule="exact"/>
        <w:ind w:firstLine="640" w:firstLineChars="200"/>
        <w:rPr>
          <w:rFonts w:ascii="楷体_GB2312" w:hAnsi="宋体" w:eastAsia="楷体_GB2312"/>
          <w:color w:val="auto"/>
          <w:sz w:val="32"/>
          <w:szCs w:val="32"/>
          <w:lang w:val="zh-CN"/>
        </w:rPr>
      </w:pPr>
      <w:r>
        <w:rPr>
          <w:rFonts w:hint="eastAsia" w:ascii="楷体_GB2312" w:hAnsi="宋体" w:eastAsia="楷体_GB2312"/>
          <w:color w:val="auto"/>
          <w:sz w:val="32"/>
          <w:szCs w:val="32"/>
          <w:lang w:val="zh-CN"/>
        </w:rPr>
        <w:t>（一）项目完成情况。</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rPr>
      </w:pPr>
      <w:r>
        <w:rPr>
          <w:rFonts w:hint="eastAsia" w:ascii="仿宋_GB2312" w:hAnsi="仿宋_GB2312" w:cs="仿宋_GB2312"/>
          <w:kern w:val="0"/>
          <w:sz w:val="32"/>
          <w:szCs w:val="32"/>
          <w:shd w:val="clear" w:color="auto" w:fill="FFFFFF"/>
        </w:rPr>
        <w:t>此项目绩效目标完成及时，</w:t>
      </w:r>
      <w:r>
        <w:rPr>
          <w:rFonts w:hint="eastAsia" w:ascii="仿宋_GB2312" w:hAnsi="仿宋_GB2312" w:cs="仿宋_GB2312"/>
          <w:kern w:val="0"/>
          <w:sz w:val="32"/>
          <w:szCs w:val="32"/>
          <w:shd w:val="clear" w:color="auto" w:fill="FFFFFF"/>
          <w:lang w:val="zh-CN" w:eastAsia="zh-CN"/>
        </w:rPr>
        <w:t>资金使用率达到</w:t>
      </w:r>
      <w:r>
        <w:rPr>
          <w:rFonts w:hint="eastAsia" w:ascii="仿宋_GB2312" w:hAnsi="仿宋_GB2312" w:cs="仿宋_GB2312"/>
          <w:kern w:val="0"/>
          <w:sz w:val="32"/>
          <w:szCs w:val="32"/>
          <w:shd w:val="clear" w:color="auto" w:fill="FFFFFF"/>
          <w:lang w:val="en-US" w:eastAsia="zh-CN"/>
        </w:rPr>
        <w:t>100%，</w:t>
      </w:r>
      <w:r>
        <w:rPr>
          <w:rFonts w:hint="eastAsia" w:ascii="仿宋_GB2312" w:hAnsi="仿宋_GB2312" w:cs="仿宋_GB2312"/>
          <w:kern w:val="0"/>
          <w:sz w:val="32"/>
          <w:szCs w:val="32"/>
          <w:shd w:val="clear" w:color="auto" w:fill="FFFFFF"/>
        </w:rPr>
        <w:t>增强了</w:t>
      </w:r>
      <w:r>
        <w:rPr>
          <w:rFonts w:hint="eastAsia" w:ascii="仿宋_GB2312" w:hAnsi="仿宋_GB2312" w:cs="仿宋_GB2312"/>
          <w:kern w:val="0"/>
          <w:sz w:val="32"/>
          <w:szCs w:val="32"/>
          <w:shd w:val="clear" w:color="auto" w:fill="FFFFFF"/>
          <w:lang w:eastAsia="zh-CN"/>
        </w:rPr>
        <w:t>检察</w:t>
      </w:r>
      <w:r>
        <w:rPr>
          <w:rFonts w:hint="eastAsia" w:ascii="仿宋_GB2312" w:hAnsi="仿宋_GB2312" w:cs="仿宋_GB2312"/>
          <w:kern w:val="0"/>
          <w:sz w:val="32"/>
          <w:szCs w:val="32"/>
          <w:shd w:val="clear" w:color="auto" w:fill="FFFFFF"/>
        </w:rPr>
        <w:t>院审判的社会公信力和认同感，提</w:t>
      </w:r>
      <w:r>
        <w:rPr>
          <w:rFonts w:hint="eastAsia" w:ascii="仿宋_GB2312" w:hAnsi="仿宋_GB2312" w:cs="仿宋_GB2312"/>
          <w:kern w:val="0"/>
          <w:sz w:val="32"/>
          <w:szCs w:val="32"/>
          <w:shd w:val="clear" w:color="auto" w:fill="FFFFFF"/>
          <w:lang w:eastAsia="zh-CN"/>
        </w:rPr>
        <w:t>升</w:t>
      </w:r>
      <w:r>
        <w:rPr>
          <w:rFonts w:hint="eastAsia" w:ascii="仿宋_GB2312" w:hAnsi="仿宋_GB2312" w:cs="仿宋_GB2312"/>
          <w:kern w:val="0"/>
          <w:sz w:val="32"/>
          <w:szCs w:val="32"/>
          <w:shd w:val="clear" w:color="auto" w:fill="FFFFFF"/>
        </w:rPr>
        <w:t>了人民群众满意度。</w:t>
      </w:r>
    </w:p>
    <w:p>
      <w:pPr>
        <w:adjustRightInd w:val="0"/>
        <w:snapToGrid w:val="0"/>
        <w:spacing w:line="578" w:lineRule="exact"/>
        <w:ind w:firstLine="640" w:firstLineChars="200"/>
        <w:contextualSpacing/>
        <w:rPr>
          <w:rFonts w:ascii="楷体_GB2312" w:hAnsi="宋体" w:eastAsia="楷体_GB2312"/>
          <w:sz w:val="32"/>
          <w:szCs w:val="32"/>
          <w:lang w:val="zh-CN"/>
        </w:rPr>
      </w:pPr>
      <w:r>
        <w:rPr>
          <w:rFonts w:hint="eastAsia" w:ascii="楷体_GB2312" w:hAnsi="宋体" w:eastAsia="楷体_GB2312"/>
          <w:sz w:val="32"/>
          <w:szCs w:val="32"/>
          <w:lang w:val="zh-CN"/>
        </w:rPr>
        <w:t>（二）项目效益情况。</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rPr>
        <w:t>该项目在可持续影响指标方面营造了和谐稳定的社会环境，在社会效益指标方面提升了司法公信力，在满意度指标方面提高了办事人民群众的满意度。</w:t>
      </w:r>
    </w:p>
    <w:p>
      <w:pPr>
        <w:adjustRightInd w:val="0"/>
        <w:snapToGrid w:val="0"/>
        <w:spacing w:line="578" w:lineRule="exact"/>
        <w:ind w:firstLine="640" w:firstLineChars="200"/>
        <w:outlineLvl w:val="1"/>
        <w:rPr>
          <w:rFonts w:ascii="黑体" w:hAnsi="宋体" w:eastAsia="黑体"/>
          <w:sz w:val="32"/>
          <w:szCs w:val="32"/>
        </w:rPr>
      </w:pPr>
      <w:bookmarkStart w:id="91" w:name="_Toc16765"/>
      <w:r>
        <w:rPr>
          <w:rFonts w:hint="eastAsia" w:ascii="黑体" w:hAnsi="宋体" w:eastAsia="黑体"/>
          <w:sz w:val="32"/>
          <w:szCs w:val="32"/>
        </w:rPr>
        <w:t>五、评价结论及建议</w:t>
      </w:r>
      <w:bookmarkEnd w:id="91"/>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（一）评价结论。</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该项目立项合理，申报及时，使用效率高，使用范围合规。</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（二）存在的问题。</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rPr>
      </w:pPr>
      <w:r>
        <w:rPr>
          <w:rFonts w:hint="eastAsia" w:ascii="仿宋_GB2312" w:hAnsi="仿宋_GB2312" w:cs="仿宋_GB2312"/>
          <w:kern w:val="0"/>
          <w:sz w:val="32"/>
          <w:szCs w:val="32"/>
          <w:shd w:val="clear" w:color="auto" w:fill="FFFFFF"/>
          <w:lang w:val="zh-CN"/>
        </w:rPr>
        <w:t>无。</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（三）相关建议。</w:t>
      </w:r>
    </w:p>
    <w:p>
      <w:pPr>
        <w:adjustRightInd w:val="0"/>
        <w:snapToGrid w:val="0"/>
        <w:spacing w:line="578" w:lineRule="exact"/>
        <w:ind w:firstLine="640" w:firstLineChars="200"/>
        <w:contextualSpacing/>
        <w:jc w:val="left"/>
        <w:rPr>
          <w:rFonts w:hint="eastAsia" w:ascii="黑体" w:hAnsi="黑体" w:eastAsia="黑体"/>
          <w:color w:val="auto"/>
          <w:sz w:val="44"/>
          <w:szCs w:val="44"/>
          <w:highlight w:val="none"/>
        </w:rPr>
      </w:pPr>
      <w:r>
        <w:rPr>
          <w:rFonts w:hint="eastAsia" w:ascii="仿宋_GB2312" w:hAnsi="仿宋_GB2312" w:cs="仿宋_GB2312"/>
          <w:kern w:val="0"/>
          <w:sz w:val="32"/>
          <w:szCs w:val="32"/>
          <w:shd w:val="clear" w:color="auto" w:fill="FFFFFF"/>
          <w:lang w:val="zh-CN"/>
        </w:rPr>
        <w:t>无。</w:t>
      </w: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sectPr>
          <w:footerReference r:id="rId7" w:type="first"/>
          <w:footerReference r:id="rId6" w:type="default"/>
          <w:pgSz w:w="11906" w:h="16838"/>
          <w:pgMar w:top="1440" w:right="1800" w:bottom="1440" w:left="1800" w:header="851" w:footer="992" w:gutter="0"/>
          <w:pgNumType w:fmt="decimal" w:start="1"/>
          <w:cols w:space="425" w:num="1"/>
          <w:titlePg/>
          <w:docGrid w:type="lines" w:linePitch="312" w:charSpace="0"/>
        </w:sectPr>
      </w:pPr>
      <w:r>
        <w:drawing>
          <wp:inline distT="0" distB="0" distL="114300" distR="114300">
            <wp:extent cx="4981575" cy="3848100"/>
            <wp:effectExtent l="0" t="0" r="9525"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pic:cNvPicPr>
                      <a:picLocks noChangeAspect="1"/>
                    </pic:cNvPicPr>
                  </pic:nvPicPr>
                  <pic:blipFill>
                    <a:blip r:embed="rId20"/>
                    <a:stretch>
                      <a:fillRect/>
                    </a:stretch>
                  </pic:blipFill>
                  <pic:spPr>
                    <a:xfrm>
                      <a:off x="0" y="0"/>
                      <a:ext cx="4981575" cy="3848100"/>
                    </a:xfrm>
                    <a:prstGeom prst="rect">
                      <a:avLst/>
                    </a:prstGeom>
                    <a:noFill/>
                    <a:ln>
                      <a:noFill/>
                    </a:ln>
                  </pic:spPr>
                </pic:pic>
              </a:graphicData>
            </a:graphic>
          </wp:inline>
        </w:drawing>
      </w:r>
    </w:p>
    <w:p>
      <w:pPr>
        <w:pStyle w:val="35"/>
        <w:spacing w:line="578" w:lineRule="exact"/>
        <w:jc w:val="center"/>
        <w:rPr>
          <w:rFonts w:hint="eastAsia"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202</w:t>
      </w:r>
      <w:r>
        <w:rPr>
          <w:rFonts w:hint="eastAsia" w:ascii="方正小标宋简体" w:hAnsi="方正小标宋简体" w:eastAsia="方正小标宋简体" w:cs="方正小标宋简体"/>
          <w:color w:val="auto"/>
          <w:kern w:val="2"/>
          <w:sz w:val="32"/>
          <w:szCs w:val="32"/>
          <w:lang w:val="en-US" w:eastAsia="zh-CN"/>
        </w:rPr>
        <w:t>3</w:t>
      </w:r>
      <w:r>
        <w:rPr>
          <w:rFonts w:hint="eastAsia" w:ascii="方正小标宋简体" w:hAnsi="方正小标宋简体" w:eastAsia="方正小标宋简体" w:cs="方正小标宋简体"/>
          <w:color w:val="auto"/>
          <w:kern w:val="2"/>
          <w:sz w:val="32"/>
          <w:szCs w:val="32"/>
          <w:lang w:val="en-US"/>
        </w:rPr>
        <w:t>年市级专项资金预算项目</w:t>
      </w:r>
    </w:p>
    <w:p>
      <w:pPr>
        <w:pStyle w:val="35"/>
        <w:spacing w:line="578" w:lineRule="exact"/>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(乡村振兴工作经费)支出绩效自评报告</w:t>
      </w:r>
    </w:p>
    <w:p>
      <w:pPr>
        <w:pStyle w:val="35"/>
        <w:spacing w:line="578" w:lineRule="exact"/>
        <w:ind w:firstLine="640"/>
        <w:jc w:val="center"/>
        <w:rPr>
          <w:rFonts w:ascii="宋体" w:hAnsi="宋体"/>
          <w:color w:val="auto"/>
          <w:kern w:val="2"/>
          <w:sz w:val="32"/>
          <w:szCs w:val="32"/>
        </w:rPr>
      </w:pPr>
    </w:p>
    <w:p>
      <w:pPr>
        <w:adjustRightInd w:val="0"/>
        <w:snapToGrid w:val="0"/>
        <w:spacing w:line="578" w:lineRule="exact"/>
        <w:ind w:firstLine="640" w:firstLineChars="200"/>
        <w:outlineLvl w:val="1"/>
        <w:rPr>
          <w:rFonts w:ascii="黑体" w:hAnsi="宋体" w:eastAsia="黑体"/>
          <w:sz w:val="32"/>
          <w:szCs w:val="32"/>
          <w:lang w:val="zh-CN"/>
        </w:rPr>
      </w:pPr>
      <w:bookmarkStart w:id="92" w:name="_Toc31564"/>
      <w:r>
        <w:rPr>
          <w:rFonts w:hint="eastAsia" w:ascii="黑体" w:hAnsi="宋体" w:eastAsia="黑体"/>
          <w:sz w:val="32"/>
          <w:szCs w:val="32"/>
        </w:rPr>
        <w:t>一、</w:t>
      </w:r>
      <w:r>
        <w:rPr>
          <w:rFonts w:hint="eastAsia" w:ascii="黑体" w:hAnsi="宋体" w:eastAsia="黑体"/>
          <w:sz w:val="32"/>
          <w:szCs w:val="32"/>
          <w:lang w:val="zh-CN"/>
        </w:rPr>
        <w:t>项目概况</w:t>
      </w:r>
      <w:bookmarkEnd w:id="92"/>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（一）项目基本情况。</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1．我院在</w:t>
      </w:r>
      <w:r>
        <w:rPr>
          <w:rFonts w:hint="eastAsia" w:ascii="仿宋_GB2312" w:hAnsi="仿宋_GB2312" w:cs="仿宋_GB2312"/>
          <w:kern w:val="0"/>
          <w:sz w:val="32"/>
          <w:szCs w:val="32"/>
          <w:shd w:val="clear" w:color="auto" w:fill="FFFFFF"/>
          <w:lang w:val="en-US"/>
        </w:rPr>
        <w:t>乡村振兴工作经费</w:t>
      </w:r>
      <w:r>
        <w:rPr>
          <w:rFonts w:hint="eastAsia" w:ascii="仿宋_GB2312" w:hAnsi="仿宋_GB2312" w:cs="仿宋_GB2312"/>
          <w:kern w:val="0"/>
          <w:sz w:val="32"/>
          <w:szCs w:val="32"/>
          <w:shd w:val="clear" w:color="auto" w:fill="FFFFFF"/>
          <w:lang w:val="zh-CN"/>
        </w:rPr>
        <w:t>项目资金的使用过程中严格监管并按资金管理办法规定的范围和标准分配资金。</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2．项目立项按照</w:t>
      </w:r>
      <w:r>
        <w:rPr>
          <w:rFonts w:hint="eastAsia" w:ascii="仿宋_GB2312" w:hAnsi="仿宋_GB2312" w:cs="仿宋_GB2312"/>
          <w:kern w:val="0"/>
          <w:sz w:val="32"/>
          <w:szCs w:val="32"/>
          <w:shd w:val="clear" w:color="auto" w:fill="FFFFFF"/>
          <w:lang w:val="en-US"/>
        </w:rPr>
        <w:t>乡村振兴工作经费</w:t>
      </w:r>
      <w:r>
        <w:rPr>
          <w:rFonts w:hint="eastAsia" w:ascii="仿宋_GB2312" w:hAnsi="仿宋_GB2312" w:cs="仿宋_GB2312"/>
          <w:kern w:val="0"/>
          <w:sz w:val="32"/>
          <w:szCs w:val="32"/>
          <w:shd w:val="clear" w:color="auto" w:fill="FFFFFF"/>
          <w:lang w:val="zh-CN"/>
        </w:rPr>
        <w:t>发放规定设立。</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3．严格执行资金使用审核制度。</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4．资金分配的范围和标准按照</w:t>
      </w:r>
      <w:r>
        <w:rPr>
          <w:rFonts w:hint="eastAsia" w:ascii="仿宋_GB2312" w:hAnsi="仿宋_GB2312" w:cs="仿宋_GB2312"/>
          <w:kern w:val="0"/>
          <w:sz w:val="32"/>
          <w:szCs w:val="32"/>
          <w:shd w:val="clear" w:color="auto" w:fill="FFFFFF"/>
          <w:lang w:val="en-US"/>
        </w:rPr>
        <w:t>乡村振兴工作经费</w:t>
      </w:r>
      <w:r>
        <w:rPr>
          <w:rFonts w:hint="eastAsia" w:ascii="仿宋_GB2312" w:hAnsi="仿宋_GB2312" w:cs="仿宋_GB2312"/>
          <w:kern w:val="0"/>
          <w:sz w:val="32"/>
          <w:szCs w:val="32"/>
          <w:shd w:val="clear" w:color="auto" w:fill="FFFFFF"/>
          <w:lang w:val="zh-CN"/>
        </w:rPr>
        <w:t>发放规定执行。</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（二）项目绩效目标。</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1．此项目主要用于</w:t>
      </w:r>
      <w:r>
        <w:rPr>
          <w:rFonts w:hint="eastAsia" w:ascii="仿宋_GB2312" w:hAnsi="仿宋_GB2312" w:cs="仿宋_GB2312"/>
          <w:kern w:val="0"/>
          <w:sz w:val="32"/>
          <w:szCs w:val="32"/>
          <w:shd w:val="clear" w:color="auto" w:fill="FFFFFF"/>
          <w:lang w:val="en-US"/>
        </w:rPr>
        <w:t>乡村振兴工作经费</w:t>
      </w:r>
      <w:r>
        <w:rPr>
          <w:rFonts w:hint="eastAsia" w:ascii="仿宋_GB2312" w:hAnsi="仿宋_GB2312" w:cs="仿宋_GB2312"/>
          <w:kern w:val="0"/>
          <w:sz w:val="32"/>
          <w:szCs w:val="32"/>
          <w:shd w:val="clear" w:color="auto" w:fill="FFFFFF"/>
          <w:lang w:val="zh-CN"/>
        </w:rPr>
        <w:t>发放。</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2．</w:t>
      </w:r>
      <w:r>
        <w:rPr>
          <w:rFonts w:hint="eastAsia" w:ascii="仿宋_GB2312" w:hAnsi="仿宋_GB2312" w:cs="仿宋_GB2312"/>
          <w:kern w:val="0"/>
          <w:sz w:val="32"/>
          <w:szCs w:val="32"/>
          <w:shd w:val="clear" w:color="auto" w:fill="FFFFFF"/>
          <w:lang w:val="en-US"/>
        </w:rPr>
        <w:t>乡村振兴工作经费</w:t>
      </w:r>
      <w:r>
        <w:rPr>
          <w:rFonts w:hint="eastAsia" w:ascii="仿宋_GB2312" w:hAnsi="仿宋_GB2312" w:cs="仿宋_GB2312"/>
          <w:kern w:val="0"/>
          <w:sz w:val="32"/>
          <w:szCs w:val="32"/>
          <w:shd w:val="clear" w:color="auto" w:fill="FFFFFF"/>
          <w:lang w:val="zh-CN"/>
        </w:rPr>
        <w:t>项目主要达到了以下绩效目标：助力乡村振兴工作，做好乡村振兴工作，树立检察形象，增强了检察院审判的社会公信力和认同感，提高了人民群众满意度，完成了年初设定的目标。</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3．申报内容与实际相结合，申报目标严格测算，合理可行。</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（三）项目自评步骤及方法。</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项目绩效自评按照年初设置的绩效目标逐一仔细的对照核查，寻找合理的数据支撑。</w:t>
      </w:r>
    </w:p>
    <w:p>
      <w:pPr>
        <w:adjustRightInd w:val="0"/>
        <w:snapToGrid w:val="0"/>
        <w:spacing w:line="578" w:lineRule="exact"/>
        <w:ind w:firstLine="640" w:firstLineChars="200"/>
        <w:outlineLvl w:val="1"/>
        <w:rPr>
          <w:rFonts w:ascii="黑体" w:hAnsi="宋体" w:eastAsia="黑体"/>
          <w:sz w:val="32"/>
          <w:szCs w:val="32"/>
        </w:rPr>
      </w:pPr>
      <w:bookmarkStart w:id="93" w:name="_Toc27406"/>
      <w:r>
        <w:rPr>
          <w:rFonts w:hint="eastAsia" w:ascii="黑体" w:hAnsi="宋体" w:eastAsia="黑体"/>
          <w:sz w:val="32"/>
          <w:szCs w:val="32"/>
        </w:rPr>
        <w:t>二、项目资金申报及使用情况</w:t>
      </w:r>
      <w:bookmarkEnd w:id="93"/>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项目资金于年初预算申报，按时申请支出计划，财政批复及时。</w:t>
      </w:r>
    </w:p>
    <w:p>
      <w:pPr>
        <w:adjustRightInd w:val="0"/>
        <w:snapToGrid w:val="0"/>
        <w:spacing w:line="578" w:lineRule="exact"/>
        <w:ind w:firstLine="640" w:firstLineChars="200"/>
        <w:rPr>
          <w:rFonts w:ascii="仿宋_GB2312" w:hAnsi="宋体"/>
          <w:sz w:val="32"/>
          <w:szCs w:val="32"/>
          <w:lang w:val="zh-CN"/>
        </w:rPr>
      </w:pPr>
      <w:r>
        <w:rPr>
          <w:rFonts w:hint="eastAsia" w:ascii="楷体_GB2312" w:hAnsi="宋体" w:eastAsia="楷体_GB2312"/>
          <w:sz w:val="32"/>
          <w:szCs w:val="32"/>
          <w:lang w:val="zh-CN"/>
        </w:rPr>
        <w:t>（二）资金计划、到位及使用情况。</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1．资金计划。该项目由市级财政资金全额拨款保障。</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2．资金到位。资金到位及时，到位率高，使用效率高。</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3．资金使用。资金使用注重安全性、规范性、有效性，按项目管理办法规定的范围和标准分配资金，资金支付范围、支付标准、支付进度、支付依据等合规合法、与预算相符。</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（三）项目财务管理情况。</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我院财务管理制度健全，严格执行财务管理制度，账务处理及时，会计核算规范等。</w:t>
      </w:r>
    </w:p>
    <w:p>
      <w:pPr>
        <w:adjustRightInd w:val="0"/>
        <w:snapToGrid w:val="0"/>
        <w:spacing w:line="578" w:lineRule="exact"/>
        <w:ind w:firstLine="640" w:firstLineChars="200"/>
        <w:outlineLvl w:val="1"/>
        <w:rPr>
          <w:rFonts w:ascii="黑体" w:hAnsi="宋体" w:eastAsia="黑体"/>
          <w:sz w:val="32"/>
          <w:szCs w:val="32"/>
        </w:rPr>
      </w:pPr>
      <w:bookmarkStart w:id="94" w:name="_Toc31148"/>
      <w:r>
        <w:rPr>
          <w:rFonts w:hint="eastAsia" w:ascii="黑体" w:hAnsi="宋体" w:eastAsia="黑体"/>
          <w:sz w:val="32"/>
          <w:szCs w:val="32"/>
        </w:rPr>
        <w:t>三、项目实施及管理情况</w:t>
      </w:r>
      <w:bookmarkEnd w:id="94"/>
    </w:p>
    <w:p>
      <w:pPr>
        <w:adjustRightInd w:val="0"/>
        <w:snapToGrid w:val="0"/>
        <w:spacing w:line="578" w:lineRule="exact"/>
        <w:ind w:firstLine="640" w:firstLineChars="200"/>
        <w:rPr>
          <w:rFonts w:ascii="黑体" w:hAnsi="宋体" w:eastAsia="黑体"/>
          <w:sz w:val="32"/>
          <w:szCs w:val="32"/>
        </w:rPr>
      </w:pPr>
      <w:r>
        <w:rPr>
          <w:rFonts w:hint="eastAsia" w:ascii="楷体_GB2312" w:hAnsi="宋体" w:eastAsia="楷体_GB2312"/>
          <w:sz w:val="32"/>
          <w:szCs w:val="32"/>
          <w:lang w:val="zh-CN"/>
        </w:rPr>
        <w:t>（一）项目实施严格遵照项目</w:t>
      </w:r>
      <w:r>
        <w:rPr>
          <w:rFonts w:hint="eastAsia" w:ascii="仿宋_GB2312" w:hAnsi="仿宋_GB2312" w:cs="仿宋_GB2312"/>
          <w:kern w:val="0"/>
          <w:sz w:val="32"/>
          <w:szCs w:val="32"/>
          <w:shd w:val="clear" w:color="auto" w:fill="FFFFFF"/>
          <w:lang w:val="zh-CN"/>
        </w:rPr>
        <w:t>组织实施管理办法</w:t>
      </w:r>
      <w:r>
        <w:rPr>
          <w:rFonts w:hint="eastAsia" w:ascii="楷体_GB2312" w:hAnsi="宋体" w:eastAsia="楷体_GB2312"/>
          <w:sz w:val="32"/>
          <w:szCs w:val="32"/>
          <w:lang w:val="zh-CN"/>
        </w:rPr>
        <w:t>。</w:t>
      </w:r>
    </w:p>
    <w:p>
      <w:pPr>
        <w:adjustRightInd w:val="0"/>
        <w:snapToGrid w:val="0"/>
        <w:spacing w:line="578" w:lineRule="exact"/>
        <w:ind w:firstLine="640" w:firstLineChars="200"/>
        <w:rPr>
          <w:rFonts w:ascii="黑体" w:hAnsi="宋体" w:eastAsia="黑体"/>
          <w:sz w:val="32"/>
          <w:szCs w:val="32"/>
        </w:rPr>
      </w:pPr>
      <w:r>
        <w:rPr>
          <w:rFonts w:hint="eastAsia" w:ascii="楷体_GB2312" w:hAnsi="宋体" w:eastAsia="楷体_GB2312"/>
          <w:sz w:val="32"/>
          <w:szCs w:val="32"/>
          <w:lang w:val="zh-CN"/>
        </w:rPr>
        <w:t>（二）</w:t>
      </w:r>
      <w:r>
        <w:rPr>
          <w:rFonts w:hint="eastAsia" w:ascii="仿宋_GB2312" w:hAnsi="仿宋_GB2312" w:cs="仿宋_GB2312"/>
          <w:kern w:val="0"/>
          <w:sz w:val="32"/>
          <w:szCs w:val="32"/>
          <w:shd w:val="clear" w:color="auto" w:fill="FFFFFF"/>
          <w:lang w:val="zh-CN"/>
        </w:rPr>
        <w:t>我单位执行此项目资金严格按照资金管理办法分配执行。</w:t>
      </w:r>
    </w:p>
    <w:p>
      <w:pPr>
        <w:adjustRightInd w:val="0"/>
        <w:snapToGrid w:val="0"/>
        <w:spacing w:line="578" w:lineRule="exact"/>
        <w:ind w:firstLine="640" w:firstLineChars="200"/>
        <w:rPr>
          <w:rFonts w:ascii="黑体" w:hAnsi="宋体" w:eastAsia="黑体"/>
          <w:sz w:val="32"/>
          <w:szCs w:val="32"/>
        </w:rPr>
      </w:pPr>
      <w:r>
        <w:rPr>
          <w:rFonts w:hint="eastAsia" w:ascii="楷体_GB2312" w:hAnsi="宋体" w:eastAsia="楷体_GB2312"/>
          <w:sz w:val="32"/>
          <w:szCs w:val="32"/>
          <w:lang w:val="zh-CN"/>
        </w:rPr>
        <w:t>（三）项目监管到位，使用范围及执行流程合理、合规。</w:t>
      </w:r>
    </w:p>
    <w:p>
      <w:pPr>
        <w:adjustRightInd w:val="0"/>
        <w:snapToGrid w:val="0"/>
        <w:spacing w:line="578" w:lineRule="exact"/>
        <w:ind w:firstLine="640" w:firstLineChars="200"/>
        <w:outlineLvl w:val="1"/>
        <w:rPr>
          <w:rFonts w:ascii="仿宋_GB2312" w:hAnsi="宋体"/>
          <w:sz w:val="32"/>
          <w:szCs w:val="32"/>
          <w:highlight w:val="none"/>
          <w:lang w:val="zh-CN"/>
        </w:rPr>
      </w:pPr>
      <w:bookmarkStart w:id="95" w:name="_Toc21460"/>
      <w:r>
        <w:rPr>
          <w:rFonts w:hint="eastAsia" w:ascii="黑体" w:hAnsi="宋体" w:eastAsia="黑体"/>
          <w:sz w:val="32"/>
          <w:szCs w:val="32"/>
          <w:highlight w:val="none"/>
        </w:rPr>
        <w:t>四、项目绩效情况</w:t>
      </w:r>
      <w:bookmarkEnd w:id="95"/>
      <w:r>
        <w:rPr>
          <w:rFonts w:hint="eastAsia" w:ascii="仿宋_GB2312" w:hAnsi="宋体"/>
          <w:sz w:val="32"/>
          <w:szCs w:val="32"/>
          <w:highlight w:val="none"/>
          <w:lang w:val="zh-CN"/>
        </w:rPr>
        <w:tab/>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（一）项目完成情况。</w:t>
      </w:r>
    </w:p>
    <w:p>
      <w:pPr>
        <w:adjustRightInd w:val="0"/>
        <w:snapToGrid w:val="0"/>
        <w:spacing w:line="578" w:lineRule="exact"/>
        <w:ind w:firstLine="640" w:firstLineChars="200"/>
        <w:contextualSpacing/>
        <w:rPr>
          <w:rFonts w:hint="default" w:ascii="仿宋_GB2312" w:hAnsi="仿宋_GB2312" w:eastAsia="宋体" w:cs="仿宋_GB2312"/>
          <w:kern w:val="0"/>
          <w:sz w:val="32"/>
          <w:szCs w:val="32"/>
          <w:shd w:val="clear" w:color="auto" w:fill="FFFFFF"/>
          <w:lang w:val="en-US" w:eastAsia="zh-CN"/>
        </w:rPr>
      </w:pPr>
      <w:r>
        <w:rPr>
          <w:rFonts w:hint="eastAsia" w:ascii="仿宋_GB2312" w:hAnsi="仿宋_GB2312" w:cs="仿宋_GB2312"/>
          <w:kern w:val="0"/>
          <w:sz w:val="32"/>
          <w:szCs w:val="32"/>
          <w:shd w:val="clear" w:color="auto" w:fill="FFFFFF"/>
        </w:rPr>
        <w:t>此项目绩效目标完成及时，</w:t>
      </w:r>
      <w:r>
        <w:rPr>
          <w:rFonts w:hint="eastAsia" w:ascii="仿宋_GB2312" w:hAnsi="仿宋_GB2312" w:cs="仿宋_GB2312"/>
          <w:kern w:val="0"/>
          <w:sz w:val="32"/>
          <w:szCs w:val="32"/>
          <w:shd w:val="clear" w:color="auto" w:fill="FFFFFF"/>
          <w:lang w:eastAsia="zh-CN"/>
        </w:rPr>
        <w:t>资金使用率达到</w:t>
      </w:r>
      <w:r>
        <w:rPr>
          <w:rFonts w:hint="eastAsia" w:ascii="仿宋_GB2312" w:hAnsi="仿宋_GB2312" w:cs="仿宋_GB2312"/>
          <w:kern w:val="0"/>
          <w:sz w:val="32"/>
          <w:szCs w:val="32"/>
          <w:shd w:val="clear" w:color="auto" w:fill="FFFFFF"/>
          <w:lang w:val="en-US" w:eastAsia="zh-CN"/>
        </w:rPr>
        <w:t>98.27%，</w:t>
      </w:r>
      <w:r>
        <w:rPr>
          <w:rFonts w:hint="eastAsia" w:ascii="仿宋_GB2312" w:hAnsi="仿宋_GB2312" w:cs="仿宋_GB2312"/>
          <w:kern w:val="0"/>
          <w:sz w:val="32"/>
          <w:szCs w:val="32"/>
          <w:shd w:val="clear" w:color="auto" w:fill="FFFFFF"/>
        </w:rPr>
        <w:t>提高了办事人民群众满意度</w:t>
      </w:r>
      <w:r>
        <w:rPr>
          <w:rFonts w:hint="eastAsia" w:ascii="仿宋_GB2312" w:hAnsi="仿宋_GB2312" w:cs="仿宋_GB2312"/>
          <w:kern w:val="0"/>
          <w:sz w:val="32"/>
          <w:szCs w:val="32"/>
          <w:shd w:val="clear" w:color="auto" w:fill="FFFFFF"/>
          <w:lang w:val="en-US" w:eastAsia="zh-CN"/>
        </w:rPr>
        <w:t>95%，提高了人民的经济生活水平。</w:t>
      </w:r>
    </w:p>
    <w:p>
      <w:pPr>
        <w:adjustRightInd w:val="0"/>
        <w:snapToGrid w:val="0"/>
        <w:spacing w:line="578" w:lineRule="exact"/>
        <w:ind w:firstLine="640" w:firstLineChars="200"/>
        <w:contextualSpacing/>
        <w:rPr>
          <w:rFonts w:ascii="楷体_GB2312" w:hAnsi="宋体" w:eastAsia="楷体_GB2312"/>
          <w:sz w:val="32"/>
          <w:szCs w:val="32"/>
          <w:lang w:val="zh-CN"/>
        </w:rPr>
      </w:pPr>
      <w:r>
        <w:rPr>
          <w:rFonts w:hint="eastAsia" w:ascii="楷体_GB2312" w:hAnsi="宋体" w:eastAsia="楷体_GB2312"/>
          <w:sz w:val="32"/>
          <w:szCs w:val="32"/>
          <w:lang w:val="zh-CN"/>
        </w:rPr>
        <w:t>（二）项目效益情况。</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rPr>
        <w:t>该项目在可持续影响指标方面营造了和谐稳定的社会环境，在社会效益指标方面提升了司法公信力，在满意度指标方面提高了办事人民群众的满意度。</w:t>
      </w:r>
    </w:p>
    <w:p>
      <w:pPr>
        <w:adjustRightInd w:val="0"/>
        <w:snapToGrid w:val="0"/>
        <w:spacing w:line="578" w:lineRule="exact"/>
        <w:ind w:firstLine="640" w:firstLineChars="200"/>
        <w:outlineLvl w:val="1"/>
        <w:rPr>
          <w:rFonts w:ascii="黑体" w:hAnsi="宋体" w:eastAsia="黑体"/>
          <w:sz w:val="32"/>
          <w:szCs w:val="32"/>
        </w:rPr>
      </w:pPr>
      <w:bookmarkStart w:id="96" w:name="_Toc5184"/>
      <w:r>
        <w:rPr>
          <w:rFonts w:hint="eastAsia" w:ascii="黑体" w:hAnsi="宋体" w:eastAsia="黑体"/>
          <w:sz w:val="32"/>
          <w:szCs w:val="32"/>
        </w:rPr>
        <w:t>五、评价结论及建议</w:t>
      </w:r>
      <w:bookmarkEnd w:id="96"/>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（一）评价结论。</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该项目立项合理，申报及时，使用效率高，使用范围合规。</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（二）存在的问题。</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rPr>
      </w:pPr>
      <w:r>
        <w:rPr>
          <w:rFonts w:hint="eastAsia" w:ascii="仿宋_GB2312" w:hAnsi="仿宋_GB2312" w:cs="仿宋_GB2312"/>
          <w:kern w:val="0"/>
          <w:sz w:val="32"/>
          <w:szCs w:val="32"/>
          <w:shd w:val="clear" w:color="auto" w:fill="FFFFFF"/>
          <w:lang w:val="zh-CN"/>
        </w:rPr>
        <w:t>无。</w:t>
      </w:r>
    </w:p>
    <w:p>
      <w:pPr>
        <w:adjustRightInd w:val="0"/>
        <w:snapToGrid w:val="0"/>
        <w:spacing w:line="578" w:lineRule="exact"/>
        <w:ind w:firstLine="640" w:firstLineChars="200"/>
        <w:rPr>
          <w:rFonts w:hint="eastAsia" w:ascii="黑体" w:hAnsi="黑体" w:eastAsia="黑体"/>
          <w:color w:val="auto"/>
          <w:sz w:val="44"/>
          <w:szCs w:val="44"/>
          <w:highlight w:val="none"/>
        </w:rPr>
        <w:sectPr>
          <w:footerReference r:id="rId9" w:type="first"/>
          <w:footerReference r:id="rId8" w:type="default"/>
          <w:pgSz w:w="11906" w:h="16838"/>
          <w:pgMar w:top="1440" w:right="1800" w:bottom="1440" w:left="1800" w:header="851" w:footer="992" w:gutter="0"/>
          <w:pgNumType w:fmt="decimal"/>
          <w:cols w:space="425" w:num="1"/>
          <w:titlePg/>
          <w:docGrid w:type="lines" w:linePitch="312" w:charSpace="0"/>
        </w:sectPr>
      </w:pPr>
      <w:r>
        <w:rPr>
          <w:rFonts w:hint="eastAsia" w:ascii="楷体_GB2312" w:hAnsi="宋体" w:eastAsia="楷体_GB2312"/>
          <w:sz w:val="32"/>
          <w:szCs w:val="32"/>
          <w:lang w:val="zh-CN"/>
        </w:rPr>
        <w:t>（三）相关建议。</w:t>
      </w: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sectPr>
          <w:pgSz w:w="11906" w:h="16838"/>
          <w:pgMar w:top="1440" w:right="1800" w:bottom="1440" w:left="1800" w:header="851" w:footer="992" w:gutter="0"/>
          <w:pgNumType w:fmt="decimal"/>
          <w:cols w:space="425" w:num="1"/>
          <w:titlePg/>
          <w:docGrid w:type="lines" w:linePitch="312" w:charSpace="0"/>
        </w:sectPr>
      </w:pPr>
      <w:r>
        <w:drawing>
          <wp:inline distT="0" distB="0" distL="114300" distR="114300">
            <wp:extent cx="4972050" cy="3829050"/>
            <wp:effectExtent l="0" t="0" r="0" b="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pic:cNvPicPr>
                      <a:picLocks noChangeAspect="1"/>
                    </pic:cNvPicPr>
                  </pic:nvPicPr>
                  <pic:blipFill>
                    <a:blip r:embed="rId21"/>
                    <a:stretch>
                      <a:fillRect/>
                    </a:stretch>
                  </pic:blipFill>
                  <pic:spPr>
                    <a:xfrm>
                      <a:off x="0" y="0"/>
                      <a:ext cx="4972050" cy="3829050"/>
                    </a:xfrm>
                    <a:prstGeom prst="rect">
                      <a:avLst/>
                    </a:prstGeom>
                    <a:noFill/>
                    <a:ln>
                      <a:noFill/>
                    </a:ln>
                  </pic:spPr>
                </pic:pic>
              </a:graphicData>
            </a:graphic>
          </wp:inline>
        </w:drawing>
      </w:r>
    </w:p>
    <w:p>
      <w:pPr>
        <w:pStyle w:val="35"/>
        <w:spacing w:line="578" w:lineRule="exact"/>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2023年市级专项资金预算项目(司法警察加班费)</w:t>
      </w:r>
    </w:p>
    <w:p>
      <w:pPr>
        <w:pStyle w:val="35"/>
        <w:spacing w:line="578" w:lineRule="exact"/>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支出绩效自评报告</w:t>
      </w:r>
    </w:p>
    <w:p>
      <w:pPr>
        <w:pStyle w:val="35"/>
        <w:spacing w:line="578" w:lineRule="exact"/>
        <w:ind w:firstLine="640"/>
        <w:jc w:val="center"/>
        <w:rPr>
          <w:rFonts w:ascii="宋体" w:hAnsi="宋体"/>
          <w:color w:val="auto"/>
          <w:kern w:val="2"/>
          <w:sz w:val="32"/>
          <w:szCs w:val="32"/>
        </w:rPr>
      </w:pPr>
    </w:p>
    <w:p>
      <w:pPr>
        <w:adjustRightInd w:val="0"/>
        <w:snapToGrid w:val="0"/>
        <w:spacing w:line="578" w:lineRule="exact"/>
        <w:ind w:firstLine="640" w:firstLineChars="200"/>
        <w:outlineLvl w:val="1"/>
        <w:rPr>
          <w:rFonts w:ascii="黑体" w:hAnsi="宋体" w:eastAsia="黑体"/>
          <w:sz w:val="32"/>
          <w:szCs w:val="32"/>
          <w:lang w:val="zh-CN"/>
        </w:rPr>
      </w:pPr>
      <w:bookmarkStart w:id="97" w:name="_Toc892"/>
      <w:r>
        <w:rPr>
          <w:rFonts w:hint="eastAsia" w:ascii="黑体" w:hAnsi="宋体" w:eastAsia="黑体"/>
          <w:sz w:val="32"/>
          <w:szCs w:val="32"/>
        </w:rPr>
        <w:t>一、</w:t>
      </w:r>
      <w:r>
        <w:rPr>
          <w:rFonts w:hint="eastAsia" w:ascii="黑体" w:hAnsi="宋体" w:eastAsia="黑体"/>
          <w:sz w:val="32"/>
          <w:szCs w:val="32"/>
          <w:lang w:val="zh-CN"/>
        </w:rPr>
        <w:t>项目概况</w:t>
      </w:r>
      <w:bookmarkEnd w:id="97"/>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（一）项目基本情况。</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1．我院在</w:t>
      </w:r>
      <w:r>
        <w:rPr>
          <w:rFonts w:hint="eastAsia" w:ascii="仿宋_GB2312" w:hAnsi="仿宋_GB2312" w:cs="仿宋_GB2312"/>
          <w:kern w:val="0"/>
          <w:sz w:val="32"/>
          <w:szCs w:val="32"/>
          <w:shd w:val="clear" w:color="auto" w:fill="FFFFFF"/>
          <w:lang w:val="en-US"/>
        </w:rPr>
        <w:t>司法警察加班费</w:t>
      </w:r>
      <w:r>
        <w:rPr>
          <w:rFonts w:hint="eastAsia" w:ascii="仿宋_GB2312" w:hAnsi="仿宋_GB2312" w:cs="仿宋_GB2312"/>
          <w:kern w:val="0"/>
          <w:sz w:val="32"/>
          <w:szCs w:val="32"/>
          <w:shd w:val="clear" w:color="auto" w:fill="FFFFFF"/>
          <w:lang w:val="zh-CN"/>
        </w:rPr>
        <w:t>项目资金的使用过程中严格监管并按资金管理办法规定的范围和标准分配资金。</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2．项目立项按照司法警察加班补贴发放规定设立。</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3．严格执行资金使用审核制度。</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4．资金分配的范围和标准按照司法警察加班补贴发放规定执行。</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（二）项目绩效目标。</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1．此项目主要用于司法警察加班补贴发放。</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2．司法警察加班补贴项目主要达到了以下绩效目标：维护和谐稳定，提高资金使用效益，保障3名司法警察加班费，完成了年初设定的目标。</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3．申报内容与实际相结合，申报目标严格测算，合理可行。</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（三）项目自评步骤及方法。</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项目绩效自评按照年初设置的绩效目标逐一仔细的对照核查，寻找合理的数据支撑。</w:t>
      </w:r>
    </w:p>
    <w:p>
      <w:pPr>
        <w:adjustRightInd w:val="0"/>
        <w:snapToGrid w:val="0"/>
        <w:spacing w:line="578" w:lineRule="exact"/>
        <w:ind w:firstLine="640" w:firstLineChars="200"/>
        <w:outlineLvl w:val="1"/>
        <w:rPr>
          <w:rFonts w:ascii="黑体" w:hAnsi="宋体" w:eastAsia="黑体"/>
          <w:sz w:val="32"/>
          <w:szCs w:val="32"/>
        </w:rPr>
      </w:pPr>
      <w:bookmarkStart w:id="98" w:name="_Toc3260"/>
      <w:r>
        <w:rPr>
          <w:rFonts w:hint="eastAsia" w:ascii="黑体" w:hAnsi="宋体" w:eastAsia="黑体"/>
          <w:sz w:val="32"/>
          <w:szCs w:val="32"/>
        </w:rPr>
        <w:t>二、项目资金申报及使用情况</w:t>
      </w:r>
      <w:bookmarkEnd w:id="98"/>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项目资金于年初预算申报，按时申请支出计划，财政批复及时。</w:t>
      </w:r>
    </w:p>
    <w:p>
      <w:pPr>
        <w:adjustRightInd w:val="0"/>
        <w:snapToGrid w:val="0"/>
        <w:spacing w:line="578" w:lineRule="exact"/>
        <w:ind w:firstLine="640" w:firstLineChars="200"/>
        <w:rPr>
          <w:rFonts w:ascii="仿宋_GB2312" w:hAnsi="宋体"/>
          <w:sz w:val="32"/>
          <w:szCs w:val="32"/>
          <w:lang w:val="zh-CN"/>
        </w:rPr>
      </w:pPr>
      <w:r>
        <w:rPr>
          <w:rFonts w:hint="eastAsia" w:ascii="楷体_GB2312" w:hAnsi="宋体" w:eastAsia="楷体_GB2312"/>
          <w:sz w:val="32"/>
          <w:szCs w:val="32"/>
          <w:lang w:val="zh-CN"/>
        </w:rPr>
        <w:t>（二）资金计划、到位及使用情况。</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1．资金计划。该项目由市级财政资金全额拨款保障。</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2．资金到位。资金到位及时，到位率高，使用效率高。</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3．资金使用。资金使用注重安全性、规范性、有效性，按项目管理办法规定的范围和标准分配资金，资金支付范围、支付标准、支付进度、支付依据等合规合法、与预算相符。</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（三）项目财务管理情况。</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我院财务管理制度健全，严格执行财务管理制度，账务处理及时，会计核算规范等。</w:t>
      </w:r>
    </w:p>
    <w:p>
      <w:pPr>
        <w:adjustRightInd w:val="0"/>
        <w:snapToGrid w:val="0"/>
        <w:spacing w:line="578" w:lineRule="exact"/>
        <w:ind w:firstLine="640" w:firstLineChars="200"/>
        <w:outlineLvl w:val="1"/>
        <w:rPr>
          <w:rFonts w:ascii="黑体" w:hAnsi="宋体" w:eastAsia="黑体"/>
          <w:sz w:val="32"/>
          <w:szCs w:val="32"/>
        </w:rPr>
      </w:pPr>
      <w:bookmarkStart w:id="99" w:name="_Toc29398"/>
      <w:r>
        <w:rPr>
          <w:rFonts w:hint="eastAsia" w:ascii="黑体" w:hAnsi="宋体" w:eastAsia="黑体"/>
          <w:sz w:val="32"/>
          <w:szCs w:val="32"/>
        </w:rPr>
        <w:t>三、项目实施及管理情况</w:t>
      </w:r>
      <w:bookmarkEnd w:id="99"/>
    </w:p>
    <w:p>
      <w:pPr>
        <w:adjustRightInd w:val="0"/>
        <w:snapToGrid w:val="0"/>
        <w:spacing w:line="578" w:lineRule="exact"/>
        <w:ind w:firstLine="640" w:firstLineChars="200"/>
        <w:rPr>
          <w:rFonts w:ascii="黑体" w:hAnsi="宋体" w:eastAsia="黑体"/>
          <w:sz w:val="32"/>
          <w:szCs w:val="32"/>
        </w:rPr>
      </w:pPr>
      <w:r>
        <w:rPr>
          <w:rFonts w:hint="eastAsia" w:ascii="楷体_GB2312" w:hAnsi="宋体" w:eastAsia="楷体_GB2312"/>
          <w:sz w:val="32"/>
          <w:szCs w:val="32"/>
          <w:lang w:val="zh-CN"/>
        </w:rPr>
        <w:t>（一）项目实施严格遵照项目</w:t>
      </w:r>
      <w:r>
        <w:rPr>
          <w:rFonts w:hint="eastAsia" w:ascii="仿宋_GB2312" w:hAnsi="仿宋_GB2312" w:cs="仿宋_GB2312"/>
          <w:kern w:val="0"/>
          <w:sz w:val="32"/>
          <w:szCs w:val="32"/>
          <w:shd w:val="clear" w:color="auto" w:fill="FFFFFF"/>
          <w:lang w:val="zh-CN"/>
        </w:rPr>
        <w:t>组织实施管理办法</w:t>
      </w:r>
      <w:r>
        <w:rPr>
          <w:rFonts w:hint="eastAsia" w:ascii="楷体_GB2312" w:hAnsi="宋体" w:eastAsia="楷体_GB2312"/>
          <w:sz w:val="32"/>
          <w:szCs w:val="32"/>
          <w:lang w:val="zh-CN"/>
        </w:rPr>
        <w:t>。</w:t>
      </w:r>
    </w:p>
    <w:p>
      <w:pPr>
        <w:adjustRightInd w:val="0"/>
        <w:snapToGrid w:val="0"/>
        <w:spacing w:line="578" w:lineRule="exact"/>
        <w:ind w:firstLine="640" w:firstLineChars="200"/>
        <w:rPr>
          <w:rFonts w:ascii="黑体" w:hAnsi="宋体" w:eastAsia="黑体"/>
          <w:sz w:val="32"/>
          <w:szCs w:val="32"/>
        </w:rPr>
      </w:pPr>
      <w:r>
        <w:rPr>
          <w:rFonts w:hint="eastAsia" w:ascii="楷体_GB2312" w:hAnsi="宋体" w:eastAsia="楷体_GB2312"/>
          <w:sz w:val="32"/>
          <w:szCs w:val="32"/>
          <w:lang w:val="zh-CN"/>
        </w:rPr>
        <w:t>（二）</w:t>
      </w:r>
      <w:r>
        <w:rPr>
          <w:rFonts w:hint="eastAsia" w:ascii="仿宋_GB2312" w:hAnsi="仿宋_GB2312" w:cs="仿宋_GB2312"/>
          <w:kern w:val="0"/>
          <w:sz w:val="32"/>
          <w:szCs w:val="32"/>
          <w:shd w:val="clear" w:color="auto" w:fill="FFFFFF"/>
          <w:lang w:val="zh-CN"/>
        </w:rPr>
        <w:t>我单位执行此项目资金严格按照资金管理办法分配执行。</w:t>
      </w:r>
    </w:p>
    <w:p>
      <w:pPr>
        <w:adjustRightInd w:val="0"/>
        <w:snapToGrid w:val="0"/>
        <w:spacing w:line="578" w:lineRule="exact"/>
        <w:ind w:firstLine="640" w:firstLineChars="200"/>
        <w:rPr>
          <w:rFonts w:ascii="黑体" w:hAnsi="宋体" w:eastAsia="黑体"/>
          <w:sz w:val="32"/>
          <w:szCs w:val="32"/>
        </w:rPr>
      </w:pPr>
      <w:r>
        <w:rPr>
          <w:rFonts w:hint="eastAsia" w:ascii="楷体_GB2312" w:hAnsi="宋体" w:eastAsia="楷体_GB2312"/>
          <w:sz w:val="32"/>
          <w:szCs w:val="32"/>
          <w:lang w:val="zh-CN"/>
        </w:rPr>
        <w:t>（三）项目监管到位，使用范围及执行流程合理、合规。</w:t>
      </w:r>
    </w:p>
    <w:p>
      <w:pPr>
        <w:adjustRightInd w:val="0"/>
        <w:snapToGrid w:val="0"/>
        <w:spacing w:line="578" w:lineRule="exact"/>
        <w:ind w:firstLine="640" w:firstLineChars="200"/>
        <w:outlineLvl w:val="1"/>
        <w:rPr>
          <w:rFonts w:ascii="仿宋_GB2312" w:hAnsi="宋体"/>
          <w:sz w:val="32"/>
          <w:szCs w:val="32"/>
          <w:lang w:val="zh-CN"/>
        </w:rPr>
      </w:pPr>
      <w:bookmarkStart w:id="100" w:name="_Toc26344"/>
      <w:r>
        <w:rPr>
          <w:rFonts w:hint="eastAsia" w:ascii="黑体" w:hAnsi="宋体" w:eastAsia="黑体"/>
          <w:sz w:val="32"/>
          <w:szCs w:val="32"/>
        </w:rPr>
        <w:t>四、项目绩效情况</w:t>
      </w:r>
      <w:bookmarkEnd w:id="100"/>
      <w:r>
        <w:rPr>
          <w:rFonts w:hint="eastAsia" w:ascii="仿宋_GB2312" w:hAnsi="宋体"/>
          <w:sz w:val="32"/>
          <w:szCs w:val="32"/>
          <w:lang w:val="zh-CN"/>
        </w:rPr>
        <w:tab/>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（一）项目完成情况。</w:t>
      </w:r>
    </w:p>
    <w:p>
      <w:pPr>
        <w:adjustRightInd w:val="0"/>
        <w:snapToGrid w:val="0"/>
        <w:spacing w:line="578" w:lineRule="exact"/>
        <w:ind w:firstLine="640" w:firstLineChars="200"/>
        <w:contextualSpacing/>
        <w:rPr>
          <w:rFonts w:hint="eastAsia" w:ascii="仿宋_GB2312" w:hAnsi="仿宋_GB2312" w:cs="仿宋_GB2312"/>
          <w:kern w:val="0"/>
          <w:sz w:val="32"/>
          <w:szCs w:val="32"/>
          <w:shd w:val="clear" w:color="auto" w:fill="FFFFFF"/>
          <w:lang w:val="en-US" w:eastAsia="zh-CN"/>
        </w:rPr>
      </w:pPr>
      <w:r>
        <w:rPr>
          <w:rFonts w:hint="eastAsia" w:ascii="仿宋_GB2312" w:hAnsi="仿宋_GB2312" w:cs="仿宋_GB2312"/>
          <w:kern w:val="0"/>
          <w:sz w:val="32"/>
          <w:szCs w:val="32"/>
          <w:shd w:val="clear" w:color="auto" w:fill="FFFFFF"/>
        </w:rPr>
        <w:t>此项目绩效目标完成及时，</w:t>
      </w:r>
      <w:r>
        <w:rPr>
          <w:rFonts w:hint="eastAsia" w:ascii="仿宋_GB2312" w:hAnsi="仿宋_GB2312" w:cs="仿宋_GB2312"/>
          <w:kern w:val="0"/>
          <w:sz w:val="32"/>
          <w:szCs w:val="32"/>
          <w:shd w:val="clear" w:color="auto" w:fill="FFFFFF"/>
          <w:lang w:eastAsia="zh-CN"/>
        </w:rPr>
        <w:t>资金使用率达到</w:t>
      </w:r>
      <w:r>
        <w:rPr>
          <w:rFonts w:hint="eastAsia" w:ascii="仿宋_GB2312" w:hAnsi="仿宋_GB2312" w:cs="仿宋_GB2312"/>
          <w:kern w:val="0"/>
          <w:sz w:val="32"/>
          <w:szCs w:val="32"/>
          <w:shd w:val="clear" w:color="auto" w:fill="FFFFFF"/>
          <w:lang w:val="en-US" w:eastAsia="zh-CN"/>
        </w:rPr>
        <w:t>91.67%，保障了司法人员加班补贴费的使用，提高资金使用效率，维护了人民群众和谐稳定。</w:t>
      </w:r>
    </w:p>
    <w:p>
      <w:pPr>
        <w:adjustRightInd w:val="0"/>
        <w:snapToGrid w:val="0"/>
        <w:spacing w:line="578" w:lineRule="exact"/>
        <w:ind w:firstLine="640" w:firstLineChars="200"/>
        <w:contextualSpacing/>
        <w:rPr>
          <w:rFonts w:ascii="楷体_GB2312" w:hAnsi="宋体" w:eastAsia="楷体_GB2312"/>
          <w:sz w:val="32"/>
          <w:szCs w:val="32"/>
          <w:lang w:val="zh-CN"/>
        </w:rPr>
      </w:pPr>
      <w:r>
        <w:rPr>
          <w:rFonts w:hint="eastAsia" w:ascii="楷体_GB2312" w:hAnsi="宋体" w:eastAsia="楷体_GB2312"/>
          <w:sz w:val="32"/>
          <w:szCs w:val="32"/>
          <w:lang w:val="zh-CN"/>
        </w:rPr>
        <w:t>（二）项目效益情况。</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rPr>
        <w:t>该项目在可持续影响指标方面营造了和谐稳定的社会环境，在社会效益指标方面提升了司法公信力，在满意度指标方面提高了办事人民群众的满意度。</w:t>
      </w:r>
    </w:p>
    <w:p>
      <w:pPr>
        <w:adjustRightInd w:val="0"/>
        <w:snapToGrid w:val="0"/>
        <w:spacing w:line="578" w:lineRule="exact"/>
        <w:ind w:firstLine="640" w:firstLineChars="200"/>
        <w:outlineLvl w:val="1"/>
        <w:rPr>
          <w:rFonts w:ascii="黑体" w:hAnsi="宋体" w:eastAsia="黑体"/>
          <w:sz w:val="32"/>
          <w:szCs w:val="32"/>
        </w:rPr>
      </w:pPr>
      <w:bookmarkStart w:id="101" w:name="_Toc21440"/>
      <w:r>
        <w:rPr>
          <w:rFonts w:hint="eastAsia" w:ascii="黑体" w:hAnsi="宋体" w:eastAsia="黑体"/>
          <w:sz w:val="32"/>
          <w:szCs w:val="32"/>
        </w:rPr>
        <w:t>五、评价结论及建议</w:t>
      </w:r>
      <w:bookmarkEnd w:id="101"/>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（一）评价结论。</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该项目立项合理，申报及时，使用效率高，使用范围合规。</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（二）存在的问题。</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rPr>
      </w:pPr>
      <w:r>
        <w:rPr>
          <w:rFonts w:hint="eastAsia" w:ascii="仿宋_GB2312" w:hAnsi="仿宋_GB2312" w:cs="仿宋_GB2312"/>
          <w:kern w:val="0"/>
          <w:sz w:val="32"/>
          <w:szCs w:val="32"/>
          <w:shd w:val="clear" w:color="auto" w:fill="FFFFFF"/>
          <w:lang w:val="zh-CN"/>
        </w:rPr>
        <w:t>无。</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（三）相关建议。</w:t>
      </w:r>
    </w:p>
    <w:p>
      <w:pPr>
        <w:adjustRightInd w:val="0"/>
        <w:snapToGrid w:val="0"/>
        <w:spacing w:line="578" w:lineRule="exact"/>
        <w:ind w:firstLine="880" w:firstLineChars="200"/>
        <w:contextualSpacing/>
        <w:jc w:val="left"/>
        <w:rPr>
          <w:rFonts w:hint="eastAsia" w:ascii="黑体" w:hAnsi="黑体" w:eastAsia="黑体"/>
          <w:color w:val="auto"/>
          <w:sz w:val="44"/>
          <w:szCs w:val="44"/>
          <w:highlight w:val="none"/>
        </w:rPr>
        <w:sectPr>
          <w:pgSz w:w="11906" w:h="16838"/>
          <w:pgMar w:top="1440" w:right="1800" w:bottom="1440" w:left="1800" w:header="851" w:footer="992" w:gutter="0"/>
          <w:pgNumType w:fmt="decimal"/>
          <w:cols w:space="425" w:num="1"/>
          <w:titlePg/>
          <w:docGrid w:type="lines" w:linePitch="312" w:charSpace="0"/>
        </w:sect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sectPr>
          <w:pgSz w:w="11906" w:h="16838"/>
          <w:pgMar w:top="1440" w:right="1800" w:bottom="1440" w:left="1800" w:header="851" w:footer="992" w:gutter="0"/>
          <w:pgNumType w:fmt="decimal"/>
          <w:cols w:space="425" w:num="1"/>
          <w:titlePg/>
          <w:docGrid w:type="lines" w:linePitch="312" w:charSpace="0"/>
        </w:sectPr>
      </w:pPr>
      <w:r>
        <w:drawing>
          <wp:inline distT="0" distB="0" distL="114300" distR="114300">
            <wp:extent cx="4953000" cy="3905250"/>
            <wp:effectExtent l="0" t="0" r="0" b="0"/>
            <wp:docPr id="1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
                    <pic:cNvPicPr>
                      <a:picLocks noChangeAspect="1"/>
                    </pic:cNvPicPr>
                  </pic:nvPicPr>
                  <pic:blipFill>
                    <a:blip r:embed="rId22"/>
                    <a:stretch>
                      <a:fillRect/>
                    </a:stretch>
                  </pic:blipFill>
                  <pic:spPr>
                    <a:xfrm>
                      <a:off x="0" y="0"/>
                      <a:ext cx="4953000" cy="3905250"/>
                    </a:xfrm>
                    <a:prstGeom prst="rect">
                      <a:avLst/>
                    </a:prstGeom>
                    <a:noFill/>
                    <a:ln>
                      <a:noFill/>
                    </a:ln>
                  </pic:spPr>
                </pic:pic>
              </a:graphicData>
            </a:graphic>
          </wp:inline>
        </w:drawing>
      </w:r>
    </w:p>
    <w:p>
      <w:pPr>
        <w:pStyle w:val="35"/>
        <w:spacing w:line="578" w:lineRule="exact"/>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2023年市级专项资金预算项目(检察院工作人员加班补贴)</w:t>
      </w:r>
    </w:p>
    <w:p>
      <w:pPr>
        <w:pStyle w:val="35"/>
        <w:spacing w:line="578" w:lineRule="exact"/>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支出绩效自评报告</w:t>
      </w:r>
    </w:p>
    <w:p>
      <w:pPr>
        <w:pStyle w:val="35"/>
        <w:spacing w:line="578" w:lineRule="exact"/>
        <w:ind w:firstLine="640"/>
        <w:jc w:val="center"/>
        <w:rPr>
          <w:rFonts w:ascii="宋体" w:hAnsi="宋体"/>
          <w:color w:val="auto"/>
          <w:kern w:val="2"/>
          <w:sz w:val="32"/>
          <w:szCs w:val="32"/>
        </w:rPr>
      </w:pPr>
    </w:p>
    <w:p>
      <w:pPr>
        <w:adjustRightInd w:val="0"/>
        <w:snapToGrid w:val="0"/>
        <w:spacing w:line="578" w:lineRule="exact"/>
        <w:ind w:firstLine="640" w:firstLineChars="200"/>
        <w:outlineLvl w:val="1"/>
        <w:rPr>
          <w:rFonts w:ascii="黑体" w:hAnsi="宋体" w:eastAsia="黑体"/>
          <w:sz w:val="32"/>
          <w:szCs w:val="32"/>
          <w:lang w:val="zh-CN"/>
        </w:rPr>
      </w:pPr>
      <w:bookmarkStart w:id="102" w:name="_Toc15746"/>
      <w:r>
        <w:rPr>
          <w:rFonts w:hint="eastAsia" w:ascii="黑体" w:hAnsi="宋体" w:eastAsia="黑体"/>
          <w:sz w:val="32"/>
          <w:szCs w:val="32"/>
        </w:rPr>
        <w:t>一、</w:t>
      </w:r>
      <w:r>
        <w:rPr>
          <w:rFonts w:hint="eastAsia" w:ascii="黑体" w:hAnsi="宋体" w:eastAsia="黑体"/>
          <w:sz w:val="32"/>
          <w:szCs w:val="32"/>
          <w:lang w:val="zh-CN"/>
        </w:rPr>
        <w:t>项目概况</w:t>
      </w:r>
      <w:bookmarkEnd w:id="102"/>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（一）项目基本情况。</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1．我院在</w:t>
      </w:r>
      <w:r>
        <w:rPr>
          <w:rFonts w:hint="eastAsia" w:ascii="仿宋_GB2312" w:hAnsi="仿宋_GB2312" w:cs="仿宋_GB2312"/>
          <w:kern w:val="0"/>
          <w:sz w:val="32"/>
          <w:szCs w:val="32"/>
          <w:shd w:val="clear" w:color="auto" w:fill="FFFFFF"/>
          <w:lang w:val="en-US"/>
        </w:rPr>
        <w:t>检察院工作人员加班补贴</w:t>
      </w:r>
      <w:r>
        <w:rPr>
          <w:rFonts w:hint="eastAsia" w:ascii="仿宋_GB2312" w:hAnsi="仿宋_GB2312" w:cs="仿宋_GB2312"/>
          <w:kern w:val="0"/>
          <w:sz w:val="32"/>
          <w:szCs w:val="32"/>
          <w:shd w:val="clear" w:color="auto" w:fill="FFFFFF"/>
          <w:lang w:val="zh-CN"/>
        </w:rPr>
        <w:t>项目资金的使用过程中严格监管并按资金管理办法规定的范围和标准分配资金。</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2．项目立项按照</w:t>
      </w:r>
      <w:r>
        <w:rPr>
          <w:rFonts w:hint="eastAsia" w:ascii="仿宋_GB2312" w:hAnsi="仿宋_GB2312" w:cs="仿宋_GB2312"/>
          <w:kern w:val="0"/>
          <w:sz w:val="32"/>
          <w:szCs w:val="32"/>
          <w:shd w:val="clear" w:color="auto" w:fill="FFFFFF"/>
          <w:lang w:val="en-US"/>
        </w:rPr>
        <w:t>检察院工作人员加班补贴</w:t>
      </w:r>
      <w:r>
        <w:rPr>
          <w:rFonts w:hint="eastAsia" w:ascii="仿宋_GB2312" w:hAnsi="仿宋_GB2312" w:cs="仿宋_GB2312"/>
          <w:kern w:val="0"/>
          <w:sz w:val="32"/>
          <w:szCs w:val="32"/>
          <w:shd w:val="clear" w:color="auto" w:fill="FFFFFF"/>
          <w:lang w:val="zh-CN"/>
        </w:rPr>
        <w:t>发放规定设立。</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3．严格执行资金使用审核制度。</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4．资金分配的范围和标准按照</w:t>
      </w:r>
      <w:r>
        <w:rPr>
          <w:rFonts w:hint="eastAsia" w:ascii="仿宋_GB2312" w:hAnsi="仿宋_GB2312" w:cs="仿宋_GB2312"/>
          <w:kern w:val="0"/>
          <w:sz w:val="32"/>
          <w:szCs w:val="32"/>
          <w:shd w:val="clear" w:color="auto" w:fill="FFFFFF"/>
          <w:lang w:val="en-US"/>
        </w:rPr>
        <w:t>检察院工作人员加班补贴</w:t>
      </w:r>
      <w:r>
        <w:rPr>
          <w:rFonts w:hint="eastAsia" w:ascii="仿宋_GB2312" w:hAnsi="仿宋_GB2312" w:cs="仿宋_GB2312"/>
          <w:kern w:val="0"/>
          <w:sz w:val="32"/>
          <w:szCs w:val="32"/>
          <w:shd w:val="clear" w:color="auto" w:fill="FFFFFF"/>
          <w:lang w:val="zh-CN"/>
        </w:rPr>
        <w:t>发放规定执行。</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highlight w:val="none"/>
          <w:lang w:val="zh-CN"/>
        </w:rPr>
        <w:t>（二）项目绩效目标</w:t>
      </w:r>
      <w:r>
        <w:rPr>
          <w:rFonts w:hint="eastAsia" w:ascii="楷体_GB2312" w:hAnsi="宋体" w:eastAsia="楷体_GB2312"/>
          <w:sz w:val="32"/>
          <w:szCs w:val="32"/>
          <w:lang w:val="zh-CN"/>
        </w:rPr>
        <w:t>。</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1．此项目主要用于</w:t>
      </w:r>
      <w:r>
        <w:rPr>
          <w:rFonts w:hint="eastAsia" w:ascii="仿宋_GB2312" w:hAnsi="仿宋_GB2312" w:cs="仿宋_GB2312"/>
          <w:kern w:val="0"/>
          <w:sz w:val="32"/>
          <w:szCs w:val="32"/>
          <w:shd w:val="clear" w:color="auto" w:fill="FFFFFF"/>
          <w:lang w:val="en-US"/>
        </w:rPr>
        <w:t>检察院工作人员加班补贴</w:t>
      </w:r>
      <w:r>
        <w:rPr>
          <w:rFonts w:hint="eastAsia" w:ascii="仿宋_GB2312" w:hAnsi="仿宋_GB2312" w:cs="仿宋_GB2312"/>
          <w:kern w:val="0"/>
          <w:sz w:val="32"/>
          <w:szCs w:val="32"/>
          <w:shd w:val="clear" w:color="auto" w:fill="FFFFFF"/>
          <w:lang w:val="zh-CN"/>
        </w:rPr>
        <w:t>发放。</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2．</w:t>
      </w:r>
      <w:r>
        <w:rPr>
          <w:rFonts w:hint="eastAsia" w:ascii="仿宋_GB2312" w:hAnsi="仿宋_GB2312" w:cs="仿宋_GB2312"/>
          <w:kern w:val="0"/>
          <w:sz w:val="32"/>
          <w:szCs w:val="32"/>
          <w:shd w:val="clear" w:color="auto" w:fill="FFFFFF"/>
          <w:lang w:val="en-US"/>
        </w:rPr>
        <w:t>检察院工作人员加班补贴</w:t>
      </w:r>
      <w:r>
        <w:rPr>
          <w:rFonts w:hint="eastAsia" w:ascii="仿宋_GB2312" w:hAnsi="仿宋_GB2312" w:cs="仿宋_GB2312"/>
          <w:kern w:val="0"/>
          <w:sz w:val="32"/>
          <w:szCs w:val="32"/>
          <w:shd w:val="clear" w:color="auto" w:fill="FFFFFF"/>
          <w:lang w:val="zh-CN"/>
        </w:rPr>
        <w:t>项目主要达到了以下绩效目标：2022年度20人加班补贴，按规定履行好检察职责。</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3．申报内容与实际相结合，申报目标严格测算，合理可行。</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（三）项目自评步骤及方法。</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项目绩效自评按照年初设置的绩效目标逐一仔细的对照核查，寻找合理的数据支撑。</w:t>
      </w:r>
    </w:p>
    <w:p>
      <w:pPr>
        <w:adjustRightInd w:val="0"/>
        <w:snapToGrid w:val="0"/>
        <w:spacing w:line="578" w:lineRule="exact"/>
        <w:ind w:firstLine="640" w:firstLineChars="200"/>
        <w:outlineLvl w:val="1"/>
        <w:rPr>
          <w:rFonts w:ascii="黑体" w:hAnsi="宋体" w:eastAsia="黑体"/>
          <w:sz w:val="32"/>
          <w:szCs w:val="32"/>
        </w:rPr>
      </w:pPr>
      <w:bookmarkStart w:id="103" w:name="_Toc3336"/>
      <w:r>
        <w:rPr>
          <w:rFonts w:hint="eastAsia" w:ascii="黑体" w:hAnsi="宋体" w:eastAsia="黑体"/>
          <w:sz w:val="32"/>
          <w:szCs w:val="32"/>
        </w:rPr>
        <w:t>二、项目资金申报及使用情况</w:t>
      </w:r>
      <w:bookmarkEnd w:id="103"/>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项目资金于年初预算申报，按时申请支出计划，财政批复及时。</w:t>
      </w:r>
    </w:p>
    <w:p>
      <w:pPr>
        <w:adjustRightInd w:val="0"/>
        <w:snapToGrid w:val="0"/>
        <w:spacing w:line="578" w:lineRule="exact"/>
        <w:ind w:firstLine="640" w:firstLineChars="200"/>
        <w:rPr>
          <w:rFonts w:ascii="仿宋_GB2312" w:hAnsi="宋体"/>
          <w:sz w:val="32"/>
          <w:szCs w:val="32"/>
          <w:lang w:val="zh-CN"/>
        </w:rPr>
      </w:pPr>
      <w:r>
        <w:rPr>
          <w:rFonts w:hint="eastAsia" w:ascii="楷体_GB2312" w:hAnsi="宋体" w:eastAsia="楷体_GB2312"/>
          <w:sz w:val="32"/>
          <w:szCs w:val="32"/>
          <w:lang w:val="zh-CN"/>
        </w:rPr>
        <w:t>（二）资金计划、到位及使用情况。</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1．资金计划。该项目由市级财政资金全额拨款保障。</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2．资金到位。资金到位及时，到位率高，使用效率高。</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3．资金使用。资金使用注重安全性、规范性、有效性，按项目管理办法规定的范围和标准分配资金，资金支付范围、支付标准、支付进度、支付依据等合规合法、与预算相符。</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（三）项目财务管理情况。</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我院财务管理制度健全，严格执行财务管理制度，账务处理及时，会计核算规范等。</w:t>
      </w:r>
    </w:p>
    <w:p>
      <w:pPr>
        <w:adjustRightInd w:val="0"/>
        <w:snapToGrid w:val="0"/>
        <w:spacing w:line="578" w:lineRule="exact"/>
        <w:ind w:firstLine="640" w:firstLineChars="200"/>
        <w:outlineLvl w:val="1"/>
        <w:rPr>
          <w:rFonts w:ascii="黑体" w:hAnsi="宋体" w:eastAsia="黑体"/>
          <w:sz w:val="32"/>
          <w:szCs w:val="32"/>
        </w:rPr>
      </w:pPr>
      <w:bookmarkStart w:id="104" w:name="_Toc24320"/>
      <w:r>
        <w:rPr>
          <w:rFonts w:hint="eastAsia" w:ascii="黑体" w:hAnsi="宋体" w:eastAsia="黑体"/>
          <w:sz w:val="32"/>
          <w:szCs w:val="32"/>
        </w:rPr>
        <w:t>三、项目实施及管理情况</w:t>
      </w:r>
      <w:bookmarkEnd w:id="104"/>
    </w:p>
    <w:p>
      <w:pPr>
        <w:adjustRightInd w:val="0"/>
        <w:snapToGrid w:val="0"/>
        <w:spacing w:line="578" w:lineRule="exact"/>
        <w:ind w:firstLine="640" w:firstLineChars="200"/>
        <w:rPr>
          <w:rFonts w:ascii="黑体" w:hAnsi="宋体" w:eastAsia="黑体"/>
          <w:sz w:val="32"/>
          <w:szCs w:val="32"/>
        </w:rPr>
      </w:pPr>
      <w:r>
        <w:rPr>
          <w:rFonts w:hint="eastAsia" w:ascii="楷体_GB2312" w:hAnsi="宋体" w:eastAsia="楷体_GB2312"/>
          <w:sz w:val="32"/>
          <w:szCs w:val="32"/>
          <w:lang w:val="zh-CN"/>
        </w:rPr>
        <w:t>（一）项目实施严格遵照项目</w:t>
      </w:r>
      <w:r>
        <w:rPr>
          <w:rFonts w:hint="eastAsia" w:ascii="仿宋_GB2312" w:hAnsi="仿宋_GB2312" w:cs="仿宋_GB2312"/>
          <w:kern w:val="0"/>
          <w:sz w:val="32"/>
          <w:szCs w:val="32"/>
          <w:shd w:val="clear" w:color="auto" w:fill="FFFFFF"/>
          <w:lang w:val="zh-CN"/>
        </w:rPr>
        <w:t>组织实施管理办法</w:t>
      </w:r>
      <w:r>
        <w:rPr>
          <w:rFonts w:hint="eastAsia" w:ascii="楷体_GB2312" w:hAnsi="宋体" w:eastAsia="楷体_GB2312"/>
          <w:sz w:val="32"/>
          <w:szCs w:val="32"/>
          <w:lang w:val="zh-CN"/>
        </w:rPr>
        <w:t>。</w:t>
      </w:r>
    </w:p>
    <w:p>
      <w:pPr>
        <w:adjustRightInd w:val="0"/>
        <w:snapToGrid w:val="0"/>
        <w:spacing w:line="578" w:lineRule="exact"/>
        <w:ind w:firstLine="640" w:firstLineChars="200"/>
        <w:rPr>
          <w:rFonts w:ascii="黑体" w:hAnsi="宋体" w:eastAsia="黑体"/>
          <w:sz w:val="32"/>
          <w:szCs w:val="32"/>
        </w:rPr>
      </w:pPr>
      <w:r>
        <w:rPr>
          <w:rFonts w:hint="eastAsia" w:ascii="楷体_GB2312" w:hAnsi="宋体" w:eastAsia="楷体_GB2312"/>
          <w:sz w:val="32"/>
          <w:szCs w:val="32"/>
          <w:lang w:val="zh-CN"/>
        </w:rPr>
        <w:t>（二）</w:t>
      </w:r>
      <w:r>
        <w:rPr>
          <w:rFonts w:hint="eastAsia" w:ascii="仿宋_GB2312" w:hAnsi="仿宋_GB2312" w:cs="仿宋_GB2312"/>
          <w:kern w:val="0"/>
          <w:sz w:val="32"/>
          <w:szCs w:val="32"/>
          <w:shd w:val="clear" w:color="auto" w:fill="FFFFFF"/>
          <w:lang w:val="zh-CN"/>
        </w:rPr>
        <w:t>我单位执行此项目资金严格按照资金管理办法分配执行。</w:t>
      </w:r>
    </w:p>
    <w:p>
      <w:pPr>
        <w:adjustRightInd w:val="0"/>
        <w:snapToGrid w:val="0"/>
        <w:spacing w:line="578" w:lineRule="exact"/>
        <w:ind w:firstLine="640" w:firstLineChars="200"/>
        <w:rPr>
          <w:rFonts w:ascii="黑体" w:hAnsi="宋体" w:eastAsia="黑体"/>
          <w:sz w:val="32"/>
          <w:szCs w:val="32"/>
        </w:rPr>
      </w:pPr>
      <w:r>
        <w:rPr>
          <w:rFonts w:hint="eastAsia" w:ascii="楷体_GB2312" w:hAnsi="宋体" w:eastAsia="楷体_GB2312"/>
          <w:sz w:val="32"/>
          <w:szCs w:val="32"/>
          <w:lang w:val="zh-CN"/>
        </w:rPr>
        <w:t>（三）项目监管到位，使用范围及执行流程合理、合规。</w:t>
      </w:r>
    </w:p>
    <w:p>
      <w:pPr>
        <w:adjustRightInd w:val="0"/>
        <w:snapToGrid w:val="0"/>
        <w:spacing w:line="578" w:lineRule="exact"/>
        <w:ind w:firstLine="640" w:firstLineChars="200"/>
        <w:outlineLvl w:val="1"/>
        <w:rPr>
          <w:rFonts w:ascii="仿宋_GB2312" w:hAnsi="宋体"/>
          <w:sz w:val="32"/>
          <w:szCs w:val="32"/>
          <w:lang w:val="zh-CN"/>
        </w:rPr>
      </w:pPr>
      <w:bookmarkStart w:id="105" w:name="_Toc12972"/>
      <w:r>
        <w:rPr>
          <w:rFonts w:hint="eastAsia" w:ascii="黑体" w:hAnsi="宋体" w:eastAsia="黑体"/>
          <w:sz w:val="32"/>
          <w:szCs w:val="32"/>
        </w:rPr>
        <w:t>四、项目绩效情况</w:t>
      </w:r>
      <w:bookmarkEnd w:id="105"/>
      <w:r>
        <w:rPr>
          <w:rFonts w:hint="eastAsia" w:ascii="仿宋_GB2312" w:hAnsi="宋体"/>
          <w:sz w:val="32"/>
          <w:szCs w:val="32"/>
          <w:lang w:val="zh-CN"/>
        </w:rPr>
        <w:tab/>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（一）项目完成情况。</w:t>
      </w:r>
    </w:p>
    <w:p>
      <w:pPr>
        <w:adjustRightInd w:val="0"/>
        <w:snapToGrid w:val="0"/>
        <w:spacing w:line="578" w:lineRule="exact"/>
        <w:ind w:firstLine="640" w:firstLineChars="200"/>
        <w:contextualSpacing/>
        <w:rPr>
          <w:rFonts w:hint="eastAsia" w:ascii="仿宋_GB2312" w:hAnsi="仿宋_GB2312" w:cs="仿宋_GB2312"/>
          <w:kern w:val="0"/>
          <w:sz w:val="32"/>
          <w:szCs w:val="32"/>
          <w:shd w:val="clear" w:color="auto" w:fill="FFFFFF"/>
          <w:lang w:val="en-US" w:eastAsia="zh-CN"/>
        </w:rPr>
      </w:pPr>
      <w:r>
        <w:rPr>
          <w:rFonts w:hint="eastAsia" w:ascii="仿宋_GB2312" w:hAnsi="仿宋_GB2312" w:cs="仿宋_GB2312"/>
          <w:kern w:val="0"/>
          <w:sz w:val="32"/>
          <w:szCs w:val="32"/>
          <w:shd w:val="clear" w:color="auto" w:fill="FFFFFF"/>
        </w:rPr>
        <w:t>此项目绩效目标完成及时，</w:t>
      </w:r>
      <w:r>
        <w:rPr>
          <w:rFonts w:hint="eastAsia" w:ascii="仿宋_GB2312" w:hAnsi="仿宋_GB2312" w:cs="仿宋_GB2312"/>
          <w:kern w:val="0"/>
          <w:sz w:val="32"/>
          <w:szCs w:val="32"/>
          <w:shd w:val="clear" w:color="auto" w:fill="FFFFFF"/>
          <w:lang w:eastAsia="zh-CN"/>
        </w:rPr>
        <w:t>资金使用率达到</w:t>
      </w:r>
      <w:r>
        <w:rPr>
          <w:rFonts w:hint="eastAsia" w:ascii="仿宋_GB2312" w:hAnsi="仿宋_GB2312" w:cs="仿宋_GB2312"/>
          <w:kern w:val="0"/>
          <w:sz w:val="32"/>
          <w:szCs w:val="32"/>
          <w:shd w:val="clear" w:color="auto" w:fill="FFFFFF"/>
          <w:lang w:val="en-US" w:eastAsia="zh-CN"/>
        </w:rPr>
        <w:t>82.22%，依照规定保障了检察人员的补贴发放，提高了资金使用效率。按规定履行好检察职责，提升了人民群众满意度。</w:t>
      </w:r>
    </w:p>
    <w:p>
      <w:pPr>
        <w:adjustRightInd w:val="0"/>
        <w:snapToGrid w:val="0"/>
        <w:spacing w:line="578" w:lineRule="exact"/>
        <w:contextualSpacing/>
        <w:rPr>
          <w:rFonts w:ascii="楷体_GB2312" w:hAnsi="宋体" w:eastAsia="楷体_GB2312"/>
          <w:sz w:val="32"/>
          <w:szCs w:val="32"/>
          <w:lang w:val="zh-CN"/>
        </w:rPr>
      </w:pPr>
      <w:r>
        <w:rPr>
          <w:rFonts w:hint="eastAsia" w:ascii="楷体_GB2312" w:hAnsi="宋体" w:eastAsia="楷体_GB2312"/>
          <w:sz w:val="32"/>
          <w:szCs w:val="32"/>
          <w:lang w:val="zh-CN"/>
        </w:rPr>
        <w:t>（二）项目效益情况。</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rPr>
        <w:t>该项目在可持续影响指标方面营造了和谐稳定的社会环境，在社会效益指标方面提升了司法公信力，在满意度指标方面提高了办事人民群众的满意度。</w:t>
      </w:r>
    </w:p>
    <w:p>
      <w:pPr>
        <w:adjustRightInd w:val="0"/>
        <w:snapToGrid w:val="0"/>
        <w:spacing w:line="578" w:lineRule="exact"/>
        <w:ind w:firstLine="640" w:firstLineChars="200"/>
        <w:outlineLvl w:val="1"/>
        <w:rPr>
          <w:rFonts w:ascii="黑体" w:hAnsi="宋体" w:eastAsia="黑体"/>
          <w:sz w:val="32"/>
          <w:szCs w:val="32"/>
        </w:rPr>
      </w:pPr>
      <w:bookmarkStart w:id="106" w:name="_Toc31066"/>
      <w:r>
        <w:rPr>
          <w:rFonts w:hint="eastAsia" w:ascii="黑体" w:hAnsi="宋体" w:eastAsia="黑体"/>
          <w:sz w:val="32"/>
          <w:szCs w:val="32"/>
        </w:rPr>
        <w:t>五、评价结论及建议</w:t>
      </w:r>
      <w:bookmarkEnd w:id="106"/>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（一）评价结论。</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该项目立项合理，申报及时，使用效率高，使用范围合规。</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（二）存在的问题。</w:t>
      </w:r>
    </w:p>
    <w:p>
      <w:pPr>
        <w:adjustRightInd w:val="0"/>
        <w:snapToGrid w:val="0"/>
        <w:spacing w:line="578" w:lineRule="exact"/>
        <w:ind w:firstLine="640" w:firstLineChars="200"/>
        <w:contextualSpacing/>
        <w:rPr>
          <w:rFonts w:ascii="仿宋_GB2312" w:hAnsi="仿宋_GB2312" w:cs="仿宋_GB2312"/>
          <w:kern w:val="0"/>
          <w:sz w:val="32"/>
          <w:szCs w:val="32"/>
          <w:shd w:val="clear" w:color="auto" w:fill="FFFFFF"/>
        </w:rPr>
      </w:pPr>
      <w:r>
        <w:rPr>
          <w:rFonts w:hint="eastAsia" w:ascii="仿宋_GB2312" w:hAnsi="仿宋_GB2312" w:cs="仿宋_GB2312"/>
          <w:kern w:val="0"/>
          <w:sz w:val="32"/>
          <w:szCs w:val="32"/>
          <w:shd w:val="clear" w:color="auto" w:fill="FFFFFF"/>
          <w:lang w:val="zh-CN"/>
        </w:rPr>
        <w:t>无。</w:t>
      </w:r>
    </w:p>
    <w:p>
      <w:pPr>
        <w:adjustRightInd w:val="0"/>
        <w:snapToGrid w:val="0"/>
        <w:spacing w:line="578"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（三）相关建议。</w:t>
      </w:r>
    </w:p>
    <w:p>
      <w:pPr>
        <w:adjustRightInd w:val="0"/>
        <w:snapToGrid w:val="0"/>
        <w:spacing w:line="578" w:lineRule="exact"/>
        <w:ind w:firstLine="640" w:firstLineChars="200"/>
        <w:contextualSpacing/>
        <w:jc w:val="left"/>
        <w:rPr>
          <w:rFonts w:ascii="仿宋_GB2312" w:hAnsi="仿宋_GB2312" w:cs="仿宋_GB2312"/>
          <w:kern w:val="0"/>
          <w:sz w:val="32"/>
          <w:szCs w:val="32"/>
          <w:shd w:val="clear" w:color="auto" w:fill="FFFFFF"/>
          <w:lang w:val="zh-CN"/>
        </w:rPr>
      </w:pPr>
      <w:r>
        <w:rPr>
          <w:rFonts w:hint="eastAsia" w:ascii="仿宋_GB2312" w:hAnsi="仿宋_GB2312" w:cs="仿宋_GB2312"/>
          <w:kern w:val="0"/>
          <w:sz w:val="32"/>
          <w:szCs w:val="32"/>
          <w:shd w:val="clear" w:color="auto" w:fill="FFFFFF"/>
          <w:lang w:val="zh-CN"/>
        </w:rPr>
        <w:t>无。</w:t>
      </w:r>
    </w:p>
    <w:p>
      <w:pPr>
        <w:spacing w:line="600" w:lineRule="exact"/>
        <w:jc w:val="center"/>
        <w:outlineLvl w:val="9"/>
        <w:rPr>
          <w:rFonts w:hint="eastAsia" w:ascii="黑体" w:hAnsi="黑体" w:eastAsia="黑体"/>
          <w:color w:val="auto"/>
          <w:sz w:val="44"/>
          <w:szCs w:val="44"/>
          <w:highlight w:val="none"/>
        </w:rPr>
        <w:sectPr>
          <w:pgSz w:w="11906" w:h="16838"/>
          <w:pgMar w:top="1440" w:right="1800" w:bottom="1440" w:left="1800" w:header="851" w:footer="992" w:gutter="0"/>
          <w:pgNumType w:fmt="decimal"/>
          <w:cols w:space="425" w:num="1"/>
          <w:titlePg/>
          <w:docGrid w:type="lines" w:linePitch="312" w:charSpace="0"/>
        </w:sectPr>
      </w:pPr>
    </w:p>
    <w:p>
      <w:pPr>
        <w:pStyle w:val="2"/>
        <w:rPr>
          <w:rFonts w:hint="eastAsia"/>
        </w:rPr>
      </w:pPr>
    </w:p>
    <w:p>
      <w:pPr>
        <w:pStyle w:val="2"/>
        <w:rPr>
          <w:rFonts w:hint="eastAsia"/>
        </w:rPr>
        <w:sectPr>
          <w:pgSz w:w="11906" w:h="16838"/>
          <w:pgMar w:top="1440" w:right="1800" w:bottom="1440" w:left="1800" w:header="851" w:footer="992" w:gutter="0"/>
          <w:pgNumType w:fmt="decimal"/>
          <w:cols w:space="425" w:num="1"/>
          <w:titlePg/>
          <w:docGrid w:type="lines" w:linePitch="312" w:charSpace="0"/>
        </w:sectPr>
      </w:pPr>
      <w:r>
        <w:drawing>
          <wp:inline distT="0" distB="0" distL="114300" distR="114300">
            <wp:extent cx="4943475" cy="3981450"/>
            <wp:effectExtent l="0" t="0" r="9525" b="0"/>
            <wp:docPr id="1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
                    <pic:cNvPicPr>
                      <a:picLocks noChangeAspect="1"/>
                    </pic:cNvPicPr>
                  </pic:nvPicPr>
                  <pic:blipFill>
                    <a:blip r:embed="rId23"/>
                    <a:stretch>
                      <a:fillRect/>
                    </a:stretch>
                  </pic:blipFill>
                  <pic:spPr>
                    <a:xfrm>
                      <a:off x="0" y="0"/>
                      <a:ext cx="4943475" cy="3981450"/>
                    </a:xfrm>
                    <a:prstGeom prst="rect">
                      <a:avLst/>
                    </a:prstGeom>
                    <a:noFill/>
                    <a:ln>
                      <a:noFill/>
                    </a:ln>
                  </pic:spPr>
                </pic:pic>
              </a:graphicData>
            </a:graphic>
          </wp:inline>
        </w:drawing>
      </w:r>
    </w:p>
    <w:p>
      <w:pPr>
        <w:spacing w:line="600" w:lineRule="exact"/>
        <w:jc w:val="center"/>
        <w:outlineLvl w:val="0"/>
        <w:rPr>
          <w:rFonts w:hint="eastAsia" w:ascii="仿宋" w:hAnsi="仿宋" w:eastAsia="仿宋"/>
          <w:b w:val="0"/>
          <w:color w:val="auto"/>
          <w:highlight w:val="none"/>
        </w:rPr>
      </w:pPr>
      <w:bookmarkStart w:id="107" w:name="_Toc17645"/>
      <w:r>
        <w:rPr>
          <w:rFonts w:hint="eastAsia" w:ascii="黑体" w:hAnsi="黑体" w:eastAsia="黑体"/>
          <w:color w:val="auto"/>
          <w:sz w:val="44"/>
          <w:szCs w:val="44"/>
          <w:highlight w:val="none"/>
        </w:rPr>
        <w:t>第</w:t>
      </w:r>
      <w:r>
        <w:rPr>
          <w:rStyle w:val="20"/>
          <w:rFonts w:hint="eastAsia" w:ascii="黑体" w:hAnsi="黑体" w:eastAsia="黑体"/>
          <w:b w:val="0"/>
          <w:color w:val="auto"/>
          <w:highlight w:val="none"/>
        </w:rPr>
        <w:t>五部分 附表</w:t>
      </w:r>
      <w:bookmarkEnd w:id="72"/>
      <w:bookmarkEnd w:id="86"/>
      <w:bookmarkEnd w:id="107"/>
      <w:bookmarkStart w:id="108" w:name="_Toc15396619"/>
    </w:p>
    <w:p>
      <w:pPr>
        <w:pStyle w:val="4"/>
        <w:rPr>
          <w:rFonts w:ascii="仿宋" w:hAnsi="仿宋" w:eastAsia="仿宋"/>
          <w:color w:val="auto"/>
          <w:highlight w:val="none"/>
        </w:rPr>
      </w:pPr>
      <w:bookmarkStart w:id="109" w:name="_Toc5455"/>
      <w:r>
        <w:rPr>
          <w:rFonts w:hint="eastAsia" w:ascii="仿宋" w:hAnsi="仿宋" w:eastAsia="仿宋"/>
          <w:b w:val="0"/>
          <w:color w:val="auto"/>
          <w:highlight w:val="none"/>
        </w:rPr>
        <w:t>一、收</w:t>
      </w:r>
      <w:r>
        <w:rPr>
          <w:rStyle w:val="21"/>
          <w:rFonts w:hint="eastAsia" w:ascii="仿宋" w:hAnsi="仿宋" w:eastAsia="仿宋"/>
          <w:b w:val="0"/>
          <w:bCs w:val="0"/>
          <w:color w:val="auto"/>
          <w:highlight w:val="none"/>
        </w:rPr>
        <w:t>入支出决算总表</w:t>
      </w:r>
      <w:bookmarkEnd w:id="108"/>
      <w:bookmarkEnd w:id="109"/>
    </w:p>
    <w:p>
      <w:pPr>
        <w:pStyle w:val="4"/>
        <w:rPr>
          <w:rFonts w:ascii="仿宋" w:hAnsi="仿宋" w:eastAsia="仿宋"/>
          <w:color w:val="auto"/>
          <w:highlight w:val="none"/>
        </w:rPr>
      </w:pPr>
      <w:bookmarkStart w:id="110" w:name="_Toc15396620"/>
      <w:bookmarkStart w:id="111" w:name="_Toc5379"/>
      <w:r>
        <w:rPr>
          <w:rFonts w:hint="eastAsia" w:ascii="仿宋" w:hAnsi="仿宋" w:eastAsia="仿宋"/>
          <w:b w:val="0"/>
          <w:color w:val="auto"/>
          <w:highlight w:val="none"/>
        </w:rPr>
        <w:t>二、收</w:t>
      </w:r>
      <w:r>
        <w:rPr>
          <w:rStyle w:val="21"/>
          <w:rFonts w:hint="eastAsia" w:ascii="仿宋" w:hAnsi="仿宋" w:eastAsia="仿宋"/>
          <w:b w:val="0"/>
          <w:bCs w:val="0"/>
          <w:color w:val="auto"/>
          <w:highlight w:val="none"/>
        </w:rPr>
        <w:t>入决算表</w:t>
      </w:r>
      <w:bookmarkEnd w:id="110"/>
      <w:bookmarkEnd w:id="111"/>
    </w:p>
    <w:p>
      <w:pPr>
        <w:pStyle w:val="4"/>
        <w:rPr>
          <w:rFonts w:ascii="仿宋" w:hAnsi="仿宋" w:eastAsia="仿宋"/>
          <w:color w:val="auto"/>
          <w:highlight w:val="none"/>
        </w:rPr>
      </w:pPr>
      <w:bookmarkStart w:id="112" w:name="_Toc25802"/>
      <w:bookmarkStart w:id="113" w:name="_Toc15396621"/>
      <w:r>
        <w:rPr>
          <w:rStyle w:val="21"/>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1"/>
          <w:rFonts w:hint="eastAsia" w:ascii="仿宋" w:hAnsi="仿宋" w:eastAsia="仿宋"/>
          <w:b w:val="0"/>
          <w:bCs w:val="0"/>
          <w:color w:val="auto"/>
          <w:highlight w:val="none"/>
        </w:rPr>
        <w:t>出决算表</w:t>
      </w:r>
      <w:bookmarkEnd w:id="112"/>
      <w:bookmarkEnd w:id="113"/>
    </w:p>
    <w:p>
      <w:pPr>
        <w:pStyle w:val="4"/>
        <w:rPr>
          <w:rFonts w:ascii="仿宋" w:hAnsi="仿宋" w:eastAsia="仿宋"/>
          <w:b w:val="0"/>
          <w:color w:val="auto"/>
          <w:highlight w:val="none"/>
        </w:rPr>
      </w:pPr>
      <w:bookmarkStart w:id="114" w:name="_Toc15396622"/>
      <w:bookmarkStart w:id="115" w:name="_Toc25724"/>
      <w:r>
        <w:rPr>
          <w:rStyle w:val="21"/>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1"/>
          <w:rFonts w:hint="eastAsia" w:ascii="仿宋" w:hAnsi="仿宋" w:eastAsia="仿宋"/>
          <w:b w:val="0"/>
          <w:bCs w:val="0"/>
          <w:color w:val="auto"/>
          <w:highlight w:val="none"/>
        </w:rPr>
        <w:t>政拨款收入支出决算总表</w:t>
      </w:r>
      <w:bookmarkEnd w:id="114"/>
      <w:bookmarkEnd w:id="115"/>
    </w:p>
    <w:p>
      <w:pPr>
        <w:pStyle w:val="4"/>
        <w:rPr>
          <w:rStyle w:val="21"/>
          <w:rFonts w:ascii="仿宋" w:hAnsi="仿宋" w:eastAsia="仿宋"/>
          <w:b w:val="0"/>
          <w:bCs w:val="0"/>
          <w:color w:val="auto"/>
          <w:highlight w:val="none"/>
        </w:rPr>
      </w:pPr>
      <w:bookmarkStart w:id="116" w:name="_Toc15396623"/>
      <w:bookmarkStart w:id="117" w:name="_Toc17730"/>
      <w:r>
        <w:rPr>
          <w:rStyle w:val="21"/>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1"/>
          <w:rFonts w:hint="eastAsia" w:ascii="仿宋" w:hAnsi="仿宋" w:eastAsia="仿宋"/>
          <w:b w:val="0"/>
          <w:bCs w:val="0"/>
          <w:color w:val="auto"/>
          <w:highlight w:val="none"/>
        </w:rPr>
        <w:t>政拨款支出决算明细表</w:t>
      </w:r>
      <w:bookmarkEnd w:id="116"/>
      <w:bookmarkEnd w:id="117"/>
      <w:bookmarkStart w:id="118" w:name="_Toc15396624"/>
    </w:p>
    <w:p>
      <w:pPr>
        <w:pStyle w:val="4"/>
        <w:rPr>
          <w:rFonts w:ascii="仿宋" w:hAnsi="仿宋" w:eastAsia="仿宋"/>
          <w:color w:val="auto"/>
          <w:highlight w:val="none"/>
        </w:rPr>
      </w:pPr>
      <w:bookmarkStart w:id="119" w:name="_Toc15500"/>
      <w:r>
        <w:rPr>
          <w:rStyle w:val="21"/>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1"/>
          <w:rFonts w:hint="eastAsia" w:ascii="仿宋" w:hAnsi="仿宋" w:eastAsia="仿宋"/>
          <w:b w:val="0"/>
          <w:bCs w:val="0"/>
          <w:color w:val="auto"/>
          <w:highlight w:val="none"/>
        </w:rPr>
        <w:t>般公共预算财政拨款支出决算表</w:t>
      </w:r>
      <w:bookmarkEnd w:id="118"/>
      <w:bookmarkEnd w:id="119"/>
    </w:p>
    <w:p>
      <w:pPr>
        <w:pStyle w:val="4"/>
        <w:rPr>
          <w:rFonts w:ascii="仿宋" w:hAnsi="仿宋" w:eastAsia="仿宋"/>
          <w:color w:val="auto"/>
          <w:highlight w:val="none"/>
        </w:rPr>
      </w:pPr>
      <w:bookmarkStart w:id="120" w:name="_Toc15396625"/>
      <w:bookmarkStart w:id="121" w:name="_Toc7759"/>
      <w:r>
        <w:rPr>
          <w:rStyle w:val="21"/>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1"/>
          <w:rFonts w:hint="eastAsia" w:ascii="仿宋" w:hAnsi="仿宋" w:eastAsia="仿宋"/>
          <w:b w:val="0"/>
          <w:bCs w:val="0"/>
          <w:color w:val="auto"/>
          <w:highlight w:val="none"/>
        </w:rPr>
        <w:t>般公共预算财政拨款支出决算明细表</w:t>
      </w:r>
      <w:bookmarkEnd w:id="120"/>
      <w:bookmarkEnd w:id="121"/>
    </w:p>
    <w:p>
      <w:pPr>
        <w:pStyle w:val="4"/>
        <w:rPr>
          <w:rFonts w:ascii="仿宋" w:hAnsi="仿宋" w:eastAsia="仿宋"/>
          <w:color w:val="auto"/>
          <w:highlight w:val="none"/>
        </w:rPr>
      </w:pPr>
      <w:bookmarkStart w:id="122" w:name="_Toc15396626"/>
      <w:bookmarkStart w:id="123" w:name="_Toc9425"/>
      <w:r>
        <w:rPr>
          <w:rStyle w:val="21"/>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1"/>
          <w:rFonts w:hint="eastAsia" w:ascii="仿宋" w:hAnsi="仿宋" w:eastAsia="仿宋"/>
          <w:b w:val="0"/>
          <w:bCs w:val="0"/>
          <w:color w:val="auto"/>
          <w:highlight w:val="none"/>
        </w:rPr>
        <w:t>般公共预算财政拨款基本支出决算表</w:t>
      </w:r>
      <w:bookmarkEnd w:id="122"/>
      <w:bookmarkEnd w:id="123"/>
    </w:p>
    <w:p>
      <w:pPr>
        <w:pStyle w:val="4"/>
        <w:rPr>
          <w:rFonts w:ascii="仿宋" w:hAnsi="仿宋" w:eastAsia="仿宋"/>
          <w:color w:val="auto"/>
          <w:highlight w:val="none"/>
        </w:rPr>
      </w:pPr>
      <w:bookmarkStart w:id="124" w:name="_Toc17876"/>
      <w:bookmarkStart w:id="125" w:name="_Toc15396627"/>
      <w:r>
        <w:rPr>
          <w:rStyle w:val="21"/>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1"/>
          <w:rFonts w:hint="eastAsia" w:ascii="仿宋" w:hAnsi="仿宋" w:eastAsia="仿宋"/>
          <w:b w:val="0"/>
          <w:bCs w:val="0"/>
          <w:color w:val="auto"/>
          <w:highlight w:val="none"/>
        </w:rPr>
        <w:t>般公共预算财政拨款项目支出决算表</w:t>
      </w:r>
      <w:bookmarkEnd w:id="124"/>
      <w:bookmarkEnd w:id="125"/>
    </w:p>
    <w:p>
      <w:pPr>
        <w:pStyle w:val="4"/>
        <w:rPr>
          <w:rFonts w:ascii="仿宋" w:hAnsi="仿宋" w:eastAsia="仿宋"/>
          <w:color w:val="auto"/>
          <w:highlight w:val="none"/>
        </w:rPr>
      </w:pPr>
      <w:bookmarkStart w:id="126" w:name="_Toc15396628"/>
      <w:bookmarkStart w:id="127" w:name="_Toc7773"/>
      <w:r>
        <w:rPr>
          <w:rStyle w:val="21"/>
          <w:rFonts w:hint="eastAsia" w:ascii="仿宋" w:hAnsi="仿宋" w:eastAsia="仿宋"/>
          <w:b w:val="0"/>
          <w:bCs w:val="0"/>
          <w:color w:val="auto"/>
          <w:highlight w:val="none"/>
        </w:rPr>
        <w:t>十、</w:t>
      </w:r>
      <w:bookmarkEnd w:id="126"/>
      <w:r>
        <w:rPr>
          <w:rFonts w:hint="eastAsia" w:ascii="仿宋" w:hAnsi="仿宋" w:eastAsia="仿宋"/>
          <w:b w:val="0"/>
          <w:color w:val="auto"/>
          <w:highlight w:val="none"/>
        </w:rPr>
        <w:t>政</w:t>
      </w:r>
      <w:r>
        <w:rPr>
          <w:rStyle w:val="21"/>
          <w:rFonts w:hint="eastAsia" w:ascii="仿宋" w:hAnsi="仿宋" w:eastAsia="仿宋"/>
          <w:b w:val="0"/>
          <w:bCs w:val="0"/>
          <w:color w:val="auto"/>
          <w:highlight w:val="none"/>
        </w:rPr>
        <w:t>府性基金预算财政拨款收入支出决算表</w:t>
      </w:r>
      <w:bookmarkEnd w:id="127"/>
    </w:p>
    <w:p>
      <w:pPr>
        <w:pStyle w:val="4"/>
        <w:rPr>
          <w:rFonts w:ascii="仿宋" w:hAnsi="仿宋" w:eastAsia="仿宋"/>
          <w:color w:val="auto"/>
          <w:highlight w:val="none"/>
        </w:rPr>
      </w:pPr>
      <w:bookmarkStart w:id="128" w:name="_Toc15396629"/>
      <w:bookmarkStart w:id="129" w:name="_Toc7715"/>
      <w:r>
        <w:rPr>
          <w:rStyle w:val="21"/>
          <w:rFonts w:hint="eastAsia" w:ascii="仿宋" w:hAnsi="仿宋" w:eastAsia="仿宋"/>
          <w:b w:val="0"/>
          <w:bCs w:val="0"/>
          <w:color w:val="auto"/>
          <w:highlight w:val="none"/>
        </w:rPr>
        <w:t>十一、</w:t>
      </w:r>
      <w:bookmarkEnd w:id="128"/>
      <w:r>
        <w:rPr>
          <w:rFonts w:hint="eastAsia" w:ascii="仿宋" w:hAnsi="仿宋" w:eastAsia="仿宋"/>
          <w:b w:val="0"/>
          <w:color w:val="auto"/>
          <w:highlight w:val="none"/>
        </w:rPr>
        <w:t>国</w:t>
      </w:r>
      <w:r>
        <w:rPr>
          <w:rStyle w:val="21"/>
          <w:rFonts w:hint="eastAsia" w:ascii="仿宋" w:hAnsi="仿宋" w:eastAsia="仿宋"/>
          <w:b w:val="0"/>
          <w:bCs w:val="0"/>
          <w:color w:val="auto"/>
          <w:highlight w:val="none"/>
        </w:rPr>
        <w:t>有资本经营预算</w:t>
      </w:r>
      <w:r>
        <w:rPr>
          <w:rStyle w:val="21"/>
          <w:rFonts w:hint="eastAsia" w:ascii="仿宋" w:hAnsi="仿宋" w:eastAsia="仿宋"/>
          <w:b w:val="0"/>
          <w:bCs w:val="0"/>
          <w:color w:val="auto"/>
          <w:highlight w:val="none"/>
          <w:lang w:eastAsia="zh-CN"/>
        </w:rPr>
        <w:t>财政拨款收入</w:t>
      </w:r>
      <w:r>
        <w:rPr>
          <w:rStyle w:val="21"/>
          <w:rFonts w:hint="eastAsia" w:ascii="仿宋" w:hAnsi="仿宋" w:eastAsia="仿宋"/>
          <w:b w:val="0"/>
          <w:bCs w:val="0"/>
          <w:color w:val="auto"/>
          <w:highlight w:val="none"/>
        </w:rPr>
        <w:t>支出决算表</w:t>
      </w:r>
      <w:bookmarkEnd w:id="129"/>
    </w:p>
    <w:p>
      <w:pPr>
        <w:pStyle w:val="4"/>
        <w:rPr>
          <w:rFonts w:ascii="仿宋" w:hAnsi="仿宋" w:eastAsia="仿宋"/>
          <w:color w:val="auto"/>
          <w:highlight w:val="none"/>
        </w:rPr>
      </w:pPr>
      <w:bookmarkStart w:id="130" w:name="_Toc15396630"/>
      <w:bookmarkStart w:id="131" w:name="_Toc2480"/>
      <w:r>
        <w:rPr>
          <w:rStyle w:val="21"/>
          <w:rFonts w:hint="eastAsia" w:ascii="仿宋" w:hAnsi="仿宋" w:eastAsia="仿宋"/>
          <w:b w:val="0"/>
          <w:bCs w:val="0"/>
          <w:color w:val="auto"/>
          <w:highlight w:val="none"/>
        </w:rPr>
        <w:t>十二、</w:t>
      </w:r>
      <w:bookmarkEnd w:id="130"/>
      <w:r>
        <w:rPr>
          <w:rStyle w:val="21"/>
          <w:rFonts w:hint="eastAsia" w:ascii="仿宋" w:hAnsi="仿宋" w:eastAsia="仿宋"/>
          <w:b w:val="0"/>
          <w:bCs w:val="0"/>
          <w:color w:val="auto"/>
          <w:highlight w:val="none"/>
          <w:lang w:eastAsia="zh-CN"/>
        </w:rPr>
        <w:t>国有资本经营预算财政拨款支出决算表</w:t>
      </w:r>
      <w:bookmarkEnd w:id="131"/>
    </w:p>
    <w:p>
      <w:pPr>
        <w:pStyle w:val="4"/>
        <w:rPr>
          <w:rFonts w:hint="eastAsia" w:eastAsia="仿宋"/>
          <w:color w:val="auto"/>
          <w:highlight w:val="none"/>
          <w:lang w:eastAsia="zh-CN"/>
        </w:rPr>
      </w:pPr>
      <w:bookmarkStart w:id="132" w:name="_Toc15396631"/>
      <w:bookmarkStart w:id="133" w:name="_Toc11672"/>
      <w:r>
        <w:rPr>
          <w:rStyle w:val="21"/>
          <w:rFonts w:hint="eastAsia" w:ascii="仿宋" w:hAnsi="仿宋" w:eastAsia="仿宋"/>
          <w:b w:val="0"/>
          <w:bCs w:val="0"/>
          <w:color w:val="auto"/>
          <w:highlight w:val="none"/>
        </w:rPr>
        <w:t>十三、</w:t>
      </w:r>
      <w:bookmarkEnd w:id="132"/>
      <w:r>
        <w:rPr>
          <w:rStyle w:val="21"/>
          <w:rFonts w:hint="eastAsia" w:ascii="仿宋" w:hAnsi="仿宋" w:eastAsia="仿宋"/>
          <w:b w:val="0"/>
          <w:bCs w:val="0"/>
          <w:color w:val="auto"/>
          <w:highlight w:val="none"/>
          <w:lang w:eastAsia="zh-CN"/>
        </w:rPr>
        <w:t>财政拨款“三公”经费支出决算表</w:t>
      </w:r>
      <w:bookmarkEnd w:id="133"/>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黑体"/>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default"/>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default"/>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default"/>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6FB4E"/>
    <w:multiLevelType w:val="singleLevel"/>
    <w:tmpl w:val="8686FB4E"/>
    <w:lvl w:ilvl="0" w:tentative="0">
      <w:start w:val="3"/>
      <w:numFmt w:val="chineseCounting"/>
      <w:suff w:val="nothing"/>
      <w:lvlText w:val="（%1）"/>
      <w:lvlJc w:val="left"/>
      <w:rPr>
        <w:rFonts w:hint="eastAsia"/>
      </w:rPr>
    </w:lvl>
  </w:abstractNum>
  <w:abstractNum w:abstractNumId="1">
    <w:nsid w:val="C1281DA4"/>
    <w:multiLevelType w:val="singleLevel"/>
    <w:tmpl w:val="C1281DA4"/>
    <w:lvl w:ilvl="0" w:tentative="0">
      <w:start w:val="1"/>
      <w:numFmt w:val="decimal"/>
      <w:suff w:val="nothing"/>
      <w:lvlText w:val="%1．"/>
      <w:lvlJc w:val="left"/>
      <w:pPr>
        <w:ind w:left="0" w:firstLine="400"/>
      </w:pPr>
      <w:rPr>
        <w:rFonts w:hint="default" w:ascii="Times New Roman" w:hAnsi="Times New Roman" w:cs="Times New Roman"/>
        <w:sz w:val="32"/>
        <w:szCs w:val="32"/>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DEBEF323"/>
    <w:multiLevelType w:val="singleLevel"/>
    <w:tmpl w:val="DEBEF323"/>
    <w:lvl w:ilvl="0" w:tentative="0">
      <w:start w:val="4"/>
      <w:numFmt w:val="chineseCounting"/>
      <w:suff w:val="nothing"/>
      <w:lvlText w:val="（%1）"/>
      <w:lvlJc w:val="left"/>
      <w:rPr>
        <w:rFonts w:hint="eastAsia"/>
      </w:rPr>
    </w:lvl>
  </w:abstractNum>
  <w:abstractNum w:abstractNumId="4">
    <w:nsid w:val="E2FA047D"/>
    <w:multiLevelType w:val="singleLevel"/>
    <w:tmpl w:val="E2FA047D"/>
    <w:lvl w:ilvl="0" w:tentative="0">
      <w:start w:val="3"/>
      <w:numFmt w:val="chineseCounting"/>
      <w:suff w:val="space"/>
      <w:lvlText w:val="第%1部分"/>
      <w:lvlJc w:val="left"/>
      <w:rPr>
        <w:rFonts w:hint="eastAsia"/>
      </w:rPr>
    </w:lvl>
  </w:abstractNum>
  <w:abstractNum w:abstractNumId="5">
    <w:nsid w:val="FFF674BC"/>
    <w:multiLevelType w:val="singleLevel"/>
    <w:tmpl w:val="FFF674BC"/>
    <w:lvl w:ilvl="0" w:tentative="0">
      <w:start w:val="1"/>
      <w:numFmt w:val="chineseCounting"/>
      <w:suff w:val="nothing"/>
      <w:lvlText w:val="%1、"/>
      <w:lvlJc w:val="left"/>
      <w:rPr>
        <w:rFonts w:hint="eastAsia"/>
      </w:r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2C8E2B9C"/>
    <w:multiLevelType w:val="singleLevel"/>
    <w:tmpl w:val="2C8E2B9C"/>
    <w:lvl w:ilvl="0" w:tentative="0">
      <w:start w:val="2"/>
      <w:numFmt w:val="decimal"/>
      <w:lvlText w:val="%1."/>
      <w:lvlJc w:val="left"/>
      <w:pPr>
        <w:tabs>
          <w:tab w:val="left" w:pos="312"/>
        </w:tabs>
      </w:pPr>
    </w:lvl>
  </w:abstractNum>
  <w:abstractNum w:abstractNumId="8">
    <w:nsid w:val="59B23C6D"/>
    <w:multiLevelType w:val="singleLevel"/>
    <w:tmpl w:val="59B23C6D"/>
    <w:lvl w:ilvl="0" w:tentative="0">
      <w:start w:val="2"/>
      <w:numFmt w:val="chineseCounting"/>
      <w:suff w:val="nothing"/>
      <w:lvlText w:val="%1、"/>
      <w:lvlJc w:val="left"/>
      <w:rPr>
        <w:rFonts w:hint="eastAsia"/>
      </w:rPr>
    </w:lvl>
  </w:abstractNum>
  <w:abstractNum w:abstractNumId="9">
    <w:nsid w:val="6627FC8F"/>
    <w:multiLevelType w:val="singleLevel"/>
    <w:tmpl w:val="6627FC8F"/>
    <w:lvl w:ilvl="0" w:tentative="0">
      <w:start w:val="1"/>
      <w:numFmt w:val="decimal"/>
      <w:suff w:val="nothing"/>
      <w:lvlText w:val="%1．"/>
      <w:lvlJc w:val="left"/>
      <w:pPr>
        <w:ind w:left="0" w:firstLine="400"/>
      </w:pPr>
      <w:rPr>
        <w:rFonts w:hint="default"/>
      </w:rPr>
    </w:lvl>
  </w:abstractNum>
  <w:abstractNum w:abstractNumId="10">
    <w:nsid w:val="67ECC852"/>
    <w:multiLevelType w:val="singleLevel"/>
    <w:tmpl w:val="67ECC852"/>
    <w:lvl w:ilvl="0" w:tentative="0">
      <w:start w:val="1"/>
      <w:numFmt w:val="chineseCounting"/>
      <w:suff w:val="nothing"/>
      <w:lvlText w:val="（%1）"/>
      <w:lvlJc w:val="left"/>
      <w:rPr>
        <w:rFonts w:hint="eastAsia"/>
      </w:rPr>
    </w:lvl>
  </w:abstractNum>
  <w:abstractNum w:abstractNumId="11">
    <w:nsid w:val="730C1BFE"/>
    <w:multiLevelType w:val="singleLevel"/>
    <w:tmpl w:val="730C1BFE"/>
    <w:lvl w:ilvl="0" w:tentative="0">
      <w:start w:val="2"/>
      <w:numFmt w:val="decimal"/>
      <w:lvlText w:val="%1."/>
      <w:lvlJc w:val="left"/>
      <w:pPr>
        <w:tabs>
          <w:tab w:val="left" w:pos="312"/>
        </w:tabs>
      </w:pPr>
    </w:lvl>
  </w:abstractNum>
  <w:num w:numId="1">
    <w:abstractNumId w:val="8"/>
  </w:num>
  <w:num w:numId="2">
    <w:abstractNumId w:val="6"/>
  </w:num>
  <w:num w:numId="3">
    <w:abstractNumId w:val="1"/>
  </w:num>
  <w:num w:numId="4">
    <w:abstractNumId w:val="2"/>
  </w:num>
  <w:num w:numId="5">
    <w:abstractNumId w:val="4"/>
  </w:num>
  <w:num w:numId="6">
    <w:abstractNumId w:val="9"/>
  </w:num>
  <w:num w:numId="7">
    <w:abstractNumId w:val="5"/>
  </w:num>
  <w:num w:numId="8">
    <w:abstractNumId w:val="10"/>
  </w:num>
  <w:num w:numId="9">
    <w:abstractNumId w:val="7"/>
  </w:num>
  <w:num w:numId="10">
    <w:abstractNumId w:val="11"/>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5OWUzN2Q3MzBkMmYxNjMwMTkyYjEzYTkwOGNlYWY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4DD3794"/>
    <w:rsid w:val="062F2D46"/>
    <w:rsid w:val="066E0107"/>
    <w:rsid w:val="07996F6E"/>
    <w:rsid w:val="09F63AFE"/>
    <w:rsid w:val="0A2032A3"/>
    <w:rsid w:val="0C122745"/>
    <w:rsid w:val="0C6C43C6"/>
    <w:rsid w:val="0CAA0B73"/>
    <w:rsid w:val="0D26294C"/>
    <w:rsid w:val="0F98263C"/>
    <w:rsid w:val="101860EC"/>
    <w:rsid w:val="108F5D13"/>
    <w:rsid w:val="10BE3584"/>
    <w:rsid w:val="10C055FF"/>
    <w:rsid w:val="117B2B3A"/>
    <w:rsid w:val="118107EC"/>
    <w:rsid w:val="139F6FB4"/>
    <w:rsid w:val="13BB75C8"/>
    <w:rsid w:val="13D50BC4"/>
    <w:rsid w:val="16BB723D"/>
    <w:rsid w:val="17342109"/>
    <w:rsid w:val="17623633"/>
    <w:rsid w:val="1A714BBA"/>
    <w:rsid w:val="1B7F3BA4"/>
    <w:rsid w:val="1BE8440E"/>
    <w:rsid w:val="1D155CEE"/>
    <w:rsid w:val="1DE91C7A"/>
    <w:rsid w:val="1FF35744"/>
    <w:rsid w:val="2200799D"/>
    <w:rsid w:val="2217240B"/>
    <w:rsid w:val="228448C4"/>
    <w:rsid w:val="23860B96"/>
    <w:rsid w:val="23C853F8"/>
    <w:rsid w:val="240371BF"/>
    <w:rsid w:val="26C26CF7"/>
    <w:rsid w:val="27174187"/>
    <w:rsid w:val="28485A15"/>
    <w:rsid w:val="29FD04D3"/>
    <w:rsid w:val="2B726905"/>
    <w:rsid w:val="2C8A61B5"/>
    <w:rsid w:val="2CD02A7C"/>
    <w:rsid w:val="2DF04E50"/>
    <w:rsid w:val="2F040D46"/>
    <w:rsid w:val="2F7B5952"/>
    <w:rsid w:val="306D4B10"/>
    <w:rsid w:val="307E2038"/>
    <w:rsid w:val="30E16E45"/>
    <w:rsid w:val="319F7F4E"/>
    <w:rsid w:val="32A9493D"/>
    <w:rsid w:val="3304709D"/>
    <w:rsid w:val="33ED5AEE"/>
    <w:rsid w:val="34D32B0A"/>
    <w:rsid w:val="3522139B"/>
    <w:rsid w:val="35F733C4"/>
    <w:rsid w:val="36AA5135"/>
    <w:rsid w:val="376D39B2"/>
    <w:rsid w:val="37B4123D"/>
    <w:rsid w:val="37E16F03"/>
    <w:rsid w:val="38D469F0"/>
    <w:rsid w:val="3B2C7764"/>
    <w:rsid w:val="3B37236A"/>
    <w:rsid w:val="3B666E7F"/>
    <w:rsid w:val="3C644263"/>
    <w:rsid w:val="3D654438"/>
    <w:rsid w:val="3D98207C"/>
    <w:rsid w:val="3E1A70B4"/>
    <w:rsid w:val="3E78745D"/>
    <w:rsid w:val="409B427D"/>
    <w:rsid w:val="40B3296B"/>
    <w:rsid w:val="41D34D39"/>
    <w:rsid w:val="42CB57B2"/>
    <w:rsid w:val="435968D0"/>
    <w:rsid w:val="44E268DA"/>
    <w:rsid w:val="463B406B"/>
    <w:rsid w:val="46BE6E5E"/>
    <w:rsid w:val="48DF6239"/>
    <w:rsid w:val="4929531B"/>
    <w:rsid w:val="495B5027"/>
    <w:rsid w:val="497D7E77"/>
    <w:rsid w:val="4A627F82"/>
    <w:rsid w:val="4B0E749A"/>
    <w:rsid w:val="4B4F25DA"/>
    <w:rsid w:val="4B8921F7"/>
    <w:rsid w:val="4BC92119"/>
    <w:rsid w:val="4BE068DB"/>
    <w:rsid w:val="4CF10009"/>
    <w:rsid w:val="4D577224"/>
    <w:rsid w:val="4D820DE4"/>
    <w:rsid w:val="4DEE3558"/>
    <w:rsid w:val="4E036597"/>
    <w:rsid w:val="4E095602"/>
    <w:rsid w:val="4EAB630A"/>
    <w:rsid w:val="4ECE2238"/>
    <w:rsid w:val="50C03AEB"/>
    <w:rsid w:val="52405687"/>
    <w:rsid w:val="525C3ADA"/>
    <w:rsid w:val="537E6D0A"/>
    <w:rsid w:val="53C24242"/>
    <w:rsid w:val="57601B83"/>
    <w:rsid w:val="58B32187"/>
    <w:rsid w:val="5A3317D1"/>
    <w:rsid w:val="5AF92295"/>
    <w:rsid w:val="5B2C087D"/>
    <w:rsid w:val="5CD71FC4"/>
    <w:rsid w:val="5E6F9045"/>
    <w:rsid w:val="5F7420BA"/>
    <w:rsid w:val="65F6186B"/>
    <w:rsid w:val="66B574DF"/>
    <w:rsid w:val="67D73211"/>
    <w:rsid w:val="6B553D78"/>
    <w:rsid w:val="6C4A05C8"/>
    <w:rsid w:val="6E1B015A"/>
    <w:rsid w:val="6E7E3605"/>
    <w:rsid w:val="6FA674C3"/>
    <w:rsid w:val="6FF5CC65"/>
    <w:rsid w:val="710B6626"/>
    <w:rsid w:val="715C0E4B"/>
    <w:rsid w:val="71E12BA0"/>
    <w:rsid w:val="726C10E3"/>
    <w:rsid w:val="72734D90"/>
    <w:rsid w:val="72A47218"/>
    <w:rsid w:val="72C232B3"/>
    <w:rsid w:val="73AD73D5"/>
    <w:rsid w:val="73B6EB34"/>
    <w:rsid w:val="744731E5"/>
    <w:rsid w:val="767945B8"/>
    <w:rsid w:val="76E3355F"/>
    <w:rsid w:val="778769C8"/>
    <w:rsid w:val="780F6F82"/>
    <w:rsid w:val="79155272"/>
    <w:rsid w:val="79EE5BA4"/>
    <w:rsid w:val="7A894339"/>
    <w:rsid w:val="7BC96D94"/>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9"/>
    <w:qFormat/>
    <w:uiPriority w:val="99"/>
    <w:pPr>
      <w:spacing w:beforeLines="30"/>
    </w:pPr>
    <w:rPr>
      <w:rFonts w:ascii="仿宋_GB2312" w:eastAsia="仿宋_GB2312"/>
      <w:kern w:val="0"/>
      <w:sz w:val="30"/>
    </w:rPr>
  </w:style>
  <w:style w:type="paragraph" w:styleId="6">
    <w:name w:val="Salutation"/>
    <w:basedOn w:val="1"/>
    <w:next w:val="1"/>
    <w:qFormat/>
    <w:uiPriority w:val="99"/>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next w:val="1"/>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标题 1 Char"/>
    <w:basedOn w:val="17"/>
    <w:link w:val="3"/>
    <w:qFormat/>
    <w:uiPriority w:val="9"/>
    <w:rPr>
      <w:rFonts w:ascii="Times New Roman" w:hAnsi="Times New Roman"/>
      <w:b/>
      <w:bCs/>
      <w:kern w:val="44"/>
      <w:sz w:val="44"/>
      <w:szCs w:val="44"/>
    </w:rPr>
  </w:style>
  <w:style w:type="character" w:customStyle="1" w:styleId="21">
    <w:name w:val="标题 2 Char"/>
    <w:basedOn w:val="17"/>
    <w:link w:val="4"/>
    <w:qFormat/>
    <w:uiPriority w:val="9"/>
    <w:rPr>
      <w:rFonts w:asciiTheme="majorHAnsi" w:hAnsiTheme="majorHAnsi" w:eastAsiaTheme="majorEastAsia" w:cstheme="majorBidi"/>
      <w:b/>
      <w:bCs/>
      <w:kern w:val="2"/>
      <w:sz w:val="32"/>
      <w:szCs w:val="32"/>
    </w:rPr>
  </w:style>
  <w:style w:type="character" w:customStyle="1" w:styleId="22">
    <w:name w:val="标题 3 Char"/>
    <w:basedOn w:val="17"/>
    <w:link w:val="5"/>
    <w:qFormat/>
    <w:uiPriority w:val="9"/>
    <w:rPr>
      <w:rFonts w:ascii="Times New Roman" w:hAnsi="Times New Roman"/>
      <w:b/>
      <w:bCs/>
      <w:kern w:val="2"/>
      <w:sz w:val="32"/>
      <w:szCs w:val="32"/>
    </w:rPr>
  </w:style>
  <w:style w:type="paragraph" w:customStyle="1" w:styleId="23">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4">
    <w:name w:val="Header Char"/>
    <w:basedOn w:val="17"/>
    <w:semiHidden/>
    <w:qFormat/>
    <w:uiPriority w:val="99"/>
    <w:rPr>
      <w:rFonts w:ascii="Times New Roman" w:hAnsi="Times New Roman"/>
      <w:sz w:val="18"/>
      <w:szCs w:val="18"/>
    </w:rPr>
  </w:style>
  <w:style w:type="character" w:customStyle="1" w:styleId="25">
    <w:name w:val="页眉 Char"/>
    <w:link w:val="12"/>
    <w:semiHidden/>
    <w:qFormat/>
    <w:locked/>
    <w:uiPriority w:val="99"/>
    <w:rPr>
      <w:sz w:val="18"/>
    </w:rPr>
  </w:style>
  <w:style w:type="character" w:customStyle="1" w:styleId="26">
    <w:name w:val="Footer Char"/>
    <w:basedOn w:val="17"/>
    <w:semiHidden/>
    <w:qFormat/>
    <w:uiPriority w:val="99"/>
    <w:rPr>
      <w:rFonts w:ascii="Times New Roman" w:hAnsi="Times New Roman"/>
      <w:sz w:val="18"/>
      <w:szCs w:val="18"/>
    </w:rPr>
  </w:style>
  <w:style w:type="character" w:customStyle="1" w:styleId="27">
    <w:name w:val="页脚 Char"/>
    <w:link w:val="11"/>
    <w:qFormat/>
    <w:locked/>
    <w:uiPriority w:val="99"/>
    <w:rPr>
      <w:sz w:val="18"/>
    </w:rPr>
  </w:style>
  <w:style w:type="character" w:customStyle="1" w:styleId="28">
    <w:name w:val="Body Text Char"/>
    <w:basedOn w:val="17"/>
    <w:semiHidden/>
    <w:qFormat/>
    <w:uiPriority w:val="99"/>
    <w:rPr>
      <w:rFonts w:ascii="Times New Roman" w:hAnsi="Times New Roman"/>
      <w:szCs w:val="24"/>
    </w:rPr>
  </w:style>
  <w:style w:type="character" w:customStyle="1" w:styleId="29">
    <w:name w:val="正文文本 Char"/>
    <w:link w:val="2"/>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7"/>
    <w:link w:val="10"/>
    <w:semiHidden/>
    <w:qFormat/>
    <w:uiPriority w:val="99"/>
    <w:rPr>
      <w:rFonts w:ascii="Times New Roman" w:hAnsi="Times New Roman"/>
      <w:kern w:val="2"/>
      <w:sz w:val="18"/>
      <w:szCs w:val="18"/>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6">
    <w:name w:val="WPSOffice手动目录 1"/>
    <w:uiPriority w:val="0"/>
    <w:pPr>
      <w:ind w:leftChars="0"/>
    </w:pPr>
    <w:rPr>
      <w:rFonts w:ascii="Times New Roman" w:hAnsi="Times New Roman" w:eastAsia="宋体" w:cs="Times New Roman"/>
      <w:sz w:val="20"/>
      <w:szCs w:val="20"/>
    </w:rPr>
  </w:style>
  <w:style w:type="paragraph" w:customStyle="1" w:styleId="37">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6.png"/><Relationship Id="rId22" Type="http://schemas.openxmlformats.org/officeDocument/2006/relationships/image" Target="media/image5.png"/><Relationship Id="rId21" Type="http://schemas.openxmlformats.org/officeDocument/2006/relationships/image" Target="media/image4.png"/><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embeddings/oleObject3.bin"/></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embeddings/oleObject7.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7.xml.rels><?xml version="1.0" encoding="UTF-8" standalone="yes"?>
<Relationships xmlns="http://schemas.openxmlformats.org/package/2006/relationships"><Relationship Id="rId1" Type="http://schemas.openxmlformats.org/officeDocument/2006/relationships/oleObject" Target="../embeddings/oleObject6.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barChart>
        <c:barDir val="col"/>
        <c:grouping val="stacked"/>
        <c:varyColors val="0"/>
        <c:ser>
          <c:idx val="0"/>
          <c:order val="0"/>
          <c:tx>
            <c:strRef>
              <c:f>Sheet1!$B$1</c:f>
              <c:strCache>
                <c:ptCount val="1"/>
                <c:pt idx="0">
                  <c:v>收支总计（单位：万元）</c:v>
                </c:pt>
              </c:strCache>
            </c:strRef>
          </c:tx>
          <c:spPr>
            <a:solidFill>
              <a:schemeClr val="accent1"/>
            </a:solidFill>
            <a:ln>
              <a:solidFill>
                <a:schemeClr val="bg1"/>
              </a:solidFill>
            </a:ln>
            <a:effectLst/>
          </c:spPr>
          <c:invertIfNegative val="0"/>
          <c:dPt>
            <c:idx val="0"/>
            <c:invertIfNegative val="0"/>
            <c:bubble3D val="0"/>
            <c:spPr>
              <a:solidFill>
                <a:schemeClr val="accent1"/>
              </a:solidFill>
              <a:ln>
                <a:solidFill>
                  <a:schemeClr val="bg1"/>
                </a:solidFill>
              </a:ln>
              <a:effectLst/>
            </c:spPr>
          </c:dPt>
          <c:dPt>
            <c:idx val="1"/>
            <c:invertIfNegative val="0"/>
            <c:bubble3D val="0"/>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657.78</a:t>
                    </a:r>
                  </a:p>
                </c:rich>
              </c:tx>
              <c:dLblPos val="ctr"/>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1154.44</a:t>
                    </a:r>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657.78</c:v>
                </c:pt>
                <c:pt idx="1">
                  <c:v>1154.44</c:v>
                </c:pt>
              </c:numCache>
            </c:numRef>
          </c:val>
        </c:ser>
        <c:dLbls>
          <c:showLegendKey val="0"/>
          <c:showVal val="1"/>
          <c:showCatName val="0"/>
          <c:showSerName val="0"/>
          <c:showPercent val="0"/>
          <c:showBubbleSize val="0"/>
        </c:dLbls>
        <c:gapWidth val="246"/>
        <c:overlap val="83"/>
        <c:axId val="69098880"/>
        <c:axId val="69108864"/>
      </c:barChart>
      <c:catAx>
        <c:axId val="69098880"/>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08864"/>
        <c:crosses val="autoZero"/>
        <c:auto val="1"/>
        <c:lblAlgn val="ctr"/>
        <c:lblOffset val="100"/>
        <c:noMultiLvlLbl val="0"/>
      </c:catAx>
      <c:valAx>
        <c:axId val="69108864"/>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09888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收入占比</c:v>
                </c:pt>
              </c:strCache>
            </c:strRef>
          </c:tx>
          <c:explosion val="0"/>
          <c:dPt>
            <c:idx val="0"/>
            <c:bubble3D val="0"/>
          </c:dPt>
          <c:dPt>
            <c:idx val="1"/>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61.24%</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38.76%</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61.24</c:v>
                </c:pt>
                <c:pt idx="1">
                  <c:v>38.76</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manualLayout>
          <c:layoutTarget val="inner"/>
          <c:xMode val="edge"/>
          <c:yMode val="edge"/>
          <c:x val="0.232424753190465"/>
          <c:y val="0.19959133126935"/>
          <c:w val="0.399104261979292"/>
          <c:h val="0.684202270381837"/>
        </c:manualLayout>
      </c:layout>
      <c:pieChart>
        <c:varyColors val="1"/>
        <c:ser>
          <c:idx val="0"/>
          <c:order val="0"/>
          <c:tx>
            <c:strRef>
              <c:f>Sheet1!$B$1</c:f>
              <c:strCache>
                <c:ptCount val="1"/>
                <c:pt idx="0">
                  <c:v>支出占比</c:v>
                </c:pt>
              </c:strCache>
            </c:strRef>
          </c:tx>
          <c:explosion val="0"/>
          <c:dPt>
            <c:idx val="0"/>
            <c:bubble3D val="0"/>
          </c:dPt>
          <c:dPt>
            <c:idx val="1"/>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80%</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manualLayout>
                  <c:x val="0.0272066256594104"/>
                  <c:y val="0.098587739747973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20%</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80</c:v>
                </c:pt>
                <c:pt idx="1">
                  <c:v>20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财政拨款收支总计（单位：万元）</a:t>
            </a:r>
          </a:p>
        </c:rich>
      </c:tx>
      <c:layout/>
      <c:overlay val="0"/>
      <c:spPr>
        <a:noFill/>
        <a:ln>
          <a:noFill/>
        </a:ln>
        <a:effectLst/>
      </c:spPr>
    </c:title>
    <c:autoTitleDeleted val="0"/>
    <c:plotArea>
      <c:layout/>
      <c:barChart>
        <c:barDir val="col"/>
        <c:grouping val="stacked"/>
        <c:varyColors val="0"/>
        <c:ser>
          <c:idx val="0"/>
          <c:order val="0"/>
          <c:tx>
            <c:strRef>
              <c:f>Sheet1!$B$1</c:f>
              <c:strCache>
                <c:ptCount val="1"/>
                <c:pt idx="0">
                  <c:v>收支总计（单位：万元）</c:v>
                </c:pt>
              </c:strCache>
            </c:strRef>
          </c:tx>
          <c:spPr>
            <a:solidFill>
              <a:schemeClr val="accent1"/>
            </a:solidFill>
            <a:ln>
              <a:solidFill>
                <a:schemeClr val="bg1"/>
              </a:solidFill>
            </a:ln>
            <a:effectLst/>
          </c:spPr>
          <c:invertIfNegative val="0"/>
          <c:dPt>
            <c:idx val="0"/>
            <c:invertIfNegative val="0"/>
            <c:bubble3D val="0"/>
            <c:spPr>
              <a:solidFill>
                <a:schemeClr val="accent1"/>
              </a:solidFill>
              <a:ln>
                <a:solidFill>
                  <a:schemeClr val="bg1"/>
                </a:solidFill>
              </a:ln>
              <a:effectLst/>
            </c:spPr>
          </c:dPt>
          <c:dPt>
            <c:idx val="1"/>
            <c:invertIfNegative val="0"/>
            <c:bubble3D val="0"/>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657.78</a:t>
                    </a:r>
                  </a:p>
                </c:rich>
              </c:tx>
              <c:dLblPos val="ctr"/>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707</a:t>
                    </a:r>
                    <a:endParaRPr lang="en-US" altLang="zh-CN"/>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657.78</c:v>
                </c:pt>
                <c:pt idx="1">
                  <c:v>707</c:v>
                </c:pt>
              </c:numCache>
            </c:numRef>
          </c:val>
        </c:ser>
        <c:dLbls>
          <c:showLegendKey val="0"/>
          <c:showVal val="1"/>
          <c:showCatName val="0"/>
          <c:showSerName val="0"/>
          <c:showPercent val="0"/>
          <c:showBubbleSize val="0"/>
        </c:dLbls>
        <c:gapWidth val="246"/>
        <c:overlap val="83"/>
        <c:axId val="69098880"/>
        <c:axId val="69108864"/>
      </c:barChart>
      <c:catAx>
        <c:axId val="69098880"/>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08864"/>
        <c:crosses val="autoZero"/>
        <c:auto val="1"/>
        <c:lblAlgn val="ctr"/>
        <c:lblOffset val="100"/>
        <c:noMultiLvlLbl val="0"/>
      </c:catAx>
      <c:valAx>
        <c:axId val="69108864"/>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09888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一般公共预算财政拨款支出决算（单位：万元）</a:t>
            </a:r>
          </a:p>
        </c:rich>
      </c:tx>
      <c:layout/>
      <c:overlay val="0"/>
      <c:spPr>
        <a:noFill/>
        <a:ln>
          <a:noFill/>
        </a:ln>
        <a:effectLst/>
      </c:spPr>
    </c:title>
    <c:autoTitleDeleted val="0"/>
    <c:plotArea>
      <c:layout/>
      <c:barChart>
        <c:barDir val="col"/>
        <c:grouping val="stacked"/>
        <c:varyColors val="0"/>
        <c:ser>
          <c:idx val="0"/>
          <c:order val="0"/>
          <c:tx>
            <c:strRef>
              <c:f>Sheet1!$B$1</c:f>
              <c:strCache>
                <c:ptCount val="1"/>
                <c:pt idx="0">
                  <c:v>收支总计（单位：万元）</c:v>
                </c:pt>
              </c:strCache>
            </c:strRef>
          </c:tx>
          <c:spPr>
            <a:solidFill>
              <a:schemeClr val="accent1"/>
            </a:solidFill>
            <a:ln>
              <a:solidFill>
                <a:schemeClr val="bg1"/>
              </a:solidFill>
            </a:ln>
            <a:effectLst/>
          </c:spPr>
          <c:invertIfNegative val="0"/>
          <c:dPt>
            <c:idx val="0"/>
            <c:invertIfNegative val="0"/>
            <c:bubble3D val="0"/>
            <c:spPr>
              <a:solidFill>
                <a:schemeClr val="accent1"/>
              </a:solidFill>
              <a:ln>
                <a:solidFill>
                  <a:schemeClr val="bg1"/>
                </a:solidFill>
              </a:ln>
              <a:effectLst/>
            </c:spPr>
          </c:dPt>
          <c:dPt>
            <c:idx val="1"/>
            <c:invertIfNegative val="0"/>
            <c:bubble3D val="0"/>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657.78</a:t>
                    </a:r>
                  </a:p>
                </c:rich>
              </c:tx>
              <c:dLblPos val="ctr"/>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707</a:t>
                    </a:r>
                    <a:endParaRPr lang="en-US" altLang="zh-CN"/>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657.78</c:v>
                </c:pt>
                <c:pt idx="1">
                  <c:v>707</c:v>
                </c:pt>
              </c:numCache>
            </c:numRef>
          </c:val>
        </c:ser>
        <c:dLbls>
          <c:showLegendKey val="0"/>
          <c:showVal val="1"/>
          <c:showCatName val="0"/>
          <c:showSerName val="0"/>
          <c:showPercent val="0"/>
          <c:showBubbleSize val="0"/>
        </c:dLbls>
        <c:gapWidth val="246"/>
        <c:overlap val="83"/>
        <c:axId val="69098880"/>
        <c:axId val="69108864"/>
      </c:barChart>
      <c:catAx>
        <c:axId val="69098880"/>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08864"/>
        <c:crosses val="autoZero"/>
        <c:auto val="1"/>
        <c:lblAlgn val="ctr"/>
        <c:lblOffset val="100"/>
        <c:noMultiLvlLbl val="0"/>
      </c:catAx>
      <c:valAx>
        <c:axId val="69108864"/>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09888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800" b="0" i="0" baseline="0"/>
              <a:t>一般公共预算财政拨款支出决算结构</a:t>
            </a:r>
            <a:endParaRPr lang="zh-CN" altLang="zh-CN"/>
          </a:p>
        </c:rich>
      </c:tx>
      <c:layout/>
      <c:overlay val="0"/>
    </c:title>
    <c:autoTitleDeleted val="0"/>
    <c:plotArea>
      <c:layout>
        <c:manualLayout>
          <c:layoutTarget val="inner"/>
          <c:xMode val="edge"/>
          <c:yMode val="edge"/>
          <c:x val="0.166327955694679"/>
          <c:y val="0.223739938080495"/>
          <c:w val="0.399104261979292"/>
          <c:h val="0.684202270381837"/>
        </c:manualLayout>
      </c:layout>
      <c:pieChart>
        <c:varyColors val="1"/>
        <c:ser>
          <c:idx val="0"/>
          <c:order val="0"/>
          <c:tx>
            <c:strRef>
              <c:f>Sheet1!$B$1</c:f>
              <c:strCache>
                <c:ptCount val="1"/>
                <c:pt idx="0">
                  <c:v>销售额</c:v>
                </c:pt>
              </c:strCache>
            </c:strRef>
          </c:tx>
          <c:explosion val="0"/>
          <c:dPt>
            <c:idx val="0"/>
            <c:bubble3D val="0"/>
          </c:dPt>
          <c:dPt>
            <c:idx val="1"/>
            <c:bubble3D val="0"/>
            <c:spPr>
              <a:effectLst>
                <a:outerShdw blurRad="50800" dist="50800" dir="2400000" algn="ctr" rotWithShape="0">
                  <a:srgbClr val="000000">
                    <a:alpha val="43000"/>
                  </a:srgbClr>
                </a:outerShdw>
              </a:effectLst>
            </c:spPr>
          </c:dPt>
          <c:dPt>
            <c:idx val="2"/>
            <c:bubble3D val="0"/>
          </c:dPt>
          <c:dPt>
            <c:idx val="3"/>
            <c:bubble3D val="0"/>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88.</a:t>
                    </a:r>
                    <a:r>
                      <a:rPr lang="en-US" altLang="zh-CN"/>
                      <a:t>21</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manualLayout>
                  <c:x val="0.0356625091863257"/>
                  <c:y val="0.101032569071287"/>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40.98</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51356291154673"/>
                  <c:y val="0.08403923193811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2.</a:t>
                    </a:r>
                    <a:r>
                      <a:rPr lang="en-US" altLang="zh-CN"/>
                      <a:t>32</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14321701052483"/>
                  <c:y val="0.0918744304800254"/>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3.</a:t>
                    </a:r>
                    <a:r>
                      <a:rPr lang="en-US" altLang="zh-CN"/>
                      <a:t>67</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公共安全支出</c:v>
                </c:pt>
                <c:pt idx="1">
                  <c:v>社会保障和就业支出</c:v>
                </c:pt>
                <c:pt idx="2">
                  <c:v>卫生健康支出</c:v>
                </c:pt>
                <c:pt idx="3">
                  <c:v>住房保障支出</c:v>
                </c:pt>
              </c:strCache>
            </c:strRef>
          </c:cat>
          <c:val>
            <c:numRef>
              <c:f>Sheet1!$B$2:$B$5</c:f>
              <c:numCache>
                <c:formatCode>General</c:formatCode>
                <c:ptCount val="4"/>
                <c:pt idx="0">
                  <c:v>88.21</c:v>
                </c:pt>
                <c:pt idx="1">
                  <c:v>40.98</c:v>
                </c:pt>
                <c:pt idx="2">
                  <c:v>2.32</c:v>
                </c:pt>
                <c:pt idx="3">
                  <c:v>3.67</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explosion val="0"/>
          <c:dPt>
            <c:idx val="0"/>
            <c:bubble3D val="0"/>
          </c:dPt>
          <c:dPt>
            <c:idx val="1"/>
            <c:bubble3D val="0"/>
          </c:dPt>
          <c:dPt>
            <c:idx val="2"/>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0</a:t>
                    </a:r>
                    <a:r>
                      <a:rPr lang="en-US" altLang="zh-CN"/>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manualLayout>
                  <c:x val="-0.0296040619531275"/>
                  <c:y val="-0.161698317122125"/>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96.77%</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48835738095787"/>
                  <c:y val="0.123251134059404"/>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3.32%</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96.77</c:v>
                </c:pt>
                <c:pt idx="2">
                  <c:v>3.32</c:v>
                </c:pt>
              </c:numCache>
            </c:numRef>
          </c:val>
        </c:ser>
        <c:ser>
          <c:idx val="1"/>
          <c:order val="1"/>
          <c:tx>
            <c:strRef>
              <c:f>Sheet1!$C$1</c:f>
              <c:strCache>
                <c:ptCount val="1"/>
                <c:pt idx="0">
                  <c:v>列1</c:v>
                </c:pt>
              </c:strCache>
            </c:strRef>
          </c:tx>
          <c:explosion val="0"/>
          <c:dPt>
            <c:idx val="0"/>
            <c:bubble3D val="0"/>
          </c:dPt>
          <c:dPt>
            <c:idx val="1"/>
            <c:bubble3D val="0"/>
          </c:dPt>
          <c:dPt>
            <c:idx val="2"/>
            <c:bubble3D val="0"/>
          </c:dPt>
          <c:dLbls>
            <c:delete val="1"/>
          </c:dLbls>
          <c:cat>
            <c:strRef>
              <c:f>Sheet1!$A$2:$A$4</c:f>
              <c:strCache>
                <c:ptCount val="3"/>
                <c:pt idx="0">
                  <c:v>因公出国（境）费</c:v>
                </c:pt>
                <c:pt idx="1">
                  <c:v>公务用车购置及运行维护费</c:v>
                </c:pt>
                <c:pt idx="2">
                  <c:v>公务接待费</c:v>
                </c:pt>
              </c:strCache>
            </c:strRef>
          </c:cat>
          <c:val>
            <c:numRef>
              <c:f>Sheet1!$C$2:$C$4</c:f>
              <c:numCache>
                <c:formatCode>General</c:formatCode>
                <c:ptCount val="3"/>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withinLinear" id="3">
  <a:schemeClr val="accent1"/>
  <a:schemeClr val="accent1"/>
  <a:schemeClr val="accent1"/>
  <a:schemeClr val="accent1"/>
  <a:schemeClr val="accent1"/>
  <a:schemeClr val="accent1"/>
</cs:colorStyle>
</file>

<file path=word/charts/colors2.xml><?xml version="1.0" encoding="utf-8"?>
<cs:colorStyle xmlns:cs="http://schemas.microsoft.com/office/drawing/2012/chartStyle" xmlns:a="http://schemas.openxmlformats.org/drawingml/2006/main" meth="withinLinear" id="3">
  <a:schemeClr val="accent1"/>
  <a:schemeClr val="accent1"/>
  <a:schemeClr val="accent1"/>
  <a:schemeClr val="accent1"/>
  <a:schemeClr val="accent1"/>
  <a:schemeClr val="accent1"/>
</cs:colorStyle>
</file>

<file path=word/charts/colors3.xml><?xml version="1.0" encoding="utf-8"?>
<cs:colorStyle xmlns:cs="http://schemas.microsoft.com/office/drawing/2012/chartStyle" xmlns:a="http://schemas.openxmlformats.org/drawingml/2006/main" meth="withinLinear" id="3">
  <a:schemeClr val="accent1"/>
  <a:schemeClr val="accent1"/>
  <a:schemeClr val="accent1"/>
  <a:schemeClr val="accent1"/>
  <a:schemeClr val="accent1"/>
  <a:schemeClr val="accent1"/>
</cs:colorStyle>
</file>

<file path=word/charts/style1.xml><?xml version="1.0" encoding="utf-8"?>
<cs:chartStyle xmlns:cs="http://schemas.microsoft.com/office/drawing/2012/chartStyle" xmlns:a="http://schemas.openxmlformats.org/drawingml/2006/main" id="1001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1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1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24</Pages>
  <Words>1299</Words>
  <Characters>7410</Characters>
  <Lines>61</Lines>
  <Paragraphs>17</Paragraphs>
  <TotalTime>27</TotalTime>
  <ScaleCrop>false</ScaleCrop>
  <LinksUpToDate>false</LinksUpToDate>
  <CharactersWithSpaces>8692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Administrator</cp:lastModifiedBy>
  <cp:lastPrinted>2023-07-31T18:35:00Z</cp:lastPrinted>
  <dcterms:modified xsi:type="dcterms:W3CDTF">2023-09-28T03:32:15Z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0A7C4D9D5DED40A1AD7FFA554E58D574_13</vt:lpwstr>
  </property>
</Properties>
</file>