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96597"/>
      <w:bookmarkStart w:id="1" w:name="_Toc15377425"/>
      <w:bookmarkStart w:id="2" w:name="_Toc15377193"/>
      <w:bookmarkStart w:id="3" w:name="_Toc15378441"/>
      <w:bookmarkStart w:id="4" w:name="_Toc15396475"/>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0581"/>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8442"/>
      <w:bookmarkStart w:id="8" w:name="_Toc15396598"/>
      <w:bookmarkStart w:id="9" w:name="_Toc15396476"/>
      <w:bookmarkStart w:id="10" w:name="_Toc15377194"/>
      <w:bookmarkStart w:id="11" w:name="_Toc15377426"/>
      <w:bookmarkStart w:id="12" w:name="_Toc1779"/>
      <w:r>
        <w:rPr>
          <w:rFonts w:hint="eastAsia" w:ascii="方正小标宋简体" w:hAnsi="方正小标宋简体" w:eastAsia="方正小标宋简体" w:cs="方正小标宋简体"/>
          <w:sz w:val="72"/>
          <w:szCs w:val="72"/>
        </w:rPr>
        <w:t>广元市</w:t>
      </w:r>
      <w:bookmarkEnd w:id="5"/>
      <w:bookmarkStart w:id="13" w:name="_Toc15306268"/>
      <w:r>
        <w:rPr>
          <w:rFonts w:hint="eastAsia" w:ascii="方正小标宋简体" w:hAnsi="方正小标宋简体" w:eastAsia="方正小标宋简体" w:cs="方正小标宋简体"/>
          <w:sz w:val="72"/>
          <w:szCs w:val="72"/>
        </w:rPr>
        <w:t>利州区人民检察院部门决算</w:t>
      </w:r>
      <w:bookmarkEnd w:id="7"/>
      <w:bookmarkEnd w:id="8"/>
      <w:bookmarkEnd w:id="9"/>
      <w:bookmarkEnd w:id="10"/>
      <w:bookmarkEnd w:id="11"/>
      <w:bookmarkEnd w:id="12"/>
      <w:bookmarkEnd w:id="13"/>
    </w:p>
    <w:p>
      <w:pPr>
        <w:widowControl/>
        <w:jc w:val="center"/>
        <w:rPr>
          <w:rFonts w:ascii="黑体" w:hAnsi="黑体" w:eastAsia="黑体"/>
          <w:sz w:val="48"/>
          <w:szCs w:val="48"/>
        </w:rPr>
        <w:sectPr>
          <w:headerReference r:id="rId3" w:type="default"/>
          <w:headerReference r:id="rId4" w:type="even"/>
          <w:footerReference r:id="rId5" w:type="even"/>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stheme="minorBidi"/>
          <w:sz w:val="28"/>
          <w:szCs w:val="28"/>
        </w:rPr>
      </w:pPr>
      <w:r>
        <w:rPr>
          <w:rFonts w:hint="eastAsia" w:ascii="黑体" w:hAnsi="黑体" w:eastAsia="黑体"/>
          <w:spacing w:val="480"/>
          <w:kern w:val="0"/>
          <w:sz w:val="48"/>
          <w:szCs w:val="48"/>
          <w:fitText w:val="1920" w:id="1407799566"/>
        </w:rPr>
        <w:t>目</w:t>
      </w:r>
      <w:r>
        <w:rPr>
          <w:rFonts w:hint="eastAsia" w:ascii="黑体" w:hAnsi="黑体" w:eastAsia="黑体"/>
          <w:spacing w:val="0"/>
          <w:kern w:val="0"/>
          <w:sz w:val="48"/>
          <w:szCs w:val="48"/>
          <w:fitText w:val="1920" w:id="1407799566"/>
        </w:rPr>
        <w:t>录</w:t>
      </w: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7</w:t>
      </w:r>
      <w:r>
        <w:rPr>
          <w:rFonts w:hint="eastAsia"/>
        </w:rPr>
        <w:t>日</w:t>
      </w:r>
    </w:p>
    <w:sdt>
      <w:sdtPr>
        <w:rPr>
          <w:rFonts w:ascii="宋体" w:hAnsi="宋体" w:eastAsia="宋体" w:cs="Times New Roman"/>
          <w:kern w:val="2"/>
          <w:sz w:val="21"/>
          <w:szCs w:val="24"/>
          <w:lang w:val="en-US" w:eastAsia="zh-CN" w:bidi="ar-SA"/>
        </w:rPr>
        <w:id w:val="147455440"/>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pPr>
            <w:keepNext w:val="0"/>
            <w:keepLines w:val="0"/>
            <w:pageBreakBefore w:val="0"/>
            <w:kinsoku/>
            <w:wordWrap/>
            <w:overflowPunct/>
            <w:topLinePunct w:val="0"/>
            <w:autoSpaceDE/>
            <w:autoSpaceDN/>
            <w:bidi w:val="0"/>
            <w:spacing w:before="0" w:beforeLines="0" w:after="0" w:afterLines="0" w:line="380" w:lineRule="exact"/>
            <w:ind w:left="0" w:leftChars="0" w:right="0" w:rightChars="0" w:firstLine="0" w:firstLineChars="0"/>
            <w:jc w:val="center"/>
            <w:textAlignment w:val="auto"/>
          </w:pPr>
          <w:bookmarkStart w:id="134" w:name="_GoBack"/>
          <w:bookmarkEnd w:id="134"/>
        </w:p>
        <w:p>
          <w:pPr>
            <w:pStyle w:val="35"/>
            <w:keepNext w:val="0"/>
            <w:keepLines w:val="0"/>
            <w:pageBreakBefore w:val="0"/>
            <w:tabs>
              <w:tab w:val="right" w:leader="dot" w:pos="8306"/>
            </w:tabs>
            <w:kinsoku/>
            <w:wordWrap/>
            <w:overflowPunct/>
            <w:topLinePunct w:val="0"/>
            <w:autoSpaceDE/>
            <w:autoSpaceDN/>
            <w:bidi w:val="0"/>
            <w:spacing w:line="380" w:lineRule="exact"/>
            <w:textAlignment w:val="auto"/>
            <w:rPr>
              <w:b/>
            </w:rPr>
          </w:pPr>
          <w:r>
            <w:fldChar w:fldCharType="begin"/>
          </w:r>
          <w:r>
            <w:instrText xml:space="preserve">TOC \o "1-2" \h \u </w:instrText>
          </w:r>
          <w:r>
            <w:fldChar w:fldCharType="separate"/>
          </w:r>
          <w:r>
            <w:rPr>
              <w:b/>
            </w:rPr>
            <w:fldChar w:fldCharType="begin"/>
          </w:r>
          <w:r>
            <w:rPr>
              <w:b/>
            </w:rPr>
            <w:instrText xml:space="preserve"> HYPERLINK \l _Toc21340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部门概况</w:t>
          </w:r>
          <w:r>
            <w:rPr>
              <w:b/>
            </w:rPr>
            <w:tab/>
          </w:r>
          <w:r>
            <w:rPr>
              <w:b/>
            </w:rPr>
            <w:fldChar w:fldCharType="begin"/>
          </w:r>
          <w:r>
            <w:rPr>
              <w:b/>
            </w:rPr>
            <w:instrText xml:space="preserve"> PAGEREF _Toc21340 \h </w:instrText>
          </w:r>
          <w:r>
            <w:rPr>
              <w:b/>
            </w:rPr>
            <w:fldChar w:fldCharType="separate"/>
          </w:r>
          <w:r>
            <w:rPr>
              <w:b/>
            </w:rPr>
            <w:t>1</w:t>
          </w:r>
          <w:r>
            <w:rPr>
              <w:b/>
            </w:rPr>
            <w:fldChar w:fldCharType="end"/>
          </w:r>
          <w:r>
            <w:rPr>
              <w:b/>
            </w:rP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_Toc24713 </w:instrText>
          </w:r>
          <w:r>
            <w:fldChar w:fldCharType="separate"/>
          </w:r>
          <w:r>
            <w:rPr>
              <w:rFonts w:hint="eastAsia" w:ascii="黑体" w:hAnsi="黑体" w:eastAsia="黑体"/>
            </w:rPr>
            <w:t>一、部门职责</w:t>
          </w:r>
          <w:r>
            <w:tab/>
          </w:r>
          <w:r>
            <w:fldChar w:fldCharType="begin"/>
          </w:r>
          <w:r>
            <w:instrText xml:space="preserve"> PAGEREF _Toc24713 \h </w:instrText>
          </w:r>
          <w:r>
            <w:fldChar w:fldCharType="separate"/>
          </w:r>
          <w:r>
            <w:t>1</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_Toc15163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_Toc15163 \h </w:instrText>
          </w:r>
          <w:r>
            <w:fldChar w:fldCharType="separate"/>
          </w:r>
          <w:r>
            <w:t>1</w:t>
          </w:r>
          <w:r>
            <w:fldChar w:fldCharType="end"/>
          </w:r>
          <w:r>
            <w:fldChar w:fldCharType="end"/>
          </w:r>
        </w:p>
        <w:p>
          <w:pPr>
            <w:pStyle w:val="35"/>
            <w:keepNext w:val="0"/>
            <w:keepLines w:val="0"/>
            <w:pageBreakBefore w:val="0"/>
            <w:tabs>
              <w:tab w:val="right" w:leader="dot" w:pos="8306"/>
            </w:tabs>
            <w:kinsoku/>
            <w:wordWrap/>
            <w:overflowPunct/>
            <w:topLinePunct w:val="0"/>
            <w:autoSpaceDE/>
            <w:autoSpaceDN/>
            <w:bidi w:val="0"/>
            <w:spacing w:line="380" w:lineRule="exact"/>
            <w:textAlignment w:val="auto"/>
            <w:rPr>
              <w:b/>
            </w:rPr>
          </w:pPr>
          <w:r>
            <w:rPr>
              <w:b/>
            </w:rPr>
            <w:fldChar w:fldCharType="begin"/>
          </w:r>
          <w:r>
            <w:rPr>
              <w:b/>
            </w:rPr>
            <w:instrText xml:space="preserve"> HYPERLINK \l _Toc22569 </w:instrText>
          </w:r>
          <w:r>
            <w:rPr>
              <w:b/>
            </w:rP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_Toc22569 \h </w:instrText>
          </w:r>
          <w:r>
            <w:rPr>
              <w:b/>
            </w:rPr>
            <w:fldChar w:fldCharType="separate"/>
          </w:r>
          <w:r>
            <w:rPr>
              <w:b/>
            </w:rPr>
            <w:t>2</w:t>
          </w:r>
          <w:r>
            <w:rPr>
              <w:b/>
            </w:rPr>
            <w:fldChar w:fldCharType="end"/>
          </w:r>
          <w:r>
            <w:rPr>
              <w:b/>
            </w:rP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_Toc8001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_Toc8001 \h </w:instrText>
          </w:r>
          <w:r>
            <w:fldChar w:fldCharType="separate"/>
          </w:r>
          <w:r>
            <w:t>2</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_Toc16769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_Toc16769 \h </w:instrText>
          </w:r>
          <w:r>
            <w:fldChar w:fldCharType="separate"/>
          </w:r>
          <w:r>
            <w:t>2</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_Toc27773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_Toc27773 \h </w:instrText>
          </w:r>
          <w:r>
            <w:fldChar w:fldCharType="separate"/>
          </w:r>
          <w:r>
            <w:t>3</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_Toc7651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_Toc7651 \h </w:instrText>
          </w:r>
          <w:r>
            <w:fldChar w:fldCharType="separate"/>
          </w:r>
          <w:r>
            <w:t>4</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_Toc4787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_Toc4787 \h </w:instrText>
          </w:r>
          <w:r>
            <w:fldChar w:fldCharType="separate"/>
          </w:r>
          <w:r>
            <w:t>5</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_Toc30558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_Toc30558 \h </w:instrText>
          </w:r>
          <w:r>
            <w:fldChar w:fldCharType="separate"/>
          </w:r>
          <w:r>
            <w:t>8</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_Toc3475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_Toc3475 \h </w:instrText>
          </w:r>
          <w:r>
            <w:fldChar w:fldCharType="separate"/>
          </w:r>
          <w:r>
            <w:t>8</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_Toc26538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_Toc26538 \h </w:instrText>
          </w:r>
          <w:r>
            <w:fldChar w:fldCharType="separate"/>
          </w:r>
          <w:r>
            <w:t>11</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_Toc15345 </w:instrText>
          </w:r>
          <w:r>
            <w:fldChar w:fldCharType="separate"/>
          </w:r>
          <w:r>
            <w:rPr>
              <w:rFonts w:hint="eastAsia" w:ascii="黑体" w:hAnsi="黑体" w:eastAsia="黑体"/>
            </w:rPr>
            <w:t>九、 国有资本经营预算支出决算情况说明</w:t>
          </w:r>
          <w:r>
            <w:tab/>
          </w:r>
          <w:r>
            <w:fldChar w:fldCharType="begin"/>
          </w:r>
          <w:r>
            <w:instrText xml:space="preserve"> PAGEREF _Toc15345 \h </w:instrText>
          </w:r>
          <w:r>
            <w:fldChar w:fldCharType="separate"/>
          </w:r>
          <w:r>
            <w:t>11</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_Toc11623 </w:instrText>
          </w:r>
          <w:r>
            <w:fldChar w:fldCharType="separate"/>
          </w:r>
          <w:r>
            <w:rPr>
              <w:rFonts w:hint="eastAsia" w:ascii="黑体" w:hAnsi="黑体" w:eastAsia="黑体"/>
            </w:rPr>
            <w:t>十、 其他重要事项的情况说明</w:t>
          </w:r>
          <w:r>
            <w:tab/>
          </w:r>
          <w:r>
            <w:fldChar w:fldCharType="begin"/>
          </w:r>
          <w:r>
            <w:instrText xml:space="preserve"> PAGEREF _Toc11623 \h </w:instrText>
          </w:r>
          <w:r>
            <w:fldChar w:fldCharType="separate"/>
          </w:r>
          <w:r>
            <w:t>11</w:t>
          </w:r>
          <w:r>
            <w:fldChar w:fldCharType="end"/>
          </w:r>
          <w:r>
            <w:fldChar w:fldCharType="end"/>
          </w:r>
        </w:p>
        <w:p>
          <w:pPr>
            <w:pStyle w:val="35"/>
            <w:keepNext w:val="0"/>
            <w:keepLines w:val="0"/>
            <w:pageBreakBefore w:val="0"/>
            <w:tabs>
              <w:tab w:val="right" w:leader="dot" w:pos="8306"/>
            </w:tabs>
            <w:kinsoku/>
            <w:wordWrap/>
            <w:overflowPunct/>
            <w:topLinePunct w:val="0"/>
            <w:autoSpaceDE/>
            <w:autoSpaceDN/>
            <w:bidi w:val="0"/>
            <w:spacing w:line="380" w:lineRule="exact"/>
            <w:textAlignment w:val="auto"/>
            <w:rPr>
              <w:b/>
            </w:rPr>
          </w:pPr>
          <w:r>
            <w:rPr>
              <w:b/>
            </w:rPr>
            <w:fldChar w:fldCharType="begin"/>
          </w:r>
          <w:r>
            <w:rPr>
              <w:b/>
            </w:rPr>
            <w:instrText xml:space="preserve"> HYPERLINK \l _Toc3159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_Toc3159 \h </w:instrText>
          </w:r>
          <w:r>
            <w:rPr>
              <w:b/>
            </w:rPr>
            <w:fldChar w:fldCharType="separate"/>
          </w:r>
          <w:r>
            <w:rPr>
              <w:b/>
            </w:rPr>
            <w:t>1</w:t>
          </w:r>
          <w:r>
            <w:rPr>
              <w:b/>
            </w:rPr>
            <w:fldChar w:fldCharType="end"/>
          </w:r>
          <w:r>
            <w:rPr>
              <w:b/>
            </w:rPr>
            <w:fldChar w:fldCharType="end"/>
          </w:r>
        </w:p>
        <w:p>
          <w:pPr>
            <w:pStyle w:val="35"/>
            <w:keepNext w:val="0"/>
            <w:keepLines w:val="0"/>
            <w:pageBreakBefore w:val="0"/>
            <w:tabs>
              <w:tab w:val="right" w:leader="dot" w:pos="8306"/>
            </w:tabs>
            <w:kinsoku/>
            <w:wordWrap/>
            <w:overflowPunct/>
            <w:topLinePunct w:val="0"/>
            <w:autoSpaceDE/>
            <w:autoSpaceDN/>
            <w:bidi w:val="0"/>
            <w:spacing w:line="380" w:lineRule="exact"/>
            <w:textAlignment w:val="auto"/>
            <w:rPr>
              <w:b/>
            </w:rPr>
          </w:pPr>
          <w:r>
            <w:rPr>
              <w:b/>
            </w:rPr>
            <w:fldChar w:fldCharType="begin"/>
          </w:r>
          <w:r>
            <w:rPr>
              <w:b/>
            </w:rPr>
            <w:instrText xml:space="preserve"> HYPERLINK \l _Toc23632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_Toc23632 \h </w:instrText>
          </w:r>
          <w:r>
            <w:rPr>
              <w:b/>
            </w:rPr>
            <w:fldChar w:fldCharType="separate"/>
          </w:r>
          <w:r>
            <w:rPr>
              <w:b/>
            </w:rPr>
            <w:t>4</w:t>
          </w:r>
          <w:r>
            <w:rPr>
              <w:b/>
            </w:rPr>
            <w:fldChar w:fldCharType="end"/>
          </w:r>
          <w:r>
            <w:rPr>
              <w:b/>
            </w:rPr>
            <w:fldChar w:fldCharType="end"/>
          </w:r>
        </w:p>
        <w:p>
          <w:pPr>
            <w:pStyle w:val="35"/>
            <w:keepNext w:val="0"/>
            <w:keepLines w:val="0"/>
            <w:pageBreakBefore w:val="0"/>
            <w:tabs>
              <w:tab w:val="right" w:leader="dot" w:pos="8306"/>
            </w:tabs>
            <w:kinsoku/>
            <w:wordWrap/>
            <w:overflowPunct/>
            <w:topLinePunct w:val="0"/>
            <w:autoSpaceDE/>
            <w:autoSpaceDN/>
            <w:bidi w:val="0"/>
            <w:spacing w:line="380" w:lineRule="exact"/>
            <w:textAlignment w:val="auto"/>
            <w:rPr>
              <w:b/>
            </w:rPr>
          </w:pPr>
          <w:r>
            <w:rPr>
              <w:b/>
            </w:rPr>
            <w:fldChar w:fldCharType="begin"/>
          </w:r>
          <w:r>
            <w:rPr>
              <w:b/>
            </w:rPr>
            <w:instrText xml:space="preserve"> HYPERLINK \l _Toc16845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_Toc16845 \h </w:instrText>
          </w:r>
          <w:r>
            <w:rPr>
              <w:b/>
            </w:rPr>
            <w:fldChar w:fldCharType="separate"/>
          </w:r>
          <w:r>
            <w:rPr>
              <w:b/>
            </w:rPr>
            <w:t>49</w:t>
          </w:r>
          <w:r>
            <w:rPr>
              <w:b/>
            </w:rPr>
            <w:fldChar w:fldCharType="end"/>
          </w:r>
          <w:r>
            <w:rPr>
              <w:b/>
            </w:rP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_Toc29866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_Toc29866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_Toc15137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_Toc15137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_Toc21381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_Toc21381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_Toc27697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_Toc27697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_Toc19730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_Toc19730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_Toc30835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_Toc30835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_Toc24626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_Toc24626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_Toc12157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_Toc12157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_Toc8569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_Toc8569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_Toc4507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_Toc4507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_Toc32224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_Toc32224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_Toc5697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_Toc5697 \h </w:instrText>
          </w:r>
          <w:r>
            <w:fldChar w:fldCharType="separate"/>
          </w:r>
          <w:r>
            <w:t>49</w:t>
          </w:r>
          <w:r>
            <w:fldChar w:fldCharType="end"/>
          </w:r>
          <w:r>
            <w:fldChar w:fldCharType="end"/>
          </w:r>
        </w:p>
        <w:p>
          <w:pPr>
            <w:pStyle w:val="36"/>
            <w:keepNext w:val="0"/>
            <w:keepLines w:val="0"/>
            <w:pageBreakBefore w:val="0"/>
            <w:tabs>
              <w:tab w:val="right" w:leader="dot" w:pos="8306"/>
            </w:tabs>
            <w:kinsoku/>
            <w:wordWrap/>
            <w:overflowPunct/>
            <w:topLinePunct w:val="0"/>
            <w:autoSpaceDE/>
            <w:autoSpaceDN/>
            <w:bidi w:val="0"/>
            <w:spacing w:line="380" w:lineRule="exact"/>
            <w:textAlignment w:val="auto"/>
          </w:pPr>
          <w:r>
            <w:fldChar w:fldCharType="begin"/>
          </w:r>
          <w:r>
            <w:instrText xml:space="preserve"> HYPERLINK \l _Toc15360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_Toc15360 \h </w:instrText>
          </w:r>
          <w:r>
            <w:fldChar w:fldCharType="separate"/>
          </w:r>
          <w:r>
            <w:t>49</w:t>
          </w:r>
          <w:r>
            <w:fldChar w:fldCharType="end"/>
          </w:r>
          <w:r>
            <w:fldChar w:fldCharType="end"/>
          </w:r>
        </w:p>
        <w:p>
          <w:pPr>
            <w:pStyle w:val="12"/>
            <w:keepNext w:val="0"/>
            <w:keepLines w:val="0"/>
            <w:pageBreakBefore w:val="0"/>
            <w:kinsoku/>
            <w:wordWrap/>
            <w:overflowPunct/>
            <w:topLinePunct w:val="0"/>
            <w:autoSpaceDE/>
            <w:autoSpaceDN/>
            <w:bidi w:val="0"/>
            <w:adjustRightInd w:val="0"/>
            <w:snapToGrid w:val="0"/>
            <w:spacing w:line="380" w:lineRule="exact"/>
            <w:jc w:val="left"/>
            <w:textAlignment w:val="auto"/>
            <w:rPr>
              <w:rFonts w:asciiTheme="minorEastAsia" w:hAnsiTheme="minorEastAsia" w:eastAsiaTheme="minorEastAsia" w:cstheme="minorEastAsia"/>
              <w:sz w:val="24"/>
            </w:rPr>
          </w:pPr>
          <w:r>
            <w:rPr>
              <w:b/>
            </w:rPr>
            <w:fldChar w:fldCharType="end"/>
          </w:r>
        </w:p>
      </w:sdtContent>
    </w:sdt>
    <w:p>
      <w:pPr>
        <w:pStyle w:val="3"/>
        <w:jc w:val="center"/>
        <w:outlineLvl w:val="9"/>
        <w:rPr>
          <w:rFonts w:ascii="黑体" w:hAnsi="黑体" w:eastAsia="黑体"/>
          <w:b w:val="0"/>
        </w:rPr>
        <w:sectPr>
          <w:footerReference r:id="rId7" w:type="first"/>
          <w:footerReference r:id="rId6" w:type="default"/>
          <w:pgSz w:w="11906" w:h="16838"/>
          <w:pgMar w:top="1440" w:right="1800" w:bottom="1440" w:left="1800" w:header="851" w:footer="992" w:gutter="0"/>
          <w:pgNumType w:start="1"/>
          <w:cols w:space="425" w:num="1"/>
          <w:titlePg/>
          <w:docGrid w:type="lines" w:linePitch="312" w:charSpace="0"/>
        </w:sectPr>
      </w:pPr>
      <w:bookmarkStart w:id="14" w:name="_Toc15396599"/>
      <w:bookmarkStart w:id="15" w:name="_Toc15377196"/>
    </w:p>
    <w:p>
      <w:pPr>
        <w:pStyle w:val="3"/>
        <w:jc w:val="center"/>
        <w:rPr>
          <w:rStyle w:val="19"/>
          <w:rFonts w:ascii="黑体" w:hAnsi="黑体" w:eastAsia="黑体"/>
          <w:b/>
          <w:bCs w:val="0"/>
        </w:rPr>
      </w:pPr>
      <w:bookmarkStart w:id="16" w:name="_Toc21340"/>
      <w:r>
        <w:rPr>
          <w:rFonts w:hint="eastAsia" w:ascii="黑体" w:hAnsi="黑体" w:eastAsia="黑体"/>
          <w:b w:val="0"/>
        </w:rPr>
        <w:t xml:space="preserve">第一部分 </w:t>
      </w:r>
      <w:r>
        <w:rPr>
          <w:rStyle w:val="19"/>
          <w:rFonts w:hint="eastAsia" w:ascii="黑体" w:hAnsi="黑体" w:eastAsia="黑体"/>
          <w:b w:val="0"/>
          <w:bCs w:val="0"/>
        </w:rPr>
        <w:t>部门概况</w:t>
      </w:r>
      <w:bookmarkEnd w:id="14"/>
      <w:bookmarkEnd w:id="15"/>
      <w:bookmarkEnd w:id="16"/>
    </w:p>
    <w:p>
      <w:pPr>
        <w:widowControl/>
        <w:jc w:val="left"/>
        <w:rPr>
          <w:rFonts w:ascii="黑体" w:eastAsia="黑体"/>
          <w:sz w:val="32"/>
          <w:szCs w:val="32"/>
        </w:rPr>
      </w:pPr>
    </w:p>
    <w:p>
      <w:pPr>
        <w:pStyle w:val="4"/>
        <w:rPr>
          <w:rFonts w:ascii="黑体" w:hAnsi="黑体" w:eastAsia="黑体"/>
          <w:b w:val="0"/>
        </w:rPr>
      </w:pPr>
      <w:bookmarkStart w:id="17" w:name="_Toc15396600"/>
      <w:bookmarkStart w:id="18" w:name="_Toc15377197"/>
      <w:bookmarkStart w:id="19" w:name="_Toc24713"/>
      <w:r>
        <w:rPr>
          <w:rFonts w:hint="eastAsia" w:ascii="黑体" w:hAnsi="黑体" w:eastAsia="黑体"/>
          <w:b w:val="0"/>
        </w:rPr>
        <w:t>一、</w:t>
      </w:r>
      <w:bookmarkEnd w:id="17"/>
      <w:bookmarkEnd w:id="18"/>
      <w:r>
        <w:rPr>
          <w:rFonts w:hint="eastAsia" w:ascii="黑体" w:hAnsi="黑体" w:eastAsia="黑体"/>
          <w:b w:val="0"/>
        </w:rPr>
        <w:t>部门职责</w:t>
      </w:r>
      <w:bookmarkEnd w:id="19"/>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对区人民代表大会及其常务委员会负责并报告工作，接受其监督；接受上级人民检察院的领导并对其负责。</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依法向区人民代表大会及其常务委员会提出议案。</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对于危害国家安全以及严重破坏国家的政策、法律、政令统一实施的重大犯罪案件，行使检察权。</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对于公安机关、国家安全机关侦查的案件进行审查，决定是否逮捕、起诉或者不起诉，并对侦查活动是否合法实行监督。</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对刑事案件提起公诉，支持公诉；对于人民法院的刑事判决、裁定是否正确和审判活动是否合法实行监督。</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对人民法院的民事审判和行政诉讼活动实行法律监督，对人民法院已经发生效力的民事行政判决、裁定，有违反法律、法规规定的，依法提出抗诉。</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依照法律规定提起公益诉讼。</w:t>
      </w:r>
    </w:p>
    <w:p>
      <w:pPr>
        <w:pStyle w:val="13"/>
        <w:numPr>
          <w:ilvl w:val="0"/>
          <w:numId w:val="1"/>
        </w:numPr>
        <w:adjustRightInd w:val="0"/>
        <w:snapToGrid w:val="0"/>
        <w:spacing w:line="540" w:lineRule="exact"/>
        <w:ind w:left="0" w:leftChars="0" w:firstLine="400" w:firstLineChars="0"/>
        <w:rPr>
          <w:rFonts w:ascii="仿宋_GB2312" w:hAnsi="仿宋" w:eastAsia="仿宋_GB2312"/>
          <w:bCs/>
          <w:kern w:val="0"/>
          <w:sz w:val="32"/>
          <w:szCs w:val="32"/>
        </w:rPr>
      </w:pPr>
      <w:r>
        <w:rPr>
          <w:rFonts w:hint="eastAsia" w:ascii="仿宋_GB2312" w:hAnsi="仿宋" w:eastAsia="仿宋_GB2312"/>
          <w:bCs/>
          <w:kern w:val="0"/>
          <w:sz w:val="32"/>
          <w:szCs w:val="32"/>
        </w:rPr>
        <w:t>对社区矫正活动是否合法实施监督。</w:t>
      </w:r>
    </w:p>
    <w:p>
      <w:pPr>
        <w:pStyle w:val="13"/>
        <w:numPr>
          <w:ilvl w:val="0"/>
          <w:numId w:val="1"/>
        </w:numPr>
        <w:adjustRightInd w:val="0"/>
        <w:snapToGrid w:val="0"/>
        <w:spacing w:line="540" w:lineRule="exact"/>
        <w:ind w:left="0" w:leftChars="0" w:firstLine="400" w:firstLineChars="0"/>
        <w:rPr>
          <w:rFonts w:hint="eastAsia"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负责其他应由本院承办的事项。</w:t>
      </w:r>
    </w:p>
    <w:p>
      <w:pPr>
        <w:pStyle w:val="4"/>
        <w:rPr>
          <w:rStyle w:val="20"/>
          <w:b w:val="0"/>
          <w:bCs w:val="0"/>
        </w:rPr>
      </w:pPr>
      <w:bookmarkStart w:id="20" w:name="_Toc15396601"/>
      <w:bookmarkStart w:id="21" w:name="_Toc15377200"/>
      <w:bookmarkStart w:id="22" w:name="_Toc15163"/>
      <w:r>
        <w:rPr>
          <w:rFonts w:hint="eastAsia" w:ascii="黑体" w:eastAsia="黑体"/>
          <w:b w:val="0"/>
        </w:rPr>
        <w:t>二、</w:t>
      </w:r>
      <w:r>
        <w:rPr>
          <w:rFonts w:hint="eastAsia" w:ascii="黑体" w:hAnsi="黑体" w:eastAsia="黑体"/>
          <w:b w:val="0"/>
        </w:rPr>
        <w:t>机</w:t>
      </w:r>
      <w:r>
        <w:rPr>
          <w:rStyle w:val="20"/>
          <w:rFonts w:hint="eastAsia" w:ascii="黑体" w:hAnsi="黑体" w:eastAsia="黑体"/>
          <w:b w:val="0"/>
          <w:bCs w:val="0"/>
        </w:rPr>
        <w:t>构设置</w:t>
      </w:r>
      <w:bookmarkEnd w:id="20"/>
      <w:bookmarkEnd w:id="21"/>
      <w:bookmarkEnd w:id="22"/>
    </w:p>
    <w:p>
      <w:pPr>
        <w:pStyle w:val="2"/>
        <w:adjustRightInd w:val="0"/>
        <w:snapToGrid w:val="0"/>
        <w:spacing w:before="93" w:line="600" w:lineRule="exact"/>
        <w:ind w:firstLine="672" w:firstLineChars="210"/>
        <w:rPr>
          <w:rFonts w:ascii="仿宋" w:hAnsi="仿宋" w:eastAsia="仿宋"/>
          <w:sz w:val="32"/>
          <w:szCs w:val="32"/>
        </w:rPr>
      </w:pPr>
      <w:r>
        <w:rPr>
          <w:rFonts w:hint="eastAsia" w:hAnsi="仿宋"/>
          <w:bCs/>
          <w:sz w:val="32"/>
          <w:szCs w:val="32"/>
        </w:rPr>
        <w:t>广元市利州区人民检察院是一级预算单位，无下属二级预算单位。</w:t>
      </w:r>
      <w:r>
        <w:rPr>
          <w:rFonts w:ascii="仿宋" w:hAnsi="仿宋" w:eastAsia="仿宋"/>
          <w:sz w:val="32"/>
          <w:szCs w:val="32"/>
        </w:rPr>
        <w:br w:type="page"/>
      </w:r>
    </w:p>
    <w:p>
      <w:pPr>
        <w:pStyle w:val="3"/>
        <w:ind w:right="440"/>
        <w:jc w:val="center"/>
        <w:rPr>
          <w:rStyle w:val="19"/>
          <w:rFonts w:ascii="黑体" w:hAnsi="黑体" w:eastAsia="黑体"/>
          <w:b w:val="0"/>
          <w:bCs/>
        </w:rPr>
      </w:pPr>
      <w:bookmarkStart w:id="23" w:name="_Toc15377204"/>
      <w:bookmarkStart w:id="24" w:name="_Toc15396602"/>
      <w:bookmarkStart w:id="25" w:name="_Toc22569"/>
      <w:r>
        <w:rPr>
          <w:rFonts w:hint="eastAsia" w:ascii="黑体" w:hAnsi="黑体" w:eastAsia="黑体"/>
          <w:b w:val="0"/>
        </w:rPr>
        <w:t>第二部分 2022年度</w:t>
      </w:r>
      <w:r>
        <w:rPr>
          <w:rStyle w:val="19"/>
          <w:rFonts w:hint="eastAsia" w:ascii="黑体" w:hAnsi="黑体" w:eastAsia="黑体"/>
          <w:b w:val="0"/>
          <w:bCs/>
        </w:rPr>
        <w:t>部门决算情况说明</w:t>
      </w:r>
      <w:bookmarkEnd w:id="23"/>
      <w:bookmarkEnd w:id="24"/>
      <w:bookmarkEnd w:id="25"/>
    </w:p>
    <w:p/>
    <w:p>
      <w:pPr>
        <w:pStyle w:val="30"/>
        <w:numPr>
          <w:ilvl w:val="0"/>
          <w:numId w:val="2"/>
        </w:numPr>
        <w:spacing w:line="600" w:lineRule="exact"/>
        <w:ind w:firstLineChars="0"/>
        <w:outlineLvl w:val="1"/>
        <w:rPr>
          <w:rStyle w:val="20"/>
          <w:rFonts w:ascii="黑体" w:hAnsi="黑体" w:eastAsia="黑体"/>
          <w:b w:val="0"/>
        </w:rPr>
      </w:pPr>
      <w:bookmarkStart w:id="26" w:name="_Toc15396603"/>
      <w:bookmarkStart w:id="27" w:name="_Toc15377205"/>
      <w:bookmarkStart w:id="28" w:name="_Toc8001"/>
      <w:r>
        <w:rPr>
          <w:rFonts w:hint="eastAsia" w:ascii="黑体" w:hAnsi="黑体" w:eastAsia="黑体"/>
          <w:sz w:val="32"/>
          <w:szCs w:val="32"/>
        </w:rPr>
        <w:t>收</w:t>
      </w:r>
      <w:r>
        <w:rPr>
          <w:rStyle w:val="20"/>
          <w:rFonts w:hint="eastAsia" w:ascii="黑体" w:hAnsi="黑体" w:eastAsia="黑体"/>
          <w:b w:val="0"/>
        </w:rPr>
        <w:t>入支出决算总体情况说明</w:t>
      </w:r>
      <w:bookmarkEnd w:id="26"/>
      <w:bookmarkEnd w:id="27"/>
      <w:bookmarkEnd w:id="28"/>
    </w:p>
    <w:p>
      <w:pPr>
        <w:spacing w:line="600" w:lineRule="exact"/>
        <w:ind w:firstLine="640" w:firstLineChars="200"/>
        <w:rPr>
          <w:rFonts w:ascii="仿宋_GB2312" w:eastAsia="仿宋_GB2312"/>
        </w:rPr>
      </w:pPr>
      <w:r>
        <w:rPr>
          <w:rFonts w:hint="eastAsia" w:ascii="仿宋_GB2312" w:hAnsi="仿宋" w:eastAsia="仿宋_GB2312"/>
          <w:sz w:val="32"/>
          <w:szCs w:val="32"/>
        </w:rPr>
        <w:t>2022年度收、支总计</w:t>
      </w:r>
      <w:r>
        <w:rPr>
          <w:rFonts w:hint="eastAsia" w:ascii="仿宋_GB2312" w:eastAsia="仿宋_GB2312" w:cs="仿宋_GB2312"/>
          <w:color w:val="000000"/>
          <w:sz w:val="32"/>
          <w:szCs w:val="32"/>
          <w:lang w:val="zh-CN"/>
        </w:rPr>
        <w:t>2,123.94</w:t>
      </w:r>
      <w:r>
        <w:rPr>
          <w:rFonts w:hint="eastAsia" w:ascii="仿宋_GB2312" w:hAnsi="仿宋" w:eastAsia="仿宋_GB2312"/>
          <w:sz w:val="32"/>
          <w:szCs w:val="32"/>
        </w:rPr>
        <w:t>万元。与2021年相比，收、支总计各减少</w:t>
      </w:r>
      <w:r>
        <w:rPr>
          <w:rFonts w:hint="eastAsia" w:ascii="仿宋_GB2312" w:eastAsia="仿宋_GB2312" w:cs="仿宋_GB2312"/>
          <w:color w:val="000000"/>
          <w:sz w:val="32"/>
          <w:szCs w:val="32"/>
          <w:lang w:val="zh-CN"/>
        </w:rPr>
        <w:t>797.43</w:t>
      </w:r>
      <w:r>
        <w:rPr>
          <w:rFonts w:hint="eastAsia" w:ascii="仿宋_GB2312" w:hAnsi="仿宋" w:eastAsia="仿宋_GB2312"/>
          <w:sz w:val="32"/>
          <w:szCs w:val="32"/>
        </w:rPr>
        <w:t>万元，下降27.3%。主要变动原因是2022年省以下法检两院财物统管改革后，经费保障水平发生变化 。</w:t>
      </w:r>
    </w:p>
    <w:p>
      <w:pPr>
        <w:spacing w:line="600" w:lineRule="exact"/>
        <w:ind w:firstLine="640" w:firstLineChars="200"/>
        <w:rPr>
          <w:rFonts w:ascii="仿宋" w:hAnsi="仿宋" w:eastAsia="仿宋"/>
          <w:sz w:val="32"/>
          <w:szCs w:val="32"/>
        </w:rPr>
      </w:pPr>
    </w:p>
    <w:p>
      <w:pPr>
        <w:pStyle w:val="2"/>
        <w:spacing w:before="93"/>
      </w:pPr>
      <w:r>
        <w:rPr>
          <w:rFonts w:hint="eastAsia"/>
        </w:rPr>
        <w:drawing>
          <wp:inline distT="0" distB="0" distL="0" distR="0">
            <wp:extent cx="5274310" cy="377190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（图1：收、支决算总计变动情况图）（柱状图）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2"/>
        </w:numPr>
        <w:spacing w:line="600" w:lineRule="exact"/>
        <w:ind w:firstLineChars="0"/>
        <w:outlineLvl w:val="1"/>
        <w:rPr>
          <w:rStyle w:val="20"/>
          <w:rFonts w:ascii="黑体" w:hAnsi="黑体" w:eastAsia="黑体"/>
          <w:b w:val="0"/>
        </w:rPr>
      </w:pPr>
      <w:bookmarkStart w:id="29" w:name="_Toc15396604"/>
      <w:bookmarkStart w:id="30" w:name="_Toc15377206"/>
      <w:bookmarkStart w:id="31" w:name="_Toc16769"/>
      <w:r>
        <w:rPr>
          <w:rFonts w:hint="eastAsia" w:ascii="黑体" w:hAnsi="黑体" w:eastAsia="黑体"/>
          <w:sz w:val="32"/>
          <w:szCs w:val="32"/>
        </w:rPr>
        <w:t>收</w:t>
      </w:r>
      <w:r>
        <w:rPr>
          <w:rStyle w:val="20"/>
          <w:rFonts w:hint="eastAsia" w:ascii="黑体" w:hAnsi="黑体" w:eastAsia="黑体"/>
          <w:b w:val="0"/>
        </w:rPr>
        <w:t>入决算情况说明</w:t>
      </w:r>
      <w:bookmarkEnd w:id="29"/>
      <w:bookmarkEnd w:id="30"/>
      <w:bookmarkEnd w:id="31"/>
    </w:p>
    <w:p>
      <w:pPr>
        <w:spacing w:line="600" w:lineRule="exact"/>
        <w:ind w:firstLine="640" w:firstLineChars="200"/>
        <w:outlineLvl w:val="1"/>
        <w:rPr>
          <w:rFonts w:ascii="仿宋_GB2312" w:hAnsi="仿宋" w:eastAsia="仿宋_GB2312"/>
          <w:sz w:val="32"/>
          <w:szCs w:val="32"/>
        </w:rPr>
      </w:pPr>
      <w:bookmarkStart w:id="32" w:name="_Toc16536"/>
      <w:r>
        <w:rPr>
          <w:rFonts w:hint="eastAsia" w:ascii="仿宋_GB2312" w:hAnsi="仿宋" w:eastAsia="仿宋_GB2312"/>
          <w:sz w:val="32"/>
          <w:szCs w:val="32"/>
        </w:rPr>
        <w:t>2022年本年收入合计</w:t>
      </w:r>
      <w:r>
        <w:rPr>
          <w:rFonts w:hint="eastAsia" w:ascii="仿宋_GB2312" w:eastAsia="仿宋_GB2312" w:cs="仿宋_GB2312"/>
          <w:color w:val="000000"/>
          <w:sz w:val="32"/>
          <w:szCs w:val="32"/>
          <w:lang w:val="zh-CN"/>
        </w:rPr>
        <w:t>1,936.15</w:t>
      </w:r>
      <w:r>
        <w:rPr>
          <w:rFonts w:hint="eastAsia" w:ascii="仿宋_GB2312" w:hAnsi="仿宋" w:eastAsia="仿宋_GB2312"/>
          <w:sz w:val="32"/>
          <w:szCs w:val="32"/>
        </w:rPr>
        <w:t>万元，其中：一般公共预算财政拨款收入</w:t>
      </w:r>
      <w:r>
        <w:rPr>
          <w:rFonts w:hint="eastAsia" w:ascii="仿宋_GB2312" w:eastAsia="仿宋_GB2312" w:cs="仿宋_GB2312"/>
          <w:color w:val="000000"/>
          <w:sz w:val="32"/>
          <w:szCs w:val="32"/>
          <w:lang w:val="zh-CN"/>
        </w:rPr>
        <w:t>1,494.61</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77.2</w:t>
      </w:r>
      <w:r>
        <w:rPr>
          <w:rFonts w:hint="eastAsia" w:ascii="仿宋_GB2312" w:hAnsi="仿宋" w:eastAsia="仿宋_GB2312"/>
          <w:sz w:val="32"/>
          <w:szCs w:val="32"/>
        </w:rPr>
        <w:t>%；其他收入</w:t>
      </w:r>
      <w:r>
        <w:rPr>
          <w:rFonts w:hint="eastAsia" w:ascii="仿宋_GB2312" w:eastAsia="仿宋_GB2312" w:cs="仿宋_GB2312"/>
          <w:color w:val="000000"/>
          <w:sz w:val="32"/>
          <w:szCs w:val="32"/>
          <w:lang w:val="zh-CN"/>
        </w:rPr>
        <w:t>441.53</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22.8</w:t>
      </w:r>
      <w:r>
        <w:rPr>
          <w:rFonts w:hint="eastAsia" w:ascii="仿宋_GB2312" w:hAnsi="仿宋" w:eastAsia="仿宋_GB2312"/>
          <w:sz w:val="32"/>
          <w:szCs w:val="32"/>
        </w:rPr>
        <w:t>%。</w:t>
      </w:r>
      <w:bookmarkEnd w:id="32"/>
    </w:p>
    <w:p>
      <w:pPr>
        <w:spacing w:line="600" w:lineRule="exact"/>
        <w:ind w:firstLine="640" w:firstLineChars="200"/>
        <w:outlineLvl w:val="9"/>
        <w:rPr>
          <w:rFonts w:ascii="仿宋" w:hAnsi="仿宋" w:eastAsia="仿宋"/>
          <w:sz w:val="32"/>
          <w:szCs w:val="32"/>
        </w:rPr>
      </w:pPr>
    </w:p>
    <w:p>
      <w:pPr>
        <w:pStyle w:val="2"/>
        <w:spacing w:before="93"/>
      </w:pPr>
      <w:r>
        <w:drawing>
          <wp:inline distT="0" distB="0" distL="0" distR="0">
            <wp:extent cx="5274310" cy="3076575"/>
            <wp:effectExtent l="19050" t="0" r="2159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2"/>
        </w:numPr>
        <w:spacing w:line="600" w:lineRule="exact"/>
        <w:ind w:firstLineChars="0"/>
        <w:outlineLvl w:val="1"/>
        <w:rPr>
          <w:rStyle w:val="20"/>
          <w:rFonts w:ascii="黑体" w:hAnsi="黑体" w:eastAsia="黑体"/>
          <w:b w:val="0"/>
        </w:rPr>
      </w:pPr>
      <w:bookmarkStart w:id="33" w:name="_Toc15377207"/>
      <w:bookmarkStart w:id="34" w:name="_Toc15396605"/>
      <w:bookmarkStart w:id="35" w:name="_Toc27773"/>
      <w:r>
        <w:rPr>
          <w:rFonts w:hint="eastAsia" w:ascii="黑体" w:hAnsi="黑体" w:eastAsia="黑体"/>
          <w:sz w:val="32"/>
          <w:szCs w:val="32"/>
        </w:rPr>
        <w:t>支</w:t>
      </w:r>
      <w:r>
        <w:rPr>
          <w:rStyle w:val="20"/>
          <w:rFonts w:hint="eastAsia" w:ascii="黑体" w:hAnsi="黑体" w:eastAsia="黑体"/>
          <w:b w:val="0"/>
        </w:rPr>
        <w:t>出决算情况说明</w:t>
      </w:r>
      <w:bookmarkEnd w:id="33"/>
      <w:bookmarkEnd w:id="34"/>
      <w:bookmarkEnd w:id="35"/>
    </w:p>
    <w:p>
      <w:pPr>
        <w:spacing w:line="600" w:lineRule="exact"/>
        <w:ind w:firstLine="640" w:firstLineChars="200"/>
        <w:outlineLvl w:val="1"/>
        <w:rPr>
          <w:rFonts w:ascii="仿宋_GB2312" w:hAnsi="仿宋" w:eastAsia="仿宋_GB2312"/>
          <w:sz w:val="32"/>
          <w:szCs w:val="32"/>
        </w:rPr>
      </w:pPr>
      <w:bookmarkStart w:id="36" w:name="_Toc7485"/>
      <w:r>
        <w:rPr>
          <w:rFonts w:hint="eastAsia" w:ascii="仿宋_GB2312" w:hAnsi="仿宋" w:eastAsia="仿宋_GB2312"/>
          <w:sz w:val="32"/>
          <w:szCs w:val="32"/>
        </w:rPr>
        <w:t>2022年本年支出合计</w:t>
      </w:r>
      <w:r>
        <w:rPr>
          <w:rFonts w:hint="eastAsia" w:ascii="仿宋_GB2312" w:eastAsia="仿宋_GB2312" w:cs="仿宋_GB2312"/>
          <w:color w:val="000000"/>
          <w:sz w:val="32"/>
          <w:szCs w:val="32"/>
          <w:lang w:val="zh-CN"/>
        </w:rPr>
        <w:t>2,006.88</w:t>
      </w:r>
      <w:r>
        <w:rPr>
          <w:rFonts w:hint="eastAsia" w:ascii="仿宋_GB2312" w:hAnsi="仿宋" w:eastAsia="仿宋_GB2312"/>
          <w:sz w:val="32"/>
          <w:szCs w:val="32"/>
        </w:rPr>
        <w:t>万元，其中：基本支出</w:t>
      </w:r>
      <w:r>
        <w:rPr>
          <w:rFonts w:hint="eastAsia" w:ascii="仿宋_GB2312" w:eastAsia="仿宋_GB2312" w:cs="仿宋_GB2312"/>
          <w:color w:val="000000"/>
          <w:sz w:val="32"/>
          <w:szCs w:val="32"/>
          <w:lang w:val="zh-CN"/>
        </w:rPr>
        <w:t>1,595.28</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79.5</w:t>
      </w:r>
      <w:r>
        <w:rPr>
          <w:rFonts w:hint="eastAsia" w:ascii="仿宋_GB2312" w:hAnsi="仿宋" w:eastAsia="仿宋_GB2312"/>
          <w:sz w:val="32"/>
          <w:szCs w:val="32"/>
        </w:rPr>
        <w:t>%；项目支出</w:t>
      </w:r>
      <w:r>
        <w:rPr>
          <w:rFonts w:hint="eastAsia" w:ascii="仿宋_GB2312" w:eastAsia="仿宋_GB2312" w:cs="仿宋_GB2312"/>
          <w:color w:val="000000"/>
          <w:sz w:val="32"/>
          <w:szCs w:val="32"/>
          <w:lang w:val="zh-CN"/>
        </w:rPr>
        <w:t>411.6</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20.5</w:t>
      </w:r>
      <w:r>
        <w:rPr>
          <w:rFonts w:hint="eastAsia" w:ascii="仿宋_GB2312" w:hAnsi="仿宋" w:eastAsia="仿宋_GB2312"/>
          <w:sz w:val="32"/>
          <w:szCs w:val="32"/>
        </w:rPr>
        <w:t>%。</w:t>
      </w:r>
      <w:bookmarkEnd w:id="36"/>
    </w:p>
    <w:p>
      <w:pPr>
        <w:pStyle w:val="2"/>
        <w:spacing w:before="93"/>
      </w:pPr>
      <w:r>
        <w:br w:type="page"/>
      </w:r>
    </w:p>
    <w:p>
      <w:pPr>
        <w:spacing w:line="600" w:lineRule="exact"/>
        <w:ind w:firstLine="640" w:firstLineChars="200"/>
        <w:outlineLvl w:val="9"/>
        <w:rPr>
          <w:rFonts w:ascii="仿宋_GB2312" w:hAnsi="仿宋" w:eastAsia="仿宋_GB2312"/>
          <w:sz w:val="32"/>
          <w:szCs w:val="32"/>
        </w:rPr>
      </w:pPr>
    </w:p>
    <w:p>
      <w:pPr>
        <w:pStyle w:val="2"/>
        <w:spacing w:before="93"/>
      </w:pPr>
      <w:r>
        <w:drawing>
          <wp:inline distT="0" distB="0" distL="0" distR="0">
            <wp:extent cx="5274310" cy="2781300"/>
            <wp:effectExtent l="19050" t="0" r="2159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0"/>
          <w:rFonts w:ascii="黑体" w:hAnsi="黑体" w:eastAsia="黑体"/>
          <w:b w:val="0"/>
        </w:rPr>
      </w:pPr>
      <w:bookmarkStart w:id="37" w:name="_Toc15377208"/>
      <w:bookmarkStart w:id="38" w:name="_Toc15396606"/>
      <w:bookmarkStart w:id="39" w:name="_Toc7651"/>
      <w:r>
        <w:rPr>
          <w:rFonts w:hint="eastAsia" w:ascii="黑体" w:hAnsi="黑体" w:eastAsia="黑体"/>
          <w:sz w:val="32"/>
          <w:szCs w:val="32"/>
        </w:rPr>
        <w:t>四、财</w:t>
      </w:r>
      <w:r>
        <w:rPr>
          <w:rStyle w:val="20"/>
          <w:rFonts w:hint="eastAsia" w:ascii="黑体" w:hAnsi="黑体" w:eastAsia="黑体"/>
          <w:b w:val="0"/>
        </w:rPr>
        <w:t>政拨款收入支出决算总体情况说明</w:t>
      </w:r>
      <w:bookmarkEnd w:id="37"/>
      <w:bookmarkEnd w:id="38"/>
      <w:bookmarkEnd w:id="39"/>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2022年财政拨款收、支总计</w:t>
      </w:r>
      <w:r>
        <w:rPr>
          <w:rFonts w:hint="eastAsia" w:ascii="仿宋_GB2312" w:eastAsia="仿宋_GB2312" w:cs="仿宋_GB2312"/>
          <w:color w:val="000000"/>
          <w:sz w:val="32"/>
          <w:szCs w:val="32"/>
          <w:lang w:val="zh-CN"/>
        </w:rPr>
        <w:t>1,494.61</w:t>
      </w:r>
      <w:r>
        <w:rPr>
          <w:rFonts w:hint="eastAsia" w:ascii="仿宋_GB2312" w:hAnsi="仿宋" w:eastAsia="仿宋_GB2312"/>
          <w:sz w:val="32"/>
          <w:szCs w:val="32"/>
        </w:rPr>
        <w:t>万元。与2021年相比，财政拨款收、支总计各减少</w:t>
      </w:r>
      <w:r>
        <w:rPr>
          <w:rFonts w:hint="eastAsia" w:ascii="仿宋_GB2312" w:eastAsia="仿宋_GB2312" w:cs="仿宋_GB2312"/>
          <w:color w:val="000000"/>
          <w:sz w:val="32"/>
          <w:szCs w:val="32"/>
          <w:lang w:val="zh-CN"/>
        </w:rPr>
        <w:t>1,425.9</w:t>
      </w:r>
      <w:r>
        <w:rPr>
          <w:rFonts w:hint="eastAsia" w:ascii="仿宋_GB2312" w:hAnsi="仿宋" w:eastAsia="仿宋_GB2312"/>
          <w:sz w:val="32"/>
          <w:szCs w:val="32"/>
        </w:rPr>
        <w:t>万元，下降</w:t>
      </w:r>
      <w:r>
        <w:rPr>
          <w:rFonts w:hint="eastAsia" w:ascii="仿宋_GB2312" w:eastAsia="仿宋_GB2312" w:cs="仿宋_GB2312"/>
          <w:color w:val="000000"/>
          <w:sz w:val="32"/>
          <w:szCs w:val="32"/>
          <w:lang w:val="zh-CN"/>
        </w:rPr>
        <w:t>48.8</w:t>
      </w:r>
      <w:r>
        <w:rPr>
          <w:rFonts w:hint="eastAsia" w:ascii="仿宋_GB2312" w:hAnsi="仿宋" w:eastAsia="仿宋_GB2312"/>
          <w:sz w:val="32"/>
          <w:szCs w:val="32"/>
        </w:rPr>
        <w:t>%。主要变动原因是2022年省以下法检两院财物统管改革后，经费保障水平发生变化 。经费由市县两级财政分别保障，2022年财政拨款收入只反映市本级财政拨款，区级财政拨款反映在本年收入合计。</w:t>
      </w:r>
    </w:p>
    <w:p>
      <w:pPr>
        <w:pStyle w:val="2"/>
        <w:spacing w:before="93"/>
      </w:pPr>
      <w:r>
        <w:br w:type="page"/>
      </w:r>
    </w:p>
    <w:p>
      <w:pPr>
        <w:spacing w:line="600" w:lineRule="exact"/>
        <w:ind w:firstLine="640"/>
        <w:rPr>
          <w:rFonts w:ascii="仿宋_GB2312" w:hAnsi="仿宋" w:eastAsia="仿宋_GB2312"/>
          <w:sz w:val="32"/>
          <w:szCs w:val="32"/>
        </w:rPr>
      </w:pPr>
    </w:p>
    <w:p>
      <w:pPr>
        <w:pStyle w:val="2"/>
        <w:spacing w:before="93"/>
      </w:pPr>
      <w:r>
        <w:rPr>
          <w:rFonts w:hint="eastAsia"/>
        </w:rPr>
        <w:drawing>
          <wp:inline distT="0" distB="0" distL="0" distR="0">
            <wp:extent cx="5274310" cy="3771900"/>
            <wp:effectExtent l="19050" t="0" r="21590" b="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0"/>
          <w:rFonts w:ascii="黑体" w:hAnsi="黑体" w:eastAsia="黑体"/>
          <w:b w:val="0"/>
        </w:rPr>
      </w:pPr>
      <w:bookmarkStart w:id="40" w:name="_Toc15396607"/>
      <w:bookmarkStart w:id="41" w:name="_Toc15377209"/>
      <w:bookmarkStart w:id="42" w:name="_Toc4787"/>
      <w:r>
        <w:rPr>
          <w:rFonts w:hint="eastAsia" w:ascii="黑体" w:hAnsi="黑体" w:eastAsia="黑体"/>
          <w:sz w:val="32"/>
          <w:szCs w:val="32"/>
        </w:rPr>
        <w:t>五、</w:t>
      </w:r>
      <w:r>
        <w:rPr>
          <w:rFonts w:hint="eastAsia" w:ascii="黑体" w:hAnsi="黑体" w:eastAsia="黑体"/>
          <w:b/>
          <w:sz w:val="32"/>
          <w:szCs w:val="32"/>
        </w:rPr>
        <w:t>一</w:t>
      </w:r>
      <w:r>
        <w:rPr>
          <w:rStyle w:val="20"/>
          <w:rFonts w:hint="eastAsia" w:ascii="黑体" w:hAnsi="黑体" w:eastAsia="黑体"/>
          <w:b w:val="0"/>
        </w:rPr>
        <w:t>般公共预算财政拨款支出决算情况说明</w:t>
      </w:r>
      <w:bookmarkEnd w:id="40"/>
      <w:bookmarkEnd w:id="41"/>
      <w:bookmarkEnd w:id="42"/>
    </w:p>
    <w:p>
      <w:pPr>
        <w:spacing w:line="600" w:lineRule="exact"/>
        <w:ind w:firstLine="643" w:firstLineChars="200"/>
        <w:outlineLvl w:val="2"/>
        <w:rPr>
          <w:rFonts w:ascii="仿宋_GB2312" w:hAnsi="仿宋" w:eastAsia="仿宋_GB2312"/>
          <w:b/>
          <w:sz w:val="32"/>
          <w:szCs w:val="32"/>
        </w:rPr>
      </w:pPr>
      <w:bookmarkStart w:id="43" w:name="_Toc15377210"/>
      <w:r>
        <w:rPr>
          <w:rFonts w:hint="eastAsia" w:ascii="仿宋_GB2312" w:hAnsi="仿宋" w:eastAsia="仿宋_GB2312"/>
          <w:b/>
          <w:sz w:val="32"/>
          <w:szCs w:val="32"/>
        </w:rPr>
        <w:t>（一）一般公共预算财政拨款支出决算总体情况</w:t>
      </w:r>
      <w:bookmarkEnd w:id="43"/>
    </w:p>
    <w:p>
      <w:pPr>
        <w:spacing w:line="600" w:lineRule="exact"/>
        <w:ind w:firstLine="640" w:firstLineChars="200"/>
        <w:rPr>
          <w:rFonts w:ascii="仿宋_GB2312" w:eastAsia="仿宋_GB2312"/>
        </w:rPr>
      </w:pPr>
      <w:r>
        <w:rPr>
          <w:rFonts w:hint="eastAsia" w:ascii="仿宋_GB2312" w:hAnsi="仿宋" w:eastAsia="仿宋_GB2312"/>
          <w:sz w:val="32"/>
          <w:szCs w:val="32"/>
        </w:rPr>
        <w:t>2022年一般公共预算财政拨款支出</w:t>
      </w:r>
      <w:r>
        <w:rPr>
          <w:rFonts w:hint="eastAsia" w:ascii="仿宋_GB2312" w:eastAsia="仿宋_GB2312" w:cs="仿宋_GB2312"/>
          <w:color w:val="000000"/>
          <w:sz w:val="32"/>
          <w:szCs w:val="32"/>
          <w:lang w:val="zh-CN"/>
        </w:rPr>
        <w:t>1,494.61</w:t>
      </w:r>
      <w:r>
        <w:rPr>
          <w:rFonts w:hint="eastAsia" w:ascii="仿宋_GB2312" w:hAnsi="仿宋" w:eastAsia="仿宋_GB2312"/>
          <w:sz w:val="32"/>
          <w:szCs w:val="32"/>
        </w:rPr>
        <w:t>万元，占本年支出合计的</w:t>
      </w:r>
      <w:r>
        <w:rPr>
          <w:rFonts w:hint="eastAsia" w:ascii="仿宋_GB2312" w:eastAsia="仿宋_GB2312" w:cs="仿宋_GB2312"/>
          <w:color w:val="000000"/>
          <w:sz w:val="32"/>
          <w:szCs w:val="32"/>
          <w:lang w:val="zh-CN"/>
        </w:rPr>
        <w:t>74.5</w:t>
      </w:r>
      <w:r>
        <w:rPr>
          <w:rFonts w:hint="eastAsia" w:ascii="仿宋_GB2312" w:hAnsi="仿宋" w:eastAsia="仿宋_GB2312"/>
          <w:sz w:val="32"/>
          <w:szCs w:val="32"/>
        </w:rPr>
        <w:t>%。与2021年相比，一般公共预算财政拨款支出减少</w:t>
      </w:r>
      <w:r>
        <w:rPr>
          <w:rFonts w:hint="eastAsia" w:ascii="仿宋_GB2312" w:eastAsia="仿宋_GB2312" w:cs="仿宋_GB2312"/>
          <w:color w:val="000000"/>
          <w:sz w:val="32"/>
          <w:szCs w:val="32"/>
          <w:lang w:val="zh-CN"/>
        </w:rPr>
        <w:t>976.94</w:t>
      </w:r>
      <w:r>
        <w:rPr>
          <w:rFonts w:hint="eastAsia" w:ascii="仿宋_GB2312" w:hAnsi="仿宋" w:eastAsia="仿宋_GB2312"/>
          <w:sz w:val="32"/>
          <w:szCs w:val="32"/>
        </w:rPr>
        <w:t>万元，下降</w:t>
      </w:r>
      <w:r>
        <w:rPr>
          <w:rFonts w:hint="eastAsia" w:ascii="仿宋_GB2312" w:eastAsia="仿宋_GB2312" w:cs="仿宋_GB2312"/>
          <w:color w:val="000000"/>
          <w:sz w:val="32"/>
          <w:szCs w:val="32"/>
          <w:lang w:val="zh-CN"/>
        </w:rPr>
        <w:t>39.5</w:t>
      </w:r>
      <w:r>
        <w:rPr>
          <w:rFonts w:hint="eastAsia" w:ascii="仿宋_GB2312" w:hAnsi="仿宋" w:eastAsia="仿宋_GB2312"/>
          <w:sz w:val="32"/>
          <w:szCs w:val="32"/>
        </w:rPr>
        <w:t>%。主要变动原因是2022年省以下法检两院财物统管改革后，经费保障水平发生变化 。经费由市县两级财政分别保障，2022年财政拨款收入只反映市本级财政拨款，区级财政拨款反映在本年收入合计。</w:t>
      </w:r>
    </w:p>
    <w:p>
      <w:pPr>
        <w:pStyle w:val="2"/>
        <w:spacing w:before="93"/>
      </w:pPr>
    </w:p>
    <w:p>
      <w:pPr>
        <w:pStyle w:val="2"/>
        <w:spacing w:before="93"/>
      </w:pPr>
      <w:r>
        <w:drawing>
          <wp:inline distT="0" distB="0" distL="0" distR="0">
            <wp:extent cx="5274310" cy="3076575"/>
            <wp:effectExtent l="19050" t="0" r="21590" b="0"/>
            <wp:docPr id="5"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r>
        <w:rPr>
          <w:rFonts w:hint="eastAsia" w:ascii="仿宋_GB2312" w:hAnsi="仿宋" w:eastAsia="仿宋_GB2312"/>
          <w:sz w:val="32"/>
          <w:szCs w:val="32"/>
        </w:rPr>
        <w:t>（图5：一般公共预算财政拨款支出决算变动情况）（柱状图）</w:t>
      </w:r>
    </w:p>
    <w:p>
      <w:pPr>
        <w:spacing w:line="600" w:lineRule="exact"/>
        <w:ind w:firstLine="643" w:firstLineChars="200"/>
        <w:outlineLvl w:val="2"/>
        <w:rPr>
          <w:rFonts w:ascii="仿宋_GB2312" w:hAnsi="仿宋" w:eastAsia="仿宋_GB2312"/>
          <w:b/>
          <w:sz w:val="32"/>
          <w:szCs w:val="32"/>
        </w:rPr>
      </w:pPr>
      <w:bookmarkStart w:id="44" w:name="_Toc15377211"/>
      <w:r>
        <w:rPr>
          <w:rFonts w:hint="eastAsia" w:ascii="仿宋_GB2312" w:hAnsi="仿宋" w:eastAsia="仿宋_GB2312"/>
          <w:b/>
          <w:sz w:val="32"/>
          <w:szCs w:val="32"/>
        </w:rPr>
        <w:t>（二）一般公共预算财政拨款支出决算结构情况</w:t>
      </w:r>
      <w:bookmarkEnd w:id="44"/>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2022年一般公共预算财政拨款支出</w:t>
      </w:r>
      <w:r>
        <w:rPr>
          <w:rFonts w:hint="eastAsia" w:ascii="仿宋_GB2312" w:eastAsia="仿宋_GB2312" w:cs="仿宋_GB2312"/>
          <w:color w:val="000000"/>
          <w:sz w:val="32"/>
          <w:szCs w:val="32"/>
          <w:lang w:val="zh-CN"/>
        </w:rPr>
        <w:t>1,494.61</w:t>
      </w:r>
      <w:r>
        <w:rPr>
          <w:rFonts w:hint="eastAsia" w:ascii="仿宋_GB2312" w:hAnsi="仿宋" w:eastAsia="仿宋_GB2312"/>
          <w:sz w:val="32"/>
          <w:szCs w:val="32"/>
        </w:rPr>
        <w:t>万元，主要用于以下方面</w:t>
      </w:r>
      <w:r>
        <w:rPr>
          <w:rFonts w:hint="eastAsia" w:ascii="仿宋_GB2312" w:hAnsi="仿宋" w:eastAsia="仿宋_GB2312"/>
          <w:sz w:val="32"/>
          <w:szCs w:val="32"/>
          <w:lang w:eastAsia="zh-CN"/>
        </w:rPr>
        <w:t>：</w:t>
      </w:r>
      <w:r>
        <w:rPr>
          <w:rFonts w:hint="eastAsia" w:ascii="仿宋_GB2312" w:eastAsia="仿宋_GB2312" w:cs="仿宋_GB2312"/>
          <w:color w:val="000000"/>
          <w:sz w:val="32"/>
          <w:szCs w:val="32"/>
          <w:lang w:val="zh-CN"/>
        </w:rPr>
        <w:t xml:space="preserve"> 公共安全支出1,249.9</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83.6</w:t>
      </w:r>
      <w:r>
        <w:rPr>
          <w:rFonts w:hint="eastAsia" w:ascii="仿宋_GB2312" w:hAnsi="仿宋" w:eastAsia="仿宋_GB2312"/>
          <w:sz w:val="32"/>
          <w:szCs w:val="32"/>
        </w:rPr>
        <w:t>%；社会保障和就业</w:t>
      </w:r>
      <w:r>
        <w:rPr>
          <w:rFonts w:hint="eastAsia" w:ascii="仿宋_GB2312" w:hAnsi="仿宋" w:eastAsia="仿宋_GB2312"/>
          <w:bCs/>
          <w:sz w:val="32"/>
          <w:szCs w:val="32"/>
        </w:rPr>
        <w:t>支出</w:t>
      </w:r>
      <w:r>
        <w:rPr>
          <w:rFonts w:hint="eastAsia" w:ascii="仿宋_GB2312" w:eastAsia="仿宋_GB2312" w:cs="仿宋_GB2312"/>
          <w:color w:val="000000"/>
          <w:sz w:val="32"/>
          <w:szCs w:val="32"/>
          <w:lang w:val="zh-CN"/>
        </w:rPr>
        <w:t>81.75</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5.5</w:t>
      </w:r>
      <w:r>
        <w:rPr>
          <w:rFonts w:hint="eastAsia" w:ascii="仿宋_GB2312" w:hAnsi="仿宋" w:eastAsia="仿宋_GB2312"/>
          <w:sz w:val="32"/>
          <w:szCs w:val="32"/>
        </w:rPr>
        <w:t>%；</w:t>
      </w:r>
      <w:r>
        <w:rPr>
          <w:rFonts w:hint="eastAsia" w:ascii="仿宋_GB2312" w:hAnsi="仿宋" w:eastAsia="仿宋_GB2312"/>
          <w:bCs/>
          <w:sz w:val="32"/>
          <w:szCs w:val="32"/>
        </w:rPr>
        <w:t>卫生健康支出</w:t>
      </w:r>
      <w:r>
        <w:rPr>
          <w:rFonts w:hint="eastAsia" w:ascii="仿宋_GB2312" w:eastAsia="仿宋_GB2312" w:cs="仿宋_GB2312"/>
          <w:color w:val="000000"/>
          <w:sz w:val="32"/>
          <w:szCs w:val="32"/>
          <w:lang w:val="zh-CN"/>
        </w:rPr>
        <w:t>47.24</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3.2</w:t>
      </w:r>
      <w:r>
        <w:rPr>
          <w:rFonts w:hint="eastAsia" w:ascii="仿宋_GB2312" w:hAnsi="仿宋" w:eastAsia="仿宋_GB2312"/>
          <w:sz w:val="32"/>
          <w:szCs w:val="32"/>
        </w:rPr>
        <w:t>%；</w:t>
      </w:r>
      <w:r>
        <w:rPr>
          <w:rFonts w:hint="eastAsia" w:ascii="仿宋_GB2312" w:hAnsi="仿宋" w:eastAsia="仿宋_GB2312"/>
          <w:bCs/>
          <w:sz w:val="32"/>
          <w:szCs w:val="32"/>
        </w:rPr>
        <w:t>住房保障支出</w:t>
      </w:r>
      <w:r>
        <w:rPr>
          <w:rFonts w:hint="eastAsia" w:ascii="仿宋_GB2312" w:eastAsia="仿宋_GB2312" w:cs="仿宋_GB2312"/>
          <w:color w:val="000000"/>
          <w:sz w:val="32"/>
          <w:szCs w:val="32"/>
          <w:lang w:val="zh-CN"/>
        </w:rPr>
        <w:t>115.72</w:t>
      </w:r>
      <w:r>
        <w:rPr>
          <w:rFonts w:hint="eastAsia" w:ascii="仿宋_GB2312" w:hAnsi="仿宋" w:eastAsia="仿宋_GB2312"/>
          <w:sz w:val="32"/>
          <w:szCs w:val="32"/>
        </w:rPr>
        <w:t>万元，占</w:t>
      </w:r>
      <w:r>
        <w:rPr>
          <w:rFonts w:hint="eastAsia" w:ascii="仿宋_GB2312" w:eastAsia="仿宋_GB2312" w:cs="仿宋_GB2312"/>
          <w:color w:val="000000"/>
          <w:sz w:val="32"/>
          <w:szCs w:val="32"/>
          <w:lang w:val="zh-CN"/>
        </w:rPr>
        <w:t>7.7</w:t>
      </w:r>
      <w:r>
        <w:rPr>
          <w:rFonts w:hint="eastAsia" w:ascii="仿宋_GB2312" w:hAnsi="仿宋" w:eastAsia="仿宋_GB2312"/>
          <w:sz w:val="32"/>
          <w:szCs w:val="32"/>
        </w:rPr>
        <w:t>%。</w:t>
      </w:r>
    </w:p>
    <w:p>
      <w:pPr>
        <w:pStyle w:val="2"/>
        <w:spacing w:before="93"/>
      </w:pPr>
      <w:r>
        <w:br w:type="page"/>
      </w:r>
    </w:p>
    <w:p>
      <w:pPr>
        <w:spacing w:line="600" w:lineRule="exact"/>
        <w:ind w:firstLine="640"/>
        <w:rPr>
          <w:rFonts w:ascii="仿宋_GB2312" w:hAnsi="仿宋" w:eastAsia="仿宋_GB2312"/>
          <w:sz w:val="32"/>
          <w:szCs w:val="32"/>
        </w:rPr>
      </w:pPr>
    </w:p>
    <w:p>
      <w:pPr>
        <w:pStyle w:val="2"/>
        <w:spacing w:before="93"/>
      </w:pPr>
      <w:r>
        <w:drawing>
          <wp:inline distT="0" distB="0" distL="0" distR="0">
            <wp:extent cx="5274310" cy="3076575"/>
            <wp:effectExtent l="19050" t="0" r="21590" b="0"/>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_GB2312" w:hAnsi="仿宋" w:eastAsia="仿宋_GB2312"/>
          <w:b/>
          <w:sz w:val="32"/>
          <w:szCs w:val="32"/>
        </w:rPr>
      </w:pPr>
      <w:bookmarkStart w:id="45" w:name="_Toc15377212"/>
      <w:r>
        <w:rPr>
          <w:rFonts w:hint="eastAsia" w:ascii="仿宋_GB2312" w:hAnsi="仿宋" w:eastAsia="仿宋_GB2312"/>
          <w:b/>
          <w:sz w:val="32"/>
          <w:szCs w:val="32"/>
        </w:rPr>
        <w:t>（三）一般公共预算财政拨款支出决算具体情况</w:t>
      </w:r>
      <w:bookmarkEnd w:id="45"/>
    </w:p>
    <w:p>
      <w:pPr>
        <w:spacing w:line="600" w:lineRule="exact"/>
        <w:ind w:firstLine="643" w:firstLineChars="200"/>
        <w:outlineLvl w:val="1"/>
        <w:rPr>
          <w:rFonts w:ascii="仿宋_GB2312" w:hAnsi="仿宋" w:eastAsia="仿宋_GB2312"/>
          <w:sz w:val="32"/>
          <w:szCs w:val="32"/>
        </w:rPr>
      </w:pPr>
      <w:bookmarkStart w:id="46" w:name="_Toc15377213"/>
      <w:bookmarkStart w:id="47" w:name="_Toc15377444"/>
      <w:bookmarkStart w:id="48" w:name="_Toc15378460"/>
      <w:bookmarkStart w:id="49" w:name="_Toc432"/>
      <w:r>
        <w:rPr>
          <w:rFonts w:hint="eastAsia" w:ascii="仿宋_GB2312" w:hAnsi="仿宋" w:eastAsia="仿宋_GB2312"/>
          <w:b/>
          <w:sz w:val="32"/>
          <w:szCs w:val="32"/>
        </w:rPr>
        <w:t>2022年一般公共预算支出决算数为</w:t>
      </w:r>
      <w:r>
        <w:rPr>
          <w:rFonts w:hint="eastAsia" w:ascii="仿宋_GB2312" w:eastAsia="仿宋_GB2312" w:cs="仿宋_GB2312"/>
          <w:b/>
          <w:bCs/>
          <w:color w:val="000000"/>
          <w:sz w:val="32"/>
          <w:szCs w:val="32"/>
          <w:lang w:val="zh-CN"/>
        </w:rPr>
        <w:t>1,494.61万元</w:t>
      </w:r>
      <w:r>
        <w:rPr>
          <w:rFonts w:hint="eastAsia" w:ascii="仿宋_GB2312" w:hAnsi="仿宋" w:eastAsia="仿宋_GB2312"/>
          <w:sz w:val="32"/>
          <w:szCs w:val="32"/>
        </w:rPr>
        <w:t>，</w:t>
      </w:r>
      <w:r>
        <w:rPr>
          <w:rStyle w:val="17"/>
          <w:rFonts w:hint="eastAsia" w:ascii="仿宋_GB2312" w:hAnsi="仿宋" w:eastAsia="仿宋_GB2312"/>
          <w:bCs/>
          <w:sz w:val="32"/>
          <w:szCs w:val="32"/>
        </w:rPr>
        <w:t>完成预算100%。其中：</w:t>
      </w:r>
      <w:bookmarkEnd w:id="46"/>
      <w:bookmarkEnd w:id="47"/>
      <w:bookmarkEnd w:id="48"/>
      <w:bookmarkEnd w:id="49"/>
    </w:p>
    <w:p>
      <w:pPr>
        <w:spacing w:line="600" w:lineRule="exact"/>
        <w:ind w:firstLine="643" w:firstLineChars="200"/>
        <w:rPr>
          <w:rStyle w:val="17"/>
          <w:rFonts w:ascii="仿宋" w:hAnsi="仿宋" w:eastAsia="仿宋"/>
          <w:b w:val="0"/>
          <w:bCs/>
          <w:sz w:val="32"/>
          <w:szCs w:val="32"/>
        </w:rPr>
      </w:pPr>
      <w:r>
        <w:rPr>
          <w:rStyle w:val="17"/>
          <w:rFonts w:hint="eastAsia" w:ascii="仿宋_GB2312" w:hAnsi="仿宋" w:eastAsia="仿宋_GB2312"/>
          <w:bCs/>
          <w:sz w:val="32"/>
          <w:szCs w:val="32"/>
        </w:rPr>
        <w:t>1.公共安全（类）检察（款）行政运行（项）</w:t>
      </w:r>
      <w:r>
        <w:rPr>
          <w:rStyle w:val="17"/>
          <w:rFonts w:hint="eastAsia" w:ascii="仿宋_GB2312" w:hAnsi="仿宋" w:eastAsia="仿宋_GB2312"/>
          <w:bCs/>
          <w:sz w:val="32"/>
          <w:szCs w:val="32"/>
          <w:lang w:eastAsia="zh-CN"/>
        </w:rPr>
        <w:t>：</w:t>
      </w:r>
      <w:r>
        <w:rPr>
          <w:rStyle w:val="17"/>
          <w:rFonts w:hint="eastAsia" w:ascii="仿宋_GB2312" w:hAnsi="仿宋" w:eastAsia="仿宋_GB2312"/>
          <w:b w:val="0"/>
          <w:bCs/>
          <w:sz w:val="32"/>
          <w:szCs w:val="32"/>
        </w:rPr>
        <w:t>支出决算为866.65万元，完成预算100%，决算数与预算数持平。</w:t>
      </w:r>
    </w:p>
    <w:p>
      <w:pPr>
        <w:spacing w:line="600" w:lineRule="exact"/>
        <w:ind w:firstLine="643" w:firstLineChars="200"/>
        <w:rPr>
          <w:rStyle w:val="17"/>
          <w:rFonts w:ascii="仿宋_GB2312" w:hAnsi="仿宋" w:eastAsia="仿宋_GB2312"/>
          <w:b w:val="0"/>
          <w:bCs/>
          <w:sz w:val="32"/>
          <w:szCs w:val="32"/>
        </w:rPr>
      </w:pPr>
      <w:r>
        <w:rPr>
          <w:rStyle w:val="17"/>
          <w:rFonts w:hint="eastAsia" w:ascii="仿宋_GB2312" w:hAnsi="仿宋" w:eastAsia="仿宋_GB2312"/>
          <w:bCs/>
          <w:sz w:val="32"/>
          <w:szCs w:val="32"/>
        </w:rPr>
        <w:t>2.</w:t>
      </w:r>
      <w:r>
        <w:rPr>
          <w:rStyle w:val="17"/>
          <w:rFonts w:hint="eastAsia" w:ascii="仿宋_GB2312" w:hAnsi="仿宋" w:eastAsia="仿宋_GB2312"/>
          <w:sz w:val="32"/>
          <w:szCs w:val="32"/>
        </w:rPr>
        <w:t>公共安全（类）检察（款）一般行政管理事务（项）</w:t>
      </w:r>
      <w:r>
        <w:rPr>
          <w:rStyle w:val="17"/>
          <w:rFonts w:hint="eastAsia" w:ascii="仿宋_GB2312" w:hAnsi="仿宋" w:eastAsia="仿宋_GB2312"/>
          <w:bCs/>
          <w:sz w:val="32"/>
          <w:szCs w:val="32"/>
        </w:rPr>
        <w:t>：</w:t>
      </w:r>
      <w:r>
        <w:rPr>
          <w:rStyle w:val="17"/>
          <w:rFonts w:hint="eastAsia" w:ascii="仿宋_GB2312" w:hAnsi="仿宋" w:eastAsia="仿宋_GB2312"/>
          <w:b w:val="0"/>
          <w:bCs/>
          <w:sz w:val="32"/>
          <w:szCs w:val="32"/>
        </w:rPr>
        <w:t>支出决算为270.75万元，完成预算100%，决算数与预算数持平。</w:t>
      </w:r>
    </w:p>
    <w:p>
      <w:pPr>
        <w:spacing w:line="600" w:lineRule="exact"/>
        <w:ind w:firstLine="643" w:firstLineChars="200"/>
        <w:rPr>
          <w:rStyle w:val="17"/>
          <w:rFonts w:ascii="仿宋_GB2312" w:hAnsi="仿宋" w:eastAsia="仿宋_GB2312"/>
          <w:b w:val="0"/>
          <w:bCs/>
          <w:sz w:val="32"/>
          <w:szCs w:val="32"/>
        </w:rPr>
      </w:pPr>
      <w:r>
        <w:rPr>
          <w:rStyle w:val="17"/>
          <w:rFonts w:hint="eastAsia" w:ascii="仿宋_GB2312" w:hAnsi="仿宋" w:eastAsia="仿宋_GB2312"/>
          <w:sz w:val="32"/>
          <w:szCs w:val="32"/>
        </w:rPr>
        <w:t>3.公共安全（类）检察（款）事业运行（项）</w:t>
      </w:r>
      <w:r>
        <w:rPr>
          <w:rStyle w:val="17"/>
          <w:rFonts w:hint="eastAsia" w:ascii="仿宋_GB2312" w:hAnsi="仿宋" w:eastAsia="仿宋_GB2312"/>
          <w:bCs/>
          <w:sz w:val="32"/>
          <w:szCs w:val="32"/>
        </w:rPr>
        <w:t>：</w:t>
      </w:r>
      <w:r>
        <w:rPr>
          <w:rStyle w:val="17"/>
          <w:rFonts w:hint="eastAsia" w:ascii="仿宋_GB2312" w:hAnsi="仿宋" w:eastAsia="仿宋_GB2312"/>
          <w:b w:val="0"/>
          <w:bCs/>
          <w:sz w:val="32"/>
          <w:szCs w:val="32"/>
        </w:rPr>
        <w:t>支出决算为30.88万元，完成预算100%，决算数与预算数持平。</w:t>
      </w:r>
    </w:p>
    <w:p>
      <w:pPr>
        <w:spacing w:line="600" w:lineRule="exact"/>
        <w:ind w:firstLine="643" w:firstLineChars="200"/>
        <w:rPr>
          <w:rStyle w:val="17"/>
          <w:rFonts w:ascii="仿宋_GB2312" w:hAnsi="仿宋" w:eastAsia="仿宋_GB2312"/>
          <w:b w:val="0"/>
          <w:bCs/>
          <w:sz w:val="32"/>
          <w:szCs w:val="32"/>
        </w:rPr>
      </w:pPr>
      <w:r>
        <w:rPr>
          <w:rStyle w:val="17"/>
          <w:rFonts w:hint="eastAsia" w:ascii="仿宋_GB2312" w:hAnsi="仿宋" w:eastAsia="仿宋_GB2312"/>
          <w:sz w:val="32"/>
          <w:szCs w:val="32"/>
        </w:rPr>
        <w:t>4.公共安全（类）检察（款）其他检察支出（项）</w:t>
      </w:r>
      <w:r>
        <w:rPr>
          <w:rStyle w:val="17"/>
          <w:rFonts w:hint="eastAsia" w:ascii="仿宋_GB2312" w:hAnsi="仿宋" w:eastAsia="仿宋_GB2312"/>
          <w:bCs/>
          <w:sz w:val="32"/>
          <w:szCs w:val="32"/>
        </w:rPr>
        <w:t>：</w:t>
      </w:r>
      <w:r>
        <w:rPr>
          <w:rStyle w:val="17"/>
          <w:rFonts w:hint="eastAsia" w:ascii="仿宋_GB2312" w:hAnsi="仿宋" w:eastAsia="仿宋_GB2312"/>
          <w:b w:val="0"/>
          <w:bCs/>
          <w:sz w:val="32"/>
          <w:szCs w:val="32"/>
        </w:rPr>
        <w:t>支出决算为81.62万元，完成预算100%，决算数与预算数持平。</w:t>
      </w:r>
    </w:p>
    <w:p>
      <w:pPr>
        <w:spacing w:line="600" w:lineRule="exact"/>
        <w:ind w:firstLine="643" w:firstLineChars="200"/>
        <w:rPr>
          <w:rFonts w:ascii="仿宋" w:hAnsi="仿宋" w:eastAsia="仿宋"/>
          <w:b/>
          <w:sz w:val="32"/>
          <w:szCs w:val="32"/>
        </w:rPr>
      </w:pPr>
      <w:r>
        <w:rPr>
          <w:rStyle w:val="17"/>
          <w:rFonts w:hint="eastAsia" w:ascii="仿宋_GB2312" w:hAnsi="仿宋" w:eastAsia="仿宋_GB2312"/>
          <w:bCs/>
          <w:sz w:val="32"/>
          <w:szCs w:val="32"/>
        </w:rPr>
        <w:t>5.社会保障和就业（类）行政事业单位养老支出（款）机关事业单位基本养老保险缴费支出（项）</w:t>
      </w:r>
      <w:r>
        <w:rPr>
          <w:rStyle w:val="17"/>
          <w:rFonts w:hint="eastAsia" w:ascii="仿宋_GB2312" w:hAnsi="仿宋" w:eastAsia="仿宋_GB2312"/>
          <w:bCs/>
          <w:sz w:val="32"/>
          <w:szCs w:val="32"/>
          <w:lang w:eastAsia="zh-CN"/>
        </w:rPr>
        <w:t>：</w:t>
      </w:r>
      <w:r>
        <w:rPr>
          <w:rStyle w:val="17"/>
          <w:rFonts w:hint="eastAsia" w:ascii="仿宋_GB2312" w:hAnsi="仿宋" w:eastAsia="仿宋_GB2312"/>
          <w:b w:val="0"/>
          <w:bCs/>
          <w:sz w:val="32"/>
          <w:szCs w:val="32"/>
        </w:rPr>
        <w:t>支出决算为</w:t>
      </w:r>
      <w:r>
        <w:rPr>
          <w:rFonts w:hint="eastAsia" w:ascii="仿宋_GB2312" w:hAnsi="仿宋" w:eastAsia="仿宋_GB2312"/>
          <w:sz w:val="32"/>
          <w:szCs w:val="32"/>
        </w:rPr>
        <w:t>81.75</w:t>
      </w:r>
      <w:r>
        <w:rPr>
          <w:rStyle w:val="17"/>
          <w:rFonts w:hint="eastAsia" w:ascii="仿宋_GB2312" w:hAnsi="仿宋" w:eastAsia="仿宋_GB2312"/>
          <w:b w:val="0"/>
          <w:bCs/>
          <w:sz w:val="32"/>
          <w:szCs w:val="32"/>
        </w:rPr>
        <w:t>万元，完成预算100%，决算数与预算数持平。</w:t>
      </w:r>
    </w:p>
    <w:p>
      <w:pPr>
        <w:spacing w:line="600" w:lineRule="exact"/>
        <w:ind w:firstLine="643" w:firstLineChars="200"/>
        <w:rPr>
          <w:rStyle w:val="17"/>
          <w:rFonts w:ascii="仿宋_GB2312" w:eastAsia="仿宋_GB2312"/>
          <w:bCs/>
        </w:rPr>
      </w:pPr>
      <w:r>
        <w:rPr>
          <w:rStyle w:val="17"/>
          <w:rFonts w:hint="eastAsia" w:ascii="仿宋_GB2312" w:hAnsi="仿宋" w:eastAsia="仿宋_GB2312"/>
          <w:bCs/>
          <w:sz w:val="32"/>
          <w:szCs w:val="32"/>
        </w:rPr>
        <w:t>6.</w:t>
      </w:r>
      <w:r>
        <w:rPr>
          <w:rFonts w:hint="eastAsia" w:ascii="仿宋_GB2312" w:hAnsi="仿宋" w:eastAsia="仿宋_GB2312"/>
          <w:b/>
          <w:bCs/>
          <w:sz w:val="32"/>
          <w:szCs w:val="32"/>
        </w:rPr>
        <w:t>卫生健康</w:t>
      </w:r>
      <w:r>
        <w:rPr>
          <w:rStyle w:val="17"/>
          <w:rFonts w:hint="eastAsia" w:ascii="仿宋_GB2312" w:hAnsi="仿宋" w:eastAsia="仿宋_GB2312"/>
          <w:bCs/>
          <w:sz w:val="32"/>
          <w:szCs w:val="32"/>
        </w:rPr>
        <w:t>（类）行政事业单位医疗（款）行政单位医疗（项）</w:t>
      </w:r>
      <w:r>
        <w:rPr>
          <w:rStyle w:val="17"/>
          <w:rFonts w:hint="eastAsia" w:ascii="仿宋_GB2312" w:hAnsi="仿宋" w:eastAsia="仿宋_GB2312"/>
          <w:bCs/>
          <w:sz w:val="32"/>
          <w:szCs w:val="32"/>
          <w:lang w:eastAsia="zh-CN"/>
        </w:rPr>
        <w:t>：</w:t>
      </w:r>
      <w:r>
        <w:rPr>
          <w:rStyle w:val="17"/>
          <w:rFonts w:hint="eastAsia" w:ascii="仿宋_GB2312" w:hAnsi="仿宋" w:eastAsia="仿宋_GB2312"/>
          <w:b w:val="0"/>
          <w:bCs/>
          <w:sz w:val="32"/>
          <w:szCs w:val="32"/>
        </w:rPr>
        <w:t>支出决算为47.24万元，完成预算100%，决算数与预算数持平。</w:t>
      </w:r>
    </w:p>
    <w:p>
      <w:pPr>
        <w:spacing w:line="600" w:lineRule="exact"/>
        <w:ind w:firstLine="643" w:firstLineChars="200"/>
        <w:rPr>
          <w:rFonts w:ascii="仿宋" w:hAnsi="仿宋" w:eastAsia="仿宋"/>
          <w:b/>
          <w:sz w:val="32"/>
          <w:szCs w:val="32"/>
        </w:rPr>
      </w:pPr>
      <w:r>
        <w:rPr>
          <w:rStyle w:val="17"/>
          <w:rFonts w:hint="eastAsia" w:ascii="仿宋_GB2312" w:hAnsi="仿宋" w:eastAsia="仿宋_GB2312"/>
          <w:bCs/>
          <w:sz w:val="32"/>
          <w:szCs w:val="32"/>
        </w:rPr>
        <w:t>7.住房保障支出（类）住房改革支出（款）住房公积金（项）：</w:t>
      </w:r>
      <w:r>
        <w:rPr>
          <w:rStyle w:val="17"/>
          <w:rFonts w:hint="eastAsia" w:ascii="仿宋_GB2312" w:hAnsi="仿宋" w:eastAsia="仿宋_GB2312"/>
          <w:b w:val="0"/>
          <w:bCs/>
          <w:sz w:val="32"/>
          <w:szCs w:val="32"/>
        </w:rPr>
        <w:t>支出决算为115.72万元，完成预算100%，决算数与预算数持平。</w:t>
      </w:r>
    </w:p>
    <w:p>
      <w:pPr>
        <w:tabs>
          <w:tab w:val="right" w:pos="8306"/>
        </w:tabs>
        <w:spacing w:line="600" w:lineRule="exact"/>
        <w:ind w:firstLine="640"/>
        <w:outlineLvl w:val="1"/>
        <w:rPr>
          <w:rStyle w:val="20"/>
        </w:rPr>
      </w:pPr>
      <w:bookmarkStart w:id="50" w:name="_Toc15377214"/>
      <w:bookmarkStart w:id="51" w:name="_Toc15396608"/>
      <w:bookmarkStart w:id="52" w:name="_Toc3055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0"/>
          <w:rFonts w:hint="eastAsia" w:ascii="黑体" w:hAnsi="黑体" w:eastAsia="黑体"/>
          <w:b w:val="0"/>
        </w:rPr>
        <w:t>般公共预算财政拨款基本支出决算情况说明</w:t>
      </w:r>
      <w:bookmarkEnd w:id="50"/>
      <w:bookmarkEnd w:id="51"/>
      <w:bookmarkEnd w:id="52"/>
      <w:r>
        <w:rPr>
          <w:rStyle w:val="2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_GB2312" w:hAnsi="Cambria" w:eastAsia="仿宋_GB2312" w:cs="仿宋_GB2312"/>
          <w:color w:val="000000"/>
          <w:sz w:val="32"/>
          <w:szCs w:val="32"/>
          <w:lang w:val="zh-CN"/>
        </w:rPr>
        <w:t>1,142.24</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_GB2312" w:hAnsi="Cambria" w:eastAsia="仿宋_GB2312" w:cs="仿宋_GB2312"/>
          <w:color w:val="000000"/>
          <w:sz w:val="32"/>
          <w:szCs w:val="32"/>
          <w:lang w:val="zh-CN"/>
        </w:rPr>
        <w:t>1,111.82</w:t>
      </w:r>
      <w:r>
        <w:rPr>
          <w:rFonts w:hint="eastAsia" w:ascii="仿宋" w:hAnsi="仿宋" w:eastAsia="仿宋"/>
          <w:sz w:val="32"/>
          <w:szCs w:val="32"/>
        </w:rPr>
        <w:t>万元，主要包括：基本工资、津贴补贴、奖金、绩效工资、机关事业单位基本养老保险缴费、职工基本医疗保险缴费、住房公积金、其他工资福利支出、生活补助、奖励金等。</w:t>
      </w:r>
    </w:p>
    <w:p>
      <w:pPr>
        <w:spacing w:line="600" w:lineRule="exact"/>
        <w:ind w:firstLine="645"/>
        <w:rPr>
          <w:rFonts w:ascii="仿宋" w:hAnsi="仿宋" w:eastAsia="仿宋"/>
          <w:b/>
          <w:sz w:val="32"/>
          <w:szCs w:val="32"/>
        </w:rPr>
      </w:pPr>
      <w:r>
        <w:rPr>
          <w:rFonts w:hint="eastAsia" w:ascii="仿宋" w:hAnsi="仿宋" w:eastAsia="仿宋"/>
          <w:sz w:val="32"/>
          <w:szCs w:val="32"/>
        </w:rPr>
        <w:t>公用经费</w:t>
      </w:r>
      <w:r>
        <w:rPr>
          <w:rFonts w:ascii="仿宋_GB2312" w:hAnsi="Cambria" w:eastAsia="仿宋_GB2312" w:cs="仿宋_GB2312"/>
          <w:color w:val="000000"/>
          <w:sz w:val="32"/>
          <w:szCs w:val="32"/>
          <w:lang w:val="zh-CN"/>
        </w:rPr>
        <w:t>30.42</w:t>
      </w:r>
      <w:r>
        <w:rPr>
          <w:rFonts w:hint="eastAsia" w:ascii="仿宋" w:hAnsi="仿宋" w:eastAsia="仿宋"/>
          <w:sz w:val="32"/>
          <w:szCs w:val="32"/>
        </w:rPr>
        <w:t>万元，主要包括：主要包括：公务接待费、工会经费、福利费、公务用车运行维护费等。</w:t>
      </w:r>
    </w:p>
    <w:p>
      <w:pPr>
        <w:spacing w:line="600" w:lineRule="exact"/>
        <w:ind w:firstLine="640"/>
        <w:outlineLvl w:val="1"/>
        <w:rPr>
          <w:rStyle w:val="20"/>
          <w:rFonts w:ascii="黑体" w:hAnsi="黑体" w:eastAsia="黑体"/>
          <w:b w:val="0"/>
        </w:rPr>
      </w:pPr>
      <w:bookmarkStart w:id="53" w:name="_Toc15377215"/>
      <w:bookmarkStart w:id="54" w:name="_Toc15396609"/>
      <w:bookmarkStart w:id="55" w:name="_Toc3475"/>
      <w:r>
        <w:rPr>
          <w:rFonts w:hint="eastAsia" w:ascii="黑体" w:eastAsia="黑体"/>
          <w:sz w:val="32"/>
          <w:szCs w:val="32"/>
        </w:rPr>
        <w:t>七、</w:t>
      </w:r>
      <w:r>
        <w:rPr>
          <w:rStyle w:val="20"/>
          <w:rFonts w:hint="eastAsia" w:ascii="黑体" w:hAnsi="黑体" w:eastAsia="黑体"/>
          <w:b w:val="0"/>
        </w:rPr>
        <w:t>财政拨款</w:t>
      </w:r>
      <w:r>
        <w:rPr>
          <w:rStyle w:val="20"/>
          <w:rFonts w:hint="eastAsia" w:ascii="黑体" w:hAnsi="黑体" w:eastAsia="黑体"/>
        </w:rPr>
        <w:t>“</w:t>
      </w:r>
      <w:r>
        <w:rPr>
          <w:rStyle w:val="20"/>
          <w:rFonts w:hint="eastAsia" w:ascii="黑体" w:hAnsi="黑体" w:eastAsia="黑体"/>
          <w:b w:val="0"/>
        </w:rPr>
        <w:t>三公”经费支出决算情况说明</w:t>
      </w:r>
      <w:bookmarkEnd w:id="53"/>
      <w:bookmarkEnd w:id="54"/>
      <w:bookmarkEnd w:id="55"/>
    </w:p>
    <w:p>
      <w:pPr>
        <w:spacing w:line="600" w:lineRule="exact"/>
        <w:ind w:firstLine="640"/>
        <w:outlineLvl w:val="2"/>
        <w:rPr>
          <w:rFonts w:ascii="仿宋_GB2312" w:hAnsi="仿宋" w:eastAsia="仿宋_GB2312"/>
          <w:b/>
          <w:sz w:val="32"/>
          <w:szCs w:val="32"/>
        </w:rPr>
      </w:pPr>
      <w:bookmarkStart w:id="56" w:name="_Toc15377216"/>
      <w:r>
        <w:rPr>
          <w:rFonts w:hint="eastAsia" w:ascii="仿宋_GB2312" w:hAnsi="仿宋" w:eastAsia="仿宋_GB2312"/>
          <w:b/>
          <w:sz w:val="32"/>
          <w:szCs w:val="32"/>
        </w:rPr>
        <w:t>（一）“三公”经费财政拨款支出决算总体情况说明</w:t>
      </w:r>
      <w:bookmarkEnd w:id="5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_GB2312" w:hAnsi="Cambria" w:eastAsia="仿宋_GB2312" w:cs="仿宋_GB2312"/>
          <w:color w:val="000000"/>
          <w:sz w:val="32"/>
          <w:szCs w:val="32"/>
          <w:lang w:val="zh-CN"/>
        </w:rPr>
        <w:t>7.98</w:t>
      </w:r>
      <w:r>
        <w:rPr>
          <w:rFonts w:hint="eastAsia" w:ascii="仿宋" w:hAnsi="仿宋" w:eastAsia="仿宋"/>
          <w:sz w:val="32"/>
          <w:szCs w:val="32"/>
        </w:rPr>
        <w:t>万元，完成预算</w:t>
      </w:r>
      <w:r>
        <w:rPr>
          <w:rFonts w:ascii="仿宋_GB2312" w:hAnsi="Cambria" w:eastAsia="仿宋_GB2312" w:cs="仿宋_GB2312"/>
          <w:color w:val="000000"/>
          <w:sz w:val="32"/>
          <w:szCs w:val="32"/>
          <w:lang w:val="zh-CN"/>
        </w:rPr>
        <w:t>100</w:t>
      </w:r>
      <w:r>
        <w:rPr>
          <w:rFonts w:ascii="仿宋" w:hAnsi="仿宋" w:eastAsia="仿宋"/>
          <w:sz w:val="32"/>
          <w:szCs w:val="32"/>
        </w:rPr>
        <w:t>%</w:t>
      </w:r>
      <w:r>
        <w:rPr>
          <w:rFonts w:hint="eastAsia" w:ascii="仿宋" w:hAnsi="仿宋" w:eastAsia="仿宋"/>
          <w:sz w:val="32"/>
          <w:szCs w:val="32"/>
        </w:rPr>
        <w:t>，较上年减少</w:t>
      </w:r>
      <w:r>
        <w:rPr>
          <w:rFonts w:ascii="仿宋_GB2312" w:hAnsi="Cambria" w:eastAsia="仿宋_GB2312" w:cs="仿宋_GB2312"/>
          <w:color w:val="000000"/>
          <w:sz w:val="32"/>
          <w:szCs w:val="32"/>
          <w:lang w:val="zh-CN"/>
        </w:rPr>
        <w:t>0.75</w:t>
      </w:r>
      <w:r>
        <w:rPr>
          <w:rFonts w:hint="eastAsia" w:ascii="仿宋" w:hAnsi="仿宋" w:eastAsia="仿宋"/>
          <w:sz w:val="32"/>
          <w:szCs w:val="32"/>
        </w:rPr>
        <w:t>万元，下降</w:t>
      </w:r>
      <w:r>
        <w:rPr>
          <w:rFonts w:ascii="仿宋_GB2312" w:hAnsi="Cambria" w:eastAsia="仿宋_GB2312" w:cs="仿宋_GB2312"/>
          <w:color w:val="000000"/>
          <w:sz w:val="32"/>
          <w:szCs w:val="32"/>
          <w:lang w:val="zh-CN"/>
        </w:rPr>
        <w:t>8.6</w:t>
      </w:r>
      <w:r>
        <w:rPr>
          <w:rFonts w:hint="eastAsia" w:ascii="仿宋" w:hAnsi="仿宋" w:eastAsia="仿宋"/>
          <w:sz w:val="32"/>
          <w:szCs w:val="32"/>
        </w:rPr>
        <w:t>%。决算数小于预算数的主要原因是</w:t>
      </w:r>
      <w:r>
        <w:rPr>
          <w:rFonts w:hint="eastAsia" w:ascii="仿宋_GB2312" w:eastAsia="仿宋_GB2312"/>
          <w:color w:val="000000"/>
          <w:sz w:val="32"/>
          <w:szCs w:val="32"/>
        </w:rPr>
        <w:t>按政策压减公务接待费，</w:t>
      </w:r>
      <w:r>
        <w:rPr>
          <w:rFonts w:hint="eastAsia" w:ascii="仿宋" w:hAnsi="仿宋" w:eastAsia="仿宋"/>
          <w:sz w:val="32"/>
          <w:szCs w:val="32"/>
        </w:rPr>
        <w:t>严格把控三公经费开支，尤其是公务车辆运行和公务接待费，依据相关制度规范，本着过“紧日子”的要求，厉行节约，加大“三公”经费监督检查力度，从严落实“三公”经费的审批制度。</w:t>
      </w:r>
    </w:p>
    <w:p>
      <w:pPr>
        <w:spacing w:line="600" w:lineRule="exact"/>
        <w:ind w:firstLine="640"/>
        <w:outlineLvl w:val="2"/>
        <w:rPr>
          <w:rFonts w:ascii="仿宋_GB2312" w:hAnsi="仿宋" w:eastAsia="仿宋_GB2312"/>
          <w:b/>
          <w:sz w:val="32"/>
          <w:szCs w:val="32"/>
        </w:rPr>
      </w:pPr>
      <w:bookmarkStart w:id="57" w:name="_Toc15377217"/>
      <w:r>
        <w:rPr>
          <w:rFonts w:hint="eastAsia" w:ascii="仿宋_GB2312" w:hAnsi="仿宋" w:eastAsia="仿宋_GB2312"/>
          <w:b/>
          <w:sz w:val="32"/>
          <w:szCs w:val="32"/>
        </w:rPr>
        <w:t>（二）“三公”经费财政拨款支出决算具体情况说明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；公务用车购置及运行维护费支出决算5万元，占</w:t>
      </w:r>
      <w:r>
        <w:rPr>
          <w:rFonts w:ascii="仿宋_GB2312" w:hAnsi="Cambria" w:eastAsia="仿宋_GB2312" w:cs="仿宋_GB2312"/>
          <w:color w:val="000000"/>
          <w:sz w:val="32"/>
          <w:szCs w:val="32"/>
          <w:lang w:val="zh-CN"/>
        </w:rPr>
        <w:t>62.7</w:t>
      </w:r>
      <w:r>
        <w:rPr>
          <w:rFonts w:ascii="仿宋" w:hAnsi="仿宋" w:eastAsia="仿宋"/>
          <w:sz w:val="32"/>
          <w:szCs w:val="32"/>
        </w:rPr>
        <w:t>%</w:t>
      </w:r>
      <w:r>
        <w:rPr>
          <w:rFonts w:hint="eastAsia" w:ascii="仿宋" w:hAnsi="仿宋" w:eastAsia="仿宋"/>
          <w:sz w:val="32"/>
          <w:szCs w:val="32"/>
        </w:rPr>
        <w:t>；公务接待费支出决算</w:t>
      </w:r>
      <w:r>
        <w:rPr>
          <w:rFonts w:ascii="仿宋_GB2312" w:hAnsi="Cambria" w:eastAsia="仿宋_GB2312" w:cs="仿宋_GB2312"/>
          <w:color w:val="000000"/>
          <w:sz w:val="32"/>
          <w:szCs w:val="32"/>
          <w:lang w:val="zh-CN"/>
        </w:rPr>
        <w:t>2.98</w:t>
      </w:r>
      <w:r>
        <w:rPr>
          <w:rFonts w:hint="eastAsia" w:ascii="仿宋" w:hAnsi="仿宋" w:eastAsia="仿宋"/>
          <w:sz w:val="32"/>
          <w:szCs w:val="32"/>
        </w:rPr>
        <w:t>万元，占</w:t>
      </w:r>
      <w:r>
        <w:rPr>
          <w:rFonts w:ascii="仿宋_GB2312" w:hAnsi="Cambria" w:eastAsia="仿宋_GB2312" w:cs="仿宋_GB2312"/>
          <w:color w:val="000000"/>
          <w:sz w:val="32"/>
          <w:szCs w:val="32"/>
          <w:lang w:val="zh-CN"/>
        </w:rPr>
        <w:t>37.3</w:t>
      </w:r>
      <w:r>
        <w:rPr>
          <w:rFonts w:ascii="仿宋" w:hAnsi="仿宋" w:eastAsia="仿宋"/>
          <w:sz w:val="32"/>
          <w:szCs w:val="32"/>
        </w:rPr>
        <w:t>%</w:t>
      </w:r>
      <w:r>
        <w:rPr>
          <w:rFonts w:hint="eastAsia" w:ascii="仿宋" w:hAnsi="仿宋" w:eastAsia="仿宋"/>
          <w:sz w:val="32"/>
          <w:szCs w:val="32"/>
        </w:rPr>
        <w:t>。具体情况如下：</w:t>
      </w:r>
    </w:p>
    <w:p>
      <w:pPr>
        <w:pStyle w:val="2"/>
        <w:spacing w:before="93"/>
      </w:pPr>
    </w:p>
    <w:p>
      <w:pPr>
        <w:pStyle w:val="2"/>
        <w:spacing w:before="93"/>
      </w:pPr>
      <w:r>
        <w:rPr>
          <w:rFonts w:hint="eastAsia"/>
        </w:rPr>
        <w:drawing>
          <wp:inline distT="0" distB="0" distL="0" distR="0">
            <wp:extent cx="5274310" cy="3076575"/>
            <wp:effectExtent l="19050" t="0" r="21590"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rPr>
          <w:rFonts w:ascii="仿宋_GB2312" w:hAnsi="仿宋" w:eastAsia="仿宋_GB2312"/>
          <w:sz w:val="32"/>
          <w:szCs w:val="32"/>
        </w:rPr>
      </w:pPr>
      <w:r>
        <w:rPr>
          <w:rFonts w:hint="eastAsia" w:ascii="仿宋_GB2312" w:hAnsi="仿宋" w:eastAsia="仿宋_GB2312"/>
          <w:sz w:val="32"/>
          <w:szCs w:val="32"/>
        </w:rPr>
        <w:t>（图7：“三公”经费财政拨款支出结构）（饼状图）</w:t>
      </w:r>
    </w:p>
    <w:p>
      <w:pPr>
        <w:rPr>
          <w:rFonts w:ascii="仿宋_GB2312" w:eastAsia="仿宋_GB2312"/>
          <w:b/>
          <w:sz w:val="32"/>
          <w:szCs w:val="32"/>
        </w:rPr>
      </w:pPr>
      <w:r>
        <w:rPr>
          <w:rFonts w:hint="eastAsia" w:ascii="仿宋_GB2312" w:eastAsia="仿宋_GB2312"/>
          <w:b/>
          <w:sz w:val="32"/>
          <w:szCs w:val="32"/>
        </w:rPr>
        <w:t xml:space="preserve">    </w:t>
      </w: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0万元，年初未安排预算</w:t>
      </w:r>
      <w:r>
        <w:rPr>
          <w:rStyle w:val="17"/>
          <w:rFonts w:hint="eastAsia" w:ascii="仿宋" w:hAnsi="仿宋" w:eastAsia="仿宋"/>
          <w:b w:val="0"/>
          <w:bCs/>
          <w:sz w:val="32"/>
          <w:szCs w:val="32"/>
        </w:rPr>
        <w:t>。</w:t>
      </w:r>
      <w:r>
        <w:rPr>
          <w:rFonts w:hint="eastAsia" w:ascii="仿宋_GB2312" w:eastAsia="仿宋_GB2312"/>
          <w:sz w:val="32"/>
          <w:szCs w:val="32"/>
        </w:rPr>
        <w:t>因公出国（境）支出决算较</w:t>
      </w:r>
      <w:r>
        <w:rPr>
          <w:rFonts w:ascii="仿宋_GB2312" w:eastAsia="仿宋_GB2312"/>
          <w:sz w:val="32"/>
          <w:szCs w:val="32"/>
        </w:rPr>
        <w:t>20</w:t>
      </w:r>
      <w:r>
        <w:rPr>
          <w:rFonts w:hint="eastAsia" w:ascii="仿宋_GB2312" w:eastAsia="仿宋_GB2312"/>
          <w:sz w:val="32"/>
          <w:szCs w:val="32"/>
        </w:rPr>
        <w:t>21年无变化。</w:t>
      </w:r>
    </w:p>
    <w:p>
      <w:pPr>
        <w:spacing w:line="600" w:lineRule="exact"/>
        <w:ind w:firstLine="640"/>
        <w:rPr>
          <w:rFonts w:ascii="仿宋" w:hAnsi="仿宋" w:eastAsia="仿宋"/>
          <w:b/>
          <w:color w:val="FF0000"/>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hAnsi="Cambria" w:eastAsia="仿宋_GB2312" w:cs="仿宋_GB2312"/>
          <w:color w:val="000000"/>
          <w:sz w:val="32"/>
          <w:szCs w:val="32"/>
          <w:lang w:val="zh-CN"/>
        </w:rPr>
        <w:t>5</w:t>
      </w:r>
      <w:r>
        <w:rPr>
          <w:rFonts w:hint="eastAsia" w:ascii="仿宋_GB2312" w:eastAsia="仿宋_GB2312"/>
          <w:sz w:val="32"/>
          <w:szCs w:val="32"/>
        </w:rPr>
        <w:t>万元</w:t>
      </w:r>
      <w:r>
        <w:rPr>
          <w:rFonts w:hint="eastAsia" w:ascii="仿宋_GB2312" w:eastAsia="仿宋_GB2312"/>
          <w:sz w:val="32"/>
          <w:szCs w:val="32"/>
          <w:lang w:eastAsia="zh-CN"/>
        </w:rPr>
        <w:t>，</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 w:hAnsi="仿宋" w:eastAsia="仿宋"/>
          <w:sz w:val="32"/>
          <w:szCs w:val="32"/>
        </w:rPr>
        <w:t>公务用车购置及运行维护费支出决算与</w:t>
      </w:r>
      <w:r>
        <w:rPr>
          <w:rFonts w:ascii="仿宋" w:hAnsi="仿宋" w:eastAsia="仿宋"/>
          <w:sz w:val="32"/>
          <w:szCs w:val="32"/>
        </w:rPr>
        <w:t>20</w:t>
      </w:r>
      <w:r>
        <w:rPr>
          <w:rFonts w:hint="eastAsia" w:ascii="仿宋" w:hAnsi="仿宋" w:eastAsia="仿宋"/>
          <w:sz w:val="32"/>
          <w:szCs w:val="32"/>
        </w:rPr>
        <w:t>21年持平。主要原因是规范车辆管理，严格把控车辆运行维护开支，从严执行车辆维修、加油制度，压减公务用车支出，做到预算内支出。</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0万元。2022年未更新购置公务用车。截至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月底，单位共有公务用车8辆，其中：轿车7辆、载客汽车1辆。</w:t>
      </w:r>
    </w:p>
    <w:p>
      <w:pPr>
        <w:spacing w:line="600" w:lineRule="exact"/>
        <w:ind w:firstLine="643" w:firstLineChars="200"/>
        <w:rPr>
          <w:rFonts w:ascii="仿宋" w:hAnsi="仿宋" w:eastAsia="仿宋"/>
          <w:color w:val="000000"/>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5万元。</w:t>
      </w:r>
      <w:r>
        <w:rPr>
          <w:rFonts w:hint="eastAsia" w:ascii="仿宋" w:hAnsi="仿宋" w:eastAsia="仿宋"/>
          <w:sz w:val="32"/>
          <w:szCs w:val="32"/>
        </w:rPr>
        <w:t>主要用于</w:t>
      </w:r>
      <w:r>
        <w:rPr>
          <w:rFonts w:hint="eastAsia" w:ascii="仿宋" w:hAnsi="仿宋" w:eastAsia="仿宋"/>
          <w:color w:val="000000"/>
          <w:sz w:val="32"/>
          <w:szCs w:val="32"/>
        </w:rPr>
        <w:t>开展公诉业务、公益诉讼调查取证、法制宣传等所需的公务用车燃料费、维修费、过路过桥费、保险费等支出。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hAnsi="Cambria" w:eastAsia="仿宋_GB2312" w:cs="仿宋_GB2312"/>
          <w:color w:val="000000"/>
          <w:sz w:val="32"/>
          <w:szCs w:val="32"/>
          <w:lang w:val="zh-CN"/>
        </w:rPr>
        <w:t>2.98</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Fonts w:ascii="仿宋_GB2312" w:hAnsi="Cambria" w:eastAsia="仿宋_GB2312" w:cs="仿宋_GB2312"/>
          <w:color w:val="000000"/>
          <w:sz w:val="32"/>
          <w:szCs w:val="32"/>
          <w:lang w:val="zh-CN"/>
        </w:rPr>
        <w:t>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21年减少0.75万元，下降20.1</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color w:val="000000"/>
          <w:sz w:val="32"/>
          <w:szCs w:val="32"/>
        </w:rPr>
        <w:t>按政策压减公务接待费，</w:t>
      </w:r>
      <w:r>
        <w:rPr>
          <w:rFonts w:hint="eastAsia" w:ascii="仿宋" w:hAnsi="仿宋" w:eastAsia="仿宋"/>
          <w:sz w:val="32"/>
          <w:szCs w:val="32"/>
        </w:rPr>
        <w:t>严格把控三公经费开支，尤其是公务车辆运行和公务接待费，依据相关制度规范，本着过“紧日子”的要求，厉行节约，加大“三公”经费监督检查力度，从严落实“三公”经费的审批制度。</w:t>
      </w:r>
      <w:r>
        <w:rPr>
          <w:rFonts w:hint="eastAsia" w:ascii="仿宋_GB2312" w:eastAsia="仿宋_GB2312"/>
          <w:sz w:val="32"/>
          <w:szCs w:val="32"/>
        </w:rPr>
        <w:t>其中：</w:t>
      </w:r>
    </w:p>
    <w:p>
      <w:pPr>
        <w:spacing w:line="600" w:lineRule="exact"/>
        <w:ind w:firstLine="640"/>
        <w:rPr>
          <w:rFonts w:ascii="仿宋" w:hAnsi="仿宋" w:eastAsia="仿宋"/>
          <w:sz w:val="32"/>
          <w:szCs w:val="32"/>
        </w:rPr>
      </w:pPr>
      <w:r>
        <w:rPr>
          <w:rFonts w:hint="eastAsia" w:ascii="仿宋_GB2312" w:hAnsi="仿宋" w:eastAsia="仿宋_GB2312"/>
          <w:b/>
          <w:sz w:val="32"/>
          <w:szCs w:val="32"/>
        </w:rPr>
        <w:t>国内公务接待支出</w:t>
      </w:r>
      <w:r>
        <w:rPr>
          <w:rFonts w:ascii="仿宋_GB2312" w:hAnsi="Cambria" w:eastAsia="仿宋_GB2312" w:cs="仿宋_GB2312"/>
          <w:color w:val="000000"/>
          <w:sz w:val="32"/>
          <w:szCs w:val="32"/>
          <w:lang w:val="zh-CN"/>
        </w:rPr>
        <w:t>2.98</w:t>
      </w:r>
      <w:r>
        <w:rPr>
          <w:rFonts w:hint="eastAsia" w:ascii="仿宋_GB2312" w:eastAsia="仿宋_GB2312"/>
          <w:sz w:val="32"/>
          <w:szCs w:val="32"/>
        </w:rPr>
        <w:t>万元，主要用于</w:t>
      </w:r>
      <w:r>
        <w:rPr>
          <w:rFonts w:hint="eastAsia" w:ascii="仿宋" w:hAnsi="仿宋" w:eastAsia="仿宋"/>
          <w:color w:val="000000"/>
          <w:sz w:val="32"/>
          <w:szCs w:val="32"/>
        </w:rPr>
        <w:t>异地检察院等其他单位来我院调研交流时的接待费、异地公安等政法单位办案人员执行公务的业务活动开支等</w:t>
      </w:r>
      <w:r>
        <w:rPr>
          <w:rFonts w:hint="eastAsia" w:ascii="仿宋" w:hAnsi="仿宋" w:eastAsia="仿宋"/>
          <w:sz w:val="32"/>
          <w:szCs w:val="32"/>
        </w:rPr>
        <w:t>。</w:t>
      </w:r>
      <w:r>
        <w:rPr>
          <w:rFonts w:hint="eastAsia" w:ascii="仿宋_GB2312" w:eastAsia="仿宋_GB2312"/>
          <w:sz w:val="32"/>
          <w:szCs w:val="32"/>
        </w:rPr>
        <w:t>国内公务接待30批次，300人次（不包括陪同人员），共计支出2.98万元，</w:t>
      </w:r>
      <w:r>
        <w:rPr>
          <w:rFonts w:hint="eastAsia" w:ascii="仿宋" w:hAnsi="仿宋" w:eastAsia="仿宋"/>
          <w:sz w:val="32"/>
          <w:szCs w:val="32"/>
        </w:rPr>
        <w:t>具体内容包括：接待异地检察院及其他单位来我院调研交流、接待异地公安、法院等政法单位办案人员案件学习交流、案件协办等共计30余次，接待费支出2.98万元。</w:t>
      </w:r>
    </w:p>
    <w:p>
      <w:pPr>
        <w:spacing w:line="600" w:lineRule="exact"/>
        <w:ind w:firstLine="640"/>
        <w:rPr>
          <w:rFonts w:ascii="黑体" w:eastAsia="黑体"/>
          <w:sz w:val="32"/>
          <w:szCs w:val="32"/>
        </w:rPr>
      </w:pPr>
      <w:r>
        <w:rPr>
          <w:rFonts w:hint="eastAsia" w:ascii="仿宋_GB2312" w:hAnsi="仿宋" w:eastAsia="仿宋_GB2312"/>
          <w:b/>
          <w:sz w:val="32"/>
          <w:szCs w:val="32"/>
        </w:rPr>
        <w:t>外事接待支出</w:t>
      </w:r>
      <w:r>
        <w:rPr>
          <w:rFonts w:hint="eastAsia" w:ascii="仿宋" w:hAnsi="仿宋" w:eastAsia="仿宋"/>
          <w:sz w:val="32"/>
          <w:szCs w:val="32"/>
        </w:rPr>
        <w:t>0</w:t>
      </w:r>
      <w:r>
        <w:rPr>
          <w:rFonts w:hint="eastAsia" w:ascii="仿宋_GB2312" w:eastAsia="仿宋_GB2312"/>
          <w:sz w:val="32"/>
          <w:szCs w:val="32"/>
        </w:rPr>
        <w:t>万元，未开展外事接待。</w:t>
      </w:r>
      <w:bookmarkStart w:id="58" w:name="_Toc15377218"/>
      <w:bookmarkStart w:id="59" w:name="_Toc15396610"/>
    </w:p>
    <w:p>
      <w:pPr>
        <w:spacing w:line="600" w:lineRule="exact"/>
        <w:ind w:firstLine="640"/>
        <w:outlineLvl w:val="1"/>
        <w:rPr>
          <w:rStyle w:val="20"/>
          <w:rFonts w:ascii="黑体" w:hAnsi="黑体" w:eastAsia="黑体"/>
        </w:rPr>
      </w:pPr>
      <w:bookmarkStart w:id="60" w:name="_Toc26538"/>
      <w:r>
        <w:rPr>
          <w:rFonts w:hint="eastAsia" w:ascii="黑体" w:eastAsia="黑体"/>
          <w:sz w:val="32"/>
          <w:szCs w:val="32"/>
        </w:rPr>
        <w:t>八、</w:t>
      </w:r>
      <w:r>
        <w:rPr>
          <w:rStyle w:val="20"/>
          <w:rFonts w:hint="eastAsia" w:ascii="黑体" w:hAnsi="黑体" w:eastAsia="黑体"/>
          <w:b w:val="0"/>
        </w:rPr>
        <w:t>政府性基金预算支出决算情况说明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3"/>
        </w:numPr>
        <w:spacing w:line="600" w:lineRule="exact"/>
        <w:ind w:firstLine="640"/>
        <w:outlineLvl w:val="1"/>
        <w:rPr>
          <w:rStyle w:val="20"/>
          <w:rFonts w:ascii="黑体" w:hAnsi="黑体" w:eastAsia="黑体"/>
          <w:b w:val="0"/>
        </w:rPr>
      </w:pPr>
      <w:bookmarkStart w:id="61" w:name="_Toc15377219"/>
      <w:bookmarkStart w:id="62" w:name="_Toc15396611"/>
      <w:bookmarkStart w:id="63" w:name="_Toc15345"/>
      <w:r>
        <w:rPr>
          <w:rStyle w:val="20"/>
          <w:rFonts w:hint="eastAsia" w:ascii="黑体" w:hAnsi="黑体" w:eastAsia="黑体"/>
          <w:b w:val="0"/>
        </w:rPr>
        <w:t>国有资本经营预算支出决算情况说明</w:t>
      </w:r>
      <w:bookmarkEnd w:id="61"/>
      <w:bookmarkEnd w:id="62"/>
      <w:bookmarkEnd w:id="6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3"/>
        </w:numPr>
        <w:spacing w:line="600" w:lineRule="exact"/>
        <w:ind w:firstLine="640"/>
        <w:outlineLvl w:val="1"/>
        <w:rPr>
          <w:rStyle w:val="20"/>
          <w:rFonts w:ascii="黑体" w:hAnsi="黑体" w:eastAsia="黑体"/>
          <w:b w:val="0"/>
        </w:rPr>
      </w:pPr>
      <w:bookmarkStart w:id="64" w:name="_Toc15377221"/>
      <w:bookmarkStart w:id="65" w:name="_Toc15396612"/>
      <w:bookmarkStart w:id="66" w:name="_Toc11623"/>
      <w:r>
        <w:rPr>
          <w:rStyle w:val="20"/>
          <w:rFonts w:hint="eastAsia" w:ascii="黑体" w:hAnsi="黑体" w:eastAsia="黑体"/>
          <w:b w:val="0"/>
        </w:rPr>
        <w:t>其他重要事项的情况说明</w:t>
      </w:r>
      <w:bookmarkEnd w:id="64"/>
      <w:bookmarkEnd w:id="65"/>
      <w:bookmarkEnd w:id="66"/>
    </w:p>
    <w:p>
      <w:pPr>
        <w:spacing w:line="600" w:lineRule="exact"/>
        <w:ind w:firstLine="643" w:firstLineChars="200"/>
        <w:outlineLvl w:val="2"/>
        <w:rPr>
          <w:rFonts w:ascii="仿宋_GB2312" w:hAnsi="仿宋" w:eastAsia="仿宋_GB2312"/>
          <w:sz w:val="32"/>
          <w:szCs w:val="32"/>
        </w:rPr>
      </w:pPr>
      <w:bookmarkStart w:id="67" w:name="_Toc15377222"/>
      <w:r>
        <w:rPr>
          <w:rFonts w:hint="eastAsia" w:ascii="仿宋_GB2312" w:hAnsi="仿宋" w:eastAsia="仿宋_GB2312"/>
          <w:b/>
          <w:sz w:val="32"/>
          <w:szCs w:val="32"/>
        </w:rPr>
        <w:t>（一）机关运行经费支出情况</w:t>
      </w:r>
      <w:bookmarkEnd w:id="6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Cambria" w:eastAsia="仿宋_GB2312" w:cs="仿宋_GB2312"/>
          <w:color w:val="000000"/>
          <w:sz w:val="32"/>
          <w:szCs w:val="32"/>
          <w:lang w:val="zh-CN"/>
        </w:rPr>
        <w:t>广元市利州区人民检察院</w:t>
      </w:r>
      <w:r>
        <w:rPr>
          <w:rFonts w:hint="eastAsia" w:ascii="仿宋_GB2312" w:eastAsia="仿宋_GB2312"/>
          <w:sz w:val="32"/>
          <w:szCs w:val="32"/>
        </w:rPr>
        <w:t>机关运行经费支出</w:t>
      </w:r>
      <w:r>
        <w:rPr>
          <w:rFonts w:ascii="仿宋_GB2312" w:hAnsi="Cambria" w:eastAsia="仿宋_GB2312" w:cs="仿宋_GB2312"/>
          <w:color w:val="000000"/>
          <w:sz w:val="32"/>
          <w:szCs w:val="32"/>
          <w:lang w:val="zh-CN"/>
        </w:rPr>
        <w:t>30.42</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ascii="仿宋_GB2312" w:hAnsi="Cambria" w:eastAsia="仿宋_GB2312" w:cs="仿宋_GB2312"/>
          <w:color w:val="000000"/>
          <w:sz w:val="32"/>
          <w:szCs w:val="32"/>
          <w:lang w:val="zh-CN"/>
        </w:rPr>
        <w:t>156.2</w:t>
      </w:r>
      <w:r>
        <w:rPr>
          <w:rFonts w:hint="eastAsia" w:ascii="仿宋_GB2312" w:eastAsia="仿宋_GB2312"/>
          <w:sz w:val="32"/>
          <w:szCs w:val="32"/>
        </w:rPr>
        <w:t>万元，下降</w:t>
      </w:r>
      <w:r>
        <w:rPr>
          <w:rFonts w:ascii="仿宋_GB2312" w:hAnsi="Cambria" w:eastAsia="仿宋_GB2312" w:cs="仿宋_GB2312"/>
          <w:color w:val="000000"/>
          <w:sz w:val="32"/>
          <w:szCs w:val="32"/>
          <w:lang w:val="zh-CN"/>
        </w:rPr>
        <w:t>83.7</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 xml:space="preserve">2022年省以下法检两院财物统管改革后，经费保障水平发生变化 </w:t>
      </w:r>
      <w:r>
        <w:rPr>
          <w:rFonts w:hint="eastAsia" w:ascii="仿宋" w:hAnsi="仿宋" w:eastAsia="仿宋"/>
          <w:sz w:val="32"/>
          <w:szCs w:val="32"/>
          <w:lang w:eastAsia="zh-CN"/>
        </w:rPr>
        <w:t>，</w:t>
      </w:r>
      <w:r>
        <w:rPr>
          <w:rFonts w:hint="eastAsia" w:ascii="仿宋" w:hAnsi="仿宋" w:eastAsia="仿宋"/>
          <w:sz w:val="32"/>
          <w:szCs w:val="32"/>
        </w:rPr>
        <w:t>预算下达和财务核算不精准，进行了</w:t>
      </w:r>
      <w:r>
        <w:rPr>
          <w:rFonts w:hint="eastAsia" w:ascii="仿宋" w:hAnsi="仿宋" w:eastAsia="仿宋"/>
          <w:sz w:val="32"/>
          <w:szCs w:val="32"/>
          <w:lang w:eastAsia="zh-CN"/>
        </w:rPr>
        <w:t>账务</w:t>
      </w:r>
      <w:r>
        <w:rPr>
          <w:rFonts w:hint="eastAsia" w:ascii="仿宋" w:hAnsi="仿宋" w:eastAsia="仿宋"/>
          <w:sz w:val="32"/>
          <w:szCs w:val="32"/>
        </w:rPr>
        <w:t>调整。</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68" w:name="_Toc15377223"/>
      <w:r>
        <w:rPr>
          <w:rFonts w:hint="eastAsia" w:ascii="仿宋_GB2312" w:hAnsi="仿宋" w:eastAsia="仿宋_GB2312"/>
          <w:b/>
          <w:sz w:val="32"/>
          <w:szCs w:val="32"/>
        </w:rPr>
        <w:t>（二）政府采购支出情况</w:t>
      </w:r>
      <w:bookmarkEnd w:id="6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hAnsi="Cambria" w:eastAsia="仿宋_GB2312" w:cs="仿宋_GB2312"/>
          <w:color w:val="000000"/>
          <w:sz w:val="32"/>
          <w:szCs w:val="32"/>
          <w:lang w:val="zh-CN"/>
        </w:rPr>
        <w:t>广元市利州区人民检察院</w:t>
      </w:r>
      <w:r>
        <w:rPr>
          <w:rFonts w:hint="eastAsia" w:ascii="仿宋_GB2312" w:eastAsia="仿宋_GB2312"/>
          <w:sz w:val="32"/>
          <w:szCs w:val="32"/>
        </w:rPr>
        <w:t>政府采购支出总额</w:t>
      </w:r>
      <w:r>
        <w:rPr>
          <w:rFonts w:ascii="仿宋_GB2312" w:hAnsi="Cambria" w:eastAsia="仿宋_GB2312" w:cs="仿宋_GB2312"/>
          <w:color w:val="000000"/>
          <w:sz w:val="32"/>
          <w:szCs w:val="32"/>
          <w:lang w:val="zh-CN"/>
        </w:rPr>
        <w:t>61.14</w:t>
      </w:r>
      <w:r>
        <w:rPr>
          <w:rFonts w:hint="eastAsia" w:ascii="仿宋_GB2312" w:eastAsia="仿宋_GB2312"/>
          <w:sz w:val="32"/>
          <w:szCs w:val="32"/>
        </w:rPr>
        <w:t>万元，其中：政府采购货物支出</w:t>
      </w:r>
      <w:r>
        <w:rPr>
          <w:rFonts w:ascii="仿宋_GB2312" w:hAnsi="Cambria" w:eastAsia="仿宋_GB2312" w:cs="仿宋_GB2312"/>
          <w:color w:val="000000"/>
          <w:sz w:val="32"/>
          <w:szCs w:val="32"/>
          <w:lang w:val="zh-CN"/>
        </w:rPr>
        <w:t>61.14</w:t>
      </w:r>
      <w:r>
        <w:rPr>
          <w:rFonts w:hint="eastAsia" w:ascii="仿宋_GB2312" w:eastAsia="仿宋_GB2312"/>
          <w:sz w:val="32"/>
          <w:szCs w:val="32"/>
        </w:rPr>
        <w:t>万元、政府采购工程支出0万元、政府采购服务支出0万元。主要用于主要用于</w:t>
      </w:r>
      <w:r>
        <w:rPr>
          <w:rFonts w:hint="eastAsia" w:ascii="仿宋" w:hAnsi="仿宋" w:eastAsia="仿宋"/>
          <w:color w:val="000000"/>
          <w:sz w:val="32"/>
          <w:szCs w:val="32"/>
        </w:rPr>
        <w:t>办公办案技术装备更新、网络一体化建设项目设备购置。</w:t>
      </w:r>
      <w:r>
        <w:rPr>
          <w:rFonts w:hint="eastAsia" w:ascii="仿宋_GB2312" w:eastAsia="仿宋_GB2312"/>
          <w:sz w:val="32"/>
          <w:szCs w:val="32"/>
        </w:rPr>
        <w:t>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bookmarkStart w:id="69" w:name="_Toc15377224"/>
      <w:r>
        <w:rPr>
          <w:rFonts w:hint="eastAsia" w:ascii="仿宋_GB2312" w:hAnsi="仿宋" w:eastAsia="仿宋_GB2312"/>
          <w:b/>
          <w:sz w:val="32"/>
          <w:szCs w:val="32"/>
        </w:rPr>
        <w:t>（三）国有资产占有使用情况</w:t>
      </w:r>
      <w:bookmarkEnd w:id="6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hAnsi="Cambria" w:eastAsia="仿宋_GB2312" w:cs="仿宋_GB2312"/>
          <w:color w:val="000000"/>
          <w:sz w:val="32"/>
          <w:szCs w:val="32"/>
          <w:lang w:val="zh-CN"/>
        </w:rPr>
        <w:t>广元市利州区人民检察院</w:t>
      </w:r>
      <w:r>
        <w:rPr>
          <w:rFonts w:hint="eastAsia" w:ascii="仿宋_GB2312" w:eastAsia="仿宋_GB2312"/>
          <w:sz w:val="32"/>
          <w:szCs w:val="32"/>
        </w:rPr>
        <w:t>共有车辆8辆，其中：主要领导干部用车0辆、机要通信用车0辆、应急保障用车0辆、其他用车0辆，</w:t>
      </w:r>
      <w:r>
        <w:rPr>
          <w:rFonts w:hint="eastAsia" w:ascii="仿宋" w:hAnsi="仿宋" w:eastAsia="仿宋"/>
          <w:color w:val="000000"/>
          <w:sz w:val="32"/>
          <w:szCs w:val="32"/>
        </w:rPr>
        <w:t>执法执勤用车8辆，特种专业技术用车0辆</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_GB2312" w:hAnsi="仿宋" w:eastAsia="仿宋_GB2312"/>
          <w:b/>
          <w:sz w:val="32"/>
          <w:szCs w:val="32"/>
        </w:rPr>
      </w:pPr>
      <w:r>
        <w:rPr>
          <w:rFonts w:hint="eastAsia" w:ascii="仿宋_GB2312" w:hAnsi="仿宋" w:eastAsia="仿宋_GB2312"/>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公诉审判与监督、公益诉讼检察、机关运行保障、检察业务及辅助等4个项目开展了预算事前绩效评估，对4个项目编制了绩效目标，预算执行过程中，选取4个项目开展绩效监控。</w:t>
      </w:r>
    </w:p>
    <w:p>
      <w:pPr>
        <w:adjustRightInd w:val="0"/>
        <w:snapToGrid w:val="0"/>
        <w:spacing w:line="576"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广元市利州区人民检察院部门整体（含部门预算项目）绩效自评报告、公诉审判与监督、公益诉讼检察、机关运行保障、检察业务及辅助等专项预算项目绩效自评报告，其中，广元市利州区人民检察院部门整体（含部门预算项目）绩效自评得分为97.1分，绩效自评综述：绩效目标编制综合考虑了人员经费、公用经费和项目经费，比例配置符合财经纪律要求，可以满足经费支出的需要。财政供养人员控制在预算编制以内，实际在职人员数与编制数相同；“三公”经费支出与预算持平。结合检察职能，编制了合理的绩效目标。公诉审判与监督专项预算项目绩效自评得分为10分，绩效自评综述：该项目达到项目预期，在批捕和公诉案件、未成年人检察、信访纠纷、法律监督等方面收效良好，该项目高质量地完成了年初设定目标，并严格控制支出，未超预算。公益诉讼检察专项预算项目绩效自评得分为10分，绩效自评综述：</w:t>
      </w:r>
      <w:r>
        <w:rPr>
          <w:rFonts w:hint="eastAsia" w:ascii="仿宋_GB2312" w:hAnsi="仿宋_GB2312" w:eastAsia="仿宋_GB2312" w:cs="仿宋_GB2312"/>
          <w:kern w:val="0"/>
          <w:sz w:val="32"/>
          <w:szCs w:val="32"/>
          <w:shd w:val="clear" w:color="auto" w:fill="FFFFFF"/>
          <w:lang w:val="zh-CN"/>
        </w:rPr>
        <w:t>该项目达到项目预期，在办理民事、行政、公益诉讼类案件方面收效良好，该项目高质量地完成了年初设定目标，并严格控制支出，未超预算。</w:t>
      </w:r>
      <w:r>
        <w:rPr>
          <w:rFonts w:hint="eastAsia" w:ascii="仿宋_GB2312" w:hAnsi="仿宋_GB2312" w:eastAsia="仿宋_GB2312" w:cs="仿宋_GB2312"/>
          <w:sz w:val="32"/>
          <w:szCs w:val="32"/>
        </w:rPr>
        <w:t>检察业务及辅助专项预算项目绩效自评得分为10分，绩效自评综述：该项</w:t>
      </w:r>
      <w:r>
        <w:rPr>
          <w:rFonts w:ascii="仿宋_GB2312" w:hAnsi="仿宋_GB2312" w:eastAsia="仿宋_GB2312" w:cs="仿宋_GB2312"/>
          <w:sz w:val="32"/>
          <w:szCs w:val="32"/>
        </w:rPr>
        <w:t>目标完成</w:t>
      </w:r>
      <w:r>
        <w:rPr>
          <w:rFonts w:ascii="仿宋" w:eastAsia="仿宋"/>
          <w:sz w:val="32"/>
          <w:szCs w:val="32"/>
          <w:lang w:val="zh-CN"/>
        </w:rPr>
        <w:t>情况</w:t>
      </w:r>
      <w:r>
        <w:rPr>
          <w:rFonts w:hint="eastAsia" w:ascii="仿宋" w:eastAsia="仿宋"/>
          <w:sz w:val="32"/>
          <w:szCs w:val="32"/>
          <w:lang w:val="zh-CN"/>
        </w:rPr>
        <w:t>良好</w:t>
      </w:r>
      <w:r>
        <w:rPr>
          <w:rFonts w:ascii="仿宋" w:eastAsia="仿宋"/>
          <w:sz w:val="32"/>
          <w:szCs w:val="32"/>
          <w:lang w:val="zh-CN"/>
        </w:rPr>
        <w:t>，</w:t>
      </w:r>
      <w:r>
        <w:rPr>
          <w:rFonts w:hint="eastAsia" w:ascii="仿宋" w:eastAsia="仿宋"/>
          <w:sz w:val="32"/>
          <w:szCs w:val="32"/>
          <w:lang w:val="zh-CN"/>
        </w:rPr>
        <w:t>达成了</w:t>
      </w:r>
      <w:r>
        <w:rPr>
          <w:rFonts w:ascii="仿宋" w:eastAsia="仿宋"/>
          <w:sz w:val="32"/>
          <w:szCs w:val="32"/>
          <w:lang w:val="zh-CN"/>
        </w:rPr>
        <w:t>项目社会效益</w:t>
      </w:r>
      <w:r>
        <w:rPr>
          <w:rFonts w:hint="eastAsia" w:ascii="仿宋" w:eastAsia="仿宋"/>
          <w:sz w:val="32"/>
          <w:szCs w:val="32"/>
          <w:lang w:val="zh-CN"/>
        </w:rPr>
        <w:t>，高质量地完成了年初设定目标，并严格控制支出，</w:t>
      </w:r>
      <w:r>
        <w:rPr>
          <w:rFonts w:ascii="仿宋" w:eastAsia="仿宋"/>
          <w:sz w:val="32"/>
          <w:szCs w:val="32"/>
          <w:lang w:val="zh-CN"/>
        </w:rPr>
        <w:t>检察工作</w:t>
      </w:r>
      <w:r>
        <w:rPr>
          <w:rFonts w:hint="eastAsia" w:ascii="仿宋" w:eastAsia="仿宋"/>
          <w:sz w:val="32"/>
          <w:szCs w:val="32"/>
          <w:lang w:val="zh-CN"/>
        </w:rPr>
        <w:t>受</w:t>
      </w:r>
      <w:r>
        <w:rPr>
          <w:rFonts w:ascii="仿宋" w:eastAsia="仿宋"/>
          <w:sz w:val="32"/>
          <w:szCs w:val="32"/>
          <w:lang w:val="zh-CN"/>
        </w:rPr>
        <w:t>到多方肯定</w:t>
      </w:r>
      <w:r>
        <w:rPr>
          <w:rFonts w:hint="eastAsia" w:ascii="仿宋" w:eastAsia="仿宋"/>
          <w:sz w:val="32"/>
          <w:szCs w:val="32"/>
          <w:lang w:val="zh-CN"/>
        </w:rPr>
        <w:t>。</w:t>
      </w:r>
      <w:r>
        <w:rPr>
          <w:rFonts w:hint="eastAsia" w:ascii="仿宋_GB2312" w:hAnsi="仿宋_GB2312" w:eastAsia="仿宋_GB2312" w:cs="仿宋_GB2312"/>
          <w:sz w:val="32"/>
          <w:szCs w:val="32"/>
        </w:rPr>
        <w:t>机关运行保障专项预算项目绩效自评得分为9分，绩效自评综述：该项目达到目标任务预期，机关各项工作任务均达标，完成了年初设定目标。</w:t>
      </w:r>
    </w:p>
    <w:p>
      <w:pPr>
        <w:widowControl/>
        <w:ind w:firstLine="640" w:firstLineChars="200"/>
        <w:jc w:val="left"/>
        <w:rPr>
          <w:rFonts w:hint="eastAsia" w:ascii="仿宋_GB2312" w:hAnsi="仿宋_GB2312" w:eastAsia="仿宋_GB2312" w:cs="仿宋_GB2312"/>
          <w:sz w:val="32"/>
          <w:szCs w:val="32"/>
        </w:rPr>
        <w:sectPr>
          <w:footerReference r:id="rId9" w:type="first"/>
          <w:footerReference r:id="rId8"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_GB2312" w:eastAsia="仿宋_GB2312" w:cs="仿宋_GB2312"/>
          <w:sz w:val="32"/>
          <w:szCs w:val="32"/>
        </w:rPr>
        <w:t>绩效自评报告详见附件</w:t>
      </w:r>
    </w:p>
    <w:p>
      <w:pPr>
        <w:pStyle w:val="2"/>
        <w:spacing w:before="93"/>
        <w:rPr>
          <w:highlight w:val="yellow"/>
        </w:rPr>
      </w:pPr>
    </w:p>
    <w:p>
      <w:pPr>
        <w:numPr>
          <w:ilvl w:val="0"/>
          <w:numId w:val="4"/>
        </w:numPr>
        <w:spacing w:line="600" w:lineRule="exact"/>
        <w:ind w:firstLine="660" w:firstLineChars="150"/>
        <w:jc w:val="center"/>
        <w:outlineLvl w:val="0"/>
        <w:rPr>
          <w:rStyle w:val="19"/>
          <w:rFonts w:ascii="黑体" w:hAnsi="黑体" w:eastAsia="黑体"/>
          <w:b w:val="0"/>
        </w:rPr>
      </w:pPr>
      <w:bookmarkStart w:id="70" w:name="_Toc15377225"/>
      <w:bookmarkStart w:id="71" w:name="_Toc15396613"/>
      <w:bookmarkStart w:id="72" w:name="_Toc3159"/>
      <w:r>
        <w:rPr>
          <w:rFonts w:hint="eastAsia" w:ascii="黑体" w:hAnsi="黑体" w:eastAsia="黑体"/>
          <w:sz w:val="44"/>
          <w:szCs w:val="44"/>
        </w:rPr>
        <w:t>名</w:t>
      </w:r>
      <w:r>
        <w:rPr>
          <w:rStyle w:val="19"/>
          <w:rFonts w:hint="eastAsia" w:ascii="黑体" w:hAnsi="黑体" w:eastAsia="黑体"/>
          <w:b w:val="0"/>
        </w:rPr>
        <w:t>词解释</w:t>
      </w:r>
      <w:bookmarkEnd w:id="70"/>
      <w:bookmarkEnd w:id="71"/>
      <w:bookmarkEnd w:id="72"/>
    </w:p>
    <w:p>
      <w:pPr>
        <w:spacing w:line="600" w:lineRule="exact"/>
        <w:jc w:val="left"/>
        <w:rPr>
          <w:rFonts w:ascii="宋体"/>
          <w:b/>
          <w:sz w:val="44"/>
          <w:szCs w:val="44"/>
        </w:rPr>
      </w:pPr>
    </w:p>
    <w:p>
      <w:pPr>
        <w:pStyle w:val="29"/>
        <w:numPr>
          <w:ilvl w:val="0"/>
          <w:numId w:val="5"/>
        </w:numPr>
        <w:spacing w:line="560" w:lineRule="exact"/>
        <w:ind w:left="0" w:leftChars="0" w:firstLine="400" w:firstLineChars="0"/>
        <w:outlineLvl w:val="1"/>
        <w:rPr>
          <w:rFonts w:ascii="仿宋_GB2312" w:eastAsia="仿宋_GB2312"/>
          <w:color w:val="auto"/>
          <w:sz w:val="32"/>
          <w:szCs w:val="32"/>
        </w:rPr>
      </w:pPr>
      <w:bookmarkStart w:id="73" w:name="_Toc6910"/>
      <w:r>
        <w:rPr>
          <w:rFonts w:hint="eastAsia" w:ascii="仿宋_GB2312" w:eastAsia="仿宋_GB2312"/>
          <w:color w:val="auto"/>
          <w:sz w:val="32"/>
          <w:szCs w:val="32"/>
        </w:rPr>
        <w:t>财政拨款收入：指单位从同级财政部门取得的财政预算资金。</w:t>
      </w:r>
      <w:bookmarkEnd w:id="73"/>
    </w:p>
    <w:p>
      <w:pPr>
        <w:pStyle w:val="29"/>
        <w:numPr>
          <w:ilvl w:val="0"/>
          <w:numId w:val="5"/>
        </w:numPr>
        <w:spacing w:line="560" w:lineRule="exact"/>
        <w:ind w:left="0" w:leftChars="0" w:firstLine="400" w:firstLineChars="0"/>
        <w:rPr>
          <w:rFonts w:hAnsi="仿宋"/>
          <w:color w:val="auto"/>
          <w:sz w:val="32"/>
          <w:szCs w:val="32"/>
        </w:rPr>
      </w:pPr>
      <w:r>
        <w:rPr>
          <w:rFonts w:hint="eastAsia" w:ascii="仿宋_GB2312" w:eastAsia="仿宋_GB2312"/>
          <w:color w:val="auto"/>
          <w:sz w:val="32"/>
          <w:szCs w:val="32"/>
        </w:rPr>
        <w:t>其他收入：</w:t>
      </w:r>
      <w:r>
        <w:rPr>
          <w:rFonts w:hint="eastAsia" w:hAnsi="仿宋"/>
          <w:color w:val="auto"/>
          <w:sz w:val="32"/>
          <w:szCs w:val="32"/>
        </w:rPr>
        <w:t>指单位取得的除上述收入以外的各项收入。主要是利息收入等。</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年初结转和结余：指以前年度尚未完成、结转到本年按有关规定继续使用的资金。</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年末结转和结余：指单位按有关规定结转到下年或以后年度继续使用的资金。</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hAnsi="仿宋"/>
          <w:sz w:val="32"/>
          <w:szCs w:val="32"/>
        </w:rPr>
        <w:t>公</w:t>
      </w:r>
      <w:r>
        <w:rPr>
          <w:rFonts w:hint="eastAsia" w:hAnsi="仿宋"/>
          <w:color w:val="auto"/>
          <w:sz w:val="32"/>
          <w:szCs w:val="32"/>
        </w:rPr>
        <w:t>共</w:t>
      </w:r>
      <w:r>
        <w:rPr>
          <w:rFonts w:hint="eastAsia" w:hAnsi="仿宋"/>
          <w:sz w:val="32"/>
          <w:szCs w:val="32"/>
        </w:rPr>
        <w:t>安全（类）检察（款）行政运行（项）</w:t>
      </w:r>
      <w:r>
        <w:rPr>
          <w:rFonts w:hint="eastAsia" w:hAnsi="仿宋"/>
          <w:sz w:val="32"/>
          <w:szCs w:val="32"/>
          <w:lang w:eastAsia="zh-CN"/>
        </w:rPr>
        <w:t>：</w:t>
      </w:r>
      <w:r>
        <w:rPr>
          <w:rFonts w:hint="eastAsia" w:hAnsi="仿宋"/>
          <w:sz w:val="32"/>
          <w:szCs w:val="32"/>
        </w:rPr>
        <w:t>指反映行政单位（包括实行公务员管理的事业单位）的基本支出。</w:t>
      </w:r>
    </w:p>
    <w:p>
      <w:pPr>
        <w:pStyle w:val="29"/>
        <w:numPr>
          <w:ilvl w:val="0"/>
          <w:numId w:val="5"/>
        </w:numPr>
        <w:spacing w:line="560" w:lineRule="exact"/>
        <w:ind w:left="0" w:leftChars="0" w:firstLine="400" w:firstLineChars="0"/>
        <w:rPr>
          <w:rFonts w:hAnsi="仿宋"/>
          <w:sz w:val="32"/>
          <w:szCs w:val="32"/>
        </w:rPr>
      </w:pPr>
      <w:r>
        <w:rPr>
          <w:rFonts w:hint="eastAsia" w:hAnsi="仿宋"/>
          <w:sz w:val="32"/>
          <w:szCs w:val="32"/>
        </w:rPr>
        <w:t>公共安全（类）检察（款）一般行政管理事务（项）：指反映行政单位（包括实行公务员管理的事业单位）未单独设置项级科目的其他项目支出。</w:t>
      </w:r>
    </w:p>
    <w:p>
      <w:pPr>
        <w:pStyle w:val="29"/>
        <w:numPr>
          <w:ilvl w:val="0"/>
          <w:numId w:val="5"/>
        </w:numPr>
        <w:spacing w:line="560" w:lineRule="exact"/>
        <w:ind w:left="0" w:leftChars="0" w:firstLine="400" w:firstLineChars="0"/>
        <w:rPr>
          <w:rFonts w:hAnsi="仿宋"/>
          <w:sz w:val="32"/>
          <w:szCs w:val="32"/>
        </w:rPr>
      </w:pPr>
      <w:r>
        <w:rPr>
          <w:rFonts w:hint="eastAsia" w:hAnsi="仿宋"/>
          <w:sz w:val="32"/>
          <w:szCs w:val="32"/>
        </w:rPr>
        <w:t>公共安全（类）检察（款）事业运行（项）：指反映事业单位的基本支出，不包括行政单位（包括实行公务员管理的事业单位）后勤服务中心、医务室等附属事业单位。</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hAnsi="仿宋"/>
          <w:sz w:val="32"/>
          <w:szCs w:val="32"/>
        </w:rPr>
        <w:t>公共安全（类）检察（款）其他检察支出（项）：反映除上述项目以外其他用于检察方面的支出。</w:t>
      </w:r>
    </w:p>
    <w:p>
      <w:pPr>
        <w:numPr>
          <w:ilvl w:val="0"/>
          <w:numId w:val="5"/>
        </w:numPr>
        <w:ind w:left="0" w:leftChars="0" w:firstLine="400" w:firstLineChars="0"/>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w:t>
      </w:r>
      <w:r>
        <w:rPr>
          <w:rFonts w:hint="eastAsia" w:ascii="仿宋" w:hAnsi="仿宋" w:eastAsia="仿宋"/>
          <w:sz w:val="32"/>
          <w:szCs w:val="32"/>
          <w:lang w:eastAsia="zh-CN"/>
        </w:rPr>
        <w:t>：</w:t>
      </w:r>
      <w:r>
        <w:rPr>
          <w:rFonts w:hint="eastAsia" w:ascii="仿宋" w:hAnsi="仿宋" w:eastAsia="仿宋"/>
          <w:sz w:val="32"/>
          <w:szCs w:val="32"/>
        </w:rPr>
        <w:t>指反映机关事业单位实施养老保险制度由单位缴纳的基本养老保险费支出。</w:t>
      </w:r>
    </w:p>
    <w:p>
      <w:pPr>
        <w:pStyle w:val="2"/>
        <w:numPr>
          <w:ilvl w:val="0"/>
          <w:numId w:val="5"/>
        </w:numPr>
        <w:ind w:left="0" w:leftChars="0" w:firstLine="400" w:firstLineChars="0"/>
      </w:pPr>
      <w:r>
        <w:rPr>
          <w:rFonts w:hint="eastAsia"/>
        </w:rPr>
        <w:t>社会保障和就业支出（类）行政事业单位养老支出（款）  机关事业单位职业年金缴费支出（项）</w:t>
      </w:r>
      <w:r>
        <w:rPr>
          <w:rFonts w:hint="eastAsia"/>
          <w:lang w:eastAsia="zh-CN"/>
        </w:rPr>
        <w:t>：</w:t>
      </w:r>
      <w:r>
        <w:rPr>
          <w:rFonts w:hint="eastAsia"/>
        </w:rPr>
        <w:t>指反映实施养老保险制度由单位缴纳的职业年金的支出。</w:t>
      </w:r>
    </w:p>
    <w:p>
      <w:pPr>
        <w:numPr>
          <w:ilvl w:val="0"/>
          <w:numId w:val="5"/>
        </w:numPr>
        <w:ind w:left="0" w:leftChars="0" w:firstLine="400" w:firstLineChars="0"/>
        <w:rPr>
          <w:rFonts w:ascii="仿宋" w:hAnsi="仿宋" w:eastAsia="仿宋"/>
          <w:sz w:val="32"/>
          <w:szCs w:val="32"/>
        </w:rPr>
      </w:pPr>
      <w:r>
        <w:rPr>
          <w:rFonts w:hint="eastAsia" w:ascii="仿宋" w:hAnsi="仿宋" w:eastAsia="仿宋"/>
          <w:sz w:val="32"/>
          <w:szCs w:val="32"/>
        </w:rPr>
        <w:t>社会保障和就业支出（类）抚恤（款）死亡抚恤（项）：指反映按规定用于烈士和牺牲、病故人员家属的一次性和定期抚恤金、丧葬补助费以及烈士褒扬金。</w:t>
      </w:r>
    </w:p>
    <w:p>
      <w:pPr>
        <w:numPr>
          <w:ilvl w:val="0"/>
          <w:numId w:val="5"/>
        </w:numPr>
        <w:ind w:left="0" w:leftChars="0" w:firstLine="400" w:firstLineChars="0"/>
        <w:rPr>
          <w:rFonts w:ascii="仿宋" w:hAnsi="仿宋" w:eastAsia="仿宋"/>
          <w:sz w:val="32"/>
          <w:szCs w:val="32"/>
        </w:rPr>
      </w:pPr>
      <w:r>
        <w:rPr>
          <w:rFonts w:hint="eastAsia" w:ascii="仿宋" w:hAnsi="仿宋" w:eastAsia="仿宋"/>
          <w:sz w:val="32"/>
          <w:szCs w:val="32"/>
        </w:rPr>
        <w:t>卫生健康支出（类）行政事业单位医疗（款）行政单位医疗（项）</w:t>
      </w:r>
      <w:r>
        <w:rPr>
          <w:rFonts w:hint="eastAsia" w:ascii="仿宋" w:hAnsi="仿宋" w:eastAsia="仿宋"/>
          <w:sz w:val="32"/>
          <w:szCs w:val="32"/>
          <w:lang w:eastAsia="zh-CN"/>
        </w:rPr>
        <w:t>：</w:t>
      </w:r>
      <w:r>
        <w:rPr>
          <w:rFonts w:hint="eastAsia" w:ascii="仿宋" w:hAnsi="仿宋" w:eastAsia="仿宋"/>
          <w:sz w:val="32"/>
          <w:szCs w:val="32"/>
        </w:rPr>
        <w:t>指反映财政部门安排的行政单位（包括实行公务员管理的事业单位）基本医疗保险缴费经费，未参加医疗保险的行政单位的公费医疗经费，按国家规定享受离休人员、红军老战士待遇人员的医疗经费。</w:t>
      </w:r>
    </w:p>
    <w:p>
      <w:pPr>
        <w:numPr>
          <w:ilvl w:val="0"/>
          <w:numId w:val="5"/>
        </w:numPr>
        <w:ind w:left="0" w:leftChars="0" w:firstLine="400" w:firstLineChars="0"/>
        <w:rPr>
          <w:rFonts w:ascii="仿宋_GB2312" w:eastAsia="仿宋_GB2312"/>
          <w:sz w:val="32"/>
          <w:szCs w:val="32"/>
        </w:rPr>
      </w:pPr>
      <w:r>
        <w:rPr>
          <w:rFonts w:hint="eastAsia" w:ascii="仿宋" w:hAnsi="仿宋" w:eastAsia="仿宋"/>
          <w:sz w:val="32"/>
          <w:szCs w:val="32"/>
        </w:rPr>
        <w:t>住房保障支出（类）住房改革支出（款）住房公积金（项）：指反映行政事业单位按人力资源和社会保障部、财政部规定的基本工资和津贴补贴以及规定比例为职工缴纳的住房公积金。</w:t>
      </w:r>
    </w:p>
    <w:p>
      <w:pPr>
        <w:numPr>
          <w:ilvl w:val="0"/>
          <w:numId w:val="5"/>
        </w:numPr>
        <w:ind w:left="0" w:leftChars="0" w:firstLine="400" w:firstLineChars="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p>
    <w:p>
      <w:pPr>
        <w:numPr>
          <w:ilvl w:val="0"/>
          <w:numId w:val="5"/>
        </w:numPr>
        <w:ind w:left="0" w:leftChars="0" w:firstLine="400" w:firstLineChars="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numPr>
          <w:ilvl w:val="0"/>
          <w:numId w:val="5"/>
        </w:numPr>
        <w:spacing w:line="560" w:lineRule="exact"/>
        <w:ind w:left="0" w:leftChars="0" w:firstLine="400" w:firstLineChars="0"/>
        <w:rPr>
          <w:rFonts w:ascii="仿宋_GB2312" w:eastAsia="仿宋_GB2312"/>
          <w:color w:val="auto"/>
          <w:sz w:val="32"/>
          <w:szCs w:val="32"/>
        </w:rPr>
      </w:pP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sz w:val="32"/>
          <w:szCs w:val="32"/>
        </w:rPr>
      </w:pPr>
    </w:p>
    <w:p>
      <w:pPr>
        <w:spacing w:line="600" w:lineRule="exact"/>
        <w:jc w:val="center"/>
        <w:outlineLvl w:val="0"/>
        <w:rPr>
          <w:rStyle w:val="19"/>
          <w:rFonts w:ascii="黑体" w:hAnsi="黑体" w:eastAsia="黑体"/>
          <w:b w:val="0"/>
        </w:rPr>
      </w:pPr>
      <w:bookmarkStart w:id="74" w:name="_Toc15377226"/>
      <w:r>
        <w:rPr>
          <w:rFonts w:ascii="宋体"/>
          <w:b/>
          <w:sz w:val="44"/>
          <w:szCs w:val="44"/>
        </w:rPr>
        <w:br w:type="page"/>
      </w:r>
      <w:bookmarkStart w:id="75" w:name="_Toc15396614"/>
      <w:bookmarkStart w:id="76" w:name="_Toc23632"/>
      <w:r>
        <w:rPr>
          <w:rFonts w:hint="eastAsia" w:ascii="黑体" w:hAnsi="黑体" w:eastAsia="黑体"/>
          <w:sz w:val="44"/>
          <w:szCs w:val="44"/>
        </w:rPr>
        <w:t>第</w:t>
      </w:r>
      <w:r>
        <w:rPr>
          <w:rStyle w:val="19"/>
          <w:rFonts w:hint="eastAsia" w:ascii="黑体" w:hAnsi="黑体" w:eastAsia="黑体"/>
          <w:b w:val="0"/>
        </w:rPr>
        <w:t>四部分 附件</w:t>
      </w:r>
      <w:bookmarkEnd w:id="75"/>
      <w:bookmarkEnd w:id="76"/>
    </w:p>
    <w:p>
      <w:pPr>
        <w:spacing w:line="572" w:lineRule="exact"/>
        <w:jc w:val="left"/>
        <w:outlineLvl w:val="1"/>
        <w:rPr>
          <w:rFonts w:ascii="方正小标宋简体" w:hAnsi="方正小标宋简体" w:eastAsia="方正小标宋简体" w:cs="方正小标宋简体"/>
          <w:sz w:val="44"/>
          <w:szCs w:val="44"/>
        </w:rPr>
      </w:pPr>
      <w:bookmarkStart w:id="77" w:name="_Toc16757"/>
      <w:r>
        <w:rPr>
          <w:rFonts w:hint="eastAsia" w:ascii="黑体" w:hAnsi="黑体" w:eastAsia="黑体" w:cs="黑体"/>
          <w:sz w:val="32"/>
          <w:szCs w:val="32"/>
        </w:rPr>
        <w:t>附件</w:t>
      </w:r>
      <w:bookmarkEnd w:id="77"/>
    </w:p>
    <w:p>
      <w:pPr>
        <w:widowControl/>
        <w:spacing w:line="576" w:lineRule="exact"/>
        <w:contextualSpacing/>
        <w:jc w:val="center"/>
        <w:rPr>
          <w:rFonts w:cs="方正小标宋简体" w:asciiTheme="majorEastAsia" w:hAnsiTheme="majorEastAsia" w:eastAsiaTheme="majorEastAsia"/>
          <w:sz w:val="44"/>
          <w:szCs w:val="44"/>
          <w:shd w:val="clear" w:color="auto" w:fill="FFFFFF"/>
        </w:rPr>
      </w:pPr>
      <w:r>
        <w:rPr>
          <w:rFonts w:hint="eastAsia" w:cs="方正小标宋简体" w:asciiTheme="majorEastAsia" w:hAnsiTheme="majorEastAsia" w:eastAsiaTheme="majorEastAsia"/>
          <w:sz w:val="44"/>
          <w:szCs w:val="44"/>
          <w:shd w:val="clear" w:color="auto" w:fill="FFFFFF"/>
        </w:rPr>
        <w:t>202</w:t>
      </w:r>
      <w:r>
        <w:rPr>
          <w:rFonts w:cs="方正小标宋简体" w:asciiTheme="majorEastAsia" w:hAnsiTheme="majorEastAsia" w:eastAsiaTheme="majorEastAsia"/>
          <w:sz w:val="44"/>
          <w:szCs w:val="44"/>
          <w:shd w:val="clear" w:color="auto" w:fill="FFFFFF"/>
        </w:rPr>
        <w:t>2</w:t>
      </w:r>
      <w:r>
        <w:rPr>
          <w:rFonts w:hint="eastAsia" w:cs="方正小标宋简体" w:asciiTheme="majorEastAsia" w:hAnsiTheme="majorEastAsia" w:eastAsiaTheme="majorEastAsia"/>
          <w:sz w:val="44"/>
          <w:szCs w:val="44"/>
          <w:shd w:val="clear" w:color="auto" w:fill="FFFFFF"/>
        </w:rPr>
        <w:t>年</w:t>
      </w:r>
      <w:r>
        <w:rPr>
          <w:rFonts w:hint="eastAsia" w:asciiTheme="majorEastAsia" w:hAnsiTheme="majorEastAsia" w:eastAsiaTheme="majorEastAsia"/>
          <w:sz w:val="44"/>
          <w:szCs w:val="44"/>
          <w:shd w:val="clear" w:color="auto" w:fill="FFFFFF"/>
        </w:rPr>
        <w:t>广元市利州区人民检察院</w:t>
      </w:r>
    </w:p>
    <w:p>
      <w:pPr>
        <w:widowControl/>
        <w:spacing w:line="576" w:lineRule="exact"/>
        <w:contextualSpacing/>
        <w:jc w:val="center"/>
        <w:rPr>
          <w:rFonts w:cs="方正小标宋简体" w:asciiTheme="majorEastAsia" w:hAnsiTheme="majorEastAsia" w:eastAsiaTheme="majorEastAsia"/>
          <w:sz w:val="44"/>
          <w:szCs w:val="44"/>
          <w:shd w:val="clear" w:color="auto" w:fill="FFFFFF"/>
        </w:rPr>
      </w:pPr>
      <w:r>
        <w:rPr>
          <w:rFonts w:hint="eastAsia" w:cs="方正小标宋简体" w:asciiTheme="majorEastAsia" w:hAnsiTheme="majorEastAsia" w:eastAsiaTheme="majorEastAsia"/>
          <w:sz w:val="44"/>
          <w:szCs w:val="44"/>
          <w:shd w:val="clear" w:color="auto" w:fill="FFFFFF"/>
        </w:rPr>
        <w:t>部门整体支出绩效自评报告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6"/>
        </w:numPr>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78" w:name="_Toc1001"/>
      <w:r>
        <w:rPr>
          <w:rFonts w:hint="eastAsia" w:ascii="黑体" w:hAnsi="宋体" w:eastAsia="黑体" w:cs="宋体"/>
          <w:kern w:val="0"/>
          <w:sz w:val="32"/>
          <w:szCs w:val="32"/>
          <w:shd w:val="clear" w:color="auto" w:fill="FFFFFF"/>
          <w:lang w:val="zh-CN"/>
        </w:rPr>
        <w:t>部门（单位）基本情况</w:t>
      </w:r>
      <w:bookmarkEnd w:id="78"/>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（一）机构组成。</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广元市利州区人民检察院是一级预算单位，无下属二级预算单位。</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（二）机构职能和人员概况。</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广元市利州区人民检察院是国家的法律监督机关</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对区人民代表大会及其常务委员会负责并报告工作。其主要职责是：依法行使检察权,按照最高人民检察院、省人民检察院和市人民检察院确定的工作方针开展检察工作；依法办理法律规定的刑事犯罪案件的审查批捕(决定)逮捕、提起公诉等工作；依法对刑事、民事、行政诉讼活动实行法律监督；依法办理法律规定的公益诉讼案件；受理单位和个人的举报、控告、申诉以及犯罪嫌疑人的自首；研究检察工作中的具体法律应用问题；规划和开展检察技术、信息化和计划财务装备工作；负责检察机关的队伍建设、思想政治等工作；负责其它应当由区人民检察院承办的事项。</w:t>
      </w:r>
    </w:p>
    <w:p>
      <w:pPr>
        <w:pStyle w:val="2"/>
        <w:spacing w:before="93"/>
        <w:rPr>
          <w:lang w:val="zh-CN"/>
        </w:rPr>
      </w:pPr>
      <w:r>
        <w:rPr>
          <w:rFonts w:hint="eastAsia" w:hAnsi="仿宋_GB2312" w:cs="仿宋_GB2312"/>
          <w:sz w:val="32"/>
          <w:szCs w:val="32"/>
          <w:shd w:val="clear" w:color="auto" w:fill="FFFFFF"/>
        </w:rPr>
        <w:t xml:space="preserve">    广元市利州区人民检察院人员编制91人，其中行政编制63人，事业编制6人，聘用制书记员编制22人。2022年年末在职人员70人，聘用制书记员22人，退休人员47人，遗嘱补助人员2人。</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（三）年度主要工作任务。</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坚决捍卫“两个确立”，做到“两个维护”。始终胸怀两个大局，确保党的重大决策部署贯彻到检察工作全过程。始终坚持党对检察工作的绝对领导，旗帜鲜明加强党的建设，认真学习贯彻习近平法治思想和党的十九届六中全会精神，深入学习领会“两个确立”的决定性意义，以为大局服务、为人民司法的能动履职，更加自觉做到“两个维护”，以检察履职落实和维护党的全面领导，以检察担当落实维护社会大局和谐稳定的重要任务。</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坚持稳中求进，助推经济社会高质量发展。紧扣新时代检察工作使命，主动对标“十四五”时期经济社会发展目标任务，服务建设实力利州、魅力利州、活力利州、幸福利州、善治利州。服务常态化疫情防控，提升依法处置突发案（事）件能力。着力提升防范化解重大风险能力，严惩危害国家政治安全犯罪，常态化开展扫黑除恶斗争。持续优化法治化营商环境，探索开展企业合规工作。持续落实最高检“三号检察建议”，严厉打击经济金融犯罪，维护经济金融安全。更加自觉服务反腐败工作大局，以更强政治责任和履职智慧，落实工作衔接、提前介入、线索移送等各项制度机制，着力营造风清气正的政治环境。</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坚持能动司法，用心用情办好为民实事。持续开展“我为群众办实事”实践活动。精心呵护未成年人健康成长，抓实“检爱同行、共护未来”专项行动，以有力监督促进“六大保护”相互通融、整体落实。扎实开展“一号检察建议”监督落实专项清理，推动强制报告制度、入职查询制度落地落实。深化落实群众信访件件有回复制度，推进公开听证，深化诉源治理，持续做好司法救助，切实办好群众身边的“小案”，把“以人民为中心”落实落细。</w:t>
      </w:r>
    </w:p>
    <w:p>
      <w:pPr>
        <w:adjustRightInd w:val="0"/>
        <w:snapToGrid w:val="0"/>
        <w:spacing w:line="576"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坚持主业推进，全面提升法律监督质效。持续转变司法理念，把监督的重心放到提质量、增效果上来，更好维护司法公信。强化刑事立案、侦查活动、审判活动和刑事执行监督，加强行政执法与刑事司法衔接，深入落实“少捕慎诉慎押”刑事司法政策，深化认罪认罚从宽制度适用，最大限度减少社会对立面。精准开展民事诉讼监督，全面深化行政检察监督，持续做好公益诉讼检察，抓重点、抓质效、抓拓展，努力做到敢于监督、善于监督、勇于自我监督，努力实现“四大检察”“十大业务”全面协调充分发展，全面提升法律监督质效。</w:t>
      </w:r>
    </w:p>
    <w:p>
      <w:pPr>
        <w:pStyle w:val="2"/>
        <w:spacing w:before="93"/>
        <w:rPr>
          <w:lang w:val="zh-CN"/>
        </w:rPr>
      </w:pPr>
      <w:r>
        <w:rPr>
          <w:rFonts w:hint="eastAsia" w:hAnsi="仿宋_GB2312" w:cs="仿宋_GB2312"/>
          <w:sz w:val="32"/>
          <w:szCs w:val="32"/>
          <w:shd w:val="clear" w:color="auto" w:fill="FFFFFF"/>
        </w:rPr>
        <w:t xml:space="preserve">    5.坚持夯基固本，锻造过硬检察“铁军”。推进党史学习教育常态化长效化，巩固深化政法队伍教育整顿成果。全面推进“质量建设年”，以检察大数据赋能监督质效提升，以考核评价抓实科学管理，以追责问责倒逼司法责任制落实。优化干部培养交流，提高队伍革命化、正规化、专业化、职业化水平。始终保持打铁必须自身硬的警醒，深化纪律作风建设，强化内部监督制约。主动接受人大、政协及社会各界监督，全面加强监督执纪力度，努力打造忠诚、干净、担当的检察队伍。</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（四）部门整体支出绩效目标。</w:t>
      </w:r>
    </w:p>
    <w:p>
      <w:pPr>
        <w:pStyle w:val="2"/>
        <w:spacing w:before="93"/>
        <w:rPr>
          <w:lang w:val="zh-CN"/>
        </w:rPr>
      </w:pPr>
      <w:r>
        <w:rPr>
          <w:rFonts w:hint="eastAsia" w:hAnsi="仿宋"/>
          <w:sz w:val="32"/>
          <w:szCs w:val="32"/>
          <w:lang w:val="zh-CN"/>
        </w:rPr>
        <w:t xml:space="preserve">    制发文件4000余份，印制宣传资料30000余份，按要求开展党建活动，完善基层党组织建设，正常开展举报线索核查，及时更新“两微一端”，争取媒体采用量，同时完成检察日报征订，规模性组织干警培训，争取参训率达100%，扎实开展基层院建设，争取“三培育三引领”活动中优秀团队被成功验收，保障刑事检察、公益诉讼、未成年人检察等检察业务的有序开展，召开听证会议</w:t>
      </w:r>
      <w:r>
        <w:rPr>
          <w:rFonts w:hint="eastAsia" w:hAnsi="仿宋"/>
          <w:sz w:val="32"/>
          <w:szCs w:val="32"/>
        </w:rPr>
        <w:t>1</w:t>
      </w:r>
      <w:r>
        <w:rPr>
          <w:rFonts w:hint="eastAsia" w:hAnsi="仿宋"/>
          <w:sz w:val="32"/>
          <w:szCs w:val="32"/>
          <w:lang w:val="zh-CN"/>
        </w:rPr>
        <w:t>次、组织观摩庭，开展未成年人法治教育10次以上，开展数字化档案建设工作。及时保障人员及公用经费基本支出、机关行政运行，依法审查起诉、办理民事、行政、公益诉讼类案件，完成省市区三级院统筹规划的装备计划。</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79" w:name="_Toc24402"/>
      <w:r>
        <w:rPr>
          <w:rFonts w:hint="eastAsia" w:ascii="黑体" w:hAnsi="宋体" w:eastAsia="黑体" w:cs="宋体"/>
          <w:kern w:val="0"/>
          <w:sz w:val="32"/>
          <w:szCs w:val="32"/>
          <w:shd w:val="clear" w:color="auto" w:fill="FFFFFF"/>
        </w:rPr>
        <w:t>二、部门资金收支情况</w:t>
      </w:r>
      <w:bookmarkEnd w:id="79"/>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2022年部门总体预算收入1648.13万元，其中基本支出1017.26万元，项目支出630.87万元。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2.部门总体支出情况</w:t>
      </w:r>
    </w:p>
    <w:p>
      <w:pPr>
        <w:pStyle w:val="2"/>
        <w:spacing w:before="93"/>
      </w:pPr>
      <w:r>
        <w:rPr>
          <w:rFonts w:hint="eastAsia" w:hAnsi="仿宋_GB2312" w:cs="仿宋_GB2312"/>
          <w:sz w:val="32"/>
          <w:szCs w:val="32"/>
          <w:shd w:val="clear" w:color="auto" w:fill="FFFFFF"/>
        </w:rPr>
        <w:t xml:space="preserve">    2022年支出1494.61万元，主要用于以下方面: 公共安全（类）支出1249.9万元，占83.6%；社会保障和就业（类）支出81.75万元，占5.5%；卫生健康支出47.24万元，占3.2%；住房保障支出115.72万元，占7.7%。</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3.部门总体结转结余情况</w:t>
      </w:r>
    </w:p>
    <w:p>
      <w:pPr>
        <w:widowControl/>
        <w:adjustRightInd w:val="0"/>
        <w:snapToGrid w:val="0"/>
        <w:spacing w:line="576" w:lineRule="exact"/>
        <w:ind w:firstLine="640" w:firstLineChars="200"/>
        <w:contextualSpacing/>
        <w:jc w:val="left"/>
        <w:rPr>
          <w:rFonts w:ascii="方正仿宋简体" w:hAnsi="宋体" w:eastAsia="方正仿宋简体"/>
          <w:szCs w:val="32"/>
          <w:lang w:val="zh-CN"/>
        </w:rPr>
      </w:pPr>
      <w:r>
        <w:rPr>
          <w:rFonts w:hint="eastAsia" w:ascii="仿宋_GB2312" w:hAnsi="仿宋_GB2312" w:eastAsia="仿宋_GB2312" w:cs="仿宋_GB2312"/>
          <w:kern w:val="0"/>
          <w:sz w:val="32"/>
          <w:szCs w:val="32"/>
          <w:shd w:val="clear" w:color="auto" w:fill="FFFFFF"/>
        </w:rPr>
        <w:t>年末结转结余153.52万元。</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2022年一般公共预算财政拨款收入1648.13万元，其中基本支出1017.26万元，项目支出630.87万元。</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2.部门财政拨款支出情况</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2022年支出1494.61万元，主要用于以下方面: 公共安全（类）支出1249.9万元，占83.6%；社会保障和就业（类）支出81.75万元，占5.5%；卫生健康支出47.24万元，占3.2%；住房保障支出115.72万元，占7.7%。</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3.部门财政拨款结转结余情况</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年末结转结余153.52万元。</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0" w:name="_Toc15221"/>
      <w:r>
        <w:rPr>
          <w:rFonts w:hint="eastAsia" w:ascii="黑体" w:hAnsi="宋体" w:eastAsia="黑体" w:cs="宋体"/>
          <w:kern w:val="0"/>
          <w:sz w:val="32"/>
          <w:szCs w:val="32"/>
          <w:shd w:val="clear" w:color="auto" w:fill="FFFFFF"/>
        </w:rPr>
        <w:t>三、部门整体绩效分析</w:t>
      </w:r>
      <w:bookmarkEnd w:id="80"/>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pStyle w:val="2"/>
        <w:spacing w:before="93"/>
      </w:pPr>
      <w:r>
        <w:rPr>
          <w:rFonts w:hint="eastAsia" w:hAnsi="仿宋_GB2312" w:cs="仿宋_GB2312"/>
          <w:sz w:val="32"/>
          <w:szCs w:val="32"/>
          <w:shd w:val="clear" w:color="auto" w:fill="FFFFFF"/>
        </w:rPr>
        <w:t xml:space="preserve">    2022年我院人员类项目预算编制严格按照市财政局预算编制口径及有关要求，依据我院工作任务测算细化预算，按时完成了人员类绩效目标编制工作，绩效目标要素完整，审核通过情况良好，实现既定目标。在经费预算执行过程中，大力倡导发扬艰苦奋斗，精打细算，厉行节约精神，反对奢侈浪费，在经费开支单据审核过程中，严格把关，大力控制和压缩经费支出，实现了年度经费收支综合平衡的目标。我院按照财政部门要求的时间节点，按时报送与人员类绩效管理有关的资料，按照时间进度合理安排经费支出，及时拨付款项。整体来看，我院人员类项目经费较好的完成了年初既定目标，年初预算金额786.48万元，预算调整后843.60万元，全年实现支出827.83万元，资金结余率1.87%，不存在违规支出等行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2022年我院运转类项目预算编制严格按照市财政局预算编制口径及有关要求，依据我院工作任务测算细化预算，按时完成了运转类绩效目标编制工作，绩效目标要素完整，审核通过情况良好，实现既定目标。在经费预算执行过程中，大力倡导发扬艰苦奋斗，精打细算，厉行节约精神，反对奢侈浪费，在经费开支单据审核过程中，严格把关，大力控制和压缩经费支出，实现了年度经费收支综合平衡的目标。我院按照财政部门要求的时间节点，按时报送与运转类绩效管理有关的资料，按照时间进度合理安排经费支出，及时拨付款项。整体来看，我院运转类项目经费较好的完成了年初既定目标，年初预算金额173.66万元，预算调整后173.66万元，全年实现支出173.66万元，资金结余率0%，不存在违规支出等行为。</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adjustRightInd w:val="0"/>
        <w:snapToGrid w:val="0"/>
        <w:spacing w:line="576" w:lineRule="exact"/>
        <w:ind w:firstLine="640" w:firstLineChars="200"/>
        <w:contextualSpacing/>
        <w:jc w:val="left"/>
      </w:pPr>
      <w:r>
        <w:rPr>
          <w:rFonts w:hint="eastAsia" w:ascii="仿宋_GB2312" w:hAnsi="仿宋_GB2312" w:eastAsia="仿宋_GB2312" w:cs="仿宋_GB2312"/>
          <w:kern w:val="0"/>
          <w:sz w:val="32"/>
          <w:szCs w:val="32"/>
          <w:shd w:val="clear" w:color="auto" w:fill="FFFFFF"/>
        </w:rPr>
        <w:t>2022年我院特定目标类项目预算编制严格按照市财政局预算编制口径及有关要求，依据我院工作任务测算细化预算，按时完成了特定目标类绩效目标编制工作，共编制绩效目标项目共7个，其中涉及指标数38个，绩效目标要素完整，审核通过情况良好，较好的实现了既定目标，其中数字化档案建设项目因受疫情影响导致未完工，项目资金未支付完成。我院在经费预算执行过程中，大力倡导发扬艰苦奋斗，精打细算，厉行节约精神，反对奢侈浪费，在经费开支单据审核过程中，严格把关，大力控制和压缩经费支出，按照时间进度合理安排经费支出，按照项目进度及时拨付款项。我院按照财政部门要求的时间节点，按时报送与特定目标类绩效管理有关的资料，数字化档案建设项目，受去年疫情影响，项目停滞过一段时间，目前项目仍在建设中，我院将加强对项目进度的督促，在提高工程质量的前提下，加快资金拨付进度。整体来看，我院特定目标类项目经费较好的完成了年初既定目标，年初预算金额416.87万元，预算调整后416.87万元，年中追加214万元，全年实现支出493.12万元，资金结余率21.83%，不存在违规支出等行为。</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（二）部门整体履职绩效分析。</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院立足检察职能，围绕中心服务大局，在疫情防控、脱贫攻坚、护航民营企业发展、生态环境治理等重点工作中积极作为，严厉打击各类犯罪、参与社会综合治理，在未成年人司法保护、公益诉讼等工作中持续创新。根据我院实际工作需要，在年初预算编制阶段，我院设置了公诉与审判监督、公益诉讼检察、机关运行保障、辅助人员费用、司法警察及检察人员加班补助、员额检察官加班补助6个项目，8月、11月追加了第一批、第二批中央政法纪检监察转移支付资金项目，年终对7个项目开展了绩效目标完成情况梳理填报。从评价情况来看，年初设置的项目指标除了数字化档案建设外其余均按进度完成，项目预算编制及执行合理、规范，三公经费控制严格，达到了预期效果。</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（三）结果应用情况。</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我院按照市财政局统一时间、统一口径、统一格式在广元市政府门户网站上向社会公开了2022年部门预算及财政资金安排的“三公”经费预算、绩效目标及其他按要求应公开的绩效信息。</w:t>
      </w:r>
    </w:p>
    <w:p>
      <w:pPr>
        <w:widowControl/>
        <w:adjustRightInd w:val="0"/>
        <w:snapToGrid w:val="0"/>
        <w:spacing w:line="576"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我院积极应用绩效结果，将绩效管理结果与预算安排进行挂钩。根据上年度单位整体支出绩效目标和项目绩效目标完成情况，在安排预算时对相应项目的预算进行调整。</w:t>
      </w:r>
    </w:p>
    <w:p>
      <w:pPr>
        <w:widowControl/>
        <w:numPr>
          <w:ilvl w:val="0"/>
          <w:numId w:val="7"/>
        </w:numPr>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自评质量。</w:t>
      </w:r>
    </w:p>
    <w:p>
      <w:pPr>
        <w:pStyle w:val="2"/>
        <w:spacing w:before="93"/>
      </w:pPr>
      <w:r>
        <w:rPr>
          <w:rFonts w:hint="eastAsia" w:hAnsi="仿宋_GB2312" w:cs="仿宋_GB2312"/>
          <w:sz w:val="32"/>
          <w:szCs w:val="32"/>
          <w:shd w:val="clear" w:color="auto" w:fill="FFFFFF"/>
        </w:rPr>
        <w:t xml:space="preserve">    我院严格按照“市级部门整体支出绩效评价指标体系”计分标准逐项对照开展自评，部门整体绩效目标、项目绩效目标编制全面准确，对绩效指标尽量量化。整体绩效目标涵盖了单位基本支出和所有项目支出，自评得分97.1分，扣分项主要在预算执行进度上没有达到预期标准，分析其原因，主要是项目资金中的装备经费未在当年完成支付。</w:t>
      </w:r>
    </w:p>
    <w:p>
      <w:pPr>
        <w:widowControl/>
        <w:adjustRightInd w:val="0"/>
        <w:snapToGrid w:val="0"/>
        <w:spacing w:line="560" w:lineRule="exact"/>
        <w:ind w:firstLine="640" w:firstLineChars="200"/>
        <w:contextualSpacing/>
        <w:jc w:val="left"/>
        <w:outlineLvl w:val="1"/>
        <w:rPr>
          <w:rFonts w:ascii="黑体" w:hAnsi="宋体" w:eastAsia="黑体" w:cs="宋体"/>
          <w:kern w:val="0"/>
          <w:sz w:val="32"/>
          <w:szCs w:val="32"/>
          <w:shd w:val="clear" w:color="auto" w:fill="FFFFFF"/>
        </w:rPr>
      </w:pPr>
      <w:bookmarkStart w:id="81" w:name="_Toc6114"/>
      <w:r>
        <w:rPr>
          <w:rFonts w:hint="eastAsia" w:ascii="黑体" w:hAnsi="宋体" w:eastAsia="黑体" w:cs="宋体"/>
          <w:kern w:val="0"/>
          <w:sz w:val="32"/>
          <w:szCs w:val="32"/>
          <w:shd w:val="clear" w:color="auto" w:fill="FFFFFF"/>
        </w:rPr>
        <w:t>四、评价结论及建议</w:t>
      </w:r>
      <w:bookmarkEnd w:id="81"/>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（一）评价结论。</w:t>
      </w:r>
    </w:p>
    <w:p>
      <w:pPr>
        <w:widowControl/>
        <w:adjustRightInd w:val="0"/>
        <w:snapToGrid w:val="0"/>
        <w:spacing w:line="576" w:lineRule="exact"/>
        <w:ind w:firstLine="640" w:firstLineChars="200"/>
        <w:contextualSpacing/>
        <w:jc w:val="left"/>
        <w:rPr>
          <w:lang w:val="zh-CN"/>
        </w:rPr>
      </w:pPr>
      <w:r>
        <w:rPr>
          <w:rFonts w:hint="eastAsia" w:ascii="仿宋_GB2312" w:hAnsi="宋体" w:eastAsia="仿宋_GB2312"/>
          <w:sz w:val="32"/>
          <w:szCs w:val="32"/>
          <w:lang w:val="zh-CN"/>
        </w:rPr>
        <w:t>绩效目标编制综合考虑了人员经费、公用经费和项目经费，比例配置符合财经纪律要求，可以满足经费支出的需要。财政供养人员控制在预算编制以内，实际在职人员数与编制数相同；“三公”经费支出与预算持平。结合检察职能，编制了合理的绩效目标。</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（二）存在问题。</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一是预算编制有待更严格执行。预算编制与实际支出项目有的存在差异。</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二是各检察业务项目细分有待更严格的维护管理。每年检察工作重心有所不同，需在重点工作上加大预算。</w:t>
      </w:r>
    </w:p>
    <w:p>
      <w:pPr>
        <w:widowControl/>
        <w:adjustRightInd w:val="0"/>
        <w:snapToGrid w:val="0"/>
        <w:spacing w:line="576" w:lineRule="exact"/>
        <w:ind w:firstLine="640" w:firstLineChars="200"/>
        <w:contextualSpacing/>
        <w:jc w:val="left"/>
        <w:rPr>
          <w:lang w:val="zh-CN"/>
        </w:rPr>
      </w:pPr>
      <w:r>
        <w:rPr>
          <w:rFonts w:hint="eastAsia" w:ascii="仿宋_GB2312" w:hAnsi="宋体" w:eastAsia="仿宋_GB2312"/>
          <w:sz w:val="32"/>
          <w:szCs w:val="32"/>
          <w:lang w:val="zh-CN"/>
        </w:rPr>
        <w:t>三是预算执行进度不均衡，由于中央政法纪检监察转移支付资金项目下半年下达，设计的项目因办理招投标、政府采购等手续，所花时间较长，未在当年实现资金支出，对项目执行率有一定的影响。</w:t>
      </w:r>
    </w:p>
    <w:p>
      <w:pPr>
        <w:widowControl/>
        <w:adjustRightInd w:val="0"/>
        <w:snapToGrid w:val="0"/>
        <w:spacing w:line="560" w:lineRule="exact"/>
        <w:ind w:firstLine="643" w:firstLineChars="200"/>
        <w:contextualSpacing/>
        <w:jc w:val="left"/>
        <w:rPr>
          <w:rFonts w:ascii="楷体" w:hAnsi="楷体" w:eastAsia="楷体" w:cs="楷体_GB2312"/>
          <w:b/>
          <w:bCs/>
          <w:kern w:val="0"/>
          <w:sz w:val="32"/>
          <w:szCs w:val="32"/>
          <w:shd w:val="clear" w:color="auto" w:fill="FFFFFF"/>
          <w:lang w:val="zh-CN"/>
        </w:rPr>
      </w:pPr>
      <w:r>
        <w:rPr>
          <w:rFonts w:hint="eastAsia" w:ascii="楷体" w:hAnsi="楷体" w:eastAsia="楷体" w:cs="楷体_GB2312"/>
          <w:b/>
          <w:bCs/>
          <w:kern w:val="0"/>
          <w:sz w:val="32"/>
          <w:szCs w:val="32"/>
          <w:shd w:val="clear" w:color="auto" w:fill="FFFFFF"/>
          <w:lang w:val="zh-CN"/>
        </w:rPr>
        <w:t>（三）改进建议。</w:t>
      </w:r>
    </w:p>
    <w:p>
      <w:pPr>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一是按照预算规定的项目和用途严格财务审核，经费支出严格按预算规定项目的财务支出内容进行财务核算，在预算金额内严格控制费用的支出。</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二是预算财务分析常态化，定期做好预算支出财务分析，做好部门整体支出预算评价工作。</w:t>
      </w:r>
    </w:p>
    <w:p>
      <w:pPr>
        <w:widowControl/>
        <w:adjustRightInd w:val="0"/>
        <w:snapToGrid w:val="0"/>
        <w:spacing w:line="576"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三是均衡预算执行进度，将绩效考核与内部控制相结合，进一步细化内部绩效考核评价机制，按季度对预算执行情况进行监控，提高预算执行率。</w:t>
      </w: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部门整体支出绩效自评表（2022年度）</w:t>
      </w: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rPr>
          <w:rFonts w:hAnsi="宋体" w:cs="宋体"/>
          <w:sz w:val="32"/>
          <w:szCs w:val="32"/>
          <w:shd w:val="clear" w:color="auto" w:fill="FFFFFF"/>
          <w:lang w:val="zh-CN"/>
        </w:rPr>
        <w:sectPr>
          <w:pgSz w:w="11906" w:h="16838"/>
          <w:pgMar w:top="1440" w:right="1800" w:bottom="1440" w:left="1800" w:header="851" w:footer="992" w:gutter="0"/>
          <w:pgNumType w:start="1"/>
          <w:cols w:space="425" w:num="1"/>
          <w:titlePg/>
          <w:docGrid w:type="lines" w:linePitch="312" w:charSpace="0"/>
        </w:sectPr>
      </w:pPr>
    </w:p>
    <w:tbl>
      <w:tblPr>
        <w:tblStyle w:val="15"/>
        <w:tblW w:w="0" w:type="auto"/>
        <w:tblInd w:w="94" w:type="dxa"/>
        <w:tblLayout w:type="autofit"/>
        <w:tblCellMar>
          <w:top w:w="0" w:type="dxa"/>
          <w:left w:w="108" w:type="dxa"/>
          <w:bottom w:w="0" w:type="dxa"/>
          <w:right w:w="108" w:type="dxa"/>
        </w:tblCellMar>
      </w:tblPr>
      <w:tblGrid>
        <w:gridCol w:w="975"/>
        <w:gridCol w:w="1457"/>
        <w:gridCol w:w="1533"/>
        <w:gridCol w:w="2457"/>
        <w:gridCol w:w="1341"/>
        <w:gridCol w:w="2319"/>
        <w:gridCol w:w="1016"/>
        <w:gridCol w:w="1134"/>
        <w:gridCol w:w="1848"/>
      </w:tblGrid>
      <w:tr>
        <w:tblPrEx>
          <w:tblCellMar>
            <w:top w:w="0" w:type="dxa"/>
            <w:left w:w="108" w:type="dxa"/>
            <w:bottom w:w="0" w:type="dxa"/>
            <w:right w:w="108" w:type="dxa"/>
          </w:tblCellMar>
        </w:tblPrEx>
        <w:trPr>
          <w:trHeight w:val="739" w:hRule="atLeast"/>
        </w:trPr>
        <w:tc>
          <w:tcPr>
            <w:tcW w:w="0" w:type="auto"/>
            <w:gridSpan w:val="9"/>
            <w:tcBorders>
              <w:top w:val="nil"/>
              <w:left w:val="nil"/>
              <w:bottom w:val="nil"/>
              <w:right w:val="nil"/>
            </w:tcBorders>
            <w:shd w:val="clear" w:color="auto" w:fill="auto"/>
            <w:vAlign w:val="center"/>
          </w:tcPr>
          <w:p>
            <w:pPr>
              <w:widowControl/>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部门整体支出绩效目标自评表（2022年度）</w:t>
            </w:r>
          </w:p>
        </w:tc>
      </w:tr>
      <w:tr>
        <w:tblPrEx>
          <w:tblCellMar>
            <w:top w:w="0" w:type="dxa"/>
            <w:left w:w="108" w:type="dxa"/>
            <w:bottom w:w="0" w:type="dxa"/>
            <w:right w:w="108" w:type="dxa"/>
          </w:tblCellMar>
        </w:tblPrEx>
        <w:trPr>
          <w:trHeight w:val="462" w:hRule="atLeast"/>
        </w:trPr>
        <w:tc>
          <w:tcPr>
            <w:tcW w:w="0" w:type="auto"/>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部门名称</w:t>
            </w:r>
          </w:p>
        </w:tc>
        <w:tc>
          <w:tcPr>
            <w:tcW w:w="0" w:type="auto"/>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广元市利州区人民检察院</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主要</w:t>
            </w:r>
            <w:r>
              <w:rPr>
                <w:rFonts w:hint="eastAsia" w:ascii="宋体" w:hAnsi="宋体" w:cs="宋体"/>
                <w:kern w:val="0"/>
                <w:sz w:val="20"/>
                <w:szCs w:val="20"/>
              </w:rPr>
              <w:br w:type="textWrapping"/>
            </w:r>
            <w:r>
              <w:rPr>
                <w:rFonts w:hint="eastAsia" w:ascii="宋体" w:hAnsi="宋体" w:cs="宋体"/>
                <w:kern w:val="0"/>
                <w:sz w:val="20"/>
                <w:szCs w:val="20"/>
              </w:rPr>
              <w:t>任务</w:t>
            </w:r>
          </w:p>
        </w:tc>
        <w:tc>
          <w:tcPr>
            <w:tcW w:w="0" w:type="auto"/>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任务名称</w:t>
            </w: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主要内容</w:t>
            </w:r>
          </w:p>
        </w:tc>
        <w:tc>
          <w:tcPr>
            <w:tcW w:w="0" w:type="auto"/>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预算金额（万元）</w:t>
            </w:r>
          </w:p>
        </w:tc>
        <w:tc>
          <w:tcPr>
            <w:tcW w:w="0" w:type="auto"/>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实际执行（万元）</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总额</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其他资金</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总额</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财政拨款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其他资金</w:t>
            </w:r>
          </w:p>
        </w:tc>
      </w:tr>
      <w:tr>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检察院基本支出</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人员及公用经费基本支出</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1017.26</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1017.26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1001.49</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1001.49</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检察业务及辅助</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依法办理各类案件</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94.6</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94.6</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94.6</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公诉审判与监督</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依法办理各类案件</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100</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3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公益诉讼检察 </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依法办理民事、行政、公益诉讼类案件</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100</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机关运行保障</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保障机关运行</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92.9</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92.9</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87.53</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87.53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3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司法警察及检察人员加班补助</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司法警察及检察人员加班津贴</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20.1</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20.1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2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员额检察官加班补助</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检察官加班津贴</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9.27</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9.27</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9.27</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9.27</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中央政法纪检监察转移支付资金</w:t>
            </w:r>
          </w:p>
        </w:tc>
        <w:tc>
          <w:tcPr>
            <w:tcW w:w="0" w:type="auto"/>
            <w:tcBorders>
              <w:top w:val="nil"/>
              <w:left w:val="nil"/>
              <w:bottom w:val="single" w:color="auto" w:sz="4" w:space="0"/>
              <w:right w:val="nil"/>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 xml:space="preserve">完成省市区三级院统筹规划的装备计划 </w:t>
            </w:r>
          </w:p>
        </w:tc>
        <w:tc>
          <w:tcPr>
            <w:tcW w:w="0" w:type="auto"/>
            <w:tcBorders>
              <w:top w:val="nil"/>
              <w:left w:val="single" w:color="auto" w:sz="4" w:space="0"/>
              <w:bottom w:val="single" w:color="auto" w:sz="4" w:space="0"/>
              <w:right w:val="nil"/>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214</w:t>
            </w:r>
          </w:p>
        </w:tc>
        <w:tc>
          <w:tcPr>
            <w:tcW w:w="0" w:type="auto"/>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214</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81.62</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81.62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gridSpan w:val="2"/>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金额合计</w:t>
            </w:r>
          </w:p>
        </w:tc>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1648.13</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1648.13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1494.61</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1494.61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85" w:hRule="atLeast"/>
        </w:trPr>
        <w:tc>
          <w:tcPr>
            <w:tcW w:w="0" w:type="auto"/>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年度</w:t>
            </w:r>
            <w:r>
              <w:rPr>
                <w:rFonts w:hint="eastAsia" w:ascii="宋体" w:hAnsi="宋体" w:cs="宋体"/>
                <w:kern w:val="0"/>
                <w:sz w:val="20"/>
                <w:szCs w:val="20"/>
              </w:rPr>
              <w:br w:type="textWrapping"/>
            </w:r>
            <w:r>
              <w:rPr>
                <w:rFonts w:hint="eastAsia" w:ascii="宋体" w:hAnsi="宋体" w:cs="宋体"/>
                <w:kern w:val="0"/>
                <w:sz w:val="20"/>
                <w:szCs w:val="20"/>
              </w:rPr>
              <w:t>总体</w:t>
            </w:r>
            <w:r>
              <w:rPr>
                <w:rFonts w:hint="eastAsia" w:ascii="宋体" w:hAnsi="宋体" w:cs="宋体"/>
                <w:kern w:val="0"/>
                <w:sz w:val="20"/>
                <w:szCs w:val="20"/>
              </w:rPr>
              <w:br w:type="textWrapping"/>
            </w:r>
            <w:r>
              <w:rPr>
                <w:rFonts w:hint="eastAsia" w:ascii="宋体" w:hAnsi="宋体" w:cs="宋体"/>
                <w:kern w:val="0"/>
                <w:sz w:val="20"/>
                <w:szCs w:val="20"/>
              </w:rPr>
              <w:t>目标</w:t>
            </w:r>
          </w:p>
        </w:tc>
        <w:tc>
          <w:tcPr>
            <w:tcW w:w="0" w:type="auto"/>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预期目标</w:t>
            </w:r>
          </w:p>
        </w:tc>
        <w:tc>
          <w:tcPr>
            <w:tcW w:w="0" w:type="auto"/>
            <w:gridSpan w:val="5"/>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实际完成目标</w:t>
            </w:r>
          </w:p>
        </w:tc>
      </w:tr>
      <w:tr>
        <w:tblPrEx>
          <w:tblCellMar>
            <w:top w:w="0" w:type="dxa"/>
            <w:left w:w="108" w:type="dxa"/>
            <w:bottom w:w="0" w:type="dxa"/>
            <w:right w:w="108" w:type="dxa"/>
          </w:tblCellMar>
        </w:tblPrEx>
        <w:trPr>
          <w:trHeight w:val="2070" w:hRule="atLeast"/>
        </w:trPr>
        <w:tc>
          <w:tcPr>
            <w:tcW w:w="0" w:type="auto"/>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 w:val="20"/>
                <w:szCs w:val="20"/>
              </w:rPr>
            </w:pPr>
          </w:p>
        </w:tc>
        <w:tc>
          <w:tcPr>
            <w:tcW w:w="0" w:type="auto"/>
            <w:gridSpan w:val="3"/>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18"/>
                <w:szCs w:val="18"/>
              </w:rPr>
            </w:pPr>
            <w:r>
              <w:rPr>
                <w:rFonts w:hint="eastAsia" w:ascii="宋体" w:hAnsi="宋体" w:cs="宋体"/>
                <w:kern w:val="0"/>
                <w:sz w:val="18"/>
                <w:szCs w:val="18"/>
              </w:rPr>
              <w:t>制发文件4000份。                                                                       印制宣传资料30000份。                                                                保障机关正常运转。                                                                      按要求开展党建活动                                                                                          完善基层党组织建设                                                                                          正常开展举报线索核查                                                                             及时更新“两微一端”，争取媒体采用量，同时完成检察日报征订。                                                                                       规模性组织干警培训，争取参训率达100%。                                                                                         扎实开展基层院建设，争取“三培育三引领”活动中优秀团队被成功验收。                                                                         保障刑事检察、公益诉讼、未成年人检察等检察业务的有序开展。                                                                                          召开听证会议1次、组织观摩庭。                                                             开展未成年人法治教育10次以上。                                           数字化档案建设。</w:t>
            </w:r>
          </w:p>
        </w:tc>
        <w:tc>
          <w:tcPr>
            <w:tcW w:w="0" w:type="auto"/>
            <w:gridSpan w:val="5"/>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0"/>
                <w:szCs w:val="20"/>
              </w:rPr>
            </w:pPr>
            <w:r>
              <w:rPr>
                <w:rFonts w:hint="eastAsia" w:ascii="宋体" w:hAnsi="宋体" w:cs="宋体"/>
                <w:kern w:val="0"/>
                <w:sz w:val="20"/>
                <w:szCs w:val="20"/>
              </w:rPr>
              <w:t xml:space="preserve">制发文件4000份。                                                                                                                                                                                          印制宣传资料30000份。                                                                                                                                                                                    开展党建活动12次。                                                                                                                                                                                                举报线索核查 2次                                                                                                                                                                                            及时更新“两微一端”，完成媒体采用量目标任务，完成检察日报征订。                                                                                     组织干警培训100人次。                                                                                                                                                                            扎实开展基层院建设，“三培育三引领”活动中优秀团队被成功验收。                                                                                               刑事检察、公益诉讼、未成年人检察等检察业务的有序开展。                                                                                                                    召开听证会议1次、组织观摩庭。                                                                                                                                                                 开展未成年人法治教育10次以上。                                           </w:t>
            </w:r>
          </w:p>
        </w:tc>
      </w:tr>
      <w:tr>
        <w:tblPrEx>
          <w:tblCellMar>
            <w:top w:w="0" w:type="dxa"/>
            <w:left w:w="108" w:type="dxa"/>
            <w:bottom w:w="0" w:type="dxa"/>
            <w:right w:w="108" w:type="dxa"/>
          </w:tblCellMar>
        </w:tblPrEx>
        <w:trPr>
          <w:trHeight w:val="885" w:hRule="atLeast"/>
        </w:trPr>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年</w:t>
            </w:r>
            <w:r>
              <w:rPr>
                <w:rFonts w:hint="eastAsia" w:ascii="宋体" w:hAnsi="宋体" w:cs="宋体"/>
                <w:kern w:val="0"/>
                <w:sz w:val="20"/>
                <w:szCs w:val="20"/>
              </w:rPr>
              <w:br w:type="textWrapping"/>
            </w:r>
            <w:r>
              <w:rPr>
                <w:rFonts w:hint="eastAsia" w:ascii="宋体" w:hAnsi="宋体" w:cs="宋体"/>
                <w:kern w:val="0"/>
                <w:sz w:val="20"/>
                <w:szCs w:val="20"/>
              </w:rPr>
              <w:t>度</w:t>
            </w:r>
            <w:r>
              <w:rPr>
                <w:rFonts w:hint="eastAsia" w:ascii="宋体" w:hAnsi="宋体" w:cs="宋体"/>
                <w:kern w:val="0"/>
                <w:sz w:val="20"/>
                <w:szCs w:val="20"/>
              </w:rPr>
              <w:br w:type="textWrapping"/>
            </w:r>
            <w:r>
              <w:rPr>
                <w:rFonts w:hint="eastAsia" w:ascii="宋体" w:hAnsi="宋体" w:cs="宋体"/>
                <w:kern w:val="0"/>
                <w:sz w:val="20"/>
                <w:szCs w:val="20"/>
              </w:rPr>
              <w:t>绩</w:t>
            </w:r>
            <w:r>
              <w:rPr>
                <w:rFonts w:hint="eastAsia" w:ascii="宋体" w:hAnsi="宋体" w:cs="宋体"/>
                <w:kern w:val="0"/>
                <w:sz w:val="20"/>
                <w:szCs w:val="20"/>
              </w:rPr>
              <w:br w:type="textWrapping"/>
            </w:r>
            <w:r>
              <w:rPr>
                <w:rFonts w:hint="eastAsia" w:ascii="宋体" w:hAnsi="宋体" w:cs="宋体"/>
                <w:kern w:val="0"/>
                <w:sz w:val="20"/>
                <w:szCs w:val="20"/>
              </w:rPr>
              <w:t>效</w:t>
            </w:r>
            <w:r>
              <w:rPr>
                <w:rFonts w:hint="eastAsia" w:ascii="宋体" w:hAnsi="宋体" w:cs="宋体"/>
                <w:kern w:val="0"/>
                <w:sz w:val="20"/>
                <w:szCs w:val="20"/>
              </w:rPr>
              <w:br w:type="textWrapping"/>
            </w:r>
            <w:r>
              <w:rPr>
                <w:rFonts w:hint="eastAsia" w:ascii="宋体" w:hAnsi="宋体" w:cs="宋体"/>
                <w:kern w:val="0"/>
                <w:sz w:val="20"/>
                <w:szCs w:val="20"/>
              </w:rPr>
              <w:t>指</w:t>
            </w:r>
            <w:r>
              <w:rPr>
                <w:rFonts w:hint="eastAsia" w:ascii="宋体" w:hAnsi="宋体" w:cs="宋体"/>
                <w:kern w:val="0"/>
                <w:sz w:val="20"/>
                <w:szCs w:val="20"/>
              </w:rPr>
              <w:br w:type="textWrapping"/>
            </w:r>
            <w:r>
              <w:rPr>
                <w:rFonts w:hint="eastAsia" w:ascii="宋体" w:hAnsi="宋体" w:cs="宋体"/>
                <w:kern w:val="0"/>
                <w:sz w:val="20"/>
                <w:szCs w:val="20"/>
              </w:rPr>
              <w:t>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二级指标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三级指标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指标值（包含数字及文字描述）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实际完成指标值（包含数字及文字描述）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部门自评得分</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财政部门科室复评得分</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xml:space="preserve"> 未完成原因及改进措施</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产出指标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指标1：征订检察日报</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≥55份</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55份</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指标2：开展干警培训次数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≥100次</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100人次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指标3：班子成员讲党课次数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≥2次/人</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2次/人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指标4：举报线索核查数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≥1条</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指标5：制发文件数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≥4000份</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4000份</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指标6：印制宣传资料数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≥30000份</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30000份</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指标7：受理公诉案件数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≥600人</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1010人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指标8：受理审查逮捕案件数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≥180人</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218人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指标9：召开听证会议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≥1次</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指标10：观摩庭参与人数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≥100人</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指标11：开展未成年人法治教育次数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≥10次</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9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指标12：数字化档案建设</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1套</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0套</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项目仍在建设中，项目款按进度支付。</w:t>
            </w:r>
          </w:p>
        </w:tc>
      </w:tr>
      <w:tr>
        <w:tblPrEx>
          <w:tblCellMar>
            <w:top w:w="0" w:type="dxa"/>
            <w:left w:w="108" w:type="dxa"/>
            <w:bottom w:w="0" w:type="dxa"/>
            <w:right w:w="108" w:type="dxa"/>
          </w:tblCellMar>
        </w:tblPrEx>
        <w:trPr>
          <w:trHeight w:val="45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质量指标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指标1：培训覆盖率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≥100%（参训人数/总人数）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指标2：“三培育三引领”验收是否通过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通过</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通过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指标3：接受党建督查是否达标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达标</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达标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指标4：文件印制错误率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指标5：捕后不诉、诉后无罪案件数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≤0件</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0件</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指标6：法治教育覆盖学校数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≥5所</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5所</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指标7：法治教育覆盖未成年人数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≥1万人</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1.1万人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4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指标8：装备建设质量达标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装备建设质量达标</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数字化档案建设完成80%左右，还未进入验收程序</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3</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项目仍在建设中，我院将加强对项目进度的督促，在提高工程质量的前提下，加快资金拨付进度。</w:t>
            </w:r>
          </w:p>
        </w:tc>
      </w:tr>
      <w:tr>
        <w:tblPrEx>
          <w:tblCellMar>
            <w:top w:w="0" w:type="dxa"/>
            <w:left w:w="108" w:type="dxa"/>
            <w:bottom w:w="0" w:type="dxa"/>
            <w:right w:w="108" w:type="dxa"/>
          </w:tblCellMar>
        </w:tblPrEx>
        <w:trPr>
          <w:trHeight w:val="14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时效指标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指标1：按时间进度完成项目</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按时间进度完成项目</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完成80%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项目仍在建设中，我院将加强对项目进度的督促，在提高工程质量的前提下，加快资金拨付进度。</w:t>
            </w:r>
          </w:p>
        </w:tc>
      </w:tr>
      <w:tr>
        <w:tblPrEx>
          <w:tblCellMar>
            <w:top w:w="0" w:type="dxa"/>
            <w:left w:w="108" w:type="dxa"/>
            <w:bottom w:w="0" w:type="dxa"/>
            <w:right w:w="108" w:type="dxa"/>
          </w:tblCellMar>
        </w:tblPrEx>
        <w:trPr>
          <w:trHeight w:val="58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指标2：按规定时间结案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按规定时间结案</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无超期案件，均按规定时间结案</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指标3：人员经费支付及时性</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当月按时支付</w:t>
            </w:r>
          </w:p>
        </w:tc>
        <w:tc>
          <w:tcPr>
            <w:tcW w:w="0" w:type="auto"/>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每月按时支付</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成本指标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xml:space="preserve"> 指标1：人员及公用经费基本支出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≤1017.26万元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1017.26万元</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1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指标2：办案经费、人员加班补助及机关运行经费</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≤416.87万元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411.5万元</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检察官检察绩效按考核结果发放，考核结果出来后，该部分资金发放完毕。</w:t>
            </w:r>
          </w:p>
        </w:tc>
      </w:tr>
      <w:tr>
        <w:tblPrEx>
          <w:tblCellMar>
            <w:top w:w="0" w:type="dxa"/>
            <w:left w:w="108" w:type="dxa"/>
            <w:bottom w:w="0" w:type="dxa"/>
            <w:right w:w="108" w:type="dxa"/>
          </w:tblCellMar>
        </w:tblPrEx>
        <w:trPr>
          <w:trHeight w:val="136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指标3：中央政法纪检监察转移支付资金</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≤214万元</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81.62万元</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项目仍在建设中，我院将加强对项目进度的督促，在提高工程质量的前提下，加快资金拨付进度。</w:t>
            </w:r>
          </w:p>
        </w:tc>
      </w:tr>
      <w:tr>
        <w:tblPrEx>
          <w:tblCellMar>
            <w:top w:w="0" w:type="dxa"/>
            <w:left w:w="108" w:type="dxa"/>
            <w:bottom w:w="0" w:type="dxa"/>
            <w:right w:w="108" w:type="dxa"/>
          </w:tblCellMar>
        </w:tblPrEx>
        <w:trPr>
          <w:trHeight w:val="4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效益指标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经济效益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指标1：技术装备闲置率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≤0%（闲置装备数/总装备数）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指标2：车辆闲置率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≤0%（闲置车辆数/总车辆数）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02"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社会效益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指标1：观摩庭参与人数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≥100人</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120人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60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指标2：新媒体账号关注数增加数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≥100人</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108人</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指标3：未成年人犯罪率是否上升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否</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未成年人犯罪率未上升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生态效益</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指标1：节能减排工作是否达标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达标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达标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指标2：履行公益保护使命</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履行公益保护使命</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全年立案57件，诉前55件，提起公益诉讼7件</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4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指标3：办案结果不枉不纵</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办案结果不枉不纵</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聚焦检察主业，法律监督质效进一步提升。</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559"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可持续影响</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指标1：维护社会公共利益</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维护社会公共利益</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公开听证释法说理，促进社会治理现代化。</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138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指标2：保障诉讼进程顺利进行</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保障诉讼进程顺利进行</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扛牢服务大局的检察责任，护航区域经济高质量发展，围绕监督主责主任，严守公平正义防线，确保监管不缺位。</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w:t>
            </w:r>
            <w:r>
              <w:rPr>
                <w:rFonts w:hint="eastAsia" w:ascii="宋体" w:hAnsi="宋体" w:cs="宋体"/>
                <w:kern w:val="0"/>
                <w:sz w:val="20"/>
                <w:szCs w:val="20"/>
              </w:rPr>
              <w:br w:type="textWrapping"/>
            </w:r>
            <w:r>
              <w:rPr>
                <w:rFonts w:hint="eastAsia" w:ascii="宋体" w:hAnsi="宋体" w:cs="宋体"/>
                <w:kern w:val="0"/>
                <w:sz w:val="20"/>
                <w:szCs w:val="20"/>
              </w:rPr>
              <w:t>指标</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满意度指标</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指标1：社会满意度</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指标2：本院干警满意度</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2</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48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部门（单位）自评结论</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绩效目标编制综合考虑了人员经费、公用经费和项目经费，比例配置符合财经纪律要求，可以满足经费支出的需要。财政供养人员控制在预算编制以内，实际在职人员数与编制数相同；“三公”经费支出与预算持平。结合检察职能，编制了合理的绩效目标，自评得分97.1分（预算执行得分9分，年度绩效指标部门自评得分88.1分）。</w:t>
            </w:r>
          </w:p>
        </w:tc>
      </w:tr>
      <w:tr>
        <w:tblPrEx>
          <w:tblCellMar>
            <w:top w:w="0" w:type="dxa"/>
            <w:left w:w="108" w:type="dxa"/>
            <w:bottom w:w="0" w:type="dxa"/>
            <w:right w:w="108" w:type="dxa"/>
          </w:tblCellMar>
        </w:tblPrEx>
        <w:trPr>
          <w:trHeight w:val="48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部门（单位）自评存在问题</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预算编制与实际支出项目有的存在差异，预算执行进度不均衡。由于中央政法纪检监察转移支付资金项目下半年下达，设计的项目因办理招投标、政府采购等手续，所花时间较长，未在当年实现资金全部支出，对项目执行率有一定的影响。</w:t>
            </w:r>
          </w:p>
        </w:tc>
      </w:tr>
      <w:tr>
        <w:tblPrEx>
          <w:tblCellMar>
            <w:top w:w="0" w:type="dxa"/>
            <w:left w:w="108" w:type="dxa"/>
            <w:bottom w:w="0" w:type="dxa"/>
            <w:right w:w="108" w:type="dxa"/>
          </w:tblCellMar>
        </w:tblPrEx>
        <w:trPr>
          <w:trHeight w:val="84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部门（单位）自评改进措施</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一是按照预算规定的项目和用途严格财务审核，经费支出严格按预算规定项目的财务支出内容进行财务核算，在预算金额内严格控制费用的支出。二是预算财务分析常态化，定期做好预算支出财务分析，做好部门整体支出预算评价工作。三是均衡预算执行进度，将绩效考核与内部控制相结合，进一步细化内部绩效考核评价机制，按季度对预算执行情况进行监控，提高预算执行率。</w:t>
            </w:r>
          </w:p>
        </w:tc>
      </w:tr>
      <w:tr>
        <w:tblPrEx>
          <w:tblCellMar>
            <w:top w:w="0" w:type="dxa"/>
            <w:left w:w="108" w:type="dxa"/>
            <w:bottom w:w="0" w:type="dxa"/>
            <w:right w:w="108" w:type="dxa"/>
          </w:tblCellMar>
        </w:tblPrEx>
        <w:trPr>
          <w:trHeight w:val="720"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财政部门对口科室复评结论及整改要求</w:t>
            </w:r>
          </w:p>
        </w:tc>
        <w:tc>
          <w:tcPr>
            <w:tcW w:w="0" w:type="auto"/>
            <w:gridSpan w:val="8"/>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7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单位项目负责人：</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单位财务负责人：</w:t>
            </w:r>
          </w:p>
        </w:tc>
      </w:tr>
      <w:tr>
        <w:tblPrEx>
          <w:tblCellMar>
            <w:top w:w="0" w:type="dxa"/>
            <w:left w:w="108" w:type="dxa"/>
            <w:bottom w:w="0" w:type="dxa"/>
            <w:right w:w="108" w:type="dxa"/>
          </w:tblCellMar>
        </w:tblPrEx>
        <w:trPr>
          <w:trHeight w:val="270" w:hRule="atLeast"/>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部门项目负责人：</w:t>
            </w:r>
          </w:p>
        </w:tc>
        <w:tc>
          <w:tcPr>
            <w:tcW w:w="0" w:type="auto"/>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部门财务负责人：</w:t>
            </w:r>
          </w:p>
        </w:tc>
      </w:tr>
      <w:tr>
        <w:tblPrEx>
          <w:tblCellMar>
            <w:top w:w="0" w:type="dxa"/>
            <w:left w:w="108" w:type="dxa"/>
            <w:bottom w:w="0" w:type="dxa"/>
            <w:right w:w="108" w:type="dxa"/>
          </w:tblCellMar>
        </w:tblPrEx>
        <w:trPr>
          <w:trHeight w:val="270"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财政部门科室负责人：</w:t>
            </w:r>
          </w:p>
        </w:tc>
        <w:tc>
          <w:tcPr>
            <w:tcW w:w="0" w:type="auto"/>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bl>
    <w:p>
      <w:pPr>
        <w:rPr>
          <w:rFonts w:hAnsi="宋体" w:cs="宋体"/>
          <w:sz w:val="32"/>
          <w:szCs w:val="32"/>
          <w:shd w:val="clear" w:color="auto" w:fill="FFFFFF"/>
          <w:lang w:val="zh-CN"/>
        </w:rPr>
      </w:pP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rFonts w:hAnsi="宋体" w:cs="宋体"/>
          <w:sz w:val="32"/>
          <w:szCs w:val="32"/>
          <w:shd w:val="clear" w:color="auto" w:fill="FFFFFF"/>
          <w:lang w:val="zh-CN"/>
        </w:rPr>
        <w:sectPr>
          <w:pgSz w:w="16838" w:h="11906" w:orient="landscape"/>
          <w:pgMar w:top="1800" w:right="1440" w:bottom="1800" w:left="1440" w:header="851" w:footer="992" w:gutter="0"/>
          <w:cols w:space="425" w:num="1"/>
          <w:titlePg/>
          <w:docGrid w:type="lines" w:linePitch="312" w:charSpace="0"/>
        </w:sectPr>
      </w:pPr>
    </w:p>
    <w:p>
      <w:pPr>
        <w:pStyle w:val="2"/>
        <w:spacing w:before="93"/>
        <w:outlineLvl w:val="1"/>
        <w:rPr>
          <w:sz w:val="32"/>
          <w:szCs w:val="32"/>
        </w:rPr>
      </w:pPr>
      <w:bookmarkStart w:id="82" w:name="_Toc15435"/>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bookmarkEnd w:id="82"/>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2022年广元市利州区人民检察院</w:t>
      </w:r>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公诉与审判监督项目支出绩效自评报告</w:t>
      </w:r>
    </w:p>
    <w:p>
      <w:pPr>
        <w:pStyle w:val="34"/>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720"/>
        <w:outlineLvl w:val="1"/>
        <w:rPr>
          <w:rFonts w:ascii="黑体" w:hAnsi="宋体" w:eastAsia="黑体"/>
          <w:sz w:val="32"/>
          <w:szCs w:val="32"/>
          <w:lang w:val="zh-CN"/>
        </w:rPr>
      </w:pPr>
      <w:bookmarkStart w:id="83" w:name="_Toc15728"/>
      <w:r>
        <w:rPr>
          <w:rFonts w:hint="eastAsia" w:ascii="黑体" w:hAnsi="宋体" w:eastAsia="黑体"/>
          <w:sz w:val="32"/>
          <w:szCs w:val="32"/>
        </w:rPr>
        <w:t>一、</w:t>
      </w:r>
      <w:r>
        <w:rPr>
          <w:rFonts w:hint="eastAsia" w:ascii="黑体" w:hAnsi="宋体" w:eastAsia="黑体"/>
          <w:sz w:val="32"/>
          <w:szCs w:val="32"/>
          <w:lang w:val="zh-CN"/>
        </w:rPr>
        <w:t>项目概况</w:t>
      </w:r>
      <w:bookmarkEnd w:id="83"/>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1．在该项目管理中的职能：利州区检察院按照职能，依法提起公诉和进行审判监督。</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立项、资金申报的依据：为了更好地行使公诉权、加强法律监督，依据《中华人民共和国民事诉讼法》《中华人民共和国行政诉讼法》等有关规定，我院设立了公诉与审判监督项目，该项目为常年性、持续性项目。</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3．资金管理办法制定情况，资金支持具体项目的条件、范围与支持方式概况：截止</w:t>
      </w:r>
      <w:r>
        <w:rPr>
          <w:rFonts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lang w:val="zh-CN"/>
        </w:rPr>
        <w:t>2</w:t>
      </w:r>
      <w:r>
        <w:rPr>
          <w:rFonts w:ascii="仿宋_GB2312" w:hAnsi="仿宋_GB2312" w:eastAsia="仿宋_GB2312" w:cs="仿宋_GB2312"/>
          <w:kern w:val="0"/>
          <w:sz w:val="32"/>
          <w:szCs w:val="32"/>
          <w:shd w:val="clear" w:color="auto" w:fill="FFFFFF"/>
          <w:lang w:val="zh-CN"/>
        </w:rPr>
        <w:t>年12月31日</w:t>
      </w:r>
      <w:r>
        <w:rPr>
          <w:rFonts w:hint="eastAsia" w:ascii="仿宋_GB2312" w:hAnsi="仿宋_GB2312" w:eastAsia="仿宋_GB2312" w:cs="仿宋_GB2312"/>
          <w:kern w:val="0"/>
          <w:sz w:val="32"/>
          <w:szCs w:val="32"/>
          <w:shd w:val="clear" w:color="auto" w:fill="FFFFFF"/>
          <w:lang w:val="zh-CN"/>
        </w:rPr>
        <w:t>，该项目资金实际支出100万元，采用财政集中支付，严格按照预算执行专款专用，科学计划资金使用进度，每笔支出力求规范、合理。</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4．资金分配的原则及考虑因素：该项目年初预算100万元，到位100万元，为地方财政拨款。资金到位率100%，该项目资金全部及时、足额到位。</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560" w:lineRule="exact"/>
        <w:ind w:firstLine="720"/>
        <w:rPr>
          <w:rFonts w:ascii="方正仿宋简体" w:hAnsi="宋体" w:eastAsia="方正仿宋简体"/>
          <w:lang w:val="zh-CN"/>
        </w:rPr>
      </w:pPr>
      <w:r>
        <w:rPr>
          <w:rFonts w:hint="eastAsia" w:ascii="仿宋_GB2312" w:hAnsi="仿宋_GB2312" w:eastAsia="仿宋_GB2312" w:cs="仿宋_GB2312"/>
          <w:kern w:val="0"/>
          <w:sz w:val="32"/>
          <w:szCs w:val="32"/>
          <w:shd w:val="clear" w:color="auto" w:fill="FFFFFF"/>
          <w:lang w:val="zh-CN"/>
        </w:rPr>
        <w:t>1．项目主要内容。依法定职权进行审查，决定向人民法院提起公诉、出庭支持公诉、对刑事判决进行审查，或依法决定不起诉的诉讼活动。</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受理审查起诉案件700件、积极开展检察业务，公诉案件审结率94%，实现办案零差错等。</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3．分析评价申报内容与实际相符，申报目标合理可行。</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spacing w:line="576" w:lineRule="exact"/>
        <w:ind w:firstLine="640" w:firstLineChars="200"/>
        <w:rPr>
          <w:rFonts w:ascii="仿宋" w:eastAsia="仿宋"/>
        </w:rPr>
      </w:pPr>
      <w:r>
        <w:rPr>
          <w:rFonts w:hint="eastAsia" w:ascii="仿宋" w:eastAsia="仿宋" w:cs="仿宋_GB2312"/>
          <w:sz w:val="32"/>
          <w:szCs w:val="32"/>
        </w:rPr>
        <w:t>1.前期准备：按照绩效自评工作要求，</w:t>
      </w:r>
      <w:r>
        <w:rPr>
          <w:rFonts w:ascii="仿宋" w:eastAsia="仿宋"/>
          <w:sz w:val="32"/>
          <w:szCs w:val="32"/>
        </w:rPr>
        <w:t>制订项目</w:t>
      </w:r>
      <w:r>
        <w:rPr>
          <w:rFonts w:hint="eastAsia" w:ascii="仿宋" w:eastAsia="仿宋"/>
          <w:sz w:val="32"/>
          <w:szCs w:val="32"/>
        </w:rPr>
        <w:t>设计</w:t>
      </w:r>
      <w:r>
        <w:rPr>
          <w:rFonts w:ascii="仿宋" w:eastAsia="仿宋"/>
          <w:sz w:val="32"/>
          <w:szCs w:val="32"/>
        </w:rPr>
        <w:t>方案，</w:t>
      </w:r>
      <w:r>
        <w:rPr>
          <w:rFonts w:hint="eastAsia" w:ascii="仿宋" w:eastAsia="仿宋" w:cs="仿宋_GB2312"/>
          <w:sz w:val="32"/>
          <w:szCs w:val="32"/>
        </w:rPr>
        <w:t>项目支出绩效评价实施方案，设计了绩效评价指标体系。</w:t>
      </w:r>
    </w:p>
    <w:p>
      <w:pPr>
        <w:spacing w:line="576" w:lineRule="exact"/>
        <w:ind w:firstLine="640" w:firstLineChars="200"/>
        <w:rPr>
          <w:rFonts w:ascii="仿宋_GB2312" w:cs="仿宋_GB2312"/>
          <w:lang w:val="zh-CN"/>
        </w:rPr>
      </w:pPr>
      <w:r>
        <w:rPr>
          <w:rFonts w:hint="eastAsia" w:ascii="仿宋" w:eastAsia="仿宋" w:cs="仿宋_GB2312"/>
          <w:sz w:val="32"/>
          <w:szCs w:val="32"/>
        </w:rPr>
        <w:t>2.组织实施：</w:t>
      </w:r>
      <w:r>
        <w:rPr>
          <w:rFonts w:hint="eastAsia" w:ascii="仿宋" w:eastAsia="仿宋"/>
          <w:sz w:val="32"/>
          <w:szCs w:val="32"/>
        </w:rPr>
        <w:t>编制资金预算，</w:t>
      </w:r>
      <w:r>
        <w:rPr>
          <w:rFonts w:ascii="仿宋" w:eastAsia="仿宋"/>
          <w:sz w:val="32"/>
          <w:szCs w:val="32"/>
        </w:rPr>
        <w:t>协调落实政府资金，负责项目资金管理</w:t>
      </w:r>
      <w:r>
        <w:rPr>
          <w:rFonts w:hint="eastAsia" w:ascii="仿宋" w:eastAsia="仿宋"/>
          <w:sz w:val="32"/>
          <w:szCs w:val="32"/>
        </w:rPr>
        <w:t>、</w:t>
      </w:r>
      <w:r>
        <w:rPr>
          <w:rFonts w:ascii="仿宋" w:eastAsia="仿宋"/>
          <w:sz w:val="32"/>
          <w:szCs w:val="32"/>
        </w:rPr>
        <w:t>支付</w:t>
      </w:r>
      <w:r>
        <w:rPr>
          <w:rFonts w:ascii="仿宋_GB2312" w:eastAsia="仿宋_GB2312" w:cs="仿宋_GB2312"/>
          <w:sz w:val="32"/>
          <w:szCs w:val="32"/>
          <w:lang w:val="zh-CN"/>
        </w:rPr>
        <w:t>。</w:t>
      </w:r>
    </w:p>
    <w:p>
      <w:pPr>
        <w:adjustRightInd w:val="0"/>
        <w:snapToGrid w:val="0"/>
        <w:spacing w:line="576" w:lineRule="exact"/>
        <w:ind w:firstLine="640" w:firstLineChars="200"/>
        <w:rPr>
          <w:rFonts w:ascii="仿宋" w:eastAsia="仿宋" w:cs="仿宋_GB2312"/>
        </w:rPr>
      </w:pPr>
      <w:r>
        <w:rPr>
          <w:rFonts w:hint="eastAsia" w:ascii="仿宋" w:eastAsia="仿宋" w:cs="仿宋_GB2312"/>
          <w:sz w:val="32"/>
          <w:szCs w:val="32"/>
        </w:rPr>
        <w:t>3.分析评价：在评价过程中收集资料进行归纳，汇总分析，依据智慧检察项目支出绩效评价指标体系进行了评分，形成了综合性书面报告。</w:t>
      </w:r>
    </w:p>
    <w:p>
      <w:pPr>
        <w:adjustRightInd w:val="0"/>
        <w:snapToGrid w:val="0"/>
        <w:spacing w:line="578" w:lineRule="exact"/>
        <w:ind w:firstLine="720"/>
        <w:outlineLvl w:val="1"/>
        <w:rPr>
          <w:rFonts w:ascii="黑体" w:hAnsi="宋体" w:eastAsia="黑体"/>
          <w:sz w:val="32"/>
          <w:szCs w:val="32"/>
        </w:rPr>
      </w:pPr>
      <w:bookmarkStart w:id="84" w:name="_Toc23698"/>
      <w:r>
        <w:rPr>
          <w:rFonts w:hint="eastAsia" w:ascii="黑体" w:hAnsi="宋体" w:eastAsia="黑体"/>
          <w:sz w:val="32"/>
          <w:szCs w:val="32"/>
        </w:rPr>
        <w:t>二、项目资金申报及使用情况</w:t>
      </w:r>
      <w:bookmarkEnd w:id="84"/>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578" w:lineRule="exact"/>
        <w:ind w:firstLine="640" w:firstLineChars="200"/>
        <w:contextualSpacing/>
        <w:rPr>
          <w:rFonts w:ascii="仿宋" w:eastAsia="仿宋" w:cs="仿宋_GB2312"/>
          <w:sz w:val="32"/>
          <w:szCs w:val="32"/>
        </w:rPr>
      </w:pPr>
      <w:r>
        <w:rPr>
          <w:rFonts w:hint="eastAsia" w:ascii="仿宋" w:eastAsia="仿宋" w:cs="仿宋_GB2312"/>
          <w:sz w:val="32"/>
          <w:szCs w:val="32"/>
        </w:rPr>
        <w:t>该项目年初预算100万元，到位100万元，为地方财政拨款。资金到位率100%，绩效目标设置上，我院从收集、上报、筛查、费用控制和可持续发展上明确了合理的目标任务，符合实际。</w:t>
      </w:r>
    </w:p>
    <w:p>
      <w:pPr>
        <w:adjustRightInd w:val="0"/>
        <w:snapToGrid w:val="0"/>
        <w:spacing w:line="578"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1．资金计划。</w:t>
      </w:r>
      <w:r>
        <w:rPr>
          <w:rFonts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lang w:val="zh-CN"/>
        </w:rPr>
        <w:t>资金年初预算资金100万元，并于批复后下达指标</w:t>
      </w:r>
      <w:r>
        <w:rPr>
          <w:rFonts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2022年项目实际到位资金100万元，资金到位率100%。</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2．资金到位。</w:t>
      </w:r>
      <w:r>
        <w:rPr>
          <w:rFonts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lang w:val="zh-CN"/>
        </w:rPr>
        <w:t>资金年初预算资金100万元，并于批复后下达指标</w:t>
      </w:r>
      <w:r>
        <w:rPr>
          <w:rFonts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2022年项目实际到位资金100万元，资金到位率100%。</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3．资金使用。截止</w:t>
      </w:r>
      <w:r>
        <w:rPr>
          <w:rFonts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lang w:val="zh-CN"/>
        </w:rPr>
        <w:t>2</w:t>
      </w:r>
      <w:r>
        <w:rPr>
          <w:rFonts w:ascii="仿宋_GB2312" w:hAnsi="仿宋_GB2312" w:eastAsia="仿宋_GB2312" w:cs="仿宋_GB2312"/>
          <w:kern w:val="0"/>
          <w:sz w:val="32"/>
          <w:szCs w:val="32"/>
          <w:shd w:val="clear" w:color="auto" w:fill="FFFFFF"/>
          <w:lang w:val="zh-CN"/>
        </w:rPr>
        <w:t>年12月31日</w:t>
      </w:r>
      <w:r>
        <w:rPr>
          <w:rFonts w:hint="eastAsia" w:ascii="仿宋_GB2312" w:hAnsi="仿宋_GB2312" w:eastAsia="仿宋_GB2312" w:cs="仿宋_GB2312"/>
          <w:kern w:val="0"/>
          <w:sz w:val="32"/>
          <w:szCs w:val="32"/>
          <w:shd w:val="clear" w:color="auto" w:fill="FFFFFF"/>
          <w:lang w:val="zh-CN"/>
        </w:rPr>
        <w:t>，</w:t>
      </w:r>
      <w:r>
        <w:rPr>
          <w:rFonts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lang w:val="zh-CN"/>
        </w:rPr>
        <w:t>资金</w:t>
      </w:r>
      <w:r>
        <w:rPr>
          <w:rFonts w:ascii="仿宋_GB2312" w:hAnsi="仿宋_GB2312" w:eastAsia="仿宋_GB2312" w:cs="仿宋_GB2312"/>
          <w:kern w:val="0"/>
          <w:sz w:val="32"/>
          <w:szCs w:val="32"/>
          <w:shd w:val="clear" w:color="auto" w:fill="FFFFFF"/>
          <w:lang w:val="zh-CN"/>
        </w:rPr>
        <w:t>使用</w:t>
      </w:r>
      <w:r>
        <w:rPr>
          <w:rFonts w:hint="eastAsia" w:ascii="仿宋_GB2312" w:hAnsi="仿宋_GB2312" w:eastAsia="仿宋_GB2312" w:cs="仿宋_GB2312"/>
          <w:kern w:val="0"/>
          <w:sz w:val="32"/>
          <w:szCs w:val="32"/>
          <w:shd w:val="clear" w:color="auto" w:fill="FFFFFF"/>
          <w:lang w:val="zh-CN"/>
        </w:rPr>
        <w:t>100万元</w:t>
      </w:r>
      <w:r>
        <w:rPr>
          <w:rFonts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完成率100</w:t>
      </w:r>
      <w:r>
        <w:rPr>
          <w:rFonts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我院财务管理制度健全，并严格执行财务管理制度，账务处理及时准确，会计核算规范</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outlineLvl w:val="1"/>
        <w:rPr>
          <w:rFonts w:ascii="黑体" w:hAnsi="宋体" w:eastAsia="黑体"/>
          <w:sz w:val="32"/>
          <w:szCs w:val="32"/>
        </w:rPr>
      </w:pPr>
      <w:bookmarkStart w:id="85" w:name="_Toc3690"/>
      <w:r>
        <w:rPr>
          <w:rFonts w:hint="eastAsia" w:ascii="黑体" w:hAnsi="宋体" w:eastAsia="黑体"/>
          <w:sz w:val="32"/>
          <w:szCs w:val="32"/>
        </w:rPr>
        <w:t>三、项目实施及管理情况</w:t>
      </w:r>
      <w:bookmarkEnd w:id="85"/>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6" w:lineRule="exact"/>
        <w:ind w:firstLine="643" w:firstLineChars="200"/>
        <w:rPr>
          <w:rFonts w:ascii="楷体_GB2312" w:eastAsia="楷体_GB2312"/>
          <w:lang w:val="zh-CN"/>
        </w:rPr>
      </w:pPr>
      <w:r>
        <w:rPr>
          <w:rFonts w:hint="eastAsia" w:ascii="楷体" w:hAnsi="楷体" w:eastAsia="楷体"/>
          <w:b/>
          <w:sz w:val="32"/>
          <w:szCs w:val="32"/>
          <w:lang w:val="zh-CN"/>
        </w:rPr>
        <w:t>（一）项目组织架构及实施流程。</w:t>
      </w:r>
      <w:r>
        <w:rPr>
          <w:rFonts w:hint="eastAsia" w:ascii="仿宋_GB2312" w:eastAsia="仿宋_GB2312" w:cs="仿宋_GB2312"/>
          <w:sz w:val="32"/>
          <w:szCs w:val="32"/>
          <w:lang w:val="zh-CN"/>
        </w:rPr>
        <w:t>按绩效事前评估、绩效目标管理、绩效运行监控、绩效评价管理、评价结果应用等各环节</w:t>
      </w:r>
      <w:r>
        <w:rPr>
          <w:rFonts w:hint="eastAsia" w:ascii="仿宋_GB2312" w:cs="仿宋_GB2312"/>
          <w:sz w:val="32"/>
          <w:szCs w:val="32"/>
          <w:lang w:val="zh-CN"/>
        </w:rPr>
        <w:t>实施</w:t>
      </w:r>
      <w:r>
        <w:rPr>
          <w:rFonts w:hint="eastAsia" w:ascii="仿宋_GB2312" w:eastAsia="仿宋_GB2312" w:cs="仿宋_GB2312"/>
          <w:sz w:val="32"/>
          <w:szCs w:val="32"/>
          <w:lang w:val="zh-CN"/>
        </w:rPr>
        <w:t>管理流程</w:t>
      </w:r>
      <w:r>
        <w:rPr>
          <w:rFonts w:hint="eastAsia" w:ascii="仿宋_GB2312" w:cs="仿宋_GB2312"/>
          <w:sz w:val="32"/>
          <w:szCs w:val="32"/>
          <w:lang w:val="zh-CN"/>
        </w:rPr>
        <w:t>。</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（二）项目管理情况。</w:t>
      </w:r>
      <w:r>
        <w:rPr>
          <w:rFonts w:hint="eastAsia" w:ascii="仿宋" w:eastAsia="仿宋"/>
          <w:sz w:val="32"/>
          <w:szCs w:val="32"/>
          <w:lang w:val="zh-CN"/>
        </w:rPr>
        <w:t>项目实施过程中，严格执行相关法律法规及项目管理制度，资金使用符合规定，项目成果达到预期</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仿宋" w:eastAsia="仿宋"/>
          <w:sz w:val="32"/>
          <w:szCs w:val="32"/>
          <w:lang w:val="zh-CN"/>
        </w:rPr>
      </w:pPr>
      <w:r>
        <w:rPr>
          <w:rFonts w:hint="eastAsia" w:ascii="楷体" w:hAnsi="楷体" w:eastAsia="楷体"/>
          <w:b/>
          <w:sz w:val="32"/>
          <w:szCs w:val="32"/>
          <w:lang w:val="zh-CN"/>
        </w:rPr>
        <w:t>（三）项目监管情况。</w:t>
      </w:r>
      <w:r>
        <w:rPr>
          <w:rFonts w:hint="eastAsia" w:ascii="仿宋" w:eastAsia="仿宋"/>
          <w:sz w:val="32"/>
          <w:szCs w:val="32"/>
          <w:lang w:val="zh-CN"/>
        </w:rPr>
        <w:t>严格按照预算执行专款专用，科学计划资金使用进度，每笔支出力求规范、合理。</w:t>
      </w:r>
    </w:p>
    <w:p>
      <w:pPr>
        <w:adjustRightInd w:val="0"/>
        <w:snapToGrid w:val="0"/>
        <w:spacing w:line="578" w:lineRule="exact"/>
        <w:ind w:firstLine="720"/>
        <w:outlineLvl w:val="1"/>
        <w:rPr>
          <w:rFonts w:ascii="仿宋_GB2312" w:hAnsi="宋体"/>
          <w:sz w:val="32"/>
          <w:szCs w:val="32"/>
          <w:lang w:val="zh-CN"/>
        </w:rPr>
      </w:pPr>
      <w:bookmarkStart w:id="86" w:name="_Toc9819"/>
      <w:r>
        <w:rPr>
          <w:rFonts w:hint="eastAsia" w:ascii="黑体" w:hAnsi="宋体" w:eastAsia="黑体"/>
          <w:sz w:val="32"/>
          <w:szCs w:val="32"/>
        </w:rPr>
        <w:t>四、项目绩效情况</w:t>
      </w:r>
      <w:bookmarkEnd w:id="86"/>
      <w:r>
        <w:rPr>
          <w:rFonts w:hint="eastAsia" w:ascii="仿宋_GB2312" w:hAnsi="宋体"/>
          <w:sz w:val="32"/>
          <w:szCs w:val="32"/>
          <w:lang w:val="zh-CN"/>
        </w:rPr>
        <w:tab/>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576" w:lineRule="exact"/>
        <w:ind w:firstLine="640" w:firstLineChars="200"/>
        <w:rPr>
          <w:rFonts w:ascii="仿宋" w:eastAsia="仿宋"/>
          <w:sz w:val="32"/>
          <w:szCs w:val="32"/>
          <w:lang w:val="zh-CN"/>
        </w:rPr>
      </w:pPr>
      <w:r>
        <w:rPr>
          <w:rFonts w:hint="eastAsia" w:asci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578" w:lineRule="exact"/>
        <w:ind w:firstLine="640" w:firstLineChars="200"/>
        <w:contextualSpacing/>
        <w:rPr>
          <w:rFonts w:ascii="仿宋" w:eastAsia="仿宋"/>
          <w:sz w:val="32"/>
          <w:szCs w:val="32"/>
          <w:lang w:val="zh-CN"/>
        </w:rPr>
      </w:pPr>
      <w:r>
        <w:rPr>
          <w:rFonts w:hint="eastAsia" w:ascii="仿宋" w:eastAsia="仿宋"/>
          <w:sz w:val="32"/>
          <w:szCs w:val="32"/>
          <w:lang w:val="zh-CN"/>
        </w:rPr>
        <w:t>该项目经济效益、社会效益、生态效益、可持续效益以及服务对象满意度等方面均实现了项目的预计效益。</w:t>
      </w:r>
    </w:p>
    <w:p>
      <w:pPr>
        <w:adjustRightInd w:val="0"/>
        <w:snapToGrid w:val="0"/>
        <w:spacing w:line="578" w:lineRule="exact"/>
        <w:ind w:firstLine="720"/>
        <w:outlineLvl w:val="1"/>
        <w:rPr>
          <w:rFonts w:ascii="黑体" w:hAnsi="宋体" w:eastAsia="黑体"/>
          <w:sz w:val="32"/>
          <w:szCs w:val="32"/>
        </w:rPr>
      </w:pPr>
      <w:bookmarkStart w:id="87" w:name="_Toc1165"/>
      <w:r>
        <w:rPr>
          <w:rFonts w:hint="eastAsia" w:ascii="黑体" w:hAnsi="宋体" w:eastAsia="黑体"/>
          <w:sz w:val="32"/>
          <w:szCs w:val="32"/>
        </w:rPr>
        <w:t>五、评价结论及建议</w:t>
      </w:r>
      <w:bookmarkEnd w:id="87"/>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adjustRightInd w:val="0"/>
        <w:snapToGrid w:val="0"/>
        <w:spacing w:line="578" w:lineRule="exact"/>
        <w:ind w:firstLine="640" w:firstLineChars="200"/>
        <w:contextualSpacing/>
        <w:rPr>
          <w:rFonts w:ascii="仿宋" w:eastAsia="仿宋"/>
          <w:sz w:val="32"/>
          <w:szCs w:val="32"/>
          <w:lang w:val="zh-CN"/>
        </w:rPr>
      </w:pPr>
      <w:r>
        <w:rPr>
          <w:rFonts w:hint="eastAsia" w:ascii="仿宋" w:eastAsia="仿宋"/>
          <w:sz w:val="32"/>
          <w:szCs w:val="32"/>
          <w:lang w:val="zh-CN"/>
        </w:rPr>
        <w:t>该项目达到项目预期，在批捕和公诉案件、未成年人检察、信访纠纷、法律监督等方面收效良好。该项目高质量地完成了年初设定目标，并严格控制支出，未超预算。</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lang w:val="zh-CN"/>
        </w:rPr>
        <w:t>案件量逐年增大以及公益诉讼等检察重点工作的推进，项目经费容易超预算</w:t>
      </w:r>
      <w:r>
        <w:rPr>
          <w:rFonts w:hint="eastAsia" w:ascii="仿宋_GB2312" w:hAnsi="仿宋_GB2312" w:eastAsia="仿宋_GB2312" w:cs="仿宋_GB2312"/>
          <w:kern w:val="0"/>
          <w:sz w:val="32"/>
          <w:szCs w:val="32"/>
          <w:shd w:val="clear" w:color="auto" w:fill="FFFFFF"/>
        </w:rPr>
        <w:t>。</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运用现有资金，积极探索司法为民新途径，在为民办实事的广度、深度上再下功夫。</w:t>
      </w: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rPr>
          <w:rFonts w:hAnsi="宋体" w:cs="宋体"/>
          <w:sz w:val="32"/>
          <w:szCs w:val="32"/>
          <w:shd w:val="clear" w:color="auto" w:fill="FFFFFF"/>
          <w:lang w:val="zh-CN"/>
        </w:rPr>
        <w:sectPr>
          <w:pgSz w:w="11906" w:h="16838"/>
          <w:pgMar w:top="1440" w:right="1800" w:bottom="1440" w:left="1800" w:header="851" w:footer="992" w:gutter="0"/>
          <w:cols w:space="425" w:num="1"/>
          <w:titlePg/>
          <w:docGrid w:type="lines" w:linePitch="312" w:charSpace="0"/>
        </w:sectPr>
      </w:pPr>
    </w:p>
    <w:tbl>
      <w:tblPr>
        <w:tblStyle w:val="15"/>
        <w:tblW w:w="4997" w:type="pct"/>
        <w:tblInd w:w="0" w:type="dxa"/>
        <w:tblLayout w:type="autofit"/>
        <w:tblCellMar>
          <w:top w:w="0" w:type="dxa"/>
          <w:left w:w="108" w:type="dxa"/>
          <w:bottom w:w="0" w:type="dxa"/>
          <w:right w:w="108" w:type="dxa"/>
        </w:tblCellMar>
      </w:tblPr>
      <w:tblGrid>
        <w:gridCol w:w="1455"/>
        <w:gridCol w:w="1513"/>
        <w:gridCol w:w="1227"/>
        <w:gridCol w:w="1264"/>
        <w:gridCol w:w="448"/>
        <w:gridCol w:w="1071"/>
        <w:gridCol w:w="450"/>
        <w:gridCol w:w="938"/>
        <w:gridCol w:w="669"/>
        <w:gridCol w:w="824"/>
        <w:gridCol w:w="1006"/>
        <w:gridCol w:w="3300"/>
      </w:tblGrid>
      <w:tr>
        <w:tblPrEx>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公诉审判与监督项目支出绩效目标自评表（2022年度）</w:t>
            </w:r>
          </w:p>
        </w:tc>
      </w:tr>
      <w:tr>
        <w:tblPrEx>
          <w:tblCellMar>
            <w:top w:w="0" w:type="dxa"/>
            <w:left w:w="108" w:type="dxa"/>
            <w:bottom w:w="0" w:type="dxa"/>
            <w:right w:w="108" w:type="dxa"/>
          </w:tblCellMar>
        </w:tblPrEx>
        <w:trPr>
          <w:trHeight w:val="66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公诉审判与监督</w:t>
            </w:r>
          </w:p>
        </w:tc>
      </w:tr>
      <w:tr>
        <w:tblPrEx>
          <w:tblCellMar>
            <w:top w:w="0" w:type="dxa"/>
            <w:left w:w="108" w:type="dxa"/>
            <w:bottom w:w="0" w:type="dxa"/>
            <w:right w:w="108" w:type="dxa"/>
          </w:tblCellMar>
        </w:tblPrEx>
        <w:trPr>
          <w:trHeight w:val="64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主管部门（盖章）</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实施单位 （盖章）</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r>
      <w:tr>
        <w:tblPrEx>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项目基本情况</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1.项目年度目标完成情况</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项目年度目标</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办理审查起诉、批准逮捕等案件的办案费，包括办案过程中所产生的差旅费、交通费、协助办案费、办公费用等。</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项目资金使用率高，目标任务均完成。</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2.项目实施内容及过程概述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该项目资金用于审查起诉、批准逮捕等案件的办案费，严格按照一般公共预算资金管理的有关规定使用，支付凭据依据费用报销管理制度严格履行审批手续，没有超范围、超标准支出。</w:t>
            </w:r>
          </w:p>
        </w:tc>
      </w:tr>
      <w:tr>
        <w:tblPrEx>
          <w:tblCellMar>
            <w:top w:w="0" w:type="dxa"/>
            <w:left w:w="108" w:type="dxa"/>
            <w:bottom w:w="0" w:type="dxa"/>
            <w:right w:w="108" w:type="dxa"/>
          </w:tblCellMar>
        </w:tblPrEx>
        <w:trPr>
          <w:trHeight w:val="94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预算执行情况（10分）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年度预算数（万元）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年初预算</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调整后预算数</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其中：财政资金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其他资金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绩效指标（90分）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度量单位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依法办理各类案件</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件</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780件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案件办理成本</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错案率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案件办结率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法治宣传次数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撰写调研信息篇数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人民群众满意度</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29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部门（单位）自评结论</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该项目达到项目预期，在批捕和公诉案件、未成年人检察、信访纠纷、法律监督等方面收效良好。该项目高质量地完成了年初设定目标，并严格控制支出，未超预算。</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部门（单位）自评存在问题</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案件量逐年增大以及公益诉讼等检察重点工作的推进，项目经费容易超预算。</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部门（单位）自评改进措施</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运用现有资金，积极探索司法为民新途径，在为民办实事的广度、深度上再下功夫。</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财政部门对口科室复评结论及整改要求</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r>
        <w:tblPrEx>
          <w:tblCellMar>
            <w:top w:w="0" w:type="dxa"/>
            <w:left w:w="108" w:type="dxa"/>
            <w:bottom w:w="0" w:type="dxa"/>
            <w:right w:w="108" w:type="dxa"/>
          </w:tblCellMar>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财政部门科室负责人：</w:t>
            </w:r>
          </w:p>
        </w:tc>
      </w:tr>
    </w:tbl>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rFonts w:hAnsi="宋体" w:cs="宋体"/>
          <w:sz w:val="32"/>
          <w:szCs w:val="32"/>
          <w:shd w:val="clear" w:color="auto" w:fill="FFFFFF"/>
          <w:lang w:val="zh-CN"/>
        </w:rPr>
        <w:sectPr>
          <w:pgSz w:w="16838" w:h="11906" w:orient="landscape"/>
          <w:pgMar w:top="1800" w:right="1440" w:bottom="1800" w:left="1440" w:header="851" w:footer="992" w:gutter="0"/>
          <w:cols w:space="425" w:num="1"/>
          <w:titlePg/>
          <w:docGrid w:type="lines" w:linePitch="312" w:charSpace="0"/>
        </w:sectPr>
      </w:pPr>
    </w:p>
    <w:p>
      <w:pPr>
        <w:pStyle w:val="2"/>
        <w:spacing w:before="93"/>
        <w:outlineLvl w:val="1"/>
        <w:rPr>
          <w:sz w:val="32"/>
          <w:szCs w:val="32"/>
        </w:rPr>
      </w:pPr>
      <w:bookmarkStart w:id="88" w:name="_Toc11414"/>
      <w:r>
        <w:rPr>
          <w:rFonts w:hint="eastAsia" w:hAnsi="宋体" w:cs="宋体"/>
          <w:sz w:val="32"/>
          <w:szCs w:val="32"/>
          <w:shd w:val="clear" w:color="auto" w:fill="FFFFFF"/>
          <w:lang w:val="zh-CN"/>
        </w:rPr>
        <w:t>附件</w:t>
      </w:r>
      <w:r>
        <w:rPr>
          <w:rFonts w:hint="eastAsia" w:hAnsi="宋体" w:cs="宋体"/>
          <w:sz w:val="32"/>
          <w:szCs w:val="32"/>
          <w:shd w:val="clear" w:color="auto" w:fill="FFFFFF"/>
        </w:rPr>
        <w:t>3</w:t>
      </w:r>
      <w:bookmarkEnd w:id="88"/>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2022年广元市利州区人民检察院</w:t>
      </w:r>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公益诉讼检察项目支出绩效自评报告</w:t>
      </w:r>
    </w:p>
    <w:p>
      <w:pPr>
        <w:pStyle w:val="34"/>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720"/>
        <w:outlineLvl w:val="1"/>
        <w:rPr>
          <w:rFonts w:ascii="黑体" w:hAnsi="宋体" w:eastAsia="黑体"/>
          <w:sz w:val="32"/>
          <w:szCs w:val="32"/>
          <w:lang w:val="zh-CN"/>
        </w:rPr>
      </w:pPr>
      <w:bookmarkStart w:id="89" w:name="_Toc3724"/>
      <w:r>
        <w:rPr>
          <w:rFonts w:hint="eastAsia" w:ascii="黑体" w:hAnsi="宋体" w:eastAsia="黑体"/>
          <w:sz w:val="32"/>
          <w:szCs w:val="32"/>
        </w:rPr>
        <w:t>一、</w:t>
      </w:r>
      <w:r>
        <w:rPr>
          <w:rFonts w:hint="eastAsia" w:ascii="黑体" w:hAnsi="宋体" w:eastAsia="黑体"/>
          <w:sz w:val="32"/>
          <w:szCs w:val="32"/>
          <w:lang w:val="zh-CN"/>
        </w:rPr>
        <w:t>项目概况</w:t>
      </w:r>
      <w:bookmarkEnd w:id="89"/>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1．</w:t>
      </w:r>
      <w:r>
        <w:rPr>
          <w:rFonts w:hint="eastAsia" w:ascii="仿宋_GB2312" w:hAnsi="仿宋_GB2312" w:eastAsia="仿宋_GB2312" w:cs="仿宋_GB2312"/>
          <w:kern w:val="0"/>
          <w:sz w:val="32"/>
          <w:szCs w:val="32"/>
          <w:shd w:val="clear" w:color="auto" w:fill="FFFFFF"/>
        </w:rPr>
        <w:t>在该项目管理中的职能：利州区检察院按照职能，依法办理民事、行政、公益诉讼类案件。</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2．项目立项、资金申报的依据</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为了更好地行使办案权、加强法律监督，依据《中华人民共和国民事诉讼法》《中华人民共和国行政诉讼法》等有关规定，我院设立了公益诉讼检察项目，该项目为常年性、持续性项目。</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3．资金管理办法制定情况，资金支持具体项目的条件、范围与支持方式概况：截止</w:t>
      </w:r>
      <w:r>
        <w:rPr>
          <w:rFonts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lang w:val="zh-CN"/>
        </w:rPr>
        <w:t>2</w:t>
      </w:r>
      <w:r>
        <w:rPr>
          <w:rFonts w:ascii="仿宋_GB2312" w:hAnsi="仿宋_GB2312" w:eastAsia="仿宋_GB2312" w:cs="仿宋_GB2312"/>
          <w:kern w:val="0"/>
          <w:sz w:val="32"/>
          <w:szCs w:val="32"/>
          <w:shd w:val="clear" w:color="auto" w:fill="FFFFFF"/>
          <w:lang w:val="zh-CN"/>
        </w:rPr>
        <w:t>年12月31日</w:t>
      </w:r>
      <w:r>
        <w:rPr>
          <w:rFonts w:hint="eastAsia" w:ascii="仿宋_GB2312" w:hAnsi="仿宋_GB2312" w:eastAsia="仿宋_GB2312" w:cs="仿宋_GB2312"/>
          <w:kern w:val="0"/>
          <w:sz w:val="32"/>
          <w:szCs w:val="32"/>
          <w:shd w:val="clear" w:color="auto" w:fill="FFFFFF"/>
          <w:lang w:val="zh-CN"/>
        </w:rPr>
        <w:t>，该项目资金实际支出100万元，采用财政集中支付，严格按照预算执行专款专用，科学计划资金使用进度，每笔支出力求规范、合理。</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4．资金分配的原则及考虑因素：该项目年初预算100万元，到位100万元，为地方财政拨款。资金到位率100%，该项目资金全部及时、足额到位。</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1．项目主要内容：依法办理民事、行政、公益诉讼类案件，以及办案过程中所产生的差旅费、交通费、协助办案费、办公费用等。</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2．项目实现的具体绩效目标：民事检察监督案件数40件、行政检察监督案件数19件、公益诉讼发出诉前检察建议或公告数55件，民事、行政检察监督案件办结率100%，实现办案零差错等。</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3．分析评价申报内容与实际相符，申报目标合理可行。</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spacing w:line="576" w:lineRule="exact"/>
        <w:ind w:firstLine="640" w:firstLineChars="200"/>
        <w:rPr>
          <w:rFonts w:ascii="仿宋" w:eastAsia="仿宋"/>
        </w:rPr>
      </w:pPr>
      <w:r>
        <w:rPr>
          <w:rFonts w:hint="eastAsia" w:ascii="仿宋" w:eastAsia="仿宋" w:cs="仿宋_GB2312"/>
          <w:sz w:val="32"/>
          <w:szCs w:val="32"/>
        </w:rPr>
        <w:t>1.前期准备：按照绩效自评工作要求，</w:t>
      </w:r>
      <w:r>
        <w:rPr>
          <w:rFonts w:ascii="仿宋" w:eastAsia="仿宋"/>
          <w:sz w:val="32"/>
          <w:szCs w:val="32"/>
        </w:rPr>
        <w:t>制订项目</w:t>
      </w:r>
      <w:r>
        <w:rPr>
          <w:rFonts w:hint="eastAsia" w:ascii="仿宋" w:eastAsia="仿宋"/>
          <w:sz w:val="32"/>
          <w:szCs w:val="32"/>
        </w:rPr>
        <w:t>设计</w:t>
      </w:r>
      <w:r>
        <w:rPr>
          <w:rFonts w:ascii="仿宋" w:eastAsia="仿宋"/>
          <w:sz w:val="32"/>
          <w:szCs w:val="32"/>
        </w:rPr>
        <w:t>方案，</w:t>
      </w:r>
      <w:r>
        <w:rPr>
          <w:rFonts w:hint="eastAsia" w:ascii="仿宋" w:eastAsia="仿宋" w:cs="仿宋_GB2312"/>
          <w:sz w:val="32"/>
          <w:szCs w:val="32"/>
        </w:rPr>
        <w:t>项目支出绩效评价实施方案，设计了绩效评价指标体系。</w:t>
      </w:r>
    </w:p>
    <w:p>
      <w:pPr>
        <w:spacing w:line="576" w:lineRule="exact"/>
        <w:ind w:firstLine="640" w:firstLineChars="200"/>
        <w:rPr>
          <w:rFonts w:ascii="仿宋_GB2312" w:cs="仿宋_GB2312"/>
          <w:lang w:val="zh-CN"/>
        </w:rPr>
      </w:pPr>
      <w:r>
        <w:rPr>
          <w:rFonts w:hint="eastAsia" w:ascii="仿宋" w:eastAsia="仿宋" w:cs="仿宋_GB2312"/>
          <w:sz w:val="32"/>
          <w:szCs w:val="32"/>
        </w:rPr>
        <w:t>2.组织实施：</w:t>
      </w:r>
      <w:r>
        <w:rPr>
          <w:rFonts w:hint="eastAsia" w:ascii="仿宋" w:eastAsia="仿宋"/>
          <w:sz w:val="32"/>
          <w:szCs w:val="32"/>
        </w:rPr>
        <w:t>编制资金预算，</w:t>
      </w:r>
      <w:r>
        <w:rPr>
          <w:rFonts w:ascii="仿宋" w:eastAsia="仿宋"/>
          <w:sz w:val="32"/>
          <w:szCs w:val="32"/>
        </w:rPr>
        <w:t>协调落实政府资金，负责项目资金管理</w:t>
      </w:r>
      <w:r>
        <w:rPr>
          <w:rFonts w:hint="eastAsia" w:ascii="仿宋" w:eastAsia="仿宋"/>
          <w:sz w:val="32"/>
          <w:szCs w:val="32"/>
        </w:rPr>
        <w:t>、</w:t>
      </w:r>
      <w:r>
        <w:rPr>
          <w:rFonts w:ascii="仿宋" w:eastAsia="仿宋"/>
          <w:sz w:val="32"/>
          <w:szCs w:val="32"/>
        </w:rPr>
        <w:t>支付</w:t>
      </w:r>
      <w:r>
        <w:rPr>
          <w:rFonts w:ascii="仿宋_GB2312" w:eastAsia="仿宋_GB2312" w:cs="仿宋_GB2312"/>
          <w:sz w:val="32"/>
          <w:szCs w:val="32"/>
          <w:lang w:val="zh-CN"/>
        </w:rPr>
        <w:t>。</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3.分析评价：在评价过程中收集资料进行归纳，汇总分析，依据智慧检察项目支出绩效评价指标体系进行了评分，形成了综合性书面报告</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outlineLvl w:val="1"/>
        <w:rPr>
          <w:rFonts w:ascii="黑体" w:hAnsi="宋体" w:eastAsia="黑体"/>
          <w:sz w:val="32"/>
          <w:szCs w:val="32"/>
        </w:rPr>
      </w:pPr>
      <w:bookmarkStart w:id="90" w:name="_Toc13479"/>
      <w:r>
        <w:rPr>
          <w:rFonts w:hint="eastAsia" w:ascii="黑体" w:hAnsi="宋体" w:eastAsia="黑体"/>
          <w:sz w:val="32"/>
          <w:szCs w:val="32"/>
        </w:rPr>
        <w:t>二、项目资金申报及使用情况</w:t>
      </w:r>
      <w:bookmarkEnd w:id="90"/>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该项目年初预算100万元，到位100万元，为地方财政拨款。资金到位率100%，绩效目标设置上，我院从收集、上报、筛查、费用控制和可持续发展上明确了合理的目标任务，符合实际</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ascii="仿宋" w:eastAsia="仿宋" w:cs="仿宋_GB2312"/>
          <w:sz w:val="32"/>
          <w:szCs w:val="32"/>
        </w:rPr>
        <w:t>项目</w:t>
      </w:r>
      <w:r>
        <w:rPr>
          <w:rFonts w:hint="eastAsia" w:ascii="仿宋" w:eastAsia="仿宋" w:cs="仿宋_GB2312"/>
          <w:sz w:val="32"/>
          <w:szCs w:val="32"/>
        </w:rPr>
        <w:t>资金年初预算资金100万元，并于批复后下达指标</w:t>
      </w:r>
      <w:r>
        <w:rPr>
          <w:rFonts w:ascii="仿宋" w:eastAsia="仿宋" w:cs="仿宋_GB2312"/>
          <w:sz w:val="32"/>
          <w:szCs w:val="32"/>
        </w:rPr>
        <w:t>，</w:t>
      </w:r>
      <w:r>
        <w:rPr>
          <w:rFonts w:hint="eastAsia" w:ascii="仿宋" w:eastAsia="仿宋" w:cs="仿宋_GB2312"/>
          <w:sz w:val="32"/>
          <w:szCs w:val="32"/>
        </w:rPr>
        <w:t>2022年项目实际到位资金100万元，资金到位率100%。</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2．资金到位。</w:t>
      </w:r>
      <w:r>
        <w:rPr>
          <w:rFonts w:ascii="仿宋" w:eastAsia="仿宋" w:cs="仿宋_GB2312"/>
          <w:sz w:val="32"/>
          <w:szCs w:val="32"/>
        </w:rPr>
        <w:t>项目</w:t>
      </w:r>
      <w:r>
        <w:rPr>
          <w:rFonts w:hint="eastAsia" w:ascii="仿宋" w:eastAsia="仿宋" w:cs="仿宋_GB2312"/>
          <w:sz w:val="32"/>
          <w:szCs w:val="32"/>
        </w:rPr>
        <w:t>资金年初预算资金100万元，并于批复后下达指标</w:t>
      </w:r>
      <w:r>
        <w:rPr>
          <w:rFonts w:ascii="仿宋" w:eastAsia="仿宋" w:cs="仿宋_GB2312"/>
          <w:sz w:val="32"/>
          <w:szCs w:val="32"/>
        </w:rPr>
        <w:t>，</w:t>
      </w:r>
      <w:r>
        <w:rPr>
          <w:rFonts w:hint="eastAsia" w:ascii="仿宋" w:eastAsia="仿宋" w:cs="仿宋_GB2312"/>
          <w:sz w:val="32"/>
          <w:szCs w:val="32"/>
        </w:rPr>
        <w:t>2022年项目实际到位资金100万元，资金到位率100%。</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 w:eastAsia="仿宋" w:cs="仿宋_GB2312"/>
          <w:sz w:val="32"/>
          <w:szCs w:val="32"/>
        </w:rPr>
        <w:t>截止</w:t>
      </w:r>
      <w:r>
        <w:rPr>
          <w:rFonts w:ascii="仿宋" w:eastAsia="仿宋" w:cs="仿宋_GB2312"/>
          <w:sz w:val="32"/>
          <w:szCs w:val="32"/>
        </w:rPr>
        <w:t>202</w:t>
      </w:r>
      <w:r>
        <w:rPr>
          <w:rFonts w:hint="eastAsia" w:ascii="仿宋" w:eastAsia="仿宋" w:cs="仿宋_GB2312"/>
          <w:sz w:val="32"/>
          <w:szCs w:val="32"/>
        </w:rPr>
        <w:t>2</w:t>
      </w:r>
      <w:r>
        <w:rPr>
          <w:rFonts w:ascii="仿宋" w:eastAsia="仿宋" w:cs="仿宋_GB2312"/>
          <w:sz w:val="32"/>
          <w:szCs w:val="32"/>
        </w:rPr>
        <w:t>年12月31日</w:t>
      </w:r>
      <w:r>
        <w:rPr>
          <w:rFonts w:hint="eastAsia" w:ascii="仿宋" w:eastAsia="仿宋" w:cs="仿宋_GB2312"/>
          <w:sz w:val="32"/>
          <w:szCs w:val="32"/>
        </w:rPr>
        <w:t>，</w:t>
      </w:r>
      <w:r>
        <w:rPr>
          <w:rFonts w:ascii="仿宋" w:eastAsia="仿宋" w:cs="仿宋_GB2312"/>
          <w:sz w:val="32"/>
          <w:szCs w:val="32"/>
        </w:rPr>
        <w:t>项目</w:t>
      </w:r>
      <w:r>
        <w:rPr>
          <w:rFonts w:hint="eastAsia" w:ascii="仿宋" w:eastAsia="仿宋" w:cs="仿宋_GB2312"/>
          <w:sz w:val="32"/>
          <w:szCs w:val="32"/>
        </w:rPr>
        <w:t>资金</w:t>
      </w:r>
      <w:r>
        <w:rPr>
          <w:rFonts w:ascii="仿宋" w:eastAsia="仿宋" w:cs="仿宋_GB2312"/>
          <w:sz w:val="32"/>
          <w:szCs w:val="32"/>
        </w:rPr>
        <w:t>使用</w:t>
      </w:r>
      <w:r>
        <w:rPr>
          <w:rFonts w:hint="eastAsia" w:ascii="仿宋" w:eastAsia="仿宋" w:cs="仿宋_GB2312"/>
          <w:sz w:val="32"/>
          <w:szCs w:val="32"/>
        </w:rPr>
        <w:t>100万元</w:t>
      </w:r>
      <w:r>
        <w:rPr>
          <w:rFonts w:ascii="仿宋" w:eastAsia="仿宋" w:cs="仿宋_GB2312"/>
          <w:sz w:val="32"/>
          <w:szCs w:val="32"/>
        </w:rPr>
        <w:t>，</w:t>
      </w:r>
      <w:r>
        <w:rPr>
          <w:rFonts w:hint="eastAsia" w:ascii="仿宋" w:eastAsia="仿宋" w:cs="仿宋_GB2312"/>
          <w:sz w:val="32"/>
          <w:szCs w:val="32"/>
        </w:rPr>
        <w:t>完成率100</w:t>
      </w:r>
      <w:r>
        <w:rPr>
          <w:rFonts w:ascii="仿宋" w:eastAsia="仿宋" w:cs="仿宋_GB2312"/>
          <w:sz w:val="32"/>
          <w:szCs w:val="32"/>
        </w:rPr>
        <w:t>%</w:t>
      </w:r>
      <w:r>
        <w:rPr>
          <w:rFonts w:hint="eastAsia" w:ascii="仿宋" w:eastAsia="仿宋" w:cs="仿宋_GB2312"/>
          <w:sz w:val="32"/>
          <w:szCs w:val="32"/>
        </w:rPr>
        <w:t>。</w:t>
      </w:r>
    </w:p>
    <w:p>
      <w:pPr>
        <w:widowControl/>
        <w:adjustRightInd w:val="0"/>
        <w:snapToGrid w:val="0"/>
        <w:spacing w:line="578" w:lineRule="exact"/>
        <w:ind w:firstLine="643" w:firstLineChars="200"/>
        <w:contextualSpacing/>
        <w:jc w:val="left"/>
        <w:rPr>
          <w:rFonts w:ascii="楷体" w:hAnsi="楷体" w:eastAsia="楷体"/>
          <w:b/>
          <w:sz w:val="32"/>
          <w:szCs w:val="32"/>
          <w:lang w:val="zh-CN"/>
        </w:rPr>
      </w:pPr>
      <w:r>
        <w:rPr>
          <w:rFonts w:hint="eastAsia" w:ascii="楷体" w:hAnsi="楷体" w:eastAsia="楷体"/>
          <w:b/>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我院财务管理制度健全，并严格执行财务管理制度，账务处理及时准确，会计核算规范</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outlineLvl w:val="1"/>
        <w:rPr>
          <w:rFonts w:ascii="黑体" w:hAnsi="宋体" w:eastAsia="黑体"/>
          <w:sz w:val="32"/>
          <w:szCs w:val="32"/>
        </w:rPr>
      </w:pPr>
      <w:bookmarkStart w:id="91" w:name="_Toc4046"/>
      <w:r>
        <w:rPr>
          <w:rFonts w:hint="eastAsia" w:ascii="黑体" w:hAnsi="宋体" w:eastAsia="黑体"/>
          <w:sz w:val="32"/>
          <w:szCs w:val="32"/>
        </w:rPr>
        <w:t>三、项目实施及管理情况</w:t>
      </w:r>
      <w:bookmarkEnd w:id="91"/>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6" w:lineRule="exact"/>
        <w:ind w:firstLine="643" w:firstLineChars="20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（一）项目组织架构及实施流程。</w:t>
      </w:r>
      <w:r>
        <w:rPr>
          <w:rFonts w:hint="eastAsia" w:ascii="仿宋_GB2312" w:hAnsi="仿宋_GB2312" w:eastAsia="仿宋_GB2312" w:cs="仿宋_GB2312"/>
          <w:kern w:val="0"/>
          <w:sz w:val="32"/>
          <w:szCs w:val="32"/>
          <w:shd w:val="clear" w:color="auto" w:fill="FFFFFF"/>
          <w:lang w:val="zh-CN"/>
        </w:rPr>
        <w:t>按绩效事前评估、绩效目标管理、绩效运行监控、绩效评价管理、评价结果应用等各环节实施管理流程。</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（二）项目管理情况。</w:t>
      </w:r>
      <w:r>
        <w:rPr>
          <w:rFonts w:hint="eastAsia" w:ascii="仿宋" w:eastAsia="仿宋"/>
          <w:sz w:val="32"/>
          <w:szCs w:val="32"/>
          <w:lang w:val="zh-CN"/>
        </w:rPr>
        <w:t>项目实施过程中，严格执行相关法律法规及项目管理制度，资金使用符合规定，项目成果达到预期</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仿宋" w:eastAsia="仿宋"/>
          <w:sz w:val="32"/>
          <w:szCs w:val="32"/>
          <w:lang w:val="zh-CN"/>
        </w:rPr>
      </w:pPr>
      <w:r>
        <w:rPr>
          <w:rFonts w:hint="eastAsia" w:ascii="楷体" w:hAnsi="楷体" w:eastAsia="楷体"/>
          <w:b/>
          <w:sz w:val="32"/>
          <w:szCs w:val="32"/>
          <w:lang w:val="zh-CN"/>
        </w:rPr>
        <w:t>（三）项目监管情况。</w:t>
      </w:r>
      <w:r>
        <w:rPr>
          <w:rFonts w:hint="eastAsia" w:ascii="仿宋" w:eastAsia="仿宋"/>
          <w:sz w:val="32"/>
          <w:szCs w:val="32"/>
          <w:lang w:val="zh-CN"/>
        </w:rPr>
        <w:t>严格按照预算执行专款专用，科学计划资金使用进度，每笔支出力求规范、合理。</w:t>
      </w:r>
    </w:p>
    <w:p>
      <w:pPr>
        <w:adjustRightInd w:val="0"/>
        <w:snapToGrid w:val="0"/>
        <w:spacing w:line="578" w:lineRule="exact"/>
        <w:ind w:firstLine="720"/>
        <w:outlineLvl w:val="1"/>
        <w:rPr>
          <w:rFonts w:ascii="黑体" w:hAnsi="宋体" w:eastAsia="黑体"/>
          <w:sz w:val="32"/>
          <w:szCs w:val="32"/>
        </w:rPr>
      </w:pPr>
      <w:bookmarkStart w:id="92" w:name="_Toc16804"/>
      <w:r>
        <w:rPr>
          <w:rFonts w:hint="eastAsia" w:ascii="黑体" w:hAnsi="宋体" w:eastAsia="黑体"/>
          <w:sz w:val="32"/>
          <w:szCs w:val="32"/>
        </w:rPr>
        <w:t>四、项目绩效情况</w:t>
      </w:r>
      <w:bookmarkEnd w:id="92"/>
      <w:r>
        <w:rPr>
          <w:rFonts w:hint="eastAsia" w:ascii="黑体" w:hAnsi="宋体" w:eastAsia="黑体"/>
          <w:sz w:val="32"/>
          <w:szCs w:val="32"/>
        </w:rPr>
        <w:tab/>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576" w:lineRule="exact"/>
        <w:ind w:firstLine="640" w:firstLineChars="200"/>
        <w:rPr>
          <w:rFonts w:ascii="仿宋" w:eastAsia="仿宋"/>
          <w:sz w:val="32"/>
          <w:szCs w:val="32"/>
          <w:lang w:val="zh-CN"/>
        </w:rPr>
      </w:pPr>
      <w:r>
        <w:rPr>
          <w:rFonts w:hint="eastAsia" w:asci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578" w:lineRule="exact"/>
        <w:ind w:firstLine="640" w:firstLineChars="200"/>
        <w:contextualSpacing/>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该项目经济效益、社会效益、生态效益、可持续效益以及服务对象满意度等方面均实现了项目的预计效益。</w:t>
      </w:r>
    </w:p>
    <w:p>
      <w:pPr>
        <w:adjustRightInd w:val="0"/>
        <w:snapToGrid w:val="0"/>
        <w:spacing w:line="578" w:lineRule="exact"/>
        <w:ind w:firstLine="720"/>
        <w:outlineLvl w:val="1"/>
        <w:rPr>
          <w:rFonts w:ascii="黑体" w:hAnsi="宋体" w:eastAsia="黑体"/>
          <w:sz w:val="32"/>
          <w:szCs w:val="32"/>
        </w:rPr>
      </w:pPr>
      <w:bookmarkStart w:id="93" w:name="_Toc7987"/>
      <w:r>
        <w:rPr>
          <w:rFonts w:hint="eastAsia" w:ascii="黑体" w:hAnsi="宋体" w:eastAsia="黑体"/>
          <w:sz w:val="32"/>
          <w:szCs w:val="32"/>
        </w:rPr>
        <w:t>五、评价结论及建议</w:t>
      </w:r>
      <w:bookmarkEnd w:id="93"/>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该项目达到项目预期，在办理民事、行政、公益诉讼类案件方面收效良好。该项目高质量地完成了年初设定目标，并严格控制支出，未超预算。</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lang w:val="zh-CN"/>
        </w:rPr>
        <w:t>案件量逐年增大以及公益诉讼等检察重点工作的推进，项目经费容易超预算</w:t>
      </w:r>
      <w:r>
        <w:rPr>
          <w:rFonts w:hint="eastAsia" w:ascii="仿宋_GB2312" w:hAnsi="仿宋_GB2312" w:eastAsia="仿宋_GB2312" w:cs="仿宋_GB2312"/>
          <w:kern w:val="0"/>
          <w:sz w:val="32"/>
          <w:szCs w:val="32"/>
          <w:shd w:val="clear" w:color="auto" w:fill="FFFFFF"/>
        </w:rPr>
        <w:t>。</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运用现有资金，积极探索司法为民新途径，在为民办实事的广度、深度上再下功夫。</w:t>
      </w: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rPr>
          <w:rFonts w:hAnsi="宋体" w:cs="宋体"/>
          <w:sz w:val="32"/>
          <w:szCs w:val="32"/>
          <w:shd w:val="clear" w:color="auto" w:fill="FFFFFF"/>
          <w:lang w:val="zh-CN"/>
        </w:rPr>
        <w:sectPr>
          <w:pgSz w:w="11906" w:h="16838"/>
          <w:pgMar w:top="1440" w:right="1800" w:bottom="1440" w:left="1800" w:header="851" w:footer="992" w:gutter="0"/>
          <w:cols w:space="425" w:num="1"/>
          <w:titlePg/>
          <w:docGrid w:type="lines" w:linePitch="312" w:charSpace="0"/>
        </w:sectPr>
      </w:pPr>
    </w:p>
    <w:tbl>
      <w:tblPr>
        <w:tblStyle w:val="15"/>
        <w:tblW w:w="4997" w:type="pct"/>
        <w:tblInd w:w="0" w:type="dxa"/>
        <w:tblLayout w:type="autofit"/>
        <w:tblCellMar>
          <w:top w:w="0" w:type="dxa"/>
          <w:left w:w="108" w:type="dxa"/>
          <w:bottom w:w="0" w:type="dxa"/>
          <w:right w:w="108" w:type="dxa"/>
        </w:tblCellMar>
      </w:tblPr>
      <w:tblGrid>
        <w:gridCol w:w="1455"/>
        <w:gridCol w:w="1513"/>
        <w:gridCol w:w="1227"/>
        <w:gridCol w:w="1264"/>
        <w:gridCol w:w="448"/>
        <w:gridCol w:w="1071"/>
        <w:gridCol w:w="450"/>
        <w:gridCol w:w="938"/>
        <w:gridCol w:w="669"/>
        <w:gridCol w:w="824"/>
        <w:gridCol w:w="1006"/>
        <w:gridCol w:w="3300"/>
      </w:tblGrid>
      <w:tr>
        <w:tblPrEx>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公益诉讼检察项目支出绩效目标自评表（2022年度）</w:t>
            </w:r>
          </w:p>
        </w:tc>
      </w:tr>
      <w:tr>
        <w:tblPrEx>
          <w:tblCellMar>
            <w:top w:w="0" w:type="dxa"/>
            <w:left w:w="108" w:type="dxa"/>
            <w:bottom w:w="0" w:type="dxa"/>
            <w:right w:w="108" w:type="dxa"/>
          </w:tblCellMar>
        </w:tblPrEx>
        <w:trPr>
          <w:trHeight w:val="66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 xml:space="preserve">公益诉讼检察 </w:t>
            </w:r>
          </w:p>
        </w:tc>
      </w:tr>
      <w:tr>
        <w:tblPrEx>
          <w:tblCellMar>
            <w:top w:w="0" w:type="dxa"/>
            <w:left w:w="108" w:type="dxa"/>
            <w:bottom w:w="0" w:type="dxa"/>
            <w:right w:w="108" w:type="dxa"/>
          </w:tblCellMar>
        </w:tblPrEx>
        <w:trPr>
          <w:trHeight w:val="64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主管部门（盖章）</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实施单位 （盖章）</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r>
      <w:tr>
        <w:tblPrEx>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项目基本情况</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1.项目年度目标完成情况</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项目年度目标</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依法办理民事、行政、公益诉讼类案件，以及办案过程中所产生的差旅费、交通费、协助办案费、办公费用等。</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项目资金使用率高，目标任务均完成。</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2.项目实施内容及过程概述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严格按照一般公共预算资金管理的有关规定使用，支付凭据依据费用报销管理制度严格履行审批手续，项目资金使用率高，完成率100%。</w:t>
            </w:r>
          </w:p>
        </w:tc>
      </w:tr>
      <w:tr>
        <w:tblPrEx>
          <w:tblCellMar>
            <w:top w:w="0" w:type="dxa"/>
            <w:left w:w="108" w:type="dxa"/>
            <w:bottom w:w="0" w:type="dxa"/>
            <w:right w:w="108" w:type="dxa"/>
          </w:tblCellMar>
        </w:tblPrEx>
        <w:trPr>
          <w:trHeight w:val="94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预算执行情况（10分）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年度预算数（万元）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年初预算</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调整后预算数</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其中：财政资金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其他资金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绩效指标（90分）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度量单位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民事、行政检察监督案件办结率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民事检察监督案件数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件</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行政检察监督案件数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件</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公益诉讼发出诉前检察建议或公告数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件</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民事、行政、公益诉讼类案件办案成本</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公益诉讼案件数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675"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公益诉讼诉前检察建议跟进处理率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行政机关纠正怠于履职行为率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上级检察院绩效考核等次</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当事人申请监督办理结果满意度</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29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部门（单位）自评结论</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该项目达到项目预期，在办理民事、行政、公益诉讼类案件方面收效良好。该项目高质量地完成了年初设定目标，并严格控制支出，未超预算。</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部门（单位）自评存在问题</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案件量逐年增大以及公益诉讼等检察重点工作的推进，项目经费容易超预算。</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部门（单位）自评改进措施</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运用现有资金，积极探索司法为民新途径，在为民办实事的广度、深度上再下功夫。</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财政部门对口科室复评结论及整改要求</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r>
        <w:tblPrEx>
          <w:tblCellMar>
            <w:top w:w="0" w:type="dxa"/>
            <w:left w:w="108" w:type="dxa"/>
            <w:bottom w:w="0" w:type="dxa"/>
            <w:right w:w="108" w:type="dxa"/>
          </w:tblCellMar>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财政部门科室负责人：</w:t>
            </w:r>
          </w:p>
        </w:tc>
      </w:tr>
    </w:tbl>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rFonts w:hAnsi="宋体" w:cs="宋体"/>
          <w:sz w:val="32"/>
          <w:szCs w:val="32"/>
          <w:shd w:val="clear" w:color="auto" w:fill="FFFFFF"/>
          <w:lang w:val="zh-CN"/>
        </w:rPr>
        <w:sectPr>
          <w:pgSz w:w="16838" w:h="11906" w:orient="landscape"/>
          <w:pgMar w:top="1800" w:right="1440" w:bottom="1800" w:left="1440" w:header="851" w:footer="992" w:gutter="0"/>
          <w:cols w:space="425" w:num="1"/>
          <w:titlePg/>
          <w:docGrid w:type="lines" w:linePitch="312" w:charSpace="0"/>
        </w:sectPr>
      </w:pPr>
    </w:p>
    <w:p>
      <w:pPr>
        <w:pStyle w:val="2"/>
        <w:spacing w:before="93"/>
        <w:outlineLvl w:val="1"/>
        <w:rPr>
          <w:sz w:val="32"/>
          <w:szCs w:val="32"/>
        </w:rPr>
      </w:pPr>
      <w:bookmarkStart w:id="94" w:name="_Toc13954"/>
      <w:r>
        <w:rPr>
          <w:rFonts w:hint="eastAsia" w:hAnsi="宋体" w:cs="宋体"/>
          <w:sz w:val="32"/>
          <w:szCs w:val="32"/>
          <w:shd w:val="clear" w:color="auto" w:fill="FFFFFF"/>
          <w:lang w:val="zh-CN"/>
        </w:rPr>
        <w:t>附件</w:t>
      </w:r>
      <w:r>
        <w:rPr>
          <w:rFonts w:hint="eastAsia" w:hAnsi="宋体" w:cs="宋体"/>
          <w:sz w:val="32"/>
          <w:szCs w:val="32"/>
          <w:shd w:val="clear" w:color="auto" w:fill="FFFFFF"/>
        </w:rPr>
        <w:t>4</w:t>
      </w:r>
      <w:bookmarkEnd w:id="94"/>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2022年广元市利州区人民检察院</w:t>
      </w:r>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机关运行保障项目支出绩效自评报告</w:t>
      </w:r>
    </w:p>
    <w:p>
      <w:pPr>
        <w:pStyle w:val="34"/>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720"/>
        <w:outlineLvl w:val="1"/>
        <w:rPr>
          <w:rFonts w:ascii="黑体" w:hAnsi="宋体" w:eastAsia="黑体"/>
          <w:sz w:val="32"/>
          <w:szCs w:val="32"/>
          <w:lang w:val="zh-CN"/>
        </w:rPr>
      </w:pPr>
      <w:bookmarkStart w:id="95" w:name="_Toc1291"/>
      <w:r>
        <w:rPr>
          <w:rFonts w:hint="eastAsia" w:ascii="黑体" w:hAnsi="宋体" w:eastAsia="黑体"/>
          <w:sz w:val="32"/>
          <w:szCs w:val="32"/>
        </w:rPr>
        <w:t>一、</w:t>
      </w:r>
      <w:r>
        <w:rPr>
          <w:rFonts w:hint="eastAsia" w:ascii="黑体" w:hAnsi="宋体" w:eastAsia="黑体"/>
          <w:sz w:val="32"/>
          <w:szCs w:val="32"/>
          <w:lang w:val="zh-CN"/>
        </w:rPr>
        <w:t>项目概况</w:t>
      </w:r>
      <w:bookmarkEnd w:id="95"/>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1．在该项目管理中的职能：利州区检察院按照职能，保障机关运行工作正常开展。</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2．项目立项、资金申报的依据：为了更好地保障机关运行，依据行政事业单位管理制度等有关规定，我院设立了机关运行保障项目，该项目为常年性、持续性项目。</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3．资金管理办法制定情况，资金支持具体项目的条件、范围与支持方式概况：截止</w:t>
      </w:r>
      <w:r>
        <w:rPr>
          <w:rFonts w:ascii="仿宋_GB2312" w:hAnsi="仿宋_GB2312" w:eastAsia="仿宋_GB2312" w:cs="仿宋_GB2312"/>
          <w:kern w:val="0"/>
          <w:sz w:val="32"/>
          <w:szCs w:val="32"/>
          <w:shd w:val="clear" w:color="auto" w:fill="FFFFFF"/>
          <w:lang w:val="zh-CN"/>
        </w:rPr>
        <w:t>202</w:t>
      </w:r>
      <w:r>
        <w:rPr>
          <w:rFonts w:hint="eastAsia" w:ascii="仿宋_GB2312" w:hAnsi="仿宋_GB2312" w:eastAsia="仿宋_GB2312" w:cs="仿宋_GB2312"/>
          <w:kern w:val="0"/>
          <w:sz w:val="32"/>
          <w:szCs w:val="32"/>
          <w:shd w:val="clear" w:color="auto" w:fill="FFFFFF"/>
          <w:lang w:val="zh-CN"/>
        </w:rPr>
        <w:t>2</w:t>
      </w:r>
      <w:r>
        <w:rPr>
          <w:rFonts w:ascii="仿宋_GB2312" w:hAnsi="仿宋_GB2312" w:eastAsia="仿宋_GB2312" w:cs="仿宋_GB2312"/>
          <w:kern w:val="0"/>
          <w:sz w:val="32"/>
          <w:szCs w:val="32"/>
          <w:shd w:val="clear" w:color="auto" w:fill="FFFFFF"/>
          <w:lang w:val="zh-CN"/>
        </w:rPr>
        <w:t>年12月31日</w:t>
      </w:r>
      <w:r>
        <w:rPr>
          <w:rFonts w:hint="eastAsia" w:ascii="仿宋_GB2312" w:hAnsi="仿宋_GB2312" w:eastAsia="仿宋_GB2312" w:cs="仿宋_GB2312"/>
          <w:kern w:val="0"/>
          <w:sz w:val="32"/>
          <w:szCs w:val="32"/>
          <w:shd w:val="clear" w:color="auto" w:fill="FFFFFF"/>
          <w:lang w:val="zh-CN"/>
        </w:rPr>
        <w:t>，该项目资金实际支出87.53万元，采用财政集中支付，严格按照预算执行专款专用，科学计划资金使用进度，每笔支出力求规范、合理。</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4．资金分配的原则及考虑因素：该项目年初预算92.9万元，到位92.9万元，为地方财政拨款。资金到位率100%，该项目资金全部及时、足额到位。</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560" w:lineRule="exact"/>
        <w:ind w:firstLine="720"/>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1．项目主要内容：机关基本运行保障费用，包括办公费、水电费、维修维护费、节能减排费等。</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2．项目实现的具体绩效目标：节能减排工作达标、中心工作达标、保障机关基本运转、水电费及时缴纳。</w:t>
      </w:r>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3．分析评价申报内容与实际相符，申报目标合理可行。</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spacing w:line="576" w:lineRule="exact"/>
        <w:ind w:firstLine="640" w:firstLineChars="200"/>
        <w:rPr>
          <w:rFonts w:ascii="仿宋" w:eastAsia="仿宋"/>
        </w:rPr>
      </w:pPr>
      <w:r>
        <w:rPr>
          <w:rFonts w:hint="eastAsia" w:ascii="仿宋" w:eastAsia="仿宋" w:cs="仿宋_GB2312"/>
          <w:sz w:val="32"/>
          <w:szCs w:val="32"/>
        </w:rPr>
        <w:t>1.前期准备：按照绩效自评工作要求，</w:t>
      </w:r>
      <w:r>
        <w:rPr>
          <w:rFonts w:ascii="仿宋" w:eastAsia="仿宋"/>
          <w:sz w:val="32"/>
          <w:szCs w:val="32"/>
        </w:rPr>
        <w:t>制订项目</w:t>
      </w:r>
      <w:r>
        <w:rPr>
          <w:rFonts w:hint="eastAsia" w:ascii="仿宋" w:eastAsia="仿宋"/>
          <w:sz w:val="32"/>
          <w:szCs w:val="32"/>
        </w:rPr>
        <w:t>设计</w:t>
      </w:r>
      <w:r>
        <w:rPr>
          <w:rFonts w:ascii="仿宋" w:eastAsia="仿宋"/>
          <w:sz w:val="32"/>
          <w:szCs w:val="32"/>
        </w:rPr>
        <w:t>方案，</w:t>
      </w:r>
      <w:r>
        <w:rPr>
          <w:rFonts w:hint="eastAsia" w:ascii="仿宋" w:eastAsia="仿宋" w:cs="仿宋_GB2312"/>
          <w:sz w:val="32"/>
          <w:szCs w:val="32"/>
        </w:rPr>
        <w:t>项目支出绩效评价实施方案，设计了绩效评价指标体系。</w:t>
      </w:r>
    </w:p>
    <w:p>
      <w:pPr>
        <w:spacing w:line="576" w:lineRule="exact"/>
        <w:ind w:firstLine="640" w:firstLineChars="200"/>
        <w:rPr>
          <w:rFonts w:ascii="仿宋_GB2312" w:cs="仿宋_GB2312"/>
          <w:lang w:val="zh-CN"/>
        </w:rPr>
      </w:pPr>
      <w:r>
        <w:rPr>
          <w:rFonts w:hint="eastAsia" w:ascii="仿宋" w:eastAsia="仿宋" w:cs="仿宋_GB2312"/>
          <w:sz w:val="32"/>
          <w:szCs w:val="32"/>
        </w:rPr>
        <w:t>2.组织实施：</w:t>
      </w:r>
      <w:r>
        <w:rPr>
          <w:rFonts w:hint="eastAsia" w:ascii="仿宋" w:eastAsia="仿宋"/>
          <w:sz w:val="32"/>
          <w:szCs w:val="32"/>
        </w:rPr>
        <w:t>编制资金预算，</w:t>
      </w:r>
      <w:r>
        <w:rPr>
          <w:rFonts w:ascii="仿宋" w:eastAsia="仿宋"/>
          <w:sz w:val="32"/>
          <w:szCs w:val="32"/>
        </w:rPr>
        <w:t>协调落实政府资金，负责项目资金管理</w:t>
      </w:r>
      <w:r>
        <w:rPr>
          <w:rFonts w:hint="eastAsia" w:ascii="仿宋" w:eastAsia="仿宋"/>
          <w:sz w:val="32"/>
          <w:szCs w:val="32"/>
        </w:rPr>
        <w:t>、</w:t>
      </w:r>
      <w:r>
        <w:rPr>
          <w:rFonts w:ascii="仿宋" w:eastAsia="仿宋"/>
          <w:sz w:val="32"/>
          <w:szCs w:val="32"/>
        </w:rPr>
        <w:t>支付</w:t>
      </w:r>
      <w:r>
        <w:rPr>
          <w:rFonts w:ascii="仿宋_GB2312" w:eastAsia="仿宋_GB2312" w:cs="仿宋_GB2312"/>
          <w:sz w:val="32"/>
          <w:szCs w:val="32"/>
          <w:lang w:val="zh-CN"/>
        </w:rPr>
        <w:t>。</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3.分析评价：在评价过程中收集资料进行归纳，汇总分析，依据智慧检察项目支出绩效评价指标体系进行了评分，形成了综合性书面报告</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outlineLvl w:val="1"/>
        <w:rPr>
          <w:rFonts w:ascii="黑体" w:hAnsi="宋体" w:eastAsia="黑体"/>
          <w:sz w:val="32"/>
          <w:szCs w:val="32"/>
        </w:rPr>
      </w:pPr>
      <w:bookmarkStart w:id="96" w:name="_Toc11971"/>
      <w:r>
        <w:rPr>
          <w:rFonts w:hint="eastAsia" w:ascii="黑体" w:hAnsi="宋体" w:eastAsia="黑体"/>
          <w:sz w:val="32"/>
          <w:szCs w:val="32"/>
        </w:rPr>
        <w:t>二、项目资金申报及使用情况</w:t>
      </w:r>
      <w:bookmarkEnd w:id="96"/>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578" w:lineRule="exact"/>
        <w:ind w:firstLine="640" w:firstLineChars="200"/>
        <w:contextualSpacing/>
        <w:rPr>
          <w:rFonts w:ascii="仿宋" w:eastAsia="仿宋" w:cs="仿宋_GB2312"/>
          <w:sz w:val="32"/>
          <w:szCs w:val="32"/>
        </w:rPr>
      </w:pPr>
      <w:r>
        <w:rPr>
          <w:rFonts w:hint="eastAsia" w:ascii="仿宋" w:eastAsia="仿宋" w:cs="仿宋_GB2312"/>
          <w:sz w:val="32"/>
          <w:szCs w:val="32"/>
        </w:rPr>
        <w:t>该项目年初预算92.9万元，到位92.9万元，为地方财政拨款。资金到位率100%，绩效目标设置上，我院从收集、上报、筛查、费用控制和可持续发展上明确了合理的目标任务，符合实际。</w:t>
      </w:r>
    </w:p>
    <w:p>
      <w:pPr>
        <w:adjustRightInd w:val="0"/>
        <w:snapToGrid w:val="0"/>
        <w:spacing w:line="578"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ascii="仿宋" w:eastAsia="仿宋" w:cs="仿宋_GB2312"/>
          <w:sz w:val="32"/>
          <w:szCs w:val="32"/>
        </w:rPr>
        <w:t>项目</w:t>
      </w:r>
      <w:r>
        <w:rPr>
          <w:rFonts w:hint="eastAsia" w:ascii="仿宋" w:eastAsia="仿宋" w:cs="仿宋_GB2312"/>
          <w:sz w:val="32"/>
          <w:szCs w:val="32"/>
        </w:rPr>
        <w:t>资金年初预算资金92.9万元，并于批复后下达指标</w:t>
      </w:r>
      <w:r>
        <w:rPr>
          <w:rFonts w:ascii="仿宋" w:eastAsia="仿宋" w:cs="仿宋_GB2312"/>
          <w:sz w:val="32"/>
          <w:szCs w:val="32"/>
        </w:rPr>
        <w:t>，</w:t>
      </w:r>
      <w:r>
        <w:rPr>
          <w:rFonts w:hint="eastAsia" w:ascii="仿宋" w:eastAsia="仿宋" w:cs="仿宋_GB2312"/>
          <w:sz w:val="32"/>
          <w:szCs w:val="32"/>
        </w:rPr>
        <w:t>2022年项目实际到位资金92.9万元，资金到位率100%。</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2．资金到位。</w:t>
      </w:r>
      <w:r>
        <w:rPr>
          <w:rFonts w:ascii="仿宋" w:eastAsia="仿宋" w:cs="仿宋_GB2312"/>
          <w:sz w:val="32"/>
          <w:szCs w:val="32"/>
        </w:rPr>
        <w:t>项目</w:t>
      </w:r>
      <w:r>
        <w:rPr>
          <w:rFonts w:hint="eastAsia" w:ascii="仿宋" w:eastAsia="仿宋" w:cs="仿宋_GB2312"/>
          <w:sz w:val="32"/>
          <w:szCs w:val="32"/>
        </w:rPr>
        <w:t>资金年初预算资金92.9万元，并于批复后下达指标</w:t>
      </w:r>
      <w:r>
        <w:rPr>
          <w:rFonts w:ascii="仿宋" w:eastAsia="仿宋" w:cs="仿宋_GB2312"/>
          <w:sz w:val="32"/>
          <w:szCs w:val="32"/>
        </w:rPr>
        <w:t>，</w:t>
      </w:r>
      <w:r>
        <w:rPr>
          <w:rFonts w:hint="eastAsia" w:ascii="仿宋" w:eastAsia="仿宋" w:cs="仿宋_GB2312"/>
          <w:sz w:val="32"/>
          <w:szCs w:val="32"/>
        </w:rPr>
        <w:t>2022年项目实际到位资金92.9万元，资金到位率100%。</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3．资金使用。</w:t>
      </w:r>
      <w:r>
        <w:rPr>
          <w:rFonts w:hint="eastAsia" w:ascii="仿宋" w:eastAsia="仿宋" w:cs="仿宋_GB2312"/>
          <w:sz w:val="32"/>
          <w:szCs w:val="32"/>
        </w:rPr>
        <w:t>截止</w:t>
      </w:r>
      <w:r>
        <w:rPr>
          <w:rFonts w:ascii="仿宋" w:eastAsia="仿宋" w:cs="仿宋_GB2312"/>
          <w:sz w:val="32"/>
          <w:szCs w:val="32"/>
        </w:rPr>
        <w:t>202</w:t>
      </w:r>
      <w:r>
        <w:rPr>
          <w:rFonts w:hint="eastAsia" w:ascii="仿宋" w:eastAsia="仿宋" w:cs="仿宋_GB2312"/>
          <w:sz w:val="32"/>
          <w:szCs w:val="32"/>
        </w:rPr>
        <w:t>2</w:t>
      </w:r>
      <w:r>
        <w:rPr>
          <w:rFonts w:ascii="仿宋" w:eastAsia="仿宋" w:cs="仿宋_GB2312"/>
          <w:sz w:val="32"/>
          <w:szCs w:val="32"/>
        </w:rPr>
        <w:t>年12月31日</w:t>
      </w:r>
      <w:r>
        <w:rPr>
          <w:rFonts w:hint="eastAsia" w:ascii="仿宋" w:eastAsia="仿宋" w:cs="仿宋_GB2312"/>
          <w:sz w:val="32"/>
          <w:szCs w:val="32"/>
        </w:rPr>
        <w:t>，</w:t>
      </w:r>
      <w:r>
        <w:rPr>
          <w:rFonts w:ascii="仿宋" w:eastAsia="仿宋" w:cs="仿宋_GB2312"/>
          <w:sz w:val="32"/>
          <w:szCs w:val="32"/>
        </w:rPr>
        <w:t>项目</w:t>
      </w:r>
      <w:r>
        <w:rPr>
          <w:rFonts w:hint="eastAsia" w:ascii="仿宋" w:eastAsia="仿宋" w:cs="仿宋_GB2312"/>
          <w:sz w:val="32"/>
          <w:szCs w:val="32"/>
        </w:rPr>
        <w:t>资金</w:t>
      </w:r>
      <w:r>
        <w:rPr>
          <w:rFonts w:ascii="仿宋" w:eastAsia="仿宋" w:cs="仿宋_GB2312"/>
          <w:sz w:val="32"/>
          <w:szCs w:val="32"/>
        </w:rPr>
        <w:t>使用</w:t>
      </w:r>
      <w:r>
        <w:rPr>
          <w:rFonts w:hint="eastAsia" w:ascii="仿宋" w:eastAsia="仿宋" w:cs="仿宋_GB2312"/>
          <w:sz w:val="32"/>
          <w:szCs w:val="32"/>
        </w:rPr>
        <w:t>87.53万元</w:t>
      </w:r>
      <w:r>
        <w:rPr>
          <w:rFonts w:ascii="仿宋" w:eastAsia="仿宋" w:cs="仿宋_GB2312"/>
          <w:sz w:val="32"/>
          <w:szCs w:val="32"/>
        </w:rPr>
        <w:t>，</w:t>
      </w:r>
      <w:r>
        <w:rPr>
          <w:rFonts w:hint="eastAsia" w:ascii="仿宋" w:eastAsia="仿宋" w:cs="仿宋_GB2312"/>
          <w:sz w:val="32"/>
          <w:szCs w:val="32"/>
        </w:rPr>
        <w:t>完成率94.22</w:t>
      </w:r>
      <w:r>
        <w:rPr>
          <w:rFonts w:ascii="仿宋" w:eastAsia="仿宋" w:cs="仿宋_GB2312"/>
          <w:sz w:val="32"/>
          <w:szCs w:val="32"/>
        </w:rPr>
        <w:t>%</w:t>
      </w:r>
      <w:r>
        <w:rPr>
          <w:rFonts w:hint="eastAsia" w:ascii="仿宋" w:eastAsia="仿宋" w:cs="仿宋_GB2312"/>
          <w:sz w:val="32"/>
          <w:szCs w:val="32"/>
        </w:rPr>
        <w:t>。</w:t>
      </w:r>
    </w:p>
    <w:p>
      <w:pPr>
        <w:widowControl/>
        <w:adjustRightInd w:val="0"/>
        <w:snapToGrid w:val="0"/>
        <w:spacing w:line="578" w:lineRule="exact"/>
        <w:ind w:firstLine="643" w:firstLineChars="200"/>
        <w:contextualSpacing/>
        <w:jc w:val="left"/>
        <w:rPr>
          <w:rFonts w:ascii="楷体" w:hAnsi="楷体" w:eastAsia="楷体"/>
          <w:b/>
          <w:sz w:val="32"/>
          <w:szCs w:val="32"/>
          <w:lang w:val="zh-CN"/>
        </w:rPr>
      </w:pPr>
      <w:r>
        <w:rPr>
          <w:rFonts w:hint="eastAsia" w:ascii="楷体" w:hAnsi="楷体" w:eastAsia="楷体"/>
          <w:b/>
          <w:sz w:val="32"/>
          <w:szCs w:val="32"/>
          <w:lang w:val="zh-CN"/>
        </w:rPr>
        <w:t>（三）项目财务管理情况。</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 w:eastAsia="仿宋" w:cs="仿宋_GB2312"/>
          <w:sz w:val="32"/>
          <w:szCs w:val="32"/>
        </w:rPr>
        <w:t>我院财务管理制度健全，并严格执行财务管理制度，账务处理及时准确，会计核算规范</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outlineLvl w:val="1"/>
        <w:rPr>
          <w:rFonts w:ascii="黑体" w:hAnsi="宋体" w:eastAsia="黑体"/>
          <w:sz w:val="32"/>
          <w:szCs w:val="32"/>
        </w:rPr>
      </w:pPr>
      <w:bookmarkStart w:id="97" w:name="_Toc14742"/>
      <w:r>
        <w:rPr>
          <w:rFonts w:hint="eastAsia" w:ascii="黑体" w:hAnsi="宋体" w:eastAsia="黑体"/>
          <w:sz w:val="32"/>
          <w:szCs w:val="32"/>
        </w:rPr>
        <w:t>三、项目实施及管理情况</w:t>
      </w:r>
      <w:bookmarkEnd w:id="97"/>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6" w:lineRule="exact"/>
        <w:ind w:firstLine="643" w:firstLineChars="200"/>
        <w:rPr>
          <w:rFonts w:ascii="楷体_GB2312" w:eastAsia="楷体_GB2312"/>
          <w:lang w:val="zh-CN"/>
        </w:rPr>
      </w:pPr>
      <w:r>
        <w:rPr>
          <w:rFonts w:hint="eastAsia" w:ascii="楷体" w:hAnsi="楷体" w:eastAsia="楷体"/>
          <w:b/>
          <w:sz w:val="32"/>
          <w:szCs w:val="32"/>
          <w:lang w:val="zh-CN"/>
        </w:rPr>
        <w:t>（一）项目组织架构及实施流程。</w:t>
      </w:r>
      <w:r>
        <w:rPr>
          <w:rFonts w:hint="eastAsia" w:ascii="仿宋_GB2312" w:eastAsia="仿宋_GB2312" w:cs="仿宋_GB2312"/>
          <w:sz w:val="32"/>
          <w:szCs w:val="32"/>
          <w:lang w:val="zh-CN"/>
        </w:rPr>
        <w:t>按绩效事前评估、绩效目标管理、绩效运行监控、绩效评价管理、评价结果应用等各环节</w:t>
      </w:r>
      <w:r>
        <w:rPr>
          <w:rFonts w:hint="eastAsia" w:ascii="仿宋_GB2312" w:cs="仿宋_GB2312"/>
          <w:sz w:val="32"/>
          <w:szCs w:val="32"/>
          <w:lang w:val="zh-CN"/>
        </w:rPr>
        <w:t>实施</w:t>
      </w:r>
      <w:r>
        <w:rPr>
          <w:rFonts w:hint="eastAsia" w:ascii="仿宋_GB2312" w:eastAsia="仿宋_GB2312" w:cs="仿宋_GB2312"/>
          <w:sz w:val="32"/>
          <w:szCs w:val="32"/>
          <w:lang w:val="zh-CN"/>
        </w:rPr>
        <w:t>管理流程</w:t>
      </w:r>
      <w:r>
        <w:rPr>
          <w:rFonts w:hint="eastAsia" w:ascii="仿宋_GB2312" w:cs="仿宋_GB2312"/>
          <w:sz w:val="32"/>
          <w:szCs w:val="32"/>
          <w:lang w:val="zh-CN"/>
        </w:rPr>
        <w:t>。</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（二）项目管理情况。</w:t>
      </w:r>
      <w:r>
        <w:rPr>
          <w:rFonts w:hint="eastAsia" w:ascii="仿宋" w:eastAsia="仿宋"/>
          <w:sz w:val="32"/>
          <w:szCs w:val="32"/>
          <w:lang w:val="zh-CN"/>
        </w:rPr>
        <w:t>项目实施过程中，严格执行相关法律法规及项目管理制度，资金使用符合规定，项目成果达到预期</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仿宋" w:eastAsia="仿宋"/>
          <w:sz w:val="32"/>
          <w:szCs w:val="32"/>
          <w:lang w:val="zh-CN"/>
        </w:rPr>
      </w:pPr>
      <w:r>
        <w:rPr>
          <w:rFonts w:hint="eastAsia" w:ascii="楷体" w:hAnsi="楷体" w:eastAsia="楷体"/>
          <w:b/>
          <w:sz w:val="32"/>
          <w:szCs w:val="32"/>
          <w:lang w:val="zh-CN"/>
        </w:rPr>
        <w:t>（三）项目监管情况。</w:t>
      </w:r>
      <w:r>
        <w:rPr>
          <w:rFonts w:hint="eastAsia" w:ascii="仿宋" w:eastAsia="仿宋"/>
          <w:sz w:val="32"/>
          <w:szCs w:val="32"/>
          <w:lang w:val="zh-CN"/>
        </w:rPr>
        <w:t>严格按照预算执行专款专用，科学计划资金使用进度，每笔支出力求规范、合理。</w:t>
      </w:r>
    </w:p>
    <w:p>
      <w:pPr>
        <w:adjustRightInd w:val="0"/>
        <w:snapToGrid w:val="0"/>
        <w:spacing w:line="578" w:lineRule="exact"/>
        <w:ind w:firstLine="720"/>
        <w:outlineLvl w:val="1"/>
        <w:rPr>
          <w:rFonts w:ascii="黑体" w:hAnsi="宋体" w:eastAsia="黑体"/>
          <w:sz w:val="32"/>
          <w:szCs w:val="32"/>
        </w:rPr>
      </w:pPr>
      <w:bookmarkStart w:id="98" w:name="_Toc26968"/>
      <w:r>
        <w:rPr>
          <w:rFonts w:hint="eastAsia" w:ascii="黑体" w:hAnsi="宋体" w:eastAsia="黑体"/>
          <w:sz w:val="32"/>
          <w:szCs w:val="32"/>
        </w:rPr>
        <w:t>四、项目绩效情况</w:t>
      </w:r>
      <w:bookmarkEnd w:id="98"/>
      <w:r>
        <w:rPr>
          <w:rFonts w:hint="eastAsia" w:ascii="黑体" w:hAnsi="宋体" w:eastAsia="黑体"/>
          <w:sz w:val="32"/>
          <w:szCs w:val="32"/>
        </w:rPr>
        <w:tab/>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576" w:lineRule="exact"/>
        <w:ind w:firstLine="640" w:firstLineChars="200"/>
        <w:rPr>
          <w:rFonts w:ascii="仿宋" w:eastAsia="仿宋"/>
          <w:sz w:val="32"/>
          <w:szCs w:val="32"/>
          <w:lang w:val="zh-CN"/>
        </w:rPr>
      </w:pPr>
      <w:r>
        <w:rPr>
          <w:rFonts w:hint="eastAsia" w:asci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578" w:lineRule="exact"/>
        <w:ind w:firstLine="640" w:firstLineChars="200"/>
        <w:contextualSpacing/>
        <w:rPr>
          <w:rFonts w:ascii="仿宋" w:eastAsia="仿宋"/>
          <w:sz w:val="32"/>
          <w:szCs w:val="32"/>
          <w:lang w:val="zh-CN"/>
        </w:rPr>
      </w:pPr>
      <w:r>
        <w:rPr>
          <w:rFonts w:hint="eastAsia" w:ascii="仿宋" w:eastAsia="仿宋"/>
          <w:sz w:val="32"/>
          <w:szCs w:val="32"/>
          <w:lang w:val="zh-CN"/>
        </w:rPr>
        <w:t>该项目经济效益、社会效益、生态效益、可持续效益以及服务对象满意度等方面均实现了项目的预计效益。</w:t>
      </w:r>
    </w:p>
    <w:p>
      <w:pPr>
        <w:adjustRightInd w:val="0"/>
        <w:snapToGrid w:val="0"/>
        <w:spacing w:line="578" w:lineRule="exact"/>
        <w:ind w:firstLine="720"/>
        <w:outlineLvl w:val="1"/>
        <w:rPr>
          <w:rFonts w:ascii="黑体" w:hAnsi="宋体" w:eastAsia="黑体"/>
          <w:sz w:val="32"/>
          <w:szCs w:val="32"/>
        </w:rPr>
      </w:pPr>
      <w:bookmarkStart w:id="99" w:name="_Toc28882"/>
      <w:r>
        <w:rPr>
          <w:rFonts w:hint="eastAsia" w:ascii="黑体" w:hAnsi="宋体" w:eastAsia="黑体"/>
          <w:sz w:val="32"/>
          <w:szCs w:val="32"/>
        </w:rPr>
        <w:t>五、评价结论及建议</w:t>
      </w:r>
      <w:bookmarkEnd w:id="99"/>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adjustRightInd w:val="0"/>
        <w:snapToGrid w:val="0"/>
        <w:spacing w:line="578" w:lineRule="exact"/>
        <w:ind w:firstLine="640" w:firstLineChars="200"/>
        <w:contextualSpacing/>
        <w:rPr>
          <w:rFonts w:ascii="仿宋" w:eastAsia="仿宋"/>
          <w:sz w:val="32"/>
          <w:szCs w:val="32"/>
          <w:lang w:val="zh-CN"/>
        </w:rPr>
      </w:pPr>
      <w:r>
        <w:rPr>
          <w:rFonts w:hint="eastAsia" w:ascii="仿宋" w:eastAsia="仿宋"/>
          <w:sz w:val="32"/>
          <w:szCs w:val="32"/>
          <w:lang w:val="zh-CN"/>
        </w:rPr>
        <w:t>该项目达到目标任务预期，机关各项工作任务均达标，完成了年初设定目标。</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578" w:lineRule="exact"/>
        <w:ind w:firstLine="640" w:firstLineChars="200"/>
        <w:contextualSpacing/>
        <w:rPr>
          <w:rFonts w:ascii="仿宋_GB2312" w:hAnsi="仿宋_GB2312" w:cs="仿宋_GB2312"/>
          <w:kern w:val="0"/>
          <w:shd w:val="clear" w:color="auto" w:fill="FFFFFF"/>
        </w:rPr>
      </w:pPr>
      <w:r>
        <w:rPr>
          <w:rFonts w:hint="eastAsia" w:ascii="仿宋_GB2312" w:hAnsi="仿宋_GB2312" w:eastAsia="仿宋_GB2312" w:cs="仿宋_GB2312"/>
          <w:kern w:val="0"/>
          <w:sz w:val="32"/>
          <w:szCs w:val="32"/>
          <w:shd w:val="clear" w:color="auto" w:fill="FFFFFF"/>
          <w:lang w:val="zh-CN"/>
        </w:rPr>
        <w:t>检察官检察绩效按考核结果发放，由于2023年1月才出绩效考核结果，因此</w:t>
      </w:r>
      <w:r>
        <w:rPr>
          <w:rFonts w:hint="eastAsia" w:ascii="仿宋_GB2312" w:hAnsi="仿宋_GB2312" w:cs="仿宋_GB2312"/>
          <w:kern w:val="0"/>
          <w:sz w:val="32"/>
          <w:szCs w:val="32"/>
          <w:shd w:val="clear" w:color="auto" w:fill="FFFFFF"/>
          <w:lang w:val="zh-CN"/>
        </w:rPr>
        <w:t>该项目部分资金</w:t>
      </w:r>
      <w:r>
        <w:rPr>
          <w:rFonts w:hint="eastAsia" w:ascii="仿宋_GB2312" w:hAnsi="仿宋_GB2312" w:eastAsia="仿宋_GB2312" w:cs="仿宋_GB2312"/>
          <w:kern w:val="0"/>
          <w:sz w:val="32"/>
          <w:szCs w:val="32"/>
          <w:shd w:val="clear" w:color="auto" w:fill="FFFFFF"/>
          <w:lang w:val="zh-CN"/>
        </w:rPr>
        <w:t>未在2022年12月31日前发放</w:t>
      </w:r>
      <w:r>
        <w:rPr>
          <w:rFonts w:hint="eastAsia" w:ascii="仿宋_GB2312" w:hAnsi="仿宋_GB2312" w:cs="仿宋_GB2312"/>
          <w:kern w:val="0"/>
          <w:sz w:val="32"/>
          <w:szCs w:val="32"/>
          <w:shd w:val="clear" w:color="auto" w:fill="FFFFFF"/>
          <w:lang w:val="zh-CN"/>
        </w:rPr>
        <w:t>完成</w:t>
      </w:r>
      <w:r>
        <w:rPr>
          <w:rFonts w:hint="eastAsia" w:ascii="仿宋_GB2312" w:hAnsi="仿宋_GB2312" w:eastAsia="仿宋_GB2312" w:cs="仿宋_GB2312"/>
          <w:kern w:val="0"/>
          <w:sz w:val="32"/>
          <w:szCs w:val="32"/>
          <w:shd w:val="clear" w:color="auto" w:fill="FFFFFF"/>
          <w:lang w:val="zh-CN"/>
        </w:rPr>
        <w:t>，考核结果出来后，该部分资金发放完毕</w:t>
      </w:r>
      <w:r>
        <w:rPr>
          <w:rFonts w:hint="eastAsia" w:ascii="仿宋_GB2312" w:hAnsi="仿宋_GB2312" w:eastAsia="仿宋_GB2312" w:cs="仿宋_GB2312"/>
          <w:kern w:val="0"/>
          <w:sz w:val="32"/>
          <w:szCs w:val="32"/>
          <w:shd w:val="clear" w:color="auto" w:fill="FFFFFF"/>
        </w:rPr>
        <w:t>。</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（三）相关建议。</w:t>
      </w:r>
    </w:p>
    <w:p>
      <w:pPr>
        <w:adjustRightInd w:val="0"/>
        <w:snapToGrid w:val="0"/>
        <w:spacing w:line="578"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完善机关管理制度，提高项目资金使用效率，</w:t>
      </w:r>
      <w:r>
        <w:rPr>
          <w:rFonts w:hint="eastAsia" w:ascii="仿宋_GB2312" w:hAnsi="仿宋_GB2312" w:cs="仿宋_GB2312"/>
          <w:kern w:val="0"/>
          <w:sz w:val="32"/>
          <w:szCs w:val="32"/>
          <w:shd w:val="clear" w:color="auto" w:fill="FFFFFF"/>
          <w:lang w:val="zh-CN"/>
        </w:rPr>
        <w:t>尽量</w:t>
      </w:r>
      <w:r>
        <w:rPr>
          <w:rFonts w:hint="eastAsia" w:ascii="仿宋_GB2312" w:hAnsi="仿宋_GB2312" w:eastAsia="仿宋_GB2312" w:cs="仿宋_GB2312"/>
          <w:kern w:val="0"/>
          <w:sz w:val="32"/>
          <w:szCs w:val="32"/>
          <w:shd w:val="clear" w:color="auto" w:fill="FFFFFF"/>
          <w:lang w:val="zh-CN"/>
        </w:rPr>
        <w:t>在当年内使用完毕。</w:t>
      </w: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rPr>
          <w:rFonts w:hAnsi="宋体" w:cs="宋体"/>
          <w:sz w:val="32"/>
          <w:szCs w:val="32"/>
          <w:shd w:val="clear" w:color="auto" w:fill="FFFFFF"/>
          <w:lang w:val="zh-CN"/>
        </w:rPr>
        <w:sectPr>
          <w:pgSz w:w="11906" w:h="16838"/>
          <w:pgMar w:top="1440" w:right="1800" w:bottom="1440" w:left="1800" w:header="851" w:footer="992" w:gutter="0"/>
          <w:cols w:space="425" w:num="1"/>
          <w:titlePg/>
          <w:docGrid w:type="lines" w:linePitch="312" w:charSpace="0"/>
        </w:sectPr>
      </w:pPr>
    </w:p>
    <w:tbl>
      <w:tblPr>
        <w:tblStyle w:val="15"/>
        <w:tblW w:w="4997" w:type="pct"/>
        <w:tblInd w:w="0" w:type="dxa"/>
        <w:tblLayout w:type="autofit"/>
        <w:tblCellMar>
          <w:top w:w="0" w:type="dxa"/>
          <w:left w:w="108" w:type="dxa"/>
          <w:bottom w:w="0" w:type="dxa"/>
          <w:right w:w="108" w:type="dxa"/>
        </w:tblCellMar>
      </w:tblPr>
      <w:tblGrid>
        <w:gridCol w:w="1455"/>
        <w:gridCol w:w="1513"/>
        <w:gridCol w:w="1227"/>
        <w:gridCol w:w="1264"/>
        <w:gridCol w:w="448"/>
        <w:gridCol w:w="1071"/>
        <w:gridCol w:w="450"/>
        <w:gridCol w:w="938"/>
        <w:gridCol w:w="669"/>
        <w:gridCol w:w="824"/>
        <w:gridCol w:w="1006"/>
        <w:gridCol w:w="3300"/>
      </w:tblGrid>
      <w:tr>
        <w:tblPrEx>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机关运行保障项目支出绩效目标自评表（2022年度）</w:t>
            </w:r>
          </w:p>
        </w:tc>
      </w:tr>
      <w:tr>
        <w:tblPrEx>
          <w:tblCellMar>
            <w:top w:w="0" w:type="dxa"/>
            <w:left w:w="108" w:type="dxa"/>
            <w:bottom w:w="0" w:type="dxa"/>
            <w:right w:w="108" w:type="dxa"/>
          </w:tblCellMar>
        </w:tblPrEx>
        <w:trPr>
          <w:trHeight w:val="66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机关运行保障</w:t>
            </w:r>
          </w:p>
        </w:tc>
      </w:tr>
      <w:tr>
        <w:tblPrEx>
          <w:tblCellMar>
            <w:top w:w="0" w:type="dxa"/>
            <w:left w:w="108" w:type="dxa"/>
            <w:bottom w:w="0" w:type="dxa"/>
            <w:right w:w="108" w:type="dxa"/>
          </w:tblCellMar>
        </w:tblPrEx>
        <w:trPr>
          <w:trHeight w:val="64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主管部门（盖章）</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实施单位 （盖章）</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r>
      <w:tr>
        <w:tblPrEx>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项目基本情况</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1.项目年度目标完成情况</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项目年度目标</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机关基本运行保障费用，包括办公费、水电费、维修维护费、节能减排费等。</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项目结余资金5.37万元，该结余资金为检察官检察绩效考核资金，由于2023年1月才出绩效考核结果，因此未在2022年12月31日前发放，考核结果出来后，该部分资金发放完毕。</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2.项目实施内容及过程概述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严格按照一般公共预算资金管理的有关规定使用，支付凭据依据费用报销管理制度严格履行审批手续，项目资金使用率高，完成率94.22%。</w:t>
            </w:r>
          </w:p>
        </w:tc>
      </w:tr>
      <w:tr>
        <w:tblPrEx>
          <w:tblCellMar>
            <w:top w:w="0" w:type="dxa"/>
            <w:left w:w="108" w:type="dxa"/>
            <w:bottom w:w="0" w:type="dxa"/>
            <w:right w:w="108" w:type="dxa"/>
          </w:tblCellMar>
        </w:tblPrEx>
        <w:trPr>
          <w:trHeight w:val="94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预算执行情况（10分）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年度预算数（万元）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年初预算</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调整后预算数</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92.9</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87.53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其中：财政资金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92.9</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87.53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其他资金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绩效指标（90分）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度量单位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保障机关基本运转</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12个月</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水电费等缴纳及时性</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月</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每月按时缴纳</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机关运行项目成本</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108.74</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万元</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87.53万元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检察官检察绩效按考核结果发放，考核结果出来后，该部分资金发放完毕。</w:t>
            </w: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节能减排工作达标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节能减排达标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中心工作达标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定性</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中心工作达标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可持续影响指标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持续落实各项制度</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年</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持续落实各项制度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人民群众满意度</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29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97.11</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部门（单位）自评结论</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该项目达到目标任务预期，机关各项工作任务均达标。</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部门（单位）自评存在问题</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项目资金未在2022年12月31日前支付完毕，导致资金使用率降低。</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部门（单位）自评改进措施</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完善机关管理相关制度，提高项目资金使用效率，在当年内使用完毕。</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财政部门对口科室复评结论及整改要求</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r>
        <w:tblPrEx>
          <w:tblCellMar>
            <w:top w:w="0" w:type="dxa"/>
            <w:left w:w="108" w:type="dxa"/>
            <w:bottom w:w="0" w:type="dxa"/>
            <w:right w:w="108" w:type="dxa"/>
          </w:tblCellMar>
        </w:tblPrEx>
        <w:trPr>
          <w:trHeight w:val="9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财政部门科室负责人：</w:t>
            </w:r>
          </w:p>
        </w:tc>
      </w:tr>
    </w:tbl>
    <w:p>
      <w:pPr>
        <w:rPr>
          <w:rFonts w:hAnsi="宋体" w:cs="宋体"/>
          <w:sz w:val="32"/>
          <w:szCs w:val="32"/>
          <w:shd w:val="clear" w:color="auto" w:fill="FFFFFF"/>
          <w:lang w:val="zh-CN"/>
        </w:rPr>
      </w:pPr>
      <w:r>
        <w:rPr>
          <w:rFonts w:hint="eastAsia" w:hAnsi="宋体" w:cs="宋体"/>
          <w:sz w:val="32"/>
          <w:szCs w:val="32"/>
          <w:shd w:val="clear" w:color="auto" w:fill="FFFFFF"/>
          <w:lang w:val="zh-CN"/>
        </w:rPr>
        <w:br w:type="page"/>
      </w:r>
    </w:p>
    <w:p>
      <w:pPr>
        <w:pStyle w:val="2"/>
        <w:spacing w:before="93"/>
        <w:rPr>
          <w:rFonts w:hAnsi="宋体" w:cs="宋体"/>
          <w:sz w:val="32"/>
          <w:szCs w:val="32"/>
          <w:shd w:val="clear" w:color="auto" w:fill="FFFFFF"/>
          <w:lang w:val="zh-CN"/>
        </w:rPr>
        <w:sectPr>
          <w:pgSz w:w="16838" w:h="11906" w:orient="landscape"/>
          <w:pgMar w:top="1800" w:right="1440" w:bottom="1800" w:left="1440" w:header="851" w:footer="992" w:gutter="0"/>
          <w:cols w:space="425" w:num="1"/>
          <w:titlePg/>
          <w:docGrid w:type="lines" w:linePitch="312" w:charSpace="0"/>
        </w:sectPr>
      </w:pPr>
    </w:p>
    <w:p>
      <w:pPr>
        <w:pStyle w:val="2"/>
        <w:spacing w:before="93"/>
        <w:outlineLvl w:val="1"/>
        <w:rPr>
          <w:sz w:val="32"/>
          <w:szCs w:val="32"/>
        </w:rPr>
      </w:pPr>
      <w:bookmarkStart w:id="100" w:name="_Toc16343"/>
      <w:r>
        <w:rPr>
          <w:rFonts w:hint="eastAsia" w:hAnsi="宋体" w:cs="宋体"/>
          <w:sz w:val="32"/>
          <w:szCs w:val="32"/>
          <w:shd w:val="clear" w:color="auto" w:fill="FFFFFF"/>
          <w:lang w:val="zh-CN"/>
        </w:rPr>
        <w:t>附件</w:t>
      </w:r>
      <w:r>
        <w:rPr>
          <w:rFonts w:hint="eastAsia" w:hAnsi="宋体" w:cs="宋体"/>
          <w:sz w:val="32"/>
          <w:szCs w:val="32"/>
          <w:shd w:val="clear" w:color="auto" w:fill="FFFFFF"/>
        </w:rPr>
        <w:t>5</w:t>
      </w:r>
      <w:bookmarkEnd w:id="100"/>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2022年广元市利州区人民检察院</w:t>
      </w:r>
    </w:p>
    <w:p>
      <w:pPr>
        <w:pStyle w:val="34"/>
        <w:spacing w:line="578" w:lineRule="exact"/>
        <w:jc w:val="center"/>
        <w:rPr>
          <w:rFonts w:cs="方正小标宋简体" w:asciiTheme="majorEastAsia" w:hAnsiTheme="majorEastAsia" w:eastAsiaTheme="majorEastAsia"/>
          <w:color w:val="auto"/>
          <w:kern w:val="2"/>
          <w:sz w:val="36"/>
          <w:szCs w:val="36"/>
          <w:lang w:val="en-US"/>
        </w:rPr>
      </w:pPr>
      <w:r>
        <w:rPr>
          <w:rFonts w:hint="eastAsia" w:cs="方正小标宋简体" w:asciiTheme="majorEastAsia" w:hAnsiTheme="majorEastAsia" w:eastAsiaTheme="majorEastAsia"/>
          <w:color w:val="auto"/>
          <w:kern w:val="2"/>
          <w:sz w:val="36"/>
          <w:szCs w:val="36"/>
          <w:lang w:val="en-US"/>
        </w:rPr>
        <w:t>检察业务及辅助项目支出绩效自评报告</w:t>
      </w:r>
    </w:p>
    <w:p>
      <w:pPr>
        <w:pStyle w:val="34"/>
        <w:spacing w:line="578" w:lineRule="exact"/>
        <w:ind w:firstLine="640"/>
        <w:jc w:val="center"/>
        <w:rPr>
          <w:rFonts w:ascii="宋体" w:hAnsi="宋体"/>
          <w:color w:val="auto"/>
          <w:kern w:val="2"/>
          <w:sz w:val="32"/>
          <w:szCs w:val="32"/>
          <w:lang w:val="en-US"/>
        </w:rPr>
      </w:pPr>
    </w:p>
    <w:p>
      <w:pPr>
        <w:adjustRightInd w:val="0"/>
        <w:snapToGrid w:val="0"/>
        <w:spacing w:line="578" w:lineRule="exact"/>
        <w:ind w:firstLine="720"/>
        <w:outlineLvl w:val="1"/>
        <w:rPr>
          <w:rFonts w:ascii="黑体" w:hAnsi="宋体" w:eastAsia="黑体"/>
          <w:sz w:val="32"/>
          <w:szCs w:val="32"/>
          <w:lang w:val="zh-CN"/>
        </w:rPr>
      </w:pPr>
      <w:bookmarkStart w:id="101" w:name="_Toc25949"/>
      <w:r>
        <w:rPr>
          <w:rFonts w:hint="eastAsia" w:ascii="黑体" w:hAnsi="宋体" w:eastAsia="黑体"/>
          <w:sz w:val="32"/>
          <w:szCs w:val="32"/>
        </w:rPr>
        <w:t>一、</w:t>
      </w:r>
      <w:r>
        <w:rPr>
          <w:rFonts w:hint="eastAsia" w:ascii="黑体" w:hAnsi="宋体" w:eastAsia="黑体"/>
          <w:sz w:val="32"/>
          <w:szCs w:val="32"/>
          <w:lang w:val="zh-CN"/>
        </w:rPr>
        <w:t>项目概况</w:t>
      </w:r>
      <w:bookmarkEnd w:id="101"/>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（一）项目基本情况。</w:t>
      </w:r>
    </w:p>
    <w:p>
      <w:pPr>
        <w:adjustRightInd w:val="0"/>
        <w:snapToGrid w:val="0"/>
        <w:spacing w:line="576"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1．在该项目管理中的职能：</w:t>
      </w:r>
      <w:r>
        <w:rPr>
          <w:rFonts w:hint="eastAsia" w:ascii="仿宋_GB2312" w:hAnsi="仿宋_GB2312" w:eastAsia="仿宋_GB2312" w:cs="仿宋_GB2312"/>
          <w:kern w:val="0"/>
          <w:sz w:val="32"/>
          <w:szCs w:val="32"/>
          <w:shd w:val="clear" w:color="auto" w:fill="FFFFFF"/>
          <w:lang w:val="en-GB"/>
        </w:rPr>
        <w:t>聘用制书记员承担案件审理、检察中的记录工作，庭前准备以及开庭时准备的事务性工作，校对、印制、送达法律文书，整理、装订、归档案卷材料等。</w:t>
      </w:r>
    </w:p>
    <w:p>
      <w:pPr>
        <w:adjustRightInd w:val="0"/>
        <w:snapToGrid w:val="0"/>
        <w:spacing w:line="576" w:lineRule="exact"/>
        <w:ind w:firstLine="640" w:firstLineChars="200"/>
        <w:contextualSpacing/>
        <w:rPr>
          <w:rFonts w:ascii="仿宋_GB2312" w:hAnsi="仿宋_GB2312" w:cs="仿宋_GB2312"/>
          <w:kern w:val="0"/>
          <w:shd w:val="clear" w:color="auto" w:fill="FFFFFF"/>
          <w:lang w:val="en-GB"/>
        </w:rPr>
      </w:pPr>
      <w:r>
        <w:rPr>
          <w:rFonts w:hint="eastAsia" w:ascii="仿宋_GB2312" w:hAnsi="仿宋_GB2312" w:eastAsia="仿宋_GB2312" w:cs="仿宋_GB2312"/>
          <w:kern w:val="0"/>
          <w:sz w:val="32"/>
          <w:szCs w:val="32"/>
          <w:shd w:val="clear" w:color="auto" w:fill="FFFFFF"/>
          <w:lang w:val="zh-CN"/>
        </w:rPr>
        <w:t>2．项目立项、资金申报的依据</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GB"/>
        </w:rPr>
        <w:t>《人民法院、人民检察院聘用制书记员管理制度改革方案(试行)》。我院聘用制书记员共计</w:t>
      </w:r>
      <w:r>
        <w:rPr>
          <w:rFonts w:hint="eastAsia" w:ascii="仿宋_GB2312" w:hAnsi="仿宋_GB2312" w:eastAsia="仿宋_GB2312" w:cs="仿宋_GB2312"/>
          <w:kern w:val="0"/>
          <w:sz w:val="32"/>
          <w:szCs w:val="32"/>
          <w:shd w:val="clear" w:color="auto" w:fill="FFFFFF"/>
        </w:rPr>
        <w:t>22</w:t>
      </w:r>
      <w:r>
        <w:rPr>
          <w:rFonts w:hint="eastAsia" w:ascii="仿宋_GB2312" w:hAnsi="仿宋_GB2312" w:eastAsia="仿宋_GB2312" w:cs="仿宋_GB2312"/>
          <w:kern w:val="0"/>
          <w:sz w:val="32"/>
          <w:szCs w:val="32"/>
          <w:shd w:val="clear" w:color="auto" w:fill="FFFFFF"/>
          <w:lang w:val="en-GB"/>
        </w:rPr>
        <w:t>人，书记员每人每年</w:t>
      </w:r>
      <w:r>
        <w:rPr>
          <w:rFonts w:hint="eastAsia" w:ascii="仿宋_GB2312" w:hAnsi="仿宋_GB2312" w:cs="仿宋_GB2312"/>
          <w:kern w:val="0"/>
          <w:sz w:val="32"/>
          <w:szCs w:val="32"/>
          <w:shd w:val="clear" w:color="auto" w:fill="FFFFFF"/>
          <w:lang w:val="en-GB"/>
        </w:rPr>
        <w:t>经费定额</w:t>
      </w:r>
      <w:r>
        <w:rPr>
          <w:rFonts w:hint="eastAsia" w:ascii="仿宋_GB2312" w:hAnsi="仿宋_GB2312" w:eastAsia="仿宋_GB2312" w:cs="仿宋_GB2312"/>
          <w:kern w:val="0"/>
          <w:sz w:val="32"/>
          <w:szCs w:val="32"/>
          <w:shd w:val="clear" w:color="auto" w:fill="FFFFFF"/>
          <w:lang w:val="en-GB"/>
        </w:rPr>
        <w:t>5万元，共计</w:t>
      </w:r>
      <w:r>
        <w:rPr>
          <w:rFonts w:hint="eastAsia" w:ascii="仿宋_GB2312" w:hAnsi="仿宋_GB2312" w:eastAsia="仿宋_GB2312" w:cs="仿宋_GB2312"/>
          <w:kern w:val="0"/>
          <w:sz w:val="32"/>
          <w:szCs w:val="32"/>
          <w:shd w:val="clear" w:color="auto" w:fill="FFFFFF"/>
        </w:rPr>
        <w:t>110</w:t>
      </w:r>
      <w:r>
        <w:rPr>
          <w:rFonts w:hint="eastAsia" w:ascii="仿宋_GB2312" w:hAnsi="仿宋_GB2312" w:eastAsia="仿宋_GB2312" w:cs="仿宋_GB2312"/>
          <w:kern w:val="0"/>
          <w:sz w:val="32"/>
          <w:szCs w:val="32"/>
          <w:shd w:val="clear" w:color="auto" w:fill="FFFFFF"/>
          <w:lang w:val="en-GB"/>
        </w:rPr>
        <w:t>万元。</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3．资金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r>
        <w:rPr>
          <w:rFonts w:hint="eastAsia" w:ascii="仿宋_GB2312" w:hAnsi="仿宋_GB2312" w:eastAsia="仿宋_GB2312" w:cs="仿宋_GB2312"/>
          <w:kern w:val="0"/>
          <w:sz w:val="32"/>
          <w:szCs w:val="32"/>
          <w:shd w:val="clear" w:color="auto" w:fill="FFFFFF"/>
        </w:rPr>
        <w:t>资金</w:t>
      </w:r>
      <w:r>
        <w:rPr>
          <w:rFonts w:ascii="仿宋_GB2312" w:hAnsi="仿宋_GB2312" w:eastAsia="仿宋_GB2312" w:cs="仿宋_GB2312"/>
          <w:kern w:val="0"/>
          <w:sz w:val="32"/>
          <w:szCs w:val="32"/>
          <w:shd w:val="clear" w:color="auto" w:fill="FFFFFF"/>
        </w:rPr>
        <w:t>根据单位</w:t>
      </w:r>
      <w:r>
        <w:rPr>
          <w:rFonts w:hint="eastAsia" w:ascii="仿宋_GB2312" w:hAnsi="仿宋_GB2312" w:eastAsia="仿宋_GB2312" w:cs="仿宋_GB2312"/>
          <w:kern w:val="0"/>
          <w:sz w:val="32"/>
          <w:szCs w:val="32"/>
          <w:shd w:val="clear" w:color="auto" w:fill="FFFFFF"/>
        </w:rPr>
        <w:t>财务管理制度、</w:t>
      </w:r>
      <w:r>
        <w:rPr>
          <w:rFonts w:ascii="仿宋_GB2312" w:hAnsi="仿宋_GB2312" w:eastAsia="仿宋_GB2312" w:cs="仿宋_GB2312"/>
          <w:kern w:val="0"/>
          <w:sz w:val="32"/>
          <w:szCs w:val="32"/>
          <w:shd w:val="clear" w:color="auto" w:fill="FFFFFF"/>
        </w:rPr>
        <w:t>内部控制制度、资金</w:t>
      </w:r>
      <w:r>
        <w:rPr>
          <w:rFonts w:hint="eastAsia" w:ascii="仿宋_GB2312" w:hAnsi="仿宋_GB2312" w:eastAsia="仿宋_GB2312" w:cs="仿宋_GB2312"/>
          <w:kern w:val="0"/>
          <w:sz w:val="32"/>
          <w:szCs w:val="32"/>
          <w:shd w:val="clear" w:color="auto" w:fill="FFFFFF"/>
        </w:rPr>
        <w:t>审批流程进行支付。</w:t>
      </w:r>
      <w:r>
        <w:rPr>
          <w:rFonts w:ascii="仿宋_GB2312" w:hAnsi="仿宋_GB2312" w:eastAsia="仿宋_GB2312" w:cs="仿宋_GB2312"/>
          <w:kern w:val="0"/>
          <w:sz w:val="32"/>
          <w:szCs w:val="32"/>
          <w:shd w:val="clear" w:color="auto" w:fill="FFFFFF"/>
        </w:rPr>
        <w:t>主要用于聘用制书记员</w:t>
      </w:r>
      <w:r>
        <w:rPr>
          <w:rFonts w:hint="eastAsia" w:ascii="仿宋_GB2312" w:hAnsi="仿宋_GB2312" w:eastAsia="仿宋_GB2312" w:cs="仿宋_GB2312"/>
          <w:kern w:val="0"/>
          <w:sz w:val="32"/>
          <w:szCs w:val="32"/>
          <w:shd w:val="clear" w:color="auto" w:fill="FFFFFF"/>
        </w:rPr>
        <w:t>、</w:t>
      </w:r>
      <w:r>
        <w:rPr>
          <w:rFonts w:ascii="仿宋_GB2312" w:hAnsi="仿宋_GB2312" w:eastAsia="仿宋_GB2312" w:cs="仿宋_GB2312"/>
          <w:kern w:val="0"/>
          <w:sz w:val="32"/>
          <w:szCs w:val="32"/>
          <w:shd w:val="clear" w:color="auto" w:fill="FFFFFF"/>
        </w:rPr>
        <w:t>聘用人员工资薪金、保险、公积金、医保以及日常公用等支出。</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4．</w:t>
      </w:r>
      <w:r>
        <w:rPr>
          <w:rFonts w:hint="eastAsia" w:ascii="仿宋_GB2312" w:hAnsi="仿宋_GB2312" w:eastAsia="仿宋_GB2312" w:cs="仿宋_GB2312"/>
          <w:kern w:val="0"/>
          <w:sz w:val="32"/>
          <w:szCs w:val="32"/>
          <w:shd w:val="clear" w:color="auto" w:fill="FFFFFF"/>
        </w:rPr>
        <w:t>资金使用坚持先审批后支付的原则，对聘用制书记员及聘用人员工作经费</w:t>
      </w:r>
      <w:r>
        <w:rPr>
          <w:rFonts w:ascii="仿宋_GB2312" w:hAnsi="仿宋_GB2312" w:eastAsia="仿宋_GB2312" w:cs="仿宋_GB2312"/>
          <w:kern w:val="0"/>
          <w:sz w:val="32"/>
          <w:szCs w:val="32"/>
          <w:shd w:val="clear" w:color="auto" w:fill="FFFFFF"/>
        </w:rPr>
        <w:t>专项资金建立严格的支付审批程序，加强内控管理，规范会计核算，对资金使用程序严格控制把关。</w:t>
      </w:r>
      <w:r>
        <w:rPr>
          <w:rFonts w:hint="eastAsia" w:ascii="仿宋_GB2312" w:hAnsi="仿宋_GB2312" w:eastAsia="仿宋_GB2312" w:cs="仿宋_GB2312"/>
          <w:kern w:val="0"/>
          <w:sz w:val="32"/>
          <w:szCs w:val="32"/>
          <w:shd w:val="clear" w:color="auto" w:fill="FFFFFF"/>
        </w:rPr>
        <w:t>充分考虑</w:t>
      </w:r>
      <w:r>
        <w:rPr>
          <w:rFonts w:ascii="仿宋_GB2312" w:hAnsi="仿宋_GB2312" w:eastAsia="仿宋_GB2312" w:cs="仿宋_GB2312"/>
          <w:kern w:val="0"/>
          <w:sz w:val="32"/>
          <w:szCs w:val="32"/>
          <w:shd w:val="clear" w:color="auto" w:fill="FFFFFF"/>
        </w:rPr>
        <w:t>项目申报立项、资金拨付与会计处理、资金到位、项目资金使用绩效评价等各个环节，从源头上予以规范，确保程序完整，操作合法合规。</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（二）项目绩效目标。</w:t>
      </w:r>
    </w:p>
    <w:p>
      <w:pPr>
        <w:adjustRightInd w:val="0"/>
        <w:snapToGrid w:val="0"/>
        <w:spacing w:line="576" w:lineRule="exact"/>
        <w:ind w:firstLine="640" w:firstLineChars="200"/>
        <w:contextualSpacing/>
        <w:rPr>
          <w:rFonts w:eastAsia="仿宋"/>
          <w:kern w:val="0"/>
          <w:lang w:val="zh-CN"/>
        </w:rPr>
      </w:pPr>
      <w:r>
        <w:rPr>
          <w:rFonts w:hint="eastAsia" w:ascii="仿宋_GB2312" w:hAnsi="仿宋_GB2312" w:eastAsia="仿宋_GB2312" w:cs="仿宋_GB2312"/>
          <w:kern w:val="0"/>
          <w:sz w:val="32"/>
          <w:szCs w:val="32"/>
          <w:shd w:val="clear" w:color="auto" w:fill="FFFFFF"/>
          <w:lang w:val="zh-CN"/>
        </w:rPr>
        <w:t>1．项目主要内容。</w:t>
      </w:r>
      <w:r>
        <w:rPr>
          <w:rFonts w:ascii="仿宋_GB2312" w:hAnsi="仿宋_GB2312" w:eastAsia="仿宋_GB2312" w:cs="仿宋_GB2312"/>
          <w:kern w:val="0"/>
          <w:sz w:val="32"/>
          <w:szCs w:val="32"/>
          <w:shd w:val="clear" w:color="auto" w:fill="FFFFFF"/>
        </w:rPr>
        <w:t>资金主要用于聘用制书记员、聘用人员工资薪金、保险、公积金、医保以及日常公用等支出。</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2．项目应实现的具体绩效目标</w:t>
      </w:r>
      <w:r>
        <w:rPr>
          <w:rFonts w:hint="eastAsia" w:ascii="仿宋_GB2312" w:hAnsi="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聘用制书记员工作经费属基本支出，是持续性项目，往后将作为经常性项目核算。年初设置7个具体绩效目标。数量质量为：用于22名人员的工作开展所需经费；质量指标为书记员本科率100%；时效指标为配合办案人员及时性；成本指标为检察业务及辅助项目总支出；社会效益指标为信息公开数量；可持续影响指标为持续落实书记员辅助办案制度；满意度指标为恶劣影响的严重上访事件0件。进一步构建政法工作沟通协作平台，降低管理成本，创新管理模式，从而取得较好的社会和司法效益。</w:t>
      </w:r>
    </w:p>
    <w:p>
      <w:pPr>
        <w:adjustRightInd w:val="0"/>
        <w:snapToGrid w:val="0"/>
        <w:spacing w:line="576" w:lineRule="exact"/>
        <w:ind w:firstLine="640" w:firstLineChars="200"/>
        <w:contextualSpacing/>
        <w:rPr>
          <w:rFonts w:ascii="仿宋_GB2312" w:hAnsi="仿宋_GB2312" w:cs="仿宋_GB2312"/>
          <w:kern w:val="0"/>
          <w:shd w:val="clear" w:color="auto" w:fill="FFFFFF"/>
          <w:lang w:val="zh-CN"/>
        </w:rPr>
      </w:pPr>
      <w:r>
        <w:rPr>
          <w:rFonts w:hint="eastAsia" w:ascii="仿宋_GB2312" w:hAnsi="仿宋_GB2312" w:eastAsia="仿宋_GB2312" w:cs="仿宋_GB2312"/>
          <w:kern w:val="0"/>
          <w:sz w:val="32"/>
          <w:szCs w:val="32"/>
          <w:shd w:val="clear" w:color="auto" w:fill="FFFFFF"/>
          <w:lang w:val="zh-CN"/>
        </w:rPr>
        <w:t>3．绩效目标设置上，我院从收集、上报、筛查、费用控制和可持续发展上明确了合理的目标任务，符合实际。</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（三）项目自评步骤及方法。</w:t>
      </w:r>
    </w:p>
    <w:p>
      <w:pPr>
        <w:spacing w:line="576" w:lineRule="exact"/>
        <w:ind w:firstLine="640" w:firstLineChars="200"/>
        <w:rPr>
          <w:rFonts w:ascii="仿宋" w:eastAsia="仿宋"/>
        </w:rPr>
      </w:pPr>
      <w:r>
        <w:rPr>
          <w:rFonts w:hint="eastAsia" w:ascii="仿宋" w:eastAsia="仿宋" w:cs="仿宋_GB2312"/>
          <w:sz w:val="32"/>
          <w:szCs w:val="32"/>
        </w:rPr>
        <w:t>1.前期准备：按照绩效自评工作要求，</w:t>
      </w:r>
      <w:r>
        <w:rPr>
          <w:rFonts w:ascii="仿宋" w:eastAsia="仿宋"/>
          <w:sz w:val="32"/>
          <w:szCs w:val="32"/>
        </w:rPr>
        <w:t>制订项目</w:t>
      </w:r>
      <w:r>
        <w:rPr>
          <w:rFonts w:hint="eastAsia" w:ascii="仿宋" w:eastAsia="仿宋"/>
          <w:sz w:val="32"/>
          <w:szCs w:val="32"/>
        </w:rPr>
        <w:t>设计</w:t>
      </w:r>
      <w:r>
        <w:rPr>
          <w:rFonts w:ascii="仿宋" w:eastAsia="仿宋"/>
          <w:sz w:val="32"/>
          <w:szCs w:val="32"/>
        </w:rPr>
        <w:t>方案，</w:t>
      </w:r>
      <w:r>
        <w:rPr>
          <w:rFonts w:hint="eastAsia" w:ascii="仿宋" w:eastAsia="仿宋" w:cs="仿宋_GB2312"/>
          <w:sz w:val="32"/>
          <w:szCs w:val="32"/>
        </w:rPr>
        <w:t>项目支出绩效评价实施方案，设计了绩效评价指标体系。</w:t>
      </w:r>
    </w:p>
    <w:p>
      <w:pPr>
        <w:spacing w:line="576" w:lineRule="exact"/>
        <w:ind w:firstLine="640" w:firstLineChars="200"/>
        <w:rPr>
          <w:rFonts w:ascii="仿宋_GB2312" w:cs="仿宋_GB2312"/>
          <w:lang w:val="zh-CN"/>
        </w:rPr>
      </w:pPr>
      <w:r>
        <w:rPr>
          <w:rFonts w:hint="eastAsia" w:ascii="仿宋" w:eastAsia="仿宋" w:cs="仿宋_GB2312"/>
          <w:sz w:val="32"/>
          <w:szCs w:val="32"/>
        </w:rPr>
        <w:t>2.组织实施：编制资金预算，</w:t>
      </w:r>
      <w:r>
        <w:rPr>
          <w:rFonts w:ascii="仿宋" w:eastAsia="仿宋" w:cs="仿宋_GB2312"/>
          <w:sz w:val="32"/>
          <w:szCs w:val="32"/>
        </w:rPr>
        <w:t>协调落实政府资金，负责项目资金管理</w:t>
      </w:r>
      <w:r>
        <w:rPr>
          <w:rFonts w:hint="eastAsia" w:ascii="仿宋" w:eastAsia="仿宋" w:cs="仿宋_GB2312"/>
          <w:sz w:val="32"/>
          <w:szCs w:val="32"/>
        </w:rPr>
        <w:t>、</w:t>
      </w:r>
      <w:r>
        <w:rPr>
          <w:rFonts w:ascii="仿宋" w:eastAsia="仿宋" w:cs="仿宋_GB2312"/>
          <w:sz w:val="32"/>
          <w:szCs w:val="32"/>
        </w:rPr>
        <w:t>支付。</w:t>
      </w:r>
      <w:r>
        <w:rPr>
          <w:rFonts w:hint="eastAsia" w:ascii="仿宋" w:eastAsia="仿宋" w:cs="仿宋_GB2312"/>
          <w:sz w:val="32"/>
          <w:szCs w:val="32"/>
        </w:rPr>
        <w:t>由</w:t>
      </w:r>
      <w:r>
        <w:rPr>
          <w:rFonts w:ascii="仿宋" w:eastAsia="仿宋" w:cs="仿宋_GB2312"/>
          <w:sz w:val="32"/>
          <w:szCs w:val="32"/>
        </w:rPr>
        <w:t>政治部</w:t>
      </w:r>
      <w:r>
        <w:rPr>
          <w:rFonts w:hint="eastAsia" w:ascii="仿宋" w:eastAsia="仿宋" w:cs="仿宋_GB2312"/>
          <w:sz w:val="32"/>
          <w:szCs w:val="32"/>
        </w:rPr>
        <w:t>门</w:t>
      </w:r>
      <w:r>
        <w:rPr>
          <w:rFonts w:ascii="仿宋" w:eastAsia="仿宋" w:cs="仿宋_GB2312"/>
          <w:sz w:val="32"/>
          <w:szCs w:val="32"/>
        </w:rPr>
        <w:t>提供人员清单，</w:t>
      </w:r>
      <w:r>
        <w:rPr>
          <w:rFonts w:hint="eastAsia" w:ascii="仿宋" w:eastAsia="仿宋" w:cs="仿宋_GB2312"/>
          <w:sz w:val="32"/>
          <w:szCs w:val="32"/>
        </w:rPr>
        <w:t>财务部门</w:t>
      </w:r>
      <w:r>
        <w:rPr>
          <w:rFonts w:ascii="仿宋" w:eastAsia="仿宋" w:cs="仿宋_GB2312"/>
          <w:sz w:val="32"/>
          <w:szCs w:val="32"/>
        </w:rPr>
        <w:t>根据聘用人员各项开支确定经费需求，按月拨付。</w:t>
      </w:r>
    </w:p>
    <w:p>
      <w:pPr>
        <w:adjustRightInd w:val="0"/>
        <w:snapToGrid w:val="0"/>
        <w:spacing w:line="576" w:lineRule="exact"/>
        <w:ind w:firstLine="640" w:firstLineChars="200"/>
        <w:rPr>
          <w:rFonts w:ascii="仿宋" w:eastAsia="仿宋" w:cs="仿宋_GB2312"/>
        </w:rPr>
      </w:pPr>
      <w:r>
        <w:rPr>
          <w:rFonts w:hint="eastAsia" w:ascii="仿宋" w:eastAsia="仿宋" w:cs="仿宋_GB2312"/>
          <w:sz w:val="32"/>
          <w:szCs w:val="32"/>
        </w:rPr>
        <w:t>3.分析评价：在评价过程中收集资料进行归纳，汇总分析，依据智慧检察项目支出绩效评价指标体系进行了评分，形成了综合性书面报告。</w:t>
      </w:r>
    </w:p>
    <w:p>
      <w:pPr>
        <w:adjustRightInd w:val="0"/>
        <w:snapToGrid w:val="0"/>
        <w:spacing w:line="578" w:lineRule="exact"/>
        <w:ind w:firstLine="720"/>
        <w:outlineLvl w:val="1"/>
        <w:rPr>
          <w:rFonts w:ascii="黑体" w:hAnsi="宋体" w:eastAsia="黑体"/>
          <w:sz w:val="32"/>
          <w:szCs w:val="32"/>
        </w:rPr>
      </w:pPr>
      <w:bookmarkStart w:id="102" w:name="_Toc13374"/>
      <w:r>
        <w:rPr>
          <w:rFonts w:hint="eastAsia" w:ascii="黑体" w:hAnsi="宋体" w:eastAsia="黑体"/>
          <w:sz w:val="32"/>
          <w:szCs w:val="32"/>
        </w:rPr>
        <w:t>二、项目资金申报及使用情况</w:t>
      </w:r>
      <w:bookmarkEnd w:id="102"/>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（一）项目资金申报及批复情况。</w:t>
      </w:r>
    </w:p>
    <w:p>
      <w:pPr>
        <w:adjustRightInd w:val="0"/>
        <w:snapToGrid w:val="0"/>
        <w:spacing w:line="576" w:lineRule="exact"/>
        <w:ind w:firstLine="720"/>
        <w:rPr>
          <w:rFonts w:ascii="仿宋" w:eastAsia="仿宋" w:cs="仿宋_GB2312"/>
          <w:sz w:val="32"/>
          <w:szCs w:val="32"/>
        </w:rPr>
      </w:pPr>
      <w:r>
        <w:rPr>
          <w:rFonts w:hint="eastAsia" w:ascii="仿宋" w:eastAsia="仿宋" w:cs="仿宋_GB2312"/>
          <w:sz w:val="32"/>
          <w:szCs w:val="32"/>
        </w:rPr>
        <w:t>该项目年初预算94.6万元，到位94.6万元，为地方财政拨款。资金到位率100%，绩效目标设置上，我院从收集、上报、筛查、费用控制和可持续发展上明确了合理的目标任务，符合实际。</w:t>
      </w:r>
    </w:p>
    <w:p>
      <w:pPr>
        <w:adjustRightInd w:val="0"/>
        <w:snapToGrid w:val="0"/>
        <w:spacing w:line="578" w:lineRule="exact"/>
        <w:ind w:firstLine="720"/>
        <w:rPr>
          <w:rFonts w:ascii="楷体" w:hAnsi="楷体" w:eastAsia="楷体"/>
          <w:sz w:val="32"/>
          <w:szCs w:val="32"/>
          <w:lang w:val="zh-CN"/>
        </w:rPr>
      </w:pPr>
      <w:r>
        <w:rPr>
          <w:rFonts w:hint="eastAsia" w:ascii="楷体" w:hAnsi="楷体" w:eastAsia="楷体"/>
          <w:b/>
          <w:sz w:val="32"/>
          <w:szCs w:val="32"/>
          <w:lang w:val="zh-CN"/>
        </w:rPr>
        <w:t>（二）资金计划、到位及使用情况</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1．资金计划。</w:t>
      </w:r>
      <w:r>
        <w:rPr>
          <w:rFonts w:ascii="仿宋" w:eastAsia="仿宋" w:cs="仿宋_GB2312"/>
          <w:sz w:val="32"/>
          <w:szCs w:val="32"/>
        </w:rPr>
        <w:t>项目</w:t>
      </w:r>
      <w:r>
        <w:rPr>
          <w:rFonts w:hint="eastAsia" w:ascii="仿宋" w:eastAsia="仿宋" w:cs="仿宋_GB2312"/>
          <w:sz w:val="32"/>
          <w:szCs w:val="32"/>
        </w:rPr>
        <w:t>资金年初预算资金94.6万元，并于批复后下达指标</w:t>
      </w:r>
      <w:r>
        <w:rPr>
          <w:rFonts w:ascii="仿宋" w:eastAsia="仿宋" w:cs="仿宋_GB2312"/>
          <w:sz w:val="32"/>
          <w:szCs w:val="32"/>
        </w:rPr>
        <w:t>，</w:t>
      </w:r>
      <w:r>
        <w:rPr>
          <w:rFonts w:hint="eastAsia" w:ascii="仿宋" w:eastAsia="仿宋" w:cs="仿宋_GB2312"/>
          <w:sz w:val="32"/>
          <w:szCs w:val="32"/>
        </w:rPr>
        <w:t>2022年项目实际到位资金94.6万元，资金到位率100%。</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2．资金到位。</w:t>
      </w:r>
      <w:r>
        <w:rPr>
          <w:rFonts w:ascii="仿宋" w:eastAsia="仿宋" w:cs="仿宋_GB2312"/>
          <w:sz w:val="32"/>
          <w:szCs w:val="32"/>
        </w:rPr>
        <w:t>项目</w:t>
      </w:r>
      <w:r>
        <w:rPr>
          <w:rFonts w:hint="eastAsia" w:ascii="仿宋" w:eastAsia="仿宋" w:cs="仿宋_GB2312"/>
          <w:sz w:val="32"/>
          <w:szCs w:val="32"/>
        </w:rPr>
        <w:t>资金年初预算资金94.6万元，并于批复后下达指标</w:t>
      </w:r>
      <w:r>
        <w:rPr>
          <w:rFonts w:ascii="仿宋" w:eastAsia="仿宋" w:cs="仿宋_GB2312"/>
          <w:sz w:val="32"/>
          <w:szCs w:val="32"/>
        </w:rPr>
        <w:t>，</w:t>
      </w:r>
      <w:r>
        <w:rPr>
          <w:rFonts w:hint="eastAsia" w:ascii="仿宋" w:eastAsia="仿宋" w:cs="仿宋_GB2312"/>
          <w:sz w:val="32"/>
          <w:szCs w:val="32"/>
        </w:rPr>
        <w:t>2022年项目实际到位资金94.6万元，资金到位率100%。</w:t>
      </w:r>
    </w:p>
    <w:p>
      <w:pPr>
        <w:adjustRightInd w:val="0"/>
        <w:snapToGrid w:val="0"/>
        <w:spacing w:line="576" w:lineRule="exact"/>
        <w:ind w:firstLine="640" w:firstLineChars="200"/>
        <w:contextualSpacing/>
        <w:rPr>
          <w:rFonts w:ascii="仿宋" w:eastAsia="仿宋" w:cs="仿宋_GB2312"/>
          <w:sz w:val="32"/>
          <w:szCs w:val="32"/>
        </w:rPr>
      </w:pPr>
      <w:r>
        <w:rPr>
          <w:rFonts w:hint="eastAsia" w:ascii="仿宋_GB2312" w:hAnsi="仿宋_GB2312" w:eastAsia="仿宋_GB2312" w:cs="仿宋_GB2312"/>
          <w:kern w:val="0"/>
          <w:sz w:val="32"/>
          <w:szCs w:val="32"/>
          <w:shd w:val="clear" w:color="auto" w:fill="FFFFFF"/>
          <w:lang w:val="zh-CN"/>
        </w:rPr>
        <w:t>3．资金使用。</w:t>
      </w:r>
      <w:r>
        <w:rPr>
          <w:rFonts w:hint="eastAsia" w:ascii="仿宋" w:eastAsia="仿宋" w:cs="仿宋_GB2312"/>
          <w:sz w:val="32"/>
          <w:szCs w:val="32"/>
        </w:rPr>
        <w:t>截止</w:t>
      </w:r>
      <w:r>
        <w:rPr>
          <w:rFonts w:ascii="仿宋" w:eastAsia="仿宋" w:cs="仿宋_GB2312"/>
          <w:sz w:val="32"/>
          <w:szCs w:val="32"/>
        </w:rPr>
        <w:t>202</w:t>
      </w:r>
      <w:r>
        <w:rPr>
          <w:rFonts w:hint="eastAsia" w:ascii="仿宋" w:eastAsia="仿宋" w:cs="仿宋_GB2312"/>
          <w:sz w:val="32"/>
          <w:szCs w:val="32"/>
        </w:rPr>
        <w:t>2</w:t>
      </w:r>
      <w:r>
        <w:rPr>
          <w:rFonts w:ascii="仿宋" w:eastAsia="仿宋" w:cs="仿宋_GB2312"/>
          <w:sz w:val="32"/>
          <w:szCs w:val="32"/>
        </w:rPr>
        <w:t>年12月31日</w:t>
      </w:r>
      <w:r>
        <w:rPr>
          <w:rFonts w:hint="eastAsia" w:ascii="仿宋" w:eastAsia="仿宋" w:cs="仿宋_GB2312"/>
          <w:sz w:val="32"/>
          <w:szCs w:val="32"/>
        </w:rPr>
        <w:t>，</w:t>
      </w:r>
      <w:r>
        <w:rPr>
          <w:rFonts w:ascii="仿宋" w:eastAsia="仿宋" w:cs="仿宋_GB2312"/>
          <w:sz w:val="32"/>
          <w:szCs w:val="32"/>
        </w:rPr>
        <w:t>项目</w:t>
      </w:r>
      <w:r>
        <w:rPr>
          <w:rFonts w:hint="eastAsia" w:ascii="仿宋" w:eastAsia="仿宋" w:cs="仿宋_GB2312"/>
          <w:sz w:val="32"/>
          <w:szCs w:val="32"/>
        </w:rPr>
        <w:t>资金</w:t>
      </w:r>
      <w:r>
        <w:rPr>
          <w:rFonts w:ascii="仿宋" w:eastAsia="仿宋" w:cs="仿宋_GB2312"/>
          <w:sz w:val="32"/>
          <w:szCs w:val="32"/>
        </w:rPr>
        <w:t>使用</w:t>
      </w:r>
      <w:r>
        <w:rPr>
          <w:rFonts w:hint="eastAsia" w:ascii="仿宋" w:eastAsia="仿宋" w:cs="仿宋_GB2312"/>
          <w:sz w:val="32"/>
          <w:szCs w:val="32"/>
        </w:rPr>
        <w:t>94.6万元</w:t>
      </w:r>
      <w:r>
        <w:rPr>
          <w:rFonts w:ascii="仿宋" w:eastAsia="仿宋" w:cs="仿宋_GB2312"/>
          <w:sz w:val="32"/>
          <w:szCs w:val="32"/>
        </w:rPr>
        <w:t>，</w:t>
      </w:r>
      <w:r>
        <w:rPr>
          <w:rFonts w:hint="eastAsia" w:ascii="仿宋" w:eastAsia="仿宋" w:cs="仿宋_GB2312"/>
          <w:sz w:val="32"/>
          <w:szCs w:val="32"/>
        </w:rPr>
        <w:t>完成率100</w:t>
      </w:r>
      <w:r>
        <w:rPr>
          <w:rFonts w:ascii="仿宋" w:eastAsia="仿宋" w:cs="仿宋_GB2312"/>
          <w:sz w:val="32"/>
          <w:szCs w:val="32"/>
        </w:rPr>
        <w:t>%</w:t>
      </w:r>
      <w:r>
        <w:rPr>
          <w:rFonts w:hint="eastAsia" w:ascii="仿宋" w:eastAsia="仿宋" w:cs="仿宋_GB2312"/>
          <w:sz w:val="32"/>
          <w:szCs w:val="32"/>
        </w:rPr>
        <w:t>。</w:t>
      </w:r>
    </w:p>
    <w:p>
      <w:pPr>
        <w:widowControl/>
        <w:adjustRightInd w:val="0"/>
        <w:snapToGrid w:val="0"/>
        <w:spacing w:line="578" w:lineRule="exact"/>
        <w:ind w:firstLine="643" w:firstLineChars="200"/>
        <w:contextualSpacing/>
        <w:jc w:val="left"/>
        <w:rPr>
          <w:rFonts w:ascii="楷体" w:hAnsi="楷体" w:eastAsia="楷体"/>
          <w:b/>
          <w:sz w:val="32"/>
          <w:szCs w:val="32"/>
          <w:lang w:val="zh-CN"/>
        </w:rPr>
      </w:pPr>
      <w:r>
        <w:rPr>
          <w:rFonts w:hint="eastAsia" w:ascii="楷体" w:hAnsi="楷体" w:eastAsia="楷体"/>
          <w:b/>
          <w:sz w:val="32"/>
          <w:szCs w:val="32"/>
          <w:lang w:val="zh-CN"/>
        </w:rPr>
        <w:t>（三）项目财务管理情况。</w:t>
      </w:r>
    </w:p>
    <w:p>
      <w:pPr>
        <w:adjustRightInd w:val="0"/>
        <w:snapToGrid w:val="0"/>
        <w:spacing w:line="576" w:lineRule="exact"/>
        <w:ind w:firstLine="640" w:firstLineChars="200"/>
        <w:rPr>
          <w:rFonts w:ascii="仿宋" w:eastAsia="仿宋" w:cs="仿宋_GB2312"/>
        </w:rPr>
      </w:pPr>
      <w:r>
        <w:rPr>
          <w:rFonts w:hint="eastAsia" w:ascii="仿宋" w:eastAsia="仿宋" w:cs="仿宋_GB2312"/>
          <w:sz w:val="32"/>
          <w:szCs w:val="32"/>
        </w:rPr>
        <w:t>我院财务管理制度健全，并严格执行财务管理制度，账务处理及时准确，会计核算规范。</w:t>
      </w:r>
    </w:p>
    <w:p>
      <w:pPr>
        <w:adjustRightInd w:val="0"/>
        <w:snapToGrid w:val="0"/>
        <w:spacing w:line="578" w:lineRule="exact"/>
        <w:ind w:firstLine="720"/>
        <w:outlineLvl w:val="1"/>
        <w:rPr>
          <w:rFonts w:ascii="黑体" w:hAnsi="宋体" w:eastAsia="黑体"/>
          <w:sz w:val="32"/>
          <w:szCs w:val="32"/>
        </w:rPr>
      </w:pPr>
      <w:bookmarkStart w:id="103" w:name="_Toc25519"/>
      <w:r>
        <w:rPr>
          <w:rFonts w:hint="eastAsia" w:ascii="黑体" w:hAnsi="宋体" w:eastAsia="黑体"/>
          <w:sz w:val="32"/>
          <w:szCs w:val="32"/>
        </w:rPr>
        <w:t>三、项目实施及管理情况</w:t>
      </w:r>
      <w:bookmarkEnd w:id="103"/>
    </w:p>
    <w:p>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结合项目组织实施管理办法，重点围绕以下内容进行分析评价，并对自评中发现的问题分析说明。</w:t>
      </w:r>
    </w:p>
    <w:p>
      <w:pPr>
        <w:adjustRightInd w:val="0"/>
        <w:snapToGrid w:val="0"/>
        <w:spacing w:line="576" w:lineRule="exact"/>
        <w:ind w:firstLine="643" w:firstLineChars="200"/>
        <w:rPr>
          <w:rFonts w:ascii="楷体_GB2312" w:eastAsia="楷体_GB2312"/>
          <w:lang w:val="zh-CN"/>
        </w:rPr>
      </w:pPr>
      <w:r>
        <w:rPr>
          <w:rFonts w:hint="eastAsia" w:ascii="楷体" w:hAnsi="楷体" w:eastAsia="楷体"/>
          <w:b/>
          <w:sz w:val="32"/>
          <w:szCs w:val="32"/>
          <w:lang w:val="zh-CN"/>
        </w:rPr>
        <w:t>（一）项目组织架构及实施流程。</w:t>
      </w:r>
      <w:r>
        <w:rPr>
          <w:rFonts w:hint="eastAsia" w:ascii="仿宋_GB2312" w:eastAsia="仿宋_GB2312" w:cs="仿宋_GB2312"/>
          <w:sz w:val="32"/>
          <w:szCs w:val="32"/>
          <w:lang w:val="zh-CN"/>
        </w:rPr>
        <w:t>按绩效事前评估、绩效目标管理、绩效运行监控、绩效评价管理、评价结果应用等各环节</w:t>
      </w:r>
      <w:r>
        <w:rPr>
          <w:rFonts w:hint="eastAsia" w:ascii="仿宋_GB2312" w:cs="仿宋_GB2312"/>
          <w:sz w:val="32"/>
          <w:szCs w:val="32"/>
          <w:lang w:val="zh-CN"/>
        </w:rPr>
        <w:t>实施</w:t>
      </w:r>
      <w:r>
        <w:rPr>
          <w:rFonts w:hint="eastAsia" w:ascii="仿宋_GB2312" w:eastAsia="仿宋_GB2312" w:cs="仿宋_GB2312"/>
          <w:sz w:val="32"/>
          <w:szCs w:val="32"/>
          <w:lang w:val="zh-CN"/>
        </w:rPr>
        <w:t>管理流程</w:t>
      </w:r>
      <w:r>
        <w:rPr>
          <w:rFonts w:hint="eastAsia" w:ascii="仿宋_GB2312" w:cs="仿宋_GB2312"/>
          <w:sz w:val="32"/>
          <w:szCs w:val="32"/>
          <w:lang w:val="zh-CN"/>
        </w:rPr>
        <w:t>。</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（二）项目管理情况。</w:t>
      </w:r>
      <w:r>
        <w:rPr>
          <w:rFonts w:hint="eastAsia" w:ascii="仿宋" w:eastAsia="仿宋"/>
          <w:sz w:val="32"/>
          <w:szCs w:val="32"/>
          <w:lang w:val="zh-CN"/>
        </w:rPr>
        <w:t>项目实施过程中，严格执行相关法律法规及项目管理制度，资金使用符合规定，项目成果达到预期</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720"/>
        <w:rPr>
          <w:rFonts w:ascii="仿宋_GB2312" w:hAnsi="仿宋_GB2312" w:eastAsia="仿宋_GB2312" w:cs="仿宋_GB2312"/>
          <w:kern w:val="0"/>
          <w:sz w:val="32"/>
          <w:szCs w:val="32"/>
          <w:shd w:val="clear" w:color="auto" w:fill="FFFFFF"/>
          <w:lang w:val="zh-CN"/>
        </w:rPr>
      </w:pPr>
      <w:r>
        <w:rPr>
          <w:rFonts w:hint="eastAsia" w:ascii="楷体" w:hAnsi="楷体" w:eastAsia="楷体"/>
          <w:b/>
          <w:sz w:val="32"/>
          <w:szCs w:val="32"/>
          <w:lang w:val="zh-CN"/>
        </w:rPr>
        <w:t>（三）项目监管情况。</w:t>
      </w:r>
      <w:r>
        <w:rPr>
          <w:rFonts w:hint="eastAsia" w:ascii="仿宋" w:eastAsia="仿宋"/>
          <w:sz w:val="32"/>
          <w:szCs w:val="32"/>
          <w:lang w:val="zh-CN"/>
        </w:rPr>
        <w:t>严格按照预算执行专款专用，科学计划资金使用进度，每笔支出力求规范、合理。</w:t>
      </w:r>
    </w:p>
    <w:p>
      <w:pPr>
        <w:adjustRightInd w:val="0"/>
        <w:snapToGrid w:val="0"/>
        <w:spacing w:line="578" w:lineRule="exact"/>
        <w:ind w:firstLine="720"/>
        <w:outlineLvl w:val="1"/>
        <w:rPr>
          <w:rFonts w:ascii="仿宋_GB2312" w:hAnsi="宋体"/>
          <w:sz w:val="32"/>
          <w:szCs w:val="32"/>
          <w:lang w:val="zh-CN"/>
        </w:rPr>
      </w:pPr>
      <w:bookmarkStart w:id="104" w:name="_Toc12752"/>
      <w:r>
        <w:rPr>
          <w:rFonts w:hint="eastAsia" w:ascii="黑体" w:hAnsi="宋体" w:eastAsia="黑体"/>
          <w:sz w:val="32"/>
          <w:szCs w:val="32"/>
        </w:rPr>
        <w:t>四、项目绩效情况</w:t>
      </w:r>
      <w:bookmarkEnd w:id="104"/>
      <w:r>
        <w:rPr>
          <w:rFonts w:hint="eastAsia" w:ascii="仿宋_GB2312" w:hAnsi="宋体"/>
          <w:sz w:val="32"/>
          <w:szCs w:val="32"/>
          <w:lang w:val="zh-CN"/>
        </w:rPr>
        <w:tab/>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（一）项目完成情况。</w:t>
      </w:r>
    </w:p>
    <w:p>
      <w:pPr>
        <w:adjustRightInd w:val="0"/>
        <w:snapToGrid w:val="0"/>
        <w:spacing w:line="576" w:lineRule="exact"/>
        <w:ind w:firstLine="640" w:firstLineChars="200"/>
        <w:rPr>
          <w:rFonts w:ascii="仿宋" w:eastAsia="仿宋"/>
          <w:sz w:val="32"/>
          <w:szCs w:val="32"/>
          <w:lang w:val="zh-CN"/>
        </w:rPr>
      </w:pPr>
      <w:r>
        <w:rPr>
          <w:rFonts w:hint="eastAsia" w:ascii="仿宋" w:eastAsia="仿宋"/>
          <w:sz w:val="32"/>
          <w:szCs w:val="32"/>
          <w:lang w:val="zh-CN"/>
        </w:rPr>
        <w:t>该项目完成绩效目标设置的数量、质量、时效、成本等指标，无违规记录。截止评价时点的任务量完成、质量标准、进度计划、成本控制目标的实现程度良好。</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（二）项目效益情况。</w:t>
      </w:r>
    </w:p>
    <w:p>
      <w:pPr>
        <w:adjustRightInd w:val="0"/>
        <w:snapToGrid w:val="0"/>
        <w:spacing w:line="576" w:lineRule="exact"/>
        <w:ind w:firstLine="640" w:firstLineChars="200"/>
        <w:contextualSpacing/>
        <w:rPr>
          <w:rFonts w:ascii="仿宋" w:eastAsia="仿宋"/>
          <w:sz w:val="32"/>
          <w:szCs w:val="32"/>
          <w:lang w:val="zh-CN"/>
        </w:rPr>
      </w:pPr>
      <w:r>
        <w:rPr>
          <w:rFonts w:hint="eastAsia" w:ascii="仿宋" w:eastAsia="仿宋"/>
          <w:sz w:val="32"/>
          <w:szCs w:val="32"/>
          <w:lang w:val="zh-CN"/>
        </w:rPr>
        <w:t>该项目经济效益、社会效益、生态效益、可持续效益以及服务对象满意度等方面均实现了项目的预计效益。</w:t>
      </w:r>
    </w:p>
    <w:p>
      <w:pPr>
        <w:adjustRightInd w:val="0"/>
        <w:snapToGrid w:val="0"/>
        <w:spacing w:line="578" w:lineRule="exact"/>
        <w:ind w:firstLine="720"/>
        <w:outlineLvl w:val="1"/>
        <w:rPr>
          <w:rFonts w:ascii="黑体" w:hAnsi="宋体" w:eastAsia="黑体"/>
          <w:sz w:val="32"/>
          <w:szCs w:val="32"/>
        </w:rPr>
      </w:pPr>
      <w:bookmarkStart w:id="105" w:name="_Toc24581"/>
      <w:r>
        <w:rPr>
          <w:rFonts w:hint="eastAsia" w:ascii="黑体" w:hAnsi="宋体" w:eastAsia="黑体"/>
          <w:sz w:val="32"/>
          <w:szCs w:val="32"/>
        </w:rPr>
        <w:t>五、评价结论及建议</w:t>
      </w:r>
      <w:bookmarkEnd w:id="105"/>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（一）评价结论。</w:t>
      </w:r>
    </w:p>
    <w:p>
      <w:pPr>
        <w:adjustRightInd w:val="0"/>
        <w:snapToGrid w:val="0"/>
        <w:spacing w:line="576" w:lineRule="exact"/>
        <w:ind w:firstLine="640" w:firstLineChars="200"/>
        <w:contextualSpacing/>
        <w:rPr>
          <w:rFonts w:ascii="仿宋" w:eastAsia="仿宋"/>
          <w:sz w:val="32"/>
          <w:szCs w:val="32"/>
          <w:lang w:val="zh-CN"/>
        </w:rPr>
      </w:pPr>
      <w:r>
        <w:rPr>
          <w:rFonts w:hint="eastAsia" w:ascii="仿宋" w:eastAsia="仿宋"/>
          <w:sz w:val="32"/>
          <w:szCs w:val="32"/>
          <w:lang w:val="zh-CN"/>
        </w:rPr>
        <w:t>该项</w:t>
      </w:r>
      <w:r>
        <w:rPr>
          <w:rFonts w:ascii="仿宋" w:eastAsia="仿宋"/>
          <w:sz w:val="32"/>
          <w:szCs w:val="32"/>
          <w:lang w:val="zh-CN"/>
        </w:rPr>
        <w:t>目标完成情况</w:t>
      </w:r>
      <w:r>
        <w:rPr>
          <w:rFonts w:hint="eastAsia" w:ascii="仿宋" w:eastAsia="仿宋"/>
          <w:sz w:val="32"/>
          <w:szCs w:val="32"/>
          <w:lang w:val="zh-CN"/>
        </w:rPr>
        <w:t>良好</w:t>
      </w:r>
      <w:r>
        <w:rPr>
          <w:rFonts w:ascii="仿宋" w:eastAsia="仿宋"/>
          <w:sz w:val="32"/>
          <w:szCs w:val="32"/>
          <w:lang w:val="zh-CN"/>
        </w:rPr>
        <w:t>，</w:t>
      </w:r>
      <w:r>
        <w:rPr>
          <w:rFonts w:hint="eastAsia" w:ascii="仿宋" w:eastAsia="仿宋"/>
          <w:sz w:val="32"/>
          <w:szCs w:val="32"/>
          <w:lang w:val="zh-CN"/>
        </w:rPr>
        <w:t>达成了</w:t>
      </w:r>
      <w:r>
        <w:rPr>
          <w:rFonts w:ascii="仿宋" w:eastAsia="仿宋"/>
          <w:sz w:val="32"/>
          <w:szCs w:val="32"/>
          <w:lang w:val="zh-CN"/>
        </w:rPr>
        <w:t>项目社会效益</w:t>
      </w:r>
      <w:r>
        <w:rPr>
          <w:rFonts w:hint="eastAsia" w:ascii="仿宋" w:eastAsia="仿宋"/>
          <w:sz w:val="32"/>
          <w:szCs w:val="32"/>
          <w:lang w:val="zh-CN"/>
        </w:rPr>
        <w:t>，高质量地完成了年初设定目标，并严格控制支出，</w:t>
      </w:r>
      <w:r>
        <w:rPr>
          <w:rFonts w:ascii="仿宋" w:eastAsia="仿宋"/>
          <w:sz w:val="32"/>
          <w:szCs w:val="32"/>
          <w:lang w:val="zh-CN"/>
        </w:rPr>
        <w:t>检察工作</w:t>
      </w:r>
      <w:r>
        <w:rPr>
          <w:rFonts w:hint="eastAsia" w:ascii="仿宋" w:eastAsia="仿宋"/>
          <w:sz w:val="32"/>
          <w:szCs w:val="32"/>
          <w:lang w:val="zh-CN"/>
        </w:rPr>
        <w:t>受</w:t>
      </w:r>
      <w:r>
        <w:rPr>
          <w:rFonts w:ascii="仿宋" w:eastAsia="仿宋"/>
          <w:sz w:val="32"/>
          <w:szCs w:val="32"/>
          <w:lang w:val="zh-CN"/>
        </w:rPr>
        <w:t>到多方肯定</w:t>
      </w:r>
      <w:r>
        <w:rPr>
          <w:rFonts w:hint="eastAsia" w:ascii="仿宋" w:eastAsia="仿宋"/>
          <w:sz w:val="32"/>
          <w:szCs w:val="32"/>
          <w:lang w:val="zh-CN"/>
        </w:rPr>
        <w:t>。</w:t>
      </w:r>
    </w:p>
    <w:p>
      <w:pPr>
        <w:adjustRightInd w:val="0"/>
        <w:snapToGrid w:val="0"/>
        <w:spacing w:line="578" w:lineRule="exact"/>
        <w:ind w:firstLine="720"/>
        <w:rPr>
          <w:rFonts w:ascii="楷体" w:hAnsi="楷体" w:eastAsia="楷体"/>
          <w:b/>
          <w:sz w:val="32"/>
          <w:szCs w:val="32"/>
          <w:lang w:val="zh-CN"/>
        </w:rPr>
      </w:pPr>
      <w:r>
        <w:rPr>
          <w:rFonts w:hint="eastAsia" w:ascii="楷体" w:hAnsi="楷体" w:eastAsia="楷体"/>
          <w:b/>
          <w:sz w:val="32"/>
          <w:szCs w:val="32"/>
          <w:lang w:val="zh-CN"/>
        </w:rPr>
        <w:t>（二）存在的问题。</w:t>
      </w:r>
    </w:p>
    <w:p>
      <w:pPr>
        <w:adjustRightInd w:val="0"/>
        <w:snapToGrid w:val="0"/>
        <w:spacing w:line="576" w:lineRule="exact"/>
        <w:ind w:firstLine="640" w:firstLineChars="200"/>
        <w:contextualSpacing/>
        <w:rPr>
          <w:rFonts w:ascii="仿宋_GB2312" w:hAnsi="仿宋_GB2312" w:eastAsia="仿宋_GB2312" w:cs="仿宋_GB2312"/>
          <w:kern w:val="0"/>
          <w:sz w:val="32"/>
          <w:szCs w:val="32"/>
          <w:shd w:val="clear" w:color="auto" w:fill="FFFFFF"/>
        </w:rPr>
      </w:pPr>
      <w:r>
        <w:rPr>
          <w:rFonts w:ascii="仿宋" w:eastAsia="仿宋"/>
          <w:sz w:val="32"/>
          <w:szCs w:val="32"/>
          <w:lang w:val="zh-CN"/>
        </w:rPr>
        <w:t>由于</w:t>
      </w:r>
      <w:r>
        <w:rPr>
          <w:rFonts w:hint="eastAsia" w:ascii="仿宋" w:eastAsia="仿宋"/>
          <w:sz w:val="32"/>
          <w:szCs w:val="32"/>
          <w:lang w:val="zh-CN"/>
        </w:rPr>
        <w:t>聘用制书记员</w:t>
      </w:r>
      <w:r>
        <w:rPr>
          <w:rFonts w:ascii="仿宋" w:eastAsia="仿宋"/>
          <w:sz w:val="32"/>
          <w:szCs w:val="32"/>
          <w:lang w:val="zh-CN"/>
        </w:rPr>
        <w:t>预算</w:t>
      </w:r>
      <w:r>
        <w:rPr>
          <w:rFonts w:hint="eastAsia" w:ascii="仿宋" w:eastAsia="仿宋"/>
          <w:sz w:val="32"/>
          <w:szCs w:val="32"/>
          <w:lang w:val="zh-CN"/>
        </w:rPr>
        <w:t>经费定额包干</w:t>
      </w:r>
      <w:r>
        <w:rPr>
          <w:rFonts w:ascii="仿宋" w:eastAsia="仿宋"/>
          <w:sz w:val="32"/>
          <w:szCs w:val="32"/>
          <w:lang w:val="zh-CN"/>
        </w:rPr>
        <w:t>，在用人额度内的经费仅</w:t>
      </w:r>
      <w:r>
        <w:rPr>
          <w:rFonts w:hint="eastAsia" w:ascii="仿宋" w:eastAsia="仿宋"/>
          <w:sz w:val="32"/>
          <w:szCs w:val="32"/>
          <w:lang w:val="zh-CN"/>
        </w:rPr>
        <w:t>能</w:t>
      </w:r>
      <w:r>
        <w:rPr>
          <w:rFonts w:ascii="仿宋" w:eastAsia="仿宋"/>
          <w:sz w:val="32"/>
          <w:szCs w:val="32"/>
          <w:lang w:val="zh-CN"/>
        </w:rPr>
        <w:t>用于基本工资、五险一金等</w:t>
      </w:r>
      <w:r>
        <w:rPr>
          <w:rFonts w:hint="eastAsia" w:ascii="仿宋" w:eastAsia="仿宋"/>
          <w:sz w:val="32"/>
          <w:szCs w:val="32"/>
          <w:lang w:val="zh-CN"/>
        </w:rPr>
        <w:t>人员</w:t>
      </w:r>
      <w:r>
        <w:rPr>
          <w:rFonts w:ascii="仿宋" w:eastAsia="仿宋"/>
          <w:sz w:val="32"/>
          <w:szCs w:val="32"/>
          <w:lang w:val="zh-CN"/>
        </w:rPr>
        <w:t>支出，预算</w:t>
      </w:r>
      <w:r>
        <w:rPr>
          <w:rFonts w:hint="eastAsia" w:ascii="仿宋" w:eastAsia="仿宋"/>
          <w:sz w:val="32"/>
          <w:szCs w:val="32"/>
          <w:lang w:val="zh-CN"/>
        </w:rPr>
        <w:t>经费不足以保障聘用制书记员工作的全面开展</w:t>
      </w:r>
      <w:r>
        <w:rPr>
          <w:rFonts w:hint="eastAsia" w:ascii="仿宋_GB2312" w:hAnsi="仿宋_GB2312" w:eastAsia="仿宋_GB2312" w:cs="仿宋_GB2312"/>
          <w:kern w:val="0"/>
          <w:sz w:val="32"/>
          <w:szCs w:val="32"/>
          <w:shd w:val="clear" w:color="auto" w:fill="FFFFFF"/>
        </w:rPr>
        <w:t>。</w:t>
      </w:r>
    </w:p>
    <w:p>
      <w:pPr>
        <w:rPr>
          <w:rFonts w:ascii="楷体" w:hAnsi="楷体" w:eastAsia="楷体"/>
          <w:b/>
          <w:sz w:val="32"/>
          <w:szCs w:val="32"/>
          <w:lang w:val="zh-CN"/>
        </w:rPr>
      </w:pPr>
      <w:r>
        <w:rPr>
          <w:rFonts w:hint="eastAsia" w:ascii="仿宋_GB2312" w:hAnsi="仿宋_GB2312" w:eastAsia="仿宋_GB2312" w:cs="仿宋_GB2312"/>
          <w:kern w:val="0"/>
          <w:sz w:val="32"/>
          <w:szCs w:val="32"/>
          <w:shd w:val="clear" w:color="auto" w:fill="FFFFFF"/>
        </w:rPr>
        <w:br w:type="page"/>
      </w:r>
      <w:r>
        <w:rPr>
          <w:rFonts w:hint="eastAsia" w:ascii="楷体" w:hAnsi="楷体" w:eastAsia="楷体"/>
          <w:b/>
          <w:sz w:val="32"/>
          <w:szCs w:val="32"/>
          <w:lang w:val="zh-CN"/>
        </w:rPr>
        <w:t>（三）相关建议。</w:t>
      </w:r>
    </w:p>
    <w:p>
      <w:pPr>
        <w:pStyle w:val="2"/>
        <w:spacing w:before="93"/>
      </w:pPr>
      <w:r>
        <w:rPr>
          <w:rFonts w:hint="eastAsia" w:ascii="仿宋" w:eastAsia="仿宋"/>
          <w:sz w:val="32"/>
          <w:szCs w:val="32"/>
          <w:lang w:val="zh-CN"/>
        </w:rPr>
        <w:t>持续做好资金管理，响应政府“过紧日子”的号召。</w:t>
      </w:r>
      <w:r>
        <w:rPr>
          <w:rFonts w:ascii="仿宋" w:eastAsia="仿宋"/>
          <w:sz w:val="32"/>
          <w:szCs w:val="32"/>
          <w:lang w:val="zh-CN"/>
        </w:rPr>
        <w:t>建议将</w:t>
      </w:r>
      <w:r>
        <w:rPr>
          <w:rFonts w:hint="eastAsia" w:ascii="仿宋" w:eastAsia="仿宋"/>
          <w:sz w:val="32"/>
          <w:szCs w:val="32"/>
          <w:lang w:val="zh-CN"/>
        </w:rPr>
        <w:t>此项经费纳入人员经费</w:t>
      </w:r>
      <w:r>
        <w:rPr>
          <w:rFonts w:ascii="仿宋" w:eastAsia="仿宋"/>
          <w:sz w:val="32"/>
          <w:szCs w:val="32"/>
          <w:lang w:val="zh-CN"/>
        </w:rPr>
        <w:t>作为</w:t>
      </w:r>
      <w:r>
        <w:rPr>
          <w:rFonts w:hint="eastAsia" w:ascii="仿宋" w:eastAsia="仿宋"/>
          <w:sz w:val="32"/>
          <w:szCs w:val="32"/>
          <w:lang w:val="zh-CN"/>
        </w:rPr>
        <w:t>基本支出</w:t>
      </w:r>
      <w:r>
        <w:rPr>
          <w:rFonts w:ascii="仿宋" w:eastAsia="仿宋"/>
          <w:sz w:val="32"/>
          <w:szCs w:val="32"/>
          <w:lang w:val="zh-CN"/>
        </w:rPr>
        <w:t>予以全额保障，使预算编制、执行更加科学合理，杜绝超预算执行的可能</w:t>
      </w:r>
      <w:r>
        <w:rPr>
          <w:rFonts w:hint="eastAsia" w:hAnsi="仿宋_GB2312" w:cs="仿宋_GB2312"/>
          <w:sz w:val="32"/>
          <w:szCs w:val="32"/>
          <w:shd w:val="clear" w:color="auto" w:fill="FFFFFF"/>
          <w:lang w:val="zh-CN"/>
        </w:rPr>
        <w:t>。</w:t>
      </w:r>
    </w:p>
    <w:p>
      <w:pPr>
        <w:pStyle w:val="14"/>
        <w:spacing w:line="560" w:lineRule="exact"/>
        <w:ind w:left="0" w:leftChars="0" w:firstLine="640"/>
        <w:rPr>
          <w:rFonts w:hAnsi="仿宋_GB2312" w:eastAsia="仿宋_GB2312" w:cs="仿宋_GB2312"/>
          <w:sz w:val="32"/>
          <w:lang w:val="zh-CN"/>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rPr>
          <w:rFonts w:ascii="黑体" w:hAnsi="黑体" w:eastAsia="黑体"/>
          <w:sz w:val="44"/>
          <w:szCs w:val="44"/>
        </w:rPr>
      </w:pPr>
      <w:bookmarkStart w:id="106" w:name="_Toc15396618"/>
      <w:r>
        <w:rPr>
          <w:rFonts w:hint="eastAsia" w:ascii="黑体" w:hAnsi="黑体" w:eastAsia="黑体"/>
          <w:sz w:val="44"/>
          <w:szCs w:val="44"/>
        </w:rPr>
        <w:br w:type="page"/>
      </w:r>
    </w:p>
    <w:p>
      <w:pPr>
        <w:rPr>
          <w:rFonts w:ascii="黑体" w:hAnsi="黑体" w:eastAsia="黑体"/>
          <w:sz w:val="44"/>
          <w:szCs w:val="44"/>
        </w:rPr>
        <w:sectPr>
          <w:pgSz w:w="11906" w:h="16838"/>
          <w:pgMar w:top="1440" w:right="1800" w:bottom="1440" w:left="1800" w:header="851" w:footer="992" w:gutter="0"/>
          <w:cols w:space="425" w:num="1"/>
          <w:titlePg/>
          <w:docGrid w:type="lines" w:linePitch="312" w:charSpace="0"/>
        </w:sectPr>
      </w:pPr>
    </w:p>
    <w:tbl>
      <w:tblPr>
        <w:tblStyle w:val="15"/>
        <w:tblW w:w="4997" w:type="pct"/>
        <w:tblInd w:w="0" w:type="dxa"/>
        <w:tblLayout w:type="autofit"/>
        <w:tblCellMar>
          <w:top w:w="0" w:type="dxa"/>
          <w:left w:w="108" w:type="dxa"/>
          <w:bottom w:w="0" w:type="dxa"/>
          <w:right w:w="108" w:type="dxa"/>
        </w:tblCellMar>
      </w:tblPr>
      <w:tblGrid>
        <w:gridCol w:w="1455"/>
        <w:gridCol w:w="1513"/>
        <w:gridCol w:w="1227"/>
        <w:gridCol w:w="1264"/>
        <w:gridCol w:w="448"/>
        <w:gridCol w:w="1071"/>
        <w:gridCol w:w="450"/>
        <w:gridCol w:w="938"/>
        <w:gridCol w:w="669"/>
        <w:gridCol w:w="824"/>
        <w:gridCol w:w="1006"/>
        <w:gridCol w:w="3300"/>
      </w:tblGrid>
      <w:tr>
        <w:tblPrEx>
          <w:tblCellMar>
            <w:top w:w="0" w:type="dxa"/>
            <w:left w:w="108" w:type="dxa"/>
            <w:bottom w:w="0" w:type="dxa"/>
            <w:right w:w="108" w:type="dxa"/>
          </w:tblCellMar>
        </w:tblPrEx>
        <w:trPr>
          <w:trHeight w:val="570" w:hRule="atLeast"/>
        </w:trPr>
        <w:tc>
          <w:tcPr>
            <w:tcW w:w="5000" w:type="pct"/>
            <w:gridSpan w:val="12"/>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rPr>
              <w:t>检察业务及辅助项目支出绩效目标自评表（2022年度）</w:t>
            </w:r>
          </w:p>
        </w:tc>
      </w:tr>
      <w:tr>
        <w:tblPrEx>
          <w:tblCellMar>
            <w:top w:w="0" w:type="dxa"/>
            <w:left w:w="108" w:type="dxa"/>
            <w:bottom w:w="0" w:type="dxa"/>
            <w:right w:w="108" w:type="dxa"/>
          </w:tblCellMar>
        </w:tblPrEx>
        <w:trPr>
          <w:trHeight w:val="66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项目名称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检察业务及辅助</w:t>
            </w:r>
          </w:p>
        </w:tc>
      </w:tr>
      <w:tr>
        <w:tblPrEx>
          <w:tblCellMar>
            <w:top w:w="0" w:type="dxa"/>
            <w:left w:w="108" w:type="dxa"/>
            <w:bottom w:w="0" w:type="dxa"/>
            <w:right w:w="108" w:type="dxa"/>
          </w:tblCellMar>
        </w:tblPrEx>
        <w:trPr>
          <w:trHeight w:val="640" w:hRule="atLeast"/>
        </w:trPr>
        <w:tc>
          <w:tcPr>
            <w:tcW w:w="10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主管部门（盖章）</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实施单位 （盖章）</w:t>
            </w:r>
          </w:p>
        </w:tc>
        <w:tc>
          <w:tcPr>
            <w:tcW w:w="20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广元市利州区人民检察院</w:t>
            </w:r>
          </w:p>
        </w:tc>
      </w:tr>
      <w:tr>
        <w:tblPrEx>
          <w:tblCellMar>
            <w:top w:w="0" w:type="dxa"/>
            <w:left w:w="108" w:type="dxa"/>
            <w:bottom w:w="0" w:type="dxa"/>
            <w:right w:w="108" w:type="dxa"/>
          </w:tblCellMar>
        </w:tblPrEx>
        <w:trPr>
          <w:trHeight w:val="60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项目基本情况</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1.项目年度目标完成情况</w:t>
            </w: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项目年度目标</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年度目标完成情况</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15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书记员辅助办案经费保障，包括书记员基本工资、五险一金等工资福利费用。</w:t>
            </w:r>
          </w:p>
        </w:tc>
        <w:tc>
          <w:tcPr>
            <w:tcW w:w="23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书记员基本工资、五险一金等每月按时支付，辅助办案经费按规定保障，目标任务完成。</w:t>
            </w:r>
          </w:p>
        </w:tc>
      </w:tr>
      <w:tr>
        <w:tblPrEx>
          <w:tblCellMar>
            <w:top w:w="0" w:type="dxa"/>
            <w:left w:w="108" w:type="dxa"/>
            <w:bottom w:w="0" w:type="dxa"/>
            <w:right w:w="108" w:type="dxa"/>
          </w:tblCellMar>
        </w:tblPrEx>
        <w:trPr>
          <w:trHeight w:val="60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b/>
                <w:bCs/>
                <w:color w:val="000000"/>
                <w:sz w:val="18"/>
                <w:szCs w:val="18"/>
              </w:rPr>
            </w:pPr>
            <w:r>
              <w:rPr>
                <w:rFonts w:hint="eastAsia" w:ascii="宋体" w:hAnsi="宋体" w:cs="宋体"/>
                <w:b/>
                <w:bCs/>
                <w:color w:val="000000"/>
                <w:kern w:val="0"/>
                <w:sz w:val="18"/>
                <w:szCs w:val="18"/>
              </w:rPr>
              <w:t>2.项目实施内容及过程概述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该项目资金用于书记员工资福利费用以及辅助办案经费，严格按照一般公共预算资金管理的有关规定使用，支付凭据依据费用报销管理制度严格履行审批手续，杜绝超范围、超标准支出。</w:t>
            </w:r>
          </w:p>
        </w:tc>
      </w:tr>
      <w:tr>
        <w:tblPrEx>
          <w:tblCellMar>
            <w:top w:w="0" w:type="dxa"/>
            <w:left w:w="108" w:type="dxa"/>
            <w:bottom w:w="0" w:type="dxa"/>
            <w:right w:w="108" w:type="dxa"/>
          </w:tblCellMar>
        </w:tblPrEx>
        <w:trPr>
          <w:trHeight w:val="94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预算执行情况（10分）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年度预算数（万元）</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年初预算</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调整后预算数</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预算执行数</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原因</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总额</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其中：财政资金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财政专户管理资金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48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其他资金</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720"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绩效指标（90分）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一级指标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二级指标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三级指标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指标性质</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指标值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度量单位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部门自评得分</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财政部门科室复评得分</w:t>
            </w: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未完成原因分析</w:t>
            </w: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成本指标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检察业务及辅助项目总支出</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94.6万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数量指标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辅助办案人员保障人数</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名</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时效指标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配合办案人员到位及时性</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个工作日</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及时到位</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产出指标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质量指标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辅助办案人员学历本科率</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学历均为本科以上</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社会效益指标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信息公开数量</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效益指标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可持续发展指标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持续落实书记员辅助办案制度</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已落实</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450"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满意度指标</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服务对象满意度指标</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恶劣影响的严重上访事件</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件</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CellMar>
            <w:top w:w="0" w:type="dxa"/>
            <w:left w:w="108" w:type="dxa"/>
            <w:bottom w:w="0" w:type="dxa"/>
            <w:right w:w="108" w:type="dxa"/>
          </w:tblCellMar>
        </w:tblPrEx>
        <w:trPr>
          <w:trHeight w:val="270" w:hRule="atLeast"/>
        </w:trPr>
        <w:tc>
          <w:tcPr>
            <w:tcW w:w="295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116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部门（单位）自评结论</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该项目主要用于书记员辅助办案经费保障，包括书记员基本工资、五险一金等工资福利费用，该项目严格按照一般公共预算资金管理的有关规定使用，支付凭据依据费用报销管理制度严格履行审批手续，具有较强的可持续性。</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部门（单位）自评存在问题</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预算有限，在用人额度内的聘用制书记员、聘用人员工作经费仅用于基本工资、五险一金等支出，容易超出预算。</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部门（单位）自评改进措施</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6"/>
                <w:szCs w:val="16"/>
              </w:rPr>
            </w:pPr>
            <w:r>
              <w:rPr>
                <w:rFonts w:hint="eastAsia" w:ascii="宋体" w:hAnsi="宋体" w:cs="宋体"/>
                <w:color w:val="000000"/>
                <w:kern w:val="0"/>
                <w:sz w:val="16"/>
                <w:szCs w:val="16"/>
              </w:rPr>
              <w:t>持续做好资金管理，响应政府“过紧日子”的号召；建议将此项经费纳入人员经费作为基本支出予以全额保障，使预算编制、执行更加科学合理，杜绝超预算执行的可能。</w:t>
            </w:r>
          </w:p>
        </w:tc>
      </w:tr>
      <w:tr>
        <w:tblPrEx>
          <w:tblCellMar>
            <w:top w:w="0" w:type="dxa"/>
            <w:left w:w="108" w:type="dxa"/>
            <w:bottom w:w="0" w:type="dxa"/>
            <w:right w:w="108" w:type="dxa"/>
          </w:tblCellMar>
        </w:tblPrEx>
        <w:trPr>
          <w:trHeight w:val="860"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财政部门对口科室复评结论及整改要求</w:t>
            </w:r>
          </w:p>
        </w:tc>
        <w:tc>
          <w:tcPr>
            <w:tcW w:w="448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6"/>
                <w:szCs w:val="16"/>
              </w:rPr>
            </w:pP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单位财务负责人：</w:t>
            </w:r>
          </w:p>
        </w:tc>
      </w:tr>
      <w:tr>
        <w:tblPrEx>
          <w:tblCellMar>
            <w:top w:w="0" w:type="dxa"/>
            <w:left w:w="108" w:type="dxa"/>
            <w:bottom w:w="0" w:type="dxa"/>
            <w:right w:w="108" w:type="dxa"/>
          </w:tblCellMar>
        </w:tblPrEx>
        <w:trPr>
          <w:trHeight w:val="270" w:hRule="atLeast"/>
        </w:trPr>
        <w:tc>
          <w:tcPr>
            <w:tcW w:w="20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部门项目负责人：</w:t>
            </w:r>
          </w:p>
        </w:tc>
        <w:tc>
          <w:tcPr>
            <w:tcW w:w="291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部门财务负责人：</w:t>
            </w:r>
          </w:p>
        </w:tc>
      </w:tr>
      <w:tr>
        <w:tblPrEx>
          <w:tblCellMar>
            <w:top w:w="0" w:type="dxa"/>
            <w:left w:w="108" w:type="dxa"/>
            <w:bottom w:w="0" w:type="dxa"/>
            <w:right w:w="108" w:type="dxa"/>
          </w:tblCellMar>
        </w:tblPrEx>
        <w:trPr>
          <w:trHeight w:val="27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rPr>
              <w:t>财政部门科室负责人：</w:t>
            </w:r>
          </w:p>
        </w:tc>
      </w:tr>
    </w:tbl>
    <w:p>
      <w:pPr>
        <w:rPr>
          <w:rFonts w:ascii="黑体" w:hAnsi="黑体" w:eastAsia="黑体"/>
          <w:sz w:val="44"/>
          <w:szCs w:val="44"/>
        </w:rPr>
      </w:pPr>
      <w:r>
        <w:rPr>
          <w:rFonts w:hint="eastAsia" w:ascii="黑体" w:hAnsi="黑体" w:eastAsia="黑体"/>
          <w:sz w:val="44"/>
          <w:szCs w:val="44"/>
        </w:rPr>
        <w:br w:type="page"/>
      </w:r>
    </w:p>
    <w:p>
      <w:pPr>
        <w:spacing w:line="600" w:lineRule="exact"/>
        <w:jc w:val="center"/>
        <w:outlineLvl w:val="9"/>
        <w:rPr>
          <w:rFonts w:ascii="黑体" w:hAnsi="黑体" w:eastAsia="黑体"/>
          <w:sz w:val="44"/>
          <w:szCs w:val="44"/>
        </w:rPr>
        <w:sectPr>
          <w:pgSz w:w="16838" w:h="11906" w:orient="landscape"/>
          <w:pgMar w:top="1800" w:right="1440" w:bottom="1800" w:left="1440" w:header="851" w:footer="992" w:gutter="0"/>
          <w:cols w:space="425" w:num="1"/>
          <w:titlePg/>
          <w:docGrid w:type="lines" w:linePitch="312" w:charSpace="0"/>
        </w:sectPr>
      </w:pPr>
    </w:p>
    <w:p>
      <w:pPr>
        <w:spacing w:line="600" w:lineRule="exact"/>
        <w:jc w:val="center"/>
        <w:outlineLvl w:val="0"/>
        <w:rPr>
          <w:rFonts w:ascii="仿宋" w:hAnsi="仿宋" w:eastAsia="仿宋"/>
        </w:rPr>
      </w:pPr>
      <w:bookmarkStart w:id="107" w:name="_Toc16845"/>
      <w:r>
        <w:rPr>
          <w:rFonts w:hint="eastAsia" w:ascii="黑体" w:hAnsi="黑体" w:eastAsia="黑体"/>
          <w:sz w:val="44"/>
          <w:szCs w:val="44"/>
        </w:rPr>
        <w:t>第</w:t>
      </w:r>
      <w:r>
        <w:rPr>
          <w:rStyle w:val="19"/>
          <w:rFonts w:hint="eastAsia" w:ascii="黑体" w:hAnsi="黑体" w:eastAsia="黑体"/>
          <w:b w:val="0"/>
        </w:rPr>
        <w:t>五部分 附表</w:t>
      </w:r>
      <w:bookmarkEnd w:id="74"/>
      <w:bookmarkEnd w:id="106"/>
      <w:bookmarkEnd w:id="107"/>
      <w:bookmarkStart w:id="108" w:name="_Toc15396619"/>
    </w:p>
    <w:p>
      <w:pPr>
        <w:pStyle w:val="4"/>
        <w:rPr>
          <w:rFonts w:ascii="仿宋" w:hAnsi="仿宋" w:eastAsia="仿宋"/>
        </w:rPr>
      </w:pPr>
      <w:bookmarkStart w:id="109" w:name="_Toc29866"/>
      <w:r>
        <w:rPr>
          <w:rFonts w:hint="eastAsia" w:ascii="仿宋" w:hAnsi="仿宋" w:eastAsia="仿宋"/>
          <w:b w:val="0"/>
        </w:rPr>
        <w:t>一、收</w:t>
      </w:r>
      <w:r>
        <w:rPr>
          <w:rStyle w:val="20"/>
          <w:rFonts w:hint="eastAsia" w:ascii="仿宋" w:hAnsi="仿宋" w:eastAsia="仿宋"/>
          <w:b w:val="0"/>
          <w:bCs w:val="0"/>
        </w:rPr>
        <w:t>入支出决算总表</w:t>
      </w:r>
      <w:bookmarkEnd w:id="108"/>
      <w:bookmarkEnd w:id="109"/>
    </w:p>
    <w:p>
      <w:pPr>
        <w:pStyle w:val="4"/>
        <w:rPr>
          <w:rFonts w:ascii="仿宋" w:hAnsi="仿宋" w:eastAsia="仿宋"/>
        </w:rPr>
      </w:pPr>
      <w:bookmarkStart w:id="110" w:name="_Toc15396620"/>
      <w:bookmarkStart w:id="111" w:name="_Toc15137"/>
      <w:r>
        <w:rPr>
          <w:rFonts w:hint="eastAsia" w:ascii="仿宋" w:hAnsi="仿宋" w:eastAsia="仿宋"/>
          <w:b w:val="0"/>
        </w:rPr>
        <w:t>二、收</w:t>
      </w:r>
      <w:r>
        <w:rPr>
          <w:rStyle w:val="20"/>
          <w:rFonts w:hint="eastAsia" w:ascii="仿宋" w:hAnsi="仿宋" w:eastAsia="仿宋"/>
          <w:b w:val="0"/>
          <w:bCs w:val="0"/>
        </w:rPr>
        <w:t>入决算表</w:t>
      </w:r>
      <w:bookmarkEnd w:id="110"/>
      <w:bookmarkEnd w:id="111"/>
    </w:p>
    <w:p>
      <w:pPr>
        <w:pStyle w:val="4"/>
        <w:rPr>
          <w:rFonts w:ascii="仿宋" w:hAnsi="仿宋" w:eastAsia="仿宋"/>
        </w:rPr>
      </w:pPr>
      <w:bookmarkStart w:id="112" w:name="_Toc15396621"/>
      <w:bookmarkStart w:id="113" w:name="_Toc21381"/>
      <w:r>
        <w:rPr>
          <w:rStyle w:val="20"/>
          <w:rFonts w:hint="eastAsia" w:ascii="仿宋" w:hAnsi="仿宋" w:eastAsia="仿宋"/>
          <w:b w:val="0"/>
          <w:bCs w:val="0"/>
        </w:rPr>
        <w:t>三、</w:t>
      </w:r>
      <w:r>
        <w:rPr>
          <w:rFonts w:hint="eastAsia" w:ascii="仿宋" w:hAnsi="仿宋" w:eastAsia="仿宋"/>
          <w:b w:val="0"/>
        </w:rPr>
        <w:t>支</w:t>
      </w:r>
      <w:r>
        <w:rPr>
          <w:rStyle w:val="20"/>
          <w:rFonts w:hint="eastAsia" w:ascii="仿宋" w:hAnsi="仿宋" w:eastAsia="仿宋"/>
          <w:b w:val="0"/>
          <w:bCs w:val="0"/>
        </w:rPr>
        <w:t>出决算表</w:t>
      </w:r>
      <w:bookmarkEnd w:id="112"/>
      <w:bookmarkEnd w:id="113"/>
    </w:p>
    <w:p>
      <w:pPr>
        <w:pStyle w:val="4"/>
        <w:rPr>
          <w:rFonts w:ascii="仿宋" w:hAnsi="仿宋" w:eastAsia="仿宋"/>
          <w:b w:val="0"/>
        </w:rPr>
      </w:pPr>
      <w:bookmarkStart w:id="114" w:name="_Toc15396622"/>
      <w:bookmarkStart w:id="115" w:name="_Toc27697"/>
      <w:r>
        <w:rPr>
          <w:rStyle w:val="20"/>
          <w:rFonts w:hint="eastAsia" w:ascii="仿宋" w:hAnsi="仿宋" w:eastAsia="仿宋"/>
          <w:b w:val="0"/>
          <w:bCs w:val="0"/>
        </w:rPr>
        <w:t>四、</w:t>
      </w:r>
      <w:r>
        <w:rPr>
          <w:rFonts w:hint="eastAsia" w:ascii="仿宋" w:hAnsi="仿宋" w:eastAsia="仿宋"/>
          <w:b w:val="0"/>
        </w:rPr>
        <w:t>财</w:t>
      </w:r>
      <w:r>
        <w:rPr>
          <w:rStyle w:val="20"/>
          <w:rFonts w:hint="eastAsia" w:ascii="仿宋" w:hAnsi="仿宋" w:eastAsia="仿宋"/>
          <w:b w:val="0"/>
          <w:bCs w:val="0"/>
        </w:rPr>
        <w:t>政拨款收入支出决算总表</w:t>
      </w:r>
      <w:bookmarkEnd w:id="114"/>
      <w:bookmarkEnd w:id="115"/>
    </w:p>
    <w:p>
      <w:pPr>
        <w:pStyle w:val="4"/>
        <w:rPr>
          <w:rStyle w:val="20"/>
          <w:rFonts w:ascii="仿宋" w:hAnsi="仿宋" w:eastAsia="仿宋"/>
          <w:b w:val="0"/>
          <w:bCs w:val="0"/>
        </w:rPr>
      </w:pPr>
      <w:bookmarkStart w:id="116" w:name="_Toc15396623"/>
      <w:bookmarkStart w:id="117" w:name="_Toc19730"/>
      <w:r>
        <w:rPr>
          <w:rStyle w:val="20"/>
          <w:rFonts w:hint="eastAsia" w:ascii="仿宋" w:hAnsi="仿宋" w:eastAsia="仿宋"/>
          <w:b w:val="0"/>
          <w:bCs w:val="0"/>
        </w:rPr>
        <w:t>五、</w:t>
      </w:r>
      <w:r>
        <w:rPr>
          <w:rFonts w:hint="eastAsia" w:ascii="仿宋" w:hAnsi="仿宋" w:eastAsia="仿宋"/>
          <w:b w:val="0"/>
        </w:rPr>
        <w:t>财</w:t>
      </w:r>
      <w:r>
        <w:rPr>
          <w:rStyle w:val="20"/>
          <w:rFonts w:hint="eastAsia" w:ascii="仿宋" w:hAnsi="仿宋" w:eastAsia="仿宋"/>
          <w:b w:val="0"/>
          <w:bCs w:val="0"/>
        </w:rPr>
        <w:t>政拨款支出决算明细表</w:t>
      </w:r>
      <w:bookmarkEnd w:id="116"/>
      <w:bookmarkEnd w:id="117"/>
      <w:bookmarkStart w:id="118" w:name="_Toc15396624"/>
    </w:p>
    <w:p>
      <w:pPr>
        <w:pStyle w:val="4"/>
        <w:rPr>
          <w:rFonts w:ascii="仿宋" w:hAnsi="仿宋" w:eastAsia="仿宋"/>
        </w:rPr>
      </w:pPr>
      <w:bookmarkStart w:id="119" w:name="_Toc30835"/>
      <w:r>
        <w:rPr>
          <w:rStyle w:val="20"/>
          <w:rFonts w:hint="eastAsia" w:ascii="仿宋" w:hAnsi="仿宋" w:eastAsia="仿宋"/>
          <w:b w:val="0"/>
          <w:bCs w:val="0"/>
        </w:rPr>
        <w:t>六、</w:t>
      </w:r>
      <w:r>
        <w:rPr>
          <w:rFonts w:hint="eastAsia" w:ascii="仿宋" w:hAnsi="仿宋" w:eastAsia="仿宋"/>
          <w:b w:val="0"/>
        </w:rPr>
        <w:t>一</w:t>
      </w:r>
      <w:r>
        <w:rPr>
          <w:rStyle w:val="20"/>
          <w:rFonts w:hint="eastAsia" w:ascii="仿宋" w:hAnsi="仿宋" w:eastAsia="仿宋"/>
          <w:b w:val="0"/>
          <w:bCs w:val="0"/>
        </w:rPr>
        <w:t>般公共预算财政拨款支出决算表</w:t>
      </w:r>
      <w:bookmarkEnd w:id="118"/>
      <w:bookmarkEnd w:id="119"/>
    </w:p>
    <w:p>
      <w:pPr>
        <w:pStyle w:val="4"/>
        <w:rPr>
          <w:rFonts w:ascii="仿宋" w:hAnsi="仿宋" w:eastAsia="仿宋"/>
        </w:rPr>
      </w:pPr>
      <w:bookmarkStart w:id="120" w:name="_Toc15396625"/>
      <w:bookmarkStart w:id="121" w:name="_Toc24626"/>
      <w:r>
        <w:rPr>
          <w:rStyle w:val="20"/>
          <w:rFonts w:hint="eastAsia" w:ascii="仿宋" w:hAnsi="仿宋" w:eastAsia="仿宋"/>
          <w:b w:val="0"/>
          <w:bCs w:val="0"/>
        </w:rPr>
        <w:t>七、</w:t>
      </w:r>
      <w:r>
        <w:rPr>
          <w:rFonts w:hint="eastAsia" w:ascii="仿宋" w:hAnsi="仿宋" w:eastAsia="仿宋"/>
          <w:b w:val="0"/>
        </w:rPr>
        <w:t>一</w:t>
      </w:r>
      <w:r>
        <w:rPr>
          <w:rStyle w:val="20"/>
          <w:rFonts w:hint="eastAsia" w:ascii="仿宋" w:hAnsi="仿宋" w:eastAsia="仿宋"/>
          <w:b w:val="0"/>
          <w:bCs w:val="0"/>
        </w:rPr>
        <w:t>般公共预算财政拨款支出决算明细表</w:t>
      </w:r>
      <w:bookmarkEnd w:id="120"/>
      <w:bookmarkEnd w:id="121"/>
    </w:p>
    <w:p>
      <w:pPr>
        <w:pStyle w:val="4"/>
        <w:rPr>
          <w:rFonts w:ascii="仿宋" w:hAnsi="仿宋" w:eastAsia="仿宋"/>
        </w:rPr>
      </w:pPr>
      <w:bookmarkStart w:id="122" w:name="_Toc15396626"/>
      <w:bookmarkStart w:id="123" w:name="_Toc12157"/>
      <w:r>
        <w:rPr>
          <w:rStyle w:val="20"/>
          <w:rFonts w:hint="eastAsia" w:ascii="仿宋" w:hAnsi="仿宋" w:eastAsia="仿宋"/>
          <w:b w:val="0"/>
          <w:bCs w:val="0"/>
        </w:rPr>
        <w:t>八、</w:t>
      </w:r>
      <w:r>
        <w:rPr>
          <w:rFonts w:hint="eastAsia" w:ascii="仿宋" w:hAnsi="仿宋" w:eastAsia="仿宋"/>
          <w:b w:val="0"/>
        </w:rPr>
        <w:t>一</w:t>
      </w:r>
      <w:r>
        <w:rPr>
          <w:rStyle w:val="20"/>
          <w:rFonts w:hint="eastAsia" w:ascii="仿宋" w:hAnsi="仿宋" w:eastAsia="仿宋"/>
          <w:b w:val="0"/>
          <w:bCs w:val="0"/>
        </w:rPr>
        <w:t>般公共预算财政拨款基本支出决算表</w:t>
      </w:r>
      <w:bookmarkEnd w:id="122"/>
      <w:bookmarkEnd w:id="123"/>
    </w:p>
    <w:p>
      <w:pPr>
        <w:pStyle w:val="4"/>
        <w:rPr>
          <w:rFonts w:ascii="仿宋" w:hAnsi="仿宋" w:eastAsia="仿宋"/>
        </w:rPr>
      </w:pPr>
      <w:bookmarkStart w:id="124" w:name="_Toc15396627"/>
      <w:bookmarkStart w:id="125" w:name="_Toc8569"/>
      <w:r>
        <w:rPr>
          <w:rStyle w:val="20"/>
          <w:rFonts w:hint="eastAsia" w:ascii="仿宋" w:hAnsi="仿宋" w:eastAsia="仿宋"/>
          <w:b w:val="0"/>
          <w:bCs w:val="0"/>
        </w:rPr>
        <w:t>九、</w:t>
      </w:r>
      <w:r>
        <w:rPr>
          <w:rFonts w:hint="eastAsia" w:ascii="仿宋" w:hAnsi="仿宋" w:eastAsia="仿宋"/>
          <w:b w:val="0"/>
        </w:rPr>
        <w:t>一</w:t>
      </w:r>
      <w:r>
        <w:rPr>
          <w:rStyle w:val="20"/>
          <w:rFonts w:hint="eastAsia" w:ascii="仿宋" w:hAnsi="仿宋" w:eastAsia="仿宋"/>
          <w:b w:val="0"/>
          <w:bCs w:val="0"/>
        </w:rPr>
        <w:t>般公共预算财政拨款项目支出决算表</w:t>
      </w:r>
      <w:bookmarkEnd w:id="124"/>
      <w:bookmarkEnd w:id="125"/>
    </w:p>
    <w:p>
      <w:pPr>
        <w:pStyle w:val="4"/>
        <w:rPr>
          <w:rFonts w:ascii="仿宋" w:hAnsi="仿宋" w:eastAsia="仿宋"/>
        </w:rPr>
      </w:pPr>
      <w:bookmarkStart w:id="126" w:name="_Toc15396628"/>
      <w:bookmarkStart w:id="127" w:name="_Toc4507"/>
      <w:r>
        <w:rPr>
          <w:rStyle w:val="20"/>
          <w:rFonts w:hint="eastAsia" w:ascii="仿宋" w:hAnsi="仿宋" w:eastAsia="仿宋"/>
          <w:b w:val="0"/>
          <w:bCs w:val="0"/>
        </w:rPr>
        <w:t>十、</w:t>
      </w:r>
      <w:bookmarkEnd w:id="126"/>
      <w:r>
        <w:rPr>
          <w:rFonts w:hint="eastAsia" w:ascii="仿宋" w:hAnsi="仿宋" w:eastAsia="仿宋"/>
          <w:b w:val="0"/>
        </w:rPr>
        <w:t>政</w:t>
      </w:r>
      <w:r>
        <w:rPr>
          <w:rStyle w:val="20"/>
          <w:rFonts w:hint="eastAsia" w:ascii="仿宋" w:hAnsi="仿宋" w:eastAsia="仿宋"/>
          <w:b w:val="0"/>
          <w:bCs w:val="0"/>
        </w:rPr>
        <w:t>府性基金预算财政拨款收入支出决算表</w:t>
      </w:r>
      <w:bookmarkEnd w:id="127"/>
    </w:p>
    <w:p>
      <w:pPr>
        <w:pStyle w:val="4"/>
        <w:rPr>
          <w:rFonts w:ascii="仿宋" w:hAnsi="仿宋" w:eastAsia="仿宋"/>
        </w:rPr>
      </w:pPr>
      <w:bookmarkStart w:id="128" w:name="_Toc15396629"/>
      <w:bookmarkStart w:id="129" w:name="_Toc32224"/>
      <w:r>
        <w:rPr>
          <w:rStyle w:val="20"/>
          <w:rFonts w:hint="eastAsia" w:ascii="仿宋" w:hAnsi="仿宋" w:eastAsia="仿宋"/>
          <w:b w:val="0"/>
          <w:bCs w:val="0"/>
        </w:rPr>
        <w:t>十一、</w:t>
      </w:r>
      <w:bookmarkEnd w:id="128"/>
      <w:r>
        <w:rPr>
          <w:rFonts w:hint="eastAsia" w:ascii="仿宋" w:hAnsi="仿宋" w:eastAsia="仿宋"/>
          <w:b w:val="0"/>
        </w:rPr>
        <w:t>国</w:t>
      </w:r>
      <w:r>
        <w:rPr>
          <w:rStyle w:val="20"/>
          <w:rFonts w:hint="eastAsia" w:ascii="仿宋" w:hAnsi="仿宋" w:eastAsia="仿宋"/>
          <w:b w:val="0"/>
          <w:bCs w:val="0"/>
        </w:rPr>
        <w:t>有资本经营预算财政拨款收入支出决算表</w:t>
      </w:r>
      <w:bookmarkEnd w:id="129"/>
    </w:p>
    <w:p>
      <w:pPr>
        <w:pStyle w:val="4"/>
        <w:rPr>
          <w:rFonts w:ascii="仿宋" w:hAnsi="仿宋" w:eastAsia="仿宋"/>
        </w:rPr>
      </w:pPr>
      <w:bookmarkStart w:id="130" w:name="_Toc15396630"/>
      <w:bookmarkStart w:id="131" w:name="_Toc5697"/>
      <w:r>
        <w:rPr>
          <w:rStyle w:val="20"/>
          <w:rFonts w:hint="eastAsia" w:ascii="仿宋" w:hAnsi="仿宋" w:eastAsia="仿宋"/>
          <w:b w:val="0"/>
          <w:bCs w:val="0"/>
        </w:rPr>
        <w:t>十二、</w:t>
      </w:r>
      <w:bookmarkEnd w:id="130"/>
      <w:r>
        <w:rPr>
          <w:rStyle w:val="20"/>
          <w:rFonts w:hint="eastAsia" w:ascii="仿宋" w:hAnsi="仿宋" w:eastAsia="仿宋"/>
          <w:b w:val="0"/>
          <w:bCs w:val="0"/>
        </w:rPr>
        <w:t>国有资本经营预算财政拨款支出决算表</w:t>
      </w:r>
      <w:bookmarkEnd w:id="131"/>
    </w:p>
    <w:p>
      <w:pPr>
        <w:pStyle w:val="4"/>
        <w:rPr>
          <w:rFonts w:eastAsia="仿宋"/>
        </w:rPr>
      </w:pPr>
      <w:bookmarkStart w:id="132" w:name="_Toc15396631"/>
      <w:bookmarkStart w:id="133" w:name="_Toc15360"/>
      <w:r>
        <w:rPr>
          <w:rStyle w:val="20"/>
          <w:rFonts w:hint="eastAsia" w:ascii="仿宋" w:hAnsi="仿宋" w:eastAsia="仿宋"/>
          <w:b w:val="0"/>
          <w:bCs w:val="0"/>
        </w:rPr>
        <w:t>十三、</w:t>
      </w:r>
      <w:bookmarkEnd w:id="132"/>
      <w:r>
        <w:rPr>
          <w:rStyle w:val="20"/>
          <w:rFonts w:hint="eastAsia" w:ascii="仿宋" w:hAnsi="仿宋" w:eastAsia="仿宋"/>
          <w:b w:val="0"/>
          <w:bCs w:val="0"/>
        </w:rPr>
        <w:t>财政拨款“三公”经费支出决算表</w:t>
      </w:r>
      <w:bookmarkEnd w:id="133"/>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471931-624A-40BC-A330-6D2861AAA77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2" w:fontKey="{1BE53AE2-56B5-46C1-AA3A-148FD07A016A}"/>
  </w:font>
  <w:font w:name="Cambria">
    <w:panose1 w:val="02040503050406030204"/>
    <w:charset w:val="00"/>
    <w:family w:val="roman"/>
    <w:pitch w:val="default"/>
    <w:sig w:usb0="E00006FF" w:usb1="420024FF" w:usb2="02000000" w:usb3="00000000" w:csb0="2000019F" w:csb1="00000000"/>
    <w:embedRegular r:id="rId3" w:fontKey="{46DD8FBA-C2A7-4237-B825-86551B4CF61D}"/>
  </w:font>
  <w:font w:name="仿宋">
    <w:panose1 w:val="02010609060101010101"/>
    <w:charset w:val="86"/>
    <w:family w:val="modern"/>
    <w:pitch w:val="default"/>
    <w:sig w:usb0="800002BF" w:usb1="38CF7CFA" w:usb2="00000016" w:usb3="00000000" w:csb0="00040001" w:csb1="00000000"/>
    <w:embedRegular r:id="rId4" w:fontKey="{F7BFBEAC-01C2-48AE-85D3-20A534722DE1}"/>
  </w:font>
  <w:font w:name="??">
    <w:altName w:val="Segoe Print"/>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5" w:fontKey="{C538B62A-37D6-4278-A40D-71E34B44B2ED}"/>
  </w:font>
  <w:font w:name="楷体">
    <w:panose1 w:val="02010609060101010101"/>
    <w:charset w:val="86"/>
    <w:family w:val="modern"/>
    <w:pitch w:val="default"/>
    <w:sig w:usb0="800002BF" w:usb1="38CF7CFA" w:usb2="00000016" w:usb3="00000000" w:csb0="00040001" w:csb1="00000000"/>
    <w:embedRegular r:id="rId6" w:fontKey="{ED604C94-5898-4855-BB95-49DAA1701D23}"/>
  </w:font>
  <w:font w:name="楷体_GB2312">
    <w:altName w:val="楷体"/>
    <w:panose1 w:val="02010609030101010101"/>
    <w:charset w:val="86"/>
    <w:family w:val="auto"/>
    <w:pitch w:val="default"/>
    <w:sig w:usb0="00000000" w:usb1="00000000" w:usb2="00000000" w:usb3="00000000" w:csb0="00040000" w:csb1="00000000"/>
    <w:embedRegular r:id="rId7" w:fontKey="{69C459AC-3146-4D82-BCAA-D4BA558FB1C4}"/>
  </w:font>
  <w:font w:name="方正仿宋简体">
    <w:altName w:val="方正仿宋_GBK"/>
    <w:panose1 w:val="00000000000000000000"/>
    <w:charset w:val="86"/>
    <w:family w:val="auto"/>
    <w:pitch w:val="default"/>
    <w:sig w:usb0="00000000" w:usb1="00000000" w:usb2="00000000" w:usb3="00000000" w:csb0="00040000" w:csb1="00000000"/>
    <w:embedRegular r:id="rId8" w:fontKey="{5E28F004-7A31-4F44-9C80-2E5DC3AF41C3}"/>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64</w:t>
                          </w:r>
                          <w:r>
                            <w:rPr>
                              <w:rFonts w:hint="eastAsia" w:ascii="仿宋_GB2312" w:hAnsi="仿宋_GB2312" w:eastAsia="仿宋_GB2312" w:cs="仿宋_GB2312"/>
                              <w:sz w:val="24"/>
                              <w:szCs w:val="24"/>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jR/FckBAACZAwAADgAAAGRycy9lMm9Eb2MueG1srVPNjtMwEL4j8Q6W&#10;79Rpk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2J4xYHfvn+7fLj1+XnV/Iy&#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NH8VyQEAAJkDAAAOAAAAAAAAAAEAIAAAAB4BAABkcnMvZTJvRG9j&#10;LnhtbFBLBQYAAAAABgAGAFkBAABZBQAAAAA=&#10;">
              <v:fill on="f" focussize="0,0"/>
              <v:stroke on="f"/>
              <v:imagedata o:title=""/>
              <o:lock v:ext="edit" aspectratio="f"/>
              <v:textbox inset="0mm,0mm,0mm,0mm" style="mso-fit-shape-to-text:t;">
                <w:txbxContent>
                  <w:p>
                    <w:pPr>
                      <w:pStyle w:val="9"/>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64</w:t>
                    </w:r>
                    <w:r>
                      <w:rPr>
                        <w:rFonts w:hint="eastAsia" w:ascii="仿宋_GB2312" w:hAnsi="仿宋_GB2312" w:eastAsia="仿宋_GB2312" w:cs="仿宋_GB2312"/>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65</w:t>
                          </w:r>
                          <w:r>
                            <w:rPr>
                              <w:rFonts w:hint="eastAsia" w:ascii="仿宋_GB2312" w:hAnsi="仿宋_GB2312" w:eastAsia="仿宋_GB2312" w:cs="仿宋_GB2312"/>
                              <w:sz w:val="24"/>
                              <w:szCs w:val="24"/>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x0rL8g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UBy74xYHfvn+7fLj1+XnV/I6&#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cdKy/IAQAAmQMAAA4AAAAAAAAAAQAgAAAAHgEAAGRycy9lMm9Eb2Mu&#10;eG1sUEsFBgAAAAAGAAYAWQEAAFgFAAAAAA==&#10;">
              <v:fill on="f" focussize="0,0"/>
              <v:stroke on="f"/>
              <v:imagedata o:title=""/>
              <o:lock v:ext="edit" aspectratio="f"/>
              <v:textbox inset="0mm,0mm,0mm,0mm" style="mso-fit-shape-to-text:t;">
                <w:txbxContent>
                  <w:p>
                    <w:pPr>
                      <w:pStyle w:val="9"/>
                      <w:rPr>
                        <w:rFonts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ascii="仿宋_GB2312" w:hAnsi="仿宋_GB2312" w:eastAsia="仿宋_GB2312" w:cs="仿宋_GB2312"/>
                        <w:sz w:val="24"/>
                        <w:szCs w:val="24"/>
                      </w:rPr>
                      <w:t>65</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465A6F"/>
    <w:multiLevelType w:val="singleLevel"/>
    <w:tmpl w:val="BC465A6F"/>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EBEF323"/>
    <w:multiLevelType w:val="singleLevel"/>
    <w:tmpl w:val="DEBEF323"/>
    <w:lvl w:ilvl="0" w:tentative="0">
      <w:start w:val="4"/>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5D8511E"/>
    <w:multiLevelType w:val="singleLevel"/>
    <w:tmpl w:val="45D8511E"/>
    <w:lvl w:ilvl="0" w:tentative="0">
      <w:start w:val="1"/>
      <w:numFmt w:val="decimal"/>
      <w:suff w:val="nothing"/>
      <w:lvlText w:val="%1．"/>
      <w:lvlJc w:val="left"/>
      <w:pPr>
        <w:ind w:left="0" w:firstLine="400"/>
      </w:pPr>
      <w:rPr>
        <w:rFonts w:hint="default"/>
      </w:rPr>
    </w:lvl>
  </w:abstractNum>
  <w:num w:numId="1">
    <w:abstractNumId w:val="0"/>
  </w:num>
  <w:num w:numId="2">
    <w:abstractNumId w:val="5"/>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02813"/>
    <w:rsid w:val="000147A5"/>
    <w:rsid w:val="000222C5"/>
    <w:rsid w:val="000222C6"/>
    <w:rsid w:val="00025086"/>
    <w:rsid w:val="0002549F"/>
    <w:rsid w:val="00034CE8"/>
    <w:rsid w:val="000370EE"/>
    <w:rsid w:val="00044AE1"/>
    <w:rsid w:val="0004632F"/>
    <w:rsid w:val="000468DB"/>
    <w:rsid w:val="00046C29"/>
    <w:rsid w:val="00053492"/>
    <w:rsid w:val="0006487A"/>
    <w:rsid w:val="00065F8F"/>
    <w:rsid w:val="00070A43"/>
    <w:rsid w:val="000768F2"/>
    <w:rsid w:val="0009184B"/>
    <w:rsid w:val="00094236"/>
    <w:rsid w:val="0009593C"/>
    <w:rsid w:val="00096BB8"/>
    <w:rsid w:val="00097322"/>
    <w:rsid w:val="000A6A92"/>
    <w:rsid w:val="000B047F"/>
    <w:rsid w:val="000B5923"/>
    <w:rsid w:val="000B5A48"/>
    <w:rsid w:val="000B6FF3"/>
    <w:rsid w:val="000C1B0C"/>
    <w:rsid w:val="000C3467"/>
    <w:rsid w:val="000C3CA6"/>
    <w:rsid w:val="000C61A5"/>
    <w:rsid w:val="000D1267"/>
    <w:rsid w:val="000D1D50"/>
    <w:rsid w:val="000D5782"/>
    <w:rsid w:val="000E1552"/>
    <w:rsid w:val="000E6613"/>
    <w:rsid w:val="000E7119"/>
    <w:rsid w:val="000F036A"/>
    <w:rsid w:val="000F5451"/>
    <w:rsid w:val="000F7D4B"/>
    <w:rsid w:val="001062C6"/>
    <w:rsid w:val="00114E9B"/>
    <w:rsid w:val="001240D8"/>
    <w:rsid w:val="001338AD"/>
    <w:rsid w:val="00142216"/>
    <w:rsid w:val="00142AA0"/>
    <w:rsid w:val="00143EDD"/>
    <w:rsid w:val="00144D6A"/>
    <w:rsid w:val="0014729F"/>
    <w:rsid w:val="00157BAB"/>
    <w:rsid w:val="001654D1"/>
    <w:rsid w:val="00173F5F"/>
    <w:rsid w:val="00174518"/>
    <w:rsid w:val="00177CFB"/>
    <w:rsid w:val="00180A7C"/>
    <w:rsid w:val="0018106D"/>
    <w:rsid w:val="001877A7"/>
    <w:rsid w:val="00191536"/>
    <w:rsid w:val="00196687"/>
    <w:rsid w:val="001A3B87"/>
    <w:rsid w:val="001B7C8D"/>
    <w:rsid w:val="001C0962"/>
    <w:rsid w:val="001C5772"/>
    <w:rsid w:val="001D0BA8"/>
    <w:rsid w:val="001D132A"/>
    <w:rsid w:val="001D7531"/>
    <w:rsid w:val="001E3EE9"/>
    <w:rsid w:val="001E5786"/>
    <w:rsid w:val="001E737D"/>
    <w:rsid w:val="001F0592"/>
    <w:rsid w:val="001F203F"/>
    <w:rsid w:val="001F5BD0"/>
    <w:rsid w:val="001F7506"/>
    <w:rsid w:val="002006CD"/>
    <w:rsid w:val="00202B36"/>
    <w:rsid w:val="00204B7A"/>
    <w:rsid w:val="00204CDE"/>
    <w:rsid w:val="0021101A"/>
    <w:rsid w:val="00213D36"/>
    <w:rsid w:val="00214D17"/>
    <w:rsid w:val="00220536"/>
    <w:rsid w:val="00224E50"/>
    <w:rsid w:val="00235629"/>
    <w:rsid w:val="00244B5C"/>
    <w:rsid w:val="002511E6"/>
    <w:rsid w:val="00251375"/>
    <w:rsid w:val="0025763D"/>
    <w:rsid w:val="00260C38"/>
    <w:rsid w:val="002616C0"/>
    <w:rsid w:val="00265372"/>
    <w:rsid w:val="002662AA"/>
    <w:rsid w:val="002802EA"/>
    <w:rsid w:val="00280496"/>
    <w:rsid w:val="00292862"/>
    <w:rsid w:val="00294DC9"/>
    <w:rsid w:val="00295495"/>
    <w:rsid w:val="00296E89"/>
    <w:rsid w:val="002A31DE"/>
    <w:rsid w:val="002B2613"/>
    <w:rsid w:val="002C1E5E"/>
    <w:rsid w:val="002C6699"/>
    <w:rsid w:val="002C7728"/>
    <w:rsid w:val="002D6D05"/>
    <w:rsid w:val="002E1B97"/>
    <w:rsid w:val="002F1818"/>
    <w:rsid w:val="002F324B"/>
    <w:rsid w:val="002F567B"/>
    <w:rsid w:val="003031D0"/>
    <w:rsid w:val="00317799"/>
    <w:rsid w:val="003216A9"/>
    <w:rsid w:val="00335A74"/>
    <w:rsid w:val="003629A3"/>
    <w:rsid w:val="0036561B"/>
    <w:rsid w:val="0037013F"/>
    <w:rsid w:val="00371F71"/>
    <w:rsid w:val="00380C92"/>
    <w:rsid w:val="00386AB0"/>
    <w:rsid w:val="00387E3B"/>
    <w:rsid w:val="003A484F"/>
    <w:rsid w:val="003A4883"/>
    <w:rsid w:val="003B0BE0"/>
    <w:rsid w:val="003B0C1B"/>
    <w:rsid w:val="003B688C"/>
    <w:rsid w:val="003C0291"/>
    <w:rsid w:val="003C0AF8"/>
    <w:rsid w:val="003C0BF0"/>
    <w:rsid w:val="003C39AE"/>
    <w:rsid w:val="003C7B60"/>
    <w:rsid w:val="003D0C0F"/>
    <w:rsid w:val="003D1FB2"/>
    <w:rsid w:val="003D66DA"/>
    <w:rsid w:val="003E1310"/>
    <w:rsid w:val="003E6F55"/>
    <w:rsid w:val="00401059"/>
    <w:rsid w:val="0040176F"/>
    <w:rsid w:val="00406254"/>
    <w:rsid w:val="00412F0A"/>
    <w:rsid w:val="004223DE"/>
    <w:rsid w:val="004245B6"/>
    <w:rsid w:val="00434489"/>
    <w:rsid w:val="00437085"/>
    <w:rsid w:val="00441A17"/>
    <w:rsid w:val="00443880"/>
    <w:rsid w:val="004464F4"/>
    <w:rsid w:val="00470B72"/>
    <w:rsid w:val="004711C1"/>
    <w:rsid w:val="00471401"/>
    <w:rsid w:val="004734FD"/>
    <w:rsid w:val="00473733"/>
    <w:rsid w:val="00473F31"/>
    <w:rsid w:val="004809A9"/>
    <w:rsid w:val="00481ECC"/>
    <w:rsid w:val="0048263A"/>
    <w:rsid w:val="00486F43"/>
    <w:rsid w:val="00487E5D"/>
    <w:rsid w:val="00494C82"/>
    <w:rsid w:val="004A5E9E"/>
    <w:rsid w:val="004A711F"/>
    <w:rsid w:val="004B199D"/>
    <w:rsid w:val="004B4690"/>
    <w:rsid w:val="004B542E"/>
    <w:rsid w:val="004D12BB"/>
    <w:rsid w:val="004E0A2D"/>
    <w:rsid w:val="004E206B"/>
    <w:rsid w:val="004E6DF7"/>
    <w:rsid w:val="004F0FBD"/>
    <w:rsid w:val="004F3C61"/>
    <w:rsid w:val="004F4400"/>
    <w:rsid w:val="004F6A9D"/>
    <w:rsid w:val="00501119"/>
    <w:rsid w:val="00501E13"/>
    <w:rsid w:val="00505A47"/>
    <w:rsid w:val="00512FDA"/>
    <w:rsid w:val="00520DA0"/>
    <w:rsid w:val="005664BB"/>
    <w:rsid w:val="00566FFA"/>
    <w:rsid w:val="0057481D"/>
    <w:rsid w:val="00581D15"/>
    <w:rsid w:val="0058486E"/>
    <w:rsid w:val="00585B33"/>
    <w:rsid w:val="0059014D"/>
    <w:rsid w:val="00590E09"/>
    <w:rsid w:val="005914F6"/>
    <w:rsid w:val="00597F69"/>
    <w:rsid w:val="005A3984"/>
    <w:rsid w:val="005B5C64"/>
    <w:rsid w:val="005B60BE"/>
    <w:rsid w:val="005C0707"/>
    <w:rsid w:val="005C5337"/>
    <w:rsid w:val="005C5FF8"/>
    <w:rsid w:val="005C6BD0"/>
    <w:rsid w:val="005C6D00"/>
    <w:rsid w:val="005D1C8B"/>
    <w:rsid w:val="005D468D"/>
    <w:rsid w:val="005D5CED"/>
    <w:rsid w:val="005E5591"/>
    <w:rsid w:val="005E5C58"/>
    <w:rsid w:val="005F1A4C"/>
    <w:rsid w:val="005F6DE7"/>
    <w:rsid w:val="00605688"/>
    <w:rsid w:val="006064B5"/>
    <w:rsid w:val="00606563"/>
    <w:rsid w:val="00606CE2"/>
    <w:rsid w:val="006070AF"/>
    <w:rsid w:val="00607E6C"/>
    <w:rsid w:val="006101B1"/>
    <w:rsid w:val="00614E44"/>
    <w:rsid w:val="0062270A"/>
    <w:rsid w:val="00622830"/>
    <w:rsid w:val="00623DA0"/>
    <w:rsid w:val="00625B25"/>
    <w:rsid w:val="00630581"/>
    <w:rsid w:val="00630AEF"/>
    <w:rsid w:val="006325F8"/>
    <w:rsid w:val="00633463"/>
    <w:rsid w:val="00634C9A"/>
    <w:rsid w:val="006440E4"/>
    <w:rsid w:val="0064424B"/>
    <w:rsid w:val="00644C28"/>
    <w:rsid w:val="00645845"/>
    <w:rsid w:val="00652F1F"/>
    <w:rsid w:val="0066343B"/>
    <w:rsid w:val="00664777"/>
    <w:rsid w:val="00664FF6"/>
    <w:rsid w:val="006748A4"/>
    <w:rsid w:val="00677B68"/>
    <w:rsid w:val="00681A31"/>
    <w:rsid w:val="00683E73"/>
    <w:rsid w:val="006A3141"/>
    <w:rsid w:val="006A5E34"/>
    <w:rsid w:val="006A7590"/>
    <w:rsid w:val="006B2422"/>
    <w:rsid w:val="006B2B9A"/>
    <w:rsid w:val="006C1937"/>
    <w:rsid w:val="006C1DE3"/>
    <w:rsid w:val="006C2FAA"/>
    <w:rsid w:val="006E01B9"/>
    <w:rsid w:val="006F020C"/>
    <w:rsid w:val="00704A6A"/>
    <w:rsid w:val="007127B7"/>
    <w:rsid w:val="0071798E"/>
    <w:rsid w:val="007309A1"/>
    <w:rsid w:val="00736174"/>
    <w:rsid w:val="007416B6"/>
    <w:rsid w:val="00746F48"/>
    <w:rsid w:val="00747A8A"/>
    <w:rsid w:val="0075404D"/>
    <w:rsid w:val="00757813"/>
    <w:rsid w:val="0076182A"/>
    <w:rsid w:val="00763204"/>
    <w:rsid w:val="00767B7E"/>
    <w:rsid w:val="007770C3"/>
    <w:rsid w:val="00784D24"/>
    <w:rsid w:val="00785FBA"/>
    <w:rsid w:val="00786E4A"/>
    <w:rsid w:val="007875EB"/>
    <w:rsid w:val="0079426B"/>
    <w:rsid w:val="00795BF0"/>
    <w:rsid w:val="00796CF1"/>
    <w:rsid w:val="007D0232"/>
    <w:rsid w:val="007D1682"/>
    <w:rsid w:val="007D312A"/>
    <w:rsid w:val="007D3F19"/>
    <w:rsid w:val="007D6D4F"/>
    <w:rsid w:val="007E0F06"/>
    <w:rsid w:val="007E23B0"/>
    <w:rsid w:val="007E23E5"/>
    <w:rsid w:val="007F1991"/>
    <w:rsid w:val="007F2AF9"/>
    <w:rsid w:val="007F2C2F"/>
    <w:rsid w:val="007F55FC"/>
    <w:rsid w:val="007F5665"/>
    <w:rsid w:val="00800112"/>
    <w:rsid w:val="00813348"/>
    <w:rsid w:val="008253BB"/>
    <w:rsid w:val="008316CA"/>
    <w:rsid w:val="0083473A"/>
    <w:rsid w:val="0083706E"/>
    <w:rsid w:val="008408F6"/>
    <w:rsid w:val="008423A5"/>
    <w:rsid w:val="00850625"/>
    <w:rsid w:val="00853718"/>
    <w:rsid w:val="00855221"/>
    <w:rsid w:val="00860645"/>
    <w:rsid w:val="00864104"/>
    <w:rsid w:val="00871F71"/>
    <w:rsid w:val="00872FD8"/>
    <w:rsid w:val="008743F6"/>
    <w:rsid w:val="00877E10"/>
    <w:rsid w:val="00885AF4"/>
    <w:rsid w:val="008862EB"/>
    <w:rsid w:val="008939CD"/>
    <w:rsid w:val="008A4C49"/>
    <w:rsid w:val="008A6379"/>
    <w:rsid w:val="008B768C"/>
    <w:rsid w:val="008C4DB1"/>
    <w:rsid w:val="008C4EAF"/>
    <w:rsid w:val="008C5176"/>
    <w:rsid w:val="008C7FD0"/>
    <w:rsid w:val="008D1A06"/>
    <w:rsid w:val="008D4249"/>
    <w:rsid w:val="008D6FBA"/>
    <w:rsid w:val="008E0D65"/>
    <w:rsid w:val="008E1DE7"/>
    <w:rsid w:val="008E707C"/>
    <w:rsid w:val="008F6314"/>
    <w:rsid w:val="00900B08"/>
    <w:rsid w:val="00902155"/>
    <w:rsid w:val="00902FA3"/>
    <w:rsid w:val="00906120"/>
    <w:rsid w:val="009115C0"/>
    <w:rsid w:val="009212D6"/>
    <w:rsid w:val="00923564"/>
    <w:rsid w:val="0092392E"/>
    <w:rsid w:val="009315F9"/>
    <w:rsid w:val="00932E2B"/>
    <w:rsid w:val="00933499"/>
    <w:rsid w:val="00935C98"/>
    <w:rsid w:val="00946945"/>
    <w:rsid w:val="00951248"/>
    <w:rsid w:val="0095152F"/>
    <w:rsid w:val="00954392"/>
    <w:rsid w:val="00954C49"/>
    <w:rsid w:val="00955E37"/>
    <w:rsid w:val="0096589E"/>
    <w:rsid w:val="00965D4A"/>
    <w:rsid w:val="0097099F"/>
    <w:rsid w:val="00971997"/>
    <w:rsid w:val="00971FFC"/>
    <w:rsid w:val="00973826"/>
    <w:rsid w:val="0097418F"/>
    <w:rsid w:val="0098502D"/>
    <w:rsid w:val="0098660A"/>
    <w:rsid w:val="0098745E"/>
    <w:rsid w:val="00987604"/>
    <w:rsid w:val="009914FB"/>
    <w:rsid w:val="009931C3"/>
    <w:rsid w:val="009A0C6D"/>
    <w:rsid w:val="009B2C43"/>
    <w:rsid w:val="009B42B3"/>
    <w:rsid w:val="009B4EAE"/>
    <w:rsid w:val="009B5E37"/>
    <w:rsid w:val="009B7573"/>
    <w:rsid w:val="009C22F4"/>
    <w:rsid w:val="009C2A4B"/>
    <w:rsid w:val="009C2E98"/>
    <w:rsid w:val="009D3447"/>
    <w:rsid w:val="009D4711"/>
    <w:rsid w:val="009F1185"/>
    <w:rsid w:val="009F18CD"/>
    <w:rsid w:val="009F2A13"/>
    <w:rsid w:val="009F6597"/>
    <w:rsid w:val="009F7527"/>
    <w:rsid w:val="009F7BA1"/>
    <w:rsid w:val="00A00B28"/>
    <w:rsid w:val="00A04EB0"/>
    <w:rsid w:val="00A066FB"/>
    <w:rsid w:val="00A13CC1"/>
    <w:rsid w:val="00A16847"/>
    <w:rsid w:val="00A237D8"/>
    <w:rsid w:val="00A268C4"/>
    <w:rsid w:val="00A307CD"/>
    <w:rsid w:val="00A31F82"/>
    <w:rsid w:val="00A331C8"/>
    <w:rsid w:val="00A34FF4"/>
    <w:rsid w:val="00A40A00"/>
    <w:rsid w:val="00A4142F"/>
    <w:rsid w:val="00A422EB"/>
    <w:rsid w:val="00A44B2C"/>
    <w:rsid w:val="00A45BB7"/>
    <w:rsid w:val="00A56DF2"/>
    <w:rsid w:val="00A56E6E"/>
    <w:rsid w:val="00A67AB5"/>
    <w:rsid w:val="00A733B2"/>
    <w:rsid w:val="00A741C2"/>
    <w:rsid w:val="00A77FED"/>
    <w:rsid w:val="00A91760"/>
    <w:rsid w:val="00A93B00"/>
    <w:rsid w:val="00A93C21"/>
    <w:rsid w:val="00AA2314"/>
    <w:rsid w:val="00AB1304"/>
    <w:rsid w:val="00AB64C9"/>
    <w:rsid w:val="00AC2CFB"/>
    <w:rsid w:val="00AC342B"/>
    <w:rsid w:val="00AC3C6A"/>
    <w:rsid w:val="00AD10AD"/>
    <w:rsid w:val="00AD5620"/>
    <w:rsid w:val="00AD656B"/>
    <w:rsid w:val="00AD7C1B"/>
    <w:rsid w:val="00AE16BA"/>
    <w:rsid w:val="00AE1EBE"/>
    <w:rsid w:val="00AE622B"/>
    <w:rsid w:val="00AF0F67"/>
    <w:rsid w:val="00AF2383"/>
    <w:rsid w:val="00B03C9D"/>
    <w:rsid w:val="00B060AE"/>
    <w:rsid w:val="00B10517"/>
    <w:rsid w:val="00B12745"/>
    <w:rsid w:val="00B14E76"/>
    <w:rsid w:val="00B161B8"/>
    <w:rsid w:val="00B2048C"/>
    <w:rsid w:val="00B220C1"/>
    <w:rsid w:val="00B26A41"/>
    <w:rsid w:val="00B310B9"/>
    <w:rsid w:val="00B35F3F"/>
    <w:rsid w:val="00B36CBB"/>
    <w:rsid w:val="00B425E0"/>
    <w:rsid w:val="00B440AA"/>
    <w:rsid w:val="00B44B70"/>
    <w:rsid w:val="00B53C56"/>
    <w:rsid w:val="00B5452D"/>
    <w:rsid w:val="00B57DAF"/>
    <w:rsid w:val="00B65398"/>
    <w:rsid w:val="00B67B3C"/>
    <w:rsid w:val="00B72C51"/>
    <w:rsid w:val="00B77EA6"/>
    <w:rsid w:val="00B81598"/>
    <w:rsid w:val="00B831EA"/>
    <w:rsid w:val="00B841F1"/>
    <w:rsid w:val="00B8796D"/>
    <w:rsid w:val="00B93DE4"/>
    <w:rsid w:val="00B944D6"/>
    <w:rsid w:val="00BA2FA7"/>
    <w:rsid w:val="00BB0FC3"/>
    <w:rsid w:val="00BB4DF0"/>
    <w:rsid w:val="00BB622A"/>
    <w:rsid w:val="00BC1BBA"/>
    <w:rsid w:val="00BC289F"/>
    <w:rsid w:val="00BC2D50"/>
    <w:rsid w:val="00BC5361"/>
    <w:rsid w:val="00BC5460"/>
    <w:rsid w:val="00BC57A8"/>
    <w:rsid w:val="00BC639A"/>
    <w:rsid w:val="00BC6B50"/>
    <w:rsid w:val="00BD0E25"/>
    <w:rsid w:val="00BD0FD2"/>
    <w:rsid w:val="00BD7EFC"/>
    <w:rsid w:val="00BF3E93"/>
    <w:rsid w:val="00BF5BD6"/>
    <w:rsid w:val="00C03E31"/>
    <w:rsid w:val="00C106EE"/>
    <w:rsid w:val="00C21863"/>
    <w:rsid w:val="00C278BE"/>
    <w:rsid w:val="00C3352E"/>
    <w:rsid w:val="00C33E72"/>
    <w:rsid w:val="00C354B2"/>
    <w:rsid w:val="00C35554"/>
    <w:rsid w:val="00C35DD0"/>
    <w:rsid w:val="00C42709"/>
    <w:rsid w:val="00C52EA6"/>
    <w:rsid w:val="00C533CC"/>
    <w:rsid w:val="00C5751C"/>
    <w:rsid w:val="00C61BFC"/>
    <w:rsid w:val="00C62B85"/>
    <w:rsid w:val="00C65438"/>
    <w:rsid w:val="00C725B9"/>
    <w:rsid w:val="00C87FD8"/>
    <w:rsid w:val="00C91381"/>
    <w:rsid w:val="00C91CBB"/>
    <w:rsid w:val="00CA35E0"/>
    <w:rsid w:val="00CB4E70"/>
    <w:rsid w:val="00CC09B6"/>
    <w:rsid w:val="00CC666F"/>
    <w:rsid w:val="00CD1E3F"/>
    <w:rsid w:val="00CD313F"/>
    <w:rsid w:val="00CE44F6"/>
    <w:rsid w:val="00CE49DA"/>
    <w:rsid w:val="00CE4EED"/>
    <w:rsid w:val="00CE7B61"/>
    <w:rsid w:val="00D00095"/>
    <w:rsid w:val="00D00660"/>
    <w:rsid w:val="00D00C0A"/>
    <w:rsid w:val="00D10FCF"/>
    <w:rsid w:val="00D114F0"/>
    <w:rsid w:val="00D20620"/>
    <w:rsid w:val="00D254F7"/>
    <w:rsid w:val="00D26091"/>
    <w:rsid w:val="00D2685C"/>
    <w:rsid w:val="00D31444"/>
    <w:rsid w:val="00D34E7C"/>
    <w:rsid w:val="00D35489"/>
    <w:rsid w:val="00D36AFE"/>
    <w:rsid w:val="00D51276"/>
    <w:rsid w:val="00D659FB"/>
    <w:rsid w:val="00D7035F"/>
    <w:rsid w:val="00D82765"/>
    <w:rsid w:val="00D95676"/>
    <w:rsid w:val="00DA634F"/>
    <w:rsid w:val="00DA65AC"/>
    <w:rsid w:val="00DA6D9E"/>
    <w:rsid w:val="00DB1913"/>
    <w:rsid w:val="00DB7609"/>
    <w:rsid w:val="00DC3670"/>
    <w:rsid w:val="00DC410D"/>
    <w:rsid w:val="00DC5A81"/>
    <w:rsid w:val="00DC68CA"/>
    <w:rsid w:val="00DC7CBA"/>
    <w:rsid w:val="00DD73B7"/>
    <w:rsid w:val="00DE03DF"/>
    <w:rsid w:val="00DF28BC"/>
    <w:rsid w:val="00DF34B9"/>
    <w:rsid w:val="00DF6AAF"/>
    <w:rsid w:val="00E01053"/>
    <w:rsid w:val="00E07ACF"/>
    <w:rsid w:val="00E1463B"/>
    <w:rsid w:val="00E331A1"/>
    <w:rsid w:val="00E33202"/>
    <w:rsid w:val="00E336A9"/>
    <w:rsid w:val="00E472B1"/>
    <w:rsid w:val="00E50624"/>
    <w:rsid w:val="00E568DF"/>
    <w:rsid w:val="00E62314"/>
    <w:rsid w:val="00E64269"/>
    <w:rsid w:val="00E73557"/>
    <w:rsid w:val="00E76DCC"/>
    <w:rsid w:val="00E82267"/>
    <w:rsid w:val="00E853CE"/>
    <w:rsid w:val="00E867B6"/>
    <w:rsid w:val="00E87C87"/>
    <w:rsid w:val="00E91A95"/>
    <w:rsid w:val="00E9235E"/>
    <w:rsid w:val="00E9410F"/>
    <w:rsid w:val="00EA010F"/>
    <w:rsid w:val="00EA2874"/>
    <w:rsid w:val="00EC53C4"/>
    <w:rsid w:val="00ED1B63"/>
    <w:rsid w:val="00ED3C1F"/>
    <w:rsid w:val="00ED4085"/>
    <w:rsid w:val="00ED420E"/>
    <w:rsid w:val="00ED6FBE"/>
    <w:rsid w:val="00EE2F57"/>
    <w:rsid w:val="00EE3E6E"/>
    <w:rsid w:val="00EF4C34"/>
    <w:rsid w:val="00EF77C6"/>
    <w:rsid w:val="00F05438"/>
    <w:rsid w:val="00F11197"/>
    <w:rsid w:val="00F1361C"/>
    <w:rsid w:val="00F14386"/>
    <w:rsid w:val="00F156F0"/>
    <w:rsid w:val="00F160C7"/>
    <w:rsid w:val="00F2408F"/>
    <w:rsid w:val="00F240E9"/>
    <w:rsid w:val="00F36D8F"/>
    <w:rsid w:val="00F417B1"/>
    <w:rsid w:val="00F45853"/>
    <w:rsid w:val="00F470A2"/>
    <w:rsid w:val="00F55737"/>
    <w:rsid w:val="00F55743"/>
    <w:rsid w:val="00F602DF"/>
    <w:rsid w:val="00F67511"/>
    <w:rsid w:val="00F6770F"/>
    <w:rsid w:val="00F74C71"/>
    <w:rsid w:val="00F754A1"/>
    <w:rsid w:val="00F77D6B"/>
    <w:rsid w:val="00F81FD9"/>
    <w:rsid w:val="00F84087"/>
    <w:rsid w:val="00F841AA"/>
    <w:rsid w:val="00F84A94"/>
    <w:rsid w:val="00F87E96"/>
    <w:rsid w:val="00FA23E8"/>
    <w:rsid w:val="00FA25C0"/>
    <w:rsid w:val="00FC057F"/>
    <w:rsid w:val="00FD3CC1"/>
    <w:rsid w:val="00FE377C"/>
    <w:rsid w:val="00FE6421"/>
    <w:rsid w:val="00FF1E02"/>
    <w:rsid w:val="00FF30B4"/>
    <w:rsid w:val="015975B8"/>
    <w:rsid w:val="02143E91"/>
    <w:rsid w:val="066E0107"/>
    <w:rsid w:val="07996F6E"/>
    <w:rsid w:val="0A2032A3"/>
    <w:rsid w:val="0E6829CC"/>
    <w:rsid w:val="0F98263C"/>
    <w:rsid w:val="101860EC"/>
    <w:rsid w:val="108F5D13"/>
    <w:rsid w:val="10C055FF"/>
    <w:rsid w:val="118107EC"/>
    <w:rsid w:val="13D50BC4"/>
    <w:rsid w:val="16BB723D"/>
    <w:rsid w:val="1BE8440E"/>
    <w:rsid w:val="1D155CEE"/>
    <w:rsid w:val="1FF35744"/>
    <w:rsid w:val="23860B96"/>
    <w:rsid w:val="240371BF"/>
    <w:rsid w:val="26C26CF7"/>
    <w:rsid w:val="29FD04D3"/>
    <w:rsid w:val="2C8A61B5"/>
    <w:rsid w:val="2DF04E50"/>
    <w:rsid w:val="2F040D46"/>
    <w:rsid w:val="306D4B10"/>
    <w:rsid w:val="319F7F4E"/>
    <w:rsid w:val="32A9493D"/>
    <w:rsid w:val="3304709D"/>
    <w:rsid w:val="36AA5135"/>
    <w:rsid w:val="376D39B2"/>
    <w:rsid w:val="37E16F03"/>
    <w:rsid w:val="38D469F0"/>
    <w:rsid w:val="3D98207C"/>
    <w:rsid w:val="3E78745D"/>
    <w:rsid w:val="44E268DA"/>
    <w:rsid w:val="4A3A39C2"/>
    <w:rsid w:val="4A627F82"/>
    <w:rsid w:val="4B0E749A"/>
    <w:rsid w:val="4B4F25DA"/>
    <w:rsid w:val="4BE068DB"/>
    <w:rsid w:val="4D577224"/>
    <w:rsid w:val="4EAB630A"/>
    <w:rsid w:val="4ECE2238"/>
    <w:rsid w:val="536C0783"/>
    <w:rsid w:val="537E6D0A"/>
    <w:rsid w:val="5AC971CD"/>
    <w:rsid w:val="5AF92295"/>
    <w:rsid w:val="5CD71FC4"/>
    <w:rsid w:val="6C4A05C8"/>
    <w:rsid w:val="6DD9192B"/>
    <w:rsid w:val="6E7E3605"/>
    <w:rsid w:val="6FF5CC65"/>
    <w:rsid w:val="715C0E4B"/>
    <w:rsid w:val="72734D90"/>
    <w:rsid w:val="72C232B3"/>
    <w:rsid w:val="73AD73D5"/>
    <w:rsid w:val="73B6EB34"/>
    <w:rsid w:val="744731E5"/>
    <w:rsid w:val="76E3355F"/>
    <w:rsid w:val="777F5120"/>
    <w:rsid w:val="778769C8"/>
    <w:rsid w:val="78241B73"/>
    <w:rsid w:val="79EE5BA4"/>
    <w:rsid w:val="7A894339"/>
    <w:rsid w:val="7EEF11D3"/>
    <w:rsid w:val="7FA30C79"/>
    <w:rsid w:val="7FB7269E"/>
    <w:rsid w:val="7FC96657"/>
    <w:rsid w:val="BB6F1104"/>
    <w:rsid w:val="D8D6DB89"/>
    <w:rsid w:val="DB6F4CAB"/>
    <w:rsid w:val="DF6F9789"/>
    <w:rsid w:val="FDD396B5"/>
    <w:rsid w:val="FEDF904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uppressAutoHyphens/>
    </w:pPr>
    <w:rPr>
      <w:rFonts w:ascii="Calibri" w:hAnsi="Calibri"/>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0"/>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9"/>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8"/>
    <w:semiHidden/>
    <w:qFormat/>
    <w:uiPriority w:val="99"/>
    <w:rPr>
      <w:rFonts w:ascii="Times New Roman" w:hAnsi="Times New Roman"/>
      <w:kern w:val="2"/>
      <w:sz w:val="18"/>
      <w:szCs w:val="18"/>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uiPriority w:val="0"/>
    <w:pPr>
      <w:ind w:leftChars="0"/>
    </w:pPr>
    <w:rPr>
      <w:sz w:val="20"/>
      <w:szCs w:val="20"/>
    </w:rPr>
  </w:style>
  <w:style w:type="paragraph" w:customStyle="1" w:styleId="36">
    <w:name w:val="WPSOffice手动目录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收入支出决算总计变动情况</a:t>
            </a:r>
            <a:endParaRPr lang="zh-CN" altLang="en-US"/>
          </a:p>
        </c:rich>
      </c:tx>
      <c:layout/>
      <c:overlay val="0"/>
    </c:title>
    <c:autoTitleDeleted val="0"/>
    <c:plotArea>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2921.37</c:v>
                </c:pt>
                <c:pt idx="1">
                  <c:v>2921.37</c:v>
                </c:pt>
              </c:numCache>
            </c:numRef>
          </c:val>
        </c:ser>
        <c:ser>
          <c:idx val="1"/>
          <c:order val="1"/>
          <c:tx>
            <c:strRef>
              <c:f>Sheet1!$C$1</c:f>
              <c:strCache>
                <c:ptCount val="1"/>
                <c:pt idx="0">
                  <c:v>2022年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2123.94</c:v>
                </c:pt>
                <c:pt idx="1">
                  <c:v>2123.94</c:v>
                </c:pt>
              </c:numCache>
            </c:numRef>
          </c:val>
        </c:ser>
        <c:dLbls>
          <c:showLegendKey val="0"/>
          <c:showVal val="0"/>
          <c:showCatName val="0"/>
          <c:showSerName val="0"/>
          <c:showPercent val="0"/>
          <c:showBubbleSize val="0"/>
        </c:dLbls>
        <c:gapWidth val="75"/>
        <c:overlap val="-25"/>
        <c:axId val="178274688"/>
        <c:axId val="178276224"/>
      </c:barChart>
      <c:catAx>
        <c:axId val="1782746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276224"/>
        <c:crosses val="autoZero"/>
        <c:auto val="1"/>
        <c:lblAlgn val="ctr"/>
        <c:lblOffset val="100"/>
        <c:noMultiLvlLbl val="0"/>
      </c:catAx>
      <c:valAx>
        <c:axId val="178276224"/>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274688"/>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本年收入合计</c:v>
                </c:pt>
              </c:strCache>
            </c:strRef>
          </c:tx>
          <c:explosion val="0"/>
          <c:dPt>
            <c:idx val="0"/>
            <c:bubble3D val="0"/>
            <c:explosion val="8"/>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一般公共预算</c:v>
                </c:pt>
                <c:pt idx="1">
                  <c:v>政府性基金预算</c:v>
                </c:pt>
                <c:pt idx="2">
                  <c:v>国有资本经营预算</c:v>
                </c:pt>
                <c:pt idx="3">
                  <c:v>其他收入</c:v>
                </c:pt>
              </c:strCache>
            </c:strRef>
          </c:cat>
          <c:val>
            <c:numRef>
              <c:f>Sheet1!$B$2:$B$5</c:f>
              <c:numCache>
                <c:formatCode>General</c:formatCode>
                <c:ptCount val="4"/>
                <c:pt idx="0">
                  <c:v>1494.61</c:v>
                </c:pt>
                <c:pt idx="1">
                  <c:v>0</c:v>
                </c:pt>
                <c:pt idx="2">
                  <c:v>0</c:v>
                </c:pt>
                <c:pt idx="3">
                  <c:v>441.53</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本年支出合计</a:t>
            </a:r>
            <a:endParaRPr lang="zh-CN" altLang="en-US"/>
          </a:p>
        </c:rich>
      </c:tx>
      <c:layout/>
      <c:overlay val="0"/>
    </c:title>
    <c:autoTitleDeleted val="0"/>
    <c:plotArea>
      <c:layout/>
      <c:pieChart>
        <c:varyColors val="1"/>
        <c:ser>
          <c:idx val="0"/>
          <c:order val="0"/>
          <c:tx>
            <c:strRef>
              <c:f>Sheet1!$B$1</c:f>
              <c:strCache>
                <c:ptCount val="1"/>
                <c:pt idx="0">
                  <c:v>本年支出</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1595.28</c:v>
                </c:pt>
                <c:pt idx="1">
                  <c:v>411.6</c:v>
                </c:pt>
                <c:pt idx="2">
                  <c:v>0</c:v>
                </c:pt>
                <c:pt idx="3">
                  <c:v>0</c:v>
                </c:pt>
                <c:pt idx="4">
                  <c:v>0</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财政拨款收入支出决算总计变动情况</a:t>
            </a:r>
            <a:endParaRPr lang="zh-CN" altLang="en-US"/>
          </a:p>
        </c:rich>
      </c:tx>
      <c:layout/>
      <c:overlay val="0"/>
    </c:title>
    <c:autoTitleDeleted val="0"/>
    <c:plotArea>
      <c:layout>
        <c:manualLayout>
          <c:layoutTarget val="inner"/>
          <c:xMode val="edge"/>
          <c:yMode val="edge"/>
          <c:x val="0.0976542903242349"/>
          <c:y val="0.229351907934582"/>
          <c:w val="0.875858832719364"/>
          <c:h val="0.607232877941539"/>
        </c:manualLayout>
      </c:layout>
      <c:barChart>
        <c:barDir val="col"/>
        <c:grouping val="clustered"/>
        <c:varyColors val="0"/>
        <c:ser>
          <c:idx val="0"/>
          <c:order val="0"/>
          <c:tx>
            <c:strRef>
              <c:f>Sheet1!$B$1</c:f>
              <c:strCache>
                <c:ptCount val="1"/>
                <c:pt idx="0">
                  <c:v>2021年</c:v>
                </c:pt>
              </c:strCache>
            </c:strRef>
          </c:tx>
          <c:invertIfNegative val="0"/>
          <c:dLbls>
            <c:delete val="1"/>
          </c:dLbls>
          <c:cat>
            <c:strRef>
              <c:f>Sheet1!$A$2:$A$3</c:f>
              <c:strCache>
                <c:ptCount val="2"/>
                <c:pt idx="0">
                  <c:v>收入</c:v>
                </c:pt>
                <c:pt idx="1">
                  <c:v>支出</c:v>
                </c:pt>
              </c:strCache>
            </c:strRef>
          </c:cat>
          <c:val>
            <c:numRef>
              <c:f>Sheet1!$B$2:$B$3</c:f>
              <c:numCache>
                <c:formatCode>General</c:formatCode>
                <c:ptCount val="2"/>
                <c:pt idx="0">
                  <c:v>2920.51</c:v>
                </c:pt>
                <c:pt idx="1">
                  <c:v>2920.51</c:v>
                </c:pt>
              </c:numCache>
            </c:numRef>
          </c:val>
        </c:ser>
        <c:ser>
          <c:idx val="1"/>
          <c:order val="1"/>
          <c:tx>
            <c:strRef>
              <c:f>Sheet1!$C$1</c:f>
              <c:strCache>
                <c:ptCount val="1"/>
                <c:pt idx="0">
                  <c:v>2022年</c:v>
                </c:pt>
              </c:strCache>
            </c:strRef>
          </c:tx>
          <c:invertIfNegative val="0"/>
          <c:dLbls>
            <c:delete val="1"/>
          </c:dLbls>
          <c:cat>
            <c:strRef>
              <c:f>Sheet1!$A$2:$A$3</c:f>
              <c:strCache>
                <c:ptCount val="2"/>
                <c:pt idx="0">
                  <c:v>收入</c:v>
                </c:pt>
                <c:pt idx="1">
                  <c:v>支出</c:v>
                </c:pt>
              </c:strCache>
            </c:strRef>
          </c:cat>
          <c:val>
            <c:numRef>
              <c:f>Sheet1!$C$2:$C$3</c:f>
              <c:numCache>
                <c:formatCode>General</c:formatCode>
                <c:ptCount val="2"/>
                <c:pt idx="0">
                  <c:v>1494.61</c:v>
                </c:pt>
                <c:pt idx="1">
                  <c:v>1494.61</c:v>
                </c:pt>
              </c:numCache>
            </c:numRef>
          </c:val>
        </c:ser>
        <c:dLbls>
          <c:showLegendKey val="0"/>
          <c:showVal val="0"/>
          <c:showCatName val="0"/>
          <c:showSerName val="0"/>
          <c:showPercent val="0"/>
          <c:showBubbleSize val="0"/>
        </c:dLbls>
        <c:gapWidth val="75"/>
        <c:overlap val="-25"/>
        <c:axId val="179620864"/>
        <c:axId val="178266880"/>
      </c:barChart>
      <c:catAx>
        <c:axId val="1796208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8266880"/>
        <c:crosses val="autoZero"/>
        <c:auto val="1"/>
        <c:lblAlgn val="ctr"/>
        <c:lblOffset val="100"/>
        <c:noMultiLvlLbl val="0"/>
      </c:catAx>
      <c:valAx>
        <c:axId val="1782668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962086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一般公共预算财政拨款支出决算变动表</c:v>
                </c:pt>
              </c:strCache>
            </c:strRef>
          </c:tx>
          <c:invertIfNegative val="0"/>
          <c:dLbls>
            <c:delete val="1"/>
          </c:dLbls>
          <c:cat>
            <c:strRef>
              <c:f>Sheet1!$A$2:$A$5</c:f>
              <c:strCache>
                <c:ptCount val="2"/>
                <c:pt idx="0">
                  <c:v>2021年</c:v>
                </c:pt>
                <c:pt idx="1">
                  <c:v>2022年</c:v>
                </c:pt>
              </c:strCache>
            </c:strRef>
          </c:cat>
          <c:val>
            <c:numRef>
              <c:f>Sheet1!$B$2:$B$5</c:f>
              <c:numCache>
                <c:formatCode>General</c:formatCode>
                <c:ptCount val="4"/>
                <c:pt idx="0">
                  <c:v>2471.55</c:v>
                </c:pt>
                <c:pt idx="1">
                  <c:v>1496.61</c:v>
                </c:pt>
              </c:numCache>
            </c:numRef>
          </c:val>
        </c:ser>
        <c:dLbls>
          <c:showLegendKey val="0"/>
          <c:showVal val="0"/>
          <c:showCatName val="0"/>
          <c:showSerName val="0"/>
          <c:showPercent val="0"/>
          <c:showBubbleSize val="0"/>
        </c:dLbls>
        <c:gapWidth val="75"/>
        <c:overlap val="-25"/>
        <c:axId val="179691904"/>
        <c:axId val="179693440"/>
      </c:barChart>
      <c:catAx>
        <c:axId val="17969190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9693440"/>
        <c:crosses val="autoZero"/>
        <c:auto val="1"/>
        <c:lblAlgn val="ctr"/>
        <c:lblOffset val="100"/>
        <c:noMultiLvlLbl val="0"/>
      </c:catAx>
      <c:valAx>
        <c:axId val="17969344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79691904"/>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公共安全（类）</c:v>
                </c:pt>
                <c:pt idx="1">
                  <c:v>社会保障和就业（类）</c:v>
                </c:pt>
                <c:pt idx="2">
                  <c:v>医疗卫生与计划生育（类）</c:v>
                </c:pt>
                <c:pt idx="3">
                  <c:v>住房保障（类）</c:v>
                </c:pt>
              </c:strCache>
            </c:strRef>
          </c:cat>
          <c:val>
            <c:numRef>
              <c:f>Sheet1!$B$2:$B$5</c:f>
              <c:numCache>
                <c:formatCode>General</c:formatCode>
                <c:ptCount val="4"/>
                <c:pt idx="0">
                  <c:v>1494.61</c:v>
                </c:pt>
                <c:pt idx="1">
                  <c:v>81.75</c:v>
                </c:pt>
                <c:pt idx="2">
                  <c:v>47.24</c:v>
                </c:pt>
                <c:pt idx="3">
                  <c:v>115.72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“三公”经费财政拨款支出决算情况</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因公出国出境</c:v>
                </c:pt>
                <c:pt idx="1">
                  <c:v>公务用车购置及运行维护</c:v>
                </c:pt>
                <c:pt idx="2">
                  <c:v>公务接待</c:v>
                </c:pt>
              </c:strCache>
            </c:strRef>
          </c:cat>
          <c:val>
            <c:numRef>
              <c:f>Sheet1!$B$2:$B$4</c:f>
              <c:numCache>
                <c:formatCode>General</c:formatCode>
                <c:ptCount val="3"/>
                <c:pt idx="0">
                  <c:v>0</c:v>
                </c:pt>
                <c:pt idx="1">
                  <c:v>5</c:v>
                </c:pt>
                <c:pt idx="2">
                  <c:v>2.98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66</Pages>
  <Words>4575</Words>
  <Characters>26078</Characters>
  <Lines>217</Lines>
  <Paragraphs>61</Paragraphs>
  <TotalTime>21</TotalTime>
  <ScaleCrop>false</ScaleCrop>
  <LinksUpToDate>false</LinksUpToDate>
  <CharactersWithSpaces>30592</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玖千余为春秋</cp:lastModifiedBy>
  <cp:lastPrinted>2023-07-31T18:35:00Z</cp:lastPrinted>
  <dcterms:modified xsi:type="dcterms:W3CDTF">2023-09-19T14:43:47Z</dcterms:modified>
  <dc:title>四川省***</dc:title>
  <cp:revision>332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1BF328E4FCBC46E183310AF8D9815CC9</vt:lpwstr>
  </property>
</Properties>
</file>