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szCs w:val="21"/>
        </w:rPr>
      </w:pPr>
      <w:bookmarkStart w:id="0" w:name="_Toc15306267"/>
      <w:r>
        <w:rPr>
          <w:rFonts w:hint="eastAsia" w:ascii="方正小标宋简体" w:hAnsi="宋体" w:eastAsia="方正小标宋简体"/>
          <w:szCs w:val="21"/>
        </w:rPr>
        <w:t xml:space="preserve"> </w:t>
      </w: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7193"/>
      <w:bookmarkStart w:id="2" w:name="_Toc15396475"/>
      <w:bookmarkStart w:id="3" w:name="_Toc15378441"/>
      <w:bookmarkStart w:id="4" w:name="_Toc20664"/>
      <w:bookmarkStart w:id="5" w:name="_Toc2535"/>
      <w:bookmarkStart w:id="6" w:name="_Toc15396597"/>
      <w:bookmarkStart w:id="7" w:name="_Toc15377425"/>
      <w:bookmarkStart w:id="8" w:name="_Toc9419"/>
      <w:r>
        <w:rPr>
          <w:rFonts w:hint="eastAsia" w:ascii="方正小标宋简体" w:hAnsi="方正小标宋简体" w:eastAsia="方正小标宋简体" w:cs="方正小标宋简体"/>
          <w:sz w:val="72"/>
          <w:szCs w:val="72"/>
        </w:rPr>
        <w:t>2022年度</w:t>
      </w:r>
      <w:bookmarkEnd w:id="1"/>
      <w:bookmarkEnd w:id="2"/>
      <w:bookmarkEnd w:id="3"/>
      <w:bookmarkEnd w:id="4"/>
      <w:bookmarkEnd w:id="5"/>
      <w:bookmarkEnd w:id="6"/>
      <w:bookmarkEnd w:id="7"/>
      <w:bookmarkEnd w:id="8"/>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9" w:name="_Toc15377426"/>
      <w:bookmarkStart w:id="10" w:name="_Toc15396598"/>
      <w:bookmarkStart w:id="11" w:name="_Toc4550"/>
      <w:bookmarkStart w:id="12" w:name="_Toc584"/>
      <w:bookmarkStart w:id="13" w:name="_Toc15396476"/>
      <w:bookmarkStart w:id="14" w:name="_Toc15377194"/>
      <w:bookmarkStart w:id="15" w:name="_Toc9654"/>
      <w:bookmarkStart w:id="16" w:name="_Toc15378442"/>
      <w:r>
        <w:rPr>
          <w:rFonts w:hint="eastAsia" w:ascii="方正小标宋简体" w:hAnsi="方正小标宋简体" w:eastAsia="方正小标宋简体" w:cs="方正小标宋简体"/>
          <w:sz w:val="72"/>
          <w:szCs w:val="72"/>
        </w:rPr>
        <w:t>广元市</w:t>
      </w:r>
      <w:bookmarkEnd w:id="0"/>
      <w:bookmarkStart w:id="17" w:name="_Toc15306268"/>
      <w:r>
        <w:rPr>
          <w:rFonts w:hint="eastAsia" w:ascii="方正小标宋简体" w:hAnsi="方正小标宋简体" w:eastAsia="方正小标宋简体" w:cs="方正小标宋简体"/>
          <w:sz w:val="72"/>
          <w:szCs w:val="72"/>
        </w:rPr>
        <w:t>利州中学单位决算</w:t>
      </w:r>
      <w:bookmarkEnd w:id="9"/>
      <w:bookmarkEnd w:id="10"/>
      <w:bookmarkEnd w:id="11"/>
      <w:bookmarkEnd w:id="12"/>
      <w:bookmarkEnd w:id="13"/>
      <w:bookmarkEnd w:id="14"/>
      <w:bookmarkEnd w:id="15"/>
      <w:bookmarkEnd w:id="16"/>
      <w:bookmarkEnd w:id="17"/>
    </w:p>
    <w:p>
      <w:pPr>
        <w:keepNext w:val="0"/>
        <w:keepLines w:val="0"/>
        <w:pageBreakBefore w:val="0"/>
        <w:widowControl/>
        <w:kinsoku/>
        <w:wordWrap/>
        <w:overflowPunct/>
        <w:topLinePunct w:val="0"/>
        <w:autoSpaceDE/>
        <w:autoSpaceDN/>
        <w:bidi w:val="0"/>
        <w:adjustRightInd/>
        <w:snapToGrid/>
        <w:jc w:val="center"/>
        <w:textAlignment w:val="auto"/>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0"/>
        <w:keepNext w:val="0"/>
        <w:keepLines w:val="0"/>
        <w:pageBreakBefore w:val="0"/>
        <w:widowControl w:val="0"/>
        <w:kinsoku/>
        <w:wordWrap/>
        <w:overflowPunct/>
        <w:topLinePunct w:val="0"/>
        <w:autoSpaceDE/>
        <w:autoSpaceDN/>
        <w:bidi w:val="0"/>
        <w:adjustRightInd/>
        <w:snapToGrid/>
        <w:spacing w:before="0"/>
        <w:textAlignment w:val="auto"/>
      </w:pPr>
      <w:r>
        <w:rPr>
          <w:rFonts w:hint="eastAsia"/>
        </w:rPr>
        <w:t>公开时间：2023年10 月</w:t>
      </w:r>
      <w:r>
        <w:rPr>
          <w:rFonts w:hint="eastAsia"/>
          <w:lang w:val="en-US" w:eastAsia="zh-CN"/>
        </w:rPr>
        <w:t xml:space="preserve"> </w:t>
      </w:r>
      <w:r>
        <w:rPr>
          <w:rFonts w:hint="eastAsia"/>
        </w:rPr>
        <w:t>日</w:t>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240" w:lineRule="auto"/>
        <w:jc w:val="both"/>
        <w:textAlignment w:val="auto"/>
        <w:rPr>
          <w:rFonts w:hint="default" w:ascii="Times New Roman" w:hAnsi="Times New Roman" w:cs="Times New Roman"/>
          <w:sz w:val="21"/>
          <w:szCs w:val="21"/>
        </w:rPr>
      </w:pPr>
      <w:r>
        <w:fldChar w:fldCharType="begin"/>
      </w:r>
      <w:r>
        <w:instrText xml:space="preserve">TOC \o "1-3" \h \u </w:instrText>
      </w:r>
      <w:r>
        <w:fldChar w:fldCharType="separate"/>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44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_Toc24236 </w:instrText>
      </w:r>
      <w:r>
        <w:rPr>
          <w:rFonts w:hint="eastAsia" w:ascii="仿宋" w:hAnsi="仿宋" w:eastAsia="仿宋" w:cs="仿宋"/>
          <w:sz w:val="24"/>
          <w:szCs w:val="24"/>
        </w:rPr>
        <w:fldChar w:fldCharType="separate"/>
      </w:r>
      <w:r>
        <w:rPr>
          <w:rFonts w:hint="eastAsia" w:ascii="仿宋" w:hAnsi="仿宋" w:eastAsia="仿宋" w:cs="仿宋"/>
          <w:sz w:val="24"/>
          <w:szCs w:val="24"/>
        </w:rPr>
        <w:t>第一部分 单位</w:t>
      </w:r>
      <w:r>
        <w:rPr>
          <w:rFonts w:hint="eastAsia" w:ascii="仿宋" w:hAnsi="仿宋" w:eastAsia="仿宋" w:cs="仿宋"/>
          <w:bCs w:val="0"/>
          <w:sz w:val="24"/>
          <w:szCs w:val="24"/>
        </w:rPr>
        <w:t>概况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_Toc24236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_Toc12024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bCs w:val="0"/>
          <w:sz w:val="24"/>
          <w:szCs w:val="24"/>
        </w:rPr>
        <w:t>一、主要职责</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_Toc12024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_Toc9093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二、机构设置</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_Toc9093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44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_Toc13886 </w:instrText>
      </w:r>
      <w:r>
        <w:rPr>
          <w:rFonts w:hint="eastAsia" w:ascii="仿宋" w:hAnsi="仿宋" w:eastAsia="仿宋" w:cs="仿宋"/>
          <w:sz w:val="24"/>
          <w:szCs w:val="24"/>
        </w:rPr>
        <w:fldChar w:fldCharType="separate"/>
      </w:r>
      <w:r>
        <w:rPr>
          <w:rFonts w:hint="eastAsia" w:ascii="仿宋" w:hAnsi="仿宋" w:eastAsia="仿宋" w:cs="仿宋"/>
          <w:sz w:val="24"/>
          <w:szCs w:val="24"/>
        </w:rPr>
        <w:t>第二部分 2022年度单位决算情况说明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_Toc13886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_Toc2792 </w:instrText>
      </w:r>
      <w:r>
        <w:rPr>
          <w:rFonts w:hint="eastAsia"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 xml:space="preserve">一、 </w:t>
      </w:r>
      <w:r>
        <w:rPr>
          <w:rFonts w:hint="eastAsia" w:ascii="Times New Roman" w:hAnsi="Times New Roman" w:eastAsia="宋体" w:cs="Times New Roman"/>
          <w:sz w:val="24"/>
          <w:szCs w:val="24"/>
        </w:rPr>
        <w:t>收入支出决算总体情况说明</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_Toc2792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_Toc3231 </w:instrText>
      </w:r>
      <w:r>
        <w:rPr>
          <w:rFonts w:hint="eastAsia"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 xml:space="preserve">二、 </w:t>
      </w:r>
      <w:r>
        <w:rPr>
          <w:rFonts w:hint="eastAsia" w:ascii="Times New Roman" w:hAnsi="Times New Roman" w:eastAsia="宋体" w:cs="Times New Roman"/>
          <w:sz w:val="24"/>
          <w:szCs w:val="24"/>
        </w:rPr>
        <w:t>收入决算情况说明</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_Toc3231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_Toc26367 </w:instrText>
      </w:r>
      <w:r>
        <w:rPr>
          <w:rFonts w:hint="eastAsia"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 xml:space="preserve">三、 </w:t>
      </w:r>
      <w:r>
        <w:rPr>
          <w:rFonts w:hint="eastAsia" w:ascii="Times New Roman" w:hAnsi="Times New Roman" w:eastAsia="宋体" w:cs="Times New Roman"/>
          <w:sz w:val="24"/>
          <w:szCs w:val="24"/>
        </w:rPr>
        <w:t>支出决算情况说明</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_Toc26367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_Toc9621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四、财政拨款收入支出决算总体情况说明</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_Toc9621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_Toc28940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五、一般公共预算财政拨款支出决算情况说明</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_Toc28940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4</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_Toc14334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六、一般公共预算财政拨款基本支出决算情况说明</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_Toc14334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6</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_Toc23573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七、财政拨款“三公”经费支出决算情况说明</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_Toc23573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6</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_Toc29897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八、政府性基金预算支出决算情况说明</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_Toc29897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8</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_Toc26811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九、国有资本经营预算支出决算情况说明</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_Toc26811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8</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_Toc3013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十、其他重要事项的情况说明</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_Toc3013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8</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44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_Toc19893 </w:instrText>
      </w:r>
      <w:r>
        <w:rPr>
          <w:rFonts w:hint="eastAsia" w:ascii="仿宋" w:hAnsi="仿宋" w:eastAsia="仿宋" w:cs="仿宋"/>
          <w:sz w:val="24"/>
          <w:szCs w:val="24"/>
        </w:rPr>
        <w:fldChar w:fldCharType="separate"/>
      </w:r>
      <w:r>
        <w:rPr>
          <w:rFonts w:hint="eastAsia" w:ascii="仿宋" w:hAnsi="仿宋" w:eastAsia="仿宋" w:cs="仿宋"/>
          <w:sz w:val="24"/>
          <w:szCs w:val="24"/>
        </w:rPr>
        <w:t>第三部分 名词解释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_Toc19893 \h </w:instrText>
      </w:r>
      <w:r>
        <w:rPr>
          <w:rFonts w:hint="eastAsia" w:ascii="仿宋" w:hAnsi="仿宋" w:eastAsia="仿宋" w:cs="仿宋"/>
          <w:sz w:val="24"/>
          <w:szCs w:val="24"/>
        </w:rPr>
        <w:fldChar w:fldCharType="separate"/>
      </w:r>
      <w:r>
        <w:rPr>
          <w:rFonts w:hint="eastAsia" w:ascii="仿宋" w:hAnsi="仿宋" w:eastAsia="仿宋" w:cs="仿宋"/>
          <w:sz w:val="24"/>
          <w:szCs w:val="24"/>
        </w:rPr>
        <w:t>10</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44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_Toc10354 </w:instrText>
      </w:r>
      <w:r>
        <w:rPr>
          <w:rFonts w:hint="eastAsia" w:ascii="仿宋" w:hAnsi="仿宋" w:eastAsia="仿宋" w:cs="仿宋"/>
          <w:sz w:val="24"/>
          <w:szCs w:val="24"/>
        </w:rPr>
        <w:fldChar w:fldCharType="separate"/>
      </w:r>
      <w:r>
        <w:rPr>
          <w:rFonts w:hint="eastAsia" w:ascii="仿宋" w:hAnsi="仿宋" w:eastAsia="仿宋" w:cs="仿宋"/>
          <w:sz w:val="24"/>
          <w:szCs w:val="24"/>
        </w:rPr>
        <w:t>第四部分 附件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_Toc10354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44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_Toc17774 </w:instrText>
      </w:r>
      <w:r>
        <w:rPr>
          <w:rFonts w:hint="eastAsia" w:ascii="仿宋" w:hAnsi="仿宋" w:eastAsia="仿宋" w:cs="仿宋"/>
          <w:sz w:val="24"/>
          <w:szCs w:val="24"/>
        </w:rPr>
        <w:fldChar w:fldCharType="separate"/>
      </w:r>
      <w:r>
        <w:rPr>
          <w:rFonts w:hint="eastAsia" w:ascii="仿宋" w:hAnsi="仿宋" w:eastAsia="仿宋" w:cs="仿宋"/>
          <w:sz w:val="24"/>
          <w:szCs w:val="24"/>
        </w:rPr>
        <w:t>第五部分 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_Toc17774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_Toc29671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一、收入支出决算总表</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_Toc29671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14</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_Toc10618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二、收入决算表</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_Toc10618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14</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_Toc25848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三、支出决算表</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_Toc25848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14</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_Toc76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四、财政拨款收入支出决算总表</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_Toc76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14</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_Toc23959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五、财政拨款支出决算明细表</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_Toc23959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14</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_Toc11735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六、一般公共预算财政拨款支出决算表</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_Toc11735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14</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_Toc25313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七、一般公共预算财政拨款支出决算明细表</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_Toc25313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14</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_Toc30676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八、一般公共预算财政拨款基本支出决算表</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_Toc30676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14</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32"/>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_Toc27769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九、一般公共预算财政拨款项目支出决算表</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_Toc27769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14</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_Toc17660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十、政府性基金预算财政拨款收入支出决算表</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_Toc17660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14</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_Toc25935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十一、国有资本经营预算财政拨款收入支出决算表</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_Toc25935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14</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_Toc24371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十二、国有资本经营预算财政拨款支出决算表</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_Toc24371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14</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HYPERLINK \l _Toc6046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十三、财政拨款“三公”经费支出决算表</w:t>
      </w: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fldChar w:fldCharType="begin"/>
      </w:r>
      <w:r>
        <w:rPr>
          <w:rFonts w:hint="eastAsia" w:ascii="Times New Roman" w:hAnsi="Times New Roman" w:eastAsia="宋体" w:cs="Times New Roman"/>
          <w:sz w:val="24"/>
          <w:szCs w:val="24"/>
        </w:rPr>
        <w:instrText xml:space="preserve"> PAGEREF _Toc6046 \h </w:instrText>
      </w:r>
      <w:r>
        <w:rPr>
          <w:rFonts w:hint="eastAsia" w:ascii="Times New Roman" w:hAnsi="Times New Roman" w:eastAsia="宋体" w:cs="Times New Roman"/>
          <w:sz w:val="24"/>
          <w:szCs w:val="24"/>
        </w:rPr>
        <w:fldChar w:fldCharType="separate"/>
      </w:r>
      <w:r>
        <w:rPr>
          <w:rFonts w:hint="eastAsia" w:ascii="Times New Roman" w:hAnsi="Times New Roman" w:eastAsia="宋体" w:cs="Times New Roman"/>
          <w:sz w:val="24"/>
          <w:szCs w:val="24"/>
        </w:rPr>
        <w:t>14</w:t>
      </w:r>
      <w:r>
        <w:rPr>
          <w:rFonts w:hint="eastAsia" w:ascii="Times New Roman" w:hAnsi="Times New Roman" w:eastAsia="宋体" w:cs="Times New Roman"/>
          <w:sz w:val="24"/>
          <w:szCs w:val="24"/>
        </w:rPr>
        <w:fldChar w:fldCharType="end"/>
      </w:r>
      <w:r>
        <w:rPr>
          <w:rFonts w:hint="eastAsia" w:ascii="Times New Roman" w:hAnsi="Times New Roman" w:eastAsia="宋体" w:cs="Times New Roman"/>
          <w:sz w:val="24"/>
          <w:szCs w:val="24"/>
        </w:rPr>
        <w:fldChar w:fldCharType="end"/>
      </w:r>
    </w:p>
    <w:p>
      <w:pPr>
        <w:pStyle w:val="3"/>
        <w:pageBreakBefore w:val="0"/>
        <w:widowControl w:val="0"/>
        <w:kinsoku/>
        <w:wordWrap/>
        <w:overflowPunct/>
        <w:topLinePunct w:val="0"/>
        <w:autoSpaceDE/>
        <w:autoSpaceDN/>
        <w:bidi w:val="0"/>
        <w:adjustRightInd/>
        <w:snapToGrid/>
        <w:spacing w:after="0" w:line="440" w:lineRule="exact"/>
        <w:jc w:val="center"/>
        <w:textAlignment w:val="auto"/>
      </w:pPr>
      <w:r>
        <w:fldChar w:fldCharType="end"/>
      </w:r>
    </w:p>
    <w:p>
      <w:pPr>
        <w:pStyle w:val="3"/>
        <w:jc w:val="center"/>
        <w:rPr>
          <w:rFonts w:hint="eastAsia" w:ascii="黑体" w:hAnsi="黑体" w:eastAsia="黑体"/>
          <w:b w:val="0"/>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8" w:name="_Toc24236"/>
    </w:p>
    <w:p>
      <w:pPr>
        <w:pStyle w:val="3"/>
        <w:jc w:val="center"/>
        <w:rPr>
          <w:rStyle w:val="25"/>
          <w:rFonts w:ascii="黑体" w:hAnsi="黑体" w:eastAsia="黑体"/>
          <w:b/>
          <w:bCs w:val="0"/>
        </w:rPr>
      </w:pPr>
      <w:r>
        <w:rPr>
          <w:rFonts w:hint="eastAsia" w:ascii="黑体" w:hAnsi="黑体" w:eastAsia="黑体"/>
          <w:b w:val="0"/>
        </w:rPr>
        <w:t>第一部分 单位</w:t>
      </w:r>
      <w:r>
        <w:rPr>
          <w:rStyle w:val="25"/>
          <w:rFonts w:hint="eastAsia" w:ascii="黑体" w:hAnsi="黑体" w:eastAsia="黑体"/>
          <w:b w:val="0"/>
          <w:bCs w:val="0"/>
        </w:rPr>
        <w:t>概况</w:t>
      </w:r>
      <w:bookmarkEnd w:id="18"/>
    </w:p>
    <w:p>
      <w:pPr>
        <w:widowControl/>
        <w:jc w:val="left"/>
        <w:rPr>
          <w:rFonts w:ascii="黑体" w:eastAsia="黑体"/>
          <w:sz w:val="24"/>
          <w:szCs w:val="24"/>
        </w:rPr>
      </w:pPr>
    </w:p>
    <w:p>
      <w:pPr>
        <w:pStyle w:val="4"/>
        <w:numPr>
          <w:ilvl w:val="0"/>
          <w:numId w:val="1"/>
        </w:numPr>
        <w:rPr>
          <w:rStyle w:val="26"/>
          <w:rFonts w:ascii="黑体" w:hAnsi="黑体" w:eastAsia="黑体"/>
          <w:b w:val="0"/>
          <w:bCs w:val="0"/>
        </w:rPr>
      </w:pPr>
      <w:bookmarkStart w:id="19" w:name="_Toc12024"/>
      <w:bookmarkStart w:id="20" w:name="_Toc15377197"/>
      <w:bookmarkStart w:id="21" w:name="_Toc15396600"/>
      <w:r>
        <w:rPr>
          <w:rStyle w:val="26"/>
          <w:rFonts w:hint="eastAsia" w:ascii="黑体" w:hAnsi="黑体" w:eastAsia="黑体"/>
          <w:b w:val="0"/>
          <w:bCs w:val="0"/>
        </w:rPr>
        <w:t>主要职责</w:t>
      </w:r>
      <w:bookmarkEnd w:id="19"/>
    </w:p>
    <w:p>
      <w:pPr>
        <w:spacing w:line="600" w:lineRule="exact"/>
        <w:ind w:firstLine="640" w:firstLineChars="200"/>
        <w:rPr>
          <w:rFonts w:ascii="仿宋" w:hAnsi="仿宋" w:eastAsia="仿宋"/>
          <w:sz w:val="32"/>
          <w:szCs w:val="32"/>
        </w:rPr>
      </w:pPr>
      <w:r>
        <w:rPr>
          <w:rFonts w:hint="eastAsia" w:ascii="仿宋" w:hAnsi="仿宋" w:eastAsia="仿宋"/>
          <w:sz w:val="32"/>
          <w:szCs w:val="32"/>
        </w:rPr>
        <w:t>1.贯彻党的教育方针，坚持社会主义办学方向，对学生进行德育、智育、体育、美育和劳动教育等方面的教育。</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2.配合各级政府依法动员适龄儿童、少年入学，严格控制学生辍学，依法保证适龄儿童、少年接受九年义务教育。</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3.负责制定学校教育发展规划，并抓好组织实施和落实工作。</w:t>
      </w:r>
    </w:p>
    <w:p>
      <w:pPr>
        <w:pStyle w:val="4"/>
        <w:rPr>
          <w:rFonts w:ascii="黑体" w:hAnsi="黑体" w:eastAsia="黑体"/>
          <w:b w:val="0"/>
        </w:rPr>
      </w:pPr>
      <w:bookmarkStart w:id="22" w:name="_Toc9093"/>
      <w:r>
        <w:rPr>
          <w:rFonts w:hint="eastAsia" w:ascii="黑体" w:hAnsi="黑体" w:eastAsia="黑体"/>
          <w:b w:val="0"/>
        </w:rPr>
        <w:t>二、机构设置</w:t>
      </w:r>
      <w:bookmarkEnd w:id="22"/>
    </w:p>
    <w:bookmarkEnd w:id="20"/>
    <w:bookmarkEnd w:id="21"/>
    <w:p>
      <w:pPr>
        <w:spacing w:line="600" w:lineRule="exact"/>
        <w:ind w:firstLine="640" w:firstLineChars="200"/>
        <w:rPr>
          <w:rFonts w:ascii="仿宋" w:hAnsi="仿宋" w:eastAsia="仿宋"/>
          <w:sz w:val="32"/>
          <w:szCs w:val="32"/>
        </w:rPr>
      </w:pPr>
      <w:r>
        <w:rPr>
          <w:rFonts w:hint="eastAsia" w:ascii="仿宋" w:hAnsi="仿宋" w:eastAsia="仿宋"/>
          <w:sz w:val="32"/>
          <w:szCs w:val="32"/>
        </w:rPr>
        <w:t>四川省广元市利州中学是广元市教育局市直属学校，属于全额财政补助，公益一类事业单位，二级预算</w:t>
      </w:r>
      <w:r>
        <w:rPr>
          <w:rFonts w:hint="default" w:ascii="仿宋" w:hAnsi="仿宋" w:eastAsia="仿宋"/>
          <w:sz w:val="32"/>
          <w:szCs w:val="32"/>
          <w:woUserID w:val="1"/>
        </w:rPr>
        <w:t>单位</w:t>
      </w:r>
      <w:r>
        <w:rPr>
          <w:rFonts w:hint="eastAsia" w:ascii="仿宋" w:hAnsi="仿宋" w:eastAsia="仿宋"/>
          <w:sz w:val="32"/>
          <w:szCs w:val="32"/>
        </w:rPr>
        <w:t>。</w:t>
      </w:r>
    </w:p>
    <w:p>
      <w:pPr>
        <w:widowControl/>
        <w:jc w:val="left"/>
        <w:rPr>
          <w:rFonts w:ascii="仿宋" w:hAnsi="仿宋" w:eastAsia="仿宋"/>
          <w:kern w:val="0"/>
          <w:sz w:val="32"/>
          <w:szCs w:val="32"/>
        </w:rPr>
      </w:pPr>
      <w:r>
        <w:rPr>
          <w:rFonts w:ascii="仿宋" w:hAnsi="仿宋" w:eastAsia="仿宋"/>
          <w:sz w:val="32"/>
          <w:szCs w:val="32"/>
        </w:rPr>
        <w:br w:type="page"/>
      </w:r>
    </w:p>
    <w:p>
      <w:pPr>
        <w:pStyle w:val="3"/>
        <w:ind w:right="440"/>
        <w:jc w:val="center"/>
        <w:rPr>
          <w:rStyle w:val="25"/>
          <w:rFonts w:ascii="黑体" w:hAnsi="黑体" w:eastAsia="黑体"/>
          <w:b w:val="0"/>
          <w:bCs/>
        </w:rPr>
      </w:pPr>
      <w:bookmarkStart w:id="23" w:name="_Toc15377204"/>
      <w:bookmarkStart w:id="24" w:name="_Toc13886"/>
      <w:bookmarkStart w:id="25" w:name="_Toc15396602"/>
      <w:r>
        <w:rPr>
          <w:rFonts w:hint="eastAsia" w:ascii="黑体" w:hAnsi="黑体" w:eastAsia="黑体"/>
          <w:b w:val="0"/>
        </w:rPr>
        <w:t>第二部分 2022年度</w:t>
      </w:r>
      <w:r>
        <w:rPr>
          <w:rStyle w:val="25"/>
          <w:rFonts w:hint="eastAsia" w:ascii="黑体" w:hAnsi="黑体" w:eastAsia="黑体"/>
          <w:b w:val="0"/>
          <w:bCs/>
        </w:rPr>
        <w:t>单位决算情况说明</w:t>
      </w:r>
      <w:bookmarkEnd w:id="23"/>
      <w:bookmarkEnd w:id="24"/>
      <w:bookmarkEnd w:id="25"/>
    </w:p>
    <w:p>
      <w:pPr>
        <w:widowControl/>
        <w:jc w:val="left"/>
        <w:rPr>
          <w:rFonts w:ascii="黑体" w:eastAsia="黑体"/>
          <w:sz w:val="28"/>
          <w:szCs w:val="28"/>
        </w:rPr>
      </w:pPr>
    </w:p>
    <w:p>
      <w:pPr>
        <w:pStyle w:val="24"/>
        <w:numPr>
          <w:ilvl w:val="0"/>
          <w:numId w:val="2"/>
        </w:numPr>
        <w:spacing w:line="600" w:lineRule="exact"/>
        <w:ind w:firstLineChars="0"/>
        <w:outlineLvl w:val="1"/>
        <w:rPr>
          <w:rStyle w:val="26"/>
          <w:rFonts w:ascii="黑体" w:hAnsi="黑体" w:eastAsia="黑体"/>
          <w:b w:val="0"/>
        </w:rPr>
      </w:pPr>
      <w:bookmarkStart w:id="26" w:name="_Toc15396603"/>
      <w:bookmarkStart w:id="27" w:name="_Toc15377205"/>
      <w:bookmarkStart w:id="28" w:name="_Toc2792"/>
      <w:r>
        <w:rPr>
          <w:rFonts w:hint="eastAsia" w:ascii="黑体" w:hAnsi="黑体" w:eastAsia="黑体"/>
          <w:sz w:val="32"/>
          <w:szCs w:val="32"/>
        </w:rPr>
        <w:t>收</w:t>
      </w:r>
      <w:r>
        <w:rPr>
          <w:rStyle w:val="26"/>
          <w:rFonts w:hint="eastAsia" w:ascii="黑体" w:hAnsi="黑体" w:eastAsia="黑体"/>
          <w:b w:val="0"/>
        </w:rPr>
        <w:t>入支出决算总体情况说明</w:t>
      </w:r>
      <w:bookmarkEnd w:id="26"/>
      <w:bookmarkEnd w:id="27"/>
      <w:bookmarkEnd w:id="28"/>
    </w:p>
    <w:p>
      <w:pPr>
        <w:spacing w:line="600" w:lineRule="exact"/>
        <w:ind w:firstLine="640" w:firstLineChars="200"/>
        <w:rPr>
          <w:rFonts w:ascii="仿宋" w:hAnsi="仿宋" w:eastAsia="仿宋"/>
          <w:sz w:val="32"/>
          <w:szCs w:val="32"/>
        </w:rPr>
      </w:pPr>
      <w:r>
        <w:rPr>
          <w:rFonts w:hint="eastAsia" w:ascii="仿宋" w:hAnsi="仿宋" w:eastAsia="仿宋"/>
          <w:sz w:val="32"/>
          <w:szCs w:val="32"/>
        </w:rPr>
        <w:t>2022年度收、支总计3542.50万元。与2021年相比，收、支总计各增加595.87万元，增长20.22</w:t>
      </w:r>
      <w:r>
        <w:rPr>
          <w:rFonts w:ascii="仿宋" w:hAnsi="仿宋" w:eastAsia="仿宋"/>
          <w:sz w:val="32"/>
          <w:szCs w:val="32"/>
        </w:rPr>
        <w:t>%</w:t>
      </w:r>
      <w:r>
        <w:rPr>
          <w:rFonts w:hint="eastAsia" w:ascii="仿宋" w:hAnsi="仿宋" w:eastAsia="仿宋"/>
          <w:sz w:val="32"/>
          <w:szCs w:val="32"/>
        </w:rPr>
        <w:t>。主要变动原因是</w:t>
      </w:r>
      <w:r>
        <w:rPr>
          <w:rFonts w:ascii="仿宋" w:hAnsi="仿宋" w:eastAsia="仿宋"/>
          <w:sz w:val="32"/>
          <w:szCs w:val="32"/>
        </w:rPr>
        <w:t>202</w:t>
      </w:r>
      <w:r>
        <w:rPr>
          <w:rFonts w:hint="eastAsia" w:ascii="仿宋" w:hAnsi="仿宋" w:eastAsia="仿宋"/>
          <w:sz w:val="32"/>
          <w:szCs w:val="32"/>
        </w:rPr>
        <w:t>2年继续执行</w:t>
      </w:r>
      <w:r>
        <w:rPr>
          <w:rFonts w:ascii="仿宋" w:hAnsi="仿宋" w:eastAsia="仿宋"/>
          <w:sz w:val="32"/>
          <w:szCs w:val="32"/>
        </w:rPr>
        <w:t>本单位部门项目</w:t>
      </w:r>
      <w:r>
        <w:rPr>
          <w:rFonts w:hint="eastAsia" w:ascii="仿宋" w:hAnsi="仿宋" w:eastAsia="仿宋"/>
          <w:sz w:val="32"/>
          <w:szCs w:val="32"/>
          <w:lang w:eastAsia="zh-CN"/>
        </w:rPr>
        <w:t>－</w:t>
      </w:r>
      <w:r>
        <w:rPr>
          <w:rFonts w:ascii="仿宋" w:hAnsi="仿宋" w:eastAsia="仿宋"/>
          <w:sz w:val="32"/>
          <w:szCs w:val="32"/>
        </w:rPr>
        <w:t>运动场及阶梯教室维修改造</w:t>
      </w:r>
      <w:r>
        <w:rPr>
          <w:rFonts w:hint="eastAsia" w:ascii="仿宋" w:hAnsi="仿宋" w:eastAsia="仿宋"/>
          <w:sz w:val="32"/>
          <w:szCs w:val="32"/>
        </w:rPr>
        <w:t>，及教师工资福利支出增加。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
          <w:sz w:val="32"/>
          <w:szCs w:val="32"/>
        </w:rPr>
      </w:pPr>
      <w:r>
        <w:rPr>
          <w:rFonts w:hint="eastAsia" w:ascii="仿宋" w:hAnsi="仿宋" w:eastAsia="仿宋"/>
          <w:sz w:val="32"/>
          <w:szCs w:val="32"/>
        </w:rPr>
        <w:drawing>
          <wp:anchor distT="0" distB="0" distL="114300" distR="114300" simplePos="0" relativeHeight="251660288" behindDoc="0" locked="0" layoutInCell="1" allowOverlap="1">
            <wp:simplePos x="0" y="0"/>
            <wp:positionH relativeFrom="column">
              <wp:posOffset>6350</wp:posOffset>
            </wp:positionH>
            <wp:positionV relativeFrom="paragraph">
              <wp:posOffset>86360</wp:posOffset>
            </wp:positionV>
            <wp:extent cx="5255895" cy="2027555"/>
            <wp:effectExtent l="4445" t="4445" r="16510" b="635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spacing w:line="600" w:lineRule="exact"/>
        <w:ind w:firstLine="640" w:firstLineChars="200"/>
        <w:jc w:val="left"/>
        <w:rPr>
          <w:rFonts w:ascii="仿宋_GB2312" w:eastAsia="仿宋_GB2312"/>
          <w:sz w:val="32"/>
          <w:szCs w:val="32"/>
        </w:rPr>
      </w:pPr>
    </w:p>
    <w:p>
      <w:pPr>
        <w:pStyle w:val="24"/>
        <w:numPr>
          <w:ilvl w:val="0"/>
          <w:numId w:val="2"/>
        </w:numPr>
        <w:spacing w:line="600" w:lineRule="exact"/>
        <w:ind w:firstLineChars="0"/>
        <w:outlineLvl w:val="1"/>
        <w:rPr>
          <w:rStyle w:val="26"/>
          <w:rFonts w:ascii="黑体" w:hAnsi="黑体" w:eastAsia="黑体"/>
          <w:b w:val="0"/>
        </w:rPr>
      </w:pPr>
      <w:bookmarkStart w:id="29" w:name="_Toc15377206"/>
      <w:bookmarkStart w:id="30" w:name="_Toc15396604"/>
      <w:bookmarkStart w:id="31" w:name="_Toc3231"/>
      <w:r>
        <w:rPr>
          <w:rFonts w:hint="eastAsia" w:ascii="黑体" w:hAnsi="黑体" w:eastAsia="黑体"/>
          <w:sz w:val="32"/>
          <w:szCs w:val="32"/>
        </w:rPr>
        <w:t>收</w:t>
      </w:r>
      <w:r>
        <w:rPr>
          <w:rStyle w:val="26"/>
          <w:rFonts w:hint="eastAsia" w:ascii="黑体" w:hAnsi="黑体" w:eastAsia="黑体"/>
          <w:b w:val="0"/>
        </w:rPr>
        <w:t>入决算情况说明</w:t>
      </w:r>
      <w:bookmarkEnd w:id="29"/>
      <w:bookmarkEnd w:id="30"/>
      <w:bookmarkEnd w:id="31"/>
    </w:p>
    <w:p>
      <w:pPr>
        <w:spacing w:line="600" w:lineRule="exact"/>
        <w:ind w:firstLine="640" w:firstLineChars="200"/>
        <w:outlineLvl w:val="1"/>
        <w:rPr>
          <w:rFonts w:ascii="仿宋" w:hAnsi="仿宋" w:eastAsia="仿宋"/>
          <w:sz w:val="32"/>
          <w:szCs w:val="32"/>
        </w:rPr>
      </w:pPr>
      <w:bookmarkStart w:id="32" w:name="_Toc21753"/>
      <w:bookmarkStart w:id="33" w:name="_Toc21963"/>
      <w:bookmarkStart w:id="34" w:name="_Toc18993"/>
      <w:r>
        <w:rPr>
          <w:rFonts w:hint="eastAsia" w:ascii="仿宋" w:hAnsi="仿宋" w:eastAsia="仿宋"/>
          <w:sz w:val="32"/>
          <w:szCs w:val="32"/>
        </w:rPr>
        <w:drawing>
          <wp:anchor distT="0" distB="0" distL="114300" distR="114300" simplePos="0" relativeHeight="251661312" behindDoc="0" locked="0" layoutInCell="1" allowOverlap="1">
            <wp:simplePos x="0" y="0"/>
            <wp:positionH relativeFrom="column">
              <wp:posOffset>24765</wp:posOffset>
            </wp:positionH>
            <wp:positionV relativeFrom="paragraph">
              <wp:posOffset>1222375</wp:posOffset>
            </wp:positionV>
            <wp:extent cx="5235575" cy="1570355"/>
            <wp:effectExtent l="4445" t="4445" r="17780" b="635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ascii="仿宋" w:hAnsi="仿宋" w:eastAsia="仿宋"/>
          <w:sz w:val="32"/>
          <w:szCs w:val="32"/>
        </w:rPr>
        <w:t>20</w:t>
      </w:r>
      <w:r>
        <w:rPr>
          <w:rFonts w:hint="eastAsia" w:ascii="仿宋" w:hAnsi="仿宋" w:eastAsia="仿宋"/>
          <w:sz w:val="32"/>
          <w:szCs w:val="32"/>
        </w:rPr>
        <w:t>22年本年收入合计3198.57万元，其中：一般公共预算财政拨款收入3136.67万元，占98.06</w:t>
      </w:r>
      <w:r>
        <w:rPr>
          <w:rFonts w:ascii="仿宋" w:hAnsi="仿宋" w:eastAsia="仿宋"/>
          <w:sz w:val="32"/>
          <w:szCs w:val="32"/>
        </w:rPr>
        <w:t>%</w:t>
      </w:r>
      <w:r>
        <w:rPr>
          <w:rFonts w:hint="eastAsia" w:ascii="仿宋" w:hAnsi="仿宋" w:eastAsia="仿宋"/>
          <w:sz w:val="32"/>
          <w:szCs w:val="32"/>
        </w:rPr>
        <w:t>；事业收入61.90万元，占1.94</w:t>
      </w:r>
      <w:r>
        <w:rPr>
          <w:rFonts w:ascii="仿宋" w:hAnsi="仿宋" w:eastAsia="仿宋"/>
          <w:sz w:val="32"/>
          <w:szCs w:val="32"/>
        </w:rPr>
        <w:t>%</w:t>
      </w:r>
      <w:r>
        <w:rPr>
          <w:rFonts w:hint="eastAsia" w:ascii="仿宋" w:hAnsi="仿宋" w:eastAsia="仿宋"/>
          <w:sz w:val="32"/>
          <w:szCs w:val="32"/>
        </w:rPr>
        <w:t>。</w:t>
      </w:r>
      <w:bookmarkEnd w:id="32"/>
      <w:bookmarkEnd w:id="33"/>
      <w:bookmarkEnd w:id="34"/>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rPr>
        <w:t>图2：收入决算结构图</w:t>
      </w:r>
    </w:p>
    <w:p>
      <w:pPr>
        <w:spacing w:line="600" w:lineRule="exact"/>
        <w:ind w:firstLine="640" w:firstLineChars="200"/>
        <w:rPr>
          <w:rFonts w:ascii="仿宋_GB2312" w:eastAsia="仿宋_GB2312"/>
          <w:sz w:val="32"/>
          <w:szCs w:val="32"/>
        </w:rPr>
      </w:pPr>
    </w:p>
    <w:p>
      <w:pPr>
        <w:pStyle w:val="24"/>
        <w:numPr>
          <w:ilvl w:val="0"/>
          <w:numId w:val="2"/>
        </w:numPr>
        <w:spacing w:line="600" w:lineRule="exact"/>
        <w:ind w:firstLineChars="0"/>
        <w:outlineLvl w:val="1"/>
        <w:rPr>
          <w:rStyle w:val="26"/>
          <w:rFonts w:ascii="黑体" w:hAnsi="黑体" w:eastAsia="黑体"/>
          <w:b w:val="0"/>
        </w:rPr>
      </w:pPr>
      <w:bookmarkStart w:id="35" w:name="_Toc26367"/>
      <w:bookmarkStart w:id="36" w:name="_Toc15377207"/>
      <w:bookmarkStart w:id="37" w:name="_Toc15396605"/>
      <w:r>
        <w:rPr>
          <w:rFonts w:hint="eastAsia" w:ascii="黑体" w:hAnsi="黑体" w:eastAsia="黑体"/>
          <w:sz w:val="32"/>
          <w:szCs w:val="32"/>
        </w:rPr>
        <w:t>支</w:t>
      </w:r>
      <w:r>
        <w:rPr>
          <w:rStyle w:val="26"/>
          <w:rFonts w:hint="eastAsia" w:ascii="黑体" w:hAnsi="黑体" w:eastAsia="黑体"/>
          <w:b w:val="0"/>
        </w:rPr>
        <w:t>出决算情况说明</w:t>
      </w:r>
      <w:bookmarkEnd w:id="35"/>
      <w:bookmarkEnd w:id="36"/>
      <w:bookmarkEnd w:id="37"/>
    </w:p>
    <w:p>
      <w:pPr>
        <w:spacing w:line="600" w:lineRule="exact"/>
        <w:ind w:firstLine="640" w:firstLineChars="200"/>
        <w:outlineLvl w:val="1"/>
        <w:rPr>
          <w:rFonts w:ascii="仿宋" w:hAnsi="仿宋" w:eastAsia="仿宋"/>
          <w:sz w:val="32"/>
          <w:szCs w:val="32"/>
        </w:rPr>
      </w:pPr>
      <w:bookmarkStart w:id="38" w:name="_Toc1437"/>
      <w:bookmarkStart w:id="39" w:name="_Toc9767"/>
      <w:bookmarkStart w:id="40" w:name="_Toc25875"/>
      <w:r>
        <w:rPr>
          <w:rFonts w:ascii="仿宋" w:hAnsi="仿宋" w:eastAsia="仿宋"/>
          <w:sz w:val="32"/>
          <w:szCs w:val="32"/>
        </w:rPr>
        <w:t>20</w:t>
      </w:r>
      <w:r>
        <w:rPr>
          <w:rFonts w:hint="eastAsia" w:ascii="仿宋" w:hAnsi="仿宋" w:eastAsia="仿宋"/>
          <w:sz w:val="32"/>
          <w:szCs w:val="32"/>
        </w:rPr>
        <w:t>22年本年支出合计3542.50万元，其中：基本支出3056.34万元，占86.28</w:t>
      </w:r>
      <w:r>
        <w:rPr>
          <w:rFonts w:ascii="仿宋" w:hAnsi="仿宋" w:eastAsia="仿宋"/>
          <w:sz w:val="32"/>
          <w:szCs w:val="32"/>
        </w:rPr>
        <w:t>%</w:t>
      </w:r>
      <w:r>
        <w:rPr>
          <w:rFonts w:hint="eastAsia" w:ascii="仿宋" w:hAnsi="仿宋" w:eastAsia="仿宋"/>
          <w:sz w:val="32"/>
          <w:szCs w:val="32"/>
        </w:rPr>
        <w:t>；项目支出486.16万元，占13.72</w:t>
      </w:r>
      <w:r>
        <w:rPr>
          <w:rFonts w:ascii="仿宋" w:hAnsi="仿宋" w:eastAsia="仿宋"/>
          <w:sz w:val="32"/>
          <w:szCs w:val="32"/>
        </w:rPr>
        <w:t>%</w:t>
      </w:r>
      <w:r>
        <w:rPr>
          <w:rFonts w:hint="eastAsia" w:ascii="仿宋" w:hAnsi="仿宋" w:eastAsia="仿宋"/>
          <w:sz w:val="32"/>
          <w:szCs w:val="32"/>
        </w:rPr>
        <w:t>。</w:t>
      </w:r>
      <w:bookmarkEnd w:id="38"/>
      <w:bookmarkEnd w:id="39"/>
      <w:bookmarkEnd w:id="4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rPr>
        <w:drawing>
          <wp:anchor distT="0" distB="0" distL="114300" distR="114300" simplePos="0" relativeHeight="251662336" behindDoc="0" locked="0" layoutInCell="1" allowOverlap="1">
            <wp:simplePos x="0" y="0"/>
            <wp:positionH relativeFrom="column">
              <wp:posOffset>5080</wp:posOffset>
            </wp:positionH>
            <wp:positionV relativeFrom="paragraph">
              <wp:posOffset>65405</wp:posOffset>
            </wp:positionV>
            <wp:extent cx="5274945" cy="1845945"/>
            <wp:effectExtent l="4445" t="4445" r="16510" b="1651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sz w:val="32"/>
          <w:szCs w:val="32"/>
        </w:rPr>
        <w:t>图3：支出决算结构图</w:t>
      </w:r>
    </w:p>
    <w:p>
      <w:pPr>
        <w:spacing w:line="600" w:lineRule="exact"/>
        <w:ind w:firstLine="640" w:firstLineChars="200"/>
        <w:rPr>
          <w:rFonts w:ascii="仿宋_GB2312" w:eastAsia="仿宋_GB2312"/>
          <w:sz w:val="32"/>
          <w:szCs w:val="32"/>
        </w:rPr>
      </w:pPr>
    </w:p>
    <w:p>
      <w:pPr>
        <w:spacing w:line="600" w:lineRule="exact"/>
        <w:ind w:firstLine="640" w:firstLineChars="200"/>
        <w:outlineLvl w:val="1"/>
        <w:rPr>
          <w:rStyle w:val="26"/>
          <w:rFonts w:ascii="黑体" w:hAnsi="黑体" w:eastAsia="黑体"/>
          <w:b w:val="0"/>
        </w:rPr>
      </w:pPr>
      <w:bookmarkStart w:id="41" w:name="_Toc9621"/>
      <w:bookmarkStart w:id="42" w:name="_Toc15377208"/>
      <w:bookmarkStart w:id="43" w:name="_Toc15396606"/>
      <w:r>
        <w:rPr>
          <w:rFonts w:hint="eastAsia" w:ascii="黑体" w:hAnsi="黑体" w:eastAsia="黑体"/>
          <w:sz w:val="32"/>
          <w:szCs w:val="32"/>
        </w:rPr>
        <w:t>四、财</w:t>
      </w:r>
      <w:r>
        <w:rPr>
          <w:rStyle w:val="26"/>
          <w:rFonts w:hint="eastAsia" w:ascii="黑体" w:hAnsi="黑体" w:eastAsia="黑体"/>
          <w:b w:val="0"/>
        </w:rPr>
        <w:t>政拨款收入支出决算总体情况说明</w:t>
      </w:r>
      <w:bookmarkEnd w:id="41"/>
      <w:bookmarkEnd w:id="42"/>
      <w:bookmarkEnd w:id="43"/>
    </w:p>
    <w:p>
      <w:pPr>
        <w:spacing w:line="600" w:lineRule="exact"/>
        <w:ind w:firstLine="640"/>
      </w:pPr>
      <w:r>
        <w:rPr>
          <w:rFonts w:hint="eastAsia" w:ascii="仿宋" w:hAnsi="仿宋" w:eastAsia="仿宋"/>
          <w:sz w:val="32"/>
          <w:szCs w:val="32"/>
        </w:rPr>
        <w:drawing>
          <wp:anchor distT="0" distB="0" distL="114300" distR="114300" simplePos="0" relativeHeight="251663360" behindDoc="0" locked="0" layoutInCell="1" allowOverlap="1">
            <wp:simplePos x="0" y="0"/>
            <wp:positionH relativeFrom="column">
              <wp:posOffset>-4445</wp:posOffset>
            </wp:positionH>
            <wp:positionV relativeFrom="paragraph">
              <wp:posOffset>1936750</wp:posOffset>
            </wp:positionV>
            <wp:extent cx="5285105" cy="1856105"/>
            <wp:effectExtent l="4445" t="4445" r="6350" b="6350"/>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ascii="仿宋" w:hAnsi="仿宋" w:eastAsia="仿宋"/>
          <w:sz w:val="32"/>
          <w:szCs w:val="32"/>
        </w:rPr>
        <w:t>20</w:t>
      </w:r>
      <w:r>
        <w:rPr>
          <w:rFonts w:hint="eastAsia" w:ascii="仿宋" w:hAnsi="仿宋" w:eastAsia="仿宋"/>
          <w:sz w:val="32"/>
          <w:szCs w:val="32"/>
        </w:rPr>
        <w:t>22年财政拨款收、支总计3480.61万元。与</w:t>
      </w:r>
      <w:r>
        <w:rPr>
          <w:rFonts w:ascii="仿宋" w:hAnsi="仿宋" w:eastAsia="仿宋"/>
          <w:sz w:val="32"/>
          <w:szCs w:val="32"/>
        </w:rPr>
        <w:t>20</w:t>
      </w:r>
      <w:r>
        <w:rPr>
          <w:rFonts w:hint="eastAsia" w:ascii="仿宋" w:hAnsi="仿宋" w:eastAsia="仿宋"/>
          <w:sz w:val="32"/>
          <w:szCs w:val="32"/>
        </w:rPr>
        <w:t>21年相比，财政拨款收、支总计各增加592.77万元，增长20.53</w:t>
      </w:r>
      <w:r>
        <w:rPr>
          <w:rFonts w:ascii="仿宋" w:hAnsi="仿宋" w:eastAsia="仿宋"/>
          <w:sz w:val="32"/>
          <w:szCs w:val="32"/>
        </w:rPr>
        <w:t>%</w:t>
      </w:r>
      <w:r>
        <w:rPr>
          <w:rFonts w:hint="eastAsia" w:ascii="仿宋" w:hAnsi="仿宋" w:eastAsia="仿宋"/>
          <w:sz w:val="32"/>
          <w:szCs w:val="32"/>
        </w:rPr>
        <w:t>。主要变动原因是</w:t>
      </w:r>
      <w:r>
        <w:rPr>
          <w:rFonts w:ascii="仿宋" w:hAnsi="仿宋" w:eastAsia="仿宋"/>
          <w:sz w:val="32"/>
          <w:szCs w:val="32"/>
        </w:rPr>
        <w:t>202</w:t>
      </w:r>
      <w:r>
        <w:rPr>
          <w:rFonts w:hint="eastAsia" w:ascii="仿宋" w:hAnsi="仿宋" w:eastAsia="仿宋"/>
          <w:sz w:val="32"/>
          <w:szCs w:val="32"/>
        </w:rPr>
        <w:t>2年继续执行</w:t>
      </w:r>
      <w:r>
        <w:rPr>
          <w:rFonts w:ascii="仿宋" w:hAnsi="仿宋" w:eastAsia="仿宋"/>
          <w:sz w:val="32"/>
          <w:szCs w:val="32"/>
        </w:rPr>
        <w:t>本单位部门项目</w:t>
      </w:r>
      <w:r>
        <w:rPr>
          <w:rFonts w:hint="eastAsia" w:ascii="仿宋" w:hAnsi="仿宋" w:eastAsia="仿宋"/>
          <w:sz w:val="32"/>
          <w:szCs w:val="32"/>
          <w:lang w:eastAsia="zh-CN"/>
        </w:rPr>
        <w:t>－</w:t>
      </w:r>
      <w:r>
        <w:rPr>
          <w:rFonts w:ascii="仿宋" w:hAnsi="仿宋" w:eastAsia="仿宋"/>
          <w:sz w:val="32"/>
          <w:szCs w:val="32"/>
        </w:rPr>
        <w:t>运动场及阶梯教室维修改造、信息化建设项目</w:t>
      </w:r>
      <w:r>
        <w:rPr>
          <w:rFonts w:hint="eastAsia" w:ascii="仿宋" w:hAnsi="仿宋" w:eastAsia="仿宋"/>
          <w:sz w:val="32"/>
          <w:szCs w:val="32"/>
        </w:rPr>
        <w:t>，及教师工资福利支出增加。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rPr>
        <w:t>图4：财政拨款收、支决算总计变动情况</w:t>
      </w:r>
    </w:p>
    <w:p>
      <w:pPr>
        <w:spacing w:line="600" w:lineRule="exact"/>
        <w:ind w:firstLine="640"/>
        <w:rPr>
          <w:rFonts w:ascii="仿宋" w:hAnsi="仿宋" w:eastAsia="仿宋"/>
          <w:b/>
          <w:sz w:val="32"/>
          <w:szCs w:val="32"/>
        </w:rPr>
      </w:pPr>
    </w:p>
    <w:p>
      <w:pPr>
        <w:spacing w:line="600" w:lineRule="exact"/>
        <w:ind w:firstLine="640" w:firstLineChars="200"/>
        <w:outlineLvl w:val="1"/>
        <w:rPr>
          <w:rStyle w:val="26"/>
          <w:rFonts w:ascii="黑体" w:hAnsi="黑体" w:eastAsia="黑体"/>
          <w:b w:val="0"/>
        </w:rPr>
      </w:pPr>
      <w:bookmarkStart w:id="44" w:name="_Toc15377209"/>
      <w:bookmarkStart w:id="45" w:name="_Toc15396607"/>
      <w:bookmarkStart w:id="46" w:name="_Toc28940"/>
      <w:r>
        <w:rPr>
          <w:rFonts w:hint="eastAsia" w:ascii="黑体" w:hAnsi="黑体" w:eastAsia="黑体"/>
          <w:sz w:val="32"/>
          <w:szCs w:val="32"/>
        </w:rPr>
        <w:t>五、</w:t>
      </w:r>
      <w:r>
        <w:rPr>
          <w:rFonts w:hint="eastAsia" w:ascii="黑体" w:hAnsi="黑体" w:eastAsia="黑体"/>
          <w:b/>
          <w:sz w:val="32"/>
          <w:szCs w:val="32"/>
        </w:rPr>
        <w:t>一</w:t>
      </w:r>
      <w:r>
        <w:rPr>
          <w:rStyle w:val="26"/>
          <w:rFonts w:hint="eastAsia" w:ascii="黑体" w:hAnsi="黑体" w:eastAsia="黑体"/>
          <w:b w:val="0"/>
        </w:rPr>
        <w:t>般公共预算财政拨款支出决算情况说明</w:t>
      </w:r>
      <w:bookmarkEnd w:id="44"/>
      <w:bookmarkEnd w:id="45"/>
      <w:bookmarkEnd w:id="46"/>
    </w:p>
    <w:p>
      <w:pPr>
        <w:spacing w:line="600" w:lineRule="exact"/>
        <w:ind w:firstLine="640" w:firstLineChars="200"/>
        <w:outlineLvl w:val="2"/>
        <w:rPr>
          <w:rFonts w:ascii="仿宋" w:hAnsi="仿宋" w:eastAsia="仿宋"/>
          <w:b/>
          <w:sz w:val="32"/>
          <w:szCs w:val="32"/>
        </w:rPr>
      </w:pPr>
      <w:bookmarkStart w:id="47" w:name="_Toc28695"/>
      <w:bookmarkStart w:id="48" w:name="_Toc15377210"/>
      <w:r>
        <w:rPr>
          <w:rFonts w:hint="eastAsia" w:ascii="仿宋" w:hAnsi="仿宋" w:eastAsia="仿宋"/>
          <w:b/>
          <w:sz w:val="32"/>
          <w:szCs w:val="32"/>
        </w:rPr>
        <w:t>（一）一般公共预算财政拨款支出决算总体情况</w:t>
      </w:r>
      <w:bookmarkEnd w:id="47"/>
      <w:bookmarkEnd w:id="48"/>
    </w:p>
    <w:p>
      <w:pPr>
        <w:spacing w:line="600" w:lineRule="exact"/>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22年一般公共预算财政拨款支出3480.61万元，占本年支出合计的98.25</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21年相比，一般公共预算财政拨款支出增加936.71万元，增长36.82</w:t>
      </w:r>
      <w:r>
        <w:rPr>
          <w:rFonts w:ascii="仿宋" w:hAnsi="仿宋" w:eastAsia="仿宋"/>
          <w:sz w:val="32"/>
          <w:szCs w:val="32"/>
        </w:rPr>
        <w:t>%</w:t>
      </w:r>
      <w:r>
        <w:rPr>
          <w:rFonts w:hint="eastAsia" w:ascii="仿宋" w:hAnsi="仿宋" w:eastAsia="仿宋"/>
          <w:sz w:val="32"/>
          <w:szCs w:val="32"/>
        </w:rPr>
        <w:t>。主要变动原因是</w:t>
      </w:r>
      <w:r>
        <w:rPr>
          <w:rFonts w:ascii="仿宋" w:hAnsi="仿宋" w:eastAsia="仿宋"/>
          <w:sz w:val="32"/>
          <w:szCs w:val="32"/>
        </w:rPr>
        <w:t>单位项目运动场及阶梯教室维修改造</w:t>
      </w:r>
      <w:r>
        <w:rPr>
          <w:rFonts w:hint="eastAsia" w:ascii="仿宋" w:hAnsi="仿宋" w:eastAsia="仿宋"/>
          <w:sz w:val="32"/>
          <w:szCs w:val="32"/>
        </w:rPr>
        <w:t>2021年结转324.10万元，2022年继续执行</w:t>
      </w:r>
      <w:r>
        <w:rPr>
          <w:rFonts w:hint="eastAsia" w:ascii="仿宋" w:hAnsi="仿宋" w:eastAsia="仿宋"/>
          <w:sz w:val="32"/>
          <w:szCs w:val="32"/>
          <w:lang w:eastAsia="zh-CN"/>
        </w:rPr>
        <w:t>，以</w:t>
      </w:r>
      <w:r>
        <w:rPr>
          <w:rFonts w:hint="eastAsia" w:ascii="仿宋" w:hAnsi="仿宋" w:eastAsia="仿宋"/>
          <w:sz w:val="32"/>
          <w:szCs w:val="32"/>
        </w:rPr>
        <w:t>及教师工资福利支出增加等。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rPr>
        <w:drawing>
          <wp:anchor distT="0" distB="0" distL="114300" distR="114300" simplePos="0" relativeHeight="251664384" behindDoc="0" locked="0" layoutInCell="1" allowOverlap="1">
            <wp:simplePos x="0" y="0"/>
            <wp:positionH relativeFrom="column">
              <wp:posOffset>-13970</wp:posOffset>
            </wp:positionH>
            <wp:positionV relativeFrom="paragraph">
              <wp:posOffset>71120</wp:posOffset>
            </wp:positionV>
            <wp:extent cx="5293995" cy="2188210"/>
            <wp:effectExtent l="4445" t="4445" r="16510" b="1714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sz w:val="32"/>
          <w:szCs w:val="32"/>
        </w:rPr>
        <w:t>图5：一般公共预算财政拨款支出决算变动情况</w:t>
      </w:r>
    </w:p>
    <w:p>
      <w:pPr>
        <w:spacing w:line="600" w:lineRule="exact"/>
        <w:ind w:firstLine="640" w:firstLineChars="200"/>
        <w:rPr>
          <w:rFonts w:ascii="仿宋" w:hAnsi="仿宋" w:eastAsia="仿宋"/>
          <w:sz w:val="32"/>
          <w:szCs w:val="32"/>
        </w:rPr>
      </w:pPr>
    </w:p>
    <w:p>
      <w:pPr>
        <w:spacing w:line="600" w:lineRule="exact"/>
        <w:ind w:firstLine="640" w:firstLineChars="200"/>
        <w:outlineLvl w:val="2"/>
        <w:rPr>
          <w:rFonts w:ascii="仿宋" w:hAnsi="仿宋" w:eastAsia="仿宋"/>
          <w:b/>
          <w:sz w:val="32"/>
          <w:szCs w:val="32"/>
        </w:rPr>
      </w:pPr>
      <w:bookmarkStart w:id="49" w:name="_Toc21139"/>
      <w:bookmarkStart w:id="50" w:name="_Toc15377211"/>
      <w:r>
        <w:rPr>
          <w:rFonts w:hint="eastAsia" w:ascii="仿宋" w:hAnsi="仿宋" w:eastAsia="仿宋"/>
          <w:b/>
          <w:sz w:val="32"/>
          <w:szCs w:val="32"/>
        </w:rPr>
        <w:t>（二）一般公共预算财政拨款支出决算结构情况</w:t>
      </w:r>
      <w:bookmarkEnd w:id="49"/>
      <w:bookmarkEnd w:id="50"/>
    </w:p>
    <w:p>
      <w:pPr>
        <w:spacing w:line="600" w:lineRule="exact"/>
        <w:ind w:firstLine="640"/>
        <w:rPr>
          <w:rFonts w:ascii="仿宋" w:hAnsi="仿宋" w:eastAsia="仿宋"/>
          <w:b/>
          <w:sz w:val="32"/>
          <w:szCs w:val="32"/>
        </w:rPr>
      </w:pPr>
      <w:r>
        <w:rPr>
          <w:rFonts w:ascii="仿宋" w:hAnsi="仿宋" w:eastAsia="仿宋"/>
          <w:sz w:val="32"/>
          <w:szCs w:val="32"/>
        </w:rPr>
        <w:t>20</w:t>
      </w:r>
      <w:r>
        <w:rPr>
          <w:rFonts w:hint="eastAsia" w:ascii="仿宋" w:hAnsi="仿宋" w:eastAsia="仿宋"/>
          <w:sz w:val="32"/>
          <w:szCs w:val="32"/>
        </w:rPr>
        <w:t>22年一般公共预算财政拨款支出3480.61万元，主要用于以下方面</w:t>
      </w:r>
      <w:r>
        <w:rPr>
          <w:rFonts w:hint="eastAsia" w:ascii="仿宋" w:hAnsi="仿宋" w:eastAsia="仿宋"/>
          <w:sz w:val="32"/>
          <w:szCs w:val="32"/>
          <w:lang w:eastAsia="zh-CN"/>
        </w:rPr>
        <w:t>：</w:t>
      </w:r>
      <w:r>
        <w:rPr>
          <w:rFonts w:hint="eastAsia" w:ascii="仿宋" w:hAnsi="仿宋" w:eastAsia="仿宋"/>
          <w:b/>
          <w:sz w:val="32"/>
          <w:szCs w:val="32"/>
        </w:rPr>
        <w:t>教育支出</w:t>
      </w:r>
      <w:r>
        <w:rPr>
          <w:rFonts w:hint="eastAsia" w:ascii="仿宋" w:hAnsi="仿宋" w:eastAsia="仿宋"/>
          <w:sz w:val="32"/>
          <w:szCs w:val="32"/>
        </w:rPr>
        <w:t>2994.40万元，占86.03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rPr>
        <w:t>209.70万元，占6.02</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rPr>
        <w:t>87.96万元，占2.53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rPr>
        <w:t>188.54万元，占5.42</w:t>
      </w:r>
      <w:r>
        <w:rPr>
          <w:rFonts w:ascii="仿宋" w:hAnsi="仿宋" w:eastAsia="仿宋"/>
          <w:sz w:val="32"/>
          <w:szCs w:val="32"/>
        </w:rPr>
        <w:t>%</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rPr>
        <w:drawing>
          <wp:anchor distT="0" distB="0" distL="114300" distR="114300" simplePos="0" relativeHeight="251665408" behindDoc="0" locked="0" layoutInCell="1" allowOverlap="1">
            <wp:simplePos x="0" y="0"/>
            <wp:positionH relativeFrom="column">
              <wp:posOffset>-13970</wp:posOffset>
            </wp:positionH>
            <wp:positionV relativeFrom="paragraph">
              <wp:posOffset>90805</wp:posOffset>
            </wp:positionV>
            <wp:extent cx="5313680" cy="1951990"/>
            <wp:effectExtent l="5080" t="4445" r="15240" b="5715"/>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sz w:val="32"/>
          <w:szCs w:val="32"/>
        </w:rPr>
        <w:t>图6：一般公共预算财政拨款支出决算结构</w:t>
      </w:r>
    </w:p>
    <w:p>
      <w:pPr>
        <w:spacing w:line="600" w:lineRule="exact"/>
        <w:ind w:firstLine="640" w:firstLineChars="200"/>
        <w:rPr>
          <w:rFonts w:ascii="仿宋" w:hAnsi="仿宋" w:eastAsia="仿宋"/>
          <w:sz w:val="32"/>
          <w:szCs w:val="32"/>
        </w:rPr>
      </w:pPr>
    </w:p>
    <w:p>
      <w:pPr>
        <w:spacing w:line="600" w:lineRule="exact"/>
        <w:ind w:firstLine="640" w:firstLineChars="200"/>
        <w:outlineLvl w:val="2"/>
        <w:rPr>
          <w:rFonts w:ascii="仿宋" w:hAnsi="仿宋" w:eastAsia="仿宋"/>
          <w:b/>
          <w:sz w:val="32"/>
          <w:szCs w:val="32"/>
        </w:rPr>
      </w:pPr>
      <w:bookmarkStart w:id="51" w:name="_Toc16498"/>
      <w:bookmarkStart w:id="52" w:name="_Toc15377212"/>
      <w:r>
        <w:rPr>
          <w:rFonts w:hint="eastAsia" w:ascii="仿宋" w:hAnsi="仿宋" w:eastAsia="仿宋"/>
          <w:b/>
          <w:sz w:val="32"/>
          <w:szCs w:val="32"/>
        </w:rPr>
        <w:t>（三）一般公共预算财政拨款支出决算具体情况</w:t>
      </w:r>
      <w:bookmarkEnd w:id="51"/>
      <w:bookmarkEnd w:id="52"/>
    </w:p>
    <w:p>
      <w:pPr>
        <w:spacing w:line="600" w:lineRule="exact"/>
        <w:ind w:firstLine="640" w:firstLineChars="200"/>
        <w:outlineLvl w:val="2"/>
        <w:rPr>
          <w:rFonts w:ascii="仿宋" w:hAnsi="仿宋" w:eastAsia="仿宋"/>
          <w:sz w:val="32"/>
          <w:szCs w:val="32"/>
        </w:rPr>
      </w:pPr>
      <w:bookmarkStart w:id="53" w:name="_Toc15378460"/>
      <w:bookmarkStart w:id="54" w:name="_Toc15377444"/>
      <w:bookmarkStart w:id="55" w:name="_Toc15377213"/>
      <w:bookmarkStart w:id="56" w:name="_Toc11171"/>
      <w:bookmarkStart w:id="57" w:name="_Toc12592"/>
      <w:bookmarkStart w:id="58" w:name="_Toc23118"/>
      <w:r>
        <w:rPr>
          <w:rFonts w:hint="eastAsia" w:ascii="仿宋" w:hAnsi="仿宋" w:eastAsia="仿宋"/>
          <w:b/>
          <w:sz w:val="32"/>
          <w:szCs w:val="32"/>
        </w:rPr>
        <w:t>2022年一般公共预算支出决算数为3480.61</w:t>
      </w:r>
      <w:r>
        <w:rPr>
          <w:rFonts w:hint="eastAsia" w:ascii="仿宋" w:hAnsi="仿宋" w:eastAsia="仿宋"/>
          <w:sz w:val="32"/>
          <w:szCs w:val="32"/>
        </w:rPr>
        <w:t>，</w:t>
      </w:r>
      <w:r>
        <w:rPr>
          <w:rStyle w:val="15"/>
          <w:rFonts w:hint="eastAsia" w:ascii="仿宋" w:hAnsi="仿宋" w:eastAsia="仿宋"/>
          <w:bCs/>
          <w:sz w:val="32"/>
          <w:szCs w:val="32"/>
        </w:rPr>
        <w:t>完成预算100</w:t>
      </w:r>
      <w:r>
        <w:rPr>
          <w:rStyle w:val="15"/>
          <w:rFonts w:ascii="仿宋" w:hAnsi="仿宋" w:eastAsia="仿宋"/>
          <w:bCs/>
          <w:sz w:val="32"/>
          <w:szCs w:val="32"/>
        </w:rPr>
        <w:t>%</w:t>
      </w:r>
      <w:r>
        <w:rPr>
          <w:rStyle w:val="15"/>
          <w:rFonts w:hint="eastAsia" w:ascii="仿宋" w:hAnsi="仿宋" w:eastAsia="仿宋"/>
          <w:bCs/>
          <w:sz w:val="32"/>
          <w:szCs w:val="32"/>
        </w:rPr>
        <w:t>。其中：</w:t>
      </w:r>
      <w:bookmarkEnd w:id="53"/>
      <w:bookmarkEnd w:id="54"/>
      <w:bookmarkEnd w:id="55"/>
      <w:bookmarkEnd w:id="56"/>
      <w:bookmarkEnd w:id="57"/>
      <w:bookmarkEnd w:id="58"/>
    </w:p>
    <w:p>
      <w:pPr>
        <w:spacing w:line="600" w:lineRule="exact"/>
        <w:ind w:firstLine="640" w:firstLineChars="200"/>
        <w:rPr>
          <w:rFonts w:ascii="仿宋" w:hAnsi="仿宋" w:eastAsia="仿宋"/>
          <w:b/>
          <w:sz w:val="32"/>
          <w:szCs w:val="32"/>
        </w:rPr>
      </w:pPr>
      <w:r>
        <w:rPr>
          <w:rStyle w:val="15"/>
          <w:rFonts w:hint="eastAsia" w:ascii="仿宋" w:hAnsi="仿宋" w:eastAsia="仿宋"/>
          <w:bCs/>
          <w:sz w:val="32"/>
          <w:szCs w:val="32"/>
        </w:rPr>
        <w:t>1</w:t>
      </w:r>
      <w:r>
        <w:rPr>
          <w:rStyle w:val="15"/>
          <w:rFonts w:ascii="仿宋" w:hAnsi="仿宋" w:eastAsia="仿宋"/>
          <w:bCs/>
          <w:sz w:val="32"/>
          <w:szCs w:val="32"/>
        </w:rPr>
        <w:t>.</w:t>
      </w:r>
      <w:r>
        <w:rPr>
          <w:rStyle w:val="15"/>
          <w:rFonts w:hint="eastAsia" w:ascii="仿宋" w:hAnsi="仿宋" w:eastAsia="仿宋"/>
          <w:bCs/>
          <w:sz w:val="32"/>
          <w:szCs w:val="32"/>
        </w:rPr>
        <w:t>教育（类）普通教育（款）初中教育（项）</w:t>
      </w:r>
      <w:r>
        <w:rPr>
          <w:rStyle w:val="15"/>
          <w:rFonts w:hint="eastAsia" w:ascii="仿宋" w:hAnsi="仿宋" w:eastAsia="仿宋"/>
          <w:bCs/>
          <w:sz w:val="32"/>
          <w:szCs w:val="32"/>
          <w:lang w:eastAsia="zh-CN"/>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支出决算为2990.60万元，完成预算100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，决算数等于预算数。</w:t>
      </w:r>
    </w:p>
    <w:p>
      <w:pPr>
        <w:spacing w:line="600" w:lineRule="exact"/>
        <w:ind w:firstLine="640" w:firstLineChars="200"/>
        <w:rPr>
          <w:rStyle w:val="15"/>
          <w:rFonts w:ascii="仿宋" w:hAnsi="仿宋" w:eastAsia="仿宋"/>
          <w:bCs/>
          <w:sz w:val="32"/>
          <w:szCs w:val="32"/>
        </w:rPr>
      </w:pPr>
      <w:r>
        <w:rPr>
          <w:rStyle w:val="15"/>
          <w:rFonts w:hint="eastAsia" w:ascii="仿宋" w:hAnsi="仿宋" w:eastAsia="仿宋"/>
          <w:bCs/>
          <w:sz w:val="32"/>
          <w:szCs w:val="32"/>
        </w:rPr>
        <w:t>2</w:t>
      </w:r>
      <w:r>
        <w:rPr>
          <w:rStyle w:val="15"/>
          <w:rFonts w:ascii="仿宋" w:hAnsi="仿宋" w:eastAsia="仿宋"/>
          <w:bCs/>
          <w:sz w:val="32"/>
          <w:szCs w:val="32"/>
        </w:rPr>
        <w:t>.</w:t>
      </w:r>
      <w:r>
        <w:rPr>
          <w:rStyle w:val="15"/>
          <w:rFonts w:hint="eastAsia" w:ascii="仿宋" w:hAnsi="仿宋" w:eastAsia="仿宋"/>
          <w:bCs/>
          <w:sz w:val="32"/>
          <w:szCs w:val="32"/>
        </w:rPr>
        <w:t>教育（类）普通教育（款）其他普通教育支出（项）</w:t>
      </w:r>
      <w:r>
        <w:rPr>
          <w:rStyle w:val="15"/>
          <w:rFonts w:hint="eastAsia" w:ascii="仿宋" w:hAnsi="仿宋" w:eastAsia="仿宋"/>
          <w:bCs/>
          <w:sz w:val="32"/>
          <w:szCs w:val="32"/>
          <w:lang w:eastAsia="zh-CN"/>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支出决算为3.80万元，完成预算100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，决算数等于预算数。</w:t>
      </w:r>
    </w:p>
    <w:p>
      <w:pPr>
        <w:spacing w:line="600" w:lineRule="exact"/>
        <w:ind w:firstLine="640" w:firstLineChars="200"/>
        <w:rPr>
          <w:rStyle w:val="15"/>
          <w:rFonts w:ascii="仿宋" w:hAnsi="仿宋" w:eastAsia="仿宋"/>
          <w:b w:val="0"/>
          <w:bCs/>
          <w:sz w:val="32"/>
          <w:szCs w:val="32"/>
        </w:rPr>
      </w:pPr>
      <w:r>
        <w:rPr>
          <w:rStyle w:val="15"/>
          <w:rFonts w:hint="eastAsia" w:ascii="仿宋" w:hAnsi="仿宋" w:eastAsia="仿宋"/>
          <w:bCs/>
          <w:sz w:val="32"/>
          <w:szCs w:val="32"/>
        </w:rPr>
        <w:t>3</w:t>
      </w:r>
      <w:r>
        <w:rPr>
          <w:rStyle w:val="15"/>
          <w:rFonts w:ascii="仿宋" w:hAnsi="仿宋" w:eastAsia="仿宋"/>
          <w:bCs/>
          <w:sz w:val="32"/>
          <w:szCs w:val="32"/>
        </w:rPr>
        <w:t>.</w:t>
      </w:r>
      <w:r>
        <w:rPr>
          <w:rStyle w:val="15"/>
          <w:rFonts w:hint="eastAsia" w:ascii="仿宋" w:hAnsi="仿宋" w:eastAsia="仿宋"/>
          <w:bCs/>
          <w:sz w:val="32"/>
          <w:szCs w:val="32"/>
        </w:rPr>
        <w:t>社会保障和就业（类）行政事业单位养老支出（款）行政单位离退休（项）</w:t>
      </w:r>
      <w:r>
        <w:rPr>
          <w:rStyle w:val="15"/>
          <w:rFonts w:hint="eastAsia" w:ascii="仿宋" w:hAnsi="仿宋" w:eastAsia="仿宋"/>
          <w:bCs/>
          <w:sz w:val="32"/>
          <w:szCs w:val="32"/>
          <w:lang w:eastAsia="zh-CN"/>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支出决算为1.17万元，完成预算100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，决算数等于预算数。</w:t>
      </w:r>
    </w:p>
    <w:p>
      <w:pPr>
        <w:spacing w:line="600" w:lineRule="exact"/>
        <w:ind w:firstLine="640" w:firstLineChars="200"/>
        <w:rPr>
          <w:rStyle w:val="15"/>
          <w:rFonts w:ascii="仿宋" w:hAnsi="仿宋" w:eastAsia="仿宋"/>
          <w:b w:val="0"/>
          <w:bCs/>
          <w:sz w:val="32"/>
          <w:szCs w:val="32"/>
        </w:rPr>
      </w:pPr>
      <w:r>
        <w:rPr>
          <w:rStyle w:val="15"/>
          <w:rFonts w:hint="eastAsia" w:ascii="仿宋" w:hAnsi="仿宋" w:eastAsia="仿宋"/>
          <w:bCs/>
          <w:sz w:val="32"/>
          <w:szCs w:val="32"/>
        </w:rPr>
        <w:t>4</w:t>
      </w:r>
      <w:r>
        <w:rPr>
          <w:rStyle w:val="15"/>
          <w:rFonts w:ascii="仿宋" w:hAnsi="仿宋" w:eastAsia="仿宋"/>
          <w:bCs/>
          <w:sz w:val="32"/>
          <w:szCs w:val="32"/>
        </w:rPr>
        <w:t>.</w:t>
      </w:r>
      <w:r>
        <w:rPr>
          <w:rStyle w:val="15"/>
          <w:rFonts w:hint="eastAsia" w:ascii="仿宋" w:hAnsi="仿宋" w:eastAsia="仿宋"/>
          <w:bCs/>
          <w:sz w:val="32"/>
          <w:szCs w:val="32"/>
        </w:rPr>
        <w:t>社会保障和就业（类）行政事业单位养老支出（款）机关事业单位基本养老保险缴费支出（项）</w:t>
      </w:r>
      <w:r>
        <w:rPr>
          <w:rStyle w:val="15"/>
          <w:rFonts w:hint="eastAsia" w:ascii="仿宋" w:hAnsi="仿宋" w:eastAsia="仿宋"/>
          <w:bCs/>
          <w:sz w:val="32"/>
          <w:szCs w:val="32"/>
          <w:lang w:eastAsia="zh-CN"/>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支出决算为175.92万元，完成预算100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，决算数等于预算数。</w:t>
      </w:r>
    </w:p>
    <w:p>
      <w:pPr>
        <w:spacing w:line="600" w:lineRule="exact"/>
        <w:ind w:firstLine="640" w:firstLineChars="200"/>
        <w:rPr>
          <w:rStyle w:val="15"/>
          <w:rFonts w:ascii="仿宋" w:hAnsi="仿宋" w:eastAsia="仿宋"/>
          <w:b w:val="0"/>
          <w:bCs/>
          <w:sz w:val="32"/>
          <w:szCs w:val="32"/>
        </w:rPr>
      </w:pPr>
      <w:r>
        <w:rPr>
          <w:rStyle w:val="15"/>
          <w:rFonts w:hint="eastAsia" w:ascii="仿宋" w:hAnsi="仿宋" w:eastAsia="仿宋"/>
          <w:bCs/>
          <w:sz w:val="32"/>
          <w:szCs w:val="32"/>
        </w:rPr>
        <w:t>5</w:t>
      </w:r>
      <w:r>
        <w:rPr>
          <w:rStyle w:val="15"/>
          <w:rFonts w:ascii="仿宋" w:hAnsi="仿宋" w:eastAsia="仿宋"/>
          <w:bCs/>
          <w:sz w:val="32"/>
          <w:szCs w:val="32"/>
        </w:rPr>
        <w:t>.</w:t>
      </w:r>
      <w:r>
        <w:rPr>
          <w:rStyle w:val="15"/>
          <w:rFonts w:hint="eastAsia" w:ascii="仿宋" w:hAnsi="仿宋" w:eastAsia="仿宋"/>
          <w:bCs/>
          <w:sz w:val="32"/>
          <w:szCs w:val="32"/>
        </w:rPr>
        <w:t>社会保障和就业（类）行政事业单位养老支出（款）机关事业单位职业年金缴费支出（项）</w:t>
      </w:r>
      <w:r>
        <w:rPr>
          <w:rStyle w:val="15"/>
          <w:rFonts w:hint="eastAsia" w:ascii="仿宋" w:hAnsi="仿宋" w:eastAsia="仿宋"/>
          <w:bCs/>
          <w:sz w:val="32"/>
          <w:szCs w:val="32"/>
          <w:lang w:eastAsia="zh-CN"/>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支出决算为21.67万元，完成预算100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，决算数等于预算数。</w:t>
      </w:r>
    </w:p>
    <w:p>
      <w:pPr>
        <w:spacing w:line="600" w:lineRule="exact"/>
        <w:ind w:firstLine="640" w:firstLineChars="200"/>
      </w:pPr>
      <w:r>
        <w:rPr>
          <w:rStyle w:val="15"/>
          <w:rFonts w:hint="eastAsia" w:ascii="仿宋" w:hAnsi="仿宋" w:eastAsia="仿宋"/>
          <w:bCs/>
          <w:sz w:val="32"/>
          <w:szCs w:val="32"/>
        </w:rPr>
        <w:t>6</w:t>
      </w:r>
      <w:r>
        <w:rPr>
          <w:rStyle w:val="15"/>
          <w:rFonts w:ascii="仿宋" w:hAnsi="仿宋" w:eastAsia="仿宋"/>
          <w:bCs/>
          <w:sz w:val="32"/>
          <w:szCs w:val="32"/>
        </w:rPr>
        <w:t>.</w:t>
      </w:r>
      <w:r>
        <w:rPr>
          <w:rStyle w:val="15"/>
          <w:rFonts w:hint="eastAsia" w:ascii="仿宋" w:hAnsi="仿宋" w:eastAsia="仿宋"/>
          <w:bCs/>
          <w:sz w:val="32"/>
          <w:szCs w:val="32"/>
        </w:rPr>
        <w:t>社会保障和就业（类）其他社会保障和就业支出（款）其他社会保障和就业支出（项）</w:t>
      </w:r>
      <w:r>
        <w:rPr>
          <w:rStyle w:val="15"/>
          <w:rFonts w:hint="eastAsia" w:ascii="仿宋" w:hAnsi="仿宋" w:eastAsia="仿宋"/>
          <w:bCs/>
          <w:sz w:val="32"/>
          <w:szCs w:val="32"/>
          <w:lang w:eastAsia="zh-CN"/>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支出决算为10.93万元，完成预算100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，决算数等于预算数。</w:t>
      </w:r>
    </w:p>
    <w:p>
      <w:pPr>
        <w:spacing w:line="600" w:lineRule="exact"/>
        <w:ind w:firstLine="640" w:firstLineChars="200"/>
        <w:rPr>
          <w:rFonts w:ascii="仿宋" w:hAnsi="仿宋" w:eastAsia="仿宋"/>
          <w:b/>
          <w:sz w:val="32"/>
          <w:szCs w:val="32"/>
        </w:rPr>
      </w:pPr>
      <w:r>
        <w:rPr>
          <w:rStyle w:val="15"/>
          <w:rFonts w:hint="eastAsia" w:ascii="仿宋" w:hAnsi="仿宋" w:eastAsia="仿宋"/>
          <w:bCs/>
          <w:sz w:val="32"/>
          <w:szCs w:val="32"/>
        </w:rPr>
        <w:t>7</w:t>
      </w:r>
      <w:r>
        <w:rPr>
          <w:rStyle w:val="15"/>
          <w:rFonts w:ascii="仿宋" w:hAnsi="仿宋" w:eastAsia="仿宋"/>
          <w:bCs/>
          <w:sz w:val="32"/>
          <w:szCs w:val="32"/>
        </w:rPr>
        <w:t>.</w:t>
      </w:r>
      <w:r>
        <w:rPr>
          <w:rFonts w:hint="eastAsia" w:ascii="仿宋" w:hAnsi="仿宋" w:eastAsia="仿宋"/>
          <w:b/>
          <w:bCs/>
          <w:sz w:val="32"/>
          <w:szCs w:val="32"/>
        </w:rPr>
        <w:t>卫生健康</w:t>
      </w:r>
      <w:r>
        <w:rPr>
          <w:rStyle w:val="15"/>
          <w:rFonts w:hint="eastAsia" w:ascii="仿宋" w:hAnsi="仿宋" w:eastAsia="仿宋"/>
          <w:bCs/>
          <w:sz w:val="32"/>
          <w:szCs w:val="32"/>
        </w:rPr>
        <w:t>（类）行政事业单位医疗（款）行政单位医疗（项）</w:t>
      </w:r>
      <w:r>
        <w:rPr>
          <w:rStyle w:val="15"/>
          <w:rFonts w:hint="eastAsia" w:ascii="仿宋" w:hAnsi="仿宋" w:eastAsia="仿宋"/>
          <w:bCs/>
          <w:sz w:val="32"/>
          <w:szCs w:val="32"/>
          <w:lang w:eastAsia="zh-CN"/>
        </w:rPr>
        <w:t>：</w:t>
      </w:r>
      <w:r>
        <w:rPr>
          <w:rStyle w:val="15"/>
          <w:rFonts w:hint="eastAsia" w:ascii="仿宋" w:hAnsi="仿宋" w:eastAsia="仿宋"/>
          <w:b w:val="0"/>
          <w:bCs/>
          <w:sz w:val="32"/>
          <w:szCs w:val="32"/>
        </w:rPr>
        <w:t>支出决算为87.96万元，完成预算100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，决算数等于预算数。</w:t>
      </w:r>
    </w:p>
    <w:p>
      <w:pPr>
        <w:spacing w:line="600" w:lineRule="exact"/>
        <w:ind w:firstLine="640" w:firstLineChars="200"/>
        <w:rPr>
          <w:rFonts w:ascii="仿宋" w:hAnsi="仿宋" w:eastAsia="仿宋"/>
          <w:b/>
          <w:sz w:val="32"/>
          <w:szCs w:val="32"/>
        </w:rPr>
      </w:pPr>
      <w:r>
        <w:rPr>
          <w:rStyle w:val="15"/>
          <w:rFonts w:hint="eastAsia" w:ascii="仿宋" w:hAnsi="仿宋" w:eastAsia="仿宋"/>
          <w:bCs/>
          <w:sz w:val="32"/>
          <w:szCs w:val="32"/>
        </w:rPr>
        <w:t>8</w:t>
      </w:r>
      <w:r>
        <w:rPr>
          <w:rStyle w:val="15"/>
          <w:rFonts w:ascii="仿宋" w:hAnsi="仿宋" w:eastAsia="仿宋"/>
          <w:bCs/>
          <w:sz w:val="32"/>
          <w:szCs w:val="32"/>
        </w:rPr>
        <w:t>.</w:t>
      </w:r>
      <w:r>
        <w:rPr>
          <w:rFonts w:hint="eastAsia" w:ascii="仿宋" w:hAnsi="仿宋" w:eastAsia="仿宋"/>
          <w:b/>
          <w:bCs/>
          <w:sz w:val="32"/>
          <w:szCs w:val="32"/>
        </w:rPr>
        <w:t>住房保障</w:t>
      </w:r>
      <w:r>
        <w:rPr>
          <w:rStyle w:val="15"/>
          <w:rFonts w:hint="eastAsia" w:ascii="仿宋" w:hAnsi="仿宋" w:eastAsia="仿宋"/>
          <w:bCs/>
          <w:sz w:val="32"/>
          <w:szCs w:val="32"/>
        </w:rPr>
        <w:t>（类）住房改革支出（款）住房公积金（项）</w:t>
      </w:r>
      <w:r>
        <w:rPr>
          <w:rStyle w:val="15"/>
          <w:rFonts w:hint="eastAsia" w:ascii="仿宋" w:hAnsi="仿宋" w:eastAsia="仿宋"/>
          <w:bCs/>
          <w:sz w:val="32"/>
          <w:szCs w:val="32"/>
          <w:lang w:eastAsia="zh-CN"/>
        </w:rPr>
        <w:t>：</w:t>
      </w:r>
      <w:r>
        <w:rPr>
          <w:rStyle w:val="15"/>
          <w:rFonts w:hint="eastAsia" w:ascii="仿宋" w:hAnsi="仿宋" w:eastAsia="仿宋"/>
          <w:b w:val="0"/>
          <w:bCs/>
          <w:sz w:val="32"/>
          <w:szCs w:val="32"/>
        </w:rPr>
        <w:t>支出决算为188.54万元，完成预算100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，决算数等于预算数。</w:t>
      </w:r>
    </w:p>
    <w:p>
      <w:pPr>
        <w:tabs>
          <w:tab w:val="right" w:pos="8306"/>
        </w:tabs>
        <w:spacing w:line="600" w:lineRule="exact"/>
        <w:ind w:firstLine="640"/>
        <w:outlineLvl w:val="1"/>
        <w:rPr>
          <w:rStyle w:val="26"/>
        </w:rPr>
      </w:pPr>
      <w:bookmarkStart w:id="59" w:name="_Toc15377214"/>
      <w:bookmarkStart w:id="60" w:name="_Toc15396608"/>
      <w:bookmarkStart w:id="61" w:name="_Toc1433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6"/>
          <w:rFonts w:hint="eastAsia" w:ascii="黑体" w:hAnsi="黑体" w:eastAsia="黑体"/>
          <w:b w:val="0"/>
        </w:rPr>
        <w:t>般公共预算财政拨款基本支出决算情况说明</w:t>
      </w:r>
      <w:bookmarkEnd w:id="59"/>
      <w:bookmarkEnd w:id="60"/>
      <w:bookmarkEnd w:id="61"/>
      <w:r>
        <w:rPr>
          <w:rStyle w:val="26"/>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22年一般公共预算财政拨款基本支出3056.34万元，其中：</w:t>
      </w:r>
    </w:p>
    <w:p>
      <w:pPr>
        <w:spacing w:line="600" w:lineRule="exact"/>
        <w:ind w:firstLine="645"/>
        <w:rPr>
          <w:rFonts w:hint="eastAsia" w:ascii="仿宋" w:hAnsi="仿宋" w:eastAsia="仿宋"/>
          <w:sz w:val="32"/>
          <w:szCs w:val="32"/>
          <w:lang w:eastAsia="zh-CN"/>
        </w:rPr>
      </w:pPr>
      <w:r>
        <w:rPr>
          <w:rFonts w:hint="eastAsia" w:ascii="仿宋" w:hAnsi="仿宋" w:eastAsia="仿宋"/>
          <w:sz w:val="32"/>
          <w:szCs w:val="32"/>
        </w:rPr>
        <w:t>人员经费2773.59万元，主要包括：基本工资、津贴补贴、奖金、绩效工资、机关事业单位基本养老保险缴费、职业年金缴费、</w:t>
      </w:r>
      <w:r>
        <w:rPr>
          <w:rFonts w:hint="eastAsia" w:ascii="仿宋" w:hAnsi="仿宋" w:eastAsia="仿宋"/>
          <w:sz w:val="32"/>
          <w:szCs w:val="32"/>
          <w:lang w:eastAsia="zh-CN"/>
        </w:rPr>
        <w:t>职工基本医疗保险缴费、</w:t>
      </w:r>
      <w:r>
        <w:rPr>
          <w:rFonts w:hint="eastAsia" w:ascii="仿宋" w:hAnsi="仿宋" w:eastAsia="仿宋"/>
          <w:sz w:val="32"/>
          <w:szCs w:val="32"/>
        </w:rPr>
        <w:t>其他社会保障缴费、住房公积金、其他工资福利支出、生活补助、其他对个人和家庭的补助支出。</w:t>
      </w:r>
    </w:p>
    <w:p>
      <w:pPr>
        <w:spacing w:line="600" w:lineRule="exact"/>
        <w:ind w:firstLine="645"/>
        <w:rPr>
          <w:rFonts w:ascii="仿宋" w:hAnsi="仿宋" w:eastAsia="仿宋"/>
          <w:sz w:val="32"/>
          <w:szCs w:val="32"/>
        </w:rPr>
      </w:pPr>
      <w:r>
        <w:rPr>
          <w:rFonts w:hint="eastAsia" w:ascii="仿宋" w:hAnsi="仿宋" w:eastAsia="仿宋"/>
          <w:sz w:val="32"/>
          <w:szCs w:val="32"/>
        </w:rPr>
        <w:t>　公用经费282.74万元，主要包括：办公费、印刷费、咨询费、水费、电费、邮电费、物业管理费、差旅费、维修（护）费、培训费、公务接待费、专用材料费</w:t>
      </w:r>
      <w:r>
        <w:rPr>
          <w:rFonts w:hint="eastAsia" w:ascii="仿宋" w:hAnsi="仿宋" w:eastAsia="仿宋"/>
          <w:sz w:val="32"/>
          <w:szCs w:val="32"/>
          <w:lang w:eastAsia="zh-CN"/>
        </w:rPr>
        <w:t>、</w:t>
      </w:r>
      <w:r>
        <w:rPr>
          <w:rFonts w:hint="eastAsia" w:ascii="仿宋" w:hAnsi="仿宋" w:eastAsia="仿宋"/>
          <w:sz w:val="32"/>
          <w:szCs w:val="32"/>
        </w:rPr>
        <w:t>劳务费、工会经费、福利费、其他交通费</w:t>
      </w:r>
      <w:r>
        <w:rPr>
          <w:rFonts w:hint="eastAsia" w:ascii="仿宋" w:hAnsi="仿宋" w:eastAsia="仿宋"/>
          <w:sz w:val="32"/>
          <w:szCs w:val="32"/>
          <w:lang w:val="en-US" w:eastAsia="zh-CN"/>
        </w:rPr>
        <w:t>用</w:t>
      </w:r>
      <w:r>
        <w:rPr>
          <w:rFonts w:hint="eastAsia" w:ascii="仿宋" w:hAnsi="仿宋" w:eastAsia="仿宋"/>
          <w:sz w:val="32"/>
          <w:szCs w:val="32"/>
        </w:rPr>
        <w:t>、其他商品和服务支出。</w:t>
      </w:r>
    </w:p>
    <w:p>
      <w:pPr>
        <w:spacing w:line="600" w:lineRule="exact"/>
        <w:ind w:firstLine="640"/>
        <w:outlineLvl w:val="1"/>
        <w:rPr>
          <w:rStyle w:val="26"/>
          <w:rFonts w:ascii="黑体" w:hAnsi="黑体" w:eastAsia="黑体"/>
          <w:b w:val="0"/>
        </w:rPr>
      </w:pPr>
      <w:bookmarkStart w:id="62" w:name="_Toc15396609"/>
      <w:bookmarkStart w:id="63" w:name="_Toc15377215"/>
      <w:bookmarkStart w:id="64" w:name="_Toc23573"/>
      <w:r>
        <w:rPr>
          <w:rFonts w:hint="eastAsia" w:ascii="黑体" w:eastAsia="黑体"/>
          <w:sz w:val="32"/>
          <w:szCs w:val="32"/>
        </w:rPr>
        <w:t>七、</w:t>
      </w:r>
      <w:r>
        <w:rPr>
          <w:rStyle w:val="26"/>
          <w:rFonts w:hint="eastAsia" w:ascii="黑体" w:hAnsi="黑体" w:eastAsia="黑体"/>
          <w:b w:val="0"/>
        </w:rPr>
        <w:t>财政拨款</w:t>
      </w:r>
      <w:r>
        <w:rPr>
          <w:rStyle w:val="26"/>
          <w:rFonts w:hint="eastAsia" w:ascii="黑体" w:hAnsi="黑体" w:eastAsia="黑体"/>
        </w:rPr>
        <w:t>“</w:t>
      </w:r>
      <w:r>
        <w:rPr>
          <w:rStyle w:val="26"/>
          <w:rFonts w:hint="eastAsia" w:ascii="黑体" w:hAnsi="黑体" w:eastAsia="黑体"/>
          <w:b w:val="0"/>
        </w:rPr>
        <w:t>三公”经费支出决算情况说明</w:t>
      </w:r>
      <w:bookmarkEnd w:id="62"/>
      <w:bookmarkEnd w:id="63"/>
      <w:bookmarkEnd w:id="64"/>
    </w:p>
    <w:p>
      <w:pPr>
        <w:spacing w:line="600" w:lineRule="exact"/>
        <w:ind w:firstLine="640"/>
        <w:outlineLvl w:val="2"/>
        <w:rPr>
          <w:rFonts w:ascii="仿宋" w:hAnsi="仿宋" w:eastAsia="仿宋"/>
          <w:b/>
          <w:sz w:val="32"/>
          <w:szCs w:val="32"/>
        </w:rPr>
      </w:pPr>
      <w:bookmarkStart w:id="65" w:name="_Toc15244"/>
      <w:bookmarkStart w:id="66" w:name="_Toc15377216"/>
      <w:r>
        <w:rPr>
          <w:rFonts w:hint="eastAsia" w:ascii="仿宋" w:hAnsi="仿宋" w:eastAsia="仿宋"/>
          <w:b/>
          <w:sz w:val="32"/>
          <w:szCs w:val="32"/>
        </w:rPr>
        <w:t>（一）“三公”经费财政拨款支出决算总体情况说明</w:t>
      </w:r>
      <w:bookmarkEnd w:id="65"/>
      <w:bookmarkEnd w:id="66"/>
    </w:p>
    <w:p>
      <w:pPr>
        <w:spacing w:line="600" w:lineRule="exact"/>
        <w:ind w:firstLine="640"/>
        <w:rPr>
          <w:rFonts w:ascii="仿宋" w:hAnsi="仿宋" w:eastAsia="仿宋"/>
          <w:color w:val="auto"/>
          <w:sz w:val="32"/>
          <w:szCs w:val="32"/>
        </w:rPr>
      </w:pPr>
      <w:r>
        <w:rPr>
          <w:rFonts w:ascii="仿宋" w:hAnsi="仿宋" w:eastAsia="仿宋"/>
          <w:sz w:val="32"/>
          <w:szCs w:val="32"/>
        </w:rPr>
        <w:t>20</w:t>
      </w:r>
      <w:r>
        <w:rPr>
          <w:rFonts w:hint="eastAsia" w:ascii="仿宋" w:hAnsi="仿宋" w:eastAsia="仿宋"/>
          <w:sz w:val="32"/>
          <w:szCs w:val="32"/>
        </w:rPr>
        <w:t>22年“三公”经费财政拨款支出决算为</w:t>
      </w:r>
      <w:r>
        <w:rPr>
          <w:rFonts w:hint="eastAsia" w:ascii="仿宋" w:hAnsi="仿宋" w:eastAsia="仿宋"/>
          <w:sz w:val="32"/>
          <w:szCs w:val="32"/>
          <w:lang w:val="en-US" w:eastAsia="zh-CN"/>
        </w:rPr>
        <w:t>0.15</w:t>
      </w:r>
      <w:r>
        <w:rPr>
          <w:rFonts w:hint="eastAsia" w:ascii="仿宋" w:hAnsi="仿宋" w:eastAsia="仿宋"/>
          <w:sz w:val="32"/>
          <w:szCs w:val="32"/>
        </w:rPr>
        <w:t>万元，</w:t>
      </w:r>
      <w:r>
        <w:rPr>
          <w:rFonts w:hint="default" w:ascii="仿宋" w:hAnsi="仿宋" w:eastAsia="仿宋"/>
          <w:sz w:val="32"/>
          <w:szCs w:val="32"/>
          <w:woUserID w:val="1"/>
        </w:rPr>
        <w:t>完成预算数100%</w:t>
      </w:r>
      <w:r>
        <w:rPr>
          <w:rFonts w:hint="eastAsia" w:ascii="仿宋" w:hAnsi="仿宋" w:eastAsia="仿宋"/>
          <w:bCs/>
          <w:color w:val="auto"/>
          <w:sz w:val="32"/>
          <w:szCs w:val="32"/>
          <w:highlight w:val="none"/>
        </w:rPr>
        <w:t>，</w:t>
      </w:r>
      <w:r>
        <w:rPr>
          <w:rFonts w:hint="eastAsia" w:ascii="仿宋" w:hAnsi="仿宋" w:eastAsia="仿宋"/>
          <w:color w:val="auto"/>
          <w:sz w:val="32"/>
          <w:szCs w:val="32"/>
          <w:highlight w:val="none"/>
        </w:rPr>
        <w:t>较上年增加</w:t>
      </w:r>
      <w:r>
        <w:rPr>
          <w:rFonts w:hint="eastAsia" w:ascii="仿宋" w:hAnsi="仿宋" w:eastAsia="仿宋"/>
          <w:color w:val="auto"/>
          <w:sz w:val="32"/>
          <w:szCs w:val="32"/>
          <w:highlight w:val="none"/>
          <w:lang w:val="en-US" w:eastAsia="zh-CN"/>
        </w:rPr>
        <w:t>0.15</w:t>
      </w:r>
      <w:r>
        <w:rPr>
          <w:rFonts w:hint="eastAsia" w:ascii="仿宋" w:hAnsi="仿宋" w:eastAsia="仿宋"/>
          <w:color w:val="auto"/>
          <w:sz w:val="32"/>
          <w:szCs w:val="32"/>
          <w:highlight w:val="none"/>
        </w:rPr>
        <w:t>万元，增长100%。决算数</w:t>
      </w:r>
      <w:r>
        <w:rPr>
          <w:rFonts w:hint="default" w:ascii="仿宋" w:hAnsi="仿宋" w:eastAsia="仿宋"/>
          <w:color w:val="auto"/>
          <w:sz w:val="32"/>
          <w:szCs w:val="32"/>
          <w:highlight w:val="none"/>
          <w:woUserID w:val="1"/>
        </w:rPr>
        <w:t>与预算数持平</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sz w:val="32"/>
          <w:szCs w:val="32"/>
        </w:rPr>
      </w:pPr>
      <w:bookmarkStart w:id="67" w:name="_Toc28774"/>
      <w:bookmarkStart w:id="68" w:name="_Toc15377217"/>
      <w:r>
        <w:rPr>
          <w:rFonts w:hint="eastAsia" w:ascii="仿宋" w:hAnsi="仿宋" w:eastAsia="仿宋"/>
          <w:b/>
          <w:sz w:val="32"/>
          <w:szCs w:val="32"/>
        </w:rPr>
        <w:t>（二）“三公”经费财政拨款支出决算具体情况说明</w:t>
      </w:r>
      <w:bookmarkEnd w:id="67"/>
      <w:bookmarkEnd w:id="68"/>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22年“三公”经费财政拨款支出决算中，因公出国（境）费支出决算0万元，占0</w:t>
      </w:r>
      <w:r>
        <w:rPr>
          <w:rFonts w:ascii="仿宋" w:hAnsi="仿宋" w:eastAsia="仿宋"/>
          <w:sz w:val="32"/>
          <w:szCs w:val="32"/>
        </w:rPr>
        <w:t>%</w:t>
      </w:r>
      <w:r>
        <w:rPr>
          <w:rFonts w:hint="eastAsia" w:ascii="仿宋" w:hAnsi="仿宋" w:eastAsia="仿宋"/>
          <w:sz w:val="32"/>
          <w:szCs w:val="32"/>
        </w:rPr>
        <w:t>；公务用车购置及运行维护费支出决算0万元，占0</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0.15</w:t>
      </w:r>
      <w:r>
        <w:rPr>
          <w:rFonts w:hint="eastAsia" w:ascii="仿宋" w:hAnsi="仿宋" w:eastAsia="仿宋"/>
          <w:sz w:val="32"/>
          <w:szCs w:val="32"/>
        </w:rPr>
        <w:t>万元，占100</w:t>
      </w:r>
      <w:r>
        <w:rPr>
          <w:rFonts w:ascii="仿宋" w:hAnsi="仿宋" w:eastAsia="仿宋"/>
          <w:sz w:val="32"/>
          <w:szCs w:val="32"/>
        </w:rPr>
        <w:t>%</w:t>
      </w:r>
      <w:r>
        <w:rPr>
          <w:rFonts w:hint="eastAsia" w:ascii="仿宋" w:hAnsi="仿宋" w:eastAsia="仿宋"/>
          <w:sz w:val="32"/>
          <w:szCs w:val="32"/>
        </w:rPr>
        <w:t>。具体情况如下：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rPr>
        <w:drawing>
          <wp:anchor distT="0" distB="0" distL="114300" distR="114300" simplePos="0" relativeHeight="251666432" behindDoc="0" locked="0" layoutInCell="1" allowOverlap="1">
            <wp:simplePos x="0" y="0"/>
            <wp:positionH relativeFrom="column">
              <wp:posOffset>5715</wp:posOffset>
            </wp:positionH>
            <wp:positionV relativeFrom="paragraph">
              <wp:posOffset>118745</wp:posOffset>
            </wp:positionV>
            <wp:extent cx="5303520" cy="1996440"/>
            <wp:effectExtent l="4445" t="4445" r="6985" b="18415"/>
            <wp:wrapTopAndBottom/>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 w:hAnsi="仿宋" w:eastAsia="仿宋"/>
          <w:sz w:val="32"/>
          <w:szCs w:val="32"/>
        </w:rPr>
        <w:t>图7：“三公”经费财政拨款支出结构</w:t>
      </w:r>
    </w:p>
    <w:p>
      <w:pPr>
        <w:spacing w:line="600" w:lineRule="exact"/>
        <w:ind w:firstLine="640"/>
        <w:rPr>
          <w:rFonts w:ascii="仿宋_GB2312" w:eastAsia="仿宋_GB2312"/>
          <w:sz w:val="32"/>
          <w:szCs w:val="32"/>
          <w:highlight w:val="green"/>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rPr>
        <w:t>0万元，</w:t>
      </w:r>
      <w:r>
        <w:rPr>
          <w:rFonts w:hint="eastAsia" w:ascii="仿宋" w:hAnsi="仿宋" w:eastAsia="仿宋"/>
          <w:bCs/>
          <w:sz w:val="32"/>
          <w:szCs w:val="32"/>
        </w:rPr>
        <w:t>年初未安排预算，因公出国</w:t>
      </w:r>
      <w:r>
        <w:rPr>
          <w:rFonts w:hint="eastAsia" w:ascii="仿宋_GB2312" w:eastAsia="仿宋_GB2312"/>
          <w:bCs/>
          <w:sz w:val="32"/>
          <w:szCs w:val="32"/>
        </w:rPr>
        <w:t>（境）</w:t>
      </w:r>
      <w:r>
        <w:rPr>
          <w:rFonts w:hint="eastAsia" w:ascii="仿宋" w:hAnsi="仿宋" w:eastAsia="仿宋"/>
          <w:bCs/>
          <w:sz w:val="32"/>
          <w:szCs w:val="32"/>
        </w:rPr>
        <w:t>支出决算较2021年无变化。</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rPr>
        <w:t>0万元</w:t>
      </w:r>
      <w:r>
        <w:rPr>
          <w:rFonts w:hint="eastAsia" w:ascii="仿宋_GB2312" w:eastAsia="仿宋_GB2312"/>
          <w:sz w:val="32"/>
          <w:szCs w:val="32"/>
          <w:lang w:eastAsia="zh-CN"/>
        </w:rPr>
        <w:t>，</w:t>
      </w:r>
      <w:r>
        <w:rPr>
          <w:rStyle w:val="15"/>
          <w:rFonts w:hint="eastAsia" w:ascii="仿宋" w:hAnsi="仿宋" w:eastAsia="仿宋"/>
          <w:b w:val="0"/>
          <w:bCs/>
          <w:sz w:val="32"/>
          <w:szCs w:val="32"/>
        </w:rPr>
        <w:t>年初未安排该项预算，公务用车购置及运行维护费支出决算较2021年无变化</w:t>
      </w:r>
      <w:r>
        <w:rPr>
          <w:rFonts w:hint="eastAsia" w:ascii="仿宋_GB2312" w:eastAsia="仿宋_GB2312"/>
          <w:sz w:val="32"/>
          <w:szCs w:val="32"/>
        </w:rPr>
        <w:t>。</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rPr>
        <w:t>0万元。全年未更新购置公务用车。截至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月底，单位共有公务用车0辆。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sz w:val="32"/>
          <w:szCs w:val="32"/>
        </w:rPr>
        <w:t>0万元。</w:t>
      </w:r>
    </w:p>
    <w:p>
      <w:pPr>
        <w:spacing w:line="600" w:lineRule="exact"/>
        <w:ind w:firstLine="640"/>
        <w:rPr>
          <w:rFonts w:ascii="仿宋_GB2312" w:eastAsia="仿宋_GB2312"/>
          <w:sz w:val="32"/>
          <w:szCs w:val="32"/>
          <w:highlight w:val="none"/>
        </w:rPr>
      </w:pPr>
      <w:r>
        <w:rPr>
          <w:rFonts w:ascii="仿宋_GB2312" w:eastAsia="仿宋_GB2312"/>
          <w:b/>
          <w:sz w:val="32"/>
          <w:szCs w:val="32"/>
          <w:highlight w:val="none"/>
        </w:rPr>
        <w:t>3.</w:t>
      </w:r>
      <w:r>
        <w:rPr>
          <w:rFonts w:hint="eastAsia" w:ascii="仿宋_GB2312" w:eastAsia="仿宋_GB2312"/>
          <w:b/>
          <w:sz w:val="32"/>
          <w:szCs w:val="32"/>
          <w:highlight w:val="none"/>
        </w:rPr>
        <w:t>公务接待费支出</w:t>
      </w:r>
      <w:r>
        <w:rPr>
          <w:rFonts w:hint="eastAsia" w:ascii="仿宋_GB2312" w:eastAsia="仿宋_GB2312"/>
          <w:sz w:val="32"/>
          <w:szCs w:val="32"/>
          <w:highlight w:val="none"/>
          <w:lang w:val="en-US" w:eastAsia="zh-CN"/>
        </w:rPr>
        <w:t>0.15</w:t>
      </w:r>
      <w:r>
        <w:rPr>
          <w:rFonts w:hint="eastAsia" w:ascii="仿宋_GB2312" w:eastAsia="仿宋_GB2312"/>
          <w:sz w:val="32"/>
          <w:szCs w:val="32"/>
          <w:highlight w:val="none"/>
        </w:rPr>
        <w:t>万元，</w:t>
      </w:r>
      <w:r>
        <w:rPr>
          <w:rStyle w:val="15"/>
          <w:rFonts w:hint="eastAsia" w:ascii="仿宋" w:hAnsi="仿宋" w:eastAsia="仿宋"/>
          <w:b w:val="0"/>
          <w:bCs/>
          <w:sz w:val="32"/>
          <w:szCs w:val="32"/>
          <w:highlight w:val="none"/>
        </w:rPr>
        <w:t>完成预算100</w:t>
      </w:r>
      <w:r>
        <w:rPr>
          <w:rStyle w:val="15"/>
          <w:rFonts w:ascii="仿宋" w:hAnsi="仿宋" w:eastAsia="仿宋"/>
          <w:b w:val="0"/>
          <w:bCs/>
          <w:sz w:val="32"/>
          <w:szCs w:val="32"/>
          <w:highlight w:val="none"/>
        </w:rPr>
        <w:t>%</w:t>
      </w:r>
      <w:r>
        <w:rPr>
          <w:rStyle w:val="15"/>
          <w:rFonts w:hint="eastAsia" w:ascii="仿宋" w:hAnsi="仿宋" w:eastAsia="仿宋"/>
          <w:b w:val="0"/>
          <w:bCs/>
          <w:sz w:val="32"/>
          <w:szCs w:val="32"/>
          <w:highlight w:val="none"/>
        </w:rPr>
        <w:t>。</w:t>
      </w:r>
      <w:r>
        <w:rPr>
          <w:rFonts w:hint="eastAsia" w:ascii="仿宋_GB2312" w:eastAsia="仿宋_GB2312"/>
          <w:sz w:val="32"/>
          <w:szCs w:val="32"/>
          <w:highlight w:val="none"/>
        </w:rPr>
        <w:t>公务接待费支出决算比</w:t>
      </w:r>
      <w:r>
        <w:rPr>
          <w:rFonts w:ascii="仿宋_GB2312" w:eastAsia="仿宋_GB2312"/>
          <w:sz w:val="32"/>
          <w:szCs w:val="32"/>
          <w:highlight w:val="none"/>
        </w:rPr>
        <w:t>20</w:t>
      </w:r>
      <w:r>
        <w:rPr>
          <w:rFonts w:hint="eastAsia" w:ascii="仿宋_GB2312" w:eastAsia="仿宋_GB2312"/>
          <w:sz w:val="32"/>
          <w:szCs w:val="32"/>
          <w:highlight w:val="none"/>
        </w:rPr>
        <w:t>21年增加</w:t>
      </w:r>
      <w:r>
        <w:rPr>
          <w:rFonts w:hint="eastAsia" w:ascii="仿宋_GB2312" w:eastAsia="仿宋_GB2312"/>
          <w:sz w:val="32"/>
          <w:szCs w:val="32"/>
          <w:highlight w:val="none"/>
          <w:lang w:val="en-US" w:eastAsia="zh-CN"/>
        </w:rPr>
        <w:t>0.15</w:t>
      </w:r>
      <w:r>
        <w:rPr>
          <w:rFonts w:hint="eastAsia" w:ascii="仿宋_GB2312" w:eastAsia="仿宋_GB2312"/>
          <w:sz w:val="32"/>
          <w:szCs w:val="32"/>
          <w:highlight w:val="none"/>
        </w:rPr>
        <w:t>万元，增长100</w:t>
      </w:r>
      <w:r>
        <w:rPr>
          <w:rFonts w:ascii="仿宋_GB2312" w:eastAsia="仿宋_GB2312"/>
          <w:sz w:val="32"/>
          <w:szCs w:val="32"/>
          <w:highlight w:val="none"/>
        </w:rPr>
        <w:t>%</w:t>
      </w:r>
      <w:r>
        <w:rPr>
          <w:rFonts w:hint="eastAsia" w:ascii="仿宋_GB2312" w:eastAsia="仿宋_GB2312"/>
          <w:sz w:val="32"/>
          <w:szCs w:val="32"/>
          <w:highlight w:val="none"/>
        </w:rPr>
        <w:t>。主要原因是成都高新新源学校与广元市利州中学</w:t>
      </w:r>
      <w:r>
        <w:rPr>
          <w:rFonts w:hint="eastAsia" w:ascii="仿宋_GB2312" w:eastAsia="仿宋_GB2312"/>
          <w:sz w:val="32"/>
          <w:szCs w:val="32"/>
          <w:highlight w:val="none"/>
          <w:lang w:eastAsia="zh-CN"/>
        </w:rPr>
        <w:t>开展</w:t>
      </w:r>
      <w:r>
        <w:rPr>
          <w:rFonts w:hint="eastAsia" w:ascii="仿宋_GB2312" w:eastAsia="仿宋_GB2312"/>
          <w:sz w:val="32"/>
          <w:szCs w:val="32"/>
          <w:highlight w:val="none"/>
        </w:rPr>
        <w:t>成广合作项目</w:t>
      </w:r>
      <w:r>
        <w:rPr>
          <w:rFonts w:hint="eastAsia" w:ascii="仿宋_GB2312" w:eastAsia="仿宋_GB2312"/>
          <w:sz w:val="32"/>
          <w:szCs w:val="32"/>
          <w:highlight w:val="none"/>
          <w:lang w:eastAsia="zh-CN"/>
        </w:rPr>
        <w:t>发生一笔公务接待费</w:t>
      </w:r>
      <w:r>
        <w:rPr>
          <w:rFonts w:hint="eastAsia" w:ascii="仿宋_GB2312" w:eastAsia="仿宋_GB2312"/>
          <w:sz w:val="32"/>
          <w:szCs w:val="32"/>
          <w:highlight w:val="none"/>
        </w:rPr>
        <w:t>。其中：</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sz w:val="32"/>
          <w:szCs w:val="32"/>
          <w:lang w:val="en-US" w:eastAsia="zh-CN"/>
        </w:rPr>
        <w:t>0.15</w:t>
      </w:r>
      <w:r>
        <w:rPr>
          <w:rFonts w:hint="eastAsia" w:ascii="仿宋_GB2312" w:eastAsia="仿宋_GB2312"/>
          <w:sz w:val="32"/>
          <w:szCs w:val="32"/>
        </w:rPr>
        <w:t>万元，主要用于成都高新新源学校与广元市利州中学</w:t>
      </w:r>
      <w:r>
        <w:rPr>
          <w:rFonts w:hint="eastAsia" w:ascii="仿宋_GB2312" w:eastAsia="仿宋_GB2312"/>
          <w:sz w:val="32"/>
          <w:szCs w:val="32"/>
          <w:lang w:eastAsia="zh-CN"/>
        </w:rPr>
        <w:t>开展</w:t>
      </w:r>
      <w:r>
        <w:rPr>
          <w:rFonts w:hint="eastAsia" w:ascii="仿宋_GB2312" w:eastAsia="仿宋_GB2312"/>
          <w:sz w:val="32"/>
          <w:szCs w:val="32"/>
        </w:rPr>
        <w:t>成广合作项目</w:t>
      </w:r>
      <w:r>
        <w:rPr>
          <w:rFonts w:hint="eastAsia" w:ascii="仿宋_GB2312" w:eastAsia="仿宋_GB2312"/>
          <w:sz w:val="32"/>
          <w:szCs w:val="32"/>
          <w:lang w:eastAsia="zh-CN"/>
        </w:rPr>
        <w:t>发生一笔公务接待费</w:t>
      </w:r>
      <w:r>
        <w:rPr>
          <w:rFonts w:hint="eastAsia" w:ascii="仿宋_GB2312" w:eastAsia="仿宋_GB2312"/>
          <w:sz w:val="32"/>
          <w:szCs w:val="32"/>
        </w:rPr>
        <w:t>。国内公务接待</w:t>
      </w:r>
      <w:r>
        <w:rPr>
          <w:rFonts w:hint="eastAsia" w:ascii="仿宋_GB2312" w:eastAsia="仿宋_GB2312"/>
          <w:sz w:val="32"/>
          <w:szCs w:val="32"/>
          <w:lang w:val="en-US" w:eastAsia="zh-CN"/>
        </w:rPr>
        <w:t>1</w:t>
      </w:r>
      <w:r>
        <w:rPr>
          <w:rFonts w:hint="eastAsia" w:ascii="仿宋_GB2312" w:eastAsia="仿宋_GB2312"/>
          <w:sz w:val="32"/>
          <w:szCs w:val="32"/>
        </w:rPr>
        <w:t>批次，</w:t>
      </w:r>
      <w:r>
        <w:rPr>
          <w:rFonts w:hint="eastAsia" w:ascii="仿宋_GB2312" w:eastAsia="仿宋_GB2312"/>
          <w:sz w:val="32"/>
          <w:szCs w:val="32"/>
          <w:lang w:val="en-US" w:eastAsia="zh-CN"/>
        </w:rPr>
        <w:t>11</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0.15</w:t>
      </w:r>
      <w:r>
        <w:rPr>
          <w:rFonts w:hint="eastAsia" w:ascii="仿宋_GB2312" w:eastAsia="仿宋_GB2312"/>
          <w:sz w:val="32"/>
          <w:szCs w:val="32"/>
        </w:rPr>
        <w:t>万元，具体内容包括：</w:t>
      </w:r>
      <w:r>
        <w:rPr>
          <w:rFonts w:hint="eastAsia" w:ascii="仿宋_GB2312" w:eastAsia="仿宋_GB2312"/>
          <w:sz w:val="32"/>
          <w:szCs w:val="32"/>
          <w:lang w:val="en-US" w:eastAsia="zh-CN"/>
        </w:rPr>
        <w:t>2022年7月4日晚餐，共计0.15万元</w:t>
      </w:r>
      <w:r>
        <w:rPr>
          <w:rFonts w:hint="eastAsia" w:ascii="仿宋_GB2312" w:eastAsia="仿宋_GB2312"/>
          <w:sz w:val="32"/>
          <w:szCs w:val="32"/>
        </w:rPr>
        <w:t>。</w:t>
      </w:r>
    </w:p>
    <w:p>
      <w:pPr>
        <w:spacing w:line="600" w:lineRule="exact"/>
        <w:ind w:firstLine="640"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rPr>
        <w:t>0</w:t>
      </w:r>
      <w:r>
        <w:rPr>
          <w:rFonts w:hint="eastAsia" w:ascii="仿宋_GB2312" w:eastAsia="仿宋_GB2312"/>
          <w:sz w:val="32"/>
          <w:szCs w:val="32"/>
        </w:rPr>
        <w:t>万元，</w:t>
      </w:r>
      <w:r>
        <w:rPr>
          <w:rStyle w:val="15"/>
          <w:rFonts w:hint="eastAsia" w:ascii="仿宋" w:hAnsi="仿宋" w:eastAsia="仿宋"/>
          <w:b w:val="0"/>
          <w:bCs/>
          <w:sz w:val="32"/>
          <w:szCs w:val="32"/>
        </w:rPr>
        <w:t>完</w:t>
      </w:r>
      <w:r>
        <w:rPr>
          <w:rStyle w:val="15"/>
          <w:rFonts w:hint="default" w:ascii="仿宋" w:hAnsi="仿宋" w:eastAsia="仿宋"/>
          <w:b w:val="0"/>
          <w:bCs/>
          <w:sz w:val="32"/>
          <w:szCs w:val="32"/>
          <w:woUserID w:val="1"/>
        </w:rPr>
        <w:t>年初未安排预算</w:t>
      </w:r>
      <w:bookmarkStart w:id="134" w:name="_GoBack"/>
      <w:bookmarkEnd w:id="134"/>
      <w:r>
        <w:rPr>
          <w:rStyle w:val="15"/>
          <w:rFonts w:hint="eastAsia" w:ascii="仿宋" w:hAnsi="仿宋" w:eastAsia="仿宋"/>
          <w:b w:val="0"/>
          <w:bCs/>
          <w:sz w:val="32"/>
          <w:szCs w:val="32"/>
        </w:rPr>
        <w:t>。</w:t>
      </w:r>
      <w:r>
        <w:rPr>
          <w:rFonts w:hint="eastAsia" w:ascii="仿宋_GB2312" w:eastAsia="仿宋_GB2312"/>
          <w:sz w:val="32"/>
          <w:szCs w:val="32"/>
        </w:rPr>
        <w:t>外事接待支出决算较</w:t>
      </w:r>
      <w:r>
        <w:rPr>
          <w:rFonts w:ascii="仿宋_GB2312" w:eastAsia="仿宋_GB2312"/>
          <w:sz w:val="32"/>
          <w:szCs w:val="32"/>
        </w:rPr>
        <w:t>20</w:t>
      </w:r>
      <w:r>
        <w:rPr>
          <w:rFonts w:hint="eastAsia" w:ascii="仿宋_GB2312" w:eastAsia="仿宋_GB2312"/>
          <w:sz w:val="32"/>
          <w:szCs w:val="32"/>
        </w:rPr>
        <w:t>21年无变化。</w:t>
      </w:r>
    </w:p>
    <w:p>
      <w:pPr>
        <w:spacing w:line="600" w:lineRule="exact"/>
        <w:ind w:firstLine="640"/>
        <w:outlineLvl w:val="1"/>
        <w:rPr>
          <w:rStyle w:val="26"/>
          <w:rFonts w:ascii="黑体" w:hAnsi="黑体" w:eastAsia="黑体"/>
        </w:rPr>
      </w:pPr>
      <w:bookmarkStart w:id="69" w:name="_Toc29897"/>
      <w:bookmarkStart w:id="70" w:name="_Toc15396610"/>
      <w:bookmarkStart w:id="71" w:name="_Toc15377218"/>
      <w:r>
        <w:rPr>
          <w:rFonts w:hint="eastAsia" w:ascii="黑体" w:eastAsia="黑体"/>
          <w:sz w:val="32"/>
          <w:szCs w:val="32"/>
        </w:rPr>
        <w:t>八、</w:t>
      </w:r>
      <w:r>
        <w:rPr>
          <w:rStyle w:val="26"/>
          <w:rFonts w:hint="eastAsia" w:ascii="黑体" w:hAnsi="黑体" w:eastAsia="黑体"/>
          <w:b w:val="0"/>
        </w:rPr>
        <w:t>政府性基金预算支出决算情况说明</w:t>
      </w:r>
      <w:bookmarkEnd w:id="69"/>
      <w:bookmarkEnd w:id="70"/>
      <w:bookmarkEnd w:id="71"/>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22年政府性基金预算财政拨款支出0万元。</w:t>
      </w:r>
    </w:p>
    <w:p>
      <w:pPr>
        <w:numPr>
          <w:ilvl w:val="0"/>
          <w:numId w:val="3"/>
        </w:numPr>
        <w:spacing w:line="600" w:lineRule="exact"/>
        <w:ind w:firstLine="640"/>
        <w:outlineLvl w:val="1"/>
        <w:rPr>
          <w:rStyle w:val="26"/>
          <w:rFonts w:ascii="黑体" w:hAnsi="黑体" w:eastAsia="黑体"/>
          <w:b w:val="0"/>
        </w:rPr>
      </w:pPr>
      <w:bookmarkStart w:id="72" w:name="_Toc15396611"/>
      <w:bookmarkStart w:id="73" w:name="_Toc15377219"/>
      <w:bookmarkStart w:id="74" w:name="_Toc26811"/>
      <w:r>
        <w:rPr>
          <w:rStyle w:val="26"/>
          <w:rFonts w:hint="eastAsia" w:ascii="黑体" w:hAnsi="黑体" w:eastAsia="黑体"/>
          <w:b w:val="0"/>
        </w:rPr>
        <w:t>国有资本经营预算支出决算情况说明</w:t>
      </w:r>
      <w:bookmarkEnd w:id="72"/>
      <w:bookmarkEnd w:id="73"/>
      <w:bookmarkEnd w:id="74"/>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22年国有资本经营预算财政拨款支出0万元。</w:t>
      </w:r>
    </w:p>
    <w:p>
      <w:pPr>
        <w:numPr>
          <w:ilvl w:val="0"/>
          <w:numId w:val="3"/>
        </w:numPr>
        <w:spacing w:line="600" w:lineRule="exact"/>
        <w:ind w:firstLine="640"/>
        <w:outlineLvl w:val="1"/>
        <w:rPr>
          <w:rStyle w:val="26"/>
          <w:rFonts w:ascii="黑体" w:hAnsi="黑体" w:eastAsia="黑体"/>
          <w:b w:val="0"/>
        </w:rPr>
      </w:pPr>
      <w:bookmarkStart w:id="75" w:name="_Toc15396612"/>
      <w:bookmarkStart w:id="76" w:name="_Toc3013"/>
      <w:bookmarkStart w:id="77" w:name="_Toc15377221"/>
      <w:r>
        <w:rPr>
          <w:rStyle w:val="26"/>
          <w:rFonts w:hint="eastAsia" w:ascii="黑体" w:hAnsi="黑体" w:eastAsia="黑体"/>
          <w:b w:val="0"/>
        </w:rPr>
        <w:t>其他重要事项的情况说明</w:t>
      </w:r>
      <w:bookmarkEnd w:id="75"/>
      <w:bookmarkEnd w:id="76"/>
      <w:bookmarkEnd w:id="77"/>
    </w:p>
    <w:p>
      <w:pPr>
        <w:spacing w:line="600" w:lineRule="exact"/>
        <w:ind w:firstLine="640" w:firstLineChars="200"/>
        <w:outlineLvl w:val="2"/>
        <w:rPr>
          <w:rFonts w:ascii="仿宋" w:hAnsi="仿宋" w:eastAsia="仿宋"/>
          <w:sz w:val="32"/>
          <w:szCs w:val="32"/>
        </w:rPr>
      </w:pPr>
      <w:bookmarkStart w:id="78" w:name="_Toc24438"/>
      <w:bookmarkStart w:id="79" w:name="_Toc15377222"/>
      <w:r>
        <w:rPr>
          <w:rFonts w:hint="eastAsia" w:ascii="仿宋" w:hAnsi="仿宋" w:eastAsia="仿宋"/>
          <w:b/>
          <w:sz w:val="32"/>
          <w:szCs w:val="32"/>
        </w:rPr>
        <w:t>（一）机关运行经费支出情况</w:t>
      </w:r>
      <w:bookmarkEnd w:id="78"/>
      <w:bookmarkEnd w:id="79"/>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22年未发生机关运行经费支出，与202</w:t>
      </w:r>
      <w:r>
        <w:rPr>
          <w:rFonts w:hint="eastAsia" w:ascii="仿宋_GB2312" w:eastAsia="仿宋_GB2312"/>
          <w:sz w:val="32"/>
          <w:szCs w:val="32"/>
          <w:lang w:val="en-US" w:eastAsia="zh-CN"/>
        </w:rPr>
        <w:t>1</w:t>
      </w:r>
      <w:r>
        <w:rPr>
          <w:rFonts w:hint="eastAsia" w:ascii="仿宋_GB2312" w:eastAsia="仿宋_GB2312"/>
          <w:sz w:val="32"/>
          <w:szCs w:val="32"/>
        </w:rPr>
        <w:t>年决算数持平。</w:t>
      </w:r>
    </w:p>
    <w:p>
      <w:pPr>
        <w:autoSpaceDE w:val="0"/>
        <w:autoSpaceDN w:val="0"/>
        <w:adjustRightInd w:val="0"/>
        <w:spacing w:line="600" w:lineRule="exact"/>
        <w:ind w:firstLine="640" w:firstLineChars="200"/>
        <w:jc w:val="left"/>
        <w:outlineLvl w:val="2"/>
        <w:rPr>
          <w:rFonts w:ascii="仿宋" w:hAnsi="仿宋" w:eastAsia="仿宋"/>
          <w:b/>
          <w:sz w:val="32"/>
          <w:szCs w:val="32"/>
        </w:rPr>
      </w:pPr>
      <w:bookmarkStart w:id="80" w:name="_Toc15377223"/>
      <w:bookmarkStart w:id="81" w:name="_Toc16800"/>
      <w:r>
        <w:rPr>
          <w:rFonts w:hint="eastAsia" w:ascii="仿宋" w:hAnsi="仿宋" w:eastAsia="仿宋"/>
          <w:b/>
          <w:sz w:val="32"/>
          <w:szCs w:val="32"/>
        </w:rPr>
        <w:t>（二）政府采购支出情况</w:t>
      </w:r>
      <w:bookmarkEnd w:id="80"/>
      <w:bookmarkEnd w:id="81"/>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22年，广元市利州中学政府采购支出总额0万元。</w:t>
      </w:r>
    </w:p>
    <w:p>
      <w:pPr>
        <w:autoSpaceDE w:val="0"/>
        <w:autoSpaceDN w:val="0"/>
        <w:adjustRightInd w:val="0"/>
        <w:spacing w:line="600" w:lineRule="exact"/>
        <w:ind w:firstLine="640" w:firstLineChars="200"/>
        <w:jc w:val="left"/>
        <w:outlineLvl w:val="2"/>
        <w:rPr>
          <w:rFonts w:ascii="仿宋" w:hAnsi="仿宋" w:eastAsia="仿宋"/>
          <w:b/>
          <w:sz w:val="32"/>
          <w:szCs w:val="32"/>
        </w:rPr>
      </w:pPr>
      <w:bookmarkStart w:id="82" w:name="_Toc15377224"/>
      <w:bookmarkStart w:id="83" w:name="_Toc2141"/>
      <w:r>
        <w:rPr>
          <w:rFonts w:hint="eastAsia" w:ascii="仿宋" w:hAnsi="仿宋" w:eastAsia="仿宋"/>
          <w:b/>
          <w:sz w:val="32"/>
          <w:szCs w:val="32"/>
        </w:rPr>
        <w:t>（三）国有资产占有使用情况</w:t>
      </w:r>
      <w:bookmarkEnd w:id="82"/>
      <w:bookmarkEnd w:id="83"/>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日，广元市利州中学共有车辆0辆，单价</w:t>
      </w:r>
      <w:r>
        <w:rPr>
          <w:rFonts w:ascii="仿宋_GB2312" w:eastAsia="仿宋_GB2312"/>
          <w:sz w:val="32"/>
          <w:szCs w:val="32"/>
        </w:rPr>
        <w:t>100</w:t>
      </w:r>
      <w:r>
        <w:rPr>
          <w:rFonts w:hint="eastAsia" w:ascii="仿宋_GB2312" w:eastAsia="仿宋_GB2312"/>
          <w:sz w:val="32"/>
          <w:szCs w:val="32"/>
        </w:rPr>
        <w:t>万元以上专用设备0台（套）。</w:t>
      </w:r>
    </w:p>
    <w:p>
      <w:pPr>
        <w:autoSpaceDE w:val="0"/>
        <w:autoSpaceDN w:val="0"/>
        <w:adjustRightInd w:val="0"/>
        <w:spacing w:line="600" w:lineRule="exact"/>
        <w:ind w:firstLine="640" w:firstLineChars="200"/>
        <w:jc w:val="left"/>
        <w:outlineLvl w:val="2"/>
        <w:rPr>
          <w:rFonts w:ascii="仿宋" w:hAnsi="仿宋" w:eastAsia="仿宋"/>
          <w:b/>
          <w:sz w:val="32"/>
          <w:szCs w:val="32"/>
          <w:highlight w:val="none"/>
        </w:rPr>
      </w:pPr>
      <w:bookmarkStart w:id="84" w:name="_Toc7592"/>
      <w:r>
        <w:rPr>
          <w:rFonts w:hint="eastAsia" w:ascii="仿宋" w:hAnsi="仿宋" w:eastAsia="仿宋"/>
          <w:b/>
          <w:sz w:val="32"/>
          <w:szCs w:val="32"/>
          <w:highlight w:val="none"/>
        </w:rPr>
        <w:t>（四）预算绩效管理情况</w:t>
      </w:r>
      <w:bookmarkEnd w:id="84"/>
    </w:p>
    <w:p>
      <w:pPr>
        <w:pStyle w:val="2"/>
        <w:spacing w:before="93"/>
        <w:ind w:firstLine="640" w:firstLineChars="200"/>
        <w:rPr>
          <w:rFonts w:hAnsi="仿宋_GB2312" w:cs="仿宋_GB2312"/>
          <w:sz w:val="32"/>
          <w:szCs w:val="32"/>
        </w:rPr>
      </w:pPr>
      <w:r>
        <w:rPr>
          <w:rFonts w:hint="eastAsia" w:hAnsi="仿宋_GB2312" w:cs="仿宋_GB2312"/>
          <w:sz w:val="32"/>
          <w:szCs w:val="32"/>
        </w:rPr>
        <w:t>根据预算绩效管理要求，本单位在2022年度预算编制阶段，组织对</w:t>
      </w:r>
      <w:r>
        <w:rPr>
          <w:rFonts w:hint="eastAsia" w:hAnsi="仿宋_GB2312" w:cs="仿宋_GB2312"/>
          <w:sz w:val="32"/>
          <w:szCs w:val="32"/>
          <w:lang w:eastAsia="zh-CN"/>
        </w:rPr>
        <w:t>足球场及阶梯教室维修改造、信息化建设、市直属中小学安保服务经费</w:t>
      </w:r>
      <w:r>
        <w:rPr>
          <w:rFonts w:hint="eastAsia" w:hAnsi="仿宋_GB2312" w:cs="仿宋_GB2312"/>
          <w:sz w:val="32"/>
          <w:szCs w:val="32"/>
        </w:rPr>
        <w:t>等5个项目开展了预算事前绩效评估，对</w:t>
      </w:r>
      <w:r>
        <w:rPr>
          <w:rFonts w:hint="eastAsia" w:hAnsi="仿宋_GB2312" w:cs="仿宋_GB2312"/>
          <w:sz w:val="32"/>
          <w:szCs w:val="32"/>
          <w:lang w:val="en-US" w:eastAsia="zh-CN"/>
        </w:rPr>
        <w:t>1</w:t>
      </w:r>
      <w:r>
        <w:rPr>
          <w:rFonts w:hint="eastAsia" w:hAnsi="仿宋_GB2312" w:cs="仿宋_GB2312"/>
          <w:sz w:val="32"/>
          <w:szCs w:val="32"/>
        </w:rPr>
        <w:t>个项目编制了绩效目标，预算执行过程</w:t>
      </w:r>
      <w:r>
        <w:rPr>
          <w:rFonts w:hint="eastAsia" w:hAnsi="仿宋_GB2312" w:cs="仿宋_GB2312"/>
          <w:sz w:val="32"/>
          <w:szCs w:val="32"/>
          <w:lang w:eastAsia="zh-CN"/>
        </w:rPr>
        <w:t>绩效</w:t>
      </w:r>
      <w:r>
        <w:rPr>
          <w:rFonts w:hint="eastAsia" w:hAnsi="仿宋_GB2312" w:cs="仿宋_GB2312"/>
          <w:sz w:val="32"/>
          <w:szCs w:val="32"/>
        </w:rPr>
        <w:t>自评，绩效自评表详见第四部分附件。</w:t>
      </w: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4"/>
        </w:numPr>
        <w:spacing w:line="600" w:lineRule="exact"/>
        <w:ind w:firstLine="660" w:firstLineChars="150"/>
        <w:jc w:val="center"/>
        <w:outlineLvl w:val="0"/>
        <w:rPr>
          <w:rStyle w:val="25"/>
          <w:rFonts w:ascii="黑体" w:hAnsi="黑体" w:eastAsia="黑体"/>
          <w:b w:val="0"/>
        </w:rPr>
      </w:pPr>
      <w:bookmarkStart w:id="85" w:name="_Toc15377225"/>
      <w:bookmarkStart w:id="86" w:name="_Toc19893"/>
      <w:bookmarkStart w:id="87" w:name="_Toc15396613"/>
      <w:r>
        <w:rPr>
          <w:rFonts w:hint="eastAsia" w:ascii="黑体" w:hAnsi="黑体" w:eastAsia="黑体"/>
          <w:sz w:val="44"/>
          <w:szCs w:val="44"/>
        </w:rPr>
        <w:t>名</w:t>
      </w:r>
      <w:r>
        <w:rPr>
          <w:rStyle w:val="25"/>
          <w:rFonts w:hint="eastAsia" w:ascii="黑体" w:hAnsi="黑体" w:eastAsia="黑体"/>
          <w:b w:val="0"/>
        </w:rPr>
        <w:t>词解释</w:t>
      </w:r>
      <w:bookmarkEnd w:id="85"/>
      <w:bookmarkEnd w:id="86"/>
      <w:bookmarkEnd w:id="87"/>
    </w:p>
    <w:p>
      <w:pPr>
        <w:spacing w:line="600" w:lineRule="exact"/>
        <w:jc w:val="left"/>
        <w:rPr>
          <w:rFonts w:ascii="宋体"/>
          <w:b/>
          <w:sz w:val="44"/>
          <w:szCs w:val="44"/>
        </w:rPr>
      </w:pPr>
    </w:p>
    <w:p>
      <w:pPr>
        <w:pStyle w:val="23"/>
        <w:numPr>
          <w:ilvl w:val="0"/>
          <w:numId w:val="5"/>
        </w:numPr>
        <w:spacing w:line="560"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财政拨款收入：指单位从同级财政部门取得的财政预算资金。</w:t>
      </w:r>
    </w:p>
    <w:p>
      <w:pPr>
        <w:pStyle w:val="23"/>
        <w:numPr>
          <w:ilvl w:val="0"/>
          <w:numId w:val="5"/>
        </w:numP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rPr>
        <w:t>事业收入：指事业单位开展专业业务活动及辅助活动</w:t>
      </w:r>
      <w:r>
        <w:rPr>
          <w:rFonts w:hint="eastAsia" w:ascii="仿宋_GB2312" w:eastAsia="仿宋_GB2312"/>
          <w:color w:val="auto"/>
          <w:sz w:val="32"/>
          <w:szCs w:val="32"/>
          <w:highlight w:val="none"/>
        </w:rPr>
        <w:t>取得的收入。如</w:t>
      </w:r>
      <w:r>
        <w:rPr>
          <w:rFonts w:hint="eastAsia" w:ascii="仿宋_GB2312" w:eastAsia="仿宋_GB2312"/>
          <w:color w:val="auto"/>
          <w:sz w:val="32"/>
          <w:szCs w:val="32"/>
          <w:highlight w:val="none"/>
          <w:lang w:eastAsia="zh-CN"/>
        </w:rPr>
        <w:t>学校收取中学生住宿费用</w:t>
      </w:r>
      <w:r>
        <w:rPr>
          <w:rFonts w:hint="eastAsia" w:ascii="仿宋_GB2312" w:eastAsia="仿宋_GB2312"/>
          <w:color w:val="auto"/>
          <w:sz w:val="32"/>
          <w:szCs w:val="32"/>
          <w:highlight w:val="none"/>
        </w:rPr>
        <w:t>等。</w:t>
      </w:r>
    </w:p>
    <w:p>
      <w:pPr>
        <w:pStyle w:val="23"/>
        <w:numPr>
          <w:ilvl w:val="0"/>
          <w:numId w:val="5"/>
        </w:numPr>
        <w:spacing w:line="560"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numPr>
          <w:ilvl w:val="0"/>
          <w:numId w:val="5"/>
        </w:numPr>
        <w:ind w:left="0" w:leftChars="0" w:firstLine="400" w:firstLineChars="0"/>
        <w:rPr>
          <w:rFonts w:ascii="仿宋_GB2312" w:eastAsia="仿宋_GB2312"/>
          <w:sz w:val="32"/>
          <w:szCs w:val="32"/>
        </w:rPr>
      </w:pPr>
      <w:r>
        <w:rPr>
          <w:rFonts w:hint="eastAsia" w:ascii="仿宋_GB2312" w:eastAsia="仿宋_GB2312"/>
          <w:sz w:val="32"/>
          <w:szCs w:val="32"/>
        </w:rPr>
        <w:t>教育（类）普通教育（款）初中教育（项）：指反映各部门举办的初中教育支出。</w:t>
      </w:r>
    </w:p>
    <w:p>
      <w:pPr>
        <w:numPr>
          <w:ilvl w:val="0"/>
          <w:numId w:val="5"/>
        </w:numPr>
        <w:ind w:left="0" w:leftChars="0" w:firstLine="400" w:firstLineChars="0"/>
        <w:rPr>
          <w:rFonts w:ascii="仿宋_GB2312" w:eastAsia="仿宋_GB2312"/>
          <w:sz w:val="32"/>
          <w:szCs w:val="32"/>
          <w:highlight w:val="none"/>
        </w:rPr>
      </w:pPr>
      <w:r>
        <w:rPr>
          <w:rFonts w:hint="eastAsia" w:ascii="仿宋_GB2312" w:eastAsia="仿宋_GB2312"/>
          <w:sz w:val="32"/>
          <w:szCs w:val="32"/>
        </w:rPr>
        <w:t>教育（类）普通教育（款）其他普通教育支出（项）：</w:t>
      </w:r>
      <w:r>
        <w:rPr>
          <w:rFonts w:hint="eastAsia" w:ascii="仿宋_GB2312" w:eastAsia="仿宋_GB2312"/>
          <w:sz w:val="32"/>
          <w:szCs w:val="32"/>
          <w:highlight w:val="none"/>
        </w:rPr>
        <w:t>指反映除上述项目以外其他用于教育方面的支出。</w:t>
      </w:r>
    </w:p>
    <w:p>
      <w:pPr>
        <w:numPr>
          <w:ilvl w:val="0"/>
          <w:numId w:val="5"/>
        </w:numPr>
        <w:ind w:left="0" w:leftChars="0" w:firstLine="400" w:firstLineChars="0"/>
        <w:rPr>
          <w:rFonts w:ascii="仿宋_GB2312" w:eastAsia="仿宋_GB2312"/>
          <w:sz w:val="32"/>
          <w:szCs w:val="32"/>
          <w:highlight w:val="none"/>
        </w:rPr>
      </w:pPr>
      <w:r>
        <w:rPr>
          <w:rFonts w:hint="eastAsia" w:ascii="仿宋_GB2312" w:eastAsia="仿宋_GB2312"/>
          <w:sz w:val="32"/>
          <w:szCs w:val="32"/>
        </w:rPr>
        <w:t>社会保障和就业（类）行政事业单位养老支出（款）</w:t>
      </w:r>
      <w:r>
        <w:rPr>
          <w:rFonts w:hint="eastAsia" w:ascii="仿宋_GB2312" w:eastAsia="仿宋_GB2312"/>
          <w:sz w:val="32"/>
          <w:szCs w:val="32"/>
          <w:highlight w:val="none"/>
        </w:rPr>
        <w:t>行政单位离退休（项）：指反映行政单位（包括实行公务员管理的事业单位）开支的离退休经费。</w:t>
      </w:r>
    </w:p>
    <w:p>
      <w:pPr>
        <w:numPr>
          <w:ilvl w:val="0"/>
          <w:numId w:val="5"/>
        </w:numPr>
        <w:ind w:left="0" w:leftChars="0" w:firstLine="400" w:firstLineChars="0"/>
        <w:rPr>
          <w:rFonts w:ascii="仿宋_GB2312" w:eastAsia="仿宋_GB2312"/>
          <w:sz w:val="32"/>
          <w:szCs w:val="32"/>
        </w:rPr>
      </w:pPr>
      <w:r>
        <w:rPr>
          <w:rFonts w:hint="eastAsia" w:ascii="仿宋_GB2312" w:eastAsia="仿宋_GB2312"/>
          <w:sz w:val="32"/>
          <w:szCs w:val="32"/>
        </w:rPr>
        <w:t>社会保障和就业（类）行政事业单位养老支出（款）机关事业单位基本养老保险缴费支出（项）：指对机关事业单位实施养老保险制度由单位缴纳的基本养老保险费支出。</w:t>
      </w:r>
    </w:p>
    <w:p>
      <w:pPr>
        <w:numPr>
          <w:ilvl w:val="0"/>
          <w:numId w:val="5"/>
        </w:numPr>
        <w:ind w:left="0" w:leftChars="0" w:firstLine="400" w:firstLineChars="0"/>
        <w:rPr>
          <w:rFonts w:ascii="仿宋_GB2312" w:eastAsia="仿宋_GB2312"/>
          <w:sz w:val="32"/>
          <w:szCs w:val="32"/>
        </w:rPr>
      </w:pPr>
      <w:r>
        <w:rPr>
          <w:rFonts w:hint="eastAsia" w:ascii="仿宋_GB2312" w:eastAsia="仿宋_GB2312"/>
          <w:sz w:val="32"/>
          <w:szCs w:val="32"/>
        </w:rPr>
        <w:t>社会保障和就业（类）行政事业单位养老支出（款）机关事业单位职业年金缴费支出（项）：指机关事业单位实施养老保险制度由单位实际缴纳的职业年金支出。</w:t>
      </w:r>
    </w:p>
    <w:p>
      <w:pPr>
        <w:numPr>
          <w:ilvl w:val="0"/>
          <w:numId w:val="5"/>
        </w:numPr>
        <w:ind w:left="0" w:leftChars="0" w:firstLine="400" w:firstLineChars="0"/>
        <w:rPr>
          <w:rFonts w:ascii="仿宋_GB2312" w:eastAsia="仿宋_GB2312"/>
          <w:sz w:val="32"/>
          <w:szCs w:val="32"/>
          <w:highlight w:val="none"/>
        </w:rPr>
      </w:pPr>
      <w:r>
        <w:rPr>
          <w:rFonts w:hint="eastAsia" w:ascii="仿宋_GB2312" w:eastAsia="仿宋_GB2312"/>
          <w:sz w:val="32"/>
          <w:szCs w:val="32"/>
          <w:highlight w:val="none"/>
        </w:rPr>
        <w:t>社会保障和就业（类）其他社会保障和就业支出（款）其他社会保障和就业支出（项）：指反映除上述项目以外其他用于社会保障和就业方面的支出。</w:t>
      </w:r>
    </w:p>
    <w:p>
      <w:pPr>
        <w:numPr>
          <w:ilvl w:val="0"/>
          <w:numId w:val="5"/>
        </w:numPr>
        <w:ind w:left="0" w:leftChars="0" w:firstLine="400" w:firstLineChars="0"/>
        <w:rPr>
          <w:rFonts w:ascii="仿宋_GB2312" w:eastAsia="仿宋_GB2312"/>
          <w:sz w:val="32"/>
          <w:szCs w:val="32"/>
          <w:highlight w:val="none"/>
        </w:rPr>
      </w:pPr>
      <w:r>
        <w:rPr>
          <w:rFonts w:hint="eastAsia" w:ascii="仿宋_GB2312" w:eastAsia="仿宋_GB2312"/>
          <w:sz w:val="32"/>
          <w:szCs w:val="32"/>
          <w:highlight w:val="none"/>
        </w:rPr>
        <w:t>卫生健康（类）行政事业单位医疗（款）行政单位医疗（项）：指反映财政部门安排的行政单位（包括实行公务员管理的事业单位，下同）基本医疗保险缴费经费，未参加医疗保险的行政单位的公费医疗经费，按国家规定享受离休人员、红军老战士待遇人员的医疗经费。</w:t>
      </w:r>
    </w:p>
    <w:p>
      <w:pPr>
        <w:numPr>
          <w:ilvl w:val="0"/>
          <w:numId w:val="5"/>
        </w:numPr>
        <w:ind w:left="0" w:leftChars="0" w:firstLine="400" w:firstLineChars="0"/>
        <w:rPr>
          <w:rFonts w:ascii="仿宋_GB2312" w:eastAsia="仿宋_GB2312"/>
          <w:sz w:val="32"/>
          <w:szCs w:val="32"/>
        </w:rPr>
      </w:pPr>
      <w:r>
        <w:rPr>
          <w:rFonts w:hint="eastAsia" w:ascii="仿宋_GB2312" w:eastAsia="仿宋_GB2312"/>
          <w:sz w:val="32"/>
          <w:szCs w:val="32"/>
        </w:rPr>
        <w:t>住房保障（类）住房改革支出（款）住房公积金（项）：指行政事业单位按人力资源和社会保障部、财政部规定的基本工资和津贴补贴及规定比例为职工缴纳的住房公积金。</w:t>
      </w:r>
    </w:p>
    <w:p>
      <w:pPr>
        <w:numPr>
          <w:ilvl w:val="0"/>
          <w:numId w:val="5"/>
        </w:numPr>
        <w:ind w:left="0" w:leftChars="0" w:firstLine="400" w:firstLineChars="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numPr>
          <w:ilvl w:val="0"/>
          <w:numId w:val="5"/>
        </w:numPr>
        <w:ind w:left="0" w:leftChars="0" w:firstLine="400" w:firstLineChars="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pStyle w:val="23"/>
        <w:numPr>
          <w:ilvl w:val="0"/>
          <w:numId w:val="5"/>
        </w:numPr>
        <w:spacing w:line="560"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3"/>
        <w:numPr>
          <w:ilvl w:val="0"/>
          <w:numId w:val="5"/>
        </w:numPr>
        <w:spacing w:line="560"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highlight w:val="none"/>
        </w:rPr>
        <w:t>机关运行经费：为保障行政单位（含参照公务员法</w:t>
      </w:r>
      <w:r>
        <w:rPr>
          <w:rFonts w:hint="eastAsia" w:ascii="仿宋_GB2312" w:eastAsia="仿宋_GB2312"/>
          <w:color w:val="auto"/>
          <w:sz w:val="32"/>
          <w:szCs w:val="32"/>
        </w:rPr>
        <w:t>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25"/>
          <w:rFonts w:ascii="黑体" w:hAnsi="黑体" w:eastAsia="黑体"/>
          <w:b w:val="0"/>
        </w:rPr>
      </w:pPr>
      <w:bookmarkStart w:id="88" w:name="_Toc15377226"/>
      <w:r>
        <w:rPr>
          <w:rFonts w:ascii="宋体"/>
          <w:b/>
          <w:sz w:val="44"/>
          <w:szCs w:val="44"/>
        </w:rPr>
        <w:br w:type="page"/>
      </w:r>
      <w:bookmarkStart w:id="89" w:name="_Toc15396614"/>
      <w:bookmarkStart w:id="90" w:name="_Toc10354"/>
      <w:r>
        <w:rPr>
          <w:rFonts w:hint="eastAsia" w:ascii="黑体" w:hAnsi="黑体" w:eastAsia="黑体"/>
          <w:sz w:val="44"/>
          <w:szCs w:val="44"/>
        </w:rPr>
        <w:t>第</w:t>
      </w:r>
      <w:r>
        <w:rPr>
          <w:rStyle w:val="25"/>
          <w:rFonts w:hint="eastAsia" w:ascii="黑体" w:hAnsi="黑体" w:eastAsia="黑体"/>
          <w:b w:val="0"/>
        </w:rPr>
        <w:t>四部分 附件</w:t>
      </w:r>
      <w:bookmarkEnd w:id="89"/>
      <w:bookmarkEnd w:id="90"/>
    </w:p>
    <w:p>
      <w:pPr>
        <w:spacing w:line="572" w:lineRule="exact"/>
        <w:jc w:val="left"/>
        <w:outlineLvl w:val="0"/>
        <w:rPr>
          <w:rFonts w:hint="eastAsia" w:ascii="黑体" w:hAnsi="黑体" w:eastAsia="黑体" w:cs="黑体"/>
          <w:sz w:val="28"/>
          <w:szCs w:val="28"/>
        </w:rPr>
      </w:pPr>
    </w:p>
    <w:p>
      <w:pPr>
        <w:spacing w:line="600" w:lineRule="exact"/>
        <w:jc w:val="center"/>
        <w:outlineLvl w:val="0"/>
        <w:rPr>
          <w:rFonts w:hint="eastAsia" w:ascii="宋体" w:hAnsi="宋体" w:eastAsia="宋体" w:cs="宋体"/>
          <w:kern w:val="0"/>
          <w:sz w:val="32"/>
          <w:szCs w:val="32"/>
          <w:highlight w:val="none"/>
        </w:rPr>
      </w:pPr>
      <w:bookmarkStart w:id="91" w:name="_Toc26496"/>
      <w:bookmarkStart w:id="92" w:name="_Toc15396618"/>
      <w:r>
        <w:rPr>
          <w:rFonts w:hint="eastAsia" w:ascii="宋体" w:hAnsi="宋体" w:eastAsia="宋体" w:cs="宋体"/>
          <w:kern w:val="0"/>
          <w:sz w:val="32"/>
          <w:szCs w:val="32"/>
          <w:highlight w:val="none"/>
        </w:rPr>
        <w:t>部门预算项目支出绩效自评表（2022年度）</w:t>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LINK Excel.Sheet.12 "E:\\2022部门预算项目支出绩效自评表.xlsx" "自评表!R205C1:R223C11" \a \f 4 \h  \* MERGEFORMAT </w:instrText>
      </w:r>
      <w:r>
        <w:rPr>
          <w:rFonts w:hint="eastAsia" w:ascii="宋体" w:hAnsi="宋体" w:eastAsia="宋体" w:cs="宋体"/>
          <w:sz w:val="32"/>
          <w:szCs w:val="32"/>
          <w:highlight w:val="none"/>
        </w:rPr>
        <w:fldChar w:fldCharType="separate"/>
      </w:r>
      <w:bookmarkEnd w:id="91"/>
    </w:p>
    <w:p>
      <w:pPr>
        <w:spacing w:line="600" w:lineRule="exact"/>
        <w:jc w:val="center"/>
        <w:outlineLvl w:val="0"/>
        <w:rPr>
          <w:rFonts w:hint="default" w:ascii="宋体" w:hAnsi="宋体" w:cs="宋体"/>
          <w:kern w:val="0"/>
          <w:sz w:val="32"/>
          <w:szCs w:val="32"/>
          <w:highlight w:val="none"/>
          <w:lang w:val="en-US" w:eastAsia="zh-CN"/>
        </w:rPr>
      </w:pPr>
      <w:bookmarkStart w:id="93" w:name="_Toc19637"/>
      <w:r>
        <w:rPr>
          <w:rFonts w:hint="eastAsia" w:ascii="宋体" w:hAnsi="宋体" w:eastAsia="宋体" w:cs="宋体"/>
          <w:kern w:val="0"/>
          <w:sz w:val="32"/>
          <w:szCs w:val="32"/>
          <w:highlight w:val="none"/>
        </w:rPr>
        <w:fldChar w:fldCharType="end"/>
      </w:r>
      <w:bookmarkEnd w:id="93"/>
    </w:p>
    <w:p>
      <w:pPr>
        <w:pStyle w:val="2"/>
        <w:spacing w:before="93"/>
        <w:rPr>
          <w:rFonts w:hint="eastAsia"/>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rPr>
          <w:rFonts w:hint="eastAsia" w:ascii="黑体" w:hAnsi="黑体" w:eastAsia="黑体"/>
          <w:sz w:val="44"/>
          <w:szCs w:val="44"/>
        </w:rPr>
      </w:pPr>
      <w:r>
        <w:rPr>
          <w:rFonts w:hint="eastAsia" w:ascii="黑体" w:hAnsi="黑体" w:eastAsia="黑体"/>
          <w:sz w:val="44"/>
          <w:szCs w:val="44"/>
        </w:rPr>
        <w:br w:type="page"/>
      </w:r>
    </w:p>
    <w:p>
      <w:pPr>
        <w:spacing w:line="600" w:lineRule="exact"/>
        <w:jc w:val="center"/>
        <w:outlineLvl w:val="0"/>
        <w:rPr>
          <w:rStyle w:val="25"/>
          <w:rFonts w:hint="eastAsia" w:ascii="黑体" w:hAnsi="黑体" w:eastAsia="黑体"/>
          <w:b w:val="0"/>
        </w:rPr>
      </w:pPr>
      <w:bookmarkStart w:id="94" w:name="_Toc17774"/>
      <w:r>
        <w:rPr>
          <w:rFonts w:hint="eastAsia" w:ascii="黑体" w:hAnsi="黑体" w:eastAsia="黑体"/>
          <w:sz w:val="44"/>
          <w:szCs w:val="44"/>
        </w:rPr>
        <w:t>第</w:t>
      </w:r>
      <w:r>
        <w:rPr>
          <w:rStyle w:val="25"/>
          <w:rFonts w:hint="eastAsia" w:ascii="黑体" w:hAnsi="黑体" w:eastAsia="黑体"/>
          <w:b w:val="0"/>
        </w:rPr>
        <w:t>五部分 附表</w:t>
      </w:r>
      <w:bookmarkEnd w:id="88"/>
      <w:bookmarkEnd w:id="92"/>
      <w:bookmarkEnd w:id="94"/>
      <w:bookmarkStart w:id="95" w:name="_Toc15396619"/>
    </w:p>
    <w:p>
      <w:pPr>
        <w:pStyle w:val="2"/>
        <w:rPr>
          <w:rFonts w:hint="eastAsia" w:ascii="黑体" w:hAnsi="黑体" w:eastAsia="黑体" w:cs="黑体"/>
          <w:sz w:val="24"/>
          <w:szCs w:val="21"/>
        </w:rPr>
      </w:pPr>
    </w:p>
    <w:p>
      <w:pPr>
        <w:pStyle w:val="4"/>
        <w:rPr>
          <w:rFonts w:ascii="仿宋" w:hAnsi="仿宋" w:eastAsia="仿宋"/>
        </w:rPr>
      </w:pPr>
      <w:bookmarkStart w:id="96" w:name="_Toc29671"/>
      <w:bookmarkStart w:id="97" w:name="_Toc18495"/>
      <w:r>
        <w:rPr>
          <w:rFonts w:hint="eastAsia" w:ascii="仿宋" w:hAnsi="仿宋" w:eastAsia="仿宋"/>
          <w:b w:val="0"/>
        </w:rPr>
        <w:t>一、收</w:t>
      </w:r>
      <w:r>
        <w:rPr>
          <w:rStyle w:val="26"/>
          <w:rFonts w:hint="eastAsia" w:ascii="仿宋" w:hAnsi="仿宋" w:eastAsia="仿宋"/>
          <w:b w:val="0"/>
          <w:bCs w:val="0"/>
        </w:rPr>
        <w:t>入支出决算总表</w:t>
      </w:r>
      <w:bookmarkEnd w:id="95"/>
      <w:bookmarkEnd w:id="96"/>
      <w:bookmarkEnd w:id="97"/>
    </w:p>
    <w:p>
      <w:pPr>
        <w:pStyle w:val="4"/>
        <w:rPr>
          <w:rFonts w:ascii="仿宋" w:hAnsi="仿宋" w:eastAsia="仿宋"/>
        </w:rPr>
      </w:pPr>
      <w:bookmarkStart w:id="98" w:name="_Toc32645"/>
      <w:bookmarkStart w:id="99" w:name="_Toc10618"/>
      <w:bookmarkStart w:id="100" w:name="_Toc15396620"/>
      <w:r>
        <w:rPr>
          <w:rFonts w:hint="eastAsia" w:ascii="仿宋" w:hAnsi="仿宋" w:eastAsia="仿宋"/>
          <w:b w:val="0"/>
        </w:rPr>
        <w:t>二、收</w:t>
      </w:r>
      <w:r>
        <w:rPr>
          <w:rStyle w:val="26"/>
          <w:rFonts w:hint="eastAsia" w:ascii="仿宋" w:hAnsi="仿宋" w:eastAsia="仿宋"/>
          <w:b w:val="0"/>
          <w:bCs w:val="0"/>
        </w:rPr>
        <w:t>入决算表</w:t>
      </w:r>
      <w:bookmarkEnd w:id="98"/>
      <w:bookmarkEnd w:id="99"/>
      <w:bookmarkEnd w:id="100"/>
    </w:p>
    <w:p>
      <w:pPr>
        <w:pStyle w:val="4"/>
        <w:rPr>
          <w:rFonts w:ascii="仿宋" w:hAnsi="仿宋" w:eastAsia="仿宋"/>
        </w:rPr>
      </w:pPr>
      <w:bookmarkStart w:id="101" w:name="_Toc15396621"/>
      <w:bookmarkStart w:id="102" w:name="_Toc24723"/>
      <w:bookmarkStart w:id="103" w:name="_Toc25848"/>
      <w:r>
        <w:rPr>
          <w:rStyle w:val="26"/>
          <w:rFonts w:hint="eastAsia" w:ascii="仿宋" w:hAnsi="仿宋" w:eastAsia="仿宋"/>
          <w:b w:val="0"/>
          <w:bCs w:val="0"/>
        </w:rPr>
        <w:t>三、</w:t>
      </w:r>
      <w:r>
        <w:rPr>
          <w:rFonts w:hint="eastAsia" w:ascii="仿宋" w:hAnsi="仿宋" w:eastAsia="仿宋"/>
          <w:b w:val="0"/>
        </w:rPr>
        <w:t>支</w:t>
      </w:r>
      <w:r>
        <w:rPr>
          <w:rStyle w:val="26"/>
          <w:rFonts w:hint="eastAsia" w:ascii="仿宋" w:hAnsi="仿宋" w:eastAsia="仿宋"/>
          <w:b w:val="0"/>
          <w:bCs w:val="0"/>
        </w:rPr>
        <w:t>出决算表</w:t>
      </w:r>
      <w:bookmarkEnd w:id="101"/>
      <w:bookmarkEnd w:id="102"/>
      <w:bookmarkEnd w:id="103"/>
    </w:p>
    <w:p>
      <w:pPr>
        <w:pStyle w:val="4"/>
        <w:rPr>
          <w:rFonts w:ascii="仿宋" w:hAnsi="仿宋" w:eastAsia="仿宋"/>
          <w:b w:val="0"/>
        </w:rPr>
      </w:pPr>
      <w:bookmarkStart w:id="104" w:name="_Toc15396622"/>
      <w:bookmarkStart w:id="105" w:name="_Toc76"/>
      <w:bookmarkStart w:id="106" w:name="_Toc28531"/>
      <w:r>
        <w:rPr>
          <w:rStyle w:val="26"/>
          <w:rFonts w:hint="eastAsia" w:ascii="仿宋" w:hAnsi="仿宋" w:eastAsia="仿宋"/>
          <w:b w:val="0"/>
          <w:bCs w:val="0"/>
        </w:rPr>
        <w:t>四、</w:t>
      </w:r>
      <w:r>
        <w:rPr>
          <w:rFonts w:hint="eastAsia" w:ascii="仿宋" w:hAnsi="仿宋" w:eastAsia="仿宋"/>
          <w:b w:val="0"/>
        </w:rPr>
        <w:t>财</w:t>
      </w:r>
      <w:r>
        <w:rPr>
          <w:rStyle w:val="26"/>
          <w:rFonts w:hint="eastAsia" w:ascii="仿宋" w:hAnsi="仿宋" w:eastAsia="仿宋"/>
          <w:b w:val="0"/>
          <w:bCs w:val="0"/>
        </w:rPr>
        <w:t>政拨款收入支出决算总表</w:t>
      </w:r>
      <w:bookmarkEnd w:id="104"/>
      <w:bookmarkEnd w:id="105"/>
      <w:bookmarkEnd w:id="106"/>
    </w:p>
    <w:p>
      <w:pPr>
        <w:pStyle w:val="4"/>
        <w:rPr>
          <w:rStyle w:val="26"/>
          <w:rFonts w:ascii="仿宋" w:hAnsi="仿宋" w:eastAsia="仿宋"/>
          <w:b w:val="0"/>
          <w:bCs w:val="0"/>
        </w:rPr>
      </w:pPr>
      <w:bookmarkStart w:id="107" w:name="_Toc15396623"/>
      <w:bookmarkStart w:id="108" w:name="_Toc23959"/>
      <w:bookmarkStart w:id="109" w:name="_Toc6309"/>
      <w:r>
        <w:rPr>
          <w:rStyle w:val="26"/>
          <w:rFonts w:hint="eastAsia" w:ascii="仿宋" w:hAnsi="仿宋" w:eastAsia="仿宋"/>
          <w:b w:val="0"/>
          <w:bCs w:val="0"/>
        </w:rPr>
        <w:t>五、</w:t>
      </w:r>
      <w:r>
        <w:rPr>
          <w:rFonts w:hint="eastAsia" w:ascii="仿宋" w:hAnsi="仿宋" w:eastAsia="仿宋"/>
          <w:b w:val="0"/>
        </w:rPr>
        <w:t>财</w:t>
      </w:r>
      <w:r>
        <w:rPr>
          <w:rStyle w:val="26"/>
          <w:rFonts w:hint="eastAsia" w:ascii="仿宋" w:hAnsi="仿宋" w:eastAsia="仿宋"/>
          <w:b w:val="0"/>
          <w:bCs w:val="0"/>
        </w:rPr>
        <w:t>政拨款支出决算明细表</w:t>
      </w:r>
      <w:bookmarkEnd w:id="107"/>
      <w:bookmarkEnd w:id="108"/>
      <w:bookmarkEnd w:id="109"/>
      <w:bookmarkStart w:id="110" w:name="_Toc15396624"/>
    </w:p>
    <w:p>
      <w:pPr>
        <w:pStyle w:val="4"/>
        <w:rPr>
          <w:rFonts w:ascii="仿宋" w:hAnsi="仿宋" w:eastAsia="仿宋"/>
        </w:rPr>
      </w:pPr>
      <w:bookmarkStart w:id="111" w:name="_Toc6092"/>
      <w:bookmarkStart w:id="112" w:name="_Toc11735"/>
      <w:r>
        <w:rPr>
          <w:rStyle w:val="26"/>
          <w:rFonts w:hint="eastAsia" w:ascii="仿宋" w:hAnsi="仿宋" w:eastAsia="仿宋"/>
          <w:b w:val="0"/>
          <w:bCs w:val="0"/>
        </w:rPr>
        <w:t>六、</w:t>
      </w:r>
      <w:r>
        <w:rPr>
          <w:rFonts w:hint="eastAsia" w:ascii="仿宋" w:hAnsi="仿宋" w:eastAsia="仿宋"/>
          <w:b w:val="0"/>
        </w:rPr>
        <w:t>一</w:t>
      </w:r>
      <w:r>
        <w:rPr>
          <w:rStyle w:val="26"/>
          <w:rFonts w:hint="eastAsia" w:ascii="仿宋" w:hAnsi="仿宋" w:eastAsia="仿宋"/>
          <w:b w:val="0"/>
          <w:bCs w:val="0"/>
        </w:rPr>
        <w:t>般公共预算财政拨款支出决算表</w:t>
      </w:r>
      <w:bookmarkEnd w:id="110"/>
      <w:bookmarkEnd w:id="111"/>
      <w:bookmarkEnd w:id="112"/>
    </w:p>
    <w:p>
      <w:pPr>
        <w:pStyle w:val="4"/>
        <w:rPr>
          <w:rFonts w:ascii="仿宋" w:hAnsi="仿宋" w:eastAsia="仿宋"/>
        </w:rPr>
      </w:pPr>
      <w:bookmarkStart w:id="113" w:name="_Toc30100"/>
      <w:bookmarkStart w:id="114" w:name="_Toc15396625"/>
      <w:bookmarkStart w:id="115" w:name="_Toc25313"/>
      <w:r>
        <w:rPr>
          <w:rStyle w:val="26"/>
          <w:rFonts w:hint="eastAsia" w:ascii="仿宋" w:hAnsi="仿宋" w:eastAsia="仿宋"/>
          <w:b w:val="0"/>
          <w:bCs w:val="0"/>
        </w:rPr>
        <w:t>七、</w:t>
      </w:r>
      <w:r>
        <w:rPr>
          <w:rFonts w:hint="eastAsia" w:ascii="仿宋" w:hAnsi="仿宋" w:eastAsia="仿宋"/>
          <w:b w:val="0"/>
        </w:rPr>
        <w:t>一</w:t>
      </w:r>
      <w:r>
        <w:rPr>
          <w:rStyle w:val="26"/>
          <w:rFonts w:hint="eastAsia" w:ascii="仿宋" w:hAnsi="仿宋" w:eastAsia="仿宋"/>
          <w:b w:val="0"/>
          <w:bCs w:val="0"/>
        </w:rPr>
        <w:t>般公共预算财政拨款支出决算明细表</w:t>
      </w:r>
      <w:bookmarkEnd w:id="113"/>
      <w:bookmarkEnd w:id="114"/>
      <w:bookmarkEnd w:id="115"/>
    </w:p>
    <w:p>
      <w:pPr>
        <w:pStyle w:val="4"/>
        <w:rPr>
          <w:rFonts w:ascii="仿宋" w:hAnsi="仿宋" w:eastAsia="仿宋"/>
        </w:rPr>
      </w:pPr>
      <w:bookmarkStart w:id="116" w:name="_Toc30676"/>
      <w:bookmarkStart w:id="117" w:name="_Toc15396626"/>
      <w:bookmarkStart w:id="118" w:name="_Toc10295"/>
      <w:r>
        <w:rPr>
          <w:rStyle w:val="26"/>
          <w:rFonts w:hint="eastAsia" w:ascii="仿宋" w:hAnsi="仿宋" w:eastAsia="仿宋"/>
          <w:b w:val="0"/>
          <w:bCs w:val="0"/>
        </w:rPr>
        <w:t>八、</w:t>
      </w:r>
      <w:r>
        <w:rPr>
          <w:rFonts w:hint="eastAsia" w:ascii="仿宋" w:hAnsi="仿宋" w:eastAsia="仿宋"/>
          <w:b w:val="0"/>
        </w:rPr>
        <w:t>一</w:t>
      </w:r>
      <w:r>
        <w:rPr>
          <w:rStyle w:val="26"/>
          <w:rFonts w:hint="eastAsia" w:ascii="仿宋" w:hAnsi="仿宋" w:eastAsia="仿宋"/>
          <w:b w:val="0"/>
          <w:bCs w:val="0"/>
        </w:rPr>
        <w:t>般公共预算财政拨款基本支出决算表</w:t>
      </w:r>
      <w:bookmarkEnd w:id="116"/>
      <w:bookmarkEnd w:id="117"/>
      <w:bookmarkEnd w:id="118"/>
    </w:p>
    <w:p>
      <w:pPr>
        <w:pStyle w:val="4"/>
        <w:rPr>
          <w:rFonts w:ascii="仿宋" w:hAnsi="仿宋" w:eastAsia="仿宋"/>
        </w:rPr>
      </w:pPr>
      <w:bookmarkStart w:id="119" w:name="_Toc21318"/>
      <w:bookmarkStart w:id="120" w:name="_Toc15396627"/>
      <w:bookmarkStart w:id="121" w:name="_Toc27769"/>
      <w:r>
        <w:rPr>
          <w:rStyle w:val="26"/>
          <w:rFonts w:hint="eastAsia" w:ascii="仿宋" w:hAnsi="仿宋" w:eastAsia="仿宋"/>
          <w:b w:val="0"/>
          <w:bCs w:val="0"/>
        </w:rPr>
        <w:t>九、</w:t>
      </w:r>
      <w:r>
        <w:rPr>
          <w:rFonts w:hint="eastAsia" w:ascii="仿宋" w:hAnsi="仿宋" w:eastAsia="仿宋"/>
          <w:b w:val="0"/>
        </w:rPr>
        <w:t>一</w:t>
      </w:r>
      <w:r>
        <w:rPr>
          <w:rStyle w:val="26"/>
          <w:rFonts w:hint="eastAsia" w:ascii="仿宋" w:hAnsi="仿宋" w:eastAsia="仿宋"/>
          <w:b w:val="0"/>
          <w:bCs w:val="0"/>
        </w:rPr>
        <w:t>般公共预算财政拨款项目支出决算表</w:t>
      </w:r>
      <w:bookmarkEnd w:id="119"/>
      <w:bookmarkEnd w:id="120"/>
      <w:bookmarkEnd w:id="121"/>
    </w:p>
    <w:p>
      <w:pPr>
        <w:pStyle w:val="4"/>
        <w:rPr>
          <w:rFonts w:ascii="仿宋" w:hAnsi="仿宋" w:eastAsia="仿宋"/>
        </w:rPr>
      </w:pPr>
      <w:bookmarkStart w:id="122" w:name="_Toc15396628"/>
      <w:bookmarkStart w:id="123" w:name="_Toc17660"/>
      <w:bookmarkStart w:id="124" w:name="_Toc21599"/>
      <w:r>
        <w:rPr>
          <w:rStyle w:val="26"/>
          <w:rFonts w:hint="eastAsia" w:ascii="仿宋" w:hAnsi="仿宋" w:eastAsia="仿宋"/>
          <w:b w:val="0"/>
          <w:bCs w:val="0"/>
        </w:rPr>
        <w:t>十、</w:t>
      </w:r>
      <w:bookmarkEnd w:id="122"/>
      <w:r>
        <w:rPr>
          <w:rFonts w:hint="eastAsia" w:ascii="仿宋" w:hAnsi="仿宋" w:eastAsia="仿宋"/>
          <w:b w:val="0"/>
        </w:rPr>
        <w:t>政</w:t>
      </w:r>
      <w:r>
        <w:rPr>
          <w:rStyle w:val="26"/>
          <w:rFonts w:hint="eastAsia" w:ascii="仿宋" w:hAnsi="仿宋" w:eastAsia="仿宋"/>
          <w:b w:val="0"/>
          <w:bCs w:val="0"/>
        </w:rPr>
        <w:t>府性基金预算财政拨款收入支出决算表</w:t>
      </w:r>
      <w:bookmarkEnd w:id="123"/>
      <w:bookmarkEnd w:id="124"/>
    </w:p>
    <w:p>
      <w:pPr>
        <w:pStyle w:val="4"/>
        <w:rPr>
          <w:rFonts w:ascii="仿宋" w:hAnsi="仿宋" w:eastAsia="仿宋"/>
        </w:rPr>
      </w:pPr>
      <w:bookmarkStart w:id="125" w:name="_Toc15396629"/>
      <w:bookmarkStart w:id="126" w:name="_Toc10422"/>
      <w:bookmarkStart w:id="127" w:name="_Toc25935"/>
      <w:r>
        <w:rPr>
          <w:rStyle w:val="26"/>
          <w:rFonts w:hint="eastAsia" w:ascii="仿宋" w:hAnsi="仿宋" w:eastAsia="仿宋"/>
          <w:b w:val="0"/>
          <w:bCs w:val="0"/>
        </w:rPr>
        <w:t>十一、</w:t>
      </w:r>
      <w:bookmarkEnd w:id="125"/>
      <w:r>
        <w:rPr>
          <w:rFonts w:hint="eastAsia" w:ascii="仿宋" w:hAnsi="仿宋" w:eastAsia="仿宋"/>
          <w:b w:val="0"/>
        </w:rPr>
        <w:t>国</w:t>
      </w:r>
      <w:r>
        <w:rPr>
          <w:rStyle w:val="26"/>
          <w:rFonts w:hint="eastAsia" w:ascii="仿宋" w:hAnsi="仿宋" w:eastAsia="仿宋"/>
          <w:b w:val="0"/>
          <w:bCs w:val="0"/>
        </w:rPr>
        <w:t>有资本经营预算财政拨款收入支出决算表</w:t>
      </w:r>
      <w:bookmarkEnd w:id="126"/>
      <w:bookmarkEnd w:id="127"/>
    </w:p>
    <w:p>
      <w:pPr>
        <w:pStyle w:val="4"/>
        <w:rPr>
          <w:rFonts w:ascii="仿宋" w:hAnsi="仿宋" w:eastAsia="仿宋"/>
        </w:rPr>
      </w:pPr>
      <w:bookmarkStart w:id="128" w:name="_Toc15396630"/>
      <w:bookmarkStart w:id="129" w:name="_Toc18812"/>
      <w:bookmarkStart w:id="130" w:name="_Toc24371"/>
      <w:r>
        <w:rPr>
          <w:rStyle w:val="26"/>
          <w:rFonts w:hint="eastAsia" w:ascii="仿宋" w:hAnsi="仿宋" w:eastAsia="仿宋"/>
          <w:b w:val="0"/>
          <w:bCs w:val="0"/>
        </w:rPr>
        <w:t>十二、</w:t>
      </w:r>
      <w:bookmarkEnd w:id="128"/>
      <w:r>
        <w:rPr>
          <w:rStyle w:val="26"/>
          <w:rFonts w:hint="eastAsia" w:ascii="仿宋" w:hAnsi="仿宋" w:eastAsia="仿宋"/>
          <w:b w:val="0"/>
          <w:bCs w:val="0"/>
        </w:rPr>
        <w:t>国有资本经营预算财政拨款支出决算表</w:t>
      </w:r>
      <w:bookmarkEnd w:id="129"/>
      <w:bookmarkEnd w:id="130"/>
    </w:p>
    <w:p>
      <w:pPr>
        <w:pStyle w:val="4"/>
        <w:rPr>
          <w:rFonts w:eastAsia="仿宋"/>
        </w:rPr>
      </w:pPr>
      <w:bookmarkStart w:id="131" w:name="_Toc15396631"/>
      <w:bookmarkStart w:id="132" w:name="_Toc6046"/>
      <w:bookmarkStart w:id="133" w:name="_Toc24502"/>
      <w:r>
        <w:rPr>
          <w:rStyle w:val="26"/>
          <w:rFonts w:hint="eastAsia" w:ascii="仿宋" w:hAnsi="仿宋" w:eastAsia="仿宋"/>
          <w:b w:val="0"/>
          <w:bCs w:val="0"/>
        </w:rPr>
        <w:t>十三、</w:t>
      </w:r>
      <w:bookmarkEnd w:id="131"/>
      <w:r>
        <w:rPr>
          <w:rStyle w:val="26"/>
          <w:rFonts w:hint="eastAsia" w:ascii="仿宋" w:hAnsi="仿宋" w:eastAsia="仿宋"/>
          <w:b w:val="0"/>
          <w:bCs w:val="0"/>
        </w:rPr>
        <w:t>财政拨款“三公”经费支出决算表</w:t>
      </w:r>
      <w:bookmarkEnd w:id="132"/>
      <w:bookmarkEnd w:id="133"/>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Cambria">
    <w:altName w:val="Georgia"/>
    <w:panose1 w:val="02040503050406030204"/>
    <w:charset w:val="00"/>
    <w:family w:val="roman"/>
    <w:pitch w:val="default"/>
    <w:sig w:usb0="00000000" w:usb1="00000000" w:usb2="02000000" w:usb3="00000000" w:csb0="2000019F" w:csb1="00000000"/>
  </w:font>
  <w:font w:name="仿宋_GB2312">
    <w:altName w:val="Times New Roman"/>
    <w:panose1 w:val="02010609030101010101"/>
    <w:charset w:val="86"/>
    <w:family w:val="modern"/>
    <w:pitch w:val="default"/>
    <w:sig w:usb0="00000000" w:usb1="00000000" w:usb2="00000010" w:usb3="00000000" w:csb0="00040000" w:csb1="00000000"/>
  </w:font>
  <w:font w:name="仿宋">
    <w:altName w:val="Times New Roman"/>
    <w:panose1 w:val="02010609060101010101"/>
    <w:charset w:val="86"/>
    <w:family w:val="auto"/>
    <w:pitch w:val="default"/>
    <w:sig w:usb0="00000000" w:usb1="00000000" w:usb2="00000016" w:usb3="00000000" w:csb0="00040001" w:csb1="00000000"/>
  </w:font>
  <w:font w:name="方正小标宋简体">
    <w:altName w:val="Times New Roman"/>
    <w:panose1 w:val="02000000000000000000"/>
    <w:charset w:val="86"/>
    <w:family w:val="script"/>
    <w:pitch w:val="default"/>
    <w:sig w:usb0="00000000" w:usb1="00000000" w:usb2="00000000" w:usb3="00000000" w:csb0="00040000" w:csb1="00000000"/>
  </w:font>
  <w:font w:name="Georgia">
    <w:panose1 w:val="02040502050405020303"/>
    <w:charset w:val="00"/>
    <w:family w:val="auto"/>
    <w:pitch w:val="default"/>
    <w:sig w:usb0="00000287" w:usb1="00000000" w:usb2="00000000" w:usb3="00000000" w:csb0="2000009F" w:csb1="00000000"/>
  </w:font>
  <w:font w:name="方正仿宋_GBK">
    <w:altName w:val="Times New Roman"/>
    <w:panose1 w:val="00000000000000000000"/>
    <w:charset w:val="00"/>
    <w:family w:val="auto"/>
    <w:pitch w:val="default"/>
    <w:sig w:usb0="00000000" w:usb1="00000000" w:usb2="00000000" w:usb3="00000000" w:csb0="00000000" w:csb1="00000000"/>
  </w:font>
  <w:font w:name="方正小标宋_GBK">
    <w:altName w:val="Times New Roman"/>
    <w:panose1 w:val="00000000000000000000"/>
    <w:charset w:val="00"/>
    <w:family w:val="auto"/>
    <w:pitch w:val="default"/>
    <w:sig w:usb0="00000000" w:usb1="00000000" w:usb2="00000000" w:usb3="00000000" w:csb0="00000000" w:csb1="00000000"/>
  </w:font>
  <w:font w:name="乐见体">
    <w:panose1 w:val="02020400000000000000"/>
    <w:charset w:val="86"/>
    <w:family w:val="auto"/>
    <w:pitch w:val="default"/>
    <w:sig w:usb0="80000003" w:usb1="08012000" w:usb2="00000012" w:usb3="00000000" w:csb0="00040001" w:csb1="00000000"/>
  </w:font>
  <w:font w:name="华文中宋">
    <w:panose1 w:val="02010600040101010101"/>
    <w:charset w:val="86"/>
    <w:family w:val="auto"/>
    <w:pitch w:val="default"/>
    <w:sig w:usb0="00000287" w:usb1="080F0000" w:usb2="00000000" w:usb3="00000000" w:csb0="0004009F" w:csb1="DFD70000"/>
  </w:font>
  <w:font w:name="黑体">
    <w:altName w:val="汉仪中黑K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0lY7goBAAAFAQAADwAAAAAAAAABACAAAAAiAAAAZHJzL2Rvd25yZXYueG1sUEsBAhQA&#10;FAAAAAgAh07iQAKVIPQyAgAAYQQAAA4AAAAAAAAAAQAgAAAAWQEAAGRycy9lMm9Eb2MueG1sUEsF&#10;BgAAAAAGAAYAWQEAAP0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202D0B"/>
    <w:multiLevelType w:val="singleLevel"/>
    <w:tmpl w:val="C1202D0B"/>
    <w:lvl w:ilvl="0" w:tentative="0">
      <w:start w:val="1"/>
      <w:numFmt w:val="decimal"/>
      <w:suff w:val="nothing"/>
      <w:lvlText w:val="%1．"/>
      <w:lvlJc w:val="left"/>
      <w:pPr>
        <w:ind w:left="0" w:firstLine="400"/>
      </w:pPr>
      <w:rPr>
        <w:rFonts w:hint="default"/>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551F3"/>
    <w:rsid w:val="0006487A"/>
    <w:rsid w:val="00065F8F"/>
    <w:rsid w:val="00070A43"/>
    <w:rsid w:val="000768F2"/>
    <w:rsid w:val="00090C33"/>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439E"/>
    <w:rsid w:val="001877A7"/>
    <w:rsid w:val="00191536"/>
    <w:rsid w:val="00196687"/>
    <w:rsid w:val="001C0962"/>
    <w:rsid w:val="001D7531"/>
    <w:rsid w:val="001E737D"/>
    <w:rsid w:val="001F0592"/>
    <w:rsid w:val="001F5DA8"/>
    <w:rsid w:val="001F7506"/>
    <w:rsid w:val="002006CD"/>
    <w:rsid w:val="00202B36"/>
    <w:rsid w:val="00204B7A"/>
    <w:rsid w:val="00204CDE"/>
    <w:rsid w:val="0021101A"/>
    <w:rsid w:val="00220536"/>
    <w:rsid w:val="00235629"/>
    <w:rsid w:val="00260C38"/>
    <w:rsid w:val="002616C0"/>
    <w:rsid w:val="00265372"/>
    <w:rsid w:val="002662AA"/>
    <w:rsid w:val="00280496"/>
    <w:rsid w:val="00294512"/>
    <w:rsid w:val="00294DC9"/>
    <w:rsid w:val="00295495"/>
    <w:rsid w:val="002A31DE"/>
    <w:rsid w:val="002B2613"/>
    <w:rsid w:val="002D6D05"/>
    <w:rsid w:val="002D7D5F"/>
    <w:rsid w:val="002F1818"/>
    <w:rsid w:val="002F567B"/>
    <w:rsid w:val="003216A9"/>
    <w:rsid w:val="00333CB0"/>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148F"/>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669"/>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16D5"/>
    <w:rsid w:val="00605688"/>
    <w:rsid w:val="006070AF"/>
    <w:rsid w:val="00607E6C"/>
    <w:rsid w:val="006101B1"/>
    <w:rsid w:val="00614E44"/>
    <w:rsid w:val="0062270A"/>
    <w:rsid w:val="00622830"/>
    <w:rsid w:val="00623DA0"/>
    <w:rsid w:val="00630AEF"/>
    <w:rsid w:val="006325F8"/>
    <w:rsid w:val="00633463"/>
    <w:rsid w:val="00634C9A"/>
    <w:rsid w:val="006440E4"/>
    <w:rsid w:val="006467A1"/>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7799B"/>
    <w:rsid w:val="00885AF4"/>
    <w:rsid w:val="008939CD"/>
    <w:rsid w:val="008B4441"/>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0755B"/>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2272D"/>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0407"/>
    <w:rsid w:val="00C533CC"/>
    <w:rsid w:val="00C5751C"/>
    <w:rsid w:val="00C61BFC"/>
    <w:rsid w:val="00C62B85"/>
    <w:rsid w:val="00C65438"/>
    <w:rsid w:val="00C8501D"/>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0256"/>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3031"/>
    <w:rsid w:val="00E07ACF"/>
    <w:rsid w:val="00E331A1"/>
    <w:rsid w:val="00E33202"/>
    <w:rsid w:val="00E336A9"/>
    <w:rsid w:val="00E472B1"/>
    <w:rsid w:val="00E50624"/>
    <w:rsid w:val="00E568DF"/>
    <w:rsid w:val="00E64269"/>
    <w:rsid w:val="00E82267"/>
    <w:rsid w:val="00E853CE"/>
    <w:rsid w:val="00E867B6"/>
    <w:rsid w:val="00EA010F"/>
    <w:rsid w:val="00EA4C5E"/>
    <w:rsid w:val="00EA7DF5"/>
    <w:rsid w:val="00EC6A71"/>
    <w:rsid w:val="00ED1B63"/>
    <w:rsid w:val="00ED3C1F"/>
    <w:rsid w:val="00ED4085"/>
    <w:rsid w:val="00ED420E"/>
    <w:rsid w:val="00ED6FBE"/>
    <w:rsid w:val="00EE2F57"/>
    <w:rsid w:val="00EF4C34"/>
    <w:rsid w:val="00EF77C6"/>
    <w:rsid w:val="00F02FEE"/>
    <w:rsid w:val="00F05438"/>
    <w:rsid w:val="00F1361C"/>
    <w:rsid w:val="00F156F0"/>
    <w:rsid w:val="00F160C7"/>
    <w:rsid w:val="00F2408F"/>
    <w:rsid w:val="00F240E9"/>
    <w:rsid w:val="00F36D8F"/>
    <w:rsid w:val="00F417B1"/>
    <w:rsid w:val="00F45853"/>
    <w:rsid w:val="00F602DF"/>
    <w:rsid w:val="00F7110F"/>
    <w:rsid w:val="00F754A1"/>
    <w:rsid w:val="00F81FD9"/>
    <w:rsid w:val="00F841AA"/>
    <w:rsid w:val="00F84A94"/>
    <w:rsid w:val="00F87E96"/>
    <w:rsid w:val="00FA23E8"/>
    <w:rsid w:val="00FC6A30"/>
    <w:rsid w:val="00FD3CC1"/>
    <w:rsid w:val="00FF1E02"/>
    <w:rsid w:val="00FF30B4"/>
    <w:rsid w:val="00FF50A5"/>
    <w:rsid w:val="053A62B5"/>
    <w:rsid w:val="09834289"/>
    <w:rsid w:val="0A2032A3"/>
    <w:rsid w:val="0B8A37D8"/>
    <w:rsid w:val="0C3F6FE8"/>
    <w:rsid w:val="0D1A7792"/>
    <w:rsid w:val="10C055FF"/>
    <w:rsid w:val="118107EC"/>
    <w:rsid w:val="11DD6519"/>
    <w:rsid w:val="11F87F9A"/>
    <w:rsid w:val="16BB723D"/>
    <w:rsid w:val="18015F3F"/>
    <w:rsid w:val="1BE8440E"/>
    <w:rsid w:val="1D155CEE"/>
    <w:rsid w:val="1E7A7ECD"/>
    <w:rsid w:val="20F57F95"/>
    <w:rsid w:val="21C57DF9"/>
    <w:rsid w:val="240371BF"/>
    <w:rsid w:val="25711CC6"/>
    <w:rsid w:val="25C741E6"/>
    <w:rsid w:val="27842671"/>
    <w:rsid w:val="29DB2031"/>
    <w:rsid w:val="29FD04D3"/>
    <w:rsid w:val="2ABE7A3E"/>
    <w:rsid w:val="2CA234A8"/>
    <w:rsid w:val="2E351396"/>
    <w:rsid w:val="2EFA178C"/>
    <w:rsid w:val="30B46D73"/>
    <w:rsid w:val="319F7F4E"/>
    <w:rsid w:val="320D2B61"/>
    <w:rsid w:val="33866183"/>
    <w:rsid w:val="35B56EAB"/>
    <w:rsid w:val="37360047"/>
    <w:rsid w:val="383D272C"/>
    <w:rsid w:val="39836502"/>
    <w:rsid w:val="398D3749"/>
    <w:rsid w:val="39AE70AB"/>
    <w:rsid w:val="3C0C0783"/>
    <w:rsid w:val="3EDB7E3D"/>
    <w:rsid w:val="3F9F3A96"/>
    <w:rsid w:val="41085755"/>
    <w:rsid w:val="42D53EF1"/>
    <w:rsid w:val="43165113"/>
    <w:rsid w:val="4880569A"/>
    <w:rsid w:val="48BF60AB"/>
    <w:rsid w:val="493C27E9"/>
    <w:rsid w:val="496F39ED"/>
    <w:rsid w:val="49CD2151"/>
    <w:rsid w:val="49F76717"/>
    <w:rsid w:val="49FF41D3"/>
    <w:rsid w:val="4A2E34F5"/>
    <w:rsid w:val="4BE068DB"/>
    <w:rsid w:val="4BF6002B"/>
    <w:rsid w:val="4ECE2238"/>
    <w:rsid w:val="510460CD"/>
    <w:rsid w:val="51DB4B86"/>
    <w:rsid w:val="55333C3E"/>
    <w:rsid w:val="5D8F954A"/>
    <w:rsid w:val="5E4A03DF"/>
    <w:rsid w:val="5F773F0E"/>
    <w:rsid w:val="64CA39A1"/>
    <w:rsid w:val="66082078"/>
    <w:rsid w:val="69630ADE"/>
    <w:rsid w:val="6C4A05C8"/>
    <w:rsid w:val="6D3B1A89"/>
    <w:rsid w:val="71BF4EC2"/>
    <w:rsid w:val="727031A0"/>
    <w:rsid w:val="72734D90"/>
    <w:rsid w:val="7412278C"/>
    <w:rsid w:val="77ED8BF8"/>
    <w:rsid w:val="7904082E"/>
    <w:rsid w:val="79DD3A9F"/>
    <w:rsid w:val="79E7B28D"/>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9"/>
    <w:unhideWhenUsed/>
    <w:qFormat/>
    <w:uiPriority w:val="9"/>
    <w:pPr>
      <w:keepNext/>
      <w:keepLines/>
      <w:spacing w:before="260" w:after="260" w:line="416" w:lineRule="auto"/>
      <w:outlineLvl w:val="2"/>
    </w:pPr>
    <w:rPr>
      <w:b/>
      <w:bCs/>
      <w:sz w:val="32"/>
      <w:szCs w:val="32"/>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2"/>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0"/>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semiHidden/>
    <w:qFormat/>
    <w:uiPriority w:val="99"/>
    <w:rPr>
      <w:rFonts w:ascii="Times New Roman" w:hAnsi="Times New Roman"/>
      <w:sz w:val="18"/>
      <w:szCs w:val="18"/>
    </w:rPr>
  </w:style>
  <w:style w:type="character" w:customStyle="1" w:styleId="18">
    <w:name w:val="页眉 字符"/>
    <w:link w:val="9"/>
    <w:semiHidden/>
    <w:qFormat/>
    <w:locked/>
    <w:uiPriority w:val="99"/>
    <w:rPr>
      <w:sz w:val="18"/>
    </w:rPr>
  </w:style>
  <w:style w:type="character" w:customStyle="1" w:styleId="19">
    <w:name w:val="Footer Char"/>
    <w:basedOn w:val="14"/>
    <w:semiHidden/>
    <w:qFormat/>
    <w:uiPriority w:val="99"/>
    <w:rPr>
      <w:rFonts w:ascii="Times New Roman" w:hAnsi="Times New Roman"/>
      <w:sz w:val="18"/>
      <w:szCs w:val="18"/>
    </w:rPr>
  </w:style>
  <w:style w:type="character" w:customStyle="1" w:styleId="20">
    <w:name w:val="页脚 字符"/>
    <w:link w:val="8"/>
    <w:qFormat/>
    <w:locked/>
    <w:uiPriority w:val="99"/>
    <w:rPr>
      <w:sz w:val="18"/>
    </w:rPr>
  </w:style>
  <w:style w:type="character" w:customStyle="1" w:styleId="21">
    <w:name w:val="Body Text Char"/>
    <w:basedOn w:val="14"/>
    <w:semiHidden/>
    <w:qFormat/>
    <w:uiPriority w:val="99"/>
    <w:rPr>
      <w:rFonts w:ascii="Times New Roman" w:hAnsi="Times New Roman"/>
      <w:szCs w:val="24"/>
    </w:rPr>
  </w:style>
  <w:style w:type="character" w:customStyle="1" w:styleId="22">
    <w:name w:val="正文文本 字符"/>
    <w:link w:val="2"/>
    <w:qFormat/>
    <w:locked/>
    <w:uiPriority w:val="99"/>
    <w:rPr>
      <w:rFonts w:ascii="仿宋_GB2312" w:hAnsi="Times New Roman" w:eastAsia="仿宋_GB2312"/>
      <w:sz w:val="24"/>
    </w:rPr>
  </w:style>
  <w:style w:type="paragraph" w:customStyle="1" w:styleId="2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qFormat/>
    <w:uiPriority w:val="34"/>
    <w:pPr>
      <w:ind w:firstLine="420" w:firstLineChars="200"/>
    </w:pPr>
  </w:style>
  <w:style w:type="character" w:customStyle="1" w:styleId="25">
    <w:name w:val="标题 1 字符"/>
    <w:basedOn w:val="14"/>
    <w:link w:val="3"/>
    <w:qFormat/>
    <w:uiPriority w:val="9"/>
    <w:rPr>
      <w:rFonts w:ascii="Times New Roman" w:hAnsi="Times New Roman"/>
      <w:b/>
      <w:bCs/>
      <w:kern w:val="44"/>
      <w:sz w:val="44"/>
      <w:szCs w:val="44"/>
    </w:rPr>
  </w:style>
  <w:style w:type="character" w:customStyle="1" w:styleId="26">
    <w:name w:val="标题 2 字符"/>
    <w:basedOn w:val="14"/>
    <w:link w:val="4"/>
    <w:qFormat/>
    <w:uiPriority w:val="9"/>
    <w:rPr>
      <w:rFonts w:asciiTheme="majorHAnsi" w:hAnsiTheme="majorHAnsi" w:eastAsiaTheme="majorEastAsia" w:cstheme="majorBidi"/>
      <w:b/>
      <w:bCs/>
      <w:kern w:val="2"/>
      <w:sz w:val="32"/>
      <w:szCs w:val="32"/>
    </w:r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字符"/>
    <w:basedOn w:val="14"/>
    <w:link w:val="7"/>
    <w:semiHidden/>
    <w:qFormat/>
    <w:uiPriority w:val="99"/>
    <w:rPr>
      <w:rFonts w:ascii="Times New Roman" w:hAnsi="Times New Roman"/>
      <w:kern w:val="2"/>
      <w:sz w:val="18"/>
      <w:szCs w:val="18"/>
    </w:rPr>
  </w:style>
  <w:style w:type="character" w:customStyle="1" w:styleId="29">
    <w:name w:val="标题 3 字符"/>
    <w:basedOn w:val="14"/>
    <w:link w:val="5"/>
    <w:qFormat/>
    <w:uiPriority w:val="9"/>
    <w:rPr>
      <w:rFonts w:ascii="Times New Roman" w:hAnsi="Times New Roman"/>
      <w:b/>
      <w:bCs/>
      <w:kern w:val="2"/>
      <w:sz w:val="32"/>
      <w:szCs w:val="32"/>
    </w:rPr>
  </w:style>
  <w:style w:type="paragraph" w:customStyle="1" w:styleId="30">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2946.64</c:v>
                </c:pt>
                <c:pt idx="1">
                  <c:v>3542.5</c:v>
                </c:pt>
              </c:numCache>
            </c:numRef>
          </c:val>
        </c:ser>
        <c:dLbls>
          <c:showLegendKey val="0"/>
          <c:showVal val="0"/>
          <c:showCatName val="0"/>
          <c:showSerName val="0"/>
          <c:showPercent val="0"/>
          <c:showBubbleSize val="0"/>
        </c:dLbls>
        <c:gapWidth val="246"/>
        <c:overlap val="-28"/>
        <c:axId val="341299113"/>
        <c:axId val="688604329"/>
      </c:barChart>
      <c:catAx>
        <c:axId val="341299113"/>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88604329"/>
        <c:crosses val="autoZero"/>
        <c:auto val="1"/>
        <c:lblAlgn val="ctr"/>
        <c:lblOffset val="100"/>
        <c:noMultiLvlLbl val="0"/>
      </c:catAx>
      <c:valAx>
        <c:axId val="688604329"/>
        <c:scaling>
          <c:orientation val="minMax"/>
          <c:max val="3600"/>
          <c:min val="2500"/>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129911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302468143148"/>
          <c:y val="0.09375"/>
          <c:w val="0.261491813220133"/>
          <c:h val="0.83179012345679"/>
        </c:manualLayout>
      </c:layout>
      <c:pieChart>
        <c:varyColors val="1"/>
        <c:ser>
          <c:idx val="0"/>
          <c:order val="0"/>
          <c:tx>
            <c:strRef>
              <c:f>Sheet1!$B$1</c:f>
              <c:strCache>
                <c:ptCount val="1"/>
                <c:pt idx="0">
                  <c:v>列1</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elete val="1"/>
          </c:dLbls>
          <c:cat>
            <c:strRef>
              <c:f>Sheet1!$A$2:$A$3</c:f>
              <c:strCache>
                <c:ptCount val="2"/>
                <c:pt idx="0">
                  <c:v>一般公共预算财政拨款收入</c:v>
                </c:pt>
                <c:pt idx="1">
                  <c:v>事业收入</c:v>
                </c:pt>
              </c:strCache>
            </c:strRef>
          </c:cat>
          <c:val>
            <c:numRef>
              <c:f>Sheet1!$B$2:$B$3</c:f>
              <c:numCache>
                <c:formatCode>0.00%</c:formatCode>
                <c:ptCount val="2"/>
                <c:pt idx="0">
                  <c:v>0.9806</c:v>
                </c:pt>
                <c:pt idx="1">
                  <c:v>0.0194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609980027820698"/>
          <c:y val="0.399169417530784"/>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9780907668232"/>
          <c:y val="0.085999312005504"/>
          <c:w val="0.287227639340315"/>
          <c:h val="0.82077743378053"/>
        </c:manualLayout>
      </c:layout>
      <c:pieChart>
        <c:varyColors val="1"/>
        <c:ser>
          <c:idx val="0"/>
          <c:order val="0"/>
          <c:tx>
            <c:strRef>
              <c:f>Sheet1!$B$1</c:f>
              <c:strCache>
                <c:ptCount val="1"/>
                <c:pt idx="0">
                  <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elete val="1"/>
          </c:dLbls>
          <c:cat>
            <c:strRef>
              <c:f>Sheet1!$A$2:$A$3</c:f>
              <c:strCache>
                <c:ptCount val="2"/>
                <c:pt idx="0">
                  <c:v>基本支出</c:v>
                </c:pt>
                <c:pt idx="1">
                  <c:v>项目支出</c:v>
                </c:pt>
              </c:strCache>
            </c:strRef>
          </c:cat>
          <c:val>
            <c:numRef>
              <c:f>Sheet1!$B$2:$B$3</c:f>
              <c:numCache>
                <c:formatCode>General</c:formatCode>
                <c:ptCount val="2"/>
                <c:pt idx="0">
                  <c:v>3056.34</c:v>
                </c:pt>
                <c:pt idx="1">
                  <c:v>486.16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644998194293969"/>
          <c:y val="0.38510491916064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2887.84</c:v>
                </c:pt>
                <c:pt idx="1">
                  <c:v>3480.61</c:v>
                </c:pt>
              </c:numCache>
            </c:numRef>
          </c:val>
        </c:ser>
        <c:dLbls>
          <c:showLegendKey val="0"/>
          <c:showVal val="1"/>
          <c:showCatName val="0"/>
          <c:showSerName val="0"/>
          <c:showPercent val="0"/>
          <c:showBubbleSize val="0"/>
        </c:dLbls>
        <c:gapWidth val="246"/>
        <c:overlap val="-28"/>
        <c:axId val="433990834"/>
        <c:axId val="120988887"/>
      </c:barChart>
      <c:catAx>
        <c:axId val="43399083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0988887"/>
        <c:crosses val="autoZero"/>
        <c:auto val="1"/>
        <c:lblAlgn val="ctr"/>
        <c:lblOffset val="100"/>
        <c:noMultiLvlLbl val="0"/>
      </c:catAx>
      <c:valAx>
        <c:axId val="120988887"/>
        <c:scaling>
          <c:orientation val="minMax"/>
          <c:min val="2600"/>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3990834"/>
        <c:crosses val="autoZero"/>
        <c:crossBetween val="between"/>
        <c:majorUnit val="15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2543.9</c:v>
                </c:pt>
                <c:pt idx="1">
                  <c:v>3480.61</c:v>
                </c:pt>
              </c:numCache>
            </c:numRef>
          </c:val>
        </c:ser>
        <c:dLbls>
          <c:showLegendKey val="0"/>
          <c:showVal val="1"/>
          <c:showCatName val="0"/>
          <c:showSerName val="0"/>
          <c:showPercent val="0"/>
          <c:showBubbleSize val="0"/>
        </c:dLbls>
        <c:gapWidth val="246"/>
        <c:overlap val="-28"/>
        <c:axId val="206012394"/>
        <c:axId val="340135241"/>
      </c:barChart>
      <c:catAx>
        <c:axId val="20601239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0135241"/>
        <c:crosses val="autoZero"/>
        <c:auto val="1"/>
        <c:lblAlgn val="ctr"/>
        <c:lblOffset val="100"/>
        <c:noMultiLvlLbl val="0"/>
      </c:catAx>
      <c:valAx>
        <c:axId val="340135241"/>
        <c:scaling>
          <c:orientation val="minMax"/>
          <c:min val="2400"/>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601239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8912523900574"/>
          <c:y val="0.0766073871409029"/>
          <c:w val="0.374521988527725"/>
          <c:h val="0.857455540355677"/>
        </c:manualLayout>
      </c:layout>
      <c:pieChart>
        <c:varyColors val="1"/>
        <c:ser>
          <c:idx val="0"/>
          <c:order val="0"/>
          <c:tx>
            <c:strRef>
              <c:f>Sheet1!$B$1</c:f>
              <c:strCache>
                <c:ptCount val="1"/>
                <c:pt idx="0">
                  <c:v>列1</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elete val="1"/>
          </c:dLbls>
          <c:cat>
            <c:strRef>
              <c:f>Sheet1!$A$2:$A$5</c:f>
              <c:strCache>
                <c:ptCount val="4"/>
                <c:pt idx="0">
                  <c:v>教育支出</c:v>
                </c:pt>
                <c:pt idx="1">
                  <c:v>社会保障和就业支出</c:v>
                </c:pt>
                <c:pt idx="2">
                  <c:v>卫生健康支出</c:v>
                </c:pt>
                <c:pt idx="3">
                  <c:v>住房保障支出</c:v>
                </c:pt>
              </c:strCache>
            </c:strRef>
          </c:cat>
          <c:val>
            <c:numRef>
              <c:f>Sheet1!$B$2:$B$5</c:f>
              <c:numCache>
                <c:formatCode>General</c:formatCode>
                <c:ptCount val="4"/>
                <c:pt idx="0">
                  <c:v>2994.4</c:v>
                </c:pt>
                <c:pt idx="1">
                  <c:v>209.7</c:v>
                </c:pt>
                <c:pt idx="2">
                  <c:v>87.96</c:v>
                </c:pt>
                <c:pt idx="3">
                  <c:v>188.54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66192638623327"/>
          <c:y val="0.345690834473324"/>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列1</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0</c:v>
                </c:pt>
                <c:pt idx="2">
                  <c:v>1524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596623563218391"/>
          <c:y val="0.38188867349764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23</Pages>
  <Words>1228</Words>
  <Characters>7002</Characters>
  <Lines>58</Lines>
  <Paragraphs>16</Paragraphs>
  <TotalTime>4</TotalTime>
  <ScaleCrop>false</ScaleCrop>
  <LinksUpToDate>false</LinksUpToDate>
  <CharactersWithSpaces>8214</CharactersWithSpaces>
  <Application>WPS Office WWO_wpscloud_20231012195754-4d22959191</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2020-08-05T09:49:00Z</dcterms:created>
  <dc:creator>曹颖</dc:creator>
  <cp:lastModifiedBy>玖千余为春秋</cp:lastModifiedBy>
  <cp:lastPrinted>2023-07-31T10:35:00Z</cp:lastPrinted>
  <dcterms:modified xsi:type="dcterms:W3CDTF">2023-10-17T14:46:59Z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A6CBE2730B2646A2BDC813C58B7509DC_13</vt:lpwstr>
  </property>
</Properties>
</file>