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hint="eastAsia" w:ascii="方正小标宋简体" w:eastAsia="方正小标宋简体"/>
          <w:color w:val="000000"/>
          <w:sz w:val="72"/>
          <w:szCs w:val="72"/>
        </w:rPr>
      </w:pPr>
      <w:bookmarkStart w:id="0" w:name="_Toc15306267"/>
    </w:p>
    <w:p>
      <w:pPr>
        <w:spacing w:line="600" w:lineRule="exact"/>
        <w:jc w:val="center"/>
        <w:outlineLvl w:val="9"/>
        <w:rPr>
          <w:rFonts w:hint="eastAsia" w:ascii="方正小标宋简体" w:eastAsia="方正小标宋简体"/>
          <w:color w:val="000000"/>
          <w:sz w:val="72"/>
          <w:szCs w:val="72"/>
        </w:rPr>
      </w:pPr>
    </w:p>
    <w:p>
      <w:pPr>
        <w:spacing w:line="600" w:lineRule="exact"/>
        <w:jc w:val="center"/>
        <w:outlineLvl w:val="9"/>
        <w:rPr>
          <w:rFonts w:hint="eastAsia" w:ascii="方正小标宋简体" w:eastAsia="方正小标宋简体"/>
          <w:color w:val="000000"/>
          <w:sz w:val="72"/>
          <w:szCs w:val="72"/>
        </w:rPr>
      </w:pPr>
    </w:p>
    <w:p>
      <w:pPr>
        <w:widowControl/>
        <w:jc w:val="center"/>
        <w:rPr>
          <w:rFonts w:hint="eastAsia" w:ascii="方正小标宋简体" w:hAnsi="Times New Roman" w:eastAsia="方正小标宋简体" w:cs="Times New Roman"/>
          <w:color w:val="000000"/>
          <w:sz w:val="72"/>
          <w:szCs w:val="72"/>
          <w:lang w:eastAsia="zh-CN"/>
        </w:rPr>
      </w:pPr>
      <w:bookmarkStart w:id="1" w:name="_Toc15377425"/>
      <w:bookmarkStart w:id="2" w:name="_Toc15396475"/>
      <w:bookmarkStart w:id="3" w:name="_Toc255"/>
      <w:bookmarkStart w:id="4" w:name="_Toc17808"/>
      <w:bookmarkStart w:id="5" w:name="_Toc15396597"/>
      <w:bookmarkStart w:id="6" w:name="_Toc5067"/>
      <w:bookmarkStart w:id="7" w:name="_Toc6946"/>
      <w:bookmarkStart w:id="8" w:name="_Toc30082"/>
      <w:bookmarkStart w:id="9" w:name="_Toc26283"/>
      <w:bookmarkStart w:id="10" w:name="_Toc15378441"/>
      <w:bookmarkStart w:id="11" w:name="_Toc15377193"/>
      <w:r>
        <w:rPr>
          <w:rFonts w:hint="eastAsia" w:ascii="方正小标宋简体" w:hAnsi="Times New Roman" w:eastAsia="方正小标宋简体" w:cs="Times New Roman"/>
          <w:color w:val="000000"/>
          <w:sz w:val="72"/>
          <w:szCs w:val="72"/>
          <w:lang w:eastAsia="zh-CN"/>
        </w:rPr>
        <w:t>202</w:t>
      </w:r>
      <w:r>
        <w:rPr>
          <w:rFonts w:hint="eastAsia" w:ascii="方正小标宋简体" w:eastAsia="方正小标宋简体" w:cs="Times New Roman"/>
          <w:color w:val="000000"/>
          <w:sz w:val="72"/>
          <w:szCs w:val="72"/>
          <w:lang w:val="en-US" w:eastAsia="zh-CN"/>
        </w:rPr>
        <w:t>2</w:t>
      </w:r>
      <w:r>
        <w:rPr>
          <w:rFonts w:hint="eastAsia" w:ascii="方正小标宋简体" w:hAnsi="Times New Roman" w:eastAsia="方正小标宋简体" w:cs="Times New Roman"/>
          <w:color w:val="000000"/>
          <w:sz w:val="72"/>
          <w:szCs w:val="72"/>
          <w:lang w:eastAsia="zh-CN"/>
        </w:rPr>
        <w:t>年度</w:t>
      </w:r>
      <w:bookmarkEnd w:id="1"/>
      <w:bookmarkEnd w:id="2"/>
      <w:bookmarkEnd w:id="3"/>
      <w:bookmarkEnd w:id="4"/>
      <w:bookmarkEnd w:id="5"/>
      <w:bookmarkEnd w:id="6"/>
      <w:bookmarkEnd w:id="7"/>
      <w:bookmarkEnd w:id="8"/>
      <w:bookmarkEnd w:id="9"/>
      <w:bookmarkEnd w:id="10"/>
      <w:bookmarkEnd w:id="11"/>
    </w:p>
    <w:p>
      <w:pPr>
        <w:pStyle w:val="2"/>
        <w:rPr>
          <w:rFonts w:hint="eastAsia"/>
          <w:lang w:eastAsia="zh-CN"/>
        </w:rPr>
      </w:pPr>
    </w:p>
    <w:bookmarkEnd w:id="0"/>
    <w:p>
      <w:pPr>
        <w:widowControl/>
        <w:jc w:val="center"/>
        <w:rPr>
          <w:rFonts w:hint="eastAsia" w:ascii="方正小标宋简体" w:hAnsi="Times New Roman" w:eastAsia="方正小标宋简体" w:cs="Times New Roman"/>
          <w:color w:val="000000"/>
          <w:sz w:val="72"/>
          <w:szCs w:val="72"/>
          <w:lang w:eastAsia="zh-CN"/>
        </w:rPr>
      </w:pPr>
      <w:bookmarkStart w:id="12" w:name="_Toc15377194"/>
      <w:bookmarkStart w:id="13" w:name="_Toc15378442"/>
      <w:bookmarkStart w:id="14" w:name="_Toc15306268"/>
      <w:bookmarkStart w:id="15" w:name="_Toc15396598"/>
      <w:bookmarkStart w:id="16" w:name="_Toc15377426"/>
      <w:bookmarkStart w:id="17" w:name="_Toc15396476"/>
      <w:r>
        <w:rPr>
          <w:rFonts w:hint="eastAsia" w:ascii="方正小标宋简体" w:hAnsi="Times New Roman" w:eastAsia="方正小标宋简体" w:cs="Times New Roman"/>
          <w:color w:val="000000"/>
          <w:sz w:val="72"/>
          <w:szCs w:val="72"/>
          <w:lang w:eastAsia="zh-CN"/>
        </w:rPr>
        <w:t>广元市老龄工作委员会</w:t>
      </w:r>
    </w:p>
    <w:p>
      <w:pPr>
        <w:widowControl/>
        <w:jc w:val="center"/>
        <w:rPr>
          <w:rFonts w:hint="eastAsia" w:ascii="方正小标宋简体" w:hAnsi="Times New Roman" w:eastAsia="方正小标宋简体" w:cs="Times New Roman"/>
          <w:color w:val="000000"/>
          <w:sz w:val="72"/>
          <w:szCs w:val="72"/>
          <w:lang w:eastAsia="zh-CN"/>
        </w:rPr>
      </w:pPr>
      <w:r>
        <w:rPr>
          <w:rFonts w:hint="eastAsia" w:ascii="方正小标宋简体" w:hAnsi="Times New Roman" w:eastAsia="方正小标宋简体" w:cs="Times New Roman"/>
          <w:color w:val="000000"/>
          <w:sz w:val="72"/>
          <w:szCs w:val="72"/>
          <w:lang w:eastAsia="zh-CN"/>
        </w:rPr>
        <w:t>办公室</w:t>
      </w:r>
      <w:bookmarkEnd w:id="12"/>
      <w:bookmarkEnd w:id="13"/>
      <w:bookmarkEnd w:id="14"/>
      <w:bookmarkEnd w:id="15"/>
      <w:bookmarkEnd w:id="16"/>
      <w:bookmarkEnd w:id="17"/>
    </w:p>
    <w:p>
      <w:pPr>
        <w:pStyle w:val="2"/>
        <w:rPr>
          <w:rFonts w:hint="eastAsia"/>
          <w:lang w:eastAsia="zh-CN"/>
        </w:rPr>
      </w:pPr>
    </w:p>
    <w:p>
      <w:pPr>
        <w:widowControl/>
        <w:jc w:val="center"/>
        <w:rPr>
          <w:rFonts w:hint="eastAsia" w:ascii="方正小标宋简体" w:hAnsi="Times New Roman" w:eastAsia="方正小标宋简体" w:cs="Times New Roman"/>
          <w:color w:val="000000"/>
          <w:sz w:val="72"/>
          <w:szCs w:val="72"/>
          <w:lang w:eastAsia="zh-CN"/>
        </w:rPr>
      </w:pPr>
      <w:r>
        <w:rPr>
          <w:rFonts w:hint="eastAsia" w:ascii="方正小标宋简体" w:hAnsi="Times New Roman" w:eastAsia="方正小标宋简体" w:cs="Times New Roman"/>
          <w:color w:val="000000"/>
          <w:sz w:val="72"/>
          <w:szCs w:val="72"/>
          <w:lang w:eastAsia="zh-CN"/>
        </w:rPr>
        <w:t>单</w:t>
      </w:r>
      <w:r>
        <w:rPr>
          <w:rFonts w:hint="eastAsia" w:ascii="方正小标宋简体" w:hAnsi="Times New Roman" w:eastAsia="方正小标宋简体" w:cs="Times New Roman"/>
          <w:color w:val="000000"/>
          <w:sz w:val="72"/>
          <w:szCs w:val="72"/>
          <w:lang w:val="en-US" w:eastAsia="zh-CN"/>
        </w:rPr>
        <w:t xml:space="preserve"> </w:t>
      </w:r>
      <w:r>
        <w:rPr>
          <w:rFonts w:hint="eastAsia" w:ascii="方正小标宋简体" w:hAnsi="Times New Roman" w:eastAsia="方正小标宋简体" w:cs="Times New Roman"/>
          <w:color w:val="000000"/>
          <w:sz w:val="72"/>
          <w:szCs w:val="72"/>
          <w:lang w:eastAsia="zh-CN"/>
        </w:rPr>
        <w:t>位</w:t>
      </w:r>
      <w:r>
        <w:rPr>
          <w:rFonts w:hint="eastAsia" w:ascii="方正小标宋简体" w:hAnsi="Times New Roman" w:eastAsia="方正小标宋简体" w:cs="Times New Roman"/>
          <w:color w:val="000000"/>
          <w:sz w:val="72"/>
          <w:szCs w:val="72"/>
          <w:lang w:val="en-US" w:eastAsia="zh-CN"/>
        </w:rPr>
        <w:t xml:space="preserve"> </w:t>
      </w:r>
      <w:r>
        <w:rPr>
          <w:rFonts w:hint="eastAsia" w:ascii="方正小标宋简体" w:hAnsi="Times New Roman" w:eastAsia="方正小标宋简体" w:cs="Times New Roman"/>
          <w:color w:val="000000"/>
          <w:sz w:val="72"/>
          <w:szCs w:val="72"/>
          <w:lang w:eastAsia="zh-CN"/>
        </w:rPr>
        <w:t>决</w:t>
      </w:r>
      <w:r>
        <w:rPr>
          <w:rFonts w:hint="eastAsia" w:ascii="方正小标宋简体" w:hAnsi="Times New Roman" w:eastAsia="方正小标宋简体" w:cs="Times New Roman"/>
          <w:color w:val="000000"/>
          <w:sz w:val="72"/>
          <w:szCs w:val="72"/>
          <w:lang w:val="en-US" w:eastAsia="zh-CN"/>
        </w:rPr>
        <w:t xml:space="preserve"> </w:t>
      </w:r>
      <w:r>
        <w:rPr>
          <w:rFonts w:hint="eastAsia" w:ascii="方正小标宋简体" w:hAnsi="Times New Roman" w:eastAsia="方正小标宋简体" w:cs="Times New Roman"/>
          <w:color w:val="000000"/>
          <w:sz w:val="72"/>
          <w:szCs w:val="72"/>
          <w:lang w:eastAsia="zh-CN"/>
        </w:rPr>
        <w:t>算</w:t>
      </w:r>
    </w:p>
    <w:p>
      <w:pPr>
        <w:bidi w:val="0"/>
        <w:rPr>
          <w:rFonts w:hint="eastAsia" w:ascii="方正小标宋简体" w:eastAsia="方正小标宋简体"/>
          <w:color w:val="000000"/>
          <w:sz w:val="84"/>
          <w:szCs w:val="84"/>
        </w:rPr>
      </w:pPr>
    </w:p>
    <w:p>
      <w:pPr>
        <w:bidi w:val="0"/>
        <w:rPr>
          <w:rFonts w:hint="eastAsia" w:ascii="方正小标宋简体" w:eastAsia="方正小标宋简体"/>
          <w:color w:val="000000"/>
          <w:sz w:val="84"/>
          <w:szCs w:val="84"/>
        </w:rPr>
      </w:pPr>
    </w:p>
    <w:p>
      <w:pPr>
        <w:bidi w:val="0"/>
        <w:rPr>
          <w:rFonts w:hint="eastAsia" w:ascii="方正小标宋简体" w:eastAsia="方正小标宋简体"/>
          <w:color w:val="000000"/>
          <w:sz w:val="84"/>
          <w:szCs w:val="84"/>
        </w:rPr>
      </w:pPr>
    </w:p>
    <w:p>
      <w:pPr>
        <w:pStyle w:val="7"/>
        <w:rPr>
          <w:rFonts w:hint="eastAsia"/>
        </w:rPr>
      </w:pPr>
    </w:p>
    <w:p>
      <w:pPr>
        <w:pStyle w:val="7"/>
        <w:rPr>
          <w:rFonts w:hint="eastAsia"/>
        </w:rPr>
      </w:pPr>
    </w:p>
    <w:p>
      <w:pPr>
        <w:pStyle w:val="7"/>
      </w:pPr>
      <w:r>
        <w:rPr>
          <w:rFonts w:hint="eastAsia"/>
        </w:rPr>
        <w:t>公开时间：</w:t>
      </w:r>
      <w:r>
        <w:t>202</w:t>
      </w:r>
      <w:r>
        <w:rPr>
          <w:rFonts w:hint="eastAsia"/>
          <w:lang w:val="en-US" w:eastAsia="zh-CN"/>
        </w:rPr>
        <w:t>3</w:t>
      </w:r>
      <w:r>
        <w:rPr>
          <w:rFonts w:hint="eastAsia"/>
        </w:rPr>
        <w:t>年</w:t>
      </w:r>
      <w:r>
        <w:rPr>
          <w:rFonts w:hint="eastAsia"/>
          <w:lang w:val="en-US" w:eastAsia="zh-CN"/>
        </w:rPr>
        <w:t>10</w:t>
      </w:r>
      <w:r>
        <w:rPr>
          <w:rFonts w:hint="eastAsia"/>
        </w:rPr>
        <w:t>月</w:t>
      </w:r>
      <w:r>
        <w:rPr>
          <w:rFonts w:hint="eastAsia"/>
          <w:lang w:val="en-US" w:eastAsia="zh-CN"/>
        </w:rPr>
        <w:t xml:space="preserve"> 18 </w:t>
      </w:r>
      <w:r>
        <w:rPr>
          <w:rFonts w:hint="eastAsia"/>
        </w:rPr>
        <w:t>日</w:t>
      </w:r>
    </w:p>
    <w:p>
      <w:pPr>
        <w:bidi w:val="0"/>
        <w:jc w:val="center"/>
        <w:rPr>
          <w:rFonts w:hint="eastAsia" w:ascii="黑体" w:eastAsia="黑体"/>
          <w:color w:val="000000"/>
          <w:sz w:val="48"/>
          <w:szCs w:val="48"/>
        </w:rPr>
      </w:pPr>
    </w:p>
    <w:p>
      <w:pPr>
        <w:bidi w:val="0"/>
        <w:jc w:val="center"/>
        <w:rPr>
          <w:rFonts w:hint="eastAsia" w:ascii="黑体" w:eastAsia="黑体"/>
          <w:sz w:val="28"/>
          <w:szCs w:val="28"/>
        </w:rPr>
      </w:pPr>
      <w:r>
        <w:rPr>
          <w:rFonts w:hint="eastAsia" w:ascii="黑体" w:eastAsia="黑体"/>
          <w:color w:val="000000"/>
          <w:sz w:val="48"/>
          <w:szCs w:val="48"/>
        </w:rPr>
        <w:t>目</w:t>
      </w:r>
      <w:r>
        <w:rPr>
          <w:rFonts w:hint="eastAsia" w:ascii="黑体" w:eastAsia="黑体"/>
          <w:color w:val="000000"/>
          <w:sz w:val="48"/>
          <w:szCs w:val="48"/>
          <w:lang w:val="en-US" w:eastAsia="zh-CN"/>
        </w:rPr>
        <w:t xml:space="preserve">  </w:t>
      </w:r>
      <w:r>
        <w:rPr>
          <w:rFonts w:hint="eastAsia" w:ascii="黑体" w:eastAsia="黑体"/>
          <w:color w:val="000000"/>
          <w:sz w:val="48"/>
          <w:szCs w:val="48"/>
        </w:rPr>
        <w:t>录</w:t>
      </w:r>
    </w:p>
    <w:p>
      <w:pPr>
        <w:pStyle w:val="7"/>
        <w:tabs>
          <w:tab w:val="right" w:leader="dot" w:pos="8306"/>
          <w:tab w:val="clear" w:pos="8296"/>
        </w:tabs>
        <w:rPr>
          <w:rFonts w:hint="eastAsia" w:ascii="宋体" w:hAnsi="Times New Roman" w:eastAsia="宋体" w:cs="宋体"/>
          <w:sz w:val="30"/>
          <w:szCs w:val="30"/>
          <w:lang w:val="en-US" w:eastAsia="zh-CN" w:bidi="ar-SA"/>
        </w:rPr>
      </w:pPr>
      <w:r>
        <w:rPr>
          <w:rFonts w:hint="eastAsia" w:ascii="宋体" w:hAnsi="宋体" w:eastAsia="宋体" w:cs="宋体"/>
          <w:b/>
          <w:sz w:val="28"/>
          <w:szCs w:val="28"/>
          <w:lang w:bidi="ar-SA"/>
        </w:rPr>
        <w:fldChar w:fldCharType="begin"/>
      </w:r>
      <w:r>
        <w:rPr>
          <w:rFonts w:hint="eastAsia" w:ascii="宋体" w:hAnsi="宋体" w:eastAsia="宋体" w:cs="宋体"/>
          <w:b/>
          <w:sz w:val="28"/>
          <w:szCs w:val="28"/>
          <w:lang w:bidi="ar-SA"/>
        </w:rPr>
        <w:instrText xml:space="preserve">TOC \o "1-2" \h \u </w:instrText>
      </w:r>
      <w:r>
        <w:rPr>
          <w:rFonts w:hint="eastAsia" w:ascii="宋体" w:hAnsi="宋体" w:eastAsia="宋体" w:cs="宋体"/>
          <w:b/>
          <w:sz w:val="28"/>
          <w:szCs w:val="28"/>
          <w:lang w:bidi="ar-SA"/>
        </w:rPr>
        <w:fldChar w:fldCharType="separate"/>
      </w: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_Toc27919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第一部分 单位概况</w:t>
      </w:r>
      <w:r>
        <w:rPr>
          <w:rFonts w:hint="eastAsia" w:ascii="宋体" w:hAnsi="Times New Roman" w:eastAsia="宋体" w:cs="宋体"/>
          <w:sz w:val="30"/>
          <w:szCs w:val="30"/>
          <w:lang w:val="en-US" w:eastAsia="zh-CN" w:bidi="ar-SA"/>
        </w:rPr>
        <w:tab/>
      </w:r>
      <w:r>
        <w:rPr>
          <w:rFonts w:hint="eastAsia" w:ascii="宋体" w:eastAsia="宋体" w:cs="宋体"/>
          <w:sz w:val="30"/>
          <w:szCs w:val="30"/>
          <w:lang w:val="en-US" w:eastAsia="zh-CN" w:bidi="ar-SA"/>
        </w:rPr>
        <w:t>1</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_Toc21254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一、</w:t>
      </w:r>
      <w:r>
        <w:rPr>
          <w:rFonts w:hint="eastAsia" w:ascii="宋体" w:cs="宋体"/>
          <w:sz w:val="30"/>
          <w:szCs w:val="30"/>
          <w:lang w:val="en-US" w:eastAsia="zh-CN" w:bidi="ar-SA"/>
        </w:rPr>
        <w:t>主要职责</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1</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_Toc6593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二、</w:t>
      </w:r>
      <w:r>
        <w:rPr>
          <w:rFonts w:hint="eastAsia" w:ascii="宋体" w:cs="宋体"/>
          <w:sz w:val="30"/>
          <w:szCs w:val="30"/>
          <w:lang w:val="en-US" w:eastAsia="zh-CN" w:bidi="ar-SA"/>
        </w:rPr>
        <w:t>机构设置</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1</w:t>
      </w:r>
      <w:r>
        <w:rPr>
          <w:rFonts w:hint="eastAsia" w:ascii="宋体" w:hAnsi="Times New Roman" w:eastAsia="宋体" w:cs="宋体"/>
          <w:sz w:val="30"/>
          <w:szCs w:val="30"/>
          <w:lang w:val="en-US" w:eastAsia="zh-CN" w:bidi="ar-SA"/>
        </w:rPr>
        <w:fldChar w:fldCharType="end"/>
      </w:r>
    </w:p>
    <w:p>
      <w:pPr>
        <w:pStyle w:val="7"/>
        <w:tabs>
          <w:tab w:val="right" w:leader="dot" w:pos="8306"/>
          <w:tab w:val="clear" w:pos="829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_Toc15453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第二部分 202</w:t>
      </w:r>
      <w:r>
        <w:rPr>
          <w:rFonts w:hint="eastAsia" w:ascii="宋体" w:eastAsia="宋体" w:cs="宋体"/>
          <w:sz w:val="30"/>
          <w:szCs w:val="30"/>
          <w:lang w:val="en-US" w:eastAsia="zh-CN" w:bidi="ar-SA"/>
        </w:rPr>
        <w:t>2</w:t>
      </w:r>
      <w:r>
        <w:rPr>
          <w:rFonts w:hint="eastAsia" w:ascii="宋体" w:hAnsi="Times New Roman" w:eastAsia="宋体" w:cs="宋体"/>
          <w:sz w:val="30"/>
          <w:szCs w:val="30"/>
          <w:lang w:val="en-US" w:eastAsia="zh-CN" w:bidi="ar-SA"/>
        </w:rPr>
        <w:t>年度单位决算情况说明</w:t>
      </w:r>
      <w:r>
        <w:rPr>
          <w:rFonts w:hint="eastAsia" w:ascii="宋体" w:hAnsi="Times New Roman" w:eastAsia="宋体" w:cs="宋体"/>
          <w:sz w:val="30"/>
          <w:szCs w:val="30"/>
          <w:lang w:val="en-US" w:eastAsia="zh-CN" w:bidi="ar-SA"/>
        </w:rPr>
        <w:tab/>
      </w:r>
      <w:r>
        <w:rPr>
          <w:rFonts w:hint="eastAsia" w:ascii="宋体" w:eastAsia="宋体" w:cs="宋体"/>
          <w:sz w:val="30"/>
          <w:szCs w:val="30"/>
          <w:lang w:val="en-US" w:eastAsia="zh-CN" w:bidi="ar-SA"/>
        </w:rPr>
        <w:t>1</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_Toc3597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一、 收入支出决算总体情况说明</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1</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_Toc21155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二、 收入决算情况说明</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2</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_Toc25955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三、 支出决算情况说明</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2</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_Toc9036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四、财政拨款收入支出决算总体情况说明</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3</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_Toc4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五、一般公共预算财政拨款支出决算情况说明</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3</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_Toc31665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六、一般公共预算财政拨款基本支出决算情况说明</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5</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_Toc5020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七、</w:t>
      </w:r>
      <w:r>
        <w:rPr>
          <w:rFonts w:hint="eastAsia" w:ascii="宋体" w:cs="宋体"/>
          <w:sz w:val="30"/>
          <w:szCs w:val="30"/>
          <w:lang w:val="en-US" w:eastAsia="zh-CN" w:bidi="ar-SA"/>
        </w:rPr>
        <w:t>财政拨款</w:t>
      </w:r>
      <w:r>
        <w:rPr>
          <w:rFonts w:hint="eastAsia" w:ascii="宋体" w:hAnsi="Times New Roman" w:eastAsia="宋体" w:cs="宋体"/>
          <w:sz w:val="30"/>
          <w:szCs w:val="30"/>
          <w:lang w:val="en-US" w:eastAsia="zh-CN" w:bidi="ar-SA"/>
        </w:rPr>
        <w:t>“三公”经费支出决算情况说明</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6</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_Toc10683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八、政府性基金预算支出决算情况说明</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6</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_Toc4525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九、 国有资本经营预算支出决算情况说明</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6</w:t>
      </w:r>
      <w:r>
        <w:rPr>
          <w:rFonts w:hint="eastAsia" w:ascii="宋体" w:hAnsi="Times New Roman" w:eastAsia="宋体" w:cs="宋体"/>
          <w:sz w:val="30"/>
          <w:szCs w:val="30"/>
          <w:lang w:val="en-US" w:eastAsia="zh-CN" w:bidi="ar-SA"/>
        </w:rPr>
        <w:fldChar w:fldCharType="end"/>
      </w:r>
    </w:p>
    <w:p>
      <w:pPr>
        <w:pStyle w:val="8"/>
        <w:tabs>
          <w:tab w:val="right" w:leader="dot" w:pos="830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_Toc6788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十、其他重要事项的情况说明</w:t>
      </w:r>
      <w:r>
        <w:rPr>
          <w:rFonts w:hint="eastAsia" w:ascii="宋体" w:hAnsi="Times New Roman" w:eastAsia="宋体" w:cs="宋体"/>
          <w:sz w:val="30"/>
          <w:szCs w:val="30"/>
          <w:lang w:val="en-US" w:eastAsia="zh-CN" w:bidi="ar-SA"/>
        </w:rPr>
        <w:tab/>
      </w:r>
      <w:r>
        <w:rPr>
          <w:rFonts w:hint="eastAsia" w:ascii="宋体" w:cs="宋体"/>
          <w:sz w:val="30"/>
          <w:szCs w:val="30"/>
          <w:lang w:val="en-US" w:eastAsia="zh-CN" w:bidi="ar-SA"/>
        </w:rPr>
        <w:t>7</w:t>
      </w:r>
      <w:r>
        <w:rPr>
          <w:rFonts w:hint="eastAsia" w:ascii="宋体" w:hAnsi="Times New Roman" w:eastAsia="宋体" w:cs="宋体"/>
          <w:sz w:val="30"/>
          <w:szCs w:val="30"/>
          <w:lang w:val="en-US" w:eastAsia="zh-CN" w:bidi="ar-SA"/>
        </w:rPr>
        <w:fldChar w:fldCharType="end"/>
      </w:r>
    </w:p>
    <w:p>
      <w:pPr>
        <w:pStyle w:val="7"/>
        <w:tabs>
          <w:tab w:val="right" w:leader="dot" w:pos="8306"/>
          <w:tab w:val="clear" w:pos="8296"/>
        </w:tabs>
        <w:rPr>
          <w:rFonts w:hint="eastAsia"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_Toc17137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第三部分 名词解释</w:t>
      </w:r>
      <w:r>
        <w:rPr>
          <w:rFonts w:hint="eastAsia" w:ascii="宋体" w:hAnsi="Times New Roman" w:eastAsia="宋体" w:cs="宋体"/>
          <w:sz w:val="30"/>
          <w:szCs w:val="30"/>
          <w:lang w:val="en-US" w:eastAsia="zh-CN" w:bidi="ar-SA"/>
        </w:rPr>
        <w:tab/>
      </w:r>
      <w:r>
        <w:rPr>
          <w:rFonts w:hint="eastAsia" w:ascii="宋体" w:eastAsia="宋体" w:cs="宋体"/>
          <w:sz w:val="30"/>
          <w:szCs w:val="30"/>
          <w:lang w:val="en-US" w:eastAsia="zh-CN" w:bidi="ar-SA"/>
        </w:rPr>
        <w:t>8</w:t>
      </w:r>
      <w:r>
        <w:rPr>
          <w:rFonts w:hint="eastAsia" w:ascii="宋体" w:hAnsi="Times New Roman" w:eastAsia="宋体" w:cs="宋体"/>
          <w:sz w:val="30"/>
          <w:szCs w:val="30"/>
          <w:lang w:val="en-US" w:eastAsia="zh-CN" w:bidi="ar-SA"/>
        </w:rPr>
        <w:fldChar w:fldCharType="end"/>
      </w:r>
    </w:p>
    <w:p>
      <w:pPr>
        <w:pStyle w:val="7"/>
        <w:tabs>
          <w:tab w:val="right" w:leader="dot" w:pos="8306"/>
          <w:tab w:val="clear" w:pos="8296"/>
        </w:tabs>
        <w:rPr>
          <w:rFonts w:hint="default" w:ascii="宋体" w:hAnsi="Times New Roman" w:eastAsia="宋体" w:cs="宋体"/>
          <w:sz w:val="30"/>
          <w:szCs w:val="30"/>
          <w:lang w:val="en-US" w:eastAsia="zh-CN" w:bidi="ar-SA"/>
        </w:rPr>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_Toc10369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第四部分 附件</w:t>
      </w:r>
      <w:r>
        <w:rPr>
          <w:rFonts w:hint="eastAsia" w:ascii="宋体" w:hAnsi="Times New Roman" w:eastAsia="宋体" w:cs="宋体"/>
          <w:sz w:val="30"/>
          <w:szCs w:val="30"/>
          <w:lang w:val="en-US" w:eastAsia="zh-CN" w:bidi="ar-SA"/>
        </w:rPr>
        <w:tab/>
      </w:r>
      <w:r>
        <w:rPr>
          <w:rFonts w:hint="eastAsia" w:ascii="宋体" w:eastAsia="宋体" w:cs="宋体"/>
          <w:sz w:val="30"/>
          <w:szCs w:val="30"/>
          <w:lang w:val="en-US" w:eastAsia="zh-CN" w:bidi="ar-SA"/>
        </w:rPr>
        <w:t>1</w:t>
      </w:r>
      <w:r>
        <w:rPr>
          <w:rFonts w:hint="eastAsia" w:ascii="宋体" w:hAnsi="Times New Roman" w:eastAsia="宋体" w:cs="宋体"/>
          <w:sz w:val="30"/>
          <w:szCs w:val="30"/>
          <w:lang w:val="en-US" w:eastAsia="zh-CN" w:bidi="ar-SA"/>
        </w:rPr>
        <w:fldChar w:fldCharType="end"/>
      </w:r>
      <w:r>
        <w:rPr>
          <w:rFonts w:hint="eastAsia" w:ascii="宋体" w:eastAsia="宋体" w:cs="宋体"/>
          <w:sz w:val="30"/>
          <w:szCs w:val="30"/>
          <w:lang w:val="en-US" w:eastAsia="zh-CN" w:bidi="ar-SA"/>
        </w:rPr>
        <w:t>0</w:t>
      </w:r>
    </w:p>
    <w:p>
      <w:pPr>
        <w:pStyle w:val="7"/>
        <w:tabs>
          <w:tab w:val="right" w:leader="dot" w:pos="8306"/>
          <w:tab w:val="clear" w:pos="8296"/>
        </w:tabs>
      </w:pP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HYPERLINK \l _Toc286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第五部分 附表</w:t>
      </w:r>
      <w:r>
        <w:rPr>
          <w:rFonts w:hint="eastAsia" w:ascii="宋体" w:hAnsi="Times New Roman" w:eastAsia="宋体" w:cs="宋体"/>
          <w:sz w:val="30"/>
          <w:szCs w:val="30"/>
          <w:lang w:val="en-US" w:eastAsia="zh-CN" w:bidi="ar-SA"/>
        </w:rPr>
        <w:tab/>
      </w:r>
      <w:r>
        <w:rPr>
          <w:rFonts w:hint="eastAsia" w:ascii="宋体" w:hAnsi="Times New Roman" w:eastAsia="宋体" w:cs="宋体"/>
          <w:sz w:val="30"/>
          <w:szCs w:val="30"/>
          <w:lang w:val="en-US" w:eastAsia="zh-CN" w:bidi="ar-SA"/>
        </w:rPr>
        <w:fldChar w:fldCharType="begin"/>
      </w:r>
      <w:r>
        <w:rPr>
          <w:rFonts w:hint="eastAsia" w:ascii="宋体" w:hAnsi="Times New Roman" w:eastAsia="宋体" w:cs="宋体"/>
          <w:sz w:val="30"/>
          <w:szCs w:val="30"/>
          <w:lang w:val="en-US" w:eastAsia="zh-CN" w:bidi="ar-SA"/>
        </w:rPr>
        <w:instrText xml:space="preserve"> PAGEREF _Toc286 \h </w:instrText>
      </w:r>
      <w:r>
        <w:rPr>
          <w:rFonts w:hint="eastAsia" w:ascii="宋体" w:hAnsi="Times New Roman" w:eastAsia="宋体" w:cs="宋体"/>
          <w:sz w:val="30"/>
          <w:szCs w:val="30"/>
          <w:lang w:val="en-US" w:eastAsia="zh-CN" w:bidi="ar-SA"/>
        </w:rPr>
        <w:fldChar w:fldCharType="separate"/>
      </w:r>
      <w:r>
        <w:rPr>
          <w:rFonts w:hint="eastAsia" w:ascii="宋体" w:hAnsi="Times New Roman" w:eastAsia="宋体" w:cs="宋体"/>
          <w:sz w:val="30"/>
          <w:szCs w:val="30"/>
          <w:lang w:val="en-US" w:eastAsia="zh-CN" w:bidi="ar-SA"/>
        </w:rPr>
        <w:t>15</w:t>
      </w:r>
      <w:r>
        <w:rPr>
          <w:rFonts w:hint="eastAsia" w:ascii="宋体" w:hAnsi="Times New Roman" w:eastAsia="宋体" w:cs="宋体"/>
          <w:sz w:val="30"/>
          <w:szCs w:val="30"/>
          <w:lang w:val="en-US" w:eastAsia="zh-CN" w:bidi="ar-SA"/>
        </w:rPr>
        <w:fldChar w:fldCharType="end"/>
      </w:r>
      <w:r>
        <w:rPr>
          <w:rFonts w:hint="eastAsia" w:ascii="宋体" w:hAnsi="Times New Roman" w:eastAsia="宋体" w:cs="宋体"/>
          <w:sz w:val="30"/>
          <w:szCs w:val="30"/>
          <w:lang w:val="en-US" w:eastAsia="zh-CN" w:bidi="ar-SA"/>
        </w:rPr>
        <w:fldChar w:fldCharType="end"/>
      </w:r>
    </w:p>
    <w:p>
      <w:pPr>
        <w:pStyle w:val="8"/>
        <w:tabs>
          <w:tab w:val="right" w:leader="dot" w:pos="8306"/>
        </w:tabs>
      </w:pPr>
    </w:p>
    <w:p>
      <w:pPr>
        <w:rPr>
          <w:rFonts w:hint="eastAsia" w:ascii="宋体" w:hAnsi="宋体" w:eastAsia="宋体" w:cs="宋体"/>
          <w:b/>
          <w:bCs/>
          <w:sz w:val="28"/>
          <w:szCs w:val="28"/>
        </w:rPr>
        <w:sectPr>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pPr>
      <w:r>
        <w:rPr>
          <w:rFonts w:hint="eastAsia" w:ascii="宋体" w:hAnsi="宋体" w:eastAsia="宋体" w:cs="宋体"/>
          <w:szCs w:val="28"/>
          <w:lang w:bidi="ar-SA"/>
        </w:rPr>
        <w:fldChar w:fldCharType="end"/>
      </w:r>
    </w:p>
    <w:p>
      <w:pPr>
        <w:pStyle w:val="3"/>
        <w:jc w:val="center"/>
        <w:rPr>
          <w:rStyle w:val="12"/>
          <w:rFonts w:hint="eastAsia" w:ascii="黑体" w:eastAsia="黑体"/>
          <w:b w:val="0"/>
          <w:bCs w:val="0"/>
        </w:rPr>
      </w:pPr>
      <w:bookmarkStart w:id="18" w:name="_Toc27919"/>
      <w:r>
        <w:rPr>
          <w:rFonts w:hint="eastAsia" w:ascii="黑体" w:eastAsia="黑体"/>
          <w:b w:val="0"/>
          <w:bCs w:val="0"/>
        </w:rPr>
        <w:t xml:space="preserve">第一部分 </w:t>
      </w:r>
      <w:r>
        <w:rPr>
          <w:rStyle w:val="12"/>
          <w:rFonts w:hint="eastAsia" w:ascii="黑体" w:eastAsia="黑体"/>
          <w:b w:val="0"/>
          <w:bCs w:val="0"/>
          <w:lang w:eastAsia="zh-CN"/>
        </w:rPr>
        <w:t>单位</w:t>
      </w:r>
      <w:r>
        <w:rPr>
          <w:rStyle w:val="12"/>
          <w:rFonts w:hint="eastAsia" w:ascii="黑体" w:eastAsia="黑体"/>
          <w:b w:val="0"/>
          <w:bCs w:val="0"/>
        </w:rPr>
        <w:t>概况</w:t>
      </w:r>
      <w:bookmarkEnd w:id="18"/>
    </w:p>
    <w:p>
      <w:pPr>
        <w:pStyle w:val="2"/>
        <w:pageBreakBefore w:val="0"/>
        <w:widowControl w:val="0"/>
        <w:kinsoku/>
        <w:wordWrap/>
        <w:overflowPunct/>
        <w:topLinePunct w:val="0"/>
        <w:autoSpaceDE/>
        <w:autoSpaceDN/>
        <w:bidi w:val="0"/>
        <w:adjustRightInd w:val="0"/>
        <w:snapToGrid w:val="0"/>
        <w:spacing w:before="30" w:beforeLines="0" w:line="520" w:lineRule="exact"/>
        <w:ind w:firstLine="640" w:firstLineChars="200"/>
        <w:textAlignment w:val="auto"/>
        <w:outlineLvl w:val="2"/>
        <w:rPr>
          <w:rFonts w:hint="default" w:ascii="仿宋_GB2312" w:hAnsi="Times New Roman" w:eastAsia="仿宋_GB2312" w:cs="仿宋_GB2312"/>
          <w:color w:val="000000"/>
          <w:kern w:val="2"/>
          <w:sz w:val="32"/>
          <w:szCs w:val="32"/>
          <w:lang w:val="en-US" w:eastAsia="zh-CN" w:bidi="ar-SA"/>
        </w:rPr>
      </w:pPr>
      <w:bookmarkStart w:id="19" w:name="_Toc5348"/>
      <w:bookmarkStart w:id="20" w:name="_Toc21254"/>
      <w:bookmarkStart w:id="21" w:name="_Toc17140"/>
      <w:bookmarkStart w:id="22" w:name="_Toc8994"/>
      <w:bookmarkStart w:id="23" w:name="_Toc15377197"/>
      <w:bookmarkStart w:id="24" w:name="_Toc15396600"/>
      <w:bookmarkStart w:id="25" w:name="_Toc31372"/>
      <w:r>
        <w:rPr>
          <w:rFonts w:hint="eastAsia" w:ascii="黑体" w:eastAsia="黑体"/>
          <w:b w:val="0"/>
          <w:bCs w:val="0"/>
          <w:color w:val="000000"/>
          <w:sz w:val="32"/>
          <w:szCs w:val="32"/>
        </w:rPr>
        <w:t>一、</w:t>
      </w:r>
      <w:bookmarkEnd w:id="19"/>
      <w:bookmarkEnd w:id="20"/>
      <w:bookmarkEnd w:id="21"/>
      <w:bookmarkEnd w:id="22"/>
      <w:bookmarkEnd w:id="23"/>
      <w:bookmarkEnd w:id="24"/>
      <w:bookmarkEnd w:id="25"/>
      <w:r>
        <w:rPr>
          <w:rFonts w:hint="eastAsia" w:ascii="黑体" w:eastAsia="黑体"/>
          <w:b w:val="0"/>
          <w:bCs w:val="0"/>
          <w:color w:val="000000"/>
          <w:sz w:val="32"/>
          <w:szCs w:val="32"/>
          <w:lang w:val="en-US" w:eastAsia="zh-CN"/>
        </w:rPr>
        <w:t>主要职责</w:t>
      </w:r>
    </w:p>
    <w:p>
      <w:pPr>
        <w:pStyle w:val="2"/>
        <w:pageBreakBefore w:val="0"/>
        <w:widowControl w:val="0"/>
        <w:kinsoku/>
        <w:wordWrap/>
        <w:overflowPunct/>
        <w:topLinePunct w:val="0"/>
        <w:autoSpaceDE/>
        <w:autoSpaceDN/>
        <w:bidi w:val="0"/>
        <w:adjustRightInd w:val="0"/>
        <w:snapToGrid w:val="0"/>
        <w:spacing w:before="30" w:beforeLines="0" w:line="520" w:lineRule="exact"/>
        <w:ind w:firstLine="665" w:firstLineChars="208"/>
        <w:textAlignment w:val="auto"/>
        <w:outlineLvl w:val="2"/>
        <w:rPr>
          <w:rFonts w:hint="eastAsia" w:ascii="仿宋_GB2312" w:hAnsi="Times New Roman" w:eastAsia="仿宋_GB2312" w:cs="仿宋_GB2312"/>
          <w:color w:val="000000"/>
          <w:kern w:val="2"/>
          <w:sz w:val="32"/>
          <w:szCs w:val="32"/>
          <w:lang w:val="en-US" w:eastAsia="zh-CN" w:bidi="ar-SA"/>
        </w:rPr>
      </w:pPr>
      <w:r>
        <w:rPr>
          <w:rFonts w:hint="eastAsia" w:ascii="仿宋_GB2312" w:hAnsi="Times New Roman" w:eastAsia="仿宋_GB2312" w:cs="仿宋_GB2312"/>
          <w:color w:val="000000"/>
          <w:kern w:val="2"/>
          <w:sz w:val="32"/>
          <w:szCs w:val="32"/>
          <w:lang w:val="en-US" w:eastAsia="zh-CN" w:bidi="ar-SA"/>
        </w:rPr>
        <w:t>宣传贯彻国家老龄工作的方针、政策和法规，开展老龄工作重大问题的调查研究，提出全市老龄工作发展规划，拟定实施办法；督促、检查市老龄工作委员会决定事项在有关部门和县、区、开发区的落实情况；负责各成员单位的联系、协调工作；收集、整理老龄工作的有关情况和信息，总结推广先进经验；指导全市敬老爱老工作，开展敬老活动，组织敬老评比表彰活动；管理、指导市老年活动中心、市老年大学的工作；承办市政府和市老龄工作委员会交办的其它事项。</w:t>
      </w:r>
    </w:p>
    <w:p>
      <w:pPr>
        <w:pStyle w:val="2"/>
        <w:pageBreakBefore w:val="0"/>
        <w:widowControl w:val="0"/>
        <w:kinsoku/>
        <w:wordWrap/>
        <w:overflowPunct/>
        <w:topLinePunct w:val="0"/>
        <w:autoSpaceDE/>
        <w:autoSpaceDN/>
        <w:bidi w:val="0"/>
        <w:adjustRightInd w:val="0"/>
        <w:snapToGrid w:val="0"/>
        <w:spacing w:before="30" w:beforeLines="0" w:line="520" w:lineRule="exact"/>
        <w:ind w:firstLine="665" w:firstLineChars="208"/>
        <w:textAlignment w:val="auto"/>
        <w:outlineLvl w:val="2"/>
        <w:rPr>
          <w:rFonts w:hint="eastAsia" w:ascii="黑体" w:hAnsi="黑体" w:eastAsia="黑体" w:cs="黑体"/>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二、机构设置</w:t>
      </w:r>
    </w:p>
    <w:p>
      <w:pPr>
        <w:pStyle w:val="2"/>
        <w:pageBreakBefore w:val="0"/>
        <w:widowControl w:val="0"/>
        <w:kinsoku/>
        <w:wordWrap/>
        <w:overflowPunct/>
        <w:topLinePunct w:val="0"/>
        <w:autoSpaceDE/>
        <w:autoSpaceDN/>
        <w:bidi w:val="0"/>
        <w:adjustRightInd w:val="0"/>
        <w:snapToGrid w:val="0"/>
        <w:spacing w:before="30" w:beforeLines="0" w:line="520" w:lineRule="exact"/>
        <w:ind w:firstLine="665" w:firstLineChars="208"/>
        <w:textAlignment w:val="auto"/>
        <w:outlineLvl w:val="2"/>
        <w:rPr>
          <w:rFonts w:hint="default" w:cs="仿宋_GB2312"/>
          <w:color w:val="000000"/>
          <w:kern w:val="2"/>
          <w:sz w:val="32"/>
          <w:szCs w:val="32"/>
          <w:lang w:val="en-US" w:eastAsia="zh-CN" w:bidi="ar-SA"/>
        </w:rPr>
      </w:pPr>
      <w:r>
        <w:rPr>
          <w:rFonts w:hint="eastAsia" w:cs="仿宋_GB2312"/>
          <w:color w:val="000000"/>
          <w:kern w:val="2"/>
          <w:sz w:val="32"/>
          <w:szCs w:val="32"/>
          <w:lang w:val="en-US" w:eastAsia="zh-CN" w:bidi="ar-SA"/>
        </w:rPr>
        <w:t>广元市老龄工作委员会办公室为广元市卫生健康委员会下属二级预算单位，下设独立编制机构1个，</w:t>
      </w:r>
      <w:bookmarkStart w:id="114" w:name="_GoBack"/>
      <w:bookmarkEnd w:id="114"/>
      <w:r>
        <w:rPr>
          <w:rFonts w:hint="eastAsia" w:cs="仿宋_GB2312"/>
          <w:color w:val="000000"/>
          <w:kern w:val="2"/>
          <w:sz w:val="32"/>
          <w:szCs w:val="32"/>
          <w:lang w:val="en-US" w:eastAsia="zh-CN" w:bidi="ar-SA"/>
        </w:rPr>
        <w:t>其中参照公务员法管理的事业单位1个。纳入广元市老龄工作委员会办公室2022年度单位决算编制范围的二级预算单位包括：广元市老龄工作委员会办公室。</w:t>
      </w:r>
    </w:p>
    <w:p>
      <w:pPr>
        <w:rPr>
          <w:rFonts w:hint="eastAsia" w:ascii="黑体" w:eastAsia="黑体"/>
          <w:b w:val="0"/>
          <w:color w:val="000000"/>
        </w:rPr>
      </w:pPr>
      <w:bookmarkStart w:id="26" w:name="_Toc15453"/>
      <w:r>
        <w:rPr>
          <w:rFonts w:hint="eastAsia" w:ascii="黑体" w:eastAsia="黑体"/>
          <w:b w:val="0"/>
          <w:color w:val="000000"/>
        </w:rPr>
        <w:br w:type="page"/>
      </w:r>
    </w:p>
    <w:p>
      <w:pPr>
        <w:pStyle w:val="3"/>
        <w:ind w:right="440"/>
        <w:jc w:val="center"/>
        <w:rPr>
          <w:rStyle w:val="12"/>
          <w:rFonts w:hint="eastAsia" w:ascii="黑体" w:eastAsia="黑体"/>
          <w:b/>
          <w:bCs/>
        </w:rPr>
      </w:pPr>
      <w:r>
        <w:rPr>
          <w:rFonts w:hint="eastAsia" w:ascii="黑体" w:eastAsia="黑体"/>
          <w:b w:val="0"/>
          <w:color w:val="000000"/>
        </w:rPr>
        <w:t>第二部分</w:t>
      </w:r>
      <w:r>
        <w:rPr>
          <w:rFonts w:hint="eastAsia" w:ascii="黑体" w:eastAsia="黑体"/>
          <w:color w:val="000000"/>
        </w:rPr>
        <w:t xml:space="preserve"> </w:t>
      </w:r>
      <w:r>
        <w:rPr>
          <w:rStyle w:val="12"/>
          <w:rFonts w:hint="eastAsia" w:ascii="黑体" w:eastAsia="黑体"/>
          <w:b/>
          <w:bCs/>
        </w:rPr>
        <w:t>202</w:t>
      </w:r>
      <w:r>
        <w:rPr>
          <w:rStyle w:val="12"/>
          <w:rFonts w:hint="eastAsia" w:ascii="黑体" w:eastAsia="黑体"/>
          <w:b/>
          <w:bCs/>
          <w:lang w:val="en-US" w:eastAsia="zh-CN"/>
        </w:rPr>
        <w:t>2</w:t>
      </w:r>
      <w:r>
        <w:rPr>
          <w:rStyle w:val="12"/>
          <w:rFonts w:hint="eastAsia" w:ascii="黑体" w:eastAsia="黑体"/>
          <w:b/>
          <w:bCs/>
        </w:rPr>
        <w:t>年度</w:t>
      </w:r>
      <w:r>
        <w:rPr>
          <w:rStyle w:val="12"/>
          <w:rFonts w:hint="eastAsia" w:ascii="黑体" w:eastAsia="黑体"/>
          <w:b/>
          <w:bCs/>
          <w:lang w:eastAsia="zh-CN"/>
        </w:rPr>
        <w:t>单位</w:t>
      </w:r>
      <w:r>
        <w:rPr>
          <w:rStyle w:val="12"/>
          <w:rFonts w:hint="eastAsia" w:ascii="黑体" w:eastAsia="黑体"/>
          <w:b/>
          <w:bCs/>
        </w:rPr>
        <w:t>决算情况说明</w:t>
      </w:r>
      <w:bookmarkEnd w:id="26"/>
    </w:p>
    <w:p>
      <w:pPr>
        <w:pStyle w:val="14"/>
        <w:numPr>
          <w:ilvl w:val="0"/>
          <w:numId w:val="1"/>
        </w:numPr>
        <w:spacing w:line="600" w:lineRule="exact"/>
        <w:ind w:firstLineChars="0"/>
        <w:outlineLvl w:val="1"/>
        <w:rPr>
          <w:rStyle w:val="13"/>
          <w:rFonts w:hint="eastAsia" w:ascii="黑体" w:eastAsia="黑体"/>
          <w:b w:val="0"/>
        </w:rPr>
      </w:pPr>
      <w:bookmarkStart w:id="27" w:name="_Toc15396603"/>
      <w:bookmarkStart w:id="28" w:name="_Toc8232"/>
      <w:bookmarkStart w:id="29" w:name="_Toc15377205"/>
      <w:bookmarkStart w:id="30" w:name="_Toc5186"/>
      <w:bookmarkStart w:id="31" w:name="_Toc27985"/>
      <w:bookmarkStart w:id="32" w:name="_Toc18604"/>
      <w:bookmarkStart w:id="33" w:name="_Toc3597"/>
      <w:r>
        <w:rPr>
          <w:rFonts w:hint="eastAsia" w:ascii="黑体" w:eastAsia="黑体"/>
          <w:color w:val="000000"/>
          <w:sz w:val="32"/>
          <w:szCs w:val="32"/>
        </w:rPr>
        <w:t>收</w:t>
      </w:r>
      <w:r>
        <w:rPr>
          <w:rStyle w:val="13"/>
          <w:rFonts w:hint="eastAsia" w:ascii="黑体" w:eastAsia="黑体"/>
          <w:b w:val="0"/>
        </w:rPr>
        <w:t>入支出决算总体情况说明</w:t>
      </w:r>
      <w:bookmarkEnd w:id="27"/>
      <w:bookmarkEnd w:id="28"/>
      <w:bookmarkEnd w:id="29"/>
      <w:bookmarkEnd w:id="30"/>
      <w:bookmarkEnd w:id="31"/>
      <w:bookmarkEnd w:id="32"/>
      <w:bookmarkEnd w:id="33"/>
    </w:p>
    <w:p>
      <w:pPr>
        <w:adjustRightInd w:val="0"/>
        <w:snapToGrid w:val="0"/>
        <w:spacing w:line="576" w:lineRule="exact"/>
        <w:ind w:firstLine="640" w:firstLineChars="200"/>
        <w:rPr>
          <w:rFonts w:hint="eastAsia" w:ascii="仿宋_GB2312" w:hAnsi="Times New Roman" w:eastAsia="仿宋_GB2312" w:cs="Times New Roman"/>
          <w:color w:val="auto"/>
          <w:sz w:val="32"/>
          <w:szCs w:val="32"/>
          <w:lang w:eastAsia="zh-CN"/>
        </w:rPr>
      </w:pPr>
      <w:r>
        <w:rPr>
          <w:rFonts w:hint="eastAsia" w:ascii="仿宋_GB2312" w:hAnsi="Times New Roman" w:eastAsia="仿宋_GB2312" w:cs="Times New Roman"/>
          <w:color w:val="000000"/>
          <w:sz w:val="32"/>
          <w:szCs w:val="32"/>
          <w:lang w:val="en-US" w:eastAsia="zh-CN"/>
        </w:rPr>
        <w:t>202</w:t>
      </w:r>
      <w:r>
        <w:rPr>
          <w:rFonts w:hint="eastAsia" w:ascii="仿宋_GB2312" w:eastAsia="仿宋_GB2312" w:cs="Times New Roman"/>
          <w:color w:val="000000"/>
          <w:sz w:val="32"/>
          <w:szCs w:val="32"/>
          <w:lang w:val="en-US" w:eastAsia="zh-CN"/>
        </w:rPr>
        <w:t>2</w:t>
      </w:r>
      <w:r>
        <w:rPr>
          <w:rFonts w:hint="eastAsia" w:ascii="仿宋_GB2312" w:hAnsi="Times New Roman" w:eastAsia="仿宋_GB2312" w:cs="Times New Roman"/>
          <w:color w:val="000000"/>
          <w:sz w:val="32"/>
          <w:szCs w:val="32"/>
          <w:lang w:val="en-US" w:eastAsia="zh-CN"/>
        </w:rPr>
        <w:t>年度收、支总计12</w:t>
      </w:r>
      <w:r>
        <w:rPr>
          <w:rFonts w:hint="eastAsia" w:ascii="仿宋_GB2312" w:eastAsia="仿宋_GB2312" w:cs="Times New Roman"/>
          <w:color w:val="000000"/>
          <w:sz w:val="32"/>
          <w:szCs w:val="32"/>
          <w:lang w:val="en-US" w:eastAsia="zh-CN"/>
        </w:rPr>
        <w:t>3.60</w:t>
      </w:r>
      <w:r>
        <w:rPr>
          <w:rFonts w:hint="eastAsia" w:ascii="仿宋_GB2312" w:hAnsi="Times New Roman" w:eastAsia="仿宋_GB2312" w:cs="Times New Roman"/>
          <w:color w:val="000000"/>
          <w:sz w:val="32"/>
          <w:szCs w:val="32"/>
          <w:lang w:val="en-US" w:eastAsia="zh-CN"/>
        </w:rPr>
        <w:t>万元。与2020年</w:t>
      </w:r>
      <w:r>
        <w:rPr>
          <w:rFonts w:hint="eastAsia" w:ascii="仿宋_GB2312" w:eastAsia="仿宋_GB2312" w:cs="Times New Roman"/>
          <w:color w:val="000000"/>
          <w:sz w:val="32"/>
          <w:szCs w:val="32"/>
          <w:lang w:val="en-US" w:eastAsia="zh-CN"/>
        </w:rPr>
        <w:t>125.68</w:t>
      </w:r>
      <w:r>
        <w:rPr>
          <w:rFonts w:hint="eastAsia" w:ascii="仿宋_GB2312" w:hAnsi="Times New Roman" w:eastAsia="仿宋_GB2312" w:cs="Times New Roman"/>
          <w:color w:val="000000"/>
          <w:sz w:val="32"/>
          <w:szCs w:val="32"/>
          <w:lang w:val="en-US" w:eastAsia="zh-CN"/>
        </w:rPr>
        <w:t>万元</w:t>
      </w:r>
      <w:r>
        <w:rPr>
          <w:rFonts w:hint="eastAsia" w:ascii="仿宋_GB2312" w:hAnsi="Times New Roman" w:eastAsia="仿宋_GB2312" w:cs="Times New Roman"/>
          <w:color w:val="000000"/>
          <w:sz w:val="32"/>
          <w:szCs w:val="32"/>
        </w:rPr>
        <w:t>相比，收、支总计各</w:t>
      </w:r>
      <w:r>
        <w:rPr>
          <w:rFonts w:hint="eastAsia" w:ascii="仿宋_GB2312" w:eastAsia="仿宋_GB2312" w:cs="Times New Roman"/>
          <w:color w:val="000000"/>
          <w:sz w:val="32"/>
          <w:szCs w:val="32"/>
          <w:lang w:val="en-US" w:eastAsia="zh-CN"/>
        </w:rPr>
        <w:t>减少2.08</w:t>
      </w:r>
      <w:r>
        <w:rPr>
          <w:rFonts w:hint="eastAsia" w:ascii="仿宋_GB2312" w:hAnsi="Times New Roman" w:eastAsia="仿宋_GB2312" w:cs="Times New Roman"/>
          <w:color w:val="000000"/>
          <w:sz w:val="32"/>
          <w:szCs w:val="32"/>
        </w:rPr>
        <w:t>万元，</w:t>
      </w:r>
      <w:r>
        <w:rPr>
          <w:rFonts w:hint="eastAsia" w:ascii="仿宋_GB2312" w:eastAsia="仿宋_GB2312" w:cs="Times New Roman"/>
          <w:color w:val="000000"/>
          <w:sz w:val="32"/>
          <w:szCs w:val="32"/>
          <w:lang w:val="en-US" w:eastAsia="zh-CN"/>
        </w:rPr>
        <w:t>减少1.65</w:t>
      </w:r>
      <w:r>
        <w:rPr>
          <w:rFonts w:hint="eastAsia" w:ascii="仿宋_GB2312" w:hAnsi="Times New Roman" w:eastAsia="仿宋_GB2312" w:cs="Times New Roman"/>
          <w:color w:val="000000"/>
          <w:sz w:val="32"/>
          <w:szCs w:val="32"/>
        </w:rPr>
        <w:t>%。主要变动原因是</w:t>
      </w:r>
      <w:r>
        <w:rPr>
          <w:rFonts w:hint="eastAsia" w:ascii="仿宋_GB2312" w:eastAsia="仿宋_GB2312" w:cs="Times New Roman"/>
          <w:color w:val="auto"/>
          <w:sz w:val="32"/>
          <w:szCs w:val="32"/>
          <w:lang w:val="en-US" w:eastAsia="zh-CN"/>
        </w:rPr>
        <w:t>人员减少</w:t>
      </w:r>
      <w:r>
        <w:rPr>
          <w:rFonts w:hint="eastAsia" w:ascii="仿宋_GB2312" w:hAnsi="Times New Roman" w:eastAsia="仿宋_GB2312" w:cs="Times New Roman"/>
          <w:color w:val="auto"/>
          <w:sz w:val="32"/>
          <w:szCs w:val="32"/>
          <w:lang w:eastAsia="zh-CN"/>
        </w:rPr>
        <w:t>。</w:t>
      </w:r>
    </w:p>
    <w:p>
      <w:pPr>
        <w:pStyle w:val="2"/>
        <w:rPr>
          <w:rFonts w:hint="eastAsia"/>
          <w:lang w:eastAsia="zh-CN"/>
        </w:rPr>
      </w:pPr>
    </w:p>
    <w:p>
      <w:pPr>
        <w:pStyle w:val="2"/>
        <w:pageBreakBefore w:val="0"/>
        <w:widowControl w:val="0"/>
        <w:kinsoku/>
        <w:wordWrap/>
        <w:overflowPunct/>
        <w:topLinePunct w:val="0"/>
        <w:autoSpaceDE/>
        <w:autoSpaceDN/>
        <w:bidi w:val="0"/>
        <w:adjustRightInd w:val="0"/>
        <w:snapToGrid w:val="0"/>
        <w:spacing w:before="30" w:beforeLines="0" w:line="520" w:lineRule="exact"/>
        <w:ind w:firstLine="665" w:firstLineChars="208"/>
        <w:textAlignment w:val="auto"/>
        <w:outlineLvl w:val="2"/>
        <w:rPr>
          <w:rFonts w:hint="default" w:cs="仿宋_GB2312"/>
          <w:color w:val="000000"/>
          <w:kern w:val="2"/>
          <w:sz w:val="32"/>
          <w:szCs w:val="32"/>
          <w:lang w:val="en-US" w:eastAsia="zh-CN" w:bidi="ar-SA"/>
        </w:rPr>
      </w:pPr>
      <w:r>
        <w:rPr>
          <w:rFonts w:hint="eastAsia" w:ascii="仿宋" w:eastAsia="仿宋"/>
          <w:color w:val="000000"/>
          <w:sz w:val="32"/>
          <w:szCs w:val="32"/>
        </w:rPr>
        <w:t>（图1：收、支决算总计变动情况图）</w:t>
      </w:r>
    </w:p>
    <w:p>
      <w:pPr>
        <w:pStyle w:val="2"/>
        <w:pageBreakBefore w:val="0"/>
        <w:widowControl w:val="0"/>
        <w:kinsoku/>
        <w:wordWrap/>
        <w:overflowPunct/>
        <w:topLinePunct w:val="0"/>
        <w:autoSpaceDE/>
        <w:autoSpaceDN/>
        <w:bidi w:val="0"/>
        <w:adjustRightInd w:val="0"/>
        <w:snapToGrid w:val="0"/>
        <w:spacing w:before="30" w:beforeLines="0" w:line="520" w:lineRule="exact"/>
        <w:ind w:firstLine="665" w:firstLineChars="208"/>
        <w:textAlignment w:val="auto"/>
        <w:outlineLvl w:val="2"/>
        <w:rPr>
          <w:rFonts w:hint="eastAsia" w:ascii="仿宋_GB2312" w:hAnsi="Times New Roman" w:eastAsia="仿宋_GB2312" w:cs="仿宋_GB2312"/>
          <w:color w:val="000000"/>
          <w:kern w:val="2"/>
          <w:sz w:val="32"/>
          <w:szCs w:val="32"/>
          <w:lang w:val="en-US" w:eastAsia="zh-CN" w:bidi="ar-SA"/>
        </w:rPr>
      </w:pPr>
    </w:p>
    <w:p>
      <w:r>
        <w:drawing>
          <wp:inline distT="0" distB="0" distL="114300" distR="114300">
            <wp:extent cx="5137150" cy="2647315"/>
            <wp:effectExtent l="4445" t="4445" r="20955" b="1524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
      </w:pPr>
    </w:p>
    <w:p>
      <w:pPr>
        <w:pStyle w:val="14"/>
        <w:numPr>
          <w:ilvl w:val="0"/>
          <w:numId w:val="1"/>
        </w:numPr>
        <w:spacing w:line="600" w:lineRule="exact"/>
        <w:ind w:firstLineChars="0"/>
        <w:outlineLvl w:val="1"/>
        <w:rPr>
          <w:rStyle w:val="13"/>
          <w:rFonts w:hint="eastAsia" w:ascii="黑体" w:eastAsia="黑体"/>
          <w:b w:val="0"/>
        </w:rPr>
      </w:pPr>
      <w:bookmarkStart w:id="34" w:name="_Toc21155"/>
      <w:bookmarkStart w:id="35" w:name="_Toc4180"/>
      <w:bookmarkStart w:id="36" w:name="_Toc7977"/>
      <w:bookmarkStart w:id="37" w:name="_Toc20477"/>
      <w:bookmarkStart w:id="38" w:name="_Toc27226"/>
      <w:bookmarkStart w:id="39" w:name="_Toc9475"/>
      <w:r>
        <w:rPr>
          <w:rFonts w:hint="eastAsia" w:ascii="黑体" w:eastAsia="黑体"/>
          <w:color w:val="000000"/>
          <w:sz w:val="32"/>
          <w:szCs w:val="32"/>
        </w:rPr>
        <w:t>收</w:t>
      </w:r>
      <w:r>
        <w:rPr>
          <w:rStyle w:val="13"/>
          <w:rFonts w:hint="eastAsia" w:ascii="黑体" w:eastAsia="黑体"/>
          <w:b w:val="0"/>
        </w:rPr>
        <w:t>入决算情况说明</w:t>
      </w:r>
      <w:bookmarkEnd w:id="34"/>
    </w:p>
    <w:p>
      <w:pPr>
        <w:adjustRightInd w:val="0"/>
        <w:snapToGrid w:val="0"/>
        <w:spacing w:line="576" w:lineRule="exact"/>
        <w:ind w:firstLine="640" w:firstLineChars="200"/>
        <w:rPr>
          <w:rFonts w:hint="eastAsia" w:ascii="仿宋" w:eastAsia="仿宋"/>
          <w:color w:val="000000"/>
          <w:sz w:val="32"/>
          <w:szCs w:val="32"/>
        </w:rPr>
      </w:pPr>
      <w:r>
        <w:rPr>
          <w:rFonts w:hint="eastAsia" w:ascii="仿宋_GB2312" w:hAnsi="Times New Roman" w:eastAsia="仿宋_GB2312" w:cs="Times New Roman"/>
          <w:color w:val="000000"/>
          <w:sz w:val="32"/>
          <w:szCs w:val="32"/>
        </w:rPr>
        <w:t>202</w:t>
      </w:r>
      <w:r>
        <w:rPr>
          <w:rFonts w:hint="eastAsia" w:ascii="仿宋_GB2312" w:eastAsia="仿宋_GB2312" w:cs="Times New Roman"/>
          <w:color w:val="000000"/>
          <w:sz w:val="32"/>
          <w:szCs w:val="32"/>
          <w:lang w:val="en-US" w:eastAsia="zh-CN"/>
        </w:rPr>
        <w:t>2</w:t>
      </w:r>
      <w:r>
        <w:rPr>
          <w:rFonts w:hint="eastAsia" w:ascii="仿宋_GB2312" w:hAnsi="Times New Roman" w:eastAsia="仿宋_GB2312" w:cs="Times New Roman"/>
          <w:color w:val="000000"/>
          <w:sz w:val="32"/>
          <w:szCs w:val="32"/>
        </w:rPr>
        <w:t>年本年收入合计</w:t>
      </w:r>
      <w:r>
        <w:rPr>
          <w:rFonts w:hint="eastAsia" w:ascii="仿宋_GB2312" w:hAnsi="Times New Roman" w:eastAsia="仿宋_GB2312" w:cs="Times New Roman"/>
          <w:color w:val="000000"/>
          <w:sz w:val="32"/>
          <w:szCs w:val="32"/>
          <w:lang w:val="en-US" w:eastAsia="zh-CN"/>
        </w:rPr>
        <w:t>11</w:t>
      </w:r>
      <w:r>
        <w:rPr>
          <w:rFonts w:hint="eastAsia" w:ascii="仿宋_GB2312" w:eastAsia="仿宋_GB2312" w:cs="Times New Roman"/>
          <w:color w:val="000000"/>
          <w:sz w:val="32"/>
          <w:szCs w:val="32"/>
          <w:lang w:val="en-US" w:eastAsia="zh-CN"/>
        </w:rPr>
        <w:t>9.87</w:t>
      </w:r>
      <w:r>
        <w:rPr>
          <w:rFonts w:hint="eastAsia" w:ascii="仿宋_GB2312" w:hAnsi="Times New Roman" w:eastAsia="仿宋_GB2312" w:cs="Times New Roman"/>
          <w:color w:val="000000"/>
          <w:sz w:val="32"/>
          <w:szCs w:val="32"/>
        </w:rPr>
        <w:t>万元，其中：一般公共预算财政拨款收入</w:t>
      </w:r>
      <w:r>
        <w:rPr>
          <w:rFonts w:hint="eastAsia" w:ascii="仿宋_GB2312" w:eastAsia="仿宋_GB2312" w:cs="Times New Roman"/>
          <w:color w:val="000000"/>
          <w:sz w:val="32"/>
          <w:szCs w:val="32"/>
          <w:lang w:val="en-US" w:eastAsia="zh-CN"/>
        </w:rPr>
        <w:t>119.87</w:t>
      </w:r>
      <w:r>
        <w:rPr>
          <w:rFonts w:hint="eastAsia" w:ascii="仿宋_GB2312" w:hAnsi="Times New Roman" w:eastAsia="仿宋_GB2312" w:cs="Times New Roman"/>
          <w:color w:val="000000"/>
          <w:sz w:val="32"/>
          <w:szCs w:val="32"/>
        </w:rPr>
        <w:t>万元，占</w:t>
      </w:r>
      <w:r>
        <w:rPr>
          <w:rFonts w:hint="eastAsia" w:ascii="仿宋_GB2312" w:hAnsi="Times New Roman" w:eastAsia="仿宋_GB2312" w:cs="Times New Roman"/>
          <w:color w:val="000000"/>
          <w:sz w:val="32"/>
          <w:szCs w:val="32"/>
          <w:lang w:val="en-US" w:eastAsia="zh-CN"/>
        </w:rPr>
        <w:t>100</w:t>
      </w:r>
      <w:r>
        <w:rPr>
          <w:rFonts w:hint="eastAsia" w:ascii="仿宋_GB2312" w:hAnsi="Times New Roman" w:eastAsia="仿宋_GB2312" w:cs="Times New Roman"/>
          <w:color w:val="000000"/>
          <w:sz w:val="32"/>
          <w:szCs w:val="32"/>
        </w:rPr>
        <w:t>%。</w:t>
      </w:r>
      <w:bookmarkEnd w:id="35"/>
      <w:bookmarkEnd w:id="36"/>
      <w:bookmarkEnd w:id="37"/>
      <w:bookmarkEnd w:id="38"/>
      <w:bookmarkEnd w:id="39"/>
    </w:p>
    <w:p>
      <w:pPr>
        <w:spacing w:line="600" w:lineRule="exact"/>
        <w:ind w:firstLine="2560" w:firstLineChars="800"/>
        <w:jc w:val="left"/>
        <w:rPr>
          <w:rFonts w:hint="eastAsia" w:ascii="仿宋" w:eastAsia="仿宋"/>
          <w:color w:val="000000"/>
          <w:sz w:val="32"/>
          <w:szCs w:val="32"/>
        </w:rPr>
      </w:pPr>
      <w:r>
        <w:rPr>
          <w:rFonts w:hint="eastAsia" w:ascii="仿宋" w:eastAsia="仿宋"/>
          <w:color w:val="000000"/>
          <w:sz w:val="32"/>
          <w:szCs w:val="32"/>
        </w:rPr>
        <w:t>（图2：收入决算结构图）</w:t>
      </w:r>
    </w:p>
    <w:p>
      <w:pPr>
        <w:pStyle w:val="2"/>
      </w:pPr>
      <w:r>
        <w:drawing>
          <wp:inline distT="0" distB="0" distL="114300" distR="114300">
            <wp:extent cx="5251450" cy="2522855"/>
            <wp:effectExtent l="4445" t="4445" r="20955" b="6350"/>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14"/>
        <w:numPr>
          <w:ilvl w:val="0"/>
          <w:numId w:val="1"/>
        </w:numPr>
        <w:spacing w:line="600" w:lineRule="exact"/>
        <w:ind w:firstLineChars="0"/>
        <w:outlineLvl w:val="1"/>
        <w:rPr>
          <w:rFonts w:hint="eastAsia" w:ascii="黑体" w:hAnsi="Times New Roman" w:eastAsia="黑体" w:cs="Times New Roman"/>
          <w:color w:val="000000"/>
          <w:sz w:val="32"/>
          <w:szCs w:val="32"/>
        </w:rPr>
      </w:pPr>
      <w:bookmarkStart w:id="40" w:name="_Toc22001"/>
      <w:bookmarkStart w:id="41" w:name="_Toc11065"/>
      <w:bookmarkStart w:id="42" w:name="_Toc16530"/>
      <w:bookmarkStart w:id="43" w:name="_Toc15396605"/>
      <w:bookmarkStart w:id="44" w:name="_Toc25955"/>
      <w:bookmarkStart w:id="45" w:name="_Toc7672"/>
      <w:bookmarkStart w:id="46" w:name="_Toc15377207"/>
      <w:bookmarkStart w:id="47" w:name="_Toc18822"/>
      <w:bookmarkStart w:id="48" w:name="_Toc31173"/>
      <w:bookmarkStart w:id="49" w:name="_Toc21398"/>
      <w:bookmarkStart w:id="50" w:name="_Toc32679"/>
      <w:bookmarkStart w:id="51" w:name="_Toc14620"/>
      <w:r>
        <w:rPr>
          <w:rFonts w:hint="eastAsia" w:ascii="黑体" w:hAnsi="Times New Roman" w:eastAsia="黑体" w:cs="Times New Roman"/>
          <w:color w:val="000000"/>
          <w:sz w:val="32"/>
          <w:szCs w:val="32"/>
        </w:rPr>
        <w:t>支出决算情况说明</w:t>
      </w:r>
      <w:bookmarkEnd w:id="40"/>
      <w:bookmarkEnd w:id="41"/>
      <w:bookmarkEnd w:id="42"/>
      <w:bookmarkEnd w:id="43"/>
      <w:bookmarkEnd w:id="44"/>
      <w:bookmarkEnd w:id="45"/>
      <w:bookmarkEnd w:id="46"/>
    </w:p>
    <w:p>
      <w:pPr>
        <w:adjustRightInd w:val="0"/>
        <w:snapToGrid w:val="0"/>
        <w:spacing w:line="576" w:lineRule="exact"/>
        <w:ind w:firstLine="640" w:firstLineChars="200"/>
        <w:rPr>
          <w:rFonts w:hint="eastAsia" w:ascii="仿宋" w:eastAsia="仿宋"/>
          <w:color w:val="000000"/>
          <w:sz w:val="32"/>
          <w:szCs w:val="32"/>
        </w:rPr>
      </w:pPr>
      <w:r>
        <w:rPr>
          <w:rFonts w:hint="eastAsia" w:ascii="仿宋_GB2312" w:hAnsi="Times New Roman" w:eastAsia="仿宋_GB2312" w:cs="Times New Roman"/>
          <w:color w:val="000000"/>
          <w:sz w:val="32"/>
          <w:szCs w:val="32"/>
        </w:rPr>
        <w:t>202</w:t>
      </w:r>
      <w:r>
        <w:rPr>
          <w:rFonts w:hint="eastAsia" w:ascii="仿宋_GB2312" w:eastAsia="仿宋_GB2312" w:cs="Times New Roman"/>
          <w:color w:val="000000"/>
          <w:sz w:val="32"/>
          <w:szCs w:val="32"/>
          <w:lang w:val="en-US" w:eastAsia="zh-CN"/>
        </w:rPr>
        <w:t>2</w:t>
      </w:r>
      <w:r>
        <w:rPr>
          <w:rFonts w:hint="eastAsia" w:ascii="仿宋_GB2312" w:hAnsi="Times New Roman" w:eastAsia="仿宋_GB2312" w:cs="Times New Roman"/>
          <w:color w:val="000000"/>
          <w:sz w:val="32"/>
          <w:szCs w:val="32"/>
        </w:rPr>
        <w:t>年本年支出合计</w:t>
      </w:r>
      <w:r>
        <w:rPr>
          <w:rFonts w:hint="eastAsia" w:ascii="仿宋_GB2312" w:eastAsia="仿宋_GB2312" w:cs="Times New Roman"/>
          <w:color w:val="000000"/>
          <w:sz w:val="32"/>
          <w:szCs w:val="32"/>
          <w:lang w:val="en-US" w:eastAsia="zh-CN"/>
        </w:rPr>
        <w:t>121.85</w:t>
      </w:r>
      <w:r>
        <w:rPr>
          <w:rFonts w:hint="eastAsia" w:ascii="仿宋_GB2312" w:hAnsi="Times New Roman" w:eastAsia="仿宋_GB2312" w:cs="Times New Roman"/>
          <w:color w:val="000000"/>
          <w:sz w:val="32"/>
          <w:szCs w:val="32"/>
        </w:rPr>
        <w:t>万元，其中：基本支出</w:t>
      </w:r>
      <w:r>
        <w:rPr>
          <w:rFonts w:hint="eastAsia" w:ascii="仿宋_GB2312" w:eastAsia="仿宋_GB2312" w:cs="Times New Roman"/>
          <w:color w:val="000000"/>
          <w:sz w:val="32"/>
          <w:szCs w:val="32"/>
          <w:lang w:val="en-US" w:eastAsia="zh-CN"/>
        </w:rPr>
        <w:t>118.50</w:t>
      </w:r>
      <w:r>
        <w:rPr>
          <w:rFonts w:hint="eastAsia" w:ascii="仿宋_GB2312" w:hAnsi="Times New Roman" w:eastAsia="仿宋_GB2312" w:cs="Times New Roman"/>
          <w:color w:val="000000"/>
          <w:sz w:val="32"/>
          <w:szCs w:val="32"/>
        </w:rPr>
        <w:t>万元，占</w:t>
      </w:r>
      <w:r>
        <w:rPr>
          <w:rFonts w:hint="eastAsia" w:ascii="仿宋_GB2312" w:eastAsia="仿宋_GB2312" w:cs="Times New Roman"/>
          <w:color w:val="000000"/>
          <w:sz w:val="32"/>
          <w:szCs w:val="32"/>
          <w:lang w:val="en-US" w:eastAsia="zh-CN"/>
        </w:rPr>
        <w:t>97.25</w:t>
      </w:r>
      <w:r>
        <w:rPr>
          <w:rFonts w:hint="eastAsia" w:ascii="仿宋_GB2312" w:hAnsi="Times New Roman" w:eastAsia="仿宋_GB2312" w:cs="Times New Roman"/>
          <w:color w:val="000000"/>
          <w:sz w:val="32"/>
          <w:szCs w:val="32"/>
        </w:rPr>
        <w:t>%；项目支出</w:t>
      </w:r>
      <w:r>
        <w:rPr>
          <w:rFonts w:hint="eastAsia" w:ascii="仿宋_GB2312" w:eastAsia="仿宋_GB2312" w:cs="Times New Roman"/>
          <w:color w:val="000000"/>
          <w:sz w:val="32"/>
          <w:szCs w:val="32"/>
          <w:lang w:val="en-US" w:eastAsia="zh-CN"/>
        </w:rPr>
        <w:t>3.35</w:t>
      </w:r>
      <w:r>
        <w:rPr>
          <w:rFonts w:hint="eastAsia" w:ascii="仿宋_GB2312" w:hAnsi="Times New Roman" w:eastAsia="仿宋_GB2312" w:cs="Times New Roman"/>
          <w:color w:val="000000"/>
          <w:sz w:val="32"/>
          <w:szCs w:val="32"/>
        </w:rPr>
        <w:t>万元，占</w:t>
      </w:r>
      <w:r>
        <w:rPr>
          <w:rFonts w:hint="eastAsia" w:ascii="仿宋_GB2312" w:eastAsia="仿宋_GB2312" w:cs="Times New Roman"/>
          <w:color w:val="000000"/>
          <w:sz w:val="32"/>
          <w:szCs w:val="32"/>
          <w:lang w:val="en-US" w:eastAsia="zh-CN"/>
        </w:rPr>
        <w:t>2.75</w:t>
      </w:r>
      <w:r>
        <w:rPr>
          <w:rFonts w:hint="eastAsia" w:ascii="仿宋_GB2312" w:hAnsi="Times New Roman" w:eastAsia="仿宋_GB2312" w:cs="Times New Roman"/>
          <w:color w:val="000000"/>
          <w:sz w:val="32"/>
          <w:szCs w:val="32"/>
        </w:rPr>
        <w:t>%。</w:t>
      </w:r>
      <w:bookmarkEnd w:id="47"/>
      <w:bookmarkEnd w:id="48"/>
      <w:bookmarkEnd w:id="49"/>
      <w:bookmarkEnd w:id="50"/>
      <w:bookmarkEnd w:id="51"/>
    </w:p>
    <w:p>
      <w:pPr>
        <w:spacing w:line="600" w:lineRule="exact"/>
        <w:ind w:firstLine="1920" w:firstLineChars="600"/>
        <w:rPr>
          <w:rFonts w:hint="default"/>
          <w:lang w:val="en-US" w:eastAsia="zh-CN"/>
        </w:rPr>
      </w:pPr>
      <w:r>
        <w:rPr>
          <w:rFonts w:hint="eastAsia" w:ascii="仿宋" w:eastAsia="仿宋"/>
          <w:color w:val="000000"/>
          <w:sz w:val="32"/>
          <w:szCs w:val="32"/>
        </w:rPr>
        <w:t>（图3：支出决算结构图）</w:t>
      </w:r>
    </w:p>
    <w:p>
      <w:pPr>
        <w:pStyle w:val="2"/>
      </w:pPr>
      <w:r>
        <w:drawing>
          <wp:inline distT="0" distB="0" distL="114300" distR="114300">
            <wp:extent cx="4721225" cy="1845945"/>
            <wp:effectExtent l="4445" t="5080" r="17780" b="1587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outlineLvl w:val="1"/>
        <w:rPr>
          <w:rStyle w:val="13"/>
          <w:rFonts w:hint="eastAsia" w:ascii="黑体" w:eastAsia="黑体"/>
          <w:b w:val="0"/>
        </w:rPr>
      </w:pPr>
      <w:bookmarkStart w:id="52" w:name="_Toc9036"/>
      <w:r>
        <w:rPr>
          <w:rFonts w:hint="eastAsia" w:ascii="黑体" w:eastAsia="黑体"/>
          <w:color w:val="000000"/>
          <w:sz w:val="32"/>
          <w:szCs w:val="32"/>
        </w:rPr>
        <w:t>四、财</w:t>
      </w:r>
      <w:r>
        <w:rPr>
          <w:rStyle w:val="13"/>
          <w:rFonts w:hint="eastAsia" w:ascii="黑体" w:eastAsia="黑体"/>
          <w:b w:val="0"/>
        </w:rPr>
        <w:t>政拨款收入支出决算总体情况说明</w:t>
      </w:r>
      <w:bookmarkEnd w:id="52"/>
    </w:p>
    <w:p>
      <w:pPr>
        <w:keepNext w:val="0"/>
        <w:keepLines w:val="0"/>
        <w:pageBreakBefore w:val="0"/>
        <w:widowControl w:val="0"/>
        <w:kinsoku/>
        <w:wordWrap/>
        <w:overflowPunct/>
        <w:topLinePunct w:val="0"/>
        <w:autoSpaceDE/>
        <w:autoSpaceDN/>
        <w:bidi w:val="0"/>
        <w:adjustRightInd/>
        <w:snapToGrid/>
        <w:spacing w:after="313" w:afterLines="100" w:line="600" w:lineRule="exact"/>
        <w:ind w:firstLine="641"/>
        <w:textAlignment w:val="auto"/>
        <w:rPr>
          <w:rFonts w:hint="eastAsia" w:ascii="仿宋" w:eastAsia="仿宋"/>
          <w:color w:val="000000"/>
          <w:sz w:val="32"/>
          <w:szCs w:val="32"/>
          <w:lang w:eastAsia="zh-CN"/>
        </w:rPr>
      </w:pPr>
      <w:r>
        <w:rPr>
          <w:rFonts w:hint="eastAsia" w:ascii="仿宋" w:eastAsia="仿宋"/>
          <w:color w:val="000000"/>
          <w:sz w:val="32"/>
          <w:szCs w:val="32"/>
        </w:rPr>
        <w:t>202</w:t>
      </w:r>
      <w:r>
        <w:rPr>
          <w:rFonts w:hint="eastAsia" w:ascii="仿宋" w:eastAsia="仿宋"/>
          <w:color w:val="000000"/>
          <w:sz w:val="32"/>
          <w:szCs w:val="32"/>
          <w:lang w:val="en-US" w:eastAsia="zh-CN"/>
        </w:rPr>
        <w:t>2</w:t>
      </w:r>
      <w:r>
        <w:rPr>
          <w:rFonts w:hint="eastAsia" w:ascii="仿宋" w:eastAsia="仿宋"/>
          <w:color w:val="000000"/>
          <w:sz w:val="32"/>
          <w:szCs w:val="32"/>
        </w:rPr>
        <w:t>年财政拨款收、支总计</w:t>
      </w:r>
      <w:r>
        <w:rPr>
          <w:rFonts w:hint="eastAsia" w:ascii="仿宋" w:eastAsia="仿宋"/>
          <w:color w:val="000000"/>
          <w:sz w:val="32"/>
          <w:szCs w:val="32"/>
          <w:lang w:val="en-US" w:eastAsia="zh-CN"/>
        </w:rPr>
        <w:t>123.60</w:t>
      </w:r>
      <w:r>
        <w:rPr>
          <w:rFonts w:hint="eastAsia" w:ascii="仿宋" w:eastAsia="仿宋"/>
          <w:color w:val="000000"/>
          <w:sz w:val="32"/>
          <w:szCs w:val="32"/>
        </w:rPr>
        <w:t>万元。与2</w:t>
      </w:r>
      <w:r>
        <w:rPr>
          <w:rFonts w:hint="eastAsia" w:ascii="仿宋" w:eastAsia="仿宋"/>
          <w:color w:val="000000"/>
          <w:sz w:val="32"/>
          <w:szCs w:val="32"/>
          <w:lang w:val="en-US" w:eastAsia="zh-CN"/>
        </w:rPr>
        <w:t>021</w:t>
      </w:r>
      <w:r>
        <w:rPr>
          <w:rFonts w:hint="eastAsia" w:ascii="仿宋" w:eastAsia="仿宋"/>
          <w:color w:val="000000"/>
          <w:sz w:val="32"/>
          <w:szCs w:val="32"/>
        </w:rPr>
        <w:t>年</w:t>
      </w:r>
      <w:r>
        <w:rPr>
          <w:rFonts w:hint="eastAsia" w:ascii="仿宋" w:eastAsia="仿宋"/>
          <w:color w:val="000000"/>
          <w:sz w:val="32"/>
          <w:szCs w:val="32"/>
          <w:lang w:val="en-US" w:eastAsia="zh-CN"/>
        </w:rPr>
        <w:t>125.68</w:t>
      </w:r>
      <w:r>
        <w:rPr>
          <w:rFonts w:hint="eastAsia" w:ascii="仿宋" w:eastAsia="仿宋"/>
          <w:color w:val="000000"/>
          <w:sz w:val="32"/>
          <w:szCs w:val="32"/>
        </w:rPr>
        <w:t>万元相比，财政拨款收、支总计</w:t>
      </w:r>
      <w:r>
        <w:rPr>
          <w:rFonts w:hint="eastAsia" w:ascii="仿宋_GB2312" w:hAnsi="Times New Roman" w:eastAsia="仿宋_GB2312" w:cs="Times New Roman"/>
          <w:color w:val="000000"/>
          <w:sz w:val="32"/>
          <w:szCs w:val="32"/>
        </w:rPr>
        <w:t>各</w:t>
      </w:r>
      <w:r>
        <w:rPr>
          <w:rFonts w:hint="eastAsia" w:ascii="仿宋_GB2312" w:eastAsia="仿宋_GB2312" w:cs="Times New Roman"/>
          <w:color w:val="000000"/>
          <w:sz w:val="32"/>
          <w:szCs w:val="32"/>
          <w:lang w:val="en-US" w:eastAsia="zh-CN"/>
        </w:rPr>
        <w:t>减少2.08</w:t>
      </w:r>
      <w:r>
        <w:rPr>
          <w:rFonts w:hint="eastAsia" w:ascii="仿宋_GB2312" w:hAnsi="Times New Roman" w:eastAsia="仿宋_GB2312" w:cs="Times New Roman"/>
          <w:color w:val="000000"/>
          <w:sz w:val="32"/>
          <w:szCs w:val="32"/>
        </w:rPr>
        <w:t>万元，</w:t>
      </w:r>
      <w:r>
        <w:rPr>
          <w:rFonts w:hint="eastAsia" w:ascii="仿宋_GB2312" w:eastAsia="仿宋_GB2312" w:cs="Times New Roman"/>
          <w:color w:val="000000"/>
          <w:sz w:val="32"/>
          <w:szCs w:val="32"/>
          <w:lang w:val="en-US" w:eastAsia="zh-CN"/>
        </w:rPr>
        <w:t>减少1.65</w:t>
      </w:r>
      <w:r>
        <w:rPr>
          <w:rFonts w:hint="eastAsia" w:ascii="仿宋_GB2312" w:hAnsi="Times New Roman" w:eastAsia="仿宋_GB2312" w:cs="Times New Roman"/>
          <w:color w:val="000000"/>
          <w:sz w:val="32"/>
          <w:szCs w:val="32"/>
        </w:rPr>
        <w:t>%</w:t>
      </w:r>
      <w:r>
        <w:rPr>
          <w:rFonts w:hint="eastAsia" w:ascii="仿宋" w:eastAsia="仿宋"/>
          <w:color w:val="000000"/>
          <w:sz w:val="32"/>
          <w:szCs w:val="32"/>
        </w:rPr>
        <w:t>。主要变动原因是</w:t>
      </w:r>
      <w:r>
        <w:rPr>
          <w:rFonts w:hint="eastAsia" w:ascii="仿宋_GB2312" w:eastAsia="仿宋_GB2312" w:cs="Times New Roman"/>
          <w:color w:val="auto"/>
          <w:sz w:val="32"/>
          <w:szCs w:val="32"/>
          <w:lang w:val="en-US" w:eastAsia="zh-CN"/>
        </w:rPr>
        <w:t>人员减少</w:t>
      </w:r>
      <w:r>
        <w:rPr>
          <w:rFonts w:hint="eastAsia" w:ascii="仿宋_GB2312"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eastAsia="仿宋"/>
          <w:color w:val="000000"/>
          <w:sz w:val="32"/>
          <w:szCs w:val="32"/>
        </w:rPr>
      </w:pPr>
      <w:r>
        <w:rPr>
          <w:rFonts w:hint="eastAsia" w:ascii="仿宋" w:eastAsia="仿宋"/>
          <w:color w:val="000000"/>
          <w:sz w:val="32"/>
          <w:szCs w:val="32"/>
        </w:rPr>
        <w:t>（图4：财政拨款收、支决算总计变动情况）</w:t>
      </w:r>
    </w:p>
    <w:p>
      <w:pPr>
        <w:pStyle w:val="2"/>
      </w:pPr>
      <w:r>
        <w:drawing>
          <wp:inline distT="0" distB="0" distL="114300" distR="114300">
            <wp:extent cx="5273040" cy="2293620"/>
            <wp:effectExtent l="5080" t="4445" r="17780" b="698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0"/>
        </w:numPr>
        <w:spacing w:line="600" w:lineRule="exact"/>
        <w:ind w:left="640" w:leftChars="0"/>
        <w:outlineLvl w:val="1"/>
        <w:rPr>
          <w:rStyle w:val="13"/>
          <w:rFonts w:hint="eastAsia" w:ascii="黑体" w:eastAsia="黑体"/>
          <w:b w:val="0"/>
        </w:rPr>
      </w:pPr>
      <w:bookmarkStart w:id="53" w:name="_Toc15396607"/>
      <w:bookmarkStart w:id="54" w:name="_Toc27903"/>
      <w:bookmarkStart w:id="55" w:name="_Toc15377209"/>
      <w:bookmarkStart w:id="56" w:name="_Toc4"/>
      <w:bookmarkStart w:id="57" w:name="_Toc4012"/>
      <w:bookmarkStart w:id="58" w:name="_Toc18753"/>
      <w:bookmarkStart w:id="59" w:name="_Toc14433"/>
      <w:r>
        <w:rPr>
          <w:rFonts w:hint="eastAsia" w:ascii="黑体" w:eastAsia="黑体"/>
          <w:b/>
          <w:color w:val="000000"/>
          <w:sz w:val="32"/>
          <w:szCs w:val="32"/>
          <w:lang w:eastAsia="zh-CN"/>
        </w:rPr>
        <w:t>五、</w:t>
      </w:r>
      <w:r>
        <w:rPr>
          <w:rFonts w:hint="eastAsia" w:ascii="黑体" w:eastAsia="黑体"/>
          <w:b/>
          <w:color w:val="000000"/>
          <w:sz w:val="32"/>
          <w:szCs w:val="32"/>
        </w:rPr>
        <w:t>一</w:t>
      </w:r>
      <w:r>
        <w:rPr>
          <w:rStyle w:val="13"/>
          <w:rFonts w:hint="eastAsia" w:ascii="黑体" w:eastAsia="黑体"/>
          <w:b w:val="0"/>
        </w:rPr>
        <w:t>般公共预算财政拨款支出决算情况说明</w:t>
      </w:r>
      <w:bookmarkEnd w:id="53"/>
      <w:bookmarkEnd w:id="54"/>
      <w:bookmarkEnd w:id="55"/>
      <w:bookmarkEnd w:id="56"/>
      <w:bookmarkEnd w:id="57"/>
      <w:bookmarkEnd w:id="58"/>
      <w:bookmarkEnd w:id="59"/>
    </w:p>
    <w:p>
      <w:pPr>
        <w:pStyle w:val="5"/>
        <w:numPr>
          <w:ilvl w:val="0"/>
          <w:numId w:val="0"/>
        </w:numPr>
        <w:ind w:left="640" w:leftChars="0"/>
        <w:rPr>
          <w:rFonts w:hint="eastAsia"/>
        </w:rPr>
      </w:pPr>
    </w:p>
    <w:p>
      <w:pPr>
        <w:numPr>
          <w:ilvl w:val="0"/>
          <w:numId w:val="2"/>
        </w:numPr>
        <w:spacing w:line="600" w:lineRule="exact"/>
        <w:ind w:firstLine="643" w:firstLineChars="200"/>
        <w:outlineLvl w:val="2"/>
        <w:rPr>
          <w:rFonts w:hint="eastAsia" w:ascii="仿宋" w:eastAsia="仿宋"/>
          <w:b/>
          <w:color w:val="000000"/>
          <w:sz w:val="32"/>
          <w:szCs w:val="32"/>
        </w:rPr>
      </w:pPr>
      <w:bookmarkStart w:id="60" w:name="_Toc15377210"/>
      <w:r>
        <w:rPr>
          <w:rFonts w:hint="eastAsia" w:ascii="仿宋" w:eastAsia="仿宋"/>
          <w:b/>
          <w:color w:val="000000"/>
          <w:sz w:val="32"/>
          <w:szCs w:val="32"/>
        </w:rPr>
        <w:t>一般公共预算财政拨款支出决算总体情况</w:t>
      </w:r>
      <w:bookmarkEnd w:id="60"/>
    </w:p>
    <w:p>
      <w:pPr>
        <w:pStyle w:val="5"/>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600" w:lineRule="exact"/>
        <w:ind w:firstLine="640" w:firstLineChars="200"/>
        <w:textAlignment w:val="auto"/>
        <w:rPr>
          <w:rFonts w:hint="eastAsia" w:ascii="仿宋" w:eastAsia="仿宋"/>
          <w:color w:val="000000"/>
          <w:sz w:val="32"/>
          <w:szCs w:val="32"/>
          <w:lang w:eastAsia="zh-CN"/>
        </w:rPr>
      </w:pPr>
      <w:r>
        <w:rPr>
          <w:rFonts w:hint="eastAsia" w:ascii="仿宋" w:eastAsia="仿宋"/>
          <w:color w:val="000000"/>
          <w:sz w:val="32"/>
          <w:szCs w:val="32"/>
        </w:rPr>
        <w:t>202</w:t>
      </w:r>
      <w:r>
        <w:rPr>
          <w:rFonts w:hint="eastAsia" w:ascii="仿宋" w:eastAsia="仿宋"/>
          <w:color w:val="000000"/>
          <w:sz w:val="32"/>
          <w:szCs w:val="32"/>
          <w:lang w:val="en-US" w:eastAsia="zh-CN"/>
        </w:rPr>
        <w:t>2</w:t>
      </w:r>
      <w:r>
        <w:rPr>
          <w:rFonts w:hint="eastAsia" w:ascii="仿宋" w:eastAsia="仿宋"/>
          <w:color w:val="000000"/>
          <w:sz w:val="32"/>
          <w:szCs w:val="32"/>
        </w:rPr>
        <w:t>年一般公共预算财政拨款支出</w:t>
      </w:r>
      <w:r>
        <w:rPr>
          <w:rFonts w:hint="eastAsia" w:ascii="仿宋" w:eastAsia="仿宋"/>
          <w:color w:val="000000"/>
          <w:sz w:val="32"/>
          <w:szCs w:val="32"/>
          <w:lang w:val="en-US" w:eastAsia="zh-CN"/>
        </w:rPr>
        <w:t>121.85</w:t>
      </w:r>
      <w:r>
        <w:rPr>
          <w:rFonts w:hint="eastAsia" w:ascii="仿宋" w:eastAsia="仿宋"/>
          <w:color w:val="000000"/>
          <w:sz w:val="32"/>
          <w:szCs w:val="32"/>
        </w:rPr>
        <w:t>万元，</w:t>
      </w:r>
      <w:r>
        <w:rPr>
          <w:rFonts w:hint="eastAsia" w:ascii="仿宋" w:eastAsia="仿宋"/>
          <w:color w:val="auto"/>
          <w:sz w:val="32"/>
          <w:szCs w:val="32"/>
          <w:lang w:val="en-US" w:eastAsia="zh-CN"/>
        </w:rPr>
        <w:t>占本年支出合计的100%，</w:t>
      </w:r>
      <w:r>
        <w:rPr>
          <w:rFonts w:hint="eastAsia" w:ascii="仿宋" w:eastAsia="仿宋"/>
          <w:color w:val="000000"/>
          <w:sz w:val="32"/>
          <w:szCs w:val="32"/>
        </w:rPr>
        <w:t>与</w:t>
      </w:r>
      <w:r>
        <w:rPr>
          <w:rFonts w:hint="eastAsia" w:ascii="仿宋" w:eastAsia="仿宋"/>
          <w:color w:val="000000"/>
          <w:sz w:val="32"/>
          <w:szCs w:val="32"/>
          <w:lang w:val="en-US" w:eastAsia="zh-CN"/>
        </w:rPr>
        <w:t>2021</w:t>
      </w:r>
      <w:r>
        <w:rPr>
          <w:rFonts w:hint="eastAsia" w:ascii="仿宋" w:eastAsia="仿宋"/>
          <w:color w:val="000000"/>
          <w:sz w:val="32"/>
          <w:szCs w:val="32"/>
        </w:rPr>
        <w:t>年</w:t>
      </w:r>
      <w:r>
        <w:rPr>
          <w:rFonts w:hint="eastAsia" w:ascii="仿宋" w:eastAsia="仿宋"/>
          <w:color w:val="000000"/>
          <w:sz w:val="32"/>
          <w:szCs w:val="32"/>
          <w:lang w:val="en-US" w:eastAsia="zh-CN"/>
        </w:rPr>
        <w:t>111.57</w:t>
      </w:r>
      <w:r>
        <w:rPr>
          <w:rFonts w:hint="eastAsia" w:ascii="仿宋" w:eastAsia="仿宋"/>
          <w:color w:val="000000"/>
          <w:sz w:val="32"/>
          <w:szCs w:val="32"/>
        </w:rPr>
        <w:t>万元相比，一般公共预算财政拨款</w:t>
      </w:r>
      <w:r>
        <w:rPr>
          <w:rFonts w:hint="eastAsia" w:ascii="仿宋" w:eastAsia="仿宋"/>
          <w:color w:val="000000"/>
          <w:sz w:val="32"/>
          <w:szCs w:val="32"/>
          <w:lang w:eastAsia="zh-CN"/>
        </w:rPr>
        <w:t>增加</w:t>
      </w:r>
      <w:r>
        <w:rPr>
          <w:rFonts w:hint="eastAsia" w:ascii="仿宋" w:eastAsia="仿宋"/>
          <w:color w:val="000000"/>
          <w:sz w:val="32"/>
          <w:szCs w:val="32"/>
          <w:lang w:val="en-US" w:eastAsia="zh-CN"/>
        </w:rPr>
        <w:t>10.28</w:t>
      </w:r>
      <w:r>
        <w:rPr>
          <w:rFonts w:hint="eastAsia" w:ascii="仿宋" w:eastAsia="仿宋"/>
          <w:color w:val="000000"/>
          <w:sz w:val="32"/>
          <w:szCs w:val="32"/>
        </w:rPr>
        <w:t>万元，</w:t>
      </w:r>
      <w:r>
        <w:rPr>
          <w:rFonts w:hint="eastAsia" w:ascii="仿宋" w:eastAsia="仿宋"/>
          <w:color w:val="000000"/>
          <w:sz w:val="32"/>
          <w:szCs w:val="32"/>
          <w:lang w:eastAsia="zh-CN"/>
        </w:rPr>
        <w:t>增长</w:t>
      </w:r>
      <w:r>
        <w:rPr>
          <w:rFonts w:hint="eastAsia" w:ascii="仿宋" w:eastAsia="仿宋"/>
          <w:color w:val="000000"/>
          <w:sz w:val="32"/>
          <w:szCs w:val="32"/>
          <w:lang w:val="en-US" w:eastAsia="zh-CN"/>
        </w:rPr>
        <w:t>9.21</w:t>
      </w:r>
      <w:r>
        <w:rPr>
          <w:rFonts w:hint="eastAsia" w:ascii="仿宋" w:eastAsia="仿宋"/>
          <w:color w:val="000000"/>
          <w:sz w:val="32"/>
          <w:szCs w:val="32"/>
        </w:rPr>
        <w:t>%。主要变动原因是</w:t>
      </w:r>
      <w:r>
        <w:rPr>
          <w:rFonts w:hint="eastAsia" w:ascii="仿宋" w:eastAsia="仿宋"/>
          <w:color w:val="000000"/>
          <w:sz w:val="32"/>
          <w:szCs w:val="32"/>
          <w:lang w:val="en-US" w:eastAsia="zh-CN"/>
        </w:rPr>
        <w:t>人员工资福利支出增加</w:t>
      </w:r>
      <w:r>
        <w:rPr>
          <w:rFonts w:hint="eastAsia" w:ascii="仿宋" w:eastAsia="仿宋"/>
          <w:color w:val="000000"/>
          <w:sz w:val="32"/>
          <w:szCs w:val="32"/>
          <w:lang w:eastAsia="zh-CN"/>
        </w:rPr>
        <w:t>。</w:t>
      </w:r>
    </w:p>
    <w:p>
      <w:pPr>
        <w:spacing w:line="560" w:lineRule="exact"/>
        <w:ind w:left="0"/>
        <w:jc w:val="center"/>
        <w:rPr>
          <w:rFonts w:hint="eastAsia"/>
        </w:rPr>
      </w:pPr>
      <w:r>
        <w:rPr>
          <w:rFonts w:hint="eastAsia" w:ascii="仿宋" w:eastAsia="仿宋"/>
          <w:color w:val="000000"/>
          <w:sz w:val="32"/>
          <w:szCs w:val="32"/>
        </w:rPr>
        <w:t>（图5：一般公共预算财政拨款支出决算变动情况）</w:t>
      </w:r>
    </w:p>
    <w:p>
      <w:pPr>
        <w:pStyle w:val="2"/>
      </w:pPr>
      <w:r>
        <w:drawing>
          <wp:inline distT="0" distB="0" distL="114300" distR="114300">
            <wp:extent cx="5342255" cy="2368550"/>
            <wp:effectExtent l="4445" t="4445" r="6350" b="8255"/>
            <wp:docPr id="1"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560" w:lineRule="exact"/>
        <w:ind w:firstLine="643" w:firstLineChars="200"/>
        <w:outlineLvl w:val="2"/>
        <w:rPr>
          <w:rFonts w:hint="eastAsia" w:ascii="仿宋" w:eastAsia="仿宋"/>
          <w:b/>
          <w:color w:val="000000"/>
          <w:sz w:val="32"/>
          <w:szCs w:val="32"/>
        </w:rPr>
      </w:pPr>
      <w:bookmarkStart w:id="61" w:name="_Toc15377211"/>
      <w:r>
        <w:rPr>
          <w:rFonts w:hint="eastAsia" w:ascii="仿宋" w:eastAsia="仿宋"/>
          <w:b/>
          <w:color w:val="000000"/>
          <w:sz w:val="32"/>
          <w:szCs w:val="32"/>
        </w:rPr>
        <w:t>（二）一般公共预算财政拨款支出决算结构情况</w:t>
      </w:r>
      <w:bookmarkEnd w:id="61"/>
    </w:p>
    <w:p>
      <w:pPr>
        <w:keepNext w:val="0"/>
        <w:keepLines w:val="0"/>
        <w:pageBreakBefore w:val="0"/>
        <w:widowControl w:val="0"/>
        <w:kinsoku/>
        <w:wordWrap/>
        <w:overflowPunct/>
        <w:topLinePunct w:val="0"/>
        <w:autoSpaceDE/>
        <w:autoSpaceDN/>
        <w:bidi w:val="0"/>
        <w:adjustRightInd/>
        <w:snapToGrid/>
        <w:spacing w:after="157" w:afterLines="50" w:line="600" w:lineRule="exact"/>
        <w:ind w:firstLine="641"/>
        <w:textAlignment w:val="auto"/>
        <w:rPr>
          <w:rFonts w:hint="eastAsia" w:ascii="仿宋" w:eastAsia="仿宋"/>
          <w:color w:val="000000"/>
          <w:sz w:val="32"/>
          <w:szCs w:val="32"/>
        </w:rPr>
      </w:pPr>
      <w:r>
        <w:rPr>
          <w:rFonts w:hint="eastAsia" w:ascii="仿宋" w:eastAsia="仿宋"/>
          <w:color w:val="000000"/>
          <w:sz w:val="32"/>
          <w:szCs w:val="32"/>
        </w:rPr>
        <w:t>202</w:t>
      </w:r>
      <w:r>
        <w:rPr>
          <w:rFonts w:hint="eastAsia" w:ascii="仿宋" w:eastAsia="仿宋"/>
          <w:color w:val="000000"/>
          <w:sz w:val="32"/>
          <w:szCs w:val="32"/>
          <w:lang w:val="en-US" w:eastAsia="zh-CN"/>
        </w:rPr>
        <w:t>2</w:t>
      </w:r>
      <w:r>
        <w:rPr>
          <w:rFonts w:hint="eastAsia" w:ascii="仿宋" w:eastAsia="仿宋"/>
          <w:color w:val="000000"/>
          <w:sz w:val="32"/>
          <w:szCs w:val="32"/>
        </w:rPr>
        <w:t>年一般公共预算财政拨款支出</w:t>
      </w:r>
      <w:r>
        <w:rPr>
          <w:rFonts w:hint="eastAsia" w:ascii="仿宋" w:eastAsia="仿宋"/>
          <w:color w:val="000000"/>
          <w:sz w:val="32"/>
          <w:szCs w:val="32"/>
          <w:lang w:val="en-US" w:eastAsia="zh-CN"/>
        </w:rPr>
        <w:t>121.85</w:t>
      </w:r>
      <w:r>
        <w:rPr>
          <w:rFonts w:hint="eastAsia" w:ascii="仿宋" w:eastAsia="仿宋"/>
          <w:color w:val="000000"/>
          <w:sz w:val="32"/>
          <w:szCs w:val="32"/>
        </w:rPr>
        <w:t>万元，主要用于以下方面</w:t>
      </w:r>
      <w:r>
        <w:rPr>
          <w:rFonts w:hint="eastAsia" w:ascii="仿宋" w:eastAsia="仿宋"/>
          <w:color w:val="000000"/>
          <w:sz w:val="32"/>
          <w:szCs w:val="32"/>
          <w:lang w:eastAsia="zh-CN"/>
        </w:rPr>
        <w:t>：</w:t>
      </w:r>
      <w:r>
        <w:rPr>
          <w:rFonts w:hint="eastAsia" w:ascii="仿宋" w:eastAsia="仿宋"/>
          <w:b/>
          <w:color w:val="000000"/>
          <w:sz w:val="32"/>
          <w:szCs w:val="32"/>
          <w:lang w:eastAsia="zh-CN"/>
        </w:rPr>
        <w:t>社会保障和就业支出</w:t>
      </w:r>
      <w:r>
        <w:rPr>
          <w:rFonts w:hint="eastAsia" w:ascii="仿宋" w:eastAsia="仿宋"/>
          <w:b/>
          <w:color w:val="000000"/>
          <w:sz w:val="32"/>
          <w:szCs w:val="32"/>
        </w:rPr>
        <w:t>（类）</w:t>
      </w:r>
      <w:r>
        <w:rPr>
          <w:rFonts w:hint="eastAsia" w:ascii="仿宋" w:eastAsia="仿宋"/>
          <w:color w:val="000000"/>
          <w:sz w:val="32"/>
          <w:szCs w:val="32"/>
        </w:rPr>
        <w:t>支出</w:t>
      </w:r>
      <w:r>
        <w:rPr>
          <w:rFonts w:hint="eastAsia" w:ascii="仿宋" w:eastAsia="仿宋"/>
          <w:color w:val="000000"/>
          <w:sz w:val="32"/>
          <w:szCs w:val="32"/>
          <w:lang w:val="en-US" w:eastAsia="zh-CN"/>
        </w:rPr>
        <w:t>7.64万</w:t>
      </w:r>
      <w:r>
        <w:rPr>
          <w:rFonts w:hint="eastAsia" w:ascii="仿宋" w:eastAsia="仿宋"/>
          <w:color w:val="000000"/>
          <w:sz w:val="32"/>
          <w:szCs w:val="32"/>
        </w:rPr>
        <w:t>元，占</w:t>
      </w:r>
      <w:r>
        <w:rPr>
          <w:rFonts w:hint="eastAsia" w:ascii="仿宋" w:eastAsia="仿宋"/>
          <w:color w:val="000000"/>
          <w:sz w:val="32"/>
          <w:szCs w:val="32"/>
          <w:lang w:val="en-US" w:eastAsia="zh-CN"/>
        </w:rPr>
        <w:t>6.27</w:t>
      </w:r>
      <w:r>
        <w:rPr>
          <w:rFonts w:hint="eastAsia" w:ascii="仿宋" w:eastAsia="仿宋"/>
          <w:color w:val="000000"/>
          <w:sz w:val="32"/>
          <w:szCs w:val="32"/>
        </w:rPr>
        <w:t>%；</w:t>
      </w:r>
      <w:r>
        <w:rPr>
          <w:rFonts w:hint="eastAsia" w:ascii="仿宋" w:eastAsia="仿宋"/>
          <w:b/>
          <w:bCs/>
          <w:color w:val="000000"/>
          <w:sz w:val="32"/>
          <w:szCs w:val="32"/>
        </w:rPr>
        <w:t>卫生健康支出</w:t>
      </w:r>
      <w:r>
        <w:rPr>
          <w:rFonts w:hint="eastAsia" w:ascii="仿宋" w:eastAsia="仿宋"/>
          <w:b/>
          <w:bCs/>
          <w:color w:val="000000"/>
          <w:sz w:val="32"/>
          <w:szCs w:val="32"/>
          <w:lang w:eastAsia="zh-CN"/>
        </w:rPr>
        <w:t>（类）</w:t>
      </w:r>
      <w:r>
        <w:rPr>
          <w:rFonts w:hint="eastAsia" w:ascii="仿宋" w:eastAsia="仿宋"/>
          <w:color w:val="000000"/>
          <w:sz w:val="32"/>
          <w:szCs w:val="32"/>
          <w:lang w:val="en-US" w:eastAsia="zh-CN"/>
        </w:rPr>
        <w:t>105.79万</w:t>
      </w:r>
      <w:r>
        <w:rPr>
          <w:rFonts w:hint="eastAsia" w:ascii="仿宋" w:eastAsia="仿宋"/>
          <w:color w:val="000000"/>
          <w:sz w:val="32"/>
          <w:szCs w:val="32"/>
        </w:rPr>
        <w:t>元，占</w:t>
      </w:r>
      <w:r>
        <w:rPr>
          <w:rFonts w:hint="eastAsia" w:ascii="仿宋" w:eastAsia="仿宋"/>
          <w:color w:val="000000"/>
          <w:sz w:val="32"/>
          <w:szCs w:val="32"/>
          <w:lang w:val="en-US" w:eastAsia="zh-CN"/>
        </w:rPr>
        <w:t>86.82</w:t>
      </w:r>
      <w:r>
        <w:rPr>
          <w:rFonts w:hint="eastAsia" w:ascii="仿宋" w:eastAsia="仿宋"/>
          <w:color w:val="000000"/>
          <w:sz w:val="32"/>
          <w:szCs w:val="32"/>
        </w:rPr>
        <w:t>%；住房保障支出</w:t>
      </w:r>
      <w:r>
        <w:rPr>
          <w:rFonts w:hint="eastAsia" w:ascii="仿宋" w:eastAsia="仿宋"/>
          <w:color w:val="000000"/>
          <w:sz w:val="32"/>
          <w:szCs w:val="32"/>
          <w:lang w:eastAsia="zh-CN"/>
        </w:rPr>
        <w:t>（类）</w:t>
      </w:r>
      <w:r>
        <w:rPr>
          <w:rFonts w:hint="eastAsia" w:ascii="仿宋" w:eastAsia="仿宋"/>
          <w:color w:val="000000"/>
          <w:sz w:val="32"/>
          <w:szCs w:val="32"/>
          <w:lang w:val="en-US" w:eastAsia="zh-CN"/>
        </w:rPr>
        <w:t>8.42万</w:t>
      </w:r>
      <w:r>
        <w:rPr>
          <w:rFonts w:hint="eastAsia" w:ascii="仿宋" w:eastAsia="仿宋"/>
          <w:color w:val="000000"/>
          <w:sz w:val="32"/>
          <w:szCs w:val="32"/>
        </w:rPr>
        <w:t>元，占</w:t>
      </w:r>
      <w:r>
        <w:rPr>
          <w:rFonts w:hint="eastAsia" w:ascii="仿宋" w:eastAsia="仿宋"/>
          <w:color w:val="000000"/>
          <w:sz w:val="32"/>
          <w:szCs w:val="32"/>
          <w:lang w:val="en-US" w:eastAsia="zh-CN"/>
        </w:rPr>
        <w:t>6.91</w:t>
      </w:r>
      <w:r>
        <w:rPr>
          <w:rFonts w:hint="eastAsia" w:ascii="仿宋" w:eastAsia="仿宋"/>
          <w:color w:val="000000"/>
          <w:sz w:val="32"/>
          <w:szCs w:val="32"/>
        </w:rPr>
        <w:t>%。</w:t>
      </w:r>
    </w:p>
    <w:p>
      <w:pPr>
        <w:spacing w:line="600" w:lineRule="exact"/>
        <w:ind w:firstLine="640" w:firstLineChars="200"/>
        <w:jc w:val="center"/>
        <w:rPr>
          <w:rFonts w:hint="eastAsia" w:ascii="仿宋" w:eastAsia="仿宋"/>
          <w:color w:val="000000"/>
          <w:sz w:val="32"/>
          <w:szCs w:val="32"/>
        </w:rPr>
      </w:pPr>
      <w:r>
        <w:rPr>
          <w:rFonts w:hint="eastAsia" w:ascii="仿宋" w:eastAsia="仿宋"/>
          <w:color w:val="000000"/>
          <w:sz w:val="32"/>
          <w:szCs w:val="32"/>
        </w:rPr>
        <w:t>（图6：一般公共预算财政拨款支出决算结构）</w:t>
      </w:r>
    </w:p>
    <w:p>
      <w:pPr>
        <w:pStyle w:val="2"/>
      </w:pPr>
      <w:r>
        <w:drawing>
          <wp:inline distT="0" distB="0" distL="114300" distR="114300">
            <wp:extent cx="4991100" cy="2323465"/>
            <wp:effectExtent l="5080" t="4445" r="13970" b="15240"/>
            <wp:docPr id="12"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2"/>
      </w:pPr>
    </w:p>
    <w:p>
      <w:pPr>
        <w:numPr>
          <w:ilvl w:val="0"/>
          <w:numId w:val="0"/>
        </w:numPr>
        <w:spacing w:line="560" w:lineRule="exact"/>
        <w:ind w:leftChars="200"/>
        <w:outlineLvl w:val="2"/>
        <w:rPr>
          <w:rFonts w:hint="eastAsia" w:ascii="仿宋" w:eastAsia="仿宋"/>
          <w:b/>
          <w:color w:val="000000"/>
          <w:sz w:val="32"/>
          <w:szCs w:val="32"/>
          <w:highlight w:val="none"/>
        </w:rPr>
      </w:pPr>
      <w:bookmarkStart w:id="62" w:name="_Toc15377212"/>
      <w:r>
        <w:rPr>
          <w:rFonts w:hint="eastAsia" w:ascii="仿宋" w:eastAsia="仿宋"/>
          <w:b/>
          <w:color w:val="000000"/>
          <w:sz w:val="32"/>
          <w:szCs w:val="32"/>
          <w:highlight w:val="none"/>
          <w:lang w:eastAsia="zh-CN"/>
        </w:rPr>
        <w:t>（三）</w:t>
      </w:r>
      <w:r>
        <w:rPr>
          <w:rFonts w:hint="eastAsia" w:ascii="仿宋" w:eastAsia="仿宋"/>
          <w:b/>
          <w:color w:val="000000"/>
          <w:sz w:val="32"/>
          <w:szCs w:val="32"/>
          <w:highlight w:val="none"/>
        </w:rPr>
        <w:t>一般公共预算财政拨款支出决算具体情况</w:t>
      </w:r>
      <w:bookmarkEnd w:id="62"/>
    </w:p>
    <w:p>
      <w:pPr>
        <w:spacing w:line="600" w:lineRule="exact"/>
        <w:ind w:firstLine="643" w:firstLineChars="200"/>
        <w:outlineLvl w:val="2"/>
        <w:rPr>
          <w:rStyle w:val="11"/>
          <w:rFonts w:hint="eastAsia" w:ascii="仿宋" w:eastAsia="仿宋"/>
          <w:bCs/>
          <w:color w:val="000000"/>
          <w:sz w:val="32"/>
          <w:szCs w:val="32"/>
        </w:rPr>
      </w:pPr>
      <w:bookmarkStart w:id="63" w:name="_Toc15378460"/>
      <w:bookmarkStart w:id="64" w:name="_Toc15377213"/>
      <w:bookmarkStart w:id="65" w:name="_Toc15377444"/>
      <w:r>
        <w:rPr>
          <w:rFonts w:hint="eastAsia" w:ascii="仿宋" w:eastAsia="仿宋"/>
          <w:b/>
          <w:color w:val="000000"/>
          <w:sz w:val="32"/>
          <w:szCs w:val="32"/>
        </w:rPr>
        <w:t>202</w:t>
      </w:r>
      <w:r>
        <w:rPr>
          <w:rFonts w:hint="eastAsia" w:ascii="仿宋" w:eastAsia="仿宋"/>
          <w:b/>
          <w:color w:val="000000"/>
          <w:sz w:val="32"/>
          <w:szCs w:val="32"/>
          <w:lang w:val="en-US" w:eastAsia="zh-CN"/>
        </w:rPr>
        <w:t>2</w:t>
      </w:r>
      <w:r>
        <w:rPr>
          <w:rFonts w:hint="eastAsia" w:ascii="仿宋" w:eastAsia="仿宋"/>
          <w:b/>
          <w:color w:val="000000"/>
          <w:sz w:val="32"/>
          <w:szCs w:val="32"/>
        </w:rPr>
        <w:t>年一般公共预算支出决算</w:t>
      </w:r>
      <w:r>
        <w:rPr>
          <w:rFonts w:hint="eastAsia" w:ascii="仿宋" w:hAnsi="Times New Roman" w:eastAsia="仿宋" w:cs="Times New Roman"/>
          <w:b/>
          <w:color w:val="000000"/>
          <w:sz w:val="32"/>
          <w:szCs w:val="32"/>
        </w:rPr>
        <w:t>数为</w:t>
      </w:r>
      <w:r>
        <w:rPr>
          <w:rFonts w:hint="eastAsia" w:ascii="仿宋" w:eastAsia="仿宋" w:cs="Times New Roman"/>
          <w:b/>
          <w:color w:val="000000"/>
          <w:sz w:val="32"/>
          <w:szCs w:val="32"/>
          <w:lang w:val="en-US" w:eastAsia="zh-CN"/>
        </w:rPr>
        <w:t>121.85</w:t>
      </w:r>
      <w:r>
        <w:rPr>
          <w:rFonts w:hint="eastAsia" w:ascii="仿宋" w:hAnsi="Times New Roman" w:eastAsia="仿宋" w:cs="Times New Roman"/>
          <w:b/>
          <w:color w:val="000000"/>
          <w:sz w:val="32"/>
          <w:szCs w:val="32"/>
          <w:lang w:val="en-US" w:eastAsia="zh-CN"/>
        </w:rPr>
        <w:t>万元</w:t>
      </w:r>
      <w:r>
        <w:rPr>
          <w:rFonts w:hint="eastAsia" w:ascii="仿宋" w:eastAsia="仿宋"/>
          <w:color w:val="000000"/>
          <w:sz w:val="32"/>
          <w:szCs w:val="32"/>
        </w:rPr>
        <w:t>，</w:t>
      </w:r>
      <w:r>
        <w:rPr>
          <w:rStyle w:val="11"/>
          <w:rFonts w:hint="eastAsia" w:ascii="仿宋" w:eastAsia="仿宋"/>
          <w:bCs/>
          <w:color w:val="000000"/>
          <w:sz w:val="32"/>
          <w:szCs w:val="32"/>
        </w:rPr>
        <w:t>完成预算</w:t>
      </w:r>
      <w:r>
        <w:rPr>
          <w:rStyle w:val="11"/>
          <w:rFonts w:hint="eastAsia" w:ascii="仿宋" w:eastAsia="仿宋"/>
          <w:bCs/>
          <w:color w:val="000000"/>
          <w:sz w:val="32"/>
          <w:szCs w:val="32"/>
          <w:lang w:val="en-US" w:eastAsia="zh-CN"/>
        </w:rPr>
        <w:t>98.6</w:t>
      </w:r>
      <w:r>
        <w:rPr>
          <w:rStyle w:val="11"/>
          <w:rFonts w:hint="eastAsia" w:ascii="仿宋" w:eastAsia="仿宋"/>
          <w:bCs/>
          <w:color w:val="000000"/>
          <w:sz w:val="32"/>
          <w:szCs w:val="32"/>
        </w:rPr>
        <w:t>%。其中：</w:t>
      </w:r>
      <w:bookmarkEnd w:id="63"/>
      <w:bookmarkEnd w:id="64"/>
      <w:bookmarkEnd w:id="65"/>
    </w:p>
    <w:p>
      <w:pPr>
        <w:spacing w:line="600" w:lineRule="exact"/>
        <w:ind w:firstLine="640" w:firstLineChars="200"/>
        <w:rPr>
          <w:rFonts w:hint="eastAsia" w:ascii="仿宋" w:eastAsia="仿宋"/>
          <w:b w:val="0"/>
          <w:bCs w:val="0"/>
          <w:color w:val="000000"/>
          <w:sz w:val="32"/>
          <w:szCs w:val="32"/>
        </w:rPr>
      </w:pPr>
      <w:r>
        <w:rPr>
          <w:rStyle w:val="11"/>
          <w:rFonts w:hint="eastAsia" w:ascii="仿宋" w:eastAsia="仿宋"/>
          <w:b w:val="0"/>
          <w:bCs w:val="0"/>
          <w:color w:val="000000"/>
          <w:sz w:val="32"/>
          <w:szCs w:val="32"/>
          <w:lang w:val="en-US" w:eastAsia="zh-CN"/>
        </w:rPr>
        <w:t>1</w:t>
      </w:r>
      <w:r>
        <w:rPr>
          <w:rStyle w:val="11"/>
          <w:rFonts w:hint="eastAsia" w:ascii="仿宋" w:eastAsia="仿宋"/>
          <w:b w:val="0"/>
          <w:bCs w:val="0"/>
          <w:color w:val="000000"/>
          <w:sz w:val="32"/>
          <w:szCs w:val="32"/>
        </w:rPr>
        <w:t>.</w:t>
      </w:r>
      <w:r>
        <w:rPr>
          <w:rStyle w:val="11"/>
          <w:rFonts w:hint="eastAsia" w:ascii="仿宋" w:eastAsia="仿宋"/>
          <w:b w:val="0"/>
          <w:bCs w:val="0"/>
          <w:color w:val="auto"/>
          <w:sz w:val="32"/>
          <w:szCs w:val="32"/>
        </w:rPr>
        <w:t>社会保障和就业支出（类）社会保障和就业支出（类）行政事业单位养老支出（款）机关事业单位基本养老保险缴费支出（项）</w:t>
      </w:r>
      <w:r>
        <w:rPr>
          <w:rStyle w:val="11"/>
          <w:rFonts w:hint="eastAsia" w:ascii="仿宋" w:eastAsia="仿宋"/>
          <w:b w:val="0"/>
          <w:bCs w:val="0"/>
          <w:color w:val="auto"/>
          <w:sz w:val="32"/>
          <w:szCs w:val="32"/>
          <w:lang w:eastAsia="zh-CN"/>
        </w:rPr>
        <w:t>：</w:t>
      </w:r>
      <w:r>
        <w:rPr>
          <w:rStyle w:val="11"/>
          <w:rFonts w:hint="eastAsia" w:ascii="仿宋" w:eastAsia="仿宋"/>
          <w:b w:val="0"/>
          <w:bCs w:val="0"/>
          <w:color w:val="auto"/>
          <w:sz w:val="32"/>
          <w:szCs w:val="32"/>
        </w:rPr>
        <w:t xml:space="preserve"> 支出决算为</w:t>
      </w:r>
      <w:r>
        <w:rPr>
          <w:rStyle w:val="11"/>
          <w:rFonts w:hint="eastAsia" w:ascii="仿宋" w:eastAsia="仿宋"/>
          <w:b w:val="0"/>
          <w:bCs w:val="0"/>
          <w:color w:val="auto"/>
          <w:sz w:val="32"/>
          <w:szCs w:val="32"/>
          <w:lang w:val="en-US" w:eastAsia="zh-CN"/>
        </w:rPr>
        <w:t>7.64</w:t>
      </w:r>
      <w:r>
        <w:rPr>
          <w:rStyle w:val="11"/>
          <w:rFonts w:hint="eastAsia" w:ascii="仿宋" w:eastAsia="仿宋"/>
          <w:b w:val="0"/>
          <w:bCs w:val="0"/>
          <w:color w:val="auto"/>
          <w:sz w:val="32"/>
          <w:szCs w:val="32"/>
        </w:rPr>
        <w:t>万元</w:t>
      </w:r>
      <w:r>
        <w:rPr>
          <w:rStyle w:val="11"/>
          <w:rFonts w:hint="eastAsia" w:ascii="仿宋" w:eastAsia="仿宋"/>
          <w:b w:val="0"/>
          <w:bCs w:val="0"/>
          <w:color w:val="auto"/>
          <w:sz w:val="32"/>
          <w:szCs w:val="32"/>
          <w:lang w:eastAsia="zh-CN"/>
        </w:rPr>
        <w:t>，</w:t>
      </w:r>
      <w:r>
        <w:rPr>
          <w:rStyle w:val="11"/>
          <w:rFonts w:hint="eastAsia" w:ascii="仿宋" w:eastAsia="仿宋"/>
          <w:b w:val="0"/>
          <w:bCs w:val="0"/>
          <w:color w:val="000000"/>
          <w:sz w:val="32"/>
          <w:szCs w:val="32"/>
        </w:rPr>
        <w:t>完成预算</w:t>
      </w:r>
      <w:r>
        <w:rPr>
          <w:rStyle w:val="11"/>
          <w:rFonts w:hint="eastAsia" w:ascii="仿宋" w:eastAsia="仿宋"/>
          <w:b w:val="0"/>
          <w:bCs w:val="0"/>
          <w:color w:val="000000"/>
          <w:sz w:val="32"/>
          <w:szCs w:val="32"/>
          <w:lang w:val="en-US" w:eastAsia="zh-CN"/>
        </w:rPr>
        <w:t>100</w:t>
      </w:r>
      <w:r>
        <w:rPr>
          <w:rStyle w:val="11"/>
          <w:rFonts w:hint="eastAsia" w:ascii="仿宋" w:eastAsia="仿宋"/>
          <w:b w:val="0"/>
          <w:bCs w:val="0"/>
          <w:color w:val="000000"/>
          <w:sz w:val="32"/>
          <w:szCs w:val="32"/>
        </w:rPr>
        <w:t>%。</w:t>
      </w:r>
    </w:p>
    <w:p>
      <w:pPr>
        <w:spacing w:line="240" w:lineRule="auto"/>
        <w:ind w:firstLine="640" w:firstLineChars="200"/>
        <w:rPr>
          <w:rStyle w:val="11"/>
          <w:rFonts w:hint="eastAsia" w:ascii="仿宋" w:eastAsia="仿宋"/>
          <w:b w:val="0"/>
          <w:bCs w:val="0"/>
          <w:color w:val="000000"/>
          <w:sz w:val="32"/>
          <w:szCs w:val="32"/>
        </w:rPr>
      </w:pPr>
      <w:r>
        <w:rPr>
          <w:rStyle w:val="11"/>
          <w:rFonts w:hint="eastAsia" w:ascii="仿宋" w:eastAsia="仿宋"/>
          <w:b w:val="0"/>
          <w:bCs w:val="0"/>
          <w:color w:val="000000"/>
          <w:sz w:val="32"/>
          <w:szCs w:val="32"/>
          <w:lang w:val="en-US" w:eastAsia="zh-CN"/>
        </w:rPr>
        <w:t>2.</w:t>
      </w:r>
      <w:r>
        <w:rPr>
          <w:rFonts w:hint="eastAsia" w:ascii="仿宋" w:eastAsia="仿宋"/>
          <w:b w:val="0"/>
          <w:bCs w:val="0"/>
          <w:color w:val="000000"/>
          <w:sz w:val="32"/>
          <w:szCs w:val="32"/>
        </w:rPr>
        <w:t>卫生健康</w:t>
      </w:r>
      <w:r>
        <w:rPr>
          <w:rFonts w:hint="eastAsia" w:ascii="仿宋" w:eastAsia="仿宋"/>
          <w:b w:val="0"/>
          <w:bCs w:val="0"/>
          <w:color w:val="000000"/>
          <w:sz w:val="32"/>
          <w:szCs w:val="32"/>
          <w:lang w:eastAsia="zh-CN"/>
        </w:rPr>
        <w:t>支出</w:t>
      </w:r>
      <w:r>
        <w:rPr>
          <w:rStyle w:val="11"/>
          <w:rFonts w:hint="eastAsia" w:ascii="仿宋" w:eastAsia="仿宋"/>
          <w:b w:val="0"/>
          <w:bCs w:val="0"/>
          <w:color w:val="000000"/>
          <w:sz w:val="32"/>
          <w:szCs w:val="32"/>
        </w:rPr>
        <w:t>（类）</w:t>
      </w:r>
      <w:r>
        <w:rPr>
          <w:rStyle w:val="11"/>
          <w:rFonts w:hint="eastAsia" w:ascii="仿宋" w:eastAsia="仿宋"/>
          <w:b w:val="0"/>
          <w:bCs w:val="0"/>
          <w:color w:val="000000"/>
          <w:sz w:val="32"/>
          <w:szCs w:val="32"/>
          <w:lang w:eastAsia="zh-CN"/>
        </w:rPr>
        <w:t>行政事业单位医疗</w:t>
      </w:r>
      <w:r>
        <w:rPr>
          <w:rStyle w:val="11"/>
          <w:rFonts w:hint="eastAsia" w:ascii="仿宋" w:eastAsia="仿宋"/>
          <w:b w:val="0"/>
          <w:bCs w:val="0"/>
          <w:color w:val="000000"/>
          <w:sz w:val="32"/>
          <w:szCs w:val="32"/>
        </w:rPr>
        <w:t>（款）</w:t>
      </w:r>
      <w:r>
        <w:rPr>
          <w:rStyle w:val="11"/>
          <w:rFonts w:hint="eastAsia" w:ascii="仿宋" w:eastAsia="仿宋"/>
          <w:b w:val="0"/>
          <w:bCs w:val="0"/>
          <w:color w:val="000000"/>
          <w:sz w:val="32"/>
          <w:szCs w:val="32"/>
          <w:lang w:val="en-US" w:eastAsia="zh-CN"/>
        </w:rPr>
        <w:t>事业</w:t>
      </w:r>
      <w:r>
        <w:rPr>
          <w:rStyle w:val="11"/>
          <w:rFonts w:hint="eastAsia" w:ascii="仿宋" w:eastAsia="仿宋"/>
          <w:b w:val="0"/>
          <w:bCs w:val="0"/>
          <w:color w:val="000000"/>
          <w:sz w:val="32"/>
          <w:szCs w:val="32"/>
          <w:lang w:eastAsia="zh-CN"/>
        </w:rPr>
        <w:t>单位医疗</w:t>
      </w:r>
      <w:r>
        <w:rPr>
          <w:rStyle w:val="11"/>
          <w:rFonts w:hint="eastAsia" w:ascii="仿宋" w:eastAsia="仿宋"/>
          <w:b w:val="0"/>
          <w:bCs w:val="0"/>
          <w:color w:val="000000"/>
          <w:sz w:val="32"/>
          <w:szCs w:val="32"/>
        </w:rPr>
        <w:t>（项）</w:t>
      </w:r>
      <w:r>
        <w:rPr>
          <w:rStyle w:val="11"/>
          <w:rFonts w:hint="eastAsia" w:ascii="仿宋" w:eastAsia="仿宋"/>
          <w:b w:val="0"/>
          <w:bCs w:val="0"/>
          <w:color w:val="000000"/>
          <w:sz w:val="32"/>
          <w:szCs w:val="32"/>
          <w:lang w:eastAsia="zh-CN"/>
        </w:rPr>
        <w:t>：</w:t>
      </w:r>
      <w:r>
        <w:rPr>
          <w:rStyle w:val="11"/>
          <w:rFonts w:hint="eastAsia" w:ascii="仿宋" w:eastAsia="仿宋"/>
          <w:b w:val="0"/>
          <w:bCs w:val="0"/>
          <w:color w:val="000000"/>
          <w:sz w:val="32"/>
          <w:szCs w:val="32"/>
        </w:rPr>
        <w:t>支出决算为</w:t>
      </w:r>
      <w:r>
        <w:rPr>
          <w:rStyle w:val="11"/>
          <w:rFonts w:hint="eastAsia" w:ascii="仿宋" w:eastAsia="仿宋"/>
          <w:b w:val="0"/>
          <w:bCs w:val="0"/>
          <w:color w:val="000000"/>
          <w:sz w:val="32"/>
          <w:szCs w:val="32"/>
          <w:lang w:val="en-US" w:eastAsia="zh-CN"/>
        </w:rPr>
        <w:t>3.82万</w:t>
      </w:r>
      <w:r>
        <w:rPr>
          <w:rStyle w:val="11"/>
          <w:rFonts w:hint="eastAsia" w:ascii="仿宋" w:eastAsia="仿宋"/>
          <w:b w:val="0"/>
          <w:bCs w:val="0"/>
          <w:color w:val="000000"/>
          <w:sz w:val="32"/>
          <w:szCs w:val="32"/>
        </w:rPr>
        <w:t>元，完成预算</w:t>
      </w:r>
      <w:r>
        <w:rPr>
          <w:rStyle w:val="11"/>
          <w:rFonts w:hint="eastAsia" w:ascii="仿宋" w:eastAsia="仿宋"/>
          <w:b w:val="0"/>
          <w:bCs w:val="0"/>
          <w:color w:val="000000"/>
          <w:sz w:val="32"/>
          <w:szCs w:val="32"/>
          <w:lang w:val="en-US" w:eastAsia="zh-CN"/>
        </w:rPr>
        <w:t>100</w:t>
      </w:r>
      <w:r>
        <w:rPr>
          <w:rStyle w:val="11"/>
          <w:rFonts w:hint="eastAsia" w:ascii="仿宋" w:eastAsia="仿宋"/>
          <w:b w:val="0"/>
          <w:bCs w:val="0"/>
          <w:color w:val="000000"/>
          <w:sz w:val="32"/>
          <w:szCs w:val="32"/>
        </w:rPr>
        <w:t>%。</w:t>
      </w:r>
    </w:p>
    <w:p>
      <w:pPr>
        <w:spacing w:line="600" w:lineRule="exact"/>
        <w:ind w:firstLine="640" w:firstLineChars="200"/>
        <w:rPr>
          <w:rFonts w:hint="eastAsia" w:ascii="仿宋" w:eastAsia="仿宋"/>
          <w:b w:val="0"/>
          <w:bCs w:val="0"/>
          <w:color w:val="000000"/>
          <w:sz w:val="32"/>
          <w:szCs w:val="32"/>
          <w:highlight w:val="none"/>
          <w:lang w:eastAsia="zh-CN"/>
        </w:rPr>
      </w:pPr>
      <w:r>
        <w:rPr>
          <w:rFonts w:hint="eastAsia" w:ascii="仿宋" w:eastAsia="仿宋"/>
          <w:b w:val="0"/>
          <w:bCs w:val="0"/>
          <w:color w:val="000000"/>
          <w:sz w:val="32"/>
          <w:szCs w:val="32"/>
          <w:highlight w:val="none"/>
          <w:lang w:val="en-US" w:eastAsia="zh-CN"/>
        </w:rPr>
        <w:t>3.</w:t>
      </w:r>
      <w:r>
        <w:rPr>
          <w:rFonts w:hint="eastAsia" w:ascii="仿宋" w:eastAsia="仿宋"/>
          <w:b w:val="0"/>
          <w:bCs w:val="0"/>
          <w:color w:val="000000"/>
          <w:sz w:val="32"/>
          <w:szCs w:val="32"/>
          <w:highlight w:val="none"/>
        </w:rPr>
        <w:t>卫生健康</w:t>
      </w:r>
      <w:r>
        <w:rPr>
          <w:rFonts w:hint="eastAsia" w:ascii="仿宋" w:eastAsia="仿宋"/>
          <w:b w:val="0"/>
          <w:bCs w:val="0"/>
          <w:color w:val="000000"/>
          <w:sz w:val="32"/>
          <w:szCs w:val="32"/>
          <w:highlight w:val="none"/>
          <w:lang w:eastAsia="zh-CN"/>
        </w:rPr>
        <w:t>支出</w:t>
      </w:r>
      <w:r>
        <w:rPr>
          <w:rStyle w:val="11"/>
          <w:rFonts w:hint="eastAsia" w:ascii="仿宋" w:eastAsia="仿宋"/>
          <w:b w:val="0"/>
          <w:bCs w:val="0"/>
          <w:color w:val="000000"/>
          <w:sz w:val="32"/>
          <w:szCs w:val="32"/>
          <w:highlight w:val="none"/>
        </w:rPr>
        <w:t>（类）</w:t>
      </w:r>
      <w:r>
        <w:rPr>
          <w:rStyle w:val="11"/>
          <w:rFonts w:hint="eastAsia" w:ascii="仿宋" w:eastAsia="仿宋"/>
          <w:b w:val="0"/>
          <w:bCs w:val="0"/>
          <w:color w:val="000000"/>
          <w:sz w:val="32"/>
          <w:szCs w:val="32"/>
          <w:highlight w:val="none"/>
          <w:lang w:val="en-US" w:eastAsia="zh-CN"/>
        </w:rPr>
        <w:t>老龄</w:t>
      </w:r>
      <w:r>
        <w:rPr>
          <w:rStyle w:val="11"/>
          <w:rFonts w:hint="eastAsia" w:ascii="仿宋" w:eastAsia="仿宋"/>
          <w:b w:val="0"/>
          <w:bCs w:val="0"/>
          <w:color w:val="000000"/>
          <w:sz w:val="32"/>
          <w:szCs w:val="32"/>
          <w:highlight w:val="none"/>
          <w:lang w:eastAsia="zh-CN"/>
        </w:rPr>
        <w:t>卫生健康</w:t>
      </w:r>
      <w:r>
        <w:rPr>
          <w:rStyle w:val="11"/>
          <w:rFonts w:hint="eastAsia" w:ascii="仿宋" w:eastAsia="仿宋"/>
          <w:b w:val="0"/>
          <w:bCs w:val="0"/>
          <w:color w:val="000000"/>
          <w:sz w:val="32"/>
          <w:szCs w:val="32"/>
          <w:highlight w:val="none"/>
          <w:lang w:val="en-US" w:eastAsia="zh-CN"/>
        </w:rPr>
        <w:t>事务</w:t>
      </w:r>
      <w:r>
        <w:rPr>
          <w:rStyle w:val="11"/>
          <w:rFonts w:hint="eastAsia" w:ascii="仿宋" w:eastAsia="仿宋"/>
          <w:b w:val="0"/>
          <w:bCs w:val="0"/>
          <w:color w:val="000000"/>
          <w:sz w:val="32"/>
          <w:szCs w:val="32"/>
          <w:highlight w:val="none"/>
          <w:lang w:eastAsia="zh-CN"/>
        </w:rPr>
        <w:t>支出</w:t>
      </w:r>
      <w:r>
        <w:rPr>
          <w:rStyle w:val="11"/>
          <w:rFonts w:hint="eastAsia" w:ascii="仿宋" w:eastAsia="仿宋"/>
          <w:b w:val="0"/>
          <w:bCs w:val="0"/>
          <w:color w:val="000000"/>
          <w:sz w:val="32"/>
          <w:szCs w:val="32"/>
          <w:highlight w:val="none"/>
        </w:rPr>
        <w:t>（款）</w:t>
      </w:r>
      <w:r>
        <w:rPr>
          <w:rStyle w:val="11"/>
          <w:rFonts w:hint="eastAsia" w:ascii="仿宋" w:eastAsia="仿宋"/>
          <w:b w:val="0"/>
          <w:bCs w:val="0"/>
          <w:color w:val="000000"/>
          <w:sz w:val="32"/>
          <w:szCs w:val="32"/>
          <w:highlight w:val="none"/>
          <w:lang w:val="en-US" w:eastAsia="zh-CN"/>
        </w:rPr>
        <w:t>老龄</w:t>
      </w:r>
      <w:r>
        <w:rPr>
          <w:rStyle w:val="11"/>
          <w:rFonts w:hint="eastAsia" w:ascii="仿宋" w:eastAsia="仿宋"/>
          <w:b w:val="0"/>
          <w:bCs w:val="0"/>
          <w:color w:val="000000"/>
          <w:sz w:val="32"/>
          <w:szCs w:val="32"/>
          <w:highlight w:val="none"/>
          <w:lang w:eastAsia="zh-CN"/>
        </w:rPr>
        <w:t>卫生健康</w:t>
      </w:r>
      <w:r>
        <w:rPr>
          <w:rStyle w:val="11"/>
          <w:rFonts w:hint="eastAsia" w:ascii="仿宋" w:eastAsia="仿宋"/>
          <w:b w:val="0"/>
          <w:bCs w:val="0"/>
          <w:color w:val="000000"/>
          <w:sz w:val="32"/>
          <w:szCs w:val="32"/>
          <w:highlight w:val="none"/>
          <w:lang w:val="en-US" w:eastAsia="zh-CN"/>
        </w:rPr>
        <w:t>事务</w:t>
      </w:r>
      <w:r>
        <w:rPr>
          <w:rStyle w:val="11"/>
          <w:rFonts w:hint="eastAsia" w:ascii="仿宋" w:eastAsia="仿宋"/>
          <w:b w:val="0"/>
          <w:bCs w:val="0"/>
          <w:color w:val="000000"/>
          <w:sz w:val="32"/>
          <w:szCs w:val="32"/>
          <w:highlight w:val="none"/>
          <w:lang w:eastAsia="zh-CN"/>
        </w:rPr>
        <w:t>支出</w:t>
      </w:r>
      <w:r>
        <w:rPr>
          <w:rStyle w:val="11"/>
          <w:rFonts w:hint="eastAsia" w:ascii="仿宋" w:eastAsia="仿宋"/>
          <w:b w:val="0"/>
          <w:bCs w:val="0"/>
          <w:color w:val="000000"/>
          <w:sz w:val="32"/>
          <w:szCs w:val="32"/>
          <w:highlight w:val="none"/>
        </w:rPr>
        <w:t>（项）</w:t>
      </w:r>
      <w:r>
        <w:rPr>
          <w:rStyle w:val="11"/>
          <w:rFonts w:hint="eastAsia" w:ascii="仿宋" w:eastAsia="仿宋"/>
          <w:b w:val="0"/>
          <w:bCs w:val="0"/>
          <w:color w:val="000000"/>
          <w:sz w:val="32"/>
          <w:szCs w:val="32"/>
          <w:highlight w:val="none"/>
          <w:lang w:eastAsia="zh-CN"/>
        </w:rPr>
        <w:t>：</w:t>
      </w:r>
      <w:r>
        <w:rPr>
          <w:rStyle w:val="11"/>
          <w:rFonts w:hint="eastAsia" w:ascii="仿宋" w:eastAsia="仿宋"/>
          <w:b w:val="0"/>
          <w:bCs w:val="0"/>
          <w:color w:val="000000"/>
          <w:sz w:val="32"/>
          <w:szCs w:val="32"/>
          <w:highlight w:val="none"/>
        </w:rPr>
        <w:t>支出决算为</w:t>
      </w:r>
      <w:r>
        <w:rPr>
          <w:rStyle w:val="11"/>
          <w:rFonts w:hint="eastAsia" w:ascii="仿宋" w:eastAsia="仿宋"/>
          <w:b w:val="0"/>
          <w:bCs w:val="0"/>
          <w:color w:val="000000"/>
          <w:sz w:val="32"/>
          <w:szCs w:val="32"/>
          <w:highlight w:val="none"/>
          <w:lang w:val="en-US" w:eastAsia="zh-CN"/>
        </w:rPr>
        <w:t>101.98万</w:t>
      </w:r>
      <w:r>
        <w:rPr>
          <w:rStyle w:val="11"/>
          <w:rFonts w:hint="eastAsia" w:ascii="仿宋" w:eastAsia="仿宋"/>
          <w:b w:val="0"/>
          <w:bCs w:val="0"/>
          <w:color w:val="000000"/>
          <w:sz w:val="32"/>
          <w:szCs w:val="32"/>
          <w:highlight w:val="none"/>
        </w:rPr>
        <w:t>元，完成预算</w:t>
      </w:r>
      <w:r>
        <w:rPr>
          <w:rStyle w:val="11"/>
          <w:rFonts w:hint="eastAsia" w:ascii="仿宋" w:eastAsia="仿宋"/>
          <w:b w:val="0"/>
          <w:bCs w:val="0"/>
          <w:color w:val="000000"/>
          <w:sz w:val="32"/>
          <w:szCs w:val="32"/>
          <w:highlight w:val="none"/>
          <w:lang w:val="en-US" w:eastAsia="zh-CN"/>
        </w:rPr>
        <w:t>98.31</w:t>
      </w:r>
      <w:r>
        <w:rPr>
          <w:rStyle w:val="11"/>
          <w:rFonts w:hint="eastAsia" w:ascii="仿宋" w:eastAsia="仿宋"/>
          <w:b w:val="0"/>
          <w:bCs w:val="0"/>
          <w:color w:val="000000"/>
          <w:sz w:val="32"/>
          <w:szCs w:val="32"/>
          <w:highlight w:val="none"/>
        </w:rPr>
        <w:t>%</w:t>
      </w:r>
      <w:r>
        <w:rPr>
          <w:rStyle w:val="11"/>
          <w:rFonts w:hint="eastAsia" w:ascii="仿宋" w:eastAsia="仿宋"/>
          <w:b w:val="0"/>
          <w:bCs w:val="0"/>
          <w:color w:val="000000"/>
          <w:sz w:val="32"/>
          <w:szCs w:val="32"/>
          <w:highlight w:val="none"/>
          <w:lang w:eastAsia="zh-CN"/>
        </w:rPr>
        <w:t>，</w:t>
      </w:r>
      <w:r>
        <w:rPr>
          <w:rStyle w:val="11"/>
          <w:rFonts w:hint="eastAsia" w:ascii="仿宋" w:eastAsia="仿宋"/>
          <w:b w:val="0"/>
          <w:bCs w:val="0"/>
          <w:color w:val="000000"/>
          <w:sz w:val="32"/>
          <w:szCs w:val="32"/>
          <w:highlight w:val="none"/>
        </w:rPr>
        <w:t>决算数</w:t>
      </w:r>
      <w:r>
        <w:rPr>
          <w:rStyle w:val="11"/>
          <w:rFonts w:hint="default" w:ascii="仿宋" w:eastAsia="仿宋"/>
          <w:b w:val="0"/>
          <w:bCs w:val="0"/>
          <w:color w:val="000000"/>
          <w:sz w:val="32"/>
          <w:szCs w:val="32"/>
          <w:highlight w:val="none"/>
        </w:rPr>
        <w:t>小于</w:t>
      </w:r>
      <w:r>
        <w:rPr>
          <w:rStyle w:val="11"/>
          <w:rFonts w:hint="eastAsia" w:ascii="仿宋" w:eastAsia="仿宋"/>
          <w:b w:val="0"/>
          <w:bCs w:val="0"/>
          <w:color w:val="000000"/>
          <w:sz w:val="32"/>
          <w:szCs w:val="32"/>
          <w:highlight w:val="none"/>
        </w:rPr>
        <w:t>预算数的</w:t>
      </w:r>
      <w:r>
        <w:rPr>
          <w:rFonts w:hint="eastAsia" w:ascii="仿宋" w:eastAsia="仿宋"/>
          <w:b w:val="0"/>
          <w:bCs w:val="0"/>
          <w:color w:val="000000"/>
          <w:sz w:val="32"/>
          <w:szCs w:val="32"/>
          <w:highlight w:val="none"/>
        </w:rPr>
        <w:t>主要原因是</w:t>
      </w:r>
      <w:r>
        <w:rPr>
          <w:rFonts w:hint="eastAsia" w:ascii="仿宋" w:eastAsia="仿宋"/>
          <w:b w:val="0"/>
          <w:bCs w:val="0"/>
          <w:color w:val="000000"/>
          <w:sz w:val="32"/>
          <w:szCs w:val="32"/>
          <w:highlight w:val="none"/>
          <w:lang w:eastAsia="zh-CN"/>
        </w:rPr>
        <w:t>人员减少。</w:t>
      </w:r>
    </w:p>
    <w:p>
      <w:pPr>
        <w:spacing w:line="240" w:lineRule="auto"/>
        <w:ind w:firstLine="640" w:firstLineChars="200"/>
        <w:rPr>
          <w:rStyle w:val="11"/>
          <w:rFonts w:hint="eastAsia" w:ascii="仿宋" w:eastAsia="仿宋"/>
          <w:b w:val="0"/>
          <w:bCs w:val="0"/>
          <w:color w:val="000000"/>
          <w:sz w:val="32"/>
          <w:szCs w:val="32"/>
        </w:rPr>
      </w:pPr>
      <w:r>
        <w:rPr>
          <w:rFonts w:hint="eastAsia" w:ascii="仿宋" w:eastAsia="仿宋"/>
          <w:b w:val="0"/>
          <w:bCs w:val="0"/>
          <w:color w:val="000000"/>
          <w:sz w:val="32"/>
          <w:szCs w:val="32"/>
          <w:lang w:val="en-US" w:eastAsia="zh-CN"/>
        </w:rPr>
        <w:t>4.</w:t>
      </w:r>
      <w:r>
        <w:rPr>
          <w:rFonts w:hint="eastAsia" w:ascii="仿宋" w:eastAsia="仿宋"/>
          <w:b w:val="0"/>
          <w:bCs w:val="0"/>
          <w:color w:val="000000"/>
          <w:sz w:val="32"/>
          <w:szCs w:val="32"/>
          <w:lang w:eastAsia="zh-CN"/>
        </w:rPr>
        <w:t>住房保障支出</w:t>
      </w:r>
      <w:r>
        <w:rPr>
          <w:rStyle w:val="11"/>
          <w:rFonts w:hint="eastAsia" w:ascii="仿宋" w:eastAsia="仿宋"/>
          <w:b w:val="0"/>
          <w:bCs w:val="0"/>
          <w:color w:val="000000"/>
          <w:sz w:val="32"/>
          <w:szCs w:val="32"/>
        </w:rPr>
        <w:t>（类）</w:t>
      </w:r>
      <w:r>
        <w:rPr>
          <w:rStyle w:val="11"/>
          <w:rFonts w:hint="eastAsia" w:ascii="仿宋" w:eastAsia="仿宋"/>
          <w:b w:val="0"/>
          <w:bCs w:val="0"/>
          <w:color w:val="000000"/>
          <w:sz w:val="32"/>
          <w:szCs w:val="32"/>
          <w:lang w:eastAsia="zh-CN"/>
        </w:rPr>
        <w:t>住房改革支出</w:t>
      </w:r>
      <w:r>
        <w:rPr>
          <w:rStyle w:val="11"/>
          <w:rFonts w:hint="eastAsia" w:ascii="仿宋" w:eastAsia="仿宋"/>
          <w:b w:val="0"/>
          <w:bCs w:val="0"/>
          <w:color w:val="000000"/>
          <w:sz w:val="32"/>
          <w:szCs w:val="32"/>
        </w:rPr>
        <w:t>（款）</w:t>
      </w:r>
      <w:r>
        <w:rPr>
          <w:rStyle w:val="11"/>
          <w:rFonts w:hint="eastAsia" w:ascii="仿宋" w:eastAsia="仿宋"/>
          <w:b w:val="0"/>
          <w:bCs w:val="0"/>
          <w:color w:val="000000"/>
          <w:sz w:val="32"/>
          <w:szCs w:val="32"/>
          <w:lang w:eastAsia="zh-CN"/>
        </w:rPr>
        <w:t>住房公积金</w:t>
      </w:r>
      <w:r>
        <w:rPr>
          <w:rStyle w:val="11"/>
          <w:rFonts w:hint="eastAsia" w:ascii="仿宋" w:eastAsia="仿宋"/>
          <w:b w:val="0"/>
          <w:bCs w:val="0"/>
          <w:color w:val="000000"/>
          <w:sz w:val="32"/>
          <w:szCs w:val="32"/>
        </w:rPr>
        <w:t>（项）</w:t>
      </w:r>
      <w:r>
        <w:rPr>
          <w:rStyle w:val="11"/>
          <w:rFonts w:hint="eastAsia" w:ascii="仿宋" w:eastAsia="仿宋"/>
          <w:b w:val="0"/>
          <w:bCs w:val="0"/>
          <w:color w:val="000000"/>
          <w:sz w:val="32"/>
          <w:szCs w:val="32"/>
          <w:lang w:eastAsia="zh-CN"/>
        </w:rPr>
        <w:t>：</w:t>
      </w:r>
      <w:r>
        <w:rPr>
          <w:rStyle w:val="11"/>
          <w:rFonts w:hint="eastAsia" w:ascii="仿宋" w:eastAsia="仿宋"/>
          <w:b w:val="0"/>
          <w:bCs w:val="0"/>
          <w:color w:val="000000"/>
          <w:sz w:val="32"/>
          <w:szCs w:val="32"/>
        </w:rPr>
        <w:t>支出决算为</w:t>
      </w:r>
      <w:r>
        <w:rPr>
          <w:rStyle w:val="11"/>
          <w:rFonts w:hint="eastAsia" w:ascii="仿宋" w:eastAsia="仿宋"/>
          <w:b w:val="0"/>
          <w:bCs w:val="0"/>
          <w:color w:val="000000"/>
          <w:sz w:val="32"/>
          <w:szCs w:val="32"/>
          <w:lang w:val="en-US" w:eastAsia="zh-CN"/>
        </w:rPr>
        <w:t>8.42万</w:t>
      </w:r>
      <w:r>
        <w:rPr>
          <w:rStyle w:val="11"/>
          <w:rFonts w:hint="eastAsia" w:ascii="仿宋" w:eastAsia="仿宋"/>
          <w:b w:val="0"/>
          <w:bCs w:val="0"/>
          <w:color w:val="000000"/>
          <w:sz w:val="32"/>
          <w:szCs w:val="32"/>
        </w:rPr>
        <w:t>元，完成预算</w:t>
      </w:r>
      <w:r>
        <w:rPr>
          <w:rStyle w:val="11"/>
          <w:rFonts w:hint="eastAsia" w:ascii="仿宋" w:eastAsia="仿宋"/>
          <w:b w:val="0"/>
          <w:bCs w:val="0"/>
          <w:color w:val="000000"/>
          <w:sz w:val="32"/>
          <w:szCs w:val="32"/>
          <w:lang w:val="en-US" w:eastAsia="zh-CN"/>
        </w:rPr>
        <w:t>100</w:t>
      </w:r>
      <w:r>
        <w:rPr>
          <w:rStyle w:val="11"/>
          <w:rFonts w:hint="eastAsia" w:ascii="仿宋" w:eastAsia="仿宋"/>
          <w:b w:val="0"/>
          <w:bCs w:val="0"/>
          <w:color w:val="000000"/>
          <w:sz w:val="32"/>
          <w:szCs w:val="32"/>
        </w:rPr>
        <w:t>%。</w:t>
      </w:r>
    </w:p>
    <w:p>
      <w:pPr>
        <w:tabs>
          <w:tab w:val="right" w:pos="8306"/>
        </w:tabs>
        <w:spacing w:line="600" w:lineRule="exact"/>
        <w:ind w:firstLine="640"/>
        <w:outlineLvl w:val="1"/>
        <w:rPr>
          <w:rStyle w:val="13"/>
        </w:rPr>
      </w:pPr>
      <w:bookmarkStart w:id="66" w:name="_Toc31665"/>
      <w:bookmarkStart w:id="67" w:name="_Toc15377214"/>
      <w:bookmarkStart w:id="68" w:name="_Toc1042094005_WPSOffice_Level2"/>
      <w:bookmarkStart w:id="69" w:name="_Toc15396608"/>
      <w:r>
        <w:rPr>
          <w:rFonts w:hint="eastAsia" w:ascii="黑体" w:eastAsia="黑体"/>
          <w:color w:val="000000"/>
          <w:sz w:val="32"/>
          <w:szCs w:val="32"/>
        </w:rPr>
        <w:t>六</w:t>
      </w:r>
      <w:r>
        <w:rPr>
          <w:rFonts w:hint="eastAsia" w:ascii="黑体" w:eastAsia="黑体"/>
          <w:b/>
          <w:color w:val="000000"/>
          <w:sz w:val="32"/>
          <w:szCs w:val="32"/>
        </w:rPr>
        <w:t>、一</w:t>
      </w:r>
      <w:r>
        <w:rPr>
          <w:rStyle w:val="13"/>
          <w:rFonts w:hint="eastAsia" w:ascii="黑体" w:eastAsia="黑体"/>
          <w:b w:val="0"/>
        </w:rPr>
        <w:t>般公共预算财政拨款基本支出决算情况说明</w:t>
      </w:r>
      <w:bookmarkEnd w:id="66"/>
      <w:bookmarkEnd w:id="67"/>
      <w:bookmarkEnd w:id="68"/>
      <w:bookmarkEnd w:id="69"/>
      <w:r>
        <w:rPr>
          <w:rStyle w:val="13"/>
          <w:rFonts w:hint="eastAsia" w:ascii="黑体" w:eastAsia="黑体"/>
          <w:b w:val="0"/>
        </w:rPr>
        <w:tab/>
      </w:r>
    </w:p>
    <w:p>
      <w:pPr>
        <w:spacing w:line="600" w:lineRule="exact"/>
        <w:ind w:firstLine="645"/>
        <w:rPr>
          <w:rFonts w:hint="eastAsia" w:ascii="仿宋" w:eastAsia="仿宋"/>
          <w:color w:val="000000"/>
          <w:sz w:val="32"/>
          <w:szCs w:val="32"/>
        </w:rPr>
      </w:pPr>
      <w:r>
        <w:rPr>
          <w:rFonts w:hint="eastAsia" w:ascii="仿宋" w:eastAsia="仿宋"/>
          <w:color w:val="000000"/>
          <w:sz w:val="32"/>
          <w:szCs w:val="32"/>
        </w:rPr>
        <w:t>202</w:t>
      </w:r>
      <w:r>
        <w:rPr>
          <w:rFonts w:hint="eastAsia" w:ascii="仿宋" w:eastAsia="仿宋"/>
          <w:color w:val="000000"/>
          <w:sz w:val="32"/>
          <w:szCs w:val="32"/>
          <w:lang w:val="en-US" w:eastAsia="zh-CN"/>
        </w:rPr>
        <w:t>2</w:t>
      </w:r>
      <w:r>
        <w:rPr>
          <w:rFonts w:hint="eastAsia" w:ascii="仿宋" w:eastAsia="仿宋"/>
          <w:color w:val="000000"/>
          <w:sz w:val="32"/>
          <w:szCs w:val="32"/>
        </w:rPr>
        <w:t>年一般公共预算财政拨款基本支出</w:t>
      </w:r>
      <w:r>
        <w:rPr>
          <w:rFonts w:hint="eastAsia" w:ascii="仿宋" w:eastAsia="仿宋"/>
          <w:color w:val="000000"/>
          <w:sz w:val="32"/>
          <w:szCs w:val="32"/>
          <w:lang w:val="en-US" w:eastAsia="zh-CN"/>
        </w:rPr>
        <w:t>118.</w:t>
      </w:r>
      <w:r>
        <w:rPr>
          <w:rFonts w:hint="default" w:ascii="仿宋" w:eastAsia="仿宋"/>
          <w:color w:val="000000"/>
          <w:sz w:val="32"/>
          <w:szCs w:val="32"/>
          <w:lang w:eastAsia="zh-CN"/>
        </w:rPr>
        <w:t>49</w:t>
      </w:r>
      <w:r>
        <w:rPr>
          <w:rFonts w:hint="eastAsia" w:ascii="仿宋" w:eastAsia="仿宋"/>
          <w:color w:val="000000"/>
          <w:sz w:val="32"/>
          <w:szCs w:val="32"/>
          <w:lang w:val="en-US" w:eastAsia="zh-CN"/>
        </w:rPr>
        <w:t>万</w:t>
      </w:r>
      <w:r>
        <w:rPr>
          <w:rFonts w:hint="eastAsia" w:ascii="仿宋" w:eastAsia="仿宋"/>
          <w:color w:val="000000"/>
          <w:sz w:val="32"/>
          <w:szCs w:val="32"/>
        </w:rPr>
        <w:t>元，其中：</w:t>
      </w:r>
    </w:p>
    <w:p>
      <w:pPr>
        <w:pStyle w:val="15"/>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eastAsia="仿宋"/>
          <w:color w:val="000000"/>
          <w:sz w:val="32"/>
          <w:szCs w:val="32"/>
        </w:rPr>
      </w:pPr>
      <w:r>
        <w:rPr>
          <w:rFonts w:hint="eastAsia" w:ascii="仿宋" w:eastAsia="仿宋"/>
          <w:color w:val="000000"/>
          <w:sz w:val="32"/>
          <w:szCs w:val="32"/>
        </w:rPr>
        <w:t>人员经费</w:t>
      </w:r>
      <w:r>
        <w:rPr>
          <w:rFonts w:hint="eastAsia" w:ascii="仿宋" w:eastAsia="仿宋"/>
          <w:color w:val="000000"/>
          <w:sz w:val="32"/>
          <w:szCs w:val="32"/>
          <w:lang w:val="en-US" w:eastAsia="zh-CN"/>
        </w:rPr>
        <w:t>108.04万</w:t>
      </w:r>
      <w:r>
        <w:rPr>
          <w:rFonts w:hint="eastAsia" w:ascii="仿宋" w:eastAsia="仿宋"/>
          <w:color w:val="000000"/>
          <w:sz w:val="32"/>
          <w:szCs w:val="32"/>
        </w:rPr>
        <w:t>元，主要包括：基本工资、津贴补贴、</w:t>
      </w:r>
      <w:r>
        <w:rPr>
          <w:rFonts w:hint="eastAsia" w:ascii="仿宋" w:eastAsia="仿宋"/>
          <w:color w:val="000000"/>
          <w:sz w:val="32"/>
          <w:szCs w:val="32"/>
          <w:lang w:val="en-US" w:eastAsia="zh-CN"/>
        </w:rPr>
        <w:t>绩效工资、</w:t>
      </w:r>
      <w:r>
        <w:rPr>
          <w:rFonts w:hint="eastAsia" w:ascii="仿宋" w:eastAsia="仿宋"/>
          <w:color w:val="000000"/>
          <w:sz w:val="32"/>
          <w:szCs w:val="32"/>
        </w:rPr>
        <w:t>机关事业单位基本养老保险缴费、职工基本医疗保险缴费</w:t>
      </w:r>
      <w:r>
        <w:rPr>
          <w:rFonts w:hint="eastAsia" w:ascii="仿宋" w:eastAsia="仿宋"/>
          <w:color w:val="000000"/>
          <w:sz w:val="32"/>
          <w:szCs w:val="32"/>
          <w:lang w:eastAsia="zh-CN"/>
        </w:rPr>
        <w:t>、</w:t>
      </w:r>
      <w:r>
        <w:rPr>
          <w:rFonts w:hint="eastAsia" w:ascii="仿宋" w:eastAsia="仿宋"/>
          <w:color w:val="000000"/>
          <w:sz w:val="32"/>
          <w:szCs w:val="32"/>
        </w:rPr>
        <w:t>其他社会保障缴费、住房公积金、其他工资福利支出、</w:t>
      </w:r>
      <w:r>
        <w:rPr>
          <w:rFonts w:hint="eastAsia" w:ascii="仿宋" w:eastAsia="仿宋"/>
          <w:color w:val="000000"/>
          <w:sz w:val="32"/>
          <w:szCs w:val="32"/>
          <w:lang w:val="en-US" w:eastAsia="zh-CN"/>
        </w:rPr>
        <w:t>生活补助</w:t>
      </w:r>
      <w:r>
        <w:rPr>
          <w:rFonts w:hint="eastAsia" w:ascii="仿宋" w:eastAsia="仿宋"/>
          <w:color w:val="000000"/>
          <w:sz w:val="32"/>
          <w:szCs w:val="32"/>
        </w:rPr>
        <w:t>。</w:t>
      </w:r>
    </w:p>
    <w:p>
      <w:pPr>
        <w:spacing w:line="600" w:lineRule="exact"/>
        <w:ind w:firstLine="645"/>
        <w:rPr>
          <w:rFonts w:hint="eastAsia" w:ascii="仿宋" w:eastAsia="仿宋"/>
          <w:color w:val="000000"/>
          <w:sz w:val="32"/>
          <w:szCs w:val="32"/>
        </w:rPr>
      </w:pPr>
      <w:r>
        <w:rPr>
          <w:rFonts w:hint="eastAsia" w:ascii="仿宋" w:eastAsia="仿宋"/>
          <w:color w:val="000000"/>
          <w:sz w:val="32"/>
          <w:szCs w:val="32"/>
        </w:rPr>
        <w:t>公用经费</w:t>
      </w:r>
      <w:r>
        <w:rPr>
          <w:rFonts w:hint="eastAsia" w:ascii="仿宋" w:eastAsia="仿宋"/>
          <w:color w:val="000000"/>
          <w:sz w:val="32"/>
          <w:szCs w:val="32"/>
          <w:lang w:val="en-US" w:eastAsia="zh-CN"/>
        </w:rPr>
        <w:t>10.45万</w:t>
      </w:r>
      <w:r>
        <w:rPr>
          <w:rFonts w:hint="eastAsia" w:ascii="仿宋" w:eastAsia="仿宋"/>
          <w:color w:val="000000"/>
          <w:sz w:val="32"/>
          <w:szCs w:val="32"/>
        </w:rPr>
        <w:t>元，主要包括：办公费、邮电费、差旅费、</w:t>
      </w:r>
      <w:r>
        <w:rPr>
          <w:rFonts w:hint="eastAsia" w:ascii="仿宋" w:eastAsia="仿宋"/>
          <w:color w:val="000000"/>
          <w:sz w:val="32"/>
          <w:szCs w:val="32"/>
          <w:lang w:val="en-US" w:eastAsia="zh-CN"/>
        </w:rPr>
        <w:t>维修（护）费、工会经费、福利费、</w:t>
      </w:r>
      <w:r>
        <w:rPr>
          <w:rFonts w:hint="eastAsia" w:ascii="仿宋" w:eastAsia="仿宋"/>
          <w:color w:val="000000"/>
          <w:sz w:val="32"/>
          <w:szCs w:val="32"/>
        </w:rPr>
        <w:t>其他交通费</w:t>
      </w:r>
      <w:r>
        <w:rPr>
          <w:rFonts w:hint="eastAsia" w:ascii="仿宋" w:eastAsia="仿宋"/>
          <w:color w:val="000000"/>
          <w:sz w:val="32"/>
          <w:szCs w:val="32"/>
          <w:lang w:val="en-US" w:eastAsia="zh-CN"/>
        </w:rPr>
        <w:t>用</w:t>
      </w:r>
      <w:r>
        <w:rPr>
          <w:rFonts w:hint="eastAsia" w:ascii="仿宋" w:eastAsia="仿宋"/>
          <w:color w:val="000000"/>
          <w:sz w:val="32"/>
          <w:szCs w:val="32"/>
        </w:rPr>
        <w:t>、其他商品和服务支出。</w:t>
      </w:r>
    </w:p>
    <w:p>
      <w:pPr>
        <w:spacing w:line="600" w:lineRule="exact"/>
        <w:ind w:firstLine="640"/>
        <w:outlineLvl w:val="1"/>
        <w:rPr>
          <w:rStyle w:val="13"/>
          <w:rFonts w:hint="eastAsia" w:ascii="黑体" w:eastAsia="黑体"/>
          <w:b w:val="0"/>
        </w:rPr>
      </w:pPr>
      <w:bookmarkStart w:id="70" w:name="_Toc15396609"/>
      <w:bookmarkStart w:id="71" w:name="_Toc1503311525_WPSOffice_Level2"/>
      <w:bookmarkStart w:id="72" w:name="_Toc5020"/>
      <w:bookmarkStart w:id="73" w:name="_Toc15377215"/>
      <w:r>
        <w:rPr>
          <w:rFonts w:hint="eastAsia" w:ascii="黑体" w:eastAsia="黑体"/>
          <w:color w:val="000000"/>
          <w:sz w:val="32"/>
          <w:szCs w:val="32"/>
        </w:rPr>
        <w:t>七、</w:t>
      </w:r>
      <w:r>
        <w:rPr>
          <w:rStyle w:val="13"/>
          <w:rFonts w:hint="eastAsia" w:ascii="黑体" w:eastAsia="黑体"/>
          <w:b w:val="0"/>
        </w:rPr>
        <w:t>财政拨款</w:t>
      </w:r>
      <w:r>
        <w:rPr>
          <w:rStyle w:val="13"/>
          <w:rFonts w:hint="eastAsia" w:ascii="黑体" w:eastAsia="黑体"/>
        </w:rPr>
        <w:t>“</w:t>
      </w:r>
      <w:r>
        <w:rPr>
          <w:rStyle w:val="13"/>
          <w:rFonts w:hint="eastAsia" w:ascii="黑体" w:eastAsia="黑体"/>
          <w:b w:val="0"/>
        </w:rPr>
        <w:t>三公”经费支出决算情况说明</w:t>
      </w:r>
      <w:bookmarkEnd w:id="70"/>
      <w:bookmarkEnd w:id="71"/>
      <w:bookmarkEnd w:id="72"/>
      <w:bookmarkEnd w:id="73"/>
    </w:p>
    <w:p>
      <w:pPr>
        <w:spacing w:line="600" w:lineRule="exact"/>
        <w:ind w:firstLine="640"/>
        <w:outlineLvl w:val="2"/>
        <w:rPr>
          <w:rFonts w:ascii="仿宋" w:hAnsi="仿宋" w:eastAsia="仿宋"/>
          <w:b/>
          <w:color w:val="auto"/>
          <w:sz w:val="32"/>
          <w:szCs w:val="32"/>
          <w:highlight w:val="none"/>
        </w:rPr>
      </w:pPr>
      <w:bookmarkStart w:id="74" w:name="_Toc15377216"/>
      <w:r>
        <w:rPr>
          <w:rFonts w:hint="eastAsia" w:ascii="仿宋" w:hAnsi="仿宋" w:eastAsia="仿宋"/>
          <w:b/>
          <w:color w:val="auto"/>
          <w:sz w:val="32"/>
          <w:szCs w:val="32"/>
          <w:highlight w:val="none"/>
        </w:rPr>
        <w:t>（一）“三公”经费财政拨款支出决算总体情况说明</w:t>
      </w:r>
      <w:bookmarkEnd w:id="74"/>
    </w:p>
    <w:p>
      <w:pPr>
        <w:spacing w:line="600" w:lineRule="exact"/>
        <w:ind w:firstLine="640"/>
        <w:jc w:val="left"/>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减少0.34万元，下降100%。</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节约</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75" w:name="_Toc15377217"/>
      <w:r>
        <w:rPr>
          <w:rFonts w:hint="eastAsia" w:ascii="仿宋" w:hAnsi="仿宋" w:eastAsia="仿宋"/>
          <w:b/>
          <w:color w:val="auto"/>
          <w:sz w:val="32"/>
          <w:szCs w:val="32"/>
          <w:highlight w:val="none"/>
        </w:rPr>
        <w:t>（二）“三公”经费财政拨款支出决算具体情况说明</w:t>
      </w:r>
      <w:bookmarkEnd w:id="75"/>
    </w:p>
    <w:p>
      <w:pPr>
        <w:pStyle w:val="2"/>
        <w:ind w:firstLine="640" w:firstLineChars="20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1.因公出国（境）经费支出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万元，年初未安排预算。</w:t>
      </w:r>
      <w:r>
        <w:rPr>
          <w:rFonts w:hint="eastAsia" w:ascii="仿宋" w:hAnsi="仿宋" w:eastAsia="仿宋"/>
          <w:color w:val="auto"/>
          <w:sz w:val="32"/>
          <w:szCs w:val="32"/>
          <w:highlight w:val="none"/>
          <w:lang w:val="en-US" w:eastAsia="zh-CN"/>
        </w:rPr>
        <w:t>较2021年无变化。</w:t>
      </w:r>
    </w:p>
    <w:p>
      <w:pPr>
        <w:pStyle w:val="2"/>
        <w:ind w:firstLine="640" w:firstLineChars="200"/>
        <w:rPr>
          <w:rFonts w:hint="default"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2.公务用车购置及运行维护费支出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万元，年初未安排预算。</w:t>
      </w:r>
      <w:r>
        <w:rPr>
          <w:rFonts w:hint="eastAsia" w:ascii="仿宋" w:hAnsi="仿宋" w:eastAsia="仿宋"/>
          <w:color w:val="auto"/>
          <w:sz w:val="32"/>
          <w:szCs w:val="32"/>
          <w:highlight w:val="none"/>
          <w:lang w:val="en-US" w:eastAsia="zh-CN"/>
        </w:rPr>
        <w:t>较2021年无变化。</w:t>
      </w:r>
      <w:r>
        <w:rPr>
          <w:rFonts w:hint="default" w:ascii="仿宋" w:hAnsi="仿宋" w:eastAsia="仿宋"/>
          <w:color w:val="auto"/>
          <w:sz w:val="32"/>
          <w:szCs w:val="32"/>
          <w:highlight w:val="none"/>
          <w:lang w:eastAsia="zh-CN"/>
        </w:rPr>
        <w:t>截至2022年12月底，我单位共有公务用车0辆。</w:t>
      </w:r>
    </w:p>
    <w:p>
      <w:pPr>
        <w:pStyle w:val="2"/>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3.公务接待费支出0万元，完成预算0%。公务接待费支出决算比2021年减少0.34万元，下降100%。主要原因是节约。</w:t>
      </w:r>
    </w:p>
    <w:p>
      <w:pPr>
        <w:spacing w:line="600" w:lineRule="exact"/>
        <w:ind w:firstLine="640"/>
        <w:outlineLvl w:val="1"/>
        <w:rPr>
          <w:rStyle w:val="13"/>
          <w:rFonts w:hint="eastAsia" w:ascii="黑体" w:eastAsia="黑体"/>
        </w:rPr>
      </w:pPr>
      <w:bookmarkStart w:id="76" w:name="_Toc15377218"/>
      <w:bookmarkStart w:id="77" w:name="_Toc15396610"/>
      <w:bookmarkStart w:id="78" w:name="_Toc1691698804_WPSOffice_Level2"/>
      <w:bookmarkStart w:id="79" w:name="_Toc10683"/>
      <w:r>
        <w:rPr>
          <w:rFonts w:hint="eastAsia" w:ascii="黑体" w:eastAsia="黑体"/>
          <w:color w:val="000000"/>
          <w:sz w:val="32"/>
          <w:szCs w:val="32"/>
        </w:rPr>
        <w:t>八、</w:t>
      </w:r>
      <w:r>
        <w:rPr>
          <w:rStyle w:val="13"/>
          <w:rFonts w:hint="eastAsia" w:ascii="黑体" w:eastAsia="黑体"/>
          <w:b w:val="0"/>
        </w:rPr>
        <w:t>政府性基金预算支出决算情况说明</w:t>
      </w:r>
      <w:bookmarkEnd w:id="76"/>
      <w:bookmarkEnd w:id="77"/>
      <w:bookmarkEnd w:id="78"/>
      <w:bookmarkEnd w:id="79"/>
    </w:p>
    <w:p>
      <w:pPr>
        <w:numPr>
          <w:ilvl w:val="0"/>
          <w:numId w:val="0"/>
        </w:numPr>
        <w:tabs>
          <w:tab w:val="left" w:pos="0"/>
        </w:tabs>
        <w:spacing w:line="576" w:lineRule="exact"/>
        <w:ind w:firstLine="640" w:firstLineChars="200"/>
        <w:outlineLvl w:val="9"/>
        <w:rPr>
          <w:rFonts w:hint="eastAsia" w:ascii="仿宋" w:eastAsia="仿宋"/>
          <w:color w:val="000000"/>
          <w:sz w:val="32"/>
          <w:szCs w:val="32"/>
        </w:rPr>
      </w:pPr>
      <w:r>
        <w:rPr>
          <w:rFonts w:hint="eastAsia" w:ascii="仿宋" w:eastAsia="仿宋"/>
          <w:color w:val="000000"/>
          <w:sz w:val="32"/>
          <w:szCs w:val="32"/>
        </w:rPr>
        <w:t>202</w:t>
      </w:r>
      <w:r>
        <w:rPr>
          <w:rFonts w:hint="eastAsia" w:ascii="仿宋" w:eastAsia="仿宋"/>
          <w:color w:val="000000"/>
          <w:sz w:val="32"/>
          <w:szCs w:val="32"/>
          <w:lang w:val="en-US" w:eastAsia="zh-CN"/>
        </w:rPr>
        <w:t>2</w:t>
      </w:r>
      <w:r>
        <w:rPr>
          <w:rFonts w:hint="eastAsia" w:ascii="仿宋" w:eastAsia="仿宋"/>
          <w:color w:val="000000"/>
          <w:sz w:val="32"/>
          <w:szCs w:val="32"/>
        </w:rPr>
        <w:t>年政府性基金预算拨款支出</w:t>
      </w:r>
      <w:r>
        <w:rPr>
          <w:rFonts w:hint="eastAsia" w:ascii="仿宋" w:eastAsia="仿宋"/>
          <w:color w:val="000000"/>
          <w:sz w:val="32"/>
          <w:szCs w:val="32"/>
          <w:lang w:val="en-US" w:eastAsia="zh-CN"/>
        </w:rPr>
        <w:t>0</w:t>
      </w:r>
      <w:r>
        <w:rPr>
          <w:rFonts w:hint="eastAsia" w:ascii="仿宋" w:eastAsia="仿宋"/>
          <w:color w:val="000000"/>
          <w:sz w:val="32"/>
          <w:szCs w:val="32"/>
        </w:rPr>
        <w:t>元。</w:t>
      </w:r>
      <w:r>
        <w:rPr>
          <w:rFonts w:hint="eastAsia" w:ascii="仿宋" w:eastAsia="仿宋"/>
          <w:color w:val="000000"/>
          <w:sz w:val="32"/>
          <w:szCs w:val="32"/>
          <w:lang w:val="en-US" w:eastAsia="zh-CN"/>
        </w:rPr>
        <w:t>2022年本单位未在政府性基金预算拨款安排“三公经费”支出。</w:t>
      </w:r>
    </w:p>
    <w:p>
      <w:pPr>
        <w:numPr>
          <w:ilvl w:val="0"/>
          <w:numId w:val="3"/>
        </w:numPr>
        <w:spacing w:line="600" w:lineRule="exact"/>
        <w:ind w:left="-10" w:leftChars="0" w:firstLine="640" w:firstLineChars="0"/>
        <w:outlineLvl w:val="1"/>
        <w:rPr>
          <w:rStyle w:val="13"/>
          <w:rFonts w:hint="eastAsia" w:ascii="黑体" w:eastAsia="黑体"/>
          <w:b w:val="0"/>
        </w:rPr>
      </w:pPr>
      <w:bookmarkStart w:id="80" w:name="_Toc31483411_WPSOffice_Level2"/>
      <w:bookmarkStart w:id="81" w:name="_Toc15377219"/>
      <w:bookmarkStart w:id="82" w:name="_Toc4525"/>
      <w:bookmarkStart w:id="83" w:name="_Toc15396611"/>
      <w:r>
        <w:rPr>
          <w:rStyle w:val="13"/>
          <w:rFonts w:hint="eastAsia" w:ascii="黑体" w:eastAsia="黑体"/>
          <w:b w:val="0"/>
        </w:rPr>
        <w:t>国有资本经营预算支出决算情况说明</w:t>
      </w:r>
      <w:bookmarkEnd w:id="80"/>
      <w:bookmarkEnd w:id="81"/>
      <w:bookmarkEnd w:id="82"/>
      <w:bookmarkEnd w:id="83"/>
    </w:p>
    <w:p>
      <w:pPr>
        <w:spacing w:line="600" w:lineRule="exact"/>
        <w:ind w:firstLine="640" w:firstLineChars="200"/>
        <w:rPr>
          <w:rFonts w:hint="eastAsia" w:ascii="仿宋" w:eastAsia="仿宋"/>
          <w:color w:val="000000"/>
          <w:sz w:val="32"/>
          <w:szCs w:val="32"/>
        </w:rPr>
      </w:pPr>
      <w:r>
        <w:rPr>
          <w:rFonts w:hint="eastAsia" w:ascii="仿宋" w:eastAsia="仿宋"/>
          <w:color w:val="000000"/>
          <w:sz w:val="32"/>
          <w:szCs w:val="32"/>
        </w:rPr>
        <w:t>202</w:t>
      </w:r>
      <w:r>
        <w:rPr>
          <w:rFonts w:hint="eastAsia" w:ascii="仿宋" w:eastAsia="仿宋"/>
          <w:color w:val="000000"/>
          <w:sz w:val="32"/>
          <w:szCs w:val="32"/>
          <w:lang w:val="en-US" w:eastAsia="zh-CN"/>
        </w:rPr>
        <w:t>2</w:t>
      </w:r>
      <w:r>
        <w:rPr>
          <w:rFonts w:hint="eastAsia" w:ascii="仿宋" w:eastAsia="仿宋"/>
          <w:color w:val="000000"/>
          <w:sz w:val="32"/>
          <w:szCs w:val="32"/>
        </w:rPr>
        <w:t>年国有资本经营预算拨款支出</w:t>
      </w:r>
      <w:r>
        <w:rPr>
          <w:rFonts w:hint="eastAsia" w:ascii="仿宋" w:eastAsia="仿宋"/>
          <w:color w:val="000000"/>
          <w:sz w:val="32"/>
          <w:szCs w:val="32"/>
          <w:lang w:val="en-US" w:eastAsia="zh-CN"/>
        </w:rPr>
        <w:t>0</w:t>
      </w:r>
      <w:r>
        <w:rPr>
          <w:rFonts w:hint="eastAsia" w:ascii="仿宋" w:eastAsia="仿宋"/>
          <w:color w:val="000000"/>
          <w:sz w:val="32"/>
          <w:szCs w:val="32"/>
        </w:rPr>
        <w:t>万元。</w:t>
      </w:r>
    </w:p>
    <w:p>
      <w:pPr>
        <w:spacing w:line="600" w:lineRule="exact"/>
        <w:ind w:firstLine="800" w:firstLineChars="250"/>
        <w:outlineLvl w:val="1"/>
        <w:rPr>
          <w:rStyle w:val="13"/>
          <w:rFonts w:hint="eastAsia" w:ascii="黑体" w:eastAsia="黑体"/>
        </w:rPr>
      </w:pPr>
      <w:r>
        <w:rPr>
          <w:rFonts w:hint="eastAsia" w:ascii="黑体" w:eastAsia="黑体"/>
          <w:color w:val="000000"/>
          <w:sz w:val="32"/>
          <w:szCs w:val="32"/>
        </w:rPr>
        <w:t>十</w:t>
      </w:r>
      <w:r>
        <w:rPr>
          <w:rStyle w:val="13"/>
          <w:rFonts w:hint="eastAsia" w:ascii="黑体" w:eastAsia="黑体"/>
        </w:rPr>
        <w:t>、</w:t>
      </w:r>
      <w:r>
        <w:rPr>
          <w:rStyle w:val="13"/>
          <w:rFonts w:hint="eastAsia" w:ascii="黑体" w:eastAsia="黑体"/>
          <w:b w:val="0"/>
        </w:rPr>
        <w:t>其他重要事项的情况说明</w:t>
      </w:r>
    </w:p>
    <w:p>
      <w:pPr>
        <w:spacing w:line="600" w:lineRule="exact"/>
        <w:ind w:firstLine="643" w:firstLineChars="200"/>
        <w:outlineLvl w:val="2"/>
        <w:rPr>
          <w:rFonts w:hint="eastAsia" w:ascii="仿宋" w:eastAsia="仿宋"/>
          <w:color w:val="000000"/>
          <w:sz w:val="32"/>
          <w:szCs w:val="32"/>
        </w:rPr>
      </w:pPr>
      <w:bookmarkStart w:id="84" w:name="_Toc15377222"/>
      <w:bookmarkStart w:id="85" w:name="_Toc1793053014_WPSOffice_Level3"/>
      <w:r>
        <w:rPr>
          <w:rFonts w:hint="eastAsia" w:ascii="仿宋" w:eastAsia="仿宋"/>
          <w:b/>
          <w:color w:val="000000"/>
          <w:sz w:val="32"/>
          <w:szCs w:val="32"/>
        </w:rPr>
        <w:t>（一）机关运行经费支出情况</w:t>
      </w:r>
      <w:bookmarkEnd w:id="84"/>
      <w:bookmarkEnd w:id="85"/>
    </w:p>
    <w:p>
      <w:pPr>
        <w:spacing w:line="600" w:lineRule="exact"/>
        <w:ind w:firstLine="640" w:firstLineChars="200"/>
        <w:rPr>
          <w:rFonts w:hint="eastAsia" w:ascii="仿宋" w:hAnsi="仿宋" w:eastAsia="仿宋_GB2312"/>
          <w:color w:val="000000"/>
          <w:sz w:val="32"/>
          <w:szCs w:val="32"/>
          <w:lang w:val="en-US" w:eastAsia="zh-CN"/>
        </w:rPr>
      </w:pPr>
      <w:r>
        <w:rPr>
          <w:rFonts w:hint="eastAsia" w:ascii="仿宋" w:eastAsia="仿宋"/>
          <w:color w:val="000000"/>
          <w:sz w:val="32"/>
          <w:szCs w:val="32"/>
        </w:rPr>
        <w:t>202</w:t>
      </w:r>
      <w:r>
        <w:rPr>
          <w:rFonts w:hint="eastAsia" w:ascii="仿宋" w:eastAsia="仿宋"/>
          <w:color w:val="000000"/>
          <w:sz w:val="32"/>
          <w:szCs w:val="32"/>
          <w:lang w:val="en-US" w:eastAsia="zh-CN"/>
        </w:rPr>
        <w:t>2</w:t>
      </w:r>
      <w:r>
        <w:rPr>
          <w:rFonts w:hint="eastAsia" w:ascii="仿宋" w:eastAsia="仿宋"/>
          <w:color w:val="000000"/>
          <w:sz w:val="32"/>
          <w:szCs w:val="32"/>
        </w:rPr>
        <w:t>年，运行经费支出</w:t>
      </w:r>
      <w:r>
        <w:rPr>
          <w:rFonts w:hint="eastAsia" w:ascii="仿宋" w:eastAsia="仿宋"/>
          <w:color w:val="000000"/>
          <w:sz w:val="32"/>
          <w:szCs w:val="32"/>
          <w:lang w:val="en-US" w:eastAsia="zh-CN"/>
        </w:rPr>
        <w:t>10.45万</w:t>
      </w:r>
      <w:r>
        <w:rPr>
          <w:rFonts w:hint="eastAsia" w:ascii="仿宋" w:eastAsia="仿宋"/>
          <w:color w:val="000000"/>
          <w:sz w:val="32"/>
          <w:szCs w:val="32"/>
        </w:rPr>
        <w:t>元，比20</w:t>
      </w:r>
      <w:r>
        <w:rPr>
          <w:rFonts w:hint="eastAsia" w:ascii="仿宋" w:eastAsia="仿宋"/>
          <w:color w:val="000000"/>
          <w:sz w:val="32"/>
          <w:szCs w:val="32"/>
          <w:lang w:val="en-US" w:eastAsia="zh-CN"/>
        </w:rPr>
        <w:t>21</w:t>
      </w:r>
      <w:r>
        <w:rPr>
          <w:rFonts w:hint="eastAsia" w:ascii="仿宋" w:eastAsia="仿宋"/>
          <w:color w:val="000000"/>
          <w:sz w:val="32"/>
          <w:szCs w:val="32"/>
        </w:rPr>
        <w:t>年</w:t>
      </w:r>
      <w:r>
        <w:rPr>
          <w:rFonts w:hint="eastAsia" w:ascii="仿宋" w:eastAsia="仿宋"/>
          <w:color w:val="000000"/>
          <w:sz w:val="32"/>
          <w:szCs w:val="32"/>
          <w:lang w:val="en-US" w:eastAsia="zh-CN"/>
        </w:rPr>
        <w:t>的12.47万元减少2.02万</w:t>
      </w:r>
      <w:r>
        <w:rPr>
          <w:rFonts w:hint="eastAsia" w:ascii="仿宋" w:eastAsia="仿宋"/>
          <w:color w:val="000000"/>
          <w:sz w:val="32"/>
          <w:szCs w:val="32"/>
        </w:rPr>
        <w:t>元，</w:t>
      </w:r>
      <w:r>
        <w:rPr>
          <w:rFonts w:hint="eastAsia" w:ascii="仿宋" w:eastAsia="仿宋"/>
          <w:color w:val="000000"/>
          <w:sz w:val="32"/>
          <w:szCs w:val="32"/>
          <w:lang w:val="en-US" w:eastAsia="zh-CN"/>
        </w:rPr>
        <w:t>减少16.20</w:t>
      </w:r>
      <w:r>
        <w:rPr>
          <w:rFonts w:hint="eastAsia" w:ascii="仿宋" w:eastAsia="仿宋"/>
          <w:color w:val="000000"/>
          <w:sz w:val="32"/>
          <w:szCs w:val="32"/>
        </w:rPr>
        <w:t>%。主要原因是</w:t>
      </w:r>
      <w:r>
        <w:rPr>
          <w:rFonts w:hint="eastAsia" w:ascii="仿宋_GB2312" w:eastAsia="仿宋_GB2312"/>
          <w:color w:val="000000"/>
          <w:sz w:val="32"/>
          <w:szCs w:val="32"/>
          <w:lang w:val="en-US" w:eastAsia="zh-CN"/>
        </w:rPr>
        <w:t>节约</w:t>
      </w:r>
      <w:r>
        <w:rPr>
          <w:rFonts w:hint="eastAsia" w:ascii="仿宋_GB2312" w:hAnsi="Times New Roman" w:eastAsia="仿宋_GB2312" w:cs="Times New Roman"/>
          <w:color w:val="auto"/>
          <w:sz w:val="32"/>
          <w:szCs w:val="32"/>
          <w:lang w:eastAsia="zh-CN"/>
        </w:rPr>
        <w:t>。</w:t>
      </w:r>
    </w:p>
    <w:p>
      <w:pPr>
        <w:autoSpaceDE w:val="0"/>
        <w:autoSpaceDN w:val="0"/>
        <w:adjustRightInd w:val="0"/>
        <w:spacing w:line="600" w:lineRule="exact"/>
        <w:ind w:firstLine="643" w:firstLineChars="200"/>
        <w:jc w:val="left"/>
        <w:outlineLvl w:val="2"/>
        <w:rPr>
          <w:rFonts w:hint="eastAsia" w:ascii="仿宋" w:eastAsia="仿宋"/>
          <w:b/>
          <w:color w:val="000000"/>
          <w:sz w:val="32"/>
          <w:szCs w:val="32"/>
        </w:rPr>
      </w:pPr>
      <w:bookmarkStart w:id="86" w:name="_Toc1117028462_WPSOffice_Level3"/>
      <w:bookmarkStart w:id="87" w:name="_Toc15377223"/>
      <w:r>
        <w:rPr>
          <w:rFonts w:hint="eastAsia" w:ascii="仿宋" w:eastAsia="仿宋"/>
          <w:b/>
          <w:color w:val="000000"/>
          <w:sz w:val="32"/>
          <w:szCs w:val="32"/>
        </w:rPr>
        <w:t>（二）政府采购支出情况</w:t>
      </w:r>
      <w:bookmarkEnd w:id="86"/>
      <w:bookmarkEnd w:id="87"/>
    </w:p>
    <w:p>
      <w:pPr>
        <w:spacing w:line="600" w:lineRule="exact"/>
        <w:ind w:firstLine="640" w:firstLineChars="200"/>
        <w:rPr>
          <w:rFonts w:hint="eastAsia" w:ascii="仿宋" w:eastAsia="仿宋"/>
          <w:color w:val="000000"/>
          <w:sz w:val="32"/>
          <w:szCs w:val="32"/>
          <w:lang w:eastAsia="zh-CN"/>
        </w:rPr>
      </w:pPr>
      <w:r>
        <w:rPr>
          <w:rFonts w:hint="eastAsia" w:ascii="仿宋" w:eastAsia="仿宋"/>
          <w:color w:val="000000"/>
          <w:sz w:val="32"/>
          <w:szCs w:val="32"/>
        </w:rPr>
        <w:t>202</w:t>
      </w:r>
      <w:r>
        <w:rPr>
          <w:rFonts w:hint="eastAsia" w:ascii="仿宋" w:eastAsia="仿宋"/>
          <w:color w:val="000000"/>
          <w:sz w:val="32"/>
          <w:szCs w:val="32"/>
          <w:lang w:val="en-US" w:eastAsia="zh-CN"/>
        </w:rPr>
        <w:t>2</w:t>
      </w:r>
      <w:r>
        <w:rPr>
          <w:rFonts w:hint="eastAsia" w:ascii="仿宋" w:eastAsia="仿宋"/>
          <w:color w:val="000000"/>
          <w:sz w:val="32"/>
          <w:szCs w:val="32"/>
        </w:rPr>
        <w:t>年，</w:t>
      </w:r>
      <w:r>
        <w:rPr>
          <w:rFonts w:hint="eastAsia" w:ascii="仿宋_GB2312" w:eastAsia="仿宋_GB2312"/>
          <w:color w:val="auto"/>
          <w:sz w:val="32"/>
          <w:szCs w:val="32"/>
        </w:rPr>
        <w:t>广元市</w:t>
      </w:r>
      <w:r>
        <w:rPr>
          <w:rFonts w:hint="eastAsia" w:ascii="仿宋_GB2312" w:eastAsia="仿宋_GB2312"/>
          <w:color w:val="auto"/>
          <w:sz w:val="32"/>
          <w:szCs w:val="32"/>
          <w:lang w:val="en-US" w:eastAsia="zh-CN"/>
        </w:rPr>
        <w:t>老龄工作委员会办公室</w:t>
      </w:r>
      <w:r>
        <w:rPr>
          <w:rFonts w:hint="eastAsia" w:ascii="仿宋" w:eastAsia="仿宋"/>
          <w:color w:val="000000"/>
          <w:sz w:val="32"/>
          <w:szCs w:val="32"/>
        </w:rPr>
        <w:t>政府采购支出总额</w:t>
      </w:r>
      <w:r>
        <w:rPr>
          <w:rFonts w:hint="eastAsia" w:ascii="仿宋" w:eastAsia="仿宋"/>
          <w:color w:val="000000"/>
          <w:sz w:val="32"/>
          <w:szCs w:val="32"/>
          <w:lang w:val="en-US" w:eastAsia="zh-CN"/>
        </w:rPr>
        <w:t>0万</w:t>
      </w:r>
      <w:r>
        <w:rPr>
          <w:rFonts w:hint="eastAsia" w:ascii="仿宋" w:eastAsia="仿宋"/>
          <w:color w:val="000000"/>
          <w:sz w:val="32"/>
          <w:szCs w:val="32"/>
        </w:rPr>
        <w:t>元</w:t>
      </w:r>
      <w:r>
        <w:rPr>
          <w:rFonts w:hint="eastAsia" w:ascii="仿宋" w:eastAsia="仿宋"/>
          <w:color w:val="000000"/>
          <w:sz w:val="32"/>
          <w:szCs w:val="32"/>
          <w:lang w:eastAsia="zh-CN"/>
        </w:rPr>
        <w:t>。</w:t>
      </w:r>
    </w:p>
    <w:p>
      <w:pPr>
        <w:autoSpaceDE w:val="0"/>
        <w:autoSpaceDN w:val="0"/>
        <w:adjustRightInd w:val="0"/>
        <w:spacing w:line="600" w:lineRule="exact"/>
        <w:ind w:firstLine="643" w:firstLineChars="200"/>
        <w:jc w:val="left"/>
        <w:outlineLvl w:val="2"/>
        <w:rPr>
          <w:rFonts w:hint="eastAsia" w:ascii="仿宋" w:eastAsia="仿宋"/>
          <w:b/>
          <w:color w:val="auto"/>
          <w:sz w:val="32"/>
          <w:szCs w:val="32"/>
        </w:rPr>
      </w:pPr>
      <w:bookmarkStart w:id="88" w:name="_Toc15377224"/>
      <w:bookmarkStart w:id="89" w:name="_Toc971674778_WPSOffice_Level3"/>
      <w:r>
        <w:rPr>
          <w:rFonts w:hint="eastAsia" w:ascii="仿宋" w:eastAsia="仿宋"/>
          <w:b/>
          <w:color w:val="auto"/>
          <w:sz w:val="32"/>
          <w:szCs w:val="32"/>
        </w:rPr>
        <w:t>（三）国有资产占有使用情况</w:t>
      </w:r>
      <w:bookmarkEnd w:id="88"/>
      <w:bookmarkEnd w:id="89"/>
    </w:p>
    <w:p>
      <w:pPr>
        <w:autoSpaceDE w:val="0"/>
        <w:autoSpaceDN w:val="0"/>
        <w:adjustRightInd w:val="0"/>
        <w:spacing w:line="600" w:lineRule="exact"/>
        <w:ind w:firstLine="640" w:firstLineChars="200"/>
        <w:jc w:val="left"/>
        <w:rPr>
          <w:rFonts w:hint="eastAsia"/>
        </w:rPr>
      </w:pPr>
      <w:r>
        <w:rPr>
          <w:rFonts w:hint="eastAsia" w:ascii="仿宋" w:eastAsia="仿宋"/>
          <w:color w:val="auto"/>
          <w:sz w:val="32"/>
          <w:szCs w:val="32"/>
        </w:rPr>
        <w:t>截至202</w:t>
      </w:r>
      <w:r>
        <w:rPr>
          <w:rFonts w:hint="eastAsia" w:ascii="仿宋" w:eastAsia="仿宋"/>
          <w:color w:val="auto"/>
          <w:sz w:val="32"/>
          <w:szCs w:val="32"/>
          <w:lang w:val="en-US" w:eastAsia="zh-CN"/>
        </w:rPr>
        <w:t>2</w:t>
      </w:r>
      <w:r>
        <w:rPr>
          <w:rFonts w:hint="eastAsia" w:ascii="仿宋" w:eastAsia="仿宋"/>
          <w:color w:val="auto"/>
          <w:sz w:val="32"/>
          <w:szCs w:val="32"/>
        </w:rPr>
        <w:t>年12月31日，</w:t>
      </w:r>
      <w:r>
        <w:rPr>
          <w:rFonts w:hint="eastAsia" w:ascii="仿宋_GB2312" w:eastAsia="仿宋_GB2312"/>
          <w:color w:val="auto"/>
          <w:sz w:val="32"/>
          <w:szCs w:val="32"/>
        </w:rPr>
        <w:t>广元市</w:t>
      </w:r>
      <w:r>
        <w:rPr>
          <w:rFonts w:hint="eastAsia" w:ascii="仿宋_GB2312" w:eastAsia="仿宋_GB2312"/>
          <w:color w:val="auto"/>
          <w:sz w:val="32"/>
          <w:szCs w:val="32"/>
          <w:lang w:val="en-US" w:eastAsia="zh-CN"/>
        </w:rPr>
        <w:t>老龄工作委员会办公室</w:t>
      </w:r>
      <w:r>
        <w:rPr>
          <w:rFonts w:hint="eastAsia" w:ascii="仿宋" w:eastAsia="仿宋"/>
          <w:color w:val="auto"/>
          <w:sz w:val="32"/>
          <w:szCs w:val="32"/>
        </w:rPr>
        <w:t>共有车辆</w:t>
      </w:r>
      <w:r>
        <w:rPr>
          <w:rFonts w:hint="eastAsia" w:ascii="仿宋" w:eastAsia="仿宋"/>
          <w:color w:val="auto"/>
          <w:sz w:val="32"/>
          <w:szCs w:val="32"/>
          <w:lang w:val="en-US" w:eastAsia="zh-CN"/>
        </w:rPr>
        <w:t>0</w:t>
      </w:r>
      <w:r>
        <w:rPr>
          <w:rFonts w:hint="eastAsia" w:ascii="仿宋" w:eastAsia="仿宋"/>
          <w:color w:val="auto"/>
          <w:sz w:val="32"/>
          <w:szCs w:val="32"/>
        </w:rPr>
        <w:t>辆</w:t>
      </w:r>
      <w:r>
        <w:rPr>
          <w:rFonts w:hint="eastAsia" w:ascii="仿宋" w:eastAsia="仿宋"/>
          <w:color w:val="auto"/>
          <w:sz w:val="32"/>
          <w:szCs w:val="32"/>
          <w:lang w:eastAsia="zh-CN"/>
        </w:rPr>
        <w:t>，</w:t>
      </w:r>
      <w:r>
        <w:rPr>
          <w:rFonts w:hint="eastAsia" w:ascii="仿宋" w:eastAsia="仿宋"/>
          <w:color w:val="auto"/>
          <w:sz w:val="32"/>
          <w:szCs w:val="32"/>
        </w:rPr>
        <w:t>单价50万元以上通用设备</w:t>
      </w:r>
      <w:r>
        <w:rPr>
          <w:rFonts w:hint="eastAsia" w:ascii="仿宋" w:eastAsia="仿宋"/>
          <w:color w:val="auto"/>
          <w:sz w:val="32"/>
          <w:szCs w:val="32"/>
          <w:lang w:eastAsia="zh-CN"/>
        </w:rPr>
        <w:t>，</w:t>
      </w:r>
      <w:r>
        <w:rPr>
          <w:rFonts w:hint="eastAsia" w:ascii="仿宋" w:eastAsia="仿宋"/>
          <w:color w:val="auto"/>
          <w:sz w:val="32"/>
          <w:szCs w:val="32"/>
          <w:lang w:val="en-US" w:eastAsia="zh-CN"/>
        </w:rPr>
        <w:t>0</w:t>
      </w:r>
      <w:r>
        <w:rPr>
          <w:rFonts w:hint="eastAsia" w:ascii="仿宋" w:eastAsia="仿宋"/>
          <w:color w:val="auto"/>
          <w:sz w:val="32"/>
          <w:szCs w:val="32"/>
        </w:rPr>
        <w:t>台（套），单价100万元以上专用设备</w:t>
      </w:r>
      <w:r>
        <w:rPr>
          <w:rFonts w:hint="eastAsia" w:ascii="仿宋" w:eastAsia="仿宋"/>
          <w:color w:val="auto"/>
          <w:sz w:val="32"/>
          <w:szCs w:val="32"/>
          <w:lang w:val="en-US" w:eastAsia="zh-CN"/>
        </w:rPr>
        <w:t>0</w:t>
      </w:r>
      <w:r>
        <w:rPr>
          <w:rFonts w:hint="eastAsia" w:ascii="仿宋" w:eastAsia="仿宋"/>
          <w:color w:val="auto"/>
          <w:sz w:val="32"/>
          <w:szCs w:val="32"/>
        </w:rPr>
        <w:t>台（套）。</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2"/>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hAnsi="仿宋_GB2312" w:cs="仿宋_GB2312"/>
          <w:color w:val="auto"/>
          <w:sz w:val="32"/>
          <w:szCs w:val="32"/>
          <w:highlight w:val="none"/>
          <w:lang w:val="en-US" w:eastAsia="zh-CN"/>
        </w:rPr>
        <w:t>工资性支出、离退休费支出、定额公用经费、慰问贫困老人</w:t>
      </w:r>
      <w:r>
        <w:rPr>
          <w:rFonts w:hint="eastAsia" w:ascii="仿宋_GB2312" w:hAnsi="仿宋_GB2312" w:eastAsia="仿宋_GB2312" w:cs="仿宋_GB2312"/>
          <w:color w:val="auto"/>
          <w:sz w:val="32"/>
          <w:szCs w:val="32"/>
          <w:highlight w:val="none"/>
        </w:rPr>
        <w:t>项目等</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autoSpaceDE w:val="0"/>
        <w:autoSpaceDN w:val="0"/>
        <w:adjustRightInd w:val="0"/>
        <w:spacing w:line="600" w:lineRule="exact"/>
        <w:ind w:firstLine="643" w:firstLineChars="200"/>
        <w:jc w:val="left"/>
        <w:outlineLvl w:val="2"/>
        <w:rPr>
          <w:rFonts w:hint="eastAsia" w:ascii="仿宋" w:hAnsi="Times New Roman" w:eastAsia="仿宋" w:cs="Times New Roman"/>
          <w:b/>
          <w:color w:val="FF0000"/>
          <w:sz w:val="32"/>
          <w:szCs w:val="32"/>
        </w:rPr>
      </w:pPr>
    </w:p>
    <w:p>
      <w:pPr>
        <w:pStyle w:val="2"/>
        <w:rPr>
          <w:rFonts w:hint="eastAsia" w:ascii="仿宋" w:hAnsi="Times New Roman" w:eastAsia="仿宋" w:cs="Times New Roman"/>
          <w:b/>
          <w:color w:val="FF0000"/>
          <w:sz w:val="32"/>
          <w:szCs w:val="32"/>
        </w:rPr>
      </w:pPr>
    </w:p>
    <w:p>
      <w:pPr>
        <w:pStyle w:val="2"/>
        <w:rPr>
          <w:rFonts w:hint="eastAsia" w:ascii="仿宋" w:hAnsi="Times New Roman" w:eastAsia="仿宋" w:cs="Times New Roman"/>
          <w:b/>
          <w:color w:val="FF0000"/>
          <w:sz w:val="32"/>
          <w:szCs w:val="32"/>
        </w:rPr>
      </w:pPr>
    </w:p>
    <w:p>
      <w:pPr>
        <w:rPr>
          <w:rFonts w:hint="eastAsia" w:ascii="黑体" w:eastAsia="黑体"/>
          <w:color w:val="000000"/>
          <w:sz w:val="44"/>
          <w:szCs w:val="44"/>
          <w:lang w:val="en-US" w:eastAsia="zh-CN"/>
        </w:rPr>
      </w:pPr>
      <w:bookmarkStart w:id="90" w:name="_Toc15396613"/>
      <w:bookmarkStart w:id="91" w:name="_Toc1400242208_WPSOffice_Level1"/>
      <w:bookmarkStart w:id="92" w:name="_Toc15377225"/>
      <w:bookmarkStart w:id="93" w:name="_Toc17137"/>
      <w:r>
        <w:rPr>
          <w:rFonts w:hint="eastAsia" w:ascii="黑体" w:eastAsia="黑体"/>
          <w:color w:val="000000"/>
          <w:sz w:val="44"/>
          <w:szCs w:val="44"/>
          <w:lang w:val="en-US" w:eastAsia="zh-CN"/>
        </w:rPr>
        <w:br w:type="page"/>
      </w:r>
    </w:p>
    <w:p>
      <w:pPr>
        <w:numPr>
          <w:ilvl w:val="0"/>
          <w:numId w:val="0"/>
        </w:numPr>
        <w:tabs>
          <w:tab w:val="left" w:pos="0"/>
        </w:tabs>
        <w:spacing w:line="600" w:lineRule="exact"/>
        <w:ind w:leftChars="150" w:firstLine="1760" w:firstLineChars="400"/>
        <w:jc w:val="both"/>
        <w:outlineLvl w:val="0"/>
        <w:rPr>
          <w:rStyle w:val="12"/>
          <w:rFonts w:hint="eastAsia" w:ascii="黑体" w:eastAsia="黑体"/>
          <w:b w:val="0"/>
        </w:rPr>
      </w:pPr>
      <w:r>
        <w:rPr>
          <w:rFonts w:hint="eastAsia" w:ascii="黑体" w:eastAsia="黑体"/>
          <w:color w:val="000000"/>
          <w:sz w:val="44"/>
          <w:szCs w:val="44"/>
          <w:lang w:val="en-US" w:eastAsia="zh-CN"/>
        </w:rPr>
        <w:t xml:space="preserve">第三部分 </w:t>
      </w:r>
      <w:r>
        <w:rPr>
          <w:rFonts w:hint="eastAsia" w:ascii="黑体" w:eastAsia="黑体"/>
          <w:color w:val="000000"/>
          <w:sz w:val="44"/>
          <w:szCs w:val="44"/>
        </w:rPr>
        <w:t>名</w:t>
      </w:r>
      <w:r>
        <w:rPr>
          <w:rStyle w:val="12"/>
          <w:rFonts w:hint="eastAsia" w:ascii="黑体" w:eastAsia="黑体"/>
          <w:b w:val="0"/>
        </w:rPr>
        <w:t>词解释</w:t>
      </w:r>
      <w:bookmarkEnd w:id="90"/>
      <w:bookmarkEnd w:id="91"/>
      <w:bookmarkEnd w:id="92"/>
      <w:bookmarkEnd w:id="93"/>
    </w:p>
    <w:p>
      <w:pPr>
        <w:spacing w:line="600" w:lineRule="exact"/>
        <w:jc w:val="left"/>
        <w:rPr>
          <w:rFonts w:hint="eastAsia" w:ascii="宋体"/>
          <w:b/>
          <w:color w:val="000000"/>
          <w:sz w:val="44"/>
          <w:szCs w:val="44"/>
        </w:rPr>
      </w:pPr>
    </w:p>
    <w:p>
      <w:pPr>
        <w:pStyle w:val="16"/>
        <w:numPr>
          <w:ilvl w:val="0"/>
          <w:numId w:val="4"/>
        </w:numPr>
        <w:spacing w:line="560" w:lineRule="exact"/>
        <w:ind w:left="0" w:leftChars="0" w:firstLine="400" w:firstLineChars="0"/>
        <w:rPr>
          <w:rFonts w:hint="eastAsia" w:ascii="仿宋_GB2312" w:eastAsia="仿宋_GB2312" w:cs="仿宋_GB2312"/>
          <w:color w:val="auto"/>
          <w:kern w:val="2"/>
          <w:sz w:val="32"/>
          <w:szCs w:val="32"/>
          <w:highlight w:val="none"/>
          <w:lang w:bidi="ar-SA"/>
        </w:rPr>
      </w:pPr>
      <w:r>
        <w:rPr>
          <w:rFonts w:hint="eastAsia" w:ascii="仿宋_GB2312" w:eastAsia="仿宋_GB2312" w:cs="仿宋_GB2312"/>
          <w:color w:val="auto"/>
          <w:kern w:val="2"/>
          <w:sz w:val="32"/>
          <w:szCs w:val="32"/>
          <w:highlight w:val="none"/>
          <w:lang w:bidi="ar-SA"/>
        </w:rPr>
        <w:t>财政拨款收入：指单位从同级财政部门取得的财政预算资金。</w:t>
      </w:r>
    </w:p>
    <w:p>
      <w:pPr>
        <w:pStyle w:val="16"/>
        <w:numPr>
          <w:ilvl w:val="0"/>
          <w:numId w:val="4"/>
        </w:numPr>
        <w:spacing w:line="560" w:lineRule="exact"/>
        <w:ind w:left="0" w:leftChars="0" w:firstLine="400" w:firstLineChars="0"/>
        <w:rPr>
          <w:rFonts w:hint="eastAsia" w:ascii="仿宋_GB2312" w:eastAsia="仿宋_GB2312" w:cs="仿宋_GB2312"/>
          <w:color w:val="auto"/>
          <w:kern w:val="2"/>
          <w:sz w:val="32"/>
          <w:szCs w:val="32"/>
          <w:highlight w:val="none"/>
          <w:lang w:bidi="ar-SA"/>
        </w:rPr>
      </w:pPr>
      <w:r>
        <w:rPr>
          <w:rFonts w:hint="eastAsia" w:ascii="仿宋_GB2312" w:eastAsia="仿宋_GB2312" w:cs="仿宋_GB2312"/>
          <w:color w:val="auto"/>
          <w:kern w:val="2"/>
          <w:sz w:val="32"/>
          <w:szCs w:val="32"/>
          <w:highlight w:val="none"/>
          <w:lang w:bidi="ar-SA"/>
        </w:rPr>
        <w:t>年初结转和结余：指以前年度尚未完成、结转到本年按有关规定继续使用的资金。</w:t>
      </w:r>
    </w:p>
    <w:p>
      <w:pPr>
        <w:pStyle w:val="16"/>
        <w:numPr>
          <w:ilvl w:val="0"/>
          <w:numId w:val="4"/>
        </w:numPr>
        <w:spacing w:line="560" w:lineRule="exact"/>
        <w:ind w:left="0" w:leftChars="0" w:firstLine="400" w:firstLineChars="0"/>
        <w:rPr>
          <w:rFonts w:hint="eastAsia" w:ascii="仿宋_GB2312" w:eastAsia="仿宋_GB2312" w:cs="仿宋_GB2312"/>
          <w:color w:val="auto"/>
          <w:kern w:val="2"/>
          <w:sz w:val="32"/>
          <w:szCs w:val="32"/>
          <w:highlight w:val="none"/>
          <w:lang w:bidi="ar-SA"/>
        </w:rPr>
      </w:pPr>
      <w:r>
        <w:rPr>
          <w:rFonts w:hint="eastAsia" w:ascii="仿宋_GB2312" w:eastAsia="仿宋_GB2312" w:cs="仿宋_GB2312"/>
          <w:color w:val="auto"/>
          <w:kern w:val="2"/>
          <w:sz w:val="32"/>
          <w:szCs w:val="32"/>
          <w:highlight w:val="none"/>
          <w:lang w:bidi="ar-SA"/>
        </w:rPr>
        <w:t>年末结转和结余：指单位按有关规定结转到下年或以后年度继续使用的资金。</w:t>
      </w:r>
    </w:p>
    <w:p>
      <w:pPr>
        <w:numPr>
          <w:ilvl w:val="0"/>
          <w:numId w:val="4"/>
        </w:numPr>
        <w:ind w:left="0" w:leftChars="0" w:firstLine="400" w:firstLineChars="0"/>
        <w:rPr>
          <w:rFonts w:hint="eastAsia" w:ascii="仿宋_GB2312" w:eastAsia="仿宋_GB2312" w:cs="仿宋_GB2312"/>
          <w:sz w:val="32"/>
          <w:szCs w:val="32"/>
          <w:highlight w:val="none"/>
          <w:lang w:bidi="ar-SA"/>
        </w:rPr>
      </w:pPr>
      <w:r>
        <w:rPr>
          <w:rFonts w:hint="eastAsia" w:ascii="仿宋_GB2312" w:eastAsia="仿宋_GB2312" w:cs="仿宋_GB2312"/>
          <w:sz w:val="32"/>
          <w:szCs w:val="32"/>
          <w:highlight w:val="none"/>
          <w:lang w:bidi="ar-SA"/>
        </w:rPr>
        <w:t>社会保障和就业支出（类）行政事业单位养老支出（款）机关事业单位基本养老保险缴费支出（项）：指反映机关事业单位实施养老保险制度由单位缴纳的基本养老保险费支出。</w:t>
      </w:r>
    </w:p>
    <w:p>
      <w:pPr>
        <w:numPr>
          <w:ilvl w:val="0"/>
          <w:numId w:val="4"/>
        </w:numPr>
        <w:ind w:left="0" w:leftChars="0" w:firstLine="400" w:firstLineChars="0"/>
        <w:rPr>
          <w:rFonts w:hint="eastAsia" w:ascii="仿宋_GB2312" w:eastAsia="仿宋_GB2312" w:cs="仿宋_GB2312"/>
          <w:sz w:val="32"/>
          <w:szCs w:val="32"/>
          <w:highlight w:val="none"/>
          <w:lang w:val="en-US" w:eastAsia="zh-CN" w:bidi="ar-SA"/>
        </w:rPr>
      </w:pPr>
      <w:r>
        <w:rPr>
          <w:rFonts w:hint="eastAsia" w:ascii="仿宋_GB2312" w:eastAsia="仿宋_GB2312" w:cs="仿宋_GB2312"/>
          <w:sz w:val="32"/>
          <w:szCs w:val="32"/>
          <w:highlight w:val="none"/>
          <w:lang w:val="en-US" w:eastAsia="zh-CN" w:bidi="ar-SA"/>
        </w:rPr>
        <w:t>卫生健康支出（类）行政事业单位医疗（款）事业单位医疗（项）：指反映财政部门安排的事业单位基本医疗保险缴费经费，未参加医疗保险的事业单位的公费医疗经费，按国家规定享受离休人员待遇的医疗经费。</w:t>
      </w:r>
    </w:p>
    <w:p>
      <w:pPr>
        <w:numPr>
          <w:ilvl w:val="0"/>
          <w:numId w:val="4"/>
        </w:numPr>
        <w:ind w:left="0" w:leftChars="0" w:firstLine="400" w:firstLineChars="0"/>
        <w:rPr>
          <w:rFonts w:hint="eastAsia" w:ascii="仿宋_GB2312" w:eastAsia="仿宋_GB2312" w:cs="仿宋_GB2312"/>
          <w:sz w:val="32"/>
          <w:szCs w:val="32"/>
          <w:highlight w:val="none"/>
          <w:lang w:val="en-US" w:eastAsia="zh-CN" w:bidi="ar-SA"/>
        </w:rPr>
      </w:pPr>
      <w:r>
        <w:rPr>
          <w:rFonts w:hint="eastAsia" w:ascii="仿宋_GB2312" w:eastAsia="仿宋_GB2312" w:cs="仿宋_GB2312"/>
          <w:sz w:val="32"/>
          <w:szCs w:val="32"/>
          <w:highlight w:val="none"/>
          <w:lang w:val="en-US" w:eastAsia="zh-CN" w:bidi="ar-SA"/>
        </w:rPr>
        <w:t>卫生健康支出（类）老龄卫生健康事务（款）老龄卫生健康事务（项）：指反映老龄卫生健康事务方面的支出。</w:t>
      </w:r>
    </w:p>
    <w:p>
      <w:pPr>
        <w:numPr>
          <w:ilvl w:val="0"/>
          <w:numId w:val="4"/>
        </w:numPr>
        <w:ind w:left="0" w:leftChars="0" w:firstLine="400" w:firstLineChars="0"/>
        <w:rPr>
          <w:rFonts w:hint="eastAsia" w:ascii="仿宋_GB2312" w:eastAsia="仿宋_GB2312" w:cs="仿宋_GB2312"/>
          <w:sz w:val="32"/>
          <w:szCs w:val="32"/>
          <w:highlight w:val="none"/>
          <w:lang w:bidi="ar-SA"/>
        </w:rPr>
      </w:pPr>
      <w:r>
        <w:rPr>
          <w:rFonts w:hint="eastAsia" w:ascii="仿宋_GB2312" w:eastAsia="仿宋_GB2312" w:cs="仿宋_GB2312"/>
          <w:sz w:val="32"/>
          <w:szCs w:val="32"/>
          <w:highlight w:val="none"/>
          <w:lang w:bidi="ar-SA"/>
        </w:rPr>
        <w:t>住房保障支出（类）住房改革支出（款）住房公积金（项）：指反映行政事业单位按人力资源和社会保障部、财政部规定的基本工资和津贴补贴以及规定比例为职工缴纳的住房公积金。</w:t>
      </w:r>
    </w:p>
    <w:p>
      <w:pPr>
        <w:numPr>
          <w:ilvl w:val="0"/>
          <w:numId w:val="4"/>
        </w:numPr>
        <w:ind w:left="0" w:leftChars="0" w:firstLine="400" w:firstLineChars="0"/>
        <w:rPr>
          <w:rFonts w:hint="eastAsia" w:ascii="仿宋_GB2312" w:eastAsia="仿宋_GB2312" w:cs="仿宋_GB2312"/>
          <w:sz w:val="32"/>
          <w:szCs w:val="32"/>
          <w:highlight w:val="none"/>
          <w:lang w:bidi="ar-SA"/>
        </w:rPr>
      </w:pPr>
      <w:r>
        <w:rPr>
          <w:rFonts w:hint="eastAsia" w:ascii="仿宋_GB2312" w:eastAsia="仿宋_GB2312" w:cs="仿宋_GB2312"/>
          <w:sz w:val="32"/>
          <w:szCs w:val="32"/>
          <w:highlight w:val="none"/>
          <w:lang w:bidi="ar-SA"/>
        </w:rPr>
        <w:t>基本支出：指为保障机构正常运转、完成日常工作任务而发生的人员支出和公用支出。</w:t>
      </w:r>
    </w:p>
    <w:p>
      <w:pPr>
        <w:numPr>
          <w:ilvl w:val="0"/>
          <w:numId w:val="4"/>
        </w:numPr>
        <w:ind w:left="0" w:leftChars="0" w:firstLine="400" w:firstLineChars="0"/>
        <w:rPr>
          <w:rFonts w:hint="eastAsia" w:ascii="仿宋_GB2312" w:eastAsia="仿宋_GB2312" w:cs="仿宋_GB2312"/>
          <w:sz w:val="32"/>
          <w:szCs w:val="32"/>
          <w:highlight w:val="none"/>
          <w:lang w:bidi="ar-SA"/>
        </w:rPr>
      </w:pPr>
      <w:r>
        <w:rPr>
          <w:rFonts w:hint="eastAsia" w:ascii="仿宋_GB2312" w:eastAsia="仿宋_GB2312" w:cs="仿宋_GB2312"/>
          <w:sz w:val="32"/>
          <w:szCs w:val="32"/>
          <w:highlight w:val="none"/>
          <w:lang w:bidi="ar-SA"/>
        </w:rPr>
        <w:t>项目支出：指在基本支出之外为完成特定行政任务和事业发展目标所发生的支出。</w:t>
      </w:r>
    </w:p>
    <w:p>
      <w:pPr>
        <w:pStyle w:val="16"/>
        <w:numPr>
          <w:ilvl w:val="0"/>
          <w:numId w:val="4"/>
        </w:numPr>
        <w:spacing w:line="560" w:lineRule="exact"/>
        <w:ind w:left="0" w:leftChars="0" w:firstLine="400" w:firstLineChars="0"/>
        <w:rPr>
          <w:rFonts w:hint="eastAsia" w:ascii="仿宋_GB2312" w:eastAsia="仿宋_GB2312" w:cs="仿宋_GB2312"/>
          <w:color w:val="auto"/>
          <w:kern w:val="2"/>
          <w:sz w:val="32"/>
          <w:szCs w:val="32"/>
          <w:highlight w:val="none"/>
          <w:lang w:bidi="ar-SA"/>
        </w:rPr>
      </w:pPr>
      <w:r>
        <w:rPr>
          <w:rFonts w:hint="eastAsia" w:ascii="仿宋_GB2312" w:eastAsia="仿宋_GB2312" w:cs="仿宋_GB2312"/>
          <w:color w:val="auto"/>
          <w:kern w:val="2"/>
          <w:sz w:val="32"/>
          <w:szCs w:val="32"/>
          <w:highlight w:val="none"/>
          <w:lang w:bidi="ar-SA"/>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4"/>
        </w:numPr>
        <w:spacing w:line="240" w:lineRule="auto"/>
        <w:ind w:left="0" w:leftChars="0" w:firstLine="400" w:firstLineChars="0"/>
        <w:jc w:val="both"/>
        <w:outlineLvl w:val="0"/>
        <w:rPr>
          <w:rFonts w:hint="eastAsia"/>
          <w:lang w:val="en-US" w:eastAsia="zh-CN"/>
        </w:rPr>
      </w:pPr>
      <w:r>
        <w:rPr>
          <w:rFonts w:hint="eastAsia" w:ascii="仿宋_GB2312" w:hAnsi="Times New Roman" w:eastAsia="仿宋_GB2312" w:cs="仿宋_GB2312"/>
          <w:color w:val="auto"/>
          <w:kern w:val="2"/>
          <w:sz w:val="32"/>
          <w:szCs w:val="32"/>
          <w:highlight w:val="none"/>
          <w:lang w:val="en-US" w:eastAsia="zh-CN" w:bidi="ar-S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hint="eastAsia" w:ascii="黑体" w:hAnsi="黑体" w:eastAsia="黑体" w:cs="黑体"/>
          <w:sz w:val="44"/>
          <w:szCs w:val="32"/>
          <w:lang w:val="en-US" w:eastAsia="zh-CN"/>
        </w:rPr>
      </w:pPr>
      <w:r>
        <w:rPr>
          <w:rFonts w:hint="eastAsia" w:ascii="黑体" w:hAnsi="黑体" w:eastAsia="黑体" w:cs="黑体"/>
          <w:sz w:val="44"/>
          <w:szCs w:val="32"/>
          <w:lang w:val="en-US" w:eastAsia="zh-CN"/>
        </w:rPr>
        <w:br w:type="page"/>
      </w:r>
    </w:p>
    <w:p>
      <w:pPr>
        <w:pStyle w:val="2"/>
        <w:jc w:val="center"/>
        <w:rPr>
          <w:rFonts w:hint="eastAsia" w:ascii="黑体" w:hAnsi="黑体" w:eastAsia="黑体" w:cs="黑体"/>
          <w:sz w:val="44"/>
          <w:szCs w:val="32"/>
          <w:lang w:val="en-US" w:eastAsia="zh-CN"/>
        </w:rPr>
      </w:pPr>
      <w:r>
        <w:rPr>
          <w:rFonts w:hint="eastAsia" w:ascii="黑体" w:hAnsi="黑体" w:eastAsia="黑体" w:cs="黑体"/>
          <w:sz w:val="44"/>
          <w:szCs w:val="32"/>
          <w:lang w:val="en-US" w:eastAsia="zh-CN"/>
        </w:rPr>
        <w:t>第四部分  附件</w:t>
      </w:r>
    </w:p>
    <w:p>
      <w:pPr>
        <w:pStyle w:val="2"/>
        <w:tabs>
          <w:tab w:val="left" w:pos="2222"/>
        </w:tabs>
        <w:rPr>
          <w:rFonts w:hint="eastAsia"/>
          <w:lang w:eastAsia="zh-CN"/>
        </w:rPr>
      </w:pPr>
      <w:r>
        <w:rPr>
          <w:rFonts w:hint="eastAsia"/>
          <w:lang w:eastAsia="zh-CN"/>
        </w:rPr>
        <w:tab/>
      </w:r>
    </w:p>
    <w:tbl>
      <w:tblPr>
        <w:tblStyle w:val="9"/>
        <w:tblW w:w="1410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141"/>
        <w:gridCol w:w="1020"/>
        <w:gridCol w:w="1264"/>
        <w:gridCol w:w="640"/>
        <w:gridCol w:w="689"/>
        <w:gridCol w:w="586"/>
        <w:gridCol w:w="840"/>
        <w:gridCol w:w="585"/>
        <w:gridCol w:w="630"/>
        <w:gridCol w:w="10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9" w:hRule="atLeast"/>
        </w:trPr>
        <w:tc>
          <w:tcPr>
            <w:tcW w:w="90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2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trPr>
        <w:tc>
          <w:tcPr>
            <w:tcW w:w="171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84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广元市老龄工作委员会办公室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0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1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30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2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按标准发放人员工资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82.44</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98.81</w:t>
            </w:r>
          </w:p>
        </w:tc>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96.99</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98.16%</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人员减少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82.44</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98.81</w:t>
            </w:r>
          </w:p>
        </w:tc>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96.99</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98.16%</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7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按标准发放人员工资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人员减少。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2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精准核算。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64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项目负责人：王秀琼</w:t>
            </w:r>
          </w:p>
        </w:tc>
        <w:tc>
          <w:tcPr>
            <w:tcW w:w="435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财务负责人：余晖</w:t>
            </w:r>
          </w:p>
        </w:tc>
      </w:tr>
    </w:tbl>
    <w:tbl>
      <w:tblPr>
        <w:tblStyle w:val="9"/>
        <w:tblpPr w:leftFromText="180" w:rightFromText="180" w:vertAnchor="text" w:horzAnchor="page" w:tblpX="1841" w:tblpY="709"/>
        <w:tblOverlap w:val="never"/>
        <w:tblW w:w="90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6"/>
        <w:gridCol w:w="1076"/>
        <w:gridCol w:w="1129"/>
        <w:gridCol w:w="1441"/>
        <w:gridCol w:w="674"/>
        <w:gridCol w:w="724"/>
        <w:gridCol w:w="581"/>
        <w:gridCol w:w="750"/>
        <w:gridCol w:w="600"/>
        <w:gridCol w:w="600"/>
        <w:gridCol w:w="8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90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rPr>
        <w:tc>
          <w:tcPr>
            <w:tcW w:w="17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3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8" w:hRule="atLeast"/>
        </w:trPr>
        <w:tc>
          <w:tcPr>
            <w:tcW w:w="17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5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75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 xml:space="preserve">实施单位 </w:t>
            </w:r>
          </w:p>
        </w:tc>
        <w:tc>
          <w:tcPr>
            <w:tcW w:w="2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广元市老龄工作委员会办公室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rPr>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5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5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27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sz w:val="18"/>
                <w:szCs w:val="18"/>
                <w:u w:val="none"/>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34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按时按标准发放退休人员补贴。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trPr>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19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19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8" w:hRule="atLeast"/>
        </w:trPr>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704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按时按标准发放退休人员补贴。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sz w:val="16"/>
                <w:szCs w:val="16"/>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sz w:val="16"/>
                <w:szCs w:val="16"/>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498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项目负责人：王秀琼</w:t>
            </w:r>
          </w:p>
        </w:tc>
        <w:tc>
          <w:tcPr>
            <w:tcW w:w="409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财务负责人：余晖</w:t>
            </w:r>
          </w:p>
        </w:tc>
      </w:tr>
    </w:tbl>
    <w:p>
      <w:pPr>
        <w:pStyle w:val="2"/>
      </w:pPr>
    </w:p>
    <w:tbl>
      <w:tblPr>
        <w:tblStyle w:val="9"/>
        <w:tblW w:w="91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190"/>
        <w:gridCol w:w="1043"/>
        <w:gridCol w:w="1494"/>
        <w:gridCol w:w="585"/>
        <w:gridCol w:w="705"/>
        <w:gridCol w:w="630"/>
        <w:gridCol w:w="780"/>
        <w:gridCol w:w="660"/>
        <w:gridCol w:w="480"/>
        <w:gridCol w:w="10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918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trPr>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41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4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7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w:t>
            </w:r>
          </w:p>
        </w:tc>
        <w:tc>
          <w:tcPr>
            <w:tcW w:w="21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广元市老龄工作委员会办公室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4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4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29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sz w:val="18"/>
                <w:szCs w:val="18"/>
                <w:u w:val="none"/>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41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按财政政策据实支用。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9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6.21</w:t>
            </w:r>
          </w:p>
        </w:tc>
        <w:tc>
          <w:tcPr>
            <w:tcW w:w="19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65.57%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0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人员减少。厉行节约。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8.40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6.21</w:t>
            </w:r>
          </w:p>
        </w:tc>
        <w:tc>
          <w:tcPr>
            <w:tcW w:w="19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65.57%</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9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9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人员减少。厉行节约。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1" w:hRule="atLeast"/>
        </w:trPr>
        <w:tc>
          <w:tcPr>
            <w:tcW w:w="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80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人员减少。厉行节约。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700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6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按财政政策据实支用。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6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sz w:val="16"/>
                <w:szCs w:val="16"/>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60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iCs/>
                <w:color w:val="000000"/>
                <w:sz w:val="16"/>
                <w:szCs w:val="16"/>
                <w:u w:val="none"/>
              </w:rPr>
            </w:pPr>
            <w:r>
              <w:rPr>
                <w:rFonts w:hint="default" w:ascii="微软雅黑" w:hAnsi="微软雅黑" w:eastAsia="微软雅黑" w:cs="微软雅黑"/>
                <w:i/>
                <w:iCs/>
                <w:color w:val="000000"/>
                <w:sz w:val="16"/>
                <w:szCs w:val="16"/>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48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项目负责人：王秀琼</w:t>
            </w:r>
          </w:p>
        </w:tc>
        <w:tc>
          <w:tcPr>
            <w:tcW w:w="429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财务负责人：余晖</w:t>
            </w:r>
          </w:p>
        </w:tc>
      </w:tr>
    </w:tbl>
    <w:p>
      <w:pPr>
        <w:pStyle w:val="2"/>
      </w:pPr>
    </w:p>
    <w:tbl>
      <w:tblPr>
        <w:tblStyle w:val="9"/>
        <w:tblW w:w="89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1171"/>
        <w:gridCol w:w="1026"/>
        <w:gridCol w:w="1280"/>
        <w:gridCol w:w="396"/>
        <w:gridCol w:w="959"/>
        <w:gridCol w:w="396"/>
        <w:gridCol w:w="846"/>
        <w:gridCol w:w="486"/>
        <w:gridCol w:w="396"/>
        <w:gridCol w:w="14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5" w:hRule="atLeast"/>
        </w:trPr>
        <w:tc>
          <w:tcPr>
            <w:tcW w:w="89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51080021T000000053377-慰问贫困老人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0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广元市卫生健康委员会部门</w:t>
            </w:r>
          </w:p>
        </w:tc>
        <w:tc>
          <w:tcPr>
            <w:tcW w:w="834"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2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广元市老龄工作委员会办公室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0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6" w:hRule="atLeast"/>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0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冬季及节庆日走访慰问贫困老年人，发放慰问金。</w:t>
            </w:r>
          </w:p>
        </w:tc>
        <w:tc>
          <w:tcPr>
            <w:tcW w:w="312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rPr>
            </w:pPr>
            <w:r>
              <w:rPr>
                <w:rFonts w:hint="default" w:ascii="黑体" w:hAnsi="黑体" w:eastAsia="黑体" w:cs="黑体"/>
                <w:i w:val="0"/>
                <w:iCs w:val="0"/>
                <w:color w:val="000000"/>
                <w:sz w:val="18"/>
                <w:szCs w:val="18"/>
                <w:u w:val="none"/>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9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慰问贫困老年人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lang w:val="en-US" w:eastAsia="zh-CN"/>
              </w:rPr>
            </w:pPr>
            <w:r>
              <w:rPr>
                <w:rFonts w:hint="eastAsia" w:ascii="黑体" w:hAnsi="黑体" w:eastAsia="黑体" w:cs="黑体"/>
                <w:i/>
                <w:iCs/>
                <w:color w:val="000000"/>
                <w:sz w:val="18"/>
                <w:szCs w:val="18"/>
                <w:u w:val="none"/>
                <w:lang w:val="en-US" w:eastAsia="zh-CN"/>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7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4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5" w:hRule="atLeast"/>
        </w:trPr>
        <w:tc>
          <w:tcPr>
            <w:tcW w:w="5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对工作的促进</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98</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216"/>
              </w:tabs>
              <w:jc w:val="left"/>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ab/>
            </w:r>
            <w:r>
              <w:rPr>
                <w:rFonts w:hint="eastAsia" w:ascii="微软雅黑" w:hAnsi="微软雅黑" w:eastAsia="微软雅黑" w:cs="微软雅黑"/>
                <w:i/>
                <w:iCs/>
                <w:color w:val="000000"/>
                <w:kern w:val="0"/>
                <w:sz w:val="16"/>
                <w:szCs w:val="16"/>
                <w:u w:val="none"/>
                <w:lang w:val="en-US" w:eastAsia="zh-CN" w:bidi="ar"/>
              </w:rPr>
              <w:t>资金较少，受惠老年人较少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老年群体满意</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95</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sz w:val="16"/>
                <w:szCs w:val="16"/>
                <w:u w:val="none"/>
              </w:rPr>
              <w:t>资金较少，受惠老年人较少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65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3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评估总得分96，评估等级为优。预期产出和效果能满足需求。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3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资金较少，受惠老年人较少。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8" w:hRule="atLeast"/>
        </w:trPr>
        <w:tc>
          <w:tcPr>
            <w:tcW w:w="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3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增加资金。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2" w:hRule="atLeast"/>
        </w:trPr>
        <w:tc>
          <w:tcPr>
            <w:tcW w:w="44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项目负责人：王秀琼</w:t>
            </w:r>
          </w:p>
        </w:tc>
        <w:tc>
          <w:tcPr>
            <w:tcW w:w="448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财务负责人：余晖</w:t>
            </w:r>
          </w:p>
        </w:tc>
      </w:tr>
    </w:tbl>
    <w:p>
      <w:pPr>
        <w:pStyle w:val="2"/>
      </w:pPr>
    </w:p>
    <w:p>
      <w:pPr>
        <w:widowControl/>
        <w:jc w:val="center"/>
        <w:outlineLvl w:val="0"/>
        <w:rPr>
          <w:rStyle w:val="12"/>
          <w:rFonts w:hint="default" w:ascii="黑体" w:eastAsia="黑体"/>
          <w:b/>
          <w:bCs/>
          <w:highlight w:val="yellow"/>
          <w:lang w:val="en-US" w:eastAsia="zh-CN"/>
        </w:rPr>
      </w:pPr>
      <w:bookmarkStart w:id="94" w:name="_Toc286"/>
      <w:bookmarkStart w:id="95" w:name="_Toc19885"/>
      <w:bookmarkStart w:id="96" w:name="_Toc29592"/>
      <w:bookmarkStart w:id="97" w:name="_Toc17484"/>
      <w:bookmarkStart w:id="98" w:name="_Toc27197"/>
      <w:bookmarkStart w:id="99" w:name="_Toc15396618"/>
      <w:bookmarkStart w:id="100" w:name="_Toc28797"/>
      <w:bookmarkStart w:id="101" w:name="_Toc2103253590_WPSOffice_Level1"/>
      <w:r>
        <w:rPr>
          <w:rFonts w:hint="eastAsia" w:ascii="黑体" w:eastAsia="黑体"/>
          <w:b/>
          <w:bCs/>
          <w:color w:val="000000"/>
          <w:sz w:val="44"/>
          <w:szCs w:val="44"/>
        </w:rPr>
        <w:t>第</w:t>
      </w:r>
      <w:r>
        <w:rPr>
          <w:rStyle w:val="12"/>
          <w:rFonts w:hint="eastAsia" w:ascii="黑体" w:eastAsia="黑体"/>
          <w:b/>
          <w:bCs/>
        </w:rPr>
        <w:t>五部分 附表</w:t>
      </w:r>
      <w:bookmarkEnd w:id="94"/>
      <w:bookmarkEnd w:id="95"/>
      <w:bookmarkEnd w:id="96"/>
      <w:bookmarkEnd w:id="97"/>
      <w:bookmarkEnd w:id="98"/>
      <w:bookmarkEnd w:id="99"/>
      <w:bookmarkEnd w:id="100"/>
      <w:bookmarkEnd w:id="101"/>
    </w:p>
    <w:p>
      <w:pPr>
        <w:spacing w:line="600" w:lineRule="exact"/>
        <w:jc w:val="center"/>
        <w:outlineLvl w:val="9"/>
        <w:rPr>
          <w:rFonts w:hint="eastAsia" w:ascii="仿宋" w:eastAsia="仿宋"/>
          <w:b/>
          <w:bCs/>
          <w:color w:val="000000"/>
          <w:sz w:val="44"/>
          <w:szCs w:val="44"/>
        </w:rPr>
      </w:pPr>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13"/>
          <w:rFonts w:hint="eastAsia" w:ascii="仿宋" w:hAnsi="仿宋" w:eastAsia="仿宋"/>
          <w:b w:val="0"/>
          <w:bCs w:val="0"/>
          <w:color w:val="auto"/>
          <w:highlight w:val="none"/>
        </w:rPr>
        <w:t>入支出决算总表</w:t>
      </w:r>
    </w:p>
    <w:p>
      <w:pPr>
        <w:pStyle w:val="4"/>
        <w:rPr>
          <w:rFonts w:ascii="仿宋" w:hAnsi="仿宋" w:eastAsia="仿宋"/>
          <w:color w:val="auto"/>
          <w:highlight w:val="none"/>
        </w:rPr>
      </w:pPr>
      <w:bookmarkStart w:id="102" w:name="_Toc15396620"/>
      <w:r>
        <w:rPr>
          <w:rFonts w:hint="eastAsia" w:ascii="仿宋" w:hAnsi="仿宋" w:eastAsia="仿宋"/>
          <w:b w:val="0"/>
          <w:color w:val="auto"/>
          <w:highlight w:val="none"/>
        </w:rPr>
        <w:t>二、收</w:t>
      </w:r>
      <w:r>
        <w:rPr>
          <w:rStyle w:val="13"/>
          <w:rFonts w:hint="eastAsia" w:ascii="仿宋" w:hAnsi="仿宋" w:eastAsia="仿宋"/>
          <w:b w:val="0"/>
          <w:bCs w:val="0"/>
          <w:color w:val="auto"/>
          <w:highlight w:val="none"/>
        </w:rPr>
        <w:t>入决算表</w:t>
      </w:r>
      <w:bookmarkEnd w:id="102"/>
    </w:p>
    <w:p>
      <w:pPr>
        <w:pStyle w:val="4"/>
        <w:rPr>
          <w:rFonts w:ascii="仿宋" w:hAnsi="仿宋" w:eastAsia="仿宋"/>
          <w:color w:val="auto"/>
          <w:highlight w:val="none"/>
        </w:rPr>
      </w:pPr>
      <w:bookmarkStart w:id="103" w:name="_Toc15396621"/>
      <w:r>
        <w:rPr>
          <w:rStyle w:val="13"/>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3"/>
          <w:rFonts w:hint="eastAsia" w:ascii="仿宋" w:hAnsi="仿宋" w:eastAsia="仿宋"/>
          <w:b w:val="0"/>
          <w:bCs w:val="0"/>
          <w:color w:val="auto"/>
          <w:highlight w:val="none"/>
        </w:rPr>
        <w:t>出决算表</w:t>
      </w:r>
      <w:bookmarkEnd w:id="103"/>
    </w:p>
    <w:p>
      <w:pPr>
        <w:pStyle w:val="4"/>
        <w:rPr>
          <w:rFonts w:ascii="仿宋" w:hAnsi="仿宋" w:eastAsia="仿宋"/>
          <w:b w:val="0"/>
          <w:color w:val="auto"/>
          <w:highlight w:val="none"/>
        </w:rPr>
      </w:pPr>
      <w:bookmarkStart w:id="104" w:name="_Toc15396622"/>
      <w:r>
        <w:rPr>
          <w:rStyle w:val="13"/>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3"/>
          <w:rFonts w:hint="eastAsia" w:ascii="仿宋" w:hAnsi="仿宋" w:eastAsia="仿宋"/>
          <w:b w:val="0"/>
          <w:bCs w:val="0"/>
          <w:color w:val="auto"/>
          <w:highlight w:val="none"/>
        </w:rPr>
        <w:t>政拨款收入支出决算总表</w:t>
      </w:r>
      <w:bookmarkEnd w:id="104"/>
    </w:p>
    <w:p>
      <w:pPr>
        <w:pStyle w:val="4"/>
        <w:rPr>
          <w:rStyle w:val="13"/>
          <w:rFonts w:ascii="仿宋" w:hAnsi="仿宋" w:eastAsia="仿宋"/>
          <w:b w:val="0"/>
          <w:bCs w:val="0"/>
          <w:color w:val="auto"/>
          <w:highlight w:val="none"/>
        </w:rPr>
      </w:pPr>
      <w:bookmarkStart w:id="105" w:name="_Toc15396623"/>
      <w:r>
        <w:rPr>
          <w:rStyle w:val="13"/>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3"/>
          <w:rFonts w:hint="eastAsia" w:ascii="仿宋" w:hAnsi="仿宋" w:eastAsia="仿宋"/>
          <w:b w:val="0"/>
          <w:bCs w:val="0"/>
          <w:color w:val="auto"/>
          <w:highlight w:val="none"/>
        </w:rPr>
        <w:t>政拨款支出决算明细表</w:t>
      </w:r>
      <w:bookmarkEnd w:id="105"/>
      <w:bookmarkStart w:id="106" w:name="_Toc15396624"/>
    </w:p>
    <w:p>
      <w:pPr>
        <w:pStyle w:val="4"/>
        <w:rPr>
          <w:rFonts w:ascii="仿宋" w:hAnsi="仿宋" w:eastAsia="仿宋"/>
          <w:color w:val="auto"/>
          <w:highlight w:val="none"/>
        </w:rPr>
      </w:pPr>
      <w:r>
        <w:rPr>
          <w:rStyle w:val="13"/>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3"/>
          <w:rFonts w:hint="eastAsia" w:ascii="仿宋" w:hAnsi="仿宋" w:eastAsia="仿宋"/>
          <w:b w:val="0"/>
          <w:bCs w:val="0"/>
          <w:color w:val="auto"/>
          <w:highlight w:val="none"/>
        </w:rPr>
        <w:t>般公共预算财政拨款支出决算表</w:t>
      </w:r>
      <w:bookmarkEnd w:id="106"/>
    </w:p>
    <w:p>
      <w:pPr>
        <w:pStyle w:val="4"/>
        <w:rPr>
          <w:rFonts w:ascii="仿宋" w:hAnsi="仿宋" w:eastAsia="仿宋"/>
          <w:color w:val="auto"/>
          <w:highlight w:val="none"/>
        </w:rPr>
      </w:pPr>
      <w:bookmarkStart w:id="107" w:name="_Toc15396625"/>
      <w:r>
        <w:rPr>
          <w:rStyle w:val="13"/>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3"/>
          <w:rFonts w:hint="eastAsia" w:ascii="仿宋" w:hAnsi="仿宋" w:eastAsia="仿宋"/>
          <w:b w:val="0"/>
          <w:bCs w:val="0"/>
          <w:color w:val="auto"/>
          <w:highlight w:val="none"/>
        </w:rPr>
        <w:t>般公共预算财政拨款支出决算明细表</w:t>
      </w:r>
      <w:bookmarkEnd w:id="107"/>
    </w:p>
    <w:p>
      <w:pPr>
        <w:pStyle w:val="4"/>
        <w:rPr>
          <w:rFonts w:ascii="仿宋" w:hAnsi="仿宋" w:eastAsia="仿宋"/>
          <w:color w:val="auto"/>
          <w:highlight w:val="none"/>
        </w:rPr>
      </w:pPr>
      <w:bookmarkStart w:id="108" w:name="_Toc15396626"/>
      <w:r>
        <w:rPr>
          <w:rStyle w:val="13"/>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3"/>
          <w:rFonts w:hint="eastAsia" w:ascii="仿宋" w:hAnsi="仿宋" w:eastAsia="仿宋"/>
          <w:b w:val="0"/>
          <w:bCs w:val="0"/>
          <w:color w:val="auto"/>
          <w:highlight w:val="none"/>
        </w:rPr>
        <w:t>般公共预算财政拨款基本支出决算表</w:t>
      </w:r>
      <w:bookmarkEnd w:id="108"/>
    </w:p>
    <w:p>
      <w:pPr>
        <w:pStyle w:val="4"/>
        <w:rPr>
          <w:rFonts w:ascii="仿宋" w:hAnsi="仿宋" w:eastAsia="仿宋"/>
          <w:color w:val="auto"/>
          <w:highlight w:val="none"/>
        </w:rPr>
      </w:pPr>
      <w:bookmarkStart w:id="109" w:name="_Toc15396627"/>
      <w:r>
        <w:rPr>
          <w:rStyle w:val="13"/>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3"/>
          <w:rFonts w:hint="eastAsia" w:ascii="仿宋" w:hAnsi="仿宋" w:eastAsia="仿宋"/>
          <w:b w:val="0"/>
          <w:bCs w:val="0"/>
          <w:color w:val="auto"/>
          <w:highlight w:val="none"/>
        </w:rPr>
        <w:t>般公共预算财政拨款项目支出决算表</w:t>
      </w:r>
      <w:bookmarkEnd w:id="109"/>
    </w:p>
    <w:p>
      <w:pPr>
        <w:pStyle w:val="4"/>
        <w:rPr>
          <w:rFonts w:ascii="仿宋" w:hAnsi="仿宋" w:eastAsia="仿宋"/>
          <w:color w:val="auto"/>
          <w:highlight w:val="none"/>
        </w:rPr>
      </w:pPr>
      <w:bookmarkStart w:id="110" w:name="_Toc15396628"/>
      <w:r>
        <w:rPr>
          <w:rStyle w:val="13"/>
          <w:rFonts w:hint="eastAsia" w:ascii="仿宋" w:hAnsi="仿宋" w:eastAsia="仿宋"/>
          <w:b w:val="0"/>
          <w:bCs w:val="0"/>
          <w:color w:val="auto"/>
          <w:highlight w:val="none"/>
        </w:rPr>
        <w:t>十、</w:t>
      </w:r>
      <w:bookmarkEnd w:id="110"/>
      <w:r>
        <w:rPr>
          <w:rFonts w:hint="eastAsia" w:ascii="仿宋" w:hAnsi="仿宋" w:eastAsia="仿宋"/>
          <w:b w:val="0"/>
          <w:color w:val="auto"/>
          <w:highlight w:val="none"/>
        </w:rPr>
        <w:t>政</w:t>
      </w:r>
      <w:r>
        <w:rPr>
          <w:rStyle w:val="13"/>
          <w:rFonts w:hint="eastAsia" w:ascii="仿宋" w:hAnsi="仿宋" w:eastAsia="仿宋"/>
          <w:b w:val="0"/>
          <w:bCs w:val="0"/>
          <w:color w:val="auto"/>
          <w:highlight w:val="none"/>
        </w:rPr>
        <w:t>府性基金预算财政拨款收入支出决算表</w:t>
      </w:r>
    </w:p>
    <w:p>
      <w:pPr>
        <w:pStyle w:val="4"/>
        <w:rPr>
          <w:rFonts w:ascii="仿宋" w:hAnsi="仿宋" w:eastAsia="仿宋"/>
          <w:color w:val="auto"/>
          <w:highlight w:val="none"/>
        </w:rPr>
      </w:pPr>
      <w:bookmarkStart w:id="111" w:name="_Toc15396629"/>
      <w:r>
        <w:rPr>
          <w:rStyle w:val="13"/>
          <w:rFonts w:hint="eastAsia" w:ascii="仿宋" w:hAnsi="仿宋" w:eastAsia="仿宋"/>
          <w:b w:val="0"/>
          <w:bCs w:val="0"/>
          <w:color w:val="auto"/>
          <w:highlight w:val="none"/>
        </w:rPr>
        <w:t>十一、</w:t>
      </w:r>
      <w:bookmarkEnd w:id="111"/>
      <w:r>
        <w:rPr>
          <w:rFonts w:hint="eastAsia" w:ascii="仿宋" w:hAnsi="仿宋" w:eastAsia="仿宋"/>
          <w:b w:val="0"/>
          <w:color w:val="auto"/>
          <w:highlight w:val="none"/>
        </w:rPr>
        <w:t>国</w:t>
      </w:r>
      <w:r>
        <w:rPr>
          <w:rStyle w:val="13"/>
          <w:rFonts w:hint="eastAsia" w:ascii="仿宋" w:hAnsi="仿宋" w:eastAsia="仿宋"/>
          <w:b w:val="0"/>
          <w:bCs w:val="0"/>
          <w:color w:val="auto"/>
          <w:highlight w:val="none"/>
        </w:rPr>
        <w:t>有资本经营预算</w:t>
      </w:r>
      <w:r>
        <w:rPr>
          <w:rStyle w:val="13"/>
          <w:rFonts w:hint="eastAsia" w:ascii="仿宋" w:hAnsi="仿宋" w:eastAsia="仿宋"/>
          <w:b w:val="0"/>
          <w:bCs w:val="0"/>
          <w:color w:val="auto"/>
          <w:highlight w:val="none"/>
          <w:lang w:eastAsia="zh-CN"/>
        </w:rPr>
        <w:t>财政拨款收入</w:t>
      </w:r>
      <w:r>
        <w:rPr>
          <w:rStyle w:val="13"/>
          <w:rFonts w:hint="eastAsia" w:ascii="仿宋" w:hAnsi="仿宋" w:eastAsia="仿宋"/>
          <w:b w:val="0"/>
          <w:bCs w:val="0"/>
          <w:color w:val="auto"/>
          <w:highlight w:val="none"/>
        </w:rPr>
        <w:t>支出决算表</w:t>
      </w:r>
    </w:p>
    <w:p>
      <w:pPr>
        <w:pStyle w:val="4"/>
        <w:rPr>
          <w:rFonts w:ascii="仿宋" w:hAnsi="仿宋" w:eastAsia="仿宋"/>
          <w:color w:val="auto"/>
          <w:highlight w:val="none"/>
        </w:rPr>
      </w:pPr>
      <w:bookmarkStart w:id="112" w:name="_Toc15396630"/>
      <w:r>
        <w:rPr>
          <w:rStyle w:val="13"/>
          <w:rFonts w:hint="eastAsia" w:ascii="仿宋" w:hAnsi="仿宋" w:eastAsia="仿宋"/>
          <w:b w:val="0"/>
          <w:bCs w:val="0"/>
          <w:color w:val="auto"/>
          <w:highlight w:val="none"/>
        </w:rPr>
        <w:t>十二、</w:t>
      </w:r>
      <w:bookmarkEnd w:id="112"/>
      <w:r>
        <w:rPr>
          <w:rStyle w:val="13"/>
          <w:rFonts w:hint="eastAsia" w:ascii="仿宋" w:hAnsi="仿宋" w:eastAsia="仿宋"/>
          <w:b w:val="0"/>
          <w:bCs w:val="0"/>
          <w:color w:val="auto"/>
          <w:highlight w:val="none"/>
          <w:lang w:eastAsia="zh-CN"/>
        </w:rPr>
        <w:t>国有资本经营预算财政拨款支出决算表</w:t>
      </w:r>
    </w:p>
    <w:p>
      <w:pPr>
        <w:pStyle w:val="4"/>
        <w:rPr>
          <w:rFonts w:hint="eastAsia" w:eastAsia="仿宋"/>
          <w:color w:val="auto"/>
          <w:highlight w:val="none"/>
          <w:lang w:eastAsia="zh-CN"/>
        </w:rPr>
      </w:pPr>
      <w:bookmarkStart w:id="113" w:name="_Toc15396631"/>
      <w:r>
        <w:rPr>
          <w:rStyle w:val="13"/>
          <w:rFonts w:hint="eastAsia" w:ascii="仿宋" w:hAnsi="仿宋" w:eastAsia="仿宋"/>
          <w:b w:val="0"/>
          <w:bCs w:val="0"/>
          <w:color w:val="auto"/>
          <w:highlight w:val="none"/>
        </w:rPr>
        <w:t>十三、</w:t>
      </w:r>
      <w:bookmarkEnd w:id="113"/>
      <w:r>
        <w:rPr>
          <w:rStyle w:val="13"/>
          <w:rFonts w:hint="eastAsia" w:ascii="仿宋" w:hAnsi="仿宋" w:eastAsia="仿宋"/>
          <w:b w:val="0"/>
          <w:bCs w:val="0"/>
          <w:color w:val="auto"/>
          <w:highlight w:val="none"/>
          <w:lang w:eastAsia="zh-CN"/>
        </w:rPr>
        <w:t>财政拨款“三公”经费支出决算表</w:t>
      </w:r>
    </w:p>
    <w:p>
      <w:pPr>
        <w:pStyle w:val="2"/>
        <w:rPr>
          <w:rFonts w:hint="default"/>
          <w:lang w:val="en-US" w:eastAsia="zh-CN"/>
        </w:rPr>
      </w:pPr>
    </w:p>
    <w:sectPr>
      <w:footerReference r:id="rId5" w:type="default"/>
      <w:pgSz w:w="11906" w:h="16838"/>
      <w:pgMar w:top="1440" w:right="1746" w:bottom="1440" w:left="1746"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pPr>
        <w:tabs>
          <w:tab w:val="left" w:pos="0"/>
        </w:tabs>
        <w:ind w:left="-10" w:firstLine="0"/>
      </w:pPr>
      <w:rPr>
        <w:rFonts w:hint="eastAsia" w:cs="Times New Roman"/>
      </w:rPr>
    </w:lvl>
  </w:abstractNum>
  <w:abstractNum w:abstractNumId="1">
    <w:nsid w:val="1272550B"/>
    <w:multiLevelType w:val="multilevel"/>
    <w:tmpl w:val="1272550B"/>
    <w:lvl w:ilvl="0" w:tentative="0">
      <w:start w:val="1"/>
      <w:numFmt w:val="japaneseCounting"/>
      <w:lvlText w:val="%1、"/>
      <w:lvlJc w:val="left"/>
      <w:pPr>
        <w:tabs>
          <w:tab w:val="left" w:pos="0"/>
        </w:tabs>
        <w:ind w:left="1360" w:hanging="720"/>
      </w:pPr>
      <w:rPr>
        <w:rFonts w:hint="eastAsia" w:cs="Times New Roman"/>
        <w:b/>
        <w:bCs/>
      </w:rPr>
    </w:lvl>
    <w:lvl w:ilvl="1" w:tentative="0">
      <w:start w:val="1"/>
      <w:numFmt w:val="lowerLetter"/>
      <w:lvlText w:val="%2)"/>
      <w:lvlJc w:val="left"/>
      <w:pPr>
        <w:tabs>
          <w:tab w:val="left" w:pos="0"/>
        </w:tabs>
        <w:ind w:left="1480" w:hanging="420"/>
      </w:pPr>
      <w:rPr>
        <w:rFonts w:cs="Times New Roman"/>
      </w:rPr>
    </w:lvl>
    <w:lvl w:ilvl="2" w:tentative="0">
      <w:start w:val="1"/>
      <w:numFmt w:val="lowerRoman"/>
      <w:lvlText w:val="%3."/>
      <w:lvlJc w:val="right"/>
      <w:pPr>
        <w:tabs>
          <w:tab w:val="left" w:pos="0"/>
        </w:tabs>
        <w:ind w:left="1900" w:hanging="420"/>
      </w:pPr>
      <w:rPr>
        <w:rFonts w:cs="Times New Roman"/>
      </w:rPr>
    </w:lvl>
    <w:lvl w:ilvl="3" w:tentative="0">
      <w:start w:val="1"/>
      <w:numFmt w:val="decimal"/>
      <w:lvlText w:val="%4."/>
      <w:lvlJc w:val="left"/>
      <w:pPr>
        <w:tabs>
          <w:tab w:val="left" w:pos="0"/>
        </w:tabs>
        <w:ind w:left="2320" w:hanging="420"/>
      </w:pPr>
      <w:rPr>
        <w:rFonts w:cs="Times New Roman"/>
      </w:rPr>
    </w:lvl>
    <w:lvl w:ilvl="4" w:tentative="0">
      <w:start w:val="1"/>
      <w:numFmt w:val="lowerLetter"/>
      <w:lvlText w:val="%5)"/>
      <w:lvlJc w:val="left"/>
      <w:pPr>
        <w:tabs>
          <w:tab w:val="left" w:pos="0"/>
        </w:tabs>
        <w:ind w:left="2740" w:hanging="420"/>
      </w:pPr>
      <w:rPr>
        <w:rFonts w:cs="Times New Roman"/>
      </w:rPr>
    </w:lvl>
    <w:lvl w:ilvl="5" w:tentative="0">
      <w:start w:val="1"/>
      <w:numFmt w:val="lowerRoman"/>
      <w:lvlText w:val="%6."/>
      <w:lvlJc w:val="right"/>
      <w:pPr>
        <w:tabs>
          <w:tab w:val="left" w:pos="0"/>
        </w:tabs>
        <w:ind w:left="3160" w:hanging="420"/>
      </w:pPr>
      <w:rPr>
        <w:rFonts w:cs="Times New Roman"/>
      </w:rPr>
    </w:lvl>
    <w:lvl w:ilvl="6" w:tentative="0">
      <w:start w:val="1"/>
      <w:numFmt w:val="decimal"/>
      <w:lvlText w:val="%7."/>
      <w:lvlJc w:val="left"/>
      <w:pPr>
        <w:tabs>
          <w:tab w:val="left" w:pos="0"/>
        </w:tabs>
        <w:ind w:left="3580" w:hanging="420"/>
      </w:pPr>
      <w:rPr>
        <w:rFonts w:cs="Times New Roman"/>
      </w:rPr>
    </w:lvl>
    <w:lvl w:ilvl="7" w:tentative="0">
      <w:start w:val="1"/>
      <w:numFmt w:val="lowerLetter"/>
      <w:lvlText w:val="%8)"/>
      <w:lvlJc w:val="left"/>
      <w:pPr>
        <w:tabs>
          <w:tab w:val="left" w:pos="0"/>
        </w:tabs>
        <w:ind w:left="4000" w:hanging="420"/>
      </w:pPr>
      <w:rPr>
        <w:rFonts w:cs="Times New Roman"/>
      </w:rPr>
    </w:lvl>
    <w:lvl w:ilvl="8" w:tentative="0">
      <w:start w:val="1"/>
      <w:numFmt w:val="lowerRoman"/>
      <w:lvlText w:val="%9."/>
      <w:lvlJc w:val="right"/>
      <w:pPr>
        <w:tabs>
          <w:tab w:val="left" w:pos="0"/>
        </w:tabs>
        <w:ind w:left="4420" w:hanging="420"/>
      </w:pPr>
      <w:rPr>
        <w:rFonts w:cs="Times New Roman"/>
      </w:rPr>
    </w:lvl>
  </w:abstractNum>
  <w:abstractNum w:abstractNumId="2">
    <w:nsid w:val="42D27F6F"/>
    <w:multiLevelType w:val="singleLevel"/>
    <w:tmpl w:val="42D27F6F"/>
    <w:lvl w:ilvl="0" w:tentative="0">
      <w:start w:val="1"/>
      <w:numFmt w:val="chineseCounting"/>
      <w:suff w:val="nothing"/>
      <w:lvlText w:val="（%1）"/>
      <w:lvlJc w:val="left"/>
      <w:rPr>
        <w:rFonts w:hint="eastAsia"/>
      </w:rPr>
    </w:lvl>
  </w:abstractNum>
  <w:abstractNum w:abstractNumId="3">
    <w:nsid w:val="6B981240"/>
    <w:multiLevelType w:val="singleLevel"/>
    <w:tmpl w:val="6B981240"/>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000000"/>
    <w:rsid w:val="01B7200C"/>
    <w:rsid w:val="01BB7D42"/>
    <w:rsid w:val="01C0054A"/>
    <w:rsid w:val="02652A0B"/>
    <w:rsid w:val="03A81BF1"/>
    <w:rsid w:val="045C1F77"/>
    <w:rsid w:val="046E5030"/>
    <w:rsid w:val="04E23328"/>
    <w:rsid w:val="07594547"/>
    <w:rsid w:val="08CD091F"/>
    <w:rsid w:val="0B2A1200"/>
    <w:rsid w:val="0B5F2416"/>
    <w:rsid w:val="0CF15FB4"/>
    <w:rsid w:val="0DC43F13"/>
    <w:rsid w:val="0DDB0823"/>
    <w:rsid w:val="0DFC37BF"/>
    <w:rsid w:val="0EE54CFF"/>
    <w:rsid w:val="105C5D95"/>
    <w:rsid w:val="11910B2A"/>
    <w:rsid w:val="124A1012"/>
    <w:rsid w:val="134D5AD8"/>
    <w:rsid w:val="15522F42"/>
    <w:rsid w:val="16186AD7"/>
    <w:rsid w:val="16297173"/>
    <w:rsid w:val="172E3B2C"/>
    <w:rsid w:val="187F1162"/>
    <w:rsid w:val="18BB59F1"/>
    <w:rsid w:val="193176BB"/>
    <w:rsid w:val="1A5233EC"/>
    <w:rsid w:val="1A5D54D3"/>
    <w:rsid w:val="1BA62EAA"/>
    <w:rsid w:val="1D495458"/>
    <w:rsid w:val="1D6B7F07"/>
    <w:rsid w:val="1DAB49DC"/>
    <w:rsid w:val="1E243B85"/>
    <w:rsid w:val="1EBB0DB0"/>
    <w:rsid w:val="225E2926"/>
    <w:rsid w:val="22904B28"/>
    <w:rsid w:val="259B246D"/>
    <w:rsid w:val="27962AAA"/>
    <w:rsid w:val="29785438"/>
    <w:rsid w:val="297A7E50"/>
    <w:rsid w:val="2AE349C1"/>
    <w:rsid w:val="2B2067D5"/>
    <w:rsid w:val="2B391645"/>
    <w:rsid w:val="2D890B6C"/>
    <w:rsid w:val="2E310ACD"/>
    <w:rsid w:val="2E4A65CB"/>
    <w:rsid w:val="2FB21598"/>
    <w:rsid w:val="30B2226A"/>
    <w:rsid w:val="30B253C2"/>
    <w:rsid w:val="34155CA0"/>
    <w:rsid w:val="3467633D"/>
    <w:rsid w:val="36AF6C5F"/>
    <w:rsid w:val="37D21D24"/>
    <w:rsid w:val="396B31FC"/>
    <w:rsid w:val="3B9052B1"/>
    <w:rsid w:val="3BF70699"/>
    <w:rsid w:val="3CC50F8A"/>
    <w:rsid w:val="3D1C6142"/>
    <w:rsid w:val="3E353B43"/>
    <w:rsid w:val="414F176A"/>
    <w:rsid w:val="415A2A92"/>
    <w:rsid w:val="42401A1F"/>
    <w:rsid w:val="429531AD"/>
    <w:rsid w:val="429E4757"/>
    <w:rsid w:val="43525542"/>
    <w:rsid w:val="44095C00"/>
    <w:rsid w:val="441628C5"/>
    <w:rsid w:val="45000716"/>
    <w:rsid w:val="470C660B"/>
    <w:rsid w:val="4BAD7C0A"/>
    <w:rsid w:val="4D2F6E17"/>
    <w:rsid w:val="51545E40"/>
    <w:rsid w:val="51AE7DE7"/>
    <w:rsid w:val="52594397"/>
    <w:rsid w:val="52FB705C"/>
    <w:rsid w:val="54585977"/>
    <w:rsid w:val="55C93441"/>
    <w:rsid w:val="560E6A79"/>
    <w:rsid w:val="56FD6278"/>
    <w:rsid w:val="59E01055"/>
    <w:rsid w:val="5B2003EF"/>
    <w:rsid w:val="5CDC00F3"/>
    <w:rsid w:val="61B33ECC"/>
    <w:rsid w:val="63602910"/>
    <w:rsid w:val="650F7CFD"/>
    <w:rsid w:val="68F76033"/>
    <w:rsid w:val="699937E6"/>
    <w:rsid w:val="6A5FD2D4"/>
    <w:rsid w:val="6B9A66F1"/>
    <w:rsid w:val="6CCF3F3C"/>
    <w:rsid w:val="6D931554"/>
    <w:rsid w:val="6F16574D"/>
    <w:rsid w:val="6F180B5B"/>
    <w:rsid w:val="6F5B2015"/>
    <w:rsid w:val="71404E34"/>
    <w:rsid w:val="71776859"/>
    <w:rsid w:val="719F036D"/>
    <w:rsid w:val="72710B18"/>
    <w:rsid w:val="738661CC"/>
    <w:rsid w:val="75F75951"/>
    <w:rsid w:val="77471FC0"/>
    <w:rsid w:val="79324376"/>
    <w:rsid w:val="799D05BD"/>
    <w:rsid w:val="7ABE4C8F"/>
    <w:rsid w:val="7AEF2658"/>
    <w:rsid w:val="7B261B0F"/>
    <w:rsid w:val="7CB7520E"/>
    <w:rsid w:val="7D5E739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1"/>
    <w:basedOn w:val="1"/>
    <w:next w:val="1"/>
    <w:link w:val="12"/>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13"/>
    <w:qFormat/>
    <w:uiPriority w:val="0"/>
    <w:pPr>
      <w:keepNext/>
      <w:keepLines/>
      <w:widowControl w:val="0"/>
      <w:spacing w:before="260" w:after="260" w:line="415"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30" w:beforeLines="30"/>
    </w:pPr>
    <w:rPr>
      <w:rFonts w:ascii="仿宋_GB2312" w:eastAsia="仿宋_GB2312"/>
      <w:kern w:val="0"/>
      <w:sz w:val="24"/>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pPr>
      <w:tabs>
        <w:tab w:val="right" w:leader="dot" w:pos="8296"/>
      </w:tabs>
      <w:spacing w:before="93"/>
      <w:jc w:val="center"/>
    </w:pPr>
    <w:rPr>
      <w:rFonts w:ascii="仿宋" w:eastAsia="仿宋"/>
      <w:sz w:val="28"/>
      <w:szCs w:val="28"/>
    </w:rPr>
  </w:style>
  <w:style w:type="paragraph" w:styleId="8">
    <w:name w:val="toc 2"/>
    <w:basedOn w:val="1"/>
    <w:next w:val="1"/>
    <w:qFormat/>
    <w:uiPriority w:val="0"/>
    <w:pPr>
      <w:ind w:left="420" w:leftChars="200"/>
    </w:pPr>
  </w:style>
  <w:style w:type="character" w:styleId="11">
    <w:name w:val="Strong"/>
    <w:basedOn w:val="10"/>
    <w:qFormat/>
    <w:uiPriority w:val="0"/>
    <w:rPr>
      <w:rFonts w:cs="Times New Roman"/>
      <w:b/>
      <w:lang w:bidi="ar-SA"/>
    </w:rPr>
  </w:style>
  <w:style w:type="character" w:customStyle="1" w:styleId="12">
    <w:name w:val="标题 1 Char"/>
    <w:basedOn w:val="10"/>
    <w:link w:val="3"/>
    <w:qFormat/>
    <w:uiPriority w:val="0"/>
    <w:rPr>
      <w:b/>
      <w:bCs/>
      <w:kern w:val="44"/>
      <w:sz w:val="44"/>
      <w:szCs w:val="44"/>
    </w:rPr>
  </w:style>
  <w:style w:type="character" w:customStyle="1" w:styleId="13">
    <w:name w:val="标题 2 Char"/>
    <w:basedOn w:val="10"/>
    <w:link w:val="4"/>
    <w:qFormat/>
    <w:uiPriority w:val="0"/>
    <w:rPr>
      <w:rFonts w:ascii="Cambria" w:hAnsi="Cambria"/>
      <w:b/>
      <w:bCs/>
      <w:sz w:val="32"/>
      <w:szCs w:val="32"/>
    </w:rPr>
  </w:style>
  <w:style w:type="paragraph" w:customStyle="1" w:styleId="14">
    <w:name w:val="List Paragraph"/>
    <w:basedOn w:val="1"/>
    <w:qFormat/>
    <w:uiPriority w:val="0"/>
    <w:pPr>
      <w:ind w:firstLine="200" w:firstLineChars="200"/>
    </w:pPr>
  </w:style>
  <w:style w:type="paragraph" w:customStyle="1" w:styleId="15">
    <w:name w:val="样式 行距: 固定值 28.9 磅"/>
    <w:basedOn w:val="1"/>
    <w:qFormat/>
    <w:uiPriority w:val="0"/>
    <w:pPr>
      <w:spacing w:line="578" w:lineRule="exact"/>
    </w:pPr>
    <w:rPr>
      <w:rFonts w:cs="宋体"/>
      <w:szCs w:val="20"/>
      <w:lang w:bidi="ar-SA"/>
    </w:rPr>
  </w:style>
  <w:style w:type="paragraph" w:customStyle="1" w:styleId="16">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36130;%20%20%20%20&#21153;\&#30011;&#22270;&#34920;&#26684;%20-%20&#21103;&#2641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36130;%20%20%20%20&#21153;\&#30011;&#22270;&#34920;&#26684;%20-%20&#21103;&#26412;.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F:\&#36130;%20%20%20%20&#21153;\&#30011;&#22270;&#34920;&#26684;%20-%20&#21103;&#26412;.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F:\&#36130;%20%20%20%20&#21153;\&#30011;&#22270;&#34920;&#26684;%20-%20&#21103;&#26412;.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F:\&#36130;%20%20%20%20&#21153;\&#30011;&#22270;&#34920;&#26684;%20-%20&#21103;&#26412;.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F:\&#36130;%20%20%20%20&#21153;\&#30011;&#22270;&#34920;&#26684;%20-%20&#21103;&#264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'[画图表格 - 副本.xlsx]Sheet1'!$B$2</c:f>
              <c:strCache>
                <c:ptCount val="1"/>
                <c:pt idx="0">
                  <c:v>收、支决算总计变动情况</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副本.xlsx]Sheet1'!$A$3:$A$4</c:f>
              <c:strCache>
                <c:ptCount val="2"/>
                <c:pt idx="0">
                  <c:v>2021年</c:v>
                </c:pt>
                <c:pt idx="1">
                  <c:v>2022年</c:v>
                </c:pt>
              </c:strCache>
            </c:strRef>
          </c:cat>
          <c:val>
            <c:numRef>
              <c:f>'[画图表格 - 副本.xlsx]Sheet1'!$B$3:$B$4</c:f>
              <c:numCache>
                <c:formatCode>General</c:formatCode>
                <c:ptCount val="2"/>
                <c:pt idx="0">
                  <c:v>125.68</c:v>
                </c:pt>
                <c:pt idx="1">
                  <c:v>123.6</c:v>
                </c:pt>
              </c:numCache>
            </c:numRef>
          </c:val>
        </c:ser>
        <c:dLbls>
          <c:showLegendKey val="0"/>
          <c:showVal val="1"/>
          <c:showCatName val="0"/>
          <c:showSerName val="0"/>
          <c:showPercent val="0"/>
          <c:showBubbleSize val="0"/>
        </c:dLbls>
        <c:gapWidth val="150"/>
        <c:overlap val="0"/>
        <c:axId val="864634156"/>
        <c:axId val="248170648"/>
      </c:barChart>
      <c:catAx>
        <c:axId val="86463415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8170648"/>
        <c:crosses val="autoZero"/>
        <c:auto val="1"/>
        <c:lblAlgn val="ctr"/>
        <c:lblOffset val="100"/>
        <c:noMultiLvlLbl val="0"/>
      </c:catAx>
      <c:valAx>
        <c:axId val="2481706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46341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收入决算结构</a:t>
            </a:r>
            <a:endParaRPr altLang="en-US"/>
          </a:p>
        </c:rich>
      </c:tx>
      <c:layout/>
      <c:overlay val="0"/>
      <c:spPr>
        <a:noFill/>
        <a:ln>
          <a:noFill/>
        </a:ln>
        <a:effectLst/>
      </c:spPr>
    </c:title>
    <c:autoTitleDeleted val="0"/>
    <c:plotArea>
      <c:layout>
        <c:manualLayout>
          <c:layoutTarget val="inner"/>
          <c:xMode val="edge"/>
          <c:yMode val="edge"/>
          <c:x val="0.342444444444444"/>
          <c:y val="0.153958333333333"/>
          <c:w val="0.352611111111111"/>
          <c:h val="0.587685185185185"/>
        </c:manualLayout>
      </c:layout>
      <c:pieChart>
        <c:varyColors val="1"/>
        <c:ser>
          <c:idx val="0"/>
          <c:order val="0"/>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副本.xlsx]Sheet1'!$A$21</c:f>
              <c:strCache>
                <c:ptCount val="1"/>
                <c:pt idx="0">
                  <c:v>一般公共预算财政拨款收入</c:v>
                </c:pt>
              </c:strCache>
            </c:strRef>
          </c:cat>
          <c:val>
            <c:numRef>
              <c:f>'[画图表格 - 副本.xlsx]Sheet1'!$B$21</c:f>
              <c:numCache>
                <c:formatCode>#,##0.00</c:formatCode>
                <c:ptCount val="1"/>
                <c:pt idx="0">
                  <c:v>119.87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支出决算结构</a:t>
            </a:r>
            <a:endParaRPr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副本.xlsx]Sheet1'!$A$34:$B$34</c:f>
              <c:strCache>
                <c:ptCount val="2"/>
                <c:pt idx="0">
                  <c:v>基本支出</c:v>
                </c:pt>
                <c:pt idx="1">
                  <c:v>项目支出</c:v>
                </c:pt>
              </c:strCache>
            </c:strRef>
          </c:cat>
          <c:val>
            <c:numRef>
              <c:f>'[画图表格 - 副本.xlsx]Sheet1'!$A$35:$B$35</c:f>
              <c:numCache>
                <c:formatCode>#,##0.00</c:formatCode>
                <c:ptCount val="2"/>
                <c:pt idx="0">
                  <c:v>118.5</c:v>
                </c:pt>
                <c:pt idx="1">
                  <c:v>3.35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'[画图表格 - 副本.xlsx]Sheet1'!$B$52</c:f>
              <c:strCache>
                <c:ptCount val="1"/>
                <c:pt idx="0">
                  <c:v>财政拨款收、支决算总计变动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副本.xlsx]Sheet1'!$A$53:$A$54</c:f>
              <c:strCache>
                <c:ptCount val="2"/>
                <c:pt idx="0">
                  <c:v>2021年</c:v>
                </c:pt>
                <c:pt idx="1">
                  <c:v>2022年</c:v>
                </c:pt>
              </c:strCache>
            </c:strRef>
          </c:cat>
          <c:val>
            <c:numRef>
              <c:f>'[画图表格 - 副本.xlsx]Sheet1'!$B$53:$B$54</c:f>
              <c:numCache>
                <c:formatCode>#,##0.00</c:formatCode>
                <c:ptCount val="2"/>
                <c:pt idx="0">
                  <c:v>125.68</c:v>
                </c:pt>
                <c:pt idx="1">
                  <c:v>123.6</c:v>
                </c:pt>
              </c:numCache>
            </c:numRef>
          </c:val>
        </c:ser>
        <c:dLbls>
          <c:showLegendKey val="0"/>
          <c:showVal val="1"/>
          <c:showCatName val="0"/>
          <c:showSerName val="0"/>
          <c:showPercent val="0"/>
          <c:showBubbleSize val="0"/>
        </c:dLbls>
        <c:gapWidth val="150"/>
        <c:overlap val="0"/>
        <c:axId val="603104552"/>
        <c:axId val="427688555"/>
      </c:barChart>
      <c:catAx>
        <c:axId val="603104552"/>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7688555"/>
        <c:crosses val="autoZero"/>
        <c:auto val="1"/>
        <c:lblAlgn val="ctr"/>
        <c:lblOffset val="100"/>
        <c:noMultiLvlLbl val="0"/>
      </c:catAx>
      <c:valAx>
        <c:axId val="42768855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31045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barChart>
        <c:barDir val="col"/>
        <c:grouping val="clustered"/>
        <c:varyColors val="0"/>
        <c:ser>
          <c:idx val="0"/>
          <c:order val="0"/>
          <c:tx>
            <c:strRef>
              <c:f>'[画图表格 - 副本.xlsx]Sheet1'!$B$59</c:f>
              <c:strCache>
                <c:ptCount val="1"/>
                <c:pt idx="0">
                  <c:v>一般公共预算财政拨款支出</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'[画图表格 - 副本.xlsx]Sheet1'!$A$60:$A$61</c:f>
              <c:strCache>
                <c:ptCount val="2"/>
                <c:pt idx="0">
                  <c:v>2021年</c:v>
                </c:pt>
                <c:pt idx="1">
                  <c:v>2022年</c:v>
                </c:pt>
              </c:strCache>
            </c:strRef>
          </c:cat>
          <c:val>
            <c:numRef>
              <c:f>'[画图表格 - 副本.xlsx]Sheet1'!$B$60:$B$61</c:f>
              <c:numCache>
                <c:formatCode>#,##0.00</c:formatCode>
                <c:ptCount val="2"/>
                <c:pt idx="0">
                  <c:v>111.57</c:v>
                </c:pt>
                <c:pt idx="1">
                  <c:v>121.85</c:v>
                </c:pt>
              </c:numCache>
            </c:numRef>
          </c:val>
        </c:ser>
        <c:dLbls>
          <c:showLegendKey val="0"/>
          <c:showVal val="1"/>
          <c:showCatName val="0"/>
          <c:showSerName val="0"/>
          <c:showPercent val="0"/>
          <c:showBubbleSize val="0"/>
        </c:dLbls>
        <c:gapWidth val="150"/>
        <c:overlap val="0"/>
        <c:axId val="295767290"/>
        <c:axId val="565858274"/>
      </c:barChart>
      <c:catAx>
        <c:axId val="29576729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65858274"/>
        <c:crosses val="autoZero"/>
        <c:auto val="1"/>
        <c:lblAlgn val="ctr"/>
        <c:lblOffset val="100"/>
        <c:noMultiLvlLbl val="0"/>
      </c:catAx>
      <c:valAx>
        <c:axId val="56585827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576729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a:t>
            </a:r>
          </a:p>
        </c:rich>
      </c:tx>
      <c:layout>
        <c:manualLayout>
          <c:xMode val="edge"/>
          <c:yMode val="edge"/>
          <c:x val="0.0501537293532413"/>
          <c:y val="0.00819896146488112"/>
        </c:manualLayout>
      </c:layout>
      <c:overlay val="0"/>
      <c:spPr>
        <a:noFill/>
        <a:ln>
          <a:noFill/>
        </a:ln>
        <a:effectLst/>
      </c:spPr>
    </c:title>
    <c:autoTitleDeleted val="0"/>
    <c:plotArea>
      <c:layout/>
      <c:pieChart>
        <c:varyColors val="1"/>
        <c:ser>
          <c:idx val="0"/>
          <c:order val="0"/>
          <c:tx>
            <c:strRef>
              <c:f>'[画图表格 - 副本.xlsx]Sheet1'!$A$69</c:f>
              <c:strCache>
                <c:ptCount val="1"/>
                <c:pt idx="0">
                  <c:v>2022年</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0899516976593459"/>
                  <c:y val="0.020052657615335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44160102660046"/>
                  <c:y val="0.011551624912175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32028172952583"/>
                  <c:y val="0.081320996899873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'[画图表格 - 副本.xlsx]Sheet1'!$B$67:$F$68</c:f>
              <c:multiLvlStrCache>
                <c:ptCount val="5"/>
                <c:lvl>
                  <c:pt idx="0">
                    <c:v>社会保障和就业（类）支出</c:v>
                  </c:pt>
                  <c:pt idx="1">
                    <c:v>卫生健康（类）支出</c:v>
                  </c:pt>
                  <c:pt idx="2">
                    <c:v>住房保障（类）支出</c:v>
                  </c:pt>
                </c:lvl>
                <c:lvl/>
              </c:multiLvlStrCache>
            </c:multiLvlStrRef>
          </c:cat>
          <c:val>
            <c:numRef>
              <c:f>'[画图表格 - 副本.xlsx]Sheet1'!$B$69:$D$69</c:f>
              <c:numCache>
                <c:formatCode>General</c:formatCode>
                <c:ptCount val="3"/>
                <c:pt idx="0">
                  <c:v>7.64</c:v>
                </c:pt>
                <c:pt idx="1" c:formatCode="#,##0.00">
                  <c:v>105.79</c:v>
                </c:pt>
                <c:pt idx="2" c:formatCode="#,##0.00">
                  <c:v>8.42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7</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2023-10-08T15:15:00Z</dcterms:created>
  <dc:creator>admin123</dc:creator>
  <cp:lastModifiedBy>鲁西西</cp:lastModifiedBy>
  <cp:lastPrinted>2023-10-12T16:39:00Z</cp:lastPrinted>
  <dcterms:modified xsi:type="dcterms:W3CDTF">2023-10-18T07:36:32Z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6B0AC15F703F4D409C43F9DEAAAA171C_12</vt:lpwstr>
  </property>
</Properties>
</file>