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bookmarkStart w:id="104" w:name="_GoBack"/>
      <w:bookmarkEnd w:id="104"/>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9"/>
        <w:rPr>
          <w:rFonts w:hint="eastAsia" w:ascii="方正小标宋简体" w:hAnsi="方正小标宋简体" w:eastAsia="方正小标宋简体" w:cs="方正小标宋简体"/>
          <w:color w:val="auto"/>
          <w:sz w:val="72"/>
          <w:szCs w:val="72"/>
          <w:highlight w:val="none"/>
        </w:rPr>
      </w:pPr>
      <w:bookmarkStart w:id="1" w:name="_Toc15378441"/>
      <w:bookmarkStart w:id="2" w:name="_Toc15377193"/>
      <w:bookmarkStart w:id="3" w:name="_Toc15396597"/>
      <w:bookmarkStart w:id="4" w:name="_Toc15377425"/>
      <w:bookmarkStart w:id="5" w:name="_Toc15396475"/>
    </w:p>
    <w:p>
      <w:pPr>
        <w:keepNext w:val="0"/>
        <w:keepLines w:val="0"/>
        <w:pageBreakBefore w:val="0"/>
        <w:widowControl w:val="0"/>
        <w:kinsoku/>
        <w:wordWrap/>
        <w:overflowPunct/>
        <w:topLinePunct w:val="0"/>
        <w:autoSpaceDE/>
        <w:autoSpaceDN/>
        <w:bidi w:val="0"/>
        <w:adjustRightInd w:val="0"/>
        <w:snapToGrid w:val="0"/>
        <w:spacing w:line="1200" w:lineRule="exact"/>
        <w:ind w:firstLine="0" w:firstLineChars="0"/>
        <w:jc w:val="center"/>
        <w:textAlignment w:val="auto"/>
        <w:outlineLvl w:val="0"/>
        <w:rPr>
          <w:rFonts w:hint="eastAsia" w:ascii="方正小标宋简体" w:hAnsi="方正小标宋简体" w:eastAsia="方正小标宋简体" w:cs="方正小标宋简体"/>
          <w:color w:val="auto"/>
          <w:sz w:val="72"/>
          <w:szCs w:val="72"/>
          <w:highlight w:val="none"/>
        </w:rPr>
      </w:pPr>
      <w:bookmarkStart w:id="6" w:name="_Toc1527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keepNext w:val="0"/>
        <w:keepLines w:val="0"/>
        <w:pageBreakBefore w:val="0"/>
        <w:widowControl w:val="0"/>
        <w:kinsoku/>
        <w:wordWrap/>
        <w:overflowPunct/>
        <w:topLinePunct w:val="0"/>
        <w:autoSpaceDE/>
        <w:autoSpaceDN/>
        <w:bidi w:val="0"/>
        <w:adjustRightInd w:val="0"/>
        <w:snapToGrid w:val="0"/>
        <w:spacing w:line="1200" w:lineRule="exact"/>
        <w:ind w:firstLine="0" w:firstLineChars="0"/>
        <w:jc w:val="center"/>
        <w:textAlignment w:val="auto"/>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77426"/>
      <w:bookmarkStart w:id="8" w:name="_Toc15396476"/>
      <w:bookmarkStart w:id="9" w:name="_Toc15377194"/>
      <w:bookmarkStart w:id="10" w:name="_Toc15378442"/>
      <w:bookmarkStart w:id="11" w:name="_Toc15396598"/>
      <w:bookmarkStart w:id="12" w:name="_Toc25141"/>
      <w:r>
        <w:rPr>
          <w:rFonts w:hint="eastAsia" w:ascii="方正小标宋简体" w:hAnsi="方正小标宋简体" w:eastAsia="方正小标宋简体" w:cs="方正小标宋简体"/>
          <w:color w:val="auto"/>
          <w:sz w:val="72"/>
          <w:szCs w:val="72"/>
          <w:highlight w:val="none"/>
          <w:lang w:eastAsia="zh-CN"/>
        </w:rPr>
        <w:t>广元市</w:t>
      </w:r>
      <w:bookmarkEnd w:id="0"/>
      <w:bookmarkEnd w:id="7"/>
      <w:bookmarkEnd w:id="8"/>
      <w:bookmarkEnd w:id="9"/>
      <w:bookmarkEnd w:id="10"/>
      <w:bookmarkEnd w:id="11"/>
      <w:r>
        <w:rPr>
          <w:rFonts w:hint="eastAsia" w:ascii="方正小标宋简体" w:hAnsi="方正小标宋简体" w:eastAsia="方正小标宋简体" w:cs="方正小标宋简体"/>
          <w:color w:val="auto"/>
          <w:sz w:val="72"/>
          <w:szCs w:val="72"/>
          <w:highlight w:val="none"/>
          <w:lang w:eastAsia="zh-CN"/>
        </w:rPr>
        <w:t>退役军人服务中心</w:t>
      </w:r>
      <w:bookmarkEnd w:id="12"/>
    </w:p>
    <w:p>
      <w:pPr>
        <w:pStyle w:val="2"/>
        <w:keepNext w:val="0"/>
        <w:keepLines w:val="0"/>
        <w:pageBreakBefore w:val="0"/>
        <w:widowControl w:val="0"/>
        <w:kinsoku/>
        <w:wordWrap/>
        <w:overflowPunct/>
        <w:topLinePunct w:val="0"/>
        <w:autoSpaceDE/>
        <w:autoSpaceDN/>
        <w:bidi w:val="0"/>
        <w:spacing w:beforeLines="0" w:line="1200" w:lineRule="exact"/>
        <w:ind w:firstLine="0" w:firstLineChars="0"/>
        <w:jc w:val="center"/>
        <w:textAlignment w:val="auto"/>
      </w:pPr>
      <w:r>
        <w:rPr>
          <w:rFonts w:hint="eastAsia" w:ascii="方正小标宋简体" w:hAnsi="方正小标宋简体" w:eastAsia="方正小标宋简体" w:cs="方正小标宋简体"/>
          <w:color w:val="auto"/>
          <w:sz w:val="72"/>
          <w:szCs w:val="72"/>
          <w:highlight w:val="none"/>
          <w:lang w:eastAsia="zh-CN"/>
        </w:rPr>
        <w:t>决算</w:t>
      </w:r>
    </w:p>
    <w:p>
      <w:pPr>
        <w:widowControl/>
        <w:jc w:val="center"/>
        <w:rPr>
          <w:rFonts w:hint="eastAsia" w:ascii="黑体" w:hAnsi="黑体" w:eastAsia="黑体"/>
          <w:color w:val="auto"/>
          <w:sz w:val="32"/>
          <w:szCs w:val="32"/>
          <w:highlight w:val="none"/>
        </w:rPr>
        <w:sectPr>
          <w:headerReference r:id="rId3" w:type="default"/>
          <w:pgSz w:w="11906" w:h="16838"/>
          <w:pgMar w:top="1701" w:right="1474" w:bottom="1701" w:left="1587" w:header="851" w:footer="1559" w:gutter="0"/>
          <w:pgNumType w:fmt="numberInDash" w:start="1"/>
          <w:cols w:space="0" w:num="1"/>
          <w:titlePg/>
          <w:rtlGutter w:val="0"/>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32"/>
          <w:szCs w:val="32"/>
          <w:highlight w:val="none"/>
        </w:rPr>
        <w:t>目录</w:t>
      </w:r>
    </w:p>
    <w:p>
      <w:pPr>
        <w:ind w:firstLine="1920" w:firstLineChars="600"/>
        <w:jc w:val="both"/>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公开时间：20</w:t>
      </w:r>
      <w:r>
        <w:rPr>
          <w:rFonts w:hint="eastAsia" w:ascii="楷体_GB2312" w:hAnsi="楷体_GB2312" w:eastAsia="楷体_GB2312" w:cs="楷体_GB2312"/>
          <w:color w:val="000000"/>
          <w:sz w:val="32"/>
          <w:szCs w:val="32"/>
          <w:lang w:val="en-US" w:eastAsia="zh-CN"/>
        </w:rPr>
        <w:t>23</w:t>
      </w:r>
      <w:r>
        <w:rPr>
          <w:rFonts w:hint="eastAsia" w:ascii="楷体_GB2312" w:hAnsi="楷体_GB2312" w:eastAsia="楷体_GB2312" w:cs="楷体_GB2312"/>
          <w:color w:val="000000"/>
          <w:sz w:val="32"/>
          <w:szCs w:val="32"/>
        </w:rPr>
        <w:t>年</w:t>
      </w:r>
      <w:r>
        <w:rPr>
          <w:rFonts w:hint="eastAsia" w:ascii="楷体_GB2312" w:hAnsi="楷体_GB2312" w:eastAsia="楷体_GB2312" w:cs="楷体_GB2312"/>
          <w:color w:val="000000"/>
          <w:sz w:val="32"/>
          <w:szCs w:val="32"/>
          <w:lang w:val="en-US" w:eastAsia="zh-CN"/>
        </w:rPr>
        <w:t>10</w:t>
      </w:r>
      <w:r>
        <w:rPr>
          <w:rFonts w:hint="eastAsia" w:ascii="楷体_GB2312" w:hAnsi="楷体_GB2312" w:eastAsia="楷体_GB2312" w:cs="楷体_GB2312"/>
          <w:color w:val="000000"/>
          <w:sz w:val="32"/>
          <w:szCs w:val="32"/>
        </w:rPr>
        <w:t>月</w:t>
      </w:r>
      <w:r>
        <w:rPr>
          <w:rFonts w:hint="eastAsia" w:ascii="楷体_GB2312" w:hAnsi="楷体_GB2312" w:eastAsia="楷体_GB2312" w:cs="楷体_GB2312"/>
          <w:color w:val="000000"/>
          <w:sz w:val="32"/>
          <w:szCs w:val="32"/>
          <w:lang w:val="en-US" w:eastAsia="zh-CN"/>
        </w:rPr>
        <w:t>17</w:t>
      </w:r>
      <w:r>
        <w:rPr>
          <w:rFonts w:hint="eastAsia" w:ascii="楷体_GB2312" w:hAnsi="楷体_GB2312" w:eastAsia="楷体_GB2312" w:cs="楷体_GB2312"/>
          <w:color w:val="000000"/>
          <w:sz w:val="32"/>
          <w:szCs w:val="32"/>
        </w:rPr>
        <w:t>日</w:t>
      </w:r>
    </w:p>
    <w:sdt>
      <w:sdtPr>
        <w:rPr>
          <w:rFonts w:ascii="宋体" w:hAnsi="宋体" w:eastAsia="宋体" w:cs="Times New Roman"/>
          <w:kern w:val="2"/>
          <w:sz w:val="21"/>
          <w:szCs w:val="24"/>
          <w:lang w:val="en-US" w:eastAsia="zh-CN" w:bidi="ar-SA"/>
        </w:rPr>
        <w:id w:val="147481880"/>
        <w15:color w:val="DBDBDB"/>
        <w:docPartObj>
          <w:docPartGallery w:val="Table of Contents"/>
          <w:docPartUnique/>
        </w:docPartObj>
      </w:sdtPr>
      <w:sdtEndPr>
        <w:rPr>
          <w:rFonts w:hint="eastAsia" w:ascii="仿宋_GB2312" w:hAnsi="仿宋_GB2312" w:eastAsia="仿宋_GB2312" w:cs="仿宋_GB2312"/>
          <w:b/>
          <w:color w:val="000000"/>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TOC \o "1-2" \h \u </w:instrText>
          </w:r>
          <w:r>
            <w:rPr>
              <w:rFonts w:hint="eastAsia" w:ascii="仿宋_GB2312" w:hAnsi="仿宋_GB2312" w:eastAsia="仿宋_GB2312" w:cs="仿宋_GB2312"/>
              <w:color w:val="000000"/>
              <w:sz w:val="32"/>
              <w:szCs w:val="32"/>
            </w:rPr>
            <w:fldChar w:fldCharType="separate"/>
          </w:r>
        </w:p>
        <w:p>
          <w:pPr>
            <w:pStyle w:val="31"/>
            <w:tabs>
              <w:tab w:val="right" w:leader="dot" w:pos="8845"/>
            </w:tabs>
            <w:rPr>
              <w:b/>
            </w:rPr>
          </w:pPr>
          <w:r>
            <w:rPr>
              <w:rFonts w:hint="eastAsia" w:ascii="仿宋_GB2312" w:hAnsi="仿宋_GB2312" w:eastAsia="仿宋_GB2312" w:cs="仿宋_GB2312"/>
              <w:b/>
              <w:color w:val="000000"/>
              <w:szCs w:val="32"/>
            </w:rPr>
            <w:fldChar w:fldCharType="begin"/>
          </w:r>
          <w:r>
            <w:rPr>
              <w:rFonts w:hint="eastAsia" w:ascii="仿宋_GB2312" w:hAnsi="仿宋_GB2312" w:eastAsia="仿宋_GB2312" w:cs="仿宋_GB2312"/>
              <w:b/>
              <w:szCs w:val="32"/>
            </w:rPr>
            <w:instrText xml:space="preserve"> HYPERLINK \l _Toc29402 </w:instrText>
          </w:r>
          <w:r>
            <w:rPr>
              <w:rFonts w:hint="eastAsia" w:ascii="仿宋_GB2312" w:hAnsi="仿宋_GB2312" w:eastAsia="仿宋_GB2312" w:cs="仿宋_GB2312"/>
              <w:b/>
              <w:szCs w:val="32"/>
            </w:rPr>
            <w:fldChar w:fldCharType="separate"/>
          </w:r>
          <w:r>
            <w:rPr>
              <w:rFonts w:hint="eastAsia" w:ascii="方正小标宋简体" w:hAnsi="方正小标宋简体" w:eastAsia="方正小标宋简体" w:cs="方正小标宋简体"/>
              <w:b/>
              <w:szCs w:val="44"/>
              <w:highlight w:val="none"/>
            </w:rPr>
            <w:t>第一部分</w:t>
          </w:r>
          <w:r>
            <w:rPr>
              <w:rFonts w:hint="eastAsia" w:ascii="方正小标宋简体" w:hAnsi="方正小标宋简体" w:eastAsia="方正小标宋简体" w:cs="方正小标宋简体"/>
              <w:b/>
              <w:szCs w:val="44"/>
              <w:highlight w:val="none"/>
              <w:lang w:eastAsia="zh-CN"/>
            </w:rPr>
            <w:t>单位</w:t>
          </w:r>
          <w:r>
            <w:rPr>
              <w:rFonts w:hint="eastAsia" w:ascii="方正小标宋简体" w:hAnsi="方正小标宋简体" w:eastAsia="方正小标宋简体" w:cs="方正小标宋简体"/>
              <w:b/>
              <w:bCs w:val="0"/>
              <w:szCs w:val="44"/>
              <w:highlight w:val="none"/>
            </w:rPr>
            <w:t>概况</w:t>
          </w:r>
          <w:r>
            <w:rPr>
              <w:b/>
            </w:rPr>
            <w:tab/>
          </w:r>
          <w:r>
            <w:rPr>
              <w:b/>
            </w:rPr>
            <w:fldChar w:fldCharType="begin"/>
          </w:r>
          <w:r>
            <w:rPr>
              <w:b/>
            </w:rPr>
            <w:instrText xml:space="preserve"> PAGEREF _Toc29402 \h </w:instrText>
          </w:r>
          <w:r>
            <w:rPr>
              <w:b/>
            </w:rPr>
            <w:fldChar w:fldCharType="separate"/>
          </w:r>
          <w:r>
            <w:rPr>
              <w:b/>
            </w:rPr>
            <w:t>-1-</w:t>
          </w:r>
          <w:r>
            <w:rPr>
              <w:b/>
            </w:rPr>
            <w:fldChar w:fldCharType="end"/>
          </w:r>
          <w:r>
            <w:rPr>
              <w:rFonts w:hint="eastAsia" w:ascii="仿宋_GB2312" w:hAnsi="仿宋_GB2312" w:eastAsia="仿宋_GB2312" w:cs="仿宋_GB2312"/>
              <w:b/>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_Toc30321 </w:instrText>
          </w:r>
          <w:r>
            <w:rPr>
              <w:rFonts w:hint="eastAsia" w:ascii="仿宋_GB2312" w:hAnsi="仿宋_GB2312" w:eastAsia="仿宋_GB2312" w:cs="仿宋_GB2312"/>
              <w:szCs w:val="32"/>
            </w:rPr>
            <w:fldChar w:fldCharType="separate"/>
          </w:r>
          <w:r>
            <w:rPr>
              <w:rFonts w:hint="eastAsia" w:ascii="黑体" w:hAnsi="黑体" w:eastAsia="黑体" w:cs="黑体"/>
              <w:bCs w:val="0"/>
              <w:highlight w:val="none"/>
              <w:lang w:eastAsia="zh-CN"/>
            </w:rPr>
            <w:t>一、主要职责</w:t>
          </w:r>
          <w:r>
            <w:tab/>
          </w:r>
          <w:r>
            <w:fldChar w:fldCharType="begin"/>
          </w:r>
          <w:r>
            <w:instrText xml:space="preserve"> PAGEREF _Toc30321 \h </w:instrText>
          </w:r>
          <w:r>
            <w:fldChar w:fldCharType="separate"/>
          </w:r>
          <w:r>
            <w:t>-1-</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_Toc10591 </w:instrText>
          </w:r>
          <w:r>
            <w:rPr>
              <w:rFonts w:hint="eastAsia" w:ascii="仿宋_GB2312" w:hAnsi="仿宋_GB2312" w:eastAsia="仿宋_GB2312" w:cs="仿宋_GB2312"/>
              <w:szCs w:val="32"/>
            </w:rPr>
            <w:fldChar w:fldCharType="separate"/>
          </w:r>
          <w:r>
            <w:rPr>
              <w:rFonts w:hint="eastAsia" w:ascii="黑体" w:hAnsi="黑体" w:eastAsia="黑体" w:cs="黑体"/>
              <w:bCs w:val="0"/>
              <w:highlight w:val="none"/>
              <w:lang w:val="en-US" w:eastAsia="zh-CN"/>
            </w:rPr>
            <w:t>二、机构设置</w:t>
          </w:r>
          <w:r>
            <w:tab/>
          </w:r>
          <w:r>
            <w:fldChar w:fldCharType="begin"/>
          </w:r>
          <w:r>
            <w:instrText xml:space="preserve"> PAGEREF _Toc10591 \h </w:instrText>
          </w:r>
          <w:r>
            <w:fldChar w:fldCharType="separate"/>
          </w:r>
          <w:r>
            <w:t>-1-</w:t>
          </w:r>
          <w:r>
            <w:fldChar w:fldCharType="end"/>
          </w:r>
          <w:r>
            <w:rPr>
              <w:rFonts w:hint="eastAsia" w:ascii="仿宋_GB2312" w:hAnsi="仿宋_GB2312" w:eastAsia="仿宋_GB2312" w:cs="仿宋_GB2312"/>
              <w:color w:val="000000"/>
              <w:szCs w:val="32"/>
            </w:rPr>
            <w:fldChar w:fldCharType="end"/>
          </w:r>
        </w:p>
        <w:p>
          <w:pPr>
            <w:pStyle w:val="31"/>
            <w:tabs>
              <w:tab w:val="right" w:leader="dot" w:pos="8845"/>
            </w:tabs>
            <w:rPr>
              <w:b/>
            </w:rPr>
          </w:pPr>
          <w:r>
            <w:rPr>
              <w:rFonts w:hint="eastAsia" w:ascii="仿宋_GB2312" w:hAnsi="仿宋_GB2312" w:eastAsia="仿宋_GB2312" w:cs="仿宋_GB2312"/>
              <w:b/>
              <w:color w:val="000000"/>
              <w:szCs w:val="32"/>
            </w:rPr>
            <w:fldChar w:fldCharType="begin"/>
          </w:r>
          <w:r>
            <w:rPr>
              <w:rFonts w:hint="eastAsia" w:ascii="仿宋_GB2312" w:hAnsi="仿宋_GB2312" w:eastAsia="仿宋_GB2312" w:cs="仿宋_GB2312"/>
              <w:b/>
              <w:szCs w:val="32"/>
            </w:rPr>
            <w:instrText xml:space="preserve"> HYPERLINK \l _Toc25966 </w:instrText>
          </w:r>
          <w:r>
            <w:rPr>
              <w:rFonts w:hint="eastAsia" w:ascii="仿宋_GB2312" w:hAnsi="仿宋_GB2312" w:eastAsia="仿宋_GB2312" w:cs="仿宋_GB2312"/>
              <w:b/>
              <w:szCs w:val="32"/>
            </w:rPr>
            <w:fldChar w:fldCharType="separate"/>
          </w:r>
          <w:r>
            <w:rPr>
              <w:rFonts w:hint="eastAsia" w:ascii="方正小标宋简体" w:hAnsi="方正小标宋简体" w:eastAsia="方正小标宋简体" w:cs="方正小标宋简体"/>
              <w:b/>
              <w:bCs/>
            </w:rPr>
            <w:t>第二部分</w:t>
          </w:r>
          <w:r>
            <w:rPr>
              <w:rFonts w:hint="eastAsia" w:ascii="方正小标宋简体" w:hAnsi="方正小标宋简体" w:eastAsia="方正小标宋简体" w:cs="方正小标宋简体"/>
              <w:b/>
              <w:bCs/>
              <w:highlight w:val="none"/>
              <w:lang w:val="en-US" w:eastAsia="zh-CN"/>
            </w:rPr>
            <w:t>2022年度</w:t>
          </w:r>
          <w:r>
            <w:rPr>
              <w:rFonts w:hint="eastAsia" w:ascii="方正小标宋简体" w:hAnsi="方正小标宋简体" w:eastAsia="方正小标宋简体" w:cs="方正小标宋简体"/>
              <w:b/>
              <w:bCs/>
              <w:highlight w:val="none"/>
              <w:lang w:eastAsia="zh-CN"/>
            </w:rPr>
            <w:t>单位</w:t>
          </w:r>
          <w:r>
            <w:rPr>
              <w:rFonts w:hint="eastAsia" w:ascii="方正小标宋简体" w:hAnsi="方正小标宋简体" w:eastAsia="方正小标宋简体" w:cs="方正小标宋简体"/>
              <w:b/>
              <w:bCs/>
              <w:highlight w:val="none"/>
            </w:rPr>
            <w:t>决算情况说明</w:t>
          </w:r>
          <w:r>
            <w:rPr>
              <w:b/>
            </w:rPr>
            <w:tab/>
          </w:r>
          <w:r>
            <w:rPr>
              <w:b/>
            </w:rPr>
            <w:fldChar w:fldCharType="begin"/>
          </w:r>
          <w:r>
            <w:rPr>
              <w:b/>
            </w:rPr>
            <w:instrText xml:space="preserve"> PAGEREF _Toc25966 \h </w:instrText>
          </w:r>
          <w:r>
            <w:rPr>
              <w:b/>
            </w:rPr>
            <w:fldChar w:fldCharType="separate"/>
          </w:r>
          <w:r>
            <w:rPr>
              <w:b/>
            </w:rPr>
            <w:t>-2-</w:t>
          </w:r>
          <w:r>
            <w:rPr>
              <w:b/>
            </w:rPr>
            <w:fldChar w:fldCharType="end"/>
          </w:r>
          <w:r>
            <w:rPr>
              <w:rFonts w:hint="eastAsia" w:ascii="仿宋_GB2312" w:hAnsi="仿宋_GB2312" w:eastAsia="仿宋_GB2312" w:cs="仿宋_GB2312"/>
              <w:b/>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_Toc16109 </w:instrText>
          </w:r>
          <w:r>
            <w:rPr>
              <w:rFonts w:hint="eastAsia" w:ascii="仿宋_GB2312" w:hAnsi="仿宋_GB2312" w:eastAsia="仿宋_GB2312" w:cs="仿宋_GB2312"/>
              <w:szCs w:val="32"/>
            </w:rP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_Toc16109 \h </w:instrText>
          </w:r>
          <w:r>
            <w:fldChar w:fldCharType="separate"/>
          </w:r>
          <w:r>
            <w:t>-2-</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_Toc985 </w:instrText>
          </w:r>
          <w:r>
            <w:rPr>
              <w:rFonts w:hint="eastAsia" w:ascii="仿宋_GB2312" w:hAnsi="仿宋_GB2312" w:eastAsia="仿宋_GB2312" w:cs="仿宋_GB2312"/>
              <w:szCs w:val="32"/>
            </w:rP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_Toc985 \h </w:instrText>
          </w:r>
          <w:r>
            <w:fldChar w:fldCharType="separate"/>
          </w:r>
          <w:r>
            <w:t>-2-</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_Toc28170 </w:instrText>
          </w:r>
          <w:r>
            <w:rPr>
              <w:rFonts w:hint="eastAsia" w:ascii="仿宋_GB2312" w:hAnsi="仿宋_GB2312" w:eastAsia="仿宋_GB2312" w:cs="仿宋_GB2312"/>
              <w:szCs w:val="32"/>
            </w:rP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_Toc28170 \h </w:instrText>
          </w:r>
          <w:r>
            <w:fldChar w:fldCharType="separate"/>
          </w:r>
          <w:r>
            <w:t>-3-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_Toc15629 </w:instrText>
          </w:r>
          <w:r>
            <w:rPr>
              <w:rFonts w:hint="eastAsia" w:ascii="仿宋_GB2312" w:hAnsi="仿宋_GB2312" w:eastAsia="仿宋_GB2312" w:cs="仿宋_GB2312"/>
              <w:szCs w:val="32"/>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_Toc15629 \h </w:instrText>
          </w:r>
          <w:r>
            <w:fldChar w:fldCharType="separate"/>
          </w:r>
          <w:r>
            <w:t>-4-</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_Toc15856 </w:instrText>
          </w:r>
          <w:r>
            <w:rPr>
              <w:rFonts w:hint="eastAsia" w:ascii="仿宋_GB2312" w:hAnsi="仿宋_GB2312" w:eastAsia="仿宋_GB2312" w:cs="仿宋_GB2312"/>
              <w:szCs w:val="32"/>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_Toc15856 \h </w:instrText>
          </w:r>
          <w:r>
            <w:fldChar w:fldCharType="separate"/>
          </w:r>
          <w:r>
            <w:t>-4-</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_Toc5303 </w:instrText>
          </w:r>
          <w:r>
            <w:rPr>
              <w:rFonts w:hint="eastAsia" w:ascii="仿宋_GB2312" w:hAnsi="仿宋_GB2312" w:eastAsia="仿宋_GB2312" w:cs="仿宋_GB2312"/>
              <w:szCs w:val="32"/>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_Toc5303 \h </w:instrText>
          </w:r>
          <w:r>
            <w:fldChar w:fldCharType="separate"/>
          </w:r>
          <w:r>
            <w:t>-6-</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_Toc22794 </w:instrText>
          </w:r>
          <w:r>
            <w:rPr>
              <w:rFonts w:hint="eastAsia" w:ascii="仿宋_GB2312" w:hAnsi="仿宋_GB2312" w:eastAsia="仿宋_GB2312" w:cs="仿宋_GB2312"/>
              <w:szCs w:val="32"/>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_Toc22794 \h </w:instrText>
          </w:r>
          <w:r>
            <w:fldChar w:fldCharType="separate"/>
          </w:r>
          <w:r>
            <w:t>-7-</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_Toc2866 </w:instrText>
          </w:r>
          <w:r>
            <w:rPr>
              <w:rFonts w:hint="eastAsia" w:ascii="仿宋_GB2312" w:hAnsi="仿宋_GB2312" w:eastAsia="仿宋_GB2312" w:cs="仿宋_GB2312"/>
              <w:szCs w:val="32"/>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_Toc2866 \h </w:instrText>
          </w:r>
          <w:r>
            <w:fldChar w:fldCharType="separate"/>
          </w:r>
          <w:r>
            <w:t>-8-</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_Toc11847 </w:instrText>
          </w:r>
          <w:r>
            <w:rPr>
              <w:rFonts w:hint="eastAsia" w:ascii="仿宋_GB2312" w:hAnsi="仿宋_GB2312" w:eastAsia="仿宋_GB2312" w:cs="仿宋_GB2312"/>
              <w:szCs w:val="32"/>
            </w:rP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_Toc11847 \h </w:instrText>
          </w:r>
          <w:r>
            <w:fldChar w:fldCharType="separate"/>
          </w:r>
          <w:r>
            <w:t>-8-</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_Toc13201 </w:instrText>
          </w:r>
          <w:r>
            <w:rPr>
              <w:rFonts w:hint="eastAsia" w:ascii="仿宋_GB2312" w:hAnsi="仿宋_GB2312" w:eastAsia="仿宋_GB2312" w:cs="仿宋_GB2312"/>
              <w:szCs w:val="32"/>
            </w:rP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_Toc13201 \h </w:instrText>
          </w:r>
          <w:r>
            <w:fldChar w:fldCharType="separate"/>
          </w:r>
          <w:r>
            <w:t>-8-</w:t>
          </w:r>
          <w:r>
            <w:fldChar w:fldCharType="end"/>
          </w:r>
          <w:r>
            <w:rPr>
              <w:rFonts w:hint="eastAsia" w:ascii="仿宋_GB2312" w:hAnsi="仿宋_GB2312" w:eastAsia="仿宋_GB2312" w:cs="仿宋_GB2312"/>
              <w:color w:val="000000"/>
              <w:szCs w:val="32"/>
            </w:rPr>
            <w:fldChar w:fldCharType="end"/>
          </w:r>
        </w:p>
        <w:p>
          <w:pPr>
            <w:pStyle w:val="31"/>
            <w:tabs>
              <w:tab w:val="right" w:leader="dot" w:pos="8845"/>
            </w:tabs>
            <w:rPr>
              <w:b/>
            </w:rPr>
          </w:pPr>
          <w:r>
            <w:rPr>
              <w:rFonts w:hint="eastAsia" w:ascii="仿宋_GB2312" w:hAnsi="仿宋_GB2312" w:eastAsia="仿宋_GB2312" w:cs="仿宋_GB2312"/>
              <w:b/>
              <w:color w:val="000000"/>
              <w:szCs w:val="32"/>
            </w:rPr>
            <w:fldChar w:fldCharType="begin"/>
          </w:r>
          <w:r>
            <w:rPr>
              <w:rFonts w:hint="eastAsia" w:ascii="仿宋_GB2312" w:hAnsi="仿宋_GB2312" w:eastAsia="仿宋_GB2312" w:cs="仿宋_GB2312"/>
              <w:b/>
              <w:szCs w:val="32"/>
            </w:rPr>
            <w:instrText xml:space="preserve"> HYPERLINK \l _Toc18056 </w:instrText>
          </w:r>
          <w:r>
            <w:rPr>
              <w:rFonts w:hint="eastAsia" w:ascii="仿宋_GB2312" w:hAnsi="仿宋_GB2312" w:eastAsia="仿宋_GB2312" w:cs="仿宋_GB2312"/>
              <w:b/>
              <w:szCs w:val="32"/>
            </w:rPr>
            <w:fldChar w:fldCharType="separate"/>
          </w:r>
          <w:r>
            <w:rPr>
              <w:rFonts w:hint="eastAsia" w:ascii="方正小标宋简体" w:hAnsi="方正小标宋简体" w:eastAsia="方正小标宋简体" w:cs="方正小标宋简体"/>
              <w:b/>
            </w:rPr>
            <w:t>第三部分</w:t>
          </w:r>
          <w:r>
            <w:rPr>
              <w:rFonts w:hint="eastAsia" w:ascii="方正小标宋简体" w:hAnsi="方正小标宋简体" w:eastAsia="方正小标宋简体" w:cs="方正小标宋简体"/>
              <w:b/>
              <w:szCs w:val="44"/>
              <w:highlight w:val="none"/>
            </w:rPr>
            <w:t>名</w:t>
          </w:r>
          <w:r>
            <w:rPr>
              <w:rFonts w:hint="eastAsia" w:ascii="方正小标宋简体" w:hAnsi="方正小标宋简体" w:eastAsia="方正小标宋简体" w:cs="方正小标宋简体"/>
              <w:b/>
              <w:highlight w:val="none"/>
            </w:rPr>
            <w:t>词解释</w:t>
          </w:r>
          <w:r>
            <w:rPr>
              <w:b/>
            </w:rPr>
            <w:tab/>
          </w:r>
          <w:r>
            <w:rPr>
              <w:b/>
            </w:rPr>
            <w:fldChar w:fldCharType="begin"/>
          </w:r>
          <w:r>
            <w:rPr>
              <w:b/>
            </w:rPr>
            <w:instrText xml:space="preserve"> PAGEREF _Toc18056 \h </w:instrText>
          </w:r>
          <w:r>
            <w:rPr>
              <w:b/>
            </w:rPr>
            <w:fldChar w:fldCharType="separate"/>
          </w:r>
          <w:r>
            <w:rPr>
              <w:b/>
            </w:rPr>
            <w:t>-10-</w:t>
          </w:r>
          <w:r>
            <w:rPr>
              <w:b/>
            </w:rPr>
            <w:fldChar w:fldCharType="end"/>
          </w:r>
          <w:r>
            <w:rPr>
              <w:rFonts w:hint="eastAsia" w:ascii="仿宋_GB2312" w:hAnsi="仿宋_GB2312" w:eastAsia="仿宋_GB2312" w:cs="仿宋_GB2312"/>
              <w:b/>
              <w:color w:val="000000"/>
              <w:szCs w:val="32"/>
            </w:rPr>
            <w:fldChar w:fldCharType="end"/>
          </w:r>
        </w:p>
        <w:p>
          <w:pPr>
            <w:pStyle w:val="31"/>
            <w:tabs>
              <w:tab w:val="right" w:leader="dot" w:pos="8845"/>
            </w:tabs>
            <w:rPr>
              <w:b/>
            </w:rPr>
          </w:pPr>
          <w:r>
            <w:rPr>
              <w:rFonts w:hint="eastAsia" w:ascii="仿宋_GB2312" w:hAnsi="仿宋_GB2312" w:eastAsia="仿宋_GB2312" w:cs="仿宋_GB2312"/>
              <w:b/>
              <w:color w:val="000000"/>
              <w:szCs w:val="32"/>
            </w:rPr>
            <w:fldChar w:fldCharType="begin"/>
          </w:r>
          <w:r>
            <w:rPr>
              <w:rFonts w:hint="eastAsia" w:ascii="仿宋_GB2312" w:hAnsi="仿宋_GB2312" w:eastAsia="仿宋_GB2312" w:cs="仿宋_GB2312"/>
              <w:b/>
              <w:szCs w:val="32"/>
            </w:rPr>
            <w:instrText xml:space="preserve"> HYPERLINK \l _Toc29910 </w:instrText>
          </w:r>
          <w:r>
            <w:rPr>
              <w:rFonts w:hint="eastAsia" w:ascii="仿宋_GB2312" w:hAnsi="仿宋_GB2312" w:eastAsia="仿宋_GB2312" w:cs="仿宋_GB2312"/>
              <w:b/>
              <w:szCs w:val="32"/>
            </w:rPr>
            <w:fldChar w:fldCharType="separate"/>
          </w:r>
          <w:r>
            <w:rPr>
              <w:rFonts w:hint="eastAsia" w:ascii="方正小标宋简体" w:hAnsi="方正小标宋简体" w:eastAsia="方正小标宋简体" w:cs="方正小标宋简体"/>
              <w:b/>
              <w:bCs/>
              <w:highlight w:val="none"/>
              <w:lang w:eastAsia="zh-CN"/>
            </w:rPr>
            <w:t>第四部分</w:t>
          </w:r>
          <w:r>
            <w:rPr>
              <w:rFonts w:hint="eastAsia" w:ascii="方正小标宋简体" w:hAnsi="方正小标宋简体" w:eastAsia="方正小标宋简体" w:cs="方正小标宋简体"/>
              <w:b/>
              <w:bCs/>
              <w:highlight w:val="none"/>
            </w:rPr>
            <w:t>附件</w:t>
          </w:r>
          <w:r>
            <w:rPr>
              <w:b/>
            </w:rPr>
            <w:tab/>
          </w:r>
          <w:r>
            <w:rPr>
              <w:b/>
            </w:rPr>
            <w:fldChar w:fldCharType="begin"/>
          </w:r>
          <w:r>
            <w:rPr>
              <w:b/>
            </w:rPr>
            <w:instrText xml:space="preserve"> PAGEREF _Toc29910 \h </w:instrText>
          </w:r>
          <w:r>
            <w:rPr>
              <w:b/>
            </w:rPr>
            <w:fldChar w:fldCharType="separate"/>
          </w:r>
          <w:r>
            <w:rPr>
              <w:b/>
            </w:rPr>
            <w:t>-12-</w:t>
          </w:r>
          <w:r>
            <w:rPr>
              <w:b/>
            </w:rPr>
            <w:fldChar w:fldCharType="end"/>
          </w:r>
          <w:r>
            <w:rPr>
              <w:rFonts w:hint="eastAsia" w:ascii="仿宋_GB2312" w:hAnsi="仿宋_GB2312" w:eastAsia="仿宋_GB2312" w:cs="仿宋_GB2312"/>
              <w:b/>
              <w:color w:val="000000"/>
              <w:szCs w:val="32"/>
            </w:rPr>
            <w:fldChar w:fldCharType="end"/>
          </w:r>
        </w:p>
        <w:p>
          <w:pPr>
            <w:pStyle w:val="31"/>
            <w:tabs>
              <w:tab w:val="right" w:leader="dot" w:pos="8845"/>
            </w:tabs>
            <w:rPr>
              <w:b/>
            </w:rPr>
          </w:pPr>
          <w:r>
            <w:rPr>
              <w:rFonts w:hint="eastAsia" w:ascii="仿宋_GB2312" w:hAnsi="仿宋_GB2312" w:eastAsia="仿宋_GB2312" w:cs="仿宋_GB2312"/>
              <w:b/>
              <w:color w:val="000000"/>
              <w:szCs w:val="32"/>
            </w:rPr>
            <w:fldChar w:fldCharType="begin"/>
          </w:r>
          <w:r>
            <w:rPr>
              <w:rFonts w:hint="eastAsia" w:ascii="仿宋_GB2312" w:hAnsi="仿宋_GB2312" w:eastAsia="仿宋_GB2312" w:cs="仿宋_GB2312"/>
              <w:b/>
              <w:szCs w:val="32"/>
            </w:rPr>
            <w:instrText xml:space="preserve"> HYPERLINK \l _Toc31133 </w:instrText>
          </w:r>
          <w:r>
            <w:rPr>
              <w:rFonts w:hint="eastAsia" w:ascii="仿宋_GB2312" w:hAnsi="仿宋_GB2312" w:eastAsia="仿宋_GB2312" w:cs="仿宋_GB2312"/>
              <w:b/>
              <w:szCs w:val="32"/>
            </w:rPr>
            <w:fldChar w:fldCharType="separate"/>
          </w:r>
          <w:r>
            <w:rPr>
              <w:rFonts w:hint="eastAsia" w:ascii="方正小标宋简体" w:hAnsi="方正小标宋简体" w:eastAsia="方正小标宋简体" w:cs="方正小标宋简体"/>
              <w:b/>
              <w:szCs w:val="44"/>
              <w:highlight w:val="none"/>
            </w:rPr>
            <w:t>第五部分附表</w:t>
          </w:r>
          <w:r>
            <w:rPr>
              <w:b/>
            </w:rPr>
            <w:tab/>
          </w:r>
          <w:r>
            <w:rPr>
              <w:b/>
            </w:rPr>
            <w:fldChar w:fldCharType="begin"/>
          </w:r>
          <w:r>
            <w:rPr>
              <w:b/>
            </w:rPr>
            <w:instrText xml:space="preserve"> PAGEREF _Toc31133 \h </w:instrText>
          </w:r>
          <w:r>
            <w:rPr>
              <w:b/>
            </w:rPr>
            <w:fldChar w:fldCharType="separate"/>
          </w:r>
          <w:r>
            <w:rPr>
              <w:b/>
            </w:rPr>
            <w:t>-13-</w:t>
          </w:r>
          <w:r>
            <w:rPr>
              <w:b/>
            </w:rPr>
            <w:fldChar w:fldCharType="end"/>
          </w:r>
          <w:r>
            <w:rPr>
              <w:rFonts w:hint="eastAsia" w:ascii="仿宋_GB2312" w:hAnsi="仿宋_GB2312" w:eastAsia="仿宋_GB2312" w:cs="仿宋_GB2312"/>
              <w:b/>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_Toc29986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highlight w:val="none"/>
            </w:rPr>
            <w:t>一、收</w:t>
          </w:r>
          <w:r>
            <w:rPr>
              <w:rFonts w:hint="eastAsia" w:ascii="仿宋_GB2312" w:hAnsi="仿宋_GB2312" w:eastAsia="仿宋_GB2312" w:cs="仿宋_GB2312"/>
              <w:bCs w:val="0"/>
              <w:highlight w:val="none"/>
            </w:rPr>
            <w:t>入支出决算总表</w:t>
          </w:r>
          <w:r>
            <w:tab/>
          </w:r>
          <w:r>
            <w:fldChar w:fldCharType="begin"/>
          </w:r>
          <w:r>
            <w:instrText xml:space="preserve"> PAGEREF _Toc29986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_Toc25077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highlight w:val="none"/>
            </w:rPr>
            <w:t>二、收</w:t>
          </w:r>
          <w:r>
            <w:rPr>
              <w:rFonts w:hint="eastAsia" w:ascii="仿宋_GB2312" w:hAnsi="仿宋_GB2312" w:eastAsia="仿宋_GB2312" w:cs="仿宋_GB2312"/>
              <w:bCs w:val="0"/>
              <w:highlight w:val="none"/>
            </w:rPr>
            <w:t>入决算表</w:t>
          </w:r>
          <w:r>
            <w:tab/>
          </w:r>
          <w:r>
            <w:fldChar w:fldCharType="begin"/>
          </w:r>
          <w:r>
            <w:instrText xml:space="preserve"> PAGEREF _Toc25077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_Toc18057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三、</w:t>
          </w:r>
          <w:r>
            <w:rPr>
              <w:rFonts w:hint="eastAsia" w:ascii="仿宋_GB2312" w:hAnsi="仿宋_GB2312" w:eastAsia="仿宋_GB2312" w:cs="仿宋_GB2312"/>
              <w:highlight w:val="none"/>
            </w:rPr>
            <w:t>支</w:t>
          </w:r>
          <w:r>
            <w:rPr>
              <w:rFonts w:hint="eastAsia" w:ascii="仿宋_GB2312" w:hAnsi="仿宋_GB2312" w:eastAsia="仿宋_GB2312" w:cs="仿宋_GB2312"/>
              <w:bCs w:val="0"/>
              <w:highlight w:val="none"/>
            </w:rPr>
            <w:t>出决算表</w:t>
          </w:r>
          <w:r>
            <w:tab/>
          </w:r>
          <w:r>
            <w:fldChar w:fldCharType="begin"/>
          </w:r>
          <w:r>
            <w:instrText xml:space="preserve"> PAGEREF _Toc18057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_Toc31761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四、</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政拨款收入支出决算总表</w:t>
          </w:r>
          <w:r>
            <w:tab/>
          </w:r>
          <w:r>
            <w:fldChar w:fldCharType="begin"/>
          </w:r>
          <w:r>
            <w:instrText xml:space="preserve"> PAGEREF _Toc31761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_Toc17499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五、</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政拨款支出决算明细表</w:t>
          </w:r>
          <w:r>
            <w:tab/>
          </w:r>
          <w:r>
            <w:fldChar w:fldCharType="begin"/>
          </w:r>
          <w:r>
            <w:instrText xml:space="preserve"> PAGEREF _Toc17499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_Toc14539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六、</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般公共预算财政拨款支出决算表</w:t>
          </w:r>
          <w:r>
            <w:tab/>
          </w:r>
          <w:r>
            <w:fldChar w:fldCharType="begin"/>
          </w:r>
          <w:r>
            <w:instrText xml:space="preserve"> PAGEREF _Toc14539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_Toc7110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七、</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般公共预算财政拨款支出决算明细表</w:t>
          </w:r>
          <w:r>
            <w:tab/>
          </w:r>
          <w:r>
            <w:fldChar w:fldCharType="begin"/>
          </w:r>
          <w:r>
            <w:instrText xml:space="preserve"> PAGEREF _Toc7110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_Toc31075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八、</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般公共预算财政拨款基本支出决算表</w:t>
          </w:r>
          <w:r>
            <w:tab/>
          </w:r>
          <w:r>
            <w:fldChar w:fldCharType="begin"/>
          </w:r>
          <w:r>
            <w:instrText xml:space="preserve"> PAGEREF _Toc31075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_Toc13967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九、</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般公共预算财政拨款项目支出决算表</w:t>
          </w:r>
          <w:r>
            <w:tab/>
          </w:r>
          <w:r>
            <w:fldChar w:fldCharType="begin"/>
          </w:r>
          <w:r>
            <w:instrText xml:space="preserve"> PAGEREF _Toc13967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_Toc32751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十、</w:t>
          </w:r>
          <w:r>
            <w:rPr>
              <w:rFonts w:hint="eastAsia" w:ascii="仿宋_GB2312" w:hAnsi="仿宋_GB2312" w:eastAsia="仿宋_GB2312" w:cs="仿宋_GB2312"/>
              <w:highlight w:val="none"/>
            </w:rPr>
            <w:t>政</w:t>
          </w:r>
          <w:r>
            <w:rPr>
              <w:rFonts w:hint="eastAsia" w:ascii="仿宋_GB2312" w:hAnsi="仿宋_GB2312" w:eastAsia="仿宋_GB2312" w:cs="仿宋_GB2312"/>
              <w:bCs w:val="0"/>
              <w:highlight w:val="none"/>
            </w:rPr>
            <w:t>府性基金预算财政拨款收入支出决算表</w:t>
          </w:r>
          <w:r>
            <w:tab/>
          </w:r>
          <w:r>
            <w:fldChar w:fldCharType="begin"/>
          </w:r>
          <w:r>
            <w:instrText xml:space="preserve"> PAGEREF _Toc32751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_Toc22611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十一、</w:t>
          </w:r>
          <w:r>
            <w:rPr>
              <w:rFonts w:hint="eastAsia" w:ascii="仿宋_GB2312" w:hAnsi="仿宋_GB2312" w:eastAsia="仿宋_GB2312" w:cs="仿宋_GB2312"/>
              <w:highlight w:val="none"/>
            </w:rPr>
            <w:t>国</w:t>
          </w:r>
          <w:r>
            <w:rPr>
              <w:rFonts w:hint="eastAsia" w:ascii="仿宋_GB2312" w:hAnsi="仿宋_GB2312" w:eastAsia="仿宋_GB2312" w:cs="仿宋_GB2312"/>
              <w:bCs w:val="0"/>
              <w:highlight w:val="none"/>
            </w:rPr>
            <w:t>有资本经营预算</w:t>
          </w:r>
          <w:r>
            <w:rPr>
              <w:rFonts w:hint="eastAsia" w:ascii="仿宋_GB2312" w:hAnsi="仿宋_GB2312" w:eastAsia="仿宋_GB2312" w:cs="仿宋_GB2312"/>
              <w:bCs w:val="0"/>
              <w:highlight w:val="none"/>
              <w:lang w:eastAsia="zh-CN"/>
            </w:rPr>
            <w:t>财政拨款收入</w:t>
          </w:r>
          <w:r>
            <w:rPr>
              <w:rFonts w:hint="eastAsia" w:ascii="仿宋_GB2312" w:hAnsi="仿宋_GB2312" w:eastAsia="仿宋_GB2312" w:cs="仿宋_GB2312"/>
              <w:bCs w:val="0"/>
              <w:highlight w:val="none"/>
            </w:rPr>
            <w:t>支出决算表</w:t>
          </w:r>
          <w:r>
            <w:tab/>
          </w:r>
          <w:r>
            <w:fldChar w:fldCharType="begin"/>
          </w:r>
          <w:r>
            <w:instrText xml:space="preserve"> PAGEREF _Toc22611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_Toc19469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十二、</w:t>
          </w:r>
          <w:r>
            <w:rPr>
              <w:rFonts w:hint="eastAsia" w:ascii="仿宋_GB2312" w:hAnsi="仿宋_GB2312" w:eastAsia="仿宋_GB2312" w:cs="仿宋_GB2312"/>
              <w:bCs w:val="0"/>
              <w:highlight w:val="none"/>
              <w:lang w:eastAsia="zh-CN"/>
            </w:rPr>
            <w:t>国有资本经营预算财政拨款支出决算表</w:t>
          </w:r>
          <w:r>
            <w:tab/>
          </w:r>
          <w:r>
            <w:fldChar w:fldCharType="begin"/>
          </w:r>
          <w:r>
            <w:instrText xml:space="preserve"> PAGEREF _Toc19469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pStyle w:val="32"/>
            <w:tabs>
              <w:tab w:val="right" w:leader="dot" w:pos="8845"/>
            </w:tabs>
          </w:pPr>
          <w:r>
            <w:rPr>
              <w:rFonts w:hint="eastAsia" w:ascii="仿宋_GB2312" w:hAnsi="仿宋_GB2312" w:eastAsia="仿宋_GB2312" w:cs="仿宋_GB2312"/>
              <w:color w:val="000000"/>
              <w:szCs w:val="32"/>
            </w:rPr>
            <w:fldChar w:fldCharType="begin"/>
          </w:r>
          <w:r>
            <w:rPr>
              <w:rFonts w:hint="eastAsia" w:ascii="仿宋_GB2312" w:hAnsi="仿宋_GB2312" w:eastAsia="仿宋_GB2312" w:cs="仿宋_GB2312"/>
              <w:szCs w:val="32"/>
            </w:rPr>
            <w:instrText xml:space="preserve"> HYPERLINK \l _Toc27360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highlight w:val="none"/>
            </w:rPr>
            <w:t>十三、</w:t>
          </w:r>
          <w:r>
            <w:rPr>
              <w:rFonts w:hint="eastAsia" w:ascii="仿宋_GB2312" w:hAnsi="仿宋_GB2312" w:eastAsia="仿宋_GB2312" w:cs="仿宋_GB2312"/>
              <w:bCs w:val="0"/>
              <w:highlight w:val="none"/>
              <w:lang w:eastAsia="zh-CN"/>
            </w:rPr>
            <w:t>财政拨款“三公”经费支出决算表</w:t>
          </w:r>
          <w:r>
            <w:tab/>
          </w:r>
          <w:r>
            <w:fldChar w:fldCharType="begin"/>
          </w:r>
          <w:r>
            <w:instrText xml:space="preserve"> PAGEREF _Toc27360 \h </w:instrText>
          </w:r>
          <w:r>
            <w:fldChar w:fldCharType="separate"/>
          </w:r>
          <w:r>
            <w:t>-13-</w:t>
          </w:r>
          <w:r>
            <w:fldChar w:fldCharType="end"/>
          </w:r>
          <w:r>
            <w:rPr>
              <w:rFonts w:hint="eastAsia" w:ascii="仿宋_GB2312" w:hAnsi="仿宋_GB2312" w:eastAsia="仿宋_GB2312" w:cs="仿宋_GB2312"/>
              <w:color w:val="000000"/>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Cs w:val="32"/>
            </w:rPr>
            <w:fldChar w:fldCharType="end"/>
          </w:r>
        </w:p>
      </w:sdtContent>
    </w:sdt>
    <w:p>
      <w:pPr>
        <w:pStyle w:val="3"/>
        <w:keepNext/>
        <w:keepLines/>
        <w:pageBreakBefore w:val="0"/>
        <w:widowControl w:val="0"/>
        <w:kinsoku/>
        <w:wordWrap/>
        <w:overflowPunct/>
        <w:topLinePunct w:val="0"/>
        <w:autoSpaceDE/>
        <w:autoSpaceDN/>
        <w:bidi w:val="0"/>
        <w:adjustRightInd/>
        <w:snapToGrid/>
        <w:spacing w:before="0" w:after="0" w:line="600" w:lineRule="exact"/>
        <w:ind w:firstLine="0" w:firstLineChars="0"/>
        <w:jc w:val="center"/>
        <w:textAlignment w:val="auto"/>
        <w:outlineLvl w:val="9"/>
        <w:rPr>
          <w:rFonts w:hint="eastAsia" w:ascii="方正小标宋简体" w:hAnsi="方正小标宋简体" w:eastAsia="方正小标宋简体" w:cs="方正小标宋简体"/>
          <w:b w:val="0"/>
          <w:color w:val="auto"/>
          <w:sz w:val="44"/>
          <w:szCs w:val="44"/>
          <w:highlight w:val="none"/>
        </w:rPr>
        <w:sectPr>
          <w:footerReference r:id="rId4" w:type="default"/>
          <w:pgSz w:w="11906" w:h="16838"/>
          <w:pgMar w:top="1701" w:right="1474" w:bottom="1701" w:left="1587" w:header="851" w:footer="1559" w:gutter="0"/>
          <w:pgNumType w:fmt="numberInDash" w:start="1"/>
          <w:cols w:space="0" w:num="1"/>
          <w:rtlGutter w:val="0"/>
          <w:docGrid w:type="lines" w:linePitch="312" w:charSpace="0"/>
        </w:sectPr>
      </w:pPr>
      <w:bookmarkStart w:id="13" w:name="_Toc15377196"/>
      <w:bookmarkStart w:id="14" w:name="_Toc15396599"/>
    </w:p>
    <w:p>
      <w:pPr>
        <w:pStyle w:val="3"/>
        <w:keepNext/>
        <w:keepLines/>
        <w:pageBreakBefore w:val="0"/>
        <w:widowControl w:val="0"/>
        <w:kinsoku/>
        <w:wordWrap/>
        <w:overflowPunct/>
        <w:topLinePunct w:val="0"/>
        <w:autoSpaceDE/>
        <w:autoSpaceDN/>
        <w:bidi w:val="0"/>
        <w:adjustRightInd/>
        <w:snapToGrid/>
        <w:spacing w:before="0" w:after="0" w:line="600" w:lineRule="exact"/>
        <w:ind w:firstLine="0" w:firstLineChars="0"/>
        <w:jc w:val="center"/>
        <w:textAlignment w:val="auto"/>
        <w:rPr>
          <w:rFonts w:hint="eastAsia" w:ascii="方正小标宋简体" w:hAnsi="方正小标宋简体" w:eastAsia="方正小标宋简体" w:cs="方正小标宋简体"/>
          <w:color w:val="auto"/>
          <w:sz w:val="44"/>
          <w:szCs w:val="44"/>
          <w:highlight w:val="none"/>
        </w:rPr>
      </w:pPr>
      <w:bookmarkStart w:id="15" w:name="_Toc29402"/>
      <w:r>
        <w:rPr>
          <w:rFonts w:hint="eastAsia" w:ascii="方正小标宋简体" w:hAnsi="方正小标宋简体" w:eastAsia="方正小标宋简体" w:cs="方正小标宋简体"/>
          <w:b w:val="0"/>
          <w:color w:val="auto"/>
          <w:sz w:val="44"/>
          <w:szCs w:val="44"/>
          <w:highlight w:val="none"/>
        </w:rPr>
        <w:t>第一部分</w:t>
      </w:r>
      <w:r>
        <w:rPr>
          <w:rFonts w:hint="eastAsia" w:ascii="方正小标宋简体" w:hAnsi="方正小标宋简体" w:eastAsia="方正小标宋简体" w:cs="方正小标宋简体"/>
          <w:b w:val="0"/>
          <w:color w:val="auto"/>
          <w:sz w:val="44"/>
          <w:szCs w:val="44"/>
          <w:highlight w:val="none"/>
          <w:lang w:eastAsia="zh-CN"/>
        </w:rPr>
        <w:t>单位</w:t>
      </w:r>
      <w:r>
        <w:rPr>
          <w:rStyle w:val="16"/>
          <w:rFonts w:hint="eastAsia" w:ascii="方正小标宋简体" w:hAnsi="方正小标宋简体" w:eastAsia="方正小标宋简体" w:cs="方正小标宋简体"/>
          <w:b w:val="0"/>
          <w:bCs w:val="0"/>
          <w:color w:val="auto"/>
          <w:sz w:val="44"/>
          <w:szCs w:val="44"/>
          <w:highlight w:val="none"/>
        </w:rPr>
        <w:t>概况</w:t>
      </w:r>
      <w:bookmarkEnd w:id="13"/>
      <w:bookmarkEnd w:id="14"/>
      <w:bookmarkEnd w:id="15"/>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textAlignment w:val="auto"/>
        <w:outlineLvl w:val="9"/>
        <w:rPr>
          <w:rStyle w:val="17"/>
          <w:rFonts w:hint="eastAsia" w:ascii="仿宋_GB2312" w:hAnsi="仿宋_GB2312" w:eastAsia="仿宋_GB2312" w:cs="仿宋_GB2312"/>
          <w:b w:val="0"/>
          <w:bCs w:val="0"/>
          <w:color w:val="auto"/>
          <w:highlight w:val="none"/>
          <w:lang w:eastAsia="zh-CN"/>
        </w:rPr>
      </w:pPr>
      <w:bookmarkStart w:id="16" w:name="_Toc15396600"/>
      <w:bookmarkStart w:id="17" w:name="_Toc15377197"/>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黑体" w:hAnsi="黑体" w:eastAsia="黑体" w:cs="黑体"/>
          <w:b w:val="0"/>
          <w:bCs w:val="0"/>
          <w:lang w:eastAsia="zh-CN"/>
        </w:rPr>
      </w:pPr>
      <w:bookmarkStart w:id="18" w:name="_Toc30321"/>
      <w:r>
        <w:rPr>
          <w:rStyle w:val="17"/>
          <w:rFonts w:hint="eastAsia" w:ascii="黑体" w:hAnsi="黑体" w:eastAsia="黑体" w:cs="黑体"/>
          <w:b w:val="0"/>
          <w:bCs w:val="0"/>
          <w:color w:val="auto"/>
          <w:highlight w:val="none"/>
          <w:lang w:eastAsia="zh-CN"/>
        </w:rPr>
        <w:t>一、主要职责</w:t>
      </w:r>
      <w:bookmarkEnd w:id="1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hAnsi="仿宋_GB2312" w:eastAsia="仿宋_GB2312" w:cs="仿宋_GB2312"/>
          <w:b w:val="0"/>
          <w:bCs w:val="0"/>
          <w:lang w:eastAsia="zh-CN"/>
        </w:rPr>
      </w:pPr>
      <w:bookmarkStart w:id="19" w:name="_Toc17351"/>
      <w:r>
        <w:rPr>
          <w:rFonts w:hint="eastAsia" w:ascii="仿宋_GB2312" w:hAnsi="仿宋_GB2312" w:eastAsia="仿宋_GB2312" w:cs="仿宋_GB2312"/>
          <w:b w:val="0"/>
          <w:bCs w:val="0"/>
          <w:color w:val="000000"/>
          <w:sz w:val="32"/>
          <w:szCs w:val="32"/>
        </w:rPr>
        <w:t>广元市退役军人服务中心承担退役军人和其他优抚对象来访接待、政策咨询、权益咨询、法律援助、帮扶慰问、舆情收集等工作。负责提供就业创业服务和政策咨询，协助开展职业教育和技能培训，负责退役军人相关数据管理系统建设、安全管理、运行维护及信息数据采集、数据管理分析等。</w:t>
      </w:r>
      <w:bookmarkEnd w:id="19"/>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Style w:val="17"/>
          <w:rFonts w:hint="eastAsia" w:ascii="黑体" w:hAnsi="黑体" w:eastAsia="黑体" w:cs="黑体"/>
          <w:b w:val="0"/>
          <w:bCs w:val="0"/>
          <w:color w:val="auto"/>
          <w:highlight w:val="none"/>
          <w:lang w:val="en-US" w:eastAsia="zh-CN"/>
        </w:rPr>
      </w:pPr>
      <w:bookmarkStart w:id="20" w:name="_Toc10591"/>
      <w:r>
        <w:rPr>
          <w:rStyle w:val="17"/>
          <w:rFonts w:hint="eastAsia" w:ascii="黑体" w:hAnsi="黑体" w:eastAsia="黑体" w:cs="黑体"/>
          <w:b w:val="0"/>
          <w:bCs w:val="0"/>
          <w:color w:val="auto"/>
          <w:highlight w:val="none"/>
          <w:lang w:val="en-US" w:eastAsia="zh-CN"/>
        </w:rPr>
        <w:t>二、机构设置</w:t>
      </w:r>
      <w:bookmarkEnd w:id="16"/>
      <w:bookmarkEnd w:id="17"/>
      <w:bookmarkEnd w:id="20"/>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640" w:firstLineChars="200"/>
        <w:textAlignment w:val="auto"/>
        <w:rPr>
          <w:rFonts w:hint="eastAsia" w:ascii="仿宋" w:eastAsia="仿宋" w:hAnsiTheme="majorHAnsi" w:cstheme="majorBidi"/>
          <w:b w:val="0"/>
          <w:bCs w:val="0"/>
          <w:color w:val="000000"/>
          <w:kern w:val="2"/>
          <w:sz w:val="32"/>
          <w:szCs w:val="32"/>
          <w:lang w:val="en-US" w:eastAsia="zh-CN" w:bidi="ar-SA"/>
        </w:rPr>
      </w:pPr>
      <w:bookmarkStart w:id="21" w:name="_Toc19963"/>
      <w:r>
        <w:rPr>
          <w:rFonts w:hint="eastAsia" w:ascii="仿宋_GB2312" w:hAnsi="仿宋_GB2312" w:eastAsia="仿宋_GB2312" w:cs="仿宋_GB2312"/>
          <w:b w:val="0"/>
          <w:bCs w:val="0"/>
          <w:color w:val="000000"/>
          <w:sz w:val="32"/>
          <w:szCs w:val="32"/>
        </w:rPr>
        <w:t>市退役军人</w:t>
      </w:r>
      <w:r>
        <w:rPr>
          <w:rFonts w:hint="eastAsia" w:ascii="仿宋_GB2312" w:hAnsi="仿宋_GB2312" w:eastAsia="仿宋_GB2312" w:cs="仿宋_GB2312"/>
          <w:b w:val="0"/>
          <w:bCs w:val="0"/>
          <w:color w:val="000000"/>
          <w:sz w:val="32"/>
          <w:szCs w:val="32"/>
          <w:lang w:val="en-US" w:eastAsia="zh-CN"/>
        </w:rPr>
        <w:t>服务中心（广元市退役军人数据管理中心）成立于2019年3月，是广元市退役军人事务局管理的公益一类副处级事业单位，实行“一套人马、两块牌子”管理模式，核定为副县级事业单位，事业编制17名，其中领导职数4名（副县级1名，正科级3名），中层领导职数6名（副科级），</w:t>
      </w:r>
      <w:r>
        <w:rPr>
          <w:rFonts w:hint="eastAsia" w:ascii="仿宋_GB2312" w:hAnsi="仿宋_GB2312" w:eastAsia="仿宋_GB2312" w:cs="仿宋_GB2312"/>
          <w:b w:val="0"/>
          <w:bCs w:val="0"/>
          <w:color w:val="000000"/>
          <w:sz w:val="32"/>
          <w:szCs w:val="32"/>
        </w:rPr>
        <w:t>内设</w:t>
      </w:r>
      <w:r>
        <w:rPr>
          <w:rFonts w:hint="eastAsia" w:ascii="仿宋_GB2312" w:hAnsi="仿宋_GB2312" w:eastAsia="仿宋_GB2312" w:cs="仿宋_GB2312"/>
          <w:b w:val="0"/>
          <w:bCs w:val="0"/>
          <w:color w:val="000000"/>
          <w:sz w:val="32"/>
          <w:szCs w:val="32"/>
          <w:lang w:val="en-US" w:eastAsia="zh-CN"/>
        </w:rPr>
        <w:t>综合科</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接访科、办信科、就业创业服务科、培训科、信息技术科。</w:t>
      </w:r>
      <w:r>
        <w:rPr>
          <w:rFonts w:hint="eastAsia" w:ascii="仿宋" w:eastAsia="仿宋" w:hAnsiTheme="majorHAnsi" w:cstheme="majorBidi"/>
          <w:b w:val="0"/>
          <w:bCs w:val="0"/>
          <w:color w:val="000000"/>
          <w:kern w:val="2"/>
          <w:sz w:val="32"/>
          <w:szCs w:val="32"/>
          <w:lang w:val="en-US" w:eastAsia="zh-CN" w:bidi="ar-SA"/>
        </w:rPr>
        <w:br w:type="page"/>
      </w:r>
      <w:bookmarkEnd w:id="21"/>
    </w:p>
    <w:p>
      <w:pPr>
        <w:pStyle w:val="3"/>
        <w:keepNext/>
        <w:keepLines/>
        <w:pageBreakBefore w:val="0"/>
        <w:widowControl w:val="0"/>
        <w:numPr>
          <w:ilvl w:val="0"/>
          <w:numId w:val="1"/>
        </w:numPr>
        <w:kinsoku/>
        <w:wordWrap/>
        <w:overflowPunct/>
        <w:topLinePunct w:val="0"/>
        <w:autoSpaceDE/>
        <w:autoSpaceDN/>
        <w:bidi w:val="0"/>
        <w:adjustRightInd/>
        <w:snapToGrid/>
        <w:spacing w:before="0" w:after="0" w:line="600" w:lineRule="exact"/>
        <w:ind w:right="0"/>
        <w:jc w:val="center"/>
        <w:textAlignment w:val="auto"/>
        <w:rPr>
          <w:rStyle w:val="16"/>
          <w:rFonts w:hint="eastAsia" w:ascii="方正小标宋简体" w:hAnsi="方正小标宋简体" w:eastAsia="方正小标宋简体" w:cs="方正小标宋简体"/>
          <w:b w:val="0"/>
          <w:bCs/>
          <w:color w:val="auto"/>
          <w:highlight w:val="none"/>
        </w:rPr>
      </w:pPr>
      <w:bookmarkStart w:id="22" w:name="_Toc25966"/>
      <w:bookmarkStart w:id="23" w:name="_Toc15396602"/>
      <w:bookmarkStart w:id="24" w:name="_Toc15377204"/>
      <w:r>
        <w:rPr>
          <w:rFonts w:hint="eastAsia" w:ascii="方正小标宋简体" w:hAnsi="方正小标宋简体" w:eastAsia="方正小标宋简体" w:cs="方正小标宋简体"/>
          <w:b w:val="0"/>
          <w:bCs/>
          <w:color w:val="auto"/>
          <w:highlight w:val="none"/>
          <w:lang w:val="en-US" w:eastAsia="zh-CN"/>
        </w:rPr>
        <w:t>2022年度</w:t>
      </w:r>
      <w:r>
        <w:rPr>
          <w:rStyle w:val="16"/>
          <w:rFonts w:hint="eastAsia" w:ascii="方正小标宋简体" w:hAnsi="方正小标宋简体" w:eastAsia="方正小标宋简体" w:cs="方正小标宋简体"/>
          <w:b w:val="0"/>
          <w:bCs/>
          <w:color w:val="auto"/>
          <w:highlight w:val="none"/>
          <w:lang w:eastAsia="zh-CN"/>
        </w:rPr>
        <w:t>单位</w:t>
      </w:r>
      <w:r>
        <w:rPr>
          <w:rStyle w:val="16"/>
          <w:rFonts w:hint="eastAsia" w:ascii="方正小标宋简体" w:hAnsi="方正小标宋简体" w:eastAsia="方正小标宋简体" w:cs="方正小标宋简体"/>
          <w:b w:val="0"/>
          <w:bCs/>
          <w:color w:val="auto"/>
          <w:highlight w:val="none"/>
        </w:rPr>
        <w:t>决算情况说明</w:t>
      </w:r>
      <w:bookmarkEnd w:id="22"/>
      <w:bookmarkEnd w:id="23"/>
      <w:bookmarkEnd w:id="24"/>
    </w:p>
    <w:p>
      <w:pPr>
        <w:numPr>
          <w:ilvl w:val="0"/>
          <w:numId w:val="0"/>
        </w:numPr>
        <w:rPr>
          <w:rFonts w:hint="eastAsia"/>
        </w:rPr>
      </w:pP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25" w:name="_Toc16109"/>
      <w:bookmarkStart w:id="26" w:name="_Toc15377205"/>
      <w:bookmarkStart w:id="27" w:name="_Toc15396603"/>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25"/>
      <w:bookmarkEnd w:id="26"/>
      <w:bookmarkEnd w:id="27"/>
    </w:p>
    <w:p>
      <w:pPr>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lang w:val="en-US" w:eastAsia="zh-CN"/>
        </w:rPr>
        <w:t>22</w:t>
      </w:r>
      <w:r>
        <w:rPr>
          <w:rFonts w:hint="eastAsia" w:ascii="仿宋_GB2312" w:hAnsi="仿宋_GB2312" w:eastAsia="仿宋_GB2312" w:cs="仿宋_GB2312"/>
          <w:color w:val="000000"/>
          <w:sz w:val="32"/>
          <w:szCs w:val="32"/>
        </w:rPr>
        <w:t>年度收、支总计</w:t>
      </w:r>
      <w:r>
        <w:rPr>
          <w:rFonts w:hint="eastAsia" w:ascii="仿宋_GB2312" w:hAnsi="仿宋_GB2312" w:eastAsia="仿宋_GB2312" w:cs="仿宋_GB2312"/>
          <w:color w:val="000000"/>
          <w:sz w:val="32"/>
          <w:szCs w:val="32"/>
          <w:lang w:val="en-US" w:eastAsia="zh-CN"/>
        </w:rPr>
        <w:t>401.22</w:t>
      </w:r>
      <w:r>
        <w:rPr>
          <w:rFonts w:hint="eastAsia" w:ascii="仿宋_GB2312" w:hAnsi="仿宋_GB2312" w:eastAsia="仿宋_GB2312" w:cs="仿宋_GB2312"/>
          <w:color w:val="000000"/>
          <w:sz w:val="32"/>
          <w:szCs w:val="32"/>
        </w:rPr>
        <w:t>万元。与20</w:t>
      </w:r>
      <w:r>
        <w:rPr>
          <w:rFonts w:hint="eastAsia" w:ascii="仿宋_GB2312" w:hAnsi="仿宋_GB2312" w:eastAsia="仿宋_GB2312" w:cs="仿宋_GB2312"/>
          <w:color w:val="000000"/>
          <w:sz w:val="32"/>
          <w:szCs w:val="32"/>
          <w:lang w:val="en-US" w:eastAsia="zh-CN"/>
        </w:rPr>
        <w:t>21</w:t>
      </w:r>
      <w:r>
        <w:rPr>
          <w:rFonts w:hint="eastAsia" w:ascii="仿宋_GB2312" w:hAnsi="仿宋_GB2312" w:eastAsia="仿宋_GB2312" w:cs="仿宋_GB2312"/>
          <w:color w:val="000000"/>
          <w:sz w:val="32"/>
          <w:szCs w:val="32"/>
        </w:rPr>
        <w:t>年相比，收、支总计各增加</w:t>
      </w:r>
      <w:r>
        <w:rPr>
          <w:rFonts w:hint="eastAsia" w:ascii="仿宋_GB2312" w:hAnsi="仿宋_GB2312" w:eastAsia="仿宋_GB2312" w:cs="仿宋_GB2312"/>
          <w:color w:val="000000"/>
          <w:sz w:val="32"/>
          <w:szCs w:val="32"/>
          <w:lang w:val="en-US" w:eastAsia="zh-CN"/>
        </w:rPr>
        <w:t>27.14</w:t>
      </w:r>
      <w:r>
        <w:rPr>
          <w:rFonts w:hint="eastAsia" w:ascii="仿宋_GB2312" w:hAnsi="仿宋_GB2312" w:eastAsia="仿宋_GB2312" w:cs="仿宋_GB2312"/>
          <w:color w:val="000000"/>
          <w:sz w:val="32"/>
          <w:szCs w:val="32"/>
        </w:rPr>
        <w:t>万元，增长</w:t>
      </w:r>
      <w:r>
        <w:rPr>
          <w:rFonts w:hint="eastAsia" w:ascii="仿宋_GB2312" w:hAnsi="仿宋_GB2312" w:eastAsia="仿宋_GB2312" w:cs="仿宋_GB2312"/>
          <w:color w:val="000000"/>
          <w:sz w:val="32"/>
          <w:szCs w:val="32"/>
          <w:lang w:val="en-US" w:eastAsia="zh-CN"/>
        </w:rPr>
        <w:t>7.3</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highlight w:val="none"/>
        </w:rPr>
        <w:t>主要变动原因是</w:t>
      </w:r>
      <w:r>
        <w:rPr>
          <w:rFonts w:hint="eastAsia" w:ascii="仿宋_GB2312" w:hAnsi="仿宋_GB2312" w:eastAsia="仿宋_GB2312" w:cs="仿宋_GB2312"/>
          <w:color w:val="000000"/>
          <w:sz w:val="32"/>
          <w:szCs w:val="32"/>
          <w:highlight w:val="none"/>
          <w:lang w:val="en-US" w:eastAsia="zh-CN"/>
        </w:rPr>
        <w:t>2020年和2021年目标考核奖在2022年发放</w:t>
      </w:r>
      <w:r>
        <w:rPr>
          <w:rFonts w:hint="eastAsia" w:ascii="仿宋_GB2312" w:hAnsi="仿宋_GB2312" w:eastAsia="仿宋_GB2312" w:cs="仿宋_GB2312"/>
          <w:color w:val="000000"/>
          <w:sz w:val="32"/>
          <w:szCs w:val="32"/>
          <w:highlight w:val="none"/>
          <w:lang w:eastAsia="zh-CN"/>
        </w:rPr>
        <w:t>。</w:t>
      </w:r>
    </w:p>
    <w:p>
      <w:pPr>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drawing>
          <wp:inline distT="0" distB="0" distL="114300" distR="114300">
            <wp:extent cx="5080000" cy="3810000"/>
            <wp:effectExtent l="6350" t="635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ind w:firstLine="640" w:firstLineChars="200"/>
        <w:jc w:val="center"/>
        <w:rPr>
          <w:rFonts w:ascii="仿宋_GB2312" w:eastAsia="仿宋_GB2312"/>
          <w:color w:val="auto"/>
          <w:sz w:val="32"/>
          <w:szCs w:val="32"/>
          <w:highlight w:val="none"/>
        </w:rPr>
      </w:pPr>
      <w:r>
        <w:rPr>
          <w:rFonts w:hint="eastAsia" w:ascii="仿宋_GB2312" w:hAnsi="仿宋_GB2312" w:eastAsia="仿宋_GB2312" w:cs="仿宋_GB2312"/>
          <w:color w:val="000000"/>
          <w:sz w:val="32"/>
          <w:szCs w:val="32"/>
        </w:rPr>
        <w:t>（图1：收、支决算总计变动情况图）</w:t>
      </w: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28" w:name="_Toc15396604"/>
      <w:bookmarkStart w:id="29" w:name="_Toc15377206"/>
      <w:bookmarkStart w:id="30" w:name="_Toc985"/>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28"/>
      <w:bookmarkEnd w:id="29"/>
      <w:bookmarkEnd w:id="30"/>
    </w:p>
    <w:p>
      <w:pPr>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2022年本年收入合计356.92万元，其中：一般公共预算财政拨款收入353.94万元，占99.2%；其他收入2.98万元，占0.8%。</w:t>
      </w:r>
    </w:p>
    <w:p>
      <w:pPr>
        <w:spacing w:line="600" w:lineRule="exact"/>
        <w:ind w:firstLine="640" w:firstLineChars="200"/>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080000" cy="3077210"/>
            <wp:effectExtent l="6350" t="6350" r="19050" b="1524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31" w:name="_Toc15396605"/>
      <w:bookmarkStart w:id="32" w:name="_Toc28170"/>
      <w:bookmarkStart w:id="33" w:name="_Toc15377207"/>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31"/>
      <w:bookmarkEnd w:id="32"/>
      <w:bookmarkEnd w:id="33"/>
    </w:p>
    <w:p>
      <w:pPr>
        <w:ind w:firstLine="640" w:firstLineChars="200"/>
        <w:jc w:val="both"/>
        <w:rPr>
          <w:rFonts w:ascii="仿宋" w:hAnsi="仿宋" w:eastAsia="仿宋"/>
          <w:color w:val="auto"/>
          <w:sz w:val="32"/>
          <w:szCs w:val="32"/>
          <w:highlight w:val="none"/>
          <w:shd w:val="pct10" w:color="auto" w:fill="FFFFFF"/>
        </w:rPr>
      </w:pPr>
      <w:r>
        <w:rPr>
          <w:rFonts w:hint="eastAsia" w:ascii="仿宋_GB2312" w:hAnsi="仿宋_GB2312" w:eastAsia="仿宋_GB2312" w:cs="仿宋_GB2312"/>
          <w:color w:val="000000"/>
          <w:sz w:val="32"/>
          <w:szCs w:val="32"/>
          <w:lang w:val="en-US" w:eastAsia="zh-CN"/>
        </w:rPr>
        <w:t>2022年本年支出合计401.11万元，其中：基本支出294.03万元，占73.3%；项目支出107.08万元，占26.7%。</w:t>
      </w:r>
    </w:p>
    <w:p>
      <w:pPr>
        <w:pStyle w:val="2"/>
        <w:rPr>
          <w:rFonts w:hint="eastAsia" w:eastAsia="仿宋_GB2312"/>
          <w:lang w:eastAsia="zh-CN"/>
        </w:rPr>
      </w:pPr>
      <w:r>
        <w:rPr>
          <w:rFonts w:hint="eastAsia" w:eastAsia="仿宋_GB2312"/>
          <w:lang w:eastAsia="zh-CN"/>
        </w:rPr>
        <w:drawing>
          <wp:inline distT="0" distB="0" distL="114300" distR="114300">
            <wp:extent cx="5080000" cy="3070860"/>
            <wp:effectExtent l="6350" t="6350" r="19050" b="2159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17"/>
          <w:rFonts w:ascii="黑体" w:hAnsi="黑体" w:eastAsia="黑体"/>
          <w:b w:val="0"/>
          <w:color w:val="auto"/>
          <w:highlight w:val="none"/>
        </w:rPr>
      </w:pPr>
      <w:bookmarkStart w:id="34" w:name="_Toc15396606"/>
      <w:bookmarkStart w:id="35" w:name="_Toc15629"/>
      <w:bookmarkStart w:id="36" w:name="_Toc15377208"/>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34"/>
      <w:bookmarkEnd w:id="35"/>
      <w:bookmarkEnd w:id="36"/>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eastAsia" w:ascii="仿宋_GB2312" w:hAnsi="仿宋_GB2312" w:eastAsia="仿宋_GB2312" w:cs="仿宋_GB2312"/>
          <w:color w:val="000000"/>
          <w:sz w:val="32"/>
          <w:szCs w:val="32"/>
          <w:lang w:val="en-US" w:eastAsia="zh-CN"/>
        </w:rPr>
        <w:t>2022年财政拨款收、支总计398.24万元。与2021年相比，财政拨款收、支总计各增加41.01万元，增长11.5%。</w:t>
      </w:r>
      <w:r>
        <w:rPr>
          <w:rFonts w:hint="eastAsia" w:ascii="仿宋_GB2312" w:hAnsi="仿宋_GB2312" w:eastAsia="仿宋_GB2312" w:cs="仿宋_GB2312"/>
          <w:color w:val="000000"/>
          <w:sz w:val="32"/>
          <w:szCs w:val="32"/>
          <w:highlight w:val="none"/>
        </w:rPr>
        <w:t>主要变动原因是</w:t>
      </w:r>
      <w:r>
        <w:rPr>
          <w:rFonts w:hint="eastAsia" w:ascii="仿宋_GB2312" w:hAnsi="仿宋_GB2312" w:eastAsia="仿宋_GB2312" w:cs="仿宋_GB2312"/>
          <w:color w:val="000000"/>
          <w:sz w:val="32"/>
          <w:szCs w:val="32"/>
          <w:highlight w:val="none"/>
          <w:lang w:val="en-US" w:eastAsia="zh-CN"/>
        </w:rPr>
        <w:t>2020年和2021年目标考核奖在2022年发放</w:t>
      </w:r>
      <w:r>
        <w:rPr>
          <w:rFonts w:hint="eastAsia" w:ascii="仿宋_GB2312" w:hAnsi="仿宋_GB2312" w:eastAsia="仿宋_GB2312" w:cs="仿宋_GB2312"/>
          <w:color w:val="000000"/>
          <w:sz w:val="32"/>
          <w:szCs w:val="32"/>
          <w:highlight w:val="none"/>
          <w:lang w:eastAsia="zh-CN"/>
        </w:rPr>
        <w:t>。</w:t>
      </w:r>
    </w:p>
    <w:p>
      <w:pPr>
        <w:pStyle w:val="2"/>
        <w:rPr>
          <w:rFonts w:hint="eastAsia" w:eastAsia="仿宋_GB2312"/>
          <w:lang w:eastAsia="zh-CN"/>
        </w:rPr>
      </w:pPr>
      <w:r>
        <w:rPr>
          <w:rFonts w:hint="eastAsia" w:eastAsia="仿宋_GB2312"/>
          <w:lang w:eastAsia="zh-CN"/>
        </w:rPr>
        <w:drawing>
          <wp:inline distT="0" distB="0" distL="114300" distR="114300">
            <wp:extent cx="5165725" cy="2574925"/>
            <wp:effectExtent l="4445" t="4445" r="11430" b="1143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17"/>
          <w:rFonts w:ascii="黑体" w:hAnsi="黑体" w:eastAsia="黑体"/>
          <w:b w:val="0"/>
          <w:color w:val="auto"/>
          <w:highlight w:val="none"/>
        </w:rPr>
      </w:pPr>
      <w:bookmarkStart w:id="37" w:name="_Toc15396607"/>
      <w:bookmarkStart w:id="38" w:name="_Toc15856"/>
      <w:bookmarkStart w:id="39"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37"/>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ascii="仿宋" w:hAnsi="仿宋" w:eastAsia="仿宋"/>
          <w:b/>
          <w:color w:val="auto"/>
          <w:sz w:val="32"/>
          <w:szCs w:val="32"/>
          <w:highlight w:val="none"/>
        </w:rPr>
      </w:pPr>
      <w:bookmarkStart w:id="40" w:name="_Toc15377210"/>
      <w:r>
        <w:rPr>
          <w:rFonts w:hint="eastAsia" w:ascii="仿宋" w:hAnsi="仿宋" w:eastAsia="仿宋"/>
          <w:b/>
          <w:color w:val="auto"/>
          <w:sz w:val="32"/>
          <w:szCs w:val="32"/>
          <w:highlight w:val="none"/>
        </w:rPr>
        <w:t>（一）一般公共预算财政拨款支出决算总体情况</w:t>
      </w:r>
      <w:bookmarkEnd w:id="4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000000"/>
          <w:sz w:val="32"/>
          <w:szCs w:val="32"/>
          <w:lang w:val="en-US" w:eastAsia="zh-CN"/>
        </w:rPr>
        <w:t>2022年一般公共预算财政拨款支出398.13万元，占本年支出合计的99.3%。与2021年相比，一般公共预算财政拨款支出增加84.96万元，增长27.1%。</w:t>
      </w:r>
      <w:r>
        <w:rPr>
          <w:rFonts w:hint="eastAsia" w:ascii="仿宋_GB2312" w:hAnsi="仿宋_GB2312" w:eastAsia="仿宋_GB2312" w:cs="仿宋_GB2312"/>
          <w:color w:val="000000"/>
          <w:sz w:val="32"/>
          <w:szCs w:val="32"/>
          <w:highlight w:val="none"/>
        </w:rPr>
        <w:t>主要变动原因是</w:t>
      </w:r>
      <w:r>
        <w:rPr>
          <w:rFonts w:hint="eastAsia" w:ascii="仿宋_GB2312" w:hAnsi="仿宋_GB2312" w:eastAsia="仿宋_GB2312" w:cs="仿宋_GB2312"/>
          <w:color w:val="000000"/>
          <w:sz w:val="32"/>
          <w:szCs w:val="32"/>
          <w:highlight w:val="none"/>
          <w:lang w:val="en-US" w:eastAsia="zh-CN"/>
        </w:rPr>
        <w:t>2020年和2021年目标考核奖在2022年发放</w:t>
      </w:r>
      <w:r>
        <w:rPr>
          <w:rFonts w:hint="eastAsia" w:ascii="仿宋_GB2312" w:hAnsi="仿宋_GB2312" w:eastAsia="仿宋_GB2312" w:cs="仿宋_GB2312"/>
          <w:color w:val="000000"/>
          <w:sz w:val="32"/>
          <w:szCs w:val="32"/>
          <w:highlight w:val="none"/>
          <w:lang w:eastAsia="zh-CN"/>
        </w:rPr>
        <w:t>。</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2638425"/>
            <wp:effectExtent l="6350" t="6350" r="19050" b="222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3" w:firstLineChars="200"/>
        <w:outlineLvl w:val="2"/>
        <w:rPr>
          <w:rFonts w:hint="eastAsia" w:ascii="仿宋_GB2312" w:hAnsi="仿宋_GB2312" w:eastAsia="仿宋_GB2312" w:cs="仿宋_GB2312"/>
          <w:b/>
          <w:color w:val="auto"/>
          <w:sz w:val="32"/>
          <w:szCs w:val="32"/>
          <w:highlight w:val="none"/>
        </w:rPr>
      </w:pPr>
      <w:bookmarkStart w:id="41" w:name="_Toc15377211"/>
      <w:r>
        <w:rPr>
          <w:rFonts w:hint="eastAsia" w:ascii="仿宋_GB2312" w:hAnsi="仿宋_GB2312" w:eastAsia="仿宋_GB2312" w:cs="仿宋_GB2312"/>
          <w:b/>
          <w:color w:val="auto"/>
          <w:sz w:val="32"/>
          <w:szCs w:val="32"/>
          <w:highlight w:val="none"/>
        </w:rPr>
        <w:t>（二）一般公共预算财政拨款支出决算结构情况</w:t>
      </w:r>
      <w:bookmarkEnd w:id="41"/>
    </w:p>
    <w:p>
      <w:pPr>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lang w:val="en-US" w:eastAsia="zh-CN"/>
        </w:rPr>
        <w:t>2022年一般公共预算财政拨款支出398.12万元，主要用于以下方面:社会保障和就业支出366.16万元，占92%；卫生健康支出9.54万元，占2.4%；住房保障支出22.42万元，占5.6%。</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2940050"/>
            <wp:effectExtent l="6350" t="6350" r="19050" b="254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pacing w:line="600" w:lineRule="exact"/>
        <w:ind w:firstLine="643" w:firstLineChars="200"/>
        <w:outlineLvl w:val="2"/>
        <w:rPr>
          <w:rFonts w:hint="eastAsia" w:ascii="仿宋_GB2312" w:hAnsi="仿宋_GB2312" w:eastAsia="仿宋_GB2312" w:cs="仿宋_GB2312"/>
          <w:b/>
          <w:bCs w:val="0"/>
          <w:color w:val="auto"/>
          <w:sz w:val="32"/>
          <w:szCs w:val="32"/>
          <w:highlight w:val="none"/>
        </w:rPr>
      </w:pPr>
      <w:bookmarkStart w:id="42" w:name="_Toc15377212"/>
      <w:r>
        <w:rPr>
          <w:rFonts w:hint="eastAsia" w:ascii="仿宋_GB2312" w:hAnsi="仿宋_GB2312" w:eastAsia="仿宋_GB2312" w:cs="仿宋_GB2312"/>
          <w:b/>
          <w:bCs w:val="0"/>
          <w:color w:val="auto"/>
          <w:sz w:val="32"/>
          <w:szCs w:val="32"/>
          <w:highlight w:val="none"/>
        </w:rPr>
        <w:t>（三）一般公共预算财政拨款支出决算具体情况</w:t>
      </w:r>
      <w:bookmarkEnd w:id="42"/>
    </w:p>
    <w:p>
      <w:pPr>
        <w:spacing w:line="600" w:lineRule="exact"/>
        <w:ind w:firstLine="640" w:firstLineChars="200"/>
        <w:outlineLvl w:val="1"/>
        <w:rPr>
          <w:rFonts w:hint="eastAsia" w:ascii="仿宋_GB2312" w:hAnsi="仿宋_GB2312" w:eastAsia="仿宋_GB2312" w:cs="仿宋_GB2312"/>
          <w:b w:val="0"/>
          <w:bCs/>
          <w:color w:val="auto"/>
          <w:sz w:val="32"/>
          <w:szCs w:val="32"/>
          <w:highlight w:val="none"/>
        </w:rPr>
      </w:pPr>
      <w:bookmarkStart w:id="43" w:name="_Toc15377213"/>
      <w:bookmarkStart w:id="44" w:name="_Toc28013"/>
      <w:bookmarkStart w:id="45" w:name="_Toc15377444"/>
      <w:bookmarkStart w:id="46" w:name="_Toc15378460"/>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w:t>
      </w:r>
      <w:r>
        <w:rPr>
          <w:rFonts w:hint="eastAsia" w:ascii="仿宋_GB2312" w:hAnsi="仿宋_GB2312" w:eastAsia="仿宋_GB2312" w:cs="仿宋_GB2312"/>
          <w:b w:val="0"/>
          <w:bCs/>
          <w:color w:val="auto"/>
          <w:sz w:val="32"/>
          <w:szCs w:val="32"/>
          <w:highlight w:val="none"/>
          <w:lang w:val="en-US" w:eastAsia="zh-CN"/>
        </w:rPr>
        <w:t>398.13</w:t>
      </w:r>
      <w:r>
        <w:rPr>
          <w:rFonts w:hint="eastAsia" w:ascii="仿宋_GB2312" w:hAnsi="仿宋_GB2312" w:eastAsia="仿宋_GB2312" w:cs="仿宋_GB2312"/>
          <w:b w:val="0"/>
          <w:bCs/>
          <w:color w:val="auto"/>
          <w:sz w:val="32"/>
          <w:szCs w:val="32"/>
          <w:highlight w:val="none"/>
        </w:rPr>
        <w:t>，</w:t>
      </w:r>
      <w:r>
        <w:rPr>
          <w:rStyle w:val="14"/>
          <w:rFonts w:hint="eastAsia" w:ascii="仿宋_GB2312" w:hAnsi="仿宋_GB2312" w:eastAsia="仿宋_GB2312" w:cs="仿宋_GB2312"/>
          <w:b w:val="0"/>
          <w:bCs/>
          <w:color w:val="auto"/>
          <w:sz w:val="32"/>
          <w:szCs w:val="32"/>
          <w:highlight w:val="none"/>
        </w:rPr>
        <w:t>完成预算</w:t>
      </w:r>
      <w:r>
        <w:rPr>
          <w:rStyle w:val="14"/>
          <w:rFonts w:hint="default" w:ascii="仿宋_GB2312" w:hAnsi="仿宋_GB2312" w:eastAsia="仿宋_GB2312" w:cs="仿宋_GB2312"/>
          <w:b w:val="0"/>
          <w:bCs/>
          <w:color w:val="auto"/>
          <w:sz w:val="32"/>
          <w:szCs w:val="32"/>
          <w:highlight w:val="none"/>
        </w:rPr>
        <w:t>99.97</w:t>
      </w:r>
      <w:r>
        <w:rPr>
          <w:rStyle w:val="14"/>
          <w:rFonts w:hint="eastAsia" w:ascii="仿宋_GB2312" w:hAnsi="仿宋_GB2312" w:eastAsia="仿宋_GB2312" w:cs="仿宋_GB2312"/>
          <w:b w:val="0"/>
          <w:bCs/>
          <w:color w:val="auto"/>
          <w:sz w:val="32"/>
          <w:szCs w:val="32"/>
          <w:highlight w:val="none"/>
        </w:rPr>
        <w:t>%。其中：</w:t>
      </w:r>
      <w:bookmarkEnd w:id="43"/>
      <w:bookmarkEnd w:id="44"/>
      <w:bookmarkEnd w:id="45"/>
      <w:bookmarkEnd w:id="4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Style w:val="14"/>
          <w:rFonts w:hint="eastAsia" w:ascii="仿宋_GB2312" w:hAnsi="仿宋_GB2312" w:eastAsia="仿宋_GB2312" w:cs="仿宋_GB2312"/>
          <w:b w:val="0"/>
          <w:bCs/>
          <w:color w:val="auto"/>
          <w:sz w:val="32"/>
          <w:szCs w:val="32"/>
          <w:highlight w:val="none"/>
        </w:rPr>
      </w:pPr>
      <w:r>
        <w:rPr>
          <w:rStyle w:val="14"/>
          <w:rFonts w:hint="eastAsia" w:ascii="仿宋_GB2312" w:hAnsi="仿宋_GB2312" w:eastAsia="仿宋_GB2312" w:cs="仿宋_GB2312"/>
          <w:b w:val="0"/>
          <w:bCs/>
          <w:color w:val="auto"/>
          <w:sz w:val="32"/>
          <w:szCs w:val="32"/>
          <w:highlight w:val="none"/>
          <w:lang w:val="en-US" w:eastAsia="zh-CN"/>
        </w:rPr>
        <w:t>1.</w:t>
      </w:r>
      <w:r>
        <w:rPr>
          <w:rStyle w:val="14"/>
          <w:rFonts w:hint="eastAsia" w:ascii="仿宋_GB2312" w:hAnsi="仿宋_GB2312" w:eastAsia="仿宋_GB2312" w:cs="仿宋_GB2312"/>
          <w:b w:val="0"/>
          <w:bCs/>
          <w:color w:val="auto"/>
          <w:sz w:val="32"/>
          <w:szCs w:val="32"/>
          <w:highlight w:val="none"/>
        </w:rPr>
        <w:t>社会保障和就业（类）行政事业单位养老支出（款）机关事业单位基本养老保险缴费支出（项）:支出决算为16.78万元，完成预算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Style w:val="14"/>
          <w:rFonts w:hint="default" w:ascii="仿宋_GB2312" w:hAnsi="仿宋_GB2312" w:eastAsia="仿宋_GB2312" w:cs="仿宋_GB2312"/>
          <w:b w:val="0"/>
          <w:bCs/>
          <w:color w:val="auto"/>
          <w:sz w:val="32"/>
          <w:szCs w:val="32"/>
          <w:highlight w:val="none"/>
          <w:lang w:val="en-US" w:eastAsia="zh-CN"/>
        </w:rPr>
      </w:pPr>
      <w:r>
        <w:rPr>
          <w:rStyle w:val="14"/>
          <w:rFonts w:hint="eastAsia" w:ascii="仿宋_GB2312" w:hAnsi="仿宋_GB2312" w:eastAsia="仿宋_GB2312" w:cs="仿宋_GB2312"/>
          <w:b w:val="0"/>
          <w:bCs/>
          <w:color w:val="auto"/>
          <w:sz w:val="32"/>
          <w:szCs w:val="32"/>
          <w:highlight w:val="none"/>
          <w:lang w:val="en-US" w:eastAsia="zh-CN"/>
        </w:rPr>
        <w:t>2.</w:t>
      </w:r>
      <w:r>
        <w:rPr>
          <w:rStyle w:val="14"/>
          <w:rFonts w:hint="eastAsia" w:ascii="仿宋_GB2312" w:hAnsi="仿宋_GB2312" w:eastAsia="仿宋_GB2312" w:cs="仿宋_GB2312"/>
          <w:b w:val="0"/>
          <w:bCs/>
          <w:color w:val="auto"/>
          <w:sz w:val="32"/>
          <w:szCs w:val="32"/>
          <w:highlight w:val="none"/>
        </w:rPr>
        <w:t>社会保障和就业（类）退役军人管理事务（款）事业运行（项）:支出决算为244.29万元，完成预算</w:t>
      </w:r>
      <w:r>
        <w:rPr>
          <w:rStyle w:val="14"/>
          <w:rFonts w:hint="default" w:ascii="仿宋_GB2312" w:hAnsi="仿宋_GB2312" w:eastAsia="仿宋_GB2312" w:cs="仿宋_GB2312"/>
          <w:b w:val="0"/>
          <w:bCs/>
          <w:color w:val="auto"/>
          <w:sz w:val="32"/>
          <w:szCs w:val="32"/>
          <w:highlight w:val="none"/>
        </w:rPr>
        <w:t>99.96</w:t>
      </w:r>
      <w:r>
        <w:rPr>
          <w:rStyle w:val="14"/>
          <w:rFonts w:hint="eastAsia" w:ascii="仿宋_GB2312" w:hAnsi="仿宋_GB2312" w:eastAsia="仿宋_GB2312" w:cs="仿宋_GB2312"/>
          <w:b w:val="0"/>
          <w:bCs/>
          <w:color w:val="auto"/>
          <w:sz w:val="32"/>
          <w:szCs w:val="32"/>
          <w:highlight w:val="none"/>
        </w:rPr>
        <w:t>%。</w:t>
      </w:r>
      <w:r>
        <w:rPr>
          <w:rStyle w:val="14"/>
          <w:rFonts w:hint="default" w:ascii="仿宋_GB2312" w:hAnsi="仿宋_GB2312" w:eastAsia="仿宋_GB2312" w:cs="仿宋_GB2312"/>
          <w:b w:val="0"/>
          <w:bCs/>
          <w:color w:val="auto"/>
          <w:sz w:val="32"/>
          <w:szCs w:val="32"/>
          <w:highlight w:val="none"/>
        </w:rPr>
        <w:t>决算数小于预算数主要是</w:t>
      </w:r>
      <w:r>
        <w:rPr>
          <w:rStyle w:val="14"/>
          <w:rFonts w:hint="eastAsia" w:ascii="仿宋_GB2312" w:hAnsi="仿宋_GB2312" w:eastAsia="仿宋_GB2312" w:cs="仿宋_GB2312"/>
          <w:b w:val="0"/>
          <w:bCs/>
          <w:color w:val="auto"/>
          <w:sz w:val="32"/>
          <w:szCs w:val="32"/>
          <w:highlight w:val="none"/>
          <w:lang w:eastAsia="zh-CN"/>
        </w:rPr>
        <w:t>社会保险基数调整，</w:t>
      </w:r>
      <w:r>
        <w:rPr>
          <w:rStyle w:val="14"/>
          <w:rFonts w:hint="eastAsia" w:ascii="仿宋_GB2312" w:hAnsi="仿宋_GB2312" w:eastAsia="仿宋_GB2312" w:cs="仿宋_GB2312"/>
          <w:b w:val="0"/>
          <w:bCs/>
          <w:color w:val="auto"/>
          <w:sz w:val="32"/>
          <w:szCs w:val="32"/>
          <w:highlight w:val="none"/>
          <w:lang w:val="en-US" w:eastAsia="zh-CN"/>
        </w:rPr>
        <w:t>2023年缴纳。</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sz w:val="32"/>
          <w:szCs w:val="32"/>
        </w:rPr>
      </w:pPr>
      <w:r>
        <w:rPr>
          <w:rStyle w:val="14"/>
          <w:rFonts w:hint="eastAsia" w:ascii="仿宋_GB2312" w:hAnsi="仿宋_GB2312" w:eastAsia="仿宋_GB2312" w:cs="仿宋_GB2312"/>
          <w:b w:val="0"/>
          <w:bCs/>
          <w:color w:val="auto"/>
          <w:sz w:val="32"/>
          <w:szCs w:val="32"/>
          <w:highlight w:val="none"/>
          <w:lang w:val="en-US" w:eastAsia="zh-CN"/>
        </w:rPr>
        <w:t>3</w:t>
      </w:r>
      <w:r>
        <w:rPr>
          <w:rStyle w:val="14"/>
          <w:rFonts w:hint="eastAsia" w:ascii="仿宋_GB2312" w:hAnsi="仿宋_GB2312" w:eastAsia="仿宋_GB2312" w:cs="仿宋_GB2312"/>
          <w:b w:val="0"/>
          <w:bCs/>
          <w:color w:val="auto"/>
          <w:sz w:val="32"/>
          <w:szCs w:val="32"/>
          <w:highlight w:val="none"/>
        </w:rPr>
        <w:t>.社会保障和就业（类）退役军人管理事务（款）其他退役军人事务管理支出（项）:支出决算为105.1万元，完成预算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4"/>
          <w:rFonts w:hint="eastAsia" w:ascii="仿宋_GB2312" w:hAnsi="仿宋_GB2312" w:eastAsia="仿宋_GB2312" w:cs="仿宋_GB2312"/>
          <w:b w:val="0"/>
          <w:bCs/>
          <w:color w:val="auto"/>
          <w:sz w:val="32"/>
          <w:szCs w:val="32"/>
          <w:highlight w:val="none"/>
          <w:lang w:val="en-US" w:eastAsia="zh-CN"/>
        </w:rPr>
        <w:t>4</w:t>
      </w:r>
      <w:r>
        <w:rPr>
          <w:rStyle w:val="14"/>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卫生健康</w:t>
      </w:r>
      <w:r>
        <w:rPr>
          <w:rStyle w:val="14"/>
          <w:rFonts w:hint="eastAsia" w:ascii="仿宋_GB2312" w:hAnsi="仿宋_GB2312" w:eastAsia="仿宋_GB2312" w:cs="仿宋_GB2312"/>
          <w:b w:val="0"/>
          <w:bCs/>
          <w:color w:val="auto"/>
          <w:sz w:val="32"/>
          <w:szCs w:val="32"/>
          <w:highlight w:val="none"/>
        </w:rPr>
        <w:t>（类）行政事业单位医疗（款）事业单位医疗（项）:支出决算为9.54万元，完成预算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4"/>
          <w:rFonts w:hint="eastAsia" w:ascii="仿宋_GB2312" w:hAnsi="仿宋_GB2312" w:eastAsia="仿宋_GB2312" w:cs="仿宋_GB2312"/>
          <w:b w:val="0"/>
          <w:bCs/>
          <w:color w:val="auto"/>
          <w:sz w:val="32"/>
          <w:szCs w:val="32"/>
          <w:highlight w:val="none"/>
          <w:lang w:val="en-US" w:eastAsia="zh-CN"/>
        </w:rPr>
        <w:t>5</w:t>
      </w:r>
      <w:r>
        <w:rPr>
          <w:rStyle w:val="14"/>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住房保障支出</w:t>
      </w:r>
      <w:r>
        <w:rPr>
          <w:rStyle w:val="14"/>
          <w:rFonts w:hint="eastAsia" w:ascii="仿宋_GB2312" w:hAnsi="仿宋_GB2312" w:eastAsia="仿宋_GB2312" w:cs="仿宋_GB2312"/>
          <w:b w:val="0"/>
          <w:bCs/>
          <w:color w:val="auto"/>
          <w:sz w:val="32"/>
          <w:szCs w:val="32"/>
          <w:highlight w:val="none"/>
        </w:rPr>
        <w:t>（类）住房改革支出（款）住房公积金（项）:支出决算为22.42万元，完成预算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p>
    <w:p>
      <w:pPr>
        <w:tabs>
          <w:tab w:val="right" w:pos="8306"/>
        </w:tabs>
        <w:spacing w:line="600" w:lineRule="exact"/>
        <w:ind w:firstLine="640"/>
        <w:outlineLvl w:val="1"/>
        <w:rPr>
          <w:rStyle w:val="17"/>
          <w:color w:val="auto"/>
          <w:highlight w:val="none"/>
        </w:rPr>
      </w:pPr>
      <w:bookmarkStart w:id="47" w:name="_Toc5303"/>
      <w:bookmarkStart w:id="48" w:name="_Toc15396608"/>
      <w:bookmarkStart w:id="49"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47"/>
      <w:bookmarkEnd w:id="48"/>
      <w:bookmarkEnd w:id="49"/>
      <w:r>
        <w:rPr>
          <w:rStyle w:val="17"/>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293.03</w:t>
      </w:r>
      <w:r>
        <w:rPr>
          <w:rFonts w:hint="eastAsia" w:ascii="仿宋_GB2312" w:hAnsi="仿宋_GB2312" w:eastAsia="仿宋_GB2312" w:cs="仿宋_GB2312"/>
          <w:color w:val="auto"/>
          <w:sz w:val="32"/>
          <w:szCs w:val="32"/>
          <w:highlight w:val="none"/>
        </w:rPr>
        <w:t>万元，其中：</w:t>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267.63</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w:t>
      </w:r>
      <w:r>
        <w:rPr>
          <w:rFonts w:hint="eastAsia" w:ascii="仿宋_GB2312" w:hAnsi="仿宋_GB2312" w:eastAsia="仿宋_GB2312" w:cs="仿宋_GB2312"/>
          <w:color w:val="auto"/>
          <w:sz w:val="32"/>
          <w:szCs w:val="32"/>
          <w:highlight w:val="none"/>
          <w:lang w:val="en-US" w:eastAsia="zh-CN"/>
        </w:rPr>
        <w:t>职工基本医疗保险缴费、</w:t>
      </w:r>
      <w:r>
        <w:rPr>
          <w:rFonts w:hint="eastAsia" w:ascii="仿宋_GB2312" w:hAnsi="仿宋_GB2312" w:eastAsia="仿宋_GB2312" w:cs="仿宋_GB2312"/>
          <w:color w:val="auto"/>
          <w:sz w:val="32"/>
          <w:szCs w:val="32"/>
          <w:highlight w:val="none"/>
        </w:rPr>
        <w:t>其他社会保障缴费、住房公积金、其他工资福利支出、生活补助、奖励金。</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25.4</w:t>
      </w:r>
      <w:r>
        <w:rPr>
          <w:rFonts w:hint="eastAsia" w:ascii="仿宋_GB2312" w:hAnsi="仿宋_GB2312" w:eastAsia="仿宋_GB2312" w:cs="仿宋_GB2312"/>
          <w:color w:val="auto"/>
          <w:sz w:val="32"/>
          <w:szCs w:val="32"/>
          <w:highlight w:val="none"/>
        </w:rPr>
        <w:t>万元，主要包括：办公费、印刷费、水费、电费、邮电费、差旅费、维修（护）费、租赁费、培训费、公务接待费、劳务费、工会经费、福利费、其他交通费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pacing w:line="600" w:lineRule="exact"/>
        <w:ind w:firstLine="640"/>
        <w:outlineLvl w:val="1"/>
        <w:rPr>
          <w:rStyle w:val="17"/>
          <w:rFonts w:ascii="黑体" w:hAnsi="黑体" w:eastAsia="黑体"/>
          <w:b w:val="0"/>
          <w:color w:val="auto"/>
          <w:highlight w:val="none"/>
        </w:rPr>
      </w:pPr>
      <w:bookmarkStart w:id="50" w:name="_Toc22794"/>
      <w:bookmarkStart w:id="51" w:name="_Toc15396609"/>
      <w:bookmarkStart w:id="52" w:name="_Toc15377215"/>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53" w:name="_Toc15377216"/>
      <w:r>
        <w:rPr>
          <w:rFonts w:hint="eastAsia" w:ascii="仿宋_GB2312" w:hAnsi="仿宋_GB2312" w:eastAsia="仿宋_GB2312" w:cs="仿宋_GB2312"/>
          <w:b/>
          <w:color w:val="auto"/>
          <w:sz w:val="32"/>
          <w:szCs w:val="32"/>
          <w:highlight w:val="none"/>
        </w:rPr>
        <w:t>（一）“三公”经费财政拨款支出决算总体情况说明</w:t>
      </w:r>
      <w:bookmarkEnd w:id="53"/>
    </w:p>
    <w:p>
      <w:pPr>
        <w:spacing w:line="600" w:lineRule="exact"/>
        <w:ind w:firstLine="640"/>
        <w:rPr>
          <w:rFonts w:hint="default"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0.32</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减少0.05万元，下降13.5%。</w:t>
      </w:r>
      <w:r>
        <w:rPr>
          <w:rFonts w:hint="default" w:ascii="仿宋_GB2312" w:hAnsi="仿宋_GB2312" w:eastAsia="仿宋_GB2312" w:cs="仿宋_GB2312"/>
          <w:color w:val="auto"/>
          <w:sz w:val="32"/>
          <w:szCs w:val="32"/>
          <w:highlight w:val="none"/>
          <w:lang w:eastAsia="zh-CN"/>
        </w:rPr>
        <w:t>决算数与预算数持平。</w:t>
      </w:r>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54" w:name="_Toc15377217"/>
      <w:r>
        <w:rPr>
          <w:rFonts w:hint="eastAsia" w:ascii="仿宋_GB2312" w:hAnsi="仿宋_GB2312" w:eastAsia="仿宋_GB2312" w:cs="仿宋_GB2312"/>
          <w:b/>
          <w:color w:val="auto"/>
          <w:sz w:val="32"/>
          <w:szCs w:val="32"/>
          <w:highlight w:val="none"/>
        </w:rPr>
        <w:t>（二）“三公”经费财政拨款支出决算具体情况说明</w:t>
      </w:r>
      <w:bookmarkEnd w:id="54"/>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0.32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%。具体情况如下：</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2658745"/>
            <wp:effectExtent l="6350" t="6350" r="19050" b="273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keepNext w:val="0"/>
        <w:keepLines w:val="0"/>
        <w:pageBreakBefore w:val="0"/>
        <w:widowControl w:val="0"/>
        <w:kinsoku/>
        <w:wordWrap/>
        <w:overflowPunct/>
        <w:topLinePunct w:val="0"/>
        <w:bidi w:val="0"/>
        <w:snapToGrid/>
        <w:spacing w:line="600" w:lineRule="exact"/>
        <w:ind w:firstLine="645"/>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color w:val="auto"/>
          <w:sz w:val="32"/>
          <w:szCs w:val="32"/>
          <w:highlight w:val="none"/>
        </w:rPr>
        <w:t>1.因公出国（境）经费支出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Style w:val="14"/>
          <w:rFonts w:hint="eastAsia" w:ascii="仿宋_GB2312" w:hAnsi="仿宋_GB2312" w:eastAsia="仿宋_GB2312" w:cs="仿宋_GB2312"/>
          <w:b w:val="0"/>
          <w:bCs/>
          <w:color w:val="auto"/>
          <w:sz w:val="32"/>
          <w:szCs w:val="32"/>
          <w:highlight w:val="none"/>
        </w:rPr>
        <w:t>完成预算</w:t>
      </w:r>
      <w:r>
        <w:rPr>
          <w:rStyle w:val="14"/>
          <w:rFonts w:hint="eastAsia" w:ascii="仿宋_GB2312" w:hAnsi="仿宋_GB2312" w:eastAsia="仿宋_GB2312" w:cs="仿宋_GB2312"/>
          <w:b w:val="0"/>
          <w:bCs/>
          <w:color w:val="auto"/>
          <w:sz w:val="32"/>
          <w:szCs w:val="32"/>
          <w:highlight w:val="none"/>
          <w:lang w:val="en-US" w:eastAsia="zh-CN"/>
        </w:rPr>
        <w:t>0</w:t>
      </w:r>
      <w:r>
        <w:rPr>
          <w:rStyle w:val="14"/>
          <w:rFonts w:hint="eastAsia" w:ascii="仿宋_GB2312" w:hAnsi="仿宋_GB2312" w:eastAsia="仿宋_GB2312" w:cs="仿宋_GB2312"/>
          <w:b w:val="0"/>
          <w:bCs/>
          <w:color w:val="auto"/>
          <w:sz w:val="32"/>
          <w:szCs w:val="32"/>
          <w:highlight w:val="none"/>
        </w:rPr>
        <w:t>%</w:t>
      </w:r>
      <w:r>
        <w:rPr>
          <w:rStyle w:val="14"/>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年初未安排预算</w:t>
      </w:r>
      <w:r>
        <w:rPr>
          <w:rStyle w:val="14"/>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sz w:val="32"/>
          <w:szCs w:val="32"/>
          <w:highlight w:val="none"/>
        </w:rPr>
        <w:t>2.公务用车购置及运行维护费支出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Style w:val="14"/>
          <w:rFonts w:hint="eastAsia" w:ascii="仿宋_GB2312" w:hAnsi="仿宋_GB2312" w:eastAsia="仿宋_GB2312" w:cs="仿宋_GB2312"/>
          <w:b w:val="0"/>
          <w:bCs/>
          <w:color w:val="auto"/>
          <w:sz w:val="32"/>
          <w:szCs w:val="32"/>
          <w:highlight w:val="none"/>
        </w:rPr>
        <w:t>完成预算</w:t>
      </w:r>
      <w:r>
        <w:rPr>
          <w:rStyle w:val="14"/>
          <w:rFonts w:hint="eastAsia" w:ascii="仿宋_GB2312" w:hAnsi="仿宋_GB2312" w:eastAsia="仿宋_GB2312" w:cs="仿宋_GB2312"/>
          <w:b w:val="0"/>
          <w:bCs/>
          <w:color w:val="auto"/>
          <w:sz w:val="32"/>
          <w:szCs w:val="32"/>
          <w:highlight w:val="none"/>
          <w:lang w:val="en-US" w:eastAsia="zh-CN"/>
        </w:rPr>
        <w:t>0</w:t>
      </w:r>
      <w:r>
        <w:rPr>
          <w:rStyle w:val="14"/>
          <w:rFonts w:hint="eastAsia" w:ascii="仿宋_GB2312" w:hAnsi="仿宋_GB2312" w:eastAsia="仿宋_GB2312" w:cs="仿宋_GB2312"/>
          <w:b w:val="0"/>
          <w:bCs/>
          <w:color w:val="auto"/>
          <w:sz w:val="32"/>
          <w:szCs w:val="32"/>
          <w:highlight w:val="none"/>
        </w:rPr>
        <w:t>%</w:t>
      </w:r>
      <w:r>
        <w:rPr>
          <w:rStyle w:val="14"/>
          <w:rFonts w:hint="eastAsia" w:ascii="仿宋_GB2312" w:hAnsi="仿宋_GB2312" w:eastAsia="仿宋_GB2312" w:cs="仿宋_GB2312"/>
          <w:b w:val="0"/>
          <w:bCs/>
          <w:color w:val="auto"/>
          <w:sz w:val="32"/>
          <w:szCs w:val="32"/>
          <w:highlight w:val="none"/>
          <w:lang w:eastAsia="zh-CN"/>
        </w:rPr>
        <w:t>，</w:t>
      </w:r>
      <w:r>
        <w:rPr>
          <w:rStyle w:val="14"/>
          <w:rFonts w:hint="eastAsia" w:ascii="仿宋_GB2312" w:hAnsi="仿宋_GB2312" w:eastAsia="仿宋_GB2312" w:cs="仿宋_GB2312"/>
          <w:b w:val="0"/>
          <w:bCs/>
          <w:color w:val="auto"/>
          <w:sz w:val="32"/>
          <w:szCs w:val="32"/>
          <w:highlight w:val="none"/>
          <w:lang w:val="en-US" w:eastAsia="zh-CN"/>
        </w:rPr>
        <w:t>本单位无</w:t>
      </w:r>
      <w:r>
        <w:rPr>
          <w:rFonts w:hint="eastAsia" w:ascii="仿宋_GB2312" w:hAnsi="仿宋_GB2312" w:eastAsia="仿宋_GB2312" w:cs="仿宋_GB2312"/>
          <w:b w:val="0"/>
          <w:bCs/>
          <w:color w:val="auto"/>
          <w:sz w:val="32"/>
          <w:szCs w:val="32"/>
          <w:highlight w:val="none"/>
          <w:lang w:val="en-US" w:eastAsia="zh-CN"/>
        </w:rPr>
        <w:t>公务用车保有量</w:t>
      </w:r>
      <w:r>
        <w:rPr>
          <w:rFonts w:hint="default" w:ascii="仿宋_GB2312" w:hAnsi="仿宋_GB2312" w:eastAsia="仿宋_GB2312" w:cs="仿宋_GB2312"/>
          <w:b w:val="0"/>
          <w:bCs/>
          <w:color w:val="auto"/>
          <w:sz w:val="32"/>
          <w:szCs w:val="32"/>
          <w:highlight w:val="none"/>
          <w:lang w:eastAsia="zh-CN"/>
        </w:rPr>
        <w:t>，较上年无变化</w:t>
      </w:r>
      <w:r>
        <w:rPr>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3.公务接待费支出</w:t>
      </w:r>
      <w:r>
        <w:rPr>
          <w:rFonts w:hint="eastAsia" w:ascii="仿宋_GB2312" w:hAnsi="仿宋_GB2312" w:eastAsia="仿宋_GB2312" w:cs="仿宋_GB2312"/>
          <w:b w:val="0"/>
          <w:bCs/>
          <w:color w:val="auto"/>
          <w:sz w:val="32"/>
          <w:szCs w:val="32"/>
          <w:highlight w:val="none"/>
          <w:lang w:val="en-US" w:eastAsia="zh-CN"/>
        </w:rPr>
        <w:t>0.32</w:t>
      </w:r>
      <w:r>
        <w:rPr>
          <w:rFonts w:hint="eastAsia" w:ascii="仿宋_GB2312" w:hAnsi="仿宋_GB2312" w:eastAsia="仿宋_GB2312" w:cs="仿宋_GB2312"/>
          <w:b w:val="0"/>
          <w:bCs/>
          <w:color w:val="auto"/>
          <w:sz w:val="32"/>
          <w:szCs w:val="32"/>
          <w:highlight w:val="none"/>
        </w:rPr>
        <w:t>万元，</w:t>
      </w:r>
      <w:r>
        <w:rPr>
          <w:rStyle w:val="14"/>
          <w:rFonts w:hint="eastAsia" w:ascii="仿宋_GB2312" w:hAnsi="仿宋_GB2312" w:eastAsia="仿宋_GB2312" w:cs="仿宋_GB2312"/>
          <w:b w:val="0"/>
          <w:bCs/>
          <w:color w:val="auto"/>
          <w:sz w:val="32"/>
          <w:szCs w:val="32"/>
          <w:highlight w:val="none"/>
        </w:rPr>
        <w:t>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公务接待费支出决算比20</w:t>
      </w:r>
      <w:r>
        <w:rPr>
          <w:rFonts w:hint="eastAsia" w:ascii="仿宋_GB2312" w:hAnsi="仿宋_GB2312" w:eastAsia="仿宋_GB2312" w:cs="仿宋_GB2312"/>
          <w:b w:val="0"/>
          <w:bCs/>
          <w:color w:val="auto"/>
          <w:sz w:val="32"/>
          <w:szCs w:val="32"/>
          <w:highlight w:val="none"/>
          <w:lang w:val="en-US" w:eastAsia="zh-CN"/>
        </w:rPr>
        <w:t>21</w:t>
      </w:r>
      <w:r>
        <w:rPr>
          <w:rFonts w:hint="eastAsia" w:ascii="仿宋_GB2312" w:hAnsi="仿宋_GB2312" w:eastAsia="仿宋_GB2312" w:cs="仿宋_GB2312"/>
          <w:b w:val="0"/>
          <w:bCs/>
          <w:color w:val="auto"/>
          <w:sz w:val="32"/>
          <w:szCs w:val="32"/>
          <w:highlight w:val="none"/>
        </w:rPr>
        <w:t>年减少</w:t>
      </w:r>
      <w:r>
        <w:rPr>
          <w:rFonts w:hint="eastAsia" w:ascii="仿宋_GB2312" w:hAnsi="仿宋_GB2312" w:eastAsia="仿宋_GB2312" w:cs="仿宋_GB2312"/>
          <w:b w:val="0"/>
          <w:bCs/>
          <w:color w:val="auto"/>
          <w:sz w:val="32"/>
          <w:szCs w:val="32"/>
          <w:highlight w:val="none"/>
          <w:lang w:val="en-US" w:eastAsia="zh-CN"/>
        </w:rPr>
        <w:t>0.05</w:t>
      </w:r>
      <w:r>
        <w:rPr>
          <w:rFonts w:hint="eastAsia" w:ascii="仿宋_GB2312" w:hAnsi="仿宋_GB2312" w:eastAsia="仿宋_GB2312" w:cs="仿宋_GB2312"/>
          <w:b w:val="0"/>
          <w:bCs/>
          <w:color w:val="auto"/>
          <w:sz w:val="32"/>
          <w:szCs w:val="32"/>
          <w:highlight w:val="none"/>
        </w:rPr>
        <w:t>万元，下降</w:t>
      </w:r>
      <w:r>
        <w:rPr>
          <w:rFonts w:hint="eastAsia" w:ascii="仿宋_GB2312" w:hAnsi="仿宋_GB2312" w:eastAsia="仿宋_GB2312" w:cs="仿宋_GB2312"/>
          <w:b w:val="0"/>
          <w:bCs/>
          <w:color w:val="auto"/>
          <w:sz w:val="32"/>
          <w:szCs w:val="32"/>
          <w:highlight w:val="none"/>
          <w:lang w:val="en-US" w:eastAsia="zh-CN"/>
        </w:rPr>
        <w:t>13.5</w:t>
      </w:r>
      <w:r>
        <w:rPr>
          <w:rFonts w:hint="eastAsia" w:ascii="仿宋_GB2312" w:hAnsi="仿宋_GB2312" w:eastAsia="仿宋_GB2312" w:cs="仿宋_GB2312"/>
          <w:b w:val="0"/>
          <w:bCs/>
          <w:color w:val="auto"/>
          <w:sz w:val="32"/>
          <w:szCs w:val="32"/>
          <w:highlight w:val="none"/>
        </w:rPr>
        <w:t>%。主要原因是</w:t>
      </w:r>
      <w:r>
        <w:rPr>
          <w:rFonts w:hint="eastAsia" w:ascii="仿宋_GB2312" w:hAnsi="仿宋_GB2312" w:eastAsia="仿宋_GB2312" w:cs="仿宋_GB2312"/>
          <w:b w:val="0"/>
          <w:bCs/>
          <w:color w:val="auto"/>
          <w:sz w:val="32"/>
          <w:szCs w:val="32"/>
          <w:highlight w:val="none"/>
          <w:lang w:eastAsia="zh-CN"/>
        </w:rPr>
        <w:t>厉行节约</w:t>
      </w:r>
      <w:r>
        <w:rPr>
          <w:rFonts w:hint="eastAsia" w:ascii="仿宋_GB2312" w:hAnsi="仿宋_GB2312" w:eastAsia="仿宋_GB2312" w:cs="仿宋_GB2312"/>
          <w:b w:val="0"/>
          <w:bCs/>
          <w:color w:val="auto"/>
          <w:sz w:val="32"/>
          <w:szCs w:val="32"/>
          <w:highlight w:val="none"/>
          <w:lang w:val="en-US" w:eastAsia="zh-CN"/>
        </w:rPr>
        <w:t>减少了支出</w:t>
      </w:r>
      <w:r>
        <w:rPr>
          <w:rFonts w:hint="eastAsia" w:ascii="仿宋_GB2312" w:hAnsi="仿宋_GB2312" w:eastAsia="仿宋_GB2312" w:cs="仿宋_GB2312"/>
          <w:b w:val="0"/>
          <w:bCs/>
          <w:color w:val="auto"/>
          <w:sz w:val="32"/>
          <w:szCs w:val="32"/>
          <w:highlight w:val="none"/>
        </w:rPr>
        <w:t>。其中：</w:t>
      </w:r>
    </w:p>
    <w:p>
      <w:pPr>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国内公务接待支出</w:t>
      </w:r>
      <w:r>
        <w:rPr>
          <w:rFonts w:hint="eastAsia" w:ascii="仿宋_GB2312" w:hAnsi="仿宋_GB2312" w:eastAsia="仿宋_GB2312" w:cs="仿宋_GB2312"/>
          <w:b w:val="0"/>
          <w:bCs/>
          <w:color w:val="auto"/>
          <w:sz w:val="32"/>
          <w:szCs w:val="32"/>
          <w:highlight w:val="none"/>
          <w:lang w:val="en-US" w:eastAsia="zh-CN"/>
        </w:rPr>
        <w:t>0.32</w:t>
      </w:r>
      <w:r>
        <w:rPr>
          <w:rFonts w:hint="eastAsia" w:ascii="仿宋_GB2312" w:hAnsi="仿宋_GB2312" w:eastAsia="仿宋_GB2312" w:cs="仿宋_GB2312"/>
          <w:b w:val="0"/>
          <w:bCs/>
          <w:color w:val="auto"/>
          <w:sz w:val="32"/>
          <w:szCs w:val="32"/>
          <w:highlight w:val="none"/>
        </w:rPr>
        <w:t>万元，主要用于执行公务活动开支的用餐费。国内公务接待</w:t>
      </w:r>
      <w:r>
        <w:rPr>
          <w:rFonts w:hint="eastAsia" w:ascii="仿宋_GB2312" w:hAnsi="仿宋_GB2312" w:eastAsia="仿宋_GB2312" w:cs="仿宋_GB2312"/>
          <w:b w:val="0"/>
          <w:bCs/>
          <w:color w:val="auto"/>
          <w:sz w:val="32"/>
          <w:szCs w:val="32"/>
          <w:highlight w:val="none"/>
          <w:lang w:val="en-US" w:eastAsia="zh-CN"/>
        </w:rPr>
        <w:t>4</w:t>
      </w:r>
      <w:r>
        <w:rPr>
          <w:rFonts w:hint="eastAsia" w:ascii="仿宋_GB2312" w:hAnsi="仿宋_GB2312" w:eastAsia="仿宋_GB2312" w:cs="仿宋_GB2312"/>
          <w:b w:val="0"/>
          <w:bCs/>
          <w:color w:val="auto"/>
          <w:sz w:val="32"/>
          <w:szCs w:val="32"/>
          <w:highlight w:val="none"/>
        </w:rPr>
        <w:t>批次，</w:t>
      </w:r>
      <w:r>
        <w:rPr>
          <w:rFonts w:hint="eastAsia" w:ascii="仿宋_GB2312" w:hAnsi="仿宋_GB2312" w:eastAsia="仿宋_GB2312" w:cs="仿宋_GB2312"/>
          <w:b w:val="0"/>
          <w:bCs/>
          <w:color w:val="auto"/>
          <w:sz w:val="32"/>
          <w:szCs w:val="32"/>
          <w:highlight w:val="none"/>
          <w:lang w:val="en-US" w:eastAsia="zh-CN"/>
        </w:rPr>
        <w:t>33</w:t>
      </w:r>
      <w:r>
        <w:rPr>
          <w:rFonts w:hint="eastAsia" w:ascii="仿宋_GB2312" w:hAnsi="仿宋_GB2312" w:eastAsia="仿宋_GB2312" w:cs="仿宋_GB2312"/>
          <w:b w:val="0"/>
          <w:bCs/>
          <w:color w:val="auto"/>
          <w:sz w:val="32"/>
          <w:szCs w:val="32"/>
          <w:highlight w:val="none"/>
        </w:rPr>
        <w:t>人次（包括陪同人员），共计支出</w:t>
      </w:r>
      <w:r>
        <w:rPr>
          <w:rFonts w:hint="eastAsia" w:ascii="仿宋_GB2312" w:hAnsi="仿宋_GB2312" w:eastAsia="仿宋_GB2312" w:cs="仿宋_GB2312"/>
          <w:b w:val="0"/>
          <w:bCs/>
          <w:color w:val="auto"/>
          <w:sz w:val="32"/>
          <w:szCs w:val="32"/>
          <w:highlight w:val="none"/>
          <w:lang w:val="en-US" w:eastAsia="zh-CN"/>
        </w:rPr>
        <w:t>0.32</w:t>
      </w:r>
      <w:r>
        <w:rPr>
          <w:rFonts w:hint="eastAsia" w:ascii="仿宋_GB2312" w:hAnsi="仿宋_GB2312" w:eastAsia="仿宋_GB2312" w:cs="仿宋_GB2312"/>
          <w:b w:val="0"/>
          <w:bCs/>
          <w:color w:val="auto"/>
          <w:sz w:val="32"/>
          <w:szCs w:val="32"/>
          <w:highlight w:val="none"/>
        </w:rPr>
        <w:t>万元，具体内容包括：</w:t>
      </w:r>
      <w:r>
        <w:rPr>
          <w:rFonts w:hint="eastAsia" w:ascii="仿宋_GB2312" w:hAnsi="仿宋_GB2312" w:eastAsia="仿宋_GB2312" w:cs="仿宋_GB2312"/>
          <w:b w:val="0"/>
          <w:bCs/>
          <w:color w:val="auto"/>
          <w:sz w:val="32"/>
          <w:szCs w:val="32"/>
          <w:highlight w:val="none"/>
          <w:lang w:val="en-US" w:eastAsia="zh-CN"/>
        </w:rPr>
        <w:t>用餐费用</w:t>
      </w:r>
      <w:r>
        <w:rPr>
          <w:rFonts w:hint="eastAsia" w:ascii="仿宋_GB2312" w:hAnsi="仿宋_GB2312" w:eastAsia="仿宋_GB2312" w:cs="仿宋_GB2312"/>
          <w:b w:val="0"/>
          <w:bCs/>
          <w:color w:val="auto"/>
          <w:sz w:val="32"/>
          <w:szCs w:val="32"/>
          <w:highlight w:val="none"/>
        </w:rPr>
        <w:t>、金额</w:t>
      </w:r>
      <w:r>
        <w:rPr>
          <w:rFonts w:hint="eastAsia" w:ascii="仿宋_GB2312" w:hAnsi="仿宋_GB2312" w:eastAsia="仿宋_GB2312" w:cs="仿宋_GB2312"/>
          <w:b w:val="0"/>
          <w:bCs/>
          <w:color w:val="auto"/>
          <w:sz w:val="32"/>
          <w:szCs w:val="32"/>
          <w:highlight w:val="none"/>
          <w:lang w:val="en-US" w:eastAsia="zh-CN"/>
        </w:rPr>
        <w:t>0.32万元</w:t>
      </w:r>
      <w:r>
        <w:rPr>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外事接待支出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外事接待</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批次，</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人</w:t>
      </w:r>
      <w:r>
        <w:rPr>
          <w:rFonts w:hint="eastAsia" w:ascii="仿宋_GB2312" w:hAnsi="仿宋_GB2312" w:eastAsia="仿宋_GB2312" w:cs="仿宋_GB2312"/>
          <w:b w:val="0"/>
          <w:bCs/>
          <w:color w:val="auto"/>
          <w:sz w:val="32"/>
          <w:szCs w:val="32"/>
          <w:highlight w:val="none"/>
          <w:lang w:eastAsia="zh-CN"/>
        </w:rPr>
        <w:t>次</w:t>
      </w:r>
      <w:r>
        <w:rPr>
          <w:rFonts w:hint="eastAsia" w:ascii="仿宋_GB2312" w:hAnsi="仿宋_GB2312" w:eastAsia="仿宋_GB2312" w:cs="仿宋_GB2312"/>
          <w:b w:val="0"/>
          <w:bCs/>
          <w:color w:val="auto"/>
          <w:sz w:val="32"/>
          <w:szCs w:val="32"/>
          <w:highlight w:val="none"/>
        </w:rPr>
        <w:t>，共计支出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bookmarkStart w:id="55" w:name="_Toc15377218"/>
      <w:bookmarkStart w:id="56" w:name="_Toc15396610"/>
    </w:p>
    <w:p>
      <w:pPr>
        <w:keepNext w:val="0"/>
        <w:keepLines w:val="0"/>
        <w:pageBreakBefore w:val="0"/>
        <w:widowControl w:val="0"/>
        <w:kinsoku/>
        <w:wordWrap/>
        <w:overflowPunct/>
        <w:topLinePunct w:val="0"/>
        <w:bidi w:val="0"/>
        <w:snapToGrid/>
        <w:spacing w:line="600" w:lineRule="exact"/>
        <w:ind w:firstLine="640"/>
        <w:textAlignment w:val="auto"/>
        <w:outlineLvl w:val="1"/>
        <w:rPr>
          <w:rStyle w:val="17"/>
          <w:rFonts w:ascii="黑体" w:hAnsi="黑体" w:eastAsia="黑体"/>
          <w:color w:val="auto"/>
          <w:highlight w:val="none"/>
        </w:rPr>
      </w:pPr>
      <w:bookmarkStart w:id="57" w:name="_Toc2866"/>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55"/>
      <w:bookmarkEnd w:id="56"/>
      <w:bookmarkEnd w:id="57"/>
    </w:p>
    <w:p>
      <w:pPr>
        <w:keepNext w:val="0"/>
        <w:keepLines w:val="0"/>
        <w:pageBreakBefore w:val="0"/>
        <w:widowControl w:val="0"/>
        <w:kinsoku/>
        <w:wordWrap/>
        <w:overflowPunct/>
        <w:topLinePunct w:val="0"/>
        <w:bidi w:val="0"/>
        <w:snapToGrid/>
        <w:spacing w:line="6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600" w:lineRule="exact"/>
        <w:ind w:firstLine="640"/>
        <w:textAlignment w:val="auto"/>
        <w:outlineLvl w:val="1"/>
        <w:rPr>
          <w:rStyle w:val="17"/>
          <w:rFonts w:ascii="黑体" w:hAnsi="黑体" w:eastAsia="黑体"/>
          <w:b w:val="0"/>
          <w:color w:val="auto"/>
          <w:highlight w:val="none"/>
        </w:rPr>
      </w:pPr>
      <w:bookmarkStart w:id="58" w:name="_Toc11847"/>
      <w:bookmarkStart w:id="59" w:name="_Toc15396611"/>
      <w:bookmarkStart w:id="60" w:name="_Toc15377219"/>
      <w:r>
        <w:rPr>
          <w:rStyle w:val="17"/>
          <w:rFonts w:hint="eastAsia" w:ascii="黑体" w:hAnsi="黑体" w:eastAsia="黑体"/>
          <w:b w:val="0"/>
          <w:color w:val="auto"/>
          <w:highlight w:val="none"/>
        </w:rPr>
        <w:t>国有资本经营预算支出决算情况说明</w:t>
      </w:r>
      <w:bookmarkEnd w:id="58"/>
      <w:bookmarkEnd w:id="59"/>
      <w:bookmarkEnd w:id="60"/>
    </w:p>
    <w:p>
      <w:pPr>
        <w:keepNext w:val="0"/>
        <w:keepLines w:val="0"/>
        <w:pageBreakBefore w:val="0"/>
        <w:widowControl w:val="0"/>
        <w:kinsoku/>
        <w:wordWrap/>
        <w:overflowPunct/>
        <w:topLinePunct w:val="0"/>
        <w:bidi w:val="0"/>
        <w:snapToGrid/>
        <w:spacing w:line="600" w:lineRule="exact"/>
        <w:ind w:firstLine="640"/>
        <w:textAlignment w:val="auto"/>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600" w:lineRule="exact"/>
        <w:ind w:firstLine="640"/>
        <w:textAlignment w:val="auto"/>
        <w:outlineLvl w:val="1"/>
        <w:rPr>
          <w:rStyle w:val="17"/>
          <w:rFonts w:hint="eastAsia" w:ascii="黑体" w:hAnsi="黑体" w:eastAsia="黑体"/>
          <w:b w:val="0"/>
          <w:color w:val="auto"/>
          <w:highlight w:val="none"/>
        </w:rPr>
      </w:pPr>
      <w:bookmarkStart w:id="61" w:name="_Toc13201"/>
      <w:bookmarkStart w:id="62" w:name="_Toc15377221"/>
      <w:bookmarkStart w:id="63" w:name="_Toc15396612"/>
      <w:r>
        <w:rPr>
          <w:rStyle w:val="17"/>
          <w:rFonts w:hint="eastAsia" w:ascii="黑体" w:hAnsi="黑体" w:eastAsia="黑体"/>
          <w:b w:val="0"/>
          <w:color w:val="auto"/>
          <w:highlight w:val="none"/>
        </w:rPr>
        <w:t>其他重要事项的情况说明</w:t>
      </w:r>
      <w:bookmarkEnd w:id="61"/>
      <w:bookmarkEnd w:id="62"/>
      <w:bookmarkEnd w:id="63"/>
    </w:p>
    <w:p>
      <w:pPr>
        <w:keepNext w:val="0"/>
        <w:keepLines w:val="0"/>
        <w:pageBreakBefore w:val="0"/>
        <w:widowControl w:val="0"/>
        <w:kinsoku/>
        <w:wordWrap/>
        <w:overflowPunct/>
        <w:topLinePunct w:val="0"/>
        <w:bidi w:val="0"/>
        <w:snapToGrid/>
        <w:spacing w:line="600" w:lineRule="exact"/>
        <w:ind w:firstLine="643" w:firstLineChars="200"/>
        <w:textAlignment w:val="auto"/>
        <w:outlineLvl w:val="2"/>
        <w:rPr>
          <w:rFonts w:ascii="仿宋" w:hAnsi="仿宋" w:eastAsia="仿宋"/>
          <w:color w:val="auto"/>
          <w:sz w:val="32"/>
          <w:szCs w:val="32"/>
          <w:highlight w:val="none"/>
        </w:rPr>
      </w:pPr>
      <w:bookmarkStart w:id="64" w:name="_Toc15377222"/>
      <w:r>
        <w:rPr>
          <w:rFonts w:hint="eastAsia" w:ascii="仿宋" w:hAnsi="仿宋" w:eastAsia="仿宋"/>
          <w:b/>
          <w:color w:val="auto"/>
          <w:sz w:val="32"/>
          <w:szCs w:val="32"/>
          <w:highlight w:val="none"/>
        </w:rPr>
        <w:t>（一）机关运行经费支出情况</w:t>
      </w:r>
      <w:bookmarkEnd w:id="64"/>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广元市退役军人服务中心</w:t>
      </w:r>
      <w:r>
        <w:rPr>
          <w:rFonts w:hint="eastAsia" w:ascii="仿宋_GB2312" w:eastAsia="仿宋_GB2312"/>
          <w:color w:val="auto"/>
          <w:sz w:val="32"/>
          <w:szCs w:val="32"/>
          <w:highlight w:val="none"/>
          <w:lang w:val="en-US" w:eastAsia="zh-CN"/>
        </w:rPr>
        <w:t>未发生</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决算数持平</w:t>
      </w:r>
      <w:r>
        <w:rPr>
          <w:rFonts w:hint="eastAsia" w:ascii="仿宋_GB2312" w:eastAsia="仿宋_GB2312"/>
          <w:color w:val="auto"/>
          <w:sz w:val="32"/>
          <w:szCs w:val="32"/>
          <w:highlight w:val="none"/>
        </w:rPr>
        <w:t>。</w:t>
      </w:r>
      <w:bookmarkStart w:id="65" w:name="_Toc15377223"/>
    </w:p>
    <w:p>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5"/>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广元市退役军人服务中心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both"/>
        <w:outlineLvl w:val="2"/>
        <w:rPr>
          <w:rFonts w:hint="eastAsia" w:ascii="仿宋_GB2312" w:hAnsi="仿宋_GB2312" w:eastAsia="仿宋_GB2312" w:cs="仿宋_GB2312"/>
          <w:b/>
          <w:color w:val="auto"/>
          <w:sz w:val="32"/>
          <w:szCs w:val="32"/>
          <w:highlight w:val="none"/>
        </w:rPr>
      </w:pPr>
      <w:bookmarkStart w:id="66" w:name="_Toc15377224"/>
      <w:r>
        <w:rPr>
          <w:rFonts w:hint="eastAsia" w:ascii="仿宋_GB2312" w:hAnsi="仿宋_GB2312" w:eastAsia="仿宋_GB2312" w:cs="仿宋_GB2312"/>
          <w:b/>
          <w:color w:val="auto"/>
          <w:sz w:val="32"/>
          <w:szCs w:val="32"/>
          <w:highlight w:val="none"/>
        </w:rPr>
        <w:t>（三）国有资产占有使用情况</w:t>
      </w:r>
      <w:bookmarkEnd w:id="66"/>
    </w:p>
    <w:p>
      <w:pPr>
        <w:autoSpaceDE w:val="0"/>
        <w:autoSpaceDN w:val="0"/>
        <w:adjustRightInd w:val="0"/>
        <w:spacing w:line="60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CN"/>
        </w:rPr>
        <w:t>广元市退役军人服务中心</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单价100万元以上专用设备</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台（套）。</w:t>
      </w:r>
    </w:p>
    <w:p>
      <w:pPr>
        <w:autoSpaceDE w:val="0"/>
        <w:autoSpaceDN w:val="0"/>
        <w:adjustRightInd w:val="0"/>
        <w:spacing w:line="600" w:lineRule="exact"/>
        <w:ind w:firstLine="643" w:firstLineChars="200"/>
        <w:jc w:val="both"/>
        <w:outlineLvl w:val="2"/>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rPr>
        <w:t>（四）预算绩效管理情况</w:t>
      </w:r>
    </w:p>
    <w:p>
      <w:pPr>
        <w:pStyle w:val="2"/>
        <w:ind w:firstLine="640" w:firstLineChars="200"/>
        <w:jc w:val="both"/>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绩效自评表详见</w:t>
      </w:r>
      <w:r>
        <w:rPr>
          <w:rFonts w:hint="eastAsia" w:ascii="仿宋_GB2312" w:hAnsi="仿宋_GB2312" w:eastAsia="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numPr>
          <w:ilvl w:val="0"/>
          <w:numId w:val="0"/>
        </w:numPr>
        <w:spacing w:line="600" w:lineRule="exact"/>
        <w:jc w:val="both"/>
        <w:outlineLvl w:val="9"/>
        <w:rPr>
          <w:rFonts w:hint="eastAsia" w:ascii="黑体" w:hAnsi="黑体" w:eastAsia="黑体"/>
          <w:color w:val="auto"/>
          <w:sz w:val="44"/>
          <w:szCs w:val="44"/>
          <w:highlight w:val="none"/>
          <w:lang w:eastAsia="zh-CN"/>
        </w:rPr>
      </w:pPr>
      <w:bookmarkStart w:id="67" w:name="_Toc15396613"/>
      <w:bookmarkStart w:id="68" w:name="_Toc15377225"/>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pStyle w:val="2"/>
        <w:rPr>
          <w:rFonts w:hint="eastAsia"/>
          <w:lang w:eastAsia="zh-CN"/>
        </w:rPr>
      </w:pPr>
    </w:p>
    <w:p>
      <w:pPr>
        <w:pStyle w:val="2"/>
        <w:rPr>
          <w:rFonts w:hint="eastAsia"/>
          <w:lang w:eastAsia="zh-CN"/>
        </w:rPr>
      </w:pPr>
    </w:p>
    <w:p>
      <w:pPr>
        <w:numPr>
          <w:ilvl w:val="0"/>
          <w:numId w:val="0"/>
        </w:numPr>
        <w:spacing w:line="600" w:lineRule="exact"/>
        <w:jc w:val="both"/>
        <w:outlineLvl w:val="9"/>
        <w:rPr>
          <w:rFonts w:hint="eastAsia" w:ascii="黑体" w:hAnsi="黑体" w:eastAsia="黑体"/>
          <w:color w:val="auto"/>
          <w:sz w:val="44"/>
          <w:szCs w:val="44"/>
          <w:highlight w:val="none"/>
          <w:lang w:eastAsia="zh-CN"/>
        </w:rPr>
      </w:pPr>
    </w:p>
    <w:p>
      <w:pPr>
        <w:numPr>
          <w:ilvl w:val="0"/>
          <w:numId w:val="1"/>
        </w:numPr>
        <w:spacing w:line="600" w:lineRule="exact"/>
        <w:ind w:left="0" w:leftChars="0" w:firstLine="0" w:firstLineChars="0"/>
        <w:jc w:val="center"/>
        <w:outlineLvl w:val="0"/>
        <w:rPr>
          <w:rStyle w:val="16"/>
          <w:rFonts w:hint="eastAsia" w:ascii="方正小标宋简体" w:hAnsi="方正小标宋简体" w:eastAsia="方正小标宋简体" w:cs="方正小标宋简体"/>
          <w:b w:val="0"/>
          <w:color w:val="auto"/>
          <w:highlight w:val="none"/>
        </w:rPr>
      </w:pPr>
      <w:bookmarkStart w:id="69" w:name="_Toc18056"/>
      <w:r>
        <w:rPr>
          <w:rFonts w:hint="eastAsia" w:ascii="方正小标宋简体" w:hAnsi="方正小标宋简体" w:eastAsia="方正小标宋简体" w:cs="方正小标宋简体"/>
          <w:color w:val="auto"/>
          <w:sz w:val="44"/>
          <w:szCs w:val="44"/>
          <w:highlight w:val="none"/>
        </w:rPr>
        <w:t>名</w:t>
      </w:r>
      <w:r>
        <w:rPr>
          <w:rStyle w:val="16"/>
          <w:rFonts w:hint="eastAsia" w:ascii="方正小标宋简体" w:hAnsi="方正小标宋简体" w:eastAsia="方正小标宋简体" w:cs="方正小标宋简体"/>
          <w:b w:val="0"/>
          <w:color w:val="auto"/>
          <w:highlight w:val="none"/>
        </w:rPr>
        <w:t>词解释</w:t>
      </w:r>
      <w:bookmarkEnd w:id="67"/>
      <w:bookmarkEnd w:id="68"/>
      <w:bookmarkEnd w:id="69"/>
    </w:p>
    <w:p>
      <w:pPr>
        <w:pStyle w:val="2"/>
        <w:numPr>
          <w:ilvl w:val="0"/>
          <w:numId w:val="0"/>
        </w:numPr>
        <w:ind w:leftChars="0"/>
        <w:rPr>
          <w:rFonts w:hint="eastAsia"/>
        </w:rPr>
      </w:pPr>
    </w:p>
    <w:p>
      <w:pPr>
        <w:pStyle w:val="25"/>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outlineLvl w:val="1"/>
        <w:rPr>
          <w:rFonts w:hint="eastAsia" w:ascii="仿宋_GB2312" w:hAnsi="仿宋_GB2312" w:eastAsia="仿宋_GB2312" w:cs="仿宋_GB2312"/>
          <w:color w:val="auto"/>
          <w:sz w:val="32"/>
          <w:szCs w:val="32"/>
          <w:highlight w:val="none"/>
        </w:rPr>
      </w:pPr>
      <w:bookmarkStart w:id="70" w:name="_Toc6609"/>
      <w:bookmarkStart w:id="71" w:name="_Toc31191"/>
      <w:r>
        <w:rPr>
          <w:rFonts w:hint="eastAsia" w:ascii="仿宋_GB2312" w:hAnsi="仿宋_GB2312" w:eastAsia="仿宋_GB2312" w:cs="仿宋_GB2312"/>
          <w:color w:val="auto"/>
          <w:sz w:val="32"/>
          <w:szCs w:val="32"/>
          <w:highlight w:val="none"/>
        </w:rPr>
        <w:t>政拨款收入：指单位从同级财政部门取得的财政预算资金。</w:t>
      </w:r>
      <w:bookmarkEnd w:id="70"/>
      <w:bookmarkEnd w:id="71"/>
    </w:p>
    <w:p>
      <w:pPr>
        <w:pStyle w:val="25"/>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outlineLvl w:val="1"/>
        <w:rPr>
          <w:rFonts w:hint="eastAsia" w:ascii="仿宋_GB2312" w:hAnsi="仿宋_GB2312" w:eastAsia="仿宋_GB2312" w:cs="仿宋_GB2312"/>
          <w:color w:val="auto"/>
          <w:sz w:val="32"/>
          <w:szCs w:val="32"/>
          <w:highlight w:val="none"/>
        </w:rPr>
      </w:pPr>
      <w:bookmarkStart w:id="72" w:name="_Toc23894"/>
      <w:r>
        <w:rPr>
          <w:rFonts w:hint="eastAsia" w:ascii="仿宋_GB2312" w:hAnsi="仿宋_GB2312" w:eastAsia="仿宋_GB2312" w:cs="仿宋_GB2312"/>
          <w:color w:val="auto"/>
          <w:sz w:val="32"/>
          <w:szCs w:val="32"/>
          <w:highlight w:val="none"/>
          <w:lang w:val="en-US" w:eastAsia="zh-CN"/>
        </w:rPr>
        <w:t>其他收入：</w:t>
      </w:r>
      <w:r>
        <w:rPr>
          <w:rFonts w:hint="eastAsia" w:ascii="仿宋_GB2312" w:hAnsi="仿宋_GB2312" w:eastAsia="仿宋_GB2312" w:cs="仿宋_GB2312"/>
          <w:color w:val="auto"/>
          <w:sz w:val="32"/>
          <w:szCs w:val="32"/>
          <w:highlight w:val="none"/>
        </w:rPr>
        <w:t>指单位</w:t>
      </w:r>
      <w:r>
        <w:rPr>
          <w:rFonts w:hint="eastAsia" w:ascii="仿宋_GB2312" w:hAnsi="仿宋_GB2312" w:eastAsia="仿宋_GB2312" w:cs="仿宋_GB2312"/>
          <w:color w:val="auto"/>
          <w:sz w:val="32"/>
          <w:szCs w:val="32"/>
          <w:highlight w:val="none"/>
          <w:lang w:val="en-US" w:eastAsia="zh-CN"/>
        </w:rPr>
        <w:t>收到利州区就业局转来的公益性岗位补贴</w:t>
      </w:r>
      <w:r>
        <w:rPr>
          <w:rFonts w:hint="eastAsia" w:ascii="仿宋_GB2312" w:hAnsi="仿宋_GB2312" w:eastAsia="仿宋_GB2312" w:cs="仿宋_GB2312"/>
          <w:color w:val="auto"/>
          <w:sz w:val="32"/>
          <w:szCs w:val="32"/>
          <w:highlight w:val="none"/>
        </w:rPr>
        <w:t>资金。</w:t>
      </w:r>
      <w:bookmarkEnd w:id="72"/>
    </w:p>
    <w:p>
      <w:pPr>
        <w:pStyle w:val="25"/>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年初结转和结余：指以前年度尚未完成、结转到本年按有关规定继续使用的资金。</w:t>
      </w:r>
    </w:p>
    <w:p>
      <w:pPr>
        <w:pStyle w:val="25"/>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sz w:val="32"/>
          <w:szCs w:val="32"/>
          <w:highlight w:val="none"/>
        </w:rPr>
        <w:t>年末结转和结余：指单位按有关规定结转到下年或以后年度继续使用的资金。</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社会保障和就业支出（类）行政事业单位养老支出（款）机关事业单位基本养老保险缴费支出（项）：反映机关事业单位实施养老保险制度由单位缴纳的基本养老保险费支出。</w:t>
      </w:r>
    </w:p>
    <w:p>
      <w:pPr>
        <w:pStyle w:val="2"/>
        <w:keepNext w:val="0"/>
        <w:keepLines w:val="0"/>
        <w:pageBreakBefore w:val="0"/>
        <w:widowControl w:val="0"/>
        <w:numPr>
          <w:ilvl w:val="0"/>
          <w:numId w:val="4"/>
        </w:numPr>
        <w:kinsoku/>
        <w:wordWrap/>
        <w:overflowPunct/>
        <w:topLinePunct w:val="0"/>
        <w:autoSpaceDE/>
        <w:autoSpaceDN/>
        <w:bidi w:val="0"/>
        <w:adjustRightInd/>
        <w:snapToGrid/>
        <w:spacing w:beforeLines="0"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社会保障和就业支出（类）退役军人管理事务（款）事业运行（项）：反映开展</w:t>
      </w:r>
      <w:r>
        <w:rPr>
          <w:rFonts w:hint="eastAsia" w:ascii="仿宋_GB2312" w:hAnsi="仿宋_GB2312" w:eastAsia="仿宋_GB2312" w:cs="仿宋_GB2312"/>
          <w:kern w:val="0"/>
          <w:sz w:val="32"/>
          <w:szCs w:val="32"/>
          <w:highlight w:val="none"/>
          <w:lang w:val="en-US" w:eastAsia="zh-CN"/>
        </w:rPr>
        <w:t>承接退役军人接访</w:t>
      </w:r>
      <w:r>
        <w:rPr>
          <w:rFonts w:hint="eastAsia" w:ascii="仿宋_GB2312" w:hAnsi="仿宋_GB2312" w:eastAsia="仿宋_GB2312" w:cs="仿宋_GB2312"/>
          <w:kern w:val="0"/>
          <w:sz w:val="32"/>
          <w:szCs w:val="32"/>
          <w:highlight w:val="none"/>
        </w:rPr>
        <w:t>工作的支出。</w:t>
      </w:r>
    </w:p>
    <w:p>
      <w:pPr>
        <w:pStyle w:val="2"/>
        <w:keepNext w:val="0"/>
        <w:keepLines w:val="0"/>
        <w:pageBreakBefore w:val="0"/>
        <w:widowControl w:val="0"/>
        <w:numPr>
          <w:ilvl w:val="0"/>
          <w:numId w:val="4"/>
        </w:numPr>
        <w:kinsoku/>
        <w:wordWrap/>
        <w:overflowPunct/>
        <w:topLinePunct w:val="0"/>
        <w:autoSpaceDE/>
        <w:autoSpaceDN/>
        <w:bidi w:val="0"/>
        <w:adjustRightInd/>
        <w:snapToGrid/>
        <w:spacing w:beforeLines="0"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社会保障和就业</w:t>
      </w:r>
      <w:r>
        <w:rPr>
          <w:rFonts w:hint="eastAsia" w:hAnsi="仿宋_GB2312" w:cs="仿宋_GB2312"/>
          <w:kern w:val="0"/>
          <w:sz w:val="32"/>
          <w:szCs w:val="32"/>
          <w:highlight w:val="none"/>
          <w:lang w:val="en-US" w:eastAsia="zh-CN"/>
        </w:rPr>
        <w:t>支出</w:t>
      </w:r>
      <w:r>
        <w:rPr>
          <w:rFonts w:hint="eastAsia" w:ascii="仿宋_GB2312" w:hAnsi="仿宋_GB2312" w:eastAsia="仿宋_GB2312" w:cs="仿宋_GB2312"/>
          <w:kern w:val="0"/>
          <w:sz w:val="32"/>
          <w:szCs w:val="32"/>
          <w:highlight w:val="none"/>
        </w:rPr>
        <w:t>（类）退役军人管理事务（款）其他退役军人事务管理支出（项）：指除上述项目以外其他用于退役军人事务管理方面的支出。</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卫生健康支出（类）行政事业单位医疗（款）事业单位医疗（项）:反映财政部门集中安排的事业单位基本医疗保险缴费经费，未参加医疗保险的事业单位公费医疗经费，按国家规定享受离退休人员待遇的医疗经费。</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项目支出：指在基本支出之外为完成特定行政任务和事业发展目标所发生的支出。</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4"/>
        </w:numPr>
        <w:kinsoku/>
        <w:wordWrap/>
        <w:overflowPunct/>
        <w:topLinePunct w:val="0"/>
        <w:bidi w:val="0"/>
        <w:snapToGrid/>
        <w:spacing w:line="640" w:lineRule="exact"/>
        <w:ind w:left="0" w:leftChars="0" w:firstLine="400" w:firstLineChars="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hAnsi="仿宋_GB2312" w:eastAsia="仿宋_GB2312" w:cs="仿宋_GB2312"/>
          <w:kern w:val="0"/>
          <w:sz w:val="32"/>
          <w:szCs w:val="32"/>
          <w:highlight w:val="none"/>
          <w:lang w:eastAsia="zh-CN"/>
        </w:rPr>
        <w:t>。</w:t>
      </w:r>
      <w:bookmarkStart w:id="73" w:name="_Toc15396614"/>
      <w:bookmarkStart w:id="74" w:name="_Toc15377226"/>
    </w:p>
    <w:p>
      <w:pPr>
        <w:ind w:firstLine="880" w:firstLineChars="200"/>
        <w:jc w:val="left"/>
        <w:rPr>
          <w:rFonts w:hint="eastAsia" w:ascii="黑体" w:hAnsi="黑体" w:eastAsia="黑体"/>
          <w:color w:val="auto"/>
          <w:sz w:val="44"/>
          <w:szCs w:val="44"/>
          <w:highlight w:val="none"/>
        </w:rPr>
      </w:pPr>
    </w:p>
    <w:p>
      <w:pPr>
        <w:numPr>
          <w:ilvl w:val="0"/>
          <w:numId w:val="0"/>
        </w:numPr>
        <w:jc w:val="center"/>
        <w:rPr>
          <w:rStyle w:val="16"/>
          <w:rFonts w:hint="eastAsia" w:ascii="方正小标宋简体" w:hAnsi="方正小标宋简体" w:eastAsia="方正小标宋简体" w:cs="方正小标宋简体"/>
          <w:b w:val="0"/>
          <w:bCs/>
          <w:color w:val="auto"/>
          <w:highlight w:val="none"/>
        </w:rPr>
      </w:pPr>
      <w:bookmarkStart w:id="75" w:name="_Toc29910"/>
      <w:r>
        <w:rPr>
          <w:rStyle w:val="16"/>
          <w:rFonts w:hint="eastAsia" w:ascii="方正小标宋简体" w:hAnsi="方正小标宋简体" w:eastAsia="方正小标宋简体" w:cs="方正小标宋简体"/>
          <w:b w:val="0"/>
          <w:bCs/>
          <w:color w:val="auto"/>
          <w:highlight w:val="none"/>
          <w:lang w:eastAsia="zh-CN"/>
        </w:rPr>
        <w:t>第四部分</w:t>
      </w:r>
      <w:r>
        <w:rPr>
          <w:rStyle w:val="16"/>
          <w:rFonts w:hint="eastAsia" w:ascii="方正小标宋简体" w:hAnsi="方正小标宋简体" w:eastAsia="方正小标宋简体" w:cs="方正小标宋简体"/>
          <w:b w:val="0"/>
          <w:bCs/>
          <w:color w:val="auto"/>
          <w:highlight w:val="none"/>
        </w:rPr>
        <w:t>附件</w:t>
      </w:r>
      <w:bookmarkEnd w:id="73"/>
    </w:p>
    <w:bookmarkEnd w:id="75"/>
    <w:p>
      <w:pPr>
        <w:pStyle w:val="2"/>
        <w:numPr>
          <w:ilvl w:val="0"/>
          <w:numId w:val="0"/>
        </w:numPr>
        <w:ind w:leftChars="150"/>
      </w:pPr>
    </w:p>
    <w:p>
      <w:pPr>
        <w:spacing w:line="600" w:lineRule="exact"/>
        <w:jc w:val="center"/>
        <w:outlineLvl w:val="9"/>
        <w:rPr>
          <w:rFonts w:hint="eastAsia" w:ascii="宋体" w:hAnsi="宋体" w:eastAsia="宋体" w:cs="宋体"/>
          <w:color w:val="auto"/>
          <w:kern w:val="0"/>
          <w:sz w:val="32"/>
          <w:szCs w:val="32"/>
          <w:highlight w:val="none"/>
          <w:lang w:val="en-US" w:eastAsia="zh-CN" w:bidi="ar-SA"/>
        </w:rPr>
      </w:pPr>
      <w:bookmarkStart w:id="76" w:name="_Toc15396618"/>
    </w:p>
    <w:p>
      <w:pPr>
        <w:spacing w:line="600" w:lineRule="exact"/>
        <w:jc w:val="center"/>
        <w:outlineLvl w:val="9"/>
        <w:rPr>
          <w:rFonts w:hint="eastAsia" w:ascii="宋体" w:hAnsi="宋体" w:eastAsia="宋体" w:cs="宋体"/>
          <w:color w:val="auto"/>
          <w:kern w:val="0"/>
          <w:sz w:val="32"/>
          <w:szCs w:val="32"/>
          <w:highlight w:val="none"/>
          <w:lang w:val="en-US" w:eastAsia="zh-CN" w:bidi="ar-SA"/>
        </w:rPr>
      </w:pPr>
    </w:p>
    <w:p>
      <w:pPr>
        <w:spacing w:line="600" w:lineRule="exact"/>
        <w:jc w:val="center"/>
        <w:outlineLvl w:val="9"/>
        <w:rPr>
          <w:rFonts w:hint="eastAsia" w:ascii="宋体" w:hAnsi="宋体" w:eastAsia="宋体" w:cs="宋体"/>
          <w:color w:val="auto"/>
          <w:kern w:val="0"/>
          <w:sz w:val="32"/>
          <w:szCs w:val="32"/>
          <w:highlight w:val="none"/>
          <w:lang w:val="en-US" w:eastAsia="zh-CN" w:bidi="ar-SA"/>
        </w:rPr>
      </w:pPr>
    </w:p>
    <w:p>
      <w:pPr>
        <w:spacing w:line="600" w:lineRule="exact"/>
        <w:jc w:val="center"/>
        <w:outlineLvl w:val="9"/>
        <w:rPr>
          <w:rFonts w:hint="eastAsia" w:ascii="宋体" w:hAnsi="宋体" w:eastAsia="宋体" w:cs="宋体"/>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方正小标宋简体" w:hAnsi="方正小标宋简体" w:eastAsia="方正小标宋简体" w:cs="方正小标宋简体"/>
          <w:color w:val="auto"/>
          <w:sz w:val="44"/>
          <w:szCs w:val="44"/>
          <w:highlight w:val="none"/>
        </w:rPr>
      </w:pPr>
    </w:p>
    <w:p>
      <w:pPr>
        <w:spacing w:line="600" w:lineRule="exact"/>
        <w:jc w:val="center"/>
        <w:outlineLvl w:val="0"/>
        <w:rPr>
          <w:rFonts w:hint="eastAsia" w:ascii="方正小标宋简体" w:hAnsi="方正小标宋简体" w:eastAsia="方正小标宋简体" w:cs="方正小标宋简体"/>
          <w:b w:val="0"/>
          <w:color w:val="auto"/>
          <w:sz w:val="44"/>
          <w:szCs w:val="44"/>
          <w:highlight w:val="none"/>
        </w:rPr>
      </w:pPr>
      <w:bookmarkStart w:id="77" w:name="_Toc31133"/>
      <w:r>
        <w:rPr>
          <w:rFonts w:hint="eastAsia" w:ascii="方正小标宋简体" w:hAnsi="方正小标宋简体" w:eastAsia="方正小标宋简体" w:cs="方正小标宋简体"/>
          <w:color w:val="auto"/>
          <w:sz w:val="44"/>
          <w:szCs w:val="44"/>
          <w:highlight w:val="none"/>
        </w:rPr>
        <w:t>第</w:t>
      </w:r>
      <w:r>
        <w:rPr>
          <w:rStyle w:val="16"/>
          <w:rFonts w:hint="eastAsia" w:ascii="方正小标宋简体" w:hAnsi="方正小标宋简体" w:eastAsia="方正小标宋简体" w:cs="方正小标宋简体"/>
          <w:b w:val="0"/>
          <w:color w:val="auto"/>
          <w:sz w:val="44"/>
          <w:szCs w:val="44"/>
          <w:highlight w:val="none"/>
        </w:rPr>
        <w:t>五部分附表</w:t>
      </w:r>
      <w:bookmarkEnd w:id="74"/>
      <w:bookmarkEnd w:id="76"/>
      <w:bookmarkEnd w:id="77"/>
      <w:bookmarkStart w:id="78" w:name="_Toc15396619"/>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outlineLvl w:val="9"/>
        <w:rPr>
          <w:rFonts w:hint="eastAsia" w:ascii="仿宋" w:hAnsi="仿宋" w:eastAsia="仿宋"/>
          <w:b w:val="0"/>
          <w:color w:val="auto"/>
          <w:highlight w:val="none"/>
        </w:rPr>
      </w:pPr>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79" w:name="_Toc29986"/>
      <w:r>
        <w:rPr>
          <w:rFonts w:hint="eastAsia" w:ascii="仿宋_GB2312" w:hAnsi="仿宋_GB2312" w:eastAsia="仿宋_GB2312" w:cs="仿宋_GB2312"/>
          <w:b w:val="0"/>
          <w:color w:val="auto"/>
          <w:highlight w:val="none"/>
        </w:rPr>
        <w:t>一、收</w:t>
      </w:r>
      <w:r>
        <w:rPr>
          <w:rStyle w:val="17"/>
          <w:rFonts w:hint="eastAsia" w:ascii="仿宋_GB2312" w:hAnsi="仿宋_GB2312" w:eastAsia="仿宋_GB2312" w:cs="仿宋_GB2312"/>
          <w:b w:val="0"/>
          <w:bCs w:val="0"/>
          <w:color w:val="auto"/>
          <w:highlight w:val="none"/>
        </w:rPr>
        <w:t>入支出决算总表</w:t>
      </w:r>
      <w:bookmarkEnd w:id="78"/>
      <w:bookmarkEnd w:id="79"/>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80" w:name="_Toc15396620"/>
      <w:bookmarkStart w:id="81" w:name="_Toc25077"/>
      <w:r>
        <w:rPr>
          <w:rFonts w:hint="eastAsia" w:ascii="仿宋_GB2312" w:hAnsi="仿宋_GB2312" w:eastAsia="仿宋_GB2312" w:cs="仿宋_GB2312"/>
          <w:b w:val="0"/>
          <w:color w:val="auto"/>
          <w:highlight w:val="none"/>
        </w:rPr>
        <w:t>二、收</w:t>
      </w:r>
      <w:r>
        <w:rPr>
          <w:rStyle w:val="17"/>
          <w:rFonts w:hint="eastAsia" w:ascii="仿宋_GB2312" w:hAnsi="仿宋_GB2312" w:eastAsia="仿宋_GB2312" w:cs="仿宋_GB2312"/>
          <w:b w:val="0"/>
          <w:bCs w:val="0"/>
          <w:color w:val="auto"/>
          <w:highlight w:val="none"/>
        </w:rPr>
        <w:t>入决算表</w:t>
      </w:r>
      <w:bookmarkEnd w:id="80"/>
      <w:bookmarkEnd w:id="81"/>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82" w:name="_Toc18057"/>
      <w:bookmarkStart w:id="83" w:name="_Toc15396621"/>
      <w:r>
        <w:rPr>
          <w:rStyle w:val="17"/>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17"/>
          <w:rFonts w:hint="eastAsia" w:ascii="仿宋_GB2312" w:hAnsi="仿宋_GB2312" w:eastAsia="仿宋_GB2312" w:cs="仿宋_GB2312"/>
          <w:b w:val="0"/>
          <w:bCs w:val="0"/>
          <w:color w:val="auto"/>
          <w:highlight w:val="none"/>
        </w:rPr>
        <w:t>出决算表</w:t>
      </w:r>
      <w:bookmarkEnd w:id="82"/>
      <w:bookmarkEnd w:id="83"/>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b w:val="0"/>
          <w:color w:val="auto"/>
          <w:highlight w:val="none"/>
        </w:rPr>
      </w:pPr>
      <w:bookmarkStart w:id="84" w:name="_Toc31761"/>
      <w:bookmarkStart w:id="85" w:name="_Toc15396622"/>
      <w:r>
        <w:rPr>
          <w:rStyle w:val="17"/>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17"/>
          <w:rFonts w:hint="eastAsia" w:ascii="仿宋_GB2312" w:hAnsi="仿宋_GB2312" w:eastAsia="仿宋_GB2312" w:cs="仿宋_GB2312"/>
          <w:b w:val="0"/>
          <w:bCs w:val="0"/>
          <w:color w:val="auto"/>
          <w:highlight w:val="none"/>
        </w:rPr>
        <w:t>政拨款收入支出决算总表</w:t>
      </w:r>
      <w:bookmarkEnd w:id="84"/>
      <w:bookmarkEnd w:id="85"/>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Style w:val="17"/>
          <w:rFonts w:hint="eastAsia" w:ascii="仿宋_GB2312" w:hAnsi="仿宋_GB2312" w:eastAsia="仿宋_GB2312" w:cs="仿宋_GB2312"/>
          <w:b w:val="0"/>
          <w:bCs w:val="0"/>
          <w:color w:val="auto"/>
          <w:highlight w:val="none"/>
        </w:rPr>
      </w:pPr>
      <w:bookmarkStart w:id="86" w:name="_Toc15396623"/>
      <w:bookmarkStart w:id="87" w:name="_Toc17499"/>
      <w:r>
        <w:rPr>
          <w:rStyle w:val="17"/>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17"/>
          <w:rFonts w:hint="eastAsia" w:ascii="仿宋_GB2312" w:hAnsi="仿宋_GB2312" w:eastAsia="仿宋_GB2312" w:cs="仿宋_GB2312"/>
          <w:b w:val="0"/>
          <w:bCs w:val="0"/>
          <w:color w:val="auto"/>
          <w:highlight w:val="none"/>
        </w:rPr>
        <w:t>政拨款支出决算明细表</w:t>
      </w:r>
      <w:bookmarkEnd w:id="86"/>
      <w:bookmarkEnd w:id="87"/>
      <w:bookmarkStart w:id="88" w:name="_Toc15396624"/>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89" w:name="_Toc14539"/>
      <w:r>
        <w:rPr>
          <w:rStyle w:val="17"/>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17"/>
          <w:rFonts w:hint="eastAsia" w:ascii="仿宋_GB2312" w:hAnsi="仿宋_GB2312" w:eastAsia="仿宋_GB2312" w:cs="仿宋_GB2312"/>
          <w:b w:val="0"/>
          <w:bCs w:val="0"/>
          <w:color w:val="auto"/>
          <w:highlight w:val="none"/>
        </w:rPr>
        <w:t>般公共预算财政拨款支出决算表</w:t>
      </w:r>
      <w:bookmarkEnd w:id="88"/>
      <w:bookmarkEnd w:id="89"/>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90" w:name="_Toc15396625"/>
      <w:bookmarkStart w:id="91" w:name="_Toc7110"/>
      <w:r>
        <w:rPr>
          <w:rStyle w:val="17"/>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17"/>
          <w:rFonts w:hint="eastAsia" w:ascii="仿宋_GB2312" w:hAnsi="仿宋_GB2312" w:eastAsia="仿宋_GB2312" w:cs="仿宋_GB2312"/>
          <w:b w:val="0"/>
          <w:bCs w:val="0"/>
          <w:color w:val="auto"/>
          <w:highlight w:val="none"/>
        </w:rPr>
        <w:t>般公共预算财政拨款支出决算明细表</w:t>
      </w:r>
      <w:bookmarkEnd w:id="90"/>
      <w:bookmarkEnd w:id="91"/>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92" w:name="_Toc31075"/>
      <w:bookmarkStart w:id="93" w:name="_Toc15396626"/>
      <w:r>
        <w:rPr>
          <w:rStyle w:val="17"/>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17"/>
          <w:rFonts w:hint="eastAsia" w:ascii="仿宋_GB2312" w:hAnsi="仿宋_GB2312" w:eastAsia="仿宋_GB2312" w:cs="仿宋_GB2312"/>
          <w:b w:val="0"/>
          <w:bCs w:val="0"/>
          <w:color w:val="auto"/>
          <w:highlight w:val="none"/>
        </w:rPr>
        <w:t>般公共预算财政拨款基本支出决算表</w:t>
      </w:r>
      <w:bookmarkEnd w:id="92"/>
      <w:bookmarkEnd w:id="93"/>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94" w:name="_Toc13967"/>
      <w:bookmarkStart w:id="95" w:name="_Toc15396627"/>
      <w:r>
        <w:rPr>
          <w:rStyle w:val="17"/>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17"/>
          <w:rFonts w:hint="eastAsia" w:ascii="仿宋_GB2312" w:hAnsi="仿宋_GB2312" w:eastAsia="仿宋_GB2312" w:cs="仿宋_GB2312"/>
          <w:b w:val="0"/>
          <w:bCs w:val="0"/>
          <w:color w:val="auto"/>
          <w:highlight w:val="none"/>
        </w:rPr>
        <w:t>般公共预算财政拨款项目支出决算表</w:t>
      </w:r>
      <w:bookmarkEnd w:id="94"/>
      <w:bookmarkEnd w:id="95"/>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96" w:name="_Toc15396628"/>
      <w:bookmarkStart w:id="97" w:name="_Toc32751"/>
      <w:r>
        <w:rPr>
          <w:rStyle w:val="17"/>
          <w:rFonts w:hint="eastAsia" w:ascii="仿宋_GB2312" w:hAnsi="仿宋_GB2312" w:eastAsia="仿宋_GB2312" w:cs="仿宋_GB2312"/>
          <w:b w:val="0"/>
          <w:bCs w:val="0"/>
          <w:color w:val="auto"/>
          <w:highlight w:val="none"/>
        </w:rPr>
        <w:t>十、</w:t>
      </w:r>
      <w:bookmarkEnd w:id="96"/>
      <w:r>
        <w:rPr>
          <w:rFonts w:hint="eastAsia" w:ascii="仿宋_GB2312" w:hAnsi="仿宋_GB2312" w:eastAsia="仿宋_GB2312" w:cs="仿宋_GB2312"/>
          <w:b w:val="0"/>
          <w:color w:val="auto"/>
          <w:highlight w:val="none"/>
        </w:rPr>
        <w:t>政</w:t>
      </w:r>
      <w:r>
        <w:rPr>
          <w:rStyle w:val="17"/>
          <w:rFonts w:hint="eastAsia" w:ascii="仿宋_GB2312" w:hAnsi="仿宋_GB2312" w:eastAsia="仿宋_GB2312" w:cs="仿宋_GB2312"/>
          <w:b w:val="0"/>
          <w:bCs w:val="0"/>
          <w:color w:val="auto"/>
          <w:highlight w:val="none"/>
        </w:rPr>
        <w:t>府性基金预算财政拨款收入支出决算表</w:t>
      </w:r>
      <w:bookmarkEnd w:id="97"/>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98" w:name="_Toc15396629"/>
      <w:bookmarkStart w:id="99" w:name="_Toc22611"/>
      <w:r>
        <w:rPr>
          <w:rStyle w:val="17"/>
          <w:rFonts w:hint="eastAsia" w:ascii="仿宋_GB2312" w:hAnsi="仿宋_GB2312" w:eastAsia="仿宋_GB2312" w:cs="仿宋_GB2312"/>
          <w:b w:val="0"/>
          <w:bCs w:val="0"/>
          <w:color w:val="auto"/>
          <w:highlight w:val="none"/>
        </w:rPr>
        <w:t>十一、</w:t>
      </w:r>
      <w:bookmarkEnd w:id="98"/>
      <w:r>
        <w:rPr>
          <w:rFonts w:hint="eastAsia" w:ascii="仿宋_GB2312" w:hAnsi="仿宋_GB2312" w:eastAsia="仿宋_GB2312" w:cs="仿宋_GB2312"/>
          <w:b w:val="0"/>
          <w:color w:val="auto"/>
          <w:highlight w:val="none"/>
        </w:rPr>
        <w:t>国</w:t>
      </w:r>
      <w:r>
        <w:rPr>
          <w:rStyle w:val="17"/>
          <w:rFonts w:hint="eastAsia" w:ascii="仿宋_GB2312" w:hAnsi="仿宋_GB2312" w:eastAsia="仿宋_GB2312" w:cs="仿宋_GB2312"/>
          <w:b w:val="0"/>
          <w:bCs w:val="0"/>
          <w:color w:val="auto"/>
          <w:highlight w:val="none"/>
        </w:rPr>
        <w:t>有资本经营预算</w:t>
      </w:r>
      <w:r>
        <w:rPr>
          <w:rStyle w:val="17"/>
          <w:rFonts w:hint="eastAsia" w:ascii="仿宋_GB2312" w:hAnsi="仿宋_GB2312" w:eastAsia="仿宋_GB2312" w:cs="仿宋_GB2312"/>
          <w:b w:val="0"/>
          <w:bCs w:val="0"/>
          <w:color w:val="auto"/>
          <w:highlight w:val="none"/>
          <w:lang w:eastAsia="zh-CN"/>
        </w:rPr>
        <w:t>财政拨款收入</w:t>
      </w:r>
      <w:r>
        <w:rPr>
          <w:rStyle w:val="17"/>
          <w:rFonts w:hint="eastAsia" w:ascii="仿宋_GB2312" w:hAnsi="仿宋_GB2312" w:eastAsia="仿宋_GB2312" w:cs="仿宋_GB2312"/>
          <w:b w:val="0"/>
          <w:bCs w:val="0"/>
          <w:color w:val="auto"/>
          <w:highlight w:val="none"/>
        </w:rPr>
        <w:t>支出决算表</w:t>
      </w:r>
      <w:bookmarkEnd w:id="99"/>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rPr>
      </w:pPr>
      <w:bookmarkStart w:id="100" w:name="_Toc15396630"/>
      <w:bookmarkStart w:id="101" w:name="_Toc19469"/>
      <w:r>
        <w:rPr>
          <w:rStyle w:val="17"/>
          <w:rFonts w:hint="eastAsia" w:ascii="仿宋_GB2312" w:hAnsi="仿宋_GB2312" w:eastAsia="仿宋_GB2312" w:cs="仿宋_GB2312"/>
          <w:b w:val="0"/>
          <w:bCs w:val="0"/>
          <w:color w:val="auto"/>
          <w:highlight w:val="none"/>
        </w:rPr>
        <w:t>十二、</w:t>
      </w:r>
      <w:bookmarkEnd w:id="100"/>
      <w:r>
        <w:rPr>
          <w:rStyle w:val="17"/>
          <w:rFonts w:hint="eastAsia" w:ascii="仿宋_GB2312" w:hAnsi="仿宋_GB2312" w:eastAsia="仿宋_GB2312" w:cs="仿宋_GB2312"/>
          <w:b w:val="0"/>
          <w:bCs w:val="0"/>
          <w:color w:val="auto"/>
          <w:highlight w:val="none"/>
          <w:lang w:eastAsia="zh-CN"/>
        </w:rPr>
        <w:t>国有资本经营预算财政拨款支出决算表</w:t>
      </w:r>
      <w:bookmarkEnd w:id="101"/>
    </w:p>
    <w:p>
      <w:pPr>
        <w:pStyle w:val="4"/>
        <w:keepNext/>
        <w:keepLines/>
        <w:pageBreakBefore w:val="0"/>
        <w:widowControl w:val="0"/>
        <w:kinsoku/>
        <w:wordWrap/>
        <w:overflowPunct/>
        <w:topLinePunct w:val="0"/>
        <w:autoSpaceDE/>
        <w:autoSpaceDN/>
        <w:bidi w:val="0"/>
        <w:adjustRightInd/>
        <w:snapToGrid/>
        <w:spacing w:before="0" w:after="0" w:line="660" w:lineRule="exact"/>
        <w:textAlignment w:val="auto"/>
        <w:rPr>
          <w:rFonts w:hint="eastAsia" w:ascii="仿宋_GB2312" w:hAnsi="仿宋_GB2312" w:eastAsia="仿宋_GB2312" w:cs="仿宋_GB2312"/>
          <w:color w:val="auto"/>
          <w:highlight w:val="none"/>
          <w:lang w:eastAsia="zh-CN"/>
        </w:rPr>
      </w:pPr>
      <w:bookmarkStart w:id="102" w:name="_Toc15396631"/>
      <w:bookmarkStart w:id="103" w:name="_Toc27360"/>
      <w:r>
        <w:rPr>
          <w:rStyle w:val="17"/>
          <w:rFonts w:hint="eastAsia" w:ascii="仿宋_GB2312" w:hAnsi="仿宋_GB2312" w:eastAsia="仿宋_GB2312" w:cs="仿宋_GB2312"/>
          <w:b w:val="0"/>
          <w:bCs w:val="0"/>
          <w:color w:val="auto"/>
          <w:highlight w:val="none"/>
        </w:rPr>
        <w:t>十三、</w:t>
      </w:r>
      <w:bookmarkEnd w:id="102"/>
      <w:r>
        <w:rPr>
          <w:rStyle w:val="17"/>
          <w:rFonts w:hint="eastAsia" w:ascii="仿宋_GB2312" w:hAnsi="仿宋_GB2312" w:eastAsia="仿宋_GB2312" w:cs="仿宋_GB2312"/>
          <w:b w:val="0"/>
          <w:bCs w:val="0"/>
          <w:color w:val="auto"/>
          <w:highlight w:val="none"/>
          <w:lang w:eastAsia="zh-CN"/>
        </w:rPr>
        <w:t>财政拨款“三公”经费支出决算表</w:t>
      </w:r>
      <w:bookmarkEnd w:id="103"/>
    </w:p>
    <w:sectPr>
      <w:footerReference r:id="rId5" w:type="default"/>
      <w:pgSz w:w="11906" w:h="16838"/>
      <w:pgMar w:top="1701" w:right="1474" w:bottom="1701" w:left="1587" w:header="851" w:footer="1559"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F2BF0DAE"/>
    <w:multiLevelType w:val="singleLevel"/>
    <w:tmpl w:val="F2BF0DAE"/>
    <w:lvl w:ilvl="0" w:tentative="0">
      <w:start w:val="2"/>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1E9B7CF4"/>
    <w:multiLevelType w:val="singleLevel"/>
    <w:tmpl w:val="1E9B7CF4"/>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1280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2MzI4ODJjMGQwY2I1MDY4YmU5OWJjZWMzYzg2NT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0F525276"/>
    <w:rsid w:val="10C055FF"/>
    <w:rsid w:val="118107EC"/>
    <w:rsid w:val="11DD6519"/>
    <w:rsid w:val="15F65CFA"/>
    <w:rsid w:val="16BB723D"/>
    <w:rsid w:val="18015F3F"/>
    <w:rsid w:val="1A135280"/>
    <w:rsid w:val="1BE8440E"/>
    <w:rsid w:val="1D155CEE"/>
    <w:rsid w:val="1ED82A39"/>
    <w:rsid w:val="20131970"/>
    <w:rsid w:val="20F57F95"/>
    <w:rsid w:val="21585BE6"/>
    <w:rsid w:val="240371BF"/>
    <w:rsid w:val="25711CC6"/>
    <w:rsid w:val="25C741E6"/>
    <w:rsid w:val="26523B3F"/>
    <w:rsid w:val="27842671"/>
    <w:rsid w:val="27906EE8"/>
    <w:rsid w:val="27CB1D94"/>
    <w:rsid w:val="29FD04D3"/>
    <w:rsid w:val="2ABE7A3E"/>
    <w:rsid w:val="2C2432F0"/>
    <w:rsid w:val="2CA234A8"/>
    <w:rsid w:val="2EFA178C"/>
    <w:rsid w:val="30000983"/>
    <w:rsid w:val="30B46D73"/>
    <w:rsid w:val="3131298A"/>
    <w:rsid w:val="319F7F4E"/>
    <w:rsid w:val="32AB107A"/>
    <w:rsid w:val="370825B5"/>
    <w:rsid w:val="383D272C"/>
    <w:rsid w:val="39AE70AB"/>
    <w:rsid w:val="39DA7E5D"/>
    <w:rsid w:val="3C0C0783"/>
    <w:rsid w:val="3F9F3A96"/>
    <w:rsid w:val="41085755"/>
    <w:rsid w:val="47543636"/>
    <w:rsid w:val="48BF60AB"/>
    <w:rsid w:val="493C27E9"/>
    <w:rsid w:val="496F39ED"/>
    <w:rsid w:val="49FF41D3"/>
    <w:rsid w:val="4BE068DB"/>
    <w:rsid w:val="4BF6002B"/>
    <w:rsid w:val="4ECE2238"/>
    <w:rsid w:val="51DB4B86"/>
    <w:rsid w:val="55333C3E"/>
    <w:rsid w:val="576FD71E"/>
    <w:rsid w:val="583D1166"/>
    <w:rsid w:val="5FEB6337"/>
    <w:rsid w:val="62D91739"/>
    <w:rsid w:val="64CA39A1"/>
    <w:rsid w:val="69630ADE"/>
    <w:rsid w:val="6A1E7E43"/>
    <w:rsid w:val="6AB9362D"/>
    <w:rsid w:val="6C4A05C8"/>
    <w:rsid w:val="6CB94CDA"/>
    <w:rsid w:val="6D3B1A89"/>
    <w:rsid w:val="71BF4EC2"/>
    <w:rsid w:val="71E72511"/>
    <w:rsid w:val="72734D90"/>
    <w:rsid w:val="7412278C"/>
    <w:rsid w:val="77C96E79"/>
    <w:rsid w:val="7904082E"/>
    <w:rsid w:val="79D7D5A0"/>
    <w:rsid w:val="79E7B28D"/>
    <w:rsid w:val="7AD12DA7"/>
    <w:rsid w:val="7F9F20EE"/>
    <w:rsid w:val="7FEB6184"/>
    <w:rsid w:val="9E3A10E2"/>
    <w:rsid w:val="A5DBB59C"/>
    <w:rsid w:val="AABF6A09"/>
    <w:rsid w:val="AF6F7025"/>
    <w:rsid w:val="AFB7B230"/>
    <w:rsid w:val="DEE2FBBF"/>
    <w:rsid w:val="E7B98A3A"/>
    <w:rsid w:val="EE4F0596"/>
    <w:rsid w:val="F2E1F9D4"/>
    <w:rsid w:val="F4D67B7E"/>
    <w:rsid w:val="F7880819"/>
    <w:rsid w:val="F9F373B3"/>
    <w:rsid w:val="FA77DBAC"/>
    <w:rsid w:val="FCEF9737"/>
    <w:rsid w:val="FD5B3C9E"/>
    <w:rsid w:val="FEB7BB84"/>
    <w:rsid w:val="FEED7C0B"/>
    <w:rsid w:val="FF6AE3E7"/>
    <w:rsid w:val="FFFD07B5"/>
    <w:rsid w:val="FFFE28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常用样式（方正仿宋简）"/>
    <w:basedOn w:val="1"/>
    <w:qFormat/>
    <w:uiPriority w:val="0"/>
    <w:pPr>
      <w:spacing w:line="560" w:lineRule="exact"/>
      <w:ind w:firstLine="640" w:firstLineChars="200"/>
    </w:pPr>
    <w:rPr>
      <w:rFonts w:eastAsia="方正仿宋简体"/>
      <w:sz w:val="32"/>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445"/>
          <c:y val="0.127"/>
          <c:w val="0.9268"/>
          <c:h val="0.717233333333333"/>
        </c:manualLayout>
      </c:layout>
      <c:barChart>
        <c:barDir val="col"/>
        <c:grouping val="clustered"/>
        <c:varyColors val="0"/>
        <c:ser>
          <c:idx val="0"/>
          <c:order val="0"/>
          <c:tx>
            <c:strRef>
              <c:f>Sheet1!$B$1</c:f>
              <c:strCache>
                <c:ptCount val="1"/>
                <c:pt idx="0">
                  <c:v>收、支决算总计变动情况图</c:v>
                </c:pt>
              </c:strCache>
            </c:strRef>
          </c:tx>
          <c:spPr>
            <a:solidFill>
              <a:schemeClr val="accent1"/>
            </a:solidFill>
            <a:ln>
              <a:noFill/>
            </a:ln>
            <a:effectLst/>
          </c:spPr>
          <c:invertIfNegative val="0"/>
          <c:dLbls>
            <c:delete val="1"/>
          </c:dLbls>
          <c:cat>
            <c:strRef>
              <c:f>Sheet1!$A$2:$A$3</c:f>
              <c:strCache>
                <c:ptCount val="2"/>
                <c:pt idx="0">
                  <c:v>2021年度</c:v>
                </c:pt>
                <c:pt idx="1">
                  <c:v>2022年度</c:v>
                </c:pt>
              </c:strCache>
            </c:strRef>
          </c:cat>
          <c:val>
            <c:numRef>
              <c:f>Sheet1!$B$2:$B$3</c:f>
              <c:numCache>
                <c:formatCode>General</c:formatCode>
                <c:ptCount val="2"/>
                <c:pt idx="0">
                  <c:v>374.08</c:v>
                </c:pt>
                <c:pt idx="1">
                  <c:v>401.22</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2021年度</c:v>
                </c:pt>
                <c:pt idx="1">
                  <c:v>2022年度</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2021年度</c:v>
                </c:pt>
                <c:pt idx="1">
                  <c:v>2022年度</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193315824"/>
        <c:axId val="111495524"/>
      </c:barChart>
      <c:catAx>
        <c:axId val="1933158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495524"/>
        <c:crosses val="autoZero"/>
        <c:auto val="1"/>
        <c:lblAlgn val="ctr"/>
        <c:lblOffset val="100"/>
        <c:noMultiLvlLbl val="0"/>
      </c:catAx>
      <c:valAx>
        <c:axId val="1114955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3315824"/>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2975"/>
          <c:y val="0.043"/>
          <c:w val="0.41875"/>
          <c:h val="0.055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一般公共预算财政拨款收入353.94万元</c:v>
                </c:pt>
                <c:pt idx="1">
                  <c:v>其他收入2.98万元</c:v>
                </c:pt>
              </c:strCache>
            </c:strRef>
          </c:cat>
          <c:val>
            <c:numRef>
              <c:f>Sheet1!$B$2:$B$3</c:f>
              <c:numCache>
                <c:formatCode>0.00%</c:formatCode>
                <c:ptCount val="2"/>
                <c:pt idx="0">
                  <c:v>0.992</c:v>
                </c:pt>
                <c:pt idx="1">
                  <c:v>0.008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基本支出294.03万元</c:v>
                </c:pt>
                <c:pt idx="1">
                  <c:v>项目支出107.08万元</c:v>
                </c:pt>
              </c:strCache>
            </c:strRef>
          </c:cat>
          <c:val>
            <c:numRef>
              <c:f>Sheet1!$B$2:$B$3</c:f>
              <c:numCache>
                <c:formatCode>0.00%</c:formatCode>
                <c:ptCount val="2"/>
                <c:pt idx="0">
                  <c:v>0.733</c:v>
                </c:pt>
                <c:pt idx="1">
                  <c:v>0.267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07"/>
          <c:y val="0.169166666666667"/>
          <c:w val="0.9018"/>
          <c:h val="0.675066666666667"/>
        </c:manualLayout>
      </c:layout>
      <c:barChart>
        <c:barDir val="col"/>
        <c:grouping val="clustered"/>
        <c:varyColors val="0"/>
        <c:ser>
          <c:idx val="0"/>
          <c:order val="0"/>
          <c:tx>
            <c:strRef>
              <c:f>Sheet1!$B$1</c:f>
              <c:strCache>
                <c:ptCount val="1"/>
                <c:pt idx="0">
                  <c:v>财政拨款收、支决算总计变动情况</c:v>
                </c:pt>
              </c:strCache>
            </c:strRef>
          </c:tx>
          <c:spPr>
            <a:solidFill>
              <a:schemeClr val="accent1"/>
            </a:solidFill>
            <a:ln>
              <a:noFill/>
            </a:ln>
            <a:effectLst/>
          </c:spPr>
          <c:invertIfNegative val="0"/>
          <c:dLbls>
            <c:delete val="1"/>
          </c:dLbls>
          <c:cat>
            <c:strRef>
              <c:f>Sheet1!$A$2:$A$3</c:f>
              <c:strCache>
                <c:ptCount val="2"/>
                <c:pt idx="0">
                  <c:v>2021年</c:v>
                </c:pt>
                <c:pt idx="1">
                  <c:v>2022年</c:v>
                </c:pt>
              </c:strCache>
            </c:strRef>
          </c:cat>
          <c:val>
            <c:numRef>
              <c:f>Sheet1!$B$2:$B$3</c:f>
              <c:numCache>
                <c:formatCode>General</c:formatCode>
                <c:ptCount val="2"/>
                <c:pt idx="0">
                  <c:v>357.23</c:v>
                </c:pt>
                <c:pt idx="1">
                  <c:v>398.24</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2021年</c:v>
                </c:pt>
                <c:pt idx="1">
                  <c:v>2022年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c:v>
                </c:pt>
                <c:pt idx="1">
                  <c:v>2022年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977434012"/>
        <c:axId val="334085736"/>
      </c:barChart>
      <c:catAx>
        <c:axId val="97743401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4085736"/>
        <c:crosses val="autoZero"/>
        <c:auto val="1"/>
        <c:lblAlgn val="ctr"/>
        <c:lblOffset val="100"/>
        <c:noMultiLvlLbl val="0"/>
      </c:catAx>
      <c:valAx>
        <c:axId val="334085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7434012"/>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282125"/>
          <c:y val="0.031"/>
          <c:w val="0.462625"/>
          <c:h val="0.0831666666666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07"/>
          <c:y val="0.196630565583634"/>
          <c:w val="0.87655"/>
          <c:h val="0.667725631768953"/>
        </c:manualLayout>
      </c:layout>
      <c:barChart>
        <c:barDir val="col"/>
        <c:grouping val="clustered"/>
        <c:varyColors val="0"/>
        <c:ser>
          <c:idx val="0"/>
          <c:order val="0"/>
          <c:tx>
            <c:strRef>
              <c:f>Sheet1!$B$1</c:f>
              <c:strCache>
                <c:ptCount val="1"/>
                <c:pt idx="0">
                  <c:v>一般公共预算财政拨款支出决算变动情况</c:v>
                </c:pt>
              </c:strCache>
            </c:strRef>
          </c:tx>
          <c:spPr>
            <a:solidFill>
              <a:schemeClr val="accent1"/>
            </a:solidFill>
            <a:ln>
              <a:noFill/>
            </a:ln>
            <a:effectLst/>
          </c:spPr>
          <c:invertIfNegative val="0"/>
          <c:dLbls>
            <c:delete val="1"/>
          </c:dLbls>
          <c:cat>
            <c:strRef>
              <c:f>Sheet1!$A$2:$A$3</c:f>
              <c:strCache>
                <c:ptCount val="2"/>
                <c:pt idx="0">
                  <c:v>2021年</c:v>
                </c:pt>
                <c:pt idx="1">
                  <c:v>2022年</c:v>
                </c:pt>
              </c:strCache>
            </c:strRef>
          </c:cat>
          <c:val>
            <c:numRef>
              <c:f>Sheet1!$B$2:$B$3</c:f>
              <c:numCache>
                <c:formatCode>General</c:formatCode>
                <c:ptCount val="2"/>
                <c:pt idx="0">
                  <c:v>313.17</c:v>
                </c:pt>
                <c:pt idx="1">
                  <c:v>398.13</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2021年</c:v>
                </c:pt>
                <c:pt idx="1">
                  <c:v>2022年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c:v>
                </c:pt>
                <c:pt idx="1">
                  <c:v>2022年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485896946"/>
        <c:axId val="878035943"/>
      </c:barChart>
      <c:catAx>
        <c:axId val="48589694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8035943"/>
        <c:crosses val="autoZero"/>
        <c:auto val="1"/>
        <c:lblAlgn val="ctr"/>
        <c:lblOffset val="100"/>
        <c:noMultiLvlLbl val="0"/>
      </c:catAx>
      <c:valAx>
        <c:axId val="8780359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5896946"/>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2945"/>
          <c:y val="0.064741275571600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Sheet1!$A$2:$A$4</c:f>
              <c:strCache>
                <c:ptCount val="3"/>
                <c:pt idx="0">
                  <c:v>社会保障和就业支出366.16万元</c:v>
                </c:pt>
                <c:pt idx="1">
                  <c:v>卫生健康支出9.54万元</c:v>
                </c:pt>
                <c:pt idx="2">
                  <c:v>住房保障支出22.42万元</c:v>
                </c:pt>
              </c:strCache>
            </c:strRef>
          </c:cat>
          <c:val>
            <c:numRef>
              <c:f>Sheet1!$B$2:$B$4</c:f>
              <c:numCache>
                <c:formatCode>0%</c:formatCode>
                <c:ptCount val="3"/>
                <c:pt idx="0">
                  <c:v>0.92</c:v>
                </c:pt>
                <c:pt idx="1" c:formatCode="0.00%">
                  <c:v>0.024</c:v>
                </c:pt>
                <c:pt idx="2" c:formatCode="0.00%">
                  <c:v>0.056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Sheet1!$A$2:$A$4</c:f>
              <c:strCache>
                <c:ptCount val="3"/>
                <c:pt idx="0">
                  <c:v>因公出国（境）费支出决算0万元</c:v>
                </c:pt>
                <c:pt idx="1">
                  <c:v>公务用车购置及运行维护费支出决算0万元</c:v>
                </c:pt>
                <c:pt idx="2">
                  <c:v>公务接待费支出决算0.32万元</c:v>
                </c:pt>
              </c:strCache>
            </c:strRef>
          </c:cat>
          <c:val>
            <c:numRef>
              <c:f>Sheet1!$B$2:$B$4</c:f>
              <c:numCache>
                <c:formatCode>General</c:formatCode>
                <c:ptCount val="3"/>
                <c:pt idx="0">
                  <c:v>0</c:v>
                </c:pt>
                <c:pt idx="1">
                  <c:v>0</c:v>
                </c:pt>
                <c:pt idx="2" c:formatCode="0%">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9</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monitor</cp:lastModifiedBy>
  <cp:lastPrinted>2023-08-03T10:35:00Z</cp:lastPrinted>
  <dcterms:modified xsi:type="dcterms:W3CDTF">2023-10-17T10:06:16Z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A05B5E39860D4A2A97EDF313554CB54A_13</vt:lpwstr>
  </property>
</Properties>
</file>