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jc w:val="center"/>
        <w:rPr>
          <w:rFonts w:hint="eastAsia" w:ascii="方正小标宋简体" w:hAnsi="方正小标宋简体" w:eastAsia="方正小标宋简体" w:cs="方正小标宋简体"/>
          <w:sz w:val="72"/>
          <w:szCs w:val="72"/>
          <w:lang w:eastAsia="zh-CN"/>
        </w:rPr>
      </w:pPr>
      <w:bookmarkStart w:id="1" w:name="_Toc15377425"/>
      <w:bookmarkStart w:id="2" w:name="_Toc15378441"/>
      <w:bookmarkStart w:id="3" w:name="_Toc15396597"/>
      <w:bookmarkStart w:id="4" w:name="_Toc15396475"/>
      <w:bookmarkStart w:id="5" w:name="_Toc15377193"/>
      <w:r>
        <w:rPr>
          <w:rFonts w:hint="eastAsia" w:ascii="方正小标宋简体" w:hAnsi="方正小标宋简体" w:eastAsia="方正小标宋简体" w:cs="方正小标宋简体"/>
          <w:sz w:val="72"/>
          <w:szCs w:val="72"/>
          <w:lang w:eastAsia="zh-CN"/>
        </w:rPr>
        <w:t>20</w:t>
      </w:r>
      <w:r>
        <w:rPr>
          <w:rFonts w:hint="eastAsia" w:ascii="方正小标宋简体" w:hAnsi="方正小标宋简体" w:eastAsia="方正小标宋简体" w:cs="方正小标宋简体"/>
          <w:sz w:val="72"/>
          <w:szCs w:val="72"/>
          <w:lang w:val="en-US" w:eastAsia="zh-CN"/>
        </w:rPr>
        <w:t>22</w:t>
      </w:r>
      <w:r>
        <w:rPr>
          <w:rFonts w:hint="eastAsia" w:ascii="方正小标宋简体" w:hAnsi="方正小标宋简体" w:eastAsia="方正小标宋简体" w:cs="方正小标宋简体"/>
          <w:sz w:val="72"/>
          <w:szCs w:val="72"/>
          <w:lang w:eastAsia="zh-CN"/>
        </w:rPr>
        <w:t>年度</w:t>
      </w:r>
    </w:p>
    <w:p>
      <w:pPr>
        <w:jc w:val="center"/>
        <w:rPr>
          <w:rFonts w:hint="eastAsia" w:ascii="方正小标宋简体" w:hAnsi="方正小标宋简体" w:eastAsia="方正小标宋简体" w:cs="方正小标宋简体"/>
          <w:sz w:val="72"/>
          <w:szCs w:val="72"/>
          <w:lang w:eastAsia="zh-CN"/>
        </w:rPr>
      </w:pPr>
      <w:bookmarkStart w:id="6" w:name="_Toc13750"/>
      <w:bookmarkStart w:id="7" w:name="_Toc9963"/>
      <w:bookmarkStart w:id="8" w:name="_Toc6786"/>
      <w:bookmarkStart w:id="9" w:name="_Toc1903"/>
      <w:bookmarkStart w:id="10" w:name="_Toc4628"/>
      <w:bookmarkStart w:id="11" w:name="_Toc32586"/>
      <w:r>
        <w:rPr>
          <w:rFonts w:hint="eastAsia" w:ascii="方正小标宋简体" w:hAnsi="方正小标宋简体" w:eastAsia="方正小标宋简体" w:cs="方正小标宋简体"/>
          <w:sz w:val="72"/>
          <w:szCs w:val="72"/>
          <w:lang w:eastAsia="zh-CN"/>
        </w:rPr>
        <w:t>广元市卫生健康委员会</w:t>
      </w:r>
      <w:bookmarkEnd w:id="6"/>
      <w:bookmarkEnd w:id="7"/>
      <w:bookmarkEnd w:id="8"/>
      <w:bookmarkEnd w:id="9"/>
      <w:bookmarkEnd w:id="10"/>
      <w:bookmarkEnd w:id="11"/>
    </w:p>
    <w:p>
      <w:pPr>
        <w:jc w:val="center"/>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lang w:eastAsia="zh-CN"/>
        </w:rPr>
        <w:t>（本级）</w:t>
      </w:r>
    </w:p>
    <w:p>
      <w:pPr>
        <w:jc w:val="center"/>
        <w:rPr>
          <w:rFonts w:hint="eastAsia" w:ascii="方正小标宋简体" w:hAnsi="方正小标宋简体" w:eastAsia="方正小标宋简体" w:cs="方正小标宋简体"/>
          <w:sz w:val="72"/>
          <w:szCs w:val="72"/>
          <w:lang w:eastAsia="zh-CN"/>
        </w:rPr>
      </w:pPr>
    </w:p>
    <w:p>
      <w:pPr>
        <w:jc w:val="center"/>
        <w:rPr>
          <w:rFonts w:hint="eastAsia" w:ascii="方正小标宋简体" w:hAnsi="方正小标宋简体" w:eastAsia="方正小标宋简体" w:cs="方正小标宋简体"/>
          <w:sz w:val="72"/>
          <w:szCs w:val="72"/>
          <w:lang w:eastAsia="zh-CN"/>
        </w:rPr>
        <w:sectPr>
          <w:headerReference r:id="rId3" w:type="default"/>
          <w:pgSz w:w="11906" w:h="16838"/>
          <w:pgMar w:top="1440" w:right="1800" w:bottom="1440" w:left="1800" w:header="851" w:footer="992" w:gutter="0"/>
          <w:pgNumType w:fmt="decimal" w:start="1"/>
          <w:cols w:space="425" w:num="1"/>
          <w:titlePg/>
          <w:docGrid w:type="lines" w:linePitch="312" w:charSpace="0"/>
        </w:sectPr>
      </w:pPr>
      <w:bookmarkStart w:id="12" w:name="_Toc21388"/>
      <w:bookmarkStart w:id="13" w:name="_Toc19838"/>
      <w:bookmarkStart w:id="14" w:name="_Toc23532"/>
      <w:bookmarkStart w:id="15" w:name="_Toc22174"/>
      <w:bookmarkStart w:id="16" w:name="_Toc16298"/>
      <w:bookmarkStart w:id="17" w:name="_Toc6273"/>
      <w:r>
        <w:rPr>
          <w:rFonts w:hint="eastAsia" w:ascii="方正小标宋简体" w:hAnsi="方正小标宋简体" w:eastAsia="方正小标宋简体" w:cs="方正小标宋简体"/>
          <w:sz w:val="72"/>
          <w:szCs w:val="72"/>
          <w:lang w:eastAsia="zh-CN"/>
        </w:rPr>
        <w:t>单位决</w:t>
      </w:r>
      <w:bookmarkEnd w:id="12"/>
      <w:bookmarkEnd w:id="13"/>
      <w:bookmarkEnd w:id="14"/>
      <w:bookmarkEnd w:id="15"/>
      <w:bookmarkEnd w:id="16"/>
      <w:bookmarkEnd w:id="17"/>
      <w:r>
        <w:rPr>
          <w:rFonts w:hint="eastAsia" w:ascii="方正小标宋简体" w:hAnsi="方正小标宋简体" w:eastAsia="方正小标宋简体" w:cs="方正小标宋简体"/>
          <w:sz w:val="72"/>
          <w:szCs w:val="72"/>
          <w:lang w:eastAsia="zh-CN"/>
        </w:rPr>
        <w:t>算</w:t>
      </w:r>
    </w:p>
    <w:bookmarkEnd w:id="0"/>
    <w:bookmarkEnd w:id="1"/>
    <w:bookmarkEnd w:id="2"/>
    <w:bookmarkEnd w:id="3"/>
    <w:bookmarkEnd w:id="4"/>
    <w:bookmarkEnd w:id="5"/>
    <w:p>
      <w:pPr>
        <w:bidi w:val="0"/>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1"/>
        <w:shd w:val="clear"/>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pPr>
        <w:rPr>
          <w:color w:val="auto"/>
          <w:highlight w:val="none"/>
        </w:rPr>
      </w:pPr>
    </w:p>
    <w:sdt>
      <w:sdtPr>
        <w:rPr>
          <w:rFonts w:ascii="宋体" w:hAnsi="宋体" w:eastAsia="宋体" w:cs="Times New Roman"/>
          <w:kern w:val="2"/>
          <w:sz w:val="21"/>
          <w:szCs w:val="24"/>
          <w:lang w:val="en-US" w:eastAsia="zh-CN" w:bidi="ar-SA"/>
        </w:rPr>
        <w:id w:val="147480426"/>
        <w15:color w:val="DBDBDB"/>
        <w:docPartObj>
          <w:docPartGallery w:val="Table of Contents"/>
          <w:docPartUnique/>
        </w:docPartObj>
      </w:sdtPr>
      <w:sdtEndPr>
        <w:rPr>
          <w:rFonts w:hint="eastAsia" w:ascii="仿宋" w:hAnsi="仿宋" w:eastAsia="仿宋" w:cs="仿宋"/>
          <w:b/>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8"/>
              <w:szCs w:val="28"/>
            </w:rPr>
          </w:pPr>
          <w:bookmarkStart w:id="18" w:name="_Toc15396599"/>
          <w:bookmarkStart w:id="19" w:name="_Toc15377196"/>
        </w:p>
        <w:p>
          <w:pPr>
            <w:pStyle w:val="11"/>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_Toc14729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 xml:space="preserve">第一部分 </w:t>
          </w:r>
          <w:r>
            <w:rPr>
              <w:rFonts w:hint="eastAsia" w:ascii="仿宋" w:hAnsi="仿宋" w:eastAsia="仿宋" w:cs="仿宋"/>
              <w:sz w:val="28"/>
              <w:szCs w:val="28"/>
              <w:highlight w:val="none"/>
              <w:lang w:eastAsia="zh-CN"/>
            </w:rPr>
            <w:t>单位</w:t>
          </w:r>
          <w:r>
            <w:rPr>
              <w:rFonts w:hint="eastAsia" w:ascii="仿宋" w:hAnsi="仿宋" w:eastAsia="仿宋" w:cs="仿宋"/>
              <w:sz w:val="28"/>
              <w:szCs w:val="28"/>
              <w:highlight w:val="none"/>
            </w:rPr>
            <w:t>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_Toc14729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_Toc23560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 xml:space="preserve">一、 </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_Toc23560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_Toc21530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 xml:space="preserve">二、 </w:t>
          </w:r>
          <w:r>
            <w:rPr>
              <w:rFonts w:hint="eastAsia" w:ascii="仿宋" w:hAnsi="仿宋" w:eastAsia="仿宋" w:cs="仿宋"/>
              <w:sz w:val="28"/>
              <w:szCs w:val="28"/>
              <w:highlight w:val="none"/>
              <w:lang w:val="en-US" w:eastAsia="zh-CN"/>
            </w:rPr>
            <w:t>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_Toc21530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_Toc27430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 xml:space="preserve">第二部分 </w:t>
          </w:r>
          <w:r>
            <w:rPr>
              <w:rFonts w:hint="eastAsia" w:ascii="仿宋" w:hAnsi="仿宋" w:eastAsia="仿宋" w:cs="仿宋"/>
              <w:sz w:val="28"/>
              <w:szCs w:val="28"/>
              <w:highlight w:val="none"/>
              <w:lang w:val="en-US" w:eastAsia="zh-CN"/>
            </w:rPr>
            <w:t>2022年度</w:t>
          </w:r>
          <w:r>
            <w:rPr>
              <w:rFonts w:hint="eastAsia" w:ascii="仿宋" w:hAnsi="仿宋" w:eastAsia="仿宋" w:cs="仿宋"/>
              <w:sz w:val="28"/>
              <w:szCs w:val="28"/>
              <w:highlight w:val="none"/>
              <w:lang w:eastAsia="zh-CN"/>
            </w:rPr>
            <w:t>单位</w:t>
          </w:r>
          <w:r>
            <w:rPr>
              <w:rFonts w:hint="eastAsia" w:ascii="仿宋" w:hAnsi="仿宋" w:eastAsia="仿宋" w:cs="仿宋"/>
              <w:sz w:val="28"/>
              <w:szCs w:val="28"/>
              <w:highlight w:val="none"/>
            </w:rPr>
            <w:t>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_Toc27430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_Toc3686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一、 </w:t>
          </w:r>
          <w:r>
            <w:rPr>
              <w:rFonts w:hint="eastAsia" w:ascii="仿宋" w:hAnsi="仿宋" w:eastAsia="仿宋" w:cs="仿宋"/>
              <w:sz w:val="28"/>
              <w:szCs w:val="28"/>
              <w:highlight w:val="none"/>
            </w:rPr>
            <w:t>收入支出决算总体情况说明</w:t>
          </w:r>
          <w:bookmarkStart w:id="103" w:name="_GoBack"/>
          <w:bookmarkEnd w:id="103"/>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_Toc3686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_Toc30953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二、 </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_Toc30953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_Toc21579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三、 </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_Toc21579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_Toc27223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_Toc27223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_Toc1224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_Toc24613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_Toc24613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_Toc19632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_Toc19632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_Toc20253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_Toc20253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_Toc25559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九、 </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_Toc25559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_Toc13588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十、 </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_Toc13588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_Toc10448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第三部分 </w:t>
          </w:r>
          <w:r>
            <w:rPr>
              <w:rFonts w:hint="eastAsia" w:ascii="仿宋" w:hAnsi="仿宋" w:eastAsia="仿宋" w:cs="仿宋"/>
              <w:sz w:val="28"/>
              <w:szCs w:val="28"/>
              <w:highlight w:val="none"/>
            </w:rPr>
            <w:t>名词解释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_Toc10448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_Toc5682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第四部分</w:t>
          </w:r>
          <w:r>
            <w:rPr>
              <w:rFonts w:hint="eastAsia" w:ascii="仿宋" w:hAnsi="仿宋" w:eastAsia="仿宋" w:cs="仿宋"/>
              <w:sz w:val="28"/>
              <w:szCs w:val="28"/>
              <w:highlight w:val="none"/>
              <w:lang w:val="en-US" w:eastAsia="zh-CN"/>
            </w:rPr>
            <w:t xml:space="preserve">  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_Toc5682 \h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_Toc14199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第五部分 附表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_Toc14199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_Toc3546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_Toc3546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_Toc14546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_Toc14546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_Toc22389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_Toc22389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_Toc24347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_Toc24347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_Toc5865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_Toc5865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_Toc22253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_Toc22253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_Toc9612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_Toc9612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_Toc32478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_Toc32478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_Toc4039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_Toc4039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_Toc287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_Toc4301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_Toc4301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_Toc1744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_Toc1744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_Toc1298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_Toc1298 \h </w:instrText>
          </w:r>
          <w:r>
            <w:rPr>
              <w:rFonts w:hint="eastAsia" w:ascii="仿宋" w:hAnsi="仿宋" w:eastAsia="仿宋" w:cs="仿宋"/>
              <w:sz w:val="28"/>
              <w:szCs w:val="28"/>
            </w:rPr>
            <w:fldChar w:fldCharType="separate"/>
          </w:r>
          <w:r>
            <w:rPr>
              <w:rFonts w:hint="eastAsia" w:ascii="仿宋" w:hAnsi="仿宋" w:eastAsia="仿宋" w:cs="仿宋"/>
              <w:sz w:val="28"/>
              <w:szCs w:val="28"/>
            </w:rPr>
            <w:t>73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rPr>
              <w:rFonts w:hint="eastAsia" w:ascii="仿宋" w:hAnsi="仿宋" w:eastAsia="仿宋" w:cs="仿宋"/>
              <w:sz w:val="28"/>
              <w:szCs w:val="28"/>
            </w:rPr>
          </w:pPr>
          <w:r>
            <w:rPr>
              <w:rFonts w:hint="eastAsia" w:ascii="仿宋" w:hAnsi="仿宋" w:eastAsia="仿宋" w:cs="仿宋"/>
              <w:sz w:val="28"/>
              <w:szCs w:val="28"/>
            </w:rPr>
            <w:fldChar w:fldCharType="end"/>
          </w:r>
        </w:p>
      </w:sdtContent>
    </w:sdt>
    <w:p>
      <w:pPr>
        <w:pStyle w:val="3"/>
        <w:jc w:val="center"/>
        <w:rPr>
          <w:rFonts w:hint="eastAsia" w:ascii="仿宋" w:hAnsi="仿宋" w:eastAsia="仿宋" w:cs="仿宋"/>
          <w:b w:val="0"/>
          <w:color w:val="auto"/>
          <w:sz w:val="28"/>
          <w:szCs w:val="28"/>
          <w:highlight w:val="none"/>
        </w:rPr>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pPr>
    </w:p>
    <w:p>
      <w:pPr>
        <w:spacing w:line="360" w:lineRule="auto"/>
        <w:jc w:val="center"/>
        <w:outlineLvl w:val="0"/>
        <w:rPr>
          <w:rFonts w:hint="eastAsia" w:ascii="黑体" w:hAnsi="黑体" w:eastAsia="黑体"/>
          <w:color w:val="auto"/>
          <w:sz w:val="44"/>
          <w:szCs w:val="44"/>
          <w:highlight w:val="none"/>
        </w:rPr>
      </w:pPr>
      <w:bookmarkStart w:id="20" w:name="_Toc14729"/>
      <w:r>
        <w:rPr>
          <w:rFonts w:hint="eastAsia" w:ascii="黑体" w:hAnsi="黑体" w:eastAsia="黑体"/>
          <w:color w:val="auto"/>
          <w:sz w:val="44"/>
          <w:szCs w:val="44"/>
          <w:highlight w:val="none"/>
        </w:rPr>
        <w:t xml:space="preserve">第一部分 </w:t>
      </w:r>
      <w:r>
        <w:rPr>
          <w:rFonts w:hint="eastAsia" w:ascii="黑体" w:hAnsi="黑体" w:eastAsia="黑体"/>
          <w:color w:val="auto"/>
          <w:sz w:val="44"/>
          <w:szCs w:val="44"/>
          <w:highlight w:val="none"/>
          <w:lang w:eastAsia="zh-CN"/>
        </w:rPr>
        <w:t>单位</w:t>
      </w:r>
      <w:r>
        <w:rPr>
          <w:rFonts w:hint="eastAsia" w:ascii="黑体" w:hAnsi="黑体" w:eastAsia="黑体"/>
          <w:color w:val="auto"/>
          <w:sz w:val="44"/>
          <w:szCs w:val="44"/>
          <w:highlight w:val="none"/>
        </w:rPr>
        <w:t>概况</w:t>
      </w:r>
      <w:bookmarkEnd w:id="18"/>
      <w:bookmarkEnd w:id="19"/>
      <w:bookmarkEnd w:id="20"/>
    </w:p>
    <w:p>
      <w:pPr>
        <w:widowControl/>
        <w:spacing w:line="360" w:lineRule="auto"/>
        <w:jc w:val="left"/>
        <w:rPr>
          <w:rFonts w:ascii="黑体" w:eastAsia="黑体"/>
          <w:color w:val="auto"/>
          <w:sz w:val="32"/>
          <w:szCs w:val="32"/>
          <w:highlight w:val="none"/>
        </w:rPr>
      </w:pPr>
    </w:p>
    <w:p>
      <w:pPr>
        <w:pStyle w:val="4"/>
        <w:numPr>
          <w:ilvl w:val="0"/>
          <w:numId w:val="1"/>
        </w:numPr>
        <w:spacing w:line="360" w:lineRule="auto"/>
        <w:rPr>
          <w:rStyle w:val="18"/>
          <w:rFonts w:hint="eastAsia" w:ascii="黑体" w:hAnsi="黑体" w:eastAsia="黑体"/>
          <w:b w:val="0"/>
          <w:bCs w:val="0"/>
          <w:color w:val="auto"/>
          <w:highlight w:val="none"/>
          <w:lang w:eastAsia="zh-CN"/>
        </w:rPr>
      </w:pPr>
      <w:bookmarkStart w:id="21" w:name="_Toc23560"/>
      <w:bookmarkStart w:id="22" w:name="_Toc15396600"/>
      <w:bookmarkStart w:id="23" w:name="_Toc15377197"/>
      <w:r>
        <w:rPr>
          <w:rStyle w:val="18"/>
          <w:rFonts w:hint="eastAsia" w:ascii="黑体" w:hAnsi="黑体" w:eastAsia="黑体"/>
          <w:b w:val="0"/>
          <w:bCs w:val="0"/>
          <w:color w:val="auto"/>
          <w:highlight w:val="none"/>
          <w:lang w:eastAsia="zh-CN"/>
        </w:rPr>
        <w:t>主要职责</w:t>
      </w:r>
      <w:bookmarkEnd w:id="21"/>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组织拟订全市卫生健康政策。负责起草卫生健康事业发展规章草案、政策措施、规划，组织实施卫生健康政策标准与技术规范。统筹规划全市卫生健康资源配置。制定并组织实施推进卫生健康基本公共服务均等化、普惠化、便捷化和公共资源向基层延伸等政策措施。</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牵头推进全市深化医药卫生体制改革。研究提出深化改革重大政策、措施的建议。牵头组织全市分级诊疗、现代医院管理、全民医保、药品供应保障、综合监管5项基本医疗卫生制度建设。制定并组织实施推动卫生健康公共服务提供主体多元化、方式多样化的政策措施。</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3.制定并组织落实全市疾病预防控制规划、免疫规划以及严重危害人民健康的艾滋病等重大传染病、寄生虫病、地方病等公共卫生问题的干预措施。负责全市卫生应急工作，组织和指导全市突发公共卫生事件预防控制和各类突发公共事件的医疗卫生救援。发布法定报告传染病疫情信息、突发公共卫生事件应急处置信息。依照国家检疫传染病和监测传染病目录，参与开展检疫监测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4.贯彻落实国家应对人口老龄化政策措施。负责推进老年健康服务体系建设和医养结合工作。承担市老龄工作委员会日常工作。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5.贯彻落实国家药物政策和国家基本药物制度。开展药械使用监测、临床综合评价和短缺药品预警，组织执行国家药典和国家基本药物目录、省药品增补目录和基本药物使用的政策措施。组织实施食品安全风险监测。开展食品安全企业标准备案。</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6.负责职责范围内的职业卫生、放射卫生、环境卫生、学校卫生、公共场所卫生、饮用水卫生等公共卫生的监督管理。负责传染病防治监督，健全卫生健康综合监管体系，规范卫生健康行政执法行为，监督检查有关法律法规和政策措施的落实，组织查处重大违法行为。</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7.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负责医疗机构、人员和行为的日常监管。</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8.负责全市计划生育管理和服务工作。开展人口监测预警，研究提出人口与家庭发展相关政策建议，依法实施计划生育政策。</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9.指导县（区）卫生健康工作。指导基层医疗卫生、妇幼健康服务体系和基层卫生队伍建设。推进卫生健康科技创新发展。</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10.贯彻执行国家、省促进中医药（含中西医结合和民族医药）事业发展的法律法规，拟订全市中医药中长期发展规划并组织实施，促进中药资源的保护、开发和合理利用，拟订全市中药产业发展规划、产业政策和中药的扶持政策并组织实施，监督指导全市中医药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11.负责市确定的保健对象的医疗保健工作。负责市本级离休干部医疗管理工作。负责重要会议与重大活动的医疗卫生保障工作。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12.指导市计划生育协会的业务工作。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13.依法依规履行卫生健康行业安全生产监管职责。负责职责范围内的生态环境保护、审批服务便民化等工作。</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14.完成市委、市政府交办的其他任务。</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15.职能转变。牢固树立大卫生、大健康理念，推动实施健康中国、健康四川和健康广元战略，助推中国生态康养旅游名市建设，以改革创新为动力，以促健康、转模式、强基层、重保障为着力点，把以治病为中心转变到以人民健康为中心，为人民群众提供全方位全周期卫生健康服务。一是更加注重预防为主和健康促进，提高健康意识，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市。四是更加注重深化医药卫生体制改革的科学性和持续性，加快分级诊疗制度建设，加强医疗、医保、医药的联动改革，加大公立医院改革力度。</w:t>
      </w:r>
    </w:p>
    <w:p>
      <w:pPr>
        <w:spacing w:line="360" w:lineRule="auto"/>
        <w:rPr>
          <w:rFonts w:hint="eastAsia"/>
          <w:lang w:eastAsia="zh-CN"/>
        </w:rPr>
      </w:pPr>
    </w:p>
    <w:p>
      <w:pPr>
        <w:pStyle w:val="4"/>
        <w:numPr>
          <w:ilvl w:val="0"/>
          <w:numId w:val="1"/>
        </w:numPr>
        <w:spacing w:line="360" w:lineRule="auto"/>
        <w:ind w:left="0" w:leftChars="0" w:firstLine="0" w:firstLineChars="0"/>
        <w:rPr>
          <w:rFonts w:hint="eastAsia" w:ascii="黑体" w:hAnsi="黑体" w:eastAsia="黑体"/>
          <w:b w:val="0"/>
          <w:color w:val="auto"/>
          <w:highlight w:val="none"/>
          <w:lang w:val="en-US" w:eastAsia="zh-CN"/>
        </w:rPr>
      </w:pPr>
      <w:bookmarkStart w:id="24" w:name="_Toc21530"/>
      <w:r>
        <w:rPr>
          <w:rFonts w:hint="eastAsia" w:ascii="黑体" w:hAnsi="黑体" w:eastAsia="黑体"/>
          <w:b w:val="0"/>
          <w:color w:val="auto"/>
          <w:highlight w:val="none"/>
          <w:lang w:val="en-US" w:eastAsia="zh-CN"/>
        </w:rPr>
        <w:t>机构设置</w:t>
      </w:r>
      <w:bookmarkEnd w:id="24"/>
    </w:p>
    <w:bookmarkEnd w:id="22"/>
    <w:bookmarkEnd w:id="23"/>
    <w:p>
      <w:pPr>
        <w:spacing w:line="360" w:lineRule="auto"/>
        <w:ind w:firstLine="800" w:firstLineChars="25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广元市卫生健康委员会</w:t>
      </w:r>
      <w:r>
        <w:rPr>
          <w:rFonts w:hint="eastAsia" w:ascii="仿宋" w:hAnsi="仿宋" w:eastAsia="仿宋" w:cs="Times New Roman"/>
          <w:color w:val="auto"/>
          <w:sz w:val="32"/>
          <w:szCs w:val="32"/>
          <w:highlight w:val="none"/>
          <w:lang w:eastAsia="zh-CN"/>
        </w:rPr>
        <w:t>（本级）为</w:t>
      </w:r>
      <w:r>
        <w:rPr>
          <w:rFonts w:hint="eastAsia" w:ascii="仿宋" w:hAnsi="仿宋" w:eastAsia="仿宋" w:cs="Times New Roman"/>
          <w:color w:val="auto"/>
          <w:sz w:val="32"/>
          <w:szCs w:val="32"/>
          <w:highlight w:val="none"/>
        </w:rPr>
        <w:t>广元市卫生健康委员会</w:t>
      </w:r>
      <w:r>
        <w:rPr>
          <w:rFonts w:hint="eastAsia" w:ascii="仿宋" w:hAnsi="仿宋" w:eastAsia="仿宋" w:cs="Times New Roman"/>
          <w:color w:val="auto"/>
          <w:sz w:val="32"/>
          <w:szCs w:val="32"/>
          <w:highlight w:val="none"/>
          <w:lang w:eastAsia="zh-CN"/>
        </w:rPr>
        <w:t>下属二级预算单位，</w:t>
      </w:r>
      <w:r>
        <w:rPr>
          <w:rFonts w:hint="eastAsia" w:ascii="仿宋" w:hAnsi="仿宋" w:eastAsia="仿宋" w:cs="Times New Roman"/>
          <w:color w:val="auto"/>
          <w:sz w:val="32"/>
          <w:szCs w:val="32"/>
          <w:highlight w:val="none"/>
          <w:lang w:val="en-US" w:eastAsia="zh-CN"/>
        </w:rPr>
        <w:t>其中行政单位1个，参照公务员法管理的事业单位0个，其他事业单位1个。</w:t>
      </w:r>
    </w:p>
    <w:p>
      <w:pPr>
        <w:spacing w:line="360" w:lineRule="auto"/>
        <w:ind w:firstLine="800" w:firstLineChars="25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纳入广元市卫生健康委员会</w:t>
      </w:r>
      <w:r>
        <w:rPr>
          <w:rFonts w:hint="eastAsia" w:ascii="仿宋" w:hAnsi="仿宋" w:eastAsia="仿宋" w:cs="Times New Roman"/>
          <w:color w:val="auto"/>
          <w:sz w:val="32"/>
          <w:szCs w:val="32"/>
          <w:highlight w:val="none"/>
          <w:lang w:eastAsia="zh-CN"/>
        </w:rPr>
        <w:t>（本级）</w:t>
      </w: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年度</w:t>
      </w:r>
      <w:r>
        <w:rPr>
          <w:rFonts w:hint="eastAsia" w:ascii="仿宋" w:hAnsi="仿宋" w:eastAsia="仿宋" w:cs="Times New Roman"/>
          <w:color w:val="auto"/>
          <w:sz w:val="32"/>
          <w:szCs w:val="32"/>
          <w:highlight w:val="none"/>
          <w:lang w:eastAsia="zh-CN"/>
        </w:rPr>
        <w:t>单位</w:t>
      </w:r>
      <w:r>
        <w:rPr>
          <w:rFonts w:hint="eastAsia" w:ascii="仿宋" w:hAnsi="仿宋" w:eastAsia="仿宋" w:cs="Times New Roman"/>
          <w:color w:val="auto"/>
          <w:sz w:val="32"/>
          <w:szCs w:val="32"/>
          <w:highlight w:val="none"/>
        </w:rPr>
        <w:t>决算编制范围的二级预算单位包括：</w:t>
      </w:r>
    </w:p>
    <w:p>
      <w:pPr>
        <w:numPr>
          <w:ilvl w:val="0"/>
          <w:numId w:val="2"/>
        </w:numPr>
        <w:spacing w:line="360" w:lineRule="auto"/>
        <w:ind w:left="630" w:leftChars="0" w:firstLine="0" w:firstLineChars="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市卫生健康委员会机关</w:t>
      </w:r>
    </w:p>
    <w:p>
      <w:pPr>
        <w:numPr>
          <w:ilvl w:val="0"/>
          <w:numId w:val="2"/>
        </w:numPr>
        <w:spacing w:line="360" w:lineRule="auto"/>
        <w:ind w:left="630" w:leftChars="0" w:firstLine="0" w:firstLineChars="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市卫生计生信息中心（未独立核算事业单位）</w:t>
      </w:r>
    </w:p>
    <w:p>
      <w:pPr>
        <w:pStyle w:val="2"/>
        <w:spacing w:line="360" w:lineRule="auto"/>
        <w:rPr>
          <w:rFonts w:hint="eastAsia"/>
          <w:lang w:val="en-US" w:eastAsia="zh-CN"/>
        </w:rPr>
      </w:pPr>
    </w:p>
    <w:p>
      <w:pPr>
        <w:spacing w:line="360" w:lineRule="auto"/>
        <w:jc w:val="center"/>
        <w:outlineLvl w:val="0"/>
        <w:rPr>
          <w:rFonts w:hint="eastAsia" w:ascii="黑体" w:hAnsi="黑体" w:eastAsia="黑体"/>
          <w:color w:val="auto"/>
          <w:sz w:val="44"/>
          <w:szCs w:val="44"/>
          <w:highlight w:val="none"/>
        </w:rPr>
      </w:pPr>
      <w:bookmarkStart w:id="25" w:name="_Toc27430"/>
      <w:bookmarkStart w:id="26" w:name="_Toc15396602"/>
      <w:bookmarkStart w:id="27" w:name="_Toc15377204"/>
      <w:r>
        <w:rPr>
          <w:rFonts w:hint="eastAsia" w:ascii="黑体" w:hAnsi="黑体" w:eastAsia="黑体"/>
          <w:color w:val="auto"/>
          <w:sz w:val="44"/>
          <w:szCs w:val="44"/>
          <w:highlight w:val="none"/>
        </w:rPr>
        <w:t xml:space="preserve">第二部分 </w:t>
      </w:r>
      <w:r>
        <w:rPr>
          <w:rFonts w:hint="eastAsia" w:ascii="黑体" w:hAnsi="黑体" w:eastAsia="黑体"/>
          <w:color w:val="auto"/>
          <w:sz w:val="44"/>
          <w:szCs w:val="44"/>
          <w:highlight w:val="none"/>
          <w:lang w:val="en-US" w:eastAsia="zh-CN"/>
        </w:rPr>
        <w:t>2022年度</w:t>
      </w:r>
      <w:r>
        <w:rPr>
          <w:rFonts w:hint="eastAsia" w:ascii="黑体" w:hAnsi="黑体" w:eastAsia="黑体"/>
          <w:color w:val="auto"/>
          <w:sz w:val="44"/>
          <w:szCs w:val="44"/>
          <w:highlight w:val="none"/>
          <w:lang w:eastAsia="zh-CN"/>
        </w:rPr>
        <w:t>单位</w:t>
      </w:r>
      <w:r>
        <w:rPr>
          <w:rFonts w:hint="eastAsia" w:ascii="黑体" w:hAnsi="黑体" w:eastAsia="黑体"/>
          <w:color w:val="auto"/>
          <w:sz w:val="44"/>
          <w:szCs w:val="44"/>
          <w:highlight w:val="none"/>
        </w:rPr>
        <w:t>决算情况说明</w:t>
      </w:r>
      <w:bookmarkEnd w:id="25"/>
      <w:bookmarkEnd w:id="26"/>
      <w:bookmarkEnd w:id="27"/>
    </w:p>
    <w:p>
      <w:pPr>
        <w:spacing w:line="360" w:lineRule="auto"/>
        <w:rPr>
          <w:color w:val="auto"/>
          <w:highlight w:val="none"/>
        </w:rPr>
      </w:pPr>
    </w:p>
    <w:p>
      <w:pPr>
        <w:pStyle w:val="27"/>
        <w:numPr>
          <w:ilvl w:val="0"/>
          <w:numId w:val="3"/>
        </w:numPr>
        <w:spacing w:line="360" w:lineRule="auto"/>
        <w:ind w:firstLineChars="0"/>
        <w:outlineLvl w:val="1"/>
        <w:rPr>
          <w:rStyle w:val="18"/>
          <w:rFonts w:ascii="黑体" w:hAnsi="黑体" w:eastAsia="黑体"/>
          <w:b w:val="0"/>
          <w:color w:val="auto"/>
          <w:highlight w:val="none"/>
        </w:rPr>
      </w:pPr>
      <w:bookmarkStart w:id="28" w:name="_Toc3686"/>
      <w:bookmarkStart w:id="29" w:name="_Toc15377205"/>
      <w:bookmarkStart w:id="30" w:name="_Toc15396603"/>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8"/>
      <w:bookmarkEnd w:id="29"/>
      <w:bookmarkEnd w:id="30"/>
    </w:p>
    <w:p>
      <w:pPr>
        <w:spacing w:line="360" w:lineRule="auto"/>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3988.64</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4302.2万元</w:t>
      </w:r>
      <w:r>
        <w:rPr>
          <w:rFonts w:hint="eastAsia" w:ascii="仿宋" w:hAnsi="仿宋" w:eastAsia="仿宋"/>
          <w:color w:val="auto"/>
          <w:sz w:val="32"/>
          <w:szCs w:val="32"/>
          <w:highlight w:val="none"/>
        </w:rPr>
        <w:t>相比，收、支总计各减少</w:t>
      </w:r>
      <w:r>
        <w:rPr>
          <w:rFonts w:hint="eastAsia" w:ascii="仿宋" w:hAnsi="仿宋" w:eastAsia="仿宋"/>
          <w:color w:val="auto"/>
          <w:sz w:val="32"/>
          <w:szCs w:val="32"/>
          <w:highlight w:val="none"/>
          <w:lang w:val="en-US" w:eastAsia="zh-CN"/>
        </w:rPr>
        <w:t>313.56</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7.29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2021年有政府性基金预算财政拨款（金杯半山康养项目）1497万，而2022年无此项目拨款</w:t>
      </w:r>
      <w:r>
        <w:rPr>
          <w:rFonts w:hint="eastAsia" w:ascii="仿宋" w:hAnsi="仿宋" w:eastAsia="仿宋"/>
          <w:color w:val="auto"/>
          <w:sz w:val="32"/>
          <w:szCs w:val="32"/>
          <w:highlight w:val="none"/>
          <w:lang w:eastAsia="zh-CN"/>
        </w:rPr>
        <w:t>。</w:t>
      </w:r>
    </w:p>
    <w:p>
      <w:pPr>
        <w:pStyle w:val="5"/>
        <w:spacing w:line="360" w:lineRule="auto"/>
        <w:rPr>
          <w:rFonts w:hint="eastAsia"/>
          <w:lang w:eastAsia="zh-CN"/>
        </w:rPr>
      </w:pPr>
      <w:r>
        <w:drawing>
          <wp:inline distT="0" distB="0" distL="114300" distR="114300">
            <wp:extent cx="5273040" cy="2337435"/>
            <wp:effectExtent l="4445" t="4445" r="18415" b="2032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7"/>
        <w:numPr>
          <w:ilvl w:val="0"/>
          <w:numId w:val="3"/>
        </w:numPr>
        <w:spacing w:line="360" w:lineRule="auto"/>
        <w:ind w:firstLineChars="0"/>
        <w:outlineLvl w:val="1"/>
        <w:rPr>
          <w:rStyle w:val="18"/>
          <w:rFonts w:ascii="黑体" w:hAnsi="黑体" w:eastAsia="黑体"/>
          <w:b w:val="0"/>
          <w:color w:val="auto"/>
          <w:highlight w:val="none"/>
        </w:rPr>
      </w:pPr>
      <w:bookmarkStart w:id="31" w:name="_Toc15396604"/>
      <w:bookmarkStart w:id="32" w:name="_Toc30953"/>
      <w:bookmarkStart w:id="33" w:name="_Toc15377206"/>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1"/>
      <w:bookmarkEnd w:id="32"/>
      <w:bookmarkEnd w:id="33"/>
    </w:p>
    <w:p>
      <w:pPr>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年本年收入合计</w:t>
      </w:r>
      <w:r>
        <w:rPr>
          <w:rFonts w:hint="eastAsia" w:ascii="仿宋" w:hAnsi="仿宋" w:eastAsia="仿宋" w:cs="仿宋"/>
          <w:sz w:val="32"/>
          <w:szCs w:val="32"/>
          <w:lang w:val="en-US" w:eastAsia="zh-CN"/>
        </w:rPr>
        <w:t>3654.64</w:t>
      </w:r>
      <w:r>
        <w:rPr>
          <w:rFonts w:hint="eastAsia" w:ascii="仿宋" w:hAnsi="仿宋" w:eastAsia="仿宋" w:cs="仿宋"/>
          <w:sz w:val="32"/>
          <w:szCs w:val="32"/>
        </w:rPr>
        <w:t>万元，其中：一般公共预算财政拨款收入</w:t>
      </w:r>
      <w:r>
        <w:rPr>
          <w:rFonts w:hint="eastAsia" w:ascii="仿宋" w:hAnsi="仿宋" w:eastAsia="仿宋" w:cs="仿宋"/>
          <w:sz w:val="32"/>
          <w:szCs w:val="32"/>
          <w:lang w:val="en-US" w:eastAsia="zh-CN"/>
        </w:rPr>
        <w:t>3654.64</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5"/>
        <w:spacing w:line="360" w:lineRule="auto"/>
        <w:rPr>
          <w:rFonts w:ascii="仿宋" w:hAnsi="仿宋" w:eastAsia="仿宋"/>
          <w:color w:val="auto"/>
          <w:sz w:val="32"/>
          <w:szCs w:val="32"/>
          <w:highlight w:val="none"/>
        </w:rPr>
      </w:pPr>
      <w:r>
        <w:drawing>
          <wp:inline distT="0" distB="0" distL="114300" distR="114300">
            <wp:extent cx="5270500" cy="2466340"/>
            <wp:effectExtent l="4445" t="4445" r="20955" b="571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7"/>
        <w:numPr>
          <w:ilvl w:val="0"/>
          <w:numId w:val="3"/>
        </w:numPr>
        <w:spacing w:line="360" w:lineRule="auto"/>
        <w:ind w:firstLineChars="0"/>
        <w:outlineLvl w:val="1"/>
        <w:rPr>
          <w:rStyle w:val="18"/>
          <w:rFonts w:ascii="黑体" w:hAnsi="黑体" w:eastAsia="黑体"/>
          <w:b w:val="0"/>
          <w:color w:val="auto"/>
          <w:highlight w:val="none"/>
        </w:rPr>
      </w:pPr>
      <w:bookmarkStart w:id="34" w:name="_Toc15377207"/>
      <w:bookmarkStart w:id="35" w:name="_Toc21579"/>
      <w:bookmarkStart w:id="36" w:name="_Toc15396605"/>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4"/>
      <w:bookmarkEnd w:id="35"/>
      <w:bookmarkEnd w:id="36"/>
    </w:p>
    <w:p>
      <w:pPr>
        <w:bidi w:val="0"/>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年本年支出合计</w:t>
      </w:r>
      <w:r>
        <w:rPr>
          <w:rFonts w:hint="eastAsia" w:ascii="仿宋" w:hAnsi="仿宋" w:eastAsia="仿宋" w:cs="仿宋"/>
          <w:sz w:val="32"/>
          <w:szCs w:val="32"/>
          <w:lang w:val="en-US" w:eastAsia="zh-CN"/>
        </w:rPr>
        <w:t>3988.64</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1685.72</w:t>
      </w:r>
      <w:r>
        <w:rPr>
          <w:rFonts w:hint="eastAsia" w:ascii="仿宋" w:hAnsi="仿宋" w:eastAsia="仿宋" w:cs="仿宋"/>
          <w:sz w:val="32"/>
          <w:szCs w:val="32"/>
        </w:rPr>
        <w:t>万元，占</w:t>
      </w:r>
      <w:r>
        <w:rPr>
          <w:rFonts w:hint="eastAsia" w:ascii="仿宋" w:hAnsi="仿宋" w:eastAsia="仿宋" w:cs="仿宋"/>
          <w:sz w:val="32"/>
          <w:szCs w:val="32"/>
          <w:lang w:val="en-US" w:eastAsia="zh-CN"/>
        </w:rPr>
        <w:t>42.26</w:t>
      </w:r>
      <w:r>
        <w:rPr>
          <w:rFonts w:hint="eastAsia" w:ascii="仿宋" w:hAnsi="仿宋" w:eastAsia="仿宋" w:cs="仿宋"/>
          <w:sz w:val="32"/>
          <w:szCs w:val="32"/>
        </w:rPr>
        <w:t>%；项目支出</w:t>
      </w:r>
      <w:r>
        <w:rPr>
          <w:rFonts w:hint="eastAsia" w:ascii="仿宋" w:hAnsi="仿宋" w:eastAsia="仿宋" w:cs="仿宋"/>
          <w:sz w:val="32"/>
          <w:szCs w:val="32"/>
          <w:lang w:val="en-US" w:eastAsia="zh-CN"/>
        </w:rPr>
        <w:t>2302.92</w:t>
      </w:r>
      <w:r>
        <w:rPr>
          <w:rFonts w:hint="eastAsia" w:ascii="仿宋" w:hAnsi="仿宋" w:eastAsia="仿宋" w:cs="仿宋"/>
          <w:sz w:val="32"/>
          <w:szCs w:val="32"/>
        </w:rPr>
        <w:t>万元，占</w:t>
      </w:r>
      <w:r>
        <w:rPr>
          <w:rFonts w:hint="eastAsia" w:ascii="仿宋" w:hAnsi="仿宋" w:eastAsia="仿宋" w:cs="仿宋"/>
          <w:sz w:val="32"/>
          <w:szCs w:val="32"/>
          <w:lang w:val="en-US" w:eastAsia="zh-CN"/>
        </w:rPr>
        <w:t>57.74</w:t>
      </w:r>
      <w:r>
        <w:rPr>
          <w:rFonts w:hint="eastAsia" w:ascii="仿宋" w:hAnsi="仿宋" w:eastAsia="仿宋" w:cs="仿宋"/>
          <w:sz w:val="32"/>
          <w:szCs w:val="32"/>
        </w:rPr>
        <w:t>%</w:t>
      </w:r>
      <w:r>
        <w:rPr>
          <w:rFonts w:hint="eastAsia" w:ascii="仿宋" w:hAnsi="仿宋" w:eastAsia="仿宋" w:cs="仿宋"/>
          <w:sz w:val="32"/>
          <w:szCs w:val="32"/>
          <w:lang w:eastAsia="zh-CN"/>
        </w:rPr>
        <w:t>。</w:t>
      </w:r>
    </w:p>
    <w:p>
      <w:pPr>
        <w:spacing w:line="360" w:lineRule="auto"/>
      </w:pPr>
      <w:r>
        <w:drawing>
          <wp:anchor distT="0" distB="0" distL="114300" distR="114300" simplePos="0" relativeHeight="251659264" behindDoc="0" locked="0" layoutInCell="1" allowOverlap="1">
            <wp:simplePos x="0" y="0"/>
            <wp:positionH relativeFrom="column">
              <wp:posOffset>10795</wp:posOffset>
            </wp:positionH>
            <wp:positionV relativeFrom="paragraph">
              <wp:posOffset>175895</wp:posOffset>
            </wp:positionV>
            <wp:extent cx="5273040" cy="2493645"/>
            <wp:effectExtent l="4445" t="4445" r="18415" b="16510"/>
            <wp:wrapSquare wrapText="bothSides"/>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360" w:lineRule="auto"/>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360" w:lineRule="auto"/>
        <w:ind w:firstLine="640" w:firstLineChars="200"/>
        <w:outlineLvl w:val="1"/>
        <w:rPr>
          <w:rStyle w:val="18"/>
          <w:rFonts w:ascii="黑体" w:hAnsi="黑体" w:eastAsia="黑体"/>
          <w:b w:val="0"/>
          <w:color w:val="auto"/>
          <w:highlight w:val="none"/>
        </w:rPr>
      </w:pPr>
      <w:bookmarkStart w:id="37" w:name="_Toc15377208"/>
      <w:bookmarkStart w:id="38" w:name="_Toc15396606"/>
      <w:bookmarkStart w:id="39" w:name="_Toc27223"/>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7"/>
      <w:bookmarkEnd w:id="38"/>
      <w:bookmarkEnd w:id="39"/>
    </w:p>
    <w:p>
      <w:pPr>
        <w:spacing w:line="360" w:lineRule="auto"/>
        <w:ind w:firstLine="640" w:firstLineChars="200"/>
        <w:rPr>
          <w:rFonts w:hint="eastAsia" w:ascii="仿宋" w:hAnsi="仿宋" w:eastAsia="仿宋"/>
          <w:color w:val="auto"/>
          <w:sz w:val="32"/>
          <w:szCs w:val="32"/>
          <w:highlight w:val="yellow"/>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3988.64</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4290.02万元</w:t>
      </w:r>
      <w:r>
        <w:rPr>
          <w:rFonts w:hint="eastAsia" w:ascii="仿宋" w:hAnsi="仿宋" w:eastAsia="仿宋"/>
          <w:color w:val="auto"/>
          <w:sz w:val="32"/>
          <w:szCs w:val="32"/>
          <w:highlight w:val="none"/>
        </w:rPr>
        <w:t>相比，财政拨款收、支总计各减少</w:t>
      </w:r>
      <w:r>
        <w:rPr>
          <w:rFonts w:hint="eastAsia" w:ascii="仿宋" w:hAnsi="仿宋" w:eastAsia="仿宋"/>
          <w:color w:val="auto"/>
          <w:sz w:val="32"/>
          <w:szCs w:val="32"/>
          <w:highlight w:val="none"/>
          <w:lang w:val="en-US" w:eastAsia="zh-CN"/>
        </w:rPr>
        <w:t>301.38</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7.03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2021年有政府性基金预算财政拨款（金杯半山康养项目）1497万，而2022年无此项目拨款</w:t>
      </w:r>
      <w:r>
        <w:rPr>
          <w:rFonts w:hint="eastAsia" w:ascii="仿宋" w:hAnsi="仿宋" w:eastAsia="仿宋"/>
          <w:color w:val="auto"/>
          <w:sz w:val="32"/>
          <w:szCs w:val="32"/>
          <w:highlight w:val="none"/>
          <w:lang w:eastAsia="zh-CN"/>
        </w:rPr>
        <w:t>。</w:t>
      </w:r>
    </w:p>
    <w:p>
      <w:pPr>
        <w:spacing w:line="360" w:lineRule="auto"/>
      </w:pPr>
      <w:r>
        <w:drawing>
          <wp:inline distT="0" distB="0" distL="114300" distR="114300">
            <wp:extent cx="5273040" cy="2221865"/>
            <wp:effectExtent l="4445" t="4445" r="18415" b="215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pPr>
    </w:p>
    <w:p>
      <w:pPr>
        <w:spacing w:line="360" w:lineRule="auto"/>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360" w:lineRule="auto"/>
        <w:ind w:firstLine="640" w:firstLineChars="200"/>
        <w:outlineLvl w:val="1"/>
        <w:rPr>
          <w:rStyle w:val="18"/>
          <w:rFonts w:ascii="黑体" w:hAnsi="黑体" w:eastAsia="黑体"/>
          <w:b w:val="0"/>
          <w:color w:val="auto"/>
          <w:highlight w:val="none"/>
        </w:rPr>
      </w:pPr>
      <w:bookmarkStart w:id="40" w:name="_Toc1224"/>
      <w:bookmarkStart w:id="41" w:name="_Toc15377209"/>
      <w:bookmarkStart w:id="42"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40"/>
      <w:bookmarkEnd w:id="41"/>
      <w:bookmarkEnd w:id="42"/>
    </w:p>
    <w:p>
      <w:pPr>
        <w:spacing w:line="360" w:lineRule="auto"/>
        <w:ind w:firstLine="643" w:firstLineChars="200"/>
        <w:outlineLvl w:val="2"/>
        <w:rPr>
          <w:rFonts w:ascii="仿宋" w:hAnsi="仿宋" w:eastAsia="仿宋"/>
          <w:b/>
          <w:color w:val="auto"/>
          <w:sz w:val="32"/>
          <w:szCs w:val="32"/>
          <w:highlight w:val="none"/>
        </w:rPr>
      </w:pPr>
      <w:bookmarkStart w:id="43" w:name="_Toc15377210"/>
      <w:r>
        <w:rPr>
          <w:rFonts w:hint="eastAsia" w:ascii="仿宋" w:hAnsi="仿宋" w:eastAsia="仿宋"/>
          <w:b/>
          <w:color w:val="auto"/>
          <w:sz w:val="32"/>
          <w:szCs w:val="32"/>
          <w:highlight w:val="none"/>
        </w:rPr>
        <w:t>（一）一般公共预算财政拨款支出决算总体情况</w:t>
      </w:r>
      <w:bookmarkEnd w:id="43"/>
    </w:p>
    <w:p>
      <w:pPr>
        <w:spacing w:line="360" w:lineRule="auto"/>
        <w:ind w:firstLine="420" w:firstLineChars="200"/>
        <w:rPr>
          <w:rFonts w:hint="eastAsia" w:eastAsia="仿宋"/>
          <w:highlight w:val="none"/>
          <w:lang w:eastAsia="zh-CN"/>
        </w:rPr>
      </w:pPr>
      <w:r>
        <w:drawing>
          <wp:anchor distT="0" distB="0" distL="114300" distR="114300" simplePos="0" relativeHeight="251660288" behindDoc="1" locked="0" layoutInCell="1" allowOverlap="1">
            <wp:simplePos x="0" y="0"/>
            <wp:positionH relativeFrom="column">
              <wp:posOffset>-62230</wp:posOffset>
            </wp:positionH>
            <wp:positionV relativeFrom="paragraph">
              <wp:posOffset>1611630</wp:posOffset>
            </wp:positionV>
            <wp:extent cx="5273040" cy="2680335"/>
            <wp:effectExtent l="4445" t="4445" r="18415" b="20320"/>
            <wp:wrapThrough wrapText="bothSides">
              <wp:wrapPolygon>
                <wp:start x="-18" y="-36"/>
                <wp:lineTo x="-18" y="21457"/>
                <wp:lineTo x="21519" y="21457"/>
                <wp:lineTo x="21519" y="-36"/>
                <wp:lineTo x="-18" y="-36"/>
              </wp:wrapPolygon>
            </wp:wrapThrough>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3988.64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2464.36万元</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1524.28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61.85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市本级的疫情防控专账设立在市卫生健康委。</w:t>
      </w:r>
    </w:p>
    <w:p>
      <w:pPr>
        <w:spacing w:line="360" w:lineRule="auto"/>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360" w:lineRule="auto"/>
        <w:ind w:firstLine="643" w:firstLineChars="200"/>
        <w:outlineLvl w:val="2"/>
        <w:rPr>
          <w:rFonts w:ascii="仿宋" w:hAnsi="仿宋" w:eastAsia="仿宋"/>
          <w:b/>
          <w:color w:val="auto"/>
          <w:sz w:val="32"/>
          <w:szCs w:val="32"/>
          <w:highlight w:val="none"/>
        </w:rPr>
      </w:pPr>
      <w:bookmarkStart w:id="44" w:name="_Toc15377211"/>
      <w:r>
        <w:rPr>
          <w:rFonts w:hint="eastAsia" w:ascii="仿宋" w:hAnsi="仿宋" w:eastAsia="仿宋"/>
          <w:b/>
          <w:color w:val="auto"/>
          <w:sz w:val="32"/>
          <w:szCs w:val="32"/>
          <w:highlight w:val="none"/>
        </w:rPr>
        <w:t>（二）一般公共预算财政拨款支出决算结构情况</w:t>
      </w:r>
      <w:bookmarkEnd w:id="44"/>
    </w:p>
    <w:p>
      <w:pPr>
        <w:spacing w:line="360" w:lineRule="auto"/>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3988.64</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120.59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3.02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3751.72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114.03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2.86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360" w:lineRule="auto"/>
        <w:ind w:firstLine="640"/>
        <w:rPr>
          <w:rFonts w:ascii="仿宋" w:hAnsi="仿宋" w:eastAsia="仿宋"/>
          <w:color w:val="auto"/>
          <w:sz w:val="32"/>
          <w:szCs w:val="32"/>
          <w:highlight w:val="none"/>
        </w:rPr>
      </w:pPr>
      <w:r>
        <w:drawing>
          <wp:anchor distT="0" distB="0" distL="114300" distR="114300" simplePos="0" relativeHeight="251661312" behindDoc="0" locked="0" layoutInCell="1" allowOverlap="1">
            <wp:simplePos x="0" y="0"/>
            <wp:positionH relativeFrom="column">
              <wp:posOffset>39370</wp:posOffset>
            </wp:positionH>
            <wp:positionV relativeFrom="paragraph">
              <wp:posOffset>152400</wp:posOffset>
            </wp:positionV>
            <wp:extent cx="5272405" cy="3566160"/>
            <wp:effectExtent l="4445" t="4445" r="19050" b="10795"/>
            <wp:wrapSquare wrapText="bothSides"/>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仿宋" w:hAnsi="仿宋" w:eastAsia="仿宋"/>
          <w:color w:val="auto"/>
          <w:sz w:val="32"/>
          <w:szCs w:val="32"/>
          <w:highlight w:val="none"/>
        </w:rPr>
        <w:t>（图6：一般公共预算财政拨款支出决算结构）（饼状图）</w:t>
      </w:r>
    </w:p>
    <w:p>
      <w:pPr>
        <w:spacing w:line="360" w:lineRule="auto"/>
        <w:ind w:firstLine="643" w:firstLineChars="200"/>
        <w:outlineLvl w:val="2"/>
        <w:rPr>
          <w:rFonts w:ascii="仿宋" w:hAnsi="仿宋" w:eastAsia="仿宋"/>
          <w:b/>
          <w:color w:val="auto"/>
          <w:sz w:val="32"/>
          <w:szCs w:val="32"/>
          <w:highlight w:val="none"/>
        </w:rPr>
      </w:pPr>
      <w:bookmarkStart w:id="45" w:name="_Toc15377212"/>
      <w:r>
        <w:rPr>
          <w:rFonts w:hint="eastAsia" w:ascii="仿宋" w:hAnsi="仿宋" w:eastAsia="仿宋"/>
          <w:b/>
          <w:color w:val="auto"/>
          <w:sz w:val="32"/>
          <w:szCs w:val="32"/>
          <w:highlight w:val="none"/>
        </w:rPr>
        <w:t>（三）一般公共预算财政拨款支出决算具体情况</w:t>
      </w:r>
      <w:bookmarkEnd w:id="45"/>
    </w:p>
    <w:p>
      <w:pPr>
        <w:spacing w:line="360" w:lineRule="auto"/>
        <w:ind w:firstLine="643" w:firstLineChars="200"/>
        <w:rPr>
          <w:rStyle w:val="15"/>
          <w:rFonts w:hint="eastAsia" w:ascii="仿宋" w:hAnsi="仿宋" w:eastAsia="仿宋" w:cstheme="minorBidi"/>
          <w:bCs/>
          <w:color w:val="auto"/>
          <w:sz w:val="32"/>
          <w:szCs w:val="32"/>
          <w:highlight w:val="none"/>
        </w:rPr>
      </w:pPr>
      <w:bookmarkStart w:id="46" w:name="_Toc15377444"/>
      <w:bookmarkStart w:id="47" w:name="_Toc15378460"/>
      <w:bookmarkStart w:id="48" w:name="_Toc15377213"/>
      <w:r>
        <w:rPr>
          <w:rStyle w:val="15"/>
          <w:rFonts w:hint="eastAsia" w:ascii="仿宋" w:hAnsi="仿宋" w:eastAsia="仿宋" w:cstheme="minorBidi"/>
          <w:bCs/>
          <w:color w:val="auto"/>
          <w:sz w:val="32"/>
          <w:szCs w:val="32"/>
          <w:highlight w:val="none"/>
        </w:rPr>
        <w:t>20</w:t>
      </w:r>
      <w:r>
        <w:rPr>
          <w:rStyle w:val="15"/>
          <w:rFonts w:hint="eastAsia" w:ascii="仿宋" w:hAnsi="仿宋" w:eastAsia="仿宋" w:cstheme="minorBidi"/>
          <w:bCs/>
          <w:color w:val="auto"/>
          <w:sz w:val="32"/>
          <w:szCs w:val="32"/>
          <w:highlight w:val="none"/>
          <w:lang w:val="en-US" w:eastAsia="zh-CN"/>
        </w:rPr>
        <w:t>22</w:t>
      </w:r>
      <w:r>
        <w:rPr>
          <w:rStyle w:val="15"/>
          <w:rFonts w:hint="eastAsia" w:ascii="仿宋" w:hAnsi="仿宋" w:eastAsia="仿宋" w:cstheme="minorBidi"/>
          <w:bCs/>
          <w:color w:val="auto"/>
          <w:sz w:val="32"/>
          <w:szCs w:val="32"/>
          <w:highlight w:val="none"/>
        </w:rPr>
        <w:t>年</w:t>
      </w:r>
      <w:r>
        <w:rPr>
          <w:rStyle w:val="15"/>
          <w:rFonts w:hint="eastAsia" w:ascii="仿宋" w:hAnsi="仿宋" w:eastAsia="仿宋" w:cstheme="minorBidi"/>
          <w:bCs/>
          <w:color w:val="auto"/>
          <w:sz w:val="32"/>
          <w:szCs w:val="32"/>
          <w:highlight w:val="none"/>
          <w:lang w:eastAsia="zh-CN"/>
        </w:rPr>
        <w:t>一</w:t>
      </w:r>
      <w:r>
        <w:rPr>
          <w:rStyle w:val="15"/>
          <w:rFonts w:hint="eastAsia" w:ascii="仿宋" w:hAnsi="仿宋" w:eastAsia="仿宋" w:cstheme="minorBidi"/>
          <w:bCs/>
          <w:color w:val="auto"/>
          <w:sz w:val="32"/>
          <w:szCs w:val="32"/>
          <w:highlight w:val="none"/>
        </w:rPr>
        <w:t>般公共预算支出决算数为</w:t>
      </w:r>
      <w:r>
        <w:rPr>
          <w:rStyle w:val="15"/>
          <w:rFonts w:hint="eastAsia" w:ascii="仿宋" w:hAnsi="仿宋" w:eastAsia="仿宋" w:cstheme="minorBidi"/>
          <w:bCs/>
          <w:color w:val="auto"/>
          <w:sz w:val="32"/>
          <w:szCs w:val="32"/>
          <w:highlight w:val="none"/>
          <w:lang w:val="en-US" w:eastAsia="zh-CN"/>
        </w:rPr>
        <w:t>3988.64万元</w:t>
      </w:r>
      <w:r>
        <w:rPr>
          <w:rStyle w:val="15"/>
          <w:rFonts w:hint="eastAsia" w:ascii="仿宋" w:hAnsi="仿宋" w:eastAsia="仿宋" w:cstheme="minorBidi"/>
          <w:bCs/>
          <w:color w:val="auto"/>
          <w:sz w:val="32"/>
          <w:szCs w:val="32"/>
          <w:highlight w:val="none"/>
        </w:rPr>
        <w:t>，完成预算</w:t>
      </w:r>
      <w:r>
        <w:rPr>
          <w:rStyle w:val="15"/>
          <w:rFonts w:hint="eastAsia" w:ascii="仿宋" w:hAnsi="仿宋" w:eastAsia="仿宋" w:cstheme="minorBidi"/>
          <w:bCs/>
          <w:color w:val="auto"/>
          <w:sz w:val="32"/>
          <w:szCs w:val="32"/>
          <w:highlight w:val="none"/>
          <w:lang w:val="en-US" w:eastAsia="zh-CN"/>
        </w:rPr>
        <w:t>100</w:t>
      </w:r>
      <w:r>
        <w:rPr>
          <w:rStyle w:val="15"/>
          <w:rFonts w:hint="eastAsia" w:ascii="仿宋" w:hAnsi="仿宋" w:eastAsia="仿宋" w:cstheme="minorBidi"/>
          <w:bCs/>
          <w:color w:val="auto"/>
          <w:sz w:val="32"/>
          <w:szCs w:val="32"/>
          <w:highlight w:val="none"/>
        </w:rPr>
        <w:t>%。其中：</w:t>
      </w:r>
      <w:bookmarkEnd w:id="46"/>
      <w:bookmarkEnd w:id="47"/>
      <w:bookmarkEnd w:id="48"/>
    </w:p>
    <w:p>
      <w:pPr>
        <w:spacing w:line="360" w:lineRule="auto"/>
        <w:ind w:firstLine="643" w:firstLineChars="200"/>
        <w:rPr>
          <w:rFonts w:hint="eastAsia" w:ascii="仿宋" w:eastAsia="仿宋"/>
          <w:b/>
          <w:color w:val="000000"/>
          <w:sz w:val="32"/>
          <w:szCs w:val="32"/>
          <w:highlight w:val="none"/>
          <w:lang w:eastAsia="zh-CN"/>
        </w:rPr>
      </w:pPr>
      <w:r>
        <w:rPr>
          <w:rStyle w:val="15"/>
          <w:rFonts w:hint="eastAsia" w:ascii="仿宋" w:eastAsia="仿宋"/>
          <w:bCs/>
          <w:color w:val="000000"/>
          <w:sz w:val="32"/>
          <w:szCs w:val="32"/>
          <w:highlight w:val="none"/>
        </w:rPr>
        <w:t>1.一般公共服务</w:t>
      </w:r>
      <w:r>
        <w:rPr>
          <w:rStyle w:val="15"/>
          <w:rFonts w:hint="eastAsia" w:ascii="仿宋" w:eastAsia="仿宋"/>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商贸事务</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招商引资</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 xml:space="preserve"> 支出决算为</w:t>
      </w:r>
      <w:r>
        <w:rPr>
          <w:rStyle w:val="15"/>
          <w:rFonts w:hint="eastAsia" w:ascii="仿宋" w:eastAsia="仿宋"/>
          <w:b w:val="0"/>
          <w:bCs/>
          <w:color w:val="000000"/>
          <w:sz w:val="32"/>
          <w:szCs w:val="32"/>
          <w:highlight w:val="none"/>
          <w:lang w:val="en-US" w:eastAsia="zh-CN"/>
        </w:rPr>
        <w:t>2.3</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val="en-US" w:eastAsia="zh-CN"/>
        </w:rPr>
        <w:t>。</w:t>
      </w:r>
    </w:p>
    <w:p>
      <w:pPr>
        <w:spacing w:line="360" w:lineRule="auto"/>
        <w:ind w:firstLine="643" w:firstLineChars="200"/>
        <w:rPr>
          <w:rStyle w:val="15"/>
          <w:rFonts w:hint="eastAsia" w:ascii="仿宋" w:eastAsia="仿宋"/>
          <w:b w:val="0"/>
          <w:bCs w:val="0"/>
          <w:color w:val="000000"/>
          <w:sz w:val="32"/>
          <w:szCs w:val="32"/>
          <w:highlight w:val="none"/>
        </w:rPr>
      </w:pPr>
      <w:r>
        <w:rPr>
          <w:rStyle w:val="15"/>
          <w:rFonts w:hint="eastAsia" w:ascii="仿宋" w:eastAsia="仿宋"/>
          <w:bCs/>
          <w:color w:val="000000"/>
          <w:sz w:val="32"/>
          <w:szCs w:val="32"/>
          <w:highlight w:val="none"/>
          <w:lang w:val="en-US" w:eastAsia="zh-CN"/>
        </w:rPr>
        <w:t>2</w:t>
      </w:r>
      <w:r>
        <w:rPr>
          <w:rStyle w:val="15"/>
          <w:rFonts w:hint="eastAsia" w:ascii="仿宋" w:eastAsia="仿宋"/>
          <w:bCs/>
          <w:color w:val="000000"/>
          <w:sz w:val="32"/>
          <w:szCs w:val="32"/>
          <w:highlight w:val="none"/>
        </w:rPr>
        <w:t>.社会保障和就业</w:t>
      </w:r>
      <w:r>
        <w:rPr>
          <w:rStyle w:val="15"/>
          <w:rFonts w:hint="eastAsia" w:ascii="仿宋" w:eastAsia="仿宋"/>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人力资源和社会保障管理事务</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其他人力资源和社会保障管理事务支出</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 xml:space="preserve"> 支出决算为</w:t>
      </w:r>
      <w:r>
        <w:rPr>
          <w:rStyle w:val="15"/>
          <w:rFonts w:hint="eastAsia" w:ascii="仿宋" w:eastAsia="仿宋"/>
          <w:b w:val="0"/>
          <w:bCs/>
          <w:color w:val="000000"/>
          <w:sz w:val="32"/>
          <w:szCs w:val="32"/>
          <w:highlight w:val="none"/>
          <w:lang w:val="en-US" w:eastAsia="zh-CN"/>
        </w:rPr>
        <w:t>8</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val="0"/>
          <w:color w:val="000000"/>
          <w:sz w:val="32"/>
          <w:szCs w:val="32"/>
          <w:highlight w:val="none"/>
        </w:rPr>
        <w:t>。</w:t>
      </w:r>
    </w:p>
    <w:p>
      <w:pPr>
        <w:spacing w:line="360" w:lineRule="auto"/>
        <w:ind w:firstLine="643" w:firstLineChars="200"/>
        <w:rPr>
          <w:rStyle w:val="15"/>
          <w:rFonts w:hint="eastAsia" w:ascii="仿宋" w:eastAsia="仿宋"/>
          <w:b w:val="0"/>
          <w:bCs/>
          <w:color w:val="000000"/>
          <w:sz w:val="32"/>
          <w:szCs w:val="32"/>
          <w:highlight w:val="none"/>
          <w:lang w:eastAsia="zh-CN"/>
        </w:rPr>
      </w:pPr>
      <w:r>
        <w:rPr>
          <w:rStyle w:val="15"/>
          <w:rFonts w:hint="eastAsia" w:ascii="仿宋" w:eastAsia="仿宋"/>
          <w:bCs/>
          <w:color w:val="000000"/>
          <w:sz w:val="32"/>
          <w:szCs w:val="32"/>
          <w:lang w:val="en-US" w:eastAsia="zh-CN"/>
        </w:rPr>
        <w:t>3.</w:t>
      </w:r>
      <w:r>
        <w:rPr>
          <w:rStyle w:val="15"/>
          <w:rFonts w:hint="eastAsia" w:ascii="仿宋" w:eastAsia="仿宋"/>
          <w:bCs/>
          <w:color w:val="000000"/>
          <w:sz w:val="32"/>
          <w:szCs w:val="32"/>
        </w:rPr>
        <w:t>社会保障和就业</w:t>
      </w:r>
      <w:r>
        <w:rPr>
          <w:rStyle w:val="15"/>
          <w:rFonts w:hint="eastAsia" w:ascii="仿宋" w:eastAsia="仿宋"/>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行政事业单位养老支出</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机关事业单位基本养老保险缴费支出</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 xml:space="preserve"> 支出决算为</w:t>
      </w:r>
      <w:r>
        <w:rPr>
          <w:rStyle w:val="15"/>
          <w:rFonts w:hint="eastAsia" w:ascii="仿宋" w:eastAsia="仿宋"/>
          <w:b w:val="0"/>
          <w:bCs/>
          <w:color w:val="000000"/>
          <w:sz w:val="32"/>
          <w:szCs w:val="32"/>
          <w:highlight w:val="none"/>
          <w:lang w:val="en-US" w:eastAsia="zh-CN"/>
        </w:rPr>
        <w:t>92.14</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eastAsia="zh-CN"/>
        </w:rPr>
        <w:t>。</w:t>
      </w:r>
    </w:p>
    <w:p>
      <w:pPr>
        <w:spacing w:line="360" w:lineRule="auto"/>
        <w:ind w:firstLine="643" w:firstLineChars="200"/>
        <w:rPr>
          <w:rStyle w:val="15"/>
          <w:rFonts w:hint="eastAsia" w:ascii="仿宋" w:eastAsia="仿宋"/>
          <w:b w:val="0"/>
          <w:bCs/>
          <w:color w:val="000000"/>
          <w:sz w:val="32"/>
          <w:szCs w:val="32"/>
        </w:rPr>
      </w:pPr>
      <w:r>
        <w:rPr>
          <w:rStyle w:val="15"/>
          <w:rFonts w:hint="eastAsia" w:ascii="仿宋" w:eastAsia="仿宋"/>
          <w:bCs/>
          <w:color w:val="000000"/>
          <w:sz w:val="32"/>
          <w:szCs w:val="32"/>
          <w:lang w:val="en-US" w:eastAsia="zh-CN"/>
        </w:rPr>
        <w:t>4</w:t>
      </w:r>
      <w:r>
        <w:rPr>
          <w:rStyle w:val="15"/>
          <w:rFonts w:hint="eastAsia" w:ascii="仿宋" w:eastAsia="仿宋"/>
          <w:bCs/>
          <w:color w:val="000000"/>
          <w:sz w:val="32"/>
          <w:szCs w:val="32"/>
        </w:rPr>
        <w:t>.社会保障和就业</w:t>
      </w:r>
      <w:r>
        <w:rPr>
          <w:rStyle w:val="15"/>
          <w:rFonts w:hint="eastAsia" w:ascii="仿宋" w:eastAsia="仿宋"/>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行政事业单位养老支出</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机关事业单位职业年金缴费支出</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 xml:space="preserve"> 支出决算为</w:t>
      </w:r>
      <w:r>
        <w:rPr>
          <w:rStyle w:val="15"/>
          <w:rFonts w:hint="eastAsia" w:ascii="仿宋" w:eastAsia="仿宋"/>
          <w:b w:val="0"/>
          <w:bCs/>
          <w:color w:val="000000"/>
          <w:sz w:val="32"/>
          <w:szCs w:val="32"/>
          <w:lang w:val="en-US" w:eastAsia="zh-CN"/>
        </w:rPr>
        <w:t>20.45</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p>
    <w:p>
      <w:pPr>
        <w:spacing w:line="360" w:lineRule="auto"/>
        <w:ind w:firstLine="643" w:firstLineChars="200"/>
        <w:rPr>
          <w:rFonts w:hint="eastAsia" w:ascii="仿宋" w:eastAsia="仿宋"/>
          <w:b/>
          <w:color w:val="000000"/>
          <w:sz w:val="32"/>
          <w:szCs w:val="32"/>
          <w:highlight w:val="red"/>
        </w:rPr>
      </w:pPr>
      <w:r>
        <w:rPr>
          <w:rFonts w:hint="eastAsia" w:ascii="仿宋" w:eastAsia="仿宋"/>
          <w:b/>
          <w:bCs/>
          <w:color w:val="000000"/>
          <w:sz w:val="32"/>
          <w:szCs w:val="32"/>
          <w:lang w:val="en-US" w:eastAsia="zh-CN"/>
        </w:rPr>
        <w:t>5.</w:t>
      </w:r>
      <w:r>
        <w:rPr>
          <w:rFonts w:hint="eastAsia" w:ascii="仿宋" w:eastAsia="仿宋"/>
          <w:b/>
          <w:bCs/>
          <w:color w:val="000000"/>
          <w:sz w:val="32"/>
          <w:szCs w:val="32"/>
        </w:rPr>
        <w:t>卫生健康</w:t>
      </w:r>
      <w:r>
        <w:rPr>
          <w:rFonts w:hint="eastAsia" w:ascii="仿宋" w:eastAsia="仿宋"/>
          <w:b/>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卫生健康管理事务</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行政运行</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支出决算为</w:t>
      </w:r>
      <w:r>
        <w:rPr>
          <w:rStyle w:val="15"/>
          <w:rFonts w:hint="eastAsia" w:ascii="仿宋" w:eastAsia="仿宋"/>
          <w:b w:val="0"/>
          <w:bCs/>
          <w:color w:val="000000"/>
          <w:sz w:val="32"/>
          <w:szCs w:val="32"/>
          <w:lang w:val="en-US" w:eastAsia="zh-CN"/>
        </w:rPr>
        <w:t>1353.72</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r>
        <w:rPr>
          <w:rStyle w:val="15"/>
          <w:rFonts w:hint="eastAsia" w:ascii="仿宋" w:eastAsia="仿宋"/>
          <w:b w:val="0"/>
          <w:bCs/>
          <w:color w:val="000000"/>
          <w:sz w:val="32"/>
          <w:szCs w:val="32"/>
          <w:lang w:eastAsia="zh-CN"/>
        </w:rPr>
        <w:t>。</w:t>
      </w:r>
    </w:p>
    <w:p>
      <w:pPr>
        <w:spacing w:line="360" w:lineRule="auto"/>
        <w:ind w:firstLine="643" w:firstLineChars="200"/>
        <w:rPr>
          <w:rStyle w:val="15"/>
          <w:rFonts w:hint="eastAsia" w:ascii="仿宋" w:eastAsia="仿宋"/>
          <w:b w:val="0"/>
          <w:bCs/>
          <w:color w:val="000000"/>
          <w:sz w:val="32"/>
          <w:szCs w:val="32"/>
          <w:lang w:val="en-US" w:eastAsia="zh-CN"/>
        </w:rPr>
      </w:pPr>
      <w:r>
        <w:rPr>
          <w:rFonts w:hint="eastAsia" w:ascii="仿宋" w:eastAsia="仿宋"/>
          <w:b/>
          <w:bCs/>
          <w:color w:val="000000"/>
          <w:sz w:val="32"/>
          <w:szCs w:val="32"/>
          <w:lang w:val="en-US" w:eastAsia="zh-CN"/>
        </w:rPr>
        <w:t>6.</w:t>
      </w:r>
      <w:r>
        <w:rPr>
          <w:rFonts w:hint="eastAsia" w:ascii="仿宋" w:eastAsia="仿宋"/>
          <w:b/>
          <w:bCs/>
          <w:color w:val="000000"/>
          <w:sz w:val="32"/>
          <w:szCs w:val="32"/>
        </w:rPr>
        <w:t>卫生健康</w:t>
      </w:r>
      <w:r>
        <w:rPr>
          <w:rFonts w:hint="eastAsia" w:ascii="仿宋" w:eastAsia="仿宋"/>
          <w:b/>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卫生健康管理事务</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一般行政管理事务</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支出决算为</w:t>
      </w:r>
      <w:r>
        <w:rPr>
          <w:rStyle w:val="15"/>
          <w:rFonts w:hint="eastAsia" w:ascii="仿宋" w:eastAsia="仿宋"/>
          <w:b w:val="0"/>
          <w:bCs/>
          <w:color w:val="000000"/>
          <w:sz w:val="32"/>
          <w:szCs w:val="32"/>
          <w:lang w:val="en-US" w:eastAsia="zh-CN"/>
        </w:rPr>
        <w:t>326.29</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r>
        <w:rPr>
          <w:rStyle w:val="15"/>
          <w:rFonts w:hint="eastAsia" w:ascii="仿宋" w:eastAsia="仿宋"/>
          <w:b w:val="0"/>
          <w:bCs/>
          <w:color w:val="000000"/>
          <w:sz w:val="32"/>
          <w:szCs w:val="32"/>
          <w:lang w:val="en-US" w:eastAsia="zh-CN"/>
        </w:rPr>
        <w:t xml:space="preserve">。   </w:t>
      </w:r>
    </w:p>
    <w:p>
      <w:pPr>
        <w:spacing w:line="360" w:lineRule="auto"/>
        <w:ind w:firstLine="643" w:firstLineChars="200"/>
        <w:rPr>
          <w:rStyle w:val="15"/>
          <w:rFonts w:hint="default" w:ascii="仿宋" w:eastAsia="仿宋"/>
          <w:b w:val="0"/>
          <w:bCs/>
          <w:color w:val="000000"/>
          <w:sz w:val="32"/>
          <w:szCs w:val="32"/>
          <w:highlight w:val="none"/>
          <w:lang w:val="en-US" w:eastAsia="zh-CN"/>
        </w:rPr>
      </w:pPr>
      <w:r>
        <w:rPr>
          <w:rFonts w:hint="eastAsia" w:ascii="仿宋" w:eastAsia="仿宋"/>
          <w:b/>
          <w:bCs/>
          <w:color w:val="000000"/>
          <w:sz w:val="32"/>
          <w:szCs w:val="32"/>
          <w:highlight w:val="none"/>
          <w:lang w:val="en-US" w:eastAsia="zh-CN"/>
        </w:rPr>
        <w:t>7.</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卫生健康管理事务</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其他卫生健康管理事务支出</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112.61</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p>
    <w:p>
      <w:pPr>
        <w:spacing w:line="360" w:lineRule="auto"/>
        <w:ind w:firstLine="643" w:firstLineChars="200"/>
        <w:rPr>
          <w:rStyle w:val="15"/>
          <w:rFonts w:hint="eastAsia" w:ascii="仿宋" w:eastAsia="仿宋"/>
          <w:b w:val="0"/>
          <w:bCs/>
          <w:color w:val="000000"/>
          <w:sz w:val="32"/>
          <w:szCs w:val="32"/>
          <w:lang w:eastAsia="zh-CN"/>
        </w:rPr>
      </w:pPr>
      <w:r>
        <w:rPr>
          <w:rFonts w:hint="eastAsia" w:ascii="仿宋" w:eastAsia="仿宋"/>
          <w:b/>
          <w:bCs/>
          <w:color w:val="000000"/>
          <w:sz w:val="32"/>
          <w:szCs w:val="32"/>
          <w:lang w:val="en-US" w:eastAsia="zh-CN"/>
        </w:rPr>
        <w:t>8.</w:t>
      </w:r>
      <w:r>
        <w:rPr>
          <w:rFonts w:hint="eastAsia" w:ascii="仿宋" w:eastAsia="仿宋"/>
          <w:b/>
          <w:bCs/>
          <w:color w:val="000000"/>
          <w:sz w:val="32"/>
          <w:szCs w:val="32"/>
        </w:rPr>
        <w:t>卫生健康</w:t>
      </w:r>
      <w:r>
        <w:rPr>
          <w:rFonts w:hint="eastAsia" w:ascii="仿宋" w:eastAsia="仿宋"/>
          <w:b/>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公共卫生</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卫生监督机构</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支出决算为</w:t>
      </w:r>
      <w:r>
        <w:rPr>
          <w:rStyle w:val="15"/>
          <w:rFonts w:hint="eastAsia" w:ascii="仿宋" w:eastAsia="仿宋"/>
          <w:b w:val="0"/>
          <w:bCs/>
          <w:color w:val="000000"/>
          <w:sz w:val="32"/>
          <w:szCs w:val="32"/>
          <w:lang w:val="en-US" w:eastAsia="zh-CN"/>
        </w:rPr>
        <w:t>34.1</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r>
        <w:rPr>
          <w:rStyle w:val="15"/>
          <w:rFonts w:hint="eastAsia" w:ascii="仿宋" w:eastAsia="仿宋"/>
          <w:b w:val="0"/>
          <w:bCs/>
          <w:color w:val="000000"/>
          <w:sz w:val="32"/>
          <w:szCs w:val="32"/>
          <w:lang w:val="en-US" w:eastAsia="zh-CN"/>
        </w:rPr>
        <w:t>。</w:t>
      </w:r>
    </w:p>
    <w:p>
      <w:pPr>
        <w:spacing w:line="360" w:lineRule="auto"/>
        <w:ind w:firstLine="643" w:firstLineChars="200"/>
        <w:rPr>
          <w:rStyle w:val="15"/>
          <w:rFonts w:hint="default" w:ascii="仿宋" w:eastAsia="仿宋"/>
          <w:b w:val="0"/>
          <w:bCs/>
          <w:color w:val="000000"/>
          <w:sz w:val="32"/>
          <w:szCs w:val="32"/>
          <w:highlight w:val="none"/>
          <w:lang w:val="en-US" w:eastAsia="zh-CN"/>
        </w:rPr>
      </w:pPr>
      <w:r>
        <w:rPr>
          <w:rFonts w:hint="eastAsia" w:ascii="仿宋" w:eastAsia="仿宋"/>
          <w:b/>
          <w:bCs/>
          <w:color w:val="000000"/>
          <w:sz w:val="32"/>
          <w:szCs w:val="32"/>
          <w:highlight w:val="none"/>
          <w:lang w:val="en-US" w:eastAsia="zh-CN"/>
        </w:rPr>
        <w:t>9.</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公共卫生</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基本公共卫生服务</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41.51</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val="en-US" w:eastAsia="zh-CN"/>
        </w:rPr>
        <w:t>。</w:t>
      </w:r>
    </w:p>
    <w:p>
      <w:pPr>
        <w:spacing w:line="360" w:lineRule="auto"/>
        <w:ind w:firstLine="643" w:firstLineChars="200"/>
        <w:rPr>
          <w:rStyle w:val="15"/>
          <w:rFonts w:hint="eastAsia" w:ascii="仿宋" w:eastAsia="仿宋"/>
          <w:b w:val="0"/>
          <w:bCs/>
          <w:color w:val="000000"/>
          <w:sz w:val="32"/>
          <w:szCs w:val="32"/>
          <w:highlight w:val="none"/>
          <w:lang w:eastAsia="zh-CN"/>
        </w:rPr>
      </w:pPr>
      <w:r>
        <w:rPr>
          <w:rFonts w:hint="eastAsia" w:ascii="仿宋" w:eastAsia="仿宋"/>
          <w:b/>
          <w:bCs/>
          <w:color w:val="000000"/>
          <w:sz w:val="32"/>
          <w:szCs w:val="32"/>
          <w:highlight w:val="none"/>
          <w:lang w:val="en-US" w:eastAsia="zh-CN"/>
        </w:rPr>
        <w:t>10.</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公共卫生</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重大公共卫生服务</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71.79</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eastAsia="zh-CN"/>
        </w:rPr>
        <w:t>。</w:t>
      </w:r>
    </w:p>
    <w:p>
      <w:pPr>
        <w:spacing w:line="360" w:lineRule="auto"/>
        <w:ind w:firstLine="643" w:firstLineChars="200"/>
        <w:rPr>
          <w:rStyle w:val="15"/>
          <w:rFonts w:hint="default" w:ascii="仿宋" w:eastAsia="仿宋"/>
          <w:b w:val="0"/>
          <w:bCs/>
          <w:color w:val="000000"/>
          <w:sz w:val="32"/>
          <w:szCs w:val="32"/>
          <w:highlight w:val="none"/>
          <w:lang w:val="en-US" w:eastAsia="zh-CN"/>
        </w:rPr>
      </w:pPr>
      <w:r>
        <w:rPr>
          <w:rFonts w:hint="eastAsia" w:ascii="仿宋" w:eastAsia="仿宋"/>
          <w:b/>
          <w:bCs/>
          <w:color w:val="000000"/>
          <w:sz w:val="32"/>
          <w:szCs w:val="32"/>
          <w:highlight w:val="none"/>
          <w:lang w:val="en-US" w:eastAsia="zh-CN"/>
        </w:rPr>
        <w:t>11.</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公共卫生</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突发公共卫生事件应急处理</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1385.61</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val="en-US" w:eastAsia="zh-CN"/>
        </w:rPr>
        <w:t>。</w:t>
      </w:r>
    </w:p>
    <w:p>
      <w:pPr>
        <w:spacing w:line="360" w:lineRule="auto"/>
        <w:ind w:firstLine="643" w:firstLineChars="200"/>
        <w:rPr>
          <w:rStyle w:val="15"/>
          <w:rFonts w:hint="default" w:ascii="仿宋" w:eastAsia="仿宋"/>
          <w:b w:val="0"/>
          <w:bCs/>
          <w:color w:val="000000"/>
          <w:sz w:val="32"/>
          <w:szCs w:val="32"/>
          <w:highlight w:val="none"/>
          <w:lang w:val="en-US" w:eastAsia="zh-CN"/>
        </w:rPr>
      </w:pPr>
      <w:r>
        <w:rPr>
          <w:rFonts w:hint="eastAsia" w:ascii="仿宋" w:eastAsia="仿宋"/>
          <w:b/>
          <w:bCs/>
          <w:color w:val="000000"/>
          <w:sz w:val="32"/>
          <w:szCs w:val="32"/>
          <w:highlight w:val="none"/>
          <w:lang w:val="en-US" w:eastAsia="zh-CN"/>
        </w:rPr>
        <w:t>12.</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中医药</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中医（民族医）药专项</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70.87</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eastAsia="zh-CN"/>
        </w:rPr>
        <w:t>。</w:t>
      </w:r>
    </w:p>
    <w:p>
      <w:pPr>
        <w:spacing w:line="360" w:lineRule="auto"/>
        <w:ind w:firstLine="643" w:firstLineChars="200"/>
        <w:rPr>
          <w:rStyle w:val="15"/>
          <w:rFonts w:hint="eastAsia" w:ascii="仿宋" w:eastAsia="仿宋"/>
          <w:b w:val="0"/>
          <w:bCs/>
          <w:color w:val="000000"/>
          <w:sz w:val="32"/>
          <w:szCs w:val="32"/>
          <w:highlight w:val="none"/>
        </w:rPr>
      </w:pPr>
      <w:r>
        <w:rPr>
          <w:rStyle w:val="15"/>
          <w:rFonts w:hint="eastAsia" w:ascii="仿宋" w:eastAsia="仿宋"/>
          <w:b/>
          <w:bCs/>
          <w:color w:val="000000"/>
          <w:sz w:val="32"/>
          <w:szCs w:val="32"/>
          <w:lang w:val="en-US" w:eastAsia="zh-CN"/>
        </w:rPr>
        <w:t>13.</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
          <w:bCs/>
          <w:color w:val="000000"/>
          <w:sz w:val="32"/>
          <w:szCs w:val="32"/>
          <w:highlight w:val="none"/>
        </w:rPr>
        <w:t>（类）</w:t>
      </w:r>
      <w:r>
        <w:rPr>
          <w:rStyle w:val="15"/>
          <w:rFonts w:hint="eastAsia" w:ascii="仿宋" w:eastAsia="仿宋"/>
          <w:b/>
          <w:bCs/>
          <w:color w:val="000000"/>
          <w:sz w:val="32"/>
          <w:szCs w:val="32"/>
          <w:highlight w:val="none"/>
          <w:lang w:eastAsia="zh-CN"/>
        </w:rPr>
        <w:t>中医药</w:t>
      </w:r>
      <w:r>
        <w:rPr>
          <w:rStyle w:val="15"/>
          <w:rFonts w:hint="eastAsia" w:ascii="仿宋" w:eastAsia="仿宋"/>
          <w:b/>
          <w:bCs/>
          <w:color w:val="000000"/>
          <w:sz w:val="32"/>
          <w:szCs w:val="32"/>
          <w:highlight w:val="none"/>
        </w:rPr>
        <w:t>（款）</w:t>
      </w:r>
      <w:r>
        <w:rPr>
          <w:rStyle w:val="15"/>
          <w:rFonts w:hint="eastAsia" w:ascii="仿宋" w:eastAsia="仿宋"/>
          <w:b/>
          <w:bCs/>
          <w:color w:val="000000"/>
          <w:sz w:val="32"/>
          <w:szCs w:val="32"/>
          <w:highlight w:val="none"/>
          <w:lang w:eastAsia="zh-CN"/>
        </w:rPr>
        <w:t>其他中医药支出</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5</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p>
    <w:p>
      <w:pPr>
        <w:spacing w:line="360" w:lineRule="auto"/>
        <w:ind w:firstLine="643" w:firstLineChars="200"/>
        <w:rPr>
          <w:rStyle w:val="15"/>
          <w:rFonts w:hint="eastAsia" w:ascii="仿宋" w:eastAsia="仿宋"/>
          <w:b w:val="0"/>
          <w:bCs/>
          <w:color w:val="000000"/>
          <w:sz w:val="32"/>
          <w:szCs w:val="32"/>
          <w:highlight w:val="none"/>
          <w:lang w:eastAsia="zh-CN"/>
        </w:rPr>
      </w:pPr>
      <w:r>
        <w:rPr>
          <w:rFonts w:hint="eastAsia" w:ascii="仿宋" w:eastAsia="仿宋"/>
          <w:b/>
          <w:bCs/>
          <w:color w:val="000000"/>
          <w:sz w:val="32"/>
          <w:szCs w:val="32"/>
          <w:highlight w:val="none"/>
          <w:lang w:val="en-US" w:eastAsia="zh-CN"/>
        </w:rPr>
        <w:t>14.</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计划生育事务</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其他计划生育事务支出</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96.02</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color w:val="000000"/>
          <w:sz w:val="32"/>
          <w:szCs w:val="32"/>
          <w:highlight w:val="none"/>
          <w:lang w:eastAsia="zh-CN"/>
        </w:rPr>
        <w:t>。</w:t>
      </w:r>
    </w:p>
    <w:p>
      <w:pPr>
        <w:spacing w:line="360" w:lineRule="auto"/>
        <w:ind w:firstLine="643" w:firstLineChars="200"/>
        <w:rPr>
          <w:rStyle w:val="15"/>
          <w:rFonts w:hint="eastAsia" w:ascii="仿宋" w:eastAsia="仿宋"/>
          <w:b w:val="0"/>
          <w:bCs/>
          <w:color w:val="000000"/>
          <w:sz w:val="32"/>
          <w:szCs w:val="32"/>
        </w:rPr>
      </w:pPr>
      <w:r>
        <w:rPr>
          <w:rFonts w:hint="eastAsia" w:ascii="仿宋" w:eastAsia="仿宋"/>
          <w:b/>
          <w:bCs/>
          <w:color w:val="000000"/>
          <w:sz w:val="32"/>
          <w:szCs w:val="32"/>
          <w:lang w:val="en-US" w:eastAsia="zh-CN"/>
        </w:rPr>
        <w:t>15.</w:t>
      </w:r>
      <w:r>
        <w:rPr>
          <w:rFonts w:hint="eastAsia" w:ascii="仿宋" w:eastAsia="仿宋"/>
          <w:b/>
          <w:bCs/>
          <w:color w:val="000000"/>
          <w:sz w:val="32"/>
          <w:szCs w:val="32"/>
        </w:rPr>
        <w:t>卫生健康</w:t>
      </w:r>
      <w:r>
        <w:rPr>
          <w:rFonts w:hint="eastAsia" w:ascii="仿宋" w:eastAsia="仿宋"/>
          <w:b/>
          <w:bCs/>
          <w:color w:val="000000"/>
          <w:sz w:val="32"/>
          <w:szCs w:val="32"/>
          <w:lang w:eastAsia="zh-CN"/>
        </w:rPr>
        <w:t>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行政事业单位医疗</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行政单位医疗</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支出决算为</w:t>
      </w:r>
      <w:r>
        <w:rPr>
          <w:rStyle w:val="15"/>
          <w:rFonts w:hint="eastAsia" w:ascii="仿宋" w:eastAsia="仿宋"/>
          <w:b w:val="0"/>
          <w:bCs/>
          <w:color w:val="000000"/>
          <w:sz w:val="32"/>
          <w:szCs w:val="32"/>
          <w:lang w:val="en-US" w:eastAsia="zh-CN"/>
        </w:rPr>
        <w:t>50.19</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p>
    <w:p>
      <w:pPr>
        <w:spacing w:line="360" w:lineRule="auto"/>
        <w:ind w:firstLine="643" w:firstLineChars="200"/>
        <w:rPr>
          <w:rStyle w:val="15"/>
          <w:rFonts w:hint="eastAsia" w:ascii="仿宋" w:eastAsia="仿宋"/>
          <w:b w:val="0"/>
          <w:bCs w:val="0"/>
          <w:color w:val="000000"/>
          <w:sz w:val="32"/>
          <w:szCs w:val="32"/>
          <w:highlight w:val="none"/>
          <w:lang w:eastAsia="zh-CN"/>
        </w:rPr>
      </w:pPr>
      <w:r>
        <w:rPr>
          <w:rFonts w:hint="eastAsia" w:ascii="仿宋" w:eastAsia="仿宋"/>
          <w:b/>
          <w:bCs/>
          <w:color w:val="000000"/>
          <w:sz w:val="32"/>
          <w:szCs w:val="32"/>
          <w:highlight w:val="none"/>
          <w:lang w:val="en-US" w:eastAsia="zh-CN"/>
        </w:rPr>
        <w:t>16.</w:t>
      </w:r>
      <w:r>
        <w:rPr>
          <w:rFonts w:hint="eastAsia" w:ascii="仿宋" w:eastAsia="仿宋"/>
          <w:b/>
          <w:bCs/>
          <w:color w:val="000000"/>
          <w:sz w:val="32"/>
          <w:szCs w:val="32"/>
          <w:highlight w:val="none"/>
        </w:rPr>
        <w:t>卫生健康</w:t>
      </w:r>
      <w:r>
        <w:rPr>
          <w:rFonts w:hint="eastAsia" w:ascii="仿宋" w:eastAsia="仿宋"/>
          <w:b/>
          <w:bCs/>
          <w:color w:val="000000"/>
          <w:sz w:val="32"/>
          <w:szCs w:val="32"/>
          <w:highlight w:val="none"/>
          <w:lang w:eastAsia="zh-CN"/>
        </w:rPr>
        <w:t>支出</w:t>
      </w:r>
      <w:r>
        <w:rPr>
          <w:rStyle w:val="15"/>
          <w:rFonts w:hint="eastAsia" w:ascii="仿宋" w:eastAsia="仿宋"/>
          <w:bCs/>
          <w:color w:val="000000"/>
          <w:sz w:val="32"/>
          <w:szCs w:val="32"/>
          <w:highlight w:val="none"/>
        </w:rPr>
        <w:t>（类）</w:t>
      </w:r>
      <w:r>
        <w:rPr>
          <w:rStyle w:val="15"/>
          <w:rFonts w:hint="eastAsia" w:ascii="仿宋" w:eastAsia="仿宋"/>
          <w:bCs/>
          <w:color w:val="000000"/>
          <w:sz w:val="32"/>
          <w:szCs w:val="32"/>
          <w:highlight w:val="none"/>
          <w:lang w:eastAsia="zh-CN"/>
        </w:rPr>
        <w:t>其他卫生健康支出</w:t>
      </w:r>
      <w:r>
        <w:rPr>
          <w:rStyle w:val="15"/>
          <w:rFonts w:hint="eastAsia" w:ascii="仿宋" w:eastAsia="仿宋"/>
          <w:bCs/>
          <w:color w:val="000000"/>
          <w:sz w:val="32"/>
          <w:szCs w:val="32"/>
          <w:highlight w:val="none"/>
        </w:rPr>
        <w:t>（款）</w:t>
      </w:r>
      <w:r>
        <w:rPr>
          <w:rStyle w:val="15"/>
          <w:rFonts w:hint="eastAsia" w:ascii="仿宋" w:eastAsia="仿宋"/>
          <w:bCs/>
          <w:color w:val="000000"/>
          <w:sz w:val="32"/>
          <w:szCs w:val="32"/>
          <w:highlight w:val="none"/>
          <w:lang w:eastAsia="zh-CN"/>
        </w:rPr>
        <w:t>其他卫生健康支出</w:t>
      </w:r>
      <w:r>
        <w:rPr>
          <w:rStyle w:val="15"/>
          <w:rFonts w:hint="eastAsia" w:ascii="仿宋" w:eastAsia="仿宋"/>
          <w:bCs/>
          <w:color w:val="000000"/>
          <w:sz w:val="32"/>
          <w:szCs w:val="32"/>
          <w:highlight w:val="none"/>
        </w:rPr>
        <w:t>（项）</w:t>
      </w:r>
      <w:r>
        <w:rPr>
          <w:rStyle w:val="15"/>
          <w:rFonts w:hint="eastAsia" w:ascii="仿宋" w:eastAsia="仿宋"/>
          <w:bCs/>
          <w:color w:val="000000"/>
          <w:sz w:val="32"/>
          <w:szCs w:val="32"/>
          <w:highlight w:val="none"/>
          <w:lang w:eastAsia="zh-CN"/>
        </w:rPr>
        <w:t>：</w:t>
      </w:r>
      <w:r>
        <w:rPr>
          <w:rStyle w:val="15"/>
          <w:rFonts w:hint="eastAsia" w:ascii="仿宋" w:eastAsia="仿宋"/>
          <w:b w:val="0"/>
          <w:bCs/>
          <w:color w:val="000000"/>
          <w:sz w:val="32"/>
          <w:szCs w:val="32"/>
          <w:highlight w:val="none"/>
        </w:rPr>
        <w:t>支出决算为</w:t>
      </w:r>
      <w:r>
        <w:rPr>
          <w:rStyle w:val="15"/>
          <w:rFonts w:hint="eastAsia" w:ascii="仿宋" w:eastAsia="仿宋"/>
          <w:b w:val="0"/>
          <w:bCs/>
          <w:color w:val="000000"/>
          <w:sz w:val="32"/>
          <w:szCs w:val="32"/>
          <w:highlight w:val="none"/>
          <w:lang w:val="en-US" w:eastAsia="zh-CN"/>
        </w:rPr>
        <w:t>204</w:t>
      </w:r>
      <w:r>
        <w:rPr>
          <w:rStyle w:val="15"/>
          <w:rFonts w:hint="eastAsia" w:ascii="仿宋" w:eastAsia="仿宋"/>
          <w:b w:val="0"/>
          <w:bCs/>
          <w:color w:val="000000"/>
          <w:sz w:val="32"/>
          <w:szCs w:val="32"/>
          <w:highlight w:val="none"/>
        </w:rPr>
        <w:t>万元，完成预算</w:t>
      </w:r>
      <w:r>
        <w:rPr>
          <w:rStyle w:val="15"/>
          <w:rFonts w:hint="eastAsia" w:ascii="仿宋" w:eastAsia="仿宋"/>
          <w:b w:val="0"/>
          <w:bCs/>
          <w:color w:val="000000"/>
          <w:sz w:val="32"/>
          <w:szCs w:val="32"/>
          <w:highlight w:val="none"/>
          <w:lang w:val="en-US" w:eastAsia="zh-CN"/>
        </w:rPr>
        <w:t>100</w:t>
      </w:r>
      <w:r>
        <w:rPr>
          <w:rStyle w:val="15"/>
          <w:rFonts w:hint="eastAsia" w:ascii="仿宋" w:eastAsia="仿宋"/>
          <w:b w:val="0"/>
          <w:bCs/>
          <w:color w:val="000000"/>
          <w:sz w:val="32"/>
          <w:szCs w:val="32"/>
          <w:highlight w:val="none"/>
        </w:rPr>
        <w:t>%</w:t>
      </w:r>
      <w:r>
        <w:rPr>
          <w:rStyle w:val="15"/>
          <w:rFonts w:hint="eastAsia" w:ascii="仿宋" w:eastAsia="仿宋"/>
          <w:b w:val="0"/>
          <w:bCs w:val="0"/>
          <w:color w:val="000000"/>
          <w:sz w:val="32"/>
          <w:szCs w:val="32"/>
          <w:highlight w:val="none"/>
          <w:lang w:eastAsia="zh-CN"/>
        </w:rPr>
        <w:t>。</w:t>
      </w:r>
    </w:p>
    <w:p>
      <w:pPr>
        <w:spacing w:line="360" w:lineRule="auto"/>
        <w:ind w:firstLine="643" w:firstLineChars="200"/>
        <w:rPr>
          <w:rStyle w:val="15"/>
          <w:rFonts w:hint="eastAsia" w:ascii="仿宋" w:eastAsia="仿宋"/>
          <w:b w:val="0"/>
          <w:bCs/>
          <w:color w:val="000000"/>
          <w:sz w:val="32"/>
          <w:szCs w:val="32"/>
        </w:rPr>
      </w:pPr>
      <w:r>
        <w:rPr>
          <w:rFonts w:hint="eastAsia" w:ascii="仿宋" w:eastAsia="仿宋"/>
          <w:b/>
          <w:bCs/>
          <w:color w:val="000000"/>
          <w:sz w:val="32"/>
          <w:szCs w:val="32"/>
          <w:lang w:val="en-US" w:eastAsia="zh-CN"/>
        </w:rPr>
        <w:t>17.</w:t>
      </w:r>
      <w:r>
        <w:rPr>
          <w:rFonts w:hint="eastAsia" w:ascii="仿宋" w:eastAsia="仿宋"/>
          <w:b/>
          <w:bCs/>
          <w:color w:val="000000"/>
          <w:sz w:val="32"/>
          <w:szCs w:val="32"/>
          <w:lang w:eastAsia="zh-CN"/>
        </w:rPr>
        <w:t>住房保障支出</w:t>
      </w:r>
      <w:r>
        <w:rPr>
          <w:rStyle w:val="15"/>
          <w:rFonts w:hint="eastAsia" w:ascii="仿宋" w:eastAsia="仿宋"/>
          <w:bCs/>
          <w:color w:val="000000"/>
          <w:sz w:val="32"/>
          <w:szCs w:val="32"/>
        </w:rPr>
        <w:t>（类）</w:t>
      </w:r>
      <w:r>
        <w:rPr>
          <w:rStyle w:val="15"/>
          <w:rFonts w:hint="eastAsia" w:ascii="仿宋" w:eastAsia="仿宋"/>
          <w:bCs/>
          <w:color w:val="000000"/>
          <w:sz w:val="32"/>
          <w:szCs w:val="32"/>
          <w:lang w:eastAsia="zh-CN"/>
        </w:rPr>
        <w:t>住房改革支出</w:t>
      </w:r>
      <w:r>
        <w:rPr>
          <w:rStyle w:val="15"/>
          <w:rFonts w:hint="eastAsia" w:ascii="仿宋" w:eastAsia="仿宋"/>
          <w:bCs/>
          <w:color w:val="000000"/>
          <w:sz w:val="32"/>
          <w:szCs w:val="32"/>
        </w:rPr>
        <w:t>（款）</w:t>
      </w:r>
      <w:r>
        <w:rPr>
          <w:rStyle w:val="15"/>
          <w:rFonts w:hint="eastAsia" w:ascii="仿宋" w:eastAsia="仿宋"/>
          <w:bCs/>
          <w:color w:val="000000"/>
          <w:sz w:val="32"/>
          <w:szCs w:val="32"/>
          <w:lang w:eastAsia="zh-CN"/>
        </w:rPr>
        <w:t>住房公积金</w:t>
      </w:r>
      <w:r>
        <w:rPr>
          <w:rStyle w:val="15"/>
          <w:rFonts w:hint="eastAsia" w:ascii="仿宋" w:eastAsia="仿宋"/>
          <w:bCs/>
          <w:color w:val="000000"/>
          <w:sz w:val="32"/>
          <w:szCs w:val="32"/>
        </w:rPr>
        <w:t>（项）</w:t>
      </w:r>
      <w:r>
        <w:rPr>
          <w:rStyle w:val="15"/>
          <w:rFonts w:hint="eastAsia" w:ascii="仿宋" w:eastAsia="仿宋"/>
          <w:bCs/>
          <w:color w:val="000000"/>
          <w:sz w:val="32"/>
          <w:szCs w:val="32"/>
          <w:lang w:eastAsia="zh-CN"/>
        </w:rPr>
        <w:t>：</w:t>
      </w:r>
      <w:r>
        <w:rPr>
          <w:rStyle w:val="15"/>
          <w:rFonts w:hint="eastAsia" w:ascii="仿宋" w:eastAsia="仿宋"/>
          <w:b w:val="0"/>
          <w:bCs/>
          <w:color w:val="000000"/>
          <w:sz w:val="32"/>
          <w:szCs w:val="32"/>
        </w:rPr>
        <w:t>支出决算为</w:t>
      </w:r>
      <w:r>
        <w:rPr>
          <w:rStyle w:val="15"/>
          <w:rFonts w:hint="eastAsia" w:ascii="仿宋" w:eastAsia="仿宋"/>
          <w:b w:val="0"/>
          <w:bCs/>
          <w:color w:val="000000"/>
          <w:sz w:val="32"/>
          <w:szCs w:val="32"/>
          <w:lang w:val="en-US" w:eastAsia="zh-CN"/>
        </w:rPr>
        <w:t>114.03</w:t>
      </w:r>
      <w:r>
        <w:rPr>
          <w:rStyle w:val="15"/>
          <w:rFonts w:hint="eastAsia" w:ascii="仿宋" w:eastAsia="仿宋"/>
          <w:b w:val="0"/>
          <w:bCs/>
          <w:color w:val="000000"/>
          <w:sz w:val="32"/>
          <w:szCs w:val="32"/>
        </w:rPr>
        <w:t>万元，完成预算</w:t>
      </w:r>
      <w:r>
        <w:rPr>
          <w:rStyle w:val="15"/>
          <w:rFonts w:hint="eastAsia" w:ascii="仿宋" w:eastAsia="仿宋"/>
          <w:b w:val="0"/>
          <w:bCs/>
          <w:color w:val="000000"/>
          <w:sz w:val="32"/>
          <w:szCs w:val="32"/>
          <w:lang w:val="en-US" w:eastAsia="zh-CN"/>
        </w:rPr>
        <w:t>100</w:t>
      </w:r>
      <w:r>
        <w:rPr>
          <w:rStyle w:val="15"/>
          <w:rFonts w:hint="eastAsia" w:ascii="仿宋" w:eastAsia="仿宋"/>
          <w:b w:val="0"/>
          <w:bCs/>
          <w:color w:val="000000"/>
          <w:sz w:val="32"/>
          <w:szCs w:val="32"/>
        </w:rPr>
        <w:t>%。</w:t>
      </w:r>
    </w:p>
    <w:p>
      <w:pPr>
        <w:tabs>
          <w:tab w:val="right" w:pos="8306"/>
        </w:tabs>
        <w:spacing w:line="360" w:lineRule="auto"/>
        <w:ind w:firstLine="640"/>
        <w:outlineLvl w:val="1"/>
        <w:rPr>
          <w:rStyle w:val="18"/>
          <w:color w:val="auto"/>
          <w:highlight w:val="none"/>
        </w:rPr>
      </w:pPr>
      <w:bookmarkStart w:id="49" w:name="_Toc15396608"/>
      <w:bookmarkStart w:id="50" w:name="_Toc24613"/>
      <w:bookmarkStart w:id="5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9"/>
      <w:bookmarkEnd w:id="50"/>
      <w:bookmarkEnd w:id="51"/>
      <w:r>
        <w:rPr>
          <w:rStyle w:val="18"/>
          <w:rFonts w:ascii="黑体" w:hAnsi="黑体" w:eastAsia="黑体"/>
          <w:b w:val="0"/>
          <w:color w:val="auto"/>
          <w:highlight w:val="none"/>
        </w:rPr>
        <w:tab/>
      </w:r>
    </w:p>
    <w:p>
      <w:pPr>
        <w:spacing w:line="360" w:lineRule="auto"/>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1685.72</w:t>
      </w:r>
      <w:r>
        <w:rPr>
          <w:rFonts w:hint="eastAsia" w:ascii="仿宋" w:hAnsi="仿宋" w:eastAsia="仿宋"/>
          <w:color w:val="auto"/>
          <w:sz w:val="32"/>
          <w:szCs w:val="32"/>
          <w:highlight w:val="none"/>
        </w:rPr>
        <w:t>万元，其中：</w:t>
      </w:r>
    </w:p>
    <w:p>
      <w:pPr>
        <w:spacing w:line="360" w:lineRule="auto"/>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1483.44</w:t>
      </w:r>
      <w:r>
        <w:rPr>
          <w:rFonts w:hint="eastAsia" w:ascii="仿宋" w:hAnsi="仿宋" w:eastAsia="仿宋"/>
          <w:color w:val="auto"/>
          <w:sz w:val="32"/>
          <w:szCs w:val="32"/>
          <w:highlight w:val="none"/>
        </w:rPr>
        <w:t>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住房公积金、抚恤金、</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eastAsia="zh-CN"/>
        </w:rPr>
        <w:t>、其他对个人和家庭的补助</w:t>
      </w:r>
      <w:r>
        <w:rPr>
          <w:rFonts w:hint="eastAsia" w:ascii="仿宋" w:hAnsi="仿宋" w:eastAsia="仿宋"/>
          <w:color w:val="auto"/>
          <w:sz w:val="32"/>
          <w:szCs w:val="32"/>
          <w:highlight w:val="none"/>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202.28</w:t>
      </w:r>
      <w:r>
        <w:rPr>
          <w:rFonts w:hint="eastAsia" w:ascii="仿宋" w:hAnsi="仿宋" w:eastAsia="仿宋"/>
          <w:color w:val="auto"/>
          <w:sz w:val="32"/>
          <w:szCs w:val="32"/>
          <w:highlight w:val="none"/>
        </w:rPr>
        <w:t>万元，主要包括：办公费、印刷费、水费、电费、邮电费、物业管理费、差旅费、维修（护）费、培训费、公务接待费、劳务费、委托业务费、工会经费、福利费、公务用车运行维护费、其他交通费</w:t>
      </w:r>
      <w:r>
        <w:rPr>
          <w:rFonts w:hint="eastAsia" w:ascii="仿宋" w:hAnsi="仿宋" w:eastAsia="仿宋"/>
          <w:color w:val="auto"/>
          <w:sz w:val="32"/>
          <w:szCs w:val="32"/>
          <w:highlight w:val="none"/>
          <w:lang w:eastAsia="zh-CN"/>
        </w:rPr>
        <w:t>用</w:t>
      </w:r>
      <w:r>
        <w:rPr>
          <w:rFonts w:hint="eastAsia" w:ascii="仿宋" w:hAnsi="仿宋" w:eastAsia="仿宋"/>
          <w:color w:val="auto"/>
          <w:sz w:val="32"/>
          <w:szCs w:val="32"/>
          <w:highlight w:val="none"/>
        </w:rPr>
        <w:t>、其他商品和服务支出、办公设备购置。</w:t>
      </w:r>
    </w:p>
    <w:p>
      <w:pPr>
        <w:spacing w:line="360" w:lineRule="auto"/>
        <w:ind w:firstLine="640"/>
        <w:rPr>
          <w:rFonts w:ascii="仿宋" w:hAnsi="仿宋" w:eastAsia="仿宋"/>
          <w:b/>
          <w:color w:val="auto"/>
          <w:sz w:val="32"/>
          <w:szCs w:val="32"/>
          <w:highlight w:val="none"/>
        </w:rPr>
      </w:pPr>
    </w:p>
    <w:p>
      <w:pPr>
        <w:spacing w:line="360" w:lineRule="auto"/>
        <w:ind w:firstLine="640"/>
        <w:outlineLvl w:val="1"/>
        <w:rPr>
          <w:rStyle w:val="18"/>
          <w:rFonts w:ascii="黑体" w:hAnsi="黑体" w:eastAsia="黑体"/>
          <w:b w:val="0"/>
          <w:color w:val="auto"/>
          <w:highlight w:val="none"/>
        </w:rPr>
      </w:pPr>
      <w:bookmarkStart w:id="52" w:name="_Toc15396609"/>
      <w:bookmarkStart w:id="53" w:name="_Toc15377215"/>
      <w:bookmarkStart w:id="54" w:name="_Toc19632"/>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2"/>
      <w:bookmarkEnd w:id="53"/>
      <w:bookmarkEnd w:id="54"/>
    </w:p>
    <w:p>
      <w:pPr>
        <w:spacing w:line="360" w:lineRule="auto"/>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360" w:lineRule="auto"/>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13.33</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74.72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9.43万元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3.9万元，增长41.36%。</w:t>
      </w:r>
      <w:r>
        <w:rPr>
          <w:rFonts w:hint="eastAsia" w:ascii="仿宋" w:hAnsi="仿宋" w:eastAsia="仿宋"/>
          <w:color w:val="auto"/>
          <w:sz w:val="32"/>
          <w:szCs w:val="32"/>
          <w:highlight w:val="none"/>
        </w:rPr>
        <w:t>决算数小于预算数的主要原因是</w:t>
      </w:r>
      <w:r>
        <w:rPr>
          <w:rStyle w:val="15"/>
          <w:rFonts w:hint="eastAsia" w:ascii="仿宋" w:hAnsi="仿宋" w:eastAsia="仿宋" w:cstheme="minorBidi"/>
          <w:b w:val="0"/>
          <w:bCs/>
          <w:color w:val="auto"/>
          <w:sz w:val="32"/>
          <w:szCs w:val="32"/>
          <w:highlight w:val="none"/>
          <w:lang w:val="en-US" w:eastAsia="zh-CN"/>
        </w:rPr>
        <w:t>落实党政机关过“紧日子”要求，压缩“三公”经费支出。</w:t>
      </w:r>
    </w:p>
    <w:p>
      <w:pPr>
        <w:spacing w:line="360" w:lineRule="auto"/>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360" w:lineRule="auto"/>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9.96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74.72</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3.37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25.28</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5"/>
        <w:spacing w:line="360" w:lineRule="auto"/>
        <w:rPr>
          <w:rFonts w:hint="eastAsia"/>
        </w:rPr>
      </w:pPr>
      <w:r>
        <w:drawing>
          <wp:inline distT="0" distB="0" distL="114300" distR="114300">
            <wp:extent cx="4817110" cy="2971800"/>
            <wp:effectExtent l="4445" t="4445" r="1714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360" w:lineRule="auto"/>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360" w:lineRule="auto"/>
        <w:ind w:firstLine="640"/>
        <w:rPr>
          <w:rStyle w:val="15"/>
          <w:rFonts w:hint="eastAsia" w:ascii="仿宋" w:hAnsi="仿宋" w:eastAsia="仿宋" w:cs="仿宋"/>
          <w:b w:val="0"/>
          <w:bCs/>
          <w:color w:val="auto"/>
          <w:sz w:val="32"/>
          <w:szCs w:val="32"/>
          <w:highlight w:val="none"/>
          <w:lang w:val="en-US"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Style w:val="15"/>
          <w:rFonts w:hint="eastAsia" w:ascii="仿宋" w:hAnsi="仿宋" w:eastAsia="仿宋" w:cs="仿宋"/>
          <w:b w:val="0"/>
          <w:bCs/>
          <w:color w:val="auto"/>
          <w:sz w:val="32"/>
          <w:szCs w:val="32"/>
          <w:highlight w:val="none"/>
          <w:lang w:val="en-US" w:eastAsia="zh-CN"/>
        </w:rPr>
        <w:t>0万元，年初未安排预算。全年安排因公出国（境）团组0次，出国（境）0人。因公出国（境）支出决算较2021年无变化。主要原因是疫情影响因公出国费用未发生。</w:t>
      </w:r>
    </w:p>
    <w:p>
      <w:pPr>
        <w:spacing w:line="360" w:lineRule="auto"/>
        <w:ind w:firstLine="640"/>
        <w:rPr>
          <w:rFonts w:hint="eastAsia" w:ascii="仿宋" w:hAnsi="仿宋" w:eastAsia="仿宋" w:cs="仿宋"/>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 w:hAnsi="仿宋" w:eastAsia="仿宋" w:cs="仿宋"/>
          <w:color w:val="auto"/>
          <w:sz w:val="32"/>
          <w:szCs w:val="32"/>
          <w:highlight w:val="none"/>
          <w:lang w:val="en-US" w:eastAsia="zh-CN"/>
        </w:rPr>
        <w:t>9.96</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Style w:val="15"/>
          <w:rFonts w:hint="eastAsia" w:ascii="仿宋" w:hAnsi="仿宋" w:eastAsia="仿宋" w:cs="仿宋"/>
          <w:b w:val="0"/>
          <w:bCs/>
          <w:color w:val="auto"/>
          <w:sz w:val="32"/>
          <w:szCs w:val="32"/>
          <w:highlight w:val="none"/>
        </w:rPr>
        <w:t>完成预算</w:t>
      </w:r>
      <w:r>
        <w:rPr>
          <w:rStyle w:val="15"/>
          <w:rFonts w:hint="eastAsia" w:ascii="仿宋" w:hAnsi="仿宋" w:eastAsia="仿宋" w:cs="仿宋"/>
          <w:b w:val="0"/>
          <w:bCs/>
          <w:color w:val="auto"/>
          <w:sz w:val="32"/>
          <w:szCs w:val="32"/>
          <w:highlight w:val="none"/>
          <w:lang w:val="en-US" w:eastAsia="zh-CN"/>
        </w:rPr>
        <w:t>99.6</w:t>
      </w:r>
      <w:r>
        <w:rPr>
          <w:rStyle w:val="15"/>
          <w:rFonts w:hint="eastAsia" w:ascii="仿宋" w:hAnsi="仿宋" w:eastAsia="仿宋" w:cs="仿宋"/>
          <w:b w:val="0"/>
          <w:bCs/>
          <w:color w:val="auto"/>
          <w:sz w:val="32"/>
          <w:szCs w:val="32"/>
          <w:highlight w:val="none"/>
        </w:rPr>
        <w:t>%。</w:t>
      </w:r>
      <w:r>
        <w:rPr>
          <w:rFonts w:hint="eastAsia" w:ascii="仿宋" w:hAnsi="仿宋" w:eastAsia="仿宋" w:cs="仿宋"/>
          <w:color w:val="auto"/>
          <w:sz w:val="32"/>
          <w:szCs w:val="32"/>
          <w:highlight w:val="none"/>
        </w:rPr>
        <w:t>公务用车购置及运行维护费支出决算比20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年增加</w:t>
      </w:r>
      <w:r>
        <w:rPr>
          <w:rFonts w:hint="eastAsia" w:ascii="仿宋" w:hAnsi="仿宋" w:eastAsia="仿宋" w:cs="仿宋"/>
          <w:color w:val="auto"/>
          <w:sz w:val="32"/>
          <w:szCs w:val="32"/>
          <w:highlight w:val="none"/>
          <w:lang w:val="en-US" w:eastAsia="zh-CN"/>
        </w:rPr>
        <w:t>4.89</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eastAsia="zh-CN"/>
        </w:rPr>
        <w:t>96.45</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eastAsia="zh-CN"/>
        </w:rPr>
        <w:t>卫生执法支队与卫生健康委合并，公务用车增加</w:t>
      </w:r>
      <w:r>
        <w:rPr>
          <w:rFonts w:hint="eastAsia" w:ascii="仿宋" w:hAnsi="仿宋" w:eastAsia="仿宋" w:cs="仿宋"/>
          <w:color w:val="auto"/>
          <w:sz w:val="32"/>
          <w:szCs w:val="32"/>
          <w:highlight w:val="none"/>
        </w:rPr>
        <w:t>。</w:t>
      </w:r>
    </w:p>
    <w:p>
      <w:pPr>
        <w:spacing w:line="360" w:lineRule="auto"/>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万元。全年按规定更新购置公务用车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年12月底，单位共有公务用车</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辆，其中：轿车</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辆、</w:t>
      </w:r>
      <w:r>
        <w:rPr>
          <w:rFonts w:hint="eastAsia" w:ascii="仿宋" w:eastAsia="仿宋"/>
          <w:color w:val="000000"/>
          <w:sz w:val="32"/>
          <w:szCs w:val="32"/>
          <w:highlight w:val="none"/>
          <w:lang w:val="en-US" w:eastAsia="zh-CN"/>
        </w:rPr>
        <w:t>其他车型1辆</w:t>
      </w:r>
      <w:r>
        <w:rPr>
          <w:rFonts w:hint="eastAsia" w:ascii="仿宋" w:hAnsi="仿宋" w:eastAsia="仿宋" w:cs="仿宋"/>
          <w:color w:val="auto"/>
          <w:sz w:val="32"/>
          <w:szCs w:val="32"/>
          <w:highlight w:val="none"/>
        </w:rPr>
        <w:t>。</w:t>
      </w:r>
    </w:p>
    <w:p>
      <w:pPr>
        <w:spacing w:line="360" w:lineRule="auto"/>
        <w:ind w:firstLine="640"/>
        <w:rPr>
          <w:rStyle w:val="15"/>
          <w:rFonts w:hint="eastAsia" w:ascii="仿宋" w:hAnsi="仿宋" w:eastAsia="仿宋" w:cstheme="minorBidi"/>
          <w:b w:val="0"/>
          <w:bCs/>
          <w:color w:val="auto"/>
          <w:sz w:val="32"/>
          <w:szCs w:val="32"/>
          <w:highlight w:val="none"/>
          <w:lang w:val="en-US" w:eastAsia="zh-CN"/>
        </w:rPr>
      </w:pPr>
      <w:r>
        <w:rPr>
          <w:rFonts w:hint="eastAsia" w:ascii="仿宋_GB2312" w:eastAsia="仿宋_GB2312"/>
          <w:b/>
          <w:color w:val="auto"/>
          <w:sz w:val="32"/>
          <w:szCs w:val="32"/>
          <w:highlight w:val="none"/>
        </w:rPr>
        <w:t>公务用车运行维护费支出</w:t>
      </w:r>
      <w:r>
        <w:rPr>
          <w:rFonts w:hint="eastAsia" w:ascii="仿宋" w:hAnsi="仿宋" w:eastAsia="仿宋" w:cs="仿宋"/>
          <w:color w:val="auto"/>
          <w:sz w:val="32"/>
          <w:szCs w:val="32"/>
          <w:highlight w:val="none"/>
          <w:lang w:val="en-US" w:eastAsia="zh-CN"/>
        </w:rPr>
        <w:t>9.96</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主要用于重大疾病预防与控制、医疗卫生体制改革、医疗卫生服</w:t>
      </w:r>
      <w:r>
        <w:rPr>
          <w:rStyle w:val="15"/>
          <w:rFonts w:hint="eastAsia" w:ascii="仿宋" w:hAnsi="仿宋" w:eastAsia="仿宋" w:cstheme="minorBidi"/>
          <w:b w:val="0"/>
          <w:bCs/>
          <w:color w:val="auto"/>
          <w:sz w:val="32"/>
          <w:szCs w:val="32"/>
          <w:highlight w:val="none"/>
          <w:lang w:val="en-US" w:eastAsia="zh-CN"/>
        </w:rPr>
        <w:t>务体系建设、公共卫生服务均等化检查与督导、社区卫生督导与检查、健康教育宣传、突发公共卫生应急、基本公共卫生服务重大公共卫生服务、医疗卫生信息统计与发布、医疗质量监管、中医药事业发展、康养产业发展、卫生计生执法监督、项目工作、妇幼健康计划生育服务、计划生育基层指导、卫生计生宣传教育、流动人口计划生育管理和服务、计划生育家庭发展、计生“三结合”、卫生健康扶贫等项目和医疗机构、疾病预防控制机构、卫生监督机构、妇幼保健机构、应急救治机构、采供血机构等开展工作等所需的公务用车燃料费、维修费、过路过桥费、保险费等支出。</w:t>
      </w:r>
    </w:p>
    <w:p>
      <w:pPr>
        <w:spacing w:line="360" w:lineRule="auto"/>
        <w:ind w:firstLine="640"/>
        <w:rPr>
          <w:rFonts w:hint="eastAsia" w:ascii="仿宋" w:hAnsi="仿宋" w:eastAsia="仿宋" w:cs="仿宋"/>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 w:hAnsi="仿宋" w:eastAsia="仿宋" w:cs="仿宋"/>
          <w:color w:val="auto"/>
          <w:sz w:val="32"/>
          <w:szCs w:val="32"/>
          <w:highlight w:val="none"/>
          <w:lang w:val="en-US" w:eastAsia="zh-CN"/>
        </w:rPr>
        <w:t>3.37</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42.98</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4.36万元</w:t>
      </w:r>
      <w:r>
        <w:rPr>
          <w:rFonts w:hint="eastAsia" w:ascii="仿宋" w:hAnsi="仿宋" w:eastAsia="仿宋" w:cs="仿宋"/>
          <w:color w:val="auto"/>
          <w:sz w:val="32"/>
          <w:szCs w:val="32"/>
          <w:highlight w:val="none"/>
        </w:rPr>
        <w:t>减少</w:t>
      </w:r>
      <w:r>
        <w:rPr>
          <w:rFonts w:hint="eastAsia" w:ascii="仿宋" w:hAnsi="仿宋" w:eastAsia="仿宋" w:cs="仿宋"/>
          <w:color w:val="auto"/>
          <w:sz w:val="32"/>
          <w:szCs w:val="32"/>
          <w:highlight w:val="none"/>
          <w:lang w:val="en-US" w:eastAsia="zh-CN"/>
        </w:rPr>
        <w:t>0.99</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22.71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主要原因是落实党政机关过“紧日子”要求，压缩接待费支出。</w:t>
      </w:r>
      <w:r>
        <w:rPr>
          <w:rFonts w:hint="eastAsia" w:ascii="仿宋" w:hAnsi="仿宋" w:eastAsia="仿宋" w:cs="仿宋"/>
          <w:color w:val="auto"/>
          <w:sz w:val="32"/>
          <w:szCs w:val="32"/>
          <w:highlight w:val="none"/>
        </w:rPr>
        <w:t>其中：</w:t>
      </w:r>
    </w:p>
    <w:p>
      <w:pPr>
        <w:spacing w:line="360" w:lineRule="auto"/>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s="Times New Roman"/>
          <w:color w:val="auto"/>
          <w:sz w:val="32"/>
          <w:szCs w:val="32"/>
          <w:highlight w:val="none"/>
          <w:lang w:val="en-US" w:eastAsia="zh-CN"/>
        </w:rPr>
        <w:t>3.37万元，主要用于上级机关执行公务、开展业务活动开支的交通费、住宿费、用餐费等。国内公务接待25批次，223人次（不包括陪同人员），共计支出3.37万元，具体内容包括：卫生计生行政执法及执法监督、医疗卫生服务体系建设、基本公共卫生及重大公共卫生服务、健康养生产业发展、医</w:t>
      </w:r>
      <w:r>
        <w:rPr>
          <w:rFonts w:hint="eastAsia" w:ascii="仿宋" w:hAnsi="仿宋" w:eastAsia="仿宋"/>
          <w:color w:val="auto"/>
          <w:sz w:val="32"/>
          <w:szCs w:val="32"/>
          <w:highlight w:val="none"/>
          <w:lang w:val="en-US" w:eastAsia="zh-CN"/>
        </w:rPr>
        <w:t>疗卫生体制改革、中医事业发展、计划生育服务工作、卫生应急工作、医疗卫生健康扶贫工作、疾病预防控制工作、采供血及血液安全保障工作等重点工作以及有单位来广调研、指导、考核、督查督办、学习交流所发生的接待支出。</w:t>
      </w:r>
    </w:p>
    <w:p>
      <w:pPr>
        <w:spacing w:line="360" w:lineRule="auto"/>
        <w:ind w:firstLine="643" w:firstLineChars="200"/>
        <w:rPr>
          <w:rFonts w:hint="eastAsia"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bookmarkStart w:id="57" w:name="_Toc15396610"/>
      <w:bookmarkStart w:id="58" w:name="_Toc15377218"/>
    </w:p>
    <w:p>
      <w:pPr>
        <w:spacing w:line="360" w:lineRule="auto"/>
        <w:ind w:firstLine="640"/>
        <w:outlineLvl w:val="1"/>
        <w:rPr>
          <w:rStyle w:val="18"/>
          <w:rFonts w:ascii="黑体" w:hAnsi="黑体" w:eastAsia="黑体"/>
          <w:color w:val="auto"/>
          <w:highlight w:val="none"/>
        </w:rPr>
      </w:pPr>
      <w:bookmarkStart w:id="59" w:name="_Toc20253"/>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7"/>
      <w:bookmarkEnd w:id="58"/>
      <w:bookmarkEnd w:id="59"/>
    </w:p>
    <w:p>
      <w:pPr>
        <w:spacing w:line="360" w:lineRule="auto"/>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spacing w:line="360" w:lineRule="auto"/>
        <w:ind w:firstLine="640" w:firstLineChars="200"/>
        <w:rPr>
          <w:rFonts w:ascii="仿宋_GB2312" w:eastAsia="仿宋_GB2312"/>
          <w:color w:val="auto"/>
          <w:sz w:val="32"/>
          <w:szCs w:val="32"/>
          <w:highlight w:val="none"/>
        </w:rPr>
      </w:pP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本单位</w:t>
      </w:r>
      <w:r>
        <w:rPr>
          <w:rFonts w:hint="eastAsia" w:ascii="仿宋" w:hAnsi="仿宋" w:eastAsia="仿宋" w:cs="仿宋"/>
          <w:color w:val="000000"/>
          <w:sz w:val="32"/>
          <w:szCs w:val="32"/>
        </w:rPr>
        <w:t>未在政府性基金预算拨款安排“三公经费”支出。</w:t>
      </w:r>
    </w:p>
    <w:p>
      <w:pPr>
        <w:numPr>
          <w:ilvl w:val="0"/>
          <w:numId w:val="4"/>
        </w:numPr>
        <w:spacing w:line="360" w:lineRule="auto"/>
        <w:ind w:firstLine="640"/>
        <w:outlineLvl w:val="1"/>
        <w:rPr>
          <w:rStyle w:val="18"/>
          <w:rFonts w:ascii="黑体" w:hAnsi="黑体" w:eastAsia="黑体"/>
          <w:b w:val="0"/>
          <w:color w:val="auto"/>
          <w:highlight w:val="none"/>
        </w:rPr>
      </w:pPr>
      <w:bookmarkStart w:id="60" w:name="_Toc25559"/>
      <w:bookmarkStart w:id="61" w:name="_Toc15396611"/>
      <w:bookmarkStart w:id="62" w:name="_Toc15377219"/>
      <w:r>
        <w:rPr>
          <w:rStyle w:val="18"/>
          <w:rFonts w:hint="eastAsia" w:ascii="黑体" w:hAnsi="黑体" w:eastAsia="黑体"/>
          <w:b w:val="0"/>
          <w:color w:val="auto"/>
          <w:highlight w:val="none"/>
        </w:rPr>
        <w:t>国有资本经营预算支出决算情况说明</w:t>
      </w:r>
      <w:bookmarkEnd w:id="60"/>
      <w:bookmarkEnd w:id="61"/>
      <w:bookmarkEnd w:id="62"/>
    </w:p>
    <w:p>
      <w:pPr>
        <w:spacing w:line="360" w:lineRule="auto"/>
        <w:ind w:firstLine="640"/>
        <w:rPr>
          <w:rFonts w:ascii="方正小标宋简体" w:hAnsi="方正小标宋简体" w:eastAsia="方正小标宋简体" w:cs="方正小标宋简体"/>
          <w:color w:val="auto"/>
          <w:sz w:val="44"/>
          <w:szCs w:val="44"/>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numPr>
          <w:ilvl w:val="0"/>
          <w:numId w:val="4"/>
        </w:numPr>
        <w:spacing w:line="360" w:lineRule="auto"/>
        <w:ind w:firstLine="640"/>
        <w:outlineLvl w:val="1"/>
        <w:rPr>
          <w:rStyle w:val="18"/>
          <w:rFonts w:hint="eastAsia" w:ascii="黑体" w:hAnsi="黑体" w:eastAsia="黑体"/>
          <w:b w:val="0"/>
          <w:color w:val="auto"/>
          <w:highlight w:val="none"/>
        </w:rPr>
      </w:pPr>
      <w:bookmarkStart w:id="63" w:name="_Toc13588"/>
      <w:bookmarkStart w:id="64" w:name="_Toc15396612"/>
      <w:bookmarkStart w:id="65" w:name="_Toc15377221"/>
      <w:r>
        <w:rPr>
          <w:rStyle w:val="18"/>
          <w:rFonts w:hint="eastAsia" w:ascii="黑体" w:hAnsi="黑体" w:eastAsia="黑体"/>
          <w:b w:val="0"/>
          <w:color w:val="auto"/>
          <w:highlight w:val="none"/>
        </w:rPr>
        <w:t>其他重要事项的情况说明</w:t>
      </w:r>
      <w:bookmarkEnd w:id="63"/>
      <w:bookmarkEnd w:id="64"/>
      <w:bookmarkEnd w:id="65"/>
    </w:p>
    <w:p>
      <w:pPr>
        <w:spacing w:line="360" w:lineRule="auto"/>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Times New Roman" w:eastAsia="仿宋" w:cs="Times New Roman"/>
          <w:color w:val="000000"/>
          <w:sz w:val="32"/>
          <w:szCs w:val="32"/>
          <w:lang w:eastAsia="zh-CN"/>
        </w:rPr>
        <w:t>广元市卫生健康委员会</w:t>
      </w:r>
      <w:r>
        <w:rPr>
          <w:rFonts w:hint="eastAsia" w:ascii="仿宋" w:hAnsi="仿宋" w:eastAsia="仿宋" w:cs="仿宋"/>
          <w:color w:val="auto"/>
          <w:sz w:val="32"/>
          <w:szCs w:val="32"/>
          <w:highlight w:val="none"/>
        </w:rPr>
        <w:t>机关运行经费支出</w:t>
      </w:r>
      <w:r>
        <w:rPr>
          <w:rFonts w:hint="eastAsia" w:ascii="仿宋" w:hAnsi="仿宋" w:eastAsia="仿宋" w:cs="仿宋"/>
          <w:color w:val="auto"/>
          <w:sz w:val="32"/>
          <w:szCs w:val="32"/>
          <w:highlight w:val="none"/>
          <w:lang w:val="en-US" w:eastAsia="zh-CN"/>
        </w:rPr>
        <w:t>202.28</w:t>
      </w:r>
      <w:r>
        <w:rPr>
          <w:rFonts w:hint="eastAsia" w:ascii="仿宋" w:hAnsi="仿宋" w:eastAsia="仿宋" w:cs="仿宋"/>
          <w:color w:val="auto"/>
          <w:sz w:val="32"/>
          <w:szCs w:val="32"/>
          <w:highlight w:val="none"/>
        </w:rPr>
        <w:t>万元，比20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91.24万元</w:t>
      </w:r>
      <w:r>
        <w:rPr>
          <w:rFonts w:hint="eastAsia" w:ascii="仿宋" w:hAnsi="仿宋" w:eastAsia="仿宋" w:cs="仿宋"/>
          <w:color w:val="auto"/>
          <w:sz w:val="32"/>
          <w:szCs w:val="32"/>
          <w:highlight w:val="none"/>
        </w:rPr>
        <w:t>增加</w:t>
      </w:r>
      <w:r>
        <w:rPr>
          <w:rFonts w:hint="eastAsia" w:ascii="仿宋" w:hAnsi="仿宋" w:eastAsia="仿宋" w:cs="仿宋"/>
          <w:color w:val="auto"/>
          <w:sz w:val="32"/>
          <w:szCs w:val="32"/>
          <w:highlight w:val="none"/>
          <w:lang w:val="en-US" w:eastAsia="zh-CN"/>
        </w:rPr>
        <w:t>111.04</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eastAsia="zh-CN"/>
        </w:rPr>
        <w:t>121.7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Times New Roman" w:eastAsia="仿宋" w:cs="Times New Roman"/>
          <w:color w:val="000000"/>
          <w:sz w:val="32"/>
          <w:szCs w:val="32"/>
          <w:highlight w:val="none"/>
        </w:rPr>
        <w:t>主要原因是</w:t>
      </w:r>
      <w:r>
        <w:rPr>
          <w:rFonts w:hint="eastAsia" w:ascii="仿宋" w:eastAsia="仿宋" w:cs="Times New Roman"/>
          <w:color w:val="000000"/>
          <w:sz w:val="32"/>
          <w:szCs w:val="32"/>
          <w:highlight w:val="none"/>
          <w:lang w:eastAsia="zh-CN"/>
        </w:rPr>
        <w:t>卫监执法支队与卫生健康委合并、新进人员的增加，导致机关运行经费增加。</w:t>
      </w:r>
    </w:p>
    <w:p>
      <w:pPr>
        <w:autoSpaceDE w:val="0"/>
        <w:autoSpaceDN w:val="0"/>
        <w:adjustRightInd w:val="0"/>
        <w:spacing w:line="360" w:lineRule="auto"/>
        <w:ind w:firstLine="643"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360" w:lineRule="auto"/>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Times New Roman" w:eastAsia="仿宋" w:cs="Times New Roman"/>
          <w:color w:val="000000"/>
          <w:sz w:val="32"/>
          <w:szCs w:val="32"/>
          <w:lang w:eastAsia="zh-CN"/>
        </w:rPr>
        <w:t>广元市卫生健康委员会</w:t>
      </w:r>
      <w:r>
        <w:rPr>
          <w:rFonts w:hint="eastAsia" w:ascii="仿宋" w:hAnsi="仿宋" w:eastAsia="仿宋" w:cs="仿宋"/>
          <w:color w:val="auto"/>
          <w:sz w:val="32"/>
          <w:szCs w:val="32"/>
          <w:highlight w:val="none"/>
        </w:rPr>
        <w:t>政府采购</w:t>
      </w:r>
      <w:r>
        <w:rPr>
          <w:rFonts w:hint="eastAsia" w:ascii="仿宋" w:hAnsi="仿宋" w:eastAsia="仿宋" w:cs="仿宋"/>
          <w:color w:val="auto"/>
          <w:sz w:val="32"/>
          <w:szCs w:val="32"/>
          <w:highlight w:val="none"/>
          <w:lang w:eastAsia="zh-CN"/>
        </w:rPr>
        <w:t>支</w:t>
      </w:r>
      <w:r>
        <w:rPr>
          <w:rFonts w:hint="eastAsia" w:ascii="仿宋" w:eastAsia="仿宋"/>
          <w:color w:val="000000"/>
          <w:sz w:val="32"/>
          <w:szCs w:val="32"/>
        </w:rPr>
        <w:t>出总额</w:t>
      </w:r>
      <w:r>
        <w:rPr>
          <w:rFonts w:hint="eastAsia" w:ascii="仿宋" w:eastAsia="仿宋"/>
          <w:color w:val="000000"/>
          <w:sz w:val="32"/>
          <w:szCs w:val="32"/>
          <w:lang w:val="en-US" w:eastAsia="zh-CN"/>
        </w:rPr>
        <w:t>0</w:t>
      </w:r>
      <w:r>
        <w:rPr>
          <w:rFonts w:hint="eastAsia" w:ascii="仿宋" w:eastAsia="仿宋"/>
          <w:color w:val="000000"/>
          <w:sz w:val="32"/>
          <w:szCs w:val="32"/>
        </w:rPr>
        <w:t>万元</w:t>
      </w:r>
      <w:r>
        <w:rPr>
          <w:rFonts w:hint="eastAsia" w:ascii="仿宋" w:hAnsi="仿宋" w:eastAsia="仿宋" w:cs="仿宋"/>
          <w:color w:val="auto"/>
          <w:sz w:val="32"/>
          <w:szCs w:val="32"/>
          <w:highlight w:val="none"/>
          <w:lang w:eastAsia="zh-CN"/>
        </w:rPr>
        <w:t>。</w:t>
      </w:r>
    </w:p>
    <w:p>
      <w:pPr>
        <w:autoSpaceDE w:val="0"/>
        <w:autoSpaceDN w:val="0"/>
        <w:adjustRightInd w:val="0"/>
        <w:spacing w:line="360" w:lineRule="auto"/>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spacing w:line="360" w:lineRule="auto"/>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年12月31日，</w:t>
      </w:r>
      <w:r>
        <w:rPr>
          <w:rFonts w:hint="eastAsia" w:ascii="仿宋_GB2312" w:eastAsia="仿宋_GB2312"/>
          <w:color w:val="000000"/>
          <w:sz w:val="32"/>
          <w:szCs w:val="32"/>
        </w:rPr>
        <w:t>广元市卫生健康委员会</w:t>
      </w:r>
      <w:r>
        <w:rPr>
          <w:rFonts w:hint="eastAsia" w:ascii="仿宋" w:eastAsia="仿宋"/>
          <w:color w:val="000000"/>
          <w:sz w:val="32"/>
          <w:szCs w:val="32"/>
        </w:rPr>
        <w:t>共有车辆</w:t>
      </w:r>
      <w:r>
        <w:rPr>
          <w:rFonts w:hint="eastAsia" w:ascii="仿宋" w:eastAsia="仿宋"/>
          <w:color w:val="000000"/>
          <w:sz w:val="32"/>
          <w:szCs w:val="32"/>
          <w:lang w:val="en-US" w:eastAsia="zh-CN"/>
        </w:rPr>
        <w:t>3</w:t>
      </w:r>
      <w:r>
        <w:rPr>
          <w:rFonts w:hint="eastAsia" w:ascii="仿宋" w:hAnsi="Times New Roman" w:eastAsia="仿宋" w:cs="Times New Roman"/>
          <w:color w:val="000000"/>
          <w:sz w:val="32"/>
          <w:szCs w:val="32"/>
          <w:lang w:val="en-US" w:eastAsia="zh-CN"/>
        </w:rPr>
        <w:t>辆，为应急保障用车3辆。</w:t>
      </w:r>
      <w:r>
        <w:rPr>
          <w:rFonts w:hint="eastAsia" w:ascii="仿宋" w:hAnsi="仿宋" w:eastAsia="仿宋" w:cs="仿宋"/>
          <w:color w:val="auto"/>
          <w:sz w:val="32"/>
          <w:szCs w:val="32"/>
          <w:highlight w:val="none"/>
        </w:rPr>
        <w:t>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autoSpaceDE w:val="0"/>
        <w:autoSpaceDN w:val="0"/>
        <w:adjustRightInd w:val="0"/>
        <w:spacing w:line="360" w:lineRule="auto"/>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spacing w:line="360" w:lineRule="auto"/>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w:t>
      </w:r>
      <w:r>
        <w:rPr>
          <w:rFonts w:hint="eastAsia" w:ascii="仿宋" w:eastAsia="仿宋"/>
          <w:color w:val="000000"/>
          <w:sz w:val="32"/>
          <w:szCs w:val="32"/>
          <w:lang w:val="en-US" w:eastAsia="zh-CN"/>
        </w:rPr>
        <w:t>卫生健康人才队伍建设项目工作经费</w:t>
      </w:r>
      <w:r>
        <w:rPr>
          <w:rFonts w:hint="eastAsia" w:ascii="仿宋" w:hAnsi="仿宋" w:eastAsia="仿宋" w:cs="仿宋"/>
          <w:color w:val="auto"/>
          <w:sz w:val="32"/>
          <w:szCs w:val="32"/>
          <w:highlight w:val="none"/>
        </w:rPr>
        <w:t>等</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个项目开展了预算事前绩效评估，对</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个项目编制了绩效目标，预算执行过程中，选取</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个项目开展绩效监控，组织对</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个项目开展绩效自评，绩效自评表详见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widowControl/>
        <w:spacing w:line="360" w:lineRule="auto"/>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360" w:lineRule="auto"/>
        <w:ind w:firstLine="660" w:firstLineChars="150"/>
        <w:jc w:val="center"/>
        <w:outlineLvl w:val="0"/>
        <w:rPr>
          <w:rStyle w:val="17"/>
          <w:rFonts w:ascii="黑体" w:hAnsi="黑体" w:eastAsia="黑体"/>
          <w:b w:val="0"/>
          <w:color w:val="auto"/>
          <w:highlight w:val="none"/>
        </w:rPr>
      </w:pPr>
      <w:bookmarkStart w:id="69" w:name="_Toc15396613"/>
      <w:bookmarkStart w:id="70" w:name="_Toc10448"/>
      <w:bookmarkStart w:id="71" w:name="_Toc15377225"/>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9"/>
      <w:bookmarkEnd w:id="70"/>
      <w:bookmarkEnd w:id="71"/>
    </w:p>
    <w:p>
      <w:pPr>
        <w:spacing w:line="360" w:lineRule="auto"/>
        <w:jc w:val="left"/>
        <w:rPr>
          <w:rFonts w:ascii="宋体"/>
          <w:b/>
          <w:color w:val="auto"/>
          <w:sz w:val="44"/>
          <w:szCs w:val="44"/>
          <w:highlight w:val="none"/>
        </w:rPr>
      </w:pPr>
    </w:p>
    <w:p>
      <w:pPr>
        <w:pStyle w:val="26"/>
        <w:numPr>
          <w:ilvl w:val="0"/>
          <w:numId w:val="6"/>
        </w:numPr>
        <w:spacing w:line="360" w:lineRule="auto"/>
        <w:ind w:left="0" w:leftChars="0" w:firstLine="400" w:firstLineChars="0"/>
        <w:rPr>
          <w:rFonts w:hint="eastAsia" w:ascii="仿宋" w:hAnsi="仿宋" w:eastAsia="仿宋" w:cs="仿宋"/>
          <w:color w:val="auto"/>
          <w:kern w:val="2"/>
          <w:sz w:val="32"/>
          <w:szCs w:val="32"/>
          <w:lang w:bidi="ar-SA"/>
        </w:rPr>
      </w:pPr>
      <w:bookmarkStart w:id="72" w:name="_Toc15396614"/>
      <w:bookmarkStart w:id="73" w:name="_Toc15377226"/>
      <w:r>
        <w:rPr>
          <w:rFonts w:hint="eastAsia" w:ascii="仿宋" w:hAnsi="仿宋" w:eastAsia="仿宋" w:cs="仿宋"/>
          <w:color w:val="auto"/>
          <w:kern w:val="2"/>
          <w:sz w:val="32"/>
          <w:szCs w:val="32"/>
          <w:lang w:bidi="ar-SA"/>
        </w:rPr>
        <w:t>财政拨款收入：指单位从同级财政部门取得的财政预算资金。</w:t>
      </w:r>
    </w:p>
    <w:p>
      <w:pPr>
        <w:pStyle w:val="26"/>
        <w:numPr>
          <w:ilvl w:val="0"/>
          <w:numId w:val="6"/>
        </w:numPr>
        <w:spacing w:line="360" w:lineRule="auto"/>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年初结转和结余：指以前年度尚未完成、结转到本年按有关规定继续使用的资金。 </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一般公共服务支出（类）</w:t>
      </w:r>
      <w:r>
        <w:rPr>
          <w:rFonts w:hint="eastAsia" w:ascii="仿宋" w:hAnsi="仿宋" w:eastAsia="仿宋" w:cs="仿宋"/>
          <w:sz w:val="32"/>
          <w:szCs w:val="32"/>
          <w:lang w:eastAsia="zh-CN" w:bidi="ar-SA"/>
        </w:rPr>
        <w:t>商贸事务</w:t>
      </w:r>
      <w:r>
        <w:rPr>
          <w:rFonts w:hint="eastAsia" w:ascii="仿宋" w:hAnsi="仿宋" w:eastAsia="仿宋" w:cs="仿宋"/>
          <w:sz w:val="32"/>
          <w:szCs w:val="32"/>
          <w:lang w:bidi="ar-SA"/>
        </w:rPr>
        <w:t>（款）</w:t>
      </w:r>
      <w:r>
        <w:rPr>
          <w:rFonts w:hint="eastAsia" w:ascii="仿宋" w:hAnsi="仿宋" w:eastAsia="仿宋" w:cs="仿宋"/>
          <w:sz w:val="32"/>
          <w:szCs w:val="32"/>
          <w:lang w:eastAsia="zh-CN" w:bidi="ar-SA"/>
        </w:rPr>
        <w:t>招商引资</w:t>
      </w:r>
      <w:r>
        <w:rPr>
          <w:rFonts w:hint="eastAsia" w:ascii="仿宋" w:hAnsi="仿宋" w:eastAsia="仿宋" w:cs="仿宋"/>
          <w:sz w:val="32"/>
          <w:szCs w:val="32"/>
          <w:lang w:bidi="ar-SA"/>
        </w:rPr>
        <w:t>（项</w:t>
      </w:r>
      <w:r>
        <w:rPr>
          <w:rFonts w:hint="eastAsia" w:ascii="仿宋" w:hAnsi="仿宋" w:eastAsia="仿宋" w:cs="仿宋"/>
          <w:color w:val="000000"/>
          <w:sz w:val="32"/>
          <w:szCs w:val="32"/>
          <w:lang w:bidi="ar-SA"/>
        </w:rPr>
        <w:t>）</w:t>
      </w:r>
      <w:r>
        <w:rPr>
          <w:rFonts w:hint="eastAsia" w:ascii="仿宋" w:hAnsi="仿宋" w:eastAsia="仿宋" w:cs="仿宋"/>
          <w:color w:val="000000"/>
          <w:sz w:val="32"/>
          <w:szCs w:val="32"/>
          <w:lang w:val="en-US" w:eastAsia="zh-CN" w:bidi="ar-SA"/>
        </w:rPr>
        <w:t>2011308</w:t>
      </w:r>
      <w:r>
        <w:rPr>
          <w:rFonts w:hint="eastAsia" w:ascii="仿宋" w:hAnsi="仿宋" w:eastAsia="仿宋" w:cs="仿宋"/>
          <w:sz w:val="32"/>
          <w:szCs w:val="32"/>
          <w:lang w:bidi="ar-SA"/>
        </w:rPr>
        <w:t>：指</w:t>
      </w:r>
      <w:r>
        <w:rPr>
          <w:rFonts w:hint="eastAsia" w:ascii="仿宋" w:hAnsi="仿宋" w:eastAsia="仿宋" w:cs="仿宋"/>
          <w:sz w:val="32"/>
          <w:szCs w:val="32"/>
          <w:lang w:eastAsia="zh-CN" w:bidi="ar-SA"/>
        </w:rPr>
        <w:t>用于招商引资、优化经济环境等方面的支出</w:t>
      </w:r>
      <w:r>
        <w:rPr>
          <w:rFonts w:hint="eastAsia" w:ascii="仿宋" w:hAnsi="仿宋" w:eastAsia="仿宋" w:cs="仿宋"/>
          <w:sz w:val="32"/>
          <w:szCs w:val="32"/>
          <w:lang w:bidi="ar-SA"/>
        </w:rPr>
        <w:t>。</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社会保障和就业支出（类）</w:t>
      </w:r>
      <w:r>
        <w:rPr>
          <w:rFonts w:hint="eastAsia" w:ascii="仿宋" w:hAnsi="仿宋" w:eastAsia="仿宋" w:cs="仿宋"/>
          <w:sz w:val="32"/>
          <w:szCs w:val="32"/>
          <w:lang w:eastAsia="zh-CN" w:bidi="ar-SA"/>
        </w:rPr>
        <w:t>人力资源和社会保障管理事务</w:t>
      </w:r>
      <w:r>
        <w:rPr>
          <w:rFonts w:hint="eastAsia" w:ascii="仿宋" w:hAnsi="仿宋" w:eastAsia="仿宋" w:cs="仿宋"/>
          <w:sz w:val="32"/>
          <w:szCs w:val="32"/>
          <w:lang w:bidi="ar-SA"/>
        </w:rPr>
        <w:t>（款）</w:t>
      </w:r>
      <w:r>
        <w:rPr>
          <w:rFonts w:hint="eastAsia" w:ascii="仿宋" w:hAnsi="仿宋" w:eastAsia="仿宋" w:cs="仿宋"/>
          <w:sz w:val="32"/>
          <w:szCs w:val="32"/>
          <w:lang w:eastAsia="zh-CN" w:bidi="ar-SA"/>
        </w:rPr>
        <w:t>其他人力资源和社会保障管理事务</w:t>
      </w:r>
      <w:r>
        <w:rPr>
          <w:rFonts w:hint="eastAsia" w:ascii="仿宋" w:hAnsi="仿宋" w:eastAsia="仿宋" w:cs="仿宋"/>
          <w:sz w:val="32"/>
          <w:szCs w:val="32"/>
          <w:lang w:bidi="ar-SA"/>
        </w:rPr>
        <w:t>支出（项）2080</w:t>
      </w:r>
      <w:r>
        <w:rPr>
          <w:rFonts w:hint="eastAsia" w:ascii="仿宋" w:hAnsi="仿宋" w:eastAsia="仿宋" w:cs="仿宋"/>
          <w:sz w:val="32"/>
          <w:szCs w:val="32"/>
          <w:lang w:val="en-US" w:eastAsia="zh-CN" w:bidi="ar-SA"/>
        </w:rPr>
        <w:t>199</w:t>
      </w:r>
      <w:r>
        <w:rPr>
          <w:rFonts w:hint="eastAsia" w:ascii="仿宋" w:hAnsi="仿宋" w:eastAsia="仿宋" w:cs="仿宋"/>
          <w:sz w:val="32"/>
          <w:szCs w:val="32"/>
          <w:lang w:bidi="ar-SA"/>
        </w:rPr>
        <w:t>：指反映</w:t>
      </w:r>
      <w:r>
        <w:rPr>
          <w:rFonts w:hint="eastAsia" w:ascii="仿宋" w:hAnsi="仿宋" w:eastAsia="仿宋" w:cs="仿宋"/>
          <w:sz w:val="32"/>
          <w:szCs w:val="32"/>
          <w:lang w:eastAsia="zh-CN" w:bidi="ar-SA"/>
        </w:rPr>
        <w:t>除上述项目以外其他用于人力资源和社会保障管理事务方面的</w:t>
      </w:r>
      <w:r>
        <w:rPr>
          <w:rFonts w:hint="eastAsia" w:ascii="仿宋" w:hAnsi="仿宋" w:eastAsia="仿宋" w:cs="仿宋"/>
          <w:sz w:val="32"/>
          <w:szCs w:val="32"/>
          <w:lang w:bidi="ar-SA"/>
        </w:rPr>
        <w:t>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社会保障和就业支出（类）行政事业单位</w:t>
      </w:r>
      <w:r>
        <w:rPr>
          <w:rFonts w:hint="eastAsia" w:ascii="仿宋" w:hAnsi="仿宋" w:eastAsia="仿宋" w:cs="仿宋"/>
          <w:sz w:val="32"/>
          <w:szCs w:val="32"/>
          <w:lang w:eastAsia="zh-CN" w:bidi="ar-SA"/>
        </w:rPr>
        <w:t>养老支出</w:t>
      </w:r>
      <w:r>
        <w:rPr>
          <w:rFonts w:hint="eastAsia" w:ascii="仿宋" w:hAnsi="仿宋" w:eastAsia="仿宋" w:cs="仿宋"/>
          <w:sz w:val="32"/>
          <w:szCs w:val="32"/>
          <w:lang w:bidi="ar-SA"/>
        </w:rPr>
        <w:t>（款）机关事业单位基本养老保险缴费支出（项）2080505：指反映机关事业单位实施养老保险制度由单位缴纳的基本养老保险费支出。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社会保障和就业支出（类）行政事业单位</w:t>
      </w:r>
      <w:r>
        <w:rPr>
          <w:rFonts w:hint="eastAsia" w:ascii="仿宋" w:hAnsi="仿宋" w:eastAsia="仿宋" w:cs="仿宋"/>
          <w:sz w:val="32"/>
          <w:szCs w:val="32"/>
          <w:lang w:eastAsia="zh-CN" w:bidi="ar-SA"/>
        </w:rPr>
        <w:t>养老支出</w:t>
      </w:r>
      <w:r>
        <w:rPr>
          <w:rFonts w:hint="eastAsia" w:ascii="仿宋" w:hAnsi="仿宋" w:eastAsia="仿宋" w:cs="仿宋"/>
          <w:sz w:val="32"/>
          <w:szCs w:val="32"/>
          <w:lang w:bidi="ar-SA"/>
        </w:rPr>
        <w:t>（款）机关事业单位职业年金缴费支出（项）2080506：指反映机关事业单位实施养老保险制度由单位实际缴纳的职业年金支出。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卫生健康支出（类）卫生健康管理事务（款）行政运行（项）2100101：指反映行政单位（包括实行公务员管理的事业单位）的基本支出。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卫生健康支出（类）卫生健康管理事务（款）一般行政管理事务（项）2100102：指反映行政单位（包括实行公务员管理的事业单位）未单独设置项级科目的其他项目支出。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卫生健康支出（类）卫生健康管理事务（款）其他卫生健康管理事务支出（项）2100199：指反映除上述项目以外其他用于卫生健康管理事务方面的支出。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卫生健康支出（类）公共卫生（款）卫生监督机构（项）2100402：指反映卫生健康部门所属卫生监督机构的支出。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卫生健康支出（类）公共卫生（款）基本公共卫生服务（项）2100408：指反映基本公共卫生服务支出。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卫生健康支出（类）公共卫生（款）重大公共卫生</w:t>
      </w:r>
      <w:r>
        <w:rPr>
          <w:rFonts w:hint="eastAsia" w:ascii="仿宋" w:hAnsi="仿宋" w:eastAsia="仿宋" w:cs="仿宋"/>
          <w:sz w:val="32"/>
          <w:szCs w:val="32"/>
          <w:lang w:val="en-US" w:eastAsia="zh-CN" w:bidi="ar-SA"/>
        </w:rPr>
        <w:t>服务</w:t>
      </w:r>
      <w:r>
        <w:rPr>
          <w:rFonts w:hint="eastAsia" w:ascii="仿宋" w:hAnsi="仿宋" w:eastAsia="仿宋" w:cs="仿宋"/>
          <w:sz w:val="32"/>
          <w:szCs w:val="32"/>
          <w:lang w:bidi="ar-SA"/>
        </w:rPr>
        <w:t>（项）2100409：指反映重大疾病</w:t>
      </w:r>
      <w:r>
        <w:rPr>
          <w:rFonts w:hint="eastAsia" w:ascii="仿宋" w:hAnsi="仿宋" w:eastAsia="仿宋" w:cs="仿宋"/>
          <w:sz w:val="32"/>
          <w:szCs w:val="32"/>
          <w:lang w:eastAsia="zh-CN" w:bidi="ar-SA"/>
        </w:rPr>
        <w:t>、重大传染病</w:t>
      </w:r>
      <w:r>
        <w:rPr>
          <w:rFonts w:hint="eastAsia" w:ascii="仿宋" w:hAnsi="仿宋" w:eastAsia="仿宋" w:cs="仿宋"/>
          <w:sz w:val="32"/>
          <w:szCs w:val="32"/>
          <w:lang w:bidi="ar-SA"/>
        </w:rPr>
        <w:t>预防控制等重大公共卫生服务项目支出。</w:t>
      </w:r>
    </w:p>
    <w:p>
      <w:pPr>
        <w:numPr>
          <w:ilvl w:val="0"/>
          <w:numId w:val="6"/>
        </w:numPr>
        <w:spacing w:line="360" w:lineRule="auto"/>
        <w:ind w:left="0" w:leftChars="0" w:firstLine="400" w:firstLineChars="0"/>
        <w:rPr>
          <w:rFonts w:hint="eastAsia" w:ascii="仿宋" w:hAnsi="仿宋" w:eastAsia="仿宋" w:cs="仿宋"/>
          <w:sz w:val="32"/>
          <w:szCs w:val="32"/>
          <w:highlight w:val="none"/>
        </w:rPr>
      </w:pPr>
      <w:r>
        <w:rPr>
          <w:rFonts w:hint="eastAsia" w:ascii="仿宋" w:hAnsi="仿宋" w:eastAsia="仿宋" w:cs="仿宋"/>
          <w:sz w:val="32"/>
          <w:szCs w:val="32"/>
          <w:highlight w:val="none"/>
          <w:lang w:bidi="ar-SA"/>
        </w:rPr>
        <w:t>卫生健康支出（类）公共卫生（款）突发公共卫生事件应急处理（项）21004</w:t>
      </w:r>
      <w:r>
        <w:rPr>
          <w:rFonts w:hint="eastAsia" w:ascii="仿宋" w:hAnsi="仿宋" w:eastAsia="仿宋" w:cs="仿宋"/>
          <w:sz w:val="32"/>
          <w:szCs w:val="32"/>
          <w:highlight w:val="none"/>
          <w:lang w:val="en-US" w:eastAsia="zh-CN" w:bidi="ar-SA"/>
        </w:rPr>
        <w:t>10</w:t>
      </w:r>
      <w:r>
        <w:rPr>
          <w:rFonts w:hint="eastAsia" w:ascii="仿宋" w:hAnsi="仿宋" w:eastAsia="仿宋" w:cs="仿宋"/>
          <w:sz w:val="32"/>
          <w:szCs w:val="32"/>
          <w:highlight w:val="none"/>
          <w:lang w:bidi="ar-SA"/>
        </w:rPr>
        <w:t>：指反映用于突发公共卫生事件应急处理的支出。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卫生健康支出（类）中医药（款）中医（民族医）药专项（项）2100601：指反映中医（民族医）药方面的专项支出。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卫生健康支出（类）中医药（款）其他中医药支出（项）2100699：指反映除中医（民族医）药专项支出以外的其他中医药支出。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卫生健康支出（类）计划生育事务（款）其他计划生育事务支出（项）2100799：指反映除上述项目以外其他用于计划生育管理事务方面的支出。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卫生健康支出（类）其他卫生健康支出（款）其他卫生健康支出（项）21099</w:t>
      </w:r>
      <w:r>
        <w:rPr>
          <w:rFonts w:hint="eastAsia" w:ascii="仿宋" w:hAnsi="仿宋" w:eastAsia="仿宋" w:cs="仿宋"/>
          <w:sz w:val="32"/>
          <w:szCs w:val="32"/>
          <w:lang w:val="en-US" w:eastAsia="zh-CN" w:bidi="ar-SA"/>
        </w:rPr>
        <w:t>99</w:t>
      </w:r>
      <w:r>
        <w:rPr>
          <w:rFonts w:hint="eastAsia" w:ascii="仿宋" w:hAnsi="仿宋" w:eastAsia="仿宋" w:cs="仿宋"/>
          <w:sz w:val="32"/>
          <w:szCs w:val="32"/>
          <w:lang w:bidi="ar-SA"/>
        </w:rPr>
        <w:t>：指反映除上述项目以外其他用于卫生健康方面的支出。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住房保障支出（类）住房改革支出（款）住房公积金（项）2210201：指反映行政事业单位按人力资源和社会保障部、财政部规定的基本工资和津贴补贴以及规定比例为职工缴纳的住房公积金。</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基本支出：指为保障机构正常运转、完成日常工作任务而发生的人员支出和公用支出。</w:t>
      </w:r>
    </w:p>
    <w:p>
      <w:pPr>
        <w:numPr>
          <w:ilvl w:val="0"/>
          <w:numId w:val="6"/>
        </w:numPr>
        <w:spacing w:line="360" w:lineRule="auto"/>
        <w:ind w:left="0" w:leftChars="0" w:firstLine="400" w:firstLineChars="0"/>
        <w:rPr>
          <w:rFonts w:hint="eastAsia" w:ascii="仿宋" w:hAnsi="仿宋" w:eastAsia="仿宋" w:cs="仿宋"/>
          <w:sz w:val="32"/>
          <w:szCs w:val="32"/>
          <w:lang w:bidi="ar-SA"/>
        </w:rPr>
      </w:pPr>
      <w:r>
        <w:rPr>
          <w:rFonts w:hint="eastAsia" w:ascii="仿宋" w:hAnsi="仿宋" w:eastAsia="仿宋" w:cs="仿宋"/>
          <w:sz w:val="32"/>
          <w:szCs w:val="32"/>
          <w:lang w:bidi="ar-SA"/>
        </w:rPr>
        <w:t>项目支出：指在基本支出之外为完成特定行政任务和事业发展目标所发生的支出。</w:t>
      </w:r>
    </w:p>
    <w:p>
      <w:pPr>
        <w:pStyle w:val="26"/>
        <w:numPr>
          <w:ilvl w:val="0"/>
          <w:numId w:val="6"/>
        </w:numPr>
        <w:spacing w:line="360" w:lineRule="auto"/>
        <w:ind w:left="0" w:leftChars="0" w:firstLine="400" w:firstLineChars="0"/>
        <w:rPr>
          <w:rFonts w:hint="eastAsia" w:ascii="仿宋" w:hAnsi="仿宋" w:eastAsia="仿宋" w:cs="仿宋"/>
          <w:color w:val="auto"/>
          <w:kern w:val="2"/>
          <w:sz w:val="32"/>
          <w:szCs w:val="32"/>
          <w:lang w:bidi="ar-SA"/>
        </w:rPr>
      </w:pPr>
      <w:r>
        <w:rPr>
          <w:rFonts w:hint="eastAsia" w:ascii="仿宋" w:hAnsi="仿宋" w:eastAsia="仿宋" w:cs="仿宋"/>
          <w:color w:val="auto"/>
          <w:kern w:val="2"/>
          <w:sz w:val="32"/>
          <w:szCs w:val="32"/>
          <w:lang w:bidi="ar-SA"/>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6"/>
        </w:numPr>
        <w:spacing w:line="360" w:lineRule="auto"/>
        <w:ind w:left="0" w:leftChars="0" w:firstLine="400" w:firstLineChars="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spacing w:line="600" w:lineRule="exact"/>
        <w:jc w:val="center"/>
        <w:outlineLvl w:val="0"/>
        <w:rPr>
          <w:rFonts w:hint="eastAsia" w:ascii="黑体" w:hAnsi="黑体" w:eastAsia="黑体"/>
          <w:color w:val="auto"/>
          <w:sz w:val="44"/>
          <w:szCs w:val="44"/>
          <w:highlight w:val="none"/>
        </w:rPr>
      </w:pPr>
    </w:p>
    <w:p>
      <w:pPr>
        <w:spacing w:line="240" w:lineRule="auto"/>
        <w:jc w:val="center"/>
        <w:outlineLvl w:val="0"/>
        <w:rPr>
          <w:rFonts w:hint="eastAsia" w:ascii="仿宋" w:hAnsi="仿宋" w:eastAsia="仿宋" w:cs="仿宋"/>
          <w:color w:val="auto"/>
          <w:sz w:val="32"/>
          <w:szCs w:val="32"/>
          <w:highlight w:val="none"/>
        </w:rPr>
        <w:sectPr>
          <w:footerReference r:id="rId6" w:type="default"/>
          <w:pgSz w:w="11906" w:h="16838"/>
          <w:pgMar w:top="1440" w:right="1800" w:bottom="1440" w:left="1800" w:header="851" w:footer="992" w:gutter="0"/>
          <w:pgNumType w:fmt="decimal" w:start="1"/>
          <w:cols w:space="425" w:num="1"/>
          <w:docGrid w:type="lines" w:linePitch="312" w:charSpace="0"/>
        </w:sectPr>
      </w:pPr>
    </w:p>
    <w:p>
      <w:pPr>
        <w:spacing w:line="600" w:lineRule="exact"/>
        <w:jc w:val="center"/>
        <w:outlineLvl w:val="0"/>
        <w:rPr>
          <w:rFonts w:hint="default" w:ascii="黑体" w:hAnsi="黑体" w:eastAsia="黑体"/>
          <w:color w:val="auto"/>
          <w:sz w:val="44"/>
          <w:szCs w:val="44"/>
          <w:highlight w:val="none"/>
          <w:lang w:val="en-US" w:eastAsia="zh-CN"/>
        </w:rPr>
      </w:pPr>
      <w:bookmarkStart w:id="74" w:name="_Toc5682"/>
      <w:r>
        <w:rPr>
          <w:rFonts w:hint="eastAsia" w:ascii="黑体" w:hAnsi="黑体" w:eastAsia="黑体"/>
          <w:color w:val="auto"/>
          <w:sz w:val="44"/>
          <w:szCs w:val="44"/>
          <w:highlight w:val="none"/>
          <w:lang w:eastAsia="zh-CN"/>
        </w:rPr>
        <w:t>第四部分</w:t>
      </w:r>
      <w:r>
        <w:rPr>
          <w:rFonts w:hint="eastAsia" w:ascii="黑体" w:hAnsi="黑体" w:eastAsia="黑体"/>
          <w:color w:val="auto"/>
          <w:sz w:val="44"/>
          <w:szCs w:val="44"/>
          <w:highlight w:val="none"/>
          <w:lang w:val="en-US" w:eastAsia="zh-CN"/>
        </w:rPr>
        <w:t xml:space="preserve">  附件</w:t>
      </w:r>
      <w:bookmarkEnd w:id="74"/>
    </w:p>
    <w:tbl>
      <w:tblPr>
        <w:tblStyle w:val="13"/>
        <w:tblpPr w:leftFromText="180" w:rightFromText="180" w:vertAnchor="text" w:horzAnchor="page" w:tblpX="736" w:tblpY="959"/>
        <w:tblOverlap w:val="never"/>
        <w:tblW w:w="15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95"/>
        <w:gridCol w:w="1530"/>
        <w:gridCol w:w="1740"/>
        <w:gridCol w:w="2460"/>
        <w:gridCol w:w="525"/>
        <w:gridCol w:w="900"/>
        <w:gridCol w:w="525"/>
        <w:gridCol w:w="1095"/>
        <w:gridCol w:w="780"/>
        <w:gridCol w:w="960"/>
        <w:gridCol w:w="1170"/>
        <w:gridCol w:w="2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69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附件4</w:t>
            </w:r>
          </w:p>
        </w:tc>
        <w:tc>
          <w:tcPr>
            <w:tcW w:w="1530" w:type="dxa"/>
            <w:tcBorders>
              <w:top w:val="nil"/>
              <w:left w:val="nil"/>
              <w:bottom w:val="nil"/>
              <w:right w:val="nil"/>
            </w:tcBorders>
            <w:shd w:val="clear" w:color="auto" w:fill="auto"/>
            <w:noWrap/>
            <w:vAlign w:val="center"/>
          </w:tcPr>
          <w:p>
            <w:pPr>
              <w:pStyle w:val="2"/>
              <w:rPr>
                <w:rFonts w:hint="eastAsia" w:ascii="宋体" w:hAnsi="宋体" w:eastAsia="宋体" w:cs="宋体"/>
                <w:i w:val="0"/>
                <w:iCs w:val="0"/>
                <w:color w:val="000000"/>
                <w:sz w:val="22"/>
                <w:szCs w:val="22"/>
                <w:u w:val="none"/>
              </w:rPr>
            </w:pPr>
          </w:p>
        </w:tc>
        <w:tc>
          <w:tcPr>
            <w:tcW w:w="17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9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587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6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卫生健康人才队伍建设项目工作经费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4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4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2"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面加强全市卫生健康人才队伍建设，充分调动医务人员积极性，努力提高医疗卫生服务能力，认真围绕人才引进、培养和使用三个环节，大力实施“科教兴市、人才强市”战略，重点加强“名医、名科、名院、名人”建设，促进全市卫生健康事业全面发展。</w:t>
            </w:r>
          </w:p>
        </w:tc>
        <w:tc>
          <w:tcPr>
            <w:tcW w:w="64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面加强全市卫生健康人才队伍建设，充分调动医务人员积极性，努力提高医疗卫生服务能力，认真围绕人才引进、培养和使用三个环节，大力实施“科教兴市、人才强市”战略，重点加强“名医、名科、名院、名人”建设，促进全市卫生健康事业全面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6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（90分）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产出指标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培训费、会议费、办公费等</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产出指标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相关考核指标完成率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效益指标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社会效益指标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培训或工作会议参与率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产出指标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产出指标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全市卫生健康系统人才培训或工作会议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满意度指标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服务对象满意度指标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群众满意度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4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部门（单位）自评结论</w:t>
            </w:r>
          </w:p>
        </w:tc>
        <w:tc>
          <w:tcPr>
            <w:tcW w:w="141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部门（单位）自评存在问题</w:t>
            </w:r>
          </w:p>
        </w:tc>
        <w:tc>
          <w:tcPr>
            <w:tcW w:w="141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部门（单位）自评改进措施</w:t>
            </w:r>
          </w:p>
        </w:tc>
        <w:tc>
          <w:tcPr>
            <w:tcW w:w="141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1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单位项目负责人：赵克家</w:t>
            </w:r>
          </w:p>
        </w:tc>
        <w:tc>
          <w:tcPr>
            <w:tcW w:w="79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9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7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bookmarkEnd w:id="72"/>
    </w:tbl>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3"/>
        <w:tblpPr w:leftFromText="180" w:rightFromText="180" w:vertAnchor="text" w:horzAnchor="page" w:tblpX="541" w:tblpY="524"/>
        <w:tblOverlap w:val="never"/>
        <w:tblW w:w="160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0"/>
        <w:gridCol w:w="1680"/>
        <w:gridCol w:w="1905"/>
        <w:gridCol w:w="1965"/>
        <w:gridCol w:w="525"/>
        <w:gridCol w:w="1035"/>
        <w:gridCol w:w="525"/>
        <w:gridCol w:w="1095"/>
        <w:gridCol w:w="780"/>
        <w:gridCol w:w="960"/>
        <w:gridCol w:w="117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8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bookmarkStart w:id="75" w:name="_Toc15396618"/>
            <w:r>
              <w:rPr>
                <w:rFonts w:hint="eastAsia" w:ascii="黑体" w:hAnsi="宋体" w:eastAsia="黑体" w:cs="黑体"/>
                <w:i w:val="0"/>
                <w:iCs w:val="0"/>
                <w:color w:val="000000"/>
                <w:kern w:val="0"/>
                <w:sz w:val="28"/>
                <w:szCs w:val="28"/>
                <w:u w:val="none"/>
                <w:lang w:val="en-US" w:eastAsia="zh-CN" w:bidi="ar"/>
              </w:rPr>
              <w:t>附件4</w:t>
            </w:r>
          </w:p>
        </w:tc>
        <w:tc>
          <w:tcPr>
            <w:tcW w:w="16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05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卫生应急工作经费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9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9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2"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9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卫生应急制度、规则、预案、规范措施；推进卫生应急体系和能力建设；突发公共卫生事件的预防准备、监测预警、处置救援和总结和评估等工作；突发公共事件的紧急医学救援；开展卫生应急演练培训；开展卫生应急队伍建设。</w:t>
            </w:r>
          </w:p>
        </w:tc>
        <w:tc>
          <w:tcPr>
            <w:tcW w:w="6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制定了《广元市突发公共卫生事件应急预案（试行）》《广元市突发事件医学救援应急预案（试行）》;2.有效处置新冠疫情等突发公共卫生事件;3.组织开展2022年新冠肺炎聚集性疫情处置应急演练，5.12防震减灾应急演练等；4.建立了市级综合性卫生应急救援队伍“广元市卫生应急救援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卫生应急培训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卫生应急指导督查</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提升应急处置能力</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培训费、办公费等</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相关考核指标完成率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开展卫生应急队伍应急演练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5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19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19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19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19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单位项目负责人：郑亮德</w:t>
            </w:r>
          </w:p>
        </w:tc>
        <w:tc>
          <w:tcPr>
            <w:tcW w:w="81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1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05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tbl>
      <w:tblPr>
        <w:tblStyle w:val="13"/>
        <w:tblW w:w="15900" w:type="dxa"/>
        <w:tblInd w:w="-10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30"/>
        <w:gridCol w:w="1755"/>
        <w:gridCol w:w="1425"/>
        <w:gridCol w:w="1845"/>
        <w:gridCol w:w="525"/>
        <w:gridCol w:w="1245"/>
        <w:gridCol w:w="525"/>
        <w:gridCol w:w="1095"/>
        <w:gridCol w:w="780"/>
        <w:gridCol w:w="960"/>
        <w:gridCol w:w="1170"/>
        <w:gridCol w:w="27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83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附件4</w:t>
            </w:r>
          </w:p>
        </w:tc>
        <w:tc>
          <w:tcPr>
            <w:tcW w:w="17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590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5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3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卫生计生信息统计工作经费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5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5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7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2"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5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一）实施统计监测是准确掌握卫生健康基础信息，提高统计数据质量，夯实基层基础的重要举措（二）省目标任务要求大力推进医院信息化建设、卫计E通建设、加快推进智慧医院创建工作；信息中心负责全市卫生计生信息系统、数据中心建设与运行，负责健康教育效果监测与评价等工作，需财政保障经费（三）根据《四川省卫生计生统计工作管理办法》及省目标任务，发挥统计在卫生计生改革与发展中的信息、咨询与监督作用；（四）2020年我市被省卫健委纳入省“互联网+医疗健康”试点示范建设，开展试点建设需资金保障。</w:t>
            </w:r>
          </w:p>
        </w:tc>
        <w:tc>
          <w:tcPr>
            <w:tcW w:w="67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2022年创建智慧医院8家、互联网医院1家。推进5G+远程医疗协作调度平台广元试点建设，完成全省远程医疗专网接入。完成2家医院5G人工智能应用试点。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严格执行《统计法》等法律法规，开展现场质控督查，完成系统机构调整及统计直报系统月报、季报、年报，上报率100%，数据质量监测问题处理率100%。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3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智慧医院创建、疫苗接种、核酸检测等技术支持保障</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日常工作督导检查</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培训费、办公费等</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二级以上医疗机构开通预约诊疗功能</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相关考核指标完成率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0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0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0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0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单位项目负责人：薛敏</w:t>
            </w:r>
          </w:p>
        </w:tc>
        <w:tc>
          <w:tcPr>
            <w:tcW w:w="85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5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90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pPr w:leftFromText="180" w:rightFromText="180" w:vertAnchor="text" w:horzAnchor="page" w:tblpX="421" w:tblpY="604"/>
        <w:tblOverlap w:val="never"/>
        <w:tblW w:w="16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0"/>
        <w:gridCol w:w="15"/>
        <w:gridCol w:w="30"/>
        <w:gridCol w:w="15"/>
        <w:gridCol w:w="60"/>
        <w:gridCol w:w="120"/>
        <w:gridCol w:w="1425"/>
        <w:gridCol w:w="30"/>
        <w:gridCol w:w="15"/>
        <w:gridCol w:w="60"/>
        <w:gridCol w:w="30"/>
        <w:gridCol w:w="15"/>
        <w:gridCol w:w="15"/>
        <w:gridCol w:w="135"/>
        <w:gridCol w:w="30"/>
        <w:gridCol w:w="1140"/>
        <w:gridCol w:w="30"/>
        <w:gridCol w:w="30"/>
        <w:gridCol w:w="225"/>
        <w:gridCol w:w="30"/>
        <w:gridCol w:w="105"/>
        <w:gridCol w:w="15"/>
        <w:gridCol w:w="120"/>
        <w:gridCol w:w="15"/>
        <w:gridCol w:w="105"/>
        <w:gridCol w:w="1095"/>
        <w:gridCol w:w="195"/>
        <w:gridCol w:w="45"/>
        <w:gridCol w:w="240"/>
        <w:gridCol w:w="45"/>
        <w:gridCol w:w="45"/>
        <w:gridCol w:w="15"/>
        <w:gridCol w:w="135"/>
        <w:gridCol w:w="45"/>
        <w:gridCol w:w="135"/>
        <w:gridCol w:w="105"/>
        <w:gridCol w:w="15"/>
        <w:gridCol w:w="75"/>
        <w:gridCol w:w="15"/>
        <w:gridCol w:w="135"/>
        <w:gridCol w:w="135"/>
        <w:gridCol w:w="45"/>
        <w:gridCol w:w="90"/>
        <w:gridCol w:w="30"/>
        <w:gridCol w:w="225"/>
        <w:gridCol w:w="135"/>
        <w:gridCol w:w="60"/>
        <w:gridCol w:w="45"/>
        <w:gridCol w:w="30"/>
        <w:gridCol w:w="15"/>
        <w:gridCol w:w="45"/>
        <w:gridCol w:w="105"/>
        <w:gridCol w:w="195"/>
        <w:gridCol w:w="90"/>
        <w:gridCol w:w="15"/>
        <w:gridCol w:w="30"/>
        <w:gridCol w:w="45"/>
        <w:gridCol w:w="45"/>
        <w:gridCol w:w="45"/>
        <w:gridCol w:w="60"/>
        <w:gridCol w:w="195"/>
        <w:gridCol w:w="105"/>
        <w:gridCol w:w="105"/>
        <w:gridCol w:w="15"/>
        <w:gridCol w:w="45"/>
        <w:gridCol w:w="120"/>
        <w:gridCol w:w="225"/>
        <w:gridCol w:w="45"/>
        <w:gridCol w:w="45"/>
        <w:gridCol w:w="30"/>
        <w:gridCol w:w="165"/>
        <w:gridCol w:w="90"/>
        <w:gridCol w:w="105"/>
        <w:gridCol w:w="105"/>
        <w:gridCol w:w="75"/>
        <w:gridCol w:w="60"/>
        <w:gridCol w:w="30"/>
        <w:gridCol w:w="30"/>
        <w:gridCol w:w="45"/>
        <w:gridCol w:w="45"/>
        <w:gridCol w:w="30"/>
        <w:gridCol w:w="165"/>
        <w:gridCol w:w="195"/>
        <w:gridCol w:w="15"/>
        <w:gridCol w:w="60"/>
        <w:gridCol w:w="30"/>
        <w:gridCol w:w="135"/>
        <w:gridCol w:w="30"/>
        <w:gridCol w:w="210"/>
        <w:gridCol w:w="45"/>
        <w:gridCol w:w="45"/>
        <w:gridCol w:w="30"/>
        <w:gridCol w:w="165"/>
        <w:gridCol w:w="195"/>
        <w:gridCol w:w="15"/>
        <w:gridCol w:w="90"/>
        <w:gridCol w:w="135"/>
        <w:gridCol w:w="30"/>
        <w:gridCol w:w="15"/>
        <w:gridCol w:w="405"/>
        <w:gridCol w:w="45"/>
        <w:gridCol w:w="45"/>
        <w:gridCol w:w="30"/>
        <w:gridCol w:w="165"/>
        <w:gridCol w:w="195"/>
        <w:gridCol w:w="15"/>
        <w:gridCol w:w="90"/>
        <w:gridCol w:w="135"/>
        <w:gridCol w:w="30"/>
        <w:gridCol w:w="2160"/>
        <w:gridCol w:w="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980" w:type="dxa"/>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附件4</w:t>
            </w:r>
          </w:p>
        </w:tc>
        <w:tc>
          <w:tcPr>
            <w:tcW w:w="1590"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50"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0" w:type="dxa"/>
            <w:gridSpan w:val="1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00"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200" w:type="dxa"/>
            <w:gridSpan w:val="1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5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630" w:type="dxa"/>
            <w:gridSpan w:val="10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纪检工作经费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5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92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610"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59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92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70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59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92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以发现问题线索和服务中心工作为目标导向，以线索处置和执纪审查为工作重点，精准有效实施监督，抓实综合监督单位政治生态涵养，构建风清气正政治生态。</w:t>
            </w:r>
          </w:p>
        </w:tc>
        <w:tc>
          <w:tcPr>
            <w:tcW w:w="670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以发现问题线索和服务中心工作为目标导向，以线索处置和执纪审查为工作重点，精准有效实施监督，抓实综合监督单位政治生态涵养，构建风清气正政治生态。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630" w:type="dxa"/>
            <w:gridSpan w:val="10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0"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初核问题线索</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函询谈话问题线索、初核问题线索、立案案件、日常监督、专项检查等</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立案案件</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廉政建设职工参与率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日常监督</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函询谈话问题线索</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专项检查</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相关考核指标完成率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9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00"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90" w:type="dxa"/>
            <w:gridSpan w:val="7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20"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20"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20"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20"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7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单位项目负责人：贺卫星</w:t>
            </w:r>
          </w:p>
        </w:tc>
        <w:tc>
          <w:tcPr>
            <w:tcW w:w="8430" w:type="dxa"/>
            <w:gridSpan w:val="7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7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430" w:type="dxa"/>
            <w:gridSpan w:val="7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200" w:type="dxa"/>
            <w:gridSpan w:val="1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85" w:hRule="atLeast"/>
        </w:trPr>
        <w:tc>
          <w:tcPr>
            <w:tcW w:w="1905" w:type="dxa"/>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附件4</w:t>
            </w:r>
          </w:p>
        </w:tc>
        <w:tc>
          <w:tcPr>
            <w:tcW w:w="175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55"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30" w:type="dxa"/>
            <w:gridSpan w:val="2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20"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90"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8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1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1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15" w:hRule="atLeast"/>
        </w:trPr>
        <w:tc>
          <w:tcPr>
            <w:tcW w:w="3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99" w:leftChars="-95" w:firstLine="0" w:firstLineChars="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65" w:type="dxa"/>
            <w:gridSpan w:val="9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干部保健经费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3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420"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160"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85"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420"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04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9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420"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全面贯彻落实中央、省、市有关干部保健政策，切实提高干部保健工作服务能力和水平。按高标准、严要求落实好级别任务保障；切实做好中央、省部级领导来广开展工作期间的医疗保障工作；做好四大班子主办的重要会议、重大活动医疗保障；做好有市委市政府主要领导参与的活动医疗保障等。</w:t>
            </w:r>
          </w:p>
        </w:tc>
        <w:tc>
          <w:tcPr>
            <w:tcW w:w="604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力推进保健基地医院规范化建设，优化硬件设施、服务功能，完善保健流程，目前，基地医院全部开通保健对象就医绿色通道和特约诊室，常态设置干部门诊室4间，特需病房、特需病床分别增加至60间、106张；成立由心脑血管、神经外科、肿瘤等二十余种专业200余名医疗卫生人员组成的干部保健队伍，10名干部保健专职人员为保健对象提供24小时服务，全市干部保健基础设施条件和服务能力得到有力改善；精心组织保健对象年度健康检查，3家基地医院首次全部开设干保体检集中专场，实际体检标准从300元提高到5000元，保障标准为历年最高，体检项目从15种增加至25种，突出心脑血管、肿瘤等重大危害因素针对性，共534名干保对象报名健康体检，460人参检，参检率为86.14%，参检率较前年提高13.15个百分点，为历年最高；创新保健举措，为512名保健服务对象办理“干部保健证”，制送《干部保健服务手册》，保健对象持证享受专人引导、一站式就医，方便其就医、体检、咨询、疫苗等服务；为270名在职保健对象配备包含二十余种常见药品、常见物品在内的“健康包”，结合新冠肺炎疫情防控形势，向在职重点保健对象配备健康“防疫包”150余人次，方便保健对象自我健康管理；建立联系医生制度；为37名在职重点保健对象配对一对一联系医生，提供健康咨询、健康管理、定期访视、追踪指导等个性化服务；开展重点保健对象上门服务，提供上门送药服务20余次、上门核酸采集服务700余人次；积极对接省保健办、华西医院等，畅通重点保健对象在省级医院就医渠道；圆满完成重要会议、重大活动、重要政务接待医疗保障任务，全年累计执行医疗保障任务210场次，派出保障人员416人次，派出保障急救车辆88车次；做好疫情防控常态化阶段下保障工作，全年累计开展重要会议、活动疫情防控医疗保障106场次，为保健对象提供核酸采样50余场次、服务2200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0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65" w:type="dxa"/>
            <w:gridSpan w:val="9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3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会议活动医疗保障次数</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干部满意度</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保健药箱配备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保健药箱配备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健康体检普及率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实职副厅级以上领导联系医生</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实职副厅级以上领导联系医生</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派出保障医务人次</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医疗保障费用</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健康知识讲座</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健康知识讲座相关费用</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7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保健任务完成率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0965" w:type="dxa"/>
            <w:gridSpan w:val="7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2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867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单位项目负责人：贾柳</w:t>
            </w:r>
          </w:p>
        </w:tc>
        <w:tc>
          <w:tcPr>
            <w:tcW w:w="7455" w:type="dxa"/>
            <w:gridSpan w:val="6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867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455" w:type="dxa"/>
            <w:gridSpan w:val="6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875"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75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0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5"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86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36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95" w:type="dxa"/>
            <w:gridSpan w:val="10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项目工作经费（含争取项目资金工作经费）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6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62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775" w:type="dxa"/>
            <w:gridSpan w:val="4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62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870" w:type="dxa"/>
            <w:gridSpan w:val="5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7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62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全面完成市委市政府下达的2022年度项目建设、固定资产投资、向上争取资金、招商引资等部门目标绩效任务。</w:t>
            </w:r>
          </w:p>
        </w:tc>
        <w:tc>
          <w:tcPr>
            <w:tcW w:w="6870" w:type="dxa"/>
            <w:gridSpan w:val="5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完成市委市政府下达的2022年度目标任务项目建设15个、固定资产投资3.6亿元、向上争取资金8190万元、招商引资项目2个。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95" w:type="dxa"/>
            <w:gridSpan w:val="10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942"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6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6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6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6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9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6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完成投资计划</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争取投资项目</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项目规划建设可行率</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完成固定资产投资</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13000</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培训费、会议费、办公费等</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0350" w:type="dxa"/>
            <w:gridSpan w:val="6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8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85"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3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6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75"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485"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单位项目负责人：欧高强</w:t>
            </w:r>
          </w:p>
        </w:tc>
        <w:tc>
          <w:tcPr>
            <w:tcW w:w="8640" w:type="dxa"/>
            <w:gridSpan w:val="7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485"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640" w:type="dxa"/>
            <w:gridSpan w:val="7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8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附件4</w:t>
            </w:r>
          </w:p>
        </w:tc>
        <w:tc>
          <w:tcPr>
            <w:tcW w:w="1830"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3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40"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90"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15"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50" w:hRule="atLeast"/>
        </w:trPr>
        <w:tc>
          <w:tcPr>
            <w:tcW w:w="36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35" w:type="dxa"/>
            <w:gridSpan w:val="9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6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115"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622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830"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115"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7320" w:type="dxa"/>
            <w:gridSpan w:val="6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802"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115"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根据广元市深化医药卫生体制改革领导小组办公室《关于推进医药卫生体制改革2021年重点工作的通知》（广医改办发〔2021〕2号）要求，全面落实2022年医改工作任务，持续巩固深化医药卫生体制综合改革。</w:t>
            </w:r>
          </w:p>
        </w:tc>
        <w:tc>
          <w:tcPr>
            <w:tcW w:w="7320" w:type="dxa"/>
            <w:gridSpan w:val="6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扎实推进三医真联真动，实现跨省异地就医住院医疗费用直接结算全覆盖。召开2022年度医疗服务项目价格调整专家研讨会，开展医疗服务价格动态调整评估1次，完成医疗服务价格调整82项，调价项目均纳入医保支付范围。2.开展综合医改试点阶段自评。全市100％县级公立医院取消药品加成，分级诊疗制度全域实施，公立医院改革深入推进，基层综合改革持续深化，基本公共卫生服务项目实现常住人口全覆盖，基本药物制度全面落实，健康广元建设成效明显。3.出台了《广元市人民政府办公室关于进一步做好医药卫生体制改革重点工作的通知》、《广元市深入推广福建省三明市深化医药卫生体制改革经验实施方案》，印发了2022年《2022年改革落实台账责任科室分工》《广元市深化医药卫生体制改革工作任务清单》，研究制定16项改革任务，推动我市医疗卫生体制改革创新性发展和走深走实。4.积极总结报送推广医改典型经验，报送信息多次被杂志期刊采用。5.完成10个县域医疗卫生次中心规划和申报，开工建设6个次中心。建成省级社区医院1家，制定村卫生室补助、村医养老保障等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3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35" w:type="dxa"/>
            <w:gridSpan w:val="9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942"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15" w:type="dxa"/>
            <w:gridSpan w:val="11"/>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15"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15"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15"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4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15"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医改与政策法规培训</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报刊媒体等宣传医改</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医改任务完成率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推广全市医改经验普及率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医改督导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培训费、会议费等</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7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9900" w:type="dxa"/>
            <w:gridSpan w:val="6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3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1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65" w:type="dxa"/>
            <w:gridSpan w:val="10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65" w:type="dxa"/>
            <w:gridSpan w:val="10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65" w:type="dxa"/>
            <w:gridSpan w:val="10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5"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65" w:type="dxa"/>
            <w:gridSpan w:val="10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2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单位项目负责人：何政霖</w:t>
            </w:r>
          </w:p>
        </w:tc>
        <w:tc>
          <w:tcPr>
            <w:tcW w:w="8835" w:type="dxa"/>
            <w:gridSpan w:val="8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2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835" w:type="dxa"/>
            <w:gridSpan w:val="8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92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63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5"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0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05"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35"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90"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35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570" w:type="dxa"/>
            <w:gridSpan w:val="10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健康服务业工作经费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5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835"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700"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63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835"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735" w:type="dxa"/>
            <w:gridSpan w:val="5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79"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63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835"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加强医养结合养老产业开发、持续推进生态康养旅游产业发展、持续加快健康养生项目建设推进、持续开展宣传营销提高产业知名度，加大对我市健康产业和产品的宣传力度，宣传我市健康养生区域优势，在全国乃至世界范围内扩大影响和知名度。</w:t>
            </w:r>
          </w:p>
        </w:tc>
        <w:tc>
          <w:tcPr>
            <w:tcW w:w="6735" w:type="dxa"/>
            <w:gridSpan w:val="5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1.加强民营医院监督管理。制发《2022年广元市民营医院专项巡查行动工作方案》。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印发《广元市银龄健康工程2022年工作方案》，二级及以上综合医院设立老年病科占比为52.94%，公立中医医院设置老年病科、康复科比例达100%。启动实施2022年失能老年人“健康敲门行动”。争取省级项目资金200万元支持市精卫中心、嘉陵社区卫生服务中心开展医养服务提能升级建设。实施老年心理关爱行动，新增2个心理关爱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3.开展为期半年的打击整治养老诈骗专项行动，依法打击整治养老机构非法行医行为。向社会公布举报通道，加强宣传引导。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4.加强示范创建。建成2个全国示范性老年友好型社区。建成2个省级第一批医养服务示范单位。认定31家二级医疗机构为市级老年友善医疗机构。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5.着力推动康养示范产业园项目建设，完成市中心医院城北院区一期基坑开挖工程。协调推动市健康产业集团承接市级公立医院相关工作开展，实现累计配送金额2.4亿元。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6.持续优化营商环境。与商务局、财政局联合印发《餐饮业、零售业企业定期核酸检测补贴实施办法》。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7.邀请企业来广考察4次，赴北京、河南安阳、贵州遵义、重庆、成都、巴中等开展交流合作，累计洽谈项目12个。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0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570" w:type="dxa"/>
            <w:gridSpan w:val="10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5"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55"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康养目标完成率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康养项目招商</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提升我市康养知名度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培训费、办公费等</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办医培训</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印发康养政策</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0425" w:type="dxa"/>
            <w:gridSpan w:val="7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86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单位项目负责人：赵丹</w:t>
            </w:r>
          </w:p>
        </w:tc>
        <w:tc>
          <w:tcPr>
            <w:tcW w:w="8265" w:type="dxa"/>
            <w:gridSpan w:val="7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86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265" w:type="dxa"/>
            <w:gridSpan w:val="7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980" w:type="dxa"/>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84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8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00" w:type="dxa"/>
            <w:gridSpan w:val="2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00"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382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300" w:type="dxa"/>
            <w:gridSpan w:val="9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公共卫生服务工作经费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82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13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070"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84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13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165" w:type="dxa"/>
            <w:gridSpan w:val="4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979"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84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135" w:type="dxa"/>
            <w:gridSpan w:val="5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免费向全市266.7万城乡居民提供基本公共卫生服务。推动城乡居民健康档案管理、健康教育、慢性病管理等基本公共卫生服务项目在基层全面得到落实，使城乡居民真正受益。</w:t>
            </w:r>
          </w:p>
        </w:tc>
        <w:tc>
          <w:tcPr>
            <w:tcW w:w="6165" w:type="dxa"/>
            <w:gridSpan w:val="4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免费为229.29万城乡居民开展基本公共卫生服务，完成省市民生实事目标任务的100.24%。完成2022年度基本公共卫生服务项目市级绩效评价，组织市级和基层医疗卫生机构培训4次以上，通过形式多样的能力培训，有力提升了项目实施单位医务人员的业务素质和全市基本公共卫生服务均等化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300" w:type="dxa"/>
            <w:gridSpan w:val="9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942"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80"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5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30"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绩效评价</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培训费、会议费等</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市级和基层医疗机构业务培训</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业务人员培训参与率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开展业务指导县区覆盖率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4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7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市级督导检查</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1055" w:type="dxa"/>
            <w:gridSpan w:val="7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40"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145" w:type="dxa"/>
            <w:gridSpan w:val="10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5"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145" w:type="dxa"/>
            <w:gridSpan w:val="10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145" w:type="dxa"/>
            <w:gridSpan w:val="10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859" w:hRule="atLeast"/>
        </w:trPr>
        <w:tc>
          <w:tcPr>
            <w:tcW w:w="19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145" w:type="dxa"/>
            <w:gridSpan w:val="10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8535" w:type="dxa"/>
            <w:gridSpan w:val="4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单位项目负责人：万鹏</w:t>
            </w:r>
          </w:p>
        </w:tc>
        <w:tc>
          <w:tcPr>
            <w:tcW w:w="7590" w:type="dxa"/>
            <w:gridSpan w:val="6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8535" w:type="dxa"/>
            <w:gridSpan w:val="4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590" w:type="dxa"/>
            <w:gridSpan w:val="6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905" w:type="dxa"/>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75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05"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0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75"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30"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50" w:hRule="atLeast"/>
        </w:trPr>
        <w:tc>
          <w:tcPr>
            <w:tcW w:w="3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65" w:type="dxa"/>
            <w:gridSpan w:val="9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职业病防治工作经费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03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34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03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435" w:type="dxa"/>
            <w:gridSpan w:val="4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239"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03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组织并实施广元市职业病防治规划，最大限度地预防、控制和消除职业病危害，防治职业病；组织完成中财项目；加强职业健康培训</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提高劳动者职业健康意识；加大申报、三同时监督检查和指导力度；建成并保障职业健康检查、诊断、鉴定机构基本运行；推进健康企业建设；加强职业健康监督检查与执法能力建设；组织开展职业病防治宣传周活动；推进放射个人剂量监测与上级项目实施；统计调查全市职业病防治情况；奖励职业病防治成绩显著的单位和个人。</w:t>
            </w:r>
          </w:p>
        </w:tc>
        <w:tc>
          <w:tcPr>
            <w:tcW w:w="6435" w:type="dxa"/>
            <w:gridSpan w:val="4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60" w:afterAutospacing="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立以市政府副市长为组长的职业病防治工作领导小组，制发了《广元市“十四五”职业病防治规划》《广元市职业病防治工作联席会议制度》等最大限度地预防、控制和消除职业病危害，防治职业病发生；新增职业健康检查机构1家；建立专家库45人</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覆盖职业卫生、放射卫生、健康企业、应急救援预案、康复站建设等多个领域；建设职业病防治与职业健康联盟1个；建立并保障职业健康检查、诊断、鉴定机构基本运行；建成11家尘肺病康复站，经验在全国交流并推广，南充、巴中、达州等多个市州组团来广考察学习经验；建成国家健康企业案例、优秀行政案例各1个，建成省级健康企业2家、市级健康企业7家；围绕《职业病防治法》颁布实施20周年开展“一切为了劳动者健康”宣传周活动；整合疾病、职业（放射）力量，建立放射质量控制中心1个。整合康复力量，建立康复质量控中心1个；完成中财项目实施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00"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65" w:type="dxa"/>
            <w:gridSpan w:val="9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3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2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办公费、差旅费等</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职业健康检查</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职业健康检查县区覆盖率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落实专兼职职业健康管理人员</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推进健康企业</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完成职业健康年度目标率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95" w:hRule="atLeast"/>
        </w:trPr>
        <w:tc>
          <w:tcPr>
            <w:tcW w:w="19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0785" w:type="dxa"/>
            <w:gridSpan w:val="7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20" w:type="dxa"/>
            <w:gridSpan w:val="10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15" w:hRule="atLeast"/>
        </w:trPr>
        <w:tc>
          <w:tcPr>
            <w:tcW w:w="8190" w:type="dxa"/>
            <w:gridSpan w:val="4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单位项目负责人：白力舟</w:t>
            </w:r>
          </w:p>
        </w:tc>
        <w:tc>
          <w:tcPr>
            <w:tcW w:w="7935" w:type="dxa"/>
            <w:gridSpan w:val="6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15" w:hRule="atLeast"/>
        </w:trPr>
        <w:tc>
          <w:tcPr>
            <w:tcW w:w="8190" w:type="dxa"/>
            <w:gridSpan w:val="4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935" w:type="dxa"/>
            <w:gridSpan w:val="6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15"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875"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650"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05" w:type="dxa"/>
            <w:gridSpan w:val="1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2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5"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91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00" w:hRule="atLeast"/>
        </w:trPr>
        <w:tc>
          <w:tcPr>
            <w:tcW w:w="3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600" w:type="dxa"/>
            <w:gridSpan w:val="10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妇幼健康工作经费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3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8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820"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65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8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780" w:type="dxa"/>
            <w:gridSpan w:val="5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2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8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年度妇幼健康工作培训会等相关工作。</w:t>
            </w:r>
          </w:p>
        </w:tc>
        <w:tc>
          <w:tcPr>
            <w:tcW w:w="6780" w:type="dxa"/>
            <w:gridSpan w:val="5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严格落实《广元市母婴安全行动提升计划实施方案（2022—2025年）》和《广元市健康儿童行动提升计划实施方案2022—2025年）》，推动重点行动实施。孕产妇系统管理率97.18%，0-6岁儿童健康管理率95.39%，孕产妇死亡率、婴儿死亡率、5岁以下儿童死亡率分别控制在6.32/10万，2.02‰，3.41‰，均完成省定目标。按照《危重孕产妇和新生儿救治中心建设指南》的标准要求，积极组织开展市、县两级危重孕产妇、新生儿救治中心评估，实施动态监管，全市建成以2个市级危重孕产妇和新生儿救治中心为龙头，11个县（区）级危重孕产妇和新生儿救治中心为辅助，母婴安全管理办公室、血站、120为支撑的危急重症救治网络。为32748名农村妇女进行免费两癌筛查，筛查率106.10%，提前超额完成年度目标任务。朝天区妇幼保健院成功创建成二级甲等妇幼保健机构，青川县妇幼保健院顺利通过二乙复评。举办广元市母婴安全管理、预防“三病”母婴传播工作及广元市产前诊断（筛查）专项技术等培训班，规范开展危重孕产妇、孕产妇死亡和新生儿死亡市级评审，实施基层产科医师、新生儿科医师、县级儿童保健人员培训项目，妇幼健康服务能力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00"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600" w:type="dxa"/>
            <w:gridSpan w:val="10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0"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0"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0"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0"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9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0"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85"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培训业务提升率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培训会议参与率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培训费、会议费、办公费等</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培训工作会议</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55" w:hRule="atLeast"/>
        </w:trPr>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5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0305" w:type="dxa"/>
            <w:gridSpan w:val="6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4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6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50" w:type="dxa"/>
            <w:gridSpan w:val="10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875"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单位项目负责人：强冬梅</w:t>
            </w:r>
          </w:p>
        </w:tc>
        <w:tc>
          <w:tcPr>
            <w:tcW w:w="8250" w:type="dxa"/>
            <w:gridSpan w:val="7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7875"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250" w:type="dxa"/>
            <w:gridSpan w:val="7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7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192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75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5"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95" w:type="dxa"/>
            <w:gridSpan w:val="1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20"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10" w:type="dxa"/>
            <w:gridSpan w:val="1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9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36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50" w:type="dxa"/>
            <w:gridSpan w:val="9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疾病预防和控制工作经费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6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240" w:type="dxa"/>
            <w:gridSpan w:val="5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100"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240" w:type="dxa"/>
            <w:gridSpan w:val="5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21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425"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240" w:type="dxa"/>
            <w:gridSpan w:val="5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实施传染病防控、艾滋病防治工作、地方病防控、慢性病防治、精神卫生、免疫规划、卫生监测等疾病预防控制相关工作，组织开展各项专项卫生监督检查、专题会议，部门协调，重疾办日常工作，广泛开展健康知识宣教培训，组织开展职业病诊断、疾控机构等级创建、预防接种门诊规范化建设，做好禁毒防艾宣传、东河河长制工作、爱国卫生工作。</w:t>
            </w:r>
          </w:p>
        </w:tc>
        <w:tc>
          <w:tcPr>
            <w:tcW w:w="621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艾滋病防治：2022年广元市HIV筛查覆盖率（33.49%）、艾滋病感染者/病人随访检测比例（95.68%）、配偶/固定性伴HIV抗体检测率（95.07%）、接受结核病检查比例（99.24%）、抗病毒治疗覆盖率（95.51%）、治疗成功率（95.9%）、VCT检测任务完成率和高危人群干预等国家、省级重点指标均达到目标考核要求。                                                                        2.结核病防控：2022年肺结核规范治疗和随访检查任务完成率达到100%，肺结核患者成功治疗率达到97.35%，肺结核病原学阳性密切接触者筛查率达到100%，病原学阳性肺结核患者耐药筛查率达到95.22%。                                                                             3.卫生监测所有项目指标均100%完成。细菌性传染病网络实验室考核合格率100%；病媒生物监测结果分析报告率100%；全年四县三区监测点全覆盖，学生常见病和健康影响因素监测与干预覆盖率100%，基本掌握学生生长发育与常见病发生状况，并积极开展针对性的干预活动。                          4.重点地方病防治项目。（1）重点人群碘缺乏病监测：B超法检查200名儿童甲状腺，检出肿大儿童1人，肿大率0.5%；囊性结节13人，检出率6.5%;（2）大骨节病监测：全市监测7-12岁儿童477人，检查率100%，未发现指关节增粗或指末关节弯曲。（3）地氟病监测：全市监测患病率2.58%。（4）克山病监测：现存慢性克山病患者17例，潜在性克山病患者1例，慢型克山病发病率&lt;5/万。                                                                                         5.扩大国家免疫规划。2022年免疫规划所有指标均完成。                                                6.精神卫生。精神卫生各项指标均完成，省内排名名列前茅。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60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50" w:type="dxa"/>
            <w:gridSpan w:val="9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7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全年目标完成率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公共场所安全套摆放率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常规疫苗接种率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各人群艾滋病防治知识知晓率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艾滋病感染者发现率</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培训费、会议费、办公费等</w:t>
            </w:r>
          </w:p>
        </w:tc>
        <w:tc>
          <w:tcPr>
            <w:tcW w:w="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1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1025" w:type="dxa"/>
            <w:gridSpan w:val="7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867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单位项目负责人：魏晓芳</w:t>
            </w:r>
          </w:p>
        </w:tc>
        <w:tc>
          <w:tcPr>
            <w:tcW w:w="7455" w:type="dxa"/>
            <w:gridSpan w:val="6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8670" w:type="dxa"/>
            <w:gridSpan w:val="4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455" w:type="dxa"/>
            <w:gridSpan w:val="6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2100" w:type="dxa"/>
            <w:gridSpan w:val="6"/>
            <w:tcBorders>
              <w:top w:val="nil"/>
              <w:left w:val="nil"/>
              <w:bottom w:val="nil"/>
              <w:right w:val="nil"/>
            </w:tcBorders>
            <w:shd w:val="clear" w:color="auto" w:fill="auto"/>
            <w:noWrap/>
            <w:vAlign w:val="center"/>
          </w:tcPr>
          <w:p>
            <w:pPr>
              <w:keepNext w:val="0"/>
              <w:keepLines w:val="0"/>
              <w:widowControl/>
              <w:suppressLineNumbers w:val="0"/>
              <w:ind w:left="-1260" w:leftChars="-600" w:firstLine="0" w:firstLineChars="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75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25"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6"/>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5" w:type="dxa"/>
            <w:gridSpan w:val="1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gridSpan w:val="1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820" w:type="dxa"/>
            <w:gridSpan w:val="8"/>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385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270" w:type="dxa"/>
            <w:gridSpan w:val="9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中医药事业发展工作经费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85" w:hRule="atLeast"/>
        </w:trPr>
        <w:tc>
          <w:tcPr>
            <w:tcW w:w="385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544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730"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21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44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825" w:type="dxa"/>
            <w:gridSpan w:val="5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144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44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坚持以习近平总书记关于发展中医药的重要论述和来川视察重要讲话精神为指引，紧紧围绕实施“一干多支、五区协同”发展战略及川陕甘结合部中医药区域医疗中心建设，坚持中西医并重、医药并举、三产联动，强化中医药特色优势发挥，持续加强中医综合服务能力提升，推进我市中医药高质量发展。</w:t>
            </w:r>
          </w:p>
        </w:tc>
        <w:tc>
          <w:tcPr>
            <w:tcW w:w="6825" w:type="dxa"/>
            <w:gridSpan w:val="5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深入开展“健康中国中医药专项行动”，举办了中医药文化暨中医“治未病”知识宣传月活动，开展中医药文化宣传活动350余场次。在重点人群和慢性病患者中推广了高血压防治、疫病防治等14种中医治未病干预方案。加强中医药适宜技术推广基地建设，组织开展县级师资中医药适宜技术推广培训。持续实施中医治未病健康促进专项行动，公立中医医院治未病科设置率达到100%。制定了健康广元行动中医药实施方案，开展中西医同病同效同价改革试点，遴选桡骨远端骨折等3个病种作为中医优势病种探索实行单病种付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270" w:type="dxa"/>
            <w:gridSpan w:val="9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60" w:hRule="atLeast"/>
        </w:trPr>
        <w:tc>
          <w:tcPr>
            <w:tcW w:w="21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20"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20"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20"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20"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9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20"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21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目标完成率</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培训费、会议费等</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中医药工作会</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中医药督查</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培训参与率</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35" w:hRule="atLeast"/>
        </w:trPr>
        <w:tc>
          <w:tcPr>
            <w:tcW w:w="21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7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4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405" w:hRule="atLeast"/>
        </w:trPr>
        <w:tc>
          <w:tcPr>
            <w:tcW w:w="10395" w:type="dxa"/>
            <w:gridSpan w:val="6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8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859" w:hRule="atLeast"/>
        </w:trPr>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025" w:type="dxa"/>
            <w:gridSpan w:val="10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859" w:hRule="atLeast"/>
        </w:trPr>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025" w:type="dxa"/>
            <w:gridSpan w:val="10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859" w:hRule="atLeast"/>
        </w:trPr>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025" w:type="dxa"/>
            <w:gridSpan w:val="10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859" w:hRule="atLeast"/>
        </w:trPr>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025" w:type="dxa"/>
            <w:gridSpan w:val="10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7530"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单位项目负责人：覃晓丽</w:t>
            </w:r>
          </w:p>
        </w:tc>
        <w:tc>
          <w:tcPr>
            <w:tcW w:w="8595" w:type="dxa"/>
            <w:gridSpan w:val="7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7530"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8595" w:type="dxa"/>
            <w:gridSpan w:val="7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60"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18"/>
                <w:szCs w:val="18"/>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6125" w:type="dxa"/>
            <w:gridSpan w:val="1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p>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p>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75" w:hRule="atLeast"/>
        </w:trPr>
        <w:tc>
          <w:tcPr>
            <w:tcW w:w="36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450" w:type="dxa"/>
            <w:gridSpan w:val="9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42" w:hRule="atLeast"/>
        </w:trPr>
        <w:tc>
          <w:tcPr>
            <w:tcW w:w="36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1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235"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15"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1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330"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117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120" w:type="dxa"/>
            <w:gridSpan w:val="5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夯实帮扶村两不愁三保障，1.乡村产业振兴。实现乡村文化振兴、乡村人才振兴、乡村组织振兴、乡村生态振兴。</w:t>
            </w:r>
          </w:p>
        </w:tc>
        <w:tc>
          <w:tcPr>
            <w:tcW w:w="6330"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夯实帮扶村两不愁三保障，1.乡村产业振兴。实现乡村文化振兴、乡村人才振兴、乡村组织振兴、乡村生态振兴。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0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450" w:type="dxa"/>
            <w:gridSpan w:val="9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85"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9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1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615"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乡村振兴目标完成率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工作补贴、差旅费、办公费等</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乡村振兴覆盖率</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帮扶村数</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帮扶对象满意度指标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192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9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保障第一书记及队员工作生活人数</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9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30" w:hRule="atLeast"/>
        </w:trPr>
        <w:tc>
          <w:tcPr>
            <w:tcW w:w="10890" w:type="dxa"/>
            <w:gridSpan w:val="7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570" w:hRule="atLeast"/>
        </w:trPr>
        <w:tc>
          <w:tcPr>
            <w:tcW w:w="1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205" w:type="dxa"/>
            <w:gridSpan w:val="10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8310"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单位项目负责人：谢小平</w:t>
            </w:r>
          </w:p>
        </w:tc>
        <w:tc>
          <w:tcPr>
            <w:tcW w:w="7815" w:type="dxa"/>
            <w:gridSpan w:val="6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8310"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815" w:type="dxa"/>
            <w:gridSpan w:val="6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345" w:hRule="atLeast"/>
        </w:trPr>
        <w:tc>
          <w:tcPr>
            <w:tcW w:w="16125" w:type="dxa"/>
            <w:gridSpan w:val="1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pPr w:leftFromText="180" w:rightFromText="180" w:vertAnchor="text" w:horzAnchor="page" w:tblpX="196" w:tblpY="618"/>
        <w:tblOverlap w:val="never"/>
        <w:tblW w:w="164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35"/>
        <w:gridCol w:w="1755"/>
        <w:gridCol w:w="1875"/>
        <w:gridCol w:w="2340"/>
        <w:gridCol w:w="525"/>
        <w:gridCol w:w="900"/>
        <w:gridCol w:w="525"/>
        <w:gridCol w:w="1095"/>
        <w:gridCol w:w="780"/>
        <w:gridCol w:w="960"/>
        <w:gridCol w:w="117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93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附件4</w:t>
            </w:r>
          </w:p>
        </w:tc>
        <w:tc>
          <w:tcPr>
            <w:tcW w:w="17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41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7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卫生监督综合执法工作经费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主管部门（盖章）</w:t>
            </w:r>
          </w:p>
        </w:tc>
        <w:tc>
          <w:tcPr>
            <w:tcW w:w="61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 （盖章）</w:t>
            </w:r>
          </w:p>
        </w:tc>
        <w:tc>
          <w:tcPr>
            <w:tcW w:w="5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61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1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全年完成对各类场所800余家场所的监督检查、全市各类宣传工作任务、专项抽检任务、年度培训任务，全面完成卫生综合执法年度目标，确保卫生行业规范化发展、人民身体健康及财产安全。</w:t>
            </w:r>
          </w:p>
        </w:tc>
        <w:tc>
          <w:tcPr>
            <w:tcW w:w="6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案件办理情况结案率97.41%，群众满意率达100%。开展了10次卫生健康执法稽查，行政复议1件。2.开展生活饮用水专项监督执法工作。3.开展学校卫生专项监督执法工作。4.开展医疗卫生专项监督执法工作。5.开展妇幼健康专项监督执法工作。6.开展血液安全专项监督执法工作。7.开展职业卫生专项监督执法工作。8.开展放射诊疗专项监督执法工作。9.开展传染病防治专项监督执法工作。10.开展消毒卫生专项监督执法工作。11.开展中医药服务专项监督执法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“双随机一公开”。动完成国家、省下达双随机任务数736家，关闭9家，任务完成数727家，任务完成率98.78%，任务完结率100%，查处22家，处罚款2.214万元。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医疗“三监管”工作情况：2022年建立完善市、县两级医疗“三监管”工作运行机制，组建了707人（涵盖临床50个专业）专家队伍。完成市级监管平台部署，接入医疗“三监管”平台医疗机构350家，其中公立医院36家，民营医院53家，乡镇卫生院和社区卫生服务中心261家。开展六轮次闭环运行工作，共核查问题线索1844例次，认定问题数77例，院内责任追究40人，责令医疗机构整改户次18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27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按年初制订计划实施。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部门自评得分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财政部门科室复评得分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年度卫生监督目标完成率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业务培训、试剂费用、办公费等</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开展业务培训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印发各种宣传资料</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份</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购买试剂</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监督合格率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监督检查</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监督覆盖率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9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自评结论</w:t>
            </w:r>
          </w:p>
        </w:tc>
        <w:tc>
          <w:tcPr>
            <w:tcW w:w="144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自评总分100分，完成项目目标，达到预期的效果。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自评存在问题</w:t>
            </w:r>
          </w:p>
        </w:tc>
        <w:tc>
          <w:tcPr>
            <w:tcW w:w="144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自评改进措施</w:t>
            </w:r>
          </w:p>
        </w:tc>
        <w:tc>
          <w:tcPr>
            <w:tcW w:w="144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详见自评报告。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财政部门对口科室复评结论及整改要求</w:t>
            </w:r>
          </w:p>
        </w:tc>
        <w:tc>
          <w:tcPr>
            <w:tcW w:w="144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单位项目负责人：付强</w:t>
            </w:r>
          </w:p>
        </w:tc>
        <w:tc>
          <w:tcPr>
            <w:tcW w:w="79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部门项目负责人：李小军</w:t>
            </w:r>
          </w:p>
        </w:tc>
        <w:tc>
          <w:tcPr>
            <w:tcW w:w="79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部门财务负责人：李小军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4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财政部门科室负责人：</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1"/>
        <w:gridCol w:w="1747"/>
        <w:gridCol w:w="2235"/>
        <w:gridCol w:w="518"/>
        <w:gridCol w:w="1644"/>
        <w:gridCol w:w="518"/>
        <w:gridCol w:w="1084"/>
        <w:gridCol w:w="576"/>
        <w:gridCol w:w="576"/>
        <w:gridCol w:w="2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908.95</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1,297.10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1,226.22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94.54%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908.95</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1,297.10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1,226.22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94.54%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5.46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自评97.5分。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60.24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53.93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89.52%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60.24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53.93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89.52%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10.48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自评95.5分。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51000021R000000019954-聘用人员经费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补助原卫临支队解聘人员社保费</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补助原卫临支队解聘人员社保费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33.13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33.13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33.13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33.13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解聘补偿费用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五险系统缴费金额</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聘用人员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从事卫生监督辅助工作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89.13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89.13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89.13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89.13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74.72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74.72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51080022R000006910914-退休“中人”一次性退休补贴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退休“中人”一次性退休补贴</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按项目进度支付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项目负责人：欧高强</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财务负责人：欧高强</w:t>
            </w: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rPr>
          <w:rFonts w:hint="eastAsia" w:ascii="黑体" w:hAnsi="黑体" w:eastAsia="黑体"/>
          <w:color w:val="auto"/>
          <w:sz w:val="44"/>
          <w:szCs w:val="44"/>
          <w:highlight w:val="none"/>
        </w:rPr>
        <w:sectPr>
          <w:footerReference r:id="rId9" w:type="first"/>
          <w:headerReference r:id="rId7" w:type="default"/>
          <w:footerReference r:id="rId8" w:type="default"/>
          <w:pgSz w:w="16838" w:h="11906" w:orient="landscape"/>
          <w:pgMar w:top="1800" w:right="1440" w:bottom="1800" w:left="1440" w:header="851" w:footer="992" w:gutter="0"/>
          <w:pgNumType w:fmt="decimal"/>
          <w:cols w:space="425" w:num="1"/>
          <w:titlePg/>
          <w:docGrid w:type="lines" w:linePitch="312" w:charSpace="0"/>
        </w:sectPr>
      </w:pPr>
    </w:p>
    <w:p>
      <w:pPr>
        <w:spacing w:line="600" w:lineRule="exact"/>
        <w:jc w:val="center"/>
        <w:outlineLvl w:val="0"/>
        <w:rPr>
          <w:rFonts w:hint="eastAsia" w:ascii="仿宋" w:hAnsi="仿宋" w:eastAsia="仿宋"/>
          <w:b w:val="0"/>
          <w:color w:val="auto"/>
          <w:highlight w:val="none"/>
        </w:rPr>
      </w:pPr>
      <w:bookmarkStart w:id="76" w:name="_Toc14199"/>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3"/>
      <w:bookmarkEnd w:id="75"/>
      <w:bookmarkEnd w:id="76"/>
      <w:bookmarkStart w:id="77" w:name="_Toc15396619"/>
    </w:p>
    <w:p>
      <w:pPr>
        <w:pStyle w:val="4"/>
        <w:rPr>
          <w:rFonts w:ascii="仿宋" w:hAnsi="仿宋" w:eastAsia="仿宋"/>
          <w:color w:val="auto"/>
          <w:highlight w:val="none"/>
        </w:rPr>
      </w:pPr>
      <w:bookmarkStart w:id="78" w:name="_Toc3546"/>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7"/>
      <w:bookmarkEnd w:id="78"/>
    </w:p>
    <w:p>
      <w:pPr>
        <w:pStyle w:val="4"/>
        <w:rPr>
          <w:rFonts w:ascii="仿宋" w:hAnsi="仿宋" w:eastAsia="仿宋"/>
          <w:color w:val="auto"/>
          <w:highlight w:val="none"/>
        </w:rPr>
      </w:pPr>
      <w:bookmarkStart w:id="79" w:name="_Toc14546"/>
      <w:bookmarkStart w:id="80"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9"/>
      <w:bookmarkEnd w:id="80"/>
    </w:p>
    <w:p>
      <w:pPr>
        <w:pStyle w:val="4"/>
        <w:rPr>
          <w:rFonts w:ascii="仿宋" w:hAnsi="仿宋" w:eastAsia="仿宋"/>
          <w:color w:val="auto"/>
          <w:highlight w:val="none"/>
        </w:rPr>
      </w:pPr>
      <w:bookmarkStart w:id="81" w:name="_Toc22389"/>
      <w:bookmarkStart w:id="82"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1"/>
      <w:bookmarkEnd w:id="82"/>
    </w:p>
    <w:p>
      <w:pPr>
        <w:pStyle w:val="4"/>
        <w:rPr>
          <w:rFonts w:ascii="仿宋" w:hAnsi="仿宋" w:eastAsia="仿宋"/>
          <w:b w:val="0"/>
          <w:color w:val="auto"/>
          <w:highlight w:val="none"/>
        </w:rPr>
      </w:pPr>
      <w:bookmarkStart w:id="83" w:name="_Toc15396622"/>
      <w:bookmarkStart w:id="84" w:name="_Toc24347"/>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3"/>
      <w:bookmarkEnd w:id="84"/>
    </w:p>
    <w:p>
      <w:pPr>
        <w:pStyle w:val="4"/>
        <w:rPr>
          <w:rStyle w:val="18"/>
          <w:rFonts w:ascii="仿宋" w:hAnsi="仿宋" w:eastAsia="仿宋"/>
          <w:b w:val="0"/>
          <w:bCs w:val="0"/>
          <w:color w:val="auto"/>
          <w:highlight w:val="none"/>
        </w:rPr>
      </w:pPr>
      <w:bookmarkStart w:id="85" w:name="_Toc5865"/>
      <w:bookmarkStart w:id="86" w:name="_Toc15396623"/>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5"/>
      <w:bookmarkEnd w:id="86"/>
      <w:bookmarkStart w:id="87" w:name="_Toc15396624"/>
    </w:p>
    <w:p>
      <w:pPr>
        <w:pStyle w:val="4"/>
        <w:rPr>
          <w:rFonts w:ascii="仿宋" w:hAnsi="仿宋" w:eastAsia="仿宋"/>
          <w:color w:val="auto"/>
          <w:highlight w:val="none"/>
        </w:rPr>
      </w:pPr>
      <w:bookmarkStart w:id="88" w:name="_Toc22253"/>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7"/>
      <w:bookmarkEnd w:id="88"/>
    </w:p>
    <w:p>
      <w:pPr>
        <w:pStyle w:val="4"/>
        <w:rPr>
          <w:rFonts w:ascii="仿宋" w:hAnsi="仿宋" w:eastAsia="仿宋"/>
          <w:color w:val="auto"/>
          <w:highlight w:val="none"/>
        </w:rPr>
      </w:pPr>
      <w:bookmarkStart w:id="89" w:name="_Toc15396625"/>
      <w:bookmarkStart w:id="90" w:name="_Toc9612"/>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9"/>
      <w:bookmarkEnd w:id="90"/>
    </w:p>
    <w:p>
      <w:pPr>
        <w:pStyle w:val="4"/>
        <w:rPr>
          <w:rFonts w:ascii="仿宋" w:hAnsi="仿宋" w:eastAsia="仿宋"/>
          <w:color w:val="auto"/>
          <w:highlight w:val="none"/>
        </w:rPr>
      </w:pPr>
      <w:bookmarkStart w:id="91" w:name="_Toc15396626"/>
      <w:bookmarkStart w:id="92" w:name="_Toc32478"/>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1"/>
      <w:bookmarkEnd w:id="92"/>
    </w:p>
    <w:p>
      <w:pPr>
        <w:pStyle w:val="4"/>
        <w:rPr>
          <w:rFonts w:ascii="仿宋" w:hAnsi="仿宋" w:eastAsia="仿宋"/>
          <w:color w:val="auto"/>
          <w:highlight w:val="none"/>
        </w:rPr>
      </w:pPr>
      <w:bookmarkStart w:id="93" w:name="_Toc4039"/>
      <w:bookmarkStart w:id="94" w:name="_Toc1539662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3"/>
      <w:bookmarkEnd w:id="94"/>
    </w:p>
    <w:p>
      <w:pPr>
        <w:pStyle w:val="4"/>
        <w:rPr>
          <w:rFonts w:ascii="仿宋" w:hAnsi="仿宋" w:eastAsia="仿宋"/>
          <w:color w:val="auto"/>
          <w:highlight w:val="none"/>
        </w:rPr>
      </w:pPr>
      <w:bookmarkStart w:id="95" w:name="_Toc15396628"/>
      <w:bookmarkStart w:id="96" w:name="_Toc287"/>
      <w:r>
        <w:rPr>
          <w:rStyle w:val="18"/>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6"/>
    </w:p>
    <w:p>
      <w:pPr>
        <w:pStyle w:val="4"/>
        <w:rPr>
          <w:rFonts w:ascii="仿宋" w:hAnsi="仿宋" w:eastAsia="仿宋"/>
          <w:color w:val="auto"/>
          <w:highlight w:val="none"/>
        </w:rPr>
      </w:pPr>
      <w:bookmarkStart w:id="97" w:name="_Toc15396629"/>
      <w:bookmarkStart w:id="98" w:name="_Toc4301"/>
      <w:r>
        <w:rPr>
          <w:rStyle w:val="18"/>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8"/>
    </w:p>
    <w:p>
      <w:pPr>
        <w:pStyle w:val="4"/>
        <w:rPr>
          <w:rFonts w:ascii="仿宋" w:hAnsi="仿宋" w:eastAsia="仿宋"/>
          <w:color w:val="auto"/>
          <w:highlight w:val="none"/>
        </w:rPr>
      </w:pPr>
      <w:bookmarkStart w:id="99" w:name="_Toc15396630"/>
      <w:bookmarkStart w:id="100" w:name="_Toc1744"/>
      <w:r>
        <w:rPr>
          <w:rStyle w:val="18"/>
          <w:rFonts w:hint="eastAsia" w:ascii="仿宋" w:hAnsi="仿宋" w:eastAsia="仿宋"/>
          <w:b w:val="0"/>
          <w:bCs w:val="0"/>
          <w:color w:val="auto"/>
          <w:highlight w:val="none"/>
        </w:rPr>
        <w:t>十二、</w:t>
      </w:r>
      <w:bookmarkEnd w:id="99"/>
      <w:r>
        <w:rPr>
          <w:rStyle w:val="18"/>
          <w:rFonts w:hint="eastAsia" w:ascii="仿宋" w:hAnsi="仿宋" w:eastAsia="仿宋"/>
          <w:b w:val="0"/>
          <w:bCs w:val="0"/>
          <w:color w:val="auto"/>
          <w:highlight w:val="none"/>
          <w:lang w:eastAsia="zh-CN"/>
        </w:rPr>
        <w:t>国有资本经营预算财政拨款支出决算表</w:t>
      </w:r>
      <w:bookmarkEnd w:id="100"/>
    </w:p>
    <w:p>
      <w:pPr>
        <w:pStyle w:val="4"/>
        <w:rPr>
          <w:rFonts w:hint="eastAsia" w:eastAsia="仿宋"/>
          <w:color w:val="auto"/>
          <w:highlight w:val="none"/>
          <w:lang w:eastAsia="zh-CN"/>
        </w:rPr>
      </w:pPr>
      <w:bookmarkStart w:id="101" w:name="_Toc15396631"/>
      <w:bookmarkStart w:id="102" w:name="_Toc1298"/>
      <w:r>
        <w:rPr>
          <w:rStyle w:val="18"/>
          <w:rFonts w:hint="eastAsia" w:ascii="仿宋" w:hAnsi="仿宋" w:eastAsia="仿宋"/>
          <w:b w:val="0"/>
          <w:bCs w:val="0"/>
          <w:color w:val="auto"/>
          <w:highlight w:val="none"/>
        </w:rPr>
        <w:t>十三、</w:t>
      </w:r>
      <w:bookmarkEnd w:id="101"/>
      <w:r>
        <w:rPr>
          <w:rStyle w:val="18"/>
          <w:rFonts w:hint="eastAsia" w:ascii="仿宋" w:hAnsi="仿宋" w:eastAsia="仿宋"/>
          <w:b w:val="0"/>
          <w:bCs w:val="0"/>
          <w:color w:val="auto"/>
          <w:highlight w:val="none"/>
          <w:lang w:eastAsia="zh-CN"/>
        </w:rPr>
        <w:t>财政拨款“三公”经费支出决算表</w:t>
      </w:r>
      <w:bookmarkEnd w:id="102"/>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3CA1FA-716F-4861-8DB8-4AAD01441B8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D4823A7-13C7-429A-BA64-B08F494AE13C}"/>
  </w:font>
  <w:font w:name="Cambria">
    <w:panose1 w:val="02040503050406030204"/>
    <w:charset w:val="00"/>
    <w:family w:val="roman"/>
    <w:pitch w:val="default"/>
    <w:sig w:usb0="E00002FF" w:usb1="400004FF" w:usb2="00000000" w:usb3="00000000" w:csb0="2000019F" w:csb1="00000000"/>
    <w:embedRegular r:id="rId3" w:fontKey="{70CF460B-2FC2-4CE3-A57C-588B76D1C631}"/>
  </w:font>
  <w:font w:name="仿宋_GB2312">
    <w:panose1 w:val="02010609030101010101"/>
    <w:charset w:val="86"/>
    <w:family w:val="modern"/>
    <w:pitch w:val="default"/>
    <w:sig w:usb0="00000001" w:usb1="080E0000" w:usb2="00000000" w:usb3="00000000" w:csb0="00040000" w:csb1="00000000"/>
    <w:embedRegular r:id="rId4" w:fontKey="{7A0105CB-B100-4B26-9E80-B45EA3155CA6}"/>
  </w:font>
  <w:font w:name="仿宋">
    <w:panose1 w:val="02010609060101010101"/>
    <w:charset w:val="86"/>
    <w:family w:val="auto"/>
    <w:pitch w:val="default"/>
    <w:sig w:usb0="800002BF" w:usb1="38CF7CFA" w:usb2="00000016" w:usb3="00000000" w:csb0="00040001" w:csb1="00000000"/>
    <w:embedRegular r:id="rId5" w:fontKey="{CB0BCC5B-07CD-4B42-8EA9-156B16B888F3}"/>
  </w:font>
  <w:font w:name="方正小标宋简体">
    <w:panose1 w:val="03000509000000000000"/>
    <w:charset w:val="86"/>
    <w:family w:val="script"/>
    <w:pitch w:val="default"/>
    <w:sig w:usb0="00000001" w:usb1="080E0000" w:usb2="00000000" w:usb3="00000000" w:csb0="00040000" w:csb1="00000000"/>
    <w:embedRegular r:id="rId6" w:fontKey="{155D211D-0D4A-4F7E-9CA5-693F3EE92C84}"/>
  </w:font>
  <w:font w:name="微软雅黑">
    <w:panose1 w:val="020B0503020204020204"/>
    <w:charset w:val="86"/>
    <w:family w:val="auto"/>
    <w:pitch w:val="default"/>
    <w:sig w:usb0="80000287" w:usb1="280F3C52" w:usb2="00000016" w:usb3="00000000" w:csb0="0004001F" w:csb1="00000000"/>
    <w:embedRegular r:id="rId7" w:fontKey="{D173F44F-E99C-4270-903F-58CA5029CC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13CA1"/>
    <w:multiLevelType w:val="singleLevel"/>
    <w:tmpl w:val="86013CA1"/>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ECF78AC6"/>
    <w:multiLevelType w:val="singleLevel"/>
    <w:tmpl w:val="ECF78AC6"/>
    <w:lvl w:ilvl="0" w:tentative="0">
      <w:start w:val="1"/>
      <w:numFmt w:val="decimal"/>
      <w:lvlText w:val="%1."/>
      <w:lvlJc w:val="left"/>
      <w:pPr>
        <w:tabs>
          <w:tab w:val="left" w:pos="312"/>
        </w:tabs>
        <w:ind w:left="630" w:leftChars="0" w:firstLine="0" w:firstLineChars="0"/>
      </w:p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A6B66"/>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B6FF5"/>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1E35"/>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26300"/>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3B59"/>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0024"/>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C32F6"/>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AE4E5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BF706B"/>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4A0C"/>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E1BE7"/>
    <w:rsid w:val="00DF28BC"/>
    <w:rsid w:val="00DF34B9"/>
    <w:rsid w:val="00E01053"/>
    <w:rsid w:val="00E07ACF"/>
    <w:rsid w:val="00E21837"/>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9432B"/>
    <w:rsid w:val="00FA23E8"/>
    <w:rsid w:val="00FD3CC1"/>
    <w:rsid w:val="00FF1E02"/>
    <w:rsid w:val="00FF30B4"/>
    <w:rsid w:val="01121891"/>
    <w:rsid w:val="0127533C"/>
    <w:rsid w:val="014359D0"/>
    <w:rsid w:val="018E7169"/>
    <w:rsid w:val="019B53E2"/>
    <w:rsid w:val="01A050EF"/>
    <w:rsid w:val="01EE5E5A"/>
    <w:rsid w:val="01F42D45"/>
    <w:rsid w:val="02145195"/>
    <w:rsid w:val="02236AF5"/>
    <w:rsid w:val="02661EE7"/>
    <w:rsid w:val="026D3223"/>
    <w:rsid w:val="02E66B31"/>
    <w:rsid w:val="02FC0103"/>
    <w:rsid w:val="03B25314"/>
    <w:rsid w:val="03BB7FBE"/>
    <w:rsid w:val="04155DD9"/>
    <w:rsid w:val="041871BE"/>
    <w:rsid w:val="04335DA6"/>
    <w:rsid w:val="043F299D"/>
    <w:rsid w:val="04671EF4"/>
    <w:rsid w:val="046917C8"/>
    <w:rsid w:val="04B213C1"/>
    <w:rsid w:val="051F632A"/>
    <w:rsid w:val="053A62B5"/>
    <w:rsid w:val="057F6DC9"/>
    <w:rsid w:val="05BE78F1"/>
    <w:rsid w:val="05D62E8D"/>
    <w:rsid w:val="05DB66F5"/>
    <w:rsid w:val="05E25CD6"/>
    <w:rsid w:val="05F03EA7"/>
    <w:rsid w:val="064249C6"/>
    <w:rsid w:val="06F753B6"/>
    <w:rsid w:val="07131EBF"/>
    <w:rsid w:val="07230354"/>
    <w:rsid w:val="07B436A2"/>
    <w:rsid w:val="08144141"/>
    <w:rsid w:val="08326375"/>
    <w:rsid w:val="088017D6"/>
    <w:rsid w:val="08960ADB"/>
    <w:rsid w:val="091343F8"/>
    <w:rsid w:val="092E626A"/>
    <w:rsid w:val="093A7BD7"/>
    <w:rsid w:val="09524F20"/>
    <w:rsid w:val="09570789"/>
    <w:rsid w:val="09631893"/>
    <w:rsid w:val="09A514F4"/>
    <w:rsid w:val="09C120A6"/>
    <w:rsid w:val="09E162A4"/>
    <w:rsid w:val="0A0F696E"/>
    <w:rsid w:val="0A2032A3"/>
    <w:rsid w:val="0A7D421F"/>
    <w:rsid w:val="0A876E4C"/>
    <w:rsid w:val="0AC736EC"/>
    <w:rsid w:val="0AD8733B"/>
    <w:rsid w:val="0B04224A"/>
    <w:rsid w:val="0B154AED"/>
    <w:rsid w:val="0B722295"/>
    <w:rsid w:val="0B8A37D8"/>
    <w:rsid w:val="0BCF2858"/>
    <w:rsid w:val="0BF26547"/>
    <w:rsid w:val="0BFA53FB"/>
    <w:rsid w:val="0C1E10EA"/>
    <w:rsid w:val="0C686809"/>
    <w:rsid w:val="0C9D4705"/>
    <w:rsid w:val="0CA041F5"/>
    <w:rsid w:val="0CA43CE5"/>
    <w:rsid w:val="0CD674C0"/>
    <w:rsid w:val="0D3B3F1D"/>
    <w:rsid w:val="0DAD0977"/>
    <w:rsid w:val="0DD60901"/>
    <w:rsid w:val="0DDF2AFB"/>
    <w:rsid w:val="0DFE5677"/>
    <w:rsid w:val="0DFE7425"/>
    <w:rsid w:val="0E707BF7"/>
    <w:rsid w:val="0E924011"/>
    <w:rsid w:val="0EE20AF5"/>
    <w:rsid w:val="0EFE76A6"/>
    <w:rsid w:val="0F225395"/>
    <w:rsid w:val="0FA91612"/>
    <w:rsid w:val="0FD7617F"/>
    <w:rsid w:val="0FEB39D9"/>
    <w:rsid w:val="0FEE34C9"/>
    <w:rsid w:val="0FF3288D"/>
    <w:rsid w:val="102C5522"/>
    <w:rsid w:val="1034712E"/>
    <w:rsid w:val="104B4477"/>
    <w:rsid w:val="106B68C8"/>
    <w:rsid w:val="10795489"/>
    <w:rsid w:val="109A2FF6"/>
    <w:rsid w:val="10A02A15"/>
    <w:rsid w:val="10B4026F"/>
    <w:rsid w:val="10B77D5F"/>
    <w:rsid w:val="10C055FF"/>
    <w:rsid w:val="10E50428"/>
    <w:rsid w:val="116457F1"/>
    <w:rsid w:val="116705E6"/>
    <w:rsid w:val="118107EC"/>
    <w:rsid w:val="119105B0"/>
    <w:rsid w:val="11987B90"/>
    <w:rsid w:val="11A2456B"/>
    <w:rsid w:val="11DD6519"/>
    <w:rsid w:val="11EB7CC0"/>
    <w:rsid w:val="120E7E53"/>
    <w:rsid w:val="12423D11"/>
    <w:rsid w:val="12706417"/>
    <w:rsid w:val="129465AA"/>
    <w:rsid w:val="12FB03D7"/>
    <w:rsid w:val="13405DEA"/>
    <w:rsid w:val="1360023A"/>
    <w:rsid w:val="13BF1404"/>
    <w:rsid w:val="14524026"/>
    <w:rsid w:val="14634486"/>
    <w:rsid w:val="147C72F5"/>
    <w:rsid w:val="14AE3227"/>
    <w:rsid w:val="14E86739"/>
    <w:rsid w:val="150F3CC6"/>
    <w:rsid w:val="152C2AC9"/>
    <w:rsid w:val="15576179"/>
    <w:rsid w:val="156C2EC6"/>
    <w:rsid w:val="15852F26"/>
    <w:rsid w:val="15F64E85"/>
    <w:rsid w:val="15FF1F8C"/>
    <w:rsid w:val="16012EF1"/>
    <w:rsid w:val="16016E6E"/>
    <w:rsid w:val="1666025D"/>
    <w:rsid w:val="166C4CCB"/>
    <w:rsid w:val="167A7865"/>
    <w:rsid w:val="16BB723D"/>
    <w:rsid w:val="17173305"/>
    <w:rsid w:val="17365E81"/>
    <w:rsid w:val="173739A8"/>
    <w:rsid w:val="1743234C"/>
    <w:rsid w:val="17471E3D"/>
    <w:rsid w:val="175C51BC"/>
    <w:rsid w:val="17A10E21"/>
    <w:rsid w:val="17B15508"/>
    <w:rsid w:val="17C70888"/>
    <w:rsid w:val="18015F3F"/>
    <w:rsid w:val="18027B12"/>
    <w:rsid w:val="183C4CAF"/>
    <w:rsid w:val="18420856"/>
    <w:rsid w:val="18AC5CCF"/>
    <w:rsid w:val="18CD6371"/>
    <w:rsid w:val="18E92A80"/>
    <w:rsid w:val="19314B52"/>
    <w:rsid w:val="19461C80"/>
    <w:rsid w:val="198729C4"/>
    <w:rsid w:val="19E16A10"/>
    <w:rsid w:val="19EF2318"/>
    <w:rsid w:val="19FA13E8"/>
    <w:rsid w:val="1A18361C"/>
    <w:rsid w:val="1A1D0C33"/>
    <w:rsid w:val="1A8E38DF"/>
    <w:rsid w:val="1A951111"/>
    <w:rsid w:val="1B100797"/>
    <w:rsid w:val="1B1069E9"/>
    <w:rsid w:val="1B7C407F"/>
    <w:rsid w:val="1B852F33"/>
    <w:rsid w:val="1BAB19C1"/>
    <w:rsid w:val="1BD21EF1"/>
    <w:rsid w:val="1BE13EE2"/>
    <w:rsid w:val="1BE8440E"/>
    <w:rsid w:val="1BED0AD9"/>
    <w:rsid w:val="1C406E5A"/>
    <w:rsid w:val="1CAB4C1C"/>
    <w:rsid w:val="1CC57360"/>
    <w:rsid w:val="1D155CEE"/>
    <w:rsid w:val="1D3A5FA0"/>
    <w:rsid w:val="1D94745E"/>
    <w:rsid w:val="1DA63635"/>
    <w:rsid w:val="1DA82F09"/>
    <w:rsid w:val="1DE55F0B"/>
    <w:rsid w:val="1DE974C4"/>
    <w:rsid w:val="1E234C86"/>
    <w:rsid w:val="1E366767"/>
    <w:rsid w:val="1EA57449"/>
    <w:rsid w:val="1EAE09F3"/>
    <w:rsid w:val="1EC975DB"/>
    <w:rsid w:val="1EE12B77"/>
    <w:rsid w:val="1F1F71FB"/>
    <w:rsid w:val="1F242A63"/>
    <w:rsid w:val="1F525822"/>
    <w:rsid w:val="1F7F413E"/>
    <w:rsid w:val="1FBC7140"/>
    <w:rsid w:val="200F54C2"/>
    <w:rsid w:val="20344F28"/>
    <w:rsid w:val="203B1E13"/>
    <w:rsid w:val="20450EE3"/>
    <w:rsid w:val="204F3B10"/>
    <w:rsid w:val="205112CD"/>
    <w:rsid w:val="205739C6"/>
    <w:rsid w:val="2085336E"/>
    <w:rsid w:val="20C92CE4"/>
    <w:rsid w:val="20CF69FF"/>
    <w:rsid w:val="20F326ED"/>
    <w:rsid w:val="20F57F95"/>
    <w:rsid w:val="211B39F2"/>
    <w:rsid w:val="21423675"/>
    <w:rsid w:val="217858E1"/>
    <w:rsid w:val="22237002"/>
    <w:rsid w:val="22421B7E"/>
    <w:rsid w:val="22617B2B"/>
    <w:rsid w:val="22621A13"/>
    <w:rsid w:val="22761828"/>
    <w:rsid w:val="22D8603F"/>
    <w:rsid w:val="22E26EBD"/>
    <w:rsid w:val="22F15352"/>
    <w:rsid w:val="22FF7A6F"/>
    <w:rsid w:val="23045086"/>
    <w:rsid w:val="23627FFE"/>
    <w:rsid w:val="236478D2"/>
    <w:rsid w:val="239F6B5C"/>
    <w:rsid w:val="240371BF"/>
    <w:rsid w:val="24170DE9"/>
    <w:rsid w:val="246102B6"/>
    <w:rsid w:val="248144B4"/>
    <w:rsid w:val="24963695"/>
    <w:rsid w:val="24967F5F"/>
    <w:rsid w:val="24A3442A"/>
    <w:rsid w:val="24A501A2"/>
    <w:rsid w:val="24B71C84"/>
    <w:rsid w:val="24DD793C"/>
    <w:rsid w:val="24E862E1"/>
    <w:rsid w:val="24E94533"/>
    <w:rsid w:val="24F815FD"/>
    <w:rsid w:val="25253091"/>
    <w:rsid w:val="254A0D4A"/>
    <w:rsid w:val="2567226A"/>
    <w:rsid w:val="25711CC6"/>
    <w:rsid w:val="25C741E6"/>
    <w:rsid w:val="25DD571A"/>
    <w:rsid w:val="25E604D7"/>
    <w:rsid w:val="25E62821"/>
    <w:rsid w:val="261849A4"/>
    <w:rsid w:val="261A696E"/>
    <w:rsid w:val="26445799"/>
    <w:rsid w:val="267918E7"/>
    <w:rsid w:val="268564DD"/>
    <w:rsid w:val="26B576BD"/>
    <w:rsid w:val="26FA0DC5"/>
    <w:rsid w:val="274F43F6"/>
    <w:rsid w:val="27604855"/>
    <w:rsid w:val="27842671"/>
    <w:rsid w:val="27F751B9"/>
    <w:rsid w:val="27FF406E"/>
    <w:rsid w:val="28A569C3"/>
    <w:rsid w:val="28E03E9F"/>
    <w:rsid w:val="28F17E5A"/>
    <w:rsid w:val="290F02E0"/>
    <w:rsid w:val="293715E5"/>
    <w:rsid w:val="2940493E"/>
    <w:rsid w:val="294F4B81"/>
    <w:rsid w:val="295D54F0"/>
    <w:rsid w:val="299D3B3E"/>
    <w:rsid w:val="29C8074C"/>
    <w:rsid w:val="29D60DFE"/>
    <w:rsid w:val="29FD04D3"/>
    <w:rsid w:val="2A0A3553"/>
    <w:rsid w:val="2A297180"/>
    <w:rsid w:val="2A3A75DF"/>
    <w:rsid w:val="2A524929"/>
    <w:rsid w:val="2A5306A1"/>
    <w:rsid w:val="2A5F2BA2"/>
    <w:rsid w:val="2A8B3997"/>
    <w:rsid w:val="2AA64C74"/>
    <w:rsid w:val="2ABE7A3E"/>
    <w:rsid w:val="2AC72C4C"/>
    <w:rsid w:val="2AE01F34"/>
    <w:rsid w:val="2B3B360F"/>
    <w:rsid w:val="2B3C1488"/>
    <w:rsid w:val="2B4324C3"/>
    <w:rsid w:val="2B7B3A0B"/>
    <w:rsid w:val="2BB91281"/>
    <w:rsid w:val="2C163734"/>
    <w:rsid w:val="2C1825AC"/>
    <w:rsid w:val="2C3A1B18"/>
    <w:rsid w:val="2C730E72"/>
    <w:rsid w:val="2CA234A8"/>
    <w:rsid w:val="2CC87124"/>
    <w:rsid w:val="2CD07D87"/>
    <w:rsid w:val="2CE850D0"/>
    <w:rsid w:val="2D1E4F96"/>
    <w:rsid w:val="2D48136A"/>
    <w:rsid w:val="2D7D0CE2"/>
    <w:rsid w:val="2DA51213"/>
    <w:rsid w:val="2DB41456"/>
    <w:rsid w:val="2E1D524D"/>
    <w:rsid w:val="2E1D6FFC"/>
    <w:rsid w:val="2E276A03"/>
    <w:rsid w:val="2E5D389C"/>
    <w:rsid w:val="2E821554"/>
    <w:rsid w:val="2E823302"/>
    <w:rsid w:val="2E9372BE"/>
    <w:rsid w:val="2EA43279"/>
    <w:rsid w:val="2EAA029D"/>
    <w:rsid w:val="2EBE07DF"/>
    <w:rsid w:val="2ED026DB"/>
    <w:rsid w:val="2EEB194E"/>
    <w:rsid w:val="2EFA178C"/>
    <w:rsid w:val="2F0F2D6E"/>
    <w:rsid w:val="2F3C1703"/>
    <w:rsid w:val="2F4131BE"/>
    <w:rsid w:val="2F631386"/>
    <w:rsid w:val="2F7D2448"/>
    <w:rsid w:val="2F972DDE"/>
    <w:rsid w:val="2FBB4D1E"/>
    <w:rsid w:val="2FE73D65"/>
    <w:rsid w:val="300C7328"/>
    <w:rsid w:val="301B57BD"/>
    <w:rsid w:val="3069477A"/>
    <w:rsid w:val="30B46D73"/>
    <w:rsid w:val="30FF6E8C"/>
    <w:rsid w:val="310B75DF"/>
    <w:rsid w:val="3148438F"/>
    <w:rsid w:val="315947EF"/>
    <w:rsid w:val="319F7F4E"/>
    <w:rsid w:val="31A0241D"/>
    <w:rsid w:val="32250B75"/>
    <w:rsid w:val="32557A80"/>
    <w:rsid w:val="3268280F"/>
    <w:rsid w:val="3276280E"/>
    <w:rsid w:val="3284589B"/>
    <w:rsid w:val="32935ADE"/>
    <w:rsid w:val="32A15AF9"/>
    <w:rsid w:val="32A777DC"/>
    <w:rsid w:val="32D16607"/>
    <w:rsid w:val="33386B85"/>
    <w:rsid w:val="33550FE6"/>
    <w:rsid w:val="33E01AE2"/>
    <w:rsid w:val="34126ED7"/>
    <w:rsid w:val="34496D9C"/>
    <w:rsid w:val="34675474"/>
    <w:rsid w:val="346E1C27"/>
    <w:rsid w:val="34CE1050"/>
    <w:rsid w:val="34E73EBF"/>
    <w:rsid w:val="3518676F"/>
    <w:rsid w:val="351B1DBB"/>
    <w:rsid w:val="351C000D"/>
    <w:rsid w:val="35327830"/>
    <w:rsid w:val="35507CB7"/>
    <w:rsid w:val="359D4679"/>
    <w:rsid w:val="35B244CD"/>
    <w:rsid w:val="35B450D6"/>
    <w:rsid w:val="35C54489"/>
    <w:rsid w:val="35FA6761"/>
    <w:rsid w:val="36013E99"/>
    <w:rsid w:val="360F36CE"/>
    <w:rsid w:val="36952152"/>
    <w:rsid w:val="36C27634"/>
    <w:rsid w:val="36D6243D"/>
    <w:rsid w:val="36F62AE0"/>
    <w:rsid w:val="375F68D7"/>
    <w:rsid w:val="37712166"/>
    <w:rsid w:val="37A662B4"/>
    <w:rsid w:val="37B067C2"/>
    <w:rsid w:val="37B54749"/>
    <w:rsid w:val="37DF17C6"/>
    <w:rsid w:val="37F45271"/>
    <w:rsid w:val="383B4C4E"/>
    <w:rsid w:val="383D272C"/>
    <w:rsid w:val="383D6DCE"/>
    <w:rsid w:val="38657F1D"/>
    <w:rsid w:val="390E2362"/>
    <w:rsid w:val="39184F8F"/>
    <w:rsid w:val="391B05DB"/>
    <w:rsid w:val="39432343"/>
    <w:rsid w:val="39504729"/>
    <w:rsid w:val="396D7E18"/>
    <w:rsid w:val="39783B97"/>
    <w:rsid w:val="399003FF"/>
    <w:rsid w:val="39A60455"/>
    <w:rsid w:val="39AE70AB"/>
    <w:rsid w:val="39C3314D"/>
    <w:rsid w:val="39D23390"/>
    <w:rsid w:val="39E47FBB"/>
    <w:rsid w:val="3A480176"/>
    <w:rsid w:val="3A7E3086"/>
    <w:rsid w:val="3A8F1281"/>
    <w:rsid w:val="3AA765CB"/>
    <w:rsid w:val="3AF91BA6"/>
    <w:rsid w:val="3B3F2CA7"/>
    <w:rsid w:val="3B53405D"/>
    <w:rsid w:val="3B5B73B5"/>
    <w:rsid w:val="3B6444BC"/>
    <w:rsid w:val="3C0B0DDB"/>
    <w:rsid w:val="3C0C0783"/>
    <w:rsid w:val="3C1557B6"/>
    <w:rsid w:val="3C2974B3"/>
    <w:rsid w:val="3C326368"/>
    <w:rsid w:val="3C722C08"/>
    <w:rsid w:val="3C8A7F52"/>
    <w:rsid w:val="3C8D6E3C"/>
    <w:rsid w:val="3CA408E8"/>
    <w:rsid w:val="3CB163D2"/>
    <w:rsid w:val="3CBC20D5"/>
    <w:rsid w:val="3CBE7BFC"/>
    <w:rsid w:val="3D3E2AEA"/>
    <w:rsid w:val="3D70539A"/>
    <w:rsid w:val="3E0C4997"/>
    <w:rsid w:val="3E285C74"/>
    <w:rsid w:val="3E8B1D5F"/>
    <w:rsid w:val="3EF142B8"/>
    <w:rsid w:val="3F03223E"/>
    <w:rsid w:val="3F0A537A"/>
    <w:rsid w:val="3F67457A"/>
    <w:rsid w:val="3F830C89"/>
    <w:rsid w:val="3F93711E"/>
    <w:rsid w:val="3F9F3A96"/>
    <w:rsid w:val="3FB672B0"/>
    <w:rsid w:val="3FCB2D5B"/>
    <w:rsid w:val="3FE94F8F"/>
    <w:rsid w:val="404D19C2"/>
    <w:rsid w:val="406311E6"/>
    <w:rsid w:val="40896772"/>
    <w:rsid w:val="40D7128C"/>
    <w:rsid w:val="41085755"/>
    <w:rsid w:val="412546ED"/>
    <w:rsid w:val="41831414"/>
    <w:rsid w:val="419378A9"/>
    <w:rsid w:val="41943621"/>
    <w:rsid w:val="41BA6CA1"/>
    <w:rsid w:val="42004812"/>
    <w:rsid w:val="423F533B"/>
    <w:rsid w:val="42470693"/>
    <w:rsid w:val="4249440B"/>
    <w:rsid w:val="42CD6DEA"/>
    <w:rsid w:val="42D71A17"/>
    <w:rsid w:val="42F223AD"/>
    <w:rsid w:val="430630EF"/>
    <w:rsid w:val="431A58BB"/>
    <w:rsid w:val="43424558"/>
    <w:rsid w:val="435B43F6"/>
    <w:rsid w:val="435E5C94"/>
    <w:rsid w:val="43607C5E"/>
    <w:rsid w:val="436C03B1"/>
    <w:rsid w:val="43A538C3"/>
    <w:rsid w:val="43D709A3"/>
    <w:rsid w:val="43F81C45"/>
    <w:rsid w:val="44024872"/>
    <w:rsid w:val="441F3676"/>
    <w:rsid w:val="444529B0"/>
    <w:rsid w:val="444E3F5B"/>
    <w:rsid w:val="44C45FCB"/>
    <w:rsid w:val="44DD1721"/>
    <w:rsid w:val="44EE2822"/>
    <w:rsid w:val="4508235C"/>
    <w:rsid w:val="45244CBC"/>
    <w:rsid w:val="454B2248"/>
    <w:rsid w:val="457C2402"/>
    <w:rsid w:val="45905EAD"/>
    <w:rsid w:val="4599227F"/>
    <w:rsid w:val="46442BF4"/>
    <w:rsid w:val="467557CF"/>
    <w:rsid w:val="467C29DA"/>
    <w:rsid w:val="474D4056"/>
    <w:rsid w:val="47DB3D58"/>
    <w:rsid w:val="47EB50F1"/>
    <w:rsid w:val="48174664"/>
    <w:rsid w:val="48382F58"/>
    <w:rsid w:val="4867383D"/>
    <w:rsid w:val="487815A6"/>
    <w:rsid w:val="488F069E"/>
    <w:rsid w:val="48967C7F"/>
    <w:rsid w:val="489A63C4"/>
    <w:rsid w:val="48BF60AB"/>
    <w:rsid w:val="48CC544E"/>
    <w:rsid w:val="48E318EF"/>
    <w:rsid w:val="48F30C2D"/>
    <w:rsid w:val="490E5A67"/>
    <w:rsid w:val="493A685C"/>
    <w:rsid w:val="493C27E9"/>
    <w:rsid w:val="496F39ED"/>
    <w:rsid w:val="49891591"/>
    <w:rsid w:val="49A34401"/>
    <w:rsid w:val="49BA799D"/>
    <w:rsid w:val="49D547D7"/>
    <w:rsid w:val="49D97E23"/>
    <w:rsid w:val="49FF41D3"/>
    <w:rsid w:val="4A3414FD"/>
    <w:rsid w:val="4A3B288C"/>
    <w:rsid w:val="4A5A3216"/>
    <w:rsid w:val="4A5D6CA6"/>
    <w:rsid w:val="4A6718D3"/>
    <w:rsid w:val="4A69389D"/>
    <w:rsid w:val="4A69564B"/>
    <w:rsid w:val="4A914D76"/>
    <w:rsid w:val="4ADE3C92"/>
    <w:rsid w:val="4AE50A49"/>
    <w:rsid w:val="4B09298A"/>
    <w:rsid w:val="4B221C9D"/>
    <w:rsid w:val="4B261723"/>
    <w:rsid w:val="4B2A1534"/>
    <w:rsid w:val="4B69167A"/>
    <w:rsid w:val="4BB072A9"/>
    <w:rsid w:val="4BD74836"/>
    <w:rsid w:val="4BE068DB"/>
    <w:rsid w:val="4BF6002B"/>
    <w:rsid w:val="4C161A93"/>
    <w:rsid w:val="4C285091"/>
    <w:rsid w:val="4C433C79"/>
    <w:rsid w:val="4C5D11DF"/>
    <w:rsid w:val="4C5D7514"/>
    <w:rsid w:val="4CC451D3"/>
    <w:rsid w:val="4CE0771A"/>
    <w:rsid w:val="4CE27936"/>
    <w:rsid w:val="4D03758F"/>
    <w:rsid w:val="4D7209E7"/>
    <w:rsid w:val="4E1A4EAE"/>
    <w:rsid w:val="4E1C0C26"/>
    <w:rsid w:val="4E345F70"/>
    <w:rsid w:val="4E8F4BF2"/>
    <w:rsid w:val="4E9B1B4B"/>
    <w:rsid w:val="4EA84268"/>
    <w:rsid w:val="4EB42C0C"/>
    <w:rsid w:val="4ECE2238"/>
    <w:rsid w:val="4F053468"/>
    <w:rsid w:val="4F1E306C"/>
    <w:rsid w:val="4F302BDB"/>
    <w:rsid w:val="4F4425D1"/>
    <w:rsid w:val="4F563CC4"/>
    <w:rsid w:val="4F781E8C"/>
    <w:rsid w:val="4FA26F09"/>
    <w:rsid w:val="4FD46ECD"/>
    <w:rsid w:val="4FE17A31"/>
    <w:rsid w:val="4FF77255"/>
    <w:rsid w:val="5006393C"/>
    <w:rsid w:val="5023004A"/>
    <w:rsid w:val="50343F94"/>
    <w:rsid w:val="505446A7"/>
    <w:rsid w:val="506643DA"/>
    <w:rsid w:val="508A1E77"/>
    <w:rsid w:val="50B43398"/>
    <w:rsid w:val="50F10148"/>
    <w:rsid w:val="50F934A0"/>
    <w:rsid w:val="51164525"/>
    <w:rsid w:val="512C4CA2"/>
    <w:rsid w:val="51452242"/>
    <w:rsid w:val="51BA49DE"/>
    <w:rsid w:val="51BD002A"/>
    <w:rsid w:val="51BD44CE"/>
    <w:rsid w:val="51CF58FB"/>
    <w:rsid w:val="51DB4B86"/>
    <w:rsid w:val="51F80FC6"/>
    <w:rsid w:val="520930B4"/>
    <w:rsid w:val="524D2C93"/>
    <w:rsid w:val="525B7AA6"/>
    <w:rsid w:val="527252B8"/>
    <w:rsid w:val="52903990"/>
    <w:rsid w:val="52FE6B4C"/>
    <w:rsid w:val="5334256E"/>
    <w:rsid w:val="534F2C2F"/>
    <w:rsid w:val="53915C12"/>
    <w:rsid w:val="53BF4A89"/>
    <w:rsid w:val="53C61508"/>
    <w:rsid w:val="540B32CF"/>
    <w:rsid w:val="54493DF7"/>
    <w:rsid w:val="54AA6F8B"/>
    <w:rsid w:val="54AB2D04"/>
    <w:rsid w:val="54B95421"/>
    <w:rsid w:val="54D45DB6"/>
    <w:rsid w:val="5507618C"/>
    <w:rsid w:val="550C71C2"/>
    <w:rsid w:val="552D54B7"/>
    <w:rsid w:val="55333C3E"/>
    <w:rsid w:val="554F18E1"/>
    <w:rsid w:val="55A75279"/>
    <w:rsid w:val="55B47996"/>
    <w:rsid w:val="55BB2AD2"/>
    <w:rsid w:val="55BE25C3"/>
    <w:rsid w:val="565129F5"/>
    <w:rsid w:val="56837A94"/>
    <w:rsid w:val="568A7023"/>
    <w:rsid w:val="56C63E25"/>
    <w:rsid w:val="56FA510F"/>
    <w:rsid w:val="57295B58"/>
    <w:rsid w:val="57723665"/>
    <w:rsid w:val="57825F9E"/>
    <w:rsid w:val="579B2BBB"/>
    <w:rsid w:val="57CE2F91"/>
    <w:rsid w:val="5855720E"/>
    <w:rsid w:val="589D0BB5"/>
    <w:rsid w:val="58E3481A"/>
    <w:rsid w:val="58E80082"/>
    <w:rsid w:val="59097FF9"/>
    <w:rsid w:val="59114DB7"/>
    <w:rsid w:val="594A082B"/>
    <w:rsid w:val="59771406"/>
    <w:rsid w:val="59835FFD"/>
    <w:rsid w:val="59C56616"/>
    <w:rsid w:val="59E52814"/>
    <w:rsid w:val="5AAE0E58"/>
    <w:rsid w:val="5AB0511D"/>
    <w:rsid w:val="5ACB1A0A"/>
    <w:rsid w:val="5AD92379"/>
    <w:rsid w:val="5B044F1C"/>
    <w:rsid w:val="5B48305A"/>
    <w:rsid w:val="5B484E08"/>
    <w:rsid w:val="5B5639C9"/>
    <w:rsid w:val="5B6B4F9B"/>
    <w:rsid w:val="5B6C0691"/>
    <w:rsid w:val="5B7420A1"/>
    <w:rsid w:val="5B9A723E"/>
    <w:rsid w:val="5BAD110F"/>
    <w:rsid w:val="5BB029AE"/>
    <w:rsid w:val="5BD14DA8"/>
    <w:rsid w:val="5C2A09B2"/>
    <w:rsid w:val="5C78171D"/>
    <w:rsid w:val="5C9347A9"/>
    <w:rsid w:val="5D551A5E"/>
    <w:rsid w:val="5D7F0889"/>
    <w:rsid w:val="5D916F3A"/>
    <w:rsid w:val="5D944335"/>
    <w:rsid w:val="5DB04EE7"/>
    <w:rsid w:val="5DB86468"/>
    <w:rsid w:val="5DD63ED9"/>
    <w:rsid w:val="5DEB784E"/>
    <w:rsid w:val="5E02284A"/>
    <w:rsid w:val="5E231B5D"/>
    <w:rsid w:val="5E2A1C0C"/>
    <w:rsid w:val="5E486F56"/>
    <w:rsid w:val="5E79177D"/>
    <w:rsid w:val="5EBB7FE7"/>
    <w:rsid w:val="5EDD7F5D"/>
    <w:rsid w:val="5EFD5F0A"/>
    <w:rsid w:val="5F092B01"/>
    <w:rsid w:val="5F166FCB"/>
    <w:rsid w:val="5F1D035A"/>
    <w:rsid w:val="5F3306BE"/>
    <w:rsid w:val="5F631986"/>
    <w:rsid w:val="5F7408C2"/>
    <w:rsid w:val="5FA647F3"/>
    <w:rsid w:val="5FB962D5"/>
    <w:rsid w:val="5FE91C23"/>
    <w:rsid w:val="5FEA20BE"/>
    <w:rsid w:val="60002155"/>
    <w:rsid w:val="605E6E7C"/>
    <w:rsid w:val="60F31CBA"/>
    <w:rsid w:val="60F577E0"/>
    <w:rsid w:val="6105554A"/>
    <w:rsid w:val="610712C2"/>
    <w:rsid w:val="611A7247"/>
    <w:rsid w:val="61371BA7"/>
    <w:rsid w:val="61483DB4"/>
    <w:rsid w:val="61811074"/>
    <w:rsid w:val="61B52ACC"/>
    <w:rsid w:val="61B825BC"/>
    <w:rsid w:val="624C1682"/>
    <w:rsid w:val="634B193A"/>
    <w:rsid w:val="63715118"/>
    <w:rsid w:val="63952BB5"/>
    <w:rsid w:val="63DF02D4"/>
    <w:rsid w:val="63F7386F"/>
    <w:rsid w:val="6403346F"/>
    <w:rsid w:val="644B7717"/>
    <w:rsid w:val="64752BA5"/>
    <w:rsid w:val="64A532CB"/>
    <w:rsid w:val="64B61035"/>
    <w:rsid w:val="64CA39A1"/>
    <w:rsid w:val="64CF20F6"/>
    <w:rsid w:val="64DB4F48"/>
    <w:rsid w:val="65670581"/>
    <w:rsid w:val="65F71905"/>
    <w:rsid w:val="65FF4CF9"/>
    <w:rsid w:val="6609788A"/>
    <w:rsid w:val="66187ACD"/>
    <w:rsid w:val="66383CCB"/>
    <w:rsid w:val="66670C10"/>
    <w:rsid w:val="669929BC"/>
    <w:rsid w:val="66A650D9"/>
    <w:rsid w:val="66BC48FC"/>
    <w:rsid w:val="66D24120"/>
    <w:rsid w:val="6703252B"/>
    <w:rsid w:val="67120A0C"/>
    <w:rsid w:val="671C2364"/>
    <w:rsid w:val="67564D51"/>
    <w:rsid w:val="67E4235D"/>
    <w:rsid w:val="68014CBD"/>
    <w:rsid w:val="687731D1"/>
    <w:rsid w:val="68962BB0"/>
    <w:rsid w:val="68C87588"/>
    <w:rsid w:val="695D70C6"/>
    <w:rsid w:val="69630ADE"/>
    <w:rsid w:val="697119CE"/>
    <w:rsid w:val="69CE5072"/>
    <w:rsid w:val="69D501AF"/>
    <w:rsid w:val="69D65CD5"/>
    <w:rsid w:val="6A18009C"/>
    <w:rsid w:val="6AD466B8"/>
    <w:rsid w:val="6AF96187"/>
    <w:rsid w:val="6B1C1816"/>
    <w:rsid w:val="6B43739A"/>
    <w:rsid w:val="6B5275DD"/>
    <w:rsid w:val="6B563571"/>
    <w:rsid w:val="6B7B4D86"/>
    <w:rsid w:val="6BE40B7D"/>
    <w:rsid w:val="6C4A05C8"/>
    <w:rsid w:val="6C5A0E3F"/>
    <w:rsid w:val="6C5F0204"/>
    <w:rsid w:val="6CA87DFD"/>
    <w:rsid w:val="6CBC5656"/>
    <w:rsid w:val="6D0F39D8"/>
    <w:rsid w:val="6D1B05CF"/>
    <w:rsid w:val="6D321474"/>
    <w:rsid w:val="6D3B1A89"/>
    <w:rsid w:val="6D54763D"/>
    <w:rsid w:val="6D5C4743"/>
    <w:rsid w:val="6D7C1CFC"/>
    <w:rsid w:val="6DBB76BC"/>
    <w:rsid w:val="6E0948CB"/>
    <w:rsid w:val="6E112B79"/>
    <w:rsid w:val="6E146DCC"/>
    <w:rsid w:val="6E1B015A"/>
    <w:rsid w:val="6EBE56B6"/>
    <w:rsid w:val="6ECC2029"/>
    <w:rsid w:val="6EE44D4A"/>
    <w:rsid w:val="6EFE1F56"/>
    <w:rsid w:val="6F7E6BF3"/>
    <w:rsid w:val="6FEC6252"/>
    <w:rsid w:val="700510C2"/>
    <w:rsid w:val="702F613F"/>
    <w:rsid w:val="706758D9"/>
    <w:rsid w:val="707B3132"/>
    <w:rsid w:val="70BD374B"/>
    <w:rsid w:val="70C26FB3"/>
    <w:rsid w:val="70E4517B"/>
    <w:rsid w:val="70F76C5D"/>
    <w:rsid w:val="714F6A99"/>
    <w:rsid w:val="718A5D23"/>
    <w:rsid w:val="71BF4EC2"/>
    <w:rsid w:val="71C254BD"/>
    <w:rsid w:val="71E01DE7"/>
    <w:rsid w:val="71F83CEB"/>
    <w:rsid w:val="725D3437"/>
    <w:rsid w:val="72730565"/>
    <w:rsid w:val="72734D90"/>
    <w:rsid w:val="72936E59"/>
    <w:rsid w:val="72BB1F0C"/>
    <w:rsid w:val="72EE5E3E"/>
    <w:rsid w:val="730F1A46"/>
    <w:rsid w:val="73357F10"/>
    <w:rsid w:val="735D79A5"/>
    <w:rsid w:val="73816CB2"/>
    <w:rsid w:val="73935046"/>
    <w:rsid w:val="73C3551C"/>
    <w:rsid w:val="73C82B32"/>
    <w:rsid w:val="740C6EC3"/>
    <w:rsid w:val="7412278C"/>
    <w:rsid w:val="74273CFD"/>
    <w:rsid w:val="747D56CB"/>
    <w:rsid w:val="74B65081"/>
    <w:rsid w:val="74BA4968"/>
    <w:rsid w:val="74CC6652"/>
    <w:rsid w:val="74D37FBD"/>
    <w:rsid w:val="74DB6895"/>
    <w:rsid w:val="755F1275"/>
    <w:rsid w:val="75656DE5"/>
    <w:rsid w:val="756D573F"/>
    <w:rsid w:val="75840CDB"/>
    <w:rsid w:val="75846F2D"/>
    <w:rsid w:val="759E1D9D"/>
    <w:rsid w:val="75AB4B6F"/>
    <w:rsid w:val="75CD61DE"/>
    <w:rsid w:val="75D457BF"/>
    <w:rsid w:val="75EA6D90"/>
    <w:rsid w:val="761A519B"/>
    <w:rsid w:val="762F1591"/>
    <w:rsid w:val="76C25BE1"/>
    <w:rsid w:val="76E73D98"/>
    <w:rsid w:val="771340C5"/>
    <w:rsid w:val="77322B45"/>
    <w:rsid w:val="774B30F1"/>
    <w:rsid w:val="774E15A1"/>
    <w:rsid w:val="775748F9"/>
    <w:rsid w:val="77B238DE"/>
    <w:rsid w:val="77B91110"/>
    <w:rsid w:val="78AD22F7"/>
    <w:rsid w:val="7904082E"/>
    <w:rsid w:val="793B5B55"/>
    <w:rsid w:val="794F63E4"/>
    <w:rsid w:val="79764DDF"/>
    <w:rsid w:val="79DE4E5E"/>
    <w:rsid w:val="79E24222"/>
    <w:rsid w:val="79E7B28D"/>
    <w:rsid w:val="79E93803"/>
    <w:rsid w:val="79F91C98"/>
    <w:rsid w:val="7A0348C4"/>
    <w:rsid w:val="7A102B3D"/>
    <w:rsid w:val="7A344A7E"/>
    <w:rsid w:val="7A3B22B0"/>
    <w:rsid w:val="7A8F4231"/>
    <w:rsid w:val="7A8F7F06"/>
    <w:rsid w:val="7AA059E2"/>
    <w:rsid w:val="7ADD5115"/>
    <w:rsid w:val="7AE5221C"/>
    <w:rsid w:val="7AF1471D"/>
    <w:rsid w:val="7B1B3E90"/>
    <w:rsid w:val="7B560A24"/>
    <w:rsid w:val="7B5D0004"/>
    <w:rsid w:val="7B62561B"/>
    <w:rsid w:val="7B7D4202"/>
    <w:rsid w:val="7BDF4EBD"/>
    <w:rsid w:val="7C4D62CB"/>
    <w:rsid w:val="7C541407"/>
    <w:rsid w:val="7C8415C1"/>
    <w:rsid w:val="7C885555"/>
    <w:rsid w:val="7CEC5AE4"/>
    <w:rsid w:val="7D7D04EA"/>
    <w:rsid w:val="7D965A4F"/>
    <w:rsid w:val="7DB14637"/>
    <w:rsid w:val="7DDC2D85"/>
    <w:rsid w:val="7E0806FB"/>
    <w:rsid w:val="7E3C03A5"/>
    <w:rsid w:val="7E7538B7"/>
    <w:rsid w:val="7E7713DD"/>
    <w:rsid w:val="7EB02B41"/>
    <w:rsid w:val="7F207CC7"/>
    <w:rsid w:val="7F3F7047"/>
    <w:rsid w:val="7F8E2E82"/>
    <w:rsid w:val="7F9B10FB"/>
    <w:rsid w:val="7F9F20EE"/>
    <w:rsid w:val="7FA426A6"/>
    <w:rsid w:val="7FAB3A34"/>
    <w:rsid w:val="7FF54CAF"/>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样式 行距: 固定值 28.9 磅"/>
    <w:basedOn w:val="1"/>
    <w:qFormat/>
    <w:uiPriority w:val="0"/>
    <w:pPr>
      <w:spacing w:line="578" w:lineRule="exact"/>
    </w:pPr>
    <w:rPr>
      <w:rFonts w:cs="宋体"/>
      <w:szCs w:val="20"/>
      <w:lang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WPSOffice手动目录 2"/>
    <w:qFormat/>
    <w:uiPriority w:val="0"/>
    <w:pPr>
      <w:ind w:leftChars="200"/>
    </w:pPr>
    <w:rPr>
      <w:rFonts w:asciiTheme="minorHAnsi" w:hAnsiTheme="minorHAnsi" w:eastAsiaTheme="minorEastAsia" w:cstheme="minorBidi"/>
      <w:sz w:val="20"/>
      <w:szCs w:val="20"/>
    </w:rPr>
  </w:style>
  <w:style w:type="character" w:customStyle="1" w:styleId="33">
    <w:name w:val="font61"/>
    <w:basedOn w:val="1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0011;&#22270;&#34920;&#26684;%20-%20&#21103;&#2641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30011;&#22270;&#34920;&#26684;%20-%20&#21103;&#26412;.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30011;&#22270;&#34920;&#26684;%20-%20&#21103;&#2641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Desktop\&#30011;&#22270;&#34920;&#26684;%20-%20&#21103;&#26412;.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30011;&#22270;&#34920;&#26684;%20-%20&#21103;&#26412;.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30011;&#22270;&#34920;&#26684;%20-%20&#21103;&#26412;.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30011;&#22270;&#34920;&#26684;%20-%20&#21103;&#264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'[画图表格 - 副本.xlsx]Sheet1'!$B$2</c:f>
              <c:strCache>
                <c:ptCount val="1"/>
                <c:pt idx="0">
                  <c:v>收、支决算总计变动情况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副本.xlsx]Sheet1'!$A$3:$A$4</c:f>
              <c:strCache>
                <c:ptCount val="2"/>
                <c:pt idx="0">
                  <c:v>2021年</c:v>
                </c:pt>
                <c:pt idx="1">
                  <c:v>2022年</c:v>
                </c:pt>
              </c:strCache>
            </c:strRef>
          </c:cat>
          <c:val>
            <c:numRef>
              <c:f>'[画图表格 - 副本.xlsx]Sheet1'!$B$3:$B$4</c:f>
              <c:numCache>
                <c:formatCode>General</c:formatCode>
                <c:ptCount val="2"/>
                <c:pt idx="0">
                  <c:v>4302.2</c:v>
                </c:pt>
                <c:pt idx="1">
                  <c:v>3988.64</c:v>
                </c:pt>
              </c:numCache>
            </c:numRef>
          </c:val>
        </c:ser>
        <c:dLbls>
          <c:showLegendKey val="0"/>
          <c:showVal val="1"/>
          <c:showCatName val="0"/>
          <c:showSerName val="0"/>
          <c:showPercent val="0"/>
          <c:showBubbleSize val="0"/>
        </c:dLbls>
        <c:gapWidth val="150"/>
        <c:overlap val="0"/>
        <c:axId val="864634156"/>
        <c:axId val="248170648"/>
      </c:barChart>
      <c:catAx>
        <c:axId val="8646341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8170648"/>
        <c:crosses val="autoZero"/>
        <c:auto val="1"/>
        <c:lblAlgn val="ctr"/>
        <c:lblOffset val="100"/>
        <c:noMultiLvlLbl val="0"/>
      </c:catAx>
      <c:valAx>
        <c:axId val="248170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341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收入决算结构</a:t>
            </a:r>
            <a:endParaRPr altLang="en-US"/>
          </a:p>
        </c:rich>
      </c:tx>
      <c:layout/>
      <c:overlay val="0"/>
      <c:spPr>
        <a:noFill/>
        <a:ln>
          <a:noFill/>
        </a:ln>
        <a:effectLst/>
      </c:spPr>
    </c:title>
    <c:autoTitleDeleted val="0"/>
    <c:plotArea>
      <c:layout>
        <c:manualLayout>
          <c:layoutTarget val="inner"/>
          <c:xMode val="edge"/>
          <c:yMode val="edge"/>
          <c:x val="0.342444444444444"/>
          <c:y val="0.153958333333333"/>
          <c:w val="0.352611111111111"/>
          <c:h val="0.587685185185185"/>
        </c:manualLayout>
      </c:layout>
      <c:pieChart>
        <c:varyColors val="1"/>
        <c:ser>
          <c:idx val="0"/>
          <c:order val="0"/>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副本.xlsx]Sheet1'!$A$21</c:f>
              <c:strCache>
                <c:ptCount val="1"/>
                <c:pt idx="0">
                  <c:v>一般公共预算财政拨款收入</c:v>
                </c:pt>
              </c:strCache>
            </c:strRef>
          </c:cat>
          <c:val>
            <c:numRef>
              <c:f>'[画图表格 - 副本.xlsx]Sheet1'!$B$21</c:f>
              <c:numCache>
                <c:formatCode>#,##0.00</c:formatCode>
                <c:ptCount val="1"/>
                <c:pt idx="0">
                  <c:v>3654.64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支出决算结构</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副本.xlsx]Sheet1'!$A$34:$B$34</c:f>
              <c:strCache>
                <c:ptCount val="2"/>
                <c:pt idx="0">
                  <c:v>基本支出</c:v>
                </c:pt>
                <c:pt idx="1">
                  <c:v>项目支出</c:v>
                </c:pt>
              </c:strCache>
            </c:strRef>
          </c:cat>
          <c:val>
            <c:numRef>
              <c:f>'[画图表格 - 副本.xlsx]Sheet1'!$A$35:$B$35</c:f>
              <c:numCache>
                <c:formatCode>#,##0.00</c:formatCode>
                <c:ptCount val="2"/>
                <c:pt idx="0">
                  <c:v>1685.72</c:v>
                </c:pt>
                <c:pt idx="1">
                  <c:v>2302.92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'[画图表格 - 副本.xlsx]Sheet1'!$B$52</c:f>
              <c:strCache>
                <c:ptCount val="1"/>
                <c:pt idx="0">
                  <c:v>财政拨款收、支决算总计变动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副本.xlsx]Sheet1'!$A$53:$A$54</c:f>
              <c:strCache>
                <c:ptCount val="2"/>
                <c:pt idx="0">
                  <c:v>2021年</c:v>
                </c:pt>
                <c:pt idx="1">
                  <c:v>2022年</c:v>
                </c:pt>
              </c:strCache>
            </c:strRef>
          </c:cat>
          <c:val>
            <c:numRef>
              <c:f>'[画图表格 - 副本.xlsx]Sheet1'!$B$53:$B$54</c:f>
              <c:numCache>
                <c:formatCode>#,##0.00</c:formatCode>
                <c:ptCount val="2"/>
                <c:pt idx="0">
                  <c:v>4290.02</c:v>
                </c:pt>
                <c:pt idx="1">
                  <c:v>3988.64</c:v>
                </c:pt>
              </c:numCache>
            </c:numRef>
          </c:val>
        </c:ser>
        <c:dLbls>
          <c:showLegendKey val="0"/>
          <c:showVal val="1"/>
          <c:showCatName val="0"/>
          <c:showSerName val="0"/>
          <c:showPercent val="0"/>
          <c:showBubbleSize val="0"/>
        </c:dLbls>
        <c:gapWidth val="150"/>
        <c:overlap val="0"/>
        <c:axId val="603104552"/>
        <c:axId val="427688555"/>
      </c:barChart>
      <c:catAx>
        <c:axId val="60310455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7688555"/>
        <c:crosses val="autoZero"/>
        <c:auto val="1"/>
        <c:lblAlgn val="ctr"/>
        <c:lblOffset val="100"/>
        <c:noMultiLvlLbl val="0"/>
      </c:catAx>
      <c:valAx>
        <c:axId val="42768855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31045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0014450867052"/>
          <c:y val="0.2106135986733"/>
          <c:w val="0.864932562620424"/>
          <c:h val="0.66161369193154"/>
        </c:manualLayout>
      </c:layout>
      <c:barChart>
        <c:barDir val="col"/>
        <c:grouping val="clustered"/>
        <c:varyColors val="0"/>
        <c:ser>
          <c:idx val="0"/>
          <c:order val="0"/>
          <c:tx>
            <c:strRef>
              <c:f>'[画图表格 - 副本.xlsx]Sheet1'!$B$59</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副本.xlsx]Sheet1'!$A$60:$A$61</c:f>
              <c:strCache>
                <c:ptCount val="2"/>
                <c:pt idx="0">
                  <c:v>2021年</c:v>
                </c:pt>
                <c:pt idx="1">
                  <c:v>2022年</c:v>
                </c:pt>
              </c:strCache>
            </c:strRef>
          </c:cat>
          <c:val>
            <c:numRef>
              <c:f>'[画图表格 - 副本.xlsx]Sheet1'!$B$60:$B$61</c:f>
              <c:numCache>
                <c:formatCode>#,##0.00</c:formatCode>
                <c:ptCount val="2"/>
                <c:pt idx="0">
                  <c:v>2464.36</c:v>
                </c:pt>
                <c:pt idx="1">
                  <c:v>3988.64</c:v>
                </c:pt>
              </c:numCache>
            </c:numRef>
          </c:val>
        </c:ser>
        <c:dLbls>
          <c:showLegendKey val="0"/>
          <c:showVal val="1"/>
          <c:showCatName val="0"/>
          <c:showSerName val="0"/>
          <c:showPercent val="0"/>
          <c:showBubbleSize val="0"/>
        </c:dLbls>
        <c:gapWidth val="150"/>
        <c:overlap val="0"/>
        <c:axId val="295767290"/>
        <c:axId val="565858274"/>
      </c:barChart>
      <c:catAx>
        <c:axId val="2957672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5858274"/>
        <c:crosses val="autoZero"/>
        <c:auto val="1"/>
        <c:lblAlgn val="ctr"/>
        <c:lblOffset val="100"/>
        <c:noMultiLvlLbl val="0"/>
      </c:catAx>
      <c:valAx>
        <c:axId val="56585827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576729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'[画图表格 - 副本.xlsx]Sheet1'!$A$69</c:f>
              <c:strCache>
                <c:ptCount val="1"/>
                <c:pt idx="0">
                  <c:v>2022年</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899516976593459"/>
                  <c:y val="0.02005265761533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38304066917215"/>
                  <c:y val="0.056957607818158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56681912564771"/>
                  <c:y val="-0.05489695181807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66294066159052"/>
                  <c:y val="-0.04160841690426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'[画图表格 - 副本.xlsx]Sheet1'!$B$67:$F$68</c:f>
              <c:multiLvlStrCache>
                <c:ptCount val="5"/>
                <c:lvl>
                  <c:pt idx="0">
                    <c:v>一般公共服务（类）支出</c:v>
                  </c:pt>
                  <c:pt idx="1">
                    <c:v>社会保障和就业（类）支出</c:v>
                  </c:pt>
                  <c:pt idx="2">
                    <c:v>卫生健康（类）支出</c:v>
                  </c:pt>
                  <c:pt idx="3">
                    <c:v>住房保障（类）支出</c:v>
                  </c:pt>
                </c:lvl>
                <c:lvl/>
              </c:multiLvlStrCache>
            </c:multiLvlStrRef>
          </c:cat>
          <c:val>
            <c:numRef>
              <c:f>'[画图表格 - 副本.xlsx]Sheet1'!$B$69:$E$69</c:f>
              <c:numCache>
                <c:formatCode>General</c:formatCode>
                <c:ptCount val="4"/>
                <c:pt idx="0">
                  <c:v>2.3</c:v>
                </c:pt>
                <c:pt idx="1">
                  <c:v>120.59</c:v>
                </c:pt>
                <c:pt idx="2" c:formatCode="#,##0.00">
                  <c:v>3751.72</c:v>
                </c:pt>
                <c:pt idx="3" c:formatCode="#,##0.00">
                  <c:v>114.03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144526074912682"/>
          <c:y val="0.864316239316239"/>
          <c:w val="0.775021076719258"/>
          <c:h val="0.079772079772079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“三公”经费财政拨款支出</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副本.xlsx]Sheet1'!$A$80:$C$80</c:f>
              <c:strCache>
                <c:ptCount val="3"/>
                <c:pt idx="0">
                  <c:v>因公出国（境）费支出</c:v>
                </c:pt>
                <c:pt idx="1">
                  <c:v>公务用车购置及运行维护费支出</c:v>
                </c:pt>
                <c:pt idx="2">
                  <c:v>公务接待费支出</c:v>
                </c:pt>
              </c:strCache>
            </c:strRef>
          </c:cat>
          <c:val>
            <c:numRef>
              <c:f>'[画图表格 - 副本.xlsx]Sheet1'!$A$81:$C$81</c:f>
              <c:numCache>
                <c:formatCode>General</c:formatCode>
                <c:ptCount val="3"/>
                <c:pt idx="0">
                  <c:v>0</c:v>
                </c:pt>
                <c:pt idx="1">
                  <c:v>9.96</c:v>
                </c:pt>
                <c:pt idx="2">
                  <c:v>3.37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3</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鲁西西</cp:lastModifiedBy>
  <cp:lastPrinted>2023-07-31T02:35:00Z</cp:lastPrinted>
  <dcterms:modified xsi:type="dcterms:W3CDTF">2023-10-18T02:11:34Z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