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spacing w:line="600" w:lineRule="exact"/>
        <w:jc w:val="left"/>
        <w:outlineLvl w:val="9"/>
        <w:rPr>
          <w:rFonts w:ascii="方正小标宋简体" w:hAnsi="宋体" w:eastAsia="方正小标宋简体"/>
          <w:color w:val="auto"/>
          <w:sz w:val="21"/>
          <w:szCs w:val="21"/>
          <w:highlight w:val="none"/>
        </w:rPr>
      </w:pPr>
      <w:bookmarkStart w:id="0" w:name="_Toc15306267"/>
    </w:p>
    <w:p>
      <w:pPr>
        <w:shd w:val="clear"/>
        <w:spacing w:line="600" w:lineRule="exact"/>
        <w:jc w:val="center"/>
        <w:outlineLvl w:val="9"/>
        <w:rPr>
          <w:rFonts w:ascii="方正小标宋简体" w:hAnsi="宋体" w:eastAsia="方正小标宋简体"/>
          <w:color w:val="auto"/>
          <w:sz w:val="72"/>
          <w:szCs w:val="72"/>
          <w:highlight w:val="none"/>
        </w:rPr>
      </w:pPr>
    </w:p>
    <w:p>
      <w:pPr>
        <w:shd w:val="clear"/>
        <w:spacing w:line="600" w:lineRule="exact"/>
        <w:jc w:val="center"/>
        <w:outlineLvl w:val="9"/>
        <w:rPr>
          <w:rFonts w:ascii="方正小标宋简体" w:hAnsi="宋体" w:eastAsia="方正小标宋简体"/>
          <w:color w:val="auto"/>
          <w:sz w:val="72"/>
          <w:szCs w:val="72"/>
          <w:highlight w:val="none"/>
        </w:rPr>
      </w:pPr>
    </w:p>
    <w:p>
      <w:pPr>
        <w:shd w:val="clea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5378441"/>
      <w:bookmarkStart w:id="2" w:name="_Toc15377425"/>
      <w:bookmarkStart w:id="3" w:name="_Toc15377193"/>
      <w:bookmarkStart w:id="4" w:name="_Toc15396475"/>
      <w:bookmarkStart w:id="5" w:name="_Toc15396597"/>
      <w:bookmarkStart w:id="6" w:name="_Toc7547"/>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p>
    <w:p>
      <w:pPr>
        <w:shd w:val="clea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lang w:eastAsia="zh-CN"/>
        </w:rPr>
      </w:pPr>
      <w:bookmarkStart w:id="7" w:name="_Toc3464"/>
      <w:bookmarkStart w:id="8" w:name="_Toc15396598"/>
      <w:bookmarkStart w:id="9" w:name="_Toc15377194"/>
      <w:bookmarkStart w:id="10" w:name="_Toc15378442"/>
      <w:bookmarkStart w:id="11" w:name="_Toc15377426"/>
      <w:bookmarkStart w:id="12" w:name="_Toc15396476"/>
      <w:r>
        <w:rPr>
          <w:rFonts w:hint="eastAsia" w:ascii="方正小标宋简体" w:hAnsi="方正小标宋简体" w:eastAsia="方正小标宋简体" w:cs="方正小标宋简体"/>
          <w:color w:val="auto"/>
          <w:sz w:val="72"/>
          <w:szCs w:val="72"/>
          <w:highlight w:val="none"/>
          <w:lang w:eastAsia="zh-CN"/>
        </w:rPr>
        <w:t>广元市</w:t>
      </w:r>
      <w:bookmarkEnd w:id="0"/>
      <w:bookmarkStart w:id="13" w:name="_Toc15306268"/>
      <w:r>
        <w:rPr>
          <w:rFonts w:hint="eastAsia" w:ascii="方正小标宋简体" w:hAnsi="方正小标宋简体" w:eastAsia="方正小标宋简体" w:cs="方正小标宋简体"/>
          <w:color w:val="auto"/>
          <w:sz w:val="72"/>
          <w:szCs w:val="72"/>
          <w:highlight w:val="none"/>
          <w:lang w:eastAsia="zh-CN"/>
        </w:rPr>
        <w:t>退役军人事务局</w:t>
      </w:r>
      <w:bookmarkEnd w:id="7"/>
    </w:p>
    <w:p>
      <w:pPr>
        <w:shd w:val="clea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4" w:name="_Toc4568"/>
      <w:r>
        <w:rPr>
          <w:rFonts w:hint="eastAsia" w:ascii="方正小标宋简体" w:hAnsi="方正小标宋简体" w:eastAsia="方正小标宋简体" w:cs="方正小标宋简体"/>
          <w:color w:val="auto"/>
          <w:sz w:val="72"/>
          <w:szCs w:val="72"/>
          <w:highlight w:val="none"/>
          <w:lang w:eastAsia="zh-CN"/>
        </w:rPr>
        <w:t>单位</w:t>
      </w:r>
      <w:r>
        <w:rPr>
          <w:rFonts w:hint="eastAsia" w:ascii="方正小标宋简体" w:hAnsi="方正小标宋简体" w:eastAsia="方正小标宋简体" w:cs="方正小标宋简体"/>
          <w:color w:val="auto"/>
          <w:sz w:val="72"/>
          <w:szCs w:val="72"/>
          <w:highlight w:val="none"/>
        </w:rPr>
        <w:t>决算</w:t>
      </w:r>
      <w:bookmarkEnd w:id="8"/>
      <w:bookmarkEnd w:id="9"/>
      <w:bookmarkEnd w:id="10"/>
      <w:bookmarkEnd w:id="11"/>
      <w:bookmarkEnd w:id="12"/>
      <w:bookmarkEnd w:id="13"/>
      <w:bookmarkEnd w:id="14"/>
    </w:p>
    <w:p>
      <w:pPr>
        <w:widowControl/>
        <w:shd w:val="clear"/>
        <w:jc w:val="center"/>
        <w:rPr>
          <w:rFonts w:hint="eastAsia" w:ascii="黑体" w:hAnsi="黑体" w:eastAsia="黑体"/>
          <w:color w:val="auto"/>
          <w:sz w:val="48"/>
          <w:szCs w:val="48"/>
          <w:highlight w:val="none"/>
        </w:rPr>
        <w:sectPr>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pPr>
    </w:p>
    <w:p>
      <w:pPr>
        <w:widowControl/>
        <w:shd w:val="clear"/>
        <w:jc w:val="center"/>
        <w:rPr>
          <w:rFonts w:ascii="黑体" w:hAnsi="黑体" w:eastAsia="黑体" w:cstheme="minorBidi"/>
          <w:color w:val="auto"/>
          <w:sz w:val="72"/>
          <w:szCs w:val="72"/>
          <w:highlight w:val="none"/>
        </w:rPr>
      </w:pPr>
      <w:r>
        <w:rPr>
          <w:rFonts w:hint="eastAsia" w:ascii="黑体" w:hAnsi="黑体" w:eastAsia="黑体"/>
          <w:color w:val="auto"/>
          <w:sz w:val="48"/>
          <w:szCs w:val="48"/>
          <w:highlight w:val="none"/>
        </w:rPr>
        <w:t>目</w:t>
      </w:r>
      <w:r>
        <w:rPr>
          <w:rFonts w:hint="eastAsia" w:ascii="黑体" w:hAnsi="黑体" w:eastAsia="黑体"/>
          <w:color w:val="auto"/>
          <w:sz w:val="48"/>
          <w:szCs w:val="48"/>
          <w:highlight w:val="none"/>
          <w:lang w:val="en-US" w:eastAsia="zh-CN"/>
        </w:rPr>
        <w:t xml:space="preserve">   </w:t>
      </w:r>
      <w:r>
        <w:rPr>
          <w:rFonts w:hint="eastAsia" w:ascii="黑体" w:hAnsi="黑体" w:eastAsia="黑体"/>
          <w:color w:val="auto"/>
          <w:sz w:val="48"/>
          <w:szCs w:val="48"/>
          <w:highlight w:val="none"/>
        </w:rPr>
        <w:t>录</w:t>
      </w:r>
    </w:p>
    <w:p>
      <w:pPr>
        <w:pStyle w:val="10"/>
        <w:shd w:val="clear"/>
        <w:rPr>
          <w:rFonts w:hint="eastAsia" w:ascii="楷体_GB2312" w:hAnsi="楷体_GB2312" w:eastAsia="楷体_GB2312" w:cs="楷体_GB2312"/>
          <w:color w:val="auto"/>
          <w:highlight w:val="none"/>
          <w:lang w:val="en-US" w:eastAsia="zh-CN"/>
        </w:rPr>
      </w:pPr>
      <w:r>
        <w:rPr>
          <w:rFonts w:hint="eastAsia" w:ascii="楷体_GB2312" w:hAnsi="楷体_GB2312" w:eastAsia="楷体_GB2312" w:cs="楷体_GB2312"/>
          <w:color w:val="auto"/>
          <w:highlight w:val="none"/>
        </w:rPr>
        <w:t>公开时间：20</w:t>
      </w:r>
      <w:r>
        <w:rPr>
          <w:rFonts w:hint="eastAsia" w:ascii="楷体_GB2312" w:hAnsi="楷体_GB2312" w:eastAsia="楷体_GB2312" w:cs="楷体_GB2312"/>
          <w:color w:val="auto"/>
          <w:highlight w:val="none"/>
          <w:lang w:val="en-US" w:eastAsia="zh-CN"/>
        </w:rPr>
        <w:t>23</w:t>
      </w:r>
      <w:r>
        <w:rPr>
          <w:rFonts w:hint="eastAsia" w:ascii="楷体_GB2312" w:hAnsi="楷体_GB2312" w:eastAsia="楷体_GB2312" w:cs="楷体_GB2312"/>
          <w:color w:val="auto"/>
          <w:highlight w:val="none"/>
        </w:rPr>
        <w:t>年</w:t>
      </w:r>
      <w:r>
        <w:rPr>
          <w:rFonts w:hint="eastAsia" w:ascii="楷体_GB2312" w:hAnsi="楷体_GB2312" w:eastAsia="楷体_GB2312" w:cs="楷体_GB2312"/>
          <w:color w:val="auto"/>
          <w:highlight w:val="none"/>
          <w:lang w:val="en-US" w:eastAsia="zh-CN"/>
        </w:rPr>
        <w:t>10</w:t>
      </w:r>
      <w:r>
        <w:rPr>
          <w:rFonts w:hint="eastAsia" w:ascii="楷体_GB2312" w:hAnsi="楷体_GB2312" w:eastAsia="楷体_GB2312" w:cs="楷体_GB2312"/>
          <w:color w:val="auto"/>
          <w:highlight w:val="none"/>
        </w:rPr>
        <w:t>月</w:t>
      </w:r>
      <w:r>
        <w:rPr>
          <w:rFonts w:hint="eastAsia" w:ascii="楷体_GB2312" w:hAnsi="楷体_GB2312" w:eastAsia="楷体_GB2312" w:cs="楷体_GB2312"/>
          <w:color w:val="auto"/>
          <w:highlight w:val="none"/>
          <w:lang w:val="en-US" w:eastAsia="zh-CN"/>
        </w:rPr>
        <w:t>17</w:t>
      </w:r>
      <w:r>
        <w:rPr>
          <w:rFonts w:hint="eastAsia" w:ascii="楷体_GB2312" w:hAnsi="楷体_GB2312" w:eastAsia="楷体_GB2312" w:cs="楷体_GB2312"/>
          <w:color w:val="auto"/>
          <w:highlight w:val="none"/>
        </w:rPr>
        <w:t>日</w:t>
      </w:r>
    </w:p>
    <w:sdt>
      <w:sdtPr>
        <w:rPr>
          <w:rFonts w:ascii="宋体" w:hAnsi="宋体" w:eastAsia="宋体" w:cs="Times New Roman"/>
          <w:color w:val="auto"/>
          <w:kern w:val="2"/>
          <w:sz w:val="21"/>
          <w:szCs w:val="24"/>
          <w:highlight w:val="none"/>
          <w:lang w:val="en-US" w:eastAsia="zh-CN" w:bidi="ar-SA"/>
        </w:rPr>
        <w:id w:val="147473200"/>
        <w15:color w:val="DBDBDB"/>
        <w:docPartObj>
          <w:docPartGallery w:val="Table of Contents"/>
          <w:docPartUnique/>
        </w:docPartObj>
      </w:sdtPr>
      <w:sdtEndPr>
        <w:rPr>
          <w:rFonts w:ascii="Times New Roman" w:hAnsi="Times New Roman" w:eastAsia="宋体" w:cs="Times New Roman"/>
          <w:b/>
          <w:color w:val="auto"/>
          <w:kern w:val="2"/>
          <w:sz w:val="21"/>
          <w:szCs w:val="24"/>
          <w:highlight w:val="none"/>
          <w:lang w:val="en-US" w:eastAsia="zh-CN" w:bidi="ar-SA"/>
        </w:rPr>
      </w:sdtEndPr>
      <w:sdtContent>
        <w:p>
          <w:pPr>
            <w:shd w:val="clear"/>
            <w:spacing w:before="0" w:beforeLines="0" w:after="0" w:afterLines="0" w:line="240" w:lineRule="auto"/>
            <w:ind w:left="0" w:leftChars="0" w:right="0" w:rightChars="0" w:firstLine="0" w:firstLineChars="0"/>
            <w:jc w:val="center"/>
            <w:rPr>
              <w:b/>
              <w:color w:val="auto"/>
              <w:highlight w:val="none"/>
            </w:rPr>
          </w:pPr>
          <w:r>
            <w:rPr>
              <w:color w:val="auto"/>
              <w:highlight w:val="none"/>
            </w:rPr>
            <w:fldChar w:fldCharType="begin"/>
          </w:r>
          <w:r>
            <w:rPr>
              <w:color w:val="auto"/>
              <w:highlight w:val="none"/>
            </w:rPr>
            <w:instrText xml:space="preserve">TOC \o "1-2" \h \u </w:instrText>
          </w:r>
          <w:r>
            <w:rPr>
              <w:color w:val="auto"/>
              <w:highlight w:val="none"/>
            </w:rPr>
            <w:fldChar w:fldCharType="separate"/>
          </w:r>
        </w:p>
        <w:p>
          <w:pPr>
            <w:pStyle w:val="31"/>
            <w:shd w:val="clear"/>
            <w:tabs>
              <w:tab w:val="right" w:leader="dot" w:pos="8306"/>
            </w:tabs>
            <w:rPr>
              <w:b/>
              <w:color w:val="auto"/>
              <w:highlight w:val="none"/>
            </w:rPr>
          </w:pPr>
          <w:r>
            <w:rPr>
              <w:b/>
              <w:color w:val="auto"/>
              <w:highlight w:val="none"/>
            </w:rPr>
            <w:fldChar w:fldCharType="begin"/>
          </w:r>
          <w:r>
            <w:rPr>
              <w:b/>
              <w:color w:val="auto"/>
              <w:highlight w:val="none"/>
            </w:rPr>
            <w:instrText xml:space="preserve"> HYPERLINK \l _Toc31854 </w:instrText>
          </w:r>
          <w:r>
            <w:rPr>
              <w:b/>
              <w:color w:val="auto"/>
              <w:highlight w:val="none"/>
            </w:rPr>
            <w:fldChar w:fldCharType="separate"/>
          </w:r>
          <w:r>
            <w:rPr>
              <w:rFonts w:hint="eastAsia" w:ascii="黑体" w:hAnsi="黑体" w:eastAsia="黑体"/>
              <w:b/>
              <w:color w:val="auto"/>
              <w:highlight w:val="none"/>
            </w:rPr>
            <w:t xml:space="preserve">第一部分 </w:t>
          </w:r>
          <w:r>
            <w:rPr>
              <w:rFonts w:hint="eastAsia" w:ascii="黑体" w:hAnsi="黑体" w:eastAsia="黑体"/>
              <w:b/>
              <w:color w:val="auto"/>
              <w:highlight w:val="none"/>
              <w:lang w:eastAsia="zh-CN"/>
            </w:rPr>
            <w:t>单位</w:t>
          </w:r>
          <w:r>
            <w:rPr>
              <w:rFonts w:hint="eastAsia" w:ascii="黑体" w:hAnsi="黑体" w:eastAsia="黑体"/>
              <w:b/>
              <w:bCs w:val="0"/>
              <w:color w:val="auto"/>
              <w:highlight w:val="none"/>
            </w:rPr>
            <w:t>概况</w:t>
          </w:r>
          <w:r>
            <w:rPr>
              <w:b/>
              <w:color w:val="auto"/>
              <w:highlight w:val="none"/>
            </w:rPr>
            <w:tab/>
          </w:r>
          <w:r>
            <w:rPr>
              <w:b/>
              <w:color w:val="auto"/>
              <w:highlight w:val="none"/>
            </w:rPr>
            <w:fldChar w:fldCharType="begin"/>
          </w:r>
          <w:r>
            <w:rPr>
              <w:b/>
              <w:color w:val="auto"/>
              <w:highlight w:val="none"/>
            </w:rPr>
            <w:instrText xml:space="preserve"> PAGEREF _Toc31854 \h </w:instrText>
          </w:r>
          <w:r>
            <w:rPr>
              <w:b/>
              <w:color w:val="auto"/>
              <w:highlight w:val="none"/>
            </w:rPr>
            <w:fldChar w:fldCharType="separate"/>
          </w:r>
          <w:r>
            <w:rPr>
              <w:b/>
              <w:color w:val="auto"/>
              <w:highlight w:val="none"/>
            </w:rPr>
            <w:t>1</w:t>
          </w:r>
          <w:r>
            <w:rPr>
              <w:b/>
              <w:color w:val="auto"/>
              <w:highlight w:val="none"/>
            </w:rPr>
            <w:fldChar w:fldCharType="end"/>
          </w:r>
          <w:r>
            <w:rPr>
              <w:b/>
              <w:color w:val="auto"/>
              <w:highlight w:val="none"/>
            </w:rPr>
            <w:fldChar w:fldCharType="end"/>
          </w:r>
        </w:p>
        <w:p>
          <w:pPr>
            <w:pStyle w:val="32"/>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_Toc14153 </w:instrText>
          </w:r>
          <w:r>
            <w:rPr>
              <w:color w:val="auto"/>
              <w:highlight w:val="none"/>
            </w:rPr>
            <w:fldChar w:fldCharType="separate"/>
          </w:r>
          <w:r>
            <w:rPr>
              <w:rFonts w:hint="eastAsia" w:ascii="黑体" w:hAnsi="黑体" w:eastAsia="黑体" w:cs="黑体"/>
              <w:bCs w:val="0"/>
              <w:color w:val="auto"/>
              <w:szCs w:val="32"/>
              <w:highlight w:val="none"/>
              <w:lang w:val="en-US" w:eastAsia="zh-CN"/>
            </w:rPr>
            <w:t>一、</w:t>
          </w:r>
          <w:r>
            <w:rPr>
              <w:rFonts w:hint="eastAsia" w:ascii="黑体" w:hAnsi="黑体" w:eastAsia="黑体" w:cs="黑体"/>
              <w:bCs w:val="0"/>
              <w:color w:val="auto"/>
              <w:szCs w:val="32"/>
              <w:highlight w:val="none"/>
              <w:lang w:eastAsia="zh-CN"/>
            </w:rPr>
            <w:t>主要职责</w:t>
          </w:r>
          <w:r>
            <w:rPr>
              <w:color w:val="auto"/>
              <w:highlight w:val="none"/>
            </w:rPr>
            <w:tab/>
          </w:r>
          <w:r>
            <w:rPr>
              <w:color w:val="auto"/>
              <w:highlight w:val="none"/>
            </w:rPr>
            <w:fldChar w:fldCharType="begin"/>
          </w:r>
          <w:r>
            <w:rPr>
              <w:color w:val="auto"/>
              <w:highlight w:val="none"/>
            </w:rPr>
            <w:instrText xml:space="preserve"> PAGEREF _Toc14153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pPr>
            <w:pStyle w:val="32"/>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_Toc13140 </w:instrText>
          </w:r>
          <w:r>
            <w:rPr>
              <w:color w:val="auto"/>
              <w:highlight w:val="none"/>
            </w:rPr>
            <w:fldChar w:fldCharType="separate"/>
          </w:r>
          <w:r>
            <w:rPr>
              <w:rFonts w:hint="eastAsia" w:ascii="黑体" w:hAnsi="黑体" w:eastAsia="黑体" w:cs="黑体"/>
              <w:bCs w:val="0"/>
              <w:color w:val="auto"/>
              <w:szCs w:val="32"/>
              <w:highlight w:val="none"/>
              <w:lang w:val="en-US" w:eastAsia="zh-CN"/>
            </w:rPr>
            <w:t>二、机构设置</w:t>
          </w:r>
          <w:r>
            <w:rPr>
              <w:color w:val="auto"/>
              <w:highlight w:val="none"/>
            </w:rPr>
            <w:tab/>
          </w:r>
          <w:r>
            <w:rPr>
              <w:color w:val="auto"/>
              <w:highlight w:val="none"/>
            </w:rPr>
            <w:fldChar w:fldCharType="begin"/>
          </w:r>
          <w:r>
            <w:rPr>
              <w:color w:val="auto"/>
              <w:highlight w:val="none"/>
            </w:rPr>
            <w:instrText xml:space="preserve"> PAGEREF _Toc13140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pPr>
            <w:pStyle w:val="31"/>
            <w:shd w:val="clear"/>
            <w:tabs>
              <w:tab w:val="right" w:leader="dot" w:pos="8306"/>
            </w:tabs>
            <w:rPr>
              <w:b/>
              <w:color w:val="auto"/>
              <w:highlight w:val="none"/>
            </w:rPr>
          </w:pPr>
          <w:r>
            <w:rPr>
              <w:b/>
              <w:color w:val="auto"/>
              <w:highlight w:val="none"/>
            </w:rPr>
            <w:fldChar w:fldCharType="begin"/>
          </w:r>
          <w:r>
            <w:rPr>
              <w:b/>
              <w:color w:val="auto"/>
              <w:highlight w:val="none"/>
            </w:rPr>
            <w:instrText xml:space="preserve"> HYPERLINK \l _Toc9234 </w:instrText>
          </w:r>
          <w:r>
            <w:rPr>
              <w:b/>
              <w:color w:val="auto"/>
              <w:highlight w:val="none"/>
            </w:rPr>
            <w:fldChar w:fldCharType="separate"/>
          </w:r>
          <w:r>
            <w:rPr>
              <w:rFonts w:hint="eastAsia" w:ascii="黑体" w:hAnsi="黑体" w:eastAsia="黑体"/>
              <w:b/>
              <w:bCs/>
              <w:color w:val="auto"/>
              <w:highlight w:val="none"/>
            </w:rPr>
            <w:t xml:space="preserve">第二部分 </w:t>
          </w:r>
          <w:r>
            <w:rPr>
              <w:rFonts w:hint="eastAsia" w:ascii="黑体" w:hAnsi="黑体" w:eastAsia="黑体"/>
              <w:b/>
              <w:bCs/>
              <w:color w:val="auto"/>
              <w:highlight w:val="none"/>
              <w:lang w:val="en-US" w:eastAsia="zh-CN"/>
            </w:rPr>
            <w:t>2022年度</w:t>
          </w:r>
          <w:r>
            <w:rPr>
              <w:rFonts w:hint="eastAsia" w:ascii="黑体" w:hAnsi="黑体" w:eastAsia="黑体"/>
              <w:b/>
              <w:bCs/>
              <w:color w:val="auto"/>
              <w:highlight w:val="none"/>
              <w:lang w:eastAsia="zh-CN"/>
            </w:rPr>
            <w:t>单位</w:t>
          </w:r>
          <w:r>
            <w:rPr>
              <w:rFonts w:hint="eastAsia" w:ascii="黑体" w:hAnsi="黑体" w:eastAsia="黑体"/>
              <w:b/>
              <w:bCs/>
              <w:color w:val="auto"/>
              <w:highlight w:val="none"/>
            </w:rPr>
            <w:t>决算情况说明</w:t>
          </w:r>
          <w:r>
            <w:rPr>
              <w:b/>
              <w:color w:val="auto"/>
              <w:highlight w:val="none"/>
            </w:rPr>
            <w:tab/>
          </w:r>
          <w:r>
            <w:rPr>
              <w:b/>
              <w:color w:val="auto"/>
              <w:highlight w:val="none"/>
            </w:rPr>
            <w:fldChar w:fldCharType="begin"/>
          </w:r>
          <w:r>
            <w:rPr>
              <w:b/>
              <w:color w:val="auto"/>
              <w:highlight w:val="none"/>
            </w:rPr>
            <w:instrText xml:space="preserve"> PAGEREF _Toc9234 \h </w:instrText>
          </w:r>
          <w:r>
            <w:rPr>
              <w:b/>
              <w:color w:val="auto"/>
              <w:highlight w:val="none"/>
            </w:rPr>
            <w:fldChar w:fldCharType="separate"/>
          </w:r>
          <w:r>
            <w:rPr>
              <w:b/>
              <w:color w:val="auto"/>
              <w:highlight w:val="none"/>
            </w:rPr>
            <w:t>2</w:t>
          </w:r>
          <w:r>
            <w:rPr>
              <w:b/>
              <w:color w:val="auto"/>
              <w:highlight w:val="none"/>
            </w:rPr>
            <w:fldChar w:fldCharType="end"/>
          </w:r>
          <w:r>
            <w:rPr>
              <w:b/>
              <w:color w:val="auto"/>
              <w:highlight w:val="none"/>
            </w:rPr>
            <w:fldChar w:fldCharType="end"/>
          </w:r>
        </w:p>
        <w:p>
          <w:pPr>
            <w:pStyle w:val="32"/>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_Toc9000 </w:instrText>
          </w:r>
          <w:r>
            <w:rPr>
              <w:color w:val="auto"/>
              <w:highlight w:val="none"/>
            </w:rPr>
            <w:fldChar w:fldCharType="separate"/>
          </w:r>
          <w:r>
            <w:rPr>
              <w:rFonts w:hint="default" w:ascii="黑体" w:hAnsi="黑体" w:eastAsia="黑体"/>
              <w:color w:val="auto"/>
              <w:highlight w:val="none"/>
            </w:rPr>
            <w:t xml:space="preserve">一、 </w:t>
          </w:r>
          <w:r>
            <w:rPr>
              <w:rFonts w:hint="eastAsia" w:ascii="黑体" w:hAnsi="黑体" w:eastAsia="黑体"/>
              <w:color w:val="auto"/>
              <w:szCs w:val="32"/>
              <w:highlight w:val="none"/>
            </w:rPr>
            <w:t>收</w:t>
          </w:r>
          <w:r>
            <w:rPr>
              <w:rFonts w:hint="eastAsia" w:ascii="黑体" w:hAnsi="黑体" w:eastAsia="黑体"/>
              <w:color w:val="auto"/>
              <w:highlight w:val="none"/>
            </w:rPr>
            <w:t>入支出决算总体情况说明</w:t>
          </w:r>
          <w:r>
            <w:rPr>
              <w:color w:val="auto"/>
              <w:highlight w:val="none"/>
            </w:rPr>
            <w:tab/>
          </w:r>
          <w:r>
            <w:rPr>
              <w:color w:val="auto"/>
              <w:highlight w:val="none"/>
            </w:rPr>
            <w:fldChar w:fldCharType="begin"/>
          </w:r>
          <w:r>
            <w:rPr>
              <w:color w:val="auto"/>
              <w:highlight w:val="none"/>
            </w:rPr>
            <w:instrText xml:space="preserve"> PAGEREF _Toc9000 \h </w:instrText>
          </w:r>
          <w:r>
            <w:rPr>
              <w:color w:val="auto"/>
              <w:highlight w:val="none"/>
            </w:rPr>
            <w:fldChar w:fldCharType="separate"/>
          </w:r>
          <w:r>
            <w:rPr>
              <w:color w:val="auto"/>
              <w:highlight w:val="none"/>
            </w:rPr>
            <w:t>2</w:t>
          </w:r>
          <w:r>
            <w:rPr>
              <w:color w:val="auto"/>
              <w:highlight w:val="none"/>
            </w:rPr>
            <w:fldChar w:fldCharType="end"/>
          </w:r>
          <w:r>
            <w:rPr>
              <w:color w:val="auto"/>
              <w:highlight w:val="none"/>
            </w:rPr>
            <w:fldChar w:fldCharType="end"/>
          </w:r>
        </w:p>
        <w:p>
          <w:pPr>
            <w:pStyle w:val="32"/>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_Toc29215 </w:instrText>
          </w:r>
          <w:r>
            <w:rPr>
              <w:color w:val="auto"/>
              <w:highlight w:val="none"/>
            </w:rPr>
            <w:fldChar w:fldCharType="separate"/>
          </w:r>
          <w:r>
            <w:rPr>
              <w:rFonts w:hint="default" w:ascii="黑体" w:hAnsi="黑体" w:eastAsia="黑体"/>
              <w:color w:val="auto"/>
              <w:highlight w:val="none"/>
            </w:rPr>
            <w:t xml:space="preserve">二、 </w:t>
          </w:r>
          <w:r>
            <w:rPr>
              <w:rFonts w:hint="eastAsia" w:ascii="黑体" w:hAnsi="黑体" w:eastAsia="黑体"/>
              <w:color w:val="auto"/>
              <w:szCs w:val="32"/>
              <w:highlight w:val="none"/>
            </w:rPr>
            <w:t>收</w:t>
          </w:r>
          <w:r>
            <w:rPr>
              <w:rFonts w:hint="eastAsia" w:ascii="黑体" w:hAnsi="黑体" w:eastAsia="黑体"/>
              <w:color w:val="auto"/>
              <w:highlight w:val="none"/>
            </w:rPr>
            <w:t>入决算情况说明</w:t>
          </w:r>
          <w:r>
            <w:rPr>
              <w:color w:val="auto"/>
              <w:highlight w:val="none"/>
            </w:rPr>
            <w:tab/>
          </w:r>
          <w:r>
            <w:rPr>
              <w:color w:val="auto"/>
              <w:highlight w:val="none"/>
            </w:rPr>
            <w:fldChar w:fldCharType="begin"/>
          </w:r>
          <w:r>
            <w:rPr>
              <w:color w:val="auto"/>
              <w:highlight w:val="none"/>
            </w:rPr>
            <w:instrText xml:space="preserve"> PAGEREF _Toc29215 \h </w:instrText>
          </w:r>
          <w:r>
            <w:rPr>
              <w:color w:val="auto"/>
              <w:highlight w:val="none"/>
            </w:rPr>
            <w:fldChar w:fldCharType="separate"/>
          </w:r>
          <w:r>
            <w:rPr>
              <w:color w:val="auto"/>
              <w:highlight w:val="none"/>
            </w:rPr>
            <w:t>2</w:t>
          </w:r>
          <w:r>
            <w:rPr>
              <w:color w:val="auto"/>
              <w:highlight w:val="none"/>
            </w:rPr>
            <w:fldChar w:fldCharType="end"/>
          </w:r>
          <w:r>
            <w:rPr>
              <w:color w:val="auto"/>
              <w:highlight w:val="none"/>
            </w:rPr>
            <w:fldChar w:fldCharType="end"/>
          </w:r>
        </w:p>
        <w:p>
          <w:pPr>
            <w:pStyle w:val="32"/>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_Toc8192 </w:instrText>
          </w:r>
          <w:r>
            <w:rPr>
              <w:color w:val="auto"/>
              <w:highlight w:val="none"/>
            </w:rPr>
            <w:fldChar w:fldCharType="separate"/>
          </w:r>
          <w:r>
            <w:rPr>
              <w:rFonts w:hint="default" w:ascii="黑体" w:hAnsi="黑体" w:eastAsia="黑体"/>
              <w:color w:val="auto"/>
              <w:highlight w:val="none"/>
            </w:rPr>
            <w:t xml:space="preserve">三、 </w:t>
          </w:r>
          <w:r>
            <w:rPr>
              <w:rFonts w:hint="eastAsia" w:ascii="黑体" w:hAnsi="黑体" w:eastAsia="黑体"/>
              <w:color w:val="auto"/>
              <w:szCs w:val="32"/>
              <w:highlight w:val="none"/>
            </w:rPr>
            <w:t>支</w:t>
          </w:r>
          <w:r>
            <w:rPr>
              <w:rFonts w:hint="eastAsia" w:ascii="黑体" w:hAnsi="黑体" w:eastAsia="黑体"/>
              <w:color w:val="auto"/>
              <w:highlight w:val="none"/>
            </w:rPr>
            <w:t>出决算情况说明</w:t>
          </w:r>
          <w:r>
            <w:rPr>
              <w:color w:val="auto"/>
              <w:highlight w:val="none"/>
            </w:rPr>
            <w:tab/>
          </w:r>
          <w:r>
            <w:rPr>
              <w:color w:val="auto"/>
              <w:highlight w:val="none"/>
            </w:rPr>
            <w:fldChar w:fldCharType="begin"/>
          </w:r>
          <w:r>
            <w:rPr>
              <w:color w:val="auto"/>
              <w:highlight w:val="none"/>
            </w:rPr>
            <w:instrText xml:space="preserve"> PAGEREF _Toc8192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pPr>
            <w:pStyle w:val="32"/>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_Toc1984 </w:instrText>
          </w:r>
          <w:r>
            <w:rPr>
              <w:color w:val="auto"/>
              <w:highlight w:val="none"/>
            </w:rPr>
            <w:fldChar w:fldCharType="separate"/>
          </w:r>
          <w:r>
            <w:rPr>
              <w:rFonts w:hint="eastAsia" w:ascii="黑体" w:hAnsi="黑体" w:eastAsia="黑体"/>
              <w:color w:val="auto"/>
              <w:szCs w:val="32"/>
              <w:highlight w:val="none"/>
            </w:rPr>
            <w:t>四、财</w:t>
          </w:r>
          <w:r>
            <w:rPr>
              <w:rFonts w:hint="eastAsia" w:ascii="黑体" w:hAnsi="黑体" w:eastAsia="黑体"/>
              <w:color w:val="auto"/>
              <w:highlight w:val="none"/>
            </w:rPr>
            <w:t>政拨款收入支出决算总体情况说明</w:t>
          </w:r>
          <w:r>
            <w:rPr>
              <w:color w:val="auto"/>
              <w:highlight w:val="none"/>
            </w:rPr>
            <w:tab/>
          </w:r>
          <w:r>
            <w:rPr>
              <w:color w:val="auto"/>
              <w:highlight w:val="none"/>
            </w:rPr>
            <w:fldChar w:fldCharType="begin"/>
          </w:r>
          <w:r>
            <w:rPr>
              <w:color w:val="auto"/>
              <w:highlight w:val="none"/>
            </w:rPr>
            <w:instrText xml:space="preserve"> PAGEREF _Toc1984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pPr>
            <w:pStyle w:val="32"/>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_Toc30537 </w:instrText>
          </w:r>
          <w:r>
            <w:rPr>
              <w:color w:val="auto"/>
              <w:highlight w:val="none"/>
            </w:rPr>
            <w:fldChar w:fldCharType="separate"/>
          </w:r>
          <w:r>
            <w:rPr>
              <w:rFonts w:hint="eastAsia" w:ascii="黑体" w:hAnsi="黑体" w:eastAsia="黑体"/>
              <w:color w:val="auto"/>
              <w:szCs w:val="32"/>
              <w:highlight w:val="none"/>
            </w:rPr>
            <w:t>五、一</w:t>
          </w:r>
          <w:r>
            <w:rPr>
              <w:rFonts w:hint="eastAsia" w:ascii="黑体" w:hAnsi="黑体" w:eastAsia="黑体"/>
              <w:color w:val="auto"/>
              <w:highlight w:val="none"/>
            </w:rPr>
            <w:t>般公共预算财政拨款支出决算情况说明</w:t>
          </w:r>
          <w:r>
            <w:rPr>
              <w:color w:val="auto"/>
              <w:highlight w:val="none"/>
            </w:rPr>
            <w:tab/>
          </w:r>
          <w:r>
            <w:rPr>
              <w:color w:val="auto"/>
              <w:highlight w:val="none"/>
            </w:rPr>
            <w:fldChar w:fldCharType="begin"/>
          </w:r>
          <w:r>
            <w:rPr>
              <w:color w:val="auto"/>
              <w:highlight w:val="none"/>
            </w:rPr>
            <w:instrText xml:space="preserve"> PAGEREF _Toc30537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pPr>
            <w:pStyle w:val="32"/>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_Toc895 </w:instrText>
          </w:r>
          <w:r>
            <w:rPr>
              <w:color w:val="auto"/>
              <w:highlight w:val="none"/>
            </w:rPr>
            <w:fldChar w:fldCharType="separate"/>
          </w:r>
          <w:r>
            <w:rPr>
              <w:rFonts w:hint="eastAsia" w:ascii="黑体" w:eastAsia="黑体"/>
              <w:color w:val="auto"/>
              <w:szCs w:val="32"/>
              <w:highlight w:val="none"/>
            </w:rPr>
            <w:t>六、</w:t>
          </w:r>
          <w:r>
            <w:rPr>
              <w:rFonts w:hint="eastAsia" w:ascii="黑体" w:hAnsi="黑体" w:eastAsia="黑体"/>
              <w:color w:val="auto"/>
              <w:szCs w:val="32"/>
              <w:highlight w:val="none"/>
            </w:rPr>
            <w:t>一</w:t>
          </w:r>
          <w:r>
            <w:rPr>
              <w:rFonts w:hint="eastAsia" w:ascii="黑体" w:hAnsi="黑体" w:eastAsia="黑体"/>
              <w:color w:val="auto"/>
              <w:highlight w:val="none"/>
            </w:rPr>
            <w:t>般公共预算财政拨款基本支出决算情况说明</w:t>
          </w:r>
          <w:r>
            <w:rPr>
              <w:color w:val="auto"/>
              <w:highlight w:val="none"/>
            </w:rPr>
            <w:tab/>
          </w:r>
          <w:r>
            <w:rPr>
              <w:color w:val="auto"/>
              <w:highlight w:val="none"/>
            </w:rPr>
            <w:fldChar w:fldCharType="begin"/>
          </w:r>
          <w:r>
            <w:rPr>
              <w:color w:val="auto"/>
              <w:highlight w:val="none"/>
            </w:rPr>
            <w:instrText xml:space="preserve"> PAGEREF _Toc895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pPr>
            <w:pStyle w:val="32"/>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_Toc8409 </w:instrText>
          </w:r>
          <w:r>
            <w:rPr>
              <w:color w:val="auto"/>
              <w:highlight w:val="none"/>
            </w:rPr>
            <w:fldChar w:fldCharType="separate"/>
          </w:r>
          <w:r>
            <w:rPr>
              <w:rFonts w:hint="eastAsia" w:ascii="黑体" w:eastAsia="黑体"/>
              <w:color w:val="auto"/>
              <w:szCs w:val="32"/>
              <w:highlight w:val="none"/>
            </w:rPr>
            <w:t>七、</w:t>
          </w:r>
          <w:r>
            <w:rPr>
              <w:rFonts w:hint="eastAsia" w:ascii="黑体" w:hAnsi="黑体" w:eastAsia="黑体"/>
              <w:color w:val="auto"/>
              <w:highlight w:val="none"/>
            </w:rPr>
            <w:t>财政拨款“三公”经费支出决算情况说明</w:t>
          </w:r>
          <w:r>
            <w:rPr>
              <w:color w:val="auto"/>
              <w:highlight w:val="none"/>
            </w:rPr>
            <w:tab/>
          </w:r>
          <w:r>
            <w:rPr>
              <w:color w:val="auto"/>
              <w:highlight w:val="none"/>
            </w:rPr>
            <w:fldChar w:fldCharType="begin"/>
          </w:r>
          <w:r>
            <w:rPr>
              <w:color w:val="auto"/>
              <w:highlight w:val="none"/>
            </w:rPr>
            <w:instrText xml:space="preserve"> PAGEREF _Toc8409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pPr>
            <w:pStyle w:val="32"/>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_Toc19340 </w:instrText>
          </w:r>
          <w:r>
            <w:rPr>
              <w:color w:val="auto"/>
              <w:highlight w:val="none"/>
            </w:rPr>
            <w:fldChar w:fldCharType="separate"/>
          </w:r>
          <w:r>
            <w:rPr>
              <w:rFonts w:hint="eastAsia" w:ascii="黑体" w:eastAsia="黑体"/>
              <w:color w:val="auto"/>
              <w:szCs w:val="32"/>
              <w:highlight w:val="none"/>
            </w:rPr>
            <w:t>八、</w:t>
          </w:r>
          <w:r>
            <w:rPr>
              <w:rFonts w:hint="eastAsia" w:ascii="黑体" w:hAnsi="黑体" w:eastAsia="黑体"/>
              <w:color w:val="auto"/>
              <w:highlight w:val="none"/>
            </w:rPr>
            <w:t>政府性基金预算支出决算情况说明</w:t>
          </w:r>
          <w:r>
            <w:rPr>
              <w:color w:val="auto"/>
              <w:highlight w:val="none"/>
            </w:rPr>
            <w:tab/>
          </w:r>
          <w:r>
            <w:rPr>
              <w:color w:val="auto"/>
              <w:highlight w:val="none"/>
            </w:rPr>
            <w:fldChar w:fldCharType="begin"/>
          </w:r>
          <w:r>
            <w:rPr>
              <w:color w:val="auto"/>
              <w:highlight w:val="none"/>
            </w:rPr>
            <w:instrText xml:space="preserve"> PAGEREF _Toc19340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pPr>
            <w:pStyle w:val="32"/>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_Toc10528 </w:instrText>
          </w:r>
          <w:r>
            <w:rPr>
              <w:color w:val="auto"/>
              <w:highlight w:val="none"/>
            </w:rPr>
            <w:fldChar w:fldCharType="separate"/>
          </w:r>
          <w:r>
            <w:rPr>
              <w:rFonts w:hint="eastAsia" w:ascii="黑体" w:hAnsi="黑体" w:eastAsia="黑体"/>
              <w:color w:val="auto"/>
              <w:highlight w:val="none"/>
            </w:rPr>
            <w:t>九、 国有资本经营预算支出决算情况说明</w:t>
          </w:r>
          <w:r>
            <w:rPr>
              <w:color w:val="auto"/>
              <w:highlight w:val="none"/>
            </w:rPr>
            <w:tab/>
          </w:r>
          <w:r>
            <w:rPr>
              <w:color w:val="auto"/>
              <w:highlight w:val="none"/>
            </w:rPr>
            <w:fldChar w:fldCharType="begin"/>
          </w:r>
          <w:r>
            <w:rPr>
              <w:color w:val="auto"/>
              <w:highlight w:val="none"/>
            </w:rPr>
            <w:instrText xml:space="preserve"> PAGEREF _Toc10528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pPr>
            <w:pStyle w:val="32"/>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_Toc1418 </w:instrText>
          </w:r>
          <w:r>
            <w:rPr>
              <w:color w:val="auto"/>
              <w:highlight w:val="none"/>
            </w:rPr>
            <w:fldChar w:fldCharType="separate"/>
          </w:r>
          <w:r>
            <w:rPr>
              <w:rFonts w:hint="eastAsia" w:ascii="黑体" w:hAnsi="黑体" w:eastAsia="黑体"/>
              <w:color w:val="auto"/>
              <w:highlight w:val="none"/>
            </w:rPr>
            <w:t>十、 其他重要事项的情况说明</w:t>
          </w:r>
          <w:r>
            <w:rPr>
              <w:color w:val="auto"/>
              <w:highlight w:val="none"/>
            </w:rPr>
            <w:tab/>
          </w:r>
          <w:r>
            <w:rPr>
              <w:color w:val="auto"/>
              <w:highlight w:val="none"/>
            </w:rPr>
            <w:fldChar w:fldCharType="begin"/>
          </w:r>
          <w:r>
            <w:rPr>
              <w:color w:val="auto"/>
              <w:highlight w:val="none"/>
            </w:rPr>
            <w:instrText xml:space="preserve"> PAGEREF _Toc1418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pPr>
            <w:pStyle w:val="31"/>
            <w:shd w:val="clear"/>
            <w:tabs>
              <w:tab w:val="right" w:leader="dot" w:pos="8306"/>
            </w:tabs>
            <w:rPr>
              <w:b/>
              <w:color w:val="auto"/>
              <w:highlight w:val="none"/>
            </w:rPr>
          </w:pPr>
          <w:r>
            <w:rPr>
              <w:b/>
              <w:color w:val="auto"/>
              <w:highlight w:val="none"/>
            </w:rPr>
            <w:fldChar w:fldCharType="begin"/>
          </w:r>
          <w:r>
            <w:rPr>
              <w:b/>
              <w:color w:val="auto"/>
              <w:highlight w:val="none"/>
            </w:rPr>
            <w:instrText xml:space="preserve"> HYPERLINK \l _Toc9802 </w:instrText>
          </w:r>
          <w:r>
            <w:rPr>
              <w:b/>
              <w:color w:val="auto"/>
              <w:highlight w:val="none"/>
            </w:rPr>
            <w:fldChar w:fldCharType="separate"/>
          </w:r>
          <w:r>
            <w:rPr>
              <w:rFonts w:hint="eastAsia" w:ascii="黑体" w:hAnsi="黑体" w:eastAsia="黑体" w:cs="黑体"/>
              <w:b/>
              <w:color w:val="auto"/>
              <w:szCs w:val="44"/>
              <w:highlight w:val="none"/>
            </w:rPr>
            <w:t xml:space="preserve">第三部分 </w:t>
          </w:r>
          <w:r>
            <w:rPr>
              <w:rFonts w:hint="eastAsia" w:ascii="黑体" w:hAnsi="黑体" w:eastAsia="黑体"/>
              <w:b/>
              <w:color w:val="auto"/>
              <w:szCs w:val="44"/>
              <w:highlight w:val="none"/>
            </w:rPr>
            <w:t>名</w:t>
          </w:r>
          <w:r>
            <w:rPr>
              <w:rFonts w:hint="eastAsia" w:ascii="黑体" w:hAnsi="黑体" w:eastAsia="黑体"/>
              <w:b/>
              <w:color w:val="auto"/>
              <w:highlight w:val="none"/>
            </w:rPr>
            <w:t>词解释</w:t>
          </w:r>
          <w:r>
            <w:rPr>
              <w:b/>
              <w:color w:val="auto"/>
              <w:highlight w:val="none"/>
            </w:rPr>
            <w:tab/>
          </w:r>
          <w:r>
            <w:rPr>
              <w:b/>
              <w:color w:val="auto"/>
              <w:highlight w:val="none"/>
            </w:rPr>
            <w:fldChar w:fldCharType="begin"/>
          </w:r>
          <w:r>
            <w:rPr>
              <w:b/>
              <w:color w:val="auto"/>
              <w:highlight w:val="none"/>
            </w:rPr>
            <w:instrText xml:space="preserve"> PAGEREF _Toc9802 \h </w:instrText>
          </w:r>
          <w:r>
            <w:rPr>
              <w:b/>
              <w:color w:val="auto"/>
              <w:highlight w:val="none"/>
            </w:rPr>
            <w:fldChar w:fldCharType="separate"/>
          </w:r>
          <w:r>
            <w:rPr>
              <w:b/>
              <w:color w:val="auto"/>
              <w:highlight w:val="none"/>
            </w:rPr>
            <w:t>10</w:t>
          </w:r>
          <w:r>
            <w:rPr>
              <w:b/>
              <w:color w:val="auto"/>
              <w:highlight w:val="none"/>
            </w:rPr>
            <w:fldChar w:fldCharType="end"/>
          </w:r>
          <w:r>
            <w:rPr>
              <w:b/>
              <w:color w:val="auto"/>
              <w:highlight w:val="none"/>
            </w:rPr>
            <w:fldChar w:fldCharType="end"/>
          </w:r>
        </w:p>
        <w:p>
          <w:pPr>
            <w:pStyle w:val="31"/>
            <w:shd w:val="clear"/>
            <w:tabs>
              <w:tab w:val="right" w:leader="dot" w:pos="8306"/>
            </w:tabs>
            <w:rPr>
              <w:b/>
              <w:color w:val="auto"/>
              <w:highlight w:val="none"/>
            </w:rPr>
          </w:pPr>
          <w:r>
            <w:rPr>
              <w:b/>
              <w:color w:val="auto"/>
              <w:highlight w:val="none"/>
            </w:rPr>
            <w:fldChar w:fldCharType="begin"/>
          </w:r>
          <w:r>
            <w:rPr>
              <w:b/>
              <w:color w:val="auto"/>
              <w:highlight w:val="none"/>
            </w:rPr>
            <w:instrText xml:space="preserve"> HYPERLINK \l _Toc8643 </w:instrText>
          </w:r>
          <w:r>
            <w:rPr>
              <w:b/>
              <w:color w:val="auto"/>
              <w:highlight w:val="none"/>
            </w:rPr>
            <w:fldChar w:fldCharType="separate"/>
          </w:r>
          <w:r>
            <w:rPr>
              <w:rFonts w:hint="eastAsia" w:ascii="黑体" w:hAnsi="黑体" w:eastAsia="黑体"/>
              <w:b/>
              <w:color w:val="auto"/>
              <w:szCs w:val="44"/>
              <w:highlight w:val="none"/>
            </w:rPr>
            <w:t>第</w:t>
          </w:r>
          <w:r>
            <w:rPr>
              <w:rFonts w:hint="eastAsia" w:ascii="黑体" w:hAnsi="黑体" w:eastAsia="黑体"/>
              <w:b/>
              <w:color w:val="auto"/>
              <w:highlight w:val="none"/>
            </w:rPr>
            <w:t>四部分 附件</w:t>
          </w:r>
          <w:r>
            <w:rPr>
              <w:b/>
              <w:color w:val="auto"/>
              <w:highlight w:val="none"/>
            </w:rPr>
            <w:tab/>
          </w:r>
          <w:r>
            <w:rPr>
              <w:b/>
              <w:color w:val="auto"/>
              <w:highlight w:val="none"/>
            </w:rPr>
            <w:fldChar w:fldCharType="begin"/>
          </w:r>
          <w:r>
            <w:rPr>
              <w:b/>
              <w:color w:val="auto"/>
              <w:highlight w:val="none"/>
            </w:rPr>
            <w:instrText xml:space="preserve"> PAGEREF _Toc8643 \h </w:instrText>
          </w:r>
          <w:r>
            <w:rPr>
              <w:b/>
              <w:color w:val="auto"/>
              <w:highlight w:val="none"/>
            </w:rPr>
            <w:fldChar w:fldCharType="separate"/>
          </w:r>
          <w:r>
            <w:rPr>
              <w:b/>
              <w:color w:val="auto"/>
              <w:highlight w:val="none"/>
            </w:rPr>
            <w:t>13</w:t>
          </w:r>
          <w:r>
            <w:rPr>
              <w:b/>
              <w:color w:val="auto"/>
              <w:highlight w:val="none"/>
            </w:rPr>
            <w:fldChar w:fldCharType="end"/>
          </w:r>
          <w:r>
            <w:rPr>
              <w:b/>
              <w:color w:val="auto"/>
              <w:highlight w:val="none"/>
            </w:rPr>
            <w:fldChar w:fldCharType="end"/>
          </w:r>
        </w:p>
        <w:p>
          <w:pPr>
            <w:pStyle w:val="31"/>
            <w:shd w:val="clear"/>
            <w:tabs>
              <w:tab w:val="right" w:leader="dot" w:pos="8306"/>
            </w:tabs>
            <w:rPr>
              <w:b/>
              <w:color w:val="auto"/>
              <w:highlight w:val="none"/>
            </w:rPr>
          </w:pPr>
          <w:r>
            <w:rPr>
              <w:b/>
              <w:color w:val="auto"/>
              <w:highlight w:val="none"/>
            </w:rPr>
            <w:fldChar w:fldCharType="begin"/>
          </w:r>
          <w:r>
            <w:rPr>
              <w:b/>
              <w:color w:val="auto"/>
              <w:highlight w:val="none"/>
            </w:rPr>
            <w:instrText xml:space="preserve"> HYPERLINK \l _Toc15637 </w:instrText>
          </w:r>
          <w:r>
            <w:rPr>
              <w:b/>
              <w:color w:val="auto"/>
              <w:highlight w:val="none"/>
            </w:rPr>
            <w:fldChar w:fldCharType="separate"/>
          </w:r>
          <w:r>
            <w:rPr>
              <w:rFonts w:hint="eastAsia" w:ascii="黑体" w:hAnsi="黑体" w:eastAsia="黑体"/>
              <w:b/>
              <w:color w:val="auto"/>
              <w:szCs w:val="44"/>
              <w:highlight w:val="none"/>
            </w:rPr>
            <w:t>第</w:t>
          </w:r>
          <w:r>
            <w:rPr>
              <w:rFonts w:hint="eastAsia" w:ascii="黑体" w:hAnsi="黑体" w:eastAsia="黑体"/>
              <w:b/>
              <w:color w:val="auto"/>
              <w:highlight w:val="none"/>
            </w:rPr>
            <w:t>五部分 附表</w:t>
          </w:r>
          <w:r>
            <w:rPr>
              <w:b/>
              <w:color w:val="auto"/>
              <w:highlight w:val="none"/>
            </w:rPr>
            <w:tab/>
          </w:r>
          <w:r>
            <w:rPr>
              <w:b/>
              <w:color w:val="auto"/>
              <w:highlight w:val="none"/>
            </w:rPr>
            <w:fldChar w:fldCharType="begin"/>
          </w:r>
          <w:r>
            <w:rPr>
              <w:b/>
              <w:color w:val="auto"/>
              <w:highlight w:val="none"/>
            </w:rPr>
            <w:instrText xml:space="preserve"> PAGEREF _Toc15637 \h </w:instrText>
          </w:r>
          <w:r>
            <w:rPr>
              <w:b/>
              <w:color w:val="auto"/>
              <w:highlight w:val="none"/>
            </w:rPr>
            <w:fldChar w:fldCharType="separate"/>
          </w:r>
          <w:r>
            <w:rPr>
              <w:b/>
              <w:color w:val="auto"/>
              <w:highlight w:val="none"/>
            </w:rPr>
            <w:t>14</w:t>
          </w:r>
          <w:r>
            <w:rPr>
              <w:b/>
              <w:color w:val="auto"/>
              <w:highlight w:val="none"/>
            </w:rPr>
            <w:fldChar w:fldCharType="end"/>
          </w:r>
          <w:r>
            <w:rPr>
              <w:b/>
              <w:color w:val="auto"/>
              <w:highlight w:val="none"/>
            </w:rPr>
            <w:fldChar w:fldCharType="end"/>
          </w:r>
        </w:p>
        <w:p>
          <w:pPr>
            <w:pStyle w:val="32"/>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_Toc16803 </w:instrText>
          </w:r>
          <w:r>
            <w:rPr>
              <w:color w:val="auto"/>
              <w:highlight w:val="none"/>
            </w:rPr>
            <w:fldChar w:fldCharType="separate"/>
          </w:r>
          <w:r>
            <w:rPr>
              <w:rFonts w:hint="eastAsia" w:ascii="仿宋_GB2312" w:hAnsi="仿宋_GB2312" w:eastAsia="仿宋_GB2312" w:cs="仿宋_GB2312"/>
              <w:bCs w:val="0"/>
              <w:color w:val="auto"/>
              <w:szCs w:val="32"/>
              <w:highlight w:val="none"/>
            </w:rPr>
            <w:t>一、收入支出决算总表</w:t>
          </w:r>
          <w:r>
            <w:rPr>
              <w:color w:val="auto"/>
              <w:highlight w:val="none"/>
            </w:rPr>
            <w:tab/>
          </w:r>
          <w:r>
            <w:rPr>
              <w:color w:val="auto"/>
              <w:highlight w:val="none"/>
            </w:rPr>
            <w:fldChar w:fldCharType="begin"/>
          </w:r>
          <w:r>
            <w:rPr>
              <w:color w:val="auto"/>
              <w:highlight w:val="none"/>
            </w:rPr>
            <w:instrText xml:space="preserve"> PAGEREF _Toc16803 \h </w:instrText>
          </w:r>
          <w:r>
            <w:rPr>
              <w:color w:val="auto"/>
              <w:highlight w:val="none"/>
            </w:rPr>
            <w:fldChar w:fldCharType="separate"/>
          </w:r>
          <w:r>
            <w:rPr>
              <w:color w:val="auto"/>
              <w:highlight w:val="none"/>
            </w:rPr>
            <w:t>14</w:t>
          </w:r>
          <w:r>
            <w:rPr>
              <w:color w:val="auto"/>
              <w:highlight w:val="none"/>
            </w:rPr>
            <w:fldChar w:fldCharType="end"/>
          </w:r>
          <w:r>
            <w:rPr>
              <w:color w:val="auto"/>
              <w:highlight w:val="none"/>
            </w:rPr>
            <w:fldChar w:fldCharType="end"/>
          </w:r>
        </w:p>
        <w:p>
          <w:pPr>
            <w:pStyle w:val="32"/>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_Toc30473 </w:instrText>
          </w:r>
          <w:r>
            <w:rPr>
              <w:color w:val="auto"/>
              <w:highlight w:val="none"/>
            </w:rPr>
            <w:fldChar w:fldCharType="separate"/>
          </w:r>
          <w:r>
            <w:rPr>
              <w:rFonts w:hint="eastAsia" w:ascii="仿宋_GB2312" w:hAnsi="仿宋_GB2312" w:eastAsia="仿宋_GB2312" w:cs="仿宋_GB2312"/>
              <w:bCs w:val="0"/>
              <w:color w:val="auto"/>
              <w:szCs w:val="32"/>
              <w:highlight w:val="none"/>
            </w:rPr>
            <w:t>二、收入决算表</w:t>
          </w:r>
          <w:r>
            <w:rPr>
              <w:color w:val="auto"/>
              <w:highlight w:val="none"/>
            </w:rPr>
            <w:tab/>
          </w:r>
          <w:r>
            <w:rPr>
              <w:color w:val="auto"/>
              <w:highlight w:val="none"/>
            </w:rPr>
            <w:fldChar w:fldCharType="begin"/>
          </w:r>
          <w:r>
            <w:rPr>
              <w:color w:val="auto"/>
              <w:highlight w:val="none"/>
            </w:rPr>
            <w:instrText xml:space="preserve"> PAGEREF _Toc30473 \h </w:instrText>
          </w:r>
          <w:r>
            <w:rPr>
              <w:color w:val="auto"/>
              <w:highlight w:val="none"/>
            </w:rPr>
            <w:fldChar w:fldCharType="separate"/>
          </w:r>
          <w:r>
            <w:rPr>
              <w:color w:val="auto"/>
              <w:highlight w:val="none"/>
            </w:rPr>
            <w:t>14</w:t>
          </w:r>
          <w:r>
            <w:rPr>
              <w:color w:val="auto"/>
              <w:highlight w:val="none"/>
            </w:rPr>
            <w:fldChar w:fldCharType="end"/>
          </w:r>
          <w:r>
            <w:rPr>
              <w:color w:val="auto"/>
              <w:highlight w:val="none"/>
            </w:rPr>
            <w:fldChar w:fldCharType="end"/>
          </w:r>
        </w:p>
        <w:p>
          <w:pPr>
            <w:pStyle w:val="32"/>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_Toc6545 </w:instrText>
          </w:r>
          <w:r>
            <w:rPr>
              <w:color w:val="auto"/>
              <w:highlight w:val="none"/>
            </w:rPr>
            <w:fldChar w:fldCharType="separate"/>
          </w:r>
          <w:r>
            <w:rPr>
              <w:rFonts w:hint="eastAsia" w:ascii="仿宋_GB2312" w:hAnsi="仿宋_GB2312" w:eastAsia="仿宋_GB2312" w:cs="仿宋_GB2312"/>
              <w:bCs w:val="0"/>
              <w:color w:val="auto"/>
              <w:szCs w:val="32"/>
              <w:highlight w:val="none"/>
            </w:rPr>
            <w:t>三、支出决算表</w:t>
          </w:r>
          <w:r>
            <w:rPr>
              <w:color w:val="auto"/>
              <w:highlight w:val="none"/>
            </w:rPr>
            <w:tab/>
          </w:r>
          <w:r>
            <w:rPr>
              <w:color w:val="auto"/>
              <w:highlight w:val="none"/>
            </w:rPr>
            <w:fldChar w:fldCharType="begin"/>
          </w:r>
          <w:r>
            <w:rPr>
              <w:color w:val="auto"/>
              <w:highlight w:val="none"/>
            </w:rPr>
            <w:instrText xml:space="preserve"> PAGEREF _Toc6545 \h </w:instrText>
          </w:r>
          <w:r>
            <w:rPr>
              <w:color w:val="auto"/>
              <w:highlight w:val="none"/>
            </w:rPr>
            <w:fldChar w:fldCharType="separate"/>
          </w:r>
          <w:r>
            <w:rPr>
              <w:color w:val="auto"/>
              <w:highlight w:val="none"/>
            </w:rPr>
            <w:t>14</w:t>
          </w:r>
          <w:r>
            <w:rPr>
              <w:color w:val="auto"/>
              <w:highlight w:val="none"/>
            </w:rPr>
            <w:fldChar w:fldCharType="end"/>
          </w:r>
          <w:r>
            <w:rPr>
              <w:color w:val="auto"/>
              <w:highlight w:val="none"/>
            </w:rPr>
            <w:fldChar w:fldCharType="end"/>
          </w:r>
        </w:p>
        <w:p>
          <w:pPr>
            <w:pStyle w:val="32"/>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_Toc1534 </w:instrText>
          </w:r>
          <w:r>
            <w:rPr>
              <w:color w:val="auto"/>
              <w:highlight w:val="none"/>
            </w:rPr>
            <w:fldChar w:fldCharType="separate"/>
          </w:r>
          <w:r>
            <w:rPr>
              <w:rFonts w:hint="eastAsia" w:ascii="仿宋_GB2312" w:hAnsi="仿宋_GB2312" w:eastAsia="仿宋_GB2312" w:cs="仿宋_GB2312"/>
              <w:bCs w:val="0"/>
              <w:color w:val="auto"/>
              <w:szCs w:val="32"/>
              <w:highlight w:val="none"/>
            </w:rPr>
            <w:t>四、财政拨款收入支出决算总表</w:t>
          </w:r>
          <w:r>
            <w:rPr>
              <w:color w:val="auto"/>
              <w:highlight w:val="none"/>
            </w:rPr>
            <w:tab/>
          </w:r>
          <w:r>
            <w:rPr>
              <w:color w:val="auto"/>
              <w:highlight w:val="none"/>
            </w:rPr>
            <w:fldChar w:fldCharType="begin"/>
          </w:r>
          <w:r>
            <w:rPr>
              <w:color w:val="auto"/>
              <w:highlight w:val="none"/>
            </w:rPr>
            <w:instrText xml:space="preserve"> PAGEREF _Toc1534 \h </w:instrText>
          </w:r>
          <w:r>
            <w:rPr>
              <w:color w:val="auto"/>
              <w:highlight w:val="none"/>
            </w:rPr>
            <w:fldChar w:fldCharType="separate"/>
          </w:r>
          <w:r>
            <w:rPr>
              <w:color w:val="auto"/>
              <w:highlight w:val="none"/>
            </w:rPr>
            <w:t>14</w:t>
          </w:r>
          <w:r>
            <w:rPr>
              <w:color w:val="auto"/>
              <w:highlight w:val="none"/>
            </w:rPr>
            <w:fldChar w:fldCharType="end"/>
          </w:r>
          <w:r>
            <w:rPr>
              <w:color w:val="auto"/>
              <w:highlight w:val="none"/>
            </w:rPr>
            <w:fldChar w:fldCharType="end"/>
          </w:r>
        </w:p>
        <w:p>
          <w:pPr>
            <w:pStyle w:val="32"/>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_Toc12314 </w:instrText>
          </w:r>
          <w:r>
            <w:rPr>
              <w:color w:val="auto"/>
              <w:highlight w:val="none"/>
            </w:rPr>
            <w:fldChar w:fldCharType="separate"/>
          </w:r>
          <w:r>
            <w:rPr>
              <w:rFonts w:hint="eastAsia" w:ascii="仿宋_GB2312" w:hAnsi="仿宋_GB2312" w:eastAsia="仿宋_GB2312" w:cs="仿宋_GB2312"/>
              <w:bCs w:val="0"/>
              <w:color w:val="auto"/>
              <w:szCs w:val="32"/>
              <w:highlight w:val="none"/>
            </w:rPr>
            <w:t>五、财政拨款支出决算明细表</w:t>
          </w:r>
          <w:r>
            <w:rPr>
              <w:color w:val="auto"/>
              <w:highlight w:val="none"/>
            </w:rPr>
            <w:tab/>
          </w:r>
          <w:r>
            <w:rPr>
              <w:color w:val="auto"/>
              <w:highlight w:val="none"/>
            </w:rPr>
            <w:fldChar w:fldCharType="begin"/>
          </w:r>
          <w:r>
            <w:rPr>
              <w:color w:val="auto"/>
              <w:highlight w:val="none"/>
            </w:rPr>
            <w:instrText xml:space="preserve"> PAGEREF _Toc12314 \h </w:instrText>
          </w:r>
          <w:r>
            <w:rPr>
              <w:color w:val="auto"/>
              <w:highlight w:val="none"/>
            </w:rPr>
            <w:fldChar w:fldCharType="separate"/>
          </w:r>
          <w:r>
            <w:rPr>
              <w:color w:val="auto"/>
              <w:highlight w:val="none"/>
            </w:rPr>
            <w:t>14</w:t>
          </w:r>
          <w:r>
            <w:rPr>
              <w:color w:val="auto"/>
              <w:highlight w:val="none"/>
            </w:rPr>
            <w:fldChar w:fldCharType="end"/>
          </w:r>
          <w:r>
            <w:rPr>
              <w:color w:val="auto"/>
              <w:highlight w:val="none"/>
            </w:rPr>
            <w:fldChar w:fldCharType="end"/>
          </w:r>
        </w:p>
        <w:p>
          <w:pPr>
            <w:pStyle w:val="32"/>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_Toc24908 </w:instrText>
          </w:r>
          <w:r>
            <w:rPr>
              <w:color w:val="auto"/>
              <w:highlight w:val="none"/>
            </w:rPr>
            <w:fldChar w:fldCharType="separate"/>
          </w:r>
          <w:r>
            <w:rPr>
              <w:rFonts w:hint="eastAsia" w:ascii="仿宋_GB2312" w:hAnsi="仿宋_GB2312" w:eastAsia="仿宋_GB2312" w:cs="仿宋_GB2312"/>
              <w:bCs w:val="0"/>
              <w:color w:val="auto"/>
              <w:szCs w:val="32"/>
              <w:highlight w:val="none"/>
            </w:rPr>
            <w:t>六、一般公共预算财政拨款支出决算表</w:t>
          </w:r>
          <w:r>
            <w:rPr>
              <w:color w:val="auto"/>
              <w:highlight w:val="none"/>
            </w:rPr>
            <w:tab/>
          </w:r>
          <w:r>
            <w:rPr>
              <w:color w:val="auto"/>
              <w:highlight w:val="none"/>
            </w:rPr>
            <w:fldChar w:fldCharType="begin"/>
          </w:r>
          <w:r>
            <w:rPr>
              <w:color w:val="auto"/>
              <w:highlight w:val="none"/>
            </w:rPr>
            <w:instrText xml:space="preserve"> PAGEREF _Toc24908 \h </w:instrText>
          </w:r>
          <w:r>
            <w:rPr>
              <w:color w:val="auto"/>
              <w:highlight w:val="none"/>
            </w:rPr>
            <w:fldChar w:fldCharType="separate"/>
          </w:r>
          <w:r>
            <w:rPr>
              <w:color w:val="auto"/>
              <w:highlight w:val="none"/>
            </w:rPr>
            <w:t>14</w:t>
          </w:r>
          <w:r>
            <w:rPr>
              <w:color w:val="auto"/>
              <w:highlight w:val="none"/>
            </w:rPr>
            <w:fldChar w:fldCharType="end"/>
          </w:r>
          <w:r>
            <w:rPr>
              <w:color w:val="auto"/>
              <w:highlight w:val="none"/>
            </w:rPr>
            <w:fldChar w:fldCharType="end"/>
          </w:r>
        </w:p>
        <w:p>
          <w:pPr>
            <w:pStyle w:val="32"/>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_Toc1560 </w:instrText>
          </w:r>
          <w:r>
            <w:rPr>
              <w:color w:val="auto"/>
              <w:highlight w:val="none"/>
            </w:rPr>
            <w:fldChar w:fldCharType="separate"/>
          </w:r>
          <w:r>
            <w:rPr>
              <w:rFonts w:hint="eastAsia" w:ascii="仿宋_GB2312" w:hAnsi="仿宋_GB2312" w:eastAsia="仿宋_GB2312" w:cs="仿宋_GB2312"/>
              <w:bCs w:val="0"/>
              <w:color w:val="auto"/>
              <w:szCs w:val="32"/>
              <w:highlight w:val="none"/>
            </w:rPr>
            <w:t>七、一般公共预算财政拨款支出决算明细表</w:t>
          </w:r>
          <w:r>
            <w:rPr>
              <w:color w:val="auto"/>
              <w:highlight w:val="none"/>
            </w:rPr>
            <w:tab/>
          </w:r>
          <w:r>
            <w:rPr>
              <w:color w:val="auto"/>
              <w:highlight w:val="none"/>
            </w:rPr>
            <w:fldChar w:fldCharType="begin"/>
          </w:r>
          <w:r>
            <w:rPr>
              <w:color w:val="auto"/>
              <w:highlight w:val="none"/>
            </w:rPr>
            <w:instrText xml:space="preserve"> PAGEREF _Toc1560 \h </w:instrText>
          </w:r>
          <w:r>
            <w:rPr>
              <w:color w:val="auto"/>
              <w:highlight w:val="none"/>
            </w:rPr>
            <w:fldChar w:fldCharType="separate"/>
          </w:r>
          <w:r>
            <w:rPr>
              <w:color w:val="auto"/>
              <w:highlight w:val="none"/>
            </w:rPr>
            <w:t>14</w:t>
          </w:r>
          <w:r>
            <w:rPr>
              <w:color w:val="auto"/>
              <w:highlight w:val="none"/>
            </w:rPr>
            <w:fldChar w:fldCharType="end"/>
          </w:r>
          <w:r>
            <w:rPr>
              <w:color w:val="auto"/>
              <w:highlight w:val="none"/>
            </w:rPr>
            <w:fldChar w:fldCharType="end"/>
          </w:r>
        </w:p>
        <w:p>
          <w:pPr>
            <w:pStyle w:val="32"/>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_Toc22976 </w:instrText>
          </w:r>
          <w:r>
            <w:rPr>
              <w:color w:val="auto"/>
              <w:highlight w:val="none"/>
            </w:rPr>
            <w:fldChar w:fldCharType="separate"/>
          </w:r>
          <w:r>
            <w:rPr>
              <w:rFonts w:hint="eastAsia" w:ascii="仿宋_GB2312" w:hAnsi="仿宋_GB2312" w:eastAsia="仿宋_GB2312" w:cs="仿宋_GB2312"/>
              <w:bCs w:val="0"/>
              <w:color w:val="auto"/>
              <w:szCs w:val="32"/>
              <w:highlight w:val="none"/>
            </w:rPr>
            <w:t>八、一般公共预算财政拨款基本支出决算表</w:t>
          </w:r>
          <w:r>
            <w:rPr>
              <w:color w:val="auto"/>
              <w:highlight w:val="none"/>
            </w:rPr>
            <w:tab/>
          </w:r>
          <w:r>
            <w:rPr>
              <w:color w:val="auto"/>
              <w:highlight w:val="none"/>
            </w:rPr>
            <w:fldChar w:fldCharType="begin"/>
          </w:r>
          <w:r>
            <w:rPr>
              <w:color w:val="auto"/>
              <w:highlight w:val="none"/>
            </w:rPr>
            <w:instrText xml:space="preserve"> PAGEREF _Toc22976 \h </w:instrText>
          </w:r>
          <w:r>
            <w:rPr>
              <w:color w:val="auto"/>
              <w:highlight w:val="none"/>
            </w:rPr>
            <w:fldChar w:fldCharType="separate"/>
          </w:r>
          <w:r>
            <w:rPr>
              <w:color w:val="auto"/>
              <w:highlight w:val="none"/>
            </w:rPr>
            <w:t>14</w:t>
          </w:r>
          <w:r>
            <w:rPr>
              <w:color w:val="auto"/>
              <w:highlight w:val="none"/>
            </w:rPr>
            <w:fldChar w:fldCharType="end"/>
          </w:r>
          <w:r>
            <w:rPr>
              <w:color w:val="auto"/>
              <w:highlight w:val="none"/>
            </w:rPr>
            <w:fldChar w:fldCharType="end"/>
          </w:r>
        </w:p>
        <w:p>
          <w:pPr>
            <w:pStyle w:val="32"/>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_Toc5904 </w:instrText>
          </w:r>
          <w:r>
            <w:rPr>
              <w:color w:val="auto"/>
              <w:highlight w:val="none"/>
            </w:rPr>
            <w:fldChar w:fldCharType="separate"/>
          </w:r>
          <w:r>
            <w:rPr>
              <w:rFonts w:hint="eastAsia" w:ascii="仿宋_GB2312" w:hAnsi="仿宋_GB2312" w:eastAsia="仿宋_GB2312" w:cs="仿宋_GB2312"/>
              <w:bCs w:val="0"/>
              <w:color w:val="auto"/>
              <w:szCs w:val="32"/>
              <w:highlight w:val="none"/>
            </w:rPr>
            <w:t>九、一般公共预算财政拨款项目支出决算表</w:t>
          </w:r>
          <w:r>
            <w:rPr>
              <w:color w:val="auto"/>
              <w:highlight w:val="none"/>
            </w:rPr>
            <w:tab/>
          </w:r>
          <w:r>
            <w:rPr>
              <w:color w:val="auto"/>
              <w:highlight w:val="none"/>
            </w:rPr>
            <w:fldChar w:fldCharType="begin"/>
          </w:r>
          <w:r>
            <w:rPr>
              <w:color w:val="auto"/>
              <w:highlight w:val="none"/>
            </w:rPr>
            <w:instrText xml:space="preserve"> PAGEREF _Toc5904 \h </w:instrText>
          </w:r>
          <w:r>
            <w:rPr>
              <w:color w:val="auto"/>
              <w:highlight w:val="none"/>
            </w:rPr>
            <w:fldChar w:fldCharType="separate"/>
          </w:r>
          <w:r>
            <w:rPr>
              <w:color w:val="auto"/>
              <w:highlight w:val="none"/>
            </w:rPr>
            <w:t>14</w:t>
          </w:r>
          <w:r>
            <w:rPr>
              <w:color w:val="auto"/>
              <w:highlight w:val="none"/>
            </w:rPr>
            <w:fldChar w:fldCharType="end"/>
          </w:r>
          <w:r>
            <w:rPr>
              <w:color w:val="auto"/>
              <w:highlight w:val="none"/>
            </w:rPr>
            <w:fldChar w:fldCharType="end"/>
          </w:r>
        </w:p>
        <w:p>
          <w:pPr>
            <w:pStyle w:val="32"/>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_Toc31478 </w:instrText>
          </w:r>
          <w:r>
            <w:rPr>
              <w:color w:val="auto"/>
              <w:highlight w:val="none"/>
            </w:rPr>
            <w:fldChar w:fldCharType="separate"/>
          </w:r>
          <w:r>
            <w:rPr>
              <w:rFonts w:hint="eastAsia" w:ascii="仿宋_GB2312" w:hAnsi="仿宋_GB2312" w:eastAsia="仿宋_GB2312" w:cs="仿宋_GB2312"/>
              <w:bCs w:val="0"/>
              <w:color w:val="auto"/>
              <w:szCs w:val="32"/>
              <w:highlight w:val="none"/>
            </w:rPr>
            <w:t>十、政府性基金预算财政拨款收入支出决算表</w:t>
          </w:r>
          <w:r>
            <w:rPr>
              <w:color w:val="auto"/>
              <w:highlight w:val="none"/>
            </w:rPr>
            <w:tab/>
          </w:r>
          <w:r>
            <w:rPr>
              <w:color w:val="auto"/>
              <w:highlight w:val="none"/>
            </w:rPr>
            <w:fldChar w:fldCharType="begin"/>
          </w:r>
          <w:r>
            <w:rPr>
              <w:color w:val="auto"/>
              <w:highlight w:val="none"/>
            </w:rPr>
            <w:instrText xml:space="preserve"> PAGEREF _Toc31478 \h </w:instrText>
          </w:r>
          <w:r>
            <w:rPr>
              <w:color w:val="auto"/>
              <w:highlight w:val="none"/>
            </w:rPr>
            <w:fldChar w:fldCharType="separate"/>
          </w:r>
          <w:r>
            <w:rPr>
              <w:color w:val="auto"/>
              <w:highlight w:val="none"/>
            </w:rPr>
            <w:t>14</w:t>
          </w:r>
          <w:r>
            <w:rPr>
              <w:color w:val="auto"/>
              <w:highlight w:val="none"/>
            </w:rPr>
            <w:fldChar w:fldCharType="end"/>
          </w:r>
          <w:r>
            <w:rPr>
              <w:color w:val="auto"/>
              <w:highlight w:val="none"/>
            </w:rPr>
            <w:fldChar w:fldCharType="end"/>
          </w:r>
        </w:p>
        <w:p>
          <w:pPr>
            <w:pStyle w:val="32"/>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_Toc28087 </w:instrText>
          </w:r>
          <w:r>
            <w:rPr>
              <w:color w:val="auto"/>
              <w:highlight w:val="none"/>
            </w:rPr>
            <w:fldChar w:fldCharType="separate"/>
          </w:r>
          <w:r>
            <w:rPr>
              <w:rFonts w:hint="eastAsia" w:ascii="仿宋_GB2312" w:hAnsi="仿宋_GB2312" w:eastAsia="仿宋_GB2312" w:cs="仿宋_GB2312"/>
              <w:bCs w:val="0"/>
              <w:color w:val="auto"/>
              <w:szCs w:val="32"/>
              <w:highlight w:val="none"/>
            </w:rPr>
            <w:t>十一、国有资本经营预算</w:t>
          </w:r>
          <w:r>
            <w:rPr>
              <w:rFonts w:hint="eastAsia" w:ascii="仿宋_GB2312" w:hAnsi="仿宋_GB2312" w:eastAsia="仿宋_GB2312" w:cs="仿宋_GB2312"/>
              <w:bCs w:val="0"/>
              <w:color w:val="auto"/>
              <w:szCs w:val="32"/>
              <w:highlight w:val="none"/>
              <w:lang w:eastAsia="zh-CN"/>
            </w:rPr>
            <w:t>财政拨款收入</w:t>
          </w:r>
          <w:r>
            <w:rPr>
              <w:rFonts w:hint="eastAsia" w:ascii="仿宋_GB2312" w:hAnsi="仿宋_GB2312" w:eastAsia="仿宋_GB2312" w:cs="仿宋_GB2312"/>
              <w:bCs w:val="0"/>
              <w:color w:val="auto"/>
              <w:szCs w:val="32"/>
              <w:highlight w:val="none"/>
            </w:rPr>
            <w:t>支出决算表</w:t>
          </w:r>
          <w:r>
            <w:rPr>
              <w:color w:val="auto"/>
              <w:highlight w:val="none"/>
            </w:rPr>
            <w:tab/>
          </w:r>
          <w:r>
            <w:rPr>
              <w:color w:val="auto"/>
              <w:highlight w:val="none"/>
            </w:rPr>
            <w:fldChar w:fldCharType="begin"/>
          </w:r>
          <w:r>
            <w:rPr>
              <w:color w:val="auto"/>
              <w:highlight w:val="none"/>
            </w:rPr>
            <w:instrText xml:space="preserve"> PAGEREF _Toc28087 \h </w:instrText>
          </w:r>
          <w:r>
            <w:rPr>
              <w:color w:val="auto"/>
              <w:highlight w:val="none"/>
            </w:rPr>
            <w:fldChar w:fldCharType="separate"/>
          </w:r>
          <w:r>
            <w:rPr>
              <w:color w:val="auto"/>
              <w:highlight w:val="none"/>
            </w:rPr>
            <w:t>14</w:t>
          </w:r>
          <w:r>
            <w:rPr>
              <w:color w:val="auto"/>
              <w:highlight w:val="none"/>
            </w:rPr>
            <w:fldChar w:fldCharType="end"/>
          </w:r>
          <w:r>
            <w:rPr>
              <w:color w:val="auto"/>
              <w:highlight w:val="none"/>
            </w:rPr>
            <w:fldChar w:fldCharType="end"/>
          </w:r>
        </w:p>
        <w:p>
          <w:pPr>
            <w:pStyle w:val="32"/>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_Toc9286 </w:instrText>
          </w:r>
          <w:r>
            <w:rPr>
              <w:color w:val="auto"/>
              <w:highlight w:val="none"/>
            </w:rPr>
            <w:fldChar w:fldCharType="separate"/>
          </w:r>
          <w:r>
            <w:rPr>
              <w:rFonts w:hint="eastAsia" w:ascii="仿宋_GB2312" w:hAnsi="仿宋_GB2312" w:eastAsia="仿宋_GB2312" w:cs="仿宋_GB2312"/>
              <w:bCs w:val="0"/>
              <w:color w:val="auto"/>
              <w:szCs w:val="32"/>
              <w:highlight w:val="none"/>
            </w:rPr>
            <w:t>十二、</w:t>
          </w:r>
          <w:r>
            <w:rPr>
              <w:rFonts w:hint="eastAsia" w:ascii="仿宋_GB2312" w:hAnsi="仿宋_GB2312" w:eastAsia="仿宋_GB2312" w:cs="仿宋_GB2312"/>
              <w:bCs w:val="0"/>
              <w:color w:val="auto"/>
              <w:szCs w:val="32"/>
              <w:highlight w:val="none"/>
              <w:lang w:eastAsia="zh-CN"/>
            </w:rPr>
            <w:t>国有资本经营预算财政拨款支出决算表</w:t>
          </w:r>
          <w:r>
            <w:rPr>
              <w:color w:val="auto"/>
              <w:highlight w:val="none"/>
            </w:rPr>
            <w:tab/>
          </w:r>
          <w:r>
            <w:rPr>
              <w:color w:val="auto"/>
              <w:highlight w:val="none"/>
            </w:rPr>
            <w:fldChar w:fldCharType="begin"/>
          </w:r>
          <w:r>
            <w:rPr>
              <w:color w:val="auto"/>
              <w:highlight w:val="none"/>
            </w:rPr>
            <w:instrText xml:space="preserve"> PAGEREF _Toc9286 \h </w:instrText>
          </w:r>
          <w:r>
            <w:rPr>
              <w:color w:val="auto"/>
              <w:highlight w:val="none"/>
            </w:rPr>
            <w:fldChar w:fldCharType="separate"/>
          </w:r>
          <w:r>
            <w:rPr>
              <w:color w:val="auto"/>
              <w:highlight w:val="none"/>
            </w:rPr>
            <w:t>14</w:t>
          </w:r>
          <w:r>
            <w:rPr>
              <w:color w:val="auto"/>
              <w:highlight w:val="none"/>
            </w:rPr>
            <w:fldChar w:fldCharType="end"/>
          </w:r>
          <w:r>
            <w:rPr>
              <w:color w:val="auto"/>
              <w:highlight w:val="none"/>
            </w:rPr>
            <w:fldChar w:fldCharType="end"/>
          </w:r>
        </w:p>
        <w:p>
          <w:pPr>
            <w:pStyle w:val="32"/>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_Toc21909 </w:instrText>
          </w:r>
          <w:r>
            <w:rPr>
              <w:color w:val="auto"/>
              <w:highlight w:val="none"/>
            </w:rPr>
            <w:fldChar w:fldCharType="separate"/>
          </w:r>
          <w:r>
            <w:rPr>
              <w:rFonts w:hint="eastAsia" w:ascii="仿宋_GB2312" w:hAnsi="仿宋_GB2312" w:eastAsia="仿宋_GB2312" w:cs="仿宋_GB2312"/>
              <w:bCs w:val="0"/>
              <w:color w:val="auto"/>
              <w:szCs w:val="32"/>
              <w:highlight w:val="none"/>
            </w:rPr>
            <w:t>十三、</w:t>
          </w:r>
          <w:r>
            <w:rPr>
              <w:rFonts w:hint="eastAsia" w:ascii="仿宋_GB2312" w:hAnsi="仿宋_GB2312" w:eastAsia="仿宋_GB2312" w:cs="仿宋_GB2312"/>
              <w:bCs w:val="0"/>
              <w:color w:val="auto"/>
              <w:szCs w:val="32"/>
              <w:highlight w:val="none"/>
              <w:lang w:eastAsia="zh-CN"/>
            </w:rPr>
            <w:t>财政拨款“三公”经费支出决算表</w:t>
          </w:r>
          <w:r>
            <w:rPr>
              <w:color w:val="auto"/>
              <w:highlight w:val="none"/>
            </w:rPr>
            <w:tab/>
          </w:r>
          <w:r>
            <w:rPr>
              <w:color w:val="auto"/>
              <w:highlight w:val="none"/>
            </w:rPr>
            <w:fldChar w:fldCharType="begin"/>
          </w:r>
          <w:r>
            <w:rPr>
              <w:color w:val="auto"/>
              <w:highlight w:val="none"/>
            </w:rPr>
            <w:instrText xml:space="preserve"> PAGEREF _Toc21909 \h </w:instrText>
          </w:r>
          <w:r>
            <w:rPr>
              <w:color w:val="auto"/>
              <w:highlight w:val="none"/>
            </w:rPr>
            <w:fldChar w:fldCharType="separate"/>
          </w:r>
          <w:r>
            <w:rPr>
              <w:color w:val="auto"/>
              <w:highlight w:val="none"/>
            </w:rPr>
            <w:t>14</w:t>
          </w:r>
          <w:r>
            <w:rPr>
              <w:color w:val="auto"/>
              <w:highlight w:val="none"/>
            </w:rPr>
            <w:fldChar w:fldCharType="end"/>
          </w:r>
          <w:r>
            <w:rPr>
              <w:color w:val="auto"/>
              <w:highlight w:val="none"/>
            </w:rPr>
            <w:fldChar w:fldCharType="end"/>
          </w:r>
        </w:p>
        <w:p>
          <w:pPr>
            <w:keepNext w:val="0"/>
            <w:keepLines w:val="0"/>
            <w:pageBreakBefore w:val="0"/>
            <w:widowControl w:val="0"/>
            <w:shd w:val="clear"/>
            <w:kinsoku/>
            <w:wordWrap/>
            <w:overflowPunct/>
            <w:topLinePunct w:val="0"/>
            <w:autoSpaceDE/>
            <w:autoSpaceDN/>
            <w:bidi w:val="0"/>
            <w:spacing w:line="380" w:lineRule="exact"/>
            <w:textAlignment w:val="auto"/>
            <w:rPr>
              <w:color w:val="auto"/>
              <w:highlight w:val="none"/>
            </w:rPr>
          </w:pPr>
          <w:r>
            <w:rPr>
              <w:b/>
              <w:color w:val="auto"/>
              <w:highlight w:val="none"/>
            </w:rPr>
            <w:fldChar w:fldCharType="end"/>
          </w:r>
        </w:p>
      </w:sdtContent>
    </w:sdt>
    <w:p>
      <w:pPr>
        <w:pStyle w:val="3"/>
        <w:shd w:val="clear"/>
        <w:jc w:val="center"/>
        <w:rPr>
          <w:rFonts w:hint="eastAsia" w:ascii="黑体" w:hAnsi="黑体" w:eastAsia="黑体"/>
          <w:b w:val="0"/>
          <w:color w:val="auto"/>
          <w:highlight w:val="none"/>
        </w:rPr>
        <w:sectPr>
          <w:footerReference r:id="rId5" w:type="default"/>
          <w:pgSz w:w="11906" w:h="16838"/>
          <w:pgMar w:top="1440" w:right="1800" w:bottom="1440" w:left="1800" w:header="851" w:footer="992" w:gutter="0"/>
          <w:pgNumType w:fmt="numberInDash" w:start="1"/>
          <w:cols w:space="425" w:num="1"/>
          <w:docGrid w:type="lines" w:linePitch="312" w:charSpace="0"/>
        </w:sectPr>
      </w:pPr>
      <w:bookmarkStart w:id="15" w:name="_Toc31854"/>
      <w:bookmarkStart w:id="16" w:name="_Toc15396599"/>
      <w:bookmarkStart w:id="17" w:name="_Toc15377196"/>
    </w:p>
    <w:p>
      <w:pPr>
        <w:pStyle w:val="3"/>
        <w:shd w:val="clear"/>
        <w:jc w:val="center"/>
        <w:rPr>
          <w:rStyle w:val="17"/>
          <w:rFonts w:ascii="黑体" w:hAnsi="黑体" w:eastAsia="黑体"/>
          <w:b/>
          <w:bCs w:val="0"/>
          <w:color w:val="auto"/>
          <w:highlight w:val="none"/>
        </w:rPr>
      </w:pPr>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17"/>
          <w:rFonts w:hint="eastAsia" w:ascii="黑体" w:hAnsi="黑体" w:eastAsia="黑体"/>
          <w:b w:val="0"/>
          <w:bCs w:val="0"/>
          <w:color w:val="auto"/>
          <w:highlight w:val="none"/>
        </w:rPr>
        <w:t>概况</w:t>
      </w:r>
      <w:bookmarkEnd w:id="15"/>
      <w:bookmarkEnd w:id="16"/>
      <w:bookmarkEnd w:id="17"/>
    </w:p>
    <w:p>
      <w:pPr>
        <w:keepNext w:val="0"/>
        <w:keepLines w:val="0"/>
        <w:pageBreakBefore w:val="0"/>
        <w:widowControl w:val="0"/>
        <w:numPr>
          <w:ilvl w:val="0"/>
          <w:numId w:val="0"/>
        </w:numPr>
        <w:shd w:val="clear"/>
        <w:kinsoku/>
        <w:wordWrap/>
        <w:overflowPunct/>
        <w:topLinePunct w:val="0"/>
        <w:autoSpaceDE/>
        <w:autoSpaceDN/>
        <w:bidi w:val="0"/>
        <w:adjustRightInd/>
        <w:snapToGrid/>
        <w:spacing w:after="0" w:line="600" w:lineRule="exact"/>
        <w:ind w:firstLine="640" w:firstLineChars="200"/>
        <w:textAlignment w:val="auto"/>
        <w:outlineLvl w:val="1"/>
        <w:rPr>
          <w:rStyle w:val="18"/>
          <w:rFonts w:hint="eastAsia" w:ascii="黑体" w:hAnsi="黑体" w:eastAsia="黑体" w:cs="黑体"/>
          <w:b w:val="0"/>
          <w:bCs w:val="0"/>
          <w:color w:val="auto"/>
          <w:sz w:val="32"/>
          <w:szCs w:val="32"/>
          <w:highlight w:val="none"/>
          <w:lang w:eastAsia="zh-CN"/>
        </w:rPr>
      </w:pPr>
      <w:bookmarkStart w:id="18" w:name="_Toc14153"/>
      <w:bookmarkStart w:id="19" w:name="_Toc15396600"/>
      <w:bookmarkStart w:id="20" w:name="_Toc15377197"/>
      <w:r>
        <w:rPr>
          <w:rStyle w:val="18"/>
          <w:rFonts w:hint="eastAsia" w:ascii="黑体" w:hAnsi="黑体" w:eastAsia="黑体" w:cs="黑体"/>
          <w:b w:val="0"/>
          <w:bCs w:val="0"/>
          <w:color w:val="auto"/>
          <w:sz w:val="32"/>
          <w:szCs w:val="32"/>
          <w:highlight w:val="none"/>
          <w:lang w:val="en-US" w:eastAsia="zh-CN"/>
        </w:rPr>
        <w:t>一、</w:t>
      </w:r>
      <w:r>
        <w:rPr>
          <w:rStyle w:val="18"/>
          <w:rFonts w:hint="eastAsia" w:ascii="黑体" w:hAnsi="黑体" w:eastAsia="黑体" w:cs="黑体"/>
          <w:b w:val="0"/>
          <w:bCs w:val="0"/>
          <w:color w:val="auto"/>
          <w:sz w:val="32"/>
          <w:szCs w:val="32"/>
          <w:highlight w:val="none"/>
          <w:lang w:eastAsia="zh-CN"/>
        </w:rPr>
        <w:t>主要职责</w:t>
      </w:r>
      <w:bookmarkEnd w:id="18"/>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color w:val="auto"/>
          <w:kern w:val="2"/>
          <w:sz w:val="32"/>
          <w:szCs w:val="32"/>
          <w:highlight w:val="none"/>
          <w:lang w:val="en" w:eastAsia="zh-CN"/>
        </w:rPr>
      </w:pPr>
      <w:r>
        <w:rPr>
          <w:rFonts w:hint="eastAsia" w:ascii="仿宋_GB2312" w:hAnsi="仿宋_GB2312" w:eastAsia="仿宋_GB2312" w:cs="仿宋_GB2312"/>
          <w:color w:val="auto"/>
          <w:kern w:val="2"/>
          <w:sz w:val="32"/>
          <w:szCs w:val="32"/>
          <w:highlight w:val="none"/>
          <w:lang w:val="en" w:eastAsia="zh-CN"/>
        </w:rPr>
        <w:t>拟订退役军人思想政治、管理保障等工作政策并组织实施，负责军队转业干部、复员干部、退休干部、退役士兵的移交安置工作和自主择业退役军人服务管理、待遇保障等工作，组织开展退役军人教育培训、优待抚恤等，组织指导拥军优属工作，负责烈士及退役军人荣誉奖励及纪念活动等。</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1"/>
        <w:rPr>
          <w:rStyle w:val="18"/>
          <w:rFonts w:hint="eastAsia" w:ascii="黑体" w:hAnsi="黑体" w:eastAsia="黑体" w:cs="黑体"/>
          <w:b w:val="0"/>
          <w:bCs w:val="0"/>
          <w:color w:val="auto"/>
          <w:sz w:val="32"/>
          <w:szCs w:val="32"/>
          <w:highlight w:val="none"/>
          <w:lang w:val="en-US" w:eastAsia="zh-CN"/>
        </w:rPr>
      </w:pPr>
      <w:bookmarkStart w:id="21" w:name="_Toc13140"/>
      <w:r>
        <w:rPr>
          <w:rStyle w:val="18"/>
          <w:rFonts w:hint="eastAsia" w:ascii="黑体" w:hAnsi="黑体" w:eastAsia="黑体" w:cs="黑体"/>
          <w:b w:val="0"/>
          <w:bCs w:val="0"/>
          <w:color w:val="auto"/>
          <w:sz w:val="32"/>
          <w:szCs w:val="32"/>
          <w:highlight w:val="none"/>
          <w:lang w:val="en-US" w:eastAsia="zh-CN"/>
        </w:rPr>
        <w:t>二、机构设置</w:t>
      </w:r>
      <w:bookmarkEnd w:id="21"/>
    </w:p>
    <w:p>
      <w:pPr>
        <w:pStyle w:val="2"/>
        <w:keepNext w:val="0"/>
        <w:keepLines w:val="0"/>
        <w:pageBreakBefore w:val="0"/>
        <w:widowControl w:val="0"/>
        <w:numPr>
          <w:ilvl w:val="0"/>
          <w:numId w:val="0"/>
        </w:numPr>
        <w:shd w:val="clear"/>
        <w:kinsoku/>
        <w:wordWrap/>
        <w:overflowPunct/>
        <w:topLinePunct w:val="0"/>
        <w:autoSpaceDE/>
        <w:autoSpaceDN/>
        <w:bidi w:val="0"/>
        <w:adjustRightInd/>
        <w:snapToGrid/>
        <w:spacing w:beforeLines="0" w:line="600" w:lineRule="exact"/>
        <w:ind w:firstLine="6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广元市退役军人事务局（本级）属于广元市退役军人事务局部门下属的二级预算单位，下设独立编制机构1个，其中行政机构1个，参照公务员法管理的事业机构0个，其他事业机构0个。</w:t>
      </w:r>
    </w:p>
    <w:p>
      <w:pPr>
        <w:pStyle w:val="2"/>
        <w:keepNext w:val="0"/>
        <w:keepLines w:val="0"/>
        <w:pageBreakBefore w:val="0"/>
        <w:widowControl w:val="0"/>
        <w:numPr>
          <w:ilvl w:val="0"/>
          <w:numId w:val="0"/>
        </w:numPr>
        <w:shd w:val="clear"/>
        <w:kinsoku/>
        <w:wordWrap/>
        <w:overflowPunct/>
        <w:topLinePunct w:val="0"/>
        <w:autoSpaceDE/>
        <w:autoSpaceDN/>
        <w:bidi w:val="0"/>
        <w:adjustRightInd/>
        <w:snapToGrid/>
        <w:spacing w:beforeLines="0" w:line="600" w:lineRule="exact"/>
        <w:ind w:firstLine="6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纳入2022年度单位决算编制范围的独立编制机构包括：广元市退役军人事务局（本级）。</w:t>
      </w:r>
    </w:p>
    <w:bookmarkEnd w:id="19"/>
    <w:bookmarkEnd w:id="20"/>
    <w:p>
      <w:pPr>
        <w:widowControl/>
        <w:shd w:val="clear"/>
        <w:jc w:val="left"/>
        <w:rPr>
          <w:rFonts w:ascii="仿宋" w:hAnsi="仿宋" w:eastAsia="仿宋"/>
          <w:color w:val="auto"/>
          <w:kern w:val="0"/>
          <w:sz w:val="32"/>
          <w:szCs w:val="32"/>
          <w:highlight w:val="none"/>
        </w:rPr>
      </w:pPr>
      <w:r>
        <w:rPr>
          <w:rFonts w:ascii="仿宋" w:hAnsi="仿宋" w:eastAsia="仿宋"/>
          <w:color w:val="auto"/>
          <w:sz w:val="32"/>
          <w:szCs w:val="32"/>
          <w:highlight w:val="none"/>
        </w:rPr>
        <w:br w:type="page"/>
      </w:r>
    </w:p>
    <w:p>
      <w:pPr>
        <w:pStyle w:val="3"/>
        <w:shd w:val="clear"/>
        <w:ind w:right="440"/>
        <w:jc w:val="center"/>
        <w:rPr>
          <w:rStyle w:val="17"/>
          <w:rFonts w:ascii="黑体" w:hAnsi="黑体" w:eastAsia="黑体"/>
          <w:b w:val="0"/>
          <w:bCs/>
          <w:color w:val="auto"/>
          <w:highlight w:val="none"/>
        </w:rPr>
      </w:pPr>
      <w:bookmarkStart w:id="22" w:name="_Toc15377204"/>
      <w:bookmarkStart w:id="23" w:name="_Toc15396602"/>
      <w:bookmarkStart w:id="24" w:name="_Toc9234"/>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17"/>
          <w:rFonts w:hint="eastAsia" w:ascii="黑体" w:hAnsi="黑体" w:eastAsia="黑体"/>
          <w:b w:val="0"/>
          <w:bCs/>
          <w:color w:val="auto"/>
          <w:highlight w:val="none"/>
          <w:lang w:eastAsia="zh-CN"/>
        </w:rPr>
        <w:t>单位</w:t>
      </w:r>
      <w:r>
        <w:rPr>
          <w:rStyle w:val="17"/>
          <w:rFonts w:hint="eastAsia" w:ascii="黑体" w:hAnsi="黑体" w:eastAsia="黑体"/>
          <w:b w:val="0"/>
          <w:bCs/>
          <w:color w:val="auto"/>
          <w:highlight w:val="none"/>
        </w:rPr>
        <w:t>决算情况说明</w:t>
      </w:r>
      <w:bookmarkEnd w:id="22"/>
      <w:bookmarkEnd w:id="23"/>
      <w:bookmarkEnd w:id="24"/>
    </w:p>
    <w:p>
      <w:pPr>
        <w:pStyle w:val="27"/>
        <w:numPr>
          <w:ilvl w:val="0"/>
          <w:numId w:val="1"/>
        </w:numPr>
        <w:shd w:val="clear"/>
        <w:spacing w:line="600" w:lineRule="exact"/>
        <w:ind w:firstLineChars="0"/>
        <w:outlineLvl w:val="1"/>
        <w:rPr>
          <w:rStyle w:val="18"/>
          <w:rFonts w:ascii="黑体" w:hAnsi="黑体" w:eastAsia="黑体"/>
          <w:b w:val="0"/>
          <w:color w:val="auto"/>
          <w:highlight w:val="none"/>
        </w:rPr>
      </w:pPr>
      <w:bookmarkStart w:id="25" w:name="_Toc9000"/>
      <w:bookmarkStart w:id="26" w:name="_Toc15396603"/>
      <w:bookmarkStart w:id="27" w:name="_Toc15377205"/>
      <w:r>
        <w:rPr>
          <w:rFonts w:hint="eastAsia" w:ascii="黑体" w:hAnsi="黑体" w:eastAsia="黑体"/>
          <w:color w:val="auto"/>
          <w:sz w:val="32"/>
          <w:szCs w:val="32"/>
          <w:highlight w:val="none"/>
        </w:rPr>
        <w:t>收</w:t>
      </w:r>
      <w:r>
        <w:rPr>
          <w:rStyle w:val="18"/>
          <w:rFonts w:hint="eastAsia" w:ascii="黑体" w:hAnsi="黑体" w:eastAsia="黑体"/>
          <w:b w:val="0"/>
          <w:color w:val="auto"/>
          <w:highlight w:val="none"/>
        </w:rPr>
        <w:t>入支出决算总体情况说明</w:t>
      </w:r>
      <w:bookmarkEnd w:id="25"/>
      <w:bookmarkEnd w:id="26"/>
      <w:bookmarkEnd w:id="27"/>
    </w:p>
    <w:p>
      <w:pPr>
        <w:shd w:val="clear"/>
        <w:spacing w:line="60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年度收、支总计</w:t>
      </w:r>
      <w:r>
        <w:rPr>
          <w:rFonts w:hint="eastAsia" w:ascii="仿宋_GB2312" w:hAnsi="仿宋_GB2312" w:eastAsia="仿宋_GB2312" w:cs="仿宋_GB2312"/>
          <w:color w:val="auto"/>
          <w:kern w:val="2"/>
          <w:sz w:val="32"/>
          <w:szCs w:val="24"/>
          <w:highlight w:val="none"/>
          <w:lang w:val="zh-CN"/>
        </w:rPr>
        <w:t>2397.4</w:t>
      </w:r>
      <w:r>
        <w:rPr>
          <w:rFonts w:hint="eastAsia" w:ascii="仿宋_GB2312" w:hAnsi="仿宋_GB2312" w:eastAsia="仿宋_GB2312" w:cs="仿宋_GB2312"/>
          <w:color w:val="auto"/>
          <w:kern w:val="2"/>
          <w:sz w:val="32"/>
          <w:szCs w:val="24"/>
          <w:highlight w:val="none"/>
          <w:lang w:val="en-US" w:eastAsia="zh-CN"/>
        </w:rPr>
        <w:t>0</w:t>
      </w:r>
      <w:r>
        <w:rPr>
          <w:rFonts w:hint="eastAsia" w:ascii="仿宋_GB2312" w:hAnsi="仿宋_GB2312" w:eastAsia="仿宋_GB2312" w:cs="仿宋_GB2312"/>
          <w:color w:val="auto"/>
          <w:sz w:val="32"/>
          <w:szCs w:val="32"/>
          <w:highlight w:val="none"/>
        </w:rPr>
        <w:t>万元。与20</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rPr>
        <w:t>年相比，收、支总计各增加</w:t>
      </w:r>
      <w:r>
        <w:rPr>
          <w:rFonts w:hint="eastAsia" w:ascii="仿宋_GB2312" w:hAnsi="仿宋_GB2312" w:eastAsia="仿宋_GB2312" w:cs="仿宋_GB2312"/>
          <w:color w:val="auto"/>
          <w:kern w:val="2"/>
          <w:sz w:val="32"/>
          <w:szCs w:val="24"/>
          <w:highlight w:val="none"/>
          <w:lang w:val="zh-CN"/>
        </w:rPr>
        <w:t>108.1</w:t>
      </w:r>
      <w:r>
        <w:rPr>
          <w:rFonts w:hint="eastAsia" w:ascii="仿宋_GB2312" w:hAnsi="仿宋_GB2312" w:eastAsia="仿宋_GB2312" w:cs="仿宋_GB2312"/>
          <w:color w:val="auto"/>
          <w:kern w:val="2"/>
          <w:sz w:val="32"/>
          <w:szCs w:val="24"/>
          <w:highlight w:val="none"/>
          <w:lang w:val="en-US" w:eastAsia="zh-CN"/>
        </w:rPr>
        <w:t>0</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kern w:val="2"/>
          <w:sz w:val="32"/>
          <w:szCs w:val="24"/>
          <w:highlight w:val="none"/>
          <w:lang w:val="zh-CN"/>
        </w:rPr>
        <w:t>4.7</w:t>
      </w:r>
      <w:r>
        <w:rPr>
          <w:rFonts w:hint="eastAsia" w:ascii="仿宋_GB2312" w:hAnsi="仿宋_GB2312" w:eastAsia="仿宋_GB2312" w:cs="仿宋_GB2312"/>
          <w:color w:val="auto"/>
          <w:kern w:val="2"/>
          <w:sz w:val="32"/>
          <w:szCs w:val="24"/>
          <w:highlight w:val="none"/>
          <w:lang w:val="en-US" w:eastAsia="zh-CN"/>
        </w:rPr>
        <w:t>2</w:t>
      </w:r>
      <w:r>
        <w:rPr>
          <w:rFonts w:hint="eastAsia" w:ascii="仿宋_GB2312" w:hAnsi="仿宋_GB2312" w:eastAsia="仿宋_GB2312" w:cs="仿宋_GB2312"/>
          <w:color w:val="auto"/>
          <w:sz w:val="32"/>
          <w:szCs w:val="32"/>
          <w:highlight w:val="none"/>
        </w:rPr>
        <w:t>%。主要变动原因</w:t>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是</w:t>
      </w:r>
      <w:r>
        <w:rPr>
          <w:rFonts w:hint="eastAsia" w:ascii="仿宋_GB2312" w:hAnsi="仿宋_GB2312" w:eastAsia="仿宋_GB2312" w:cs="仿宋_GB2312"/>
          <w:color w:val="auto"/>
          <w:sz w:val="32"/>
          <w:szCs w:val="32"/>
          <w:highlight w:val="none"/>
          <w:lang w:eastAsia="zh-CN"/>
        </w:rPr>
        <w:t>工资基数调整导致工资福利费用增加，引起</w:t>
      </w:r>
      <w:r>
        <w:rPr>
          <w:rFonts w:hint="eastAsia" w:ascii="仿宋_GB2312" w:hAnsi="仿宋_GB2312" w:eastAsia="仿宋_GB2312" w:cs="仿宋_GB2312"/>
          <w:color w:val="auto"/>
          <w:sz w:val="32"/>
          <w:szCs w:val="32"/>
          <w:highlight w:val="none"/>
          <w:lang w:val="en-US" w:eastAsia="zh-CN"/>
        </w:rPr>
        <w:t>基本支出增加；二是项目支出增加。</w:t>
      </w:r>
    </w:p>
    <w:p>
      <w:pPr>
        <w:pStyle w:val="2"/>
        <w:shd w:val="clear"/>
        <w:jc w:val="center"/>
        <w:rPr>
          <w:color w:val="auto"/>
          <w:highlight w:val="none"/>
        </w:rPr>
      </w:pPr>
      <w:r>
        <w:rPr>
          <w:rFonts w:ascii="宋体" w:hAnsi="宋体" w:eastAsia="宋体" w:cs="宋体"/>
          <w:color w:val="auto"/>
          <w:kern w:val="0"/>
          <w:sz w:val="24"/>
          <w:szCs w:val="24"/>
          <w:highlight w:val="none"/>
          <w:lang w:val="en-US" w:eastAsia="zh-CN" w:bidi="ar"/>
        </w:rPr>
        <w:drawing>
          <wp:inline distT="0" distB="0" distL="114300" distR="114300">
            <wp:extent cx="2661285" cy="1899920"/>
            <wp:effectExtent l="0" t="0" r="5715" b="5080"/>
            <wp:docPr id="6"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56"/>
                    <pic:cNvPicPr>
                      <a:picLocks noChangeAspect="1"/>
                    </pic:cNvPicPr>
                  </pic:nvPicPr>
                  <pic:blipFill>
                    <a:blip r:embed="rId8"/>
                    <a:stretch>
                      <a:fillRect/>
                    </a:stretch>
                  </pic:blipFill>
                  <pic:spPr>
                    <a:xfrm>
                      <a:off x="0" y="0"/>
                      <a:ext cx="2661285" cy="1899920"/>
                    </a:xfrm>
                    <a:prstGeom prst="rect">
                      <a:avLst/>
                    </a:prstGeom>
                    <a:noFill/>
                    <a:ln w="9525">
                      <a:noFill/>
                    </a:ln>
                  </pic:spPr>
                </pic:pic>
              </a:graphicData>
            </a:graphic>
          </wp:inline>
        </w:drawing>
      </w:r>
    </w:p>
    <w:p>
      <w:pPr>
        <w:shd w:val="clear"/>
        <w:spacing w:line="60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（图1：收、支决算总计变动情况图）（柱状图）</w:t>
      </w:r>
    </w:p>
    <w:p>
      <w:pPr>
        <w:pStyle w:val="27"/>
        <w:numPr>
          <w:ilvl w:val="0"/>
          <w:numId w:val="1"/>
        </w:numPr>
        <w:shd w:val="clear"/>
        <w:spacing w:line="600" w:lineRule="exact"/>
        <w:ind w:firstLineChars="0"/>
        <w:outlineLvl w:val="1"/>
        <w:rPr>
          <w:rStyle w:val="18"/>
          <w:rFonts w:ascii="黑体" w:hAnsi="黑体" w:eastAsia="黑体"/>
          <w:b w:val="0"/>
          <w:color w:val="auto"/>
          <w:highlight w:val="none"/>
        </w:rPr>
      </w:pPr>
      <w:bookmarkStart w:id="28" w:name="_Toc15377206"/>
      <w:bookmarkStart w:id="29" w:name="_Toc15396604"/>
      <w:bookmarkStart w:id="30" w:name="_Toc29215"/>
      <w:r>
        <w:rPr>
          <w:rFonts w:hint="eastAsia" w:ascii="黑体" w:hAnsi="黑体" w:eastAsia="黑体"/>
          <w:color w:val="auto"/>
          <w:sz w:val="32"/>
          <w:szCs w:val="32"/>
          <w:highlight w:val="none"/>
        </w:rPr>
        <w:t>收</w:t>
      </w:r>
      <w:r>
        <w:rPr>
          <w:rStyle w:val="18"/>
          <w:rFonts w:hint="eastAsia" w:ascii="黑体" w:hAnsi="黑体" w:eastAsia="黑体"/>
          <w:b w:val="0"/>
          <w:color w:val="auto"/>
          <w:highlight w:val="none"/>
        </w:rPr>
        <w:t>入决算情况说明</w:t>
      </w:r>
      <w:bookmarkEnd w:id="28"/>
      <w:bookmarkEnd w:id="29"/>
      <w:bookmarkEnd w:id="30"/>
    </w:p>
    <w:p>
      <w:pPr>
        <w:shd w:val="clear"/>
        <w:spacing w:line="60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lang w:eastAsia="zh-CN"/>
        </w:rPr>
        <w:t>年本年收入合计</w:t>
      </w:r>
      <w:r>
        <w:rPr>
          <w:rFonts w:hint="eastAsia" w:ascii="仿宋_GB2312" w:hAnsi="仿宋_GB2312" w:eastAsia="仿宋_GB2312" w:cs="仿宋_GB2312"/>
          <w:color w:val="auto"/>
          <w:sz w:val="32"/>
          <w:szCs w:val="32"/>
          <w:highlight w:val="none"/>
          <w:lang w:val="zh-CN" w:eastAsia="zh-CN"/>
        </w:rPr>
        <w:t>2165.75</w:t>
      </w:r>
      <w:r>
        <w:rPr>
          <w:rFonts w:hint="eastAsia" w:ascii="仿宋_GB2312" w:hAnsi="仿宋_GB2312" w:eastAsia="仿宋_GB2312" w:cs="仿宋_GB2312"/>
          <w:color w:val="auto"/>
          <w:sz w:val="32"/>
          <w:szCs w:val="32"/>
          <w:highlight w:val="none"/>
          <w:lang w:eastAsia="zh-CN"/>
        </w:rPr>
        <w:t>万元，其中：一般公共预算财政拨款收入</w:t>
      </w:r>
      <w:r>
        <w:rPr>
          <w:rFonts w:hint="eastAsia" w:ascii="仿宋_GB2312" w:hAnsi="仿宋_GB2312" w:eastAsia="仿宋_GB2312" w:cs="仿宋_GB2312"/>
          <w:color w:val="auto"/>
          <w:sz w:val="32"/>
          <w:szCs w:val="32"/>
          <w:highlight w:val="none"/>
          <w:lang w:val="zh-CN" w:eastAsia="zh-CN"/>
        </w:rPr>
        <w:t>2165.03</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color w:val="auto"/>
          <w:sz w:val="32"/>
          <w:szCs w:val="32"/>
          <w:highlight w:val="none"/>
          <w:lang w:val="en-US" w:eastAsia="zh-CN"/>
        </w:rPr>
        <w:t>99.97</w:t>
      </w:r>
      <w:r>
        <w:rPr>
          <w:rFonts w:hint="eastAsia" w:ascii="仿宋_GB2312" w:hAnsi="仿宋_GB2312" w:eastAsia="仿宋_GB2312" w:cs="仿宋_GB2312"/>
          <w:color w:val="auto"/>
          <w:sz w:val="32"/>
          <w:szCs w:val="32"/>
          <w:highlight w:val="none"/>
          <w:lang w:eastAsia="zh-CN"/>
        </w:rPr>
        <w:t>%；其他收入</w:t>
      </w:r>
      <w:r>
        <w:rPr>
          <w:rFonts w:hint="eastAsia" w:ascii="仿宋_GB2312" w:hAnsi="仿宋_GB2312" w:eastAsia="仿宋_GB2312" w:cs="仿宋_GB2312"/>
          <w:color w:val="auto"/>
          <w:sz w:val="32"/>
          <w:szCs w:val="32"/>
          <w:highlight w:val="none"/>
          <w:lang w:val="zh-CN" w:eastAsia="zh-CN"/>
        </w:rPr>
        <w:t>0.7</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color w:val="auto"/>
          <w:sz w:val="32"/>
          <w:szCs w:val="32"/>
          <w:highlight w:val="none"/>
          <w:lang w:val="en-US" w:eastAsia="zh-CN"/>
        </w:rPr>
        <w:t>0.03</w:t>
      </w:r>
      <w:r>
        <w:rPr>
          <w:rFonts w:hint="eastAsia" w:ascii="仿宋_GB2312" w:hAnsi="仿宋_GB2312" w:eastAsia="仿宋_GB2312" w:cs="仿宋_GB2312"/>
          <w:color w:val="auto"/>
          <w:sz w:val="32"/>
          <w:szCs w:val="32"/>
          <w:highlight w:val="none"/>
          <w:lang w:eastAsia="zh-CN"/>
        </w:rPr>
        <w:t>%。</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2480310" cy="1630045"/>
            <wp:effectExtent l="0" t="0" r="3810" b="635"/>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9"/>
                    <a:stretch>
                      <a:fillRect/>
                    </a:stretch>
                  </pic:blipFill>
                  <pic:spPr>
                    <a:xfrm>
                      <a:off x="0" y="0"/>
                      <a:ext cx="2480310" cy="1630045"/>
                    </a:xfrm>
                    <a:prstGeom prst="rect">
                      <a:avLst/>
                    </a:prstGeom>
                    <a:noFill/>
                    <a:ln w="9525">
                      <a:noFill/>
                    </a:ln>
                  </pic:spPr>
                </pic:pic>
              </a:graphicData>
            </a:graphic>
          </wp:inline>
        </w:drawing>
      </w:r>
    </w:p>
    <w:p>
      <w:pPr>
        <w:shd w:val="clear"/>
        <w:spacing w:line="600" w:lineRule="exact"/>
        <w:ind w:firstLine="640" w:firstLineChars="200"/>
        <w:jc w:val="both"/>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（图2：收入决算结构图）（饼状图）</w:t>
      </w:r>
    </w:p>
    <w:p>
      <w:pPr>
        <w:pStyle w:val="27"/>
        <w:numPr>
          <w:ilvl w:val="0"/>
          <w:numId w:val="1"/>
        </w:numPr>
        <w:shd w:val="clear"/>
        <w:spacing w:line="600" w:lineRule="exact"/>
        <w:ind w:firstLineChars="0"/>
        <w:outlineLvl w:val="1"/>
        <w:rPr>
          <w:rStyle w:val="18"/>
          <w:rFonts w:ascii="黑体" w:hAnsi="黑体" w:eastAsia="黑体"/>
          <w:b w:val="0"/>
          <w:color w:val="auto"/>
          <w:highlight w:val="none"/>
        </w:rPr>
      </w:pPr>
      <w:bookmarkStart w:id="31" w:name="_Toc15396605"/>
      <w:bookmarkStart w:id="32" w:name="_Toc15377207"/>
      <w:bookmarkStart w:id="33" w:name="_Toc8192"/>
      <w:r>
        <w:rPr>
          <w:rFonts w:hint="eastAsia" w:ascii="黑体" w:hAnsi="黑体" w:eastAsia="黑体"/>
          <w:color w:val="auto"/>
          <w:sz w:val="32"/>
          <w:szCs w:val="32"/>
          <w:highlight w:val="none"/>
        </w:rPr>
        <w:t>支</w:t>
      </w:r>
      <w:r>
        <w:rPr>
          <w:rStyle w:val="18"/>
          <w:rFonts w:hint="eastAsia" w:ascii="黑体" w:hAnsi="黑体" w:eastAsia="黑体"/>
          <w:b w:val="0"/>
          <w:color w:val="auto"/>
          <w:highlight w:val="none"/>
        </w:rPr>
        <w:t>出决算情况说明</w:t>
      </w:r>
      <w:bookmarkEnd w:id="31"/>
      <w:bookmarkEnd w:id="32"/>
      <w:bookmarkEnd w:id="33"/>
    </w:p>
    <w:p>
      <w:pPr>
        <w:shd w:val="clear"/>
        <w:spacing w:line="60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lang w:eastAsia="zh-CN"/>
        </w:rPr>
        <w:t>年本年支出合计</w:t>
      </w:r>
      <w:r>
        <w:rPr>
          <w:rFonts w:hint="eastAsia" w:ascii="仿宋_GB2312" w:hAnsi="仿宋_GB2312" w:eastAsia="仿宋_GB2312" w:cs="仿宋_GB2312"/>
          <w:color w:val="auto"/>
          <w:sz w:val="32"/>
          <w:szCs w:val="32"/>
          <w:highlight w:val="none"/>
          <w:lang w:val="zh-CN" w:eastAsia="zh-CN"/>
        </w:rPr>
        <w:t>2210.63</w:t>
      </w:r>
      <w:r>
        <w:rPr>
          <w:rFonts w:hint="eastAsia" w:ascii="仿宋_GB2312" w:hAnsi="仿宋_GB2312" w:eastAsia="仿宋_GB2312" w:cs="仿宋_GB2312"/>
          <w:color w:val="auto"/>
          <w:sz w:val="32"/>
          <w:szCs w:val="32"/>
          <w:highlight w:val="none"/>
          <w:lang w:eastAsia="zh-CN"/>
        </w:rPr>
        <w:t>万元，其中：基本支出</w:t>
      </w:r>
      <w:r>
        <w:rPr>
          <w:rFonts w:hint="eastAsia" w:ascii="仿宋_GB2312" w:hAnsi="仿宋_GB2312" w:eastAsia="仿宋_GB2312" w:cs="仿宋_GB2312"/>
          <w:color w:val="auto"/>
          <w:sz w:val="32"/>
          <w:szCs w:val="32"/>
          <w:highlight w:val="none"/>
          <w:lang w:val="zh-CN" w:eastAsia="zh-CN"/>
        </w:rPr>
        <w:t>380.33</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color w:val="auto"/>
          <w:sz w:val="32"/>
          <w:szCs w:val="32"/>
          <w:highlight w:val="none"/>
          <w:lang w:val="zh-CN" w:eastAsia="zh-CN"/>
        </w:rPr>
        <w:t>17.2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lang w:eastAsia="zh-CN"/>
        </w:rPr>
        <w:t>%；项目支出</w:t>
      </w:r>
      <w:r>
        <w:rPr>
          <w:rFonts w:hint="eastAsia" w:ascii="仿宋_GB2312" w:hAnsi="仿宋_GB2312" w:eastAsia="仿宋_GB2312" w:cs="仿宋_GB2312"/>
          <w:color w:val="auto"/>
          <w:sz w:val="32"/>
          <w:szCs w:val="32"/>
          <w:highlight w:val="none"/>
          <w:lang w:val="zh-CN" w:eastAsia="zh-CN"/>
        </w:rPr>
        <w:t>1830.3</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color w:val="auto"/>
          <w:sz w:val="32"/>
          <w:szCs w:val="32"/>
          <w:highlight w:val="none"/>
          <w:lang w:val="zh-CN" w:eastAsia="zh-CN"/>
        </w:rPr>
        <w:t>82.8</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w:t>
      </w:r>
    </w:p>
    <w:p>
      <w:pPr>
        <w:keepNext w:val="0"/>
        <w:keepLines w:val="0"/>
        <w:widowControl/>
        <w:suppressLineNumbers w:val="0"/>
        <w:jc w:val="center"/>
        <w:rPr>
          <w:color w:val="auto"/>
          <w:highlight w:val="none"/>
        </w:rPr>
      </w:pPr>
      <w:r>
        <w:rPr>
          <w:rFonts w:ascii="宋体" w:hAnsi="宋体" w:eastAsia="宋体" w:cs="宋体"/>
          <w:kern w:val="0"/>
          <w:sz w:val="24"/>
          <w:szCs w:val="24"/>
          <w:lang w:val="en-US" w:eastAsia="zh-CN" w:bidi="ar"/>
        </w:rPr>
        <w:drawing>
          <wp:inline distT="0" distB="0" distL="114300" distR="114300">
            <wp:extent cx="3089275" cy="2150110"/>
            <wp:effectExtent l="0" t="0" r="4445" b="13970"/>
            <wp:docPr id="3"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6"/>
                    <pic:cNvPicPr>
                      <a:picLocks noChangeAspect="1"/>
                    </pic:cNvPicPr>
                  </pic:nvPicPr>
                  <pic:blipFill>
                    <a:blip r:embed="rId10"/>
                    <a:stretch>
                      <a:fillRect/>
                    </a:stretch>
                  </pic:blipFill>
                  <pic:spPr>
                    <a:xfrm>
                      <a:off x="0" y="0"/>
                      <a:ext cx="3089275" cy="2150110"/>
                    </a:xfrm>
                    <a:prstGeom prst="rect">
                      <a:avLst/>
                    </a:prstGeom>
                    <a:noFill/>
                    <a:ln w="9525">
                      <a:noFill/>
                    </a:ln>
                  </pic:spPr>
                </pic:pic>
              </a:graphicData>
            </a:graphic>
          </wp:inline>
        </w:drawing>
      </w:r>
      <w:bookmarkStart w:id="101" w:name="_GoBack"/>
      <w:bookmarkEnd w:id="101"/>
    </w:p>
    <w:p>
      <w:pPr>
        <w:shd w:val="clear"/>
        <w:spacing w:line="60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（图3：支出决算结构图）（饼状图）</w:t>
      </w:r>
    </w:p>
    <w:p>
      <w:pPr>
        <w:shd w:val="clear"/>
        <w:spacing w:line="600" w:lineRule="exact"/>
        <w:ind w:firstLine="640" w:firstLineChars="200"/>
        <w:outlineLvl w:val="1"/>
        <w:rPr>
          <w:rStyle w:val="18"/>
          <w:rFonts w:ascii="黑体" w:hAnsi="黑体" w:eastAsia="黑体"/>
          <w:b w:val="0"/>
          <w:color w:val="auto"/>
          <w:highlight w:val="none"/>
        </w:rPr>
      </w:pPr>
      <w:bookmarkStart w:id="34" w:name="_Toc15396606"/>
      <w:bookmarkStart w:id="35" w:name="_Toc15377208"/>
      <w:bookmarkStart w:id="36" w:name="_Toc1984"/>
      <w:r>
        <w:rPr>
          <w:rFonts w:hint="eastAsia" w:ascii="黑体" w:hAnsi="黑体" w:eastAsia="黑体"/>
          <w:color w:val="auto"/>
          <w:sz w:val="32"/>
          <w:szCs w:val="32"/>
          <w:highlight w:val="none"/>
        </w:rPr>
        <w:t>四、财</w:t>
      </w:r>
      <w:r>
        <w:rPr>
          <w:rStyle w:val="18"/>
          <w:rFonts w:hint="eastAsia" w:ascii="黑体" w:hAnsi="黑体" w:eastAsia="黑体"/>
          <w:b w:val="0"/>
          <w:color w:val="auto"/>
          <w:highlight w:val="none"/>
        </w:rPr>
        <w:t>政拨款收入支出决算总体情况说明</w:t>
      </w:r>
      <w:bookmarkEnd w:id="34"/>
      <w:bookmarkEnd w:id="35"/>
      <w:bookmarkEnd w:id="36"/>
    </w:p>
    <w:p>
      <w:pPr>
        <w:shd w:val="clear"/>
        <w:spacing w:line="60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lang w:eastAsia="zh-CN"/>
        </w:rPr>
        <w:t>年财政拨款收、支总计</w:t>
      </w:r>
      <w:r>
        <w:rPr>
          <w:rFonts w:hint="eastAsia" w:ascii="仿宋_GB2312" w:hAnsi="仿宋_GB2312" w:eastAsia="仿宋_GB2312" w:cs="仿宋_GB2312"/>
          <w:color w:val="auto"/>
          <w:sz w:val="32"/>
          <w:szCs w:val="32"/>
          <w:highlight w:val="none"/>
          <w:lang w:val="zh-CN" w:eastAsia="zh-CN"/>
        </w:rPr>
        <w:t>2254.4</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lang w:eastAsia="zh-CN"/>
        </w:rPr>
        <w:t>万元。与20</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lang w:eastAsia="zh-CN"/>
        </w:rPr>
        <w:t>年相比，财政拨款收、支总计各增加</w:t>
      </w:r>
      <w:r>
        <w:rPr>
          <w:rFonts w:hint="eastAsia" w:ascii="仿宋_GB2312" w:hAnsi="仿宋_GB2312" w:eastAsia="仿宋_GB2312" w:cs="仿宋_GB2312"/>
          <w:color w:val="auto"/>
          <w:sz w:val="32"/>
          <w:szCs w:val="32"/>
          <w:highlight w:val="none"/>
          <w:lang w:val="zh-CN" w:eastAsia="zh-CN"/>
        </w:rPr>
        <w:t>247.74</w:t>
      </w:r>
      <w:r>
        <w:rPr>
          <w:rFonts w:hint="eastAsia" w:ascii="仿宋_GB2312" w:hAnsi="仿宋_GB2312" w:eastAsia="仿宋_GB2312" w:cs="仿宋_GB2312"/>
          <w:color w:val="auto"/>
          <w:sz w:val="32"/>
          <w:szCs w:val="32"/>
          <w:highlight w:val="none"/>
          <w:lang w:eastAsia="zh-CN"/>
        </w:rPr>
        <w:t>万元，增长</w:t>
      </w:r>
      <w:r>
        <w:rPr>
          <w:rFonts w:hint="eastAsia" w:ascii="仿宋_GB2312" w:hAnsi="仿宋_GB2312" w:eastAsia="仿宋_GB2312" w:cs="仿宋_GB2312"/>
          <w:color w:val="auto"/>
          <w:sz w:val="32"/>
          <w:szCs w:val="32"/>
          <w:highlight w:val="none"/>
          <w:lang w:val="zh-CN" w:eastAsia="zh-CN"/>
        </w:rPr>
        <w:t>12.3</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eastAsia="zh-CN"/>
        </w:rPr>
        <w:t>。主要变动原因一是工资基数调整导致工资福利费用增加，引起</w:t>
      </w:r>
      <w:r>
        <w:rPr>
          <w:rFonts w:hint="eastAsia" w:ascii="仿宋_GB2312" w:hAnsi="仿宋_GB2312" w:eastAsia="仿宋_GB2312" w:cs="仿宋_GB2312"/>
          <w:color w:val="auto"/>
          <w:sz w:val="32"/>
          <w:szCs w:val="32"/>
          <w:highlight w:val="none"/>
          <w:lang w:val="en-US" w:eastAsia="zh-CN"/>
        </w:rPr>
        <w:t>基本支出增加；二是项目支出增加。</w:t>
      </w:r>
    </w:p>
    <w:p>
      <w:pPr>
        <w:pStyle w:val="2"/>
        <w:shd w:val="clear"/>
        <w:jc w:val="center"/>
        <w:rPr>
          <w:color w:val="auto"/>
          <w:highlight w:val="none"/>
        </w:rPr>
      </w:pPr>
      <w:r>
        <w:rPr>
          <w:rFonts w:ascii="宋体" w:hAnsi="宋体" w:eastAsia="宋体" w:cs="宋体"/>
          <w:color w:val="auto"/>
          <w:kern w:val="0"/>
          <w:sz w:val="24"/>
          <w:szCs w:val="24"/>
          <w:highlight w:val="none"/>
          <w:lang w:val="en-US" w:eastAsia="zh-CN" w:bidi="ar"/>
        </w:rPr>
        <w:drawing>
          <wp:inline distT="0" distB="0" distL="114300" distR="114300">
            <wp:extent cx="3818890" cy="2275205"/>
            <wp:effectExtent l="0" t="0" r="6350" b="10795"/>
            <wp:docPr id="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56"/>
                    <pic:cNvPicPr>
                      <a:picLocks noChangeAspect="1"/>
                    </pic:cNvPicPr>
                  </pic:nvPicPr>
                  <pic:blipFill>
                    <a:blip r:embed="rId11"/>
                    <a:stretch>
                      <a:fillRect/>
                    </a:stretch>
                  </pic:blipFill>
                  <pic:spPr>
                    <a:xfrm>
                      <a:off x="0" y="0"/>
                      <a:ext cx="3818890" cy="2275205"/>
                    </a:xfrm>
                    <a:prstGeom prst="rect">
                      <a:avLst/>
                    </a:prstGeom>
                    <a:noFill/>
                    <a:ln w="9525">
                      <a:noFill/>
                    </a:ln>
                  </pic:spPr>
                </pic:pic>
              </a:graphicData>
            </a:graphic>
          </wp:inline>
        </w:drawing>
      </w:r>
    </w:p>
    <w:p>
      <w:pPr>
        <w:shd w:val="clear"/>
        <w:spacing w:line="60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（图4：财政拨款收、支决算总计变动情况）（柱状图）</w:t>
      </w:r>
    </w:p>
    <w:p>
      <w:pPr>
        <w:shd w:val="clear"/>
        <w:spacing w:line="600" w:lineRule="exact"/>
        <w:ind w:firstLine="640" w:firstLineChars="200"/>
        <w:outlineLvl w:val="1"/>
        <w:rPr>
          <w:rStyle w:val="18"/>
          <w:rFonts w:ascii="黑体" w:hAnsi="黑体" w:eastAsia="黑体"/>
          <w:b w:val="0"/>
          <w:color w:val="auto"/>
          <w:highlight w:val="none"/>
        </w:rPr>
      </w:pPr>
      <w:bookmarkStart w:id="37" w:name="_Toc15396607"/>
      <w:bookmarkStart w:id="38" w:name="_Toc15377209"/>
      <w:bookmarkStart w:id="39" w:name="_Toc30537"/>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8"/>
          <w:rFonts w:hint="eastAsia" w:ascii="黑体" w:hAnsi="黑体" w:eastAsia="黑体"/>
          <w:b w:val="0"/>
          <w:color w:val="auto"/>
          <w:highlight w:val="none"/>
        </w:rPr>
        <w:t>般公共预算财政拨款支出决算情况说明</w:t>
      </w:r>
      <w:bookmarkEnd w:id="37"/>
      <w:bookmarkEnd w:id="38"/>
      <w:bookmarkEnd w:id="39"/>
    </w:p>
    <w:p>
      <w:pPr>
        <w:shd w:val="clear"/>
        <w:spacing w:line="600" w:lineRule="exact"/>
        <w:ind w:firstLine="643" w:firstLineChars="200"/>
        <w:outlineLvl w:val="2"/>
        <w:rPr>
          <w:rFonts w:ascii="仿宋" w:hAnsi="仿宋" w:eastAsia="仿宋"/>
          <w:b/>
          <w:color w:val="auto"/>
          <w:sz w:val="32"/>
          <w:szCs w:val="32"/>
          <w:highlight w:val="none"/>
        </w:rPr>
      </w:pPr>
      <w:bookmarkStart w:id="40" w:name="_Toc15377210"/>
      <w:r>
        <w:rPr>
          <w:rFonts w:hint="eastAsia" w:ascii="仿宋" w:hAnsi="仿宋" w:eastAsia="仿宋"/>
          <w:b/>
          <w:color w:val="auto"/>
          <w:sz w:val="32"/>
          <w:szCs w:val="32"/>
          <w:highlight w:val="none"/>
        </w:rPr>
        <w:t>（一）一般公共预算财政拨款支出决算总体情况</w:t>
      </w:r>
      <w:bookmarkEnd w:id="40"/>
    </w:p>
    <w:p>
      <w:pPr>
        <w:shd w:val="clear"/>
        <w:spacing w:line="60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lang w:eastAsia="zh-CN"/>
        </w:rPr>
        <w:t>年一般公共预算财政拨款支出</w:t>
      </w:r>
      <w:r>
        <w:rPr>
          <w:rFonts w:hint="eastAsia" w:ascii="仿宋_GB2312" w:hAnsi="仿宋_GB2312" w:eastAsia="仿宋_GB2312" w:cs="仿宋_GB2312"/>
          <w:color w:val="auto"/>
          <w:sz w:val="32"/>
          <w:szCs w:val="32"/>
          <w:highlight w:val="none"/>
          <w:lang w:val="zh-CN" w:eastAsia="zh-CN"/>
        </w:rPr>
        <w:t>2067.63</w:t>
      </w:r>
      <w:r>
        <w:rPr>
          <w:rFonts w:hint="eastAsia" w:ascii="仿宋_GB2312" w:hAnsi="仿宋_GB2312" w:eastAsia="仿宋_GB2312" w:cs="仿宋_GB2312"/>
          <w:color w:val="auto"/>
          <w:sz w:val="32"/>
          <w:szCs w:val="32"/>
          <w:highlight w:val="none"/>
          <w:lang w:eastAsia="zh-CN"/>
        </w:rPr>
        <w:t>万元，占本年支出合计的</w:t>
      </w:r>
      <w:r>
        <w:rPr>
          <w:rFonts w:hint="eastAsia" w:ascii="仿宋_GB2312" w:hAnsi="仿宋_GB2312" w:eastAsia="仿宋_GB2312" w:cs="仿宋_GB2312"/>
          <w:color w:val="auto"/>
          <w:sz w:val="32"/>
          <w:szCs w:val="32"/>
          <w:highlight w:val="none"/>
          <w:lang w:val="zh-CN" w:eastAsia="zh-CN"/>
        </w:rPr>
        <w:t>93.5</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%。与20</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lang w:eastAsia="zh-CN"/>
        </w:rPr>
        <w:t>年相比，一般公共预算财政拨款支出增加</w:t>
      </w:r>
      <w:r>
        <w:rPr>
          <w:rFonts w:hint="eastAsia" w:ascii="仿宋_GB2312" w:hAnsi="仿宋_GB2312" w:eastAsia="仿宋_GB2312" w:cs="仿宋_GB2312"/>
          <w:color w:val="auto"/>
          <w:sz w:val="32"/>
          <w:szCs w:val="32"/>
          <w:highlight w:val="none"/>
          <w:lang w:val="zh-CN" w:eastAsia="zh-CN"/>
        </w:rPr>
        <w:t>218.6</w:t>
      </w:r>
      <w:r>
        <w:rPr>
          <w:rFonts w:hint="eastAsia" w:ascii="仿宋_GB2312" w:hAnsi="仿宋_GB2312" w:eastAsia="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lang w:eastAsia="zh-CN"/>
        </w:rPr>
        <w:t>万元，增长</w:t>
      </w:r>
      <w:r>
        <w:rPr>
          <w:rFonts w:hint="eastAsia" w:ascii="仿宋_GB2312" w:hAnsi="仿宋_GB2312" w:eastAsia="仿宋_GB2312" w:cs="仿宋_GB2312"/>
          <w:color w:val="auto"/>
          <w:sz w:val="32"/>
          <w:szCs w:val="32"/>
          <w:highlight w:val="none"/>
          <w:lang w:val="zh-CN" w:eastAsia="zh-CN"/>
        </w:rPr>
        <w:t>11.8</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%。主要变动原因一是工资基数调整导致工资福利费用增加，引起</w:t>
      </w:r>
      <w:r>
        <w:rPr>
          <w:rFonts w:hint="eastAsia" w:ascii="仿宋_GB2312" w:hAnsi="仿宋_GB2312" w:eastAsia="仿宋_GB2312" w:cs="仿宋_GB2312"/>
          <w:color w:val="auto"/>
          <w:sz w:val="32"/>
          <w:szCs w:val="32"/>
          <w:highlight w:val="none"/>
          <w:lang w:val="en-US" w:eastAsia="zh-CN"/>
        </w:rPr>
        <w:t>基本支出增加；二是企业军转干部生活困难补助及退役士兵社保接续金等项目支出增加。</w:t>
      </w:r>
    </w:p>
    <w:p>
      <w:pPr>
        <w:pStyle w:val="2"/>
        <w:shd w:val="clear"/>
        <w:jc w:val="center"/>
        <w:rPr>
          <w:color w:val="auto"/>
          <w:highlight w:val="none"/>
        </w:rPr>
      </w:pPr>
      <w:r>
        <w:rPr>
          <w:rFonts w:ascii="宋体" w:hAnsi="宋体" w:eastAsia="宋体" w:cs="宋体"/>
          <w:color w:val="auto"/>
          <w:kern w:val="0"/>
          <w:sz w:val="24"/>
          <w:szCs w:val="24"/>
          <w:highlight w:val="none"/>
          <w:lang w:val="en-US" w:eastAsia="zh-CN" w:bidi="ar"/>
        </w:rPr>
        <w:drawing>
          <wp:inline distT="0" distB="0" distL="114300" distR="114300">
            <wp:extent cx="4084955" cy="2527935"/>
            <wp:effectExtent l="0" t="0" r="14605" b="1905"/>
            <wp:docPr id="7"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256"/>
                    <pic:cNvPicPr>
                      <a:picLocks noChangeAspect="1"/>
                    </pic:cNvPicPr>
                  </pic:nvPicPr>
                  <pic:blipFill>
                    <a:blip r:embed="rId12"/>
                    <a:stretch>
                      <a:fillRect/>
                    </a:stretch>
                  </pic:blipFill>
                  <pic:spPr>
                    <a:xfrm>
                      <a:off x="0" y="0"/>
                      <a:ext cx="4084955" cy="2527935"/>
                    </a:xfrm>
                    <a:prstGeom prst="rect">
                      <a:avLst/>
                    </a:prstGeom>
                    <a:noFill/>
                    <a:ln w="9525">
                      <a:noFill/>
                    </a:ln>
                  </pic:spPr>
                </pic:pic>
              </a:graphicData>
            </a:graphic>
          </wp:inline>
        </w:drawing>
      </w:r>
    </w:p>
    <w:p>
      <w:pPr>
        <w:shd w:val="clear"/>
        <w:spacing w:line="60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（图5：一般公共预算财政拨款支出决算变动情况）（柱状图）</w:t>
      </w:r>
    </w:p>
    <w:p>
      <w:pPr>
        <w:shd w:val="clear"/>
        <w:spacing w:line="600" w:lineRule="exact"/>
        <w:ind w:firstLine="643" w:firstLineChars="200"/>
        <w:outlineLvl w:val="2"/>
        <w:rPr>
          <w:rFonts w:ascii="仿宋" w:hAnsi="仿宋" w:eastAsia="仿宋"/>
          <w:b/>
          <w:color w:val="auto"/>
          <w:sz w:val="32"/>
          <w:szCs w:val="32"/>
          <w:highlight w:val="none"/>
        </w:rPr>
      </w:pPr>
      <w:bookmarkStart w:id="41" w:name="_Toc15377211"/>
      <w:r>
        <w:rPr>
          <w:rFonts w:hint="eastAsia" w:ascii="仿宋" w:hAnsi="仿宋" w:eastAsia="仿宋"/>
          <w:b/>
          <w:color w:val="auto"/>
          <w:sz w:val="32"/>
          <w:szCs w:val="32"/>
          <w:highlight w:val="none"/>
        </w:rPr>
        <w:t>（二）一般公共预算财政拨款支出决算结构情况</w:t>
      </w:r>
      <w:bookmarkEnd w:id="41"/>
    </w:p>
    <w:p>
      <w:pPr>
        <w:shd w:val="clear"/>
        <w:spacing w:line="60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lang w:eastAsia="zh-CN"/>
        </w:rPr>
        <w:t>年一般公共预算财政拨款支出</w:t>
      </w:r>
      <w:r>
        <w:rPr>
          <w:rFonts w:hint="eastAsia" w:ascii="仿宋_GB2312" w:hAnsi="仿宋_GB2312" w:eastAsia="仿宋_GB2312" w:cs="仿宋_GB2312"/>
          <w:color w:val="auto"/>
          <w:sz w:val="32"/>
          <w:szCs w:val="32"/>
          <w:highlight w:val="none"/>
          <w:lang w:val="zh-CN" w:eastAsia="zh-CN"/>
        </w:rPr>
        <w:t>2067.63</w:t>
      </w:r>
      <w:r>
        <w:rPr>
          <w:rFonts w:hint="eastAsia" w:ascii="仿宋_GB2312" w:hAnsi="仿宋_GB2312" w:eastAsia="仿宋_GB2312" w:cs="仿宋_GB2312"/>
          <w:color w:val="auto"/>
          <w:sz w:val="32"/>
          <w:szCs w:val="32"/>
          <w:highlight w:val="none"/>
          <w:lang w:eastAsia="zh-CN"/>
        </w:rPr>
        <w:t>万元，主要用于以下方面:社会保障和就业支出</w:t>
      </w:r>
      <w:r>
        <w:rPr>
          <w:rFonts w:hint="eastAsia" w:ascii="仿宋_GB2312" w:hAnsi="仿宋_GB2312" w:eastAsia="仿宋_GB2312" w:cs="仿宋_GB2312"/>
          <w:color w:val="auto"/>
          <w:sz w:val="32"/>
          <w:szCs w:val="32"/>
          <w:highlight w:val="none"/>
          <w:lang w:val="zh-CN" w:eastAsia="zh-CN"/>
        </w:rPr>
        <w:t>2028.45</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color w:val="auto"/>
          <w:sz w:val="32"/>
          <w:szCs w:val="32"/>
          <w:highlight w:val="none"/>
          <w:lang w:val="zh-CN" w:eastAsia="zh-CN"/>
        </w:rPr>
        <w:t>98.1</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%；卫生健康支出</w:t>
      </w:r>
      <w:r>
        <w:rPr>
          <w:rFonts w:hint="eastAsia" w:ascii="仿宋_GB2312" w:hAnsi="仿宋_GB2312" w:eastAsia="仿宋_GB2312" w:cs="仿宋_GB2312"/>
          <w:color w:val="auto"/>
          <w:sz w:val="32"/>
          <w:szCs w:val="32"/>
          <w:highlight w:val="none"/>
          <w:lang w:val="zh-CN" w:eastAsia="zh-CN"/>
        </w:rPr>
        <w:t>11.27</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color w:val="auto"/>
          <w:sz w:val="32"/>
          <w:szCs w:val="32"/>
          <w:highlight w:val="none"/>
          <w:lang w:val="zh-CN" w:eastAsia="zh-CN"/>
        </w:rPr>
        <w:t>0.5</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CN"/>
        </w:rPr>
        <w:t>%；住房保障支出</w:t>
      </w:r>
      <w:r>
        <w:rPr>
          <w:rFonts w:hint="eastAsia" w:ascii="仿宋_GB2312" w:hAnsi="仿宋_GB2312" w:eastAsia="仿宋_GB2312" w:cs="仿宋_GB2312"/>
          <w:color w:val="auto"/>
          <w:sz w:val="32"/>
          <w:szCs w:val="32"/>
          <w:highlight w:val="none"/>
          <w:lang w:val="zh-CN" w:eastAsia="zh-CN"/>
        </w:rPr>
        <w:t>27.91</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color w:val="auto"/>
          <w:sz w:val="32"/>
          <w:szCs w:val="32"/>
          <w:highlight w:val="none"/>
          <w:lang w:val="zh-CN" w:eastAsia="zh-CN"/>
        </w:rPr>
        <w:t>1.3</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eastAsia="zh-CN"/>
        </w:rPr>
        <w:t>%。</w:t>
      </w:r>
    </w:p>
    <w:p>
      <w:pPr>
        <w:shd w:val="clear"/>
        <w:spacing w:line="600" w:lineRule="exact"/>
        <w:rPr>
          <w:rFonts w:hint="eastAsia" w:ascii="仿宋" w:hAnsi="仿宋" w:eastAsia="仿宋"/>
          <w:color w:val="auto"/>
          <w:sz w:val="32"/>
          <w:szCs w:val="32"/>
          <w:highlight w:val="none"/>
        </w:rPr>
      </w:pPr>
    </w:p>
    <w:p>
      <w:pPr>
        <w:pStyle w:val="2"/>
        <w:shd w:val="clear"/>
        <w:jc w:val="center"/>
        <w:rPr>
          <w:rFonts w:hint="eastAsia"/>
          <w:color w:val="auto"/>
          <w:highlight w:val="none"/>
        </w:rPr>
      </w:pPr>
      <w:r>
        <w:rPr>
          <w:rFonts w:ascii="宋体" w:hAnsi="宋体" w:eastAsia="宋体" w:cs="宋体"/>
          <w:color w:val="auto"/>
          <w:kern w:val="0"/>
          <w:sz w:val="24"/>
          <w:szCs w:val="24"/>
          <w:highlight w:val="none"/>
          <w:lang w:val="en-US" w:eastAsia="zh-CN" w:bidi="ar"/>
        </w:rPr>
        <w:drawing>
          <wp:inline distT="0" distB="0" distL="114300" distR="114300">
            <wp:extent cx="3674110" cy="2247265"/>
            <wp:effectExtent l="0" t="0" r="13970" b="8255"/>
            <wp:docPr id="8"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56"/>
                    <pic:cNvPicPr>
                      <a:picLocks noChangeAspect="1"/>
                    </pic:cNvPicPr>
                  </pic:nvPicPr>
                  <pic:blipFill>
                    <a:blip r:embed="rId13"/>
                    <a:stretch>
                      <a:fillRect/>
                    </a:stretch>
                  </pic:blipFill>
                  <pic:spPr>
                    <a:xfrm>
                      <a:off x="0" y="0"/>
                      <a:ext cx="3674110" cy="2247265"/>
                    </a:xfrm>
                    <a:prstGeom prst="rect">
                      <a:avLst/>
                    </a:prstGeom>
                    <a:noFill/>
                    <a:ln w="9525">
                      <a:noFill/>
                    </a:ln>
                  </pic:spPr>
                </pic:pic>
              </a:graphicData>
            </a:graphic>
          </wp:inline>
        </w:drawing>
      </w:r>
    </w:p>
    <w:p>
      <w:pPr>
        <w:shd w:val="clear"/>
        <w:spacing w:line="60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（图6：一般公共预算财政拨款支出决算结构）（饼状图）</w:t>
      </w:r>
    </w:p>
    <w:p>
      <w:pPr>
        <w:shd w:val="clear"/>
        <w:spacing w:line="600" w:lineRule="exact"/>
        <w:ind w:firstLine="643" w:firstLineChars="200"/>
        <w:outlineLvl w:val="2"/>
        <w:rPr>
          <w:rFonts w:hint="eastAsia" w:ascii="仿宋_GB2312" w:hAnsi="仿宋_GB2312" w:eastAsia="仿宋_GB2312" w:cs="仿宋_GB2312"/>
          <w:b/>
          <w:color w:val="auto"/>
          <w:sz w:val="32"/>
          <w:szCs w:val="32"/>
          <w:highlight w:val="none"/>
        </w:rPr>
      </w:pPr>
      <w:bookmarkStart w:id="42" w:name="_Toc15377212"/>
      <w:r>
        <w:rPr>
          <w:rFonts w:hint="eastAsia" w:ascii="仿宋_GB2312" w:hAnsi="仿宋_GB2312" w:eastAsia="仿宋_GB2312" w:cs="仿宋_GB2312"/>
          <w:b/>
          <w:color w:val="auto"/>
          <w:sz w:val="32"/>
          <w:szCs w:val="32"/>
          <w:highlight w:val="none"/>
        </w:rPr>
        <w:t>（三）一般公共预算财政拨款支出决算具体情况</w:t>
      </w:r>
      <w:bookmarkEnd w:id="42"/>
    </w:p>
    <w:p>
      <w:pPr>
        <w:shd w:val="clear"/>
        <w:spacing w:line="600" w:lineRule="exact"/>
        <w:ind w:firstLine="643" w:firstLineChars="200"/>
        <w:outlineLvl w:val="2"/>
        <w:rPr>
          <w:rFonts w:hint="eastAsia" w:ascii="仿宋_GB2312" w:hAnsi="仿宋_GB2312" w:eastAsia="仿宋_GB2312" w:cs="仿宋_GB2312"/>
          <w:color w:val="auto"/>
          <w:sz w:val="32"/>
          <w:szCs w:val="32"/>
          <w:highlight w:val="none"/>
        </w:rPr>
      </w:pPr>
      <w:bookmarkStart w:id="43" w:name="_Toc15377444"/>
      <w:bookmarkStart w:id="44" w:name="_Toc15377213"/>
      <w:bookmarkStart w:id="45" w:name="_Toc15378460"/>
      <w:r>
        <w:rPr>
          <w:rFonts w:hint="eastAsia" w:ascii="仿宋_GB2312" w:hAnsi="仿宋_GB2312" w:eastAsia="仿宋_GB2312" w:cs="仿宋_GB2312"/>
          <w:b/>
          <w:color w:val="auto"/>
          <w:sz w:val="32"/>
          <w:szCs w:val="32"/>
          <w:highlight w:val="none"/>
        </w:rPr>
        <w:t>20</w:t>
      </w:r>
      <w:r>
        <w:rPr>
          <w:rFonts w:hint="eastAsia" w:ascii="仿宋_GB2312" w:hAnsi="仿宋_GB2312" w:eastAsia="仿宋_GB2312" w:cs="仿宋_GB2312"/>
          <w:b/>
          <w:color w:val="auto"/>
          <w:sz w:val="32"/>
          <w:szCs w:val="32"/>
          <w:highlight w:val="none"/>
          <w:lang w:val="en-US" w:eastAsia="zh-CN"/>
        </w:rPr>
        <w:t>22</w:t>
      </w:r>
      <w:r>
        <w:rPr>
          <w:rFonts w:hint="eastAsia" w:ascii="仿宋_GB2312" w:hAnsi="仿宋_GB2312" w:eastAsia="仿宋_GB2312" w:cs="仿宋_GB2312"/>
          <w:b/>
          <w:color w:val="auto"/>
          <w:sz w:val="32"/>
          <w:szCs w:val="32"/>
          <w:highlight w:val="none"/>
        </w:rPr>
        <w:t>年</w:t>
      </w:r>
      <w:r>
        <w:rPr>
          <w:rFonts w:hint="eastAsia" w:ascii="仿宋_GB2312" w:hAnsi="仿宋_GB2312" w:eastAsia="仿宋_GB2312" w:cs="仿宋_GB2312"/>
          <w:b/>
          <w:color w:val="auto"/>
          <w:sz w:val="32"/>
          <w:szCs w:val="32"/>
          <w:highlight w:val="none"/>
          <w:lang w:eastAsia="zh-CN"/>
        </w:rPr>
        <w:t>一</w:t>
      </w:r>
      <w:r>
        <w:rPr>
          <w:rFonts w:hint="eastAsia" w:ascii="仿宋_GB2312" w:hAnsi="仿宋_GB2312" w:eastAsia="仿宋_GB2312" w:cs="仿宋_GB2312"/>
          <w:b/>
          <w:color w:val="auto"/>
          <w:sz w:val="32"/>
          <w:szCs w:val="32"/>
          <w:highlight w:val="none"/>
        </w:rPr>
        <w:t>般公共预算支出决算数为</w:t>
      </w:r>
      <w:r>
        <w:rPr>
          <w:rFonts w:hint="eastAsia" w:ascii="仿宋_GB2312" w:hAnsi="仿宋_GB2312" w:eastAsia="仿宋_GB2312" w:cs="仿宋_GB2312"/>
          <w:b/>
          <w:color w:val="auto"/>
          <w:kern w:val="2"/>
          <w:sz w:val="32"/>
          <w:szCs w:val="24"/>
          <w:highlight w:val="none"/>
          <w:lang w:val="zh-CN"/>
        </w:rPr>
        <w:t>2067.63</w:t>
      </w:r>
      <w:r>
        <w:rPr>
          <w:rFonts w:hint="eastAsia" w:ascii="仿宋_GB2312" w:hAnsi="仿宋_GB2312" w:eastAsia="仿宋_GB2312" w:cs="仿宋_GB2312"/>
          <w:b/>
          <w:color w:val="auto"/>
          <w:kern w:val="2"/>
          <w:sz w:val="32"/>
          <w:szCs w:val="24"/>
          <w:highlight w:val="none"/>
          <w:lang w:val="zh-CN" w:eastAsia="zh-CN"/>
        </w:rPr>
        <w:t>万元</w:t>
      </w:r>
      <w:r>
        <w:rPr>
          <w:rFonts w:hint="eastAsia" w:ascii="仿宋_GB2312" w:hAnsi="仿宋_GB2312" w:eastAsia="仿宋_GB2312" w:cs="仿宋_GB2312"/>
          <w:color w:val="auto"/>
          <w:sz w:val="32"/>
          <w:szCs w:val="32"/>
          <w:highlight w:val="none"/>
        </w:rPr>
        <w:t>，</w:t>
      </w:r>
      <w:r>
        <w:rPr>
          <w:rStyle w:val="15"/>
          <w:rFonts w:hint="eastAsia" w:ascii="仿宋_GB2312" w:hAnsi="仿宋_GB2312" w:eastAsia="仿宋_GB2312" w:cs="仿宋_GB2312"/>
          <w:bCs/>
          <w:color w:val="auto"/>
          <w:sz w:val="32"/>
          <w:szCs w:val="32"/>
          <w:highlight w:val="none"/>
        </w:rPr>
        <w:t>完成预算</w:t>
      </w:r>
      <w:r>
        <w:rPr>
          <w:rFonts w:hint="eastAsia" w:ascii="仿宋_GB2312" w:hAnsi="仿宋_GB2312" w:eastAsia="仿宋_GB2312" w:cs="仿宋_GB2312"/>
          <w:b/>
          <w:color w:val="auto"/>
          <w:kern w:val="2"/>
          <w:sz w:val="32"/>
          <w:szCs w:val="24"/>
          <w:highlight w:val="none"/>
          <w:lang w:val="zh-CN"/>
        </w:rPr>
        <w:t>91.7</w:t>
      </w:r>
      <w:r>
        <w:rPr>
          <w:rFonts w:hint="eastAsia" w:ascii="仿宋_GB2312" w:hAnsi="仿宋_GB2312" w:eastAsia="仿宋_GB2312" w:cs="仿宋_GB2312"/>
          <w:b/>
          <w:color w:val="auto"/>
          <w:kern w:val="2"/>
          <w:sz w:val="32"/>
          <w:szCs w:val="24"/>
          <w:highlight w:val="none"/>
          <w:lang w:val="en-US" w:eastAsia="zh-CN"/>
        </w:rPr>
        <w:t>2</w:t>
      </w:r>
      <w:r>
        <w:rPr>
          <w:rStyle w:val="15"/>
          <w:rFonts w:hint="eastAsia" w:ascii="仿宋_GB2312" w:hAnsi="仿宋_GB2312" w:eastAsia="仿宋_GB2312" w:cs="仿宋_GB2312"/>
          <w:bCs/>
          <w:color w:val="auto"/>
          <w:sz w:val="32"/>
          <w:szCs w:val="32"/>
          <w:highlight w:val="none"/>
        </w:rPr>
        <w:t>%。其中：</w:t>
      </w:r>
      <w:bookmarkEnd w:id="43"/>
      <w:bookmarkEnd w:id="44"/>
      <w:bookmarkEnd w:id="45"/>
    </w:p>
    <w:p>
      <w:pPr>
        <w:numPr>
          <w:ilvl w:val="0"/>
          <w:numId w:val="0"/>
        </w:numPr>
        <w:shd w:val="clear"/>
        <w:spacing w:line="600" w:lineRule="exact"/>
        <w:ind w:firstLine="643" w:firstLineChars="200"/>
        <w:rPr>
          <w:rStyle w:val="15"/>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1.</w:t>
      </w:r>
      <w:r>
        <w:rPr>
          <w:rStyle w:val="15"/>
          <w:rFonts w:hint="eastAsia" w:ascii="仿宋_GB2312" w:hAnsi="仿宋_GB2312" w:eastAsia="仿宋_GB2312" w:cs="仿宋_GB2312"/>
          <w:bCs/>
          <w:color w:val="auto"/>
          <w:sz w:val="32"/>
          <w:szCs w:val="32"/>
          <w:highlight w:val="none"/>
        </w:rPr>
        <w:t>社会保障和就业（类）行政事业单位养老支出（款）机关事业单位基本养老保险缴费支出（项）:</w:t>
      </w:r>
      <w:r>
        <w:rPr>
          <w:rStyle w:val="15"/>
          <w:rFonts w:hint="eastAsia" w:ascii="仿宋_GB2312" w:hAnsi="仿宋_GB2312" w:eastAsia="仿宋_GB2312" w:cs="仿宋_GB2312"/>
          <w:b w:val="0"/>
          <w:bCs/>
          <w:color w:val="auto"/>
          <w:sz w:val="32"/>
          <w:szCs w:val="32"/>
          <w:highlight w:val="none"/>
        </w:rPr>
        <w:t xml:space="preserve"> 支出决算为</w:t>
      </w:r>
      <w:r>
        <w:rPr>
          <w:rStyle w:val="15"/>
          <w:rFonts w:hint="eastAsia" w:ascii="仿宋_GB2312" w:hAnsi="仿宋_GB2312" w:eastAsia="仿宋_GB2312" w:cs="仿宋_GB2312"/>
          <w:b w:val="0"/>
          <w:bCs/>
          <w:color w:val="auto"/>
          <w:sz w:val="32"/>
          <w:szCs w:val="32"/>
          <w:highlight w:val="none"/>
          <w:lang w:val="en-US" w:eastAsia="zh-CN"/>
        </w:rPr>
        <w:t>21.94</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%，决算数与预算数持平。</w:t>
      </w:r>
    </w:p>
    <w:p>
      <w:pPr>
        <w:shd w:val="clear"/>
        <w:spacing w:line="600" w:lineRule="exact"/>
        <w:ind w:firstLine="420" w:firstLineChars="200"/>
        <w:rPr>
          <w:rStyle w:val="15"/>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color w:val="auto"/>
          <w:highlight w:val="none"/>
          <w:lang w:val="en-US" w:eastAsia="zh-CN"/>
        </w:rPr>
        <w:t xml:space="preserve">   </w:t>
      </w:r>
      <w:r>
        <w:rPr>
          <w:rFonts w:hint="eastAsia" w:ascii="仿宋_GB2312" w:hAnsi="仿宋_GB2312" w:eastAsia="仿宋_GB2312" w:cs="仿宋_GB2312"/>
          <w:b/>
          <w:bCs/>
          <w:color w:val="auto"/>
          <w:sz w:val="32"/>
          <w:szCs w:val="32"/>
          <w:highlight w:val="none"/>
          <w:lang w:val="en-US" w:eastAsia="zh-CN"/>
        </w:rPr>
        <w:t>2.</w:t>
      </w:r>
      <w:r>
        <w:rPr>
          <w:rStyle w:val="15"/>
          <w:rFonts w:hint="eastAsia" w:ascii="仿宋_GB2312" w:hAnsi="仿宋_GB2312" w:eastAsia="仿宋_GB2312" w:cs="仿宋_GB2312"/>
          <w:bCs/>
          <w:color w:val="auto"/>
          <w:sz w:val="32"/>
          <w:szCs w:val="32"/>
          <w:highlight w:val="none"/>
        </w:rPr>
        <w:t>社会保障和就业（类）退役安置(款)军队移交政府离退休干部管理机构（项）:</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30.33</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%，决算数与预算数持平。</w:t>
      </w:r>
    </w:p>
    <w:p>
      <w:pPr>
        <w:pStyle w:val="2"/>
        <w:shd w:val="clear"/>
        <w:ind w:firstLine="640"/>
        <w:rPr>
          <w:rStyle w:val="15"/>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bCs/>
          <w:color w:val="auto"/>
          <w:kern w:val="2"/>
          <w:sz w:val="32"/>
          <w:szCs w:val="32"/>
          <w:highlight w:val="none"/>
          <w:lang w:val="en-US" w:eastAsia="zh-CN" w:bidi="ar-SA"/>
        </w:rPr>
        <w:t>3.</w:t>
      </w:r>
      <w:r>
        <w:rPr>
          <w:rStyle w:val="15"/>
          <w:rFonts w:hint="eastAsia" w:ascii="仿宋_GB2312" w:hAnsi="仿宋_GB2312" w:eastAsia="仿宋_GB2312" w:cs="仿宋_GB2312"/>
          <w:bCs/>
          <w:color w:val="auto"/>
          <w:sz w:val="32"/>
          <w:szCs w:val="32"/>
          <w:highlight w:val="none"/>
        </w:rPr>
        <w:t>社会保障和就业（类）退役安置(款)军队转业干部安置（项）</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158.88</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89.66</w:t>
      </w:r>
      <w:r>
        <w:rPr>
          <w:rStyle w:val="15"/>
          <w:rFonts w:hint="eastAsia" w:ascii="仿宋_GB2312" w:hAnsi="仿宋_GB2312" w:eastAsia="仿宋_GB2312" w:cs="仿宋_GB2312"/>
          <w:b w:val="0"/>
          <w:bCs/>
          <w:color w:val="auto"/>
          <w:sz w:val="32"/>
          <w:szCs w:val="32"/>
          <w:highlight w:val="none"/>
        </w:rPr>
        <w:t>%，决算数小于预算数。</w:t>
      </w:r>
      <w:r>
        <w:rPr>
          <w:rFonts w:hint="eastAsia" w:ascii="仿宋_GB2312" w:hAnsi="仿宋_GB2312" w:eastAsia="仿宋_GB2312" w:cs="仿宋_GB2312"/>
          <w:color w:val="auto"/>
          <w:sz w:val="32"/>
          <w:szCs w:val="32"/>
          <w:highlight w:val="none"/>
        </w:rPr>
        <w:t>主要原因是军转干部行政经费</w:t>
      </w:r>
      <w:r>
        <w:rPr>
          <w:rFonts w:hint="eastAsia" w:ascii="仿宋_GB2312" w:hAnsi="仿宋_GB2312" w:eastAsia="仿宋_GB2312" w:cs="仿宋_GB2312"/>
          <w:color w:val="auto"/>
          <w:sz w:val="32"/>
          <w:szCs w:val="32"/>
          <w:highlight w:val="none"/>
          <w:lang w:eastAsia="zh-CN"/>
        </w:rPr>
        <w:t>项目</w:t>
      </w:r>
      <w:r>
        <w:rPr>
          <w:rFonts w:hint="eastAsia" w:ascii="仿宋_GB2312" w:hAnsi="仿宋_GB2312" w:eastAsia="仿宋_GB2312" w:cs="仿宋_GB2312"/>
          <w:color w:val="auto"/>
          <w:sz w:val="32"/>
          <w:szCs w:val="32"/>
          <w:highlight w:val="none"/>
        </w:rPr>
        <w:t>未支付完结，资金待支付。</w:t>
      </w:r>
      <w:r>
        <w:rPr>
          <w:rStyle w:val="15"/>
          <w:rFonts w:hint="eastAsia" w:ascii="仿宋_GB2312" w:hAnsi="仿宋_GB2312" w:eastAsia="仿宋_GB2312" w:cs="仿宋_GB2312"/>
          <w:b w:val="0"/>
          <w:bCs/>
          <w:color w:val="auto"/>
          <w:sz w:val="32"/>
          <w:szCs w:val="32"/>
          <w:highlight w:val="none"/>
        </w:rPr>
        <w:t xml:space="preserve"> </w:t>
      </w:r>
    </w:p>
    <w:p>
      <w:pPr>
        <w:pStyle w:val="2"/>
        <w:shd w:val="clear"/>
        <w:ind w:firstLine="640"/>
        <w:rPr>
          <w:rStyle w:val="15"/>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bCs/>
          <w:color w:val="auto"/>
          <w:kern w:val="2"/>
          <w:sz w:val="32"/>
          <w:szCs w:val="32"/>
          <w:highlight w:val="none"/>
          <w:lang w:val="en-US" w:eastAsia="zh-CN" w:bidi="ar-SA"/>
        </w:rPr>
        <w:t>4.</w:t>
      </w:r>
      <w:r>
        <w:rPr>
          <w:rStyle w:val="15"/>
          <w:rFonts w:hint="eastAsia" w:ascii="仿宋_GB2312" w:hAnsi="仿宋_GB2312" w:eastAsia="仿宋_GB2312" w:cs="仿宋_GB2312"/>
          <w:bCs/>
          <w:color w:val="auto"/>
          <w:sz w:val="32"/>
          <w:szCs w:val="32"/>
          <w:highlight w:val="none"/>
        </w:rPr>
        <w:t>社会保障和就业（类）退役安置(款)其他退役安置支出（项）：</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1.7</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1.45</w:t>
      </w:r>
      <w:r>
        <w:rPr>
          <w:rStyle w:val="15"/>
          <w:rFonts w:hint="eastAsia" w:ascii="仿宋_GB2312" w:hAnsi="仿宋_GB2312" w:eastAsia="仿宋_GB2312" w:cs="仿宋_GB2312"/>
          <w:b w:val="0"/>
          <w:bCs/>
          <w:color w:val="auto"/>
          <w:sz w:val="32"/>
          <w:szCs w:val="32"/>
          <w:highlight w:val="none"/>
        </w:rPr>
        <w:t>%，决算数小于预算数。</w:t>
      </w:r>
      <w:r>
        <w:rPr>
          <w:rFonts w:hint="eastAsia" w:ascii="仿宋_GB2312" w:hAnsi="仿宋_GB2312" w:eastAsia="仿宋_GB2312" w:cs="仿宋_GB2312"/>
          <w:color w:val="auto"/>
          <w:sz w:val="32"/>
          <w:szCs w:val="32"/>
          <w:highlight w:val="none"/>
        </w:rPr>
        <w:t>主要原因是</w:t>
      </w:r>
      <w:r>
        <w:rPr>
          <w:rFonts w:hint="eastAsia" w:ascii="仿宋_GB2312" w:hAnsi="仿宋_GB2312" w:eastAsia="仿宋_GB2312" w:cs="仿宋_GB2312"/>
          <w:color w:val="auto"/>
          <w:sz w:val="32"/>
          <w:szCs w:val="32"/>
          <w:highlight w:val="none"/>
          <w:lang w:eastAsia="zh-CN"/>
        </w:rPr>
        <w:t>困难军人关爱帮扶基金项目</w:t>
      </w:r>
      <w:r>
        <w:rPr>
          <w:rStyle w:val="15"/>
          <w:rFonts w:hint="eastAsia" w:ascii="仿宋_GB2312" w:hAnsi="仿宋_GB2312" w:eastAsia="仿宋_GB2312" w:cs="仿宋_GB2312"/>
          <w:b w:val="0"/>
          <w:bCs/>
          <w:color w:val="auto"/>
          <w:sz w:val="32"/>
          <w:szCs w:val="32"/>
          <w:highlight w:val="none"/>
        </w:rPr>
        <w:t>支出202</w:t>
      </w:r>
      <w:r>
        <w:rPr>
          <w:rStyle w:val="15"/>
          <w:rFonts w:hint="eastAsia" w:ascii="仿宋_GB2312" w:hAnsi="仿宋_GB2312" w:eastAsia="仿宋_GB2312" w:cs="仿宋_GB2312"/>
          <w:b w:val="0"/>
          <w:bCs/>
          <w:color w:val="auto"/>
          <w:sz w:val="32"/>
          <w:szCs w:val="32"/>
          <w:highlight w:val="none"/>
          <w:lang w:val="en-US" w:eastAsia="zh-CN"/>
        </w:rPr>
        <w:t>2年未</w:t>
      </w:r>
      <w:r>
        <w:rPr>
          <w:rStyle w:val="15"/>
          <w:rFonts w:hint="eastAsia" w:ascii="仿宋_GB2312" w:hAnsi="仿宋_GB2312" w:eastAsia="仿宋_GB2312" w:cs="仿宋_GB2312"/>
          <w:b w:val="0"/>
          <w:bCs/>
          <w:color w:val="auto"/>
          <w:sz w:val="32"/>
          <w:szCs w:val="32"/>
          <w:highlight w:val="none"/>
        </w:rPr>
        <w:t>完成，202</w:t>
      </w:r>
      <w:r>
        <w:rPr>
          <w:rStyle w:val="15"/>
          <w:rFonts w:hint="eastAsia" w:ascii="仿宋_GB2312" w:hAnsi="仿宋_GB2312" w:eastAsia="仿宋_GB2312" w:cs="仿宋_GB2312"/>
          <w:b w:val="0"/>
          <w:bCs/>
          <w:color w:val="auto"/>
          <w:sz w:val="32"/>
          <w:szCs w:val="32"/>
          <w:highlight w:val="none"/>
          <w:lang w:val="en-US" w:eastAsia="zh-CN"/>
        </w:rPr>
        <w:t>3</w:t>
      </w:r>
      <w:r>
        <w:rPr>
          <w:rStyle w:val="15"/>
          <w:rFonts w:hint="eastAsia" w:ascii="仿宋_GB2312" w:hAnsi="仿宋_GB2312" w:eastAsia="仿宋_GB2312" w:cs="仿宋_GB2312"/>
          <w:b w:val="0"/>
          <w:bCs/>
          <w:color w:val="auto"/>
          <w:sz w:val="32"/>
          <w:szCs w:val="32"/>
          <w:highlight w:val="none"/>
        </w:rPr>
        <w:t>年还将继续实施</w:t>
      </w:r>
      <w:r>
        <w:rPr>
          <w:rFonts w:hint="eastAsia" w:ascii="仿宋_GB2312" w:hAnsi="仿宋_GB2312" w:eastAsia="仿宋_GB2312" w:cs="仿宋_GB2312"/>
          <w:color w:val="auto"/>
          <w:sz w:val="32"/>
          <w:szCs w:val="32"/>
          <w:highlight w:val="none"/>
        </w:rPr>
        <w:t>。</w:t>
      </w:r>
      <w:r>
        <w:rPr>
          <w:rStyle w:val="15"/>
          <w:rFonts w:hint="eastAsia" w:ascii="仿宋_GB2312" w:hAnsi="仿宋_GB2312" w:eastAsia="仿宋_GB2312" w:cs="仿宋_GB2312"/>
          <w:b w:val="0"/>
          <w:bCs/>
          <w:color w:val="auto"/>
          <w:sz w:val="32"/>
          <w:szCs w:val="32"/>
          <w:highlight w:val="none"/>
        </w:rPr>
        <w:t xml:space="preserve"> </w:t>
      </w:r>
    </w:p>
    <w:p>
      <w:pPr>
        <w:pStyle w:val="2"/>
        <w:shd w:val="clear"/>
        <w:ind w:firstLine="640"/>
        <w:rPr>
          <w:rStyle w:val="15"/>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bCs/>
          <w:color w:val="auto"/>
          <w:kern w:val="2"/>
          <w:sz w:val="32"/>
          <w:szCs w:val="32"/>
          <w:highlight w:val="none"/>
          <w:lang w:val="en-US" w:eastAsia="zh-CN" w:bidi="ar-SA"/>
        </w:rPr>
        <w:t>5.</w:t>
      </w:r>
      <w:r>
        <w:rPr>
          <w:rStyle w:val="15"/>
          <w:rFonts w:hint="eastAsia" w:ascii="仿宋_GB2312" w:hAnsi="仿宋_GB2312" w:eastAsia="仿宋_GB2312" w:cs="仿宋_GB2312"/>
          <w:bCs/>
          <w:color w:val="auto"/>
          <w:sz w:val="32"/>
          <w:szCs w:val="32"/>
          <w:highlight w:val="none"/>
        </w:rPr>
        <w:t>社会保障和就业（类）退役军人管理事务(款)行政运行（项）：</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318.18</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%，决算数与预算数持平。</w:t>
      </w:r>
    </w:p>
    <w:p>
      <w:pPr>
        <w:shd w:val="clear"/>
        <w:spacing w:line="600" w:lineRule="exact"/>
        <w:ind w:firstLine="643" w:firstLineChars="200"/>
        <w:rPr>
          <w:rStyle w:val="15"/>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6.</w:t>
      </w:r>
      <w:r>
        <w:rPr>
          <w:rStyle w:val="15"/>
          <w:rFonts w:hint="eastAsia" w:ascii="仿宋_GB2312" w:hAnsi="仿宋_GB2312" w:eastAsia="仿宋_GB2312" w:cs="仿宋_GB2312"/>
          <w:bCs/>
          <w:color w:val="auto"/>
          <w:sz w:val="32"/>
          <w:szCs w:val="32"/>
          <w:highlight w:val="none"/>
        </w:rPr>
        <w:t>社会保障和就业（类）退役军人管理事务(款)其他退役军人事务管理支出（项）：</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1497.42</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96.58</w:t>
      </w:r>
      <w:r>
        <w:rPr>
          <w:rStyle w:val="15"/>
          <w:rFonts w:hint="eastAsia" w:ascii="仿宋_GB2312" w:hAnsi="仿宋_GB2312" w:eastAsia="仿宋_GB2312" w:cs="仿宋_GB2312"/>
          <w:b w:val="0"/>
          <w:bCs/>
          <w:color w:val="auto"/>
          <w:sz w:val="32"/>
          <w:szCs w:val="32"/>
          <w:highlight w:val="none"/>
        </w:rPr>
        <w:t>%，决算数小于预算数，主要原因是</w:t>
      </w:r>
      <w:r>
        <w:rPr>
          <w:rStyle w:val="15"/>
          <w:rFonts w:hint="eastAsia" w:ascii="仿宋_GB2312" w:hAnsi="仿宋_GB2312" w:eastAsia="仿宋_GB2312" w:cs="仿宋_GB2312"/>
          <w:b w:val="0"/>
          <w:bCs/>
          <w:color w:val="auto"/>
          <w:sz w:val="32"/>
          <w:szCs w:val="32"/>
          <w:highlight w:val="none"/>
          <w:lang w:eastAsia="zh-CN"/>
        </w:rPr>
        <w:t>部分</w:t>
      </w:r>
      <w:r>
        <w:rPr>
          <w:rStyle w:val="15"/>
          <w:rFonts w:hint="eastAsia" w:ascii="仿宋_GB2312" w:hAnsi="仿宋_GB2312" w:eastAsia="仿宋_GB2312" w:cs="仿宋_GB2312"/>
          <w:b w:val="0"/>
          <w:bCs/>
          <w:color w:val="auto"/>
          <w:sz w:val="32"/>
          <w:szCs w:val="32"/>
          <w:highlight w:val="none"/>
        </w:rPr>
        <w:t>项目支出202</w:t>
      </w:r>
      <w:r>
        <w:rPr>
          <w:rStyle w:val="15"/>
          <w:rFonts w:hint="eastAsia" w:ascii="仿宋_GB2312" w:hAnsi="仿宋_GB2312" w:eastAsia="仿宋_GB2312" w:cs="仿宋_GB2312"/>
          <w:b w:val="0"/>
          <w:bCs/>
          <w:color w:val="auto"/>
          <w:sz w:val="32"/>
          <w:szCs w:val="32"/>
          <w:highlight w:val="none"/>
          <w:lang w:val="en-US" w:eastAsia="zh-CN"/>
        </w:rPr>
        <w:t>2年未</w:t>
      </w:r>
      <w:r>
        <w:rPr>
          <w:rStyle w:val="15"/>
          <w:rFonts w:hint="eastAsia" w:ascii="仿宋_GB2312" w:hAnsi="仿宋_GB2312" w:eastAsia="仿宋_GB2312" w:cs="仿宋_GB2312"/>
          <w:b w:val="0"/>
          <w:bCs/>
          <w:color w:val="auto"/>
          <w:sz w:val="32"/>
          <w:szCs w:val="32"/>
          <w:highlight w:val="none"/>
        </w:rPr>
        <w:t>完成，202</w:t>
      </w:r>
      <w:r>
        <w:rPr>
          <w:rStyle w:val="15"/>
          <w:rFonts w:hint="eastAsia" w:ascii="仿宋_GB2312" w:hAnsi="仿宋_GB2312" w:eastAsia="仿宋_GB2312" w:cs="仿宋_GB2312"/>
          <w:b w:val="0"/>
          <w:bCs/>
          <w:color w:val="auto"/>
          <w:sz w:val="32"/>
          <w:szCs w:val="32"/>
          <w:highlight w:val="none"/>
          <w:lang w:val="en-US" w:eastAsia="zh-CN"/>
        </w:rPr>
        <w:t>3</w:t>
      </w:r>
      <w:r>
        <w:rPr>
          <w:rStyle w:val="15"/>
          <w:rFonts w:hint="eastAsia" w:ascii="仿宋_GB2312" w:hAnsi="仿宋_GB2312" w:eastAsia="仿宋_GB2312" w:cs="仿宋_GB2312"/>
          <w:b w:val="0"/>
          <w:bCs/>
          <w:color w:val="auto"/>
          <w:sz w:val="32"/>
          <w:szCs w:val="32"/>
          <w:highlight w:val="none"/>
        </w:rPr>
        <w:t>年还将继续实施。</w:t>
      </w:r>
    </w:p>
    <w:p>
      <w:pPr>
        <w:shd w:val="clear"/>
        <w:spacing w:line="600" w:lineRule="exact"/>
        <w:ind w:firstLine="643" w:firstLineChars="200"/>
        <w:rPr>
          <w:rStyle w:val="15"/>
          <w:rFonts w:hint="eastAsia" w:ascii="仿宋_GB2312" w:hAnsi="仿宋_GB2312" w:eastAsia="仿宋_GB2312" w:cs="仿宋_GB2312"/>
          <w:b w:val="0"/>
          <w:bCs/>
          <w:color w:val="auto"/>
          <w:sz w:val="32"/>
          <w:szCs w:val="32"/>
          <w:highlight w:val="none"/>
        </w:rPr>
      </w:pPr>
      <w:r>
        <w:rPr>
          <w:rStyle w:val="15"/>
          <w:rFonts w:hint="eastAsia" w:ascii="仿宋_GB2312" w:hAnsi="仿宋_GB2312" w:eastAsia="仿宋_GB2312" w:cs="仿宋_GB2312"/>
          <w:bCs/>
          <w:color w:val="auto"/>
          <w:sz w:val="32"/>
          <w:szCs w:val="32"/>
          <w:highlight w:val="none"/>
          <w:lang w:val="en-US" w:eastAsia="zh-CN"/>
        </w:rPr>
        <w:t>7</w:t>
      </w:r>
      <w:r>
        <w:rPr>
          <w:rStyle w:val="15"/>
          <w:rFonts w:hint="eastAsia" w:ascii="仿宋_GB2312" w:hAnsi="仿宋_GB2312" w:eastAsia="仿宋_GB2312" w:cs="仿宋_GB2312"/>
          <w:bCs/>
          <w:color w:val="auto"/>
          <w:sz w:val="32"/>
          <w:szCs w:val="32"/>
          <w:highlight w:val="none"/>
        </w:rPr>
        <w:t>.</w:t>
      </w:r>
      <w:r>
        <w:rPr>
          <w:rFonts w:hint="eastAsia" w:ascii="仿宋_GB2312" w:hAnsi="仿宋_GB2312" w:eastAsia="仿宋_GB2312" w:cs="仿宋_GB2312"/>
          <w:b/>
          <w:bCs/>
          <w:color w:val="auto"/>
          <w:sz w:val="32"/>
          <w:szCs w:val="32"/>
          <w:highlight w:val="none"/>
        </w:rPr>
        <w:t>卫生健康</w:t>
      </w:r>
      <w:r>
        <w:rPr>
          <w:rStyle w:val="15"/>
          <w:rFonts w:hint="eastAsia" w:ascii="仿宋_GB2312" w:hAnsi="仿宋_GB2312" w:eastAsia="仿宋_GB2312" w:cs="仿宋_GB2312"/>
          <w:bCs/>
          <w:color w:val="auto"/>
          <w:sz w:val="32"/>
          <w:szCs w:val="32"/>
          <w:highlight w:val="none"/>
        </w:rPr>
        <w:t>（类）行政事业单位医疗（款）行政单位医疗（项）:</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11.27</w:t>
      </w:r>
      <w:r>
        <w:rPr>
          <w:rStyle w:val="15"/>
          <w:rFonts w:hint="eastAsia" w:ascii="仿宋_GB2312" w:hAnsi="仿宋_GB2312" w:eastAsia="仿宋_GB2312" w:cs="仿宋_GB2312"/>
          <w:b w:val="0"/>
          <w:bCs/>
          <w:color w:val="auto"/>
          <w:sz w:val="32"/>
          <w:szCs w:val="32"/>
          <w:highlight w:val="none"/>
        </w:rPr>
        <w:t>万元，完成预算100%，决算与预算数持平。</w:t>
      </w:r>
    </w:p>
    <w:p>
      <w:pPr>
        <w:shd w:val="clear"/>
        <w:spacing w:line="600" w:lineRule="exact"/>
        <w:ind w:firstLine="643" w:firstLineChars="200"/>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8</w:t>
      </w:r>
      <w:r>
        <w:rPr>
          <w:rFonts w:hint="eastAsia" w:ascii="仿宋_GB2312" w:hAnsi="仿宋_GB2312" w:eastAsia="仿宋_GB2312" w:cs="仿宋_GB2312"/>
          <w:b/>
          <w:bCs/>
          <w:color w:val="auto"/>
          <w:sz w:val="32"/>
          <w:szCs w:val="32"/>
          <w:highlight w:val="none"/>
        </w:rPr>
        <w:t>.住房保障支出</w:t>
      </w:r>
      <w:r>
        <w:rPr>
          <w:rStyle w:val="15"/>
          <w:rFonts w:hint="eastAsia" w:ascii="仿宋_GB2312" w:hAnsi="仿宋_GB2312" w:eastAsia="仿宋_GB2312" w:cs="仿宋_GB2312"/>
          <w:bCs/>
          <w:color w:val="auto"/>
          <w:sz w:val="32"/>
          <w:szCs w:val="32"/>
          <w:highlight w:val="none"/>
        </w:rPr>
        <w:t>（类）住房改革支出（款）住房公积金（项）:</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27.91</w:t>
      </w:r>
      <w:r>
        <w:rPr>
          <w:rStyle w:val="15"/>
          <w:rFonts w:hint="eastAsia" w:ascii="仿宋_GB2312" w:hAnsi="仿宋_GB2312" w:eastAsia="仿宋_GB2312" w:cs="仿宋_GB2312"/>
          <w:b w:val="0"/>
          <w:bCs/>
          <w:color w:val="auto"/>
          <w:sz w:val="32"/>
          <w:szCs w:val="32"/>
          <w:highlight w:val="none"/>
        </w:rPr>
        <w:t>万元，完成预算100%，决算数与预算数持平。</w:t>
      </w:r>
    </w:p>
    <w:p>
      <w:pPr>
        <w:shd w:val="clear"/>
        <w:tabs>
          <w:tab w:val="right" w:pos="8306"/>
        </w:tabs>
        <w:spacing w:line="600" w:lineRule="exact"/>
        <w:ind w:firstLine="640"/>
        <w:outlineLvl w:val="1"/>
        <w:rPr>
          <w:rStyle w:val="18"/>
          <w:color w:val="auto"/>
          <w:highlight w:val="none"/>
        </w:rPr>
      </w:pPr>
      <w:bookmarkStart w:id="46" w:name="_Toc15396608"/>
      <w:bookmarkStart w:id="47" w:name="_Toc15377214"/>
      <w:bookmarkStart w:id="48" w:name="_Toc895"/>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8"/>
          <w:rFonts w:hint="eastAsia" w:ascii="黑体" w:hAnsi="黑体" w:eastAsia="黑体"/>
          <w:b w:val="0"/>
          <w:color w:val="auto"/>
          <w:highlight w:val="none"/>
        </w:rPr>
        <w:t>般公共预算财政拨款基本支出决算情况说明</w:t>
      </w:r>
      <w:bookmarkEnd w:id="46"/>
      <w:bookmarkEnd w:id="47"/>
      <w:bookmarkEnd w:id="48"/>
      <w:r>
        <w:rPr>
          <w:rStyle w:val="18"/>
          <w:rFonts w:ascii="黑体" w:hAnsi="黑体" w:eastAsia="黑体"/>
          <w:b w:val="0"/>
          <w:color w:val="auto"/>
          <w:highlight w:val="none"/>
        </w:rPr>
        <w:tab/>
      </w:r>
    </w:p>
    <w:p>
      <w:pPr>
        <w:shd w:val="clear"/>
        <w:spacing w:line="600" w:lineRule="exact"/>
        <w:ind w:firstLine="645"/>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年一般公共预算财政拨款基本支出</w:t>
      </w:r>
      <w:r>
        <w:rPr>
          <w:rFonts w:hint="eastAsia" w:ascii="仿宋_GB2312" w:hAnsi="仿宋_GB2312" w:eastAsia="仿宋_GB2312" w:cs="仿宋_GB2312"/>
          <w:color w:val="auto"/>
          <w:kern w:val="2"/>
          <w:sz w:val="32"/>
          <w:szCs w:val="24"/>
          <w:highlight w:val="none"/>
          <w:lang w:val="zh-CN"/>
        </w:rPr>
        <w:t>379.3</w:t>
      </w:r>
      <w:r>
        <w:rPr>
          <w:rFonts w:hint="eastAsia" w:ascii="仿宋_GB2312" w:hAnsi="仿宋_GB2312" w:eastAsia="仿宋_GB2312" w:cs="仿宋_GB2312"/>
          <w:color w:val="auto"/>
          <w:kern w:val="2"/>
          <w:sz w:val="32"/>
          <w:szCs w:val="24"/>
          <w:highlight w:val="none"/>
          <w:lang w:val="en-US" w:eastAsia="zh-CN"/>
        </w:rPr>
        <w:t>0</w:t>
      </w:r>
      <w:r>
        <w:rPr>
          <w:rFonts w:hint="eastAsia" w:ascii="仿宋_GB2312" w:hAnsi="仿宋_GB2312" w:eastAsia="仿宋_GB2312" w:cs="仿宋_GB2312"/>
          <w:color w:val="auto"/>
          <w:sz w:val="32"/>
          <w:szCs w:val="32"/>
          <w:highlight w:val="none"/>
        </w:rPr>
        <w:t>万元，其中：</w:t>
      </w:r>
    </w:p>
    <w:p>
      <w:pPr>
        <w:shd w:val="clear"/>
        <w:spacing w:line="600" w:lineRule="exact"/>
        <w:ind w:firstLine="645"/>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rPr>
        <w:t>人员经费</w:t>
      </w:r>
      <w:r>
        <w:rPr>
          <w:rFonts w:hint="eastAsia" w:ascii="仿宋_GB2312" w:hAnsi="仿宋_GB2312" w:eastAsia="仿宋_GB2312" w:cs="仿宋_GB2312"/>
          <w:color w:val="auto"/>
          <w:kern w:val="2"/>
          <w:sz w:val="32"/>
          <w:szCs w:val="24"/>
          <w:highlight w:val="none"/>
          <w:lang w:val="zh-CN"/>
        </w:rPr>
        <w:t>306.49</w:t>
      </w:r>
      <w:r>
        <w:rPr>
          <w:rFonts w:hint="eastAsia" w:ascii="仿宋_GB2312" w:hAnsi="仿宋_GB2312" w:eastAsia="仿宋_GB2312" w:cs="仿宋_GB2312"/>
          <w:color w:val="auto"/>
          <w:sz w:val="32"/>
          <w:szCs w:val="32"/>
          <w:highlight w:val="none"/>
        </w:rPr>
        <w:t>万元，主要包括：基本工资、津贴补贴、奖金、机关事业单位基本养老保险缴费、职工基本医疗保险缴费、其他社会保障缴费、住房公积金</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奖励金。</w:t>
      </w:r>
      <w:r>
        <w:rPr>
          <w:rFonts w:hint="eastAsia" w:ascii="仿宋_GB2312" w:hAnsi="仿宋_GB2312" w:eastAsia="仿宋_GB2312" w:cs="仿宋_GB2312"/>
          <w:color w:val="auto"/>
          <w:sz w:val="32"/>
          <w:szCs w:val="32"/>
          <w:highlight w:val="none"/>
        </w:rPr>
        <w:br w:type="textWrapping"/>
      </w:r>
      <w:r>
        <w:rPr>
          <w:rFonts w:hint="eastAsia" w:ascii="仿宋_GB2312" w:hAnsi="仿宋_GB2312" w:eastAsia="仿宋_GB2312" w:cs="仿宋_GB2312"/>
          <w:color w:val="auto"/>
          <w:sz w:val="32"/>
          <w:szCs w:val="32"/>
          <w:highlight w:val="none"/>
        </w:rPr>
        <w:t>　　公用经费</w:t>
      </w:r>
      <w:r>
        <w:rPr>
          <w:rFonts w:hint="eastAsia" w:ascii="仿宋_GB2312" w:hAnsi="仿宋_GB2312" w:eastAsia="仿宋_GB2312" w:cs="仿宋_GB2312"/>
          <w:color w:val="auto"/>
          <w:kern w:val="2"/>
          <w:sz w:val="32"/>
          <w:szCs w:val="24"/>
          <w:highlight w:val="none"/>
          <w:lang w:val="zh-CN"/>
        </w:rPr>
        <w:t>72.81</w:t>
      </w:r>
      <w:r>
        <w:rPr>
          <w:rFonts w:hint="eastAsia" w:ascii="仿宋_GB2312" w:hAnsi="仿宋_GB2312" w:eastAsia="仿宋_GB2312" w:cs="仿宋_GB2312"/>
          <w:color w:val="auto"/>
          <w:sz w:val="32"/>
          <w:szCs w:val="32"/>
          <w:highlight w:val="none"/>
        </w:rPr>
        <w:t>万元，主要包括：办公费、水费、电费、邮电费、物业管理费、差旅费、维修（护）费、租赁费、会议费、培训费、公务接待费、劳务费、工会经费、福利费、其他交通费</w:t>
      </w:r>
      <w:r>
        <w:rPr>
          <w:rFonts w:hint="eastAsia" w:ascii="仿宋_GB2312" w:hAnsi="仿宋_GB2312" w:eastAsia="仿宋_GB2312" w:cs="仿宋_GB2312"/>
          <w:color w:val="auto"/>
          <w:sz w:val="32"/>
          <w:szCs w:val="32"/>
          <w:highlight w:val="none"/>
          <w:lang w:val="en-US" w:eastAsia="zh-CN"/>
        </w:rPr>
        <w:t>用</w:t>
      </w:r>
      <w:r>
        <w:rPr>
          <w:rFonts w:hint="eastAsia" w:ascii="仿宋_GB2312" w:hAnsi="仿宋_GB2312" w:eastAsia="仿宋_GB2312" w:cs="仿宋_GB2312"/>
          <w:color w:val="auto"/>
          <w:sz w:val="32"/>
          <w:szCs w:val="32"/>
          <w:highlight w:val="none"/>
        </w:rPr>
        <w:t>、其他商品和服务支出。</w:t>
      </w:r>
    </w:p>
    <w:p>
      <w:pPr>
        <w:shd w:val="clear"/>
        <w:spacing w:line="600" w:lineRule="exact"/>
        <w:ind w:firstLine="640"/>
        <w:outlineLvl w:val="1"/>
        <w:rPr>
          <w:rStyle w:val="18"/>
          <w:rFonts w:ascii="黑体" w:hAnsi="黑体" w:eastAsia="黑体"/>
          <w:b w:val="0"/>
          <w:color w:val="auto"/>
          <w:highlight w:val="none"/>
        </w:rPr>
      </w:pPr>
      <w:bookmarkStart w:id="49" w:name="_Toc15377215"/>
      <w:bookmarkStart w:id="50" w:name="_Toc15396609"/>
      <w:bookmarkStart w:id="51" w:name="_Toc8409"/>
      <w:r>
        <w:rPr>
          <w:rFonts w:hint="eastAsia" w:ascii="黑体" w:eastAsia="黑体"/>
          <w:color w:val="auto"/>
          <w:sz w:val="32"/>
          <w:szCs w:val="32"/>
          <w:highlight w:val="none"/>
        </w:rPr>
        <w:t>七、</w:t>
      </w:r>
      <w:r>
        <w:rPr>
          <w:rStyle w:val="18"/>
          <w:rFonts w:hint="eastAsia" w:ascii="黑体" w:hAnsi="黑体" w:eastAsia="黑体"/>
          <w:b w:val="0"/>
          <w:color w:val="auto"/>
          <w:highlight w:val="none"/>
        </w:rPr>
        <w:t>财政拨款</w:t>
      </w:r>
      <w:r>
        <w:rPr>
          <w:rStyle w:val="18"/>
          <w:rFonts w:hint="eastAsia" w:ascii="黑体" w:hAnsi="黑体" w:eastAsia="黑体"/>
          <w:color w:val="auto"/>
          <w:highlight w:val="none"/>
        </w:rPr>
        <w:t>“</w:t>
      </w:r>
      <w:r>
        <w:rPr>
          <w:rStyle w:val="18"/>
          <w:rFonts w:hint="eastAsia" w:ascii="黑体" w:hAnsi="黑体" w:eastAsia="黑体"/>
          <w:b w:val="0"/>
          <w:color w:val="auto"/>
          <w:highlight w:val="none"/>
        </w:rPr>
        <w:t>三公”经费支出决算情况说明</w:t>
      </w:r>
      <w:bookmarkEnd w:id="49"/>
      <w:bookmarkEnd w:id="50"/>
      <w:bookmarkEnd w:id="51"/>
    </w:p>
    <w:p>
      <w:pPr>
        <w:shd w:val="clear"/>
        <w:spacing w:line="600" w:lineRule="exact"/>
        <w:ind w:firstLine="640"/>
        <w:outlineLvl w:val="2"/>
        <w:rPr>
          <w:rFonts w:hint="eastAsia" w:ascii="仿宋_GB2312" w:hAnsi="仿宋_GB2312" w:eastAsia="仿宋_GB2312" w:cs="仿宋_GB2312"/>
          <w:b/>
          <w:color w:val="auto"/>
          <w:sz w:val="32"/>
          <w:szCs w:val="32"/>
          <w:highlight w:val="none"/>
        </w:rPr>
      </w:pPr>
      <w:bookmarkStart w:id="52" w:name="_Toc15377216"/>
      <w:r>
        <w:rPr>
          <w:rFonts w:hint="eastAsia" w:ascii="仿宋_GB2312" w:hAnsi="仿宋_GB2312" w:eastAsia="仿宋_GB2312" w:cs="仿宋_GB2312"/>
          <w:b/>
          <w:color w:val="auto"/>
          <w:sz w:val="32"/>
          <w:szCs w:val="32"/>
          <w:highlight w:val="none"/>
        </w:rPr>
        <w:t>（一）“三公”经费财政拨款支出决算总体情况说明</w:t>
      </w:r>
      <w:bookmarkEnd w:id="52"/>
    </w:p>
    <w:p>
      <w:pPr>
        <w:shd w:val="clea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年“三公”经费财政拨款支出决算为</w:t>
      </w:r>
      <w:r>
        <w:rPr>
          <w:rFonts w:hint="eastAsia" w:ascii="仿宋_GB2312" w:hAnsi="仿宋_GB2312" w:eastAsia="仿宋_GB2312" w:cs="仿宋_GB2312"/>
          <w:color w:val="auto"/>
          <w:kern w:val="2"/>
          <w:sz w:val="32"/>
          <w:szCs w:val="24"/>
          <w:highlight w:val="none"/>
          <w:lang w:val="zh-CN"/>
        </w:rPr>
        <w:t>0.42</w:t>
      </w:r>
      <w:r>
        <w:rPr>
          <w:rFonts w:hint="eastAsia" w:ascii="仿宋_GB2312" w:hAnsi="仿宋_GB2312" w:eastAsia="仿宋_GB2312" w:cs="仿宋_GB2312"/>
          <w:color w:val="auto"/>
          <w:sz w:val="32"/>
          <w:szCs w:val="32"/>
          <w:highlight w:val="none"/>
        </w:rPr>
        <w:t>万元，完成预算</w:t>
      </w:r>
      <w:r>
        <w:rPr>
          <w:rFonts w:hint="eastAsia" w:ascii="仿宋_GB2312" w:hAnsi="仿宋_GB2312" w:eastAsia="仿宋_GB2312" w:cs="仿宋_GB2312"/>
          <w:color w:val="auto"/>
          <w:kern w:val="2"/>
          <w:sz w:val="32"/>
          <w:szCs w:val="24"/>
          <w:highlight w:val="none"/>
          <w:lang w:val="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较上年</w:t>
      </w:r>
      <w:r>
        <w:rPr>
          <w:rFonts w:hint="eastAsia" w:ascii="仿宋_GB2312" w:hAnsi="仿宋_GB2312" w:eastAsia="仿宋_GB2312" w:cs="仿宋_GB2312"/>
          <w:color w:val="auto"/>
          <w:sz w:val="32"/>
          <w:szCs w:val="32"/>
          <w:highlight w:val="none"/>
          <w:lang w:val="en-US" w:eastAsia="zh-CN"/>
        </w:rPr>
        <w:t>减少</w:t>
      </w:r>
      <w:r>
        <w:rPr>
          <w:rFonts w:hint="eastAsia" w:ascii="仿宋_GB2312" w:hAnsi="仿宋_GB2312" w:eastAsia="仿宋_GB2312" w:cs="仿宋_GB2312"/>
          <w:color w:val="auto"/>
          <w:kern w:val="2"/>
          <w:sz w:val="32"/>
          <w:szCs w:val="24"/>
          <w:highlight w:val="none"/>
          <w:lang w:val="zh-CN"/>
        </w:rPr>
        <w:t>0.34</w:t>
      </w:r>
      <w:r>
        <w:rPr>
          <w:rFonts w:hint="eastAsia" w:ascii="仿宋_GB2312" w:hAnsi="仿宋_GB2312" w:eastAsia="仿宋_GB2312" w:cs="仿宋_GB2312"/>
          <w:color w:val="auto"/>
          <w:sz w:val="32"/>
          <w:szCs w:val="32"/>
          <w:highlight w:val="none"/>
          <w:lang w:val="en-US" w:eastAsia="zh-CN"/>
        </w:rPr>
        <w:t>万元，下降</w:t>
      </w:r>
      <w:r>
        <w:rPr>
          <w:rFonts w:hint="eastAsia" w:ascii="仿宋_GB2312" w:hAnsi="仿宋_GB2312" w:eastAsia="仿宋_GB2312" w:cs="仿宋_GB2312"/>
          <w:color w:val="auto"/>
          <w:kern w:val="2"/>
          <w:sz w:val="32"/>
          <w:szCs w:val="24"/>
          <w:highlight w:val="none"/>
          <w:lang w:val="zh-CN"/>
        </w:rPr>
        <w:t>44.7</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决算数与预算数持平的主要原因是</w:t>
      </w:r>
      <w:r>
        <w:rPr>
          <w:rFonts w:hint="eastAsia" w:ascii="仿宋_GB2312" w:hAnsi="仿宋_GB2312" w:eastAsia="仿宋_GB2312" w:cs="仿宋_GB2312"/>
          <w:color w:val="auto"/>
          <w:sz w:val="32"/>
          <w:szCs w:val="32"/>
          <w:highlight w:val="none"/>
          <w:lang w:eastAsia="zh-CN"/>
        </w:rPr>
        <w:t>认真贯彻落实</w:t>
      </w:r>
      <w:r>
        <w:rPr>
          <w:rFonts w:hint="eastAsia" w:ascii="仿宋_GB2312" w:hAnsi="仿宋_GB2312" w:eastAsia="仿宋_GB2312" w:cs="仿宋_GB2312"/>
          <w:color w:val="auto"/>
          <w:sz w:val="32"/>
          <w:szCs w:val="32"/>
          <w:highlight w:val="none"/>
        </w:rPr>
        <w:t>过紧日子“十三条措施”有关要求，</w:t>
      </w:r>
      <w:r>
        <w:rPr>
          <w:rFonts w:hint="eastAsia" w:ascii="仿宋_GB2312" w:hAnsi="仿宋_GB2312" w:eastAsia="仿宋_GB2312" w:cs="仿宋_GB2312"/>
          <w:color w:val="auto"/>
          <w:sz w:val="32"/>
          <w:szCs w:val="32"/>
          <w:highlight w:val="none"/>
          <w:lang w:eastAsia="zh-CN"/>
        </w:rPr>
        <w:t>厉行节约，从严控制“三公”经费开支</w:t>
      </w:r>
      <w:r>
        <w:rPr>
          <w:rFonts w:hint="eastAsia" w:ascii="仿宋_GB2312" w:hAnsi="仿宋_GB2312" w:eastAsia="仿宋_GB2312" w:cs="仿宋_GB2312"/>
          <w:color w:val="auto"/>
          <w:sz w:val="32"/>
          <w:szCs w:val="32"/>
          <w:highlight w:val="none"/>
        </w:rPr>
        <w:t>。</w:t>
      </w:r>
    </w:p>
    <w:p>
      <w:pPr>
        <w:shd w:val="clear"/>
        <w:spacing w:line="600" w:lineRule="exact"/>
        <w:ind w:firstLine="640"/>
        <w:outlineLvl w:val="2"/>
        <w:rPr>
          <w:rFonts w:hint="eastAsia" w:ascii="仿宋_GB2312" w:hAnsi="仿宋_GB2312" w:eastAsia="仿宋_GB2312" w:cs="仿宋_GB2312"/>
          <w:b/>
          <w:color w:val="auto"/>
          <w:sz w:val="32"/>
          <w:szCs w:val="32"/>
          <w:highlight w:val="none"/>
        </w:rPr>
      </w:pPr>
      <w:bookmarkStart w:id="53" w:name="_Toc15377217"/>
      <w:r>
        <w:rPr>
          <w:rFonts w:hint="eastAsia" w:ascii="仿宋_GB2312" w:hAnsi="仿宋_GB2312" w:eastAsia="仿宋_GB2312" w:cs="仿宋_GB2312"/>
          <w:b/>
          <w:color w:val="auto"/>
          <w:sz w:val="32"/>
          <w:szCs w:val="32"/>
          <w:highlight w:val="none"/>
        </w:rPr>
        <w:t>（二）“三公”经费财政拨款支出决算具体情况说明</w:t>
      </w:r>
      <w:bookmarkEnd w:id="53"/>
    </w:p>
    <w:p>
      <w:pPr>
        <w:shd w:val="clear"/>
        <w:spacing w:line="600" w:lineRule="exact"/>
        <w:ind w:firstLine="64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年“三公”经费财政拨款支出决算中，因公出国（境）费支出决算</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kern w:val="2"/>
          <w:sz w:val="32"/>
          <w:szCs w:val="24"/>
          <w:highlight w:val="none"/>
          <w:lang w:val="zh-CN"/>
        </w:rPr>
        <w:t>0</w:t>
      </w:r>
      <w:r>
        <w:rPr>
          <w:rFonts w:hint="eastAsia" w:ascii="仿宋_GB2312" w:hAnsi="仿宋_GB2312" w:eastAsia="仿宋_GB2312" w:cs="仿宋_GB2312"/>
          <w:color w:val="auto"/>
          <w:sz w:val="32"/>
          <w:szCs w:val="32"/>
          <w:highlight w:val="none"/>
        </w:rPr>
        <w:t>%；公务用车购置及运行维护费支出决算</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%；公务接待费支出决算</w:t>
      </w:r>
      <w:r>
        <w:rPr>
          <w:rFonts w:hint="eastAsia" w:ascii="仿宋_GB2312" w:hAnsi="仿宋_GB2312" w:eastAsia="仿宋_GB2312" w:cs="仿宋_GB2312"/>
          <w:color w:val="auto"/>
          <w:kern w:val="2"/>
          <w:sz w:val="32"/>
          <w:szCs w:val="24"/>
          <w:highlight w:val="none"/>
          <w:lang w:val="zh-CN"/>
        </w:rPr>
        <w:t>0.42</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%。具体情况如下：</w:t>
      </w:r>
    </w:p>
    <w:p>
      <w:pPr>
        <w:pStyle w:val="2"/>
        <w:shd w:val="clear"/>
        <w:jc w:val="center"/>
        <w:rPr>
          <w:color w:val="auto"/>
          <w:highlight w:val="none"/>
        </w:rPr>
      </w:pPr>
      <w:r>
        <w:rPr>
          <w:rFonts w:ascii="宋体" w:hAnsi="宋体" w:eastAsia="宋体" w:cs="宋体"/>
          <w:color w:val="auto"/>
          <w:kern w:val="0"/>
          <w:sz w:val="24"/>
          <w:szCs w:val="24"/>
          <w:highlight w:val="none"/>
          <w:lang w:val="en-US" w:eastAsia="zh-CN" w:bidi="ar"/>
        </w:rPr>
        <w:drawing>
          <wp:inline distT="0" distB="0" distL="114300" distR="114300">
            <wp:extent cx="3249930" cy="2112645"/>
            <wp:effectExtent l="0" t="0" r="11430" b="5715"/>
            <wp:docPr id="9"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IMG_256"/>
                    <pic:cNvPicPr>
                      <a:picLocks noChangeAspect="1"/>
                    </pic:cNvPicPr>
                  </pic:nvPicPr>
                  <pic:blipFill>
                    <a:blip r:embed="rId14"/>
                    <a:stretch>
                      <a:fillRect/>
                    </a:stretch>
                  </pic:blipFill>
                  <pic:spPr>
                    <a:xfrm>
                      <a:off x="0" y="0"/>
                      <a:ext cx="3249930" cy="2112645"/>
                    </a:xfrm>
                    <a:prstGeom prst="rect">
                      <a:avLst/>
                    </a:prstGeom>
                    <a:noFill/>
                    <a:ln w="9525">
                      <a:noFill/>
                    </a:ln>
                  </pic:spPr>
                </pic:pic>
              </a:graphicData>
            </a:graphic>
          </wp:inline>
        </w:drawing>
      </w:r>
    </w:p>
    <w:p>
      <w:pPr>
        <w:shd w:val="clear"/>
        <w:spacing w:line="60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（图7：“三公”经费财政拨款支出结构）（饼状图）</w:t>
      </w:r>
    </w:p>
    <w:p>
      <w:pPr>
        <w:shd w:val="clear"/>
        <w:spacing w:line="600" w:lineRule="exact"/>
        <w:ind w:firstLine="640"/>
        <w:rPr>
          <w:rFonts w:hint="eastAsia" w:ascii="仿宋_GB2312" w:hAnsi="仿宋_GB2312" w:eastAsia="仿宋_GB2312" w:cs="仿宋_GB2312"/>
          <w:color w:val="auto"/>
          <w:highlight w:val="none"/>
        </w:rPr>
      </w:pPr>
      <w:r>
        <w:rPr>
          <w:rFonts w:hint="eastAsia" w:ascii="仿宋_GB2312" w:hAnsi="仿宋_GB2312" w:eastAsia="仿宋_GB2312" w:cs="仿宋_GB2312"/>
          <w:b/>
          <w:color w:val="auto"/>
          <w:sz w:val="32"/>
          <w:szCs w:val="32"/>
          <w:highlight w:val="none"/>
        </w:rPr>
        <w:t>1.因公出国（境）经费支出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b/>
          <w:color w:val="auto"/>
          <w:sz w:val="32"/>
          <w:szCs w:val="32"/>
          <w:highlight w:val="none"/>
          <w:lang w:val="en-US" w:eastAsia="zh-CN"/>
        </w:rPr>
        <w:t>年初未安排预算</w:t>
      </w:r>
      <w:r>
        <w:rPr>
          <w:rStyle w:val="15"/>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color w:val="auto"/>
          <w:sz w:val="32"/>
          <w:szCs w:val="32"/>
          <w:highlight w:val="none"/>
          <w:lang w:val="en-US" w:eastAsia="zh-CN"/>
        </w:rPr>
        <w:t>因公出国</w:t>
      </w:r>
      <w:r>
        <w:rPr>
          <w:rFonts w:hint="eastAsia" w:ascii="仿宋_GB2312" w:hAnsi="仿宋_GB2312" w:eastAsia="仿宋_GB2312" w:cs="仿宋_GB2312"/>
          <w:b/>
          <w:color w:val="auto"/>
          <w:sz w:val="32"/>
          <w:szCs w:val="32"/>
          <w:highlight w:val="none"/>
        </w:rPr>
        <w:t>（境）</w:t>
      </w:r>
      <w:r>
        <w:rPr>
          <w:rFonts w:hint="eastAsia" w:ascii="仿宋_GB2312" w:hAnsi="仿宋_GB2312" w:eastAsia="仿宋_GB2312" w:cs="仿宋_GB2312"/>
          <w:b/>
          <w:color w:val="auto"/>
          <w:sz w:val="32"/>
          <w:szCs w:val="32"/>
          <w:highlight w:val="none"/>
          <w:lang w:val="en-US" w:eastAsia="zh-CN"/>
        </w:rPr>
        <w:t>支出决算较2021年无变化。</w:t>
      </w:r>
    </w:p>
    <w:p>
      <w:pPr>
        <w:keepNext w:val="0"/>
        <w:keepLines w:val="0"/>
        <w:pageBreakBefore w:val="0"/>
        <w:widowControl w:val="0"/>
        <w:shd w:val="clear"/>
        <w:kinsoku/>
        <w:wordWrap/>
        <w:overflowPunct/>
        <w:topLinePunct w:val="0"/>
        <w:autoSpaceDE/>
        <w:autoSpaceDN/>
        <w:bidi w:val="0"/>
        <w:adjustRightInd/>
        <w:snapToGrid/>
        <w:spacing w:line="610" w:lineRule="exact"/>
        <w:ind w:firstLine="640"/>
        <w:textAlignment w:val="auto"/>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2.公务用车购置及运行维护费支出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b/>
          <w:color w:val="auto"/>
          <w:sz w:val="32"/>
          <w:szCs w:val="32"/>
          <w:highlight w:val="none"/>
          <w:lang w:val="en-US" w:eastAsia="zh-CN"/>
        </w:rPr>
        <w:t>年初未安排预算</w:t>
      </w:r>
      <w:r>
        <w:rPr>
          <w:rStyle w:val="15"/>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color w:val="auto"/>
          <w:sz w:val="32"/>
          <w:szCs w:val="32"/>
          <w:highlight w:val="none"/>
        </w:rPr>
        <w:t>公务用车购置及运行维护费支出决算</w:t>
      </w:r>
      <w:r>
        <w:rPr>
          <w:rFonts w:hint="eastAsia" w:ascii="仿宋_GB2312" w:hAnsi="仿宋_GB2312" w:eastAsia="仿宋_GB2312" w:cs="仿宋_GB2312"/>
          <w:color w:val="auto"/>
          <w:sz w:val="32"/>
          <w:szCs w:val="32"/>
          <w:highlight w:val="none"/>
          <w:lang w:eastAsia="zh-CN"/>
        </w:rPr>
        <w:t>较</w:t>
      </w: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无变化</w:t>
      </w:r>
      <w:r>
        <w:rPr>
          <w:rFonts w:hint="eastAsia" w:ascii="仿宋_GB2312" w:hAnsi="仿宋_GB2312" w:eastAsia="仿宋_GB2312" w:cs="仿宋_GB2312"/>
          <w:color w:val="auto"/>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610" w:lineRule="exact"/>
        <w:ind w:firstLine="640" w:firstLineChars="200"/>
        <w:textAlignment w:val="auto"/>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rPr>
        <w:t>其中：</w:t>
      </w:r>
      <w:r>
        <w:rPr>
          <w:rFonts w:hint="eastAsia" w:ascii="仿宋_GB2312" w:hAnsi="仿宋_GB2312" w:eastAsia="仿宋_GB2312" w:cs="仿宋_GB2312"/>
          <w:b/>
          <w:color w:val="auto"/>
          <w:sz w:val="32"/>
          <w:szCs w:val="32"/>
          <w:highlight w:val="none"/>
        </w:rPr>
        <w:t>公务用车购置支出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万元。全年</w:t>
      </w:r>
      <w:r>
        <w:rPr>
          <w:rFonts w:hint="eastAsia" w:ascii="仿宋_GB2312" w:hAnsi="仿宋_GB2312" w:eastAsia="仿宋_GB2312" w:cs="仿宋_GB2312"/>
          <w:color w:val="auto"/>
          <w:sz w:val="32"/>
          <w:szCs w:val="32"/>
          <w:highlight w:val="none"/>
          <w:lang w:val="en-US" w:eastAsia="zh-CN"/>
        </w:rPr>
        <w:t>未购置公务用车。</w:t>
      </w:r>
      <w:r>
        <w:rPr>
          <w:rFonts w:hint="eastAsia" w:ascii="仿宋_GB2312" w:hAnsi="仿宋_GB2312" w:eastAsia="仿宋_GB2312" w:cs="仿宋_GB2312"/>
          <w:color w:val="auto"/>
          <w:sz w:val="32"/>
          <w:szCs w:val="32"/>
          <w:highlight w:val="none"/>
        </w:rPr>
        <w:t>截至20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年12月底，单位共有公务用车</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辆。</w:t>
      </w:r>
    </w:p>
    <w:p>
      <w:pPr>
        <w:keepNext w:val="0"/>
        <w:keepLines w:val="0"/>
        <w:pageBreakBefore w:val="0"/>
        <w:widowControl w:val="0"/>
        <w:shd w:val="clear"/>
        <w:kinsoku/>
        <w:wordWrap/>
        <w:overflowPunct/>
        <w:topLinePunct w:val="0"/>
        <w:autoSpaceDE/>
        <w:autoSpaceDN/>
        <w:bidi w:val="0"/>
        <w:adjustRightInd/>
        <w:snapToGrid/>
        <w:spacing w:line="610" w:lineRule="exact"/>
        <w:ind w:firstLine="64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b/>
          <w:color w:val="auto"/>
          <w:sz w:val="32"/>
          <w:szCs w:val="32"/>
          <w:highlight w:val="none"/>
        </w:rPr>
        <w:t>公务用车运行维护费支出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w:t>
      </w:r>
    </w:p>
    <w:p>
      <w:pPr>
        <w:keepNext w:val="0"/>
        <w:keepLines w:val="0"/>
        <w:pageBreakBefore w:val="0"/>
        <w:widowControl w:val="0"/>
        <w:shd w:val="clear"/>
        <w:kinsoku/>
        <w:wordWrap/>
        <w:overflowPunct/>
        <w:topLinePunct w:val="0"/>
        <w:autoSpaceDE/>
        <w:autoSpaceDN/>
        <w:bidi w:val="0"/>
        <w:adjustRightInd/>
        <w:snapToGrid/>
        <w:spacing w:line="61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3.公务接待费支出</w:t>
      </w:r>
      <w:r>
        <w:rPr>
          <w:rFonts w:hint="eastAsia" w:ascii="仿宋_GB2312" w:hAnsi="仿宋_GB2312" w:eastAsia="仿宋_GB2312" w:cs="仿宋_GB2312"/>
          <w:color w:val="auto"/>
          <w:kern w:val="2"/>
          <w:sz w:val="32"/>
          <w:szCs w:val="24"/>
          <w:highlight w:val="none"/>
          <w:lang w:val="zh-CN"/>
        </w:rPr>
        <w:t>0.42</w:t>
      </w:r>
      <w:r>
        <w:rPr>
          <w:rFonts w:hint="eastAsia" w:ascii="仿宋_GB2312" w:hAnsi="仿宋_GB2312" w:eastAsia="仿宋_GB2312" w:cs="仿宋_GB2312"/>
          <w:color w:val="auto"/>
          <w:sz w:val="32"/>
          <w:szCs w:val="32"/>
          <w:highlight w:val="none"/>
        </w:rPr>
        <w:t>万元，</w:t>
      </w:r>
      <w:r>
        <w:rPr>
          <w:rStyle w:val="15"/>
          <w:rFonts w:hint="eastAsia" w:ascii="仿宋_GB2312" w:hAnsi="仿宋_GB2312" w:eastAsia="仿宋_GB2312" w:cs="仿宋_GB2312"/>
          <w:b w:val="0"/>
          <w:bCs/>
          <w:color w:val="auto"/>
          <w:sz w:val="32"/>
          <w:szCs w:val="32"/>
          <w:highlight w:val="none"/>
        </w:rPr>
        <w:t>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color w:val="auto"/>
          <w:sz w:val="32"/>
          <w:szCs w:val="32"/>
          <w:highlight w:val="none"/>
        </w:rPr>
        <w:t>公务接待费支出决算比20</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rPr>
        <w:t>年减少</w:t>
      </w:r>
      <w:r>
        <w:rPr>
          <w:rFonts w:hint="eastAsia" w:ascii="仿宋_GB2312" w:hAnsi="仿宋_GB2312" w:eastAsia="仿宋_GB2312" w:cs="仿宋_GB2312"/>
          <w:color w:val="auto"/>
          <w:kern w:val="2"/>
          <w:sz w:val="32"/>
          <w:szCs w:val="24"/>
          <w:highlight w:val="none"/>
          <w:lang w:val="zh-CN"/>
        </w:rPr>
        <w:t>0.34</w:t>
      </w:r>
      <w:r>
        <w:rPr>
          <w:rFonts w:hint="eastAsia" w:ascii="仿宋_GB2312" w:hAnsi="仿宋_GB2312" w:eastAsia="仿宋_GB2312" w:cs="仿宋_GB2312"/>
          <w:color w:val="auto"/>
          <w:sz w:val="32"/>
          <w:szCs w:val="32"/>
          <w:highlight w:val="none"/>
        </w:rPr>
        <w:t>万元，下降</w:t>
      </w:r>
      <w:r>
        <w:rPr>
          <w:rFonts w:hint="eastAsia" w:ascii="仿宋_GB2312" w:hAnsi="仿宋_GB2312" w:eastAsia="仿宋_GB2312" w:cs="仿宋_GB2312"/>
          <w:color w:val="auto"/>
          <w:kern w:val="2"/>
          <w:sz w:val="32"/>
          <w:szCs w:val="24"/>
          <w:highlight w:val="none"/>
          <w:lang w:val="zh-CN"/>
        </w:rPr>
        <w:t>44.7</w:t>
      </w:r>
      <w:r>
        <w:rPr>
          <w:rFonts w:hint="eastAsia" w:ascii="仿宋_GB2312" w:hAnsi="仿宋_GB2312" w:eastAsia="仿宋_GB2312" w:cs="仿宋_GB2312"/>
          <w:color w:val="auto"/>
          <w:kern w:val="2"/>
          <w:sz w:val="32"/>
          <w:szCs w:val="24"/>
          <w:highlight w:val="none"/>
          <w:lang w:val="en-US" w:eastAsia="zh-CN"/>
        </w:rPr>
        <w:t>4</w:t>
      </w:r>
      <w:r>
        <w:rPr>
          <w:rFonts w:hint="eastAsia" w:ascii="仿宋_GB2312" w:hAnsi="仿宋_GB2312" w:eastAsia="仿宋_GB2312" w:cs="仿宋_GB2312"/>
          <w:color w:val="auto"/>
          <w:sz w:val="32"/>
          <w:szCs w:val="32"/>
          <w:highlight w:val="none"/>
        </w:rPr>
        <w:t>%。主要原因</w:t>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是</w:t>
      </w:r>
      <w:r>
        <w:rPr>
          <w:rFonts w:hint="eastAsia" w:ascii="仿宋_GB2312" w:hAnsi="仿宋_GB2312" w:eastAsia="仿宋_GB2312" w:cs="仿宋_GB2312"/>
          <w:b w:val="0"/>
          <w:bCs w:val="0"/>
          <w:color w:val="auto"/>
          <w:sz w:val="32"/>
          <w:szCs w:val="32"/>
          <w:highlight w:val="none"/>
        </w:rPr>
        <w:t>倡导厉行节约，规范公务接待，严格控制公务接待标准和陪餐人数</w:t>
      </w:r>
      <w:r>
        <w:rPr>
          <w:rFonts w:hint="eastAsia" w:ascii="仿宋_GB2312" w:hAnsi="仿宋_GB2312" w:eastAsia="仿宋_GB2312" w:cs="仿宋_GB2312"/>
          <w:b w:val="0"/>
          <w:bCs w:val="0"/>
          <w:color w:val="auto"/>
          <w:sz w:val="32"/>
          <w:szCs w:val="32"/>
          <w:highlight w:val="none"/>
          <w:lang w:eastAsia="zh-CN"/>
        </w:rPr>
        <w:t>；二是</w:t>
      </w:r>
      <w:r>
        <w:rPr>
          <w:rFonts w:hint="eastAsia" w:ascii="仿宋_GB2312" w:hAnsi="仿宋_GB2312" w:eastAsia="仿宋_GB2312" w:cs="仿宋_GB2312"/>
          <w:color w:val="auto"/>
          <w:kern w:val="2"/>
          <w:sz w:val="32"/>
          <w:szCs w:val="32"/>
          <w:highlight w:val="none"/>
          <w:lang w:val="en-US" w:eastAsia="zh-CN" w:bidi="ar-SA"/>
        </w:rPr>
        <w:t>受疫情影响，交流学习、调研人数较上年减少，接待任务减少</w:t>
      </w:r>
      <w:r>
        <w:rPr>
          <w:rFonts w:hint="eastAsia" w:ascii="仿宋_GB2312" w:hAnsi="仿宋_GB2312" w:eastAsia="仿宋_GB2312" w:cs="仿宋_GB2312"/>
          <w:color w:val="auto"/>
          <w:sz w:val="32"/>
          <w:szCs w:val="32"/>
          <w:highlight w:val="none"/>
        </w:rPr>
        <w:t>。其中：</w:t>
      </w:r>
    </w:p>
    <w:p>
      <w:pPr>
        <w:keepNext w:val="0"/>
        <w:keepLines w:val="0"/>
        <w:pageBreakBefore w:val="0"/>
        <w:widowControl w:val="0"/>
        <w:shd w:val="clear"/>
        <w:kinsoku/>
        <w:wordWrap/>
        <w:overflowPunct/>
        <w:topLinePunct w:val="0"/>
        <w:autoSpaceDE/>
        <w:autoSpaceDN/>
        <w:bidi w:val="0"/>
        <w:adjustRightInd/>
        <w:snapToGrid/>
        <w:spacing w:line="61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国内公务接待支出</w:t>
      </w:r>
      <w:r>
        <w:rPr>
          <w:rFonts w:hint="eastAsia" w:ascii="仿宋_GB2312" w:hAnsi="仿宋_GB2312" w:eastAsia="仿宋_GB2312" w:cs="仿宋_GB2312"/>
          <w:color w:val="auto"/>
          <w:kern w:val="2"/>
          <w:sz w:val="32"/>
          <w:szCs w:val="24"/>
          <w:highlight w:val="none"/>
          <w:lang w:val="zh-CN"/>
        </w:rPr>
        <w:t>0.42</w:t>
      </w:r>
      <w:r>
        <w:rPr>
          <w:rFonts w:hint="eastAsia" w:ascii="仿宋_GB2312" w:hAnsi="仿宋_GB2312" w:eastAsia="仿宋_GB2312" w:cs="仿宋_GB2312"/>
          <w:color w:val="auto"/>
          <w:sz w:val="32"/>
          <w:szCs w:val="32"/>
          <w:highlight w:val="none"/>
        </w:rPr>
        <w:t>万元，主要用于</w:t>
      </w:r>
      <w:r>
        <w:rPr>
          <w:rFonts w:hint="eastAsia" w:ascii="仿宋_GB2312" w:hAnsi="仿宋_GB2312" w:eastAsia="仿宋_GB2312" w:cs="仿宋_GB2312"/>
          <w:color w:val="auto"/>
          <w:sz w:val="30"/>
          <w:szCs w:val="30"/>
          <w:highlight w:val="none"/>
        </w:rPr>
        <w:t>执行公务、开展业务活动开支的</w:t>
      </w:r>
      <w:r>
        <w:rPr>
          <w:rFonts w:hint="eastAsia" w:ascii="仿宋_GB2312" w:hAnsi="仿宋_GB2312" w:eastAsia="仿宋_GB2312" w:cs="仿宋_GB2312"/>
          <w:color w:val="auto"/>
          <w:sz w:val="30"/>
          <w:szCs w:val="30"/>
          <w:highlight w:val="none"/>
          <w:lang w:eastAsia="zh-CN"/>
        </w:rPr>
        <w:t>用</w:t>
      </w:r>
      <w:r>
        <w:rPr>
          <w:rFonts w:hint="eastAsia" w:ascii="仿宋_GB2312" w:hAnsi="仿宋_GB2312" w:eastAsia="仿宋_GB2312" w:cs="仿宋_GB2312"/>
          <w:color w:val="auto"/>
          <w:sz w:val="30"/>
          <w:szCs w:val="30"/>
          <w:highlight w:val="none"/>
        </w:rPr>
        <w:t>餐费</w:t>
      </w:r>
      <w:r>
        <w:rPr>
          <w:rFonts w:hint="eastAsia" w:ascii="仿宋_GB2312" w:hAnsi="仿宋_GB2312" w:eastAsia="仿宋_GB2312" w:cs="仿宋_GB2312"/>
          <w:color w:val="auto"/>
          <w:sz w:val="32"/>
          <w:szCs w:val="32"/>
          <w:highlight w:val="none"/>
        </w:rPr>
        <w:t>。国内公务接待</w:t>
      </w:r>
      <w:r>
        <w:rPr>
          <w:rFonts w:hint="eastAsia" w:ascii="仿宋_GB2312" w:hAnsi="仿宋_GB2312" w:eastAsia="仿宋_GB2312" w:cs="仿宋_GB2312"/>
          <w:color w:val="auto"/>
          <w:kern w:val="2"/>
          <w:sz w:val="32"/>
          <w:szCs w:val="24"/>
          <w:highlight w:val="none"/>
          <w:lang w:val="en-US" w:eastAsia="zh-CN"/>
        </w:rPr>
        <w:t>5</w:t>
      </w:r>
      <w:r>
        <w:rPr>
          <w:rFonts w:hint="eastAsia" w:ascii="仿宋_GB2312" w:hAnsi="仿宋_GB2312" w:eastAsia="仿宋_GB2312" w:cs="仿宋_GB2312"/>
          <w:color w:val="auto"/>
          <w:sz w:val="32"/>
          <w:szCs w:val="32"/>
          <w:highlight w:val="none"/>
        </w:rPr>
        <w:t>批次，</w:t>
      </w:r>
      <w:r>
        <w:rPr>
          <w:rFonts w:hint="eastAsia" w:ascii="仿宋_GB2312" w:hAnsi="仿宋_GB2312" w:eastAsia="仿宋_GB2312" w:cs="仿宋_GB2312"/>
          <w:color w:val="auto"/>
          <w:kern w:val="2"/>
          <w:sz w:val="32"/>
          <w:szCs w:val="24"/>
          <w:highlight w:val="none"/>
          <w:lang w:val="en-US" w:eastAsia="zh-CN"/>
        </w:rPr>
        <w:t>33</w:t>
      </w:r>
      <w:r>
        <w:rPr>
          <w:rFonts w:hint="eastAsia" w:ascii="仿宋_GB2312" w:hAnsi="仿宋_GB2312" w:eastAsia="仿宋_GB2312" w:cs="仿宋_GB2312"/>
          <w:color w:val="auto"/>
          <w:sz w:val="32"/>
          <w:szCs w:val="32"/>
          <w:highlight w:val="none"/>
        </w:rPr>
        <w:t>人次（不包括陪同人员），共计支出</w:t>
      </w:r>
      <w:r>
        <w:rPr>
          <w:rFonts w:hint="eastAsia" w:ascii="仿宋_GB2312" w:hAnsi="仿宋_GB2312" w:eastAsia="仿宋_GB2312" w:cs="仿宋_GB2312"/>
          <w:color w:val="auto"/>
          <w:kern w:val="2"/>
          <w:sz w:val="32"/>
          <w:szCs w:val="24"/>
          <w:highlight w:val="none"/>
          <w:lang w:val="zh-CN"/>
        </w:rPr>
        <w:t>0.42</w:t>
      </w:r>
      <w:r>
        <w:rPr>
          <w:rFonts w:hint="eastAsia" w:ascii="仿宋_GB2312" w:hAnsi="仿宋_GB2312" w:eastAsia="仿宋_GB2312" w:cs="仿宋_GB2312"/>
          <w:color w:val="auto"/>
          <w:sz w:val="32"/>
          <w:szCs w:val="32"/>
          <w:highlight w:val="none"/>
        </w:rPr>
        <w:t>万元，具体内容包括：</w:t>
      </w:r>
      <w:r>
        <w:rPr>
          <w:rFonts w:hint="eastAsia" w:ascii="仿宋_GB2312" w:hAnsi="仿宋_GB2312" w:eastAsia="仿宋_GB2312" w:cs="仿宋_GB2312"/>
          <w:b w:val="0"/>
          <w:bCs w:val="0"/>
          <w:color w:val="auto"/>
          <w:sz w:val="32"/>
          <w:szCs w:val="32"/>
          <w:highlight w:val="none"/>
          <w:lang w:eastAsia="zh-CN"/>
        </w:rPr>
        <w:t>接待上级机关检查调研及各市州退役军人事务系统交流工作</w:t>
      </w:r>
      <w:r>
        <w:rPr>
          <w:rFonts w:hint="eastAsia" w:ascii="仿宋_GB2312" w:hAnsi="仿宋_GB2312" w:eastAsia="仿宋_GB2312" w:cs="仿宋_GB2312"/>
          <w:b w:val="0"/>
          <w:bCs w:val="0"/>
          <w:color w:val="auto"/>
          <w:sz w:val="32"/>
          <w:szCs w:val="32"/>
          <w:highlight w:val="none"/>
          <w:lang w:val="en-US" w:eastAsia="zh-CN"/>
        </w:rPr>
        <w:t>等所发生的公务接待支出。</w:t>
      </w:r>
    </w:p>
    <w:p>
      <w:pPr>
        <w:keepNext w:val="0"/>
        <w:keepLines w:val="0"/>
        <w:pageBreakBefore w:val="0"/>
        <w:widowControl w:val="0"/>
        <w:shd w:val="clear"/>
        <w:kinsoku/>
        <w:wordWrap/>
        <w:overflowPunct/>
        <w:topLinePunct w:val="0"/>
        <w:autoSpaceDE/>
        <w:autoSpaceDN/>
        <w:bidi w:val="0"/>
        <w:adjustRightInd/>
        <w:snapToGrid/>
        <w:spacing w:line="610" w:lineRule="exact"/>
        <w:ind w:firstLine="643"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color w:val="auto"/>
          <w:sz w:val="32"/>
          <w:szCs w:val="32"/>
          <w:highlight w:val="none"/>
        </w:rPr>
        <w:t>外事接待支出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shd w:val="clear"/>
        <w:kinsoku/>
        <w:wordWrap/>
        <w:overflowPunct/>
        <w:topLinePunct w:val="0"/>
        <w:autoSpaceDE/>
        <w:autoSpaceDN/>
        <w:bidi w:val="0"/>
        <w:adjustRightInd/>
        <w:snapToGrid/>
        <w:spacing w:line="610" w:lineRule="exact"/>
        <w:ind w:firstLine="640"/>
        <w:textAlignment w:val="auto"/>
        <w:outlineLvl w:val="1"/>
        <w:rPr>
          <w:rStyle w:val="18"/>
          <w:rFonts w:ascii="黑体" w:hAnsi="黑体" w:eastAsia="黑体"/>
          <w:color w:val="auto"/>
          <w:highlight w:val="none"/>
        </w:rPr>
      </w:pPr>
      <w:bookmarkStart w:id="54" w:name="_Toc15377218"/>
      <w:bookmarkStart w:id="55" w:name="_Toc15396610"/>
      <w:bookmarkStart w:id="56" w:name="_Toc19340"/>
      <w:r>
        <w:rPr>
          <w:rFonts w:hint="eastAsia" w:ascii="黑体" w:eastAsia="黑体"/>
          <w:color w:val="auto"/>
          <w:sz w:val="32"/>
          <w:szCs w:val="32"/>
          <w:highlight w:val="none"/>
        </w:rPr>
        <w:t>八、</w:t>
      </w:r>
      <w:r>
        <w:rPr>
          <w:rStyle w:val="18"/>
          <w:rFonts w:hint="eastAsia" w:ascii="黑体" w:hAnsi="黑体" w:eastAsia="黑体"/>
          <w:b w:val="0"/>
          <w:color w:val="auto"/>
          <w:highlight w:val="none"/>
        </w:rPr>
        <w:t>政府性基金预算支出决算情况说明</w:t>
      </w:r>
      <w:bookmarkEnd w:id="54"/>
      <w:bookmarkEnd w:id="55"/>
      <w:bookmarkEnd w:id="56"/>
    </w:p>
    <w:p>
      <w:pPr>
        <w:keepNext w:val="0"/>
        <w:keepLines w:val="0"/>
        <w:pageBreakBefore w:val="0"/>
        <w:widowControl w:val="0"/>
        <w:shd w:val="clear"/>
        <w:kinsoku/>
        <w:wordWrap/>
        <w:overflowPunct/>
        <w:topLinePunct w:val="0"/>
        <w:autoSpaceDE/>
        <w:autoSpaceDN/>
        <w:bidi w:val="0"/>
        <w:adjustRightInd/>
        <w:snapToGrid/>
        <w:spacing w:line="61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年政府性基金预算</w:t>
      </w:r>
      <w:r>
        <w:rPr>
          <w:rFonts w:hint="eastAsia" w:ascii="仿宋_GB2312" w:hAnsi="仿宋_GB2312" w:eastAsia="仿宋_GB2312" w:cs="仿宋_GB2312"/>
          <w:color w:val="auto"/>
          <w:sz w:val="32"/>
          <w:szCs w:val="32"/>
          <w:highlight w:val="none"/>
          <w:lang w:eastAsia="zh-CN"/>
        </w:rPr>
        <w:t>财政</w:t>
      </w:r>
      <w:r>
        <w:rPr>
          <w:rFonts w:hint="eastAsia" w:ascii="仿宋_GB2312" w:hAnsi="仿宋_GB2312" w:eastAsia="仿宋_GB2312" w:cs="仿宋_GB2312"/>
          <w:color w:val="auto"/>
          <w:sz w:val="32"/>
          <w:szCs w:val="32"/>
          <w:highlight w:val="none"/>
        </w:rPr>
        <w:t>拨款支出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610" w:lineRule="exact"/>
        <w:ind w:firstLine="640"/>
        <w:textAlignment w:val="auto"/>
        <w:outlineLvl w:val="1"/>
        <w:rPr>
          <w:rStyle w:val="18"/>
          <w:rFonts w:ascii="黑体" w:hAnsi="黑体" w:eastAsia="黑体"/>
          <w:b w:val="0"/>
          <w:color w:val="auto"/>
          <w:highlight w:val="none"/>
        </w:rPr>
      </w:pPr>
      <w:bookmarkStart w:id="57" w:name="_Toc15377219"/>
      <w:bookmarkStart w:id="58" w:name="_Toc15396611"/>
      <w:bookmarkStart w:id="59" w:name="_Toc10528"/>
      <w:r>
        <w:rPr>
          <w:rStyle w:val="18"/>
          <w:rFonts w:hint="eastAsia" w:ascii="黑体" w:hAnsi="黑体" w:eastAsia="黑体"/>
          <w:b w:val="0"/>
          <w:color w:val="auto"/>
          <w:highlight w:val="none"/>
        </w:rPr>
        <w:t>国有资本经营预算支出决算情况说明</w:t>
      </w:r>
      <w:bookmarkEnd w:id="57"/>
      <w:bookmarkEnd w:id="58"/>
      <w:bookmarkEnd w:id="59"/>
    </w:p>
    <w:p>
      <w:pPr>
        <w:keepNext w:val="0"/>
        <w:keepLines w:val="0"/>
        <w:pageBreakBefore w:val="0"/>
        <w:widowControl w:val="0"/>
        <w:shd w:val="clear"/>
        <w:kinsoku/>
        <w:wordWrap/>
        <w:overflowPunct/>
        <w:topLinePunct w:val="0"/>
        <w:autoSpaceDE/>
        <w:autoSpaceDN/>
        <w:bidi w:val="0"/>
        <w:adjustRightInd/>
        <w:snapToGrid/>
        <w:spacing w:line="61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年国有资本经营预算</w:t>
      </w:r>
      <w:r>
        <w:rPr>
          <w:rFonts w:hint="eastAsia" w:ascii="仿宋_GB2312" w:hAnsi="仿宋_GB2312" w:eastAsia="仿宋_GB2312" w:cs="仿宋_GB2312"/>
          <w:color w:val="auto"/>
          <w:sz w:val="32"/>
          <w:szCs w:val="32"/>
          <w:highlight w:val="none"/>
          <w:lang w:eastAsia="zh-CN"/>
        </w:rPr>
        <w:t>财政</w:t>
      </w:r>
      <w:r>
        <w:rPr>
          <w:rFonts w:hint="eastAsia" w:ascii="仿宋_GB2312" w:hAnsi="仿宋_GB2312" w:eastAsia="仿宋_GB2312" w:cs="仿宋_GB2312"/>
          <w:color w:val="auto"/>
          <w:sz w:val="32"/>
          <w:szCs w:val="32"/>
          <w:highlight w:val="none"/>
        </w:rPr>
        <w:t>拨款支出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610" w:lineRule="exact"/>
        <w:ind w:firstLine="640"/>
        <w:textAlignment w:val="auto"/>
        <w:outlineLvl w:val="1"/>
        <w:rPr>
          <w:rStyle w:val="18"/>
          <w:rFonts w:hint="eastAsia" w:ascii="黑体" w:hAnsi="黑体" w:eastAsia="黑体"/>
          <w:b w:val="0"/>
          <w:color w:val="auto"/>
          <w:highlight w:val="none"/>
        </w:rPr>
      </w:pPr>
      <w:bookmarkStart w:id="60" w:name="_Toc15396612"/>
      <w:bookmarkStart w:id="61" w:name="_Toc15377221"/>
      <w:bookmarkStart w:id="62" w:name="_Toc1418"/>
      <w:r>
        <w:rPr>
          <w:rStyle w:val="18"/>
          <w:rFonts w:hint="eastAsia" w:ascii="黑体" w:hAnsi="黑体" w:eastAsia="黑体"/>
          <w:b w:val="0"/>
          <w:color w:val="auto"/>
          <w:highlight w:val="none"/>
        </w:rPr>
        <w:t>其他重要事项的情况说明</w:t>
      </w:r>
      <w:bookmarkEnd w:id="60"/>
      <w:bookmarkEnd w:id="61"/>
      <w:bookmarkEnd w:id="62"/>
    </w:p>
    <w:p>
      <w:pPr>
        <w:shd w:val="clear"/>
        <w:spacing w:line="600" w:lineRule="exact"/>
        <w:ind w:firstLine="643" w:firstLineChars="200"/>
        <w:outlineLvl w:val="2"/>
        <w:rPr>
          <w:rFonts w:hint="eastAsia" w:ascii="仿宋_GB2312" w:hAnsi="仿宋_GB2312" w:eastAsia="仿宋_GB2312" w:cs="仿宋_GB2312"/>
          <w:color w:val="auto"/>
          <w:sz w:val="32"/>
          <w:szCs w:val="32"/>
          <w:highlight w:val="none"/>
        </w:rPr>
      </w:pPr>
      <w:bookmarkStart w:id="63" w:name="_Toc15377222"/>
      <w:r>
        <w:rPr>
          <w:rFonts w:hint="eastAsia" w:ascii="仿宋_GB2312" w:hAnsi="仿宋_GB2312" w:eastAsia="仿宋_GB2312" w:cs="仿宋_GB2312"/>
          <w:b/>
          <w:color w:val="auto"/>
          <w:sz w:val="32"/>
          <w:szCs w:val="32"/>
          <w:highlight w:val="none"/>
        </w:rPr>
        <w:t>（一）机关运行经费支出情况</w:t>
      </w:r>
      <w:bookmarkEnd w:id="63"/>
    </w:p>
    <w:p>
      <w:pPr>
        <w:shd w:val="clea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kern w:val="2"/>
          <w:sz w:val="32"/>
          <w:szCs w:val="24"/>
          <w:highlight w:val="none"/>
          <w:lang w:val="zh-CN"/>
        </w:rPr>
        <w:t>广元市退役军人事务局</w:t>
      </w:r>
      <w:r>
        <w:rPr>
          <w:rFonts w:hint="eastAsia" w:ascii="仿宋_GB2312" w:hAnsi="仿宋_GB2312" w:eastAsia="仿宋_GB2312" w:cs="仿宋_GB2312"/>
          <w:color w:val="auto"/>
          <w:sz w:val="32"/>
          <w:szCs w:val="32"/>
          <w:highlight w:val="none"/>
        </w:rPr>
        <w:t>机关运行经费支出</w:t>
      </w:r>
      <w:r>
        <w:rPr>
          <w:rFonts w:hint="eastAsia" w:ascii="仿宋_GB2312" w:hAnsi="仿宋_GB2312" w:eastAsia="仿宋_GB2312" w:cs="仿宋_GB2312"/>
          <w:color w:val="auto"/>
          <w:kern w:val="2"/>
          <w:sz w:val="32"/>
          <w:szCs w:val="24"/>
          <w:highlight w:val="none"/>
          <w:lang w:val="zh-CN"/>
        </w:rPr>
        <w:t>72.81</w:t>
      </w:r>
      <w:r>
        <w:rPr>
          <w:rFonts w:hint="eastAsia" w:ascii="仿宋_GB2312" w:hAnsi="仿宋_GB2312" w:eastAsia="仿宋_GB2312" w:cs="仿宋_GB2312"/>
          <w:color w:val="auto"/>
          <w:sz w:val="32"/>
          <w:szCs w:val="32"/>
          <w:highlight w:val="none"/>
        </w:rPr>
        <w:t>万元，比20</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rPr>
        <w:t>年减少</w:t>
      </w:r>
      <w:r>
        <w:rPr>
          <w:rFonts w:hint="eastAsia" w:ascii="仿宋_GB2312" w:hAnsi="仿宋_GB2312" w:eastAsia="仿宋_GB2312" w:cs="仿宋_GB2312"/>
          <w:color w:val="auto"/>
          <w:kern w:val="2"/>
          <w:sz w:val="32"/>
          <w:szCs w:val="24"/>
          <w:highlight w:val="none"/>
          <w:lang w:val="zh-CN"/>
        </w:rPr>
        <w:t>6.09</w:t>
      </w:r>
      <w:r>
        <w:rPr>
          <w:rFonts w:hint="eastAsia" w:ascii="仿宋_GB2312" w:hAnsi="仿宋_GB2312" w:eastAsia="仿宋_GB2312" w:cs="仿宋_GB2312"/>
          <w:color w:val="auto"/>
          <w:sz w:val="32"/>
          <w:szCs w:val="32"/>
          <w:highlight w:val="none"/>
        </w:rPr>
        <w:t>万元，下降</w:t>
      </w:r>
      <w:r>
        <w:rPr>
          <w:rFonts w:hint="eastAsia" w:ascii="仿宋_GB2312" w:hAnsi="仿宋_GB2312" w:eastAsia="仿宋_GB2312" w:cs="仿宋_GB2312"/>
          <w:color w:val="auto"/>
          <w:kern w:val="2"/>
          <w:sz w:val="32"/>
          <w:szCs w:val="24"/>
          <w:highlight w:val="none"/>
          <w:lang w:val="zh-CN"/>
        </w:rPr>
        <w:t>7.7</w:t>
      </w:r>
      <w:r>
        <w:rPr>
          <w:rFonts w:hint="eastAsia" w:ascii="仿宋_GB2312" w:hAnsi="仿宋_GB2312" w:eastAsia="仿宋_GB2312" w:cs="仿宋_GB2312"/>
          <w:color w:val="auto"/>
          <w:kern w:val="2"/>
          <w:sz w:val="32"/>
          <w:szCs w:val="24"/>
          <w:highlight w:val="none"/>
          <w:lang w:val="en-US" w:eastAsia="zh-CN"/>
        </w:rPr>
        <w:t>2</w:t>
      </w:r>
      <w:r>
        <w:rPr>
          <w:rFonts w:hint="eastAsia" w:ascii="仿宋_GB2312" w:hAnsi="仿宋_GB2312" w:eastAsia="仿宋_GB2312" w:cs="仿宋_GB2312"/>
          <w:color w:val="auto"/>
          <w:sz w:val="32"/>
          <w:szCs w:val="32"/>
          <w:highlight w:val="none"/>
        </w:rPr>
        <w:t>%。主要原因是</w:t>
      </w:r>
      <w:r>
        <w:rPr>
          <w:rFonts w:hint="eastAsia" w:ascii="仿宋_GB2312" w:hAnsi="仿宋_GB2312" w:eastAsia="仿宋_GB2312" w:cs="仿宋_GB2312"/>
          <w:b w:val="0"/>
          <w:bCs w:val="0"/>
          <w:color w:val="auto"/>
          <w:sz w:val="32"/>
          <w:szCs w:val="32"/>
          <w:highlight w:val="none"/>
          <w:lang w:eastAsia="zh-CN"/>
        </w:rPr>
        <w:t>落实过紧日子要求，压减机关运行经费支出</w:t>
      </w:r>
      <w:r>
        <w:rPr>
          <w:rFonts w:hint="eastAsia" w:ascii="仿宋_GB2312" w:hAnsi="仿宋_GB2312" w:eastAsia="仿宋_GB2312" w:cs="仿宋_GB2312"/>
          <w:color w:val="auto"/>
          <w:sz w:val="32"/>
          <w:szCs w:val="32"/>
          <w:highlight w:val="none"/>
          <w:lang w:eastAsia="zh-CN"/>
        </w:rPr>
        <w:t>。</w:t>
      </w:r>
    </w:p>
    <w:p>
      <w:pPr>
        <w:shd w:val="clear"/>
        <w:autoSpaceDE w:val="0"/>
        <w:autoSpaceDN w:val="0"/>
        <w:adjustRightInd w:val="0"/>
        <w:spacing w:line="600" w:lineRule="exact"/>
        <w:ind w:firstLine="643" w:firstLineChars="200"/>
        <w:jc w:val="left"/>
        <w:outlineLvl w:val="2"/>
        <w:rPr>
          <w:rFonts w:hint="eastAsia" w:ascii="仿宋_GB2312" w:hAnsi="仿宋_GB2312" w:eastAsia="仿宋_GB2312" w:cs="仿宋_GB2312"/>
          <w:b/>
          <w:color w:val="auto"/>
          <w:sz w:val="32"/>
          <w:szCs w:val="32"/>
          <w:highlight w:val="none"/>
        </w:rPr>
      </w:pPr>
      <w:bookmarkStart w:id="64" w:name="_Toc15377223"/>
      <w:r>
        <w:rPr>
          <w:rFonts w:hint="eastAsia" w:ascii="仿宋_GB2312" w:hAnsi="仿宋_GB2312" w:eastAsia="仿宋_GB2312" w:cs="仿宋_GB2312"/>
          <w:b/>
          <w:color w:val="auto"/>
          <w:sz w:val="32"/>
          <w:szCs w:val="32"/>
          <w:highlight w:val="none"/>
        </w:rPr>
        <w:t>（二）政府采购支出情况</w:t>
      </w:r>
      <w:bookmarkEnd w:id="64"/>
    </w:p>
    <w:p>
      <w:pPr>
        <w:shd w:val="clea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kern w:val="2"/>
          <w:sz w:val="32"/>
          <w:szCs w:val="24"/>
          <w:highlight w:val="none"/>
          <w:lang w:val="zh-CN"/>
        </w:rPr>
        <w:t>广元市退役军人事务局</w:t>
      </w:r>
      <w:r>
        <w:rPr>
          <w:rFonts w:hint="eastAsia" w:ascii="仿宋_GB2312" w:hAnsi="仿宋_GB2312" w:eastAsia="仿宋_GB2312" w:cs="仿宋_GB2312"/>
          <w:color w:val="auto"/>
          <w:sz w:val="32"/>
          <w:szCs w:val="32"/>
          <w:highlight w:val="none"/>
        </w:rPr>
        <w:t>政府采购支出总额</w:t>
      </w:r>
      <w:r>
        <w:rPr>
          <w:rFonts w:hint="eastAsia" w:ascii="仿宋_GB2312" w:hAnsi="仿宋_GB2312" w:eastAsia="仿宋_GB2312" w:cs="仿宋_GB2312"/>
          <w:color w:val="auto"/>
          <w:kern w:val="2"/>
          <w:sz w:val="32"/>
          <w:szCs w:val="24"/>
          <w:highlight w:val="none"/>
          <w:lang w:val="zh-CN"/>
        </w:rPr>
        <w:t>0</w:t>
      </w:r>
      <w:r>
        <w:rPr>
          <w:rFonts w:hint="eastAsia" w:ascii="仿宋_GB2312" w:hAnsi="仿宋_GB2312" w:eastAsia="仿宋_GB2312" w:cs="仿宋_GB2312"/>
          <w:color w:val="auto"/>
          <w:sz w:val="32"/>
          <w:szCs w:val="32"/>
          <w:highlight w:val="none"/>
        </w:rPr>
        <w:t>万元。</w:t>
      </w:r>
    </w:p>
    <w:p>
      <w:pPr>
        <w:shd w:val="clear"/>
        <w:autoSpaceDE w:val="0"/>
        <w:autoSpaceDN w:val="0"/>
        <w:adjustRightInd w:val="0"/>
        <w:spacing w:line="600" w:lineRule="exact"/>
        <w:ind w:firstLine="643" w:firstLineChars="200"/>
        <w:jc w:val="left"/>
        <w:outlineLvl w:val="2"/>
        <w:rPr>
          <w:rFonts w:hint="eastAsia" w:ascii="仿宋_GB2312" w:hAnsi="仿宋_GB2312" w:eastAsia="仿宋_GB2312" w:cs="仿宋_GB2312"/>
          <w:b/>
          <w:color w:val="auto"/>
          <w:sz w:val="32"/>
          <w:szCs w:val="32"/>
          <w:highlight w:val="none"/>
        </w:rPr>
      </w:pPr>
      <w:bookmarkStart w:id="65" w:name="_Toc15377224"/>
      <w:r>
        <w:rPr>
          <w:rFonts w:hint="eastAsia" w:ascii="仿宋_GB2312" w:hAnsi="仿宋_GB2312" w:eastAsia="仿宋_GB2312" w:cs="仿宋_GB2312"/>
          <w:b/>
          <w:color w:val="auto"/>
          <w:sz w:val="32"/>
          <w:szCs w:val="32"/>
          <w:highlight w:val="none"/>
        </w:rPr>
        <w:t>（三）国有资产占有使用情况</w:t>
      </w:r>
      <w:bookmarkEnd w:id="65"/>
    </w:p>
    <w:p>
      <w:pPr>
        <w:shd w:val="clear"/>
        <w:autoSpaceDE w:val="0"/>
        <w:autoSpaceDN w:val="0"/>
        <w:adjustRightInd w:val="0"/>
        <w:spacing w:line="600" w:lineRule="exact"/>
        <w:ind w:firstLine="640" w:firstLineChars="200"/>
        <w:jc w:val="left"/>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rPr>
        <w:t>截至20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年12月31日，</w:t>
      </w:r>
      <w:r>
        <w:rPr>
          <w:rFonts w:hint="eastAsia" w:ascii="仿宋_GB2312" w:hAnsi="仿宋_GB2312" w:eastAsia="仿宋_GB2312" w:cs="仿宋_GB2312"/>
          <w:color w:val="auto"/>
          <w:sz w:val="32"/>
          <w:szCs w:val="32"/>
          <w:highlight w:val="none"/>
          <w:lang w:eastAsia="zh-CN"/>
        </w:rPr>
        <w:t>广元市退役军人事务局</w:t>
      </w:r>
      <w:r>
        <w:rPr>
          <w:rFonts w:hint="eastAsia" w:ascii="仿宋_GB2312" w:hAnsi="仿宋_GB2312" w:eastAsia="仿宋_GB2312" w:cs="仿宋_GB2312"/>
          <w:color w:val="auto"/>
          <w:sz w:val="32"/>
          <w:szCs w:val="32"/>
          <w:highlight w:val="none"/>
        </w:rPr>
        <w:t>共有车辆</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辆，其中：单价100万元以上专用设备</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台（套）。</w:t>
      </w:r>
    </w:p>
    <w:p>
      <w:pPr>
        <w:shd w:val="clear"/>
        <w:autoSpaceDE w:val="0"/>
        <w:autoSpaceDN w:val="0"/>
        <w:adjustRightInd w:val="0"/>
        <w:spacing w:line="600" w:lineRule="exact"/>
        <w:ind w:firstLine="643" w:firstLineChars="200"/>
        <w:jc w:val="left"/>
        <w:outlineLvl w:val="2"/>
        <w:rPr>
          <w:rFonts w:hint="eastAsia" w:ascii="仿宋_GB2312" w:hAnsi="仿宋_GB2312" w:eastAsia="仿宋_GB2312" w:cs="仿宋_GB2312"/>
          <w:b/>
          <w:color w:val="auto"/>
          <w:sz w:val="32"/>
          <w:szCs w:val="32"/>
          <w:highlight w:val="none"/>
          <w:lang w:eastAsia="zh-CN"/>
        </w:rPr>
      </w:pPr>
      <w:r>
        <w:rPr>
          <w:rFonts w:hint="eastAsia" w:ascii="仿宋_GB2312" w:hAnsi="仿宋_GB2312" w:eastAsia="仿宋_GB2312" w:cs="仿宋_GB2312"/>
          <w:b/>
          <w:color w:val="auto"/>
          <w:sz w:val="32"/>
          <w:szCs w:val="32"/>
          <w:highlight w:val="none"/>
        </w:rPr>
        <w:t>（四）预算绩效管理情况</w:t>
      </w:r>
    </w:p>
    <w:p>
      <w:pPr>
        <w:pStyle w:val="2"/>
        <w:shd w:val="clear"/>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w:t>
      </w:r>
      <w:r>
        <w:rPr>
          <w:rFonts w:hint="eastAsia" w:hAnsi="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个项目编制了绩效目标，预算执行过程中，选取</w:t>
      </w:r>
      <w:r>
        <w:rPr>
          <w:rFonts w:hint="eastAsia" w:hAnsi="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个项目开展绩效监控，组织对</w:t>
      </w:r>
      <w:r>
        <w:rPr>
          <w:rFonts w:hint="eastAsia" w:hAnsi="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个项目开展绩效自评</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绩效自评表详见附</w:t>
      </w:r>
      <w:r>
        <w:rPr>
          <w:rFonts w:hint="eastAsia" w:hAnsi="仿宋_GB2312" w:cs="仿宋_GB2312"/>
          <w:color w:val="auto"/>
          <w:sz w:val="32"/>
          <w:szCs w:val="32"/>
          <w:highlight w:val="none"/>
          <w:lang w:eastAsia="zh-CN"/>
        </w:rPr>
        <w:t>表</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w:t>
      </w:r>
    </w:p>
    <w:p>
      <w:pPr>
        <w:widowControl/>
        <w:shd w:val="clear"/>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numPr>
          <w:ilvl w:val="0"/>
          <w:numId w:val="3"/>
        </w:numPr>
        <w:shd w:val="clear"/>
        <w:spacing w:line="600" w:lineRule="exact"/>
        <w:ind w:firstLine="660" w:firstLineChars="150"/>
        <w:jc w:val="center"/>
        <w:outlineLvl w:val="0"/>
        <w:rPr>
          <w:rStyle w:val="17"/>
          <w:rFonts w:ascii="黑体" w:hAnsi="黑体" w:eastAsia="黑体"/>
          <w:b w:val="0"/>
          <w:color w:val="auto"/>
          <w:highlight w:val="none"/>
        </w:rPr>
      </w:pPr>
      <w:bookmarkStart w:id="66" w:name="_Toc15377225"/>
      <w:bookmarkStart w:id="67" w:name="_Toc15396613"/>
      <w:bookmarkStart w:id="68" w:name="_Toc9802"/>
      <w:r>
        <w:rPr>
          <w:rFonts w:hint="eastAsia" w:ascii="黑体" w:hAnsi="黑体" w:eastAsia="黑体"/>
          <w:color w:val="auto"/>
          <w:sz w:val="44"/>
          <w:szCs w:val="44"/>
          <w:highlight w:val="none"/>
        </w:rPr>
        <w:t>名</w:t>
      </w:r>
      <w:r>
        <w:rPr>
          <w:rStyle w:val="17"/>
          <w:rFonts w:hint="eastAsia" w:ascii="黑体" w:hAnsi="黑体" w:eastAsia="黑体"/>
          <w:b w:val="0"/>
          <w:color w:val="auto"/>
          <w:highlight w:val="none"/>
        </w:rPr>
        <w:t>词解释</w:t>
      </w:r>
      <w:bookmarkEnd w:id="66"/>
      <w:bookmarkEnd w:id="67"/>
      <w:bookmarkEnd w:id="68"/>
    </w:p>
    <w:p>
      <w:pPr>
        <w:shd w:val="clear"/>
        <w:spacing w:line="600" w:lineRule="exact"/>
        <w:jc w:val="left"/>
        <w:rPr>
          <w:rFonts w:ascii="宋体"/>
          <w:b/>
          <w:color w:val="auto"/>
          <w:sz w:val="44"/>
          <w:szCs w:val="44"/>
          <w:highlight w:val="none"/>
        </w:rPr>
      </w:pPr>
    </w:p>
    <w:p>
      <w:pPr>
        <w:pStyle w:val="26"/>
        <w:shd w:val="clear"/>
        <w:spacing w:line="560" w:lineRule="exact"/>
        <w:ind w:firstLine="640" w:firstLineChars="200"/>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1.财政拨款收入：指单位从同级财政部门取得的财政预算资金。</w:t>
      </w:r>
    </w:p>
    <w:p>
      <w:pPr>
        <w:pStyle w:val="26"/>
        <w:shd w:val="clear"/>
        <w:spacing w:line="560" w:lineRule="exact"/>
        <w:ind w:firstLine="640" w:firstLineChars="200"/>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.其他收入：指单位取得的除上述收入以外的各项收入。主要是</w:t>
      </w:r>
      <w:r>
        <w:rPr>
          <w:rFonts w:hint="eastAsia" w:ascii="仿宋_GB2312" w:hAnsi="仿宋_GB2312" w:eastAsia="仿宋_GB2312" w:cs="仿宋_GB2312"/>
          <w:i w:val="0"/>
          <w:caps w:val="0"/>
          <w:smallCaps w:val="0"/>
          <w:color w:val="auto"/>
          <w:spacing w:val="0"/>
          <w:sz w:val="32"/>
          <w:szCs w:val="32"/>
          <w:highlight w:val="none"/>
          <w:shd w:val="clear" w:color="auto" w:fill="FFFFFF"/>
        </w:rPr>
        <w:t>现金盘盈收入、按照规定纳入单位预算管理的科技成果转化收入、行政单位收回已核销的其他应收款、无法偿付的应付及预收款项、置换换出资产评估增值等</w:t>
      </w:r>
      <w:r>
        <w:rPr>
          <w:rFonts w:hint="eastAsia" w:ascii="仿宋_GB2312" w:hAnsi="仿宋_GB2312" w:eastAsia="仿宋_GB2312" w:cs="仿宋_GB2312"/>
          <w:color w:val="auto"/>
          <w:sz w:val="32"/>
          <w:szCs w:val="32"/>
          <w:highlight w:val="none"/>
        </w:rPr>
        <w:t xml:space="preserve">。 </w:t>
      </w:r>
    </w:p>
    <w:p>
      <w:pPr>
        <w:pStyle w:val="26"/>
        <w:shd w:val="clear"/>
        <w:spacing w:line="560" w:lineRule="exact"/>
        <w:ind w:firstLine="640" w:firstLineChars="200"/>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 xml:space="preserve">.年初结转和结余：指以前年度尚未完成、结转到本年按有关规定继续使用的资金。 </w:t>
      </w:r>
    </w:p>
    <w:p>
      <w:pPr>
        <w:pStyle w:val="26"/>
        <w:shd w:val="clear"/>
        <w:spacing w:line="560" w:lineRule="exact"/>
        <w:ind w:firstLine="640" w:firstLineChars="200"/>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年末结转和结余：指单位按有关规定结转到下年或以后年度继续使用的资金。</w:t>
      </w:r>
    </w:p>
    <w:p>
      <w:pPr>
        <w:shd w:val="clear"/>
        <w:ind w:firstLine="640" w:firstLineChars="200"/>
        <w:jc w:val="both"/>
        <w:rPr>
          <w:rFonts w:hint="eastAsia" w:ascii="仿宋_GB2312" w:hAnsi="仿宋_GB2312" w:eastAsia="仿宋_GB2312" w:cs="仿宋_GB2312"/>
          <w:i w:val="0"/>
          <w:caps w:val="0"/>
          <w:smallCaps w:val="0"/>
          <w:color w:val="auto"/>
          <w:spacing w:val="0"/>
          <w:sz w:val="32"/>
          <w:szCs w:val="32"/>
          <w:highlight w:val="none"/>
          <w:shd w:val="clear" w:color="auto" w:fill="FFFFFF"/>
        </w:rPr>
      </w:pP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i w:val="0"/>
          <w:caps w:val="0"/>
          <w:smallCaps w:val="0"/>
          <w:color w:val="auto"/>
          <w:spacing w:val="0"/>
          <w:sz w:val="32"/>
          <w:szCs w:val="32"/>
          <w:highlight w:val="none"/>
          <w:shd w:val="clear" w:color="auto" w:fill="FFFFFF"/>
        </w:rPr>
        <w:t>社会保障和就业（类）行政事业单位养老支出（款）机关事业单位基本养老保险缴费支出（项）：指机关事业单位实施养老</w:t>
      </w:r>
      <w:r>
        <w:rPr>
          <w:rFonts w:hint="eastAsia" w:ascii="仿宋_GB2312" w:hAnsi="仿宋_GB2312" w:eastAsia="仿宋_GB2312" w:cs="仿宋_GB2312"/>
          <w:i w:val="0"/>
          <w:caps w:val="0"/>
          <w:smallCaps w:val="0"/>
          <w:color w:val="auto"/>
          <w:spacing w:val="0"/>
          <w:sz w:val="32"/>
          <w:szCs w:val="32"/>
          <w:highlight w:val="none"/>
          <w:shd w:val="clear" w:color="auto" w:fill="FFFFFF"/>
          <w:lang w:eastAsia="zh-CN"/>
        </w:rPr>
        <w:t>保险</w:t>
      </w:r>
      <w:r>
        <w:rPr>
          <w:rFonts w:hint="eastAsia" w:ascii="仿宋_GB2312" w:hAnsi="仿宋_GB2312" w:eastAsia="仿宋_GB2312" w:cs="仿宋_GB2312"/>
          <w:i w:val="0"/>
          <w:caps w:val="0"/>
          <w:smallCaps w:val="0"/>
          <w:color w:val="auto"/>
          <w:spacing w:val="0"/>
          <w:sz w:val="32"/>
          <w:szCs w:val="32"/>
          <w:highlight w:val="none"/>
          <w:shd w:val="clear" w:color="auto" w:fill="FFFFFF"/>
        </w:rPr>
        <w:t>制度由单位缴纳的基本养老保险费支出。</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i w:val="0"/>
          <w:caps w:val="0"/>
          <w:smallCaps w:val="0"/>
          <w:color w:val="auto"/>
          <w:spacing w:val="0"/>
          <w:sz w:val="32"/>
          <w:szCs w:val="32"/>
          <w:highlight w:val="none"/>
          <w:shd w:val="clear" w:color="auto" w:fill="FFFFFF"/>
          <w:lang w:val="en-US" w:eastAsia="zh-CN"/>
        </w:rPr>
        <w:t>6.</w:t>
      </w:r>
      <w:r>
        <w:rPr>
          <w:rFonts w:hint="eastAsia" w:ascii="仿宋_GB2312" w:hAnsi="仿宋_GB2312" w:eastAsia="仿宋_GB2312" w:cs="仿宋_GB2312"/>
          <w:b w:val="0"/>
          <w:bCs w:val="0"/>
          <w:color w:val="auto"/>
          <w:sz w:val="32"/>
          <w:szCs w:val="32"/>
          <w:highlight w:val="none"/>
          <w:lang w:val="en-US" w:eastAsia="zh-CN"/>
        </w:rPr>
        <w:t>社会保障和就业（类）退役安置（款）军队移交政府离退休干部管理机构（项）:</w:t>
      </w:r>
      <w:r>
        <w:rPr>
          <w:rFonts w:hint="eastAsia" w:ascii="仿宋_GB2312" w:hAnsi="仿宋_GB2312" w:eastAsia="仿宋_GB2312" w:cs="仿宋_GB2312"/>
          <w:i w:val="0"/>
          <w:caps w:val="0"/>
          <w:smallCaps w:val="0"/>
          <w:color w:val="auto"/>
          <w:spacing w:val="0"/>
          <w:sz w:val="32"/>
          <w:szCs w:val="32"/>
          <w:highlight w:val="none"/>
          <w:shd w:val="clear" w:color="auto" w:fill="FFFFFF"/>
        </w:rPr>
        <w:t>指退役军人事务部门管理的军队移交政府安置的离退休干部管理机构列入事业编制的人员经费、公用经费以及管理机构用房建设经费等支出。</w:t>
      </w:r>
    </w:p>
    <w:p>
      <w:pPr>
        <w:pStyle w:val="2"/>
        <w:shd w:val="clear"/>
        <w:ind w:firstLine="640" w:firstLineChars="200"/>
        <w:jc w:val="both"/>
        <w:rPr>
          <w:rStyle w:val="15"/>
          <w:rFonts w:hint="eastAsia" w:ascii="仿宋_GB2312" w:hAnsi="仿宋_GB2312" w:eastAsia="仿宋_GB2312" w:cs="仿宋_GB2312"/>
          <w:b w:val="0"/>
          <w:bCs/>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b w:val="0"/>
          <w:bCs w:val="0"/>
          <w:color w:val="auto"/>
          <w:sz w:val="32"/>
          <w:szCs w:val="32"/>
          <w:highlight w:val="none"/>
          <w:lang w:val="en-US" w:eastAsia="zh-CN"/>
        </w:rPr>
        <w:t>社会保障和就业（类）退役安置（款）军队转业干部安置（项）：</w:t>
      </w:r>
      <w:r>
        <w:rPr>
          <w:rStyle w:val="15"/>
          <w:rFonts w:hint="eastAsia" w:ascii="仿宋_GB2312" w:hAnsi="仿宋_GB2312" w:eastAsia="仿宋_GB2312" w:cs="仿宋_GB2312"/>
          <w:b w:val="0"/>
          <w:bCs/>
          <w:color w:val="auto"/>
          <w:sz w:val="32"/>
          <w:szCs w:val="32"/>
          <w:highlight w:val="none"/>
          <w:lang w:eastAsia="zh-CN"/>
        </w:rPr>
        <w:t>指军队转业干部教育培训、管理服务、退役金等方面的支出。</w:t>
      </w:r>
    </w:p>
    <w:p>
      <w:pPr>
        <w:pStyle w:val="2"/>
        <w:shd w:val="clear"/>
        <w:ind w:firstLine="640" w:firstLineChars="200"/>
        <w:jc w:val="both"/>
        <w:rPr>
          <w:rFonts w:hint="eastAsia" w:ascii="仿宋_GB2312" w:hAnsi="仿宋_GB2312" w:eastAsia="仿宋_GB2312" w:cs="仿宋_GB2312"/>
          <w:i w:val="0"/>
          <w:caps w:val="0"/>
          <w:smallCaps w:val="0"/>
          <w:color w:val="auto"/>
          <w:spacing w:val="0"/>
          <w:sz w:val="32"/>
          <w:szCs w:val="32"/>
          <w:highlight w:val="none"/>
          <w:shd w:val="clear" w:color="auto" w:fill="FFFFFF"/>
        </w:rPr>
      </w:pPr>
      <w:r>
        <w:rPr>
          <w:rStyle w:val="15"/>
          <w:rFonts w:hint="eastAsia" w:ascii="仿宋_GB2312" w:hAnsi="仿宋_GB2312" w:eastAsia="仿宋_GB2312" w:cs="仿宋_GB2312"/>
          <w:b w:val="0"/>
          <w:bCs/>
          <w:color w:val="auto"/>
          <w:sz w:val="32"/>
          <w:szCs w:val="32"/>
          <w:highlight w:val="none"/>
          <w:lang w:val="en-US" w:eastAsia="zh-CN"/>
        </w:rPr>
        <w:t>8.</w:t>
      </w:r>
      <w:r>
        <w:rPr>
          <w:rFonts w:hint="eastAsia" w:ascii="仿宋_GB2312" w:hAnsi="仿宋_GB2312" w:eastAsia="仿宋_GB2312" w:cs="仿宋_GB2312"/>
          <w:b w:val="0"/>
          <w:bCs w:val="0"/>
          <w:color w:val="auto"/>
          <w:sz w:val="32"/>
          <w:szCs w:val="32"/>
          <w:highlight w:val="none"/>
          <w:lang w:val="en-US" w:eastAsia="zh-CN"/>
        </w:rPr>
        <w:t>社会保障和就业（类）退役安置（款）其他退役安置支出（项）：</w:t>
      </w:r>
      <w:r>
        <w:rPr>
          <w:rFonts w:hint="eastAsia" w:ascii="仿宋_GB2312" w:hAnsi="仿宋_GB2312" w:eastAsia="仿宋_GB2312" w:cs="仿宋_GB2312"/>
          <w:i w:val="0"/>
          <w:caps w:val="0"/>
          <w:smallCaps w:val="0"/>
          <w:color w:val="auto"/>
          <w:spacing w:val="0"/>
          <w:sz w:val="32"/>
          <w:szCs w:val="32"/>
          <w:highlight w:val="none"/>
          <w:shd w:val="clear" w:color="auto" w:fill="FFFFFF"/>
        </w:rPr>
        <w:t>指除上述项目以外其他用于退役安置方面的支出。</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Style w:val="15"/>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i w:val="0"/>
          <w:caps w:val="0"/>
          <w:smallCaps w:val="0"/>
          <w:color w:val="auto"/>
          <w:spacing w:val="0"/>
          <w:sz w:val="32"/>
          <w:szCs w:val="32"/>
          <w:highlight w:val="none"/>
          <w:shd w:val="clear" w:color="auto" w:fill="FFFFFF"/>
          <w:lang w:val="en-US" w:eastAsia="zh-CN"/>
        </w:rPr>
        <w:t>9.</w:t>
      </w:r>
      <w:r>
        <w:rPr>
          <w:rFonts w:hint="eastAsia" w:ascii="仿宋_GB2312" w:hAnsi="仿宋_GB2312" w:eastAsia="仿宋_GB2312" w:cs="仿宋_GB2312"/>
          <w:b w:val="0"/>
          <w:bCs w:val="0"/>
          <w:color w:val="auto"/>
          <w:sz w:val="32"/>
          <w:szCs w:val="32"/>
          <w:highlight w:val="none"/>
          <w:lang w:val="en-US" w:eastAsia="zh-CN"/>
        </w:rPr>
        <w:t>社会保障和就业（类）退役军人管理事务（款）行政运行（项）：</w:t>
      </w:r>
      <w:r>
        <w:rPr>
          <w:rFonts w:hint="eastAsia" w:ascii="仿宋_GB2312" w:hAnsi="仿宋_GB2312" w:eastAsia="仿宋_GB2312" w:cs="仿宋_GB2312"/>
          <w:i w:val="0"/>
          <w:caps w:val="0"/>
          <w:smallCaps w:val="0"/>
          <w:color w:val="auto"/>
          <w:spacing w:val="0"/>
          <w:sz w:val="32"/>
          <w:szCs w:val="32"/>
          <w:highlight w:val="none"/>
          <w:shd w:val="clear" w:color="auto" w:fill="FFFFFF"/>
        </w:rPr>
        <w:t>指行政单位（包括实行公务员管理的事业单位）的基本支出。</w:t>
      </w:r>
    </w:p>
    <w:p>
      <w:pPr>
        <w:pStyle w:val="2"/>
        <w:shd w:val="clear"/>
        <w:ind w:firstLine="640" w:firstLineChars="200"/>
        <w:jc w:val="both"/>
        <w:rPr>
          <w:rFonts w:hint="eastAsia" w:ascii="仿宋_GB2312" w:hAnsi="仿宋_GB2312" w:eastAsia="仿宋_GB2312" w:cs="仿宋_GB2312"/>
          <w:i w:val="0"/>
          <w:caps w:val="0"/>
          <w:smallCaps w:val="0"/>
          <w:color w:val="auto"/>
          <w:spacing w:val="0"/>
          <w:sz w:val="32"/>
          <w:szCs w:val="32"/>
          <w:highlight w:val="none"/>
          <w:shd w:val="clear" w:color="auto" w:fill="FFFFFF"/>
          <w:lang w:val="en-US" w:eastAsia="zh-CN"/>
        </w:rPr>
      </w:pPr>
      <w:r>
        <w:rPr>
          <w:rFonts w:hint="eastAsia" w:ascii="仿宋_GB2312" w:hAnsi="仿宋_GB2312" w:eastAsia="仿宋_GB2312" w:cs="仿宋_GB2312"/>
          <w:i w:val="0"/>
          <w:caps w:val="0"/>
          <w:smallCaps w:val="0"/>
          <w:color w:val="auto"/>
          <w:spacing w:val="0"/>
          <w:sz w:val="32"/>
          <w:szCs w:val="32"/>
          <w:highlight w:val="none"/>
          <w:shd w:val="clear" w:color="auto" w:fill="FFFFFF"/>
          <w:lang w:val="en-US" w:eastAsia="zh-CN"/>
        </w:rPr>
        <w:t>10.</w:t>
      </w:r>
      <w:r>
        <w:rPr>
          <w:rFonts w:hint="eastAsia" w:ascii="仿宋_GB2312" w:hAnsi="仿宋_GB2312" w:eastAsia="仿宋_GB2312" w:cs="仿宋_GB2312"/>
          <w:b w:val="0"/>
          <w:bCs w:val="0"/>
          <w:color w:val="auto"/>
          <w:sz w:val="32"/>
          <w:szCs w:val="32"/>
          <w:highlight w:val="none"/>
          <w:lang w:val="en-US" w:eastAsia="zh-CN"/>
        </w:rPr>
        <w:t>社会保障和就业（类）退役军人管理事务（款）其他退役军人事务管理支出（项）：</w:t>
      </w:r>
      <w:r>
        <w:rPr>
          <w:rFonts w:hint="eastAsia" w:ascii="仿宋_GB2312" w:hAnsi="仿宋_GB2312" w:eastAsia="仿宋_GB2312" w:cs="仿宋_GB2312"/>
          <w:i w:val="0"/>
          <w:caps w:val="0"/>
          <w:smallCaps w:val="0"/>
          <w:color w:val="auto"/>
          <w:spacing w:val="0"/>
          <w:sz w:val="32"/>
          <w:szCs w:val="32"/>
          <w:highlight w:val="none"/>
          <w:shd w:val="clear" w:color="auto" w:fill="FFFFFF"/>
        </w:rPr>
        <w:t>指</w:t>
      </w:r>
      <w:r>
        <w:rPr>
          <w:rFonts w:hint="eastAsia" w:ascii="仿宋_GB2312" w:hAnsi="仿宋_GB2312" w:eastAsia="仿宋_GB2312" w:cs="仿宋_GB2312"/>
          <w:i w:val="0"/>
          <w:caps w:val="0"/>
          <w:smallCaps w:val="0"/>
          <w:color w:val="auto"/>
          <w:spacing w:val="0"/>
          <w:sz w:val="32"/>
          <w:szCs w:val="32"/>
          <w:highlight w:val="none"/>
          <w:shd w:val="clear" w:color="auto" w:fill="FFFFFF"/>
          <w:lang w:eastAsia="zh-CN"/>
        </w:rPr>
        <w:t>除上述项目以外其</w:t>
      </w:r>
      <w:r>
        <w:rPr>
          <w:rFonts w:hint="eastAsia" w:ascii="仿宋_GB2312" w:hAnsi="仿宋_GB2312" w:eastAsia="仿宋_GB2312" w:cs="仿宋_GB2312"/>
          <w:i w:val="0"/>
          <w:caps w:val="0"/>
          <w:smallCaps w:val="0"/>
          <w:color w:val="auto"/>
          <w:spacing w:val="0"/>
          <w:sz w:val="32"/>
          <w:szCs w:val="32"/>
          <w:highlight w:val="none"/>
          <w:shd w:val="clear" w:color="auto" w:fill="FFFFFF"/>
        </w:rPr>
        <w:t>他用于退役军人事务管理方面的支出。</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i w:val="0"/>
          <w:caps w:val="0"/>
          <w:smallCaps w:val="0"/>
          <w:color w:val="auto"/>
          <w:spacing w:val="0"/>
          <w:sz w:val="32"/>
          <w:szCs w:val="32"/>
          <w:highlight w:val="none"/>
          <w:shd w:val="clear" w:color="auto" w:fill="FFFFFF"/>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b w:val="0"/>
          <w:bCs w:val="0"/>
          <w:color w:val="auto"/>
          <w:sz w:val="32"/>
          <w:szCs w:val="32"/>
          <w:highlight w:val="none"/>
          <w:lang w:val="en-US" w:eastAsia="zh-CN"/>
        </w:rPr>
        <w:t>卫生健康（类）行政事业单位医疗（款）行政单位医疗（项）:</w:t>
      </w:r>
      <w:r>
        <w:rPr>
          <w:rFonts w:hint="eastAsia" w:ascii="仿宋_GB2312" w:hAnsi="仿宋_GB2312" w:eastAsia="仿宋_GB2312" w:cs="仿宋_GB2312"/>
          <w:i w:val="0"/>
          <w:caps w:val="0"/>
          <w:smallCaps w:val="0"/>
          <w:color w:val="auto"/>
          <w:spacing w:val="0"/>
          <w:sz w:val="32"/>
          <w:szCs w:val="32"/>
          <w:highlight w:val="none"/>
          <w:shd w:val="clear" w:color="auto" w:fill="FFFFFF"/>
        </w:rPr>
        <w:t>指财政部门安排的行政单位（包括实行公务员管理的事业单位）基本医疗保险缴费经费，未参加医疗保险的行政单位的公费医疗经费，按国家规定享受离休人员、红军老战士待遇人员的医疗经费。</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i w:val="0"/>
          <w:caps w:val="0"/>
          <w:smallCaps w:val="0"/>
          <w:color w:val="auto"/>
          <w:spacing w:val="0"/>
          <w:sz w:val="32"/>
          <w:szCs w:val="32"/>
          <w:highlight w:val="none"/>
          <w:shd w:val="clear" w:color="auto" w:fill="FFFFFF"/>
          <w:lang w:eastAsia="zh-CN"/>
        </w:rPr>
      </w:pPr>
      <w:r>
        <w:rPr>
          <w:rFonts w:hint="eastAsia" w:ascii="仿宋_GB2312" w:hAnsi="仿宋_GB2312" w:eastAsia="仿宋_GB2312" w:cs="仿宋_GB2312"/>
          <w:b w:val="0"/>
          <w:bCs w:val="0"/>
          <w:color w:val="auto"/>
          <w:sz w:val="32"/>
          <w:szCs w:val="32"/>
          <w:highlight w:val="none"/>
          <w:lang w:val="en-US" w:eastAsia="zh-CN"/>
        </w:rPr>
        <w:t>12.住房保障支出（类）住房改革支出（款）住房公积金（项）:</w:t>
      </w:r>
      <w:r>
        <w:rPr>
          <w:rFonts w:hint="eastAsia" w:ascii="仿宋_GB2312" w:hAnsi="仿宋_GB2312" w:eastAsia="仿宋_GB2312" w:cs="仿宋_GB2312"/>
          <w:i w:val="0"/>
          <w:caps w:val="0"/>
          <w:smallCaps w:val="0"/>
          <w:color w:val="auto"/>
          <w:spacing w:val="0"/>
          <w:sz w:val="32"/>
          <w:szCs w:val="32"/>
          <w:highlight w:val="none"/>
          <w:shd w:val="clear" w:color="auto" w:fill="FFFFFF"/>
        </w:rPr>
        <w:t> 指行政事业单位按人力资源和社会保障部、财政部规定的基本工资和津贴补贴以及规定比例为职工缴纳的住房公积金</w:t>
      </w:r>
      <w:r>
        <w:rPr>
          <w:rFonts w:hint="eastAsia" w:ascii="仿宋_GB2312" w:hAnsi="仿宋_GB2312" w:eastAsia="仿宋_GB2312" w:cs="仿宋_GB2312"/>
          <w:i w:val="0"/>
          <w:caps w:val="0"/>
          <w:smallCaps w:val="0"/>
          <w:color w:val="auto"/>
          <w:spacing w:val="0"/>
          <w:sz w:val="32"/>
          <w:szCs w:val="32"/>
          <w:highlight w:val="none"/>
          <w:shd w:val="clear" w:color="auto" w:fill="FFFFFF"/>
          <w:lang w:eastAsia="zh-CN"/>
        </w:rPr>
        <w:t>。</w:t>
      </w:r>
    </w:p>
    <w:p>
      <w:pPr>
        <w:shd w:val="clear"/>
        <w:ind w:firstLine="640" w:firstLineChars="200"/>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13</w:t>
      </w:r>
      <w:r>
        <w:rPr>
          <w:rFonts w:hint="eastAsia" w:ascii="仿宋_GB2312" w:hAnsi="仿宋_GB2312" w:eastAsia="仿宋_GB2312" w:cs="仿宋_GB2312"/>
          <w:color w:val="auto"/>
          <w:sz w:val="32"/>
          <w:szCs w:val="32"/>
          <w:highlight w:val="none"/>
        </w:rPr>
        <w:t>.基本支出：指为保障机构正常运转、完成日常工作任务而发生的人员支出和公用支出。</w:t>
      </w:r>
    </w:p>
    <w:p>
      <w:pPr>
        <w:shd w:val="clear"/>
        <w:ind w:firstLine="640" w:firstLineChars="200"/>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14</w:t>
      </w:r>
      <w:r>
        <w:rPr>
          <w:rFonts w:hint="eastAsia" w:ascii="仿宋_GB2312" w:hAnsi="仿宋_GB2312" w:eastAsia="仿宋_GB2312" w:cs="仿宋_GB2312"/>
          <w:color w:val="auto"/>
          <w:sz w:val="32"/>
          <w:szCs w:val="32"/>
          <w:highlight w:val="none"/>
        </w:rPr>
        <w:t xml:space="preserve">.项目支出：指在基本支出之外为完成特定行政任务和事业发展目标所发生的支出。 </w:t>
      </w:r>
    </w:p>
    <w:p>
      <w:pPr>
        <w:pStyle w:val="26"/>
        <w:shd w:val="clear"/>
        <w:spacing w:line="560" w:lineRule="exact"/>
        <w:ind w:firstLine="640" w:firstLineChars="200"/>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15</w:t>
      </w:r>
      <w:r>
        <w:rPr>
          <w:rFonts w:hint="eastAsia" w:ascii="仿宋_GB2312" w:hAnsi="仿宋_GB2312" w:eastAsia="仿宋_GB2312" w:cs="仿宋_GB2312"/>
          <w:color w:val="auto"/>
          <w:sz w:val="32"/>
          <w:szCs w:val="32"/>
          <w:highlight w:val="none"/>
        </w:rPr>
        <w:t>.“三公”经费：指</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6"/>
        <w:shd w:val="clear"/>
        <w:spacing w:line="560" w:lineRule="exact"/>
        <w:ind w:firstLine="640" w:firstLineChars="200"/>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16</w:t>
      </w:r>
      <w:r>
        <w:rPr>
          <w:rFonts w:hint="eastAsia" w:ascii="仿宋_GB2312" w:hAnsi="仿宋_GB2312" w:eastAsia="仿宋_GB2312" w:cs="仿宋_GB2312"/>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6"/>
        <w:shd w:val="clear"/>
        <w:spacing w:line="560" w:lineRule="exact"/>
        <w:ind w:firstLine="640" w:firstLineChars="200"/>
        <w:rPr>
          <w:rFonts w:ascii="仿宋_GB2312" w:eastAsia="仿宋_GB2312" w:cs="黑体"/>
          <w:color w:val="auto"/>
          <w:sz w:val="32"/>
          <w:szCs w:val="32"/>
          <w:highlight w:val="none"/>
        </w:rPr>
      </w:pPr>
    </w:p>
    <w:p>
      <w:pPr>
        <w:shd w:val="clear"/>
        <w:rPr>
          <w:rFonts w:ascii="仿宋" w:hAnsi="仿宋" w:eastAsia="仿宋"/>
          <w:b/>
          <w:color w:val="auto"/>
          <w:sz w:val="32"/>
          <w:szCs w:val="32"/>
          <w:highlight w:val="none"/>
        </w:rPr>
      </w:pPr>
    </w:p>
    <w:p>
      <w:pPr>
        <w:shd w:val="clear"/>
        <w:spacing w:line="600" w:lineRule="exact"/>
        <w:jc w:val="center"/>
        <w:outlineLvl w:val="0"/>
        <w:rPr>
          <w:rStyle w:val="17"/>
          <w:rFonts w:ascii="黑体" w:hAnsi="黑体" w:eastAsia="黑体"/>
          <w:b w:val="0"/>
          <w:color w:val="auto"/>
          <w:highlight w:val="none"/>
        </w:rPr>
      </w:pPr>
      <w:bookmarkStart w:id="69" w:name="_Toc15377226"/>
      <w:r>
        <w:rPr>
          <w:rFonts w:ascii="宋体"/>
          <w:b/>
          <w:color w:val="auto"/>
          <w:sz w:val="44"/>
          <w:szCs w:val="44"/>
          <w:highlight w:val="none"/>
        </w:rPr>
        <w:br w:type="page"/>
      </w:r>
      <w:bookmarkStart w:id="70" w:name="_Toc15396614"/>
      <w:bookmarkStart w:id="71" w:name="_Toc8643"/>
      <w:r>
        <w:rPr>
          <w:rFonts w:hint="eastAsia" w:ascii="黑体" w:hAnsi="黑体" w:eastAsia="黑体"/>
          <w:color w:val="auto"/>
          <w:sz w:val="44"/>
          <w:szCs w:val="44"/>
          <w:highlight w:val="none"/>
        </w:rPr>
        <w:t>第</w:t>
      </w:r>
      <w:r>
        <w:rPr>
          <w:rStyle w:val="17"/>
          <w:rFonts w:hint="eastAsia" w:ascii="黑体" w:hAnsi="黑体" w:eastAsia="黑体"/>
          <w:b w:val="0"/>
          <w:color w:val="auto"/>
          <w:highlight w:val="none"/>
        </w:rPr>
        <w:t>四部分 附件</w:t>
      </w:r>
      <w:bookmarkEnd w:id="70"/>
      <w:bookmarkEnd w:id="71"/>
    </w:p>
    <w:p>
      <w:pPr>
        <w:keepNext w:val="0"/>
        <w:keepLines w:val="0"/>
        <w:pageBreakBefore w:val="0"/>
        <w:shd w:val="clear"/>
        <w:kinsoku/>
        <w:wordWrap/>
        <w:overflowPunct/>
        <w:topLinePunct w:val="0"/>
        <w:autoSpaceDE/>
        <w:autoSpaceDN/>
        <w:bidi w:val="0"/>
        <w:spacing w:line="572" w:lineRule="exact"/>
        <w:jc w:val="left"/>
        <w:textAlignment w:val="auto"/>
        <w:outlineLvl w:val="9"/>
        <w:rPr>
          <w:rFonts w:ascii="仿宋_GB2312" w:hAnsi="仿宋_GB2312" w:eastAsia="仿宋_GB2312" w:cs="仿宋_GB2312"/>
          <w:color w:val="auto"/>
          <w:sz w:val="32"/>
          <w:szCs w:val="32"/>
          <w:highlight w:val="none"/>
        </w:rPr>
      </w:pPr>
    </w:p>
    <w:p>
      <w:pPr>
        <w:shd w:val="clear"/>
        <w:spacing w:line="600" w:lineRule="exact"/>
        <w:jc w:val="center"/>
        <w:outlineLvl w:val="1"/>
        <w:rPr>
          <w:rFonts w:hint="eastAsia" w:ascii="仿宋_GB2312" w:hAnsi="仿宋_GB2312" w:eastAsia="仿宋_GB2312" w:cs="仿宋_GB2312"/>
          <w:color w:val="auto"/>
          <w:kern w:val="0"/>
          <w:sz w:val="32"/>
          <w:szCs w:val="32"/>
          <w:highlight w:val="none"/>
          <w:lang w:val="en-US" w:eastAsia="zh-CN" w:bidi="ar-SA"/>
        </w:rPr>
      </w:pPr>
      <w:bookmarkStart w:id="72" w:name="_Toc22294"/>
      <w:bookmarkStart w:id="73" w:name="_Toc15396618"/>
      <w:r>
        <w:rPr>
          <w:rFonts w:hint="eastAsia" w:ascii="仿宋_GB2312" w:hAnsi="仿宋_GB2312" w:eastAsia="仿宋_GB2312" w:cs="仿宋_GB2312"/>
          <w:color w:val="auto"/>
          <w:kern w:val="0"/>
          <w:sz w:val="32"/>
          <w:szCs w:val="32"/>
          <w:highlight w:val="none"/>
          <w:lang w:val="en-US" w:eastAsia="zh-CN" w:bidi="ar-SA"/>
        </w:rPr>
        <w:t>部门预算项目支出绩效自评表（2022年度）</w:t>
      </w:r>
      <w:bookmarkEnd w:id="72"/>
    </w:p>
    <w:p>
      <w:pPr>
        <w:pStyle w:val="2"/>
        <w:shd w:val="clear"/>
        <w:ind w:firstLine="3200" w:firstLineChars="10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（详见附表2）</w:t>
      </w:r>
    </w:p>
    <w:p>
      <w:pPr>
        <w:shd w:val="clear"/>
        <w:spacing w:line="600" w:lineRule="exact"/>
        <w:jc w:val="left"/>
        <w:outlineLvl w:val="9"/>
        <w:rPr>
          <w:rFonts w:hint="eastAsia" w:ascii="仿宋_GB2312" w:hAnsi="Calibri" w:eastAsia="仿宋_GB2312" w:cs="仿宋"/>
          <w:color w:val="auto"/>
          <w:kern w:val="0"/>
          <w:sz w:val="32"/>
          <w:szCs w:val="32"/>
          <w:highlight w:val="none"/>
          <w:lang w:val="en-US" w:eastAsia="zh-CN" w:bidi="ar-SA"/>
        </w:rPr>
      </w:pPr>
    </w:p>
    <w:p>
      <w:pPr>
        <w:pStyle w:val="2"/>
        <w:shd w:val="clear"/>
        <w:rPr>
          <w:rFonts w:hint="eastAsia" w:ascii="仿宋_GB2312" w:hAnsi="Calibri" w:eastAsia="仿宋_GB2312" w:cs="仿宋"/>
          <w:color w:val="auto"/>
          <w:kern w:val="0"/>
          <w:sz w:val="32"/>
          <w:szCs w:val="32"/>
          <w:highlight w:val="none"/>
          <w:lang w:val="en-US" w:eastAsia="zh-CN" w:bidi="ar-SA"/>
        </w:rPr>
      </w:pPr>
    </w:p>
    <w:p>
      <w:pPr>
        <w:pStyle w:val="2"/>
        <w:shd w:val="clear"/>
        <w:rPr>
          <w:rFonts w:hint="eastAsia" w:ascii="仿宋_GB2312" w:hAnsi="Calibri" w:eastAsia="仿宋_GB2312" w:cs="仿宋"/>
          <w:color w:val="auto"/>
          <w:kern w:val="0"/>
          <w:sz w:val="32"/>
          <w:szCs w:val="32"/>
          <w:highlight w:val="none"/>
          <w:lang w:val="en-US" w:eastAsia="zh-CN" w:bidi="ar-SA"/>
        </w:rPr>
      </w:pPr>
    </w:p>
    <w:p>
      <w:pPr>
        <w:pStyle w:val="2"/>
        <w:shd w:val="clear"/>
        <w:rPr>
          <w:rFonts w:hint="eastAsia" w:ascii="仿宋_GB2312" w:hAnsi="Calibri" w:eastAsia="仿宋_GB2312" w:cs="仿宋"/>
          <w:color w:val="auto"/>
          <w:kern w:val="0"/>
          <w:sz w:val="32"/>
          <w:szCs w:val="32"/>
          <w:highlight w:val="none"/>
          <w:lang w:val="en-US" w:eastAsia="zh-CN" w:bidi="ar-SA"/>
        </w:rPr>
      </w:pPr>
    </w:p>
    <w:p>
      <w:pPr>
        <w:pStyle w:val="2"/>
        <w:shd w:val="clear"/>
        <w:rPr>
          <w:rFonts w:hint="eastAsia" w:ascii="仿宋_GB2312" w:hAnsi="Calibri" w:eastAsia="仿宋_GB2312" w:cs="仿宋"/>
          <w:color w:val="auto"/>
          <w:kern w:val="0"/>
          <w:sz w:val="32"/>
          <w:szCs w:val="32"/>
          <w:highlight w:val="none"/>
          <w:lang w:val="en-US" w:eastAsia="zh-CN" w:bidi="ar-SA"/>
        </w:rPr>
      </w:pPr>
    </w:p>
    <w:p>
      <w:pPr>
        <w:pStyle w:val="2"/>
        <w:shd w:val="clear"/>
        <w:rPr>
          <w:rFonts w:hint="eastAsia" w:ascii="仿宋_GB2312" w:hAnsi="Calibri" w:eastAsia="仿宋_GB2312" w:cs="仿宋"/>
          <w:color w:val="auto"/>
          <w:kern w:val="0"/>
          <w:sz w:val="32"/>
          <w:szCs w:val="32"/>
          <w:highlight w:val="none"/>
          <w:lang w:val="en-US" w:eastAsia="zh-CN" w:bidi="ar-SA"/>
        </w:rPr>
      </w:pPr>
    </w:p>
    <w:p>
      <w:pPr>
        <w:pStyle w:val="2"/>
        <w:shd w:val="clear"/>
        <w:rPr>
          <w:rFonts w:hint="eastAsia" w:ascii="仿宋_GB2312" w:hAnsi="Calibri" w:eastAsia="仿宋_GB2312" w:cs="仿宋"/>
          <w:color w:val="auto"/>
          <w:kern w:val="0"/>
          <w:sz w:val="32"/>
          <w:szCs w:val="32"/>
          <w:highlight w:val="none"/>
          <w:lang w:val="en-US" w:eastAsia="zh-CN" w:bidi="ar-SA"/>
        </w:rPr>
      </w:pPr>
    </w:p>
    <w:p>
      <w:pPr>
        <w:pStyle w:val="2"/>
        <w:shd w:val="clear"/>
        <w:rPr>
          <w:rFonts w:hint="eastAsia" w:ascii="仿宋_GB2312" w:hAnsi="Calibri" w:eastAsia="仿宋_GB2312" w:cs="仿宋"/>
          <w:color w:val="auto"/>
          <w:kern w:val="0"/>
          <w:sz w:val="32"/>
          <w:szCs w:val="32"/>
          <w:highlight w:val="none"/>
          <w:lang w:val="en-US" w:eastAsia="zh-CN" w:bidi="ar-SA"/>
        </w:rPr>
      </w:pPr>
    </w:p>
    <w:p>
      <w:pPr>
        <w:pStyle w:val="2"/>
        <w:shd w:val="clear"/>
        <w:rPr>
          <w:rFonts w:hint="eastAsia" w:ascii="仿宋_GB2312" w:hAnsi="Calibri" w:eastAsia="仿宋_GB2312" w:cs="仿宋"/>
          <w:color w:val="auto"/>
          <w:kern w:val="0"/>
          <w:sz w:val="32"/>
          <w:szCs w:val="32"/>
          <w:highlight w:val="none"/>
          <w:lang w:val="en-US" w:eastAsia="zh-CN" w:bidi="ar-SA"/>
        </w:rPr>
      </w:pPr>
    </w:p>
    <w:p>
      <w:pPr>
        <w:pStyle w:val="2"/>
        <w:shd w:val="clear"/>
        <w:rPr>
          <w:rFonts w:hint="eastAsia" w:ascii="仿宋_GB2312" w:hAnsi="Calibri" w:eastAsia="仿宋_GB2312" w:cs="仿宋"/>
          <w:color w:val="auto"/>
          <w:kern w:val="0"/>
          <w:sz w:val="32"/>
          <w:szCs w:val="32"/>
          <w:highlight w:val="none"/>
          <w:lang w:val="en-US" w:eastAsia="zh-CN" w:bidi="ar-SA"/>
        </w:rPr>
      </w:pPr>
    </w:p>
    <w:p>
      <w:pPr>
        <w:pStyle w:val="2"/>
        <w:shd w:val="clear"/>
        <w:rPr>
          <w:rFonts w:hint="eastAsia" w:ascii="仿宋_GB2312" w:hAnsi="Calibri" w:eastAsia="仿宋_GB2312" w:cs="仿宋"/>
          <w:color w:val="auto"/>
          <w:kern w:val="0"/>
          <w:sz w:val="32"/>
          <w:szCs w:val="32"/>
          <w:highlight w:val="none"/>
          <w:lang w:val="en-US" w:eastAsia="zh-CN" w:bidi="ar-SA"/>
        </w:rPr>
      </w:pPr>
    </w:p>
    <w:p>
      <w:pPr>
        <w:pStyle w:val="2"/>
        <w:shd w:val="clear"/>
        <w:rPr>
          <w:rFonts w:hint="eastAsia" w:ascii="仿宋_GB2312" w:hAnsi="Calibri" w:eastAsia="仿宋_GB2312" w:cs="仿宋"/>
          <w:color w:val="auto"/>
          <w:kern w:val="0"/>
          <w:sz w:val="32"/>
          <w:szCs w:val="32"/>
          <w:highlight w:val="none"/>
          <w:lang w:val="en-US" w:eastAsia="zh-CN" w:bidi="ar-SA"/>
        </w:rPr>
      </w:pPr>
    </w:p>
    <w:p>
      <w:pPr>
        <w:pStyle w:val="2"/>
        <w:shd w:val="clear"/>
        <w:rPr>
          <w:rFonts w:hint="eastAsia" w:ascii="仿宋_GB2312" w:hAnsi="Calibri" w:eastAsia="仿宋_GB2312" w:cs="仿宋"/>
          <w:color w:val="auto"/>
          <w:kern w:val="0"/>
          <w:sz w:val="32"/>
          <w:szCs w:val="32"/>
          <w:highlight w:val="none"/>
          <w:lang w:val="en-US" w:eastAsia="zh-CN" w:bidi="ar-SA"/>
        </w:rPr>
      </w:pPr>
    </w:p>
    <w:p>
      <w:pPr>
        <w:shd w:val="clear"/>
        <w:spacing w:line="600" w:lineRule="exact"/>
        <w:jc w:val="center"/>
        <w:outlineLvl w:val="9"/>
        <w:rPr>
          <w:rFonts w:hint="eastAsia" w:ascii="黑体" w:hAnsi="黑体" w:eastAsia="黑体"/>
          <w:color w:val="auto"/>
          <w:sz w:val="44"/>
          <w:szCs w:val="44"/>
          <w:highlight w:val="none"/>
        </w:rPr>
      </w:pPr>
    </w:p>
    <w:p>
      <w:pPr>
        <w:shd w:val="clear"/>
        <w:spacing w:line="600" w:lineRule="exact"/>
        <w:jc w:val="center"/>
        <w:outlineLvl w:val="9"/>
        <w:rPr>
          <w:rFonts w:hint="eastAsia" w:ascii="黑体" w:hAnsi="黑体" w:eastAsia="黑体"/>
          <w:color w:val="auto"/>
          <w:sz w:val="44"/>
          <w:szCs w:val="44"/>
          <w:highlight w:val="none"/>
        </w:rPr>
      </w:pPr>
    </w:p>
    <w:p>
      <w:pPr>
        <w:shd w:val="clear"/>
        <w:spacing w:line="600" w:lineRule="exact"/>
        <w:jc w:val="center"/>
        <w:outlineLvl w:val="9"/>
        <w:rPr>
          <w:rFonts w:hint="eastAsia" w:ascii="黑体" w:hAnsi="黑体" w:eastAsia="黑体"/>
          <w:color w:val="auto"/>
          <w:sz w:val="44"/>
          <w:szCs w:val="44"/>
          <w:highlight w:val="none"/>
        </w:rPr>
      </w:pPr>
    </w:p>
    <w:p>
      <w:pPr>
        <w:shd w:val="clear"/>
        <w:spacing w:line="600" w:lineRule="exact"/>
        <w:jc w:val="center"/>
        <w:outlineLvl w:val="0"/>
        <w:rPr>
          <w:rFonts w:hint="eastAsia" w:ascii="仿宋" w:hAnsi="仿宋" w:eastAsia="仿宋"/>
          <w:b w:val="0"/>
          <w:color w:val="auto"/>
          <w:highlight w:val="none"/>
        </w:rPr>
      </w:pPr>
      <w:bookmarkStart w:id="74" w:name="_Toc15637"/>
      <w:r>
        <w:rPr>
          <w:rFonts w:hint="eastAsia" w:ascii="黑体" w:hAnsi="黑体" w:eastAsia="黑体"/>
          <w:color w:val="auto"/>
          <w:sz w:val="44"/>
          <w:szCs w:val="44"/>
          <w:highlight w:val="none"/>
        </w:rPr>
        <w:t>第</w:t>
      </w:r>
      <w:r>
        <w:rPr>
          <w:rStyle w:val="17"/>
          <w:rFonts w:hint="eastAsia" w:ascii="黑体" w:hAnsi="黑体" w:eastAsia="黑体"/>
          <w:b w:val="0"/>
          <w:color w:val="auto"/>
          <w:highlight w:val="none"/>
        </w:rPr>
        <w:t>五部分 附表</w:t>
      </w:r>
      <w:bookmarkEnd w:id="69"/>
      <w:bookmarkEnd w:id="73"/>
      <w:bookmarkEnd w:id="74"/>
      <w:bookmarkStart w:id="75" w:name="_Toc15396619"/>
    </w:p>
    <w:p>
      <w:pPr>
        <w:keepNext/>
        <w:keepLines/>
        <w:pageBreakBefore w:val="0"/>
        <w:widowControl w:val="0"/>
        <w:shd w:val="clear"/>
        <w:kinsoku/>
        <w:wordWrap/>
        <w:overflowPunct/>
        <w:topLinePunct w:val="0"/>
        <w:autoSpaceDE/>
        <w:autoSpaceDN/>
        <w:bidi w:val="0"/>
        <w:adjustRightInd/>
        <w:snapToGrid/>
        <w:spacing w:before="0" w:after="0" w:line="600" w:lineRule="exact"/>
        <w:textAlignment w:val="auto"/>
        <w:outlineLvl w:val="9"/>
        <w:rPr>
          <w:rFonts w:hint="eastAsia" w:ascii="仿宋" w:hAnsi="仿宋" w:eastAsia="仿宋"/>
          <w:b w:val="0"/>
          <w:color w:val="auto"/>
          <w:highlight w:val="none"/>
        </w:rPr>
      </w:pPr>
    </w:p>
    <w:p>
      <w:pPr>
        <w:keepNext/>
        <w:keepLines/>
        <w:pageBreakBefore w:val="0"/>
        <w:widowControl w:val="0"/>
        <w:shd w:val="clear"/>
        <w:kinsoku/>
        <w:wordWrap/>
        <w:overflowPunct/>
        <w:topLinePunct w:val="0"/>
        <w:autoSpaceDE/>
        <w:autoSpaceDN/>
        <w:bidi w:val="0"/>
        <w:adjustRightInd/>
        <w:snapToGrid/>
        <w:spacing w:before="0" w:after="0" w:line="600" w:lineRule="exact"/>
        <w:ind w:firstLine="640" w:firstLineChars="200"/>
        <w:textAlignment w:val="auto"/>
        <w:outlineLvl w:val="9"/>
        <w:rPr>
          <w:rFonts w:hint="eastAsia" w:ascii="仿宋_GB2312" w:hAnsi="仿宋_GB2312" w:eastAsia="仿宋_GB2312" w:cs="仿宋_GB2312"/>
          <w:color w:val="auto"/>
          <w:sz w:val="32"/>
          <w:szCs w:val="32"/>
          <w:highlight w:val="none"/>
        </w:rPr>
      </w:pPr>
      <w:bookmarkStart w:id="76" w:name="_Toc16803"/>
      <w:r>
        <w:rPr>
          <w:rStyle w:val="18"/>
          <w:rFonts w:hint="eastAsia" w:ascii="仿宋_GB2312" w:hAnsi="仿宋_GB2312" w:eastAsia="仿宋_GB2312" w:cs="仿宋_GB2312"/>
          <w:b w:val="0"/>
          <w:bCs w:val="0"/>
          <w:color w:val="auto"/>
          <w:sz w:val="32"/>
          <w:szCs w:val="32"/>
          <w:highlight w:val="none"/>
        </w:rPr>
        <w:t>一、收入支出决算总表</w:t>
      </w:r>
      <w:bookmarkEnd w:id="75"/>
      <w:bookmarkEnd w:id="76"/>
    </w:p>
    <w:p>
      <w:pPr>
        <w:keepNext/>
        <w:keepLines/>
        <w:pageBreakBefore w:val="0"/>
        <w:widowControl w:val="0"/>
        <w:shd w:val="clear"/>
        <w:kinsoku/>
        <w:wordWrap/>
        <w:overflowPunct/>
        <w:topLinePunct w:val="0"/>
        <w:autoSpaceDE/>
        <w:autoSpaceDN/>
        <w:bidi w:val="0"/>
        <w:adjustRightInd/>
        <w:snapToGrid/>
        <w:spacing w:before="0" w:after="0" w:line="600" w:lineRule="exact"/>
        <w:ind w:firstLine="640" w:firstLineChars="200"/>
        <w:textAlignment w:val="auto"/>
        <w:outlineLvl w:val="9"/>
        <w:rPr>
          <w:rFonts w:hint="eastAsia" w:ascii="仿宋_GB2312" w:hAnsi="仿宋_GB2312" w:eastAsia="仿宋_GB2312" w:cs="仿宋_GB2312"/>
          <w:color w:val="auto"/>
          <w:sz w:val="32"/>
          <w:szCs w:val="32"/>
          <w:highlight w:val="none"/>
        </w:rPr>
      </w:pPr>
      <w:bookmarkStart w:id="77" w:name="_Toc15396620"/>
      <w:bookmarkStart w:id="78" w:name="_Toc30473"/>
      <w:r>
        <w:rPr>
          <w:rStyle w:val="18"/>
          <w:rFonts w:hint="eastAsia" w:ascii="仿宋_GB2312" w:hAnsi="仿宋_GB2312" w:eastAsia="仿宋_GB2312" w:cs="仿宋_GB2312"/>
          <w:b w:val="0"/>
          <w:bCs w:val="0"/>
          <w:color w:val="auto"/>
          <w:sz w:val="32"/>
          <w:szCs w:val="32"/>
          <w:highlight w:val="none"/>
        </w:rPr>
        <w:t>二、收入决算表</w:t>
      </w:r>
      <w:bookmarkEnd w:id="77"/>
      <w:bookmarkEnd w:id="78"/>
    </w:p>
    <w:p>
      <w:pPr>
        <w:keepNext/>
        <w:keepLines/>
        <w:pageBreakBefore w:val="0"/>
        <w:widowControl w:val="0"/>
        <w:shd w:val="clear"/>
        <w:kinsoku/>
        <w:wordWrap/>
        <w:overflowPunct/>
        <w:topLinePunct w:val="0"/>
        <w:autoSpaceDE/>
        <w:autoSpaceDN/>
        <w:bidi w:val="0"/>
        <w:adjustRightInd/>
        <w:snapToGrid/>
        <w:spacing w:before="0" w:after="0" w:line="600" w:lineRule="exact"/>
        <w:ind w:firstLine="640" w:firstLineChars="200"/>
        <w:textAlignment w:val="auto"/>
        <w:outlineLvl w:val="9"/>
        <w:rPr>
          <w:rFonts w:hint="eastAsia" w:ascii="仿宋_GB2312" w:hAnsi="仿宋_GB2312" w:eastAsia="仿宋_GB2312" w:cs="仿宋_GB2312"/>
          <w:color w:val="auto"/>
          <w:sz w:val="32"/>
          <w:szCs w:val="32"/>
          <w:highlight w:val="none"/>
        </w:rPr>
      </w:pPr>
      <w:bookmarkStart w:id="79" w:name="_Toc15396621"/>
      <w:bookmarkStart w:id="80" w:name="_Toc6545"/>
      <w:r>
        <w:rPr>
          <w:rStyle w:val="18"/>
          <w:rFonts w:hint="eastAsia" w:ascii="仿宋_GB2312" w:hAnsi="仿宋_GB2312" w:eastAsia="仿宋_GB2312" w:cs="仿宋_GB2312"/>
          <w:b w:val="0"/>
          <w:bCs w:val="0"/>
          <w:color w:val="auto"/>
          <w:sz w:val="32"/>
          <w:szCs w:val="32"/>
          <w:highlight w:val="none"/>
        </w:rPr>
        <w:t>三、支出决算表</w:t>
      </w:r>
      <w:bookmarkEnd w:id="79"/>
      <w:bookmarkEnd w:id="80"/>
    </w:p>
    <w:p>
      <w:pPr>
        <w:keepNext/>
        <w:keepLines/>
        <w:pageBreakBefore w:val="0"/>
        <w:widowControl w:val="0"/>
        <w:shd w:val="clear"/>
        <w:kinsoku/>
        <w:wordWrap/>
        <w:overflowPunct/>
        <w:topLinePunct w:val="0"/>
        <w:autoSpaceDE/>
        <w:autoSpaceDN/>
        <w:bidi w:val="0"/>
        <w:adjustRightInd/>
        <w:snapToGrid/>
        <w:spacing w:before="0" w:after="0" w:line="600" w:lineRule="exact"/>
        <w:ind w:firstLine="640" w:firstLineChars="200"/>
        <w:textAlignment w:val="auto"/>
        <w:outlineLvl w:val="9"/>
        <w:rPr>
          <w:rFonts w:hint="eastAsia" w:ascii="仿宋_GB2312" w:hAnsi="仿宋_GB2312" w:eastAsia="仿宋_GB2312" w:cs="仿宋_GB2312"/>
          <w:b w:val="0"/>
          <w:color w:val="auto"/>
          <w:sz w:val="32"/>
          <w:szCs w:val="32"/>
          <w:highlight w:val="none"/>
        </w:rPr>
      </w:pPr>
      <w:bookmarkStart w:id="81" w:name="_Toc15396622"/>
      <w:bookmarkStart w:id="82" w:name="_Toc1534"/>
      <w:r>
        <w:rPr>
          <w:rStyle w:val="18"/>
          <w:rFonts w:hint="eastAsia" w:ascii="仿宋_GB2312" w:hAnsi="仿宋_GB2312" w:eastAsia="仿宋_GB2312" w:cs="仿宋_GB2312"/>
          <w:b w:val="0"/>
          <w:bCs w:val="0"/>
          <w:color w:val="auto"/>
          <w:sz w:val="32"/>
          <w:szCs w:val="32"/>
          <w:highlight w:val="none"/>
        </w:rPr>
        <w:t>四、财政拨款收入支出决算总表</w:t>
      </w:r>
      <w:bookmarkEnd w:id="81"/>
      <w:bookmarkEnd w:id="82"/>
    </w:p>
    <w:p>
      <w:pPr>
        <w:keepNext/>
        <w:keepLines/>
        <w:pageBreakBefore w:val="0"/>
        <w:widowControl w:val="0"/>
        <w:shd w:val="clear"/>
        <w:kinsoku/>
        <w:wordWrap/>
        <w:overflowPunct/>
        <w:topLinePunct w:val="0"/>
        <w:autoSpaceDE/>
        <w:autoSpaceDN/>
        <w:bidi w:val="0"/>
        <w:adjustRightInd/>
        <w:snapToGrid/>
        <w:spacing w:before="0" w:after="0" w:line="600" w:lineRule="exact"/>
        <w:ind w:firstLine="640" w:firstLineChars="200"/>
        <w:textAlignment w:val="auto"/>
        <w:outlineLvl w:val="9"/>
        <w:rPr>
          <w:rStyle w:val="18"/>
          <w:rFonts w:hint="eastAsia" w:ascii="仿宋_GB2312" w:hAnsi="仿宋_GB2312" w:eastAsia="仿宋_GB2312" w:cs="仿宋_GB2312"/>
          <w:b w:val="0"/>
          <w:bCs w:val="0"/>
          <w:color w:val="auto"/>
          <w:sz w:val="32"/>
          <w:szCs w:val="32"/>
          <w:highlight w:val="none"/>
        </w:rPr>
      </w:pPr>
      <w:bookmarkStart w:id="83" w:name="_Toc15396623"/>
      <w:bookmarkStart w:id="84" w:name="_Toc12314"/>
      <w:r>
        <w:rPr>
          <w:rStyle w:val="18"/>
          <w:rFonts w:hint="eastAsia" w:ascii="仿宋_GB2312" w:hAnsi="仿宋_GB2312" w:eastAsia="仿宋_GB2312" w:cs="仿宋_GB2312"/>
          <w:b w:val="0"/>
          <w:bCs w:val="0"/>
          <w:color w:val="auto"/>
          <w:sz w:val="32"/>
          <w:szCs w:val="32"/>
          <w:highlight w:val="none"/>
        </w:rPr>
        <w:t>五、财政拨款支出决算明细表</w:t>
      </w:r>
      <w:bookmarkEnd w:id="83"/>
      <w:bookmarkStart w:id="85" w:name="_Toc15396624"/>
    </w:p>
    <w:bookmarkEnd w:id="84"/>
    <w:p>
      <w:pPr>
        <w:keepNext/>
        <w:keepLines/>
        <w:pageBreakBefore w:val="0"/>
        <w:widowControl w:val="0"/>
        <w:shd w:val="clear"/>
        <w:kinsoku/>
        <w:wordWrap/>
        <w:overflowPunct/>
        <w:topLinePunct w:val="0"/>
        <w:autoSpaceDE/>
        <w:autoSpaceDN/>
        <w:bidi w:val="0"/>
        <w:adjustRightInd/>
        <w:snapToGrid/>
        <w:spacing w:before="0" w:after="0" w:line="600" w:lineRule="exact"/>
        <w:ind w:firstLine="640" w:firstLineChars="200"/>
        <w:textAlignment w:val="auto"/>
        <w:outlineLvl w:val="9"/>
        <w:rPr>
          <w:rFonts w:hint="eastAsia" w:ascii="仿宋_GB2312" w:hAnsi="仿宋_GB2312" w:eastAsia="仿宋_GB2312" w:cs="仿宋_GB2312"/>
          <w:color w:val="auto"/>
          <w:sz w:val="32"/>
          <w:szCs w:val="32"/>
          <w:highlight w:val="none"/>
        </w:rPr>
      </w:pPr>
      <w:bookmarkStart w:id="86" w:name="_Toc24908"/>
      <w:r>
        <w:rPr>
          <w:rStyle w:val="18"/>
          <w:rFonts w:hint="eastAsia" w:ascii="仿宋_GB2312" w:hAnsi="仿宋_GB2312" w:eastAsia="仿宋_GB2312" w:cs="仿宋_GB2312"/>
          <w:b w:val="0"/>
          <w:bCs w:val="0"/>
          <w:color w:val="auto"/>
          <w:sz w:val="32"/>
          <w:szCs w:val="32"/>
          <w:highlight w:val="none"/>
        </w:rPr>
        <w:t>六、一般公共预算财政拨款支出决算表</w:t>
      </w:r>
      <w:bookmarkEnd w:id="85"/>
      <w:bookmarkEnd w:id="86"/>
    </w:p>
    <w:p>
      <w:pPr>
        <w:keepNext/>
        <w:keepLines/>
        <w:pageBreakBefore w:val="0"/>
        <w:widowControl w:val="0"/>
        <w:shd w:val="clear"/>
        <w:kinsoku/>
        <w:wordWrap/>
        <w:overflowPunct/>
        <w:topLinePunct w:val="0"/>
        <w:autoSpaceDE/>
        <w:autoSpaceDN/>
        <w:bidi w:val="0"/>
        <w:adjustRightInd/>
        <w:snapToGrid/>
        <w:spacing w:before="0" w:after="0" w:line="600" w:lineRule="exact"/>
        <w:ind w:firstLine="640" w:firstLineChars="200"/>
        <w:textAlignment w:val="auto"/>
        <w:outlineLvl w:val="9"/>
        <w:rPr>
          <w:rFonts w:hint="eastAsia" w:ascii="仿宋_GB2312" w:hAnsi="仿宋_GB2312" w:eastAsia="仿宋_GB2312" w:cs="仿宋_GB2312"/>
          <w:color w:val="auto"/>
          <w:sz w:val="32"/>
          <w:szCs w:val="32"/>
          <w:highlight w:val="none"/>
        </w:rPr>
      </w:pPr>
      <w:bookmarkStart w:id="87" w:name="_Toc15396625"/>
      <w:bookmarkStart w:id="88" w:name="_Toc1560"/>
      <w:r>
        <w:rPr>
          <w:rStyle w:val="18"/>
          <w:rFonts w:hint="eastAsia" w:ascii="仿宋_GB2312" w:hAnsi="仿宋_GB2312" w:eastAsia="仿宋_GB2312" w:cs="仿宋_GB2312"/>
          <w:b w:val="0"/>
          <w:bCs w:val="0"/>
          <w:color w:val="auto"/>
          <w:sz w:val="32"/>
          <w:szCs w:val="32"/>
          <w:highlight w:val="none"/>
        </w:rPr>
        <w:t>七、一般公共预算财政拨款支出决算明细表</w:t>
      </w:r>
      <w:bookmarkEnd w:id="87"/>
      <w:bookmarkEnd w:id="88"/>
    </w:p>
    <w:p>
      <w:pPr>
        <w:keepNext/>
        <w:keepLines/>
        <w:pageBreakBefore w:val="0"/>
        <w:widowControl w:val="0"/>
        <w:shd w:val="clear"/>
        <w:kinsoku/>
        <w:wordWrap/>
        <w:overflowPunct/>
        <w:topLinePunct w:val="0"/>
        <w:autoSpaceDE/>
        <w:autoSpaceDN/>
        <w:bidi w:val="0"/>
        <w:adjustRightInd/>
        <w:snapToGrid/>
        <w:spacing w:before="0" w:after="0" w:line="600" w:lineRule="exact"/>
        <w:ind w:firstLine="640" w:firstLineChars="200"/>
        <w:textAlignment w:val="auto"/>
        <w:outlineLvl w:val="9"/>
        <w:rPr>
          <w:rFonts w:hint="eastAsia" w:ascii="仿宋_GB2312" w:hAnsi="仿宋_GB2312" w:eastAsia="仿宋_GB2312" w:cs="仿宋_GB2312"/>
          <w:color w:val="auto"/>
          <w:sz w:val="32"/>
          <w:szCs w:val="32"/>
          <w:highlight w:val="none"/>
        </w:rPr>
      </w:pPr>
      <w:bookmarkStart w:id="89" w:name="_Toc15396626"/>
      <w:bookmarkStart w:id="90" w:name="_Toc22976"/>
      <w:r>
        <w:rPr>
          <w:rStyle w:val="18"/>
          <w:rFonts w:hint="eastAsia" w:ascii="仿宋_GB2312" w:hAnsi="仿宋_GB2312" w:eastAsia="仿宋_GB2312" w:cs="仿宋_GB2312"/>
          <w:b w:val="0"/>
          <w:bCs w:val="0"/>
          <w:color w:val="auto"/>
          <w:sz w:val="32"/>
          <w:szCs w:val="32"/>
          <w:highlight w:val="none"/>
        </w:rPr>
        <w:t>八、一般公共预算财政拨款基本支出决算表</w:t>
      </w:r>
      <w:bookmarkEnd w:id="89"/>
      <w:bookmarkEnd w:id="90"/>
    </w:p>
    <w:p>
      <w:pPr>
        <w:keepNext/>
        <w:keepLines/>
        <w:pageBreakBefore w:val="0"/>
        <w:widowControl w:val="0"/>
        <w:shd w:val="clear"/>
        <w:kinsoku/>
        <w:wordWrap/>
        <w:overflowPunct/>
        <w:topLinePunct w:val="0"/>
        <w:autoSpaceDE/>
        <w:autoSpaceDN/>
        <w:bidi w:val="0"/>
        <w:adjustRightInd/>
        <w:snapToGrid/>
        <w:spacing w:before="0" w:after="0" w:line="600" w:lineRule="exact"/>
        <w:ind w:firstLine="640" w:firstLineChars="200"/>
        <w:textAlignment w:val="auto"/>
        <w:outlineLvl w:val="9"/>
        <w:rPr>
          <w:rFonts w:hint="eastAsia" w:ascii="仿宋_GB2312" w:hAnsi="仿宋_GB2312" w:eastAsia="仿宋_GB2312" w:cs="仿宋_GB2312"/>
          <w:color w:val="auto"/>
          <w:sz w:val="32"/>
          <w:szCs w:val="32"/>
          <w:highlight w:val="none"/>
        </w:rPr>
      </w:pPr>
      <w:bookmarkStart w:id="91" w:name="_Toc15396627"/>
      <w:bookmarkStart w:id="92" w:name="_Toc5904"/>
      <w:r>
        <w:rPr>
          <w:rStyle w:val="18"/>
          <w:rFonts w:hint="eastAsia" w:ascii="仿宋_GB2312" w:hAnsi="仿宋_GB2312" w:eastAsia="仿宋_GB2312" w:cs="仿宋_GB2312"/>
          <w:b w:val="0"/>
          <w:bCs w:val="0"/>
          <w:color w:val="auto"/>
          <w:sz w:val="32"/>
          <w:szCs w:val="32"/>
          <w:highlight w:val="none"/>
        </w:rPr>
        <w:t>九、一般公共预算财政拨款项目支出决算表</w:t>
      </w:r>
      <w:bookmarkEnd w:id="91"/>
      <w:bookmarkEnd w:id="92"/>
    </w:p>
    <w:p>
      <w:pPr>
        <w:keepNext/>
        <w:keepLines/>
        <w:pageBreakBefore w:val="0"/>
        <w:widowControl w:val="0"/>
        <w:shd w:val="clear"/>
        <w:kinsoku/>
        <w:wordWrap/>
        <w:overflowPunct/>
        <w:topLinePunct w:val="0"/>
        <w:autoSpaceDE/>
        <w:autoSpaceDN/>
        <w:bidi w:val="0"/>
        <w:adjustRightInd/>
        <w:snapToGrid/>
        <w:spacing w:before="0" w:after="0" w:line="600" w:lineRule="exact"/>
        <w:ind w:firstLine="640" w:firstLineChars="200"/>
        <w:textAlignment w:val="auto"/>
        <w:outlineLvl w:val="9"/>
        <w:rPr>
          <w:rFonts w:hint="eastAsia" w:ascii="仿宋_GB2312" w:hAnsi="仿宋_GB2312" w:eastAsia="仿宋_GB2312" w:cs="仿宋_GB2312"/>
          <w:color w:val="auto"/>
          <w:sz w:val="32"/>
          <w:szCs w:val="32"/>
          <w:highlight w:val="none"/>
        </w:rPr>
      </w:pPr>
      <w:bookmarkStart w:id="93" w:name="_Toc15396628"/>
      <w:bookmarkStart w:id="94" w:name="_Toc31478"/>
      <w:r>
        <w:rPr>
          <w:rStyle w:val="18"/>
          <w:rFonts w:hint="eastAsia" w:ascii="仿宋_GB2312" w:hAnsi="仿宋_GB2312" w:eastAsia="仿宋_GB2312" w:cs="仿宋_GB2312"/>
          <w:b w:val="0"/>
          <w:bCs w:val="0"/>
          <w:color w:val="auto"/>
          <w:sz w:val="32"/>
          <w:szCs w:val="32"/>
          <w:highlight w:val="none"/>
        </w:rPr>
        <w:t>十、</w:t>
      </w:r>
      <w:bookmarkEnd w:id="93"/>
      <w:r>
        <w:rPr>
          <w:rStyle w:val="18"/>
          <w:rFonts w:hint="eastAsia" w:ascii="仿宋_GB2312" w:hAnsi="仿宋_GB2312" w:eastAsia="仿宋_GB2312" w:cs="仿宋_GB2312"/>
          <w:b w:val="0"/>
          <w:bCs w:val="0"/>
          <w:color w:val="auto"/>
          <w:sz w:val="32"/>
          <w:szCs w:val="32"/>
          <w:highlight w:val="none"/>
        </w:rPr>
        <w:t>政府性基金预算财政拨款收入支出决算表</w:t>
      </w:r>
      <w:bookmarkEnd w:id="94"/>
    </w:p>
    <w:p>
      <w:pPr>
        <w:keepNext/>
        <w:keepLines/>
        <w:pageBreakBefore w:val="0"/>
        <w:widowControl w:val="0"/>
        <w:shd w:val="clear"/>
        <w:kinsoku/>
        <w:wordWrap/>
        <w:overflowPunct/>
        <w:topLinePunct w:val="0"/>
        <w:autoSpaceDE/>
        <w:autoSpaceDN/>
        <w:bidi w:val="0"/>
        <w:adjustRightInd/>
        <w:snapToGrid/>
        <w:spacing w:before="0" w:after="0" w:line="600" w:lineRule="exact"/>
        <w:ind w:firstLine="640" w:firstLineChars="200"/>
        <w:textAlignment w:val="auto"/>
        <w:outlineLvl w:val="9"/>
        <w:rPr>
          <w:rFonts w:hint="eastAsia" w:ascii="仿宋_GB2312" w:hAnsi="仿宋_GB2312" w:eastAsia="仿宋_GB2312" w:cs="仿宋_GB2312"/>
          <w:color w:val="auto"/>
          <w:sz w:val="32"/>
          <w:szCs w:val="32"/>
          <w:highlight w:val="none"/>
        </w:rPr>
      </w:pPr>
      <w:bookmarkStart w:id="95" w:name="_Toc15396629"/>
      <w:bookmarkStart w:id="96" w:name="_Toc28087"/>
      <w:r>
        <w:rPr>
          <w:rStyle w:val="18"/>
          <w:rFonts w:hint="eastAsia" w:ascii="仿宋_GB2312" w:hAnsi="仿宋_GB2312" w:eastAsia="仿宋_GB2312" w:cs="仿宋_GB2312"/>
          <w:b w:val="0"/>
          <w:bCs w:val="0"/>
          <w:color w:val="auto"/>
          <w:sz w:val="32"/>
          <w:szCs w:val="32"/>
          <w:highlight w:val="none"/>
        </w:rPr>
        <w:t>十一、</w:t>
      </w:r>
      <w:bookmarkEnd w:id="95"/>
      <w:r>
        <w:rPr>
          <w:rStyle w:val="18"/>
          <w:rFonts w:hint="eastAsia" w:ascii="仿宋_GB2312" w:hAnsi="仿宋_GB2312" w:eastAsia="仿宋_GB2312" w:cs="仿宋_GB2312"/>
          <w:b w:val="0"/>
          <w:bCs w:val="0"/>
          <w:color w:val="auto"/>
          <w:sz w:val="32"/>
          <w:szCs w:val="32"/>
          <w:highlight w:val="none"/>
        </w:rPr>
        <w:t>国有资本经营预算</w:t>
      </w:r>
      <w:r>
        <w:rPr>
          <w:rStyle w:val="18"/>
          <w:rFonts w:hint="eastAsia" w:ascii="仿宋_GB2312" w:hAnsi="仿宋_GB2312" w:eastAsia="仿宋_GB2312" w:cs="仿宋_GB2312"/>
          <w:b w:val="0"/>
          <w:bCs w:val="0"/>
          <w:color w:val="auto"/>
          <w:sz w:val="32"/>
          <w:szCs w:val="32"/>
          <w:highlight w:val="none"/>
          <w:lang w:eastAsia="zh-CN"/>
        </w:rPr>
        <w:t>财政拨款收入</w:t>
      </w:r>
      <w:r>
        <w:rPr>
          <w:rStyle w:val="18"/>
          <w:rFonts w:hint="eastAsia" w:ascii="仿宋_GB2312" w:hAnsi="仿宋_GB2312" w:eastAsia="仿宋_GB2312" w:cs="仿宋_GB2312"/>
          <w:b w:val="0"/>
          <w:bCs w:val="0"/>
          <w:color w:val="auto"/>
          <w:sz w:val="32"/>
          <w:szCs w:val="32"/>
          <w:highlight w:val="none"/>
        </w:rPr>
        <w:t>支出决算表</w:t>
      </w:r>
      <w:bookmarkEnd w:id="96"/>
    </w:p>
    <w:p>
      <w:pPr>
        <w:keepNext/>
        <w:keepLines/>
        <w:pageBreakBefore w:val="0"/>
        <w:widowControl w:val="0"/>
        <w:shd w:val="clear"/>
        <w:kinsoku/>
        <w:wordWrap/>
        <w:overflowPunct/>
        <w:topLinePunct w:val="0"/>
        <w:autoSpaceDE/>
        <w:autoSpaceDN/>
        <w:bidi w:val="0"/>
        <w:adjustRightInd/>
        <w:snapToGrid/>
        <w:spacing w:before="0" w:after="0" w:line="600" w:lineRule="exact"/>
        <w:ind w:firstLine="640" w:firstLineChars="200"/>
        <w:textAlignment w:val="auto"/>
        <w:outlineLvl w:val="9"/>
        <w:rPr>
          <w:rFonts w:hint="eastAsia" w:ascii="仿宋_GB2312" w:hAnsi="仿宋_GB2312" w:eastAsia="仿宋_GB2312" w:cs="仿宋_GB2312"/>
          <w:color w:val="auto"/>
          <w:sz w:val="32"/>
          <w:szCs w:val="32"/>
          <w:highlight w:val="none"/>
        </w:rPr>
      </w:pPr>
      <w:bookmarkStart w:id="97" w:name="_Toc15396630"/>
      <w:bookmarkStart w:id="98" w:name="_Toc9286"/>
      <w:r>
        <w:rPr>
          <w:rStyle w:val="18"/>
          <w:rFonts w:hint="eastAsia" w:ascii="仿宋_GB2312" w:hAnsi="仿宋_GB2312" w:eastAsia="仿宋_GB2312" w:cs="仿宋_GB2312"/>
          <w:b w:val="0"/>
          <w:bCs w:val="0"/>
          <w:color w:val="auto"/>
          <w:sz w:val="32"/>
          <w:szCs w:val="32"/>
          <w:highlight w:val="none"/>
        </w:rPr>
        <w:t>十二、</w:t>
      </w:r>
      <w:bookmarkEnd w:id="97"/>
      <w:r>
        <w:rPr>
          <w:rStyle w:val="18"/>
          <w:rFonts w:hint="eastAsia" w:ascii="仿宋_GB2312" w:hAnsi="仿宋_GB2312" w:eastAsia="仿宋_GB2312" w:cs="仿宋_GB2312"/>
          <w:b w:val="0"/>
          <w:bCs w:val="0"/>
          <w:color w:val="auto"/>
          <w:sz w:val="32"/>
          <w:szCs w:val="32"/>
          <w:highlight w:val="none"/>
          <w:lang w:eastAsia="zh-CN"/>
        </w:rPr>
        <w:t>国有资本经营预算财政拨款支出决算表</w:t>
      </w:r>
      <w:bookmarkEnd w:id="98"/>
    </w:p>
    <w:p>
      <w:pPr>
        <w:keepNext/>
        <w:keepLines/>
        <w:pageBreakBefore w:val="0"/>
        <w:widowControl w:val="0"/>
        <w:shd w:val="clear"/>
        <w:kinsoku/>
        <w:wordWrap/>
        <w:overflowPunct/>
        <w:topLinePunct w:val="0"/>
        <w:autoSpaceDE/>
        <w:autoSpaceDN/>
        <w:bidi w:val="0"/>
        <w:adjustRightInd/>
        <w:snapToGrid/>
        <w:spacing w:before="0" w:after="0" w:line="600" w:lineRule="exact"/>
        <w:ind w:firstLine="640" w:firstLineChars="200"/>
        <w:textAlignment w:val="auto"/>
        <w:outlineLvl w:val="9"/>
        <w:rPr>
          <w:rFonts w:hint="eastAsia" w:ascii="仿宋_GB2312" w:hAnsi="仿宋_GB2312" w:eastAsia="仿宋_GB2312" w:cs="仿宋_GB2312"/>
          <w:color w:val="auto"/>
          <w:sz w:val="32"/>
          <w:szCs w:val="32"/>
          <w:highlight w:val="none"/>
          <w:lang w:eastAsia="zh-CN"/>
        </w:rPr>
      </w:pPr>
      <w:bookmarkStart w:id="99" w:name="_Toc15396631"/>
      <w:bookmarkStart w:id="100" w:name="_Toc21909"/>
      <w:r>
        <w:rPr>
          <w:rStyle w:val="18"/>
          <w:rFonts w:hint="eastAsia" w:ascii="仿宋_GB2312" w:hAnsi="仿宋_GB2312" w:eastAsia="仿宋_GB2312" w:cs="仿宋_GB2312"/>
          <w:b w:val="0"/>
          <w:bCs w:val="0"/>
          <w:color w:val="auto"/>
          <w:sz w:val="32"/>
          <w:szCs w:val="32"/>
          <w:highlight w:val="none"/>
        </w:rPr>
        <w:t>十三、</w:t>
      </w:r>
      <w:bookmarkEnd w:id="99"/>
      <w:r>
        <w:rPr>
          <w:rStyle w:val="18"/>
          <w:rFonts w:hint="eastAsia" w:ascii="仿宋_GB2312" w:hAnsi="仿宋_GB2312" w:eastAsia="仿宋_GB2312" w:cs="仿宋_GB2312"/>
          <w:b w:val="0"/>
          <w:bCs w:val="0"/>
          <w:color w:val="auto"/>
          <w:sz w:val="32"/>
          <w:szCs w:val="32"/>
          <w:highlight w:val="none"/>
          <w:lang w:eastAsia="zh-CN"/>
        </w:rPr>
        <w:t>财政拨款“三公”经费支出决算表</w:t>
      </w:r>
      <w:bookmarkEnd w:id="100"/>
    </w:p>
    <w:sectPr>
      <w:footerReference r:id="rId6"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- 1 -</w:t>
                    </w:r>
                    <w:r>
                      <w:fldChar w:fldCharType="end"/>
                    </w:r>
                  </w:p>
                </w:txbxContent>
              </v:textbox>
            </v:shape>
          </w:pict>
        </mc:Fallback>
      </mc:AlternateContent>
    </w:r>
  </w:p>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4YWI2ZWVkYTY0NTBkMjVlZmNmYzk1ZWQ4OTJlMjE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281"/>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A77EC"/>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1711F"/>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D183B"/>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055032"/>
    <w:rsid w:val="01233A9E"/>
    <w:rsid w:val="014A102B"/>
    <w:rsid w:val="02143213"/>
    <w:rsid w:val="021E3140"/>
    <w:rsid w:val="022B52F2"/>
    <w:rsid w:val="02535CBD"/>
    <w:rsid w:val="02641C78"/>
    <w:rsid w:val="028043E0"/>
    <w:rsid w:val="03100052"/>
    <w:rsid w:val="031A67DB"/>
    <w:rsid w:val="03595555"/>
    <w:rsid w:val="036C34DA"/>
    <w:rsid w:val="03CD69FC"/>
    <w:rsid w:val="04060EB1"/>
    <w:rsid w:val="0431202E"/>
    <w:rsid w:val="04364FA5"/>
    <w:rsid w:val="05107E95"/>
    <w:rsid w:val="05394A7D"/>
    <w:rsid w:val="053A62B5"/>
    <w:rsid w:val="06C947A0"/>
    <w:rsid w:val="06FB76AC"/>
    <w:rsid w:val="07691ADF"/>
    <w:rsid w:val="08A26CE2"/>
    <w:rsid w:val="08A67A0E"/>
    <w:rsid w:val="08DD09D6"/>
    <w:rsid w:val="091B01B3"/>
    <w:rsid w:val="091F331A"/>
    <w:rsid w:val="097F1E8C"/>
    <w:rsid w:val="097F55EA"/>
    <w:rsid w:val="0995305F"/>
    <w:rsid w:val="099963C8"/>
    <w:rsid w:val="09B039F5"/>
    <w:rsid w:val="09F41468"/>
    <w:rsid w:val="09F91840"/>
    <w:rsid w:val="0A03310D"/>
    <w:rsid w:val="0A2032A3"/>
    <w:rsid w:val="0A3536CA"/>
    <w:rsid w:val="0A747118"/>
    <w:rsid w:val="0A8235E3"/>
    <w:rsid w:val="0A8A1DBF"/>
    <w:rsid w:val="0A997C59"/>
    <w:rsid w:val="0AA7129C"/>
    <w:rsid w:val="0AC459AA"/>
    <w:rsid w:val="0B282A04"/>
    <w:rsid w:val="0B362F5C"/>
    <w:rsid w:val="0B36445D"/>
    <w:rsid w:val="0B427E55"/>
    <w:rsid w:val="0B723658"/>
    <w:rsid w:val="0B7A7000"/>
    <w:rsid w:val="0B8A37D8"/>
    <w:rsid w:val="0BD45F05"/>
    <w:rsid w:val="0BDB6711"/>
    <w:rsid w:val="0BF313BB"/>
    <w:rsid w:val="0C0B7609"/>
    <w:rsid w:val="0C364685"/>
    <w:rsid w:val="0C5E1E2E"/>
    <w:rsid w:val="0CAF4438"/>
    <w:rsid w:val="0CC2328F"/>
    <w:rsid w:val="0CC779D3"/>
    <w:rsid w:val="0CEA6D23"/>
    <w:rsid w:val="0CEF0CD8"/>
    <w:rsid w:val="0D1D3133"/>
    <w:rsid w:val="0DAB10A3"/>
    <w:rsid w:val="0DDA7292"/>
    <w:rsid w:val="0DDF276A"/>
    <w:rsid w:val="0DE3083D"/>
    <w:rsid w:val="0E266475"/>
    <w:rsid w:val="0E5928AD"/>
    <w:rsid w:val="0E8F2773"/>
    <w:rsid w:val="0EB775D4"/>
    <w:rsid w:val="0EBE0AFF"/>
    <w:rsid w:val="0F1408ED"/>
    <w:rsid w:val="0F503CB0"/>
    <w:rsid w:val="0F7F45C1"/>
    <w:rsid w:val="0FAB7138"/>
    <w:rsid w:val="0FD87EF8"/>
    <w:rsid w:val="0FFA1E6E"/>
    <w:rsid w:val="10152804"/>
    <w:rsid w:val="10174681"/>
    <w:rsid w:val="10853F48"/>
    <w:rsid w:val="10B85090"/>
    <w:rsid w:val="10C055FF"/>
    <w:rsid w:val="10D27CCB"/>
    <w:rsid w:val="110805BA"/>
    <w:rsid w:val="114A2F56"/>
    <w:rsid w:val="11586E4C"/>
    <w:rsid w:val="118107EC"/>
    <w:rsid w:val="11CB5870"/>
    <w:rsid w:val="11D87F8D"/>
    <w:rsid w:val="11DD6519"/>
    <w:rsid w:val="11E953E2"/>
    <w:rsid w:val="12217B86"/>
    <w:rsid w:val="122240F0"/>
    <w:rsid w:val="123122E5"/>
    <w:rsid w:val="12AD31C8"/>
    <w:rsid w:val="12B32B77"/>
    <w:rsid w:val="12CB76BD"/>
    <w:rsid w:val="12F708E7"/>
    <w:rsid w:val="13411EEC"/>
    <w:rsid w:val="1343188B"/>
    <w:rsid w:val="13772471"/>
    <w:rsid w:val="13FC61B5"/>
    <w:rsid w:val="14057548"/>
    <w:rsid w:val="147861B8"/>
    <w:rsid w:val="14A333BD"/>
    <w:rsid w:val="14C03686"/>
    <w:rsid w:val="151B305E"/>
    <w:rsid w:val="152F6A9C"/>
    <w:rsid w:val="15B64A89"/>
    <w:rsid w:val="15BB5BFB"/>
    <w:rsid w:val="162815F2"/>
    <w:rsid w:val="16BB723D"/>
    <w:rsid w:val="16E3540A"/>
    <w:rsid w:val="171001C9"/>
    <w:rsid w:val="1731642A"/>
    <w:rsid w:val="18015F3F"/>
    <w:rsid w:val="18131D1F"/>
    <w:rsid w:val="183275CF"/>
    <w:rsid w:val="189866C8"/>
    <w:rsid w:val="18D019BE"/>
    <w:rsid w:val="19470B06"/>
    <w:rsid w:val="194C312C"/>
    <w:rsid w:val="194C5F25"/>
    <w:rsid w:val="194F322A"/>
    <w:rsid w:val="19824B2B"/>
    <w:rsid w:val="198469F1"/>
    <w:rsid w:val="19A4086C"/>
    <w:rsid w:val="19CD31A9"/>
    <w:rsid w:val="19D96F98"/>
    <w:rsid w:val="1A3507AD"/>
    <w:rsid w:val="1A3B604E"/>
    <w:rsid w:val="1A424B3D"/>
    <w:rsid w:val="1A4E34E2"/>
    <w:rsid w:val="1A8E6C76"/>
    <w:rsid w:val="1AAB244B"/>
    <w:rsid w:val="1AC33221"/>
    <w:rsid w:val="1AEF6078"/>
    <w:rsid w:val="1AF31ACB"/>
    <w:rsid w:val="1B0F312F"/>
    <w:rsid w:val="1B197CFB"/>
    <w:rsid w:val="1B4B1205"/>
    <w:rsid w:val="1B505038"/>
    <w:rsid w:val="1B616731"/>
    <w:rsid w:val="1B762CF0"/>
    <w:rsid w:val="1B7B7127"/>
    <w:rsid w:val="1B7E7DF7"/>
    <w:rsid w:val="1B987131"/>
    <w:rsid w:val="1BC872C4"/>
    <w:rsid w:val="1BD16179"/>
    <w:rsid w:val="1BE8440E"/>
    <w:rsid w:val="1BF91AA0"/>
    <w:rsid w:val="1C012849"/>
    <w:rsid w:val="1C580648"/>
    <w:rsid w:val="1C5F3784"/>
    <w:rsid w:val="1C726B8E"/>
    <w:rsid w:val="1CBA6C0D"/>
    <w:rsid w:val="1CFD1636"/>
    <w:rsid w:val="1D040F17"/>
    <w:rsid w:val="1D155CEE"/>
    <w:rsid w:val="1D954F84"/>
    <w:rsid w:val="1DB91B5D"/>
    <w:rsid w:val="1E1D56A5"/>
    <w:rsid w:val="1E5A31BE"/>
    <w:rsid w:val="1E601A36"/>
    <w:rsid w:val="1E6A4438"/>
    <w:rsid w:val="1EE7283A"/>
    <w:rsid w:val="1F186F92"/>
    <w:rsid w:val="1F726777"/>
    <w:rsid w:val="1F77033E"/>
    <w:rsid w:val="1FB63615"/>
    <w:rsid w:val="1FD9384E"/>
    <w:rsid w:val="20280331"/>
    <w:rsid w:val="205834A5"/>
    <w:rsid w:val="207A6552"/>
    <w:rsid w:val="20F57F95"/>
    <w:rsid w:val="212E7BC9"/>
    <w:rsid w:val="21374679"/>
    <w:rsid w:val="213F3169"/>
    <w:rsid w:val="22361730"/>
    <w:rsid w:val="22407BB4"/>
    <w:rsid w:val="227B706A"/>
    <w:rsid w:val="22AA14D2"/>
    <w:rsid w:val="22D54A03"/>
    <w:rsid w:val="2309213F"/>
    <w:rsid w:val="23940692"/>
    <w:rsid w:val="240371BF"/>
    <w:rsid w:val="24140C91"/>
    <w:rsid w:val="24741D97"/>
    <w:rsid w:val="24EE3666"/>
    <w:rsid w:val="25011468"/>
    <w:rsid w:val="250C58A9"/>
    <w:rsid w:val="251F61A7"/>
    <w:rsid w:val="25311A36"/>
    <w:rsid w:val="25341526"/>
    <w:rsid w:val="25711CC6"/>
    <w:rsid w:val="25C26302"/>
    <w:rsid w:val="25C741E6"/>
    <w:rsid w:val="26361E29"/>
    <w:rsid w:val="26715CFB"/>
    <w:rsid w:val="26895B50"/>
    <w:rsid w:val="26AA5F44"/>
    <w:rsid w:val="26DB60FD"/>
    <w:rsid w:val="26FA2BD0"/>
    <w:rsid w:val="27141F6E"/>
    <w:rsid w:val="271A237A"/>
    <w:rsid w:val="27842671"/>
    <w:rsid w:val="279D0DF3"/>
    <w:rsid w:val="279E6AB8"/>
    <w:rsid w:val="27A5719C"/>
    <w:rsid w:val="27F002F4"/>
    <w:rsid w:val="27FD02F5"/>
    <w:rsid w:val="284B1209"/>
    <w:rsid w:val="288325A9"/>
    <w:rsid w:val="288C5086"/>
    <w:rsid w:val="28C130D1"/>
    <w:rsid w:val="28DB23E5"/>
    <w:rsid w:val="28DE3C83"/>
    <w:rsid w:val="28F65471"/>
    <w:rsid w:val="294361DC"/>
    <w:rsid w:val="29780755"/>
    <w:rsid w:val="29891E41"/>
    <w:rsid w:val="29AE7AF9"/>
    <w:rsid w:val="29B844D4"/>
    <w:rsid w:val="29F00D85"/>
    <w:rsid w:val="29FD04D3"/>
    <w:rsid w:val="2A1B4A63"/>
    <w:rsid w:val="2A1E1CDB"/>
    <w:rsid w:val="2A4C25E8"/>
    <w:rsid w:val="2A7A5C2D"/>
    <w:rsid w:val="2A866380"/>
    <w:rsid w:val="2A992557"/>
    <w:rsid w:val="2A9C3B5D"/>
    <w:rsid w:val="2ABE7A3E"/>
    <w:rsid w:val="2AE82B97"/>
    <w:rsid w:val="2AF7727E"/>
    <w:rsid w:val="2B8F615D"/>
    <w:rsid w:val="2B9E594C"/>
    <w:rsid w:val="2BA80578"/>
    <w:rsid w:val="2BAE4AC7"/>
    <w:rsid w:val="2BB4516F"/>
    <w:rsid w:val="2BD1187D"/>
    <w:rsid w:val="2C1300E8"/>
    <w:rsid w:val="2C324A12"/>
    <w:rsid w:val="2C602C01"/>
    <w:rsid w:val="2C6E3570"/>
    <w:rsid w:val="2C721DD4"/>
    <w:rsid w:val="2C9A6F3E"/>
    <w:rsid w:val="2CA234A8"/>
    <w:rsid w:val="2D327DDF"/>
    <w:rsid w:val="2D4744ED"/>
    <w:rsid w:val="2D4E779A"/>
    <w:rsid w:val="2DD613CD"/>
    <w:rsid w:val="2EA80FBB"/>
    <w:rsid w:val="2ED151F7"/>
    <w:rsid w:val="2EFA178C"/>
    <w:rsid w:val="2F350375"/>
    <w:rsid w:val="2F4D6F99"/>
    <w:rsid w:val="2F6A44C2"/>
    <w:rsid w:val="2F8F217B"/>
    <w:rsid w:val="2FB2340C"/>
    <w:rsid w:val="30170C2A"/>
    <w:rsid w:val="30182170"/>
    <w:rsid w:val="3045283A"/>
    <w:rsid w:val="304C4E71"/>
    <w:rsid w:val="3087288E"/>
    <w:rsid w:val="308B46F0"/>
    <w:rsid w:val="30946945"/>
    <w:rsid w:val="30B46D73"/>
    <w:rsid w:val="30DA363F"/>
    <w:rsid w:val="31012C04"/>
    <w:rsid w:val="31442AF1"/>
    <w:rsid w:val="3185491C"/>
    <w:rsid w:val="319F7F4E"/>
    <w:rsid w:val="31E645B2"/>
    <w:rsid w:val="32627B50"/>
    <w:rsid w:val="32695BC1"/>
    <w:rsid w:val="32AE0B6A"/>
    <w:rsid w:val="32C263C3"/>
    <w:rsid w:val="32D560F7"/>
    <w:rsid w:val="330469DC"/>
    <w:rsid w:val="3380239F"/>
    <w:rsid w:val="33AB78F3"/>
    <w:rsid w:val="33CA19D4"/>
    <w:rsid w:val="33E12879"/>
    <w:rsid w:val="342C0CA2"/>
    <w:rsid w:val="344F1ED9"/>
    <w:rsid w:val="344F4532"/>
    <w:rsid w:val="34610F81"/>
    <w:rsid w:val="34833304"/>
    <w:rsid w:val="348C46C9"/>
    <w:rsid w:val="34AE3328"/>
    <w:rsid w:val="34D019BF"/>
    <w:rsid w:val="34D0497D"/>
    <w:rsid w:val="34D83C7C"/>
    <w:rsid w:val="35004C19"/>
    <w:rsid w:val="354F3995"/>
    <w:rsid w:val="35E2040C"/>
    <w:rsid w:val="363775C6"/>
    <w:rsid w:val="36656165"/>
    <w:rsid w:val="368E1758"/>
    <w:rsid w:val="36A72D6A"/>
    <w:rsid w:val="36BE50F4"/>
    <w:rsid w:val="370C5E5F"/>
    <w:rsid w:val="37197DF1"/>
    <w:rsid w:val="375D2B5F"/>
    <w:rsid w:val="37BD53AB"/>
    <w:rsid w:val="37DA41AF"/>
    <w:rsid w:val="380F48C0"/>
    <w:rsid w:val="38107BD1"/>
    <w:rsid w:val="383D272C"/>
    <w:rsid w:val="384D4981"/>
    <w:rsid w:val="384F24A7"/>
    <w:rsid w:val="38966328"/>
    <w:rsid w:val="38993FF8"/>
    <w:rsid w:val="38C764E2"/>
    <w:rsid w:val="38FA68B7"/>
    <w:rsid w:val="38FD3E94"/>
    <w:rsid w:val="396F1706"/>
    <w:rsid w:val="39A9427D"/>
    <w:rsid w:val="39AE70AB"/>
    <w:rsid w:val="39E80B55"/>
    <w:rsid w:val="39FA4A31"/>
    <w:rsid w:val="39FA6443"/>
    <w:rsid w:val="3A011DB3"/>
    <w:rsid w:val="3AD62A0C"/>
    <w:rsid w:val="3B4C60E6"/>
    <w:rsid w:val="3B5003E3"/>
    <w:rsid w:val="3B732951"/>
    <w:rsid w:val="3BE253E0"/>
    <w:rsid w:val="3C0C0783"/>
    <w:rsid w:val="3C101E9C"/>
    <w:rsid w:val="3C575DCE"/>
    <w:rsid w:val="3C8619C4"/>
    <w:rsid w:val="3CAA75B3"/>
    <w:rsid w:val="3CB6214F"/>
    <w:rsid w:val="3CEB75EB"/>
    <w:rsid w:val="3D202664"/>
    <w:rsid w:val="3D583BAC"/>
    <w:rsid w:val="3D6A733F"/>
    <w:rsid w:val="3D766728"/>
    <w:rsid w:val="3D807D99"/>
    <w:rsid w:val="3DC43207"/>
    <w:rsid w:val="3DD31485"/>
    <w:rsid w:val="3DE2791A"/>
    <w:rsid w:val="3DF064DB"/>
    <w:rsid w:val="3E0B50C2"/>
    <w:rsid w:val="3E5315DD"/>
    <w:rsid w:val="3ED35B77"/>
    <w:rsid w:val="3EE002FD"/>
    <w:rsid w:val="3EF449FF"/>
    <w:rsid w:val="3F0931AE"/>
    <w:rsid w:val="3F4F5483"/>
    <w:rsid w:val="3F9F3A96"/>
    <w:rsid w:val="3FCA68B7"/>
    <w:rsid w:val="3FD87226"/>
    <w:rsid w:val="3FDF05B5"/>
    <w:rsid w:val="40AA0BC3"/>
    <w:rsid w:val="40C63523"/>
    <w:rsid w:val="40D20119"/>
    <w:rsid w:val="40D45C40"/>
    <w:rsid w:val="40E8254C"/>
    <w:rsid w:val="41085755"/>
    <w:rsid w:val="413C4D93"/>
    <w:rsid w:val="414C65AB"/>
    <w:rsid w:val="415175C7"/>
    <w:rsid w:val="415A0DB4"/>
    <w:rsid w:val="419B49AF"/>
    <w:rsid w:val="41EB32FE"/>
    <w:rsid w:val="42305010"/>
    <w:rsid w:val="42416B41"/>
    <w:rsid w:val="42424E2B"/>
    <w:rsid w:val="42546D90"/>
    <w:rsid w:val="42604346"/>
    <w:rsid w:val="42750D5C"/>
    <w:rsid w:val="42846E8E"/>
    <w:rsid w:val="42CE24FC"/>
    <w:rsid w:val="430345BA"/>
    <w:rsid w:val="43607C5E"/>
    <w:rsid w:val="43650587"/>
    <w:rsid w:val="438F774D"/>
    <w:rsid w:val="439C0C1F"/>
    <w:rsid w:val="43A15B81"/>
    <w:rsid w:val="43B107EB"/>
    <w:rsid w:val="43B12268"/>
    <w:rsid w:val="43EA2D93"/>
    <w:rsid w:val="43FD4DAB"/>
    <w:rsid w:val="440920A4"/>
    <w:rsid w:val="44216CF4"/>
    <w:rsid w:val="4423148D"/>
    <w:rsid w:val="44630D8A"/>
    <w:rsid w:val="448B0D0B"/>
    <w:rsid w:val="44C71484"/>
    <w:rsid w:val="44E84CF1"/>
    <w:rsid w:val="44EC5E74"/>
    <w:rsid w:val="4513485D"/>
    <w:rsid w:val="4568104C"/>
    <w:rsid w:val="457E617A"/>
    <w:rsid w:val="45D87F80"/>
    <w:rsid w:val="461F5BAF"/>
    <w:rsid w:val="46326F64"/>
    <w:rsid w:val="46665A54"/>
    <w:rsid w:val="4674757D"/>
    <w:rsid w:val="46873754"/>
    <w:rsid w:val="46A240EA"/>
    <w:rsid w:val="46B22BE4"/>
    <w:rsid w:val="46BB5E7A"/>
    <w:rsid w:val="46F24DE9"/>
    <w:rsid w:val="474156B1"/>
    <w:rsid w:val="474451A1"/>
    <w:rsid w:val="477B7C74"/>
    <w:rsid w:val="47B10A89"/>
    <w:rsid w:val="47B50951"/>
    <w:rsid w:val="47B71E17"/>
    <w:rsid w:val="480B20C9"/>
    <w:rsid w:val="480F1B5E"/>
    <w:rsid w:val="481029EC"/>
    <w:rsid w:val="48526A03"/>
    <w:rsid w:val="48623B31"/>
    <w:rsid w:val="487E2EFD"/>
    <w:rsid w:val="48BF60AB"/>
    <w:rsid w:val="48C06AA9"/>
    <w:rsid w:val="48D148BF"/>
    <w:rsid w:val="48EA4A06"/>
    <w:rsid w:val="4907292A"/>
    <w:rsid w:val="493C27E9"/>
    <w:rsid w:val="496F39ED"/>
    <w:rsid w:val="49746212"/>
    <w:rsid w:val="49931E77"/>
    <w:rsid w:val="49971F00"/>
    <w:rsid w:val="49D4280C"/>
    <w:rsid w:val="49FF41D3"/>
    <w:rsid w:val="4A02381D"/>
    <w:rsid w:val="4A2C177F"/>
    <w:rsid w:val="4A7D2EA4"/>
    <w:rsid w:val="4AB32D6A"/>
    <w:rsid w:val="4ACC5BD9"/>
    <w:rsid w:val="4ADE3E57"/>
    <w:rsid w:val="4AE42F23"/>
    <w:rsid w:val="4AE747C1"/>
    <w:rsid w:val="4AF21306"/>
    <w:rsid w:val="4B03281C"/>
    <w:rsid w:val="4B183FB1"/>
    <w:rsid w:val="4BAD5A0B"/>
    <w:rsid w:val="4BB34B28"/>
    <w:rsid w:val="4BBC5949"/>
    <w:rsid w:val="4BE068DB"/>
    <w:rsid w:val="4BF21670"/>
    <w:rsid w:val="4BF6002B"/>
    <w:rsid w:val="4C302E1D"/>
    <w:rsid w:val="4C7958ED"/>
    <w:rsid w:val="4C820C46"/>
    <w:rsid w:val="4C914D7F"/>
    <w:rsid w:val="4CC72AFC"/>
    <w:rsid w:val="4CCA7EF7"/>
    <w:rsid w:val="4D251BBA"/>
    <w:rsid w:val="4D331F40"/>
    <w:rsid w:val="4D4759EB"/>
    <w:rsid w:val="4D4952BF"/>
    <w:rsid w:val="4D9D1381"/>
    <w:rsid w:val="4E035902"/>
    <w:rsid w:val="4E6E029C"/>
    <w:rsid w:val="4E6F0D56"/>
    <w:rsid w:val="4E8F4767"/>
    <w:rsid w:val="4EA12ED9"/>
    <w:rsid w:val="4ECB21CD"/>
    <w:rsid w:val="4ECE2238"/>
    <w:rsid w:val="4ED212E5"/>
    <w:rsid w:val="4F642884"/>
    <w:rsid w:val="4FBE7D1A"/>
    <w:rsid w:val="4FF04118"/>
    <w:rsid w:val="504B75A0"/>
    <w:rsid w:val="507B7E86"/>
    <w:rsid w:val="50825428"/>
    <w:rsid w:val="508F56DF"/>
    <w:rsid w:val="509C1BAA"/>
    <w:rsid w:val="512B4664"/>
    <w:rsid w:val="51316796"/>
    <w:rsid w:val="51321695"/>
    <w:rsid w:val="516923D4"/>
    <w:rsid w:val="51837B5F"/>
    <w:rsid w:val="51B6770D"/>
    <w:rsid w:val="51CC4711"/>
    <w:rsid w:val="51DB4B86"/>
    <w:rsid w:val="51DF65A7"/>
    <w:rsid w:val="51F22A5F"/>
    <w:rsid w:val="5201260D"/>
    <w:rsid w:val="52263E21"/>
    <w:rsid w:val="52721B97"/>
    <w:rsid w:val="52A15B9E"/>
    <w:rsid w:val="52C32E44"/>
    <w:rsid w:val="52CF270B"/>
    <w:rsid w:val="52DC0984"/>
    <w:rsid w:val="53171124"/>
    <w:rsid w:val="531B048E"/>
    <w:rsid w:val="5337092C"/>
    <w:rsid w:val="53733096"/>
    <w:rsid w:val="5385101B"/>
    <w:rsid w:val="539F20DD"/>
    <w:rsid w:val="53A96AB8"/>
    <w:rsid w:val="53D278B5"/>
    <w:rsid w:val="53FD32A8"/>
    <w:rsid w:val="541B5AFB"/>
    <w:rsid w:val="54680ECA"/>
    <w:rsid w:val="547075D6"/>
    <w:rsid w:val="54763440"/>
    <w:rsid w:val="54AF45A2"/>
    <w:rsid w:val="54B0031A"/>
    <w:rsid w:val="54B24092"/>
    <w:rsid w:val="54F833D3"/>
    <w:rsid w:val="5507618C"/>
    <w:rsid w:val="551E1D72"/>
    <w:rsid w:val="552D196B"/>
    <w:rsid w:val="55333C3E"/>
    <w:rsid w:val="556C5FEF"/>
    <w:rsid w:val="55AA6B17"/>
    <w:rsid w:val="55FB216C"/>
    <w:rsid w:val="565847C5"/>
    <w:rsid w:val="569C2904"/>
    <w:rsid w:val="56A8574D"/>
    <w:rsid w:val="56B539C6"/>
    <w:rsid w:val="56F42740"/>
    <w:rsid w:val="570C0B9E"/>
    <w:rsid w:val="57435475"/>
    <w:rsid w:val="57961A49"/>
    <w:rsid w:val="58133EC7"/>
    <w:rsid w:val="58230012"/>
    <w:rsid w:val="58496EF9"/>
    <w:rsid w:val="58A54976"/>
    <w:rsid w:val="58BB464A"/>
    <w:rsid w:val="590579B7"/>
    <w:rsid w:val="59097378"/>
    <w:rsid w:val="59337639"/>
    <w:rsid w:val="59605E6B"/>
    <w:rsid w:val="59654BF9"/>
    <w:rsid w:val="596666B9"/>
    <w:rsid w:val="599223EC"/>
    <w:rsid w:val="5A025174"/>
    <w:rsid w:val="5A1F7AD4"/>
    <w:rsid w:val="5A52048E"/>
    <w:rsid w:val="5AA43834"/>
    <w:rsid w:val="5ACC7530"/>
    <w:rsid w:val="5B865931"/>
    <w:rsid w:val="5B944721"/>
    <w:rsid w:val="5B9E2C7A"/>
    <w:rsid w:val="5BDC37A3"/>
    <w:rsid w:val="5C0C3A09"/>
    <w:rsid w:val="5C313AEE"/>
    <w:rsid w:val="5C467454"/>
    <w:rsid w:val="5C4F0418"/>
    <w:rsid w:val="5C504241"/>
    <w:rsid w:val="5C7C179C"/>
    <w:rsid w:val="5C87236C"/>
    <w:rsid w:val="5C8F3E23"/>
    <w:rsid w:val="5C9A1694"/>
    <w:rsid w:val="5CC6354F"/>
    <w:rsid w:val="5CD616F5"/>
    <w:rsid w:val="5CD72FAB"/>
    <w:rsid w:val="5CDF148F"/>
    <w:rsid w:val="5CE15514"/>
    <w:rsid w:val="5CFA65D6"/>
    <w:rsid w:val="5D227F56"/>
    <w:rsid w:val="5D2742D9"/>
    <w:rsid w:val="5D437F7D"/>
    <w:rsid w:val="5D5743EF"/>
    <w:rsid w:val="5D5C5704"/>
    <w:rsid w:val="5DB6603E"/>
    <w:rsid w:val="5DC12D95"/>
    <w:rsid w:val="5DE00E7B"/>
    <w:rsid w:val="5DE43F0F"/>
    <w:rsid w:val="5E043498"/>
    <w:rsid w:val="5E3F3C69"/>
    <w:rsid w:val="5E6C3504"/>
    <w:rsid w:val="5E7513B9"/>
    <w:rsid w:val="5E875C48"/>
    <w:rsid w:val="5E8C14B0"/>
    <w:rsid w:val="5ED17A94"/>
    <w:rsid w:val="5EFD415C"/>
    <w:rsid w:val="5F1F0576"/>
    <w:rsid w:val="5F2711D9"/>
    <w:rsid w:val="5F362D59"/>
    <w:rsid w:val="5F3C5A50"/>
    <w:rsid w:val="60077078"/>
    <w:rsid w:val="6013374F"/>
    <w:rsid w:val="60252844"/>
    <w:rsid w:val="606C7D42"/>
    <w:rsid w:val="608D4E4E"/>
    <w:rsid w:val="609452E7"/>
    <w:rsid w:val="60B259E3"/>
    <w:rsid w:val="60C72C73"/>
    <w:rsid w:val="615547CC"/>
    <w:rsid w:val="61761FA3"/>
    <w:rsid w:val="61E55DB9"/>
    <w:rsid w:val="621F40A6"/>
    <w:rsid w:val="62860A80"/>
    <w:rsid w:val="629B7F14"/>
    <w:rsid w:val="62AE5E99"/>
    <w:rsid w:val="62CC631F"/>
    <w:rsid w:val="62DA1A0F"/>
    <w:rsid w:val="62DD22DA"/>
    <w:rsid w:val="630F445E"/>
    <w:rsid w:val="63133F4E"/>
    <w:rsid w:val="63367C3C"/>
    <w:rsid w:val="637A221F"/>
    <w:rsid w:val="63F714DD"/>
    <w:rsid w:val="641662A1"/>
    <w:rsid w:val="643028DD"/>
    <w:rsid w:val="64520AA6"/>
    <w:rsid w:val="64960A56"/>
    <w:rsid w:val="64AE3639"/>
    <w:rsid w:val="64CA39A1"/>
    <w:rsid w:val="64DF2D8E"/>
    <w:rsid w:val="64EF1CE7"/>
    <w:rsid w:val="65102E3B"/>
    <w:rsid w:val="65146AB2"/>
    <w:rsid w:val="652A09AF"/>
    <w:rsid w:val="65650777"/>
    <w:rsid w:val="6611613F"/>
    <w:rsid w:val="66ED0F5A"/>
    <w:rsid w:val="67144711"/>
    <w:rsid w:val="672913D1"/>
    <w:rsid w:val="6796423A"/>
    <w:rsid w:val="67A272CB"/>
    <w:rsid w:val="67D05A5A"/>
    <w:rsid w:val="67EB36EB"/>
    <w:rsid w:val="682E490D"/>
    <w:rsid w:val="6832131A"/>
    <w:rsid w:val="68763E85"/>
    <w:rsid w:val="688B33C3"/>
    <w:rsid w:val="68AA0334"/>
    <w:rsid w:val="68CA3301"/>
    <w:rsid w:val="68D0643D"/>
    <w:rsid w:val="69630ADE"/>
    <w:rsid w:val="696A6892"/>
    <w:rsid w:val="69787200"/>
    <w:rsid w:val="69C77840"/>
    <w:rsid w:val="69D9262A"/>
    <w:rsid w:val="69DD3507"/>
    <w:rsid w:val="6A657521"/>
    <w:rsid w:val="6A693F9F"/>
    <w:rsid w:val="6A8E08FE"/>
    <w:rsid w:val="6AAA269C"/>
    <w:rsid w:val="6AF86872"/>
    <w:rsid w:val="6B2B0AAB"/>
    <w:rsid w:val="6B6B003F"/>
    <w:rsid w:val="6B815103"/>
    <w:rsid w:val="6B9D3591"/>
    <w:rsid w:val="6BF46467"/>
    <w:rsid w:val="6C0E1756"/>
    <w:rsid w:val="6C4A05C8"/>
    <w:rsid w:val="6CCC6B7A"/>
    <w:rsid w:val="6CF83784"/>
    <w:rsid w:val="6CFE7A1D"/>
    <w:rsid w:val="6D0E5786"/>
    <w:rsid w:val="6D137968"/>
    <w:rsid w:val="6D3B1A89"/>
    <w:rsid w:val="6D793547"/>
    <w:rsid w:val="6DC5678C"/>
    <w:rsid w:val="6DED13D3"/>
    <w:rsid w:val="6E194D4E"/>
    <w:rsid w:val="6E425AE3"/>
    <w:rsid w:val="6E922B12"/>
    <w:rsid w:val="6E9543B1"/>
    <w:rsid w:val="6ECB0F90"/>
    <w:rsid w:val="6ECE341F"/>
    <w:rsid w:val="6EE0127B"/>
    <w:rsid w:val="6EEF502A"/>
    <w:rsid w:val="6EFD5AB2"/>
    <w:rsid w:val="6F123C0D"/>
    <w:rsid w:val="6F4D6A39"/>
    <w:rsid w:val="6F6B5112"/>
    <w:rsid w:val="6F711063"/>
    <w:rsid w:val="6F9248F7"/>
    <w:rsid w:val="6FC52A74"/>
    <w:rsid w:val="70DD1A5F"/>
    <w:rsid w:val="7107093B"/>
    <w:rsid w:val="710F044A"/>
    <w:rsid w:val="71105708"/>
    <w:rsid w:val="71192D04"/>
    <w:rsid w:val="7128150C"/>
    <w:rsid w:val="715B3540"/>
    <w:rsid w:val="7164006A"/>
    <w:rsid w:val="718F40F9"/>
    <w:rsid w:val="71B0505E"/>
    <w:rsid w:val="71BF4EC2"/>
    <w:rsid w:val="720D425E"/>
    <w:rsid w:val="721D0945"/>
    <w:rsid w:val="72574EFF"/>
    <w:rsid w:val="7265409A"/>
    <w:rsid w:val="72734D90"/>
    <w:rsid w:val="72FA6BAC"/>
    <w:rsid w:val="738F7621"/>
    <w:rsid w:val="73A92710"/>
    <w:rsid w:val="73AF381F"/>
    <w:rsid w:val="73D039CD"/>
    <w:rsid w:val="74026044"/>
    <w:rsid w:val="7412278C"/>
    <w:rsid w:val="745D6D46"/>
    <w:rsid w:val="74836A59"/>
    <w:rsid w:val="74C71DE0"/>
    <w:rsid w:val="74D06882"/>
    <w:rsid w:val="74F278FB"/>
    <w:rsid w:val="753733D7"/>
    <w:rsid w:val="75490F86"/>
    <w:rsid w:val="7578190E"/>
    <w:rsid w:val="75894508"/>
    <w:rsid w:val="75A44ED9"/>
    <w:rsid w:val="75CC5CBA"/>
    <w:rsid w:val="76012216"/>
    <w:rsid w:val="761B163F"/>
    <w:rsid w:val="769E55DA"/>
    <w:rsid w:val="76BB1C5A"/>
    <w:rsid w:val="77B70362"/>
    <w:rsid w:val="78601A1B"/>
    <w:rsid w:val="787943FB"/>
    <w:rsid w:val="78A53586"/>
    <w:rsid w:val="7904082E"/>
    <w:rsid w:val="790D57BE"/>
    <w:rsid w:val="797118DE"/>
    <w:rsid w:val="79B16F2D"/>
    <w:rsid w:val="79C913B2"/>
    <w:rsid w:val="79DF0BD6"/>
    <w:rsid w:val="79E41D48"/>
    <w:rsid w:val="79E7B28D"/>
    <w:rsid w:val="79FC7479"/>
    <w:rsid w:val="7A3C3932"/>
    <w:rsid w:val="7A7430CC"/>
    <w:rsid w:val="7A9F6B9B"/>
    <w:rsid w:val="7AA634A2"/>
    <w:rsid w:val="7AAF2356"/>
    <w:rsid w:val="7AD96066"/>
    <w:rsid w:val="7AFB519F"/>
    <w:rsid w:val="7B3B4FD9"/>
    <w:rsid w:val="7B855EBF"/>
    <w:rsid w:val="7B89704B"/>
    <w:rsid w:val="7BB474DC"/>
    <w:rsid w:val="7C1E1D84"/>
    <w:rsid w:val="7C49795C"/>
    <w:rsid w:val="7C613431"/>
    <w:rsid w:val="7C6E6199"/>
    <w:rsid w:val="7D00333D"/>
    <w:rsid w:val="7D1004A5"/>
    <w:rsid w:val="7D637428"/>
    <w:rsid w:val="7DBD4D8A"/>
    <w:rsid w:val="7DEB5D9B"/>
    <w:rsid w:val="7E057C96"/>
    <w:rsid w:val="7EC5039A"/>
    <w:rsid w:val="7ED607F9"/>
    <w:rsid w:val="7F197E6E"/>
    <w:rsid w:val="7F511C2E"/>
    <w:rsid w:val="7F625BE9"/>
    <w:rsid w:val="7F6851CA"/>
    <w:rsid w:val="7F7D2A23"/>
    <w:rsid w:val="7F9E0BEB"/>
    <w:rsid w:val="7F9F20EE"/>
    <w:rsid w:val="7FA65EE1"/>
    <w:rsid w:val="7FAF4BA7"/>
    <w:rsid w:val="7FCD171D"/>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9"/>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5"/>
    <w:qFormat/>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29"/>
    <w:semiHidden/>
    <w:unhideWhenUsed/>
    <w:qFormat/>
    <w:uiPriority w:val="99"/>
    <w:rPr>
      <w:sz w:val="18"/>
      <w:szCs w:val="18"/>
    </w:rPr>
  </w:style>
  <w:style w:type="paragraph" w:styleId="8">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paragraph" w:styleId="12">
    <w:name w:val="Normal (Web)"/>
    <w:basedOn w:val="1"/>
    <w:qFormat/>
    <w:uiPriority w:val="0"/>
    <w:pPr>
      <w:widowControl/>
      <w:spacing w:before="100" w:beforeAutospacing="1" w:after="100" w:afterAutospacing="1"/>
      <w:jc w:val="left"/>
    </w:pPr>
    <w:rPr>
      <w:rFonts w:ascii="宋体" w:eastAsia="宋体" w:cs="宋体"/>
      <w:kern w:val="0"/>
      <w:sz w:val="24"/>
      <w:szCs w:val="24"/>
    </w:rPr>
  </w:style>
  <w:style w:type="character" w:styleId="15">
    <w:name w:val="Strong"/>
    <w:basedOn w:val="14"/>
    <w:qFormat/>
    <w:uiPriority w:val="99"/>
    <w:rPr>
      <w:b/>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customStyle="1" w:styleId="17">
    <w:name w:val="标题 1 Char"/>
    <w:basedOn w:val="14"/>
    <w:link w:val="3"/>
    <w:qFormat/>
    <w:uiPriority w:val="9"/>
    <w:rPr>
      <w:rFonts w:ascii="Times New Roman" w:hAnsi="Times New Roman"/>
      <w:b/>
      <w:bCs/>
      <w:kern w:val="44"/>
      <w:sz w:val="44"/>
      <w:szCs w:val="44"/>
    </w:rPr>
  </w:style>
  <w:style w:type="character" w:customStyle="1" w:styleId="18">
    <w:name w:val="标题 2 Char"/>
    <w:basedOn w:val="14"/>
    <w:link w:val="4"/>
    <w:qFormat/>
    <w:uiPriority w:val="9"/>
    <w:rPr>
      <w:rFonts w:asciiTheme="majorHAnsi" w:hAnsiTheme="majorHAnsi" w:eastAsiaTheme="majorEastAsia" w:cstheme="majorBidi"/>
      <w:b/>
      <w:bCs/>
      <w:kern w:val="2"/>
      <w:sz w:val="32"/>
      <w:szCs w:val="32"/>
    </w:rPr>
  </w:style>
  <w:style w:type="character" w:customStyle="1" w:styleId="19">
    <w:name w:val="标题 3 Char"/>
    <w:basedOn w:val="14"/>
    <w:link w:val="5"/>
    <w:qFormat/>
    <w:uiPriority w:val="9"/>
    <w:rPr>
      <w:rFonts w:ascii="Times New Roman" w:hAnsi="Times New Roman"/>
      <w:b/>
      <w:bCs/>
      <w:kern w:val="2"/>
      <w:sz w:val="32"/>
      <w:szCs w:val="32"/>
    </w:rPr>
  </w:style>
  <w:style w:type="character" w:customStyle="1" w:styleId="20">
    <w:name w:val="Header Char"/>
    <w:basedOn w:val="14"/>
    <w:semiHidden/>
    <w:qFormat/>
    <w:uiPriority w:val="99"/>
    <w:rPr>
      <w:rFonts w:ascii="Times New Roman" w:hAnsi="Times New Roman"/>
      <w:sz w:val="18"/>
      <w:szCs w:val="18"/>
    </w:rPr>
  </w:style>
  <w:style w:type="character" w:customStyle="1" w:styleId="21">
    <w:name w:val="页眉 Char"/>
    <w:link w:val="9"/>
    <w:semiHidden/>
    <w:qFormat/>
    <w:locked/>
    <w:uiPriority w:val="99"/>
    <w:rPr>
      <w:sz w:val="18"/>
    </w:rPr>
  </w:style>
  <w:style w:type="character" w:customStyle="1" w:styleId="22">
    <w:name w:val="Footer Char"/>
    <w:basedOn w:val="14"/>
    <w:semiHidden/>
    <w:qFormat/>
    <w:uiPriority w:val="99"/>
    <w:rPr>
      <w:rFonts w:ascii="Times New Roman" w:hAnsi="Times New Roman"/>
      <w:sz w:val="18"/>
      <w:szCs w:val="18"/>
    </w:rPr>
  </w:style>
  <w:style w:type="character" w:customStyle="1" w:styleId="23">
    <w:name w:val="页脚 Char"/>
    <w:link w:val="8"/>
    <w:qFormat/>
    <w:locked/>
    <w:uiPriority w:val="99"/>
    <w:rPr>
      <w:sz w:val="18"/>
    </w:rPr>
  </w:style>
  <w:style w:type="character" w:customStyle="1" w:styleId="24">
    <w:name w:val="Body Text Char"/>
    <w:basedOn w:val="14"/>
    <w:semiHidden/>
    <w:qFormat/>
    <w:uiPriority w:val="99"/>
    <w:rPr>
      <w:rFonts w:ascii="Times New Roman" w:hAnsi="Times New Roman"/>
      <w:szCs w:val="24"/>
    </w:rPr>
  </w:style>
  <w:style w:type="character" w:customStyle="1" w:styleId="25">
    <w:name w:val="正文文本 Char"/>
    <w:link w:val="2"/>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paragraph" w:customStyle="1" w:styleId="28">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9">
    <w:name w:val="批注框文本 Char"/>
    <w:basedOn w:val="14"/>
    <w:link w:val="7"/>
    <w:semiHidden/>
    <w:qFormat/>
    <w:uiPriority w:val="99"/>
    <w:rPr>
      <w:rFonts w:ascii="Times New Roman" w:hAnsi="Times New Roman"/>
      <w:kern w:val="2"/>
      <w:sz w:val="18"/>
      <w:szCs w:val="18"/>
    </w:rPr>
  </w:style>
  <w:style w:type="paragraph" w:customStyle="1" w:styleId="30">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1">
    <w:name w:val="WPSOffice手动目录 1"/>
    <w:qFormat/>
    <w:uiPriority w:val="0"/>
    <w:pPr>
      <w:ind w:leftChars="0"/>
    </w:pPr>
    <w:rPr>
      <w:rFonts w:asciiTheme="minorHAnsi" w:hAnsiTheme="minorHAnsi" w:eastAsiaTheme="minorEastAsia" w:cstheme="minorBidi"/>
      <w:sz w:val="20"/>
      <w:szCs w:val="20"/>
    </w:rPr>
  </w:style>
  <w:style w:type="paragraph" w:customStyle="1" w:styleId="32">
    <w:name w:val="WPSOffice手动目录 2"/>
    <w:uiPriority w:val="0"/>
    <w:pPr>
      <w:ind w:leftChars="20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16</Pages>
  <Words>4690</Words>
  <Characters>5130</Characters>
  <Lines>61</Lines>
  <Paragraphs>17</Paragraphs>
  <TotalTime>29</TotalTime>
  <ScaleCrop>false</ScaleCrop>
  <LinksUpToDate>false</LinksUpToDate>
  <CharactersWithSpaces>5311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Administrator</cp:lastModifiedBy>
  <cp:lastPrinted>2023-07-31T02:35:00Z</cp:lastPrinted>
  <dcterms:modified xsi:type="dcterms:W3CDTF">2023-10-17T07:01:48Z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6B70361D626A4593B4A9C4A901EC4F63</vt:lpwstr>
  </property>
</Properties>
</file>