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475"/>
      <w:bookmarkStart w:id="2" w:name="_Toc26751"/>
      <w:bookmarkStart w:id="3" w:name="_Toc15378441"/>
      <w:bookmarkStart w:id="4" w:name="_Toc15396597"/>
      <w:bookmarkStart w:id="5" w:name="_Toc15377193"/>
      <w:bookmarkStart w:id="6" w:name="_Toc15377425"/>
      <w:bookmarkStart w:id="7" w:name="_Toc29766"/>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eastAsia="zh-CN"/>
        </w:rPr>
      </w:pPr>
      <w:bookmarkStart w:id="8" w:name="_Toc13597"/>
      <w:bookmarkStart w:id="9" w:name="_Toc5017"/>
      <w:bookmarkStart w:id="10" w:name="_Toc15377194"/>
      <w:bookmarkStart w:id="11" w:name="_Toc15378442"/>
      <w:bookmarkStart w:id="12" w:name="_Toc15377426"/>
      <w:bookmarkStart w:id="13" w:name="_Toc15396476"/>
      <w:bookmarkStart w:id="14" w:name="_Toc15396598"/>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5" w:name="_Toc15306268"/>
      <w:r>
        <w:rPr>
          <w:rFonts w:hint="eastAsia" w:ascii="方正小标宋简体" w:hAnsi="方正小标宋简体" w:eastAsia="方正小标宋简体" w:cs="方正小标宋简体"/>
          <w:color w:val="auto"/>
          <w:sz w:val="72"/>
          <w:szCs w:val="72"/>
          <w:highlight w:val="none"/>
          <w:lang w:eastAsia="zh-CN"/>
        </w:rPr>
        <w:t>紧急救援中心</w:t>
      </w:r>
      <w:bookmarkEnd w:id="8"/>
      <w:bookmarkEnd w:id="9"/>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6" w:name="_Toc22303"/>
      <w:bookmarkStart w:id="17" w:name="_Toc27801"/>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10"/>
      <w:bookmarkEnd w:id="11"/>
      <w:bookmarkEnd w:id="12"/>
      <w:bookmarkEnd w:id="13"/>
      <w:bookmarkEnd w:id="14"/>
      <w:bookmarkEnd w:id="15"/>
      <w:bookmarkEnd w:id="16"/>
      <w:bookmarkEnd w:id="17"/>
    </w:p>
    <w:p>
      <w:pPr>
        <w:widowControl/>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0"/>
        <w:rPr>
          <w:rFonts w:hint="eastAsia"/>
          <w:color w:val="auto"/>
          <w:highlight w:val="yellow"/>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p>
      <w:pPr>
        <w:rPr>
          <w:rFonts w:hint="default"/>
          <w:lang w:val="en-US" w:eastAsia="zh-CN"/>
        </w:rPr>
      </w:pPr>
    </w:p>
    <w:sdt>
      <w:sdtPr>
        <w:rPr>
          <w:rFonts w:ascii="宋体" w:hAnsi="宋体" w:eastAsia="宋体" w:cs="Times New Roman"/>
          <w:kern w:val="2"/>
          <w:sz w:val="21"/>
          <w:szCs w:val="24"/>
          <w:lang w:val="en-US" w:eastAsia="zh-CN" w:bidi="ar-SA"/>
        </w:rPr>
        <w:id w:val="147468364"/>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pStyle w:val="34"/>
            <w:tabs>
              <w:tab w:val="right" w:leader="dot" w:pos="8306"/>
            </w:tabs>
            <w:rPr>
              <w:rFonts w:hint="eastAsia" w:ascii="仿宋_GB2312" w:hAnsi="仿宋_GB2312" w:eastAsia="仿宋_GB2312" w:cs="仿宋_GB2312"/>
              <w:b w:val="0"/>
              <w:bCs/>
              <w:sz w:val="24"/>
              <w:szCs w:val="24"/>
            </w:rPr>
          </w:pPr>
          <w:r>
            <w:fldChar w:fldCharType="begin"/>
          </w:r>
          <w:r>
            <w:instrText xml:space="preserve">TOC \o "1-2" \h \u </w:instrText>
          </w:r>
          <w:r>
            <w:fldChar w:fldCharType="separate"/>
          </w:r>
          <w:r>
            <w:rPr>
              <w:rFonts w:hint="eastAsia" w:ascii="仿宋_GB2312" w:hAnsi="仿宋_GB2312" w:eastAsia="仿宋_GB2312" w:cs="仿宋_GB2312"/>
              <w:b w:val="0"/>
              <w:bCs/>
              <w:sz w:val="24"/>
              <w:szCs w:val="24"/>
            </w:rPr>
            <w:fldChar w:fldCharType="begin"/>
          </w:r>
          <w:r>
            <w:rPr>
              <w:rFonts w:hint="eastAsia" w:ascii="仿宋_GB2312" w:hAnsi="仿宋_GB2312" w:eastAsia="仿宋_GB2312" w:cs="仿宋_GB2312"/>
              <w:b w:val="0"/>
              <w:bCs/>
              <w:sz w:val="24"/>
              <w:szCs w:val="24"/>
            </w:rPr>
            <w:instrText xml:space="preserve"> HYPERLINK \l _Toc30609 </w:instrText>
          </w:r>
          <w:r>
            <w:rPr>
              <w:rFonts w:hint="eastAsia" w:ascii="仿宋_GB2312" w:hAnsi="仿宋_GB2312" w:eastAsia="仿宋_GB2312" w:cs="仿宋_GB2312"/>
              <w:b w:val="0"/>
              <w:bCs/>
              <w:sz w:val="24"/>
              <w:szCs w:val="24"/>
            </w:rPr>
            <w:fldChar w:fldCharType="separate"/>
          </w:r>
          <w:r>
            <w:rPr>
              <w:rFonts w:hint="eastAsia" w:ascii="仿宋_GB2312" w:hAnsi="仿宋_GB2312" w:eastAsia="仿宋_GB2312" w:cs="仿宋_GB2312"/>
              <w:b w:val="0"/>
              <w:bCs/>
              <w:sz w:val="24"/>
              <w:szCs w:val="24"/>
              <w:highlight w:val="none"/>
            </w:rPr>
            <w:t xml:space="preserve">第一部分 </w:t>
          </w:r>
          <w:r>
            <w:rPr>
              <w:rFonts w:hint="eastAsia" w:ascii="仿宋_GB2312" w:hAnsi="仿宋_GB2312" w:eastAsia="仿宋_GB2312" w:cs="仿宋_GB2312"/>
              <w:b w:val="0"/>
              <w:bCs/>
              <w:sz w:val="24"/>
              <w:szCs w:val="24"/>
              <w:highlight w:val="none"/>
              <w:lang w:eastAsia="zh-CN"/>
            </w:rPr>
            <w:t>单位</w:t>
          </w:r>
          <w:r>
            <w:rPr>
              <w:rFonts w:hint="eastAsia" w:ascii="仿宋_GB2312" w:hAnsi="仿宋_GB2312" w:eastAsia="仿宋_GB2312" w:cs="仿宋_GB2312"/>
              <w:b w:val="0"/>
              <w:bCs/>
              <w:sz w:val="24"/>
              <w:szCs w:val="24"/>
              <w:highlight w:val="none"/>
            </w:rPr>
            <w:t>概况</w:t>
          </w:r>
          <w:r>
            <w:rPr>
              <w:rFonts w:hint="eastAsia" w:ascii="仿宋_GB2312" w:hAnsi="仿宋_GB2312" w:eastAsia="仿宋_GB2312" w:cs="仿宋_GB2312"/>
              <w:b w:val="0"/>
              <w:bCs/>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_Toc30609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仿宋_GB2312" w:hAnsi="仿宋_GB2312" w:eastAsia="仿宋_GB2312" w:cs="仿宋_GB2312"/>
              <w:b w:val="0"/>
              <w:bCs/>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_Toc9235 </w:instrText>
          </w:r>
          <w:r>
            <w:rPr>
              <w:rFonts w:hint="eastAsia" w:ascii="宋体" w:hAnsi="宋体" w:eastAsia="宋体" w:cs="宋体"/>
              <w:sz w:val="24"/>
              <w:szCs w:val="24"/>
            </w:rPr>
            <w:fldChar w:fldCharType="separate"/>
          </w:r>
          <w:r>
            <w:rPr>
              <w:rFonts w:hint="eastAsia" w:ascii="宋体" w:hAnsi="宋体" w:eastAsia="宋体" w:cs="宋体"/>
              <w:bCs w:val="0"/>
              <w:sz w:val="24"/>
              <w:szCs w:val="24"/>
              <w:highlight w:val="none"/>
              <w:lang w:eastAsia="zh-CN"/>
            </w:rPr>
            <w:t>一、主要职责</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_Toc9235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_Toc20799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lang w:val="en-US" w:eastAsia="zh-CN"/>
            </w:rPr>
            <w:t>二、机构设置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_Toc20799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fldChar w:fldCharType="begin"/>
          </w:r>
          <w:r>
            <w:rPr>
              <w:rFonts w:hint="eastAsia" w:ascii="仿宋_GB2312" w:hAnsi="仿宋_GB2312" w:eastAsia="仿宋_GB2312" w:cs="仿宋_GB2312"/>
              <w:b w:val="0"/>
              <w:bCs/>
              <w:sz w:val="24"/>
              <w:szCs w:val="24"/>
            </w:rPr>
            <w:instrText xml:space="preserve"> HYPERLINK \l _Toc8405 </w:instrText>
          </w:r>
          <w:r>
            <w:rPr>
              <w:rFonts w:hint="eastAsia" w:ascii="仿宋_GB2312" w:hAnsi="仿宋_GB2312" w:eastAsia="仿宋_GB2312" w:cs="仿宋_GB2312"/>
              <w:b w:val="0"/>
              <w:bCs/>
              <w:sz w:val="24"/>
              <w:szCs w:val="24"/>
            </w:rPr>
            <w:fldChar w:fldCharType="separate"/>
          </w:r>
          <w:r>
            <w:rPr>
              <w:rFonts w:hint="eastAsia" w:ascii="仿宋_GB2312" w:hAnsi="仿宋_GB2312" w:eastAsia="仿宋_GB2312" w:cs="仿宋_GB2312"/>
              <w:b w:val="0"/>
              <w:bCs/>
              <w:sz w:val="24"/>
              <w:szCs w:val="24"/>
            </w:rPr>
            <w:t xml:space="preserve">第二部分 </w:t>
          </w:r>
          <w:r>
            <w:rPr>
              <w:rFonts w:hint="eastAsia" w:ascii="仿宋_GB2312" w:hAnsi="仿宋_GB2312" w:eastAsia="仿宋_GB2312" w:cs="仿宋_GB2312"/>
              <w:b w:val="0"/>
              <w:bCs/>
              <w:sz w:val="24"/>
              <w:szCs w:val="24"/>
              <w:lang w:val="en-US" w:eastAsia="zh-CN"/>
            </w:rPr>
            <w:t>2022年度</w:t>
          </w:r>
          <w:r>
            <w:rPr>
              <w:rFonts w:hint="eastAsia" w:ascii="仿宋_GB2312" w:hAnsi="仿宋_GB2312" w:eastAsia="仿宋_GB2312" w:cs="仿宋_GB2312"/>
              <w:b w:val="0"/>
              <w:bCs/>
              <w:sz w:val="24"/>
              <w:szCs w:val="24"/>
              <w:lang w:eastAsia="zh-CN"/>
            </w:rPr>
            <w:t>单位</w:t>
          </w:r>
          <w:r>
            <w:rPr>
              <w:rFonts w:hint="eastAsia" w:ascii="仿宋_GB2312" w:hAnsi="仿宋_GB2312" w:eastAsia="仿宋_GB2312" w:cs="仿宋_GB2312"/>
              <w:b w:val="0"/>
              <w:bCs/>
              <w:sz w:val="24"/>
              <w:szCs w:val="24"/>
            </w:rPr>
            <w:t>决算情况说明</w:t>
          </w:r>
          <w:r>
            <w:rPr>
              <w:rFonts w:hint="eastAsia" w:ascii="仿宋_GB2312" w:hAnsi="仿宋_GB2312" w:eastAsia="仿宋_GB2312" w:cs="仿宋_GB2312"/>
              <w:b w:val="0"/>
              <w:bCs/>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_Toc8405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仿宋_GB2312" w:hAnsi="仿宋_GB2312" w:eastAsia="仿宋_GB2312" w:cs="仿宋_GB2312"/>
              <w:b w:val="0"/>
              <w:bCs/>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_Toc7989 </w:instrText>
          </w:r>
          <w:r>
            <w:rPr>
              <w:rFonts w:hint="eastAsia" w:ascii="宋体" w:hAnsi="宋体" w:eastAsia="宋体" w:cs="宋体"/>
              <w:sz w:val="24"/>
              <w:szCs w:val="24"/>
            </w:rPr>
            <w:fldChar w:fldCharType="separate"/>
          </w:r>
          <w:r>
            <w:rPr>
              <w:rFonts w:hint="eastAsia" w:ascii="宋体" w:hAnsi="宋体" w:eastAsia="宋体" w:cs="宋体"/>
              <w:sz w:val="24"/>
              <w:szCs w:val="24"/>
            </w:rPr>
            <w:t>一、</w:t>
          </w:r>
          <w:r>
            <w:rPr>
              <w:rFonts w:hint="eastAsia" w:ascii="宋体" w:hAnsi="宋体" w:eastAsia="宋体" w:cs="宋体"/>
              <w:sz w:val="24"/>
              <w:szCs w:val="24"/>
              <w:highlight w:val="none"/>
            </w:rPr>
            <w:t>收入支出决算总体情况说明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_Toc7989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_Toc17758 </w:instrText>
          </w:r>
          <w:r>
            <w:rPr>
              <w:rFonts w:hint="eastAsia" w:ascii="宋体" w:hAnsi="宋体" w:eastAsia="宋体" w:cs="宋体"/>
              <w:sz w:val="24"/>
              <w:szCs w:val="24"/>
            </w:rPr>
            <w:fldChar w:fldCharType="separate"/>
          </w:r>
          <w:r>
            <w:rPr>
              <w:rFonts w:hint="eastAsia" w:ascii="宋体" w:hAnsi="宋体" w:eastAsia="宋体" w:cs="宋体"/>
              <w:sz w:val="24"/>
              <w:szCs w:val="24"/>
            </w:rPr>
            <w:t>二、</w:t>
          </w:r>
          <w:r>
            <w:rPr>
              <w:rFonts w:hint="eastAsia" w:ascii="宋体" w:hAnsi="宋体" w:eastAsia="宋体" w:cs="宋体"/>
              <w:sz w:val="24"/>
              <w:szCs w:val="24"/>
              <w:highlight w:val="none"/>
            </w:rPr>
            <w:t>收入决算情况说明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_Toc17758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_Toc11799 </w:instrText>
          </w:r>
          <w:r>
            <w:rPr>
              <w:rFonts w:hint="eastAsia" w:ascii="宋体" w:hAnsi="宋体" w:eastAsia="宋体" w:cs="宋体"/>
              <w:sz w:val="24"/>
              <w:szCs w:val="24"/>
            </w:rPr>
            <w:fldChar w:fldCharType="separate"/>
          </w:r>
          <w:r>
            <w:rPr>
              <w:rFonts w:hint="eastAsia" w:ascii="宋体" w:hAnsi="宋体" w:eastAsia="宋体" w:cs="宋体"/>
              <w:sz w:val="24"/>
              <w:szCs w:val="24"/>
            </w:rPr>
            <w:t>三、</w:t>
          </w:r>
          <w:r>
            <w:rPr>
              <w:rFonts w:hint="eastAsia" w:ascii="宋体" w:hAnsi="宋体" w:eastAsia="宋体" w:cs="宋体"/>
              <w:sz w:val="24"/>
              <w:szCs w:val="24"/>
              <w:highlight w:val="none"/>
            </w:rPr>
            <w:t>支出决算情况说明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_Toc11799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_Toc20556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rPr>
            <w:t>四、财政拨款收入支出决算总体情况说明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_Toc20556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_Toc19755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rPr>
            <w:t>五、一般公共预算财政拨款支出决算情况说明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_Toc19755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_Toc3534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rPr>
            <w:t>六、一般公共预算财政拨款基本支出决算情况说明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_Toc3534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_Toc3734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rPr>
            <w:t>七、财政拨款“三公”经费支出决算情况说明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_Toc3734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_Toc19160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rPr>
            <w:t>八、政府性基金预算支出决算情况说明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_Toc19160 \h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_Toc1587 </w:instrText>
          </w:r>
          <w:r>
            <w:rPr>
              <w:rFonts w:hint="eastAsia" w:ascii="宋体" w:hAnsi="宋体" w:eastAsia="宋体" w:cs="宋体"/>
              <w:sz w:val="24"/>
              <w:szCs w:val="24"/>
            </w:rPr>
            <w:fldChar w:fldCharType="separate"/>
          </w:r>
          <w:r>
            <w:rPr>
              <w:rFonts w:hint="eastAsia" w:ascii="宋体" w:hAnsi="宋体" w:eastAsia="宋体" w:cs="宋体"/>
              <w:sz w:val="24"/>
              <w:szCs w:val="24"/>
            </w:rPr>
            <w:t>九、</w:t>
          </w:r>
          <w:r>
            <w:rPr>
              <w:rFonts w:hint="eastAsia" w:ascii="宋体" w:hAnsi="宋体" w:eastAsia="宋体" w:cs="宋体"/>
              <w:sz w:val="24"/>
              <w:szCs w:val="24"/>
              <w:highlight w:val="none"/>
            </w:rPr>
            <w:t>国有资本经营预算支出决算情况说明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_Toc1587 \h </w:instrText>
          </w:r>
          <w:r>
            <w:rPr>
              <w:rFonts w:hint="eastAsia" w:ascii="宋体" w:hAnsi="宋体" w:eastAsia="宋体" w:cs="宋体"/>
              <w:sz w:val="24"/>
              <w:szCs w:val="24"/>
            </w:rPr>
            <w:fldChar w:fldCharType="separate"/>
          </w:r>
          <w:r>
            <w:rPr>
              <w:rFonts w:hint="eastAsia" w:ascii="宋体" w:hAnsi="宋体" w:eastAsia="宋体" w:cs="宋体"/>
              <w:sz w:val="24"/>
              <w:szCs w:val="24"/>
            </w:rPr>
            <w:t>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_Toc16366 </w:instrText>
          </w:r>
          <w:r>
            <w:rPr>
              <w:rFonts w:hint="eastAsia" w:ascii="宋体" w:hAnsi="宋体" w:eastAsia="宋体" w:cs="宋体"/>
              <w:sz w:val="24"/>
              <w:szCs w:val="24"/>
            </w:rPr>
            <w:fldChar w:fldCharType="separate"/>
          </w:r>
          <w:r>
            <w:rPr>
              <w:rFonts w:hint="eastAsia" w:ascii="宋体" w:hAnsi="宋体" w:eastAsia="宋体" w:cs="宋体"/>
              <w:sz w:val="24"/>
              <w:szCs w:val="24"/>
            </w:rPr>
            <w:t>十、</w:t>
          </w:r>
          <w:r>
            <w:rPr>
              <w:rFonts w:hint="eastAsia" w:ascii="宋体" w:hAnsi="宋体" w:eastAsia="宋体" w:cs="宋体"/>
              <w:sz w:val="24"/>
              <w:szCs w:val="24"/>
              <w:highlight w:val="none"/>
            </w:rPr>
            <w:t>其他重要事项的情况说明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_Toc16366 \h </w:instrText>
          </w:r>
          <w:r>
            <w:rPr>
              <w:rFonts w:hint="eastAsia" w:ascii="宋体" w:hAnsi="宋体" w:eastAsia="宋体" w:cs="宋体"/>
              <w:sz w:val="24"/>
              <w:szCs w:val="24"/>
            </w:rPr>
            <w:fldChar w:fldCharType="separate"/>
          </w:r>
          <w:r>
            <w:rPr>
              <w:rFonts w:hint="eastAsia" w:ascii="宋体" w:hAnsi="宋体" w:eastAsia="宋体" w:cs="宋体"/>
              <w:sz w:val="24"/>
              <w:szCs w:val="24"/>
            </w:rPr>
            <w:t>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fldChar w:fldCharType="begin"/>
          </w:r>
          <w:r>
            <w:rPr>
              <w:rFonts w:hint="eastAsia" w:ascii="仿宋_GB2312" w:hAnsi="仿宋_GB2312" w:eastAsia="仿宋_GB2312" w:cs="仿宋_GB2312"/>
              <w:b w:val="0"/>
              <w:bCs/>
              <w:sz w:val="24"/>
              <w:szCs w:val="24"/>
            </w:rPr>
            <w:instrText xml:space="preserve"> HYPERLINK \l _Toc23240 </w:instrText>
          </w:r>
          <w:r>
            <w:rPr>
              <w:rFonts w:hint="eastAsia" w:ascii="仿宋_GB2312" w:hAnsi="仿宋_GB2312" w:eastAsia="仿宋_GB2312" w:cs="仿宋_GB2312"/>
              <w:b w:val="0"/>
              <w:bCs/>
              <w:sz w:val="24"/>
              <w:szCs w:val="24"/>
            </w:rPr>
            <w:fldChar w:fldCharType="separate"/>
          </w:r>
          <w:r>
            <w:rPr>
              <w:rFonts w:hint="eastAsia" w:ascii="仿宋_GB2312" w:hAnsi="仿宋_GB2312" w:eastAsia="仿宋_GB2312" w:cs="仿宋_GB2312"/>
              <w:b w:val="0"/>
              <w:bCs/>
              <w:sz w:val="24"/>
              <w:szCs w:val="24"/>
            </w:rPr>
            <w:t>第三部分 名词解释</w:t>
          </w:r>
          <w:r>
            <w:rPr>
              <w:rFonts w:hint="eastAsia" w:ascii="仿宋_GB2312" w:hAnsi="仿宋_GB2312" w:eastAsia="仿宋_GB2312" w:cs="仿宋_GB2312"/>
              <w:b w:val="0"/>
              <w:bCs/>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_Toc23240 \h </w:instrText>
          </w:r>
          <w:r>
            <w:rPr>
              <w:rFonts w:hint="eastAsia" w:ascii="宋体" w:hAnsi="宋体" w:eastAsia="宋体" w:cs="宋体"/>
              <w:sz w:val="24"/>
              <w:szCs w:val="24"/>
            </w:rPr>
            <w:fldChar w:fldCharType="separate"/>
          </w:r>
          <w:r>
            <w:rPr>
              <w:rFonts w:hint="eastAsia" w:ascii="宋体" w:hAnsi="宋体" w:eastAsia="宋体" w:cs="宋体"/>
              <w:sz w:val="24"/>
              <w:szCs w:val="24"/>
            </w:rPr>
            <w:t>11</w:t>
          </w:r>
          <w:r>
            <w:rPr>
              <w:rFonts w:hint="eastAsia" w:ascii="宋体" w:hAnsi="宋体" w:eastAsia="宋体" w:cs="宋体"/>
              <w:sz w:val="24"/>
              <w:szCs w:val="24"/>
            </w:rPr>
            <w:fldChar w:fldCharType="end"/>
          </w:r>
          <w:r>
            <w:rPr>
              <w:rFonts w:hint="eastAsia" w:ascii="仿宋_GB2312" w:hAnsi="仿宋_GB2312" w:eastAsia="仿宋_GB2312" w:cs="仿宋_GB2312"/>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fldChar w:fldCharType="begin"/>
          </w:r>
          <w:r>
            <w:rPr>
              <w:rFonts w:hint="eastAsia" w:ascii="仿宋_GB2312" w:hAnsi="仿宋_GB2312" w:eastAsia="仿宋_GB2312" w:cs="仿宋_GB2312"/>
              <w:b w:val="0"/>
              <w:bCs/>
              <w:sz w:val="24"/>
              <w:szCs w:val="24"/>
            </w:rPr>
            <w:instrText xml:space="preserve"> HYPERLINK \l _Toc20424 </w:instrText>
          </w:r>
          <w:r>
            <w:rPr>
              <w:rFonts w:hint="eastAsia" w:ascii="仿宋_GB2312" w:hAnsi="仿宋_GB2312" w:eastAsia="仿宋_GB2312" w:cs="仿宋_GB2312"/>
              <w:b w:val="0"/>
              <w:bCs/>
              <w:sz w:val="24"/>
              <w:szCs w:val="24"/>
            </w:rPr>
            <w:fldChar w:fldCharType="separate"/>
          </w:r>
          <w:r>
            <w:rPr>
              <w:rFonts w:hint="eastAsia" w:ascii="仿宋_GB2312" w:hAnsi="仿宋_GB2312" w:eastAsia="仿宋_GB2312" w:cs="仿宋_GB2312"/>
              <w:b w:val="0"/>
              <w:bCs/>
              <w:sz w:val="24"/>
              <w:szCs w:val="24"/>
            </w:rPr>
            <w:t>第四部分 附件</w:t>
          </w:r>
          <w:r>
            <w:rPr>
              <w:rFonts w:hint="eastAsia" w:ascii="仿宋_GB2312" w:hAnsi="仿宋_GB2312" w:eastAsia="仿宋_GB2312" w:cs="仿宋_GB2312"/>
              <w:b w:val="0"/>
              <w:bCs/>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_Toc20424 \h </w:instrText>
          </w:r>
          <w:r>
            <w:rPr>
              <w:rFonts w:hint="eastAsia" w:ascii="宋体" w:hAnsi="宋体" w:eastAsia="宋体" w:cs="宋体"/>
              <w:sz w:val="24"/>
              <w:szCs w:val="24"/>
            </w:rPr>
            <w:fldChar w:fldCharType="separate"/>
          </w:r>
          <w:r>
            <w:rPr>
              <w:rFonts w:hint="eastAsia" w:ascii="宋体" w:hAnsi="宋体" w:eastAsia="宋体" w:cs="宋体"/>
              <w:sz w:val="24"/>
              <w:szCs w:val="24"/>
            </w:rPr>
            <w:t>13</w:t>
          </w:r>
          <w:r>
            <w:rPr>
              <w:rFonts w:hint="eastAsia" w:ascii="宋体" w:hAnsi="宋体" w:eastAsia="宋体" w:cs="宋体"/>
              <w:sz w:val="24"/>
              <w:szCs w:val="24"/>
            </w:rPr>
            <w:fldChar w:fldCharType="end"/>
          </w:r>
          <w:r>
            <w:rPr>
              <w:rFonts w:hint="eastAsia" w:ascii="仿宋_GB2312" w:hAnsi="仿宋_GB2312" w:eastAsia="仿宋_GB2312" w:cs="仿宋_GB2312"/>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fldChar w:fldCharType="begin"/>
          </w:r>
          <w:r>
            <w:rPr>
              <w:rFonts w:hint="eastAsia" w:ascii="仿宋_GB2312" w:hAnsi="仿宋_GB2312" w:eastAsia="仿宋_GB2312" w:cs="仿宋_GB2312"/>
              <w:b w:val="0"/>
              <w:bCs/>
              <w:sz w:val="24"/>
              <w:szCs w:val="24"/>
            </w:rPr>
            <w:instrText xml:space="preserve"> HYPERLINK \l _Toc1809 </w:instrText>
          </w:r>
          <w:r>
            <w:rPr>
              <w:rFonts w:hint="eastAsia" w:ascii="仿宋_GB2312" w:hAnsi="仿宋_GB2312" w:eastAsia="仿宋_GB2312" w:cs="仿宋_GB2312"/>
              <w:b w:val="0"/>
              <w:bCs/>
              <w:sz w:val="24"/>
              <w:szCs w:val="24"/>
            </w:rPr>
            <w:fldChar w:fldCharType="separate"/>
          </w:r>
          <w:r>
            <w:rPr>
              <w:rFonts w:hint="eastAsia" w:ascii="仿宋_GB2312" w:hAnsi="仿宋_GB2312" w:eastAsia="仿宋_GB2312" w:cs="仿宋_GB2312"/>
              <w:b w:val="0"/>
              <w:bCs/>
              <w:sz w:val="24"/>
              <w:szCs w:val="24"/>
            </w:rPr>
            <w:t>第五部分 附表</w:t>
          </w:r>
          <w:r>
            <w:rPr>
              <w:rFonts w:hint="eastAsia" w:ascii="仿宋_GB2312" w:hAnsi="仿宋_GB2312" w:eastAsia="仿宋_GB2312" w:cs="仿宋_GB2312"/>
              <w:b w:val="0"/>
              <w:bCs/>
              <w:sz w:val="24"/>
              <w:szCs w:val="24"/>
            </w:rPr>
            <w:tab/>
          </w:r>
          <w:r>
            <w:rPr>
              <w:rFonts w:hint="eastAsia" w:ascii="仿宋_GB2312" w:hAnsi="仿宋_GB2312" w:eastAsia="仿宋_GB2312" w:cs="仿宋_GB2312"/>
              <w:b w:val="0"/>
              <w:bCs/>
              <w:sz w:val="24"/>
              <w:szCs w:val="24"/>
            </w:rPr>
            <w:fldChar w:fldCharType="begin"/>
          </w:r>
          <w:r>
            <w:rPr>
              <w:rFonts w:hint="eastAsia" w:ascii="仿宋_GB2312" w:hAnsi="仿宋_GB2312" w:eastAsia="仿宋_GB2312" w:cs="仿宋_GB2312"/>
              <w:b w:val="0"/>
              <w:bCs/>
              <w:sz w:val="24"/>
              <w:szCs w:val="24"/>
            </w:rPr>
            <w:instrText xml:space="preserve"> PAGEREF _Toc1809 \h </w:instrText>
          </w:r>
          <w:r>
            <w:rPr>
              <w:rFonts w:hint="eastAsia" w:ascii="仿宋_GB2312" w:hAnsi="仿宋_GB2312" w:eastAsia="仿宋_GB2312" w:cs="仿宋_GB2312"/>
              <w:b w:val="0"/>
              <w:bCs/>
              <w:sz w:val="24"/>
              <w:szCs w:val="24"/>
            </w:rPr>
            <w:fldChar w:fldCharType="separate"/>
          </w:r>
          <w:r>
            <w:rPr>
              <w:rFonts w:hint="eastAsia" w:ascii="仿宋_GB2312" w:hAnsi="仿宋_GB2312" w:eastAsia="仿宋_GB2312" w:cs="仿宋_GB2312"/>
              <w:b w:val="0"/>
              <w:bCs/>
              <w:sz w:val="24"/>
              <w:szCs w:val="24"/>
            </w:rPr>
            <w:t>30</w:t>
          </w:r>
          <w:r>
            <w:rPr>
              <w:rFonts w:hint="eastAsia" w:ascii="仿宋_GB2312" w:hAnsi="仿宋_GB2312" w:eastAsia="仿宋_GB2312" w:cs="仿宋_GB2312"/>
              <w:b w:val="0"/>
              <w:bCs/>
              <w:sz w:val="24"/>
              <w:szCs w:val="24"/>
            </w:rPr>
            <w:fldChar w:fldCharType="end"/>
          </w:r>
          <w:r>
            <w:rPr>
              <w:rFonts w:hint="eastAsia" w:ascii="仿宋_GB2312" w:hAnsi="仿宋_GB2312" w:eastAsia="仿宋_GB2312" w:cs="仿宋_GB2312"/>
              <w:b w:val="0"/>
              <w:bCs/>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_Toc10635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rPr>
            <w:t>一、收</w:t>
          </w:r>
          <w:r>
            <w:rPr>
              <w:rFonts w:hint="eastAsia" w:ascii="宋体" w:hAnsi="宋体" w:eastAsia="宋体" w:cs="宋体"/>
              <w:bCs w:val="0"/>
              <w:sz w:val="24"/>
              <w:szCs w:val="24"/>
              <w:highlight w:val="none"/>
            </w:rPr>
            <w:t>入支出决算总表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_Toc10635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_Toc1934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rPr>
            <w:t>二、收</w:t>
          </w:r>
          <w:r>
            <w:rPr>
              <w:rFonts w:hint="eastAsia" w:ascii="宋体" w:hAnsi="宋体" w:eastAsia="宋体" w:cs="宋体"/>
              <w:bCs w:val="0"/>
              <w:sz w:val="24"/>
              <w:szCs w:val="24"/>
              <w:highlight w:val="none"/>
            </w:rPr>
            <w:t>入决算表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_Toc1934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_Toc479 </w:instrText>
          </w:r>
          <w:r>
            <w:rPr>
              <w:rFonts w:hint="eastAsia" w:ascii="宋体" w:hAnsi="宋体" w:eastAsia="宋体" w:cs="宋体"/>
              <w:sz w:val="24"/>
              <w:szCs w:val="24"/>
            </w:rPr>
            <w:fldChar w:fldCharType="separate"/>
          </w:r>
          <w:r>
            <w:rPr>
              <w:rFonts w:hint="eastAsia" w:ascii="宋体" w:hAnsi="宋体" w:eastAsia="宋体" w:cs="宋体"/>
              <w:bCs w:val="0"/>
              <w:sz w:val="24"/>
              <w:szCs w:val="24"/>
              <w:highlight w:val="none"/>
            </w:rPr>
            <w:t>三、</w:t>
          </w:r>
          <w:r>
            <w:rPr>
              <w:rFonts w:hint="eastAsia" w:ascii="宋体" w:hAnsi="宋体" w:eastAsia="宋体" w:cs="宋体"/>
              <w:sz w:val="24"/>
              <w:szCs w:val="24"/>
              <w:highlight w:val="none"/>
            </w:rPr>
            <w:t>支</w:t>
          </w:r>
          <w:r>
            <w:rPr>
              <w:rFonts w:hint="eastAsia" w:ascii="宋体" w:hAnsi="宋体" w:eastAsia="宋体" w:cs="宋体"/>
              <w:bCs w:val="0"/>
              <w:sz w:val="24"/>
              <w:szCs w:val="24"/>
              <w:highlight w:val="none"/>
            </w:rPr>
            <w:t>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_Toc479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_Toc26569 </w:instrText>
          </w:r>
          <w:r>
            <w:rPr>
              <w:rFonts w:hint="eastAsia" w:ascii="宋体" w:hAnsi="宋体" w:eastAsia="宋体" w:cs="宋体"/>
              <w:sz w:val="24"/>
              <w:szCs w:val="24"/>
            </w:rPr>
            <w:fldChar w:fldCharType="separate"/>
          </w:r>
          <w:r>
            <w:rPr>
              <w:rFonts w:hint="eastAsia" w:ascii="宋体" w:hAnsi="宋体" w:eastAsia="宋体" w:cs="宋体"/>
              <w:bCs w:val="0"/>
              <w:sz w:val="24"/>
              <w:szCs w:val="24"/>
              <w:highlight w:val="none"/>
            </w:rPr>
            <w:t>四、</w:t>
          </w:r>
          <w:r>
            <w:rPr>
              <w:rFonts w:hint="eastAsia" w:ascii="宋体" w:hAnsi="宋体" w:eastAsia="宋体" w:cs="宋体"/>
              <w:sz w:val="24"/>
              <w:szCs w:val="24"/>
              <w:highlight w:val="none"/>
            </w:rPr>
            <w:t>财</w:t>
          </w:r>
          <w:r>
            <w:rPr>
              <w:rFonts w:hint="eastAsia" w:ascii="宋体" w:hAnsi="宋体" w:eastAsia="宋体" w:cs="宋体"/>
              <w:bCs w:val="0"/>
              <w:sz w:val="24"/>
              <w:szCs w:val="24"/>
              <w:highlight w:val="none"/>
            </w:rPr>
            <w:t>政拨款收入支出决算总表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_Toc26569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_Toc16806 </w:instrText>
          </w:r>
          <w:r>
            <w:rPr>
              <w:rFonts w:hint="eastAsia" w:ascii="宋体" w:hAnsi="宋体" w:eastAsia="宋体" w:cs="宋体"/>
              <w:sz w:val="24"/>
              <w:szCs w:val="24"/>
            </w:rPr>
            <w:fldChar w:fldCharType="separate"/>
          </w:r>
          <w:r>
            <w:rPr>
              <w:rFonts w:hint="eastAsia" w:ascii="宋体" w:hAnsi="宋体" w:eastAsia="宋体" w:cs="宋体"/>
              <w:bCs w:val="0"/>
              <w:sz w:val="24"/>
              <w:szCs w:val="24"/>
              <w:highlight w:val="none"/>
            </w:rPr>
            <w:t>五、</w:t>
          </w:r>
          <w:r>
            <w:rPr>
              <w:rFonts w:hint="eastAsia" w:ascii="宋体" w:hAnsi="宋体" w:eastAsia="宋体" w:cs="宋体"/>
              <w:sz w:val="24"/>
              <w:szCs w:val="24"/>
              <w:highlight w:val="none"/>
            </w:rPr>
            <w:t>财</w:t>
          </w:r>
          <w:r>
            <w:rPr>
              <w:rFonts w:hint="eastAsia" w:ascii="宋体" w:hAnsi="宋体" w:eastAsia="宋体" w:cs="宋体"/>
              <w:bCs w:val="0"/>
              <w:sz w:val="24"/>
              <w:szCs w:val="24"/>
              <w:highlight w:val="none"/>
            </w:rPr>
            <w:t>政拨款支出决算明细表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_Toc16806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_Toc12978 </w:instrText>
          </w:r>
          <w:r>
            <w:rPr>
              <w:rFonts w:hint="eastAsia" w:ascii="宋体" w:hAnsi="宋体" w:eastAsia="宋体" w:cs="宋体"/>
              <w:sz w:val="24"/>
              <w:szCs w:val="24"/>
            </w:rPr>
            <w:fldChar w:fldCharType="separate"/>
          </w:r>
          <w:r>
            <w:rPr>
              <w:rFonts w:hint="eastAsia" w:ascii="宋体" w:hAnsi="宋体" w:eastAsia="宋体" w:cs="宋体"/>
              <w:bCs w:val="0"/>
              <w:sz w:val="24"/>
              <w:szCs w:val="24"/>
              <w:highlight w:val="none"/>
            </w:rPr>
            <w:t>六、</w:t>
          </w:r>
          <w:r>
            <w:rPr>
              <w:rFonts w:hint="eastAsia" w:ascii="宋体" w:hAnsi="宋体" w:eastAsia="宋体" w:cs="宋体"/>
              <w:sz w:val="24"/>
              <w:szCs w:val="24"/>
              <w:highlight w:val="none"/>
            </w:rPr>
            <w:t>一</w:t>
          </w:r>
          <w:r>
            <w:rPr>
              <w:rFonts w:hint="eastAsia" w:ascii="宋体" w:hAnsi="宋体" w:eastAsia="宋体" w:cs="宋体"/>
              <w:bCs w:val="0"/>
              <w:sz w:val="24"/>
              <w:szCs w:val="24"/>
              <w:highlight w:val="none"/>
            </w:rPr>
            <w:t>般公共预算财政拨款支出决算表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_Toc12978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_Toc16213 </w:instrText>
          </w:r>
          <w:r>
            <w:rPr>
              <w:rFonts w:hint="eastAsia" w:ascii="宋体" w:hAnsi="宋体" w:eastAsia="宋体" w:cs="宋体"/>
              <w:sz w:val="24"/>
              <w:szCs w:val="24"/>
            </w:rPr>
            <w:fldChar w:fldCharType="separate"/>
          </w:r>
          <w:r>
            <w:rPr>
              <w:rFonts w:hint="eastAsia" w:ascii="宋体" w:hAnsi="宋体" w:eastAsia="宋体" w:cs="宋体"/>
              <w:bCs w:val="0"/>
              <w:sz w:val="24"/>
              <w:szCs w:val="24"/>
              <w:highlight w:val="none"/>
            </w:rPr>
            <w:t>七、</w:t>
          </w:r>
          <w:r>
            <w:rPr>
              <w:rFonts w:hint="eastAsia" w:ascii="宋体" w:hAnsi="宋体" w:eastAsia="宋体" w:cs="宋体"/>
              <w:sz w:val="24"/>
              <w:szCs w:val="24"/>
              <w:highlight w:val="none"/>
            </w:rPr>
            <w:t>一</w:t>
          </w:r>
          <w:r>
            <w:rPr>
              <w:rFonts w:hint="eastAsia" w:ascii="宋体" w:hAnsi="宋体" w:eastAsia="宋体" w:cs="宋体"/>
              <w:bCs w:val="0"/>
              <w:sz w:val="24"/>
              <w:szCs w:val="24"/>
              <w:highlight w:val="none"/>
            </w:rPr>
            <w:t>般公共预算财政拨款支出</w:t>
          </w:r>
          <w:bookmarkStart w:id="145" w:name="_GoBack"/>
          <w:bookmarkEnd w:id="145"/>
          <w:r>
            <w:rPr>
              <w:rFonts w:hint="eastAsia" w:ascii="宋体" w:hAnsi="宋体" w:eastAsia="宋体" w:cs="宋体"/>
              <w:bCs w:val="0"/>
              <w:sz w:val="24"/>
              <w:szCs w:val="24"/>
              <w:highlight w:val="none"/>
            </w:rPr>
            <w:t>决算明细表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_Toc16213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_Toc9993 </w:instrText>
          </w:r>
          <w:r>
            <w:rPr>
              <w:rFonts w:hint="eastAsia" w:ascii="宋体" w:hAnsi="宋体" w:eastAsia="宋体" w:cs="宋体"/>
              <w:sz w:val="24"/>
              <w:szCs w:val="24"/>
            </w:rPr>
            <w:fldChar w:fldCharType="separate"/>
          </w:r>
          <w:r>
            <w:rPr>
              <w:rFonts w:hint="eastAsia" w:ascii="宋体" w:hAnsi="宋体" w:eastAsia="宋体" w:cs="宋体"/>
              <w:bCs w:val="0"/>
              <w:sz w:val="24"/>
              <w:szCs w:val="24"/>
              <w:highlight w:val="none"/>
            </w:rPr>
            <w:t>八、</w:t>
          </w:r>
          <w:r>
            <w:rPr>
              <w:rFonts w:hint="eastAsia" w:ascii="宋体" w:hAnsi="宋体" w:eastAsia="宋体" w:cs="宋体"/>
              <w:sz w:val="24"/>
              <w:szCs w:val="24"/>
              <w:highlight w:val="none"/>
            </w:rPr>
            <w:t>一</w:t>
          </w:r>
          <w:r>
            <w:rPr>
              <w:rFonts w:hint="eastAsia" w:ascii="宋体" w:hAnsi="宋体" w:eastAsia="宋体" w:cs="宋体"/>
              <w:bCs w:val="0"/>
              <w:sz w:val="24"/>
              <w:szCs w:val="24"/>
              <w:highlight w:val="none"/>
            </w:rPr>
            <w:t>般公共预算财政拨款基本支出决算表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_Toc9993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_Toc71 </w:instrText>
          </w:r>
          <w:r>
            <w:rPr>
              <w:rFonts w:hint="eastAsia" w:ascii="宋体" w:hAnsi="宋体" w:eastAsia="宋体" w:cs="宋体"/>
              <w:sz w:val="24"/>
              <w:szCs w:val="24"/>
            </w:rPr>
            <w:fldChar w:fldCharType="separate"/>
          </w:r>
          <w:r>
            <w:rPr>
              <w:rFonts w:hint="eastAsia" w:ascii="宋体" w:hAnsi="宋体" w:eastAsia="宋体" w:cs="宋体"/>
              <w:bCs w:val="0"/>
              <w:sz w:val="24"/>
              <w:szCs w:val="24"/>
              <w:highlight w:val="none"/>
            </w:rPr>
            <w:t>九、</w:t>
          </w:r>
          <w:r>
            <w:rPr>
              <w:rFonts w:hint="eastAsia" w:ascii="宋体" w:hAnsi="宋体" w:eastAsia="宋体" w:cs="宋体"/>
              <w:sz w:val="24"/>
              <w:szCs w:val="24"/>
              <w:highlight w:val="none"/>
            </w:rPr>
            <w:t>一</w:t>
          </w:r>
          <w:r>
            <w:rPr>
              <w:rFonts w:hint="eastAsia" w:ascii="宋体" w:hAnsi="宋体" w:eastAsia="宋体" w:cs="宋体"/>
              <w:bCs w:val="0"/>
              <w:sz w:val="24"/>
              <w:szCs w:val="24"/>
              <w:highlight w:val="none"/>
            </w:rPr>
            <w:t>般公共预算财政拨款项目支出决算表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_Toc71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_Toc22511 </w:instrText>
          </w:r>
          <w:r>
            <w:rPr>
              <w:rFonts w:hint="eastAsia" w:ascii="宋体" w:hAnsi="宋体" w:eastAsia="宋体" w:cs="宋体"/>
              <w:sz w:val="24"/>
              <w:szCs w:val="24"/>
            </w:rPr>
            <w:fldChar w:fldCharType="separate"/>
          </w:r>
          <w:r>
            <w:rPr>
              <w:rFonts w:hint="eastAsia" w:ascii="宋体" w:hAnsi="宋体" w:eastAsia="宋体" w:cs="宋体"/>
              <w:bCs w:val="0"/>
              <w:sz w:val="24"/>
              <w:szCs w:val="24"/>
              <w:highlight w:val="none"/>
            </w:rPr>
            <w:t>十、</w:t>
          </w:r>
          <w:r>
            <w:rPr>
              <w:rFonts w:hint="eastAsia" w:ascii="宋体" w:hAnsi="宋体" w:eastAsia="宋体" w:cs="宋体"/>
              <w:sz w:val="24"/>
              <w:szCs w:val="24"/>
              <w:highlight w:val="none"/>
            </w:rPr>
            <w:t>政</w:t>
          </w:r>
          <w:r>
            <w:rPr>
              <w:rFonts w:hint="eastAsia" w:ascii="宋体" w:hAnsi="宋体" w:eastAsia="宋体" w:cs="宋体"/>
              <w:bCs w:val="0"/>
              <w:sz w:val="24"/>
              <w:szCs w:val="24"/>
              <w:highlight w:val="none"/>
            </w:rPr>
            <w:t>府性基金预算财政拨款收入支出决算表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_Toc22511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_Toc10628 </w:instrText>
          </w:r>
          <w:r>
            <w:rPr>
              <w:rFonts w:hint="eastAsia" w:ascii="宋体" w:hAnsi="宋体" w:eastAsia="宋体" w:cs="宋体"/>
              <w:sz w:val="24"/>
              <w:szCs w:val="24"/>
            </w:rPr>
            <w:fldChar w:fldCharType="separate"/>
          </w:r>
          <w:r>
            <w:rPr>
              <w:rFonts w:hint="eastAsia" w:ascii="宋体" w:hAnsi="宋体" w:eastAsia="宋体" w:cs="宋体"/>
              <w:bCs w:val="0"/>
              <w:sz w:val="24"/>
              <w:szCs w:val="24"/>
              <w:highlight w:val="none"/>
            </w:rPr>
            <w:t>十一、</w:t>
          </w:r>
          <w:r>
            <w:rPr>
              <w:rFonts w:hint="eastAsia" w:ascii="宋体" w:hAnsi="宋体" w:eastAsia="宋体" w:cs="宋体"/>
              <w:sz w:val="24"/>
              <w:szCs w:val="24"/>
              <w:highlight w:val="none"/>
            </w:rPr>
            <w:t>国</w:t>
          </w:r>
          <w:r>
            <w:rPr>
              <w:rFonts w:hint="eastAsia" w:ascii="宋体" w:hAnsi="宋体" w:eastAsia="宋体" w:cs="宋体"/>
              <w:bCs w:val="0"/>
              <w:sz w:val="24"/>
              <w:szCs w:val="24"/>
              <w:highlight w:val="none"/>
            </w:rPr>
            <w:t>有资本经营预算</w:t>
          </w:r>
          <w:r>
            <w:rPr>
              <w:rFonts w:hint="eastAsia" w:ascii="宋体" w:hAnsi="宋体" w:eastAsia="宋体" w:cs="宋体"/>
              <w:bCs w:val="0"/>
              <w:sz w:val="24"/>
              <w:szCs w:val="24"/>
              <w:highlight w:val="none"/>
              <w:lang w:eastAsia="zh-CN"/>
            </w:rPr>
            <w:t>财政拨款收入</w:t>
          </w:r>
          <w:r>
            <w:rPr>
              <w:rFonts w:hint="eastAsia" w:ascii="宋体" w:hAnsi="宋体" w:eastAsia="宋体" w:cs="宋体"/>
              <w:bCs w:val="0"/>
              <w:sz w:val="24"/>
              <w:szCs w:val="24"/>
              <w:highlight w:val="none"/>
            </w:rPr>
            <w:t>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_Toc10628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_Toc25356 </w:instrText>
          </w:r>
          <w:r>
            <w:rPr>
              <w:rFonts w:hint="eastAsia" w:ascii="宋体" w:hAnsi="宋体" w:eastAsia="宋体" w:cs="宋体"/>
              <w:sz w:val="24"/>
              <w:szCs w:val="24"/>
            </w:rPr>
            <w:fldChar w:fldCharType="separate"/>
          </w:r>
          <w:r>
            <w:rPr>
              <w:rFonts w:hint="eastAsia" w:ascii="宋体" w:hAnsi="宋体" w:eastAsia="宋体" w:cs="宋体"/>
              <w:bCs w:val="0"/>
              <w:sz w:val="24"/>
              <w:szCs w:val="24"/>
              <w:highlight w:val="none"/>
            </w:rPr>
            <w:t>十二、</w:t>
          </w:r>
          <w:r>
            <w:rPr>
              <w:rFonts w:hint="eastAsia" w:ascii="宋体" w:hAnsi="宋体" w:eastAsia="宋体" w:cs="宋体"/>
              <w:bCs w:val="0"/>
              <w:sz w:val="24"/>
              <w:szCs w:val="24"/>
              <w:highlight w:val="none"/>
              <w:lang w:eastAsia="zh-CN"/>
            </w:rPr>
            <w:t>国有资本经营预算财政拨款支出决算表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_Toc25356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_Toc17356 </w:instrText>
          </w:r>
          <w:r>
            <w:rPr>
              <w:rFonts w:hint="eastAsia" w:ascii="宋体" w:hAnsi="宋体" w:eastAsia="宋体" w:cs="宋体"/>
              <w:sz w:val="24"/>
              <w:szCs w:val="24"/>
            </w:rPr>
            <w:fldChar w:fldCharType="separate"/>
          </w:r>
          <w:r>
            <w:rPr>
              <w:rFonts w:hint="eastAsia" w:ascii="宋体" w:hAnsi="宋体" w:eastAsia="宋体" w:cs="宋体"/>
              <w:bCs w:val="0"/>
              <w:sz w:val="24"/>
              <w:szCs w:val="24"/>
              <w:highlight w:val="none"/>
            </w:rPr>
            <w:t>十三、</w:t>
          </w:r>
          <w:r>
            <w:rPr>
              <w:rFonts w:hint="eastAsia" w:ascii="宋体" w:hAnsi="宋体" w:eastAsia="宋体" w:cs="宋体"/>
              <w:bCs w:val="0"/>
              <w:sz w:val="24"/>
              <w:szCs w:val="24"/>
              <w:highlight w:val="none"/>
              <w:lang w:eastAsia="zh-CN"/>
            </w:rPr>
            <w:t>财政拨款“三公”经费支出决算表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_Toc17356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r>
            <w:rPr>
              <w:b/>
            </w:rPr>
            <w:fldChar w:fldCharType="end"/>
          </w:r>
        </w:p>
      </w:sdtContent>
    </w:sdt>
    <w:p>
      <w:pPr>
        <w:pStyle w:val="3"/>
        <w:jc w:val="center"/>
        <w:rPr>
          <w:rFonts w:hint="eastAsia" w:ascii="黑体" w:hAnsi="黑体" w:eastAsia="黑体"/>
          <w:b w:val="0"/>
          <w:color w:val="auto"/>
          <w:highlight w:val="none"/>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bookmarkStart w:id="18" w:name="_Toc30609"/>
      <w:bookmarkStart w:id="19" w:name="_Toc16317"/>
    </w:p>
    <w:p>
      <w:pPr>
        <w:pStyle w:val="3"/>
        <w:jc w:val="center"/>
        <w:rPr>
          <w:rFonts w:ascii="黑体" w:eastAsia="黑体"/>
          <w:color w:val="auto"/>
          <w:sz w:val="32"/>
          <w:szCs w:val="32"/>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6"/>
          <w:rFonts w:hint="eastAsia" w:ascii="黑体" w:hAnsi="黑体" w:eastAsia="黑体"/>
          <w:b w:val="0"/>
          <w:bCs w:val="0"/>
          <w:color w:val="auto"/>
          <w:highlight w:val="none"/>
        </w:rPr>
        <w:t>概况</w:t>
      </w:r>
      <w:bookmarkEnd w:id="18"/>
      <w:bookmarkEnd w:id="19"/>
    </w:p>
    <w:p>
      <w:pPr>
        <w:pStyle w:val="4"/>
        <w:numPr>
          <w:ilvl w:val="0"/>
          <w:numId w:val="0"/>
        </w:numPr>
        <w:outlineLvl w:val="9"/>
        <w:rPr>
          <w:rStyle w:val="17"/>
          <w:rFonts w:hint="eastAsia" w:ascii="黑体" w:hAnsi="黑体" w:eastAsia="黑体"/>
          <w:b w:val="0"/>
          <w:bCs w:val="0"/>
          <w:color w:val="auto"/>
          <w:highlight w:val="none"/>
          <w:lang w:eastAsia="zh-CN"/>
        </w:rPr>
      </w:pPr>
      <w:bookmarkStart w:id="20" w:name="_Toc15377197"/>
      <w:bookmarkStart w:id="21" w:name="_Toc15396600"/>
    </w:p>
    <w:p>
      <w:pPr>
        <w:pStyle w:val="4"/>
        <w:numPr>
          <w:ilvl w:val="0"/>
          <w:numId w:val="0"/>
        </w:numPr>
        <w:rPr>
          <w:rStyle w:val="17"/>
          <w:rFonts w:hint="eastAsia" w:ascii="黑体" w:hAnsi="黑体" w:eastAsia="黑体"/>
          <w:b w:val="0"/>
          <w:bCs w:val="0"/>
          <w:color w:val="auto"/>
          <w:highlight w:val="none"/>
          <w:lang w:eastAsia="zh-CN"/>
        </w:rPr>
      </w:pPr>
      <w:bookmarkStart w:id="22" w:name="_Toc10046"/>
      <w:bookmarkStart w:id="23" w:name="_Toc9235"/>
      <w:r>
        <w:rPr>
          <w:rStyle w:val="17"/>
          <w:rFonts w:hint="eastAsia" w:ascii="黑体" w:hAnsi="黑体" w:eastAsia="黑体"/>
          <w:b w:val="0"/>
          <w:bCs w:val="0"/>
          <w:color w:val="auto"/>
          <w:highlight w:val="none"/>
          <w:lang w:eastAsia="zh-CN"/>
        </w:rPr>
        <w:t>一、主要职责</w:t>
      </w:r>
      <w:bookmarkEnd w:id="22"/>
      <w:bookmarkEnd w:id="23"/>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承担全市境内突发公共卫生事件处置及其他突发事件紧急医疗救援的指挥调度；负责全市所有医疗急救资源的调度、指挥并开展院前急救、转运和重症病人转运途中的监护；负责全市网络医院监管、急救人员培训等工作。</w:t>
      </w:r>
    </w:p>
    <w:p>
      <w:pPr>
        <w:pStyle w:val="4"/>
        <w:numPr>
          <w:ilvl w:val="0"/>
          <w:numId w:val="0"/>
        </w:numPr>
        <w:rPr>
          <w:rFonts w:hint="eastAsia" w:ascii="黑体" w:hAnsi="黑体" w:eastAsia="黑体"/>
          <w:b w:val="0"/>
          <w:color w:val="auto"/>
          <w:highlight w:val="none"/>
          <w:lang w:val="en-US" w:eastAsia="zh-CN"/>
        </w:rPr>
      </w:pPr>
      <w:bookmarkStart w:id="24" w:name="_Toc7132"/>
      <w:bookmarkStart w:id="25" w:name="_Toc20799"/>
      <w:r>
        <w:rPr>
          <w:rFonts w:hint="eastAsia" w:ascii="黑体" w:hAnsi="黑体" w:eastAsia="黑体"/>
          <w:b w:val="0"/>
          <w:color w:val="auto"/>
          <w:highlight w:val="none"/>
          <w:lang w:val="en-US" w:eastAsia="zh-CN"/>
        </w:rPr>
        <w:t>二、机构设置</w:t>
      </w:r>
      <w:bookmarkEnd w:id="24"/>
      <w:bookmarkEnd w:id="25"/>
    </w:p>
    <w:bookmarkEnd w:id="20"/>
    <w:bookmarkEnd w:id="21"/>
    <w:p>
      <w:pPr>
        <w:widowControl/>
        <w:ind w:firstLine="640" w:firstLineChars="200"/>
        <w:jc w:val="both"/>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eastAsia="zh-CN"/>
        </w:rPr>
        <w:t>广元市紧急救援中心属于广元市卫生健康委员会部门下属的二级预算单位，下设独立编制机构</w:t>
      </w:r>
      <w:r>
        <w:rPr>
          <w:rFonts w:hint="eastAsia" w:ascii="仿宋" w:hAnsi="仿宋" w:eastAsia="仿宋"/>
          <w:color w:val="auto"/>
          <w:sz w:val="32"/>
          <w:szCs w:val="32"/>
          <w:highlight w:val="none"/>
          <w:lang w:val="en-US" w:eastAsia="zh-CN"/>
        </w:rPr>
        <w:t>1个，其中行政机构0个，参照公务员法管理的事业机构0个，其他事业机构1个。</w:t>
      </w:r>
    </w:p>
    <w:p>
      <w:pPr>
        <w:widowControl/>
        <w:ind w:firstLine="640" w:firstLineChars="200"/>
        <w:jc w:val="both"/>
        <w:rPr>
          <w:rFonts w:ascii="仿宋" w:hAnsi="仿宋" w:eastAsia="仿宋"/>
          <w:color w:val="auto"/>
          <w:kern w:val="0"/>
          <w:sz w:val="32"/>
          <w:szCs w:val="32"/>
          <w:highlight w:val="none"/>
        </w:rPr>
      </w:pPr>
      <w:r>
        <w:rPr>
          <w:rFonts w:hint="eastAsia" w:ascii="仿宋" w:hAnsi="仿宋" w:eastAsia="仿宋"/>
          <w:color w:val="auto"/>
          <w:sz w:val="32"/>
          <w:szCs w:val="32"/>
          <w:highlight w:val="none"/>
          <w:lang w:val="en-US" w:eastAsia="zh-CN"/>
        </w:rPr>
        <w:t>纳入2022年度单位决算编制范围的独立编制机构包括：广元市紧急救援中心。</w:t>
      </w:r>
      <w:r>
        <w:rPr>
          <w:rFonts w:ascii="仿宋" w:hAnsi="仿宋" w:eastAsia="仿宋"/>
          <w:color w:val="auto"/>
          <w:sz w:val="32"/>
          <w:szCs w:val="32"/>
          <w:highlight w:val="none"/>
        </w:rPr>
        <w:br w:type="page"/>
      </w:r>
    </w:p>
    <w:p>
      <w:pPr>
        <w:pStyle w:val="3"/>
        <w:ind w:right="440"/>
        <w:jc w:val="center"/>
        <w:rPr>
          <w:rStyle w:val="16"/>
          <w:rFonts w:ascii="黑体" w:hAnsi="黑体" w:eastAsia="黑体"/>
          <w:b w:val="0"/>
          <w:bCs/>
          <w:color w:val="auto"/>
          <w:highlight w:val="none"/>
        </w:rPr>
      </w:pPr>
      <w:bookmarkStart w:id="26" w:name="_Toc15377204"/>
      <w:bookmarkStart w:id="27" w:name="_Toc15396602"/>
      <w:bookmarkStart w:id="28" w:name="_Toc8405"/>
      <w:bookmarkStart w:id="29" w:name="_Toc20237"/>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6"/>
          <w:rFonts w:hint="eastAsia" w:ascii="黑体" w:hAnsi="黑体" w:eastAsia="黑体"/>
          <w:b w:val="0"/>
          <w:bCs/>
          <w:color w:val="auto"/>
          <w:highlight w:val="none"/>
          <w:lang w:eastAsia="zh-CN"/>
        </w:rPr>
        <w:t>单位</w:t>
      </w:r>
      <w:r>
        <w:rPr>
          <w:rStyle w:val="16"/>
          <w:rFonts w:hint="eastAsia" w:ascii="黑体" w:hAnsi="黑体" w:eastAsia="黑体"/>
          <w:b w:val="0"/>
          <w:bCs/>
          <w:color w:val="auto"/>
          <w:highlight w:val="none"/>
        </w:rPr>
        <w:t>决算情况说明</w:t>
      </w:r>
      <w:bookmarkEnd w:id="26"/>
      <w:bookmarkEnd w:id="27"/>
      <w:bookmarkEnd w:id="28"/>
      <w:bookmarkEnd w:id="29"/>
    </w:p>
    <w:p>
      <w:pPr>
        <w:rPr>
          <w:color w:val="auto"/>
          <w:highlight w:val="none"/>
        </w:rPr>
      </w:pPr>
    </w:p>
    <w:p>
      <w:pPr>
        <w:pStyle w:val="26"/>
        <w:numPr>
          <w:ilvl w:val="0"/>
          <w:numId w:val="1"/>
        </w:numPr>
        <w:spacing w:line="600" w:lineRule="exact"/>
        <w:ind w:firstLineChars="0"/>
        <w:outlineLvl w:val="1"/>
        <w:rPr>
          <w:rStyle w:val="17"/>
          <w:rFonts w:ascii="黑体" w:hAnsi="黑体" w:eastAsia="黑体"/>
          <w:b w:val="0"/>
          <w:color w:val="auto"/>
          <w:highlight w:val="none"/>
        </w:rPr>
      </w:pPr>
      <w:bookmarkStart w:id="30" w:name="_Toc7989"/>
      <w:bookmarkStart w:id="31" w:name="_Toc2828"/>
      <w:bookmarkStart w:id="32" w:name="_Toc15396603"/>
      <w:bookmarkStart w:id="33" w:name="_Toc15377205"/>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入支出决算总体情况说明</w:t>
      </w:r>
      <w:bookmarkEnd w:id="30"/>
      <w:bookmarkEnd w:id="31"/>
      <w:bookmarkEnd w:id="32"/>
      <w:bookmarkEnd w:id="33"/>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307.73</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年相比，收、支总各增加</w:t>
      </w:r>
      <w:r>
        <w:rPr>
          <w:rFonts w:hint="eastAsia" w:ascii="仿宋" w:hAnsi="仿宋" w:eastAsia="仿宋"/>
          <w:color w:val="auto"/>
          <w:sz w:val="32"/>
          <w:szCs w:val="32"/>
          <w:highlight w:val="none"/>
          <w:lang w:val="en-US" w:eastAsia="zh-CN"/>
        </w:rPr>
        <w:t>36.44</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13.43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人员经费增加。</w:t>
      </w:r>
    </w:p>
    <w:p>
      <w:pPr>
        <w:spacing w:line="600" w:lineRule="exact"/>
        <w:ind w:firstLine="420" w:firstLineChars="200"/>
        <w:rPr>
          <w:rFonts w:hint="eastAsia" w:ascii="仿宋" w:hAnsi="仿宋" w:eastAsia="仿宋"/>
          <w:color w:val="auto"/>
          <w:sz w:val="32"/>
          <w:szCs w:val="32"/>
          <w:highlight w:val="none"/>
        </w:rPr>
      </w:pPr>
      <w:r>
        <w:drawing>
          <wp:anchor distT="0" distB="0" distL="114300" distR="114300" simplePos="0" relativeHeight="251660288" behindDoc="1" locked="0" layoutInCell="1" allowOverlap="1">
            <wp:simplePos x="0" y="0"/>
            <wp:positionH relativeFrom="column">
              <wp:posOffset>480695</wp:posOffset>
            </wp:positionH>
            <wp:positionV relativeFrom="paragraph">
              <wp:posOffset>189230</wp:posOffset>
            </wp:positionV>
            <wp:extent cx="4572000" cy="2743200"/>
            <wp:effectExtent l="4445" t="4445" r="14605" b="14605"/>
            <wp:wrapTight wrapText="bothSides">
              <wp:wrapPolygon>
                <wp:start x="-21" y="-35"/>
                <wp:lineTo x="-21" y="21565"/>
                <wp:lineTo x="21579" y="21565"/>
                <wp:lineTo x="21579" y="-35"/>
                <wp:lineTo x="-21" y="-35"/>
              </wp:wrapPolygon>
            </wp:wrapTight>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pStyle w:val="26"/>
        <w:numPr>
          <w:ilvl w:val="0"/>
          <w:numId w:val="1"/>
        </w:numPr>
        <w:spacing w:line="600" w:lineRule="exact"/>
        <w:ind w:firstLineChars="0"/>
        <w:outlineLvl w:val="1"/>
        <w:rPr>
          <w:rStyle w:val="17"/>
          <w:rFonts w:ascii="黑体" w:hAnsi="黑体" w:eastAsia="黑体"/>
          <w:b w:val="0"/>
          <w:color w:val="auto"/>
          <w:highlight w:val="none"/>
        </w:rPr>
      </w:pPr>
      <w:bookmarkStart w:id="34" w:name="_Toc31819"/>
      <w:bookmarkStart w:id="35" w:name="_Toc17758"/>
      <w:bookmarkStart w:id="36" w:name="_Toc15396604"/>
      <w:bookmarkStart w:id="37" w:name="_Toc15377206"/>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入决算情况说明</w:t>
      </w:r>
      <w:bookmarkEnd w:id="34"/>
      <w:bookmarkEnd w:id="35"/>
      <w:bookmarkEnd w:id="36"/>
      <w:bookmarkEnd w:id="37"/>
    </w:p>
    <w:p>
      <w:pPr>
        <w:spacing w:line="600" w:lineRule="exact"/>
        <w:ind w:firstLine="640" w:firstLineChars="200"/>
        <w:rPr>
          <w:rFonts w:hint="eastAsia" w:ascii="仿宋" w:hAnsi="仿宋" w:eastAsia="仿宋"/>
          <w:color w:val="auto"/>
          <w:sz w:val="32"/>
          <w:szCs w:val="32"/>
          <w:highlight w:val="none"/>
        </w:rPr>
      </w:pPr>
      <w:bookmarkStart w:id="38" w:name="_Toc29944"/>
      <w:bookmarkStart w:id="39" w:name="_Toc1798"/>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303.31</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303.25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99.98</w:t>
      </w:r>
      <w:r>
        <w:rPr>
          <w:rFonts w:hint="eastAsia" w:ascii="仿宋" w:hAnsi="仿宋" w:eastAsia="仿宋"/>
          <w:color w:val="auto"/>
          <w:sz w:val="32"/>
          <w:szCs w:val="32"/>
          <w:highlight w:val="none"/>
        </w:rPr>
        <w:t>%；其他收入</w:t>
      </w:r>
      <w:r>
        <w:rPr>
          <w:rFonts w:hint="eastAsia" w:ascii="仿宋" w:hAnsi="仿宋" w:eastAsia="仿宋"/>
          <w:color w:val="auto"/>
          <w:sz w:val="32"/>
          <w:szCs w:val="32"/>
          <w:highlight w:val="none"/>
          <w:lang w:val="en-US" w:eastAsia="zh-CN"/>
        </w:rPr>
        <w:t>0.06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0.02</w:t>
      </w:r>
      <w:r>
        <w:rPr>
          <w:rFonts w:hint="eastAsia" w:ascii="仿宋" w:hAnsi="仿宋" w:eastAsia="仿宋"/>
          <w:color w:val="auto"/>
          <w:sz w:val="32"/>
          <w:szCs w:val="32"/>
          <w:highlight w:val="none"/>
        </w:rPr>
        <w:t>%。</w:t>
      </w:r>
      <w:bookmarkEnd w:id="38"/>
      <w:bookmarkEnd w:id="39"/>
    </w:p>
    <w:p>
      <w:pPr>
        <w:spacing w:line="600" w:lineRule="exact"/>
        <w:ind w:firstLine="640" w:firstLineChars="200"/>
        <w:outlineLvl w:val="9"/>
        <w:rPr>
          <w:rFonts w:ascii="仿宋" w:hAnsi="仿宋" w:eastAsia="仿宋"/>
          <w:color w:val="auto"/>
          <w:sz w:val="32"/>
          <w:szCs w:val="32"/>
          <w:highlight w:val="none"/>
        </w:rPr>
      </w:pPr>
    </w:p>
    <w:p>
      <w:pPr>
        <w:pStyle w:val="2"/>
        <w:rPr>
          <w:rFonts w:ascii="仿宋" w:hAnsi="仿宋" w:eastAsia="仿宋"/>
          <w:color w:val="auto"/>
          <w:sz w:val="32"/>
          <w:szCs w:val="32"/>
          <w:highlight w:val="none"/>
        </w:rPr>
      </w:pPr>
    </w:p>
    <w:p>
      <w:pPr>
        <w:pStyle w:val="2"/>
        <w:rPr>
          <w:rFonts w:ascii="仿宋" w:hAnsi="仿宋" w:eastAsia="仿宋"/>
          <w:color w:val="auto"/>
          <w:sz w:val="32"/>
          <w:szCs w:val="32"/>
          <w:highlight w:val="none"/>
        </w:rPr>
      </w:pPr>
    </w:p>
    <w:p>
      <w:pPr>
        <w:spacing w:line="600" w:lineRule="exact"/>
        <w:ind w:firstLine="420" w:firstLineChars="200"/>
        <w:rPr>
          <w:rFonts w:hint="eastAsia" w:ascii="仿宋" w:hAnsi="仿宋" w:eastAsia="仿宋"/>
          <w:color w:val="auto"/>
          <w:sz w:val="32"/>
          <w:szCs w:val="32"/>
          <w:highlight w:val="none"/>
        </w:rPr>
      </w:pPr>
      <w:r>
        <w:drawing>
          <wp:anchor distT="0" distB="0" distL="114300" distR="114300" simplePos="0" relativeHeight="251661312" behindDoc="1" locked="0" layoutInCell="1" allowOverlap="1">
            <wp:simplePos x="0" y="0"/>
            <wp:positionH relativeFrom="column">
              <wp:posOffset>404495</wp:posOffset>
            </wp:positionH>
            <wp:positionV relativeFrom="paragraph">
              <wp:posOffset>223520</wp:posOffset>
            </wp:positionV>
            <wp:extent cx="4572000" cy="2743200"/>
            <wp:effectExtent l="4445" t="4445" r="14605" b="14605"/>
            <wp:wrapTight wrapText="bothSides">
              <wp:wrapPolygon>
                <wp:start x="-21" y="-35"/>
                <wp:lineTo x="-21" y="21565"/>
                <wp:lineTo x="21579" y="21565"/>
                <wp:lineTo x="21579" y="-35"/>
                <wp:lineTo x="-21" y="-35"/>
              </wp:wrapPolygon>
            </wp:wrapTight>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2"/>
        <w:rPr>
          <w:rFonts w:hint="eastAsia"/>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rPr>
          <w:rFonts w:hint="eastAsia" w:ascii="仿宋" w:hAnsi="仿宋" w:eastAsia="仿宋"/>
          <w:color w:val="auto"/>
          <w:sz w:val="32"/>
          <w:szCs w:val="32"/>
          <w:highlight w:val="none"/>
        </w:rPr>
      </w:pPr>
    </w:p>
    <w:p>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（图2：收入决算结构图）（饼状图）</w:t>
      </w:r>
    </w:p>
    <w:p>
      <w:pPr>
        <w:pStyle w:val="26"/>
        <w:numPr>
          <w:ilvl w:val="0"/>
          <w:numId w:val="1"/>
        </w:numPr>
        <w:spacing w:line="600" w:lineRule="exact"/>
        <w:ind w:firstLineChars="0"/>
        <w:outlineLvl w:val="1"/>
        <w:rPr>
          <w:rStyle w:val="17"/>
          <w:rFonts w:ascii="黑体" w:hAnsi="黑体" w:eastAsia="黑体"/>
          <w:b w:val="0"/>
          <w:color w:val="auto"/>
          <w:highlight w:val="none"/>
        </w:rPr>
      </w:pPr>
      <w:bookmarkStart w:id="40" w:name="_Toc11799"/>
      <w:bookmarkStart w:id="41" w:name="_Toc15377207"/>
      <w:bookmarkStart w:id="42" w:name="_Toc15396605"/>
      <w:bookmarkStart w:id="43" w:name="_Toc8417"/>
      <w:r>
        <w:rPr>
          <w:rFonts w:hint="eastAsia" w:ascii="黑体" w:hAnsi="黑体" w:eastAsia="黑体"/>
          <w:color w:val="auto"/>
          <w:sz w:val="32"/>
          <w:szCs w:val="32"/>
          <w:highlight w:val="none"/>
        </w:rPr>
        <w:t>支</w:t>
      </w:r>
      <w:r>
        <w:rPr>
          <w:rStyle w:val="17"/>
          <w:rFonts w:hint="eastAsia" w:ascii="黑体" w:hAnsi="黑体" w:eastAsia="黑体"/>
          <w:b w:val="0"/>
          <w:color w:val="auto"/>
          <w:highlight w:val="none"/>
        </w:rPr>
        <w:t>出决算情况说明</w:t>
      </w:r>
      <w:bookmarkEnd w:id="40"/>
      <w:bookmarkEnd w:id="41"/>
      <w:bookmarkEnd w:id="42"/>
      <w:bookmarkEnd w:id="43"/>
    </w:p>
    <w:p>
      <w:pPr>
        <w:spacing w:line="600" w:lineRule="exact"/>
        <w:ind w:firstLine="640" w:firstLineChars="200"/>
        <w:rPr>
          <w:rFonts w:hint="eastAsia" w:ascii="仿宋" w:hAnsi="仿宋" w:eastAsia="仿宋"/>
          <w:color w:val="auto"/>
          <w:sz w:val="32"/>
          <w:szCs w:val="32"/>
          <w:highlight w:val="none"/>
        </w:rPr>
      </w:pPr>
      <w:bookmarkStart w:id="44" w:name="_Toc24671"/>
      <w:bookmarkStart w:id="45" w:name="_Toc25818"/>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299.74</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250.05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83.42</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49.69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16.58</w:t>
      </w:r>
      <w:r>
        <w:rPr>
          <w:rFonts w:hint="eastAsia" w:ascii="仿宋" w:hAnsi="仿宋" w:eastAsia="仿宋"/>
          <w:color w:val="auto"/>
          <w:sz w:val="32"/>
          <w:szCs w:val="32"/>
          <w:highlight w:val="none"/>
        </w:rPr>
        <w:t>%。</w:t>
      </w:r>
      <w:bookmarkEnd w:id="44"/>
      <w:bookmarkEnd w:id="45"/>
    </w:p>
    <w:p>
      <w:pPr>
        <w:spacing w:line="600" w:lineRule="exact"/>
        <w:ind w:firstLine="640"/>
        <w:rPr>
          <w:rFonts w:ascii="仿宋" w:hAnsi="仿宋" w:eastAsia="仿宋"/>
          <w:color w:val="auto"/>
          <w:sz w:val="32"/>
          <w:szCs w:val="32"/>
          <w:highlight w:val="none"/>
          <w:shd w:val="pct10" w:color="auto" w:fill="FFFFFF"/>
        </w:rPr>
      </w:pPr>
      <w:r>
        <w:drawing>
          <wp:anchor distT="0" distB="0" distL="114300" distR="114300" simplePos="0" relativeHeight="251662336" behindDoc="1" locked="0" layoutInCell="1" allowOverlap="1">
            <wp:simplePos x="0" y="0"/>
            <wp:positionH relativeFrom="column">
              <wp:posOffset>429895</wp:posOffset>
            </wp:positionH>
            <wp:positionV relativeFrom="paragraph">
              <wp:posOffset>267970</wp:posOffset>
            </wp:positionV>
            <wp:extent cx="4572000" cy="2743200"/>
            <wp:effectExtent l="4445" t="4445" r="14605" b="14605"/>
            <wp:wrapTight wrapText="bothSides">
              <wp:wrapPolygon>
                <wp:start x="-21" y="-35"/>
                <wp:lineTo x="-21" y="21565"/>
                <wp:lineTo x="21579" y="21565"/>
                <wp:lineTo x="21579" y="-35"/>
                <wp:lineTo x="-21" y="-35"/>
              </wp:wrapPolygon>
            </wp:wrapTight>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2"/>
        <w:rPr>
          <w:rFonts w:ascii="仿宋" w:hAnsi="仿宋" w:eastAsia="仿宋"/>
          <w:color w:val="auto"/>
          <w:sz w:val="32"/>
          <w:szCs w:val="32"/>
          <w:highlight w:val="none"/>
          <w:shd w:val="pct10" w:color="auto" w:fill="FFFFFF"/>
        </w:rPr>
      </w:pPr>
    </w:p>
    <w:p>
      <w:pPr>
        <w:pStyle w:val="2"/>
        <w:rPr>
          <w:rFonts w:ascii="仿宋" w:hAnsi="仿宋" w:eastAsia="仿宋"/>
          <w:color w:val="auto"/>
          <w:sz w:val="32"/>
          <w:szCs w:val="32"/>
          <w:highlight w:val="none"/>
          <w:shd w:val="pct10" w:color="auto" w:fill="FFFFFF"/>
        </w:rPr>
      </w:pPr>
    </w:p>
    <w:p>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（图3：支出决算结构图）（饼状图）</w:t>
      </w:r>
    </w:p>
    <w:p>
      <w:pPr>
        <w:spacing w:line="600" w:lineRule="exact"/>
        <w:ind w:firstLine="640" w:firstLineChars="200"/>
        <w:outlineLvl w:val="1"/>
        <w:rPr>
          <w:rStyle w:val="17"/>
          <w:rFonts w:ascii="黑体" w:hAnsi="黑体" w:eastAsia="黑体"/>
          <w:b w:val="0"/>
          <w:color w:val="auto"/>
          <w:highlight w:val="none"/>
        </w:rPr>
      </w:pPr>
      <w:bookmarkStart w:id="46" w:name="_Toc15396606"/>
      <w:bookmarkStart w:id="47" w:name="_Toc15377208"/>
      <w:bookmarkStart w:id="48" w:name="_Toc20556"/>
      <w:bookmarkStart w:id="49" w:name="_Toc25917"/>
      <w:r>
        <w:rPr>
          <w:rFonts w:hint="eastAsia" w:ascii="黑体" w:hAnsi="黑体" w:eastAsia="黑体"/>
          <w:color w:val="auto"/>
          <w:sz w:val="32"/>
          <w:szCs w:val="32"/>
          <w:highlight w:val="none"/>
        </w:rPr>
        <w:t>四、财</w:t>
      </w:r>
      <w:r>
        <w:rPr>
          <w:rStyle w:val="17"/>
          <w:rFonts w:hint="eastAsia" w:ascii="黑体" w:hAnsi="黑体" w:eastAsia="黑体"/>
          <w:b w:val="0"/>
          <w:color w:val="auto"/>
          <w:highlight w:val="none"/>
        </w:rPr>
        <w:t>政拨款收入支出决算总体情况说明</w:t>
      </w:r>
      <w:bookmarkEnd w:id="46"/>
      <w:bookmarkEnd w:id="47"/>
      <w:bookmarkEnd w:id="48"/>
      <w:bookmarkEnd w:id="49"/>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304.04</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42.03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16.04</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人员经费增加。</w:t>
      </w:r>
    </w:p>
    <w:p>
      <w:pPr>
        <w:spacing w:line="600" w:lineRule="exact"/>
        <w:rPr>
          <w:rFonts w:hint="eastAsia" w:ascii="仿宋" w:hAnsi="仿宋" w:eastAsia="仿宋"/>
          <w:color w:val="auto"/>
          <w:sz w:val="32"/>
          <w:szCs w:val="32"/>
          <w:highlight w:val="none"/>
          <w:lang w:val="en-US" w:eastAsia="zh-CN"/>
        </w:rPr>
      </w:pPr>
      <w:r>
        <w:drawing>
          <wp:anchor distT="0" distB="0" distL="114300" distR="114300" simplePos="0" relativeHeight="251663360" behindDoc="1" locked="0" layoutInCell="1" allowOverlap="1">
            <wp:simplePos x="0" y="0"/>
            <wp:positionH relativeFrom="column">
              <wp:posOffset>506095</wp:posOffset>
            </wp:positionH>
            <wp:positionV relativeFrom="paragraph">
              <wp:posOffset>118745</wp:posOffset>
            </wp:positionV>
            <wp:extent cx="4562475" cy="2743200"/>
            <wp:effectExtent l="4445" t="4445" r="5080" b="14605"/>
            <wp:wrapTight wrapText="bothSides">
              <wp:wrapPolygon>
                <wp:start x="-21" y="-35"/>
                <wp:lineTo x="-21" y="21565"/>
                <wp:lineTo x="21534" y="21565"/>
                <wp:lineTo x="21534" y="-35"/>
                <wp:lineTo x="-21" y="-35"/>
              </wp:wrapPolygon>
            </wp:wrapTight>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olor w:val="auto"/>
          <w:sz w:val="32"/>
          <w:szCs w:val="32"/>
          <w:highlight w:val="none"/>
          <w:lang w:val="en-US" w:eastAsia="zh-CN"/>
        </w:rPr>
        <w:t xml:space="preserve">    </w:t>
      </w:r>
    </w:p>
    <w:p>
      <w:pPr>
        <w:pStyle w:val="2"/>
        <w:rPr>
          <w:rFonts w:hint="eastAsia" w:ascii="仿宋" w:hAnsi="仿宋" w:eastAsia="仿宋"/>
          <w:color w:val="auto"/>
          <w:sz w:val="32"/>
          <w:szCs w:val="32"/>
          <w:highlight w:val="none"/>
          <w:lang w:val="en-US" w:eastAsia="zh-CN"/>
        </w:rPr>
      </w:pPr>
    </w:p>
    <w:p>
      <w:pPr>
        <w:pStyle w:val="2"/>
        <w:rPr>
          <w:rFonts w:hint="default" w:ascii="仿宋" w:hAnsi="仿宋" w:eastAsia="仿宋"/>
          <w:color w:val="auto"/>
          <w:sz w:val="32"/>
          <w:szCs w:val="32"/>
          <w:highlight w:val="none"/>
          <w:lang w:val="en-US" w:eastAsia="zh-CN"/>
        </w:rPr>
      </w:pPr>
    </w:p>
    <w:p>
      <w:pPr>
        <w:spacing w:line="600" w:lineRule="exact"/>
        <w:ind w:firstLine="640" w:firstLineChars="200"/>
        <w:jc w:val="center"/>
        <w:rPr>
          <w:rFonts w:ascii="仿宋" w:hAnsi="仿宋" w:eastAsia="仿宋"/>
          <w:b/>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spacing w:line="600" w:lineRule="exact"/>
        <w:ind w:firstLine="640" w:firstLineChars="200"/>
        <w:outlineLvl w:val="1"/>
        <w:rPr>
          <w:rStyle w:val="17"/>
          <w:rFonts w:ascii="黑体" w:hAnsi="黑体" w:eastAsia="黑体"/>
          <w:b w:val="0"/>
          <w:color w:val="auto"/>
          <w:highlight w:val="none"/>
        </w:rPr>
      </w:pPr>
      <w:bookmarkStart w:id="50" w:name="_Toc15396607"/>
      <w:bookmarkStart w:id="51" w:name="_Toc15451"/>
      <w:bookmarkStart w:id="52" w:name="_Toc19755"/>
      <w:bookmarkStart w:id="53"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般公共预算财政拨款支出决算情况说明</w:t>
      </w:r>
      <w:bookmarkEnd w:id="50"/>
      <w:bookmarkEnd w:id="51"/>
      <w:bookmarkEnd w:id="52"/>
      <w:bookmarkEnd w:id="53"/>
    </w:p>
    <w:p>
      <w:pPr>
        <w:spacing w:line="600" w:lineRule="exact"/>
        <w:ind w:firstLine="643" w:firstLineChars="200"/>
        <w:outlineLvl w:val="2"/>
        <w:rPr>
          <w:rFonts w:ascii="仿宋" w:hAnsi="仿宋" w:eastAsia="仿宋"/>
          <w:b/>
          <w:color w:val="auto"/>
          <w:sz w:val="32"/>
          <w:szCs w:val="32"/>
          <w:highlight w:val="none"/>
        </w:rPr>
      </w:pPr>
      <w:bookmarkStart w:id="54" w:name="_Toc15377210"/>
      <w:bookmarkStart w:id="55" w:name="_Toc13981"/>
      <w:r>
        <w:rPr>
          <w:rFonts w:hint="eastAsia" w:ascii="仿宋" w:hAnsi="仿宋" w:eastAsia="仿宋"/>
          <w:b/>
          <w:color w:val="auto"/>
          <w:sz w:val="32"/>
          <w:szCs w:val="32"/>
          <w:highlight w:val="none"/>
        </w:rPr>
        <w:t>（一）一般公共预算财政拨款支出决算总体情况</w:t>
      </w:r>
      <w:bookmarkEnd w:id="54"/>
      <w:bookmarkEnd w:id="55"/>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296.04</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98.77</w:t>
      </w:r>
      <w:r>
        <w:rPr>
          <w:rFonts w:hint="eastAsia" w:ascii="仿宋" w:hAnsi="仿宋" w:eastAsia="仿宋"/>
          <w:color w:val="auto"/>
          <w:sz w:val="32"/>
          <w:szCs w:val="32"/>
          <w:highlight w:val="none"/>
        </w:rPr>
        <w:t>%。与20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34.06</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13</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是工资支出、基础绩效及保险清算较去年增加。</w:t>
      </w:r>
    </w:p>
    <w:p>
      <w:pPr>
        <w:spacing w:line="600" w:lineRule="exact"/>
        <w:ind w:firstLine="640" w:firstLineChars="200"/>
        <w:rPr>
          <w:rFonts w:ascii="仿宋" w:hAnsi="仿宋" w:eastAsia="仿宋"/>
          <w:color w:val="auto"/>
          <w:sz w:val="32"/>
          <w:szCs w:val="32"/>
          <w:highlight w:val="none"/>
        </w:rPr>
      </w:pPr>
    </w:p>
    <w:p>
      <w:pPr>
        <w:pStyle w:val="2"/>
        <w:rPr>
          <w:rFonts w:ascii="仿宋" w:hAnsi="仿宋" w:eastAsia="仿宋"/>
          <w:color w:val="auto"/>
          <w:sz w:val="32"/>
          <w:szCs w:val="32"/>
          <w:highlight w:val="none"/>
        </w:rPr>
      </w:pPr>
    </w:p>
    <w:p>
      <w:pPr>
        <w:pStyle w:val="2"/>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 xml:space="preserve">    </w:t>
      </w:r>
    </w:p>
    <w:p>
      <w:pPr>
        <w:pStyle w:val="2"/>
        <w:rPr>
          <w:rFonts w:hint="eastAsia" w:ascii="仿宋" w:hAnsi="仿宋" w:eastAsia="仿宋"/>
          <w:color w:val="auto"/>
          <w:sz w:val="32"/>
          <w:szCs w:val="32"/>
          <w:highlight w:val="none"/>
        </w:rPr>
      </w:pPr>
    </w:p>
    <w:p>
      <w:pPr>
        <w:pStyle w:val="2"/>
        <w:rPr>
          <w:rFonts w:hint="eastAsia" w:ascii="仿宋" w:hAnsi="仿宋" w:eastAsia="仿宋"/>
          <w:color w:val="auto"/>
          <w:sz w:val="32"/>
          <w:szCs w:val="32"/>
          <w:highlight w:val="none"/>
        </w:rPr>
      </w:pPr>
    </w:p>
    <w:p>
      <w:pPr>
        <w:pStyle w:val="2"/>
        <w:rPr>
          <w:rFonts w:hint="eastAsia" w:ascii="仿宋" w:hAnsi="仿宋" w:eastAsia="仿宋"/>
          <w:color w:val="auto"/>
          <w:sz w:val="32"/>
          <w:szCs w:val="32"/>
          <w:highlight w:val="none"/>
        </w:rPr>
      </w:pPr>
      <w:r>
        <w:drawing>
          <wp:anchor distT="0" distB="0" distL="114300" distR="114300" simplePos="0" relativeHeight="251666432" behindDoc="1" locked="0" layoutInCell="1" allowOverlap="1">
            <wp:simplePos x="0" y="0"/>
            <wp:positionH relativeFrom="column">
              <wp:posOffset>414020</wp:posOffset>
            </wp:positionH>
            <wp:positionV relativeFrom="paragraph">
              <wp:posOffset>175895</wp:posOffset>
            </wp:positionV>
            <wp:extent cx="4572000" cy="2531745"/>
            <wp:effectExtent l="4445" t="4445" r="14605" b="16510"/>
            <wp:wrapTight wrapText="bothSides">
              <wp:wrapPolygon>
                <wp:start x="-21" y="-38"/>
                <wp:lineTo x="-21" y="21416"/>
                <wp:lineTo x="21579" y="21416"/>
                <wp:lineTo x="21579" y="-38"/>
                <wp:lineTo x="-21" y="-38"/>
              </wp:wrapPolygon>
            </wp:wrapTight>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pStyle w:val="2"/>
        <w:rPr>
          <w:rFonts w:hint="eastAsia" w:ascii="仿宋" w:hAnsi="仿宋" w:eastAsia="仿宋"/>
          <w:color w:val="auto"/>
          <w:sz w:val="32"/>
          <w:szCs w:val="32"/>
          <w:highlight w:val="none"/>
        </w:rPr>
      </w:pPr>
    </w:p>
    <w:p>
      <w:pPr>
        <w:pStyle w:val="2"/>
        <w:rPr>
          <w:rFonts w:hint="eastAsia" w:ascii="仿宋" w:hAnsi="仿宋" w:eastAsia="仿宋"/>
          <w:color w:val="auto"/>
          <w:sz w:val="32"/>
          <w:szCs w:val="32"/>
          <w:highlight w:val="none"/>
        </w:rPr>
      </w:pPr>
    </w:p>
    <w:p>
      <w:pPr>
        <w:pStyle w:val="2"/>
        <w:rPr>
          <w:rFonts w:hint="eastAsia" w:ascii="仿宋" w:hAnsi="仿宋" w:eastAsia="仿宋"/>
          <w:color w:val="auto"/>
          <w:sz w:val="32"/>
          <w:szCs w:val="32"/>
          <w:highlight w:val="none"/>
        </w:rPr>
      </w:pPr>
    </w:p>
    <w:p>
      <w:pPr>
        <w:pStyle w:val="2"/>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spacing w:line="600" w:lineRule="exact"/>
        <w:ind w:firstLine="643" w:firstLineChars="200"/>
        <w:outlineLvl w:val="2"/>
        <w:rPr>
          <w:rFonts w:ascii="仿宋" w:hAnsi="仿宋" w:eastAsia="仿宋"/>
          <w:b/>
          <w:color w:val="auto"/>
          <w:sz w:val="32"/>
          <w:szCs w:val="32"/>
          <w:highlight w:val="none"/>
        </w:rPr>
      </w:pPr>
      <w:bookmarkStart w:id="56" w:name="_Toc15377211"/>
      <w:bookmarkStart w:id="57" w:name="_Toc28602"/>
      <w:r>
        <w:rPr>
          <w:rFonts w:hint="eastAsia" w:ascii="仿宋" w:hAnsi="仿宋" w:eastAsia="仿宋"/>
          <w:b/>
          <w:color w:val="auto"/>
          <w:sz w:val="32"/>
          <w:szCs w:val="32"/>
          <w:highlight w:val="none"/>
        </w:rPr>
        <w:t>（二）一般公共预算财政拨款支出决算结构情况</w:t>
      </w:r>
      <w:bookmarkEnd w:id="56"/>
      <w:bookmarkEnd w:id="57"/>
    </w:p>
    <w:p>
      <w:pPr>
        <w:spacing w:line="600" w:lineRule="exact"/>
        <w:ind w:firstLine="640"/>
        <w:rPr>
          <w:rFonts w:hint="eastAsia" w:ascii="仿宋" w:hAnsi="仿宋" w:eastAsia="仿宋"/>
          <w:b/>
          <w:color w:val="auto"/>
          <w:sz w:val="32"/>
          <w:szCs w:val="32"/>
          <w:highlight w:val="none"/>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296.04</w:t>
      </w:r>
      <w:r>
        <w:rPr>
          <w:rFonts w:hint="eastAsia" w:ascii="仿宋" w:hAnsi="仿宋" w:eastAsia="仿宋"/>
          <w:color w:val="auto"/>
          <w:sz w:val="32"/>
          <w:szCs w:val="32"/>
          <w:highlight w:val="none"/>
        </w:rPr>
        <w:t>万元，主要用于以下方面</w:t>
      </w:r>
      <w:r>
        <w:rPr>
          <w:rFonts w:hint="eastAsia" w:ascii="仿宋" w:hAnsi="仿宋" w:eastAsia="仿宋"/>
          <w:color w:val="auto"/>
          <w:sz w:val="32"/>
          <w:szCs w:val="32"/>
          <w:highlight w:val="none"/>
          <w:lang w:eastAsia="zh-CN"/>
        </w:rPr>
        <w:t>：</w:t>
      </w:r>
      <w:r>
        <w:rPr>
          <w:rFonts w:hint="eastAsia" w:ascii="仿宋" w:hAnsi="仿宋" w:eastAsia="仿宋"/>
          <w:b/>
          <w:bCs/>
          <w:color w:val="auto"/>
          <w:sz w:val="32"/>
          <w:szCs w:val="32"/>
          <w:highlight w:val="none"/>
          <w:lang w:eastAsia="zh-CN"/>
        </w:rPr>
        <w:t>社</w:t>
      </w:r>
      <w:r>
        <w:rPr>
          <w:rFonts w:hint="eastAsia" w:ascii="仿宋" w:hAnsi="仿宋" w:eastAsia="仿宋"/>
          <w:b/>
          <w:color w:val="auto"/>
          <w:sz w:val="32"/>
          <w:szCs w:val="32"/>
          <w:highlight w:val="none"/>
        </w:rPr>
        <w:t>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16.15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5.46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rPr>
        <w:t>259.5</w:t>
      </w:r>
      <w:r>
        <w:rPr>
          <w:rFonts w:hint="eastAsia" w:ascii="仿宋" w:hAnsi="仿宋" w:eastAsia="仿宋"/>
          <w:color w:val="auto"/>
          <w:sz w:val="32"/>
          <w:szCs w:val="32"/>
          <w:highlight w:val="none"/>
          <w:lang w:val="en-US" w:eastAsia="zh-CN"/>
        </w:rPr>
        <w:t>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87.66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20.37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6.88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rPr>
          <w:rFonts w:hint="eastAsia" w:ascii="仿宋" w:hAnsi="仿宋" w:eastAsia="仿宋"/>
          <w:b/>
          <w:color w:val="auto"/>
          <w:sz w:val="32"/>
          <w:szCs w:val="32"/>
          <w:highlight w:val="none"/>
        </w:rPr>
      </w:pPr>
      <w:r>
        <w:drawing>
          <wp:anchor distT="0" distB="0" distL="114300" distR="114300" simplePos="0" relativeHeight="251664384" behindDoc="1" locked="0" layoutInCell="1" allowOverlap="1">
            <wp:simplePos x="0" y="0"/>
            <wp:positionH relativeFrom="column">
              <wp:posOffset>344170</wp:posOffset>
            </wp:positionH>
            <wp:positionV relativeFrom="paragraph">
              <wp:posOffset>103505</wp:posOffset>
            </wp:positionV>
            <wp:extent cx="4619625" cy="2600325"/>
            <wp:effectExtent l="4445" t="4445" r="5080" b="5080"/>
            <wp:wrapTight wrapText="bothSides">
              <wp:wrapPolygon>
                <wp:start x="-21" y="-37"/>
                <wp:lineTo x="-21" y="21484"/>
                <wp:lineTo x="21535" y="21484"/>
                <wp:lineTo x="21535" y="-37"/>
                <wp:lineTo x="-21" y="-37"/>
              </wp:wrapPolygon>
            </wp:wrapTight>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640"/>
        <w:rPr>
          <w:rFonts w:ascii="仿宋" w:hAnsi="仿宋" w:eastAsia="仿宋"/>
          <w:color w:val="auto"/>
          <w:sz w:val="32"/>
          <w:szCs w:val="32"/>
          <w:highlight w:val="none"/>
        </w:rPr>
      </w:pPr>
    </w:p>
    <w:p>
      <w:pPr>
        <w:pStyle w:val="2"/>
      </w:pPr>
    </w:p>
    <w:p>
      <w:pPr>
        <w:spacing w:line="600" w:lineRule="exact"/>
        <w:jc w:val="center"/>
        <w:outlineLvl w:val="2"/>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spacing w:line="600" w:lineRule="exact"/>
        <w:ind w:firstLine="643" w:firstLineChars="200"/>
        <w:outlineLvl w:val="2"/>
        <w:rPr>
          <w:rFonts w:ascii="仿宋" w:hAnsi="仿宋" w:eastAsia="仿宋"/>
          <w:b/>
          <w:color w:val="auto"/>
          <w:sz w:val="32"/>
          <w:szCs w:val="32"/>
          <w:highlight w:val="none"/>
        </w:rPr>
      </w:pPr>
      <w:bookmarkStart w:id="58" w:name="_Toc6316"/>
      <w:bookmarkStart w:id="59" w:name="_Toc15377212"/>
      <w:r>
        <w:rPr>
          <w:rFonts w:hint="eastAsia" w:ascii="仿宋" w:hAnsi="仿宋" w:eastAsia="仿宋"/>
          <w:b/>
          <w:color w:val="auto"/>
          <w:sz w:val="32"/>
          <w:szCs w:val="32"/>
          <w:highlight w:val="none"/>
        </w:rPr>
        <w:t>（三）一般公共预算财政拨款支出决算具体情况</w:t>
      </w:r>
      <w:bookmarkEnd w:id="58"/>
      <w:bookmarkEnd w:id="59"/>
    </w:p>
    <w:p>
      <w:pPr>
        <w:spacing w:line="600" w:lineRule="exact"/>
        <w:ind w:firstLine="643" w:firstLineChars="200"/>
        <w:outlineLvl w:val="2"/>
        <w:rPr>
          <w:rFonts w:ascii="仿宋" w:hAnsi="仿宋" w:eastAsia="仿宋"/>
          <w:color w:val="auto"/>
          <w:sz w:val="32"/>
          <w:szCs w:val="32"/>
          <w:highlight w:val="none"/>
        </w:rPr>
      </w:pPr>
      <w:bookmarkStart w:id="60" w:name="_Toc15377444"/>
      <w:bookmarkStart w:id="61" w:name="_Toc32041"/>
      <w:bookmarkStart w:id="62" w:name="_Toc15378460"/>
      <w:bookmarkStart w:id="63" w:name="_Toc15377213"/>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296.04万元</w:t>
      </w:r>
      <w:r>
        <w:rPr>
          <w:rFonts w:hint="eastAsia" w:ascii="仿宋" w:hAnsi="仿宋" w:eastAsia="仿宋"/>
          <w:color w:val="auto"/>
          <w:sz w:val="32"/>
          <w:szCs w:val="32"/>
          <w:highlight w:val="none"/>
        </w:rPr>
        <w:t>，</w:t>
      </w:r>
      <w:r>
        <w:rPr>
          <w:rStyle w:val="14"/>
          <w:rFonts w:hint="eastAsia" w:ascii="仿宋" w:hAnsi="仿宋" w:eastAsia="仿宋"/>
          <w:bCs/>
          <w:color w:val="auto"/>
          <w:sz w:val="32"/>
          <w:szCs w:val="32"/>
          <w:highlight w:val="none"/>
        </w:rPr>
        <w:t>完成预算</w:t>
      </w:r>
      <w:r>
        <w:rPr>
          <w:rStyle w:val="14"/>
          <w:rFonts w:hint="eastAsia" w:ascii="仿宋" w:hAnsi="仿宋" w:eastAsia="仿宋"/>
          <w:bCs/>
          <w:color w:val="auto"/>
          <w:sz w:val="32"/>
          <w:szCs w:val="32"/>
          <w:highlight w:val="none"/>
          <w:lang w:val="en-US" w:eastAsia="zh-CN"/>
        </w:rPr>
        <w:t>97.37</w:t>
      </w:r>
      <w:r>
        <w:rPr>
          <w:rStyle w:val="14"/>
          <w:rFonts w:ascii="仿宋" w:hAnsi="仿宋" w:eastAsia="仿宋"/>
          <w:bCs/>
          <w:color w:val="auto"/>
          <w:sz w:val="32"/>
          <w:szCs w:val="32"/>
          <w:highlight w:val="none"/>
        </w:rPr>
        <w:t>%</w:t>
      </w:r>
      <w:r>
        <w:rPr>
          <w:rStyle w:val="14"/>
          <w:rFonts w:hint="eastAsia" w:ascii="仿宋" w:hAnsi="仿宋" w:eastAsia="仿宋"/>
          <w:bCs/>
          <w:color w:val="auto"/>
          <w:sz w:val="32"/>
          <w:szCs w:val="32"/>
          <w:highlight w:val="none"/>
        </w:rPr>
        <w:t>。其中：</w:t>
      </w:r>
      <w:bookmarkEnd w:id="60"/>
      <w:bookmarkEnd w:id="61"/>
      <w:bookmarkEnd w:id="62"/>
      <w:bookmarkEnd w:id="63"/>
    </w:p>
    <w:p>
      <w:pPr>
        <w:spacing w:line="600" w:lineRule="exact"/>
        <w:ind w:firstLine="643" w:firstLineChars="200"/>
        <w:rPr>
          <w:rFonts w:ascii="仿宋" w:hAnsi="仿宋" w:eastAsia="仿宋"/>
          <w:b/>
          <w:color w:val="auto"/>
          <w:sz w:val="32"/>
          <w:szCs w:val="32"/>
          <w:highlight w:val="none"/>
        </w:rPr>
      </w:pPr>
      <w:r>
        <w:rPr>
          <w:rStyle w:val="14"/>
          <w:rFonts w:ascii="仿宋" w:hAnsi="仿宋" w:eastAsia="仿宋"/>
          <w:bCs/>
          <w:color w:val="auto"/>
          <w:sz w:val="32"/>
          <w:szCs w:val="32"/>
          <w:highlight w:val="none"/>
        </w:rPr>
        <w:t>1.</w:t>
      </w:r>
      <w:r>
        <w:rPr>
          <w:rStyle w:val="14"/>
          <w:rFonts w:hint="eastAsia" w:ascii="仿宋" w:hAnsi="仿宋" w:eastAsia="仿宋"/>
          <w:bCs/>
          <w:color w:val="auto"/>
          <w:sz w:val="32"/>
          <w:szCs w:val="32"/>
          <w:highlight w:val="none"/>
        </w:rPr>
        <w:t>社会保障和就业（类）</w:t>
      </w:r>
      <w:r>
        <w:rPr>
          <w:rStyle w:val="14"/>
          <w:rFonts w:eastAsia="仿宋"/>
          <w:bCs/>
          <w:color w:val="000000"/>
          <w:sz w:val="32"/>
          <w:szCs w:val="32"/>
        </w:rPr>
        <w:t>行政事业单位养老</w:t>
      </w:r>
      <w:r>
        <w:rPr>
          <w:rStyle w:val="14"/>
          <w:rFonts w:hint="eastAsia" w:ascii="仿宋" w:hAnsi="仿宋" w:eastAsia="仿宋"/>
          <w:bCs/>
          <w:color w:val="auto"/>
          <w:sz w:val="32"/>
          <w:szCs w:val="32"/>
          <w:highlight w:val="none"/>
        </w:rPr>
        <w:t>（款）</w:t>
      </w:r>
      <w:r>
        <w:rPr>
          <w:rStyle w:val="14"/>
          <w:rFonts w:eastAsia="仿宋"/>
          <w:bCs/>
          <w:color w:val="000000"/>
          <w:sz w:val="32"/>
          <w:szCs w:val="32"/>
        </w:rPr>
        <w:t>机关事业单位基本养老保险缴费</w:t>
      </w:r>
      <w:r>
        <w:rPr>
          <w:rStyle w:val="14"/>
          <w:rFonts w:hint="eastAsia" w:ascii="仿宋" w:hAnsi="仿宋" w:eastAsia="仿宋"/>
          <w:bCs/>
          <w:color w:val="auto"/>
          <w:sz w:val="32"/>
          <w:szCs w:val="32"/>
          <w:highlight w:val="none"/>
        </w:rPr>
        <w:t>（项）</w:t>
      </w:r>
      <w:r>
        <w:rPr>
          <w:rStyle w:val="14"/>
          <w:rFonts w:ascii="仿宋" w:hAnsi="仿宋" w:eastAsia="仿宋"/>
          <w:bCs/>
          <w:color w:val="auto"/>
          <w:sz w:val="32"/>
          <w:szCs w:val="32"/>
          <w:highlight w:val="none"/>
        </w:rPr>
        <w:t>:</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16.15</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69.08</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，决算数小于预算数的主要原因是</w:t>
      </w:r>
      <w:r>
        <w:rPr>
          <w:rFonts w:hint="eastAsia" w:eastAsia="仿宋_GB2312"/>
          <w:sz w:val="32"/>
          <w:szCs w:val="32"/>
          <w:highlight w:val="none"/>
        </w:rPr>
        <w:t>基础绩效</w:t>
      </w:r>
      <w:r>
        <w:rPr>
          <w:rFonts w:hint="eastAsia" w:eastAsia="仿宋_GB2312"/>
          <w:sz w:val="32"/>
          <w:szCs w:val="32"/>
          <w:highlight w:val="none"/>
          <w:lang w:eastAsia="zh-CN"/>
        </w:rPr>
        <w:t>单位</w:t>
      </w:r>
      <w:r>
        <w:rPr>
          <w:rFonts w:hint="eastAsia" w:eastAsia="仿宋_GB2312"/>
          <w:sz w:val="32"/>
          <w:szCs w:val="32"/>
          <w:highlight w:val="none"/>
        </w:rPr>
        <w:t>养老保险</w:t>
      </w:r>
      <w:r>
        <w:rPr>
          <w:rFonts w:hint="eastAsia" w:eastAsia="仿宋_GB2312"/>
          <w:sz w:val="32"/>
          <w:szCs w:val="32"/>
          <w:highlight w:val="none"/>
          <w:lang w:eastAsia="zh-CN"/>
        </w:rPr>
        <w:t>于年底下达，将</w:t>
      </w:r>
      <w:r>
        <w:rPr>
          <w:rStyle w:val="14"/>
          <w:rFonts w:hint="eastAsia" w:ascii="仿宋" w:hAnsi="仿宋" w:eastAsia="仿宋"/>
          <w:b w:val="0"/>
          <w:bCs/>
          <w:color w:val="auto"/>
          <w:sz w:val="32"/>
          <w:szCs w:val="32"/>
          <w:highlight w:val="none"/>
          <w:lang w:eastAsia="zh-CN"/>
        </w:rPr>
        <w:t>于</w:t>
      </w:r>
      <w:r>
        <w:rPr>
          <w:rStyle w:val="14"/>
          <w:rFonts w:hint="eastAsia" w:ascii="仿宋" w:hAnsi="仿宋" w:eastAsia="仿宋"/>
          <w:b w:val="0"/>
          <w:bCs/>
          <w:color w:val="auto"/>
          <w:sz w:val="32"/>
          <w:szCs w:val="32"/>
          <w:highlight w:val="none"/>
          <w:lang w:val="en-US" w:eastAsia="zh-CN"/>
        </w:rPr>
        <w:t>2023</w:t>
      </w:r>
      <w:r>
        <w:rPr>
          <w:rFonts w:hint="eastAsia" w:eastAsia="仿宋_GB2312"/>
          <w:sz w:val="32"/>
          <w:szCs w:val="32"/>
          <w:highlight w:val="none"/>
          <w:lang w:val="en-US" w:eastAsia="zh-CN"/>
        </w:rPr>
        <w:t>年初进行补缴</w:t>
      </w:r>
      <w:r>
        <w:rPr>
          <w:rStyle w:val="14"/>
          <w:rFonts w:hint="eastAsia" w:ascii="仿宋" w:hAnsi="仿宋" w:eastAsia="仿宋"/>
          <w:b w:val="0"/>
          <w:bCs/>
          <w:color w:val="auto"/>
          <w:sz w:val="32"/>
          <w:szCs w:val="32"/>
          <w:highlight w:val="none"/>
        </w:rPr>
        <w:t>。</w:t>
      </w:r>
    </w:p>
    <w:p>
      <w:pPr>
        <w:spacing w:line="600" w:lineRule="exact"/>
        <w:ind w:firstLine="643" w:firstLineChars="200"/>
        <w:rPr>
          <w:rStyle w:val="14"/>
          <w:rFonts w:hint="eastAsia" w:ascii="仿宋" w:hAnsi="仿宋" w:eastAsia="仿宋"/>
          <w:b w:val="0"/>
          <w:bCs/>
          <w:color w:val="auto"/>
          <w:sz w:val="32"/>
          <w:szCs w:val="32"/>
          <w:highlight w:val="none"/>
        </w:rPr>
      </w:pPr>
      <w:r>
        <w:rPr>
          <w:rStyle w:val="14"/>
          <w:rFonts w:hint="eastAsia" w:ascii="仿宋" w:hAnsi="仿宋" w:eastAsia="仿宋"/>
          <w:bCs/>
          <w:color w:val="auto"/>
          <w:sz w:val="32"/>
          <w:szCs w:val="32"/>
          <w:highlight w:val="none"/>
          <w:lang w:val="en-US" w:eastAsia="zh-CN"/>
        </w:rPr>
        <w:t>2</w:t>
      </w:r>
      <w:r>
        <w:rPr>
          <w:rStyle w:val="14"/>
          <w:rFonts w:ascii="仿宋" w:hAnsi="仿宋" w:eastAsia="仿宋"/>
          <w:bCs/>
          <w:color w:val="auto"/>
          <w:sz w:val="32"/>
          <w:szCs w:val="32"/>
          <w:highlight w:val="none"/>
        </w:rPr>
        <w:t>.</w:t>
      </w:r>
      <w:r>
        <w:rPr>
          <w:rFonts w:eastAsia="仿宋"/>
          <w:b/>
          <w:bCs/>
          <w:color w:val="000000"/>
          <w:sz w:val="32"/>
          <w:szCs w:val="32"/>
        </w:rPr>
        <w:t>卫生健康</w:t>
      </w:r>
      <w:r>
        <w:rPr>
          <w:rStyle w:val="14"/>
          <w:rFonts w:eastAsia="仿宋"/>
          <w:bCs/>
          <w:color w:val="000000"/>
          <w:sz w:val="32"/>
          <w:szCs w:val="32"/>
        </w:rPr>
        <w:t>（类）公共卫生（款）应急救治机构（项）</w:t>
      </w:r>
      <w:r>
        <w:rPr>
          <w:rStyle w:val="14"/>
          <w:rFonts w:ascii="仿宋" w:hAnsi="仿宋" w:eastAsia="仿宋"/>
          <w:bCs/>
          <w:color w:val="auto"/>
          <w:sz w:val="32"/>
          <w:szCs w:val="32"/>
          <w:highlight w:val="none"/>
        </w:rPr>
        <w:t>:</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出决算为</w:t>
      </w:r>
      <w:r>
        <w:rPr>
          <w:rStyle w:val="14"/>
          <w:rFonts w:hint="eastAsia" w:ascii="仿宋" w:hAnsi="仿宋" w:eastAsia="仿宋"/>
          <w:b w:val="0"/>
          <w:bCs/>
          <w:color w:val="auto"/>
          <w:sz w:val="32"/>
          <w:szCs w:val="32"/>
          <w:highlight w:val="none"/>
          <w:lang w:val="en-US" w:eastAsia="zh-CN"/>
        </w:rPr>
        <w:t>248.94</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99.70</w:t>
      </w:r>
      <w:r>
        <w:rPr>
          <w:rStyle w:val="14"/>
          <w:rFonts w:hint="eastAsia" w:ascii="仿宋" w:hAnsi="仿宋" w:eastAsia="仿宋"/>
          <w:b w:val="0"/>
          <w:bCs/>
          <w:color w:val="auto"/>
          <w:sz w:val="32"/>
          <w:szCs w:val="32"/>
          <w:highlight w:val="none"/>
        </w:rPr>
        <w:t>%，决算数小于预算数的主要原因</w:t>
      </w:r>
      <w:r>
        <w:rPr>
          <w:rStyle w:val="14"/>
          <w:rFonts w:hint="eastAsia" w:ascii="仿宋" w:hAnsi="仿宋" w:eastAsia="仿宋"/>
          <w:b w:val="0"/>
          <w:bCs/>
          <w:color w:val="auto"/>
          <w:sz w:val="32"/>
          <w:szCs w:val="32"/>
          <w:highlight w:val="none"/>
          <w:lang w:eastAsia="zh-CN"/>
        </w:rPr>
        <w:t>是收到员工退回的以前年度培训差旅费</w:t>
      </w:r>
      <w:r>
        <w:rPr>
          <w:rStyle w:val="14"/>
          <w:rFonts w:hint="eastAsia" w:ascii="仿宋" w:hAnsi="仿宋" w:eastAsia="仿宋"/>
          <w:b w:val="0"/>
          <w:bCs/>
          <w:color w:val="auto"/>
          <w:sz w:val="32"/>
          <w:szCs w:val="32"/>
          <w:highlight w:val="none"/>
        </w:rPr>
        <w:t>。</w:t>
      </w:r>
    </w:p>
    <w:p>
      <w:pPr>
        <w:pageBreakBefore w:val="0"/>
        <w:kinsoku/>
        <w:wordWrap/>
        <w:overflowPunct/>
        <w:topLinePunct w:val="0"/>
        <w:bidi w:val="0"/>
        <w:spacing w:line="576" w:lineRule="exact"/>
        <w:ind w:firstLine="643" w:firstLineChars="200"/>
        <w:textAlignment w:val="auto"/>
        <w:rPr>
          <w:rFonts w:hint="eastAsia"/>
        </w:rPr>
      </w:pPr>
      <w:r>
        <w:rPr>
          <w:rStyle w:val="14"/>
          <w:rFonts w:hint="eastAsia" w:eastAsia="仿宋"/>
          <w:bCs/>
          <w:color w:val="000000"/>
          <w:sz w:val="32"/>
          <w:szCs w:val="32"/>
          <w:lang w:val="en-US" w:eastAsia="zh-CN"/>
        </w:rPr>
        <w:t>3</w:t>
      </w:r>
      <w:r>
        <w:rPr>
          <w:rStyle w:val="14"/>
          <w:rFonts w:eastAsia="仿宋"/>
          <w:bCs/>
          <w:color w:val="000000"/>
          <w:sz w:val="32"/>
          <w:szCs w:val="32"/>
        </w:rPr>
        <w:t>.</w:t>
      </w:r>
      <w:r>
        <w:rPr>
          <w:rFonts w:eastAsia="仿宋"/>
          <w:b/>
          <w:bCs/>
          <w:color w:val="000000"/>
          <w:sz w:val="32"/>
          <w:szCs w:val="32"/>
        </w:rPr>
        <w:t xml:space="preserve"> 卫生健康</w:t>
      </w:r>
      <w:r>
        <w:rPr>
          <w:rStyle w:val="14"/>
          <w:rFonts w:eastAsia="仿宋"/>
          <w:bCs/>
          <w:color w:val="000000"/>
          <w:sz w:val="32"/>
          <w:szCs w:val="32"/>
        </w:rPr>
        <w:t>（类）公共卫生（款）</w:t>
      </w:r>
      <w:r>
        <w:rPr>
          <w:rStyle w:val="14"/>
          <w:rFonts w:hint="eastAsia" w:eastAsia="仿宋"/>
          <w:bCs/>
          <w:color w:val="000000"/>
          <w:sz w:val="32"/>
          <w:szCs w:val="32"/>
          <w:lang w:eastAsia="zh-CN"/>
        </w:rPr>
        <w:t>重大公共卫生服务</w:t>
      </w:r>
      <w:r>
        <w:rPr>
          <w:rStyle w:val="14"/>
          <w:rFonts w:eastAsia="仿宋"/>
          <w:bCs/>
          <w:color w:val="000000"/>
          <w:sz w:val="32"/>
          <w:szCs w:val="32"/>
        </w:rPr>
        <w:t>（项）</w:t>
      </w:r>
      <w:r>
        <w:rPr>
          <w:rStyle w:val="14"/>
          <w:rFonts w:eastAsia="仿宋"/>
          <w:b w:val="0"/>
          <w:bCs/>
          <w:color w:val="000000"/>
          <w:sz w:val="32"/>
          <w:szCs w:val="32"/>
        </w:rPr>
        <w:t>支出决算</w:t>
      </w:r>
      <w:r>
        <w:rPr>
          <w:rStyle w:val="14"/>
          <w:rFonts w:hint="eastAsia" w:ascii="仿宋" w:hAnsi="仿宋" w:eastAsia="仿宋"/>
          <w:b w:val="0"/>
          <w:bCs/>
          <w:color w:val="auto"/>
          <w:sz w:val="32"/>
          <w:szCs w:val="32"/>
          <w:highlight w:val="none"/>
        </w:rPr>
        <w:t>为</w:t>
      </w:r>
      <w:r>
        <w:rPr>
          <w:rStyle w:val="14"/>
          <w:rFonts w:hint="eastAsia" w:ascii="仿宋" w:hAnsi="仿宋" w:eastAsia="仿宋"/>
          <w:b w:val="0"/>
          <w:bCs/>
          <w:color w:val="auto"/>
          <w:sz w:val="32"/>
          <w:szCs w:val="32"/>
          <w:highlight w:val="none"/>
          <w:lang w:val="en-US" w:eastAsia="zh-CN"/>
        </w:rPr>
        <w:t>1.91</w:t>
      </w:r>
      <w:r>
        <w:rPr>
          <w:rStyle w:val="14"/>
          <w:rFonts w:hint="eastAsia" w:ascii="仿宋" w:hAnsi="仿宋" w:eastAsia="仿宋"/>
          <w:b w:val="0"/>
          <w:bCs/>
          <w:color w:val="auto"/>
          <w:sz w:val="32"/>
          <w:szCs w:val="32"/>
          <w:highlight w:val="none"/>
        </w:rPr>
        <w:t>万元</w:t>
      </w:r>
      <w:r>
        <w:rPr>
          <w:rStyle w:val="14"/>
          <w:rFonts w:eastAsia="仿宋"/>
          <w:b w:val="0"/>
          <w:bCs/>
          <w:color w:val="000000"/>
          <w:sz w:val="32"/>
          <w:szCs w:val="32"/>
        </w:rPr>
        <w:t>，完成预算</w:t>
      </w:r>
      <w:r>
        <w:rPr>
          <w:rStyle w:val="14"/>
          <w:rFonts w:hint="eastAsia" w:ascii="仿宋" w:hAnsi="仿宋" w:eastAsia="仿宋" w:cstheme="minorBidi"/>
          <w:b w:val="0"/>
          <w:bCs/>
          <w:color w:val="auto"/>
          <w:sz w:val="32"/>
          <w:szCs w:val="32"/>
          <w:highlight w:val="none"/>
          <w:lang w:val="en-US" w:eastAsia="zh-CN"/>
        </w:rPr>
        <w:t>100%</w:t>
      </w:r>
      <w:r>
        <w:rPr>
          <w:rStyle w:val="14"/>
          <w:rFonts w:eastAsia="仿宋"/>
          <w:b w:val="0"/>
          <w:bCs/>
          <w:color w:val="000000"/>
          <w:sz w:val="32"/>
          <w:szCs w:val="32"/>
        </w:rPr>
        <w:t>。</w:t>
      </w:r>
    </w:p>
    <w:p>
      <w:pPr>
        <w:pageBreakBefore w:val="0"/>
        <w:kinsoku/>
        <w:wordWrap/>
        <w:overflowPunct/>
        <w:topLinePunct w:val="0"/>
        <w:bidi w:val="0"/>
        <w:spacing w:line="576" w:lineRule="exact"/>
        <w:ind w:firstLine="643" w:firstLineChars="200"/>
        <w:textAlignment w:val="auto"/>
      </w:pPr>
      <w:r>
        <w:rPr>
          <w:rStyle w:val="14"/>
          <w:rFonts w:hint="eastAsia" w:eastAsia="仿宋"/>
          <w:bCs/>
          <w:color w:val="000000"/>
          <w:sz w:val="32"/>
          <w:szCs w:val="32"/>
          <w:lang w:val="en-US" w:eastAsia="zh-CN"/>
        </w:rPr>
        <w:t>4</w:t>
      </w:r>
      <w:r>
        <w:rPr>
          <w:rStyle w:val="14"/>
          <w:rFonts w:eastAsia="仿宋"/>
          <w:bCs/>
          <w:color w:val="000000"/>
          <w:sz w:val="32"/>
          <w:szCs w:val="32"/>
        </w:rPr>
        <w:t>.</w:t>
      </w:r>
      <w:r>
        <w:rPr>
          <w:rFonts w:eastAsia="仿宋"/>
          <w:b/>
          <w:bCs/>
          <w:color w:val="000000"/>
          <w:sz w:val="32"/>
          <w:szCs w:val="32"/>
        </w:rPr>
        <w:t xml:space="preserve"> 卫生健康</w:t>
      </w:r>
      <w:r>
        <w:rPr>
          <w:rStyle w:val="14"/>
          <w:rFonts w:eastAsia="仿宋"/>
          <w:bCs/>
          <w:color w:val="000000"/>
          <w:sz w:val="32"/>
          <w:szCs w:val="32"/>
        </w:rPr>
        <w:t>（类）行政事业单位医疗（款）事业单位医疗（项）</w:t>
      </w:r>
      <w:r>
        <w:rPr>
          <w:rStyle w:val="14"/>
          <w:rFonts w:eastAsia="仿宋"/>
          <w:b w:val="0"/>
          <w:bCs/>
          <w:color w:val="000000"/>
          <w:sz w:val="32"/>
          <w:szCs w:val="32"/>
        </w:rPr>
        <w:t>支出决</w:t>
      </w:r>
      <w:r>
        <w:rPr>
          <w:rStyle w:val="14"/>
          <w:rFonts w:hint="eastAsia" w:ascii="仿宋" w:hAnsi="仿宋" w:eastAsia="仿宋"/>
          <w:b w:val="0"/>
          <w:bCs/>
          <w:color w:val="auto"/>
          <w:sz w:val="32"/>
          <w:szCs w:val="32"/>
          <w:highlight w:val="none"/>
        </w:rPr>
        <w:t>算为</w:t>
      </w:r>
      <w:r>
        <w:rPr>
          <w:rStyle w:val="14"/>
          <w:rFonts w:hint="eastAsia" w:ascii="仿宋" w:hAnsi="仿宋" w:eastAsia="仿宋"/>
          <w:b w:val="0"/>
          <w:bCs/>
          <w:color w:val="auto"/>
          <w:sz w:val="32"/>
          <w:szCs w:val="32"/>
          <w:highlight w:val="none"/>
          <w:lang w:val="en-US" w:eastAsia="zh-CN"/>
        </w:rPr>
        <w:t>8.68</w:t>
      </w:r>
      <w:r>
        <w:rPr>
          <w:rStyle w:val="14"/>
          <w:rFonts w:hint="eastAsia" w:ascii="仿宋" w:hAnsi="仿宋" w:eastAsia="仿宋"/>
          <w:b w:val="0"/>
          <w:bCs/>
          <w:color w:val="auto"/>
          <w:sz w:val="32"/>
          <w:szCs w:val="32"/>
          <w:highlight w:val="none"/>
        </w:rPr>
        <w:t>万元</w:t>
      </w:r>
      <w:r>
        <w:rPr>
          <w:rStyle w:val="14"/>
          <w:rFonts w:eastAsia="仿宋"/>
          <w:b w:val="0"/>
          <w:bCs/>
          <w:color w:val="000000"/>
          <w:sz w:val="32"/>
          <w:szCs w:val="32"/>
        </w:rPr>
        <w:t>，完成预算</w:t>
      </w:r>
      <w:r>
        <w:rPr>
          <w:rStyle w:val="14"/>
          <w:rFonts w:hint="eastAsia" w:ascii="仿宋" w:hAnsi="仿宋" w:eastAsia="仿宋" w:cstheme="minorBidi"/>
          <w:b w:val="0"/>
          <w:bCs/>
          <w:color w:val="auto"/>
          <w:sz w:val="32"/>
          <w:szCs w:val="32"/>
          <w:highlight w:val="none"/>
          <w:lang w:val="en-US" w:eastAsia="zh-CN"/>
        </w:rPr>
        <w:t>100%</w:t>
      </w:r>
      <w:r>
        <w:rPr>
          <w:rStyle w:val="14"/>
          <w:rFonts w:eastAsia="仿宋"/>
          <w:b w:val="0"/>
          <w:bCs/>
          <w:color w:val="000000"/>
          <w:sz w:val="32"/>
          <w:szCs w:val="32"/>
        </w:rPr>
        <w:t>。</w:t>
      </w:r>
    </w:p>
    <w:p>
      <w:pPr>
        <w:pStyle w:val="2"/>
        <w:pageBreakBefore w:val="0"/>
        <w:kinsoku/>
        <w:wordWrap/>
        <w:overflowPunct/>
        <w:topLinePunct w:val="0"/>
        <w:bidi w:val="0"/>
        <w:spacing w:line="576" w:lineRule="exact"/>
        <w:ind w:firstLine="643" w:firstLineChars="200"/>
        <w:textAlignment w:val="auto"/>
        <w:rPr>
          <w:rFonts w:ascii="仿宋" w:hAnsi="仿宋" w:eastAsia="仿宋"/>
          <w:color w:val="auto"/>
          <w:sz w:val="32"/>
          <w:szCs w:val="32"/>
          <w:highlight w:val="none"/>
        </w:rPr>
      </w:pPr>
      <w:r>
        <w:rPr>
          <w:rStyle w:val="14"/>
          <w:rFonts w:hint="eastAsia" w:eastAsia="仿宋"/>
          <w:bCs/>
          <w:color w:val="000000"/>
          <w:sz w:val="32"/>
          <w:szCs w:val="32"/>
          <w:lang w:val="en-US" w:eastAsia="zh-CN"/>
        </w:rPr>
        <w:t>5</w:t>
      </w:r>
      <w:r>
        <w:rPr>
          <w:rStyle w:val="14"/>
          <w:rFonts w:eastAsia="仿宋"/>
          <w:bCs/>
          <w:color w:val="000000"/>
          <w:sz w:val="32"/>
          <w:szCs w:val="32"/>
        </w:rPr>
        <w:t>.</w:t>
      </w:r>
      <w:r>
        <w:rPr>
          <w:rFonts w:eastAsia="仿宋"/>
          <w:b/>
          <w:bCs/>
          <w:color w:val="000000"/>
          <w:sz w:val="32"/>
          <w:szCs w:val="32"/>
        </w:rPr>
        <w:t xml:space="preserve"> 住房保障（类）住房改革（款）住房公积金（项）</w:t>
      </w:r>
      <w:r>
        <w:rPr>
          <w:rStyle w:val="14"/>
          <w:rFonts w:eastAsia="仿宋"/>
          <w:b w:val="0"/>
          <w:bCs/>
          <w:color w:val="000000"/>
          <w:sz w:val="32"/>
          <w:szCs w:val="32"/>
        </w:rPr>
        <w:t>支出决算为</w:t>
      </w:r>
      <w:r>
        <w:rPr>
          <w:rStyle w:val="14"/>
          <w:rFonts w:hint="eastAsia" w:eastAsia="仿宋"/>
          <w:b w:val="0"/>
          <w:bCs/>
          <w:color w:val="000000"/>
          <w:sz w:val="32"/>
          <w:szCs w:val="32"/>
          <w:lang w:val="en-US" w:eastAsia="zh-CN"/>
        </w:rPr>
        <w:t>20.37</w:t>
      </w:r>
      <w:r>
        <w:rPr>
          <w:rStyle w:val="14"/>
          <w:rFonts w:eastAsia="仿宋"/>
          <w:b w:val="0"/>
          <w:bCs/>
          <w:color w:val="000000"/>
          <w:sz w:val="32"/>
          <w:szCs w:val="32"/>
        </w:rPr>
        <w:t>万元，完成预算100%</w:t>
      </w:r>
      <w:r>
        <w:rPr>
          <w:rStyle w:val="14"/>
          <w:rFonts w:hint="eastAsia" w:eastAsia="仿宋"/>
          <w:b w:val="0"/>
          <w:bCs/>
          <w:color w:val="000000"/>
          <w:sz w:val="32"/>
          <w:szCs w:val="32"/>
          <w:lang w:eastAsia="zh-CN"/>
        </w:rPr>
        <w:t>。</w:t>
      </w:r>
    </w:p>
    <w:p>
      <w:pPr>
        <w:tabs>
          <w:tab w:val="right" w:pos="8306"/>
        </w:tabs>
        <w:spacing w:line="600" w:lineRule="exact"/>
        <w:ind w:firstLine="640"/>
        <w:outlineLvl w:val="1"/>
        <w:rPr>
          <w:rStyle w:val="17"/>
          <w:color w:val="auto"/>
          <w:highlight w:val="none"/>
        </w:rPr>
      </w:pPr>
      <w:bookmarkStart w:id="64" w:name="_Toc15377214"/>
      <w:bookmarkStart w:id="65" w:name="_Toc3534"/>
      <w:bookmarkStart w:id="66" w:name="_Toc15396608"/>
      <w:bookmarkStart w:id="67" w:name="_Toc2384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般公共预算财政拨款基本支出决算情况说明</w:t>
      </w:r>
      <w:bookmarkEnd w:id="64"/>
      <w:bookmarkEnd w:id="65"/>
      <w:bookmarkEnd w:id="66"/>
      <w:bookmarkEnd w:id="67"/>
      <w:r>
        <w:rPr>
          <w:rStyle w:val="17"/>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248.36</w:t>
      </w:r>
      <w:r>
        <w:rPr>
          <w:rFonts w:hint="eastAsia" w:ascii="仿宋" w:hAnsi="仿宋" w:eastAsia="仿宋"/>
          <w:color w:val="auto"/>
          <w:sz w:val="32"/>
          <w:szCs w:val="32"/>
          <w:highlight w:val="none"/>
        </w:rPr>
        <w:t>万元，其中：</w:t>
      </w:r>
    </w:p>
    <w:p>
      <w:pPr>
        <w:spacing w:line="600" w:lineRule="exact"/>
        <w:ind w:firstLine="645"/>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226.96</w:t>
      </w:r>
      <w:r>
        <w:rPr>
          <w:rFonts w:hint="eastAsia" w:ascii="仿宋" w:hAnsi="仿宋" w:eastAsia="仿宋"/>
          <w:color w:val="auto"/>
          <w:sz w:val="32"/>
          <w:szCs w:val="32"/>
          <w:highlight w:val="none"/>
        </w:rPr>
        <w:t>万元，主要包括：基本工资、津贴补贴、奖金、绩效工资、机关事业单位基本养老保险缴费、职工基本医疗保险缴费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生活补助。</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21.40</w:t>
      </w:r>
      <w:r>
        <w:rPr>
          <w:rFonts w:hint="eastAsia" w:ascii="仿宋" w:hAnsi="仿宋" w:eastAsia="仿宋"/>
          <w:color w:val="auto"/>
          <w:sz w:val="32"/>
          <w:szCs w:val="32"/>
          <w:highlight w:val="none"/>
        </w:rPr>
        <w:t>万元，主要包括：办公费、水费、电费、物业管理费、差旅费、维修（护）费、公务接待费、工会经费、福利费、其他交通费</w:t>
      </w:r>
      <w:r>
        <w:rPr>
          <w:rFonts w:hint="eastAsia" w:ascii="仿宋" w:hAnsi="仿宋" w:eastAsia="仿宋"/>
          <w:color w:val="auto"/>
          <w:sz w:val="32"/>
          <w:szCs w:val="32"/>
          <w:highlight w:val="none"/>
          <w:lang w:eastAsia="zh-CN"/>
        </w:rPr>
        <w:t>用</w:t>
      </w:r>
      <w:r>
        <w:rPr>
          <w:rFonts w:hint="eastAsia" w:ascii="仿宋" w:hAnsi="仿宋" w:eastAsia="仿宋"/>
          <w:color w:val="auto"/>
          <w:sz w:val="32"/>
          <w:szCs w:val="32"/>
          <w:highlight w:val="none"/>
        </w:rPr>
        <w:t>、其他商品和服务支出</w:t>
      </w:r>
      <w:r>
        <w:rPr>
          <w:rFonts w:hint="eastAsia" w:ascii="仿宋" w:hAnsi="仿宋" w:eastAsia="仿宋"/>
          <w:color w:val="auto"/>
          <w:sz w:val="32"/>
          <w:szCs w:val="32"/>
          <w:highlight w:val="none"/>
          <w:lang w:eastAsia="zh-CN"/>
        </w:rPr>
        <w:t>。</w:t>
      </w:r>
    </w:p>
    <w:p>
      <w:pPr>
        <w:spacing w:line="600" w:lineRule="exact"/>
        <w:ind w:firstLine="640"/>
        <w:outlineLvl w:val="1"/>
        <w:rPr>
          <w:rStyle w:val="17"/>
          <w:rFonts w:ascii="黑体" w:hAnsi="黑体" w:eastAsia="黑体"/>
          <w:b w:val="0"/>
          <w:color w:val="auto"/>
          <w:highlight w:val="none"/>
        </w:rPr>
      </w:pPr>
      <w:bookmarkStart w:id="68" w:name="_Toc15396609"/>
      <w:bookmarkStart w:id="69" w:name="_Toc15377215"/>
      <w:bookmarkStart w:id="70" w:name="_Toc3734"/>
      <w:bookmarkStart w:id="71" w:name="_Toc21128"/>
      <w:r>
        <w:rPr>
          <w:rFonts w:hint="eastAsia" w:ascii="黑体" w:eastAsia="黑体"/>
          <w:color w:val="auto"/>
          <w:sz w:val="32"/>
          <w:szCs w:val="32"/>
          <w:highlight w:val="none"/>
        </w:rPr>
        <w:t>七、</w:t>
      </w:r>
      <w:r>
        <w:rPr>
          <w:rStyle w:val="17"/>
          <w:rFonts w:hint="eastAsia" w:ascii="黑体" w:hAnsi="黑体" w:eastAsia="黑体"/>
          <w:b w:val="0"/>
          <w:color w:val="auto"/>
          <w:highlight w:val="none"/>
        </w:rPr>
        <w:t>财政拨款</w:t>
      </w:r>
      <w:r>
        <w:rPr>
          <w:rStyle w:val="17"/>
          <w:rFonts w:hint="eastAsia" w:ascii="黑体" w:hAnsi="黑体" w:eastAsia="黑体"/>
          <w:color w:val="auto"/>
          <w:highlight w:val="none"/>
        </w:rPr>
        <w:t>“</w:t>
      </w:r>
      <w:r>
        <w:rPr>
          <w:rStyle w:val="17"/>
          <w:rFonts w:hint="eastAsia" w:ascii="黑体" w:hAnsi="黑体" w:eastAsia="黑体"/>
          <w:b w:val="0"/>
          <w:color w:val="auto"/>
          <w:highlight w:val="none"/>
        </w:rPr>
        <w:t>三公”经费支出决算情况说明</w:t>
      </w:r>
      <w:bookmarkEnd w:id="68"/>
      <w:bookmarkEnd w:id="69"/>
      <w:bookmarkEnd w:id="70"/>
      <w:bookmarkEnd w:id="71"/>
    </w:p>
    <w:p>
      <w:pPr>
        <w:spacing w:line="600" w:lineRule="exact"/>
        <w:ind w:firstLine="640"/>
        <w:outlineLvl w:val="2"/>
        <w:rPr>
          <w:rFonts w:ascii="仿宋" w:hAnsi="仿宋" w:eastAsia="仿宋"/>
          <w:b/>
          <w:color w:val="auto"/>
          <w:sz w:val="32"/>
          <w:szCs w:val="32"/>
          <w:highlight w:val="none"/>
        </w:rPr>
      </w:pPr>
      <w:bookmarkStart w:id="72" w:name="_Toc14669"/>
      <w:bookmarkStart w:id="73" w:name="_Toc15377216"/>
      <w:r>
        <w:rPr>
          <w:rFonts w:hint="eastAsia" w:ascii="仿宋" w:hAnsi="仿宋" w:eastAsia="仿宋"/>
          <w:b/>
          <w:color w:val="auto"/>
          <w:sz w:val="32"/>
          <w:szCs w:val="32"/>
          <w:highlight w:val="none"/>
        </w:rPr>
        <w:t>（一）“三公”经费财政拨款支出决算总体情况说明</w:t>
      </w:r>
      <w:bookmarkEnd w:id="72"/>
      <w:bookmarkEnd w:id="73"/>
    </w:p>
    <w:p>
      <w:pPr>
        <w:pageBreakBefore w:val="0"/>
        <w:kinsoku/>
        <w:wordWrap/>
        <w:overflowPunct/>
        <w:topLinePunct w:val="0"/>
        <w:bidi w:val="0"/>
        <w:spacing w:line="576" w:lineRule="exact"/>
        <w:ind w:firstLine="640"/>
        <w:textAlignment w:val="auto"/>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0.06</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减少0.13万元，下降68.42%。</w:t>
      </w:r>
      <w:r>
        <w:rPr>
          <w:rFonts w:hint="eastAsia" w:ascii="仿宋" w:hAnsi="仿宋" w:eastAsia="仿宋"/>
          <w:color w:val="auto"/>
          <w:sz w:val="32"/>
          <w:szCs w:val="32"/>
          <w:highlight w:val="none"/>
        </w:rPr>
        <w:t>决算数与预算数持平</w:t>
      </w:r>
      <w:r>
        <w:rPr>
          <w:rFonts w:hint="eastAsia" w:ascii="仿宋" w:hAnsi="仿宋" w:eastAsia="仿宋"/>
          <w:color w:val="auto"/>
          <w:sz w:val="32"/>
          <w:szCs w:val="32"/>
          <w:highlight w:val="none"/>
          <w:lang w:eastAsia="zh-CN"/>
        </w:rPr>
        <w:t>，主要原因是</w:t>
      </w:r>
      <w:r>
        <w:rPr>
          <w:rFonts w:hint="default" w:ascii="仿宋" w:hAnsi="仿宋" w:eastAsia="仿宋"/>
          <w:color w:val="auto"/>
          <w:sz w:val="32"/>
          <w:szCs w:val="32"/>
          <w:highlight w:val="none"/>
          <w:lang w:eastAsia="zh-CN"/>
        </w:rPr>
        <w:t>严格按照预算执行</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74" w:name="_Toc23388"/>
      <w:bookmarkStart w:id="75" w:name="_Toc15377217"/>
      <w:r>
        <w:rPr>
          <w:rFonts w:hint="eastAsia" w:ascii="仿宋" w:hAnsi="仿宋" w:eastAsia="仿宋"/>
          <w:b/>
          <w:color w:val="auto"/>
          <w:sz w:val="32"/>
          <w:szCs w:val="32"/>
          <w:highlight w:val="none"/>
        </w:rPr>
        <w:t>（二）“三公”经费财政拨款支出决算具体情况说明</w:t>
      </w:r>
      <w:bookmarkEnd w:id="74"/>
      <w:bookmarkEnd w:id="75"/>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0.06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
      </w:pPr>
      <w:r>
        <w:drawing>
          <wp:anchor distT="0" distB="0" distL="114300" distR="114300" simplePos="0" relativeHeight="251665408" behindDoc="1" locked="0" layoutInCell="1" allowOverlap="1">
            <wp:simplePos x="0" y="0"/>
            <wp:positionH relativeFrom="column">
              <wp:posOffset>401320</wp:posOffset>
            </wp:positionH>
            <wp:positionV relativeFrom="paragraph">
              <wp:posOffset>108585</wp:posOffset>
            </wp:positionV>
            <wp:extent cx="4572000" cy="2914650"/>
            <wp:effectExtent l="4445" t="4445" r="14605" b="14605"/>
            <wp:wrapTight wrapText="bothSides">
              <wp:wrapPolygon>
                <wp:start x="-21" y="-33"/>
                <wp:lineTo x="-21" y="21567"/>
                <wp:lineTo x="21579" y="21567"/>
                <wp:lineTo x="21579" y="-33"/>
                <wp:lineTo x="-21" y="-33"/>
              </wp:wrapPolygon>
            </wp:wrapTight>
            <wp:docPr id="10"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spacing w:line="600" w:lineRule="exact"/>
        <w:ind w:firstLine="640"/>
        <w:rPr>
          <w:rFonts w:hint="eastAsia" w:ascii="仿宋" w:hAnsi="仿宋" w:eastAsia="仿宋"/>
          <w:color w:val="auto"/>
          <w:sz w:val="32"/>
          <w:szCs w:val="32"/>
          <w:highlight w:val="none"/>
        </w:rPr>
      </w:pPr>
    </w:p>
    <w:p>
      <w:pPr>
        <w:spacing w:line="600" w:lineRule="exact"/>
        <w:ind w:firstLine="640"/>
        <w:rPr>
          <w:rFonts w:hint="eastAsia" w:ascii="仿宋" w:hAnsi="仿宋" w:eastAsia="仿宋"/>
          <w:color w:val="auto"/>
          <w:sz w:val="32"/>
          <w:szCs w:val="32"/>
          <w:highlight w:val="none"/>
        </w:rPr>
      </w:pPr>
    </w:p>
    <w:p>
      <w:pPr>
        <w:spacing w:line="600" w:lineRule="exact"/>
        <w:ind w:firstLine="640"/>
        <w:rPr>
          <w:rFonts w:hint="eastAsia" w:ascii="仿宋" w:hAnsi="仿宋" w:eastAsia="仿宋"/>
          <w:color w:val="auto"/>
          <w:sz w:val="32"/>
          <w:szCs w:val="32"/>
          <w:highlight w:val="none"/>
        </w:rPr>
      </w:pPr>
    </w:p>
    <w:p>
      <w:pPr>
        <w:spacing w:line="600" w:lineRule="exact"/>
        <w:ind w:firstLine="640"/>
        <w:rPr>
          <w:rFonts w:hint="eastAsia" w:ascii="仿宋" w:hAnsi="仿宋" w:eastAsia="仿宋"/>
          <w:color w:val="auto"/>
          <w:sz w:val="32"/>
          <w:szCs w:val="32"/>
          <w:highlight w:val="none"/>
        </w:rPr>
      </w:pPr>
    </w:p>
    <w:p>
      <w:pPr>
        <w:spacing w:line="600" w:lineRule="exact"/>
        <w:ind w:firstLine="640"/>
        <w:rPr>
          <w:rFonts w:hint="eastAsia" w:ascii="仿宋" w:hAnsi="仿宋" w:eastAsia="仿宋"/>
          <w:color w:val="auto"/>
          <w:sz w:val="32"/>
          <w:szCs w:val="32"/>
          <w:highlight w:val="none"/>
        </w:rPr>
      </w:pPr>
    </w:p>
    <w:p>
      <w:pPr>
        <w:spacing w:line="600" w:lineRule="exact"/>
        <w:ind w:firstLine="640"/>
        <w:jc w:val="center"/>
        <w:outlineLvl w:val="2"/>
        <w:rPr>
          <w:rFonts w:hint="eastAsia" w:ascii="仿宋" w:hAnsi="仿宋" w:eastAsia="仿宋"/>
          <w:color w:val="auto"/>
          <w:sz w:val="32"/>
          <w:szCs w:val="32"/>
          <w:highlight w:val="none"/>
        </w:rPr>
      </w:pPr>
    </w:p>
    <w:p>
      <w:pPr>
        <w:spacing w:line="600" w:lineRule="exact"/>
        <w:jc w:val="center"/>
        <w:outlineLvl w:val="2"/>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年初未安排预算。</w:t>
      </w:r>
      <w:r>
        <w:rPr>
          <w:rFonts w:hint="eastAsia" w:ascii="仿宋_GB2312" w:eastAsia="仿宋_GB2312"/>
          <w:color w:val="auto"/>
          <w:sz w:val="32"/>
          <w:szCs w:val="32"/>
          <w:highlight w:val="none"/>
        </w:rPr>
        <w:t>因公出国（境）支出决算</w:t>
      </w:r>
      <w:r>
        <w:rPr>
          <w:rFonts w:hint="eastAsia" w:ascii="仿宋_GB2312" w:eastAsia="仿宋_GB2312"/>
          <w:color w:val="auto"/>
          <w:sz w:val="32"/>
          <w:szCs w:val="32"/>
          <w:highlight w:val="none"/>
          <w:lang w:eastAsia="zh-CN"/>
        </w:rPr>
        <w:t>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年无变化</w:t>
      </w:r>
      <w:r>
        <w:rPr>
          <w:rFonts w:hint="eastAsia" w:ascii="仿宋_GB2312" w:eastAsia="仿宋_GB2312"/>
          <w:color w:val="auto"/>
          <w:sz w:val="32"/>
          <w:szCs w:val="32"/>
          <w:highlight w:val="none"/>
        </w:rPr>
        <w:t>。</w:t>
      </w:r>
    </w:p>
    <w:p>
      <w:pPr>
        <w:pageBreakBefore w:val="0"/>
        <w:kinsoku/>
        <w:wordWrap/>
        <w:overflowPunct/>
        <w:topLinePunct w:val="0"/>
        <w:bidi w:val="0"/>
        <w:spacing w:line="576" w:lineRule="exact"/>
        <w:ind w:firstLine="640"/>
        <w:textAlignment w:val="auto"/>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b w:val="0"/>
          <w:bCs/>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Style w:val="14"/>
          <w:rFonts w:hint="eastAsia" w:ascii="仿宋" w:hAnsi="仿宋" w:eastAsia="仿宋"/>
          <w:b w:val="0"/>
          <w:bCs/>
          <w:color w:val="auto"/>
          <w:sz w:val="32"/>
          <w:szCs w:val="32"/>
          <w:highlight w:val="none"/>
          <w:lang w:eastAsia="zh-CN"/>
        </w:rPr>
        <w:t>年初未安排预算</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w:t>
      </w:r>
      <w:r>
        <w:rPr>
          <w:rFonts w:hint="eastAsia" w:ascii="仿宋_GB2312" w:eastAsia="仿宋_GB2312"/>
          <w:color w:val="auto"/>
          <w:sz w:val="32"/>
          <w:szCs w:val="32"/>
          <w:highlight w:val="none"/>
          <w:lang w:eastAsia="zh-CN"/>
        </w:rPr>
        <w:t>较</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无变化。</w:t>
      </w: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全年未购置公务用车。</w:t>
      </w: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。单位无公务用车保有量。</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b w:val="0"/>
          <w:bCs/>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b w:val="0"/>
          <w:bCs/>
          <w:color w:val="auto"/>
          <w:sz w:val="32"/>
          <w:szCs w:val="32"/>
          <w:highlight w:val="none"/>
          <w:lang w:val="en-US" w:eastAsia="zh-CN"/>
        </w:rPr>
        <w:t>0.06</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 w:hAnsi="仿宋" w:eastAsia="仿宋"/>
          <w:color w:val="auto"/>
          <w:sz w:val="32"/>
          <w:szCs w:val="32"/>
          <w:highlight w:val="none"/>
          <w:lang w:val="en-US" w:eastAsia="zh-CN"/>
        </w:rPr>
        <w:t>减少0.13万元，下降68.42%。</w:t>
      </w:r>
      <w:r>
        <w:rPr>
          <w:rFonts w:hint="eastAsia" w:ascii="仿宋_GB2312" w:eastAsia="仿宋_GB2312"/>
          <w:color w:val="auto"/>
          <w:sz w:val="32"/>
          <w:szCs w:val="32"/>
          <w:highlight w:val="none"/>
        </w:rPr>
        <w:t>主要原因</w:t>
      </w:r>
      <w:r>
        <w:rPr>
          <w:rFonts w:hint="eastAsia" w:ascii="仿宋" w:hAnsi="仿宋" w:eastAsia="仿宋"/>
          <w:color w:val="auto"/>
          <w:sz w:val="32"/>
          <w:szCs w:val="32"/>
          <w:highlight w:val="none"/>
          <w:lang w:eastAsia="zh-CN"/>
        </w:rPr>
        <w:t>是落实党政机关过“紧日子”要求，压缩“三公”经费支出</w:t>
      </w:r>
      <w:r>
        <w:rPr>
          <w:rFonts w:hint="eastAsia" w:ascii="仿宋_GB2312" w:eastAsia="仿宋_GB2312"/>
          <w:color w:val="auto"/>
          <w:sz w:val="32"/>
          <w:szCs w:val="32"/>
          <w:highlight w:val="none"/>
        </w:rPr>
        <w:t>。其中：</w:t>
      </w:r>
    </w:p>
    <w:p>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b w:val="0"/>
          <w:bCs/>
          <w:color w:val="auto"/>
          <w:sz w:val="32"/>
          <w:szCs w:val="32"/>
          <w:highlight w:val="none"/>
          <w:lang w:val="en-US" w:eastAsia="zh-CN"/>
        </w:rPr>
        <w:t>0.06</w:t>
      </w:r>
      <w:r>
        <w:rPr>
          <w:rFonts w:hint="eastAsia" w:ascii="仿宋_GB2312" w:eastAsia="仿宋_GB2312"/>
          <w:color w:val="auto"/>
          <w:sz w:val="32"/>
          <w:szCs w:val="32"/>
          <w:highlight w:val="none"/>
        </w:rPr>
        <w:t>万元，主要用于用餐费。国内公务接待</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0.06</w:t>
      </w:r>
      <w:r>
        <w:rPr>
          <w:rFonts w:hint="eastAsia" w:ascii="仿宋_GB2312" w:eastAsia="仿宋_GB2312"/>
          <w:color w:val="auto"/>
          <w:sz w:val="32"/>
          <w:szCs w:val="32"/>
          <w:highlight w:val="none"/>
        </w:rPr>
        <w:t>万元，具体内容包括：四川品杰科技有限公司到单位</w:t>
      </w:r>
      <w:r>
        <w:rPr>
          <w:rFonts w:hint="eastAsia" w:ascii="仿宋_GB2312" w:eastAsia="仿宋_GB2312"/>
          <w:color w:val="auto"/>
          <w:sz w:val="32"/>
          <w:szCs w:val="32"/>
          <w:highlight w:val="none"/>
          <w:lang w:eastAsia="zh-CN"/>
        </w:rPr>
        <w:t>安装服务器</w:t>
      </w:r>
      <w:r>
        <w:rPr>
          <w:rFonts w:eastAsia="仿宋"/>
          <w:color w:val="000000"/>
          <w:sz w:val="32"/>
          <w:szCs w:val="32"/>
        </w:rPr>
        <w:t>，发生接待餐费</w:t>
      </w:r>
      <w:r>
        <w:rPr>
          <w:rFonts w:hint="eastAsia" w:ascii="仿宋_GB2312" w:hAnsi="仿宋_GB2312" w:eastAsia="仿宋_GB2312" w:cs="仿宋_GB2312"/>
          <w:color w:val="000000"/>
          <w:sz w:val="32"/>
          <w:szCs w:val="32"/>
          <w:lang w:val="en-US" w:eastAsia="zh-CN"/>
        </w:rPr>
        <w:t>0.04</w:t>
      </w:r>
      <w:r>
        <w:rPr>
          <w:rFonts w:eastAsia="仿宋"/>
          <w:color w:val="000000"/>
          <w:sz w:val="32"/>
          <w:szCs w:val="32"/>
        </w:rPr>
        <w:t>万元</w:t>
      </w:r>
      <w:r>
        <w:rPr>
          <w:rFonts w:hint="eastAsia" w:eastAsia="仿宋"/>
          <w:color w:val="000000"/>
          <w:sz w:val="32"/>
          <w:szCs w:val="32"/>
          <w:lang w:eastAsia="zh-CN"/>
        </w:rPr>
        <w:t>；</w:t>
      </w:r>
      <w:r>
        <w:rPr>
          <w:rFonts w:hint="eastAsia" w:ascii="仿宋_GB2312" w:eastAsia="仿宋_GB2312"/>
          <w:color w:val="auto"/>
          <w:sz w:val="32"/>
          <w:szCs w:val="32"/>
          <w:highlight w:val="none"/>
        </w:rPr>
        <w:t>四川品杰科技有限公司到单位</w:t>
      </w:r>
      <w:r>
        <w:rPr>
          <w:rFonts w:hint="eastAsia" w:ascii="仿宋_GB2312" w:eastAsia="仿宋_GB2312"/>
          <w:color w:val="auto"/>
          <w:sz w:val="32"/>
          <w:szCs w:val="32"/>
          <w:highlight w:val="none"/>
          <w:lang w:eastAsia="zh-CN"/>
        </w:rPr>
        <w:t>安装中继设备及</w:t>
      </w:r>
      <w:r>
        <w:rPr>
          <w:rFonts w:hint="eastAsia" w:ascii="仿宋_GB2312" w:eastAsia="仿宋_GB2312"/>
          <w:color w:val="auto"/>
          <w:sz w:val="32"/>
          <w:szCs w:val="32"/>
          <w:highlight w:val="none"/>
        </w:rPr>
        <w:t>院前急救信息</w:t>
      </w:r>
      <w:r>
        <w:rPr>
          <w:rFonts w:hint="eastAsia" w:ascii="仿宋_GB2312" w:eastAsia="仿宋_GB2312"/>
          <w:color w:val="auto"/>
          <w:sz w:val="32"/>
          <w:szCs w:val="32"/>
          <w:highlight w:val="none"/>
          <w:lang w:eastAsia="zh-CN"/>
        </w:rPr>
        <w:t>化</w:t>
      </w:r>
      <w:r>
        <w:rPr>
          <w:rFonts w:hint="eastAsia" w:ascii="仿宋_GB2312" w:eastAsia="仿宋_GB2312"/>
          <w:color w:val="auto"/>
          <w:sz w:val="32"/>
          <w:szCs w:val="32"/>
          <w:highlight w:val="none"/>
        </w:rPr>
        <w:t>系统维护</w:t>
      </w:r>
      <w:r>
        <w:rPr>
          <w:rFonts w:eastAsia="仿宋"/>
          <w:color w:val="000000"/>
          <w:sz w:val="32"/>
          <w:szCs w:val="32"/>
        </w:rPr>
        <w:t>，发生接待餐费</w:t>
      </w:r>
      <w:r>
        <w:rPr>
          <w:rFonts w:hint="eastAsia" w:ascii="仿宋_GB2312" w:hAnsi="仿宋_GB2312" w:eastAsia="仿宋_GB2312" w:cs="仿宋_GB2312"/>
          <w:color w:val="000000"/>
          <w:sz w:val="32"/>
          <w:szCs w:val="32"/>
          <w:lang w:val="en-US" w:eastAsia="zh-CN"/>
        </w:rPr>
        <w:t>0.02</w:t>
      </w:r>
      <w:r>
        <w:rPr>
          <w:rFonts w:eastAsia="仿宋"/>
          <w:color w:val="000000"/>
          <w:sz w:val="32"/>
          <w:szCs w:val="32"/>
        </w:rPr>
        <w:t>万元</w:t>
      </w:r>
      <w:r>
        <w:rPr>
          <w:rFonts w:hint="eastAsia" w:ascii="仿宋_GB2312" w:eastAsia="仿宋_GB2312"/>
          <w:color w:val="auto"/>
          <w:sz w:val="32"/>
          <w:szCs w:val="32"/>
          <w:highlight w:val="none"/>
        </w:rPr>
        <w:t>。</w:t>
      </w:r>
    </w:p>
    <w:p>
      <w:pPr>
        <w:spacing w:line="600" w:lineRule="exact"/>
        <w:ind w:firstLine="643" w:firstLineChars="200"/>
        <w:rPr>
          <w:rFonts w:hint="eastAsia"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b w:val="0"/>
          <w:bCs/>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outlineLvl w:val="1"/>
        <w:rPr>
          <w:rStyle w:val="17"/>
          <w:rFonts w:ascii="黑体" w:hAnsi="黑体" w:eastAsia="黑体"/>
          <w:color w:val="auto"/>
          <w:highlight w:val="none"/>
        </w:rPr>
      </w:pPr>
      <w:bookmarkStart w:id="76" w:name="_Toc12426"/>
      <w:bookmarkStart w:id="77" w:name="_Toc15377218"/>
      <w:bookmarkStart w:id="78" w:name="_Toc19160"/>
      <w:bookmarkStart w:id="79" w:name="_Toc15396610"/>
      <w:r>
        <w:rPr>
          <w:rFonts w:hint="eastAsia" w:ascii="黑体" w:eastAsia="黑体"/>
          <w:color w:val="auto"/>
          <w:sz w:val="32"/>
          <w:szCs w:val="32"/>
          <w:highlight w:val="none"/>
        </w:rPr>
        <w:t>八、</w:t>
      </w:r>
      <w:r>
        <w:rPr>
          <w:rStyle w:val="17"/>
          <w:rFonts w:hint="eastAsia" w:ascii="黑体" w:hAnsi="黑体" w:eastAsia="黑体"/>
          <w:b w:val="0"/>
          <w:color w:val="auto"/>
          <w:highlight w:val="none"/>
        </w:rPr>
        <w:t>政府性基金预算支出决算情况说明</w:t>
      </w:r>
      <w:bookmarkEnd w:id="76"/>
      <w:bookmarkEnd w:id="77"/>
      <w:bookmarkEnd w:id="78"/>
      <w:bookmarkEnd w:id="79"/>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pStyle w:val="2"/>
        <w:ind w:firstLine="640" w:firstLineChars="200"/>
        <w:rPr>
          <w:rFonts w:hint="default" w:eastAsia="仿宋_GB2312"/>
          <w:lang w:val="en-US" w:eastAsia="zh-CN"/>
        </w:rPr>
      </w:pPr>
      <w:r>
        <w:rPr>
          <w:rFonts w:hint="eastAsia"/>
          <w:color w:val="auto"/>
          <w:sz w:val="32"/>
          <w:szCs w:val="32"/>
          <w:highlight w:val="none"/>
          <w:lang w:val="en-US" w:eastAsia="zh-CN"/>
        </w:rPr>
        <w:t>2022年本单位未在政府性基金预算拨款安排“三公经费”支出。</w:t>
      </w:r>
    </w:p>
    <w:p>
      <w:pPr>
        <w:numPr>
          <w:ilvl w:val="0"/>
          <w:numId w:val="2"/>
        </w:numPr>
        <w:spacing w:line="600" w:lineRule="exact"/>
        <w:ind w:firstLine="640"/>
        <w:outlineLvl w:val="1"/>
        <w:rPr>
          <w:rStyle w:val="17"/>
          <w:rFonts w:ascii="黑体" w:hAnsi="黑体" w:eastAsia="黑体"/>
          <w:b w:val="0"/>
          <w:color w:val="auto"/>
          <w:highlight w:val="none"/>
        </w:rPr>
      </w:pPr>
      <w:bookmarkStart w:id="80" w:name="_Toc930"/>
      <w:bookmarkStart w:id="81" w:name="_Toc15396611"/>
      <w:bookmarkStart w:id="82" w:name="_Toc1587"/>
      <w:bookmarkStart w:id="83" w:name="_Toc15377219"/>
      <w:r>
        <w:rPr>
          <w:rStyle w:val="17"/>
          <w:rFonts w:hint="eastAsia" w:ascii="黑体" w:hAnsi="黑体" w:eastAsia="黑体"/>
          <w:b w:val="0"/>
          <w:color w:val="auto"/>
          <w:highlight w:val="none"/>
        </w:rPr>
        <w:t>国有资本经营预算支出决算情况说明</w:t>
      </w:r>
      <w:bookmarkEnd w:id="80"/>
      <w:bookmarkEnd w:id="81"/>
      <w:bookmarkEnd w:id="82"/>
      <w:bookmarkEnd w:id="8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17"/>
          <w:rFonts w:hint="eastAsia" w:ascii="黑体" w:hAnsi="黑体" w:eastAsia="黑体"/>
          <w:b w:val="0"/>
          <w:color w:val="auto"/>
          <w:highlight w:val="none"/>
        </w:rPr>
      </w:pPr>
      <w:bookmarkStart w:id="84" w:name="_Toc15396612"/>
      <w:bookmarkStart w:id="85" w:name="_Toc16366"/>
      <w:bookmarkStart w:id="86" w:name="_Toc17502"/>
      <w:bookmarkStart w:id="87" w:name="_Toc15377221"/>
      <w:r>
        <w:rPr>
          <w:rStyle w:val="17"/>
          <w:rFonts w:hint="eastAsia" w:ascii="黑体" w:hAnsi="黑体" w:eastAsia="黑体"/>
          <w:b w:val="0"/>
          <w:color w:val="auto"/>
          <w:highlight w:val="none"/>
        </w:rPr>
        <w:t>其他重要事项的情况说明</w:t>
      </w:r>
      <w:bookmarkEnd w:id="84"/>
      <w:bookmarkEnd w:id="85"/>
      <w:bookmarkEnd w:id="86"/>
      <w:bookmarkEnd w:id="87"/>
    </w:p>
    <w:p>
      <w:pPr>
        <w:spacing w:line="600" w:lineRule="exact"/>
        <w:ind w:firstLine="643" w:firstLineChars="200"/>
        <w:outlineLvl w:val="2"/>
        <w:rPr>
          <w:rFonts w:ascii="仿宋" w:hAnsi="仿宋" w:eastAsia="仿宋"/>
          <w:color w:val="auto"/>
          <w:sz w:val="32"/>
          <w:szCs w:val="32"/>
          <w:highlight w:val="none"/>
        </w:rPr>
      </w:pPr>
      <w:bookmarkStart w:id="88" w:name="_Toc15377222"/>
      <w:bookmarkStart w:id="89" w:name="_Toc32332"/>
      <w:r>
        <w:rPr>
          <w:rFonts w:hint="eastAsia" w:ascii="仿宋" w:hAnsi="仿宋" w:eastAsia="仿宋"/>
          <w:b/>
          <w:color w:val="auto"/>
          <w:sz w:val="32"/>
          <w:szCs w:val="32"/>
          <w:highlight w:val="none"/>
        </w:rPr>
        <w:t>（一）机关运行经费支出情况</w:t>
      </w:r>
      <w:bookmarkEnd w:id="88"/>
      <w:bookmarkEnd w:id="89"/>
    </w:p>
    <w:p>
      <w:pPr>
        <w:spacing w:line="600" w:lineRule="exact"/>
        <w:ind w:firstLine="640"/>
        <w:rPr>
          <w:rFonts w:hint="eastAsia" w:ascii="仿宋_GB2312" w:eastAsia="仿宋_GB2312"/>
          <w:color w:val="auto"/>
          <w:sz w:val="32"/>
          <w:szCs w:val="32"/>
          <w:highlight w:val="none"/>
          <w:lang w:val="en-US" w:eastAsia="zh-CN"/>
        </w:rPr>
      </w:pPr>
      <w:bookmarkStart w:id="90" w:name="_Toc15377223"/>
      <w:r>
        <w:rPr>
          <w:rFonts w:hint="eastAsia" w:ascii="仿宋_GB2312" w:eastAsia="仿宋_GB2312"/>
          <w:color w:val="auto"/>
          <w:sz w:val="32"/>
          <w:szCs w:val="32"/>
          <w:highlight w:val="none"/>
          <w:lang w:val="en-US" w:eastAsia="zh-CN"/>
        </w:rPr>
        <w:t>2022年</w:t>
      </w:r>
      <w:r>
        <w:rPr>
          <w:rFonts w:hint="eastAsia" w:ascii="仿宋_GB2312" w:eastAsia="仿宋_GB2312"/>
          <w:color w:val="auto"/>
          <w:sz w:val="32"/>
          <w:szCs w:val="32"/>
          <w:highlight w:val="none"/>
        </w:rPr>
        <w:t>未发生机关运行经费支出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与2021年决算数持平。</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91" w:name="_Toc7566"/>
      <w:r>
        <w:rPr>
          <w:rFonts w:hint="eastAsia" w:ascii="仿宋" w:hAnsi="仿宋" w:eastAsia="仿宋"/>
          <w:b/>
          <w:color w:val="auto"/>
          <w:sz w:val="32"/>
          <w:szCs w:val="32"/>
          <w:highlight w:val="none"/>
        </w:rPr>
        <w:t>（二）政府采购支出情况</w:t>
      </w:r>
      <w:bookmarkEnd w:id="90"/>
      <w:bookmarkEnd w:id="91"/>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年，政府采购支出总额</w:t>
      </w:r>
      <w:r>
        <w:rPr>
          <w:rFonts w:hint="eastAsia" w:ascii="仿宋_GB2312" w:eastAsia="仿宋_GB2312"/>
          <w:color w:val="auto"/>
          <w:sz w:val="32"/>
          <w:szCs w:val="32"/>
          <w:highlight w:val="none"/>
          <w:lang w:val="en-US" w:eastAsia="zh-CN"/>
        </w:rPr>
        <w:t>8.15</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8.15</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120指挥调度系统正常运行</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92" w:name="_Toc15377224"/>
      <w:bookmarkStart w:id="93" w:name="_Toc21589"/>
      <w:r>
        <w:rPr>
          <w:rFonts w:hint="eastAsia" w:ascii="仿宋" w:hAnsi="仿宋" w:eastAsia="仿宋"/>
          <w:b/>
          <w:color w:val="auto"/>
          <w:sz w:val="32"/>
          <w:szCs w:val="32"/>
          <w:highlight w:val="none"/>
        </w:rPr>
        <w:t>（三）国有资产占有使用情况</w:t>
      </w:r>
      <w:bookmarkEnd w:id="92"/>
      <w:bookmarkEnd w:id="93"/>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bookmarkStart w:id="94" w:name="_Toc16197"/>
      <w:r>
        <w:rPr>
          <w:rFonts w:hint="eastAsia" w:ascii="仿宋" w:hAnsi="仿宋" w:eastAsia="仿宋"/>
          <w:b/>
          <w:color w:val="auto"/>
          <w:sz w:val="32"/>
          <w:szCs w:val="32"/>
          <w:highlight w:val="none"/>
        </w:rPr>
        <w:t>（四）预算绩效管理情况</w:t>
      </w:r>
      <w:bookmarkEnd w:id="94"/>
    </w:p>
    <w:p>
      <w:pPr>
        <w:pStyle w:val="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eastAsia="仿宋"/>
          <w:color w:val="000000"/>
          <w:sz w:val="32"/>
          <w:szCs w:val="32"/>
        </w:rPr>
        <w:t>“医疗卫生紧急救援工作经费</w:t>
      </w:r>
      <w:r>
        <w:rPr>
          <w:rFonts w:hint="eastAsia" w:eastAsia="仿宋"/>
          <w:color w:val="000000"/>
          <w:sz w:val="32"/>
          <w:szCs w:val="32"/>
          <w:lang w:eastAsia="zh-CN"/>
        </w:rPr>
        <w:t>”“</w:t>
      </w:r>
      <w:r>
        <w:rPr>
          <w:rFonts w:hint="eastAsia" w:ascii="仿宋" w:hAnsi="仿宋" w:eastAsia="仿宋" w:cs="仿宋"/>
          <w:color w:val="000000"/>
          <w:sz w:val="32"/>
          <w:szCs w:val="32"/>
        </w:rPr>
        <w:t>120</w:t>
      </w:r>
      <w:r>
        <w:rPr>
          <w:rFonts w:eastAsia="仿宋"/>
          <w:color w:val="000000"/>
          <w:sz w:val="32"/>
          <w:szCs w:val="32"/>
        </w:rPr>
        <w:t>指挥调度系统运行维护费</w:t>
      </w:r>
      <w:r>
        <w:rPr>
          <w:rFonts w:hint="eastAsia" w:eastAsia="仿宋"/>
          <w:color w:val="000000"/>
          <w:sz w:val="32"/>
          <w:szCs w:val="32"/>
          <w:lang w:eastAsia="zh-CN"/>
        </w:rPr>
        <w:t>”“</w:t>
      </w:r>
      <w:r>
        <w:rPr>
          <w:rFonts w:hint="eastAsia" w:ascii="仿宋" w:hAnsi="仿宋" w:eastAsia="仿宋" w:cs="仿宋"/>
          <w:color w:val="000000"/>
          <w:sz w:val="32"/>
          <w:szCs w:val="32"/>
        </w:rPr>
        <w:t>120</w:t>
      </w:r>
      <w:r>
        <w:rPr>
          <w:rFonts w:eastAsia="仿宋"/>
          <w:color w:val="000000"/>
          <w:sz w:val="32"/>
          <w:szCs w:val="32"/>
        </w:rPr>
        <w:t>平台调度员夜班补助</w:t>
      </w:r>
      <w:r>
        <w:rPr>
          <w:rFonts w:hint="eastAsia" w:eastAsia="仿宋"/>
          <w:color w:val="000000"/>
          <w:sz w:val="32"/>
          <w:szCs w:val="32"/>
          <w:lang w:eastAsia="zh-CN"/>
        </w:rPr>
        <w:t>”“医疗卫生紧急救援货物及服务购置”“2022年市级重大卫生事业及发展经费”</w:t>
      </w:r>
      <w:r>
        <w:rPr>
          <w:rFonts w:hint="eastAsia"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eastAsia="zh-CN"/>
        </w:rPr>
        <w:t>基本支出、项目支出共</w:t>
      </w:r>
      <w:r>
        <w:rPr>
          <w:rFonts w:hint="eastAsia" w:hAnsi="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3"/>
        </w:numPr>
        <w:spacing w:line="600" w:lineRule="exact"/>
        <w:ind w:firstLine="660" w:firstLineChars="150"/>
        <w:jc w:val="center"/>
        <w:outlineLvl w:val="0"/>
        <w:rPr>
          <w:rStyle w:val="16"/>
          <w:rFonts w:ascii="黑体" w:hAnsi="黑体" w:eastAsia="黑体"/>
          <w:b w:val="0"/>
          <w:color w:val="auto"/>
          <w:highlight w:val="none"/>
        </w:rPr>
      </w:pPr>
      <w:bookmarkStart w:id="95" w:name="_Toc23240"/>
      <w:bookmarkStart w:id="96" w:name="_Toc15377225"/>
      <w:bookmarkStart w:id="97" w:name="_Toc10713"/>
      <w:bookmarkStart w:id="98" w:name="_Toc15396613"/>
      <w:r>
        <w:rPr>
          <w:rFonts w:hint="eastAsia" w:ascii="黑体" w:hAnsi="黑体" w:eastAsia="黑体"/>
          <w:color w:val="auto"/>
          <w:sz w:val="44"/>
          <w:szCs w:val="44"/>
          <w:highlight w:val="none"/>
        </w:rPr>
        <w:t>名</w:t>
      </w:r>
      <w:r>
        <w:rPr>
          <w:rStyle w:val="16"/>
          <w:rFonts w:hint="eastAsia" w:ascii="黑体" w:hAnsi="黑体" w:eastAsia="黑体"/>
          <w:b w:val="0"/>
          <w:color w:val="auto"/>
          <w:highlight w:val="none"/>
        </w:rPr>
        <w:t>词解释</w:t>
      </w:r>
      <w:bookmarkEnd w:id="95"/>
      <w:bookmarkEnd w:id="96"/>
      <w:bookmarkEnd w:id="97"/>
      <w:bookmarkEnd w:id="98"/>
    </w:p>
    <w:p>
      <w:pPr>
        <w:spacing w:line="600" w:lineRule="exact"/>
        <w:jc w:val="left"/>
        <w:rPr>
          <w:rFonts w:ascii="宋体"/>
          <w:b/>
          <w:color w:val="auto"/>
          <w:sz w:val="44"/>
          <w:szCs w:val="44"/>
          <w:highlight w:val="none"/>
        </w:rPr>
      </w:pPr>
    </w:p>
    <w:p>
      <w:pPr>
        <w:pStyle w:val="25"/>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5"/>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其他收入：指单位取得的除上述收入以外的各项收入。主要是</w:t>
      </w:r>
      <w:r>
        <w:rPr>
          <w:rFonts w:ascii="Times New Roman" w:hAnsi="Times New Roman" w:eastAsia="仿宋_GB2312" w:cs="Times New Roman"/>
          <w:sz w:val="32"/>
          <w:szCs w:val="32"/>
        </w:rPr>
        <w:t>利息收入</w:t>
      </w:r>
      <w:r>
        <w:rPr>
          <w:rFonts w:hint="eastAsia" w:ascii="Times New Roman" w:hAnsi="Times New Roman" w:eastAsia="仿宋_GB2312" w:cs="Times New Roman"/>
          <w:sz w:val="32"/>
          <w:szCs w:val="32"/>
          <w:lang w:eastAsia="zh-CN"/>
        </w:rPr>
        <w:t>等</w:t>
      </w:r>
      <w:r>
        <w:rPr>
          <w:rFonts w:hint="eastAsia" w:ascii="仿宋_GB2312" w:eastAsia="仿宋_GB2312"/>
          <w:color w:val="auto"/>
          <w:sz w:val="32"/>
          <w:szCs w:val="32"/>
          <w:highlight w:val="none"/>
        </w:rPr>
        <w:t>。</w:t>
      </w:r>
      <w:r>
        <w:rPr>
          <w:rFonts w:ascii="仿宋_GB2312" w:eastAsia="仿宋_GB2312"/>
          <w:color w:val="auto"/>
          <w:sz w:val="32"/>
          <w:szCs w:val="32"/>
          <w:highlight w:val="none"/>
        </w:rPr>
        <w:t xml:space="preserve"> </w:t>
      </w:r>
    </w:p>
    <w:p>
      <w:pPr>
        <w:pStyle w:val="25"/>
        <w:spacing w:line="560" w:lineRule="exact"/>
        <w:ind w:firstLine="640" w:firstLineChars="20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3.使用非财政拨款结余：指事业单位使用以前年度积累的非财政拨款结余弥补当年收支差额的金额。</w:t>
      </w:r>
    </w:p>
    <w:p>
      <w:pPr>
        <w:pStyle w:val="25"/>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5"/>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年末结转和结余：指单位按有关规定结转到下年或以后年度继续使用的资金。</w:t>
      </w:r>
    </w:p>
    <w:p>
      <w:pPr>
        <w:pStyle w:val="25"/>
        <w:pageBreakBefore w:val="0"/>
        <w:kinsoku/>
        <w:wordWrap/>
        <w:overflowPunct/>
        <w:topLinePunct w:val="0"/>
        <w:bidi w:val="0"/>
        <w:spacing w:line="576" w:lineRule="exac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.社会保障和就业（类）行政事业单位养老（款）机关事业单位基本养老保险缴费（项）：反映机关事业单位实施养老保险制度由单位缴纳的基本养老保险费支出。</w:t>
      </w:r>
    </w:p>
    <w:p>
      <w:pPr>
        <w:pStyle w:val="25"/>
        <w:pageBreakBefore w:val="0"/>
        <w:kinsoku/>
        <w:wordWrap/>
        <w:overflowPunct/>
        <w:topLinePunct w:val="0"/>
        <w:bidi w:val="0"/>
        <w:spacing w:line="576" w:lineRule="exac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.卫生健康（类）公共卫生（款）应急救治机构（项）：指反映卫生健康部门所属应急救治机构的支出。</w:t>
      </w:r>
    </w:p>
    <w:p>
      <w:pPr>
        <w:pStyle w:val="25"/>
        <w:pageBreakBefore w:val="0"/>
        <w:kinsoku/>
        <w:wordWrap/>
        <w:overflowPunct/>
        <w:topLinePunct w:val="0"/>
        <w:bidi w:val="0"/>
        <w:spacing w:line="576" w:lineRule="exact"/>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卫生健康（类）公共卫生（款）</w:t>
      </w:r>
      <w:r>
        <w:rPr>
          <w:rFonts w:hint="eastAsia" w:ascii="仿宋_GB2312" w:eastAsia="仿宋_GB2312"/>
          <w:color w:val="auto"/>
          <w:sz w:val="32"/>
          <w:szCs w:val="32"/>
          <w:highlight w:val="none"/>
          <w:lang w:eastAsia="zh-CN"/>
        </w:rPr>
        <w:t>重大公共卫生服务</w:t>
      </w:r>
      <w:r>
        <w:rPr>
          <w:rFonts w:hint="eastAsia" w:ascii="仿宋_GB2312" w:eastAsia="仿宋_GB2312"/>
          <w:color w:val="auto"/>
          <w:sz w:val="32"/>
          <w:szCs w:val="32"/>
          <w:highlight w:val="none"/>
        </w:rPr>
        <w:t>（项）：</w:t>
      </w:r>
      <w:r>
        <w:rPr>
          <w:rFonts w:hint="eastAsia" w:ascii="仿宋_GB2312" w:eastAsia="仿宋_GB2312"/>
          <w:color w:val="auto"/>
          <w:sz w:val="32"/>
          <w:szCs w:val="32"/>
          <w:highlight w:val="none"/>
          <w:lang w:eastAsia="zh-CN"/>
        </w:rPr>
        <w:t>反映重大疾病、重大传染病预防控制等重大公共卫生服务项目支出。</w:t>
      </w:r>
    </w:p>
    <w:p>
      <w:pPr>
        <w:pStyle w:val="25"/>
        <w:pageBreakBefore w:val="0"/>
        <w:kinsoku/>
        <w:wordWrap/>
        <w:overflowPunct/>
        <w:topLinePunct w:val="0"/>
        <w:bidi w:val="0"/>
        <w:spacing w:line="576" w:lineRule="exac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 卫生健康（类）行政事业单位医疗（款）事业单位医疗（项）：指反映财政部门安排的事业单位基本医疗保险缴费经费，未参加医疗保险的事业单位的公费医疗经费，按国家规定享受离休人员待遇的医疗经费。</w:t>
      </w:r>
    </w:p>
    <w:p>
      <w:pPr>
        <w:pStyle w:val="25"/>
        <w:pageBreakBefore w:val="0"/>
        <w:kinsoku/>
        <w:wordWrap/>
        <w:overflowPunct/>
        <w:topLinePunct w:val="0"/>
        <w:bidi w:val="0"/>
        <w:spacing w:line="576" w:lineRule="exac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 住房保障（类）住房改革（款）住房公积金（项）：指反映行政事业单位按人力资源和社会保障部、财政部规定的基本工资和津贴补贴以及规定比例为职工缴纳的住房公积金。</w:t>
      </w:r>
    </w:p>
    <w:p>
      <w:pPr>
        <w:pStyle w:val="25"/>
        <w:pageBreakBefore w:val="0"/>
        <w:kinsoku/>
        <w:wordWrap/>
        <w:overflowPunct/>
        <w:topLinePunct w:val="0"/>
        <w:bidi w:val="0"/>
        <w:spacing w:line="576" w:lineRule="exac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.基本支出：指为保障机构正常运转、完成日常工作任务而发生的人员支出和公用支出。</w:t>
      </w:r>
    </w:p>
    <w:p>
      <w:pPr>
        <w:pStyle w:val="25"/>
        <w:pageBreakBefore w:val="0"/>
        <w:kinsoku/>
        <w:wordWrap/>
        <w:overflowPunct/>
        <w:topLinePunct w:val="0"/>
        <w:bidi w:val="0"/>
        <w:spacing w:line="576" w:lineRule="exac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 xml:space="preserve">.项目支出：指在基本支出之外为完成特定行政任务和事业发展目标所发生的支出。 </w:t>
      </w:r>
    </w:p>
    <w:p>
      <w:pPr>
        <w:pStyle w:val="25"/>
        <w:pageBreakBefore w:val="0"/>
        <w:kinsoku/>
        <w:wordWrap/>
        <w:overflowPunct/>
        <w:topLinePunct w:val="0"/>
        <w:bidi w:val="0"/>
        <w:spacing w:line="576" w:lineRule="exac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16"/>
          <w:rFonts w:hint="eastAsia" w:ascii="黑体" w:hAnsi="黑体" w:eastAsia="黑体"/>
          <w:b w:val="0"/>
          <w:color w:val="auto"/>
          <w:highlight w:val="none"/>
        </w:rPr>
      </w:pPr>
      <w:bookmarkStart w:id="99" w:name="_Toc15377226"/>
      <w:r>
        <w:rPr>
          <w:rFonts w:ascii="宋体"/>
          <w:b/>
          <w:color w:val="auto"/>
          <w:sz w:val="44"/>
          <w:szCs w:val="44"/>
          <w:highlight w:val="none"/>
        </w:rPr>
        <w:br w:type="page"/>
      </w:r>
      <w:bookmarkStart w:id="100" w:name="_Toc20424"/>
      <w:bookmarkStart w:id="101" w:name="_Toc7269"/>
      <w:bookmarkStart w:id="102" w:name="_Toc15396614"/>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四部分 附件</w:t>
      </w:r>
      <w:bookmarkEnd w:id="100"/>
      <w:bookmarkEnd w:id="101"/>
      <w:bookmarkEnd w:id="102"/>
    </w:p>
    <w:p>
      <w:pPr>
        <w:pStyle w:val="2"/>
      </w:pPr>
    </w:p>
    <w:tbl>
      <w:tblPr>
        <w:tblStyle w:val="1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2"/>
        <w:gridCol w:w="807"/>
        <w:gridCol w:w="1043"/>
        <w:gridCol w:w="2580"/>
        <w:gridCol w:w="452"/>
        <w:gridCol w:w="689"/>
        <w:gridCol w:w="452"/>
        <w:gridCol w:w="630"/>
        <w:gridCol w:w="554"/>
        <w:gridCol w:w="540"/>
        <w:gridCol w:w="3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bookmarkStart w:id="103" w:name="_Toc15396618"/>
            <w:r>
              <w:rPr>
                <w:rFonts w:hint="eastAsia" w:ascii="黑体" w:hAnsi="宋体" w:eastAsia="黑体" w:cs="黑体"/>
                <w:b w:val="0"/>
                <w:bCs w:val="0"/>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63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 （盖章）</w:t>
            </w:r>
          </w:p>
        </w:tc>
        <w:tc>
          <w:tcPr>
            <w:tcW w:w="1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广元市紧急救援中心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保障了工资及时发放、足额发放。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71.93</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90.75</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90.75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lang w:eastAsia="zh-CN"/>
              </w:rPr>
            </w:pPr>
            <w:r>
              <w:rPr>
                <w:rFonts w:hint="eastAsia" w:ascii="宋体" w:hAnsi="宋体" w:eastAsia="宋体" w:cs="宋体"/>
                <w:i w:val="0"/>
                <w:iCs w:val="0"/>
                <w:color w:val="000000"/>
                <w:sz w:val="18"/>
                <w:szCs w:val="18"/>
                <w:u w:val="none"/>
                <w:lang w:eastAsia="zh-CN"/>
              </w:rPr>
              <w:t>预算调增的原因为人员经费增加。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71.93</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90.75</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90.75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≤5%</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项目自评总分100分，保障了工资及时发放、足额发放。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项目负责人：毕敏</w:t>
            </w:r>
          </w:p>
        </w:tc>
        <w:tc>
          <w:tcPr>
            <w:tcW w:w="31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财务负责人：郭丽蓉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8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kern w:val="0"/>
                <w:sz w:val="30"/>
                <w:szCs w:val="30"/>
                <w:u w:val="none"/>
                <w:lang w:val="en-US" w:eastAsia="zh-CN" w:bidi="ar"/>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63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 （盖章）</w:t>
            </w:r>
          </w:p>
        </w:tc>
        <w:tc>
          <w:tcPr>
            <w:tcW w:w="1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广元市紧急救援中心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5.12</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5.12</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5.12</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5.12</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≤5%</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项目自评总分100分，保障了单位日常运转。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项目负责人：毕敏</w:t>
            </w:r>
          </w:p>
        </w:tc>
        <w:tc>
          <w:tcPr>
            <w:tcW w:w="31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财务负责人：郭丽蓉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8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kern w:val="0"/>
                <w:sz w:val="30"/>
                <w:szCs w:val="30"/>
                <w:u w:val="none"/>
                <w:lang w:val="en-US" w:eastAsia="zh-CN" w:bidi="ar"/>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63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 （盖章）</w:t>
            </w:r>
          </w:p>
        </w:tc>
        <w:tc>
          <w:tcPr>
            <w:tcW w:w="1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广元市紧急救援中心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r>
              <w:rPr>
                <w:rFonts w:hint="eastAsia" w:ascii="宋体" w:hAnsi="宋体" w:cs="宋体"/>
                <w:i w:val="0"/>
                <w:iCs w:val="0"/>
                <w:color w:val="000000"/>
                <w:kern w:val="0"/>
                <w:sz w:val="18"/>
                <w:szCs w:val="18"/>
                <w:u w:val="none"/>
                <w:lang w:val="en-US" w:eastAsia="zh-CN" w:bidi="ar"/>
              </w:rPr>
              <w:t>。</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保障了工资及时发放、足额发放。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101.94</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130.67</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130.67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r>
              <w:rPr>
                <w:rFonts w:hint="eastAsia" w:ascii="宋体" w:hAnsi="宋体" w:eastAsia="宋体" w:cs="宋体"/>
                <w:i w:val="0"/>
                <w:iCs w:val="0"/>
                <w:color w:val="000000"/>
                <w:sz w:val="18"/>
                <w:szCs w:val="18"/>
                <w:u w:val="none"/>
                <w:lang w:eastAsia="zh-CN"/>
              </w:rPr>
              <w:t>预算调增的原因为人员经费增加</w:t>
            </w:r>
            <w:r>
              <w:rPr>
                <w:rFonts w:hint="eastAsia" w:ascii="宋体" w:hAnsi="宋体" w:cs="宋体"/>
                <w:i w:val="0"/>
                <w:iCs w:val="0"/>
                <w:color w:val="000000"/>
                <w:sz w:val="18"/>
                <w:szCs w:val="18"/>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101.94</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130.67</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130.67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≤5%</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项目自评总分100分，保障了工资及时发放、足额发放。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项目负责人：毕敏</w:t>
            </w:r>
          </w:p>
        </w:tc>
        <w:tc>
          <w:tcPr>
            <w:tcW w:w="31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财务负责人：郭丽蓉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8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kern w:val="0"/>
                <w:sz w:val="30"/>
                <w:szCs w:val="30"/>
                <w:u w:val="none"/>
                <w:lang w:val="en-US" w:eastAsia="zh-CN" w:bidi="ar"/>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63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 （盖章）</w:t>
            </w:r>
          </w:p>
        </w:tc>
        <w:tc>
          <w:tcPr>
            <w:tcW w:w="1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广元市紧急救援中心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16.28</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16.28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16.28</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16.28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≤5%</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项目自评总分100分，保障了单位日常运转。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项目负责人：毕敏</w:t>
            </w:r>
          </w:p>
        </w:tc>
        <w:tc>
          <w:tcPr>
            <w:tcW w:w="31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财务负责人：郭丽蓉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8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kern w:val="0"/>
                <w:sz w:val="30"/>
                <w:szCs w:val="30"/>
                <w:u w:val="none"/>
                <w:lang w:val="en-US" w:eastAsia="zh-CN" w:bidi="ar"/>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63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 （盖章）</w:t>
            </w:r>
          </w:p>
        </w:tc>
        <w:tc>
          <w:tcPr>
            <w:tcW w:w="1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广元市紧急救援中心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严格执行相关政策，保障基础绩效奖及生活补助及时发放、足额发放，预算编制科学合理，减少结余资金。</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保障了基础绩效奖及生活补助及时发放、足额发放。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保障基础绩效奖及生活补助及时发放、足额发放。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12.74</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12.74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r>
              <w:rPr>
                <w:rFonts w:hint="eastAsia" w:ascii="宋体" w:hAnsi="宋体" w:eastAsia="宋体" w:cs="宋体"/>
                <w:i w:val="0"/>
                <w:iCs w:val="0"/>
                <w:color w:val="000000"/>
                <w:sz w:val="18"/>
                <w:szCs w:val="18"/>
                <w:u w:val="none"/>
                <w:lang w:eastAsia="zh-CN"/>
              </w:rPr>
              <w:t>预算调增的原因为</w:t>
            </w:r>
            <w:r>
              <w:rPr>
                <w:rFonts w:hint="eastAsia" w:ascii="宋体" w:hAnsi="宋体" w:cs="宋体"/>
                <w:i w:val="0"/>
                <w:iCs w:val="0"/>
                <w:color w:val="000000"/>
                <w:sz w:val="18"/>
                <w:szCs w:val="18"/>
                <w:u w:val="none"/>
                <w:lang w:eastAsia="zh-CN"/>
              </w:rPr>
              <w:t>预算了基础绩效。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12.74</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12.74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≤5%</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项目自评总分100分，保障了基础绩效奖及生活补助及时发放、足额发放。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项目负责人：毕敏</w:t>
            </w:r>
          </w:p>
        </w:tc>
        <w:tc>
          <w:tcPr>
            <w:tcW w:w="31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财务负责人：郭丽蓉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8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kern w:val="0"/>
                <w:sz w:val="30"/>
                <w:szCs w:val="30"/>
                <w:u w:val="none"/>
                <w:lang w:val="en-US" w:eastAsia="zh-CN" w:bidi="ar"/>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51080021T000000057325-120指挥调度系统运行维护费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63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 （盖章）</w:t>
            </w:r>
          </w:p>
        </w:tc>
        <w:tc>
          <w:tcPr>
            <w:tcW w:w="1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广元市紧急救援中心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顺利完成全年指挥调度工作，无差错事故发生。</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120指挥调度平台正常运行，响应及时、准确。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负责全市所有医疗急救资源的统一调度、指挥并开展院前急救等工作。项目投入成本与预期产出及效果相匹配，系统维护费、电信使用费根据与成都品杰公司及广元电信公司合同所得，水电费及踏查线路、会议费等依据往年实际情况预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12.35</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12.35</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12.35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12.35</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12.35</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12.35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投诉处理</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事故处理</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事故受理</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投诉受理</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责任投诉</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起</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0起</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有效调度误差</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≤0.1</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责任事故</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起</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0起</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患者对120急救电话知晓率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优</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紧急救援调度工作持续实施</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优</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呼救者满意率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≥95%</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项目自评总分100分，顺利完成了全年指挥调度工作，确保120指挥调度平台正常运行。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全市院前急救信息化建设滞后；调度员队伍不稳定。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需政府及主管部门重视并适当增加专项资金和调度员队伍人才储备。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项目负责人：段春</w:t>
            </w:r>
          </w:p>
        </w:tc>
        <w:tc>
          <w:tcPr>
            <w:tcW w:w="31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财务负责人：郭丽蓉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8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kern w:val="0"/>
                <w:sz w:val="30"/>
                <w:szCs w:val="30"/>
                <w:u w:val="none"/>
                <w:lang w:val="en-US" w:eastAsia="zh-CN" w:bidi="ar"/>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51080021T000000057329-120平台调度员夜班补助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63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 （盖章）</w:t>
            </w:r>
          </w:p>
        </w:tc>
        <w:tc>
          <w:tcPr>
            <w:tcW w:w="1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广元市紧急救援中心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顺利完成全年调度工作任务，无差错事故发生。　</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调度平台工作正常运行。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为保障全市所有医疗急救资源的统一调度、指挥工作顺利进行，实行两班倒工作制度。成本依据实际值班人数、365天/年及120元/天/人测算，另加驾驶员工资、保险、年终目标奖等。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完成任务数占计划数比例</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夜班费发放时间</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职工收入</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良</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紧急救援调度工作持续实施</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优</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项目自评总分100分，保障了调度平台工作正常运行。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项目负责人：段春</w:t>
            </w:r>
          </w:p>
        </w:tc>
        <w:tc>
          <w:tcPr>
            <w:tcW w:w="31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财务负责人：郭丽蓉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8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kern w:val="0"/>
                <w:sz w:val="30"/>
                <w:szCs w:val="30"/>
                <w:u w:val="none"/>
                <w:lang w:val="en-US" w:eastAsia="zh-CN" w:bidi="ar"/>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51080021T000000057330-医疗卫生紧急救援工作经费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63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 （盖章）</w:t>
            </w:r>
          </w:p>
        </w:tc>
        <w:tc>
          <w:tcPr>
            <w:tcW w:w="1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广元市紧急救援中心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各网络医院院前急救技能、服务质量皆有所提高，社会公众对急救的应急反应能力同比增强，对急救医学常识也逐步有所了解和提高。</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院前急救队伍整体水平、公众对急救知识的知晓度明显提高。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全市网络医院监管指导工作全年不少于4次；开展院前急救基层专业技术人员技能培训1-2次；开展院前医疗急救法律法规及院前急救知识“五进”宣传活动不少于3次；在各级各类媒体发布信息数次等。投入成本根据以前年度实际情况预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12.27</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12.27</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12.27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10.27</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10.27</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 </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 </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 </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重点人群急救常识培训人数</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99家网络医院监督、督导数</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院前急救专业人员技能培训人数</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社会公众急救知识宣传人数</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院前急救专业人员培训合格率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全市院前急救队伍整体水平</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优</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院前急救应急反应能力</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优</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社会公众急救知识科普</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优</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参加培训院前急救专业人员满意率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参加培训公众满意率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项目自评总分100分，院前急救队伍整体水平、公众对急救知识的知晓度明显提高。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由于新冠疫情影响，项目预算执行进度较慢。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强化内控制度执行，促进项目及时开展。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项目负责人：严静</w:t>
            </w:r>
          </w:p>
        </w:tc>
        <w:tc>
          <w:tcPr>
            <w:tcW w:w="31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财务负责人：郭丽蓉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8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kern w:val="0"/>
                <w:sz w:val="30"/>
                <w:szCs w:val="30"/>
                <w:u w:val="none"/>
                <w:lang w:val="en-US" w:eastAsia="zh-CN" w:bidi="ar"/>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51080022T000000392576-医疗卫生紧急救援货物及服务购置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63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 （盖章）</w:t>
            </w:r>
          </w:p>
        </w:tc>
        <w:tc>
          <w:tcPr>
            <w:tcW w:w="1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广元市紧急救援中心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2022年9月底前完成所有采购。</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2022年9月底前完成所有采购。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采购调度系统配套服务器1套（服务器2台，数字中继网关1台），采购台式计算机3套1台，其中3套一机三屏，带显卡，用于120调度指挥平台，1台行政办公用。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10.39</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10.39</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8.15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78.44%</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7.84</w:t>
            </w:r>
          </w:p>
        </w:tc>
        <w:tc>
          <w:tcPr>
            <w:tcW w:w="3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采购结余2.24万元。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10.39</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10.39</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8.15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78.44%</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完成任务数占计划数比例  </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货物采购规范率  </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资金支付进度  </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优</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完成时间  </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优</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97.84</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项目自评总分97.84分，2022年9月前完成了所有采购，保障了调度平台工作、日常工作正常运行。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采购预算编制不够精细。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深入了解市场行情，结合自身资产情况，科学合理地编制采购预算。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项目负责人：李霞</w:t>
            </w:r>
          </w:p>
        </w:tc>
        <w:tc>
          <w:tcPr>
            <w:tcW w:w="31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财务负责人：郭丽蓉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8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kern w:val="0"/>
                <w:sz w:val="30"/>
                <w:szCs w:val="30"/>
                <w:u w:val="none"/>
                <w:lang w:val="en-US" w:eastAsia="zh-CN" w:bidi="ar"/>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51080023T000008613035-2022年市级重大卫生事业及发展经费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63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 （盖章）</w:t>
            </w:r>
          </w:p>
        </w:tc>
        <w:tc>
          <w:tcPr>
            <w:tcW w:w="1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广元市紧急救援中心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各网络医院院前急救技能、服务质量皆有所提高，社会公众对急救的应急反应能力同比增强，对急救医学常识也逐步有所了解和提高。</w:t>
            </w:r>
          </w:p>
        </w:tc>
        <w:tc>
          <w:tcPr>
            <w:tcW w:w="20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院前急救队伍整体水平、公众对急救知识的知晓度明显提高。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26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为疫情管控期间支援“120”转运病人的救护车工作人员购防疫物资，为120调度平台人员购疫情防控物资，保障紧急救援调度工作持续稳定运行。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95.61%</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9.56</w:t>
            </w:r>
          </w:p>
        </w:tc>
        <w:tc>
          <w:tcPr>
            <w:tcW w:w="3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宋体" w:hAnsi="宋体" w:cs="宋体"/>
                <w:i w:val="0"/>
                <w:iCs w:val="0"/>
                <w:color w:val="000000"/>
                <w:kern w:val="0"/>
                <w:sz w:val="18"/>
                <w:szCs w:val="18"/>
                <w:u w:val="none"/>
                <w:lang w:val="en-US" w:eastAsia="zh-CN" w:bidi="ar"/>
              </w:rPr>
              <w:t>预算调增的原因</w:t>
            </w:r>
            <w:r>
              <w:rPr>
                <w:rFonts w:hint="eastAsia" w:ascii="宋体" w:hAnsi="宋体" w:eastAsia="宋体" w:cs="宋体"/>
                <w:i w:val="0"/>
                <w:iCs w:val="0"/>
                <w:color w:val="000000"/>
                <w:kern w:val="0"/>
                <w:sz w:val="18"/>
                <w:szCs w:val="18"/>
                <w:u w:val="none"/>
                <w:lang w:val="en-US" w:eastAsia="zh-CN" w:bidi="ar"/>
              </w:rPr>
              <w:t>为保障疫情期间紧急救援调度工作持续稳定运行。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95.61%</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全市院前急救队伍整体水平</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紧急救援调度工作持续实施</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职工满意度</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为支援120运转病人的救护车购疫情防控物资</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6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2"/>
                <w:lang w:val="en-US" w:eastAsia="zh-CN" w:bidi="ar"/>
              </w:rPr>
              <w:t>0</w:t>
            </w:r>
            <w:r>
              <w:rPr>
                <w:rStyle w:val="33"/>
                <w:lang w:val="en-US" w:eastAsia="zh-CN" w:bidi="ar"/>
              </w:rPr>
              <w:t>.4万元</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将结余资金购买了单位疫情防控物资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为120调度平台购买疫情防控物资</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0.7</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6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2"/>
                <w:lang w:val="en-US" w:eastAsia="zh-CN" w:bidi="ar"/>
              </w:rPr>
              <w:t>0.</w:t>
            </w:r>
            <w:r>
              <w:rPr>
                <w:rStyle w:val="33"/>
                <w:lang w:val="en-US" w:eastAsia="zh-CN" w:bidi="ar"/>
              </w:rPr>
              <w:t>8万元</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98</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项目自评总分98分，院前急救队伍整体水平、公众对急救知识的知晓度明显提高。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项目负责人：李霞</w:t>
            </w:r>
          </w:p>
        </w:tc>
        <w:tc>
          <w:tcPr>
            <w:tcW w:w="31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财务负责人：郭丽蓉</w:t>
            </w:r>
          </w:p>
        </w:tc>
      </w:tr>
    </w:tbl>
    <w:p>
      <w:pPr>
        <w:pStyle w:val="2"/>
        <w:rPr>
          <w:rFonts w:hint="default"/>
          <w:lang w:val="en-US" w:eastAsia="zh-CN"/>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黑体" w:hAnsi="黑体" w:eastAsia="黑体"/>
          <w:color w:val="auto"/>
          <w:sz w:val="44"/>
          <w:szCs w:val="44"/>
          <w:highlight w:val="none"/>
        </w:rPr>
      </w:pPr>
      <w:bookmarkStart w:id="104" w:name="_Toc1809"/>
      <w:bookmarkStart w:id="105" w:name="_Toc20630"/>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五部分 附表</w:t>
      </w:r>
      <w:bookmarkEnd w:id="99"/>
      <w:bookmarkEnd w:id="103"/>
      <w:bookmarkEnd w:id="104"/>
      <w:bookmarkEnd w:id="105"/>
      <w:bookmarkStart w:id="106" w:name="_Toc10635"/>
      <w:bookmarkStart w:id="107" w:name="_Toc26740"/>
      <w:bookmarkStart w:id="108" w:name="_Toc15396619"/>
    </w:p>
    <w:p>
      <w:pPr>
        <w:pStyle w:val="4"/>
        <w:rPr>
          <w:rFonts w:hint="eastAsia" w:ascii="仿宋" w:hAnsi="仿宋" w:eastAsia="仿宋"/>
          <w:b w:val="0"/>
          <w:color w:val="auto"/>
          <w:highlight w:val="none"/>
        </w:rPr>
      </w:pPr>
    </w:p>
    <w:p>
      <w:pPr>
        <w:pStyle w:val="4"/>
        <w:rPr>
          <w:rFonts w:ascii="仿宋" w:hAnsi="仿宋" w:eastAsia="仿宋"/>
          <w:color w:val="auto"/>
          <w:highlight w:val="none"/>
        </w:rPr>
      </w:pPr>
      <w:r>
        <w:rPr>
          <w:rFonts w:hint="eastAsia" w:ascii="仿宋" w:hAnsi="仿宋" w:eastAsia="仿宋"/>
          <w:b w:val="0"/>
          <w:color w:val="auto"/>
          <w:highlight w:val="none"/>
        </w:rPr>
        <w:t>一、收</w:t>
      </w:r>
      <w:r>
        <w:rPr>
          <w:rStyle w:val="17"/>
          <w:rFonts w:hint="eastAsia" w:ascii="仿宋" w:hAnsi="仿宋" w:eastAsia="仿宋"/>
          <w:b w:val="0"/>
          <w:bCs w:val="0"/>
          <w:color w:val="auto"/>
          <w:highlight w:val="none"/>
        </w:rPr>
        <w:t>入支出决算总表</w:t>
      </w:r>
      <w:bookmarkEnd w:id="106"/>
      <w:bookmarkEnd w:id="107"/>
      <w:bookmarkEnd w:id="108"/>
    </w:p>
    <w:p>
      <w:pPr>
        <w:pStyle w:val="4"/>
        <w:rPr>
          <w:rFonts w:ascii="仿宋" w:hAnsi="仿宋" w:eastAsia="仿宋"/>
          <w:color w:val="auto"/>
          <w:highlight w:val="none"/>
        </w:rPr>
      </w:pPr>
      <w:bookmarkStart w:id="109" w:name="_Toc1934"/>
      <w:bookmarkStart w:id="110" w:name="_Toc15396620"/>
      <w:bookmarkStart w:id="111" w:name="_Toc15290"/>
      <w:r>
        <w:rPr>
          <w:rFonts w:hint="eastAsia" w:ascii="仿宋" w:hAnsi="仿宋" w:eastAsia="仿宋"/>
          <w:b w:val="0"/>
          <w:color w:val="auto"/>
          <w:highlight w:val="none"/>
        </w:rPr>
        <w:t>二、收</w:t>
      </w:r>
      <w:r>
        <w:rPr>
          <w:rStyle w:val="17"/>
          <w:rFonts w:hint="eastAsia" w:ascii="仿宋" w:hAnsi="仿宋" w:eastAsia="仿宋"/>
          <w:b w:val="0"/>
          <w:bCs w:val="0"/>
          <w:color w:val="auto"/>
          <w:highlight w:val="none"/>
        </w:rPr>
        <w:t>入决算表</w:t>
      </w:r>
      <w:bookmarkEnd w:id="109"/>
      <w:bookmarkEnd w:id="110"/>
      <w:bookmarkEnd w:id="111"/>
    </w:p>
    <w:p>
      <w:pPr>
        <w:pStyle w:val="4"/>
        <w:rPr>
          <w:rFonts w:ascii="仿宋" w:hAnsi="仿宋" w:eastAsia="仿宋"/>
          <w:color w:val="auto"/>
          <w:highlight w:val="none"/>
        </w:rPr>
      </w:pPr>
      <w:bookmarkStart w:id="112" w:name="_Toc479"/>
      <w:bookmarkStart w:id="113" w:name="_Toc2234"/>
      <w:bookmarkStart w:id="114" w:name="_Toc15396621"/>
      <w:r>
        <w:rPr>
          <w:rStyle w:val="17"/>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7"/>
          <w:rFonts w:hint="eastAsia" w:ascii="仿宋" w:hAnsi="仿宋" w:eastAsia="仿宋"/>
          <w:b w:val="0"/>
          <w:bCs w:val="0"/>
          <w:color w:val="auto"/>
          <w:highlight w:val="none"/>
        </w:rPr>
        <w:t>出决算表</w:t>
      </w:r>
      <w:bookmarkEnd w:id="112"/>
      <w:bookmarkEnd w:id="113"/>
      <w:bookmarkEnd w:id="114"/>
    </w:p>
    <w:p>
      <w:pPr>
        <w:pStyle w:val="4"/>
        <w:rPr>
          <w:rFonts w:ascii="仿宋" w:hAnsi="仿宋" w:eastAsia="仿宋"/>
          <w:b w:val="0"/>
          <w:color w:val="auto"/>
          <w:highlight w:val="none"/>
        </w:rPr>
      </w:pPr>
      <w:bookmarkStart w:id="115" w:name="_Toc18163"/>
      <w:bookmarkStart w:id="116" w:name="_Toc26569"/>
      <w:bookmarkStart w:id="117" w:name="_Toc15396622"/>
      <w:r>
        <w:rPr>
          <w:rStyle w:val="17"/>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政拨款收入支出决算总表</w:t>
      </w:r>
      <w:bookmarkEnd w:id="115"/>
      <w:bookmarkEnd w:id="116"/>
      <w:bookmarkEnd w:id="117"/>
    </w:p>
    <w:p>
      <w:pPr>
        <w:pStyle w:val="4"/>
        <w:rPr>
          <w:rStyle w:val="17"/>
          <w:rFonts w:ascii="仿宋" w:hAnsi="仿宋" w:eastAsia="仿宋"/>
          <w:b w:val="0"/>
          <w:bCs w:val="0"/>
          <w:color w:val="auto"/>
          <w:highlight w:val="none"/>
        </w:rPr>
      </w:pPr>
      <w:bookmarkStart w:id="118" w:name="_Toc16806"/>
      <w:bookmarkStart w:id="119" w:name="_Toc28559"/>
      <w:bookmarkStart w:id="120" w:name="_Toc15396623"/>
      <w:r>
        <w:rPr>
          <w:rStyle w:val="17"/>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政拨款支出决算明细表</w:t>
      </w:r>
      <w:bookmarkEnd w:id="118"/>
      <w:bookmarkEnd w:id="119"/>
      <w:bookmarkEnd w:id="120"/>
      <w:bookmarkStart w:id="121" w:name="_Toc15396624"/>
    </w:p>
    <w:p>
      <w:pPr>
        <w:pStyle w:val="4"/>
        <w:rPr>
          <w:rFonts w:ascii="仿宋" w:hAnsi="仿宋" w:eastAsia="仿宋"/>
          <w:color w:val="auto"/>
          <w:highlight w:val="none"/>
        </w:rPr>
      </w:pPr>
      <w:bookmarkStart w:id="122" w:name="_Toc4882"/>
      <w:bookmarkStart w:id="123" w:name="_Toc12978"/>
      <w:r>
        <w:rPr>
          <w:rStyle w:val="17"/>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般公共预算财政拨款支出决算表</w:t>
      </w:r>
      <w:bookmarkEnd w:id="121"/>
      <w:bookmarkEnd w:id="122"/>
      <w:bookmarkEnd w:id="123"/>
    </w:p>
    <w:p>
      <w:pPr>
        <w:pStyle w:val="4"/>
        <w:rPr>
          <w:rFonts w:ascii="仿宋" w:hAnsi="仿宋" w:eastAsia="仿宋"/>
          <w:color w:val="auto"/>
          <w:highlight w:val="none"/>
        </w:rPr>
      </w:pPr>
      <w:bookmarkStart w:id="124" w:name="_Toc15090"/>
      <w:bookmarkStart w:id="125" w:name="_Toc16213"/>
      <w:bookmarkStart w:id="126" w:name="_Toc15396625"/>
      <w:r>
        <w:rPr>
          <w:rStyle w:val="17"/>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般公共预算财政拨款支出决算明细表</w:t>
      </w:r>
      <w:bookmarkEnd w:id="124"/>
      <w:bookmarkEnd w:id="125"/>
      <w:bookmarkEnd w:id="126"/>
    </w:p>
    <w:p>
      <w:pPr>
        <w:pStyle w:val="4"/>
        <w:rPr>
          <w:rFonts w:ascii="仿宋" w:hAnsi="仿宋" w:eastAsia="仿宋"/>
          <w:color w:val="auto"/>
          <w:highlight w:val="none"/>
        </w:rPr>
      </w:pPr>
      <w:bookmarkStart w:id="127" w:name="_Toc9993"/>
      <w:bookmarkStart w:id="128" w:name="_Toc3273"/>
      <w:bookmarkStart w:id="129" w:name="_Toc15396626"/>
      <w:r>
        <w:rPr>
          <w:rStyle w:val="17"/>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般公共预算财政拨款基本支出决算表</w:t>
      </w:r>
      <w:bookmarkEnd w:id="127"/>
      <w:bookmarkEnd w:id="128"/>
      <w:bookmarkEnd w:id="129"/>
    </w:p>
    <w:p>
      <w:pPr>
        <w:pStyle w:val="4"/>
        <w:rPr>
          <w:rFonts w:ascii="仿宋" w:hAnsi="仿宋" w:eastAsia="仿宋"/>
          <w:color w:val="auto"/>
          <w:highlight w:val="none"/>
        </w:rPr>
      </w:pPr>
      <w:bookmarkStart w:id="130" w:name="_Toc15396627"/>
      <w:bookmarkStart w:id="131" w:name="_Toc30929"/>
      <w:bookmarkStart w:id="132" w:name="_Toc71"/>
      <w:r>
        <w:rPr>
          <w:rStyle w:val="17"/>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般公共预算财政拨款项目支出决算表</w:t>
      </w:r>
      <w:bookmarkEnd w:id="130"/>
      <w:bookmarkEnd w:id="131"/>
      <w:bookmarkEnd w:id="132"/>
    </w:p>
    <w:p>
      <w:pPr>
        <w:pStyle w:val="4"/>
        <w:rPr>
          <w:rFonts w:ascii="仿宋" w:hAnsi="仿宋" w:eastAsia="仿宋"/>
          <w:color w:val="auto"/>
          <w:highlight w:val="none"/>
        </w:rPr>
      </w:pPr>
      <w:bookmarkStart w:id="133" w:name="_Toc15396628"/>
      <w:bookmarkStart w:id="134" w:name="_Toc22511"/>
      <w:bookmarkStart w:id="135" w:name="_Toc5700"/>
      <w:r>
        <w:rPr>
          <w:rStyle w:val="17"/>
          <w:rFonts w:hint="eastAsia" w:ascii="仿宋" w:hAnsi="仿宋" w:eastAsia="仿宋"/>
          <w:b w:val="0"/>
          <w:bCs w:val="0"/>
          <w:color w:val="auto"/>
          <w:highlight w:val="none"/>
        </w:rPr>
        <w:t>十、</w:t>
      </w:r>
      <w:bookmarkEnd w:id="133"/>
      <w:r>
        <w:rPr>
          <w:rFonts w:hint="eastAsia" w:ascii="仿宋" w:hAnsi="仿宋" w:eastAsia="仿宋"/>
          <w:b w:val="0"/>
          <w:color w:val="auto"/>
          <w:highlight w:val="none"/>
        </w:rPr>
        <w:t>政</w:t>
      </w:r>
      <w:r>
        <w:rPr>
          <w:rStyle w:val="17"/>
          <w:rFonts w:hint="eastAsia" w:ascii="仿宋" w:hAnsi="仿宋" w:eastAsia="仿宋"/>
          <w:b w:val="0"/>
          <w:bCs w:val="0"/>
          <w:color w:val="auto"/>
          <w:highlight w:val="none"/>
        </w:rPr>
        <w:t>府性基金预算财政拨款收入支出决算表</w:t>
      </w:r>
      <w:bookmarkEnd w:id="134"/>
      <w:bookmarkEnd w:id="135"/>
    </w:p>
    <w:p>
      <w:pPr>
        <w:pStyle w:val="4"/>
        <w:rPr>
          <w:rFonts w:ascii="仿宋" w:hAnsi="仿宋" w:eastAsia="仿宋"/>
          <w:color w:val="auto"/>
          <w:highlight w:val="none"/>
        </w:rPr>
      </w:pPr>
      <w:bookmarkStart w:id="136" w:name="_Toc15396629"/>
      <w:bookmarkStart w:id="137" w:name="_Toc18100"/>
      <w:bookmarkStart w:id="138" w:name="_Toc10628"/>
      <w:r>
        <w:rPr>
          <w:rStyle w:val="17"/>
          <w:rFonts w:hint="eastAsia" w:ascii="仿宋" w:hAnsi="仿宋" w:eastAsia="仿宋"/>
          <w:b w:val="0"/>
          <w:bCs w:val="0"/>
          <w:color w:val="auto"/>
          <w:highlight w:val="none"/>
        </w:rPr>
        <w:t>十一、</w:t>
      </w:r>
      <w:bookmarkEnd w:id="136"/>
      <w:r>
        <w:rPr>
          <w:rFonts w:hint="eastAsia" w:ascii="仿宋" w:hAnsi="仿宋" w:eastAsia="仿宋"/>
          <w:b w:val="0"/>
          <w:color w:val="auto"/>
          <w:highlight w:val="none"/>
        </w:rPr>
        <w:t>国</w:t>
      </w:r>
      <w:r>
        <w:rPr>
          <w:rStyle w:val="17"/>
          <w:rFonts w:hint="eastAsia" w:ascii="仿宋" w:hAnsi="仿宋" w:eastAsia="仿宋"/>
          <w:b w:val="0"/>
          <w:bCs w:val="0"/>
          <w:color w:val="auto"/>
          <w:highlight w:val="none"/>
        </w:rPr>
        <w:t>有资本经营预算</w:t>
      </w:r>
      <w:r>
        <w:rPr>
          <w:rStyle w:val="17"/>
          <w:rFonts w:hint="eastAsia" w:ascii="仿宋" w:hAnsi="仿宋" w:eastAsia="仿宋"/>
          <w:b w:val="0"/>
          <w:bCs w:val="0"/>
          <w:color w:val="auto"/>
          <w:highlight w:val="none"/>
          <w:lang w:eastAsia="zh-CN"/>
        </w:rPr>
        <w:t>财政拨款收入</w:t>
      </w:r>
      <w:r>
        <w:rPr>
          <w:rStyle w:val="17"/>
          <w:rFonts w:hint="eastAsia" w:ascii="仿宋" w:hAnsi="仿宋" w:eastAsia="仿宋"/>
          <w:b w:val="0"/>
          <w:bCs w:val="0"/>
          <w:color w:val="auto"/>
          <w:highlight w:val="none"/>
        </w:rPr>
        <w:t>支出决算表</w:t>
      </w:r>
      <w:bookmarkEnd w:id="137"/>
      <w:bookmarkEnd w:id="138"/>
    </w:p>
    <w:p>
      <w:pPr>
        <w:pStyle w:val="4"/>
        <w:rPr>
          <w:rFonts w:ascii="仿宋" w:hAnsi="仿宋" w:eastAsia="仿宋"/>
          <w:color w:val="auto"/>
          <w:highlight w:val="none"/>
        </w:rPr>
      </w:pPr>
      <w:bookmarkStart w:id="139" w:name="_Toc15396630"/>
      <w:bookmarkStart w:id="140" w:name="_Toc25356"/>
      <w:bookmarkStart w:id="141" w:name="_Toc21174"/>
      <w:r>
        <w:rPr>
          <w:rStyle w:val="17"/>
          <w:rFonts w:hint="eastAsia" w:ascii="仿宋" w:hAnsi="仿宋" w:eastAsia="仿宋"/>
          <w:b w:val="0"/>
          <w:bCs w:val="0"/>
          <w:color w:val="auto"/>
          <w:highlight w:val="none"/>
        </w:rPr>
        <w:t>十二、</w:t>
      </w:r>
      <w:bookmarkEnd w:id="139"/>
      <w:r>
        <w:rPr>
          <w:rStyle w:val="17"/>
          <w:rFonts w:hint="eastAsia" w:ascii="仿宋" w:hAnsi="仿宋" w:eastAsia="仿宋"/>
          <w:b w:val="0"/>
          <w:bCs w:val="0"/>
          <w:color w:val="auto"/>
          <w:highlight w:val="none"/>
          <w:lang w:eastAsia="zh-CN"/>
        </w:rPr>
        <w:t>国有资本经营预算财政拨款支出决算表</w:t>
      </w:r>
      <w:bookmarkEnd w:id="140"/>
      <w:bookmarkEnd w:id="141"/>
    </w:p>
    <w:p>
      <w:pPr>
        <w:pStyle w:val="4"/>
        <w:rPr>
          <w:rFonts w:hint="eastAsia" w:eastAsia="仿宋"/>
          <w:color w:val="auto"/>
          <w:highlight w:val="none"/>
          <w:lang w:eastAsia="zh-CN"/>
        </w:rPr>
      </w:pPr>
      <w:bookmarkStart w:id="142" w:name="_Toc15396631"/>
      <w:bookmarkStart w:id="143" w:name="_Toc17356"/>
      <w:bookmarkStart w:id="144" w:name="_Toc28588"/>
      <w:r>
        <w:rPr>
          <w:rStyle w:val="17"/>
          <w:rFonts w:hint="eastAsia" w:ascii="仿宋" w:hAnsi="仿宋" w:eastAsia="仿宋"/>
          <w:b w:val="0"/>
          <w:bCs w:val="0"/>
          <w:color w:val="auto"/>
          <w:highlight w:val="none"/>
        </w:rPr>
        <w:t>十三、</w:t>
      </w:r>
      <w:bookmarkEnd w:id="142"/>
      <w:r>
        <w:rPr>
          <w:rStyle w:val="17"/>
          <w:rFonts w:hint="eastAsia" w:ascii="仿宋" w:hAnsi="仿宋" w:eastAsia="仿宋"/>
          <w:b w:val="0"/>
          <w:bCs w:val="0"/>
          <w:color w:val="auto"/>
          <w:highlight w:val="none"/>
          <w:lang w:eastAsia="zh-CN"/>
        </w:rPr>
        <w:t>财政拨款“三公”经费支出决算表</w:t>
      </w:r>
      <w:bookmarkEnd w:id="143"/>
      <w:bookmarkEnd w:id="144"/>
    </w:p>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8"/>
          <w:jc w:val="center"/>
        </w:pPr>
      </w:p>
    </w:sdtContent>
  </w:sdt>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981487245"/>
                          </w:sdtPr>
                          <w:sdtContent>
                            <w:p>
                              <w:pPr>
                                <w:pStyle w:val="8"/>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981487245"/>
                    </w:sdtPr>
                    <w:sdtContent>
                      <w:p>
                        <w:pPr>
                          <w:pStyle w:val="8"/>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v:textbox>
            </v:shape>
          </w:pict>
        </mc:Fallback>
      </mc:AlternateContent>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wZDNhMjhkOWY3OTNiYjkxMjEyZjk4MDgwODIyNmY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282C"/>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963"/>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49F"/>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D1D30"/>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862456"/>
    <w:rsid w:val="02FA2440"/>
    <w:rsid w:val="02FD674C"/>
    <w:rsid w:val="03EE1902"/>
    <w:rsid w:val="045B224D"/>
    <w:rsid w:val="050F48F8"/>
    <w:rsid w:val="053A62B5"/>
    <w:rsid w:val="057272E7"/>
    <w:rsid w:val="061E65E2"/>
    <w:rsid w:val="06E333A7"/>
    <w:rsid w:val="07283BEC"/>
    <w:rsid w:val="09204153"/>
    <w:rsid w:val="095E767E"/>
    <w:rsid w:val="0A2032A3"/>
    <w:rsid w:val="0A4D56E8"/>
    <w:rsid w:val="0B8A37D8"/>
    <w:rsid w:val="0BA6071D"/>
    <w:rsid w:val="0C0D3381"/>
    <w:rsid w:val="0CC646C4"/>
    <w:rsid w:val="0D690007"/>
    <w:rsid w:val="0E216792"/>
    <w:rsid w:val="0F066D67"/>
    <w:rsid w:val="0F7352F0"/>
    <w:rsid w:val="109F67A5"/>
    <w:rsid w:val="10C055FF"/>
    <w:rsid w:val="10CF2DEE"/>
    <w:rsid w:val="110C32D4"/>
    <w:rsid w:val="118107EC"/>
    <w:rsid w:val="118F1A59"/>
    <w:rsid w:val="11DD6519"/>
    <w:rsid w:val="11FA17DC"/>
    <w:rsid w:val="121B4E4B"/>
    <w:rsid w:val="12400A10"/>
    <w:rsid w:val="12574CF3"/>
    <w:rsid w:val="13254AE0"/>
    <w:rsid w:val="139B19BC"/>
    <w:rsid w:val="14146784"/>
    <w:rsid w:val="141D612B"/>
    <w:rsid w:val="14276FAA"/>
    <w:rsid w:val="14915DCE"/>
    <w:rsid w:val="14997EA7"/>
    <w:rsid w:val="14C64A14"/>
    <w:rsid w:val="15243EE8"/>
    <w:rsid w:val="15747E54"/>
    <w:rsid w:val="16BB723D"/>
    <w:rsid w:val="17E4768B"/>
    <w:rsid w:val="18015F3F"/>
    <w:rsid w:val="18AD3103"/>
    <w:rsid w:val="18BD186F"/>
    <w:rsid w:val="18C5271C"/>
    <w:rsid w:val="18E15979"/>
    <w:rsid w:val="18EB2C9C"/>
    <w:rsid w:val="191135DD"/>
    <w:rsid w:val="191C10A7"/>
    <w:rsid w:val="1A9F3032"/>
    <w:rsid w:val="1B5B2EEE"/>
    <w:rsid w:val="1BC26B49"/>
    <w:rsid w:val="1BE8440E"/>
    <w:rsid w:val="1CE154DF"/>
    <w:rsid w:val="1D155CEE"/>
    <w:rsid w:val="1D365BD5"/>
    <w:rsid w:val="1D774AFE"/>
    <w:rsid w:val="1E0F5C35"/>
    <w:rsid w:val="1F3031B6"/>
    <w:rsid w:val="1F5B70A9"/>
    <w:rsid w:val="1FB85F95"/>
    <w:rsid w:val="20111B22"/>
    <w:rsid w:val="207675EC"/>
    <w:rsid w:val="20F57F95"/>
    <w:rsid w:val="21447163"/>
    <w:rsid w:val="21614BC8"/>
    <w:rsid w:val="221E350F"/>
    <w:rsid w:val="223A49EE"/>
    <w:rsid w:val="22AF4F23"/>
    <w:rsid w:val="22CE51C0"/>
    <w:rsid w:val="23EE4A15"/>
    <w:rsid w:val="23FF7CE2"/>
    <w:rsid w:val="240371BF"/>
    <w:rsid w:val="25472740"/>
    <w:rsid w:val="25711CC6"/>
    <w:rsid w:val="25B00273"/>
    <w:rsid w:val="25C741E6"/>
    <w:rsid w:val="26594DA0"/>
    <w:rsid w:val="26C12BC6"/>
    <w:rsid w:val="27842671"/>
    <w:rsid w:val="280B2A12"/>
    <w:rsid w:val="294A42D1"/>
    <w:rsid w:val="29FD04D3"/>
    <w:rsid w:val="2A845457"/>
    <w:rsid w:val="2ABE7A3E"/>
    <w:rsid w:val="2CA234A8"/>
    <w:rsid w:val="2CD17480"/>
    <w:rsid w:val="2D2531EC"/>
    <w:rsid w:val="2D281971"/>
    <w:rsid w:val="2DCA210C"/>
    <w:rsid w:val="2EFA178C"/>
    <w:rsid w:val="30B46D73"/>
    <w:rsid w:val="316D0FCC"/>
    <w:rsid w:val="31850D91"/>
    <w:rsid w:val="319F7F4E"/>
    <w:rsid w:val="328566DE"/>
    <w:rsid w:val="32861682"/>
    <w:rsid w:val="32E5788E"/>
    <w:rsid w:val="331E177B"/>
    <w:rsid w:val="34CE3850"/>
    <w:rsid w:val="35DA3E68"/>
    <w:rsid w:val="3619454C"/>
    <w:rsid w:val="36FD5C1C"/>
    <w:rsid w:val="37A46016"/>
    <w:rsid w:val="37C74DFB"/>
    <w:rsid w:val="380751D0"/>
    <w:rsid w:val="383D272C"/>
    <w:rsid w:val="38643EF7"/>
    <w:rsid w:val="387E20B5"/>
    <w:rsid w:val="39100DB7"/>
    <w:rsid w:val="393269DA"/>
    <w:rsid w:val="39704AA9"/>
    <w:rsid w:val="39AE70AB"/>
    <w:rsid w:val="3A0C68BE"/>
    <w:rsid w:val="3A5F57D3"/>
    <w:rsid w:val="3AA54601"/>
    <w:rsid w:val="3AD87601"/>
    <w:rsid w:val="3AFE67C0"/>
    <w:rsid w:val="3B9F0D4F"/>
    <w:rsid w:val="3C0C0783"/>
    <w:rsid w:val="3CB6418B"/>
    <w:rsid w:val="3D7676D0"/>
    <w:rsid w:val="3E795596"/>
    <w:rsid w:val="3F0C042B"/>
    <w:rsid w:val="3F9F3A96"/>
    <w:rsid w:val="3FC32DB3"/>
    <w:rsid w:val="3FC937A7"/>
    <w:rsid w:val="41085755"/>
    <w:rsid w:val="41DB1250"/>
    <w:rsid w:val="42A96C58"/>
    <w:rsid w:val="44A766CD"/>
    <w:rsid w:val="45596713"/>
    <w:rsid w:val="45A100BA"/>
    <w:rsid w:val="46123D20"/>
    <w:rsid w:val="461A7450"/>
    <w:rsid w:val="46C81525"/>
    <w:rsid w:val="471E0D03"/>
    <w:rsid w:val="4760502F"/>
    <w:rsid w:val="479E7CF7"/>
    <w:rsid w:val="48406040"/>
    <w:rsid w:val="484D4D2C"/>
    <w:rsid w:val="48594C7C"/>
    <w:rsid w:val="489857A5"/>
    <w:rsid w:val="48BF60AB"/>
    <w:rsid w:val="493C27E9"/>
    <w:rsid w:val="494962A6"/>
    <w:rsid w:val="496F39ED"/>
    <w:rsid w:val="49844557"/>
    <w:rsid w:val="49FF41D3"/>
    <w:rsid w:val="4BC527ED"/>
    <w:rsid w:val="4BC64213"/>
    <w:rsid w:val="4BE068DB"/>
    <w:rsid w:val="4BF6002B"/>
    <w:rsid w:val="4C61299F"/>
    <w:rsid w:val="4C6A7278"/>
    <w:rsid w:val="4CF46975"/>
    <w:rsid w:val="4D250C46"/>
    <w:rsid w:val="4D305670"/>
    <w:rsid w:val="4D6935E3"/>
    <w:rsid w:val="4DAD246A"/>
    <w:rsid w:val="4DFA480C"/>
    <w:rsid w:val="4E502CB7"/>
    <w:rsid w:val="4EA71691"/>
    <w:rsid w:val="4ECE2238"/>
    <w:rsid w:val="4F0813EA"/>
    <w:rsid w:val="50316981"/>
    <w:rsid w:val="504A7CCC"/>
    <w:rsid w:val="516F72BF"/>
    <w:rsid w:val="51DB4B86"/>
    <w:rsid w:val="51EA067A"/>
    <w:rsid w:val="54694499"/>
    <w:rsid w:val="55333C3E"/>
    <w:rsid w:val="55696F3C"/>
    <w:rsid w:val="567F391A"/>
    <w:rsid w:val="56A31EE4"/>
    <w:rsid w:val="56FA2C3E"/>
    <w:rsid w:val="57222085"/>
    <w:rsid w:val="58032F47"/>
    <w:rsid w:val="580407D1"/>
    <w:rsid w:val="58A40C30"/>
    <w:rsid w:val="59A32DAC"/>
    <w:rsid w:val="59D839D1"/>
    <w:rsid w:val="5A760A01"/>
    <w:rsid w:val="5BC4522A"/>
    <w:rsid w:val="5C8B4FF9"/>
    <w:rsid w:val="5D5C4ADD"/>
    <w:rsid w:val="5DBF3A0D"/>
    <w:rsid w:val="5DC107BB"/>
    <w:rsid w:val="5E255759"/>
    <w:rsid w:val="5E7E6D93"/>
    <w:rsid w:val="600A5EB2"/>
    <w:rsid w:val="60641E48"/>
    <w:rsid w:val="60A86100"/>
    <w:rsid w:val="614541AE"/>
    <w:rsid w:val="61A46B11"/>
    <w:rsid w:val="62217668"/>
    <w:rsid w:val="62BA3C71"/>
    <w:rsid w:val="6412441A"/>
    <w:rsid w:val="64CA39A1"/>
    <w:rsid w:val="64D15E6F"/>
    <w:rsid w:val="65960824"/>
    <w:rsid w:val="65A73073"/>
    <w:rsid w:val="66193FF8"/>
    <w:rsid w:val="673F409D"/>
    <w:rsid w:val="677D7F7F"/>
    <w:rsid w:val="67810093"/>
    <w:rsid w:val="67EAC994"/>
    <w:rsid w:val="67F93E6D"/>
    <w:rsid w:val="6952776D"/>
    <w:rsid w:val="69630ADE"/>
    <w:rsid w:val="69C043FF"/>
    <w:rsid w:val="6A8F102D"/>
    <w:rsid w:val="6ACE1389"/>
    <w:rsid w:val="6B014909"/>
    <w:rsid w:val="6B624AEE"/>
    <w:rsid w:val="6B715CB5"/>
    <w:rsid w:val="6C4A05C8"/>
    <w:rsid w:val="6C817C6C"/>
    <w:rsid w:val="6CDF07AD"/>
    <w:rsid w:val="6D3B1A89"/>
    <w:rsid w:val="6D5B5893"/>
    <w:rsid w:val="6E6A7443"/>
    <w:rsid w:val="6E8C1058"/>
    <w:rsid w:val="6EEE19B4"/>
    <w:rsid w:val="6F2E33F7"/>
    <w:rsid w:val="6FB10D76"/>
    <w:rsid w:val="6FB35909"/>
    <w:rsid w:val="70D67360"/>
    <w:rsid w:val="71BF4EC2"/>
    <w:rsid w:val="71CF0C13"/>
    <w:rsid w:val="72390385"/>
    <w:rsid w:val="724F35FB"/>
    <w:rsid w:val="725974A3"/>
    <w:rsid w:val="72734D90"/>
    <w:rsid w:val="72CA7E47"/>
    <w:rsid w:val="730C2768"/>
    <w:rsid w:val="736649CA"/>
    <w:rsid w:val="738E3288"/>
    <w:rsid w:val="73C95983"/>
    <w:rsid w:val="73DC5387"/>
    <w:rsid w:val="7412278C"/>
    <w:rsid w:val="743401C8"/>
    <w:rsid w:val="74F60717"/>
    <w:rsid w:val="755422CB"/>
    <w:rsid w:val="75D937FC"/>
    <w:rsid w:val="75DC4673"/>
    <w:rsid w:val="765F1444"/>
    <w:rsid w:val="770566D1"/>
    <w:rsid w:val="78CE223E"/>
    <w:rsid w:val="78D62E85"/>
    <w:rsid w:val="7904082E"/>
    <w:rsid w:val="79E7B28D"/>
    <w:rsid w:val="79EA05D6"/>
    <w:rsid w:val="7CB62D51"/>
    <w:rsid w:val="7D1F2B93"/>
    <w:rsid w:val="7D621389"/>
    <w:rsid w:val="7E2E3CBC"/>
    <w:rsid w:val="7E447259"/>
    <w:rsid w:val="7EB611E9"/>
    <w:rsid w:val="7F9F20EE"/>
    <w:rsid w:val="9E3A10E2"/>
    <w:rsid w:val="F2B37F4D"/>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4"/>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kern w:val="2"/>
      <w:sz w:val="32"/>
      <w:szCs w:val="32"/>
    </w:rPr>
  </w:style>
  <w:style w:type="character" w:customStyle="1" w:styleId="18">
    <w:name w:val="标题 3 Char"/>
    <w:basedOn w:val="13"/>
    <w:link w:val="5"/>
    <w:qFormat/>
    <w:uiPriority w:val="9"/>
    <w:rPr>
      <w:rFonts w:ascii="Times New Roman" w:hAnsi="Times New Roman"/>
      <w:b/>
      <w:bCs/>
      <w:kern w:val="2"/>
      <w:sz w:val="32"/>
      <w:szCs w:val="32"/>
    </w:rPr>
  </w:style>
  <w:style w:type="character" w:customStyle="1" w:styleId="19">
    <w:name w:val="Header Char"/>
    <w:basedOn w:val="13"/>
    <w:semiHidden/>
    <w:qFormat/>
    <w:uiPriority w:val="99"/>
    <w:rPr>
      <w:rFonts w:ascii="Times New Roman" w:hAnsi="Times New Roman"/>
      <w:sz w:val="18"/>
      <w:szCs w:val="18"/>
    </w:rPr>
  </w:style>
  <w:style w:type="character" w:customStyle="1" w:styleId="20">
    <w:name w:val="页眉 Char"/>
    <w:link w:val="9"/>
    <w:semiHidden/>
    <w:qFormat/>
    <w:locked/>
    <w:uiPriority w:val="99"/>
    <w:rPr>
      <w:sz w:val="18"/>
    </w:rPr>
  </w:style>
  <w:style w:type="character" w:customStyle="1" w:styleId="21">
    <w:name w:val="Footer Char"/>
    <w:basedOn w:val="13"/>
    <w:semiHidden/>
    <w:qFormat/>
    <w:uiPriority w:val="99"/>
    <w:rPr>
      <w:rFonts w:ascii="Times New Roman" w:hAnsi="Times New Roman"/>
      <w:sz w:val="18"/>
      <w:szCs w:val="18"/>
    </w:rPr>
  </w:style>
  <w:style w:type="character" w:customStyle="1" w:styleId="22">
    <w:name w:val="页脚 Char"/>
    <w:link w:val="8"/>
    <w:qFormat/>
    <w:locked/>
    <w:uiPriority w:val="99"/>
    <w:rPr>
      <w:sz w:val="18"/>
    </w:rPr>
  </w:style>
  <w:style w:type="character" w:customStyle="1" w:styleId="23">
    <w:name w:val="Body Text Char"/>
    <w:basedOn w:val="13"/>
    <w:semiHidden/>
    <w:qFormat/>
    <w:uiPriority w:val="99"/>
    <w:rPr>
      <w:rFonts w:ascii="Times New Roman" w:hAnsi="Times New Roman"/>
      <w:szCs w:val="24"/>
    </w:rPr>
  </w:style>
  <w:style w:type="character" w:customStyle="1" w:styleId="24">
    <w:name w:val="正文文本 Char"/>
    <w:link w:val="2"/>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3"/>
    <w:link w:val="7"/>
    <w:semiHidden/>
    <w:qFormat/>
    <w:uiPriority w:val="99"/>
    <w:rPr>
      <w:rFonts w:ascii="Times New Roman" w:hAnsi="Times New Roman"/>
      <w:kern w:val="2"/>
      <w:sz w:val="18"/>
      <w:szCs w:val="18"/>
    </w:rPr>
  </w:style>
  <w:style w:type="paragraph" w:customStyle="1" w:styleId="29">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font51"/>
    <w:basedOn w:val="13"/>
    <w:qFormat/>
    <w:uiPriority w:val="0"/>
    <w:rPr>
      <w:rFonts w:hint="eastAsia" w:ascii="宋体" w:hAnsi="宋体" w:eastAsia="宋体" w:cs="宋体"/>
      <w:color w:val="000000"/>
      <w:sz w:val="18"/>
      <w:szCs w:val="18"/>
      <w:u w:val="none"/>
    </w:rPr>
  </w:style>
  <w:style w:type="character" w:customStyle="1" w:styleId="31">
    <w:name w:val="font61"/>
    <w:basedOn w:val="13"/>
    <w:qFormat/>
    <w:uiPriority w:val="0"/>
    <w:rPr>
      <w:rFonts w:hint="eastAsia" w:ascii="宋体" w:hAnsi="宋体" w:eastAsia="宋体" w:cs="宋体"/>
      <w:color w:val="000000"/>
      <w:sz w:val="18"/>
      <w:szCs w:val="18"/>
      <w:u w:val="none"/>
    </w:rPr>
  </w:style>
  <w:style w:type="character" w:customStyle="1" w:styleId="32">
    <w:name w:val="font101"/>
    <w:basedOn w:val="13"/>
    <w:qFormat/>
    <w:uiPriority w:val="0"/>
    <w:rPr>
      <w:rFonts w:hint="eastAsia" w:ascii="宋体" w:hAnsi="宋体" w:eastAsia="宋体" w:cs="宋体"/>
      <w:color w:val="000000"/>
      <w:sz w:val="18"/>
      <w:szCs w:val="18"/>
      <w:u w:val="none"/>
    </w:rPr>
  </w:style>
  <w:style w:type="character" w:customStyle="1" w:styleId="33">
    <w:name w:val="font21"/>
    <w:basedOn w:val="13"/>
    <w:qFormat/>
    <w:uiPriority w:val="0"/>
    <w:rPr>
      <w:rFonts w:hint="eastAsia" w:ascii="宋体" w:hAnsi="宋体" w:eastAsia="宋体" w:cs="宋体"/>
      <w:color w:val="000000"/>
      <w:sz w:val="18"/>
      <w:szCs w:val="18"/>
      <w:u w:val="none"/>
    </w:rPr>
  </w:style>
  <w:style w:type="paragraph" w:customStyle="1" w:styleId="34">
    <w:name w:val="WPSOffice手动目录 1"/>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 w:type="paragraph" w:customStyle="1" w:styleId="36">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2270;&#34920;&#25442;&#31639;&#65288;&#33609;&#31295;&#32440;&#6528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2270;&#34920;&#25442;&#31639;&#65288;&#33609;&#31295;&#32440;&#6528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22270;&#34920;&#25442;&#31639;&#65288;&#33609;&#31295;&#32440;&#6528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22270;&#34920;&#25442;&#31639;&#65288;&#33609;&#31295;&#32440;&#65289;.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2270;&#34920;&#25442;&#31639;&#65288;&#33609;&#31295;&#32440;&#65289;.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22270;&#34920;&#25442;&#31639;&#65288;&#33609;&#31295;&#32440;&#65289;.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istrator\Desktop\&#22270;&#34920;&#25442;&#31639;&#65288;&#33609;&#31295;&#32440;&#6528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收、支决算总计变动情况图</a:t>
            </a:r>
            <a:endParaRPr lang="zh-CN" altLang="en-US"/>
          </a:p>
        </c:rich>
      </c:tx>
      <c:layout/>
      <c:overlay val="0"/>
    </c:title>
    <c:autoTitleDeleted val="0"/>
    <c:plotArea>
      <c:layout/>
      <c:barChart>
        <c:barDir val="col"/>
        <c:grouping val="clustered"/>
        <c:varyColors val="0"/>
        <c:ser>
          <c:idx val="0"/>
          <c:order val="0"/>
          <c:tx>
            <c:strRef>
              <c:f>'[图表换算（草稿纸）.xlsx]Sheet1'!$A$3</c:f>
              <c:strCache>
                <c:ptCount val="1"/>
                <c:pt idx="0">
                  <c:v>收、支总计（万元）</c:v>
                </c:pt>
              </c:strCache>
            </c:strRef>
          </c:tx>
          <c:invertIfNegative val="0"/>
          <c:dLbls>
            <c:delete val="1"/>
          </c:dLbls>
          <c:cat>
            <c:strRef>
              <c:f>'[图表换算（草稿纸）.xlsx]Sheet1'!$B$2:$C$2</c:f>
              <c:strCache>
                <c:ptCount val="2"/>
                <c:pt idx="0">
                  <c:v>2021年</c:v>
                </c:pt>
                <c:pt idx="1">
                  <c:v>2022年</c:v>
                </c:pt>
              </c:strCache>
            </c:strRef>
          </c:cat>
          <c:val>
            <c:numRef>
              <c:f>'[图表换算（草稿纸）.xlsx]Sheet1'!$B$3:$C$3</c:f>
              <c:numCache>
                <c:formatCode>General</c:formatCode>
                <c:ptCount val="2"/>
                <c:pt idx="0">
                  <c:v>271.29</c:v>
                </c:pt>
                <c:pt idx="1">
                  <c:v>307.73</c:v>
                </c:pt>
              </c:numCache>
            </c:numRef>
          </c:val>
        </c:ser>
        <c:dLbls>
          <c:showLegendKey val="0"/>
          <c:showVal val="0"/>
          <c:showCatName val="0"/>
          <c:showSerName val="0"/>
          <c:showPercent val="0"/>
          <c:showBubbleSize val="0"/>
        </c:dLbls>
        <c:gapWidth val="150"/>
        <c:axId val="83245696"/>
        <c:axId val="83247488"/>
      </c:barChart>
      <c:catAx>
        <c:axId val="8324569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83247488"/>
        <c:crosses val="autoZero"/>
        <c:auto val="1"/>
        <c:lblAlgn val="ctr"/>
        <c:lblOffset val="100"/>
        <c:noMultiLvlLbl val="0"/>
      </c:catAx>
      <c:valAx>
        <c:axId val="83247488"/>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83245696"/>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'[图表换算（草稿纸）.xlsx]Sheet1'!$A$18</c:f>
              <c:strCache>
                <c:ptCount val="1"/>
                <c:pt idx="0">
                  <c:v>收入决算结构图</c:v>
                </c:pt>
              </c:strCache>
            </c:strRef>
          </c:tx>
          <c:explosion val="0"/>
          <c:dPt>
            <c:idx val="0"/>
            <c:bubble3D val="0"/>
          </c:dPt>
          <c:dPt>
            <c:idx val="1"/>
            <c:bubble3D val="0"/>
          </c:dPt>
          <c:dLbls>
            <c:delete val="1"/>
          </c:dLbls>
          <c:cat>
            <c:strRef>
              <c:f>'[图表换算（草稿纸）.xlsx]Sheet1'!$A$19:$A$20</c:f>
              <c:strCache>
                <c:ptCount val="2"/>
                <c:pt idx="0">
                  <c:v>一般公共预算财政拨款收入</c:v>
                </c:pt>
                <c:pt idx="1">
                  <c:v>其他收入</c:v>
                </c:pt>
              </c:strCache>
            </c:strRef>
          </c:cat>
          <c:val>
            <c:numRef>
              <c:f>'[图表换算（草稿纸）.xlsx]Sheet1'!$B$19:$B$20</c:f>
              <c:numCache>
                <c:formatCode>General</c:formatCode>
                <c:ptCount val="2"/>
                <c:pt idx="0">
                  <c:v>303.25</c:v>
                </c:pt>
                <c:pt idx="1">
                  <c:v>0.06</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'[图表换算（草稿纸）.xlsx]Sheet1'!$A$35</c:f>
              <c:strCache>
                <c:ptCount val="1"/>
                <c:pt idx="0">
                  <c:v>支出决算结构图</c:v>
                </c:pt>
              </c:strCache>
            </c:strRef>
          </c:tx>
          <c:explosion val="0"/>
          <c:dPt>
            <c:idx val="0"/>
            <c:bubble3D val="0"/>
          </c:dPt>
          <c:dPt>
            <c:idx val="1"/>
            <c:bubble3D val="0"/>
          </c:dPt>
          <c:dLbls>
            <c:delete val="1"/>
          </c:dLbls>
          <c:cat>
            <c:strRef>
              <c:f>'[图表换算（草稿纸）.xlsx]Sheet1'!$A$36:$A$37</c:f>
              <c:strCache>
                <c:ptCount val="2"/>
                <c:pt idx="0">
                  <c:v>基本支出</c:v>
                </c:pt>
                <c:pt idx="1">
                  <c:v>项目支出</c:v>
                </c:pt>
              </c:strCache>
            </c:strRef>
          </c:cat>
          <c:val>
            <c:numRef>
              <c:f>'[图表换算（草稿纸）.xlsx]Sheet1'!$B$36:$B$37</c:f>
              <c:numCache>
                <c:formatCode>General</c:formatCode>
                <c:ptCount val="2"/>
                <c:pt idx="0">
                  <c:v>250.05</c:v>
                </c:pt>
                <c:pt idx="1">
                  <c:v>49.69</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800"/>
              <a:t>财政拨款收、支决算总计变动情况</a:t>
            </a:r>
            <a:endParaRPr lang="zh-CN" altLang="en-US" sz="1800"/>
          </a:p>
        </c:rich>
      </c:tx>
      <c:layout/>
      <c:overlay val="0"/>
    </c:title>
    <c:autoTitleDeleted val="0"/>
    <c:plotArea>
      <c:layout/>
      <c:barChart>
        <c:barDir val="col"/>
        <c:grouping val="clustered"/>
        <c:varyColors val="0"/>
        <c:ser>
          <c:idx val="0"/>
          <c:order val="0"/>
          <c:tx>
            <c:strRef>
              <c:f>'[图表换算（草稿纸）.xlsx]Sheet1'!$A$54</c:f>
              <c:strCache>
                <c:ptCount val="1"/>
                <c:pt idx="0">
                  <c:v>财政拨款收、支总计（万元）</c:v>
                </c:pt>
              </c:strCache>
            </c:strRef>
          </c:tx>
          <c:invertIfNegative val="0"/>
          <c:dLbls>
            <c:delete val="1"/>
          </c:dLbls>
          <c:cat>
            <c:strRef>
              <c:f>'[图表换算（草稿纸）.xlsx]Sheet1'!$B$53:$C$53</c:f>
              <c:strCache>
                <c:ptCount val="2"/>
                <c:pt idx="0">
                  <c:v>2021年</c:v>
                </c:pt>
                <c:pt idx="1">
                  <c:v>2022年</c:v>
                </c:pt>
              </c:strCache>
            </c:strRef>
          </c:cat>
          <c:val>
            <c:numRef>
              <c:f>'[图表换算（草稿纸）.xlsx]Sheet1'!$B$54:$C$54</c:f>
              <c:numCache>
                <c:formatCode>General</c:formatCode>
                <c:ptCount val="2"/>
                <c:pt idx="0">
                  <c:v>262.01</c:v>
                </c:pt>
                <c:pt idx="1">
                  <c:v>304.04</c:v>
                </c:pt>
              </c:numCache>
            </c:numRef>
          </c:val>
        </c:ser>
        <c:dLbls>
          <c:showLegendKey val="0"/>
          <c:showVal val="0"/>
          <c:showCatName val="0"/>
          <c:showSerName val="0"/>
          <c:showPercent val="0"/>
          <c:showBubbleSize val="0"/>
        </c:dLbls>
        <c:gapWidth val="150"/>
        <c:axId val="49576576"/>
        <c:axId val="83252352"/>
      </c:barChart>
      <c:catAx>
        <c:axId val="4957657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83252352"/>
        <c:crosses val="autoZero"/>
        <c:auto val="1"/>
        <c:lblAlgn val="ctr"/>
        <c:lblOffset val="100"/>
        <c:noMultiLvlLbl val="0"/>
      </c:catAx>
      <c:valAx>
        <c:axId val="83252352"/>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9576576"/>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800"/>
              <a:t>一般公共预算财政拨款支出</a:t>
            </a:r>
            <a:endParaRPr lang="en-US" altLang="zh-CN" sz="1800"/>
          </a:p>
          <a:p>
            <a:pPr>
              <a:defRPr lang="zh-CN" sz="1800" b="1" i="0" u="none" strike="noStrike" kern="1200" baseline="0">
                <a:solidFill>
                  <a:schemeClr val="tx1"/>
                </a:solidFill>
                <a:latin typeface="+mn-lt"/>
                <a:ea typeface="+mn-ea"/>
                <a:cs typeface="+mn-cs"/>
              </a:defRPr>
            </a:pPr>
            <a:r>
              <a:rPr lang="zh-CN" altLang="en-US" sz="1800"/>
              <a:t>决算变动情况</a:t>
            </a:r>
            <a:endParaRPr lang="zh-CN" altLang="en-US" sz="1800"/>
          </a:p>
        </c:rich>
      </c:tx>
      <c:layout>
        <c:manualLayout>
          <c:xMode val="edge"/>
          <c:yMode val="edge"/>
          <c:x val="0.190555555555556"/>
          <c:y val="0.0263355906696764"/>
        </c:manualLayout>
      </c:layout>
      <c:overlay val="0"/>
    </c:title>
    <c:autoTitleDeleted val="0"/>
    <c:plotArea>
      <c:layout/>
      <c:barChart>
        <c:barDir val="col"/>
        <c:grouping val="clustered"/>
        <c:varyColors val="0"/>
        <c:ser>
          <c:idx val="0"/>
          <c:order val="0"/>
          <c:tx>
            <c:strRef>
              <c:f>'[图表换算（草稿纸）.xlsx]Sheet1'!$A$70</c:f>
              <c:strCache>
                <c:ptCount val="1"/>
                <c:pt idx="0">
                  <c:v>一般公共预算财政拨款支出（万元）</c:v>
                </c:pt>
              </c:strCache>
            </c:strRef>
          </c:tx>
          <c:invertIfNegative val="0"/>
          <c:dLbls>
            <c:delete val="1"/>
          </c:dLbls>
          <c:cat>
            <c:strRef>
              <c:f>'[图表换算（草稿纸）.xlsx]Sheet1'!$B$69:$C$69</c:f>
              <c:strCache>
                <c:ptCount val="2"/>
                <c:pt idx="0">
                  <c:v>2021年</c:v>
                </c:pt>
                <c:pt idx="1">
                  <c:v>2022年</c:v>
                </c:pt>
              </c:strCache>
            </c:strRef>
          </c:cat>
          <c:val>
            <c:numRef>
              <c:f>'[图表换算（草稿纸）.xlsx]Sheet1'!$B$70:$C$70</c:f>
              <c:numCache>
                <c:formatCode>General</c:formatCode>
                <c:ptCount val="2"/>
                <c:pt idx="0">
                  <c:v>261.98</c:v>
                </c:pt>
                <c:pt idx="1">
                  <c:v>296.04</c:v>
                </c:pt>
              </c:numCache>
            </c:numRef>
          </c:val>
        </c:ser>
        <c:dLbls>
          <c:showLegendKey val="0"/>
          <c:showVal val="0"/>
          <c:showCatName val="0"/>
          <c:showSerName val="0"/>
          <c:showPercent val="0"/>
          <c:showBubbleSize val="0"/>
        </c:dLbls>
        <c:gapWidth val="150"/>
        <c:axId val="85601664"/>
        <c:axId val="156870912"/>
      </c:barChart>
      <c:catAx>
        <c:axId val="85601664"/>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56870912"/>
        <c:crosses val="autoZero"/>
        <c:auto val="1"/>
        <c:lblAlgn val="ctr"/>
        <c:lblOffset val="100"/>
        <c:noMultiLvlLbl val="0"/>
      </c:catAx>
      <c:valAx>
        <c:axId val="156870912"/>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85601664"/>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800"/>
              <a:t>一般公共预算财政拨款支出</a:t>
            </a:r>
            <a:endParaRPr lang="en-US" altLang="zh-CN" sz="1800"/>
          </a:p>
          <a:p>
            <a:pPr>
              <a:defRPr lang="zh-CN" sz="1800" b="1" i="0" u="none" strike="noStrike" kern="1200" baseline="0">
                <a:solidFill>
                  <a:schemeClr val="tx1"/>
                </a:solidFill>
                <a:latin typeface="+mn-lt"/>
                <a:ea typeface="+mn-ea"/>
                <a:cs typeface="+mn-cs"/>
              </a:defRPr>
            </a:pPr>
            <a:r>
              <a:rPr lang="zh-CN" altLang="en-US" sz="1800"/>
              <a:t>决算结构</a:t>
            </a:r>
            <a:endParaRPr lang="zh-CN" altLang="en-US" sz="1800"/>
          </a:p>
        </c:rich>
      </c:tx>
      <c:layout/>
      <c:overlay val="0"/>
    </c:title>
    <c:autoTitleDeleted val="0"/>
    <c:plotArea>
      <c:layout/>
      <c:pieChart>
        <c:varyColors val="1"/>
        <c:ser>
          <c:idx val="0"/>
          <c:order val="0"/>
          <c:tx>
            <c:strRef>
              <c:f>'[图表换算（草稿纸）.xlsx]Sheet1'!$A$85</c:f>
              <c:strCache>
                <c:ptCount val="1"/>
                <c:pt idx="0">
                  <c:v>一般公共预算财政拨款支出
决算结构
</c:v>
                </c:pt>
              </c:strCache>
            </c:strRef>
          </c:tx>
          <c:explosion val="0"/>
          <c:dPt>
            <c:idx val="0"/>
            <c:bubble3D val="0"/>
          </c:dPt>
          <c:dPt>
            <c:idx val="1"/>
            <c:bubble3D val="0"/>
          </c:dPt>
          <c:dPt>
            <c:idx val="2"/>
            <c:bubble3D val="0"/>
          </c:dPt>
          <c:dLbls>
            <c:delete val="1"/>
          </c:dLbls>
          <c:cat>
            <c:strRef>
              <c:f>'[图表换算（草稿纸）.xlsx]Sheet1'!$A$86:$A$88</c:f>
              <c:strCache>
                <c:ptCount val="3"/>
                <c:pt idx="0">
                  <c:v>社会保障和就业（类）</c:v>
                </c:pt>
                <c:pt idx="1">
                  <c:v>卫生健康（类）</c:v>
                </c:pt>
                <c:pt idx="2">
                  <c:v>住房保障（类）</c:v>
                </c:pt>
              </c:strCache>
            </c:strRef>
          </c:cat>
          <c:val>
            <c:numRef>
              <c:f>'[图表换算（草稿纸）.xlsx]Sheet1'!$B$86:$B$88</c:f>
              <c:numCache>
                <c:formatCode>General</c:formatCode>
                <c:ptCount val="3"/>
                <c:pt idx="0">
                  <c:v>16.15</c:v>
                </c:pt>
                <c:pt idx="1">
                  <c:v>259.52</c:v>
                </c:pt>
                <c:pt idx="2">
                  <c:v>20.37</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800"/>
              <a:t>“三公”经费财政拨款支出结构</a:t>
            </a:r>
            <a:endParaRPr lang="zh-CN" altLang="en-US" sz="1800"/>
          </a:p>
        </c:rich>
      </c:tx>
      <c:layout/>
      <c:overlay val="0"/>
    </c:title>
    <c:autoTitleDeleted val="0"/>
    <c:plotArea>
      <c:layout/>
      <c:pieChart>
        <c:varyColors val="1"/>
        <c:ser>
          <c:idx val="0"/>
          <c:order val="0"/>
          <c:tx>
            <c:strRef>
              <c:f>'[图表换算（草稿纸）.xlsx]Sheet1'!$A$85</c:f>
              <c:strCache>
                <c:ptCount val="1"/>
                <c:pt idx="0">
                  <c:v>“三公”经费财政拨款支出结构</c:v>
                </c:pt>
              </c:strCache>
            </c:strRef>
          </c:tx>
          <c:explosion val="0"/>
          <c:dPt>
            <c:idx val="0"/>
            <c:bubble3D val="0"/>
          </c:dPt>
          <c:dPt>
            <c:idx val="1"/>
            <c:bubble3D val="0"/>
          </c:dPt>
          <c:dPt>
            <c:idx val="2"/>
            <c:bubble3D val="0"/>
          </c:dPt>
          <c:dLbls>
            <c:delete val="1"/>
          </c:dLbls>
          <c:cat>
            <c:strRef>
              <c:f>'[图表换算（草稿纸）.xlsx]Sheet1'!$A$86:$A$88</c:f>
              <c:strCache>
                <c:ptCount val="3"/>
                <c:pt idx="0">
                  <c:v>公务接待费支出</c:v>
                </c:pt>
                <c:pt idx="1">
                  <c:v>因公出国（境）费支出</c:v>
                </c:pt>
                <c:pt idx="2">
                  <c:v>公务用车购置及运行维护费支出</c:v>
                </c:pt>
              </c:strCache>
            </c:strRef>
          </c:cat>
          <c:val>
            <c:numRef>
              <c:f>'[图表换算（草稿纸）.xlsx]Sheet1'!$B$86:$B$88</c:f>
              <c:numCache>
                <c:formatCode>General</c:formatCode>
                <c:ptCount val="3"/>
                <c:pt idx="0">
                  <c:v>0.06</c:v>
                </c:pt>
                <c:pt idx="1">
                  <c:v>0</c:v>
                </c:pt>
                <c:pt idx="2">
                  <c:v>0</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31</TotalTime>
  <ScaleCrop>false</ScaleCrop>
  <LinksUpToDate>false</LinksUpToDate>
  <CharactersWithSpaces>8692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2020-08-05T09:49:00Z</dcterms:created>
  <dc:creator>曹颖</dc:creator>
  <cp:lastModifiedBy>鲁西西</cp:lastModifiedBy>
  <cp:lastPrinted>2023-10-16T00:57:00Z</cp:lastPrinted>
  <dcterms:modified xsi:type="dcterms:W3CDTF">2023-10-18T07:17:24Z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6B70361D626A4593B4A9C4A901EC4F63</vt:lpwstr>
  </property>
</Properties>
</file>